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2E" w:rsidP="00D32933" w:rsidRDefault="00171E2E">
      <w:pPr>
        <w:pStyle w:val="Heading2"/>
        <w:rPr>
          <w:rFonts w:ascii="Times New Roman" w:hAnsi="Times New Roman"/>
          <w:sz w:val="28"/>
          <w:szCs w:val="28"/>
        </w:rPr>
      </w:pPr>
    </w:p>
    <w:p w:rsidR="00171E2E" w:rsidP="00D32933" w:rsidRDefault="00171E2E">
      <w:pPr>
        <w:pStyle w:val="Heading2"/>
        <w:rPr>
          <w:rFonts w:ascii="Times New Roman" w:hAnsi="Times New Roman"/>
          <w:sz w:val="28"/>
          <w:szCs w:val="28"/>
        </w:rPr>
      </w:pPr>
    </w:p>
    <w:p w:rsidR="00171E2E" w:rsidP="00D32933" w:rsidRDefault="00171E2E">
      <w:pPr>
        <w:pStyle w:val="Heading2"/>
        <w:rPr>
          <w:rFonts w:ascii="Times New Roman" w:hAnsi="Times New Roman"/>
          <w:sz w:val="28"/>
          <w:szCs w:val="28"/>
        </w:rPr>
      </w:pPr>
    </w:p>
    <w:p w:rsidRPr="00E52ABA" w:rsidR="00D32933" w:rsidP="00D32933" w:rsidRDefault="00D32933">
      <w:pPr>
        <w:pStyle w:val="Heading2"/>
        <w:rPr>
          <w:rFonts w:ascii="Times New Roman" w:hAnsi="Times New Roman"/>
          <w:sz w:val="40"/>
          <w:szCs w:val="40"/>
        </w:rPr>
      </w:pPr>
      <w:r w:rsidRPr="00E52ABA">
        <w:rPr>
          <w:rFonts w:ascii="Times New Roman" w:hAnsi="Times New Roman"/>
          <w:sz w:val="40"/>
          <w:szCs w:val="40"/>
        </w:rPr>
        <w:t xml:space="preserve">Federal Case Registry </w:t>
      </w:r>
      <w:r w:rsidRPr="00E52ABA" w:rsidR="0096159F">
        <w:rPr>
          <w:rFonts w:ascii="Times New Roman" w:hAnsi="Times New Roman"/>
          <w:sz w:val="40"/>
          <w:szCs w:val="40"/>
        </w:rPr>
        <w:t>(FCR)</w:t>
      </w:r>
    </w:p>
    <w:p w:rsidRPr="00171E2E" w:rsidR="00262162" w:rsidP="00262162" w:rsidRDefault="00262162">
      <w:pPr>
        <w:pStyle w:val="ReportCover-Title"/>
        <w:jc w:val="center"/>
        <w:rPr>
          <w:rFonts w:ascii="Arial" w:hAnsi="Arial" w:cs="Arial"/>
          <w:color w:val="auto"/>
          <w:sz w:val="28"/>
          <w:szCs w:val="28"/>
        </w:rPr>
      </w:pPr>
    </w:p>
    <w:p w:rsidR="00262162" w:rsidP="00262162" w:rsidRDefault="00262162">
      <w:pPr>
        <w:pStyle w:val="ReportCover-Title"/>
        <w:rPr>
          <w:rFonts w:ascii="Arial" w:hAnsi="Arial" w:cs="Arial"/>
          <w:color w:val="auto"/>
        </w:rPr>
      </w:pPr>
    </w:p>
    <w:p w:rsidR="00262162" w:rsidP="00262162" w:rsidRDefault="00262162">
      <w:pPr>
        <w:pStyle w:val="ReportCover-Title"/>
        <w:rPr>
          <w:rFonts w:ascii="Arial" w:hAnsi="Arial" w:cs="Arial"/>
          <w:color w:val="auto"/>
        </w:rPr>
      </w:pPr>
    </w:p>
    <w:p w:rsidRPr="00E52ABA" w:rsidR="00262162" w:rsidP="00262162" w:rsidRDefault="00262162">
      <w:pPr>
        <w:pStyle w:val="ReportCover-Title"/>
        <w:jc w:val="center"/>
        <w:rPr>
          <w:rFonts w:ascii="Times New Roman" w:hAnsi="Times New Roman"/>
          <w:color w:val="auto"/>
          <w:sz w:val="32"/>
          <w:szCs w:val="32"/>
        </w:rPr>
      </w:pPr>
      <w:r w:rsidRPr="00E52ABA">
        <w:rPr>
          <w:rFonts w:ascii="Times New Roman" w:hAnsi="Times New Roman"/>
          <w:color w:val="auto"/>
          <w:sz w:val="32"/>
          <w:szCs w:val="32"/>
        </w:rPr>
        <w:t>OMB Information Collection Request</w:t>
      </w:r>
    </w:p>
    <w:p w:rsidRPr="00E52ABA" w:rsidR="00D32933" w:rsidP="00D32933" w:rsidRDefault="00262162">
      <w:pPr>
        <w:pStyle w:val="Heading2"/>
        <w:rPr>
          <w:rFonts w:ascii="Times New Roman" w:hAnsi="Times New Roman"/>
          <w:sz w:val="32"/>
          <w:szCs w:val="32"/>
        </w:rPr>
      </w:pPr>
      <w:r w:rsidRPr="00E52ABA">
        <w:rPr>
          <w:rFonts w:ascii="Times New Roman" w:hAnsi="Times New Roman"/>
          <w:sz w:val="32"/>
          <w:szCs w:val="32"/>
        </w:rPr>
        <w:t xml:space="preserve">0970 - </w:t>
      </w:r>
      <w:r w:rsidRPr="00E52ABA" w:rsidR="00D32933">
        <w:rPr>
          <w:rFonts w:ascii="Times New Roman" w:hAnsi="Times New Roman"/>
          <w:sz w:val="32"/>
          <w:szCs w:val="32"/>
        </w:rPr>
        <w:t>0421</w:t>
      </w:r>
    </w:p>
    <w:p w:rsidRPr="00E52ABA" w:rsidR="00262162" w:rsidP="00262162" w:rsidRDefault="00262162">
      <w:pPr>
        <w:rPr>
          <w:rFonts w:ascii="Arial" w:hAnsi="Arial" w:cs="Arial"/>
          <w:sz w:val="32"/>
          <w:szCs w:val="32"/>
        </w:rPr>
      </w:pPr>
    </w:p>
    <w:p w:rsidR="00262162" w:rsidP="00262162" w:rsidRDefault="00262162">
      <w:pPr>
        <w:pStyle w:val="ReportCover-Date"/>
        <w:jc w:val="center"/>
        <w:rPr>
          <w:rFonts w:ascii="Arial" w:hAnsi="Arial" w:cs="Arial"/>
          <w:color w:val="auto"/>
        </w:rPr>
      </w:pPr>
    </w:p>
    <w:p w:rsidRPr="00E52ABA" w:rsidR="00262162" w:rsidP="00262162" w:rsidRDefault="00262162">
      <w:pPr>
        <w:pStyle w:val="ReportCover-Date"/>
        <w:spacing w:after="360" w:line="240" w:lineRule="auto"/>
        <w:jc w:val="center"/>
        <w:rPr>
          <w:rFonts w:ascii="Times New Roman" w:hAnsi="Times New Roman"/>
          <w:color w:val="auto"/>
          <w:sz w:val="32"/>
          <w:szCs w:val="32"/>
        </w:rPr>
      </w:pPr>
      <w:r w:rsidRPr="00E52ABA">
        <w:rPr>
          <w:rFonts w:ascii="Times New Roman" w:hAnsi="Times New Roman"/>
          <w:color w:val="auto"/>
          <w:sz w:val="32"/>
          <w:szCs w:val="32"/>
        </w:rPr>
        <w:t>Supporting Statement Part A - Justification</w:t>
      </w:r>
    </w:p>
    <w:p w:rsidRPr="00171E2E" w:rsidR="00262162" w:rsidP="00262162" w:rsidRDefault="007C04DD">
      <w:pPr>
        <w:pStyle w:val="ReportCover-Date"/>
        <w:jc w:val="center"/>
        <w:rPr>
          <w:rFonts w:ascii="Times New Roman" w:hAnsi="Times New Roman"/>
          <w:color w:val="auto"/>
          <w:sz w:val="28"/>
          <w:szCs w:val="28"/>
        </w:rPr>
      </w:pPr>
      <w:r>
        <w:rPr>
          <w:rFonts w:ascii="Times New Roman" w:hAnsi="Times New Roman"/>
          <w:color w:val="auto"/>
          <w:sz w:val="32"/>
          <w:szCs w:val="32"/>
        </w:rPr>
        <w:t>September</w:t>
      </w:r>
      <w:bookmarkStart w:name="_GoBack" w:id="0"/>
      <w:bookmarkEnd w:id="0"/>
      <w:r w:rsidR="008B1B6B">
        <w:rPr>
          <w:rFonts w:ascii="Times New Roman" w:hAnsi="Times New Roman"/>
          <w:color w:val="auto"/>
          <w:sz w:val="32"/>
          <w:szCs w:val="32"/>
        </w:rPr>
        <w:t xml:space="preserve"> </w:t>
      </w:r>
      <w:r w:rsidRPr="00E52ABA" w:rsidR="00D32933">
        <w:rPr>
          <w:rFonts w:ascii="Times New Roman" w:hAnsi="Times New Roman"/>
          <w:color w:val="auto"/>
          <w:sz w:val="32"/>
          <w:szCs w:val="32"/>
        </w:rPr>
        <w:t>2020</w:t>
      </w:r>
    </w:p>
    <w:p w:rsidR="00262162" w:rsidP="00262162" w:rsidRDefault="00262162">
      <w:pPr>
        <w:jc w:val="center"/>
        <w:rPr>
          <w:rFonts w:ascii="Arial" w:hAnsi="Arial" w:cs="Arial"/>
        </w:rPr>
      </w:pPr>
    </w:p>
    <w:p w:rsidRPr="00F300D4" w:rsidR="00D32933" w:rsidP="00D32933" w:rsidRDefault="00D32933">
      <w:pPr>
        <w:suppressAutoHyphens/>
        <w:jc w:val="center"/>
        <w:rPr>
          <w:rFonts w:ascii="Times New Roman" w:hAnsi="Times New Roman"/>
          <w:szCs w:val="24"/>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4B19EA" w:rsidP="00262162" w:rsidRDefault="004B19EA">
      <w:pPr>
        <w:jc w:val="center"/>
        <w:rPr>
          <w:rFonts w:ascii="Arial" w:hAnsi="Arial" w:cs="Arial"/>
        </w:rPr>
      </w:pPr>
    </w:p>
    <w:p w:rsidR="004B19EA" w:rsidP="00262162" w:rsidRDefault="004B19EA">
      <w:pPr>
        <w:jc w:val="center"/>
        <w:rPr>
          <w:rFonts w:ascii="Arial" w:hAnsi="Arial" w:cs="Arial"/>
        </w:rPr>
      </w:pPr>
    </w:p>
    <w:p w:rsidR="004B19EA" w:rsidP="00262162" w:rsidRDefault="004B19EA">
      <w:pPr>
        <w:jc w:val="center"/>
        <w:rPr>
          <w:rFonts w:ascii="Arial" w:hAnsi="Arial" w:cs="Arial"/>
        </w:rPr>
      </w:pPr>
    </w:p>
    <w:p w:rsidR="004B19EA" w:rsidP="00262162" w:rsidRDefault="004B19EA">
      <w:pPr>
        <w:jc w:val="center"/>
        <w:rPr>
          <w:rFonts w:ascii="Arial" w:hAnsi="Arial" w:cs="Arial"/>
        </w:rPr>
      </w:pPr>
    </w:p>
    <w:p w:rsidR="004B19EA" w:rsidP="00262162" w:rsidRDefault="004B19EA">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00262162" w:rsidP="00262162" w:rsidRDefault="00262162">
      <w:pPr>
        <w:jc w:val="center"/>
        <w:rPr>
          <w:rFonts w:ascii="Arial" w:hAnsi="Arial" w:cs="Arial"/>
        </w:rPr>
      </w:pPr>
    </w:p>
    <w:p w:rsidRPr="00171E2E" w:rsidR="00262162" w:rsidP="00262162" w:rsidRDefault="00262162">
      <w:pPr>
        <w:jc w:val="center"/>
        <w:rPr>
          <w:rFonts w:ascii="Times New Roman" w:hAnsi="Times New Roman"/>
          <w:sz w:val="24"/>
          <w:szCs w:val="24"/>
        </w:rPr>
      </w:pPr>
      <w:r w:rsidRPr="00171E2E">
        <w:rPr>
          <w:rFonts w:ascii="Times New Roman" w:hAnsi="Times New Roman"/>
          <w:sz w:val="24"/>
          <w:szCs w:val="24"/>
        </w:rPr>
        <w:t>Submitted By:</w:t>
      </w:r>
    </w:p>
    <w:p w:rsidRPr="00171E2E" w:rsidR="0096159F" w:rsidP="00262162" w:rsidRDefault="0096159F">
      <w:pPr>
        <w:jc w:val="center"/>
        <w:rPr>
          <w:rFonts w:ascii="Times New Roman" w:hAnsi="Times New Roman"/>
          <w:sz w:val="24"/>
          <w:szCs w:val="24"/>
        </w:rPr>
      </w:pPr>
    </w:p>
    <w:p w:rsidRPr="00171E2E" w:rsidR="008B5F75" w:rsidP="00262162" w:rsidRDefault="0096159F">
      <w:pPr>
        <w:jc w:val="center"/>
        <w:rPr>
          <w:rFonts w:ascii="Times New Roman" w:hAnsi="Times New Roman"/>
          <w:sz w:val="24"/>
          <w:szCs w:val="24"/>
        </w:rPr>
      </w:pPr>
      <w:r w:rsidRPr="00171E2E">
        <w:rPr>
          <w:rFonts w:ascii="Times New Roman" w:hAnsi="Times New Roman"/>
          <w:sz w:val="24"/>
          <w:szCs w:val="24"/>
        </w:rPr>
        <w:t>Office of Child Support Enforcement</w:t>
      </w:r>
    </w:p>
    <w:p w:rsidRPr="00171E2E" w:rsidR="008B5F75" w:rsidP="008B5F75" w:rsidRDefault="008B5F75">
      <w:pPr>
        <w:suppressAutoHyphens/>
        <w:jc w:val="center"/>
        <w:rPr>
          <w:rFonts w:ascii="Times New Roman" w:hAnsi="Times New Roman"/>
          <w:sz w:val="24"/>
          <w:szCs w:val="24"/>
        </w:rPr>
      </w:pPr>
      <w:r w:rsidRPr="00171E2E">
        <w:rPr>
          <w:rFonts w:ascii="Times New Roman" w:hAnsi="Times New Roman"/>
          <w:sz w:val="24"/>
          <w:szCs w:val="24"/>
        </w:rPr>
        <w:t>Administration for Children and Families</w:t>
      </w:r>
    </w:p>
    <w:p w:rsidRPr="00171E2E" w:rsidR="0096159F" w:rsidP="0096159F" w:rsidRDefault="0096159F">
      <w:pPr>
        <w:suppressAutoHyphens/>
        <w:jc w:val="center"/>
        <w:rPr>
          <w:rFonts w:ascii="Times New Roman" w:hAnsi="Times New Roman"/>
          <w:sz w:val="24"/>
          <w:szCs w:val="24"/>
        </w:rPr>
      </w:pPr>
      <w:r w:rsidRPr="00171E2E">
        <w:rPr>
          <w:rFonts w:ascii="Times New Roman" w:hAnsi="Times New Roman"/>
          <w:sz w:val="24"/>
          <w:szCs w:val="24"/>
        </w:rPr>
        <w:t>U.S. Department of Health and Human Services</w:t>
      </w:r>
    </w:p>
    <w:p w:rsidRPr="00171E2E" w:rsidR="008B5F75" w:rsidP="008B5F75" w:rsidRDefault="008B5F75">
      <w:pPr>
        <w:pStyle w:val="EndnoteText"/>
        <w:suppressAutoHyphens/>
        <w:rPr>
          <w:rFonts w:ascii="Times New Roman" w:hAnsi="Times New Roman"/>
          <w:szCs w:val="24"/>
          <w:lang w:val="fr-FR"/>
        </w:rPr>
      </w:pPr>
    </w:p>
    <w:p w:rsidR="008B5F75" w:rsidP="00262162" w:rsidRDefault="008B5F75">
      <w:pPr>
        <w:jc w:val="center"/>
        <w:rPr>
          <w:rFonts w:ascii="Arial" w:hAnsi="Arial" w:cs="Arial"/>
        </w:rPr>
      </w:pPr>
    </w:p>
    <w:p w:rsidR="00262162" w:rsidP="0050193E" w:rsidRDefault="00262162">
      <w:pPr>
        <w:widowControl/>
        <w:ind w:left="1080" w:firstLine="360"/>
        <w:rPr>
          <w:rFonts w:ascii="Times New Roman" w:hAnsi="Times New Roman"/>
          <w:b/>
          <w:sz w:val="24"/>
          <w:szCs w:val="24"/>
        </w:rPr>
      </w:pPr>
      <w:r>
        <w:rPr>
          <w:rFonts w:ascii="Times New Roman" w:hAnsi="Times New Roman"/>
          <w:b/>
          <w:sz w:val="24"/>
          <w:szCs w:val="24"/>
        </w:rPr>
        <w:t>SUPPORTING STATEMENT A – JUSTIFICATION</w:t>
      </w:r>
    </w:p>
    <w:p w:rsidR="00262162" w:rsidP="00262162" w:rsidRDefault="00262162">
      <w:pPr>
        <w:widowControl/>
        <w:ind w:left="360" w:hanging="360"/>
        <w:jc w:val="center"/>
        <w:rPr>
          <w:rFonts w:ascii="Times New Roman" w:hAnsi="Times New Roman"/>
          <w:sz w:val="24"/>
          <w:szCs w:val="24"/>
        </w:rPr>
      </w:pPr>
    </w:p>
    <w:p w:rsidR="00262162" w:rsidP="00262162" w:rsidRDefault="00262162">
      <w:pPr>
        <w:widowControl/>
        <w:ind w:left="360"/>
        <w:rPr>
          <w:rFonts w:ascii="Times New Roman" w:hAnsi="Times New Roman"/>
          <w:sz w:val="24"/>
          <w:szCs w:val="24"/>
        </w:rPr>
      </w:pPr>
    </w:p>
    <w:p w:rsidRPr="00270676" w:rsidR="00262162" w:rsidP="00262162" w:rsidRDefault="00262162">
      <w:pPr>
        <w:widowControl/>
        <w:numPr>
          <w:ilvl w:val="0"/>
          <w:numId w:val="1"/>
        </w:numPr>
        <w:tabs>
          <w:tab w:val="num" w:pos="360"/>
        </w:tabs>
        <w:ind w:left="360"/>
        <w:rPr>
          <w:rFonts w:ascii="Times New Roman" w:hAnsi="Times New Roman"/>
          <w:b/>
          <w:sz w:val="24"/>
          <w:szCs w:val="24"/>
        </w:rPr>
      </w:pPr>
      <w:r w:rsidRPr="00270676">
        <w:rPr>
          <w:rFonts w:ascii="Times New Roman" w:hAnsi="Times New Roman"/>
          <w:b/>
          <w:sz w:val="24"/>
          <w:szCs w:val="24"/>
        </w:rPr>
        <w:t xml:space="preserve">Circumstances Making the Collection of Information Necessary </w:t>
      </w:r>
    </w:p>
    <w:p w:rsidR="00262162" w:rsidP="00262162" w:rsidRDefault="00262162">
      <w:pPr>
        <w:widowControl/>
        <w:tabs>
          <w:tab w:val="num" w:pos="360"/>
        </w:tabs>
        <w:ind w:left="360" w:hanging="360"/>
        <w:rPr>
          <w:rFonts w:ascii="Times New Roman" w:hAnsi="Times New Roman"/>
          <w:sz w:val="24"/>
          <w:szCs w:val="24"/>
        </w:rPr>
      </w:pPr>
    </w:p>
    <w:p w:rsidR="0009703C" w:rsidP="00195DBC" w:rsidRDefault="00C97ABC">
      <w:pPr>
        <w:suppressAutoHyphens/>
        <w:ind w:left="360"/>
        <w:rPr>
          <w:rFonts w:ascii="Times New Roman" w:hAnsi="Times New Roman"/>
          <w:color w:val="202020"/>
          <w:sz w:val="24"/>
          <w:szCs w:val="24"/>
          <w:lang w:val="en"/>
        </w:rPr>
      </w:pPr>
      <w:r w:rsidRPr="00270676">
        <w:rPr>
          <w:rFonts w:ascii="Times New Roman" w:hAnsi="Times New Roman"/>
          <w:color w:val="202020"/>
          <w:sz w:val="24"/>
          <w:szCs w:val="24"/>
          <w:lang w:val="en"/>
        </w:rPr>
        <w:t>The Personal Responsibility and Work Opportunity Reconciliation Act of 1996 (PRWORA) amended the Social Security Act (</w:t>
      </w:r>
      <w:r w:rsidR="0085085D">
        <w:rPr>
          <w:rFonts w:ascii="Times New Roman" w:hAnsi="Times New Roman"/>
          <w:color w:val="202020"/>
          <w:sz w:val="24"/>
          <w:szCs w:val="24"/>
          <w:lang w:val="en"/>
        </w:rPr>
        <w:t xml:space="preserve">“the </w:t>
      </w:r>
      <w:r w:rsidRPr="00270676">
        <w:rPr>
          <w:rFonts w:ascii="Times New Roman" w:hAnsi="Times New Roman"/>
          <w:color w:val="202020"/>
          <w:sz w:val="24"/>
          <w:szCs w:val="24"/>
          <w:lang w:val="en"/>
        </w:rPr>
        <w:t>Act</w:t>
      </w:r>
      <w:r w:rsidR="0085085D">
        <w:rPr>
          <w:rFonts w:ascii="Times New Roman" w:hAnsi="Times New Roman"/>
          <w:color w:val="202020"/>
          <w:sz w:val="24"/>
          <w:szCs w:val="24"/>
          <w:lang w:val="en"/>
        </w:rPr>
        <w:t>”</w:t>
      </w:r>
      <w:r w:rsidRPr="00270676">
        <w:rPr>
          <w:rFonts w:ascii="Times New Roman" w:hAnsi="Times New Roman"/>
          <w:color w:val="202020"/>
          <w:sz w:val="24"/>
          <w:szCs w:val="24"/>
          <w:lang w:val="en"/>
        </w:rPr>
        <w:t xml:space="preserve">) to require </w:t>
      </w:r>
      <w:r w:rsidR="00195DBC">
        <w:rPr>
          <w:rFonts w:ascii="Times New Roman" w:hAnsi="Times New Roman"/>
          <w:color w:val="202020"/>
          <w:sz w:val="24"/>
          <w:szCs w:val="24"/>
          <w:lang w:val="en"/>
        </w:rPr>
        <w:t xml:space="preserve">the U.S. </w:t>
      </w:r>
      <w:r w:rsidRPr="00195DBC" w:rsidR="00195DBC">
        <w:rPr>
          <w:rFonts w:ascii="Times New Roman" w:hAnsi="Times New Roman"/>
          <w:color w:val="202020"/>
          <w:sz w:val="24"/>
          <w:szCs w:val="24"/>
          <w:shd w:val="clear" w:color="auto" w:fill="FFFFFF"/>
        </w:rPr>
        <w:t>Department of Health and Human Services</w:t>
      </w:r>
      <w:r w:rsidR="000A4EBE">
        <w:rPr>
          <w:rFonts w:ascii="Times New Roman" w:hAnsi="Times New Roman"/>
          <w:color w:val="202020"/>
          <w:sz w:val="24"/>
          <w:szCs w:val="24"/>
          <w:shd w:val="clear" w:color="auto" w:fill="FFFFFF"/>
        </w:rPr>
        <w:t>, Office of Child Support Enforcement (“OCSE”)</w:t>
      </w:r>
      <w:r w:rsidRPr="00195DBC" w:rsidR="00195DBC">
        <w:rPr>
          <w:rFonts w:ascii="Times New Roman" w:hAnsi="Times New Roman"/>
          <w:color w:val="202020"/>
          <w:sz w:val="24"/>
          <w:szCs w:val="24"/>
          <w:shd w:val="clear" w:color="auto" w:fill="FFFFFF"/>
        </w:rPr>
        <w:t xml:space="preserve"> </w:t>
      </w:r>
      <w:r w:rsidR="00195DBC">
        <w:rPr>
          <w:rFonts w:ascii="Times New Roman" w:hAnsi="Times New Roman"/>
          <w:color w:val="202020"/>
          <w:sz w:val="24"/>
          <w:szCs w:val="24"/>
          <w:shd w:val="clear" w:color="auto" w:fill="FFFFFF"/>
        </w:rPr>
        <w:t xml:space="preserve">to </w:t>
      </w:r>
      <w:r w:rsidRPr="00195DBC" w:rsidR="00195DBC">
        <w:rPr>
          <w:rFonts w:ascii="Times New Roman" w:hAnsi="Times New Roman"/>
          <w:color w:val="202020"/>
          <w:sz w:val="24"/>
          <w:szCs w:val="24"/>
          <w:shd w:val="clear" w:color="auto" w:fill="FFFFFF"/>
        </w:rPr>
        <w:t>establish</w:t>
      </w:r>
      <w:r w:rsidR="00195DBC">
        <w:rPr>
          <w:rFonts w:ascii="Times New Roman" w:hAnsi="Times New Roman"/>
          <w:color w:val="202020"/>
          <w:sz w:val="24"/>
          <w:szCs w:val="24"/>
          <w:shd w:val="clear" w:color="auto" w:fill="FFFFFF"/>
        </w:rPr>
        <w:t xml:space="preserve"> </w:t>
      </w:r>
      <w:r w:rsidRPr="00195DBC" w:rsidR="00195DBC">
        <w:rPr>
          <w:rFonts w:ascii="Times New Roman" w:hAnsi="Times New Roman"/>
          <w:color w:val="202020"/>
          <w:sz w:val="24"/>
          <w:szCs w:val="24"/>
          <w:shd w:val="clear" w:color="auto" w:fill="FFFFFF"/>
        </w:rPr>
        <w:t>and</w:t>
      </w:r>
      <w:r w:rsidR="001665BA">
        <w:rPr>
          <w:rFonts w:ascii="Times New Roman" w:hAnsi="Times New Roman"/>
          <w:color w:val="202020"/>
          <w:sz w:val="24"/>
          <w:szCs w:val="24"/>
          <w:shd w:val="clear" w:color="auto" w:fill="FFFFFF"/>
        </w:rPr>
        <w:t xml:space="preserve"> </w:t>
      </w:r>
      <w:r w:rsidRPr="00195DBC" w:rsidR="00195DBC">
        <w:rPr>
          <w:rFonts w:ascii="Times New Roman" w:hAnsi="Times New Roman"/>
          <w:color w:val="202020"/>
          <w:sz w:val="24"/>
          <w:szCs w:val="24"/>
          <w:shd w:val="clear" w:color="auto" w:fill="FFFFFF"/>
        </w:rPr>
        <w:t>maintain in the Federal Parent Locator Service</w:t>
      </w:r>
      <w:r w:rsidR="00F94E36">
        <w:rPr>
          <w:rFonts w:ascii="Times New Roman" w:hAnsi="Times New Roman"/>
          <w:color w:val="202020"/>
          <w:sz w:val="24"/>
          <w:szCs w:val="24"/>
          <w:shd w:val="clear" w:color="auto" w:fill="FFFFFF"/>
        </w:rPr>
        <w:t xml:space="preserve"> (FPLS)</w:t>
      </w:r>
      <w:r w:rsidR="00195DBC">
        <w:rPr>
          <w:rFonts w:ascii="Times New Roman" w:hAnsi="Times New Roman"/>
          <w:color w:val="202020"/>
          <w:sz w:val="24"/>
          <w:szCs w:val="24"/>
          <w:shd w:val="clear" w:color="auto" w:fill="FFFFFF"/>
        </w:rPr>
        <w:t xml:space="preserve"> the </w:t>
      </w:r>
      <w:r w:rsidRPr="00195DBC" w:rsidR="00195DBC">
        <w:rPr>
          <w:rFonts w:ascii="Times New Roman" w:hAnsi="Times New Roman"/>
          <w:color w:val="202020"/>
          <w:sz w:val="24"/>
          <w:szCs w:val="24"/>
          <w:shd w:val="clear" w:color="auto" w:fill="FFFFFF"/>
        </w:rPr>
        <w:t>Federal Case Registry of Child Support Orders</w:t>
      </w:r>
      <w:r w:rsidR="00195DBC">
        <w:rPr>
          <w:rFonts w:ascii="Times New Roman" w:hAnsi="Times New Roman"/>
          <w:color w:val="202020"/>
          <w:sz w:val="24"/>
          <w:szCs w:val="24"/>
          <w:shd w:val="clear" w:color="auto" w:fill="FFFFFF"/>
        </w:rPr>
        <w:t xml:space="preserve"> (“Federal Case Registry</w:t>
      </w:r>
      <w:r w:rsidR="00882588">
        <w:rPr>
          <w:rFonts w:ascii="Times New Roman" w:hAnsi="Times New Roman"/>
          <w:color w:val="202020"/>
          <w:sz w:val="24"/>
          <w:szCs w:val="24"/>
          <w:shd w:val="clear" w:color="auto" w:fill="FFFFFF"/>
        </w:rPr>
        <w:t xml:space="preserve"> or FCR</w:t>
      </w:r>
      <w:r w:rsidR="00195DBC">
        <w:rPr>
          <w:rFonts w:ascii="Times New Roman" w:hAnsi="Times New Roman"/>
          <w:color w:val="202020"/>
          <w:sz w:val="24"/>
          <w:szCs w:val="24"/>
          <w:shd w:val="clear" w:color="auto" w:fill="FFFFFF"/>
        </w:rPr>
        <w:t>”)</w:t>
      </w:r>
      <w:r w:rsidR="0009703C">
        <w:rPr>
          <w:rFonts w:ascii="Times New Roman" w:hAnsi="Times New Roman"/>
          <w:color w:val="202020"/>
          <w:sz w:val="24"/>
          <w:szCs w:val="24"/>
          <w:shd w:val="clear" w:color="auto" w:fill="FFFFFF"/>
        </w:rPr>
        <w:t xml:space="preserve">. The FCR is </w:t>
      </w:r>
      <w:r w:rsidR="001F1C38">
        <w:rPr>
          <w:rFonts w:ascii="Times New Roman" w:hAnsi="Times New Roman"/>
          <w:color w:val="202020"/>
          <w:sz w:val="24"/>
          <w:szCs w:val="24"/>
          <w:shd w:val="clear" w:color="auto" w:fill="FFFFFF"/>
        </w:rPr>
        <w:t xml:space="preserve">a </w:t>
      </w:r>
      <w:r w:rsidR="00D3052B">
        <w:rPr>
          <w:rFonts w:ascii="Times New Roman" w:hAnsi="Times New Roman"/>
          <w:color w:val="202020"/>
          <w:sz w:val="24"/>
          <w:szCs w:val="24"/>
          <w:shd w:val="clear" w:color="auto" w:fill="FFFFFF"/>
        </w:rPr>
        <w:t xml:space="preserve">national </w:t>
      </w:r>
      <w:r w:rsidR="001F1C38">
        <w:rPr>
          <w:rFonts w:ascii="Times New Roman" w:hAnsi="Times New Roman"/>
          <w:color w:val="202020"/>
          <w:sz w:val="24"/>
          <w:szCs w:val="24"/>
          <w:shd w:val="clear" w:color="auto" w:fill="FFFFFF"/>
        </w:rPr>
        <w:t xml:space="preserve">database </w:t>
      </w:r>
      <w:r w:rsidR="0009703C">
        <w:rPr>
          <w:rFonts w:ascii="Times New Roman" w:hAnsi="Times New Roman"/>
          <w:color w:val="202020"/>
          <w:sz w:val="24"/>
          <w:szCs w:val="24"/>
          <w:shd w:val="clear" w:color="auto" w:fill="FFFFFF"/>
        </w:rPr>
        <w:t xml:space="preserve">of </w:t>
      </w:r>
      <w:r w:rsidR="00DA1CB1">
        <w:rPr>
          <w:rFonts w:ascii="Times New Roman" w:hAnsi="Times New Roman"/>
          <w:color w:val="202020"/>
          <w:sz w:val="24"/>
          <w:szCs w:val="24"/>
          <w:shd w:val="clear" w:color="auto" w:fill="FFFFFF"/>
        </w:rPr>
        <w:t>state</w:t>
      </w:r>
      <w:r w:rsidR="00AE6AB2">
        <w:rPr>
          <w:rFonts w:ascii="Times New Roman" w:hAnsi="Times New Roman"/>
          <w:color w:val="202020"/>
          <w:sz w:val="24"/>
          <w:szCs w:val="24"/>
          <w:shd w:val="clear" w:color="auto" w:fill="FFFFFF"/>
        </w:rPr>
        <w:t>-p</w:t>
      </w:r>
      <w:r w:rsidR="00DA1CB1">
        <w:rPr>
          <w:rFonts w:ascii="Times New Roman" w:hAnsi="Times New Roman"/>
          <w:color w:val="202020"/>
          <w:sz w:val="24"/>
          <w:szCs w:val="24"/>
          <w:shd w:val="clear" w:color="auto" w:fill="FFFFFF"/>
        </w:rPr>
        <w:t xml:space="preserve">rovided abstracts </w:t>
      </w:r>
      <w:r w:rsidR="001F1C38">
        <w:rPr>
          <w:rFonts w:ascii="Times New Roman" w:hAnsi="Times New Roman"/>
          <w:color w:val="202020"/>
          <w:sz w:val="24"/>
          <w:szCs w:val="24"/>
          <w:shd w:val="clear" w:color="auto" w:fill="FFFFFF"/>
        </w:rPr>
        <w:t xml:space="preserve">of </w:t>
      </w:r>
      <w:r w:rsidR="006D7B9A">
        <w:rPr>
          <w:rFonts w:ascii="Times New Roman" w:hAnsi="Times New Roman"/>
          <w:color w:val="202020"/>
          <w:sz w:val="24"/>
          <w:szCs w:val="24"/>
          <w:shd w:val="clear" w:color="auto" w:fill="FFFFFF"/>
        </w:rPr>
        <w:t>IV</w:t>
      </w:r>
      <w:r w:rsidR="0009703C">
        <w:rPr>
          <w:rFonts w:ascii="Times New Roman" w:hAnsi="Times New Roman"/>
          <w:color w:val="202020"/>
          <w:sz w:val="24"/>
          <w:szCs w:val="24"/>
          <w:shd w:val="clear" w:color="auto" w:fill="FFFFFF"/>
        </w:rPr>
        <w:t>-</w:t>
      </w:r>
      <w:r w:rsidR="006D7B9A">
        <w:rPr>
          <w:rFonts w:ascii="Times New Roman" w:hAnsi="Times New Roman"/>
          <w:color w:val="202020"/>
          <w:sz w:val="24"/>
          <w:szCs w:val="24"/>
          <w:shd w:val="clear" w:color="auto" w:fill="FFFFFF"/>
        </w:rPr>
        <w:t xml:space="preserve">D </w:t>
      </w:r>
      <w:r w:rsidR="001F1C38">
        <w:rPr>
          <w:rFonts w:ascii="Times New Roman" w:hAnsi="Times New Roman"/>
          <w:color w:val="202020"/>
          <w:sz w:val="24"/>
          <w:szCs w:val="24"/>
          <w:shd w:val="clear" w:color="auto" w:fill="FFFFFF"/>
        </w:rPr>
        <w:t>child support case</w:t>
      </w:r>
      <w:r w:rsidR="006D7B9A">
        <w:rPr>
          <w:rFonts w:ascii="Times New Roman" w:hAnsi="Times New Roman"/>
          <w:color w:val="202020"/>
          <w:sz w:val="24"/>
          <w:szCs w:val="24"/>
          <w:shd w:val="clear" w:color="auto" w:fill="FFFFFF"/>
        </w:rPr>
        <w:t>s and non-IV</w:t>
      </w:r>
      <w:r w:rsidR="0009703C">
        <w:rPr>
          <w:rFonts w:ascii="Times New Roman" w:hAnsi="Times New Roman"/>
          <w:color w:val="202020"/>
          <w:sz w:val="24"/>
          <w:szCs w:val="24"/>
          <w:shd w:val="clear" w:color="auto" w:fill="FFFFFF"/>
        </w:rPr>
        <w:t>-</w:t>
      </w:r>
      <w:r w:rsidR="006D7B9A">
        <w:rPr>
          <w:rFonts w:ascii="Times New Roman" w:hAnsi="Times New Roman"/>
          <w:color w:val="202020"/>
          <w:sz w:val="24"/>
          <w:szCs w:val="24"/>
          <w:shd w:val="clear" w:color="auto" w:fill="FFFFFF"/>
        </w:rPr>
        <w:t xml:space="preserve">D cases, including orders that are entered or modified after October 1, 1998. </w:t>
      </w:r>
      <w:r w:rsidR="00195DBC">
        <w:rPr>
          <w:rFonts w:ascii="Times New Roman" w:hAnsi="Times New Roman"/>
          <w:color w:val="202020"/>
          <w:sz w:val="24"/>
          <w:szCs w:val="24"/>
          <w:lang w:val="en"/>
        </w:rPr>
        <w:t xml:space="preserve">The PRWORA also amended the Act to require </w:t>
      </w:r>
      <w:r w:rsidRPr="00270676">
        <w:rPr>
          <w:rFonts w:ascii="Times New Roman" w:hAnsi="Times New Roman"/>
          <w:color w:val="202020"/>
          <w:sz w:val="24"/>
          <w:szCs w:val="24"/>
          <w:lang w:val="en"/>
        </w:rPr>
        <w:t xml:space="preserve">each state to </w:t>
      </w:r>
      <w:r w:rsidR="006927A1">
        <w:rPr>
          <w:rFonts w:ascii="Times New Roman" w:hAnsi="Times New Roman"/>
          <w:color w:val="202020"/>
          <w:sz w:val="24"/>
          <w:szCs w:val="24"/>
          <w:lang w:val="en"/>
        </w:rPr>
        <w:t xml:space="preserve">have </w:t>
      </w:r>
      <w:r w:rsidR="00195DBC">
        <w:rPr>
          <w:rFonts w:ascii="Times New Roman" w:hAnsi="Times New Roman"/>
          <w:color w:val="202020"/>
          <w:sz w:val="24"/>
          <w:szCs w:val="24"/>
          <w:lang w:val="en"/>
        </w:rPr>
        <w:t>a</w:t>
      </w:r>
      <w:r w:rsidRPr="00270676">
        <w:rPr>
          <w:rFonts w:ascii="Times New Roman" w:hAnsi="Times New Roman"/>
          <w:color w:val="202020"/>
          <w:sz w:val="24"/>
          <w:szCs w:val="24"/>
          <w:lang w:val="en"/>
        </w:rPr>
        <w:t xml:space="preserve"> </w:t>
      </w:r>
      <w:r w:rsidR="00421426">
        <w:rPr>
          <w:rFonts w:ascii="Times New Roman" w:hAnsi="Times New Roman"/>
          <w:color w:val="202020"/>
          <w:sz w:val="24"/>
          <w:szCs w:val="24"/>
          <w:lang w:val="en"/>
        </w:rPr>
        <w:t>“S</w:t>
      </w:r>
      <w:r w:rsidRPr="00270676">
        <w:rPr>
          <w:rFonts w:ascii="Times New Roman" w:hAnsi="Times New Roman"/>
          <w:color w:val="202020"/>
          <w:sz w:val="24"/>
          <w:szCs w:val="24"/>
          <w:lang w:val="en"/>
        </w:rPr>
        <w:t xml:space="preserve">tate </w:t>
      </w:r>
      <w:r w:rsidR="00421426">
        <w:rPr>
          <w:rFonts w:ascii="Times New Roman" w:hAnsi="Times New Roman"/>
          <w:color w:val="202020"/>
          <w:sz w:val="24"/>
          <w:szCs w:val="24"/>
          <w:lang w:val="en"/>
        </w:rPr>
        <w:t>C</w:t>
      </w:r>
      <w:r w:rsidRPr="00270676">
        <w:rPr>
          <w:rFonts w:ascii="Times New Roman" w:hAnsi="Times New Roman"/>
          <w:color w:val="202020"/>
          <w:sz w:val="24"/>
          <w:szCs w:val="24"/>
          <w:lang w:val="en"/>
        </w:rPr>
        <w:t xml:space="preserve">ase </w:t>
      </w:r>
      <w:r w:rsidR="00421426">
        <w:rPr>
          <w:rFonts w:ascii="Times New Roman" w:hAnsi="Times New Roman"/>
          <w:color w:val="202020"/>
          <w:sz w:val="24"/>
          <w:szCs w:val="24"/>
          <w:lang w:val="en"/>
        </w:rPr>
        <w:t>R</w:t>
      </w:r>
      <w:r w:rsidRPr="00270676">
        <w:rPr>
          <w:rFonts w:ascii="Times New Roman" w:hAnsi="Times New Roman"/>
          <w:color w:val="202020"/>
          <w:sz w:val="24"/>
          <w:szCs w:val="24"/>
          <w:lang w:val="en"/>
        </w:rPr>
        <w:t>egistry</w:t>
      </w:r>
      <w:r w:rsidR="00421426">
        <w:rPr>
          <w:rFonts w:ascii="Times New Roman" w:hAnsi="Times New Roman"/>
          <w:color w:val="202020"/>
          <w:sz w:val="24"/>
          <w:szCs w:val="24"/>
          <w:lang w:val="en"/>
        </w:rPr>
        <w:t>”</w:t>
      </w:r>
      <w:r w:rsidRPr="00270676">
        <w:rPr>
          <w:rFonts w:ascii="Times New Roman" w:hAnsi="Times New Roman"/>
          <w:color w:val="202020"/>
          <w:sz w:val="24"/>
          <w:szCs w:val="24"/>
          <w:lang w:val="en"/>
        </w:rPr>
        <w:t xml:space="preserve"> (SCR)</w:t>
      </w:r>
      <w:r w:rsidR="006D7B9A">
        <w:rPr>
          <w:rFonts w:ascii="Times New Roman" w:hAnsi="Times New Roman"/>
          <w:color w:val="202020"/>
          <w:sz w:val="24"/>
          <w:szCs w:val="24"/>
          <w:lang w:val="en"/>
        </w:rPr>
        <w:t xml:space="preserve"> that includes information on individuals involved in child support cases. </w:t>
      </w:r>
      <w:r w:rsidR="0009703C">
        <w:rPr>
          <w:rFonts w:ascii="Times New Roman" w:hAnsi="Times New Roman"/>
          <w:color w:val="202020"/>
          <w:sz w:val="24"/>
          <w:szCs w:val="24"/>
          <w:lang w:val="en"/>
        </w:rPr>
        <w:t xml:space="preserve">IV-D cases are those in which the state is currently providing child support services as directed by the </w:t>
      </w:r>
      <w:r w:rsidR="00AE6AB2">
        <w:rPr>
          <w:rFonts w:ascii="Times New Roman" w:hAnsi="Times New Roman"/>
          <w:color w:val="202020"/>
          <w:sz w:val="24"/>
          <w:szCs w:val="24"/>
          <w:lang w:val="en"/>
        </w:rPr>
        <w:t xml:space="preserve">state’s </w:t>
      </w:r>
      <w:r w:rsidR="0009703C">
        <w:rPr>
          <w:rFonts w:ascii="Times New Roman" w:hAnsi="Times New Roman"/>
          <w:color w:val="202020"/>
          <w:sz w:val="24"/>
          <w:szCs w:val="24"/>
          <w:lang w:val="en"/>
        </w:rPr>
        <w:t>IV-D program</w:t>
      </w:r>
      <w:r w:rsidR="00BB3550">
        <w:rPr>
          <w:rFonts w:ascii="Times New Roman" w:hAnsi="Times New Roman"/>
          <w:color w:val="202020"/>
          <w:sz w:val="24"/>
          <w:szCs w:val="24"/>
          <w:lang w:val="en"/>
        </w:rPr>
        <w:t xml:space="preserve">. A non-IV-D case is one in which the </w:t>
      </w:r>
      <w:r w:rsidR="00AE6AB2">
        <w:rPr>
          <w:rFonts w:ascii="Times New Roman" w:hAnsi="Times New Roman"/>
          <w:color w:val="202020"/>
          <w:sz w:val="24"/>
          <w:szCs w:val="24"/>
          <w:lang w:val="en"/>
        </w:rPr>
        <w:t xml:space="preserve">state </w:t>
      </w:r>
      <w:r w:rsidR="00BB3550">
        <w:rPr>
          <w:rFonts w:ascii="Times New Roman" w:hAnsi="Times New Roman"/>
          <w:color w:val="202020"/>
          <w:sz w:val="24"/>
          <w:szCs w:val="24"/>
          <w:lang w:val="en"/>
        </w:rPr>
        <w:t xml:space="preserve">has no current application for services or is not receiving services from any other state program. </w:t>
      </w:r>
    </w:p>
    <w:p w:rsidR="00421426" w:rsidP="00195DBC" w:rsidRDefault="00421426">
      <w:pPr>
        <w:suppressAutoHyphens/>
        <w:ind w:left="360"/>
        <w:rPr>
          <w:rFonts w:ascii="Times New Roman" w:hAnsi="Times New Roman"/>
          <w:color w:val="202020"/>
          <w:sz w:val="24"/>
          <w:szCs w:val="24"/>
          <w:lang w:val="en"/>
        </w:rPr>
      </w:pPr>
    </w:p>
    <w:p w:rsidR="00F94E36" w:rsidP="002E1723" w:rsidRDefault="00E64E1C">
      <w:pPr>
        <w:suppressAutoHyphens/>
        <w:ind w:left="360"/>
        <w:rPr>
          <w:rFonts w:ascii="Times New Roman" w:hAnsi="Times New Roman"/>
          <w:color w:val="202020"/>
          <w:sz w:val="24"/>
          <w:szCs w:val="24"/>
          <w:lang w:val="en"/>
        </w:rPr>
      </w:pPr>
      <w:r>
        <w:rPr>
          <w:rFonts w:ascii="Times New Roman" w:hAnsi="Times New Roman"/>
          <w:color w:val="202020"/>
          <w:sz w:val="24"/>
          <w:szCs w:val="24"/>
          <w:lang w:val="en"/>
        </w:rPr>
        <w:t xml:space="preserve">Each state is required </w:t>
      </w:r>
      <w:r w:rsidR="001F1C38">
        <w:rPr>
          <w:rFonts w:ascii="Times New Roman" w:hAnsi="Times New Roman"/>
          <w:color w:val="202020"/>
          <w:sz w:val="24"/>
          <w:szCs w:val="24"/>
          <w:lang w:val="en"/>
        </w:rPr>
        <w:t>to</w:t>
      </w:r>
      <w:r w:rsidR="0009703C">
        <w:rPr>
          <w:rFonts w:ascii="Times New Roman" w:hAnsi="Times New Roman"/>
          <w:color w:val="202020"/>
          <w:sz w:val="24"/>
          <w:szCs w:val="24"/>
          <w:lang w:val="en"/>
        </w:rPr>
        <w:t xml:space="preserve"> transmit</w:t>
      </w:r>
      <w:r w:rsidR="001F1C38">
        <w:rPr>
          <w:rFonts w:ascii="Times New Roman" w:hAnsi="Times New Roman"/>
          <w:color w:val="202020"/>
          <w:sz w:val="24"/>
          <w:szCs w:val="24"/>
          <w:lang w:val="en"/>
        </w:rPr>
        <w:t xml:space="preserve"> </w:t>
      </w:r>
      <w:r w:rsidR="003541C7">
        <w:rPr>
          <w:rFonts w:ascii="Times New Roman" w:hAnsi="Times New Roman"/>
          <w:color w:val="202020"/>
          <w:sz w:val="24"/>
          <w:szCs w:val="24"/>
          <w:lang w:val="en"/>
        </w:rPr>
        <w:t>SCR information to t</w:t>
      </w:r>
      <w:r>
        <w:rPr>
          <w:rFonts w:ascii="Times New Roman" w:hAnsi="Times New Roman"/>
          <w:color w:val="202020"/>
          <w:sz w:val="24"/>
          <w:szCs w:val="24"/>
          <w:lang w:val="en"/>
        </w:rPr>
        <w:t>he FCR</w:t>
      </w:r>
      <w:r w:rsidR="001F1C38">
        <w:rPr>
          <w:rFonts w:ascii="Times New Roman" w:hAnsi="Times New Roman"/>
          <w:color w:val="202020"/>
          <w:sz w:val="24"/>
          <w:szCs w:val="24"/>
          <w:lang w:val="en"/>
        </w:rPr>
        <w:t xml:space="preserve">, which serves as an electronic </w:t>
      </w:r>
      <w:r w:rsidR="002E1723">
        <w:rPr>
          <w:rFonts w:ascii="Times New Roman" w:hAnsi="Times New Roman"/>
          <w:color w:val="202020"/>
          <w:sz w:val="24"/>
          <w:szCs w:val="24"/>
          <w:lang w:val="en"/>
        </w:rPr>
        <w:t xml:space="preserve">information exchange </w:t>
      </w:r>
      <w:r w:rsidR="001F1C38">
        <w:rPr>
          <w:rFonts w:ascii="Times New Roman" w:hAnsi="Times New Roman"/>
          <w:color w:val="202020"/>
          <w:sz w:val="24"/>
          <w:szCs w:val="24"/>
          <w:lang w:val="en"/>
        </w:rPr>
        <w:t xml:space="preserve">system </w:t>
      </w:r>
      <w:r w:rsidR="002E1723">
        <w:rPr>
          <w:rFonts w:ascii="Times New Roman" w:hAnsi="Times New Roman"/>
          <w:color w:val="202020"/>
          <w:sz w:val="24"/>
          <w:szCs w:val="24"/>
          <w:lang w:val="en"/>
        </w:rPr>
        <w:t xml:space="preserve">within the FPLS. </w:t>
      </w:r>
      <w:r w:rsidR="00DA1CB1">
        <w:rPr>
          <w:rFonts w:ascii="Times New Roman" w:hAnsi="Times New Roman"/>
          <w:color w:val="202020"/>
          <w:sz w:val="24"/>
          <w:szCs w:val="24"/>
          <w:lang w:val="en"/>
        </w:rPr>
        <w:t>The FCR contains key</w:t>
      </w:r>
      <w:r w:rsidR="00BB3550">
        <w:rPr>
          <w:rFonts w:ascii="Times New Roman" w:hAnsi="Times New Roman"/>
          <w:color w:val="202020"/>
          <w:sz w:val="24"/>
          <w:szCs w:val="24"/>
          <w:lang w:val="en"/>
        </w:rPr>
        <w:t xml:space="preserve"> </w:t>
      </w:r>
      <w:r w:rsidR="00DA1CB1">
        <w:rPr>
          <w:rFonts w:ascii="Times New Roman" w:hAnsi="Times New Roman"/>
          <w:color w:val="202020"/>
          <w:sz w:val="24"/>
          <w:szCs w:val="24"/>
          <w:lang w:val="en"/>
        </w:rPr>
        <w:t>information</w:t>
      </w:r>
      <w:r w:rsidR="00BB3550">
        <w:rPr>
          <w:rFonts w:ascii="Times New Roman" w:hAnsi="Times New Roman"/>
          <w:color w:val="202020"/>
          <w:sz w:val="24"/>
          <w:szCs w:val="24"/>
          <w:lang w:val="en"/>
        </w:rPr>
        <w:t xml:space="preserve"> including </w:t>
      </w:r>
      <w:r w:rsidR="006927A1">
        <w:rPr>
          <w:rFonts w:ascii="Times New Roman" w:hAnsi="Times New Roman"/>
          <w:color w:val="202020"/>
          <w:sz w:val="24"/>
          <w:szCs w:val="24"/>
          <w:lang w:val="en"/>
        </w:rPr>
        <w:t xml:space="preserve">an </w:t>
      </w:r>
      <w:r w:rsidR="009345A4">
        <w:rPr>
          <w:rFonts w:ascii="Times New Roman" w:hAnsi="Times New Roman"/>
          <w:color w:val="202020"/>
          <w:sz w:val="24"/>
          <w:szCs w:val="24"/>
          <w:lang w:val="en"/>
        </w:rPr>
        <w:t>order</w:t>
      </w:r>
      <w:r w:rsidR="006927A1">
        <w:rPr>
          <w:rFonts w:ascii="Times New Roman" w:hAnsi="Times New Roman"/>
          <w:color w:val="202020"/>
          <w:sz w:val="24"/>
          <w:szCs w:val="24"/>
          <w:lang w:val="en"/>
        </w:rPr>
        <w:t xml:space="preserve"> indicator</w:t>
      </w:r>
      <w:r w:rsidR="00C40F7D">
        <w:rPr>
          <w:rFonts w:ascii="Times New Roman" w:hAnsi="Times New Roman"/>
          <w:color w:val="202020"/>
          <w:sz w:val="24"/>
          <w:szCs w:val="24"/>
          <w:lang w:val="en"/>
        </w:rPr>
        <w:t xml:space="preserve"> </w:t>
      </w:r>
      <w:r w:rsidR="00BB3550">
        <w:rPr>
          <w:rFonts w:ascii="Times New Roman" w:hAnsi="Times New Roman"/>
          <w:color w:val="202020"/>
          <w:sz w:val="24"/>
          <w:szCs w:val="24"/>
          <w:lang w:val="en"/>
        </w:rPr>
        <w:t>and case</w:t>
      </w:r>
      <w:r w:rsidRPr="00270676" w:rsidR="004B19EA">
        <w:rPr>
          <w:rFonts w:ascii="Times New Roman" w:hAnsi="Times New Roman"/>
          <w:color w:val="202020"/>
          <w:sz w:val="24"/>
          <w:szCs w:val="24"/>
          <w:lang w:val="en"/>
        </w:rPr>
        <w:t xml:space="preserve"> and participant data received from each of the SCRs</w:t>
      </w:r>
      <w:r w:rsidR="00C17CA9">
        <w:rPr>
          <w:rFonts w:ascii="Times New Roman" w:hAnsi="Times New Roman"/>
          <w:color w:val="202020"/>
          <w:sz w:val="24"/>
          <w:szCs w:val="24"/>
          <w:lang w:val="en"/>
        </w:rPr>
        <w:t xml:space="preserve">. </w:t>
      </w:r>
      <w:r w:rsidR="002E1723">
        <w:rPr>
          <w:rFonts w:ascii="Times New Roman" w:hAnsi="Times New Roman"/>
          <w:color w:val="202020"/>
          <w:sz w:val="24"/>
          <w:szCs w:val="24"/>
          <w:lang w:val="en"/>
        </w:rPr>
        <w:t xml:space="preserve">Using the FCR allows </w:t>
      </w:r>
      <w:r w:rsidR="00290978">
        <w:rPr>
          <w:rFonts w:ascii="Times New Roman" w:hAnsi="Times New Roman"/>
          <w:color w:val="202020"/>
          <w:sz w:val="24"/>
          <w:szCs w:val="24"/>
          <w:lang w:val="en"/>
        </w:rPr>
        <w:t xml:space="preserve">authorized </w:t>
      </w:r>
      <w:r w:rsidR="002E1723">
        <w:rPr>
          <w:rFonts w:ascii="Times New Roman" w:hAnsi="Times New Roman"/>
          <w:color w:val="202020"/>
          <w:sz w:val="24"/>
          <w:szCs w:val="24"/>
          <w:lang w:val="en"/>
        </w:rPr>
        <w:t>state agencies</w:t>
      </w:r>
      <w:r w:rsidR="004B19EA">
        <w:rPr>
          <w:rFonts w:ascii="Times New Roman" w:hAnsi="Times New Roman"/>
          <w:color w:val="202020"/>
          <w:sz w:val="24"/>
          <w:szCs w:val="24"/>
          <w:lang w:val="en"/>
        </w:rPr>
        <w:t xml:space="preserve"> </w:t>
      </w:r>
      <w:r w:rsidR="002E1723">
        <w:rPr>
          <w:rFonts w:ascii="Times New Roman" w:hAnsi="Times New Roman"/>
          <w:sz w:val="24"/>
          <w:szCs w:val="24"/>
        </w:rPr>
        <w:t xml:space="preserve">to </w:t>
      </w:r>
      <w:r w:rsidR="00BB3550">
        <w:rPr>
          <w:rFonts w:ascii="Times New Roman" w:hAnsi="Times New Roman"/>
          <w:sz w:val="24"/>
          <w:szCs w:val="24"/>
        </w:rPr>
        <w:t xml:space="preserve">determine </w:t>
      </w:r>
      <w:r w:rsidR="00D3052B">
        <w:rPr>
          <w:rFonts w:ascii="Times New Roman" w:hAnsi="Times New Roman"/>
          <w:sz w:val="24"/>
          <w:szCs w:val="24"/>
        </w:rPr>
        <w:t xml:space="preserve">whether </w:t>
      </w:r>
      <w:r w:rsidR="002E1723">
        <w:rPr>
          <w:rFonts w:ascii="Times New Roman" w:hAnsi="Times New Roman"/>
          <w:sz w:val="24"/>
          <w:szCs w:val="24"/>
        </w:rPr>
        <w:t>any s</w:t>
      </w:r>
      <w:r w:rsidRPr="00F8556F" w:rsidR="002E1723">
        <w:rPr>
          <w:rFonts w:ascii="Times New Roman" w:hAnsi="Times New Roman"/>
          <w:sz w:val="24"/>
          <w:szCs w:val="24"/>
        </w:rPr>
        <w:t xml:space="preserve">tate has an interest in the same </w:t>
      </w:r>
      <w:r w:rsidR="002E1723">
        <w:rPr>
          <w:rFonts w:ascii="Times New Roman" w:hAnsi="Times New Roman"/>
          <w:sz w:val="24"/>
          <w:szCs w:val="24"/>
        </w:rPr>
        <w:t>individuals</w:t>
      </w:r>
      <w:r w:rsidR="00C40F7D">
        <w:rPr>
          <w:rFonts w:ascii="Times New Roman" w:hAnsi="Times New Roman"/>
          <w:sz w:val="24"/>
          <w:szCs w:val="24"/>
        </w:rPr>
        <w:t>,</w:t>
      </w:r>
      <w:r w:rsidR="00324628">
        <w:rPr>
          <w:rFonts w:ascii="Times New Roman" w:hAnsi="Times New Roman"/>
          <w:sz w:val="24"/>
          <w:szCs w:val="24"/>
        </w:rPr>
        <w:t xml:space="preserve"> </w:t>
      </w:r>
      <w:r w:rsidR="002E1723">
        <w:rPr>
          <w:rFonts w:ascii="Times New Roman" w:hAnsi="Times New Roman"/>
          <w:sz w:val="24"/>
          <w:szCs w:val="24"/>
        </w:rPr>
        <w:t xml:space="preserve">thereby enhancing the nation’s </w:t>
      </w:r>
      <w:r w:rsidRPr="00E83C63" w:rsidR="001F1C38">
        <w:rPr>
          <w:rFonts w:ascii="Times New Roman" w:hAnsi="Times New Roman"/>
          <w:sz w:val="24"/>
          <w:szCs w:val="24"/>
        </w:rPr>
        <w:t>child support</w:t>
      </w:r>
      <w:r w:rsidR="001F1C38">
        <w:rPr>
          <w:rFonts w:ascii="Times New Roman" w:hAnsi="Times New Roman"/>
          <w:sz w:val="24"/>
          <w:szCs w:val="24"/>
        </w:rPr>
        <w:t xml:space="preserve"> </w:t>
      </w:r>
      <w:r w:rsidRPr="00E83C63" w:rsidR="001F1C38">
        <w:rPr>
          <w:rFonts w:ascii="Times New Roman" w:hAnsi="Times New Roman"/>
          <w:sz w:val="24"/>
          <w:szCs w:val="24"/>
        </w:rPr>
        <w:t>enforcement efforts</w:t>
      </w:r>
      <w:r w:rsidR="009345A4">
        <w:rPr>
          <w:rFonts w:ascii="Times New Roman" w:hAnsi="Times New Roman"/>
          <w:sz w:val="24"/>
          <w:szCs w:val="24"/>
        </w:rPr>
        <w:t xml:space="preserve"> and avoiding duplication of efforts</w:t>
      </w:r>
      <w:r w:rsidRPr="00E83C63" w:rsidR="001F1C38">
        <w:rPr>
          <w:rFonts w:ascii="Times New Roman" w:hAnsi="Times New Roman"/>
          <w:sz w:val="24"/>
          <w:szCs w:val="24"/>
        </w:rPr>
        <w:t xml:space="preserve">. </w:t>
      </w:r>
    </w:p>
    <w:p w:rsidR="00F94E36" w:rsidP="00195DBC" w:rsidRDefault="00F94E36">
      <w:pPr>
        <w:suppressAutoHyphens/>
        <w:ind w:left="360"/>
        <w:rPr>
          <w:rFonts w:ascii="Times New Roman" w:hAnsi="Times New Roman"/>
          <w:color w:val="202020"/>
          <w:sz w:val="24"/>
          <w:szCs w:val="24"/>
          <w:lang w:val="en"/>
        </w:rPr>
      </w:pPr>
    </w:p>
    <w:p w:rsidRPr="00270676" w:rsidR="00C97ABC" w:rsidP="008247CF" w:rsidRDefault="00C97ABC">
      <w:pPr>
        <w:ind w:firstLine="360"/>
        <w:rPr>
          <w:rFonts w:ascii="Times New Roman" w:hAnsi="Times New Roman"/>
          <w:sz w:val="24"/>
          <w:szCs w:val="24"/>
        </w:rPr>
      </w:pPr>
      <w:r w:rsidRPr="00270676">
        <w:rPr>
          <w:rFonts w:ascii="Times New Roman" w:hAnsi="Times New Roman"/>
          <w:sz w:val="24"/>
          <w:szCs w:val="24"/>
        </w:rPr>
        <w:t xml:space="preserve">The </w:t>
      </w:r>
      <w:r w:rsidR="00AB01F6">
        <w:rPr>
          <w:rFonts w:ascii="Times New Roman" w:hAnsi="Times New Roman"/>
          <w:sz w:val="24"/>
          <w:szCs w:val="24"/>
        </w:rPr>
        <w:t>authorit</w:t>
      </w:r>
      <w:r w:rsidR="009D1233">
        <w:rPr>
          <w:rFonts w:ascii="Times New Roman" w:hAnsi="Times New Roman"/>
          <w:sz w:val="24"/>
          <w:szCs w:val="24"/>
        </w:rPr>
        <w:t>ies</w:t>
      </w:r>
      <w:r w:rsidR="00AB01F6">
        <w:rPr>
          <w:rFonts w:ascii="Times New Roman" w:hAnsi="Times New Roman"/>
          <w:sz w:val="24"/>
          <w:szCs w:val="24"/>
        </w:rPr>
        <w:t xml:space="preserve"> for the FCR </w:t>
      </w:r>
      <w:r w:rsidRPr="00270676">
        <w:rPr>
          <w:rFonts w:ascii="Times New Roman" w:hAnsi="Times New Roman"/>
          <w:sz w:val="24"/>
          <w:szCs w:val="24"/>
        </w:rPr>
        <w:t xml:space="preserve">information collection activities </w:t>
      </w:r>
      <w:r w:rsidR="00AB01F6">
        <w:rPr>
          <w:rFonts w:ascii="Times New Roman" w:hAnsi="Times New Roman"/>
          <w:sz w:val="24"/>
          <w:szCs w:val="24"/>
        </w:rPr>
        <w:t>are:</w:t>
      </w:r>
    </w:p>
    <w:p w:rsidRPr="00270676" w:rsidR="00C97ABC" w:rsidP="00C97ABC" w:rsidRDefault="00C97ABC">
      <w:pPr>
        <w:ind w:firstLine="720"/>
        <w:rPr>
          <w:rFonts w:ascii="Times New Roman" w:hAnsi="Times New Roman"/>
          <w:sz w:val="24"/>
          <w:szCs w:val="24"/>
          <w:lang w:val="en"/>
        </w:rPr>
      </w:pPr>
    </w:p>
    <w:p w:rsidRPr="00B505DB" w:rsidR="00C97ABC" w:rsidP="00F27070" w:rsidRDefault="00C97ABC">
      <w:pPr>
        <w:numPr>
          <w:ilvl w:val="0"/>
          <w:numId w:val="13"/>
        </w:numPr>
        <w:snapToGrid/>
        <w:rPr>
          <w:rFonts w:ascii="Times New Roman" w:hAnsi="Times New Roman"/>
          <w:sz w:val="24"/>
          <w:szCs w:val="24"/>
          <w:lang w:val="en"/>
        </w:rPr>
      </w:pPr>
      <w:r w:rsidRPr="00B505DB">
        <w:rPr>
          <w:rFonts w:ascii="Times New Roman" w:hAnsi="Times New Roman"/>
          <w:sz w:val="24"/>
          <w:szCs w:val="24"/>
        </w:rPr>
        <w:t>42 U.S.C. §</w:t>
      </w:r>
      <w:r w:rsidRPr="00B505DB" w:rsidR="008247CF">
        <w:rPr>
          <w:rFonts w:ascii="Times New Roman" w:hAnsi="Times New Roman"/>
          <w:sz w:val="24"/>
          <w:szCs w:val="24"/>
        </w:rPr>
        <w:t xml:space="preserve"> </w:t>
      </w:r>
      <w:r w:rsidRPr="00B505DB">
        <w:rPr>
          <w:rFonts w:ascii="Times New Roman" w:hAnsi="Times New Roman"/>
          <w:sz w:val="24"/>
          <w:szCs w:val="24"/>
        </w:rPr>
        <w:t>653(h), requiring the establishment of the Federal Case Registry (FCR) within the Federal Parent Locator Service (FPLS)</w:t>
      </w:r>
      <w:r w:rsidR="006372E0">
        <w:rPr>
          <w:rFonts w:ascii="Times New Roman" w:hAnsi="Times New Roman"/>
          <w:sz w:val="24"/>
          <w:szCs w:val="24"/>
        </w:rPr>
        <w:t>;</w:t>
      </w:r>
      <w:r w:rsidRPr="00B505DB">
        <w:rPr>
          <w:rFonts w:ascii="Times New Roman" w:hAnsi="Times New Roman"/>
          <w:sz w:val="24"/>
          <w:szCs w:val="24"/>
        </w:rPr>
        <w:t xml:space="preserve">  </w:t>
      </w:r>
    </w:p>
    <w:p w:rsidRPr="00B505DB" w:rsidR="00C97ABC" w:rsidP="00C97ABC" w:rsidRDefault="00C97ABC">
      <w:pPr>
        <w:numPr>
          <w:ilvl w:val="0"/>
          <w:numId w:val="13"/>
        </w:numPr>
        <w:snapToGrid/>
        <w:rPr>
          <w:rFonts w:ascii="Times New Roman" w:hAnsi="Times New Roman"/>
          <w:sz w:val="24"/>
          <w:szCs w:val="24"/>
          <w:lang w:val="en"/>
        </w:rPr>
      </w:pPr>
      <w:r w:rsidRPr="00270676">
        <w:rPr>
          <w:rFonts w:ascii="Times New Roman" w:hAnsi="Times New Roman"/>
          <w:sz w:val="24"/>
          <w:szCs w:val="24"/>
          <w:lang w:val="en"/>
        </w:rPr>
        <w:t xml:space="preserve">42 U.S.C. </w:t>
      </w:r>
      <w:r w:rsidRPr="00270676">
        <w:rPr>
          <w:rFonts w:ascii="Times New Roman" w:hAnsi="Times New Roman"/>
          <w:sz w:val="24"/>
          <w:szCs w:val="24"/>
        </w:rPr>
        <w:t>§</w:t>
      </w:r>
      <w:r w:rsidRPr="00270676" w:rsidR="008247CF">
        <w:rPr>
          <w:rFonts w:ascii="Times New Roman" w:hAnsi="Times New Roman"/>
          <w:sz w:val="24"/>
          <w:szCs w:val="24"/>
        </w:rPr>
        <w:t xml:space="preserve"> </w:t>
      </w:r>
      <w:r w:rsidRPr="00270676">
        <w:rPr>
          <w:rFonts w:ascii="Times New Roman" w:hAnsi="Times New Roman"/>
          <w:sz w:val="24"/>
          <w:szCs w:val="24"/>
        </w:rPr>
        <w:t xml:space="preserve">654a(e), requiring </w:t>
      </w:r>
      <w:r w:rsidRPr="00270676" w:rsidR="008247CF">
        <w:rPr>
          <w:rFonts w:ascii="Times New Roman" w:hAnsi="Times New Roman"/>
          <w:sz w:val="24"/>
          <w:szCs w:val="24"/>
        </w:rPr>
        <w:t>s</w:t>
      </w:r>
      <w:r w:rsidRPr="00270676">
        <w:rPr>
          <w:rFonts w:ascii="Times New Roman" w:hAnsi="Times New Roman"/>
          <w:sz w:val="24"/>
          <w:szCs w:val="24"/>
        </w:rPr>
        <w:t>tate child support agencies to include a State Case Registry (SCR) in the state’s automated system</w:t>
      </w:r>
      <w:r w:rsidR="006372E0">
        <w:rPr>
          <w:rFonts w:ascii="Times New Roman" w:hAnsi="Times New Roman"/>
          <w:sz w:val="24"/>
          <w:szCs w:val="24"/>
        </w:rPr>
        <w:t>;</w:t>
      </w:r>
    </w:p>
    <w:p w:rsidRPr="00270676" w:rsidR="00C97ABC" w:rsidP="00C97ABC" w:rsidRDefault="00C97ABC">
      <w:pPr>
        <w:numPr>
          <w:ilvl w:val="0"/>
          <w:numId w:val="13"/>
        </w:numPr>
        <w:snapToGrid/>
        <w:rPr>
          <w:rFonts w:ascii="Times New Roman" w:hAnsi="Times New Roman"/>
          <w:sz w:val="24"/>
          <w:szCs w:val="24"/>
          <w:lang w:val="en"/>
        </w:rPr>
      </w:pPr>
      <w:r w:rsidRPr="00270676">
        <w:rPr>
          <w:rFonts w:ascii="Times New Roman" w:hAnsi="Times New Roman"/>
          <w:sz w:val="24"/>
          <w:szCs w:val="24"/>
          <w:lang w:val="en"/>
        </w:rPr>
        <w:t xml:space="preserve">42 U.S.C. </w:t>
      </w:r>
      <w:r w:rsidRPr="00270676">
        <w:rPr>
          <w:rFonts w:ascii="Times New Roman" w:hAnsi="Times New Roman"/>
          <w:sz w:val="24"/>
          <w:szCs w:val="24"/>
        </w:rPr>
        <w:t>§</w:t>
      </w:r>
      <w:r w:rsidRPr="00270676" w:rsidR="008247CF">
        <w:rPr>
          <w:rFonts w:ascii="Times New Roman" w:hAnsi="Times New Roman"/>
          <w:sz w:val="24"/>
          <w:szCs w:val="24"/>
        </w:rPr>
        <w:t xml:space="preserve"> </w:t>
      </w:r>
      <w:r w:rsidRPr="00270676">
        <w:rPr>
          <w:rFonts w:ascii="Times New Roman" w:hAnsi="Times New Roman"/>
          <w:sz w:val="24"/>
          <w:szCs w:val="24"/>
        </w:rPr>
        <w:t>654a(f)(1), requiring states to conduct information comparison activities between the SCR and the FCR</w:t>
      </w:r>
      <w:r w:rsidR="009E4313">
        <w:rPr>
          <w:rFonts w:ascii="Times New Roman" w:hAnsi="Times New Roman"/>
          <w:sz w:val="24"/>
          <w:szCs w:val="24"/>
        </w:rPr>
        <w:t>.</w:t>
      </w:r>
    </w:p>
    <w:p w:rsidR="00262162" w:rsidP="00262162" w:rsidRDefault="00262162">
      <w:pPr>
        <w:widowControl/>
        <w:tabs>
          <w:tab w:val="num" w:pos="360"/>
        </w:tabs>
        <w:ind w:left="360" w:hanging="360"/>
        <w:rPr>
          <w:rFonts w:ascii="Times New Roman" w:hAnsi="Times New Roman"/>
          <w:sz w:val="24"/>
          <w:szCs w:val="24"/>
        </w:rPr>
      </w:pPr>
    </w:p>
    <w:p w:rsidRPr="00270676" w:rsidR="00262162" w:rsidP="00262162" w:rsidRDefault="00262162">
      <w:pPr>
        <w:widowControl/>
        <w:numPr>
          <w:ilvl w:val="0"/>
          <w:numId w:val="1"/>
        </w:numPr>
        <w:tabs>
          <w:tab w:val="num" w:pos="0"/>
          <w:tab w:val="num" w:pos="360"/>
        </w:tabs>
        <w:ind w:left="360"/>
        <w:rPr>
          <w:rFonts w:ascii="Times New Roman" w:hAnsi="Times New Roman"/>
          <w:b/>
          <w:sz w:val="24"/>
          <w:szCs w:val="24"/>
        </w:rPr>
      </w:pPr>
      <w:r w:rsidRPr="00270676">
        <w:rPr>
          <w:rFonts w:ascii="Times New Roman" w:hAnsi="Times New Roman"/>
          <w:b/>
          <w:sz w:val="24"/>
          <w:szCs w:val="24"/>
        </w:rPr>
        <w:t xml:space="preserve">Purpose and Use of the Information Collection </w:t>
      </w:r>
    </w:p>
    <w:p w:rsidR="00262162" w:rsidP="00262162" w:rsidRDefault="00262162">
      <w:pPr>
        <w:widowControl/>
        <w:tabs>
          <w:tab w:val="num" w:pos="360"/>
        </w:tabs>
        <w:ind w:left="720" w:hanging="360"/>
        <w:rPr>
          <w:rFonts w:ascii="Times New Roman" w:hAnsi="Times New Roman"/>
          <w:sz w:val="24"/>
          <w:szCs w:val="24"/>
        </w:rPr>
      </w:pPr>
    </w:p>
    <w:p w:rsidRPr="00287D5D" w:rsidR="005D0FFA" w:rsidP="005D0FFA" w:rsidRDefault="0006203A">
      <w:pPr>
        <w:suppressAutoHyphens/>
        <w:ind w:left="360"/>
        <w:rPr>
          <w:rFonts w:ascii="Times New Roman" w:hAnsi="Times New Roman"/>
          <w:color w:val="202020"/>
          <w:sz w:val="24"/>
          <w:szCs w:val="24"/>
          <w:lang w:val="en"/>
        </w:rPr>
      </w:pPr>
      <w:r w:rsidRPr="00270676">
        <w:rPr>
          <w:rFonts w:ascii="Times New Roman" w:hAnsi="Times New Roman"/>
          <w:color w:val="202020"/>
          <w:sz w:val="24"/>
          <w:szCs w:val="24"/>
          <w:lang w:val="en"/>
        </w:rPr>
        <w:t xml:space="preserve">The purpose of the FCR is to assist states in administering </w:t>
      </w:r>
      <w:r w:rsidR="002E1723">
        <w:rPr>
          <w:rFonts w:ascii="Times New Roman" w:hAnsi="Times New Roman"/>
          <w:color w:val="202020"/>
          <w:sz w:val="24"/>
          <w:szCs w:val="24"/>
          <w:lang w:val="en"/>
        </w:rPr>
        <w:t xml:space="preserve">child support enforcement </w:t>
      </w:r>
      <w:r w:rsidRPr="00270676">
        <w:rPr>
          <w:rFonts w:ascii="Times New Roman" w:hAnsi="Times New Roman"/>
          <w:color w:val="202020"/>
          <w:sz w:val="24"/>
          <w:szCs w:val="24"/>
          <w:lang w:val="en"/>
        </w:rPr>
        <w:t>programs under state plans</w:t>
      </w:r>
      <w:r w:rsidR="00290978">
        <w:rPr>
          <w:rFonts w:ascii="Times New Roman" w:hAnsi="Times New Roman"/>
          <w:color w:val="202020"/>
          <w:sz w:val="24"/>
          <w:szCs w:val="24"/>
          <w:lang w:val="en"/>
        </w:rPr>
        <w:t xml:space="preserve"> that are</w:t>
      </w:r>
      <w:r w:rsidRPr="00270676">
        <w:rPr>
          <w:rFonts w:ascii="Times New Roman" w:hAnsi="Times New Roman"/>
          <w:color w:val="202020"/>
          <w:sz w:val="24"/>
          <w:szCs w:val="24"/>
          <w:lang w:val="en"/>
        </w:rPr>
        <w:t xml:space="preserve"> approved under Title IV-D and programs funded under Title IV-A of the Act</w:t>
      </w:r>
      <w:r w:rsidR="00C17CA9">
        <w:rPr>
          <w:rFonts w:ascii="Times New Roman" w:hAnsi="Times New Roman"/>
          <w:color w:val="202020"/>
          <w:sz w:val="24"/>
          <w:szCs w:val="24"/>
          <w:lang w:val="en"/>
        </w:rPr>
        <w:t xml:space="preserve">. </w:t>
      </w:r>
      <w:r w:rsidR="002E1723">
        <w:rPr>
          <w:rFonts w:ascii="Times New Roman" w:hAnsi="Times New Roman"/>
          <w:color w:val="202020"/>
          <w:sz w:val="24"/>
          <w:szCs w:val="24"/>
          <w:lang w:val="en"/>
        </w:rPr>
        <w:t xml:space="preserve">Accessing and exchanging </w:t>
      </w:r>
      <w:r w:rsidR="00012B16">
        <w:rPr>
          <w:rFonts w:ascii="Times New Roman" w:hAnsi="Times New Roman"/>
          <w:color w:val="202020"/>
          <w:sz w:val="24"/>
          <w:szCs w:val="24"/>
          <w:lang w:val="en"/>
        </w:rPr>
        <w:t xml:space="preserve">FCR </w:t>
      </w:r>
      <w:r w:rsidR="00290978">
        <w:rPr>
          <w:rFonts w:ascii="Times New Roman" w:hAnsi="Times New Roman"/>
          <w:color w:val="202020"/>
          <w:sz w:val="24"/>
          <w:szCs w:val="24"/>
          <w:lang w:val="en"/>
        </w:rPr>
        <w:t xml:space="preserve">child support </w:t>
      </w:r>
      <w:r w:rsidR="002E1723">
        <w:rPr>
          <w:rFonts w:ascii="Times New Roman" w:hAnsi="Times New Roman"/>
          <w:color w:val="202020"/>
          <w:sz w:val="24"/>
          <w:szCs w:val="24"/>
          <w:lang w:val="en"/>
        </w:rPr>
        <w:t xml:space="preserve">case information helps </w:t>
      </w:r>
      <w:r w:rsidR="00290978">
        <w:rPr>
          <w:rFonts w:ascii="Times New Roman" w:hAnsi="Times New Roman"/>
          <w:color w:val="202020"/>
          <w:sz w:val="24"/>
          <w:szCs w:val="24"/>
          <w:lang w:val="en"/>
        </w:rPr>
        <w:t>authorized state</w:t>
      </w:r>
      <w:r w:rsidR="002E1723">
        <w:rPr>
          <w:rFonts w:ascii="Times New Roman" w:hAnsi="Times New Roman"/>
          <w:color w:val="202020"/>
          <w:sz w:val="24"/>
          <w:szCs w:val="24"/>
          <w:lang w:val="en"/>
        </w:rPr>
        <w:t xml:space="preserve"> agencies to </w:t>
      </w:r>
      <w:r w:rsidRPr="00270676" w:rsidR="005D0FFA">
        <w:rPr>
          <w:rFonts w:ascii="Times New Roman" w:hAnsi="Times New Roman"/>
          <w:color w:val="202020"/>
          <w:sz w:val="24"/>
          <w:szCs w:val="24"/>
          <w:lang w:val="en"/>
        </w:rPr>
        <w:t>establish, modify, or enforce child support obligations; establish paternity; enforce state law</w:t>
      </w:r>
      <w:r w:rsidR="00012B16">
        <w:rPr>
          <w:rFonts w:ascii="Times New Roman" w:hAnsi="Times New Roman"/>
          <w:color w:val="202020"/>
          <w:sz w:val="24"/>
          <w:szCs w:val="24"/>
          <w:lang w:val="en"/>
        </w:rPr>
        <w:t>s</w:t>
      </w:r>
      <w:r w:rsidRPr="00270676" w:rsidR="005D0FFA">
        <w:rPr>
          <w:rFonts w:ascii="Times New Roman" w:hAnsi="Times New Roman"/>
          <w:color w:val="202020"/>
          <w:sz w:val="24"/>
          <w:szCs w:val="24"/>
          <w:lang w:val="en"/>
        </w:rPr>
        <w:t xml:space="preserve"> regarding parental kidnapping; and, establish or enforce child custody or visitation determinations</w:t>
      </w:r>
      <w:r w:rsidRPr="00270676">
        <w:rPr>
          <w:rFonts w:ascii="Times New Roman" w:hAnsi="Times New Roman"/>
          <w:color w:val="202020"/>
          <w:sz w:val="24"/>
          <w:szCs w:val="24"/>
          <w:lang w:val="en"/>
        </w:rPr>
        <w:t xml:space="preserve">. </w:t>
      </w:r>
      <w:r w:rsidR="004813E1">
        <w:rPr>
          <w:rFonts w:ascii="Times New Roman" w:hAnsi="Times New Roman"/>
          <w:color w:val="202020"/>
          <w:sz w:val="24"/>
          <w:szCs w:val="24"/>
          <w:lang w:val="en"/>
        </w:rPr>
        <w:t>Furthermore, t</w:t>
      </w:r>
      <w:r w:rsidRPr="00270676" w:rsidR="005D0FFA">
        <w:rPr>
          <w:rFonts w:ascii="Times New Roman" w:hAnsi="Times New Roman"/>
          <w:color w:val="202020"/>
          <w:sz w:val="24"/>
          <w:szCs w:val="24"/>
          <w:lang w:val="en"/>
        </w:rPr>
        <w:t xml:space="preserve">he FCR </w:t>
      </w:r>
      <w:r w:rsidR="00012B16">
        <w:rPr>
          <w:rFonts w:ascii="Times New Roman" w:hAnsi="Times New Roman"/>
          <w:color w:val="202020"/>
          <w:sz w:val="24"/>
          <w:szCs w:val="24"/>
          <w:lang w:val="en"/>
        </w:rPr>
        <w:t>allows</w:t>
      </w:r>
      <w:r w:rsidRPr="00270676" w:rsidR="005D0FFA">
        <w:rPr>
          <w:rFonts w:ascii="Times New Roman" w:hAnsi="Times New Roman"/>
          <w:color w:val="202020"/>
          <w:sz w:val="24"/>
          <w:szCs w:val="24"/>
          <w:lang w:val="en"/>
        </w:rPr>
        <w:t xml:space="preserve"> an individual or agency </w:t>
      </w:r>
      <w:r w:rsidR="004813E1">
        <w:rPr>
          <w:rFonts w:ascii="Times New Roman" w:hAnsi="Times New Roman"/>
          <w:color w:val="202020"/>
          <w:sz w:val="24"/>
          <w:szCs w:val="24"/>
          <w:lang w:val="en"/>
        </w:rPr>
        <w:t xml:space="preserve">to obtain </w:t>
      </w:r>
      <w:r w:rsidRPr="00270676" w:rsidR="005D0FFA">
        <w:rPr>
          <w:rFonts w:ascii="Times New Roman" w:hAnsi="Times New Roman"/>
          <w:color w:val="202020"/>
          <w:sz w:val="24"/>
          <w:szCs w:val="24"/>
          <w:lang w:val="en"/>
        </w:rPr>
        <w:t xml:space="preserve">information through the FPLS </w:t>
      </w:r>
      <w:r w:rsidR="00D3052B">
        <w:rPr>
          <w:rFonts w:ascii="Times New Roman" w:hAnsi="Times New Roman"/>
          <w:color w:val="202020"/>
          <w:sz w:val="24"/>
          <w:szCs w:val="24"/>
          <w:lang w:val="en"/>
        </w:rPr>
        <w:t xml:space="preserve">to </w:t>
      </w:r>
      <w:r w:rsidR="000A6F2A">
        <w:rPr>
          <w:rFonts w:ascii="Times New Roman" w:hAnsi="Times New Roman"/>
          <w:color w:val="202020"/>
          <w:sz w:val="24"/>
          <w:szCs w:val="24"/>
          <w:lang w:val="en"/>
        </w:rPr>
        <w:t>assist in locating missing parents</w:t>
      </w:r>
      <w:r w:rsidRPr="00270676" w:rsidR="005D0FFA">
        <w:rPr>
          <w:rFonts w:ascii="Times New Roman" w:hAnsi="Times New Roman"/>
          <w:color w:val="202020"/>
          <w:sz w:val="24"/>
          <w:szCs w:val="24"/>
          <w:lang w:val="en"/>
        </w:rPr>
        <w:t>.</w:t>
      </w:r>
    </w:p>
    <w:p w:rsidRPr="00270676" w:rsidR="005D0FFA" w:rsidP="005D0FFA" w:rsidRDefault="005D0FFA">
      <w:pPr>
        <w:suppressAutoHyphens/>
        <w:ind w:left="360"/>
        <w:rPr>
          <w:rFonts w:ascii="Times New Roman" w:hAnsi="Times New Roman"/>
          <w:sz w:val="24"/>
          <w:szCs w:val="24"/>
        </w:rPr>
      </w:pPr>
    </w:p>
    <w:p w:rsidRPr="00270676" w:rsidR="0006203A" w:rsidP="0006203A" w:rsidRDefault="0006203A">
      <w:pPr>
        <w:suppressAutoHyphens/>
        <w:ind w:left="360"/>
        <w:rPr>
          <w:rFonts w:ascii="Times New Roman" w:hAnsi="Times New Roman"/>
          <w:sz w:val="24"/>
          <w:szCs w:val="24"/>
        </w:rPr>
      </w:pPr>
      <w:r w:rsidRPr="00270676">
        <w:rPr>
          <w:rFonts w:ascii="Times New Roman" w:hAnsi="Times New Roman"/>
          <w:sz w:val="24"/>
          <w:szCs w:val="24"/>
        </w:rPr>
        <w:t>Access to the information from the FPLS is limited to authorized persons, as defined under 42 U.S.C. § 653(c). Authorized persons include:</w:t>
      </w:r>
    </w:p>
    <w:p w:rsidRPr="00270676" w:rsidR="0006203A" w:rsidP="0006203A" w:rsidRDefault="0006203A">
      <w:pPr>
        <w:widowControl/>
        <w:rPr>
          <w:rFonts w:ascii="Times New Roman" w:hAnsi="Times New Roman"/>
          <w:sz w:val="24"/>
          <w:szCs w:val="24"/>
        </w:rPr>
      </w:pPr>
    </w:p>
    <w:p w:rsidRPr="00270676" w:rsidR="0006203A" w:rsidP="0006203A" w:rsidRDefault="0006203A">
      <w:pPr>
        <w:numPr>
          <w:ilvl w:val="0"/>
          <w:numId w:val="14"/>
        </w:numPr>
        <w:snapToGrid/>
        <w:rPr>
          <w:rFonts w:ascii="Times New Roman" w:hAnsi="Times New Roman"/>
          <w:sz w:val="24"/>
          <w:szCs w:val="24"/>
        </w:rPr>
      </w:pPr>
      <w:r w:rsidRPr="00270676">
        <w:rPr>
          <w:rFonts w:ascii="Times New Roman" w:hAnsi="Times New Roman"/>
          <w:sz w:val="24"/>
          <w:szCs w:val="24"/>
        </w:rPr>
        <w:t>any agent or attorney of any state or Indian tribe or tribal organization having in effect an approved state plan who has the duty or authority under such plan to seek to recover any amounts owed as child and spousal support;</w:t>
      </w:r>
    </w:p>
    <w:p w:rsidRPr="00270676" w:rsidR="0006203A" w:rsidP="0006203A" w:rsidRDefault="0006203A">
      <w:pPr>
        <w:numPr>
          <w:ilvl w:val="0"/>
          <w:numId w:val="14"/>
        </w:numPr>
        <w:snapToGrid/>
        <w:rPr>
          <w:rFonts w:ascii="Times New Roman" w:hAnsi="Times New Roman"/>
          <w:sz w:val="24"/>
          <w:szCs w:val="24"/>
        </w:rPr>
      </w:pPr>
      <w:r w:rsidRPr="00270676">
        <w:rPr>
          <w:rFonts w:ascii="Times New Roman" w:hAnsi="Times New Roman"/>
          <w:sz w:val="24"/>
          <w:szCs w:val="24"/>
        </w:rPr>
        <w:t>the court which has the authority to issue an order or to serve as the initiating court in an action to seek an order against a noncustodial parent for the support and maintenance of a child;</w:t>
      </w:r>
    </w:p>
    <w:p w:rsidRPr="00270676" w:rsidR="0006203A" w:rsidP="0006203A" w:rsidRDefault="0006203A">
      <w:pPr>
        <w:numPr>
          <w:ilvl w:val="0"/>
          <w:numId w:val="14"/>
        </w:numPr>
        <w:snapToGrid/>
        <w:rPr>
          <w:rFonts w:ascii="Times New Roman" w:hAnsi="Times New Roman"/>
          <w:sz w:val="24"/>
          <w:szCs w:val="24"/>
        </w:rPr>
      </w:pPr>
      <w:r w:rsidRPr="00270676">
        <w:rPr>
          <w:rFonts w:ascii="Times New Roman" w:hAnsi="Times New Roman"/>
          <w:sz w:val="24"/>
          <w:szCs w:val="24"/>
        </w:rPr>
        <w:t xml:space="preserve">the resident parent, legal guardian, attorney, or agent of a child (other than a child receiving Temporary Assistance </w:t>
      </w:r>
      <w:r w:rsidR="00C17CA9">
        <w:rPr>
          <w:rFonts w:ascii="Times New Roman" w:hAnsi="Times New Roman"/>
          <w:sz w:val="24"/>
          <w:szCs w:val="24"/>
        </w:rPr>
        <w:t xml:space="preserve">for </w:t>
      </w:r>
      <w:r w:rsidRPr="00270676">
        <w:rPr>
          <w:rFonts w:ascii="Times New Roman" w:hAnsi="Times New Roman"/>
          <w:sz w:val="24"/>
          <w:szCs w:val="24"/>
        </w:rPr>
        <w:t>Needy Families);</w:t>
      </w:r>
    </w:p>
    <w:p w:rsidRPr="00270676" w:rsidR="0006203A" w:rsidP="0006203A" w:rsidRDefault="0006203A">
      <w:pPr>
        <w:numPr>
          <w:ilvl w:val="0"/>
          <w:numId w:val="14"/>
        </w:numPr>
        <w:snapToGrid/>
        <w:rPr>
          <w:rFonts w:ascii="Times New Roman" w:hAnsi="Times New Roman"/>
          <w:sz w:val="24"/>
          <w:szCs w:val="24"/>
        </w:rPr>
      </w:pPr>
      <w:r w:rsidRPr="00270676">
        <w:rPr>
          <w:rFonts w:ascii="Times New Roman" w:hAnsi="Times New Roman"/>
          <w:sz w:val="24"/>
          <w:szCs w:val="24"/>
        </w:rPr>
        <w:t>a state agency that is administering a child welfare, foster care, or adoption assistance program under an approved state plan; and</w:t>
      </w:r>
    </w:p>
    <w:p w:rsidRPr="00270676" w:rsidR="0006203A" w:rsidP="0006203A" w:rsidRDefault="0006203A">
      <w:pPr>
        <w:numPr>
          <w:ilvl w:val="0"/>
          <w:numId w:val="14"/>
        </w:numPr>
        <w:snapToGrid/>
        <w:rPr>
          <w:rFonts w:ascii="Times New Roman" w:hAnsi="Times New Roman"/>
          <w:sz w:val="24"/>
          <w:szCs w:val="24"/>
        </w:rPr>
      </w:pPr>
      <w:r w:rsidRPr="00270676">
        <w:rPr>
          <w:rFonts w:ascii="Times New Roman" w:hAnsi="Times New Roman"/>
          <w:sz w:val="24"/>
          <w:szCs w:val="24"/>
        </w:rPr>
        <w:t>an entity designated as a Central Authority for child support enforcement in a foreign reciprocating country or a foreign treaty country.  </w:t>
      </w:r>
    </w:p>
    <w:p w:rsidRPr="0006203A" w:rsidR="0006203A" w:rsidP="0006203A" w:rsidRDefault="0006203A">
      <w:pPr>
        <w:widowControl/>
        <w:rPr>
          <w:rFonts w:ascii="Times New Roman" w:hAnsi="Times New Roman"/>
        </w:rPr>
      </w:pPr>
    </w:p>
    <w:p w:rsidRPr="00270676" w:rsidR="00262162" w:rsidP="00262162" w:rsidRDefault="00262162">
      <w:pPr>
        <w:widowControl/>
        <w:numPr>
          <w:ilvl w:val="0"/>
          <w:numId w:val="1"/>
        </w:numPr>
        <w:tabs>
          <w:tab w:val="num" w:pos="360"/>
        </w:tabs>
        <w:ind w:left="360"/>
        <w:rPr>
          <w:rFonts w:ascii="Times New Roman" w:hAnsi="Times New Roman"/>
          <w:b/>
          <w:sz w:val="24"/>
          <w:szCs w:val="24"/>
        </w:rPr>
      </w:pPr>
      <w:r w:rsidRPr="00270676">
        <w:rPr>
          <w:rFonts w:ascii="Times New Roman" w:hAnsi="Times New Roman"/>
          <w:b/>
          <w:sz w:val="24"/>
          <w:szCs w:val="24"/>
        </w:rPr>
        <w:t xml:space="preserve">Use of Improved Information Technology and Burden Reduction </w:t>
      </w:r>
    </w:p>
    <w:p w:rsidR="00262162" w:rsidP="00262162" w:rsidRDefault="00262162">
      <w:pPr>
        <w:widowControl/>
        <w:tabs>
          <w:tab w:val="num" w:pos="360"/>
        </w:tabs>
        <w:ind w:left="720" w:hanging="360"/>
        <w:rPr>
          <w:rFonts w:ascii="Times New Roman" w:hAnsi="Times New Roman"/>
          <w:sz w:val="24"/>
          <w:szCs w:val="24"/>
        </w:rPr>
      </w:pPr>
    </w:p>
    <w:p w:rsidRPr="00270676" w:rsidR="0095011A" w:rsidP="0095011A" w:rsidRDefault="00CA36FC">
      <w:pPr>
        <w:suppressAutoHyphens/>
        <w:ind w:left="360"/>
        <w:rPr>
          <w:rFonts w:ascii="Times New Roman" w:hAnsi="Times New Roman"/>
          <w:sz w:val="24"/>
          <w:szCs w:val="24"/>
        </w:rPr>
      </w:pPr>
      <w:r w:rsidRPr="00270676">
        <w:rPr>
          <w:rFonts w:ascii="Times New Roman" w:hAnsi="Times New Roman"/>
          <w:sz w:val="24"/>
          <w:szCs w:val="24"/>
        </w:rPr>
        <w:t>All case registry data is electronically transmitted from the states</w:t>
      </w:r>
      <w:r w:rsidR="000A4EBE">
        <w:rPr>
          <w:rFonts w:ascii="Times New Roman" w:hAnsi="Times New Roman"/>
          <w:sz w:val="24"/>
          <w:szCs w:val="24"/>
        </w:rPr>
        <w:t>’ SCRs</w:t>
      </w:r>
      <w:r w:rsidRPr="00270676">
        <w:rPr>
          <w:rFonts w:ascii="Times New Roman" w:hAnsi="Times New Roman"/>
          <w:sz w:val="24"/>
          <w:szCs w:val="24"/>
        </w:rPr>
        <w:t xml:space="preserve"> to the FCR</w:t>
      </w:r>
      <w:r w:rsidR="00CA7BA4">
        <w:rPr>
          <w:rFonts w:ascii="Times New Roman" w:hAnsi="Times New Roman"/>
          <w:sz w:val="24"/>
          <w:szCs w:val="24"/>
        </w:rPr>
        <w:t>, daily or weekly</w:t>
      </w:r>
      <w:r w:rsidR="000A4EBE">
        <w:rPr>
          <w:rFonts w:ascii="Times New Roman" w:hAnsi="Times New Roman"/>
          <w:sz w:val="24"/>
          <w:szCs w:val="24"/>
        </w:rPr>
        <w:t>.</w:t>
      </w:r>
      <w:r w:rsidR="00CA7BA4">
        <w:rPr>
          <w:rFonts w:ascii="Times New Roman" w:hAnsi="Times New Roman"/>
          <w:sz w:val="24"/>
          <w:szCs w:val="24"/>
        </w:rPr>
        <w:t xml:space="preserve"> </w:t>
      </w:r>
      <w:r w:rsidR="00AE6AB2">
        <w:rPr>
          <w:rFonts w:ascii="Times New Roman" w:hAnsi="Times New Roman"/>
          <w:sz w:val="24"/>
          <w:szCs w:val="24"/>
        </w:rPr>
        <w:t xml:space="preserve">To process the files, </w:t>
      </w:r>
      <w:r w:rsidR="00CA7BA4">
        <w:rPr>
          <w:rFonts w:ascii="Times New Roman" w:hAnsi="Times New Roman"/>
          <w:sz w:val="24"/>
          <w:szCs w:val="24"/>
        </w:rPr>
        <w:t>OCSE first verif</w:t>
      </w:r>
      <w:r w:rsidR="00AE6AB2">
        <w:rPr>
          <w:rFonts w:ascii="Times New Roman" w:hAnsi="Times New Roman"/>
          <w:sz w:val="24"/>
          <w:szCs w:val="24"/>
        </w:rPr>
        <w:t>ies</w:t>
      </w:r>
      <w:r w:rsidR="00CA7BA4">
        <w:rPr>
          <w:rFonts w:ascii="Times New Roman" w:hAnsi="Times New Roman"/>
          <w:sz w:val="24"/>
          <w:szCs w:val="24"/>
        </w:rPr>
        <w:t xml:space="preserve"> the data with </w:t>
      </w:r>
      <w:r w:rsidR="006D2DC6">
        <w:rPr>
          <w:rFonts w:ascii="Times New Roman" w:hAnsi="Times New Roman"/>
          <w:sz w:val="24"/>
          <w:szCs w:val="24"/>
        </w:rPr>
        <w:t xml:space="preserve">the </w:t>
      </w:r>
      <w:r w:rsidR="00CA7BA4">
        <w:rPr>
          <w:rFonts w:ascii="Times New Roman" w:hAnsi="Times New Roman"/>
          <w:sz w:val="24"/>
          <w:szCs w:val="24"/>
        </w:rPr>
        <w:t>Social Security Administration within two days, proactively match</w:t>
      </w:r>
      <w:r w:rsidR="00AE6AB2">
        <w:rPr>
          <w:rFonts w:ascii="Times New Roman" w:hAnsi="Times New Roman"/>
          <w:sz w:val="24"/>
          <w:szCs w:val="24"/>
        </w:rPr>
        <w:t>es</w:t>
      </w:r>
      <w:r w:rsidR="00CA7BA4">
        <w:rPr>
          <w:rFonts w:ascii="Times New Roman" w:hAnsi="Times New Roman"/>
          <w:sz w:val="24"/>
          <w:szCs w:val="24"/>
        </w:rPr>
        <w:t xml:space="preserve"> with the </w:t>
      </w:r>
      <w:r w:rsidR="008B1B6B">
        <w:rPr>
          <w:rFonts w:ascii="Times New Roman" w:hAnsi="Times New Roman"/>
          <w:sz w:val="24"/>
          <w:szCs w:val="24"/>
        </w:rPr>
        <w:t>National Directory of New Hires</w:t>
      </w:r>
      <w:r w:rsidR="00AE6AB2">
        <w:rPr>
          <w:rFonts w:ascii="Times New Roman" w:hAnsi="Times New Roman"/>
          <w:sz w:val="24"/>
          <w:szCs w:val="24"/>
        </w:rPr>
        <w:t xml:space="preserve"> </w:t>
      </w:r>
      <w:r w:rsidR="00CA7BA4">
        <w:rPr>
          <w:rFonts w:ascii="Times New Roman" w:hAnsi="Times New Roman"/>
          <w:sz w:val="24"/>
          <w:szCs w:val="24"/>
        </w:rPr>
        <w:t>and external locate sources, if requested</w:t>
      </w:r>
      <w:r w:rsidR="00AE6AB2">
        <w:rPr>
          <w:rFonts w:ascii="Times New Roman" w:hAnsi="Times New Roman"/>
          <w:sz w:val="24"/>
          <w:szCs w:val="24"/>
        </w:rPr>
        <w:t xml:space="preserve">, and </w:t>
      </w:r>
      <w:r w:rsidR="00CA7BA4">
        <w:rPr>
          <w:rFonts w:ascii="Times New Roman" w:hAnsi="Times New Roman"/>
          <w:sz w:val="24"/>
          <w:szCs w:val="24"/>
        </w:rPr>
        <w:t>then proactively returns the matched data to the states.</w:t>
      </w:r>
      <w:r>
        <w:rPr>
          <w:rFonts w:ascii="Times New Roman" w:hAnsi="Times New Roman"/>
          <w:sz w:val="24"/>
          <w:szCs w:val="24"/>
        </w:rPr>
        <w:t xml:space="preserve"> </w:t>
      </w:r>
      <w:r w:rsidR="00012B16">
        <w:rPr>
          <w:rFonts w:ascii="Times New Roman" w:hAnsi="Times New Roman"/>
          <w:sz w:val="24"/>
          <w:szCs w:val="24"/>
        </w:rPr>
        <w:t xml:space="preserve"> </w:t>
      </w:r>
      <w:r w:rsidRPr="00270676" w:rsidR="0095011A">
        <w:rPr>
          <w:rFonts w:ascii="Times New Roman" w:hAnsi="Times New Roman"/>
          <w:sz w:val="24"/>
          <w:szCs w:val="24"/>
        </w:rPr>
        <w:t xml:space="preserve">  </w:t>
      </w:r>
    </w:p>
    <w:p w:rsidR="00262162" w:rsidP="00262162" w:rsidRDefault="00262162">
      <w:pPr>
        <w:widowControl/>
        <w:tabs>
          <w:tab w:val="num" w:pos="360"/>
        </w:tabs>
        <w:ind w:left="720" w:hanging="360"/>
        <w:rPr>
          <w:rFonts w:ascii="Times New Roman" w:hAnsi="Times New Roman"/>
          <w:sz w:val="24"/>
          <w:szCs w:val="24"/>
        </w:rPr>
      </w:pPr>
    </w:p>
    <w:p w:rsidRPr="00270676" w:rsidR="00262162" w:rsidP="00262162" w:rsidRDefault="00262162">
      <w:pPr>
        <w:widowControl/>
        <w:numPr>
          <w:ilvl w:val="0"/>
          <w:numId w:val="1"/>
        </w:numPr>
        <w:tabs>
          <w:tab w:val="num" w:pos="360"/>
        </w:tabs>
        <w:ind w:left="360"/>
        <w:rPr>
          <w:rFonts w:ascii="Times New Roman" w:hAnsi="Times New Roman"/>
          <w:b/>
          <w:sz w:val="24"/>
          <w:szCs w:val="24"/>
        </w:rPr>
      </w:pPr>
      <w:r w:rsidRPr="00270676">
        <w:rPr>
          <w:rFonts w:ascii="Times New Roman" w:hAnsi="Times New Roman"/>
          <w:b/>
          <w:sz w:val="24"/>
          <w:szCs w:val="24"/>
        </w:rPr>
        <w:t xml:space="preserve">Efforts to Identify Duplication and Use of Similar Information </w:t>
      </w:r>
    </w:p>
    <w:p w:rsidR="00262162" w:rsidP="00262162" w:rsidRDefault="00262162">
      <w:pPr>
        <w:widowControl/>
        <w:tabs>
          <w:tab w:val="num" w:pos="360"/>
        </w:tabs>
        <w:ind w:left="720" w:hanging="360"/>
        <w:rPr>
          <w:rFonts w:ascii="Times New Roman" w:hAnsi="Times New Roman"/>
          <w:sz w:val="24"/>
          <w:szCs w:val="24"/>
        </w:rPr>
      </w:pPr>
    </w:p>
    <w:p w:rsidRPr="00270676" w:rsidR="00EB3CDB" w:rsidP="00EB3CDB" w:rsidRDefault="00EB3CDB">
      <w:pPr>
        <w:suppressAutoHyphens/>
        <w:ind w:left="360"/>
        <w:rPr>
          <w:rFonts w:ascii="Times New Roman" w:hAnsi="Times New Roman"/>
          <w:sz w:val="24"/>
          <w:szCs w:val="24"/>
        </w:rPr>
      </w:pPr>
      <w:r w:rsidRPr="00270676">
        <w:rPr>
          <w:rFonts w:ascii="Times New Roman" w:hAnsi="Times New Roman"/>
          <w:sz w:val="24"/>
          <w:szCs w:val="24"/>
        </w:rPr>
        <w:t xml:space="preserve">The </w:t>
      </w:r>
      <w:r w:rsidR="00CA36FC">
        <w:rPr>
          <w:rFonts w:ascii="Times New Roman" w:hAnsi="Times New Roman"/>
          <w:sz w:val="24"/>
          <w:szCs w:val="24"/>
        </w:rPr>
        <w:t xml:space="preserve">FCR does not collect or maintain duplicative </w:t>
      </w:r>
      <w:r w:rsidRPr="00270676">
        <w:rPr>
          <w:rFonts w:ascii="Times New Roman" w:hAnsi="Times New Roman"/>
          <w:sz w:val="24"/>
          <w:szCs w:val="24"/>
        </w:rPr>
        <w:t>information</w:t>
      </w:r>
      <w:r w:rsidR="00CA36FC">
        <w:rPr>
          <w:rFonts w:ascii="Times New Roman" w:hAnsi="Times New Roman"/>
          <w:sz w:val="24"/>
          <w:szCs w:val="24"/>
        </w:rPr>
        <w:t xml:space="preserve"> and </w:t>
      </w:r>
      <w:r w:rsidR="00E44A31">
        <w:rPr>
          <w:rFonts w:ascii="Times New Roman" w:hAnsi="Times New Roman"/>
          <w:sz w:val="24"/>
          <w:szCs w:val="24"/>
        </w:rPr>
        <w:t>is the only</w:t>
      </w:r>
      <w:r w:rsidR="00106BD0">
        <w:rPr>
          <w:rFonts w:ascii="Times New Roman" w:hAnsi="Times New Roman"/>
          <w:sz w:val="24"/>
          <w:szCs w:val="24"/>
        </w:rPr>
        <w:t xml:space="preserve"> national database </w:t>
      </w:r>
      <w:r w:rsidR="00AA006B">
        <w:rPr>
          <w:rFonts w:ascii="Times New Roman" w:hAnsi="Times New Roman"/>
          <w:sz w:val="24"/>
          <w:szCs w:val="24"/>
        </w:rPr>
        <w:t xml:space="preserve">with abstracted </w:t>
      </w:r>
      <w:r w:rsidR="00DE751E">
        <w:rPr>
          <w:rFonts w:ascii="Times New Roman" w:hAnsi="Times New Roman"/>
          <w:sz w:val="24"/>
          <w:szCs w:val="24"/>
        </w:rPr>
        <w:t xml:space="preserve">information from </w:t>
      </w:r>
      <w:r w:rsidR="00106BD0">
        <w:rPr>
          <w:rFonts w:ascii="Times New Roman" w:hAnsi="Times New Roman"/>
          <w:sz w:val="24"/>
          <w:szCs w:val="24"/>
        </w:rPr>
        <w:t xml:space="preserve">child support </w:t>
      </w:r>
      <w:r w:rsidR="00AA006B">
        <w:rPr>
          <w:rFonts w:ascii="Times New Roman" w:hAnsi="Times New Roman"/>
          <w:sz w:val="24"/>
          <w:szCs w:val="24"/>
        </w:rPr>
        <w:t>cases and participants</w:t>
      </w:r>
      <w:r w:rsidR="000A4EBE">
        <w:rPr>
          <w:rFonts w:ascii="Times New Roman" w:hAnsi="Times New Roman"/>
          <w:sz w:val="24"/>
          <w:szCs w:val="24"/>
        </w:rPr>
        <w:t xml:space="preserve">, including </w:t>
      </w:r>
      <w:r w:rsidR="00AA006B">
        <w:rPr>
          <w:rFonts w:ascii="Times New Roman" w:hAnsi="Times New Roman"/>
          <w:sz w:val="24"/>
          <w:szCs w:val="24"/>
        </w:rPr>
        <w:t>an order indicator</w:t>
      </w:r>
      <w:r w:rsidR="00920D9E">
        <w:rPr>
          <w:rFonts w:ascii="Times New Roman" w:hAnsi="Times New Roman"/>
          <w:sz w:val="24"/>
          <w:szCs w:val="24"/>
        </w:rPr>
        <w:t>.</w:t>
      </w:r>
      <w:r w:rsidR="00AA006B">
        <w:rPr>
          <w:rFonts w:ascii="Times New Roman" w:hAnsi="Times New Roman"/>
          <w:sz w:val="24"/>
          <w:szCs w:val="24"/>
        </w:rPr>
        <w:t xml:space="preserve">  </w:t>
      </w:r>
    </w:p>
    <w:p w:rsidR="00262162" w:rsidP="00262162" w:rsidRDefault="00262162">
      <w:pPr>
        <w:widowControl/>
        <w:tabs>
          <w:tab w:val="num" w:pos="360"/>
        </w:tabs>
        <w:ind w:left="720" w:hanging="360"/>
        <w:rPr>
          <w:rFonts w:ascii="Times New Roman" w:hAnsi="Times New Roman"/>
          <w:sz w:val="24"/>
          <w:szCs w:val="24"/>
        </w:rPr>
      </w:pPr>
    </w:p>
    <w:p w:rsidRPr="00270676" w:rsidR="00262162" w:rsidP="00262162" w:rsidRDefault="00262162">
      <w:pPr>
        <w:widowControl/>
        <w:numPr>
          <w:ilvl w:val="0"/>
          <w:numId w:val="1"/>
        </w:numPr>
        <w:tabs>
          <w:tab w:val="num" w:pos="360"/>
        </w:tabs>
        <w:ind w:left="360"/>
        <w:rPr>
          <w:rFonts w:ascii="Times New Roman" w:hAnsi="Times New Roman"/>
          <w:b/>
          <w:sz w:val="24"/>
          <w:szCs w:val="24"/>
        </w:rPr>
      </w:pPr>
      <w:r w:rsidRPr="00270676">
        <w:rPr>
          <w:rFonts w:ascii="Times New Roman" w:hAnsi="Times New Roman"/>
          <w:b/>
          <w:sz w:val="24"/>
          <w:szCs w:val="24"/>
        </w:rPr>
        <w:t xml:space="preserve">Impact on Small Businesses or Other Small Entities </w:t>
      </w:r>
    </w:p>
    <w:p w:rsidRPr="00270676" w:rsidR="00262162" w:rsidP="00262162" w:rsidRDefault="00262162">
      <w:pPr>
        <w:widowControl/>
        <w:tabs>
          <w:tab w:val="num" w:pos="360"/>
        </w:tabs>
        <w:ind w:left="720" w:hanging="360"/>
        <w:rPr>
          <w:rFonts w:ascii="Times New Roman" w:hAnsi="Times New Roman"/>
          <w:b/>
          <w:sz w:val="24"/>
          <w:szCs w:val="24"/>
        </w:rPr>
      </w:pPr>
    </w:p>
    <w:p w:rsidRPr="00270676" w:rsidR="000038F6" w:rsidP="00270676" w:rsidRDefault="000038F6">
      <w:pPr>
        <w:suppressAutoHyphens/>
        <w:ind w:left="360"/>
        <w:rPr>
          <w:rFonts w:ascii="Times New Roman" w:hAnsi="Times New Roman"/>
          <w:sz w:val="24"/>
          <w:szCs w:val="24"/>
        </w:rPr>
      </w:pPr>
      <w:r w:rsidRPr="00270676">
        <w:rPr>
          <w:rFonts w:ascii="Times New Roman" w:hAnsi="Times New Roman"/>
          <w:sz w:val="24"/>
          <w:szCs w:val="24"/>
        </w:rPr>
        <w:t>The collection of information requirements does not involve small businesses or small entities</w:t>
      </w:r>
      <w:r w:rsidR="00F73351">
        <w:rPr>
          <w:rFonts w:ascii="Times New Roman" w:hAnsi="Times New Roman"/>
          <w:sz w:val="24"/>
          <w:szCs w:val="24"/>
        </w:rPr>
        <w:t>.</w:t>
      </w:r>
    </w:p>
    <w:p w:rsidRPr="00270676" w:rsidR="00262162" w:rsidP="00262162" w:rsidRDefault="00262162">
      <w:pPr>
        <w:widowControl/>
        <w:tabs>
          <w:tab w:val="num" w:pos="360"/>
        </w:tabs>
        <w:ind w:left="720" w:hanging="360"/>
        <w:rPr>
          <w:rFonts w:ascii="Times New Roman" w:hAnsi="Times New Roman"/>
          <w:sz w:val="24"/>
          <w:szCs w:val="24"/>
        </w:rPr>
      </w:pPr>
    </w:p>
    <w:p w:rsidRPr="003F76C2" w:rsidR="00262162" w:rsidP="00262162" w:rsidRDefault="00262162">
      <w:pPr>
        <w:widowControl/>
        <w:numPr>
          <w:ilvl w:val="0"/>
          <w:numId w:val="1"/>
        </w:numPr>
        <w:tabs>
          <w:tab w:val="num" w:pos="360"/>
        </w:tabs>
        <w:ind w:left="360"/>
        <w:rPr>
          <w:rFonts w:ascii="Times New Roman" w:hAnsi="Times New Roman"/>
          <w:b/>
          <w:sz w:val="24"/>
          <w:szCs w:val="24"/>
        </w:rPr>
      </w:pPr>
      <w:r w:rsidRPr="003F76C2">
        <w:rPr>
          <w:rFonts w:ascii="Times New Roman" w:hAnsi="Times New Roman"/>
          <w:b/>
          <w:sz w:val="24"/>
          <w:szCs w:val="24"/>
        </w:rPr>
        <w:t xml:space="preserve">Consequences of Collecting the Information Less Frequently </w:t>
      </w:r>
    </w:p>
    <w:p w:rsidR="00262162" w:rsidP="00262162" w:rsidRDefault="00262162">
      <w:pPr>
        <w:widowControl/>
        <w:tabs>
          <w:tab w:val="num" w:pos="360"/>
        </w:tabs>
        <w:ind w:left="720" w:hanging="360"/>
        <w:rPr>
          <w:rFonts w:ascii="Times New Roman" w:hAnsi="Times New Roman"/>
          <w:sz w:val="24"/>
          <w:szCs w:val="24"/>
        </w:rPr>
      </w:pPr>
    </w:p>
    <w:p w:rsidR="00722D14" w:rsidP="000038F6" w:rsidRDefault="00A5259D">
      <w:pPr>
        <w:widowControl/>
        <w:ind w:left="360"/>
        <w:rPr>
          <w:rFonts w:ascii="Times New Roman" w:hAnsi="Times New Roman"/>
          <w:sz w:val="24"/>
          <w:szCs w:val="24"/>
        </w:rPr>
      </w:pPr>
      <w:r>
        <w:rPr>
          <w:rFonts w:ascii="Times New Roman" w:hAnsi="Times New Roman"/>
          <w:sz w:val="24"/>
          <w:szCs w:val="24"/>
        </w:rPr>
        <w:t xml:space="preserve">Collecting the </w:t>
      </w:r>
      <w:r w:rsidRPr="003F76C2" w:rsidR="000038F6">
        <w:rPr>
          <w:rFonts w:ascii="Times New Roman" w:hAnsi="Times New Roman"/>
          <w:sz w:val="24"/>
          <w:szCs w:val="24"/>
        </w:rPr>
        <w:t>information</w:t>
      </w:r>
      <w:r w:rsidR="00CE559E">
        <w:rPr>
          <w:rFonts w:ascii="Times New Roman" w:hAnsi="Times New Roman"/>
          <w:sz w:val="24"/>
          <w:szCs w:val="24"/>
        </w:rPr>
        <w:t>,</w:t>
      </w:r>
      <w:r w:rsidRPr="003F76C2" w:rsidR="000038F6">
        <w:rPr>
          <w:rFonts w:ascii="Times New Roman" w:hAnsi="Times New Roman"/>
          <w:sz w:val="24"/>
          <w:szCs w:val="24"/>
        </w:rPr>
        <w:t xml:space="preserve"> daily</w:t>
      </w:r>
      <w:r w:rsidR="00CE559E">
        <w:rPr>
          <w:rFonts w:ascii="Times New Roman" w:hAnsi="Times New Roman"/>
          <w:sz w:val="24"/>
          <w:szCs w:val="24"/>
        </w:rPr>
        <w:t xml:space="preserve"> or weekly,</w:t>
      </w:r>
      <w:r w:rsidRPr="003F76C2" w:rsidR="000038F6">
        <w:rPr>
          <w:rFonts w:ascii="Times New Roman" w:hAnsi="Times New Roman"/>
          <w:sz w:val="24"/>
          <w:szCs w:val="24"/>
        </w:rPr>
        <w:t xml:space="preserve"> through the SCR to the FCR is vital to efficient </w:t>
      </w:r>
      <w:r w:rsidR="00C17CA9">
        <w:rPr>
          <w:rFonts w:ascii="Times New Roman" w:hAnsi="Times New Roman"/>
          <w:sz w:val="24"/>
          <w:szCs w:val="24"/>
        </w:rPr>
        <w:t xml:space="preserve">and effective case management. </w:t>
      </w:r>
      <w:r w:rsidRPr="003F76C2" w:rsidR="000038F6">
        <w:rPr>
          <w:rFonts w:ascii="Times New Roman" w:hAnsi="Times New Roman"/>
          <w:sz w:val="24"/>
          <w:szCs w:val="24"/>
        </w:rPr>
        <w:t xml:space="preserve">Prior to </w:t>
      </w:r>
      <w:r w:rsidRPr="003F76C2" w:rsidR="000038F6">
        <w:rPr>
          <w:rFonts w:ascii="Times New Roman" w:hAnsi="Times New Roman"/>
          <w:sz w:val="24"/>
          <w:szCs w:val="24"/>
          <w:lang w:val="en"/>
        </w:rPr>
        <w:t>the SCR</w:t>
      </w:r>
      <w:r>
        <w:rPr>
          <w:rFonts w:ascii="Times New Roman" w:hAnsi="Times New Roman"/>
          <w:sz w:val="24"/>
          <w:szCs w:val="24"/>
          <w:lang w:val="en"/>
        </w:rPr>
        <w:t xml:space="preserve"> and </w:t>
      </w:r>
      <w:r w:rsidRPr="003F76C2" w:rsidR="000038F6">
        <w:rPr>
          <w:rFonts w:ascii="Times New Roman" w:hAnsi="Times New Roman"/>
          <w:sz w:val="24"/>
          <w:szCs w:val="24"/>
          <w:lang w:val="en"/>
        </w:rPr>
        <w:t xml:space="preserve">FCR interface, </w:t>
      </w:r>
      <w:r w:rsidRPr="003F76C2" w:rsidR="000038F6">
        <w:rPr>
          <w:rFonts w:ascii="Times New Roman" w:hAnsi="Times New Roman"/>
          <w:sz w:val="24"/>
          <w:szCs w:val="24"/>
        </w:rPr>
        <w:t>states relied on manual, time-consuming efforts to obtain case information</w:t>
      </w:r>
      <w:r w:rsidR="00AA006B">
        <w:rPr>
          <w:rFonts w:ascii="Times New Roman" w:hAnsi="Times New Roman"/>
          <w:sz w:val="24"/>
          <w:szCs w:val="24"/>
        </w:rPr>
        <w:t xml:space="preserve"> on common participants with other states</w:t>
      </w:r>
      <w:r w:rsidRPr="003F76C2" w:rsidR="000038F6">
        <w:rPr>
          <w:rFonts w:ascii="Times New Roman" w:hAnsi="Times New Roman"/>
          <w:sz w:val="24"/>
          <w:szCs w:val="24"/>
        </w:rPr>
        <w:t>,</w:t>
      </w:r>
      <w:r w:rsidR="00AA006B">
        <w:rPr>
          <w:rFonts w:ascii="Times New Roman" w:hAnsi="Times New Roman"/>
          <w:sz w:val="24"/>
          <w:szCs w:val="24"/>
        </w:rPr>
        <w:t xml:space="preserve"> or states had no knowledge of common participants</w:t>
      </w:r>
      <w:r w:rsidR="00CE559E">
        <w:rPr>
          <w:rFonts w:ascii="Times New Roman" w:hAnsi="Times New Roman"/>
          <w:sz w:val="24"/>
          <w:szCs w:val="24"/>
        </w:rPr>
        <w:t>,</w:t>
      </w:r>
      <w:r w:rsidRPr="003F76C2" w:rsidR="000038F6">
        <w:rPr>
          <w:rFonts w:ascii="Times New Roman" w:hAnsi="Times New Roman"/>
          <w:sz w:val="24"/>
          <w:szCs w:val="24"/>
        </w:rPr>
        <w:t xml:space="preserve"> which </w:t>
      </w:r>
      <w:r w:rsidRPr="003F76C2" w:rsidR="00324628">
        <w:rPr>
          <w:rFonts w:ascii="Times New Roman" w:hAnsi="Times New Roman"/>
          <w:sz w:val="24"/>
          <w:szCs w:val="24"/>
        </w:rPr>
        <w:t>delayed</w:t>
      </w:r>
      <w:r w:rsidR="00324628">
        <w:rPr>
          <w:rFonts w:ascii="Times New Roman" w:hAnsi="Times New Roman"/>
          <w:sz w:val="24"/>
          <w:szCs w:val="24"/>
        </w:rPr>
        <w:t xml:space="preserve"> or</w:t>
      </w:r>
      <w:r w:rsidR="00CE559E">
        <w:rPr>
          <w:rFonts w:ascii="Times New Roman" w:hAnsi="Times New Roman"/>
          <w:sz w:val="24"/>
          <w:szCs w:val="24"/>
        </w:rPr>
        <w:t xml:space="preserve"> duplicated</w:t>
      </w:r>
      <w:r w:rsidR="00C17CA9">
        <w:rPr>
          <w:rFonts w:ascii="Times New Roman" w:hAnsi="Times New Roman"/>
          <w:sz w:val="24"/>
          <w:szCs w:val="24"/>
        </w:rPr>
        <w:t xml:space="preserve"> child support activities. </w:t>
      </w:r>
      <w:r w:rsidRPr="003F76C2" w:rsidR="000038F6">
        <w:rPr>
          <w:rFonts w:ascii="Times New Roman" w:hAnsi="Times New Roman"/>
          <w:sz w:val="24"/>
          <w:szCs w:val="24"/>
        </w:rPr>
        <w:t xml:space="preserve">By sharing and updating case information through </w:t>
      </w:r>
      <w:r w:rsidR="00717031">
        <w:rPr>
          <w:rFonts w:ascii="Times New Roman" w:hAnsi="Times New Roman"/>
          <w:sz w:val="24"/>
          <w:szCs w:val="24"/>
        </w:rPr>
        <w:t>the FCR</w:t>
      </w:r>
      <w:r w:rsidRPr="003F76C2" w:rsidR="000038F6">
        <w:rPr>
          <w:rFonts w:ascii="Times New Roman" w:hAnsi="Times New Roman"/>
          <w:sz w:val="24"/>
          <w:szCs w:val="24"/>
        </w:rPr>
        <w:t xml:space="preserve">, state agencies receive timely </w:t>
      </w:r>
      <w:r w:rsidR="00AA006B">
        <w:rPr>
          <w:rFonts w:ascii="Times New Roman" w:hAnsi="Times New Roman"/>
          <w:sz w:val="24"/>
          <w:szCs w:val="24"/>
        </w:rPr>
        <w:t xml:space="preserve">information, such as </w:t>
      </w:r>
      <w:r w:rsidRPr="003F76C2" w:rsidR="000038F6">
        <w:rPr>
          <w:rFonts w:ascii="Times New Roman" w:hAnsi="Times New Roman"/>
          <w:sz w:val="24"/>
          <w:szCs w:val="24"/>
        </w:rPr>
        <w:t>location, income, asset, and employment information</w:t>
      </w:r>
      <w:r w:rsidR="0029312B">
        <w:rPr>
          <w:rFonts w:ascii="Times New Roman" w:hAnsi="Times New Roman"/>
          <w:sz w:val="24"/>
          <w:szCs w:val="24"/>
        </w:rPr>
        <w:t>,</w:t>
      </w:r>
      <w:r w:rsidRPr="003F76C2" w:rsidR="000038F6">
        <w:rPr>
          <w:rFonts w:ascii="Times New Roman" w:hAnsi="Times New Roman"/>
          <w:sz w:val="24"/>
          <w:szCs w:val="24"/>
        </w:rPr>
        <w:t xml:space="preserve"> </w:t>
      </w:r>
      <w:r w:rsidR="00794FA2">
        <w:rPr>
          <w:rFonts w:ascii="Times New Roman" w:hAnsi="Times New Roman"/>
          <w:sz w:val="24"/>
          <w:szCs w:val="24"/>
        </w:rPr>
        <w:t xml:space="preserve">which </w:t>
      </w:r>
      <w:r w:rsidR="00F73351">
        <w:rPr>
          <w:rFonts w:ascii="Times New Roman" w:hAnsi="Times New Roman"/>
          <w:sz w:val="24"/>
          <w:szCs w:val="24"/>
        </w:rPr>
        <w:t>enable</w:t>
      </w:r>
      <w:r w:rsidR="00794FA2">
        <w:rPr>
          <w:rFonts w:ascii="Times New Roman" w:hAnsi="Times New Roman"/>
          <w:sz w:val="24"/>
          <w:szCs w:val="24"/>
        </w:rPr>
        <w:t>s</w:t>
      </w:r>
      <w:r w:rsidRPr="003F76C2" w:rsidR="000038F6">
        <w:rPr>
          <w:rFonts w:ascii="Times New Roman" w:hAnsi="Times New Roman"/>
          <w:sz w:val="24"/>
          <w:szCs w:val="24"/>
        </w:rPr>
        <w:t xml:space="preserve"> </w:t>
      </w:r>
      <w:r w:rsidR="00794FA2">
        <w:rPr>
          <w:rFonts w:ascii="Times New Roman" w:hAnsi="Times New Roman"/>
          <w:sz w:val="24"/>
          <w:szCs w:val="24"/>
        </w:rPr>
        <w:t xml:space="preserve">efficient processing of </w:t>
      </w:r>
      <w:r w:rsidR="00C17CA9">
        <w:rPr>
          <w:rFonts w:ascii="Times New Roman" w:hAnsi="Times New Roman"/>
          <w:sz w:val="24"/>
          <w:szCs w:val="24"/>
        </w:rPr>
        <w:t xml:space="preserve">cases. </w:t>
      </w:r>
      <w:r w:rsidRPr="004B01E7" w:rsidR="000038F6">
        <w:rPr>
          <w:rFonts w:ascii="Times New Roman" w:hAnsi="Times New Roman"/>
          <w:sz w:val="24"/>
          <w:szCs w:val="24"/>
        </w:rPr>
        <w:t>If case information is collected less frequently,</w:t>
      </w:r>
      <w:r w:rsidRPr="004B01E7" w:rsidR="004B01E7">
        <w:rPr>
          <w:rFonts w:ascii="Times New Roman" w:hAnsi="Times New Roman"/>
          <w:sz w:val="24"/>
          <w:szCs w:val="24"/>
        </w:rPr>
        <w:t xml:space="preserve"> </w:t>
      </w:r>
      <w:r w:rsidRPr="000916BF" w:rsidR="000038F6">
        <w:rPr>
          <w:rFonts w:ascii="Times New Roman" w:hAnsi="Times New Roman"/>
          <w:sz w:val="24"/>
          <w:szCs w:val="24"/>
        </w:rPr>
        <w:t xml:space="preserve">states </w:t>
      </w:r>
      <w:r w:rsidRPr="000916BF" w:rsidR="002B3804">
        <w:rPr>
          <w:rFonts w:ascii="Times New Roman" w:hAnsi="Times New Roman"/>
          <w:sz w:val="24"/>
          <w:szCs w:val="24"/>
        </w:rPr>
        <w:t xml:space="preserve">may not learn of, or </w:t>
      </w:r>
      <w:r w:rsidRPr="000916BF" w:rsidR="00CE559E">
        <w:rPr>
          <w:rFonts w:ascii="Times New Roman" w:hAnsi="Times New Roman"/>
          <w:sz w:val="24"/>
          <w:szCs w:val="24"/>
        </w:rPr>
        <w:t>may</w:t>
      </w:r>
      <w:r w:rsidRPr="000916BF" w:rsidR="002B3804">
        <w:rPr>
          <w:rFonts w:ascii="Times New Roman" w:hAnsi="Times New Roman"/>
          <w:sz w:val="24"/>
          <w:szCs w:val="24"/>
        </w:rPr>
        <w:t xml:space="preserve"> experience delays in learning</w:t>
      </w:r>
      <w:r w:rsidRPr="000916BF" w:rsidR="004B01E7">
        <w:rPr>
          <w:rFonts w:ascii="Times New Roman" w:hAnsi="Times New Roman"/>
          <w:sz w:val="24"/>
          <w:szCs w:val="24"/>
        </w:rPr>
        <w:t xml:space="preserve"> about,</w:t>
      </w:r>
      <w:r w:rsidRPr="000916BF" w:rsidR="002B3804">
        <w:rPr>
          <w:rFonts w:ascii="Times New Roman" w:hAnsi="Times New Roman"/>
          <w:sz w:val="24"/>
          <w:szCs w:val="24"/>
        </w:rPr>
        <w:t xml:space="preserve"> </w:t>
      </w:r>
      <w:r w:rsidRPr="000916BF" w:rsidR="00CE559E">
        <w:rPr>
          <w:rFonts w:ascii="Times New Roman" w:hAnsi="Times New Roman"/>
          <w:sz w:val="24"/>
          <w:szCs w:val="24"/>
        </w:rPr>
        <w:t xml:space="preserve">information </w:t>
      </w:r>
      <w:r w:rsidRPr="000916BF" w:rsidR="004B01E7">
        <w:rPr>
          <w:rFonts w:ascii="Times New Roman" w:hAnsi="Times New Roman"/>
          <w:sz w:val="24"/>
          <w:szCs w:val="24"/>
        </w:rPr>
        <w:t xml:space="preserve">of </w:t>
      </w:r>
      <w:r w:rsidRPr="000916BF" w:rsidR="00CE559E">
        <w:rPr>
          <w:rFonts w:ascii="Times New Roman" w:hAnsi="Times New Roman"/>
          <w:sz w:val="24"/>
          <w:szCs w:val="24"/>
        </w:rPr>
        <w:t xml:space="preserve">common participants </w:t>
      </w:r>
      <w:r w:rsidRPr="000916BF" w:rsidR="000038F6">
        <w:rPr>
          <w:rFonts w:ascii="Times New Roman" w:hAnsi="Times New Roman"/>
          <w:sz w:val="24"/>
          <w:szCs w:val="24"/>
        </w:rPr>
        <w:t>resulting in multiple orders</w:t>
      </w:r>
      <w:r w:rsidRPr="000916BF" w:rsidR="00CE559E">
        <w:rPr>
          <w:rFonts w:ascii="Times New Roman" w:hAnsi="Times New Roman"/>
          <w:sz w:val="24"/>
          <w:szCs w:val="24"/>
        </w:rPr>
        <w:t>,</w:t>
      </w:r>
      <w:r w:rsidRPr="000916BF" w:rsidR="000038F6">
        <w:rPr>
          <w:rFonts w:ascii="Times New Roman" w:hAnsi="Times New Roman"/>
          <w:sz w:val="24"/>
          <w:szCs w:val="24"/>
        </w:rPr>
        <w:t xml:space="preserve"> </w:t>
      </w:r>
      <w:r w:rsidRPr="000916BF" w:rsidR="00401DBD">
        <w:rPr>
          <w:rFonts w:ascii="Times New Roman" w:hAnsi="Times New Roman"/>
          <w:sz w:val="24"/>
          <w:szCs w:val="24"/>
        </w:rPr>
        <w:t>duplicative</w:t>
      </w:r>
      <w:r w:rsidRPr="000916BF" w:rsidR="00CE559E">
        <w:rPr>
          <w:rFonts w:ascii="Times New Roman" w:hAnsi="Times New Roman"/>
          <w:sz w:val="24"/>
          <w:szCs w:val="24"/>
        </w:rPr>
        <w:t xml:space="preserve"> actions, or</w:t>
      </w:r>
      <w:r w:rsidRPr="000916BF" w:rsidR="00401DBD">
        <w:rPr>
          <w:rFonts w:ascii="Times New Roman" w:hAnsi="Times New Roman"/>
          <w:sz w:val="24"/>
          <w:szCs w:val="24"/>
        </w:rPr>
        <w:t xml:space="preserve"> </w:t>
      </w:r>
      <w:r w:rsidRPr="000916BF" w:rsidR="000038F6">
        <w:rPr>
          <w:rFonts w:ascii="Times New Roman" w:hAnsi="Times New Roman"/>
          <w:sz w:val="24"/>
          <w:szCs w:val="24"/>
        </w:rPr>
        <w:t>ineffective</w:t>
      </w:r>
      <w:r w:rsidRPr="003F76C2" w:rsidR="000038F6">
        <w:rPr>
          <w:rFonts w:ascii="Times New Roman" w:hAnsi="Times New Roman"/>
          <w:sz w:val="24"/>
          <w:szCs w:val="24"/>
        </w:rPr>
        <w:t xml:space="preserve"> </w:t>
      </w:r>
      <w:r w:rsidR="001D589B">
        <w:rPr>
          <w:rFonts w:ascii="Times New Roman" w:hAnsi="Times New Roman"/>
          <w:sz w:val="24"/>
          <w:szCs w:val="24"/>
        </w:rPr>
        <w:t xml:space="preserve">child </w:t>
      </w:r>
      <w:r w:rsidRPr="003F76C2" w:rsidR="000038F6">
        <w:rPr>
          <w:rFonts w:ascii="Times New Roman" w:hAnsi="Times New Roman"/>
          <w:sz w:val="24"/>
          <w:szCs w:val="24"/>
        </w:rPr>
        <w:t xml:space="preserve">support activities. </w:t>
      </w:r>
    </w:p>
    <w:p w:rsidR="00722D14" w:rsidP="00722D14" w:rsidRDefault="00722D14">
      <w:r>
        <w:br w:type="page"/>
      </w:r>
    </w:p>
    <w:p w:rsidR="000038F6" w:rsidP="000038F6" w:rsidRDefault="000038F6">
      <w:pPr>
        <w:widowControl/>
        <w:ind w:left="360"/>
        <w:rPr>
          <w:rFonts w:ascii="Times New Roman" w:hAnsi="Times New Roman"/>
          <w:sz w:val="24"/>
          <w:szCs w:val="24"/>
        </w:rPr>
      </w:pPr>
    </w:p>
    <w:p w:rsidR="00233342" w:rsidP="000038F6" w:rsidRDefault="00233342">
      <w:pPr>
        <w:widowControl/>
        <w:ind w:left="360"/>
        <w:rPr>
          <w:rFonts w:ascii="Times New Roman" w:hAnsi="Times New Roman"/>
          <w:sz w:val="24"/>
          <w:szCs w:val="24"/>
        </w:rPr>
      </w:pPr>
    </w:p>
    <w:p w:rsidRPr="003F76C2" w:rsidR="00262162" w:rsidP="00262162" w:rsidRDefault="00262162">
      <w:pPr>
        <w:widowControl/>
        <w:numPr>
          <w:ilvl w:val="0"/>
          <w:numId w:val="1"/>
        </w:numPr>
        <w:tabs>
          <w:tab w:val="num" w:pos="360"/>
        </w:tabs>
        <w:ind w:left="360"/>
        <w:rPr>
          <w:rFonts w:ascii="Times New Roman" w:hAnsi="Times New Roman"/>
          <w:b/>
          <w:sz w:val="24"/>
          <w:szCs w:val="24"/>
        </w:rPr>
      </w:pPr>
      <w:r w:rsidRPr="003F76C2">
        <w:rPr>
          <w:rFonts w:ascii="Times New Roman" w:hAnsi="Times New Roman"/>
          <w:b/>
          <w:sz w:val="24"/>
          <w:szCs w:val="24"/>
        </w:rPr>
        <w:t>Special Circumstances Relating to the Guidelines of 5 C</w:t>
      </w:r>
      <w:r w:rsidRPr="003F76C2" w:rsidR="00EC1C95">
        <w:rPr>
          <w:rFonts w:ascii="Times New Roman" w:hAnsi="Times New Roman"/>
          <w:b/>
          <w:sz w:val="24"/>
          <w:szCs w:val="24"/>
        </w:rPr>
        <w:t>.</w:t>
      </w:r>
      <w:r w:rsidRPr="003F76C2">
        <w:rPr>
          <w:rFonts w:ascii="Times New Roman" w:hAnsi="Times New Roman"/>
          <w:b/>
          <w:sz w:val="24"/>
          <w:szCs w:val="24"/>
        </w:rPr>
        <w:t>F</w:t>
      </w:r>
      <w:r w:rsidRPr="003F76C2" w:rsidR="00EC1C95">
        <w:rPr>
          <w:rFonts w:ascii="Times New Roman" w:hAnsi="Times New Roman"/>
          <w:b/>
          <w:sz w:val="24"/>
          <w:szCs w:val="24"/>
        </w:rPr>
        <w:t>.</w:t>
      </w:r>
      <w:r w:rsidRPr="003F76C2">
        <w:rPr>
          <w:rFonts w:ascii="Times New Roman" w:hAnsi="Times New Roman"/>
          <w:b/>
          <w:sz w:val="24"/>
          <w:szCs w:val="24"/>
        </w:rPr>
        <w:t>R</w:t>
      </w:r>
      <w:r w:rsidRPr="003F76C2" w:rsidR="00EC1C95">
        <w:rPr>
          <w:rFonts w:ascii="Times New Roman" w:hAnsi="Times New Roman"/>
          <w:b/>
          <w:sz w:val="24"/>
          <w:szCs w:val="24"/>
        </w:rPr>
        <w:t xml:space="preserve"> </w:t>
      </w:r>
      <w:r w:rsidRPr="003F76C2">
        <w:rPr>
          <w:rFonts w:ascii="Times New Roman" w:hAnsi="Times New Roman"/>
          <w:b/>
          <w:sz w:val="24"/>
          <w:szCs w:val="24"/>
        </w:rPr>
        <w:t xml:space="preserve">1320.5 </w:t>
      </w:r>
    </w:p>
    <w:p w:rsidR="00EC1C95" w:rsidP="00EC1C95" w:rsidRDefault="00EC1C95">
      <w:pPr>
        <w:widowControl/>
        <w:rPr>
          <w:rFonts w:ascii="Times New Roman" w:hAnsi="Times New Roman"/>
          <w:sz w:val="24"/>
          <w:szCs w:val="24"/>
        </w:rPr>
      </w:pPr>
    </w:p>
    <w:p w:rsidRPr="00E03D7E" w:rsidR="00EC1C95" w:rsidP="00EC1C95" w:rsidRDefault="00944B87">
      <w:pPr>
        <w:pStyle w:val="CommentText"/>
        <w:ind w:left="360"/>
        <w:rPr>
          <w:rFonts w:ascii="Times New Roman" w:hAnsi="Times New Roman"/>
          <w:sz w:val="24"/>
          <w:szCs w:val="24"/>
        </w:rPr>
      </w:pPr>
      <w:r>
        <w:rPr>
          <w:rFonts w:ascii="Times New Roman" w:hAnsi="Times New Roman"/>
          <w:sz w:val="24"/>
          <w:szCs w:val="24"/>
        </w:rPr>
        <w:t>Current case information is necessar</w:t>
      </w:r>
      <w:r w:rsidR="003A61B7">
        <w:rPr>
          <w:rFonts w:ascii="Times New Roman" w:hAnsi="Times New Roman"/>
          <w:sz w:val="24"/>
          <w:szCs w:val="24"/>
        </w:rPr>
        <w:t xml:space="preserve">y for the efficacy of the FCR. </w:t>
      </w:r>
      <w:r>
        <w:rPr>
          <w:rFonts w:ascii="Times New Roman" w:hAnsi="Times New Roman"/>
          <w:sz w:val="24"/>
          <w:szCs w:val="24"/>
        </w:rPr>
        <w:t>S</w:t>
      </w:r>
      <w:r w:rsidR="00CF7EBA">
        <w:rPr>
          <w:rFonts w:ascii="Times New Roman" w:hAnsi="Times New Roman"/>
          <w:sz w:val="24"/>
          <w:szCs w:val="24"/>
        </w:rPr>
        <w:t>tates may submit new and updated case information to the FCR through their SCRs</w:t>
      </w:r>
      <w:r w:rsidR="003A61B7">
        <w:rPr>
          <w:rFonts w:ascii="Times New Roman" w:hAnsi="Times New Roman"/>
          <w:sz w:val="24"/>
          <w:szCs w:val="24"/>
        </w:rPr>
        <w:t xml:space="preserve"> </w:t>
      </w:r>
      <w:r w:rsidR="00CF7EBA">
        <w:rPr>
          <w:rFonts w:ascii="Times New Roman" w:hAnsi="Times New Roman"/>
          <w:sz w:val="24"/>
          <w:szCs w:val="24"/>
        </w:rPr>
        <w:t xml:space="preserve">more frequently; however, </w:t>
      </w:r>
      <w:r w:rsidRPr="00E57732" w:rsidR="00EC1C95">
        <w:rPr>
          <w:rFonts w:ascii="Times New Roman" w:hAnsi="Times New Roman"/>
          <w:sz w:val="24"/>
          <w:szCs w:val="24"/>
        </w:rPr>
        <w:t xml:space="preserve">45 CFR 307.11(f)(1) requires </w:t>
      </w:r>
      <w:r w:rsidR="00391C5F">
        <w:rPr>
          <w:rFonts w:ascii="Times New Roman" w:hAnsi="Times New Roman"/>
          <w:sz w:val="24"/>
          <w:szCs w:val="24"/>
        </w:rPr>
        <w:t xml:space="preserve">submission of </w:t>
      </w:r>
      <w:r w:rsidRPr="00E57732" w:rsidR="00EC1C95">
        <w:rPr>
          <w:rFonts w:ascii="Times New Roman" w:hAnsi="Times New Roman"/>
          <w:sz w:val="24"/>
          <w:szCs w:val="24"/>
        </w:rPr>
        <w:t>new and updated case</w:t>
      </w:r>
      <w:r w:rsidRPr="00E57732" w:rsidR="00AA006B">
        <w:rPr>
          <w:rFonts w:ascii="Times New Roman" w:hAnsi="Times New Roman"/>
          <w:sz w:val="24"/>
          <w:szCs w:val="24"/>
        </w:rPr>
        <w:t xml:space="preserve"> and participant</w:t>
      </w:r>
      <w:r w:rsidRPr="00E57732" w:rsidR="00EC1C95">
        <w:rPr>
          <w:rFonts w:ascii="Times New Roman" w:hAnsi="Times New Roman"/>
          <w:sz w:val="24"/>
          <w:szCs w:val="24"/>
        </w:rPr>
        <w:t xml:space="preserve"> information </w:t>
      </w:r>
      <w:r w:rsidR="006F489D">
        <w:rPr>
          <w:rFonts w:ascii="Times New Roman" w:hAnsi="Times New Roman"/>
          <w:sz w:val="24"/>
          <w:szCs w:val="24"/>
        </w:rPr>
        <w:t>from SCR</w:t>
      </w:r>
      <w:r w:rsidR="00391C5F">
        <w:rPr>
          <w:rFonts w:ascii="Times New Roman" w:hAnsi="Times New Roman"/>
          <w:sz w:val="24"/>
          <w:szCs w:val="24"/>
        </w:rPr>
        <w:t>s</w:t>
      </w:r>
      <w:r w:rsidR="006F489D">
        <w:rPr>
          <w:rFonts w:ascii="Times New Roman" w:hAnsi="Times New Roman"/>
          <w:sz w:val="24"/>
          <w:szCs w:val="24"/>
        </w:rPr>
        <w:t xml:space="preserve"> </w:t>
      </w:r>
      <w:r w:rsidRPr="00E57732" w:rsidR="00EC1C95">
        <w:rPr>
          <w:rFonts w:ascii="Times New Roman" w:hAnsi="Times New Roman"/>
          <w:sz w:val="24"/>
          <w:szCs w:val="24"/>
        </w:rPr>
        <w:t xml:space="preserve">to the </w:t>
      </w:r>
      <w:r w:rsidRPr="00E57732" w:rsidR="00146F7B">
        <w:rPr>
          <w:rFonts w:ascii="Times New Roman" w:hAnsi="Times New Roman"/>
          <w:sz w:val="24"/>
          <w:szCs w:val="24"/>
        </w:rPr>
        <w:t>FCR “</w:t>
      </w:r>
      <w:r w:rsidRPr="00E57732" w:rsidR="00EC1C95">
        <w:rPr>
          <w:rFonts w:ascii="Times New Roman" w:hAnsi="Times New Roman"/>
          <w:sz w:val="24"/>
          <w:szCs w:val="24"/>
        </w:rPr>
        <w:t>within five (5) business days of receipt</w:t>
      </w:r>
      <w:r w:rsidR="00052EEB">
        <w:rPr>
          <w:rFonts w:ascii="Times New Roman" w:hAnsi="Times New Roman"/>
          <w:sz w:val="24"/>
          <w:szCs w:val="24"/>
        </w:rPr>
        <w:t xml:space="preserve"> ....</w:t>
      </w:r>
      <w:r w:rsidR="00CF7EBA">
        <w:rPr>
          <w:rFonts w:ascii="Times New Roman" w:hAnsi="Times New Roman"/>
          <w:sz w:val="24"/>
          <w:szCs w:val="24"/>
        </w:rPr>
        <w:t>”</w:t>
      </w:r>
    </w:p>
    <w:p w:rsidR="00262162" w:rsidP="00262162" w:rsidRDefault="00262162">
      <w:pPr>
        <w:widowControl/>
        <w:tabs>
          <w:tab w:val="num" w:pos="360"/>
        </w:tabs>
        <w:ind w:hanging="360"/>
        <w:rPr>
          <w:rFonts w:ascii="Times New Roman" w:hAnsi="Times New Roman"/>
          <w:sz w:val="24"/>
          <w:szCs w:val="24"/>
        </w:rPr>
      </w:pPr>
    </w:p>
    <w:p w:rsidRPr="003F76C2" w:rsidR="00262162" w:rsidP="00262162" w:rsidRDefault="00262162">
      <w:pPr>
        <w:widowControl/>
        <w:numPr>
          <w:ilvl w:val="0"/>
          <w:numId w:val="1"/>
        </w:numPr>
        <w:tabs>
          <w:tab w:val="num" w:pos="360"/>
        </w:tabs>
        <w:ind w:left="360"/>
        <w:rPr>
          <w:rFonts w:ascii="Times New Roman" w:hAnsi="Times New Roman"/>
          <w:b/>
          <w:sz w:val="24"/>
          <w:szCs w:val="24"/>
        </w:rPr>
      </w:pPr>
      <w:r w:rsidRPr="003F76C2">
        <w:rPr>
          <w:rFonts w:ascii="Times New Roman" w:hAnsi="Times New Roman"/>
          <w:b/>
          <w:sz w:val="24"/>
          <w:szCs w:val="24"/>
        </w:rPr>
        <w:t xml:space="preserve">Comments in Response to the Federal Register Notice and Efforts to Consult Outside the Agency </w:t>
      </w:r>
    </w:p>
    <w:p w:rsidR="00262162" w:rsidP="00262162" w:rsidRDefault="00262162">
      <w:pPr>
        <w:widowControl/>
        <w:tabs>
          <w:tab w:val="num" w:pos="360"/>
        </w:tabs>
        <w:ind w:left="720" w:hanging="360"/>
        <w:rPr>
          <w:rFonts w:ascii="Times New Roman" w:hAnsi="Times New Roman"/>
          <w:sz w:val="24"/>
          <w:szCs w:val="24"/>
        </w:rPr>
      </w:pPr>
    </w:p>
    <w:p w:rsidRPr="003F76C2" w:rsidR="00262162" w:rsidP="00F54F45" w:rsidRDefault="00FB6F86">
      <w:pPr>
        <w:tabs>
          <w:tab w:val="num" w:pos="360"/>
        </w:tabs>
        <w:ind w:left="360"/>
        <w:rPr>
          <w:rFonts w:ascii="Times New Roman" w:hAnsi="Times New Roman"/>
          <w:sz w:val="24"/>
          <w:szCs w:val="24"/>
        </w:rPr>
      </w:pPr>
      <w:r w:rsidRPr="000916BF">
        <w:rPr>
          <w:rFonts w:ascii="Times New Roman" w:hAnsi="Times New Roman"/>
          <w:sz w:val="24"/>
          <w:szCs w:val="24"/>
        </w:rPr>
        <w:t>In accordance with the Paperwork Reduction Act of 1995 (Pub. L. 104-13) and Office of Management and Budget (OMB) regulations at 5 CFR Part 1320 (60 FR 44978, August 29, 1995)</w:t>
      </w:r>
      <w:r w:rsidRPr="000916BF" w:rsidR="008C60CB">
        <w:rPr>
          <w:rFonts w:ascii="Times New Roman" w:hAnsi="Times New Roman"/>
          <w:sz w:val="24"/>
          <w:szCs w:val="24"/>
        </w:rPr>
        <w:t xml:space="preserve">, </w:t>
      </w:r>
      <w:r w:rsidRPr="000916BF">
        <w:rPr>
          <w:rFonts w:ascii="Times New Roman" w:hAnsi="Times New Roman"/>
          <w:sz w:val="24"/>
          <w:szCs w:val="24"/>
        </w:rPr>
        <w:t>ACF published a notice in the Federal Register announcing the agency’s intention to request an OMB review of this in</w:t>
      </w:r>
      <w:r w:rsidR="000F767E">
        <w:rPr>
          <w:rFonts w:ascii="Times New Roman" w:hAnsi="Times New Roman"/>
          <w:sz w:val="24"/>
          <w:szCs w:val="24"/>
        </w:rPr>
        <w:t>formation collection activity. </w:t>
      </w:r>
      <w:r w:rsidRPr="000916BF">
        <w:rPr>
          <w:rFonts w:ascii="Times New Roman" w:hAnsi="Times New Roman"/>
          <w:sz w:val="24"/>
          <w:szCs w:val="24"/>
        </w:rPr>
        <w:t xml:space="preserve">This notice was published on May 29, 2020, Volume 85, Number 104, page 32400, and provided a </w:t>
      </w:r>
      <w:r w:rsidR="00D50845">
        <w:rPr>
          <w:rFonts w:ascii="Times New Roman" w:hAnsi="Times New Roman"/>
          <w:sz w:val="24"/>
          <w:szCs w:val="24"/>
        </w:rPr>
        <w:t>60</w:t>
      </w:r>
      <w:r w:rsidRPr="000916BF">
        <w:rPr>
          <w:rFonts w:ascii="Times New Roman" w:hAnsi="Times New Roman"/>
          <w:sz w:val="24"/>
          <w:szCs w:val="24"/>
        </w:rPr>
        <w:t>-day period for public comment.</w:t>
      </w:r>
      <w:r w:rsidR="000F767E">
        <w:t xml:space="preserve"> </w:t>
      </w:r>
      <w:r w:rsidRPr="002D58B5" w:rsidR="00262162">
        <w:rPr>
          <w:rFonts w:ascii="Times New Roman" w:hAnsi="Times New Roman"/>
          <w:sz w:val="24"/>
          <w:szCs w:val="24"/>
        </w:rPr>
        <w:t xml:space="preserve">During the </w:t>
      </w:r>
      <w:r w:rsidRPr="002D58B5" w:rsidR="002D58B5">
        <w:rPr>
          <w:rFonts w:ascii="Times New Roman" w:hAnsi="Times New Roman"/>
          <w:sz w:val="24"/>
          <w:szCs w:val="24"/>
        </w:rPr>
        <w:t>60</w:t>
      </w:r>
      <w:r w:rsidR="000F767E">
        <w:rPr>
          <w:rFonts w:ascii="Times New Roman" w:hAnsi="Times New Roman"/>
          <w:sz w:val="24"/>
          <w:szCs w:val="24"/>
        </w:rPr>
        <w:t>-</w:t>
      </w:r>
      <w:r w:rsidRPr="002D58B5" w:rsidR="002D58B5">
        <w:rPr>
          <w:rFonts w:ascii="Times New Roman" w:hAnsi="Times New Roman"/>
          <w:sz w:val="24"/>
          <w:szCs w:val="24"/>
        </w:rPr>
        <w:t xml:space="preserve">day </w:t>
      </w:r>
      <w:r w:rsidRPr="002D58B5" w:rsidR="00262162">
        <w:rPr>
          <w:rFonts w:ascii="Times New Roman" w:hAnsi="Times New Roman"/>
          <w:sz w:val="24"/>
          <w:szCs w:val="24"/>
        </w:rPr>
        <w:t xml:space="preserve">notice and comment period, </w:t>
      </w:r>
      <w:r w:rsidRPr="002D58B5" w:rsidR="007B5A77">
        <w:rPr>
          <w:rFonts w:ascii="Times New Roman" w:hAnsi="Times New Roman"/>
          <w:sz w:val="24"/>
          <w:szCs w:val="24"/>
        </w:rPr>
        <w:t xml:space="preserve">OCSE did not receive </w:t>
      </w:r>
      <w:r w:rsidRPr="002D58B5" w:rsidR="002D58B5">
        <w:rPr>
          <w:rFonts w:ascii="Times New Roman" w:hAnsi="Times New Roman"/>
          <w:sz w:val="24"/>
          <w:szCs w:val="24"/>
        </w:rPr>
        <w:t xml:space="preserve">any </w:t>
      </w:r>
      <w:r w:rsidRPr="002D58B5" w:rsidR="007B5A77">
        <w:rPr>
          <w:rFonts w:ascii="Times New Roman" w:hAnsi="Times New Roman"/>
          <w:sz w:val="24"/>
          <w:szCs w:val="24"/>
        </w:rPr>
        <w:t>comments.</w:t>
      </w:r>
    </w:p>
    <w:p w:rsidRPr="0064376B" w:rsidR="0064376B" w:rsidP="00F54F45" w:rsidRDefault="0064376B">
      <w:pPr>
        <w:tabs>
          <w:tab w:val="num" w:pos="360"/>
        </w:tabs>
        <w:ind w:left="360"/>
        <w:rPr>
          <w:rFonts w:ascii="Times New Roman" w:hAnsi="Times New Roman"/>
        </w:rPr>
      </w:pPr>
    </w:p>
    <w:p w:rsidRPr="0072550F" w:rsidR="00262162" w:rsidP="00262162" w:rsidRDefault="00262162">
      <w:pPr>
        <w:widowControl/>
        <w:numPr>
          <w:ilvl w:val="0"/>
          <w:numId w:val="1"/>
        </w:numPr>
        <w:tabs>
          <w:tab w:val="num" w:pos="360"/>
        </w:tabs>
        <w:ind w:left="360"/>
        <w:rPr>
          <w:rFonts w:ascii="Times New Roman" w:hAnsi="Times New Roman"/>
          <w:b/>
          <w:sz w:val="24"/>
          <w:szCs w:val="24"/>
        </w:rPr>
      </w:pPr>
      <w:r w:rsidRPr="0072550F">
        <w:rPr>
          <w:rFonts w:ascii="Times New Roman" w:hAnsi="Times New Roman"/>
          <w:b/>
          <w:sz w:val="24"/>
          <w:szCs w:val="24"/>
        </w:rPr>
        <w:t xml:space="preserve">Explanation of Any Payment or Gift to Respondents </w:t>
      </w:r>
    </w:p>
    <w:p w:rsidR="00262162" w:rsidP="00262162" w:rsidRDefault="00262162">
      <w:pPr>
        <w:widowControl/>
        <w:tabs>
          <w:tab w:val="num" w:pos="360"/>
        </w:tabs>
        <w:ind w:left="720" w:hanging="360"/>
        <w:rPr>
          <w:rFonts w:ascii="Times New Roman" w:hAnsi="Times New Roman"/>
          <w:sz w:val="24"/>
          <w:szCs w:val="24"/>
        </w:rPr>
      </w:pPr>
    </w:p>
    <w:p w:rsidRPr="0072550F" w:rsidR="00E231BD" w:rsidP="00E548E7" w:rsidRDefault="00543F6F">
      <w:pPr>
        <w:suppressAutoHyphens/>
        <w:ind w:left="360"/>
        <w:rPr>
          <w:rFonts w:ascii="Times New Roman" w:hAnsi="Times New Roman"/>
          <w:sz w:val="24"/>
          <w:szCs w:val="24"/>
        </w:rPr>
      </w:pPr>
      <w:r>
        <w:rPr>
          <w:rFonts w:ascii="Times New Roman" w:hAnsi="Times New Roman"/>
          <w:sz w:val="24"/>
          <w:szCs w:val="24"/>
        </w:rPr>
        <w:t>Respondents do not receive p</w:t>
      </w:r>
      <w:r w:rsidRPr="0072550F" w:rsidR="00E231BD">
        <w:rPr>
          <w:rFonts w:ascii="Times New Roman" w:hAnsi="Times New Roman"/>
          <w:sz w:val="24"/>
          <w:szCs w:val="24"/>
        </w:rPr>
        <w:t>ayment</w:t>
      </w:r>
      <w:r w:rsidR="00441804">
        <w:rPr>
          <w:rFonts w:ascii="Times New Roman" w:hAnsi="Times New Roman"/>
          <w:sz w:val="24"/>
          <w:szCs w:val="24"/>
        </w:rPr>
        <w:t>s</w:t>
      </w:r>
      <w:r w:rsidRPr="0072550F" w:rsidR="00E231BD">
        <w:rPr>
          <w:rFonts w:ascii="Times New Roman" w:hAnsi="Times New Roman"/>
          <w:sz w:val="24"/>
          <w:szCs w:val="24"/>
        </w:rPr>
        <w:t xml:space="preserve"> or gift</w:t>
      </w:r>
      <w:r w:rsidR="00441804">
        <w:rPr>
          <w:rFonts w:ascii="Times New Roman" w:hAnsi="Times New Roman"/>
          <w:sz w:val="24"/>
          <w:szCs w:val="24"/>
        </w:rPr>
        <w:t>s</w:t>
      </w:r>
      <w:r>
        <w:rPr>
          <w:rFonts w:ascii="Times New Roman" w:hAnsi="Times New Roman"/>
          <w:sz w:val="24"/>
          <w:szCs w:val="24"/>
        </w:rPr>
        <w:t xml:space="preserve"> in exchange for providing information</w:t>
      </w:r>
      <w:r w:rsidRPr="0072550F" w:rsidR="00E231BD">
        <w:rPr>
          <w:rFonts w:ascii="Times New Roman" w:hAnsi="Times New Roman"/>
          <w:sz w:val="24"/>
          <w:szCs w:val="24"/>
        </w:rPr>
        <w:t>.</w:t>
      </w:r>
      <w:r w:rsidR="009344E9">
        <w:rPr>
          <w:rFonts w:ascii="Times New Roman" w:hAnsi="Times New Roman"/>
          <w:sz w:val="24"/>
          <w:szCs w:val="24"/>
        </w:rPr>
        <w:t xml:space="preserve"> </w:t>
      </w:r>
    </w:p>
    <w:p w:rsidR="00262162" w:rsidP="00262162" w:rsidRDefault="00262162">
      <w:pPr>
        <w:widowControl/>
        <w:tabs>
          <w:tab w:val="num" w:pos="360"/>
        </w:tabs>
        <w:ind w:left="720" w:hanging="360"/>
        <w:rPr>
          <w:rFonts w:ascii="Times New Roman" w:hAnsi="Times New Roman"/>
          <w:sz w:val="24"/>
          <w:szCs w:val="24"/>
        </w:rPr>
      </w:pPr>
    </w:p>
    <w:p w:rsidR="001665BA" w:rsidP="001665BA" w:rsidRDefault="00262162">
      <w:pPr>
        <w:widowControl/>
        <w:numPr>
          <w:ilvl w:val="0"/>
          <w:numId w:val="1"/>
        </w:numPr>
        <w:tabs>
          <w:tab w:val="num" w:pos="360"/>
        </w:tabs>
        <w:ind w:left="360"/>
        <w:rPr>
          <w:rFonts w:ascii="Times New Roman" w:hAnsi="Times New Roman"/>
          <w:b/>
          <w:sz w:val="24"/>
          <w:szCs w:val="24"/>
        </w:rPr>
      </w:pPr>
      <w:r w:rsidRPr="00D83A33">
        <w:rPr>
          <w:rFonts w:ascii="Times New Roman" w:hAnsi="Times New Roman"/>
          <w:b/>
          <w:sz w:val="24"/>
          <w:szCs w:val="24"/>
        </w:rPr>
        <w:t xml:space="preserve">Assurance of Confidentiality Provided to Respondents </w:t>
      </w:r>
    </w:p>
    <w:p w:rsidRPr="001665BA" w:rsidR="00455154" w:rsidP="008C60CB" w:rsidRDefault="00455154">
      <w:pPr>
        <w:widowControl/>
        <w:rPr>
          <w:rFonts w:ascii="Times New Roman" w:hAnsi="Times New Roman"/>
          <w:b/>
          <w:sz w:val="24"/>
          <w:szCs w:val="24"/>
        </w:rPr>
      </w:pPr>
    </w:p>
    <w:p w:rsidRPr="00C6231B" w:rsidR="00455154" w:rsidP="00455154" w:rsidRDefault="00455154">
      <w:pPr>
        <w:pStyle w:val="ListParagraph"/>
        <w:suppressAutoHyphens/>
        <w:ind w:left="360"/>
        <w:jc w:val="both"/>
        <w:rPr>
          <w:rFonts w:ascii="Times New Roman" w:hAnsi="Times New Roman"/>
          <w:b/>
          <w:sz w:val="24"/>
          <w:szCs w:val="24"/>
        </w:rPr>
      </w:pPr>
      <w:r>
        <w:rPr>
          <w:rFonts w:ascii="Times New Roman" w:hAnsi="Times New Roman"/>
          <w:sz w:val="24"/>
          <w:szCs w:val="24"/>
        </w:rPr>
        <w:t>OC</w:t>
      </w:r>
      <w:r w:rsidRPr="00C6231B">
        <w:rPr>
          <w:rFonts w:ascii="Times New Roman" w:hAnsi="Times New Roman"/>
          <w:sz w:val="24"/>
          <w:szCs w:val="24"/>
        </w:rPr>
        <w:t xml:space="preserve">SE and states adhere to the following Social Security Act requirements to ensure </w:t>
      </w:r>
    </w:p>
    <w:p w:rsidR="00262162" w:rsidP="00455154" w:rsidRDefault="00FA456B">
      <w:pPr>
        <w:widowControl/>
        <w:tabs>
          <w:tab w:val="num" w:pos="360"/>
        </w:tabs>
        <w:ind w:left="720" w:hanging="360"/>
        <w:rPr>
          <w:rFonts w:ascii="Times New Roman" w:hAnsi="Times New Roman"/>
          <w:sz w:val="24"/>
          <w:szCs w:val="24"/>
        </w:rPr>
      </w:pPr>
      <w:r>
        <w:rPr>
          <w:rFonts w:ascii="Times New Roman" w:hAnsi="Times New Roman"/>
          <w:sz w:val="24"/>
          <w:szCs w:val="24"/>
        </w:rPr>
        <w:t>c</w:t>
      </w:r>
      <w:r w:rsidRPr="00C6231B" w:rsidR="00455154">
        <w:rPr>
          <w:rFonts w:ascii="Times New Roman" w:hAnsi="Times New Roman"/>
          <w:sz w:val="24"/>
          <w:szCs w:val="24"/>
        </w:rPr>
        <w:t>onfidentiality</w:t>
      </w:r>
      <w:r w:rsidR="00455154">
        <w:rPr>
          <w:rFonts w:ascii="Times New Roman" w:hAnsi="Times New Roman"/>
          <w:sz w:val="24"/>
          <w:szCs w:val="24"/>
        </w:rPr>
        <w:t>:</w:t>
      </w:r>
    </w:p>
    <w:p w:rsidR="008C60CB" w:rsidP="00455154" w:rsidRDefault="008C60CB">
      <w:pPr>
        <w:widowControl/>
        <w:tabs>
          <w:tab w:val="num" w:pos="360"/>
        </w:tabs>
        <w:ind w:left="720" w:hanging="360"/>
        <w:rPr>
          <w:rFonts w:ascii="Times New Roman" w:hAnsi="Times New Roman"/>
          <w:sz w:val="24"/>
          <w:szCs w:val="24"/>
        </w:rPr>
      </w:pPr>
    </w:p>
    <w:p w:rsidRPr="00D65789" w:rsidR="00A52225" w:rsidP="006745C2" w:rsidRDefault="00A52225">
      <w:pPr>
        <w:pStyle w:val="ListParagraph"/>
        <w:numPr>
          <w:ilvl w:val="0"/>
          <w:numId w:val="21"/>
        </w:numPr>
        <w:suppressAutoHyphens/>
        <w:rPr>
          <w:rFonts w:ascii="Times New Roman" w:hAnsi="Times New Roman"/>
          <w:sz w:val="24"/>
          <w:szCs w:val="24"/>
        </w:rPr>
      </w:pPr>
      <w:r w:rsidRPr="00D65789">
        <w:rPr>
          <w:rFonts w:ascii="Times New Roman" w:hAnsi="Times New Roman"/>
          <w:sz w:val="24"/>
          <w:szCs w:val="24"/>
        </w:rPr>
        <w:t>Section 453(l) of the Act states: “Information in the Federal Parent Locator Service, and</w:t>
      </w:r>
      <w:r w:rsidRPr="00D65789" w:rsidR="00455154">
        <w:rPr>
          <w:rFonts w:ascii="Times New Roman" w:hAnsi="Times New Roman"/>
          <w:sz w:val="24"/>
          <w:szCs w:val="24"/>
        </w:rPr>
        <w:t xml:space="preserve"> </w:t>
      </w:r>
      <w:r w:rsidRPr="00D65789">
        <w:rPr>
          <w:rFonts w:ascii="Times New Roman" w:hAnsi="Times New Roman"/>
          <w:sz w:val="24"/>
          <w:szCs w:val="24"/>
        </w:rPr>
        <w:t>information resulting from comparisons using such information, shall not be used or disclosed except as expressly provided in this section, subject to Section 6103 of the Internal Revenue Code of 1986.” 42 U.S.C. § 653(l).</w:t>
      </w:r>
      <w:r w:rsidRPr="00D65789" w:rsidR="001B3425">
        <w:rPr>
          <w:rFonts w:ascii="Times New Roman" w:hAnsi="Times New Roman"/>
          <w:sz w:val="24"/>
          <w:szCs w:val="24"/>
        </w:rPr>
        <w:t xml:space="preserve">  </w:t>
      </w:r>
    </w:p>
    <w:p w:rsidRPr="00D83A33" w:rsidR="00A52225" w:rsidP="00A52225" w:rsidRDefault="00A52225">
      <w:pPr>
        <w:suppressAutoHyphens/>
        <w:rPr>
          <w:rFonts w:ascii="Times New Roman" w:hAnsi="Times New Roman"/>
          <w:sz w:val="24"/>
          <w:szCs w:val="24"/>
        </w:rPr>
      </w:pPr>
    </w:p>
    <w:p w:rsidRPr="00C17CA9" w:rsidR="00A52225" w:rsidP="00603346" w:rsidRDefault="00A52225">
      <w:pPr>
        <w:pStyle w:val="ListParagraph"/>
        <w:numPr>
          <w:ilvl w:val="0"/>
          <w:numId w:val="21"/>
        </w:numPr>
        <w:suppressAutoHyphens/>
        <w:snapToGrid/>
        <w:contextualSpacing/>
        <w:rPr>
          <w:rFonts w:ascii="Times New Roman" w:hAnsi="Times New Roman"/>
          <w:sz w:val="24"/>
          <w:szCs w:val="24"/>
        </w:rPr>
      </w:pPr>
      <w:r w:rsidRPr="00C17CA9">
        <w:rPr>
          <w:rFonts w:ascii="Times New Roman" w:hAnsi="Times New Roman"/>
          <w:sz w:val="24"/>
          <w:szCs w:val="24"/>
        </w:rPr>
        <w:t>Section 453(b)(1) of the Act discusses the disclosure of information to authorized persons upon request and states:  “... the Secretary shall ... provide through the Federal Parent Locator Service such information to suc</w:t>
      </w:r>
      <w:r w:rsidRPr="00C17CA9" w:rsidR="00C17CA9">
        <w:rPr>
          <w:rFonts w:ascii="Times New Roman" w:hAnsi="Times New Roman"/>
          <w:sz w:val="24"/>
          <w:szCs w:val="24"/>
        </w:rPr>
        <w:t xml:space="preserve">h person, if such information </w:t>
      </w:r>
      <w:r w:rsidR="00C17CA9">
        <w:rPr>
          <w:rFonts w:ascii="Times New Roman" w:hAnsi="Times New Roman"/>
          <w:sz w:val="24"/>
          <w:szCs w:val="24"/>
        </w:rPr>
        <w:t xml:space="preserve">– </w:t>
      </w:r>
      <w:r w:rsidRPr="00C17CA9">
        <w:rPr>
          <w:rFonts w:ascii="Times New Roman" w:hAnsi="Times New Roman"/>
          <w:sz w:val="24"/>
          <w:szCs w:val="24"/>
        </w:rPr>
        <w:t xml:space="preserve">is contained in any files or records maintained by the Secretary...; or  ... can be obtained by the Secretary ... from another department, agency, or instrumentality of the United States or of any State….” 42 U.S.C. § 653(b)(1).  </w:t>
      </w:r>
    </w:p>
    <w:p w:rsidRPr="00D83A33" w:rsidR="00A52225" w:rsidP="00A52225" w:rsidRDefault="00A52225">
      <w:pPr>
        <w:pStyle w:val="ListParagraph"/>
        <w:rPr>
          <w:rFonts w:ascii="Times New Roman" w:hAnsi="Times New Roman"/>
          <w:sz w:val="24"/>
          <w:szCs w:val="24"/>
        </w:rPr>
      </w:pPr>
    </w:p>
    <w:p w:rsidR="00A52225" w:rsidP="006745C2" w:rsidRDefault="00A52225">
      <w:pPr>
        <w:pStyle w:val="ListParagraph"/>
        <w:numPr>
          <w:ilvl w:val="0"/>
          <w:numId w:val="23"/>
        </w:numPr>
        <w:suppressAutoHyphens/>
        <w:snapToGrid/>
        <w:contextualSpacing/>
        <w:rPr>
          <w:rFonts w:ascii="Times New Roman" w:hAnsi="Times New Roman"/>
          <w:sz w:val="24"/>
          <w:szCs w:val="24"/>
        </w:rPr>
      </w:pPr>
      <w:r w:rsidRPr="006745C2">
        <w:rPr>
          <w:rFonts w:ascii="Times New Roman" w:hAnsi="Times New Roman"/>
          <w:sz w:val="24"/>
          <w:szCs w:val="24"/>
        </w:rPr>
        <w:t>Section 453(b)(2) of the Act provides that: “[n]o information shall be disclosed to any person if the disclosure of such information would contravene the national policy or security interests of the United States or the confidentiality of census data.</w:t>
      </w:r>
      <w:r w:rsidR="00085D7B">
        <w:rPr>
          <w:rFonts w:ascii="Times New Roman" w:hAnsi="Times New Roman"/>
          <w:sz w:val="24"/>
          <w:szCs w:val="24"/>
        </w:rPr>
        <w:t xml:space="preserve"> …</w:t>
      </w:r>
      <w:r w:rsidRPr="006745C2">
        <w:rPr>
          <w:rFonts w:ascii="Times New Roman" w:hAnsi="Times New Roman"/>
          <w:sz w:val="24"/>
          <w:szCs w:val="24"/>
        </w:rPr>
        <w:t xml:space="preserve"> No information shall be disclosed to any person if the State has notified the Secretary that the State has reasonable evidence of domestic violence or child abuse and the disclosure of </w:t>
      </w:r>
      <w:r w:rsidRPr="006745C2">
        <w:rPr>
          <w:rFonts w:ascii="Times New Roman" w:hAnsi="Times New Roman"/>
          <w:sz w:val="24"/>
          <w:szCs w:val="24"/>
        </w:rPr>
        <w:lastRenderedPageBreak/>
        <w:t xml:space="preserve">such information could be harmful to the custodial parent or the child....” 42 U.S.C. § 653(b)(2).  </w:t>
      </w:r>
    </w:p>
    <w:p w:rsidR="0043634F" w:rsidP="0043634F" w:rsidRDefault="0043634F">
      <w:pPr>
        <w:pStyle w:val="ListParagraph"/>
        <w:suppressAutoHyphens/>
        <w:snapToGrid/>
        <w:contextualSpacing/>
        <w:rPr>
          <w:rFonts w:ascii="Times New Roman" w:hAnsi="Times New Roman"/>
          <w:sz w:val="24"/>
          <w:szCs w:val="24"/>
        </w:rPr>
      </w:pPr>
    </w:p>
    <w:p w:rsidRPr="00D83A33" w:rsidR="00A52225" w:rsidP="006745C2" w:rsidRDefault="00A52225">
      <w:pPr>
        <w:pStyle w:val="ListParagraph"/>
        <w:numPr>
          <w:ilvl w:val="0"/>
          <w:numId w:val="21"/>
        </w:numPr>
        <w:suppressAutoHyphens/>
        <w:snapToGrid/>
        <w:contextualSpacing/>
        <w:rPr>
          <w:rFonts w:ascii="Times New Roman" w:hAnsi="Times New Roman"/>
          <w:sz w:val="24"/>
          <w:szCs w:val="24"/>
        </w:rPr>
      </w:pPr>
      <w:r w:rsidRPr="00D83A33">
        <w:rPr>
          <w:rFonts w:ascii="Times New Roman" w:hAnsi="Times New Roman"/>
          <w:sz w:val="24"/>
          <w:szCs w:val="24"/>
        </w:rPr>
        <w:t xml:space="preserve">Section 453(b)(3) of the Act further provides that: “[i]nformation received or transmitted ... shall be subject to the safeguard provisions contained in section 454(26).” 42 U.S.C. § 653(b)(3). </w:t>
      </w:r>
    </w:p>
    <w:p w:rsidRPr="00D83A33" w:rsidR="00A52225" w:rsidP="00A52225" w:rsidRDefault="00A52225">
      <w:pPr>
        <w:widowControl/>
        <w:rPr>
          <w:rFonts w:ascii="Times New Roman" w:hAnsi="Times New Roman"/>
          <w:sz w:val="24"/>
          <w:szCs w:val="24"/>
        </w:rPr>
      </w:pPr>
    </w:p>
    <w:p w:rsidRPr="002E58C8" w:rsidR="00A52225" w:rsidP="006745C2" w:rsidRDefault="00A52225">
      <w:pPr>
        <w:pStyle w:val="ListParagraph"/>
        <w:numPr>
          <w:ilvl w:val="0"/>
          <w:numId w:val="21"/>
        </w:numPr>
        <w:suppressAutoHyphens/>
        <w:snapToGrid/>
        <w:contextualSpacing/>
        <w:rPr>
          <w:rFonts w:ascii="Times New Roman" w:hAnsi="Times New Roman"/>
          <w:sz w:val="24"/>
          <w:szCs w:val="24"/>
        </w:rPr>
      </w:pPr>
      <w:r w:rsidRPr="00C17CA9">
        <w:rPr>
          <w:rFonts w:ascii="Times New Roman" w:hAnsi="Times New Roman"/>
          <w:sz w:val="24"/>
          <w:szCs w:val="24"/>
        </w:rPr>
        <w:t>Section 454(26) of the Act requires each state to implement the following safeguards “…applicable to all confidential information handled by the State agency, that are designed to protect the privacy righ</w:t>
      </w:r>
      <w:r w:rsidRPr="00C17CA9" w:rsidR="00C17CA9">
        <w:rPr>
          <w:rFonts w:ascii="Times New Roman" w:hAnsi="Times New Roman"/>
          <w:sz w:val="24"/>
          <w:szCs w:val="24"/>
        </w:rPr>
        <w:t>ts of the parties, including –</w:t>
      </w:r>
      <w:r w:rsidRPr="002E58C8" w:rsidR="00C17CA9">
        <w:rPr>
          <w:rFonts w:ascii="Times New Roman" w:hAnsi="Times New Roman"/>
          <w:sz w:val="24"/>
          <w:szCs w:val="24"/>
        </w:rPr>
        <w:t xml:space="preserve"> </w:t>
      </w:r>
      <w:r w:rsidRPr="002E58C8">
        <w:rPr>
          <w:rFonts w:ascii="Times New Roman" w:hAnsi="Times New Roman"/>
          <w:sz w:val="24"/>
          <w:szCs w:val="24"/>
        </w:rPr>
        <w:t>(A) safeguards against unauthorized use or disclosure of information relating to proceedings or actions to establish paternity, or to establish, modify, or enforce support, or to make or enforce a child custody determination; (B) prohibitions against the release of information on the whereabouts of 1 party or the child to another party against whom a protective order with respect to the former party or the child has been entered;” and “(C) prohibitions against the release of information on the whereabouts of 1 party or the child to another person if the State has reason to believe that the release of the information to that person may result in physical or emotional harm to the party or the child....”  42 U.S.C. § 654(26).</w:t>
      </w:r>
    </w:p>
    <w:p w:rsidRPr="00D83A33" w:rsidR="00262162" w:rsidP="00262162" w:rsidRDefault="00262162">
      <w:pPr>
        <w:widowControl/>
        <w:tabs>
          <w:tab w:val="num" w:pos="360"/>
        </w:tabs>
        <w:ind w:left="720" w:hanging="360"/>
        <w:rPr>
          <w:rFonts w:ascii="Times New Roman" w:hAnsi="Times New Roman"/>
          <w:sz w:val="24"/>
          <w:szCs w:val="24"/>
        </w:rPr>
      </w:pPr>
    </w:p>
    <w:p w:rsidRPr="005A1AC5" w:rsidR="00262162" w:rsidP="00262162" w:rsidRDefault="007B5A77">
      <w:pPr>
        <w:widowControl/>
        <w:numPr>
          <w:ilvl w:val="0"/>
          <w:numId w:val="1"/>
        </w:numPr>
        <w:tabs>
          <w:tab w:val="num" w:pos="360"/>
        </w:tabs>
        <w:ind w:left="360"/>
        <w:rPr>
          <w:rFonts w:ascii="Times New Roman" w:hAnsi="Times New Roman"/>
          <w:b/>
          <w:sz w:val="24"/>
          <w:szCs w:val="24"/>
        </w:rPr>
      </w:pPr>
      <w:r>
        <w:rPr>
          <w:rFonts w:ascii="Times New Roman" w:hAnsi="Times New Roman"/>
          <w:b/>
          <w:sz w:val="24"/>
          <w:szCs w:val="24"/>
        </w:rPr>
        <w:t xml:space="preserve"> </w:t>
      </w:r>
      <w:r w:rsidRPr="005A1AC5" w:rsidR="00262162">
        <w:rPr>
          <w:rFonts w:ascii="Times New Roman" w:hAnsi="Times New Roman"/>
          <w:b/>
          <w:sz w:val="24"/>
          <w:szCs w:val="24"/>
        </w:rPr>
        <w:t xml:space="preserve">Justification for Sensitive Questions </w:t>
      </w:r>
    </w:p>
    <w:p w:rsidR="00262162" w:rsidP="00262162" w:rsidRDefault="00262162">
      <w:pPr>
        <w:widowControl/>
        <w:tabs>
          <w:tab w:val="num" w:pos="360"/>
        </w:tabs>
        <w:ind w:left="720" w:hanging="360"/>
        <w:rPr>
          <w:rFonts w:ascii="Times New Roman" w:hAnsi="Times New Roman"/>
          <w:sz w:val="24"/>
          <w:szCs w:val="24"/>
        </w:rPr>
      </w:pPr>
    </w:p>
    <w:p w:rsidRPr="00270676" w:rsidR="007B5A77" w:rsidP="00CC1871" w:rsidRDefault="007B5A77">
      <w:pPr>
        <w:suppressAutoHyphens/>
        <w:ind w:left="450"/>
        <w:rPr>
          <w:rFonts w:ascii="Times New Roman" w:hAnsi="Times New Roman"/>
          <w:sz w:val="24"/>
          <w:szCs w:val="24"/>
        </w:rPr>
      </w:pPr>
      <w:r>
        <w:rPr>
          <w:rFonts w:ascii="Times New Roman" w:hAnsi="Times New Roman"/>
          <w:sz w:val="24"/>
          <w:szCs w:val="24"/>
        </w:rPr>
        <w:t xml:space="preserve">Federal law requires </w:t>
      </w:r>
      <w:r w:rsidRPr="005A1AC5" w:rsidR="0064376B">
        <w:rPr>
          <w:rFonts w:ascii="Times New Roman" w:hAnsi="Times New Roman"/>
          <w:sz w:val="24"/>
          <w:szCs w:val="24"/>
        </w:rPr>
        <w:t xml:space="preserve">OCSE to operate the FPLS and maintain certain automated directories for the primary purpose of assisting state child support agencies. OCSE is also required to assist other state and federal agencies for authorized purposes. Sensitive information, if any, is justified because state child support agencies are required to obtain information pertaining to the establishment of parentage and the establishment, modification, and enforcement of support obligations. </w:t>
      </w:r>
      <w:r w:rsidR="00012B16">
        <w:rPr>
          <w:rFonts w:ascii="Times New Roman" w:hAnsi="Times New Roman"/>
          <w:sz w:val="24"/>
          <w:szCs w:val="24"/>
        </w:rPr>
        <w:t>I</w:t>
      </w:r>
      <w:r w:rsidRPr="00270676" w:rsidR="003F06D1">
        <w:rPr>
          <w:rFonts w:ascii="Times New Roman" w:hAnsi="Times New Roman"/>
          <w:sz w:val="24"/>
          <w:szCs w:val="24"/>
        </w:rPr>
        <w:t xml:space="preserve">nformation required to register on the FCR is the participant’s first name, last name, Social Security number or date of birth, sex; state case number, Federal Information Processing Standard code; and case category and participant type.  </w:t>
      </w:r>
    </w:p>
    <w:p w:rsidRPr="005A1AC5" w:rsidR="0064376B" w:rsidP="00CC1871" w:rsidRDefault="0064376B">
      <w:pPr>
        <w:widowControl/>
        <w:ind w:left="450"/>
        <w:rPr>
          <w:rFonts w:ascii="Times New Roman" w:hAnsi="Times New Roman"/>
          <w:b/>
          <w:spacing w:val="-3"/>
          <w:sz w:val="24"/>
          <w:szCs w:val="24"/>
        </w:rPr>
      </w:pPr>
      <w:r w:rsidRPr="005A1AC5">
        <w:rPr>
          <w:rFonts w:ascii="Times New Roman" w:hAnsi="Times New Roman"/>
          <w:sz w:val="24"/>
          <w:szCs w:val="24"/>
        </w:rPr>
        <w:t xml:space="preserve">The collection of </w:t>
      </w:r>
      <w:r w:rsidR="003F06D1">
        <w:rPr>
          <w:rFonts w:ascii="Times New Roman" w:hAnsi="Times New Roman"/>
          <w:sz w:val="24"/>
          <w:szCs w:val="24"/>
        </w:rPr>
        <w:t xml:space="preserve">this information </w:t>
      </w:r>
      <w:r w:rsidRPr="005A1AC5">
        <w:rPr>
          <w:rFonts w:ascii="Times New Roman" w:hAnsi="Times New Roman"/>
          <w:sz w:val="24"/>
          <w:szCs w:val="24"/>
        </w:rPr>
        <w:t xml:space="preserve">is necessary to </w:t>
      </w:r>
      <w:r w:rsidR="006B05F6">
        <w:rPr>
          <w:rFonts w:ascii="Times New Roman" w:hAnsi="Times New Roman"/>
          <w:sz w:val="24"/>
          <w:szCs w:val="24"/>
        </w:rPr>
        <w:t>correctly</w:t>
      </w:r>
      <w:r w:rsidRPr="005A1AC5">
        <w:rPr>
          <w:rFonts w:ascii="Times New Roman" w:hAnsi="Times New Roman"/>
          <w:sz w:val="24"/>
          <w:szCs w:val="24"/>
        </w:rPr>
        <w:t xml:space="preserve"> match</w:t>
      </w:r>
      <w:r w:rsidR="006B05F6">
        <w:rPr>
          <w:rFonts w:ascii="Times New Roman" w:hAnsi="Times New Roman"/>
          <w:sz w:val="24"/>
          <w:szCs w:val="24"/>
        </w:rPr>
        <w:t xml:space="preserve"> case and participant </w:t>
      </w:r>
      <w:r w:rsidRPr="005A1AC5">
        <w:rPr>
          <w:rFonts w:ascii="Times New Roman" w:hAnsi="Times New Roman"/>
          <w:sz w:val="24"/>
          <w:szCs w:val="24"/>
        </w:rPr>
        <w:t>information</w:t>
      </w:r>
      <w:r w:rsidR="006B05F6">
        <w:rPr>
          <w:rFonts w:ascii="Times New Roman" w:hAnsi="Times New Roman"/>
          <w:sz w:val="24"/>
          <w:szCs w:val="24"/>
        </w:rPr>
        <w:t>.</w:t>
      </w:r>
      <w:r w:rsidRPr="005A1AC5">
        <w:rPr>
          <w:rFonts w:ascii="Times New Roman" w:hAnsi="Times New Roman"/>
          <w:sz w:val="24"/>
          <w:szCs w:val="24"/>
        </w:rPr>
        <w:t xml:space="preserve"> See 42 U.S.C. §</w:t>
      </w:r>
      <w:r w:rsidRPr="005A1AC5" w:rsidR="006A1CDA">
        <w:rPr>
          <w:rFonts w:ascii="Times New Roman" w:hAnsi="Times New Roman"/>
          <w:sz w:val="24"/>
          <w:szCs w:val="24"/>
        </w:rPr>
        <w:t xml:space="preserve"> </w:t>
      </w:r>
      <w:r w:rsidRPr="005A1AC5">
        <w:rPr>
          <w:rFonts w:ascii="Times New Roman" w:hAnsi="Times New Roman"/>
          <w:sz w:val="24"/>
          <w:szCs w:val="24"/>
        </w:rPr>
        <w:t>653(h)(2) and 45 CFR</w:t>
      </w:r>
      <w:r w:rsidRPr="005A1AC5" w:rsidR="00146F7B">
        <w:rPr>
          <w:rFonts w:ascii="Times New Roman" w:hAnsi="Times New Roman"/>
          <w:sz w:val="24"/>
          <w:szCs w:val="24"/>
        </w:rPr>
        <w:t xml:space="preserve"> </w:t>
      </w:r>
      <w:r w:rsidRPr="005A1AC5">
        <w:rPr>
          <w:rFonts w:ascii="Times New Roman" w:hAnsi="Times New Roman"/>
          <w:sz w:val="24"/>
          <w:szCs w:val="24"/>
        </w:rPr>
        <w:t>303.70(d</w:t>
      </w:r>
      <w:r w:rsidRPr="00E17EA8">
        <w:rPr>
          <w:rFonts w:ascii="Times New Roman" w:hAnsi="Times New Roman"/>
          <w:sz w:val="24"/>
          <w:szCs w:val="24"/>
        </w:rPr>
        <w:t>)</w:t>
      </w:r>
      <w:r w:rsidRPr="00E17EA8" w:rsidR="002B14ED">
        <w:rPr>
          <w:rFonts w:ascii="Times New Roman" w:hAnsi="Times New Roman"/>
          <w:sz w:val="24"/>
          <w:szCs w:val="24"/>
        </w:rPr>
        <w:t>(2)</w:t>
      </w:r>
      <w:r w:rsidRPr="00E17EA8">
        <w:rPr>
          <w:rFonts w:ascii="Times New Roman" w:hAnsi="Times New Roman"/>
          <w:sz w:val="24"/>
          <w:szCs w:val="24"/>
        </w:rPr>
        <w:t>.</w:t>
      </w:r>
      <w:r w:rsidRPr="005A1AC5">
        <w:rPr>
          <w:rFonts w:ascii="Times New Roman" w:hAnsi="Times New Roman"/>
          <w:sz w:val="24"/>
          <w:szCs w:val="24"/>
        </w:rPr>
        <w:t xml:space="preserve"> </w:t>
      </w:r>
    </w:p>
    <w:p w:rsidR="00262162" w:rsidP="006B05F6" w:rsidRDefault="00262162">
      <w:pPr>
        <w:widowControl/>
        <w:tabs>
          <w:tab w:val="num" w:pos="360"/>
        </w:tabs>
        <w:ind w:left="720" w:hanging="360"/>
        <w:rPr>
          <w:rFonts w:ascii="Times New Roman" w:hAnsi="Times New Roman"/>
          <w:sz w:val="24"/>
          <w:szCs w:val="24"/>
        </w:rPr>
      </w:pPr>
    </w:p>
    <w:p w:rsidRPr="005A1AC5" w:rsidR="00262162" w:rsidP="00262162" w:rsidRDefault="00262162">
      <w:pPr>
        <w:widowControl/>
        <w:numPr>
          <w:ilvl w:val="0"/>
          <w:numId w:val="1"/>
        </w:numPr>
        <w:tabs>
          <w:tab w:val="num" w:pos="360"/>
        </w:tabs>
        <w:ind w:left="360"/>
        <w:rPr>
          <w:rFonts w:ascii="Times New Roman" w:hAnsi="Times New Roman"/>
          <w:b/>
          <w:sz w:val="24"/>
          <w:szCs w:val="24"/>
        </w:rPr>
      </w:pPr>
      <w:r w:rsidRPr="005A1AC5">
        <w:rPr>
          <w:rFonts w:ascii="Times New Roman" w:hAnsi="Times New Roman"/>
          <w:b/>
          <w:sz w:val="24"/>
          <w:szCs w:val="24"/>
        </w:rPr>
        <w:t xml:space="preserve">Estimates of Annualized Burden Hours and Costs </w:t>
      </w:r>
    </w:p>
    <w:p w:rsidR="0059021C" w:rsidP="0059021C" w:rsidRDefault="0059021C">
      <w:pPr>
        <w:widowControl/>
        <w:rPr>
          <w:rFonts w:ascii="Times New Roman" w:hAnsi="Times New Roman"/>
          <w:sz w:val="24"/>
          <w:szCs w:val="24"/>
        </w:rPr>
      </w:pPr>
    </w:p>
    <w:p w:rsidR="0059021C" w:rsidP="0059021C" w:rsidRDefault="0059021C">
      <w:pPr>
        <w:widowControl/>
        <w:ind w:left="360"/>
        <w:rPr>
          <w:rFonts w:ascii="Times New Roman" w:hAnsi="Times New Roman"/>
          <w:spacing w:val="-3"/>
          <w:sz w:val="24"/>
          <w:szCs w:val="24"/>
        </w:rPr>
      </w:pPr>
      <w:r w:rsidRPr="005A1AC5">
        <w:rPr>
          <w:rFonts w:ascii="Times New Roman" w:hAnsi="Times New Roman"/>
          <w:spacing w:val="-3"/>
          <w:sz w:val="24"/>
          <w:szCs w:val="24"/>
        </w:rPr>
        <w:t xml:space="preserve">The burden estimate tables present the time and costs associated with states transmitting data from the SCR to the FCR. Respondents use </w:t>
      </w:r>
      <w:r w:rsidRPr="00E17EA8">
        <w:rPr>
          <w:rFonts w:ascii="Times New Roman" w:hAnsi="Times New Roman"/>
          <w:spacing w:val="-3"/>
          <w:sz w:val="24"/>
          <w:szCs w:val="24"/>
        </w:rPr>
        <w:t>Appendix G</w:t>
      </w:r>
      <w:r w:rsidRPr="0080734D">
        <w:rPr>
          <w:rFonts w:ascii="Times New Roman" w:hAnsi="Times New Roman"/>
          <w:spacing w:val="-3"/>
          <w:sz w:val="24"/>
          <w:szCs w:val="24"/>
        </w:rPr>
        <w:t>:</w:t>
      </w:r>
      <w:r w:rsidRPr="005A1AC5">
        <w:rPr>
          <w:rFonts w:ascii="Times New Roman" w:hAnsi="Times New Roman"/>
          <w:spacing w:val="-3"/>
          <w:sz w:val="24"/>
          <w:szCs w:val="24"/>
        </w:rPr>
        <w:t xml:space="preserve"> Input Record Layouts to submit </w:t>
      </w:r>
      <w:r w:rsidR="007033AC">
        <w:rPr>
          <w:rFonts w:ascii="Times New Roman" w:hAnsi="Times New Roman"/>
          <w:spacing w:val="-3"/>
          <w:sz w:val="24"/>
          <w:szCs w:val="24"/>
        </w:rPr>
        <w:t>th</w:t>
      </w:r>
      <w:r w:rsidRPr="005A1AC5">
        <w:rPr>
          <w:rFonts w:ascii="Times New Roman" w:hAnsi="Times New Roman"/>
          <w:spacing w:val="-3"/>
          <w:sz w:val="24"/>
          <w:szCs w:val="24"/>
        </w:rPr>
        <w:t>e necessary information</w:t>
      </w:r>
      <w:r w:rsidR="00543F6F">
        <w:rPr>
          <w:rFonts w:ascii="Times New Roman" w:hAnsi="Times New Roman"/>
          <w:spacing w:val="-3"/>
          <w:sz w:val="24"/>
          <w:szCs w:val="24"/>
        </w:rPr>
        <w:t xml:space="preserve"> </w:t>
      </w:r>
      <w:r w:rsidRPr="005A1AC5" w:rsidR="00543F6F">
        <w:rPr>
          <w:rFonts w:ascii="Times New Roman" w:hAnsi="Times New Roman"/>
          <w:spacing w:val="-3"/>
          <w:sz w:val="24"/>
          <w:szCs w:val="24"/>
        </w:rPr>
        <w:t>electronically</w:t>
      </w:r>
      <w:r w:rsidRPr="005A1AC5">
        <w:rPr>
          <w:rFonts w:ascii="Times New Roman" w:hAnsi="Times New Roman"/>
          <w:spacing w:val="-3"/>
          <w:sz w:val="24"/>
          <w:szCs w:val="24"/>
        </w:rPr>
        <w:t xml:space="preserve">.  </w:t>
      </w:r>
    </w:p>
    <w:p w:rsidR="00CC1871" w:rsidP="0059021C" w:rsidRDefault="00CC1871">
      <w:pPr>
        <w:widowControl/>
        <w:ind w:left="360"/>
        <w:rPr>
          <w:rFonts w:ascii="Times New Roman" w:hAnsi="Times New Roman"/>
          <w:spacing w:val="-3"/>
          <w:sz w:val="24"/>
          <w:szCs w:val="24"/>
        </w:rPr>
      </w:pPr>
    </w:p>
    <w:p w:rsidRPr="00E47D78" w:rsidR="000916BF" w:rsidP="00E47D78" w:rsidRDefault="000916BF">
      <w:pPr>
        <w:widowControl/>
        <w:ind w:left="360"/>
        <w:rPr>
          <w:rFonts w:ascii="Times New Roman" w:hAnsi="Times New Roman"/>
          <w:spacing w:val="-3"/>
          <w:sz w:val="24"/>
          <w:szCs w:val="24"/>
        </w:rPr>
      </w:pPr>
      <w:r w:rsidRPr="00E47D78">
        <w:rPr>
          <w:rFonts w:ascii="Times New Roman" w:hAnsi="Times New Roman"/>
          <w:spacing w:val="-3"/>
          <w:sz w:val="24"/>
          <w:szCs w:val="24"/>
        </w:rPr>
        <w:t xml:space="preserve">The annualized cost to respondents for the hour burden is based on an average cost per Computer Processing Unit (CPU) minute of $12 or $720 per burden hour. This estimated CPU cost is based on OCSE’s experience from reimbursement agreements </w:t>
      </w:r>
      <w:r w:rsidR="00E0451B">
        <w:rPr>
          <w:rFonts w:ascii="Times New Roman" w:hAnsi="Times New Roman"/>
          <w:spacing w:val="-3"/>
          <w:sz w:val="24"/>
          <w:szCs w:val="24"/>
        </w:rPr>
        <w:t xml:space="preserve">with the data center provider. </w:t>
      </w:r>
      <w:r w:rsidRPr="00E47D78">
        <w:rPr>
          <w:rFonts w:ascii="Times New Roman" w:hAnsi="Times New Roman"/>
          <w:spacing w:val="-3"/>
          <w:sz w:val="24"/>
          <w:szCs w:val="24"/>
        </w:rPr>
        <w:t>The automated process eliminates any labor costs associated with the data transmission from the SCR to the FCR.</w:t>
      </w:r>
    </w:p>
    <w:p w:rsidR="00CC1871" w:rsidP="0059021C" w:rsidRDefault="00CC1871">
      <w:pPr>
        <w:widowControl/>
        <w:ind w:left="360"/>
        <w:rPr>
          <w:rFonts w:ascii="Times New Roman" w:hAnsi="Times New Roman"/>
          <w:spacing w:val="-3"/>
          <w:sz w:val="24"/>
          <w:szCs w:val="24"/>
        </w:rPr>
      </w:pPr>
    </w:p>
    <w:p w:rsidR="00CC1871" w:rsidP="0059021C" w:rsidRDefault="00CC1871">
      <w:pPr>
        <w:widowControl/>
        <w:ind w:left="360"/>
        <w:rPr>
          <w:rFonts w:ascii="Times New Roman" w:hAnsi="Times New Roman"/>
          <w:spacing w:val="-3"/>
          <w:sz w:val="24"/>
          <w:szCs w:val="24"/>
        </w:rPr>
      </w:pPr>
    </w:p>
    <w:p w:rsidR="00CC1871" w:rsidP="0059021C" w:rsidRDefault="00CC1871">
      <w:pPr>
        <w:widowControl/>
        <w:ind w:left="360"/>
        <w:rPr>
          <w:rFonts w:ascii="Times New Roman" w:hAnsi="Times New Roman"/>
          <w:spacing w:val="-3"/>
          <w:sz w:val="24"/>
          <w:szCs w:val="24"/>
        </w:rPr>
      </w:pPr>
    </w:p>
    <w:tbl>
      <w:tblPr>
        <w:tblW w:w="103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63"/>
        <w:gridCol w:w="1443"/>
        <w:gridCol w:w="1350"/>
        <w:gridCol w:w="1136"/>
        <w:gridCol w:w="923"/>
        <w:gridCol w:w="1350"/>
        <w:gridCol w:w="1457"/>
        <w:gridCol w:w="1366"/>
      </w:tblGrid>
      <w:tr w:rsidRPr="00AB2CB4" w:rsidR="00262162" w:rsidTr="00CC1871">
        <w:trPr>
          <w:cantSplit/>
          <w:jc w:val="center"/>
        </w:trPr>
        <w:tc>
          <w:tcPr>
            <w:tcW w:w="1363"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Pr="007033AC" w:rsidR="00262162" w:rsidRDefault="00262162">
            <w:pPr>
              <w:jc w:val="center"/>
              <w:rPr>
                <w:rFonts w:ascii="Times New Roman" w:hAnsi="Times New Roman"/>
                <w:sz w:val="24"/>
                <w:szCs w:val="24"/>
                <w:highlight w:val="darkGray"/>
              </w:rPr>
            </w:pPr>
            <w:r w:rsidRPr="00EF0B83">
              <w:rPr>
                <w:rFonts w:ascii="Times New Roman" w:hAnsi="Times New Roman"/>
                <w:sz w:val="24"/>
                <w:szCs w:val="24"/>
              </w:rPr>
              <w:lastRenderedPageBreak/>
              <w:t>Information Collection Title</w:t>
            </w:r>
          </w:p>
        </w:tc>
        <w:tc>
          <w:tcPr>
            <w:tcW w:w="1443"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Pr="007033AC" w:rsidR="00262162" w:rsidP="007033AC" w:rsidRDefault="00262162">
            <w:pPr>
              <w:jc w:val="center"/>
              <w:rPr>
                <w:rFonts w:ascii="Times New Roman" w:hAnsi="Times New Roman"/>
                <w:sz w:val="24"/>
                <w:szCs w:val="24"/>
                <w:highlight w:val="yellow"/>
              </w:rPr>
            </w:pPr>
            <w:r w:rsidRPr="00EF0B83">
              <w:rPr>
                <w:rFonts w:ascii="Times New Roman" w:hAnsi="Times New Roman"/>
                <w:sz w:val="24"/>
                <w:szCs w:val="24"/>
              </w:rPr>
              <w:t>Total Number of Respondents</w:t>
            </w:r>
          </w:p>
        </w:tc>
        <w:tc>
          <w:tcPr>
            <w:tcW w:w="1350"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Pr="007033AC" w:rsidR="00262162" w:rsidP="006472D9" w:rsidRDefault="006472D9">
            <w:pPr>
              <w:jc w:val="center"/>
              <w:rPr>
                <w:rFonts w:ascii="Times New Roman" w:hAnsi="Times New Roman"/>
                <w:sz w:val="24"/>
                <w:szCs w:val="24"/>
                <w:highlight w:val="yellow"/>
              </w:rPr>
            </w:pPr>
            <w:r>
              <w:rPr>
                <w:rFonts w:ascii="Times New Roman" w:hAnsi="Times New Roman"/>
                <w:sz w:val="24"/>
                <w:szCs w:val="24"/>
              </w:rPr>
              <w:t xml:space="preserve">Average </w:t>
            </w:r>
            <w:r w:rsidR="003B6DB7">
              <w:rPr>
                <w:rFonts w:ascii="Times New Roman" w:hAnsi="Times New Roman"/>
                <w:sz w:val="24"/>
                <w:szCs w:val="24"/>
              </w:rPr>
              <w:t xml:space="preserve">Annual </w:t>
            </w:r>
            <w:r w:rsidR="00C17CA9">
              <w:rPr>
                <w:rFonts w:ascii="Times New Roman" w:hAnsi="Times New Roman"/>
                <w:sz w:val="24"/>
                <w:szCs w:val="24"/>
              </w:rPr>
              <w:t>Number of Responses p</w:t>
            </w:r>
            <w:r w:rsidRPr="00EF0B83" w:rsidR="00262162">
              <w:rPr>
                <w:rFonts w:ascii="Times New Roman" w:hAnsi="Times New Roman"/>
                <w:sz w:val="24"/>
                <w:szCs w:val="24"/>
              </w:rPr>
              <w:t>er Respondent</w:t>
            </w:r>
          </w:p>
        </w:tc>
        <w:tc>
          <w:tcPr>
            <w:tcW w:w="1136"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Pr="007033AC" w:rsidR="00262162" w:rsidP="007033AC" w:rsidRDefault="00262162">
            <w:pPr>
              <w:jc w:val="center"/>
              <w:rPr>
                <w:rFonts w:ascii="Times New Roman" w:hAnsi="Times New Roman"/>
                <w:sz w:val="24"/>
                <w:szCs w:val="24"/>
                <w:highlight w:val="yellow"/>
              </w:rPr>
            </w:pPr>
            <w:r w:rsidRPr="00EF0B83">
              <w:rPr>
                <w:rFonts w:ascii="Times New Roman" w:hAnsi="Times New Roman"/>
                <w:sz w:val="24"/>
                <w:szCs w:val="24"/>
              </w:rPr>
              <w:t>Average</w:t>
            </w:r>
            <w:r w:rsidR="00D7162A">
              <w:rPr>
                <w:rFonts w:ascii="Times New Roman" w:hAnsi="Times New Roman"/>
                <w:sz w:val="24"/>
                <w:szCs w:val="24"/>
              </w:rPr>
              <w:t xml:space="preserve"> </w:t>
            </w:r>
            <w:r w:rsidR="00C17CA9">
              <w:rPr>
                <w:rFonts w:ascii="Times New Roman" w:hAnsi="Times New Roman"/>
                <w:sz w:val="24"/>
                <w:szCs w:val="24"/>
              </w:rPr>
              <w:t xml:space="preserve"> Burden Hours p</w:t>
            </w:r>
            <w:r w:rsidRPr="00EF0B83">
              <w:rPr>
                <w:rFonts w:ascii="Times New Roman" w:hAnsi="Times New Roman"/>
                <w:sz w:val="24"/>
                <w:szCs w:val="24"/>
              </w:rPr>
              <w:t>er Response</w:t>
            </w:r>
          </w:p>
        </w:tc>
        <w:tc>
          <w:tcPr>
            <w:tcW w:w="923"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00D7162A" w:rsidRDefault="00262162">
            <w:pPr>
              <w:jc w:val="center"/>
              <w:rPr>
                <w:rFonts w:ascii="Times New Roman" w:hAnsi="Times New Roman"/>
                <w:sz w:val="24"/>
                <w:szCs w:val="24"/>
              </w:rPr>
            </w:pPr>
            <w:r w:rsidRPr="00EF0B83">
              <w:rPr>
                <w:rFonts w:ascii="Times New Roman" w:hAnsi="Times New Roman"/>
                <w:sz w:val="24"/>
                <w:szCs w:val="24"/>
              </w:rPr>
              <w:t>Total</w:t>
            </w:r>
          </w:p>
          <w:p w:rsidRPr="007033AC" w:rsidR="00262162" w:rsidRDefault="00D7162A">
            <w:pPr>
              <w:jc w:val="center"/>
              <w:rPr>
                <w:rFonts w:ascii="Times New Roman" w:hAnsi="Times New Roman"/>
                <w:sz w:val="24"/>
                <w:szCs w:val="24"/>
                <w:highlight w:val="yellow"/>
              </w:rPr>
            </w:pPr>
            <w:r>
              <w:rPr>
                <w:rFonts w:ascii="Times New Roman" w:hAnsi="Times New Roman"/>
                <w:sz w:val="24"/>
                <w:szCs w:val="24"/>
              </w:rPr>
              <w:t>Annual</w:t>
            </w:r>
            <w:r w:rsidRPr="00EF0B83" w:rsidR="00262162">
              <w:rPr>
                <w:rFonts w:ascii="Times New Roman" w:hAnsi="Times New Roman"/>
                <w:sz w:val="24"/>
                <w:szCs w:val="24"/>
              </w:rPr>
              <w:t xml:space="preserve"> Burden Hours</w:t>
            </w:r>
          </w:p>
        </w:tc>
        <w:tc>
          <w:tcPr>
            <w:tcW w:w="1350"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Pr="007033AC" w:rsidR="00262162" w:rsidP="00AA1AC2" w:rsidRDefault="00262162">
            <w:pPr>
              <w:jc w:val="center"/>
              <w:rPr>
                <w:rFonts w:ascii="Times New Roman" w:hAnsi="Times New Roman"/>
                <w:bCs/>
                <w:sz w:val="24"/>
                <w:szCs w:val="24"/>
                <w:highlight w:val="yellow"/>
              </w:rPr>
            </w:pPr>
            <w:r w:rsidRPr="00EF0B83">
              <w:rPr>
                <w:rFonts w:ascii="Times New Roman" w:hAnsi="Times New Roman"/>
                <w:bCs/>
                <w:sz w:val="24"/>
                <w:szCs w:val="24"/>
              </w:rPr>
              <w:t>A</w:t>
            </w:r>
            <w:r w:rsidRPr="00EF0B83" w:rsidR="00343898">
              <w:rPr>
                <w:rFonts w:ascii="Times New Roman" w:hAnsi="Times New Roman"/>
                <w:bCs/>
                <w:sz w:val="24"/>
                <w:szCs w:val="24"/>
              </w:rPr>
              <w:t xml:space="preserve">verage </w:t>
            </w:r>
            <w:r w:rsidR="00AA1AC2">
              <w:rPr>
                <w:rFonts w:ascii="Times New Roman" w:hAnsi="Times New Roman"/>
                <w:bCs/>
                <w:sz w:val="24"/>
                <w:szCs w:val="24"/>
              </w:rPr>
              <w:t>Annual Co</w:t>
            </w:r>
            <w:r w:rsidRPr="00EF0B83" w:rsidR="00B7263B">
              <w:rPr>
                <w:rFonts w:ascii="Times New Roman" w:hAnsi="Times New Roman"/>
                <w:bCs/>
                <w:sz w:val="24"/>
                <w:szCs w:val="24"/>
              </w:rPr>
              <w:t>st per Respondent</w:t>
            </w:r>
            <w:r w:rsidRPr="00EF0B83">
              <w:rPr>
                <w:rFonts w:ascii="Times New Roman" w:hAnsi="Times New Roman"/>
                <w:bCs/>
                <w:sz w:val="24"/>
                <w:szCs w:val="24"/>
              </w:rPr>
              <w:t xml:space="preserve"> </w:t>
            </w:r>
          </w:p>
        </w:tc>
        <w:tc>
          <w:tcPr>
            <w:tcW w:w="1457"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Pr="007033AC" w:rsidR="00262162" w:rsidRDefault="00FA754F">
            <w:pPr>
              <w:jc w:val="center"/>
              <w:rPr>
                <w:rFonts w:ascii="Times New Roman" w:hAnsi="Times New Roman"/>
                <w:sz w:val="24"/>
                <w:szCs w:val="24"/>
                <w:highlight w:val="yellow"/>
              </w:rPr>
            </w:pPr>
            <w:r w:rsidRPr="00EF0B83">
              <w:rPr>
                <w:rFonts w:ascii="Times New Roman" w:hAnsi="Times New Roman"/>
                <w:sz w:val="24"/>
                <w:szCs w:val="24"/>
              </w:rPr>
              <w:t>Cost per Burden Hour</w:t>
            </w:r>
          </w:p>
        </w:tc>
        <w:tc>
          <w:tcPr>
            <w:tcW w:w="1366"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Pr="007033AC" w:rsidR="00262162" w:rsidRDefault="00262162">
            <w:pPr>
              <w:jc w:val="center"/>
              <w:rPr>
                <w:rFonts w:ascii="Times New Roman" w:hAnsi="Times New Roman"/>
                <w:sz w:val="24"/>
                <w:szCs w:val="24"/>
                <w:highlight w:val="yellow"/>
              </w:rPr>
            </w:pPr>
            <w:r w:rsidRPr="00EF0B83">
              <w:rPr>
                <w:rFonts w:ascii="Times New Roman" w:hAnsi="Times New Roman"/>
                <w:bCs/>
                <w:sz w:val="24"/>
                <w:szCs w:val="24"/>
              </w:rPr>
              <w:t>Total Annual Cost</w:t>
            </w:r>
          </w:p>
        </w:tc>
      </w:tr>
      <w:tr w:rsidRPr="00AB2CB4" w:rsidR="00262162" w:rsidTr="00CC1871">
        <w:trPr>
          <w:cantSplit/>
          <w:trHeight w:val="432"/>
          <w:jc w:val="center"/>
        </w:trPr>
        <w:tc>
          <w:tcPr>
            <w:tcW w:w="1363" w:type="dxa"/>
            <w:tcBorders>
              <w:top w:val="single" w:color="000000" w:sz="4" w:space="0"/>
              <w:left w:val="single" w:color="000000" w:sz="4" w:space="0"/>
              <w:bottom w:val="single" w:color="000000" w:sz="4" w:space="0"/>
              <w:right w:val="single" w:color="000000" w:sz="4" w:space="0"/>
            </w:tcBorders>
            <w:vAlign w:val="center"/>
          </w:tcPr>
          <w:p w:rsidRPr="00EF0B83" w:rsidR="00575F98" w:rsidP="002B14ED" w:rsidRDefault="002B14ED">
            <w:pPr>
              <w:tabs>
                <w:tab w:val="center" w:pos="4320"/>
                <w:tab w:val="right" w:pos="8640"/>
              </w:tabs>
              <w:rPr>
                <w:rFonts w:ascii="Times New Roman" w:hAnsi="Times New Roman"/>
                <w:sz w:val="24"/>
                <w:szCs w:val="24"/>
              </w:rPr>
            </w:pPr>
            <w:r w:rsidRPr="00EF0B83">
              <w:rPr>
                <w:rFonts w:ascii="Times New Roman" w:hAnsi="Times New Roman"/>
                <w:sz w:val="24"/>
                <w:szCs w:val="24"/>
              </w:rPr>
              <w:t>Appendix G: Input Record Layout</w:t>
            </w:r>
            <w:r w:rsidR="006F5F1C">
              <w:rPr>
                <w:rFonts w:ascii="Times New Roman" w:hAnsi="Times New Roman"/>
                <w:sz w:val="24"/>
                <w:szCs w:val="24"/>
              </w:rPr>
              <w:t>s</w:t>
            </w:r>
          </w:p>
        </w:tc>
        <w:tc>
          <w:tcPr>
            <w:tcW w:w="1443" w:type="dxa"/>
            <w:tcBorders>
              <w:top w:val="single" w:color="000000" w:sz="4" w:space="0"/>
              <w:left w:val="single" w:color="000000" w:sz="4" w:space="0"/>
              <w:bottom w:val="single" w:color="000000" w:sz="4" w:space="0"/>
              <w:right w:val="single" w:color="000000" w:sz="4" w:space="0"/>
            </w:tcBorders>
            <w:vAlign w:val="center"/>
          </w:tcPr>
          <w:p w:rsidRPr="00AF2DDD" w:rsidR="00262162" w:rsidP="00AF2DDD" w:rsidRDefault="00E61566">
            <w:pPr>
              <w:tabs>
                <w:tab w:val="center" w:pos="4320"/>
                <w:tab w:val="right" w:pos="8640"/>
              </w:tabs>
              <w:jc w:val="center"/>
              <w:rPr>
                <w:rFonts w:ascii="Times New Roman" w:hAnsi="Times New Roman"/>
                <w:sz w:val="24"/>
                <w:szCs w:val="24"/>
                <w:highlight w:val="yellow"/>
              </w:rPr>
            </w:pPr>
            <w:r w:rsidRPr="00AF2DDD">
              <w:rPr>
                <w:rFonts w:ascii="Times New Roman" w:hAnsi="Times New Roman"/>
                <w:sz w:val="24"/>
                <w:szCs w:val="24"/>
              </w:rPr>
              <w:t>54</w:t>
            </w:r>
          </w:p>
        </w:tc>
        <w:tc>
          <w:tcPr>
            <w:tcW w:w="1350" w:type="dxa"/>
            <w:tcBorders>
              <w:top w:val="single" w:color="000000" w:sz="4" w:space="0"/>
              <w:left w:val="single" w:color="000000" w:sz="4" w:space="0"/>
              <w:bottom w:val="single" w:color="000000" w:sz="4" w:space="0"/>
              <w:right w:val="single" w:color="000000" w:sz="4" w:space="0"/>
            </w:tcBorders>
            <w:vAlign w:val="center"/>
          </w:tcPr>
          <w:p w:rsidRPr="00AF2DDD" w:rsidR="00B7263B" w:rsidP="00AF2DDD" w:rsidRDefault="00B7263B">
            <w:pPr>
              <w:tabs>
                <w:tab w:val="center" w:pos="4320"/>
                <w:tab w:val="right" w:pos="8640"/>
              </w:tabs>
              <w:jc w:val="center"/>
              <w:rPr>
                <w:rFonts w:ascii="Times New Roman" w:hAnsi="Times New Roman"/>
                <w:sz w:val="24"/>
                <w:szCs w:val="24"/>
                <w:highlight w:val="yellow"/>
              </w:rPr>
            </w:pPr>
          </w:p>
          <w:p w:rsidRPr="00AF2DDD" w:rsidR="00DE292C" w:rsidP="00AF2DDD" w:rsidRDefault="00EF0B83">
            <w:pPr>
              <w:tabs>
                <w:tab w:val="center" w:pos="4320"/>
                <w:tab w:val="right" w:pos="8640"/>
              </w:tabs>
              <w:jc w:val="center"/>
              <w:rPr>
                <w:rFonts w:ascii="Times New Roman" w:hAnsi="Times New Roman"/>
                <w:sz w:val="24"/>
                <w:szCs w:val="24"/>
                <w:highlight w:val="yellow"/>
              </w:rPr>
            </w:pPr>
            <w:r w:rsidRPr="00AF2DDD">
              <w:rPr>
                <w:rFonts w:ascii="Times New Roman" w:hAnsi="Times New Roman"/>
                <w:sz w:val="24"/>
                <w:szCs w:val="24"/>
              </w:rPr>
              <w:t>1</w:t>
            </w:r>
            <w:r w:rsidRPr="00AF2DDD" w:rsidR="00E61566">
              <w:rPr>
                <w:rFonts w:ascii="Times New Roman" w:hAnsi="Times New Roman"/>
                <w:sz w:val="24"/>
                <w:szCs w:val="24"/>
              </w:rPr>
              <w:t>51</w:t>
            </w:r>
            <w:r w:rsidRPr="00AF2DDD" w:rsidR="00002693">
              <w:rPr>
                <w:rStyle w:val="FootnoteReference"/>
                <w:rFonts w:ascii="Times New Roman" w:hAnsi="Times New Roman"/>
                <w:sz w:val="24"/>
                <w:szCs w:val="24"/>
              </w:rPr>
              <w:footnoteReference w:id="1"/>
            </w:r>
          </w:p>
          <w:p w:rsidRPr="00AF2DDD" w:rsidR="00DE292C" w:rsidP="00AF2DDD" w:rsidRDefault="00DE292C">
            <w:pPr>
              <w:tabs>
                <w:tab w:val="center" w:pos="4320"/>
                <w:tab w:val="right" w:pos="8640"/>
              </w:tabs>
              <w:jc w:val="center"/>
              <w:rPr>
                <w:rFonts w:ascii="Times New Roman" w:hAnsi="Times New Roman"/>
                <w:sz w:val="24"/>
                <w:szCs w:val="24"/>
                <w:highlight w:val="yellow"/>
              </w:rPr>
            </w:pPr>
          </w:p>
        </w:tc>
        <w:tc>
          <w:tcPr>
            <w:tcW w:w="1136" w:type="dxa"/>
            <w:tcBorders>
              <w:top w:val="single" w:color="000000" w:sz="4" w:space="0"/>
              <w:left w:val="single" w:color="000000" w:sz="4" w:space="0"/>
              <w:bottom w:val="single" w:color="000000" w:sz="4" w:space="0"/>
              <w:right w:val="single" w:color="000000" w:sz="4" w:space="0"/>
            </w:tcBorders>
            <w:vAlign w:val="center"/>
          </w:tcPr>
          <w:p w:rsidRPr="00AF2DDD" w:rsidR="00EF0B83" w:rsidP="00AF2DDD" w:rsidRDefault="00EF0B83">
            <w:pPr>
              <w:tabs>
                <w:tab w:val="center" w:pos="4320"/>
                <w:tab w:val="right" w:pos="8640"/>
              </w:tabs>
              <w:jc w:val="center"/>
              <w:rPr>
                <w:rFonts w:ascii="Times New Roman" w:hAnsi="Times New Roman"/>
                <w:sz w:val="24"/>
                <w:szCs w:val="24"/>
              </w:rPr>
            </w:pPr>
          </w:p>
          <w:p w:rsidR="00CC1871" w:rsidP="00AF2DDD" w:rsidRDefault="00CC1871">
            <w:pPr>
              <w:tabs>
                <w:tab w:val="center" w:pos="4320"/>
                <w:tab w:val="right" w:pos="8640"/>
              </w:tabs>
              <w:jc w:val="center"/>
              <w:rPr>
                <w:rFonts w:ascii="Times New Roman" w:hAnsi="Times New Roman"/>
                <w:sz w:val="24"/>
                <w:szCs w:val="24"/>
              </w:rPr>
            </w:pPr>
          </w:p>
          <w:p w:rsidRPr="00AF2DDD" w:rsidR="00B7263B" w:rsidP="00AF2DDD" w:rsidRDefault="00DE292C">
            <w:pPr>
              <w:tabs>
                <w:tab w:val="center" w:pos="4320"/>
                <w:tab w:val="right" w:pos="8640"/>
              </w:tabs>
              <w:jc w:val="center"/>
              <w:rPr>
                <w:rFonts w:ascii="Times New Roman" w:hAnsi="Times New Roman"/>
                <w:sz w:val="24"/>
                <w:szCs w:val="24"/>
              </w:rPr>
            </w:pPr>
            <w:r w:rsidRPr="00AF2DDD">
              <w:rPr>
                <w:rFonts w:ascii="Times New Roman" w:hAnsi="Times New Roman"/>
                <w:sz w:val="24"/>
                <w:szCs w:val="24"/>
              </w:rPr>
              <w:t>0.033</w:t>
            </w:r>
            <w:r w:rsidRPr="00AF2DDD" w:rsidR="00EF0B83">
              <w:rPr>
                <w:rFonts w:ascii="Times New Roman" w:hAnsi="Times New Roman"/>
                <w:sz w:val="24"/>
                <w:szCs w:val="24"/>
              </w:rPr>
              <w:t>3</w:t>
            </w:r>
            <w:r w:rsidRPr="00AF2DDD" w:rsidR="00002693">
              <w:rPr>
                <w:rStyle w:val="FootnoteReference"/>
                <w:rFonts w:ascii="Times New Roman" w:hAnsi="Times New Roman"/>
                <w:sz w:val="24"/>
                <w:szCs w:val="24"/>
              </w:rPr>
              <w:footnoteReference w:id="2"/>
            </w:r>
          </w:p>
          <w:p w:rsidRPr="00AF2DDD" w:rsidR="00DE292C" w:rsidP="00AF2DDD" w:rsidRDefault="00DE292C">
            <w:pPr>
              <w:tabs>
                <w:tab w:val="center" w:pos="4320"/>
                <w:tab w:val="right" w:pos="8640"/>
              </w:tabs>
              <w:jc w:val="center"/>
              <w:rPr>
                <w:rFonts w:ascii="Times New Roman" w:hAnsi="Times New Roman"/>
                <w:sz w:val="24"/>
                <w:szCs w:val="24"/>
                <w:highlight w:val="yellow"/>
              </w:rPr>
            </w:pPr>
          </w:p>
          <w:p w:rsidRPr="00AF2DDD" w:rsidR="00262162" w:rsidP="00AF2DDD" w:rsidRDefault="00262162">
            <w:pPr>
              <w:tabs>
                <w:tab w:val="center" w:pos="4320"/>
                <w:tab w:val="right" w:pos="8640"/>
              </w:tabs>
              <w:jc w:val="center"/>
              <w:rPr>
                <w:rFonts w:ascii="Times New Roman" w:hAnsi="Times New Roman"/>
                <w:sz w:val="24"/>
                <w:szCs w:val="24"/>
                <w:highlight w:val="yellow"/>
              </w:rPr>
            </w:pPr>
          </w:p>
        </w:tc>
        <w:tc>
          <w:tcPr>
            <w:tcW w:w="923" w:type="dxa"/>
            <w:tcBorders>
              <w:top w:val="single" w:color="000000" w:sz="4" w:space="0"/>
              <w:left w:val="single" w:color="000000" w:sz="4" w:space="0"/>
              <w:bottom w:val="single" w:color="000000" w:sz="4" w:space="0"/>
              <w:right w:val="single" w:color="000000" w:sz="4" w:space="0"/>
            </w:tcBorders>
            <w:vAlign w:val="center"/>
          </w:tcPr>
          <w:p w:rsidRPr="00AF2DDD" w:rsidR="00262162" w:rsidP="00AF2DDD" w:rsidRDefault="00B7263B">
            <w:pPr>
              <w:tabs>
                <w:tab w:val="center" w:pos="4320"/>
                <w:tab w:val="right" w:pos="8640"/>
              </w:tabs>
              <w:jc w:val="center"/>
              <w:rPr>
                <w:rFonts w:ascii="Times New Roman" w:hAnsi="Times New Roman"/>
                <w:sz w:val="24"/>
                <w:szCs w:val="24"/>
                <w:highlight w:val="yellow"/>
              </w:rPr>
            </w:pPr>
            <w:r w:rsidRPr="00AF2DDD">
              <w:rPr>
                <w:rFonts w:ascii="Times New Roman" w:hAnsi="Times New Roman"/>
                <w:sz w:val="24"/>
                <w:szCs w:val="24"/>
              </w:rPr>
              <w:t>2</w:t>
            </w:r>
            <w:r w:rsidRPr="00AF2DDD" w:rsidR="00E61566">
              <w:rPr>
                <w:rFonts w:ascii="Times New Roman" w:hAnsi="Times New Roman"/>
                <w:sz w:val="24"/>
                <w:szCs w:val="24"/>
              </w:rPr>
              <w:t>72</w:t>
            </w:r>
            <w:r w:rsidRPr="00AF2DDD" w:rsidR="006472D9">
              <w:rPr>
                <w:rStyle w:val="FootnoteReference"/>
                <w:rFonts w:ascii="Times New Roman" w:hAnsi="Times New Roman"/>
                <w:sz w:val="24"/>
                <w:szCs w:val="24"/>
              </w:rPr>
              <w:footnoteReference w:id="3"/>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AF2DDD" w:rsidR="00262162" w:rsidP="00AF2DDD" w:rsidRDefault="00EA71C2">
            <w:pPr>
              <w:tabs>
                <w:tab w:val="center" w:pos="4320"/>
                <w:tab w:val="right" w:pos="8640"/>
              </w:tabs>
              <w:jc w:val="center"/>
              <w:rPr>
                <w:rFonts w:ascii="Times New Roman" w:hAnsi="Times New Roman"/>
                <w:sz w:val="24"/>
                <w:szCs w:val="24"/>
                <w:highlight w:val="yellow"/>
              </w:rPr>
            </w:pPr>
            <w:r w:rsidRPr="00AF2DDD">
              <w:rPr>
                <w:rFonts w:ascii="Times New Roman" w:hAnsi="Times New Roman"/>
                <w:sz w:val="24"/>
                <w:szCs w:val="24"/>
              </w:rPr>
              <w:t>$3,627</w:t>
            </w:r>
            <w:r w:rsidRPr="00AF2DDD" w:rsidR="006472D9">
              <w:rPr>
                <w:rStyle w:val="FootnoteReference"/>
                <w:rFonts w:ascii="Times New Roman" w:hAnsi="Times New Roman"/>
                <w:sz w:val="24"/>
                <w:szCs w:val="24"/>
              </w:rPr>
              <w:footnoteReference w:id="4"/>
            </w:r>
          </w:p>
        </w:tc>
        <w:tc>
          <w:tcPr>
            <w:tcW w:w="1457" w:type="dxa"/>
            <w:tcBorders>
              <w:top w:val="single" w:color="000000" w:sz="4" w:space="0"/>
              <w:left w:val="single" w:color="000000" w:sz="4" w:space="0"/>
              <w:bottom w:val="single" w:color="000000" w:sz="4" w:space="0"/>
              <w:right w:val="single" w:color="000000" w:sz="4" w:space="0"/>
            </w:tcBorders>
            <w:vAlign w:val="center"/>
          </w:tcPr>
          <w:p w:rsidRPr="00AF2DDD" w:rsidR="00262162" w:rsidP="00AF2DDD" w:rsidRDefault="00FA754F">
            <w:pPr>
              <w:tabs>
                <w:tab w:val="center" w:pos="4320"/>
                <w:tab w:val="right" w:pos="8640"/>
              </w:tabs>
              <w:jc w:val="center"/>
              <w:rPr>
                <w:rFonts w:ascii="Times New Roman" w:hAnsi="Times New Roman"/>
                <w:sz w:val="24"/>
                <w:szCs w:val="24"/>
              </w:rPr>
            </w:pPr>
            <w:r w:rsidRPr="00AF2DDD">
              <w:rPr>
                <w:rFonts w:ascii="Times New Roman" w:hAnsi="Times New Roman"/>
                <w:sz w:val="24"/>
                <w:szCs w:val="24"/>
              </w:rPr>
              <w:t>$720</w:t>
            </w:r>
            <w:r w:rsidRPr="00AF2DDD" w:rsidR="006472D9">
              <w:rPr>
                <w:rStyle w:val="FootnoteReference"/>
                <w:rFonts w:ascii="Times New Roman" w:hAnsi="Times New Roman"/>
                <w:sz w:val="24"/>
                <w:szCs w:val="24"/>
              </w:rPr>
              <w:footnoteReference w:id="5"/>
            </w:r>
          </w:p>
        </w:tc>
        <w:tc>
          <w:tcPr>
            <w:tcW w:w="1366" w:type="dxa"/>
            <w:tcBorders>
              <w:top w:val="single" w:color="000000" w:sz="4" w:space="0"/>
              <w:left w:val="single" w:color="000000" w:sz="4" w:space="0"/>
              <w:bottom w:val="single" w:color="000000" w:sz="4" w:space="0"/>
              <w:right w:val="single" w:color="000000" w:sz="4" w:space="0"/>
            </w:tcBorders>
            <w:vAlign w:val="center"/>
          </w:tcPr>
          <w:p w:rsidRPr="00AF2DDD" w:rsidR="00262162" w:rsidP="00AF2DDD" w:rsidRDefault="00343898">
            <w:pPr>
              <w:tabs>
                <w:tab w:val="center" w:pos="4320"/>
                <w:tab w:val="right" w:pos="8640"/>
              </w:tabs>
              <w:jc w:val="center"/>
              <w:rPr>
                <w:rFonts w:ascii="Times New Roman" w:hAnsi="Times New Roman"/>
                <w:sz w:val="24"/>
                <w:szCs w:val="24"/>
                <w:highlight w:val="yellow"/>
              </w:rPr>
            </w:pPr>
            <w:r w:rsidRPr="00AF2DDD">
              <w:rPr>
                <w:rFonts w:ascii="Times New Roman" w:hAnsi="Times New Roman"/>
                <w:sz w:val="24"/>
                <w:szCs w:val="24"/>
              </w:rPr>
              <w:t>$195,840</w:t>
            </w:r>
            <w:r w:rsidRPr="00AF2DDD" w:rsidR="006472D9">
              <w:rPr>
                <w:rStyle w:val="FootnoteReference"/>
                <w:rFonts w:ascii="Times New Roman" w:hAnsi="Times New Roman"/>
                <w:sz w:val="24"/>
                <w:szCs w:val="24"/>
              </w:rPr>
              <w:footnoteReference w:id="6"/>
            </w:r>
          </w:p>
        </w:tc>
      </w:tr>
      <w:tr w:rsidRPr="00AB2CB4" w:rsidR="00002693" w:rsidTr="00CC1871">
        <w:trPr>
          <w:cantSplit/>
          <w:jc w:val="center"/>
        </w:trPr>
        <w:tc>
          <w:tcPr>
            <w:tcW w:w="5292" w:type="dxa"/>
            <w:gridSpan w:val="4"/>
            <w:tcBorders>
              <w:top w:val="single" w:color="000000" w:sz="4" w:space="0"/>
              <w:left w:val="single" w:color="000000" w:sz="4" w:space="0"/>
              <w:bottom w:val="single" w:color="000000" w:sz="4" w:space="0"/>
              <w:right w:val="single" w:color="000000" w:sz="4" w:space="0"/>
            </w:tcBorders>
            <w:vAlign w:val="center"/>
            <w:hideMark/>
          </w:tcPr>
          <w:p w:rsidRPr="00484C46" w:rsidR="00002693" w:rsidP="00EF0B83" w:rsidRDefault="00002693">
            <w:pPr>
              <w:tabs>
                <w:tab w:val="center" w:pos="4320"/>
                <w:tab w:val="right" w:pos="8640"/>
              </w:tabs>
              <w:rPr>
                <w:rFonts w:ascii="Times New Roman" w:hAnsi="Times New Roman"/>
                <w:b/>
                <w:sz w:val="24"/>
                <w:szCs w:val="24"/>
                <w:highlight w:val="yellow"/>
              </w:rPr>
            </w:pPr>
            <w:r>
              <w:rPr>
                <w:rFonts w:ascii="Times New Roman" w:hAnsi="Times New Roman"/>
                <w:b/>
                <w:sz w:val="24"/>
                <w:szCs w:val="24"/>
              </w:rPr>
              <w:t>E</w:t>
            </w:r>
            <w:r w:rsidRPr="00EF0B83">
              <w:rPr>
                <w:rFonts w:ascii="Times New Roman" w:hAnsi="Times New Roman"/>
                <w:b/>
                <w:sz w:val="24"/>
                <w:szCs w:val="24"/>
              </w:rPr>
              <w:t xml:space="preserve">stimated </w:t>
            </w:r>
            <w:r>
              <w:rPr>
                <w:rFonts w:ascii="Times New Roman" w:hAnsi="Times New Roman"/>
                <w:b/>
                <w:sz w:val="24"/>
                <w:szCs w:val="24"/>
              </w:rPr>
              <w:t xml:space="preserve">Total </w:t>
            </w:r>
            <w:r w:rsidRPr="00EF0B83">
              <w:rPr>
                <w:rFonts w:ascii="Times New Roman" w:hAnsi="Times New Roman"/>
                <w:b/>
                <w:sz w:val="24"/>
                <w:szCs w:val="24"/>
              </w:rPr>
              <w:t xml:space="preserve">Annual Burden:  </w:t>
            </w:r>
          </w:p>
        </w:tc>
        <w:tc>
          <w:tcPr>
            <w:tcW w:w="923" w:type="dxa"/>
            <w:tcBorders>
              <w:top w:val="single" w:color="000000" w:sz="4" w:space="0"/>
              <w:left w:val="single" w:color="000000" w:sz="4" w:space="0"/>
              <w:bottom w:val="single" w:color="000000" w:sz="4" w:space="0"/>
              <w:right w:val="single" w:color="000000" w:sz="4" w:space="0"/>
            </w:tcBorders>
            <w:vAlign w:val="center"/>
          </w:tcPr>
          <w:p w:rsidR="006B07A7" w:rsidRDefault="006B07A7">
            <w:pPr>
              <w:tabs>
                <w:tab w:val="center" w:pos="4320"/>
                <w:tab w:val="right" w:pos="8640"/>
              </w:tabs>
              <w:rPr>
                <w:rFonts w:ascii="Times New Roman" w:hAnsi="Times New Roman"/>
                <w:sz w:val="24"/>
                <w:szCs w:val="24"/>
              </w:rPr>
            </w:pPr>
            <w:r>
              <w:rPr>
                <w:rFonts w:ascii="Times New Roman" w:hAnsi="Times New Roman"/>
                <w:sz w:val="24"/>
                <w:szCs w:val="24"/>
              </w:rPr>
              <w:t xml:space="preserve"> </w:t>
            </w:r>
          </w:p>
          <w:p w:rsidR="00002693" w:rsidRDefault="006B07A7">
            <w:pPr>
              <w:tabs>
                <w:tab w:val="center" w:pos="4320"/>
                <w:tab w:val="right" w:pos="8640"/>
              </w:tabs>
              <w:rPr>
                <w:rFonts w:ascii="Times New Roman" w:hAnsi="Times New Roman"/>
                <w:sz w:val="24"/>
                <w:szCs w:val="24"/>
              </w:rPr>
            </w:pPr>
            <w:r>
              <w:rPr>
                <w:rFonts w:ascii="Times New Roman" w:hAnsi="Times New Roman"/>
                <w:sz w:val="24"/>
                <w:szCs w:val="24"/>
              </w:rPr>
              <w:t xml:space="preserve"> </w:t>
            </w:r>
            <w:r w:rsidRPr="00EF0B83" w:rsidR="00002693">
              <w:rPr>
                <w:rFonts w:ascii="Times New Roman" w:hAnsi="Times New Roman"/>
                <w:sz w:val="24"/>
                <w:szCs w:val="24"/>
              </w:rPr>
              <w:t>272</w:t>
            </w:r>
          </w:p>
        </w:tc>
        <w:tc>
          <w:tcPr>
            <w:tcW w:w="2807" w:type="dxa"/>
            <w:gridSpan w:val="2"/>
            <w:tcBorders>
              <w:top w:val="single" w:color="000000" w:sz="4" w:space="0"/>
              <w:left w:val="single" w:color="000000" w:sz="4" w:space="0"/>
              <w:bottom w:val="single" w:color="000000" w:sz="4" w:space="0"/>
              <w:right w:val="single" w:color="000000" w:sz="4" w:space="0"/>
            </w:tcBorders>
            <w:vAlign w:val="center"/>
          </w:tcPr>
          <w:p w:rsidR="006B07A7" w:rsidP="00484C46" w:rsidRDefault="006B07A7">
            <w:pPr>
              <w:tabs>
                <w:tab w:val="center" w:pos="4320"/>
                <w:tab w:val="right" w:pos="8640"/>
              </w:tabs>
              <w:rPr>
                <w:rFonts w:ascii="Times New Roman" w:hAnsi="Times New Roman"/>
                <w:b/>
                <w:sz w:val="24"/>
                <w:szCs w:val="24"/>
              </w:rPr>
            </w:pPr>
          </w:p>
          <w:p w:rsidRPr="00484C46" w:rsidR="00002693" w:rsidP="00484C46" w:rsidRDefault="00002693">
            <w:pPr>
              <w:tabs>
                <w:tab w:val="center" w:pos="4320"/>
                <w:tab w:val="right" w:pos="8640"/>
              </w:tabs>
              <w:rPr>
                <w:rFonts w:ascii="Times New Roman" w:hAnsi="Times New Roman"/>
                <w:b/>
                <w:sz w:val="24"/>
                <w:szCs w:val="24"/>
                <w:highlight w:val="yellow"/>
              </w:rPr>
            </w:pPr>
            <w:r w:rsidRPr="00484C46">
              <w:rPr>
                <w:rFonts w:ascii="Times New Roman" w:hAnsi="Times New Roman"/>
                <w:b/>
                <w:sz w:val="24"/>
                <w:szCs w:val="24"/>
              </w:rPr>
              <w:t>Estimated A</w:t>
            </w:r>
            <w:r w:rsidRPr="00EF0B83">
              <w:rPr>
                <w:rFonts w:ascii="Times New Roman" w:hAnsi="Times New Roman"/>
                <w:b/>
                <w:sz w:val="24"/>
                <w:szCs w:val="24"/>
              </w:rPr>
              <w:t xml:space="preserve">nnual Cost Total: </w:t>
            </w:r>
          </w:p>
        </w:tc>
        <w:tc>
          <w:tcPr>
            <w:tcW w:w="1366" w:type="dxa"/>
            <w:tcBorders>
              <w:top w:val="single" w:color="000000" w:sz="4" w:space="0"/>
              <w:left w:val="single" w:color="000000" w:sz="4" w:space="0"/>
              <w:bottom w:val="single" w:color="000000" w:sz="4" w:space="0"/>
              <w:right w:val="single" w:color="000000" w:sz="4" w:space="0"/>
            </w:tcBorders>
            <w:vAlign w:val="center"/>
          </w:tcPr>
          <w:p w:rsidRPr="00484C46" w:rsidR="00002693" w:rsidRDefault="00002693">
            <w:pPr>
              <w:tabs>
                <w:tab w:val="center" w:pos="4320"/>
                <w:tab w:val="right" w:pos="8640"/>
              </w:tabs>
              <w:jc w:val="center"/>
              <w:rPr>
                <w:rFonts w:ascii="Times New Roman" w:hAnsi="Times New Roman"/>
                <w:sz w:val="24"/>
                <w:szCs w:val="24"/>
                <w:highlight w:val="yellow"/>
              </w:rPr>
            </w:pPr>
            <w:r w:rsidRPr="00484C46">
              <w:rPr>
                <w:rFonts w:ascii="Times New Roman" w:hAnsi="Times New Roman"/>
                <w:sz w:val="24"/>
                <w:szCs w:val="24"/>
                <w:highlight w:val="yellow"/>
              </w:rPr>
              <w:t xml:space="preserve"> </w:t>
            </w:r>
          </w:p>
          <w:p w:rsidRPr="00484C46" w:rsidR="00002693" w:rsidP="00CC1871" w:rsidRDefault="00002693">
            <w:pPr>
              <w:tabs>
                <w:tab w:val="center" w:pos="4320"/>
                <w:tab w:val="right" w:pos="8640"/>
              </w:tabs>
              <w:jc w:val="center"/>
              <w:rPr>
                <w:rFonts w:ascii="Times New Roman" w:hAnsi="Times New Roman"/>
                <w:b/>
                <w:sz w:val="24"/>
                <w:szCs w:val="24"/>
                <w:highlight w:val="yellow"/>
              </w:rPr>
            </w:pPr>
            <w:r w:rsidRPr="00484C46">
              <w:rPr>
                <w:rFonts w:ascii="Times New Roman" w:hAnsi="Times New Roman"/>
                <w:sz w:val="24"/>
                <w:szCs w:val="24"/>
              </w:rPr>
              <w:t>$195,840</w:t>
            </w:r>
          </w:p>
        </w:tc>
      </w:tr>
    </w:tbl>
    <w:p w:rsidR="00550ABD" w:rsidP="006A7551" w:rsidRDefault="00550ABD">
      <w:pPr>
        <w:ind w:left="450"/>
        <w:rPr>
          <w:rFonts w:ascii="Times New Roman" w:hAnsi="Times New Roman"/>
          <w:sz w:val="24"/>
          <w:szCs w:val="24"/>
        </w:rPr>
      </w:pPr>
    </w:p>
    <w:p w:rsidR="006A7551" w:rsidP="006A7551" w:rsidRDefault="006A7551">
      <w:pPr>
        <w:rPr>
          <w:color w:val="1F497D"/>
          <w:sz w:val="22"/>
          <w:szCs w:val="22"/>
        </w:rPr>
      </w:pPr>
    </w:p>
    <w:p w:rsidRPr="00CB2904" w:rsidR="00262162" w:rsidP="00262162" w:rsidRDefault="00262162">
      <w:pPr>
        <w:widowControl/>
        <w:numPr>
          <w:ilvl w:val="0"/>
          <w:numId w:val="1"/>
        </w:numPr>
        <w:tabs>
          <w:tab w:val="num" w:pos="360"/>
        </w:tabs>
        <w:ind w:left="360"/>
        <w:rPr>
          <w:rFonts w:ascii="Times New Roman" w:hAnsi="Times New Roman"/>
          <w:b/>
          <w:sz w:val="24"/>
          <w:szCs w:val="24"/>
        </w:rPr>
      </w:pPr>
      <w:r w:rsidRPr="00CB2904">
        <w:rPr>
          <w:rFonts w:ascii="Times New Roman" w:hAnsi="Times New Roman"/>
          <w:b/>
          <w:sz w:val="24"/>
          <w:szCs w:val="24"/>
        </w:rPr>
        <w:t xml:space="preserve">Estimates of Other Total Annual Cost Burden to Respondents and Record Keepers </w:t>
      </w:r>
    </w:p>
    <w:p w:rsidR="00262162" w:rsidP="00262162" w:rsidRDefault="00262162">
      <w:pPr>
        <w:widowControl/>
        <w:rPr>
          <w:rFonts w:ascii="Times New Roman" w:hAnsi="Times New Roman"/>
          <w:sz w:val="24"/>
          <w:szCs w:val="24"/>
        </w:rPr>
      </w:pPr>
    </w:p>
    <w:p w:rsidRPr="00CB2904" w:rsidR="0024506F" w:rsidP="0024506F" w:rsidRDefault="0024506F">
      <w:pPr>
        <w:tabs>
          <w:tab w:val="left" w:pos="-720"/>
        </w:tabs>
        <w:suppressAutoHyphens/>
        <w:ind w:left="360"/>
        <w:rPr>
          <w:rFonts w:ascii="Times New Roman" w:hAnsi="Times New Roman"/>
          <w:sz w:val="24"/>
          <w:szCs w:val="24"/>
        </w:rPr>
      </w:pPr>
      <w:r w:rsidRPr="00CB2904">
        <w:rPr>
          <w:rFonts w:ascii="Times New Roman" w:hAnsi="Times New Roman"/>
          <w:sz w:val="24"/>
          <w:szCs w:val="24"/>
        </w:rPr>
        <w:t xml:space="preserve">Respondents already use required systems in place to provide information to the FCR, so there is no capital or start-up cost burden to respondents. Any ongoing cost to states </w:t>
      </w:r>
      <w:r w:rsidR="001E2B9F">
        <w:rPr>
          <w:rFonts w:ascii="Times New Roman" w:hAnsi="Times New Roman"/>
          <w:sz w:val="24"/>
          <w:szCs w:val="24"/>
        </w:rPr>
        <w:t>is</w:t>
      </w:r>
      <w:r w:rsidRPr="00CB2904">
        <w:rPr>
          <w:rFonts w:ascii="Times New Roman" w:hAnsi="Times New Roman"/>
          <w:sz w:val="24"/>
          <w:szCs w:val="24"/>
        </w:rPr>
        <w:t xml:space="preserve"> usual and customary to operate and maintain</w:t>
      </w:r>
      <w:r w:rsidR="00C17CA9">
        <w:rPr>
          <w:rFonts w:ascii="Times New Roman" w:hAnsi="Times New Roman"/>
          <w:sz w:val="24"/>
          <w:szCs w:val="24"/>
        </w:rPr>
        <w:t xml:space="preserve"> their existing state systems. </w:t>
      </w:r>
      <w:r w:rsidRPr="00CB2904">
        <w:rPr>
          <w:rFonts w:ascii="Times New Roman" w:hAnsi="Times New Roman"/>
          <w:sz w:val="24"/>
          <w:szCs w:val="24"/>
        </w:rPr>
        <w:t xml:space="preserve">There are also no incremental costs associated with collecting this information.  </w:t>
      </w:r>
    </w:p>
    <w:p w:rsidR="00262162" w:rsidP="00262162" w:rsidRDefault="00262162">
      <w:pPr>
        <w:widowControl/>
        <w:rPr>
          <w:rFonts w:ascii="Times New Roman" w:hAnsi="Times New Roman"/>
          <w:sz w:val="24"/>
          <w:szCs w:val="24"/>
        </w:rPr>
      </w:pPr>
    </w:p>
    <w:p w:rsidRPr="00CB2904" w:rsidR="00262162" w:rsidP="00262162" w:rsidRDefault="00262162">
      <w:pPr>
        <w:widowControl/>
        <w:numPr>
          <w:ilvl w:val="0"/>
          <w:numId w:val="1"/>
        </w:numPr>
        <w:tabs>
          <w:tab w:val="num" w:pos="360"/>
        </w:tabs>
        <w:ind w:left="360"/>
        <w:rPr>
          <w:rFonts w:ascii="Times New Roman" w:hAnsi="Times New Roman"/>
          <w:b/>
          <w:sz w:val="24"/>
          <w:szCs w:val="24"/>
        </w:rPr>
      </w:pPr>
      <w:r w:rsidRPr="00CB2904">
        <w:rPr>
          <w:rFonts w:ascii="Times New Roman" w:hAnsi="Times New Roman"/>
          <w:b/>
          <w:sz w:val="24"/>
          <w:szCs w:val="24"/>
        </w:rPr>
        <w:t xml:space="preserve">Annualized Cost to the Federal Government </w:t>
      </w:r>
    </w:p>
    <w:p w:rsidR="00262162" w:rsidP="006F4D12" w:rsidRDefault="00262162">
      <w:pPr>
        <w:widowControl/>
        <w:ind w:left="360"/>
        <w:rPr>
          <w:rFonts w:ascii="Times New Roman" w:hAnsi="Times New Roman"/>
          <w:sz w:val="24"/>
          <w:szCs w:val="24"/>
        </w:rPr>
      </w:pPr>
    </w:p>
    <w:p w:rsidRPr="00CB2904" w:rsidR="006F4D12" w:rsidP="006F4D12" w:rsidRDefault="006F4D12">
      <w:pPr>
        <w:ind w:left="300"/>
        <w:rPr>
          <w:rFonts w:ascii="Times New Roman" w:hAnsi="Times New Roman"/>
          <w:sz w:val="24"/>
          <w:szCs w:val="24"/>
        </w:rPr>
      </w:pPr>
      <w:r w:rsidRPr="00CB2904">
        <w:rPr>
          <w:rFonts w:ascii="Times New Roman" w:hAnsi="Times New Roman"/>
          <w:sz w:val="24"/>
          <w:szCs w:val="24"/>
        </w:rPr>
        <w:t xml:space="preserve">The annualized cost to the federal government for the case registry requirements is </w:t>
      </w:r>
      <w:r w:rsidRPr="00D230CC">
        <w:rPr>
          <w:rFonts w:ascii="Times New Roman" w:hAnsi="Times New Roman"/>
          <w:sz w:val="24"/>
          <w:szCs w:val="24"/>
        </w:rPr>
        <w:t>approximately $2.</w:t>
      </w:r>
      <w:r w:rsidRPr="00D230CC" w:rsidR="00550ABD">
        <w:rPr>
          <w:rFonts w:ascii="Times New Roman" w:hAnsi="Times New Roman"/>
          <w:sz w:val="24"/>
          <w:szCs w:val="24"/>
        </w:rPr>
        <w:t>5</w:t>
      </w:r>
      <w:r w:rsidRPr="00D230CC">
        <w:rPr>
          <w:rFonts w:ascii="Times New Roman" w:hAnsi="Times New Roman"/>
          <w:sz w:val="24"/>
          <w:szCs w:val="24"/>
        </w:rPr>
        <w:t xml:space="preserve"> million. This</w:t>
      </w:r>
      <w:r w:rsidRPr="00CB2904">
        <w:rPr>
          <w:rFonts w:ascii="Times New Roman" w:hAnsi="Times New Roman"/>
          <w:sz w:val="24"/>
          <w:szCs w:val="24"/>
        </w:rPr>
        <w:t xml:space="preserve"> includes FCR system development</w:t>
      </w:r>
      <w:r w:rsidR="001E2B9F">
        <w:rPr>
          <w:rFonts w:ascii="Times New Roman" w:hAnsi="Times New Roman"/>
          <w:sz w:val="24"/>
          <w:szCs w:val="24"/>
        </w:rPr>
        <w:t>,</w:t>
      </w:r>
      <w:r w:rsidRPr="00CB2904">
        <w:rPr>
          <w:rFonts w:ascii="Times New Roman" w:hAnsi="Times New Roman"/>
          <w:sz w:val="24"/>
          <w:szCs w:val="24"/>
        </w:rPr>
        <w:t xml:space="preserve"> technical assistance</w:t>
      </w:r>
      <w:r w:rsidR="001E2B9F">
        <w:rPr>
          <w:rFonts w:ascii="Times New Roman" w:hAnsi="Times New Roman"/>
          <w:sz w:val="24"/>
          <w:szCs w:val="24"/>
        </w:rPr>
        <w:t>, and</w:t>
      </w:r>
      <w:r w:rsidRPr="00CB2904">
        <w:rPr>
          <w:rFonts w:ascii="Times New Roman" w:hAnsi="Times New Roman"/>
          <w:sz w:val="24"/>
          <w:szCs w:val="24"/>
        </w:rPr>
        <w:t xml:space="preserve"> contracting costs, as well as the software and hardware costs incurred by OCSE in association with the FCR.</w:t>
      </w:r>
    </w:p>
    <w:p w:rsidR="00262162" w:rsidP="00262162" w:rsidRDefault="00262162">
      <w:pPr>
        <w:widowControl/>
        <w:rPr>
          <w:rFonts w:ascii="Times New Roman" w:hAnsi="Times New Roman"/>
          <w:sz w:val="24"/>
          <w:szCs w:val="24"/>
        </w:rPr>
      </w:pPr>
    </w:p>
    <w:p w:rsidRPr="00CB2904" w:rsidR="00262162" w:rsidP="00262162" w:rsidRDefault="00262162">
      <w:pPr>
        <w:widowControl/>
        <w:numPr>
          <w:ilvl w:val="0"/>
          <w:numId w:val="1"/>
        </w:numPr>
        <w:tabs>
          <w:tab w:val="num" w:pos="360"/>
        </w:tabs>
        <w:ind w:left="360"/>
        <w:rPr>
          <w:rFonts w:ascii="Times New Roman" w:hAnsi="Times New Roman"/>
          <w:b/>
          <w:sz w:val="24"/>
          <w:szCs w:val="24"/>
        </w:rPr>
      </w:pPr>
      <w:r w:rsidRPr="00CB2904">
        <w:rPr>
          <w:rFonts w:ascii="Times New Roman" w:hAnsi="Times New Roman"/>
          <w:b/>
          <w:sz w:val="24"/>
          <w:szCs w:val="24"/>
        </w:rPr>
        <w:t xml:space="preserve">Explanation for Program Changes or Adjustments </w:t>
      </w:r>
    </w:p>
    <w:p w:rsidRPr="00CB2904" w:rsidR="00262162" w:rsidP="00262162" w:rsidRDefault="00262162">
      <w:pPr>
        <w:widowControl/>
        <w:ind w:left="360"/>
        <w:rPr>
          <w:rFonts w:ascii="Times New Roman" w:hAnsi="Times New Roman"/>
          <w:b/>
          <w:sz w:val="24"/>
          <w:szCs w:val="24"/>
        </w:rPr>
      </w:pPr>
    </w:p>
    <w:p w:rsidR="00E0451B" w:rsidP="00B535A4" w:rsidRDefault="00B535A4">
      <w:pPr>
        <w:tabs>
          <w:tab w:val="left" w:pos="-720"/>
        </w:tabs>
        <w:suppressAutoHyphens/>
        <w:rPr>
          <w:rFonts w:ascii="Times New Roman" w:hAnsi="Times New Roman"/>
          <w:sz w:val="24"/>
          <w:szCs w:val="24"/>
        </w:rPr>
      </w:pPr>
      <w:r>
        <w:rPr>
          <w:rFonts w:ascii="Times New Roman" w:hAnsi="Times New Roman"/>
        </w:rPr>
        <w:t xml:space="preserve">      </w:t>
      </w:r>
      <w:r w:rsidRPr="00CB2904">
        <w:rPr>
          <w:rFonts w:ascii="Times New Roman" w:hAnsi="Times New Roman"/>
          <w:sz w:val="24"/>
          <w:szCs w:val="24"/>
        </w:rPr>
        <w:t xml:space="preserve">There are no program changes. </w:t>
      </w:r>
    </w:p>
    <w:p w:rsidR="007C77E9" w:rsidP="00B535A4" w:rsidRDefault="007C77E9">
      <w:pPr>
        <w:tabs>
          <w:tab w:val="left" w:pos="-720"/>
        </w:tabs>
        <w:suppressAutoHyphens/>
        <w:rPr>
          <w:rFonts w:ascii="Times New Roman" w:hAnsi="Times New Roman"/>
          <w:sz w:val="24"/>
          <w:szCs w:val="24"/>
        </w:rPr>
      </w:pPr>
    </w:p>
    <w:p w:rsidRPr="00EF7187" w:rsidR="00262162" w:rsidP="00EF7187" w:rsidRDefault="00EF7187">
      <w:pPr>
        <w:widowControl/>
        <w:rPr>
          <w:rFonts w:ascii="Times New Roman" w:hAnsi="Times New Roman"/>
          <w:b/>
          <w:sz w:val="24"/>
          <w:szCs w:val="24"/>
        </w:rPr>
      </w:pPr>
      <w:r>
        <w:rPr>
          <w:rFonts w:ascii="Times New Roman" w:hAnsi="Times New Roman"/>
          <w:b/>
          <w:sz w:val="24"/>
          <w:szCs w:val="24"/>
        </w:rPr>
        <w:t>16</w:t>
      </w:r>
      <w:r w:rsidR="007F745B">
        <w:rPr>
          <w:rFonts w:ascii="Times New Roman" w:hAnsi="Times New Roman"/>
          <w:b/>
          <w:sz w:val="24"/>
          <w:szCs w:val="24"/>
        </w:rPr>
        <w:t>.</w:t>
      </w:r>
      <w:r w:rsidRPr="00EF7187" w:rsidR="007F745B">
        <w:rPr>
          <w:rFonts w:ascii="Times New Roman" w:hAnsi="Times New Roman"/>
          <w:b/>
          <w:sz w:val="24"/>
          <w:szCs w:val="24"/>
        </w:rPr>
        <w:t xml:space="preserve"> Plans</w:t>
      </w:r>
      <w:r w:rsidRPr="00EF7187" w:rsidR="00262162">
        <w:rPr>
          <w:rFonts w:ascii="Times New Roman" w:hAnsi="Times New Roman"/>
          <w:b/>
          <w:sz w:val="24"/>
          <w:szCs w:val="24"/>
        </w:rPr>
        <w:t xml:space="preserve"> for Tabulation and Publication and Project Time Schedule </w:t>
      </w:r>
    </w:p>
    <w:p w:rsidR="00262162" w:rsidP="00262162" w:rsidRDefault="00262162">
      <w:pPr>
        <w:widowControl/>
        <w:rPr>
          <w:rFonts w:ascii="Times New Roman" w:hAnsi="Times New Roman"/>
          <w:sz w:val="24"/>
          <w:szCs w:val="24"/>
        </w:rPr>
      </w:pPr>
    </w:p>
    <w:p w:rsidR="00233342" w:rsidP="006C769B" w:rsidRDefault="00901CA5">
      <w:pPr>
        <w:tabs>
          <w:tab w:val="left" w:pos="-720"/>
        </w:tabs>
        <w:suppressAutoHyphens/>
        <w:ind w:left="360"/>
        <w:rPr>
          <w:rFonts w:ascii="Times New Roman" w:hAnsi="Times New Roman"/>
          <w:sz w:val="24"/>
          <w:szCs w:val="24"/>
        </w:rPr>
      </w:pPr>
      <w:r>
        <w:rPr>
          <w:rFonts w:ascii="Times New Roman" w:hAnsi="Times New Roman"/>
          <w:sz w:val="24"/>
          <w:szCs w:val="24"/>
        </w:rPr>
        <w:t xml:space="preserve">Records contained in the </w:t>
      </w:r>
      <w:r w:rsidRPr="00F24A87" w:rsidR="00F24A87">
        <w:rPr>
          <w:rFonts w:ascii="Times New Roman" w:hAnsi="Times New Roman"/>
          <w:sz w:val="24"/>
          <w:szCs w:val="24"/>
        </w:rPr>
        <w:t>FCR are included in the OCSE Annual Report to Congress.</w:t>
      </w:r>
      <w:r w:rsidR="00F24A87">
        <w:rPr>
          <w:rFonts w:ascii="Times New Roman" w:hAnsi="Times New Roman"/>
          <w:sz w:val="24"/>
          <w:szCs w:val="24"/>
        </w:rPr>
        <w:t xml:space="preserve"> </w:t>
      </w:r>
      <w:r>
        <w:rPr>
          <w:rFonts w:ascii="Times New Roman" w:hAnsi="Times New Roman"/>
          <w:sz w:val="24"/>
          <w:szCs w:val="24"/>
        </w:rPr>
        <w:t xml:space="preserve">There </w:t>
      </w:r>
      <w:r>
        <w:rPr>
          <w:rFonts w:ascii="Times New Roman" w:hAnsi="Times New Roman"/>
          <w:sz w:val="24"/>
          <w:szCs w:val="24"/>
        </w:rPr>
        <w:lastRenderedPageBreak/>
        <w:t xml:space="preserve">are </w:t>
      </w:r>
      <w:r w:rsidRPr="00901CA5">
        <w:rPr>
          <w:rFonts w:ascii="Times New Roman" w:hAnsi="Times New Roman"/>
          <w:sz w:val="24"/>
          <w:szCs w:val="24"/>
        </w:rPr>
        <w:t>no other planned analyses, tabulation</w:t>
      </w:r>
      <w:r>
        <w:rPr>
          <w:rFonts w:ascii="Times New Roman" w:hAnsi="Times New Roman"/>
          <w:sz w:val="24"/>
          <w:szCs w:val="24"/>
        </w:rPr>
        <w:t>s</w:t>
      </w:r>
      <w:r w:rsidRPr="00901CA5">
        <w:rPr>
          <w:rFonts w:ascii="Times New Roman" w:hAnsi="Times New Roman"/>
          <w:sz w:val="24"/>
          <w:szCs w:val="24"/>
        </w:rPr>
        <w:t>, or publication</w:t>
      </w:r>
      <w:r>
        <w:rPr>
          <w:rFonts w:ascii="Times New Roman" w:hAnsi="Times New Roman"/>
          <w:sz w:val="24"/>
          <w:szCs w:val="24"/>
        </w:rPr>
        <w:t>s</w:t>
      </w:r>
      <w:r w:rsidRPr="00901CA5">
        <w:rPr>
          <w:rFonts w:ascii="Times New Roman" w:hAnsi="Times New Roman"/>
          <w:sz w:val="24"/>
          <w:szCs w:val="24"/>
        </w:rPr>
        <w:t xml:space="preserve"> of the data collected</w:t>
      </w:r>
      <w:r>
        <w:rPr>
          <w:rFonts w:ascii="Times New Roman" w:hAnsi="Times New Roman"/>
          <w:sz w:val="24"/>
          <w:szCs w:val="24"/>
        </w:rPr>
        <w:t>.</w:t>
      </w:r>
    </w:p>
    <w:p w:rsidR="00901CA5" w:rsidP="006C769B" w:rsidRDefault="00901CA5">
      <w:pPr>
        <w:tabs>
          <w:tab w:val="left" w:pos="-720"/>
        </w:tabs>
        <w:suppressAutoHyphens/>
        <w:ind w:left="360"/>
        <w:rPr>
          <w:rFonts w:ascii="Times New Roman" w:hAnsi="Times New Roman"/>
          <w:sz w:val="24"/>
          <w:szCs w:val="24"/>
        </w:rPr>
      </w:pPr>
    </w:p>
    <w:p w:rsidRPr="006601E9" w:rsidR="00262162" w:rsidP="00D27D13" w:rsidRDefault="000758BD">
      <w:pPr>
        <w:widowControl/>
        <w:tabs>
          <w:tab w:val="left" w:pos="360"/>
        </w:tabs>
        <w:rPr>
          <w:b/>
        </w:rPr>
      </w:pPr>
      <w:r w:rsidRPr="00363680">
        <w:rPr>
          <w:rFonts w:ascii="Times New Roman" w:hAnsi="Times New Roman"/>
          <w:b/>
          <w:sz w:val="24"/>
          <w:szCs w:val="24"/>
        </w:rPr>
        <w:t>17</w:t>
      </w:r>
      <w:r w:rsidRPr="008454A1" w:rsidR="008454A1">
        <w:rPr>
          <w:rFonts w:ascii="Times New Roman" w:hAnsi="Times New Roman"/>
          <w:b/>
          <w:sz w:val="24"/>
          <w:szCs w:val="24"/>
        </w:rPr>
        <w:t>. Reason</w:t>
      </w:r>
      <w:r w:rsidRPr="006601E9" w:rsidR="00262162">
        <w:rPr>
          <w:rFonts w:ascii="Times New Roman" w:hAnsi="Times New Roman"/>
          <w:b/>
          <w:sz w:val="24"/>
          <w:szCs w:val="24"/>
        </w:rPr>
        <w:t xml:space="preserve">(s) Display of </w:t>
      </w:r>
      <w:r w:rsidR="00AE6AB2">
        <w:rPr>
          <w:rFonts w:ascii="Times New Roman" w:hAnsi="Times New Roman"/>
          <w:b/>
          <w:sz w:val="24"/>
          <w:szCs w:val="24"/>
        </w:rPr>
        <w:t>OMB Expiration Date I</w:t>
      </w:r>
      <w:r w:rsidRPr="006601E9" w:rsidR="00262162">
        <w:rPr>
          <w:rFonts w:ascii="Times New Roman" w:hAnsi="Times New Roman"/>
          <w:b/>
          <w:sz w:val="24"/>
          <w:szCs w:val="24"/>
        </w:rPr>
        <w:t>s Inappropriate</w:t>
      </w:r>
      <w:r w:rsidRPr="006601E9" w:rsidR="00262162">
        <w:rPr>
          <w:b/>
        </w:rPr>
        <w:t xml:space="preserve"> </w:t>
      </w:r>
    </w:p>
    <w:p w:rsidRPr="006601E9" w:rsidR="00262162" w:rsidP="00262162" w:rsidRDefault="00262162">
      <w:pPr>
        <w:widowControl/>
        <w:rPr>
          <w:rFonts w:ascii="Times New Roman" w:hAnsi="Times New Roman"/>
          <w:b/>
          <w:sz w:val="24"/>
          <w:szCs w:val="24"/>
        </w:rPr>
      </w:pPr>
    </w:p>
    <w:p w:rsidRPr="00CB2904" w:rsidR="00EE4DA7" w:rsidP="00EE4DA7" w:rsidRDefault="00EE4DA7">
      <w:pPr>
        <w:tabs>
          <w:tab w:val="left" w:pos="-720"/>
        </w:tabs>
        <w:suppressAutoHyphens/>
        <w:rPr>
          <w:rFonts w:ascii="Times New Roman" w:hAnsi="Times New Roman"/>
          <w:sz w:val="24"/>
          <w:szCs w:val="24"/>
        </w:rPr>
      </w:pPr>
      <w:r w:rsidRPr="00CB2904">
        <w:rPr>
          <w:rFonts w:ascii="Times New Roman" w:hAnsi="Times New Roman"/>
          <w:sz w:val="24"/>
          <w:szCs w:val="24"/>
        </w:rPr>
        <w:t xml:space="preserve">      Not applicable.</w:t>
      </w:r>
    </w:p>
    <w:p w:rsidR="00262162" w:rsidP="00262162" w:rsidRDefault="00262162">
      <w:pPr>
        <w:widowControl/>
        <w:rPr>
          <w:rFonts w:ascii="Times New Roman" w:hAnsi="Times New Roman"/>
          <w:sz w:val="24"/>
          <w:szCs w:val="24"/>
        </w:rPr>
      </w:pPr>
    </w:p>
    <w:p w:rsidRPr="00233342" w:rsidR="00262162" w:rsidP="00233342" w:rsidRDefault="00233342">
      <w:pPr>
        <w:widowControl/>
        <w:rPr>
          <w:rFonts w:ascii="Times New Roman" w:hAnsi="Times New Roman"/>
          <w:b/>
          <w:sz w:val="24"/>
          <w:szCs w:val="24"/>
        </w:rPr>
      </w:pPr>
      <w:r>
        <w:rPr>
          <w:rFonts w:ascii="Times New Roman" w:hAnsi="Times New Roman"/>
          <w:b/>
          <w:sz w:val="24"/>
          <w:szCs w:val="24"/>
        </w:rPr>
        <w:t>18.</w:t>
      </w:r>
      <w:r w:rsidR="00D27D13">
        <w:rPr>
          <w:rFonts w:ascii="Times New Roman" w:hAnsi="Times New Roman"/>
          <w:b/>
          <w:sz w:val="24"/>
          <w:szCs w:val="24"/>
        </w:rPr>
        <w:t xml:space="preserve"> </w:t>
      </w:r>
      <w:r w:rsidRPr="00233342" w:rsidR="00262162">
        <w:rPr>
          <w:rFonts w:ascii="Times New Roman" w:hAnsi="Times New Roman"/>
          <w:b/>
          <w:sz w:val="24"/>
          <w:szCs w:val="24"/>
        </w:rPr>
        <w:t>Exceptions to Certification for Paperwork Reduction Act Submissions</w:t>
      </w:r>
    </w:p>
    <w:p w:rsidR="00262162" w:rsidP="00262162" w:rsidRDefault="00262162">
      <w:pPr>
        <w:widowControl/>
        <w:rPr>
          <w:rFonts w:ascii="Times New Roman" w:hAnsi="Times New Roman"/>
          <w:b/>
          <w:bCs/>
          <w:sz w:val="24"/>
          <w:szCs w:val="24"/>
        </w:rPr>
      </w:pPr>
    </w:p>
    <w:p w:rsidR="00262162" w:rsidP="006148AF" w:rsidRDefault="00EE4DA7">
      <w:pPr>
        <w:tabs>
          <w:tab w:val="left" w:pos="-720"/>
        </w:tabs>
        <w:suppressAutoHyphens/>
        <w:rPr>
          <w:rFonts w:ascii="Times New Roman" w:hAnsi="Times New Roman"/>
          <w:b/>
          <w:bCs/>
          <w:sz w:val="24"/>
          <w:szCs w:val="24"/>
        </w:rPr>
      </w:pPr>
      <w:r>
        <w:rPr>
          <w:rFonts w:ascii="Times New Roman" w:hAnsi="Times New Roman"/>
          <w:b/>
          <w:bCs/>
          <w:sz w:val="24"/>
          <w:szCs w:val="24"/>
        </w:rPr>
        <w:t xml:space="preserve">      </w:t>
      </w:r>
      <w:r w:rsidRPr="00CB2904">
        <w:rPr>
          <w:rFonts w:ascii="Times New Roman" w:hAnsi="Times New Roman"/>
          <w:sz w:val="24"/>
          <w:szCs w:val="24"/>
        </w:rPr>
        <w:t xml:space="preserve">No exceptions. </w:t>
      </w:r>
    </w:p>
    <w:sectPr w:rsidR="00262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CF0" w:rsidRDefault="002C0CF0" w:rsidP="00E61566">
      <w:r>
        <w:separator/>
      </w:r>
    </w:p>
  </w:endnote>
  <w:endnote w:type="continuationSeparator" w:id="0">
    <w:p w:rsidR="002C0CF0" w:rsidRDefault="002C0CF0" w:rsidP="00E6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CF0" w:rsidRDefault="002C0CF0" w:rsidP="00E61566">
      <w:r>
        <w:separator/>
      </w:r>
    </w:p>
  </w:footnote>
  <w:footnote w:type="continuationSeparator" w:id="0">
    <w:p w:rsidR="002C0CF0" w:rsidRDefault="002C0CF0" w:rsidP="00E61566">
      <w:r>
        <w:continuationSeparator/>
      </w:r>
    </w:p>
  </w:footnote>
  <w:footnote w:id="1">
    <w:p w:rsidR="00002693" w:rsidRPr="008B7FEA" w:rsidRDefault="00002693">
      <w:pPr>
        <w:pStyle w:val="FootnoteText"/>
        <w:rPr>
          <w:rFonts w:ascii="Times New Roman" w:hAnsi="Times New Roman"/>
          <w:sz w:val="20"/>
        </w:rPr>
      </w:pPr>
      <w:r w:rsidRPr="008B7FEA">
        <w:rPr>
          <w:rStyle w:val="FootnoteReference"/>
          <w:rFonts w:ascii="Times New Roman" w:hAnsi="Times New Roman"/>
          <w:sz w:val="20"/>
        </w:rPr>
        <w:footnoteRef/>
      </w:r>
      <w:r w:rsidRPr="008B7FEA">
        <w:rPr>
          <w:rFonts w:ascii="Times New Roman" w:hAnsi="Times New Roman"/>
          <w:sz w:val="20"/>
          <w:vertAlign w:val="superscript"/>
        </w:rPr>
        <w:t xml:space="preserve"> </w:t>
      </w:r>
      <w:r w:rsidRPr="008B7FEA">
        <w:rPr>
          <w:rFonts w:ascii="Times New Roman" w:hAnsi="Times New Roman"/>
          <w:sz w:val="20"/>
        </w:rPr>
        <w:t>Number of responses per respondent is based on the assumption that half of the states submit weekly (52 responses) and half submit daily (250 responses)</w:t>
      </w:r>
      <w:r w:rsidR="00361820" w:rsidRPr="008B7FEA">
        <w:rPr>
          <w:rFonts w:ascii="Times New Roman" w:hAnsi="Times New Roman"/>
          <w:sz w:val="20"/>
        </w:rPr>
        <w:t xml:space="preserve"> or an annual average of 151</w:t>
      </w:r>
      <w:r w:rsidRPr="008B7FEA">
        <w:rPr>
          <w:rFonts w:ascii="Times New Roman" w:hAnsi="Times New Roman"/>
          <w:sz w:val="20"/>
        </w:rPr>
        <w:t>.</w:t>
      </w:r>
    </w:p>
  </w:footnote>
  <w:footnote w:id="2">
    <w:p w:rsidR="00002693" w:rsidRPr="008B7FEA" w:rsidRDefault="00002693">
      <w:pPr>
        <w:pStyle w:val="FootnoteText"/>
        <w:rPr>
          <w:rFonts w:ascii="Times New Roman" w:hAnsi="Times New Roman"/>
          <w:sz w:val="20"/>
        </w:rPr>
      </w:pPr>
      <w:r w:rsidRPr="008B7FEA">
        <w:rPr>
          <w:rStyle w:val="FootnoteReference"/>
          <w:rFonts w:ascii="Times New Roman" w:hAnsi="Times New Roman"/>
          <w:sz w:val="20"/>
        </w:rPr>
        <w:footnoteRef/>
      </w:r>
      <w:r w:rsidR="008B7FEA" w:rsidRPr="008B7FEA">
        <w:rPr>
          <w:rFonts w:ascii="Times New Roman" w:hAnsi="Times New Roman"/>
        </w:rPr>
        <w:t xml:space="preserve"> </w:t>
      </w:r>
      <w:r w:rsidRPr="008B7FEA">
        <w:rPr>
          <w:rFonts w:ascii="Times New Roman" w:hAnsi="Times New Roman"/>
          <w:sz w:val="20"/>
        </w:rPr>
        <w:t>Estimated transmission time is 2 minutes. For the hourly calculation, use 2/60</w:t>
      </w:r>
      <w:r w:rsidR="00D27D13" w:rsidRPr="008B7FEA">
        <w:rPr>
          <w:rFonts w:ascii="Times New Roman" w:hAnsi="Times New Roman"/>
          <w:sz w:val="20"/>
        </w:rPr>
        <w:t xml:space="preserve"> or 0.0333</w:t>
      </w:r>
      <w:r w:rsidRPr="008B7FEA">
        <w:rPr>
          <w:rFonts w:ascii="Times New Roman" w:hAnsi="Times New Roman"/>
          <w:sz w:val="20"/>
        </w:rPr>
        <w:t>.</w:t>
      </w:r>
    </w:p>
  </w:footnote>
  <w:footnote w:id="3">
    <w:p w:rsidR="006472D9" w:rsidRPr="008B7FEA" w:rsidRDefault="006472D9">
      <w:pPr>
        <w:pStyle w:val="FootnoteText"/>
        <w:rPr>
          <w:rFonts w:ascii="Times New Roman" w:hAnsi="Times New Roman"/>
          <w:sz w:val="20"/>
        </w:rPr>
      </w:pPr>
      <w:r w:rsidRPr="008B7FEA">
        <w:rPr>
          <w:rFonts w:ascii="Times New Roman" w:hAnsi="Times New Roman"/>
          <w:sz w:val="20"/>
          <w:vertAlign w:val="superscript"/>
        </w:rPr>
        <w:footnoteRef/>
      </w:r>
      <w:r w:rsidRPr="008B7FEA">
        <w:rPr>
          <w:rFonts w:ascii="Times New Roman" w:hAnsi="Times New Roman"/>
          <w:sz w:val="20"/>
        </w:rPr>
        <w:t xml:space="preserve"> </w:t>
      </w:r>
      <w:r w:rsidR="00361820" w:rsidRPr="008B7FEA">
        <w:rPr>
          <w:rFonts w:ascii="Times New Roman" w:hAnsi="Times New Roman"/>
          <w:sz w:val="20"/>
        </w:rPr>
        <w:t>54 respondents submit an average of 151 responses per year multiplied by the transmission time of 0.0333 minutes for an annual total of 272 burden hours (rounded up).</w:t>
      </w:r>
    </w:p>
  </w:footnote>
  <w:footnote w:id="4">
    <w:p w:rsidR="006472D9" w:rsidRPr="008B7FEA" w:rsidRDefault="006472D9">
      <w:pPr>
        <w:pStyle w:val="FootnoteText"/>
        <w:rPr>
          <w:rFonts w:ascii="Times New Roman" w:hAnsi="Times New Roman"/>
          <w:sz w:val="20"/>
        </w:rPr>
      </w:pPr>
      <w:r w:rsidRPr="008B7FEA">
        <w:rPr>
          <w:rFonts w:ascii="Times New Roman" w:hAnsi="Times New Roman"/>
          <w:sz w:val="20"/>
          <w:vertAlign w:val="superscript"/>
        </w:rPr>
        <w:footnoteRef/>
      </w:r>
      <w:r w:rsidRPr="008B7FEA">
        <w:rPr>
          <w:rFonts w:ascii="Times New Roman" w:hAnsi="Times New Roman"/>
          <w:sz w:val="20"/>
        </w:rPr>
        <w:t xml:space="preserve"> </w:t>
      </w:r>
      <w:r w:rsidR="00361820" w:rsidRPr="008B7FEA">
        <w:rPr>
          <w:rFonts w:ascii="Times New Roman" w:hAnsi="Times New Roman"/>
          <w:sz w:val="20"/>
        </w:rPr>
        <w:t>Total costs of $195,480 divided by the number of respondents (54) is an annual cost per respondent of $3</w:t>
      </w:r>
      <w:r w:rsidR="00D50845" w:rsidRPr="008B7FEA">
        <w:rPr>
          <w:rFonts w:ascii="Times New Roman" w:hAnsi="Times New Roman"/>
          <w:sz w:val="20"/>
        </w:rPr>
        <w:t>,</w:t>
      </w:r>
      <w:r w:rsidR="00361820" w:rsidRPr="008B7FEA">
        <w:rPr>
          <w:rFonts w:ascii="Times New Roman" w:hAnsi="Times New Roman"/>
          <w:sz w:val="20"/>
        </w:rPr>
        <w:t>627.</w:t>
      </w:r>
    </w:p>
  </w:footnote>
  <w:footnote w:id="5">
    <w:p w:rsidR="006472D9" w:rsidRPr="008B7FEA" w:rsidRDefault="006472D9">
      <w:pPr>
        <w:pStyle w:val="FootnoteText"/>
        <w:rPr>
          <w:rFonts w:ascii="Times New Roman" w:hAnsi="Times New Roman"/>
          <w:sz w:val="20"/>
        </w:rPr>
      </w:pPr>
      <w:r w:rsidRPr="008B7FEA">
        <w:rPr>
          <w:rFonts w:ascii="Times New Roman" w:hAnsi="Times New Roman"/>
          <w:sz w:val="20"/>
          <w:vertAlign w:val="superscript"/>
        </w:rPr>
        <w:footnoteRef/>
      </w:r>
      <w:r w:rsidRPr="008B7FEA">
        <w:rPr>
          <w:rFonts w:ascii="Times New Roman" w:hAnsi="Times New Roman"/>
          <w:sz w:val="20"/>
        </w:rPr>
        <w:t xml:space="preserve"> </w:t>
      </w:r>
      <w:r w:rsidR="00DC2D82">
        <w:rPr>
          <w:rFonts w:ascii="Times New Roman" w:hAnsi="Times New Roman"/>
          <w:sz w:val="20"/>
        </w:rPr>
        <w:t>60 minutes, or 1</w:t>
      </w:r>
      <w:r w:rsidR="00361820" w:rsidRPr="008B7FEA">
        <w:rPr>
          <w:rFonts w:ascii="Times New Roman" w:hAnsi="Times New Roman"/>
          <w:sz w:val="20"/>
        </w:rPr>
        <w:t xml:space="preserve"> burden hour, multiplied by $12 per CPU minute is $720 per burden hour.  </w:t>
      </w:r>
    </w:p>
  </w:footnote>
  <w:footnote w:id="6">
    <w:p w:rsidR="006944FE" w:rsidRPr="008B7FEA" w:rsidRDefault="006472D9" w:rsidP="006944FE">
      <w:pPr>
        <w:pStyle w:val="FootnoteText"/>
        <w:rPr>
          <w:rFonts w:ascii="Times New Roman" w:hAnsi="Times New Roman"/>
          <w:sz w:val="20"/>
        </w:rPr>
      </w:pPr>
      <w:r w:rsidRPr="008B7FEA">
        <w:rPr>
          <w:rFonts w:ascii="Times New Roman" w:hAnsi="Times New Roman"/>
          <w:sz w:val="20"/>
          <w:vertAlign w:val="superscript"/>
        </w:rPr>
        <w:footnoteRef/>
      </w:r>
      <w:r w:rsidR="008B7FEA" w:rsidRPr="008B7FEA">
        <w:rPr>
          <w:rFonts w:ascii="Times New Roman" w:hAnsi="Times New Roman"/>
          <w:sz w:val="20"/>
        </w:rPr>
        <w:t xml:space="preserve"> </w:t>
      </w:r>
      <w:r w:rsidR="006944FE" w:rsidRPr="008B7FEA">
        <w:rPr>
          <w:rFonts w:ascii="Times New Roman" w:hAnsi="Times New Roman"/>
          <w:sz w:val="20"/>
        </w:rPr>
        <w:t>To calculate the total annual cost of $195,480: 272 respondent hours multiplied by $720 (60 minutes at $12 per CPU minute).</w:t>
      </w:r>
      <w:r w:rsidR="00FA456B" w:rsidRPr="008B7FEA">
        <w:rPr>
          <w:rFonts w:ascii="Times New Roman" w:hAnsi="Times New Roman"/>
          <w:sz w:val="20"/>
        </w:rPr>
        <w:t xml:space="preserve">  </w:t>
      </w:r>
    </w:p>
    <w:p w:rsidR="006472D9" w:rsidRPr="008B7FEA" w:rsidRDefault="006472D9">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663DEE"/>
    <w:multiLevelType w:val="hybridMultilevel"/>
    <w:tmpl w:val="071291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836C0"/>
    <w:multiLevelType w:val="hybridMultilevel"/>
    <w:tmpl w:val="616CF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BA30C0"/>
    <w:multiLevelType w:val="hybridMultilevel"/>
    <w:tmpl w:val="0380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A1BD6"/>
    <w:multiLevelType w:val="multilevel"/>
    <w:tmpl w:val="1D2A3A14"/>
    <w:lvl w:ilvl="0">
      <w:start w:val="1"/>
      <w:numFmt w:val="decimal"/>
      <w:lvlText w:val="%1."/>
      <w:lvlJc w:val="left"/>
      <w:pPr>
        <w:tabs>
          <w:tab w:val="num" w:pos="1350"/>
        </w:tabs>
        <w:ind w:left="13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E9C4002"/>
    <w:multiLevelType w:val="hybridMultilevel"/>
    <w:tmpl w:val="F4D4EB74"/>
    <w:lvl w:ilvl="0" w:tplc="13560A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42232"/>
    <w:multiLevelType w:val="hybridMultilevel"/>
    <w:tmpl w:val="E1B8DF1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C513E"/>
    <w:multiLevelType w:val="hybridMultilevel"/>
    <w:tmpl w:val="CDD0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2E91DA5"/>
    <w:multiLevelType w:val="hybridMultilevel"/>
    <w:tmpl w:val="D0F2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4682A"/>
    <w:multiLevelType w:val="hybridMultilevel"/>
    <w:tmpl w:val="C654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8D6EE5"/>
    <w:multiLevelType w:val="hybridMultilevel"/>
    <w:tmpl w:val="F4D4EB74"/>
    <w:lvl w:ilvl="0" w:tplc="13560A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6212C"/>
    <w:multiLevelType w:val="hybridMultilevel"/>
    <w:tmpl w:val="532641B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17"/>
  </w:num>
  <w:num w:numId="12">
    <w:abstractNumId w:val="0"/>
  </w:num>
  <w:num w:numId="13">
    <w:abstractNumId w:val="13"/>
  </w:num>
  <w:num w:numId="14">
    <w:abstractNumId w:val="20"/>
  </w:num>
  <w:num w:numId="15">
    <w:abstractNumId w:val="15"/>
  </w:num>
  <w:num w:numId="16">
    <w:abstractNumId w:val="19"/>
  </w:num>
  <w:num w:numId="17">
    <w:abstractNumId w:val="14"/>
  </w:num>
  <w:num w:numId="18">
    <w:abstractNumId w:val="21"/>
  </w:num>
  <w:num w:numId="19">
    <w:abstractNumId w:val="4"/>
  </w:num>
  <w:num w:numId="20">
    <w:abstractNumId w:val="2"/>
  </w:num>
  <w:num w:numId="21">
    <w:abstractNumId w:val="11"/>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62"/>
    <w:rsid w:val="000008C6"/>
    <w:rsid w:val="00002693"/>
    <w:rsid w:val="000038F6"/>
    <w:rsid w:val="000123EA"/>
    <w:rsid w:val="00012B16"/>
    <w:rsid w:val="00025395"/>
    <w:rsid w:val="0003767D"/>
    <w:rsid w:val="00050283"/>
    <w:rsid w:val="00052EEB"/>
    <w:rsid w:val="0006203A"/>
    <w:rsid w:val="00071C84"/>
    <w:rsid w:val="00074DC9"/>
    <w:rsid w:val="000758BD"/>
    <w:rsid w:val="00085D7B"/>
    <w:rsid w:val="000916BF"/>
    <w:rsid w:val="0009703C"/>
    <w:rsid w:val="000A4EBE"/>
    <w:rsid w:val="000A6F2A"/>
    <w:rsid w:val="000B0153"/>
    <w:rsid w:val="000E0180"/>
    <w:rsid w:val="000F767E"/>
    <w:rsid w:val="001011A0"/>
    <w:rsid w:val="00106BD0"/>
    <w:rsid w:val="001457AB"/>
    <w:rsid w:val="00146F7B"/>
    <w:rsid w:val="00151E93"/>
    <w:rsid w:val="001665BA"/>
    <w:rsid w:val="00171E2E"/>
    <w:rsid w:val="00174BDC"/>
    <w:rsid w:val="00185AF7"/>
    <w:rsid w:val="00195DBC"/>
    <w:rsid w:val="001B3425"/>
    <w:rsid w:val="001D589B"/>
    <w:rsid w:val="001E2B9F"/>
    <w:rsid w:val="001F1C38"/>
    <w:rsid w:val="001F590C"/>
    <w:rsid w:val="00205542"/>
    <w:rsid w:val="00207EDB"/>
    <w:rsid w:val="002312FA"/>
    <w:rsid w:val="00233342"/>
    <w:rsid w:val="002360CC"/>
    <w:rsid w:val="0024506F"/>
    <w:rsid w:val="00262162"/>
    <w:rsid w:val="00270676"/>
    <w:rsid w:val="002827D4"/>
    <w:rsid w:val="0028280E"/>
    <w:rsid w:val="002839B9"/>
    <w:rsid w:val="00290978"/>
    <w:rsid w:val="0029312B"/>
    <w:rsid w:val="002B14ED"/>
    <w:rsid w:val="002B2EA5"/>
    <w:rsid w:val="002B3804"/>
    <w:rsid w:val="002B6414"/>
    <w:rsid w:val="002C0CF0"/>
    <w:rsid w:val="002D374D"/>
    <w:rsid w:val="002D58B5"/>
    <w:rsid w:val="002E1723"/>
    <w:rsid w:val="002E58C8"/>
    <w:rsid w:val="00324628"/>
    <w:rsid w:val="00326C49"/>
    <w:rsid w:val="00343898"/>
    <w:rsid w:val="003541C7"/>
    <w:rsid w:val="00361820"/>
    <w:rsid w:val="00363680"/>
    <w:rsid w:val="00391C5F"/>
    <w:rsid w:val="00391E62"/>
    <w:rsid w:val="003A61B7"/>
    <w:rsid w:val="003B6DB7"/>
    <w:rsid w:val="003E4934"/>
    <w:rsid w:val="003E59CB"/>
    <w:rsid w:val="003E7EE9"/>
    <w:rsid w:val="003F06D1"/>
    <w:rsid w:val="003F116E"/>
    <w:rsid w:val="003F76C2"/>
    <w:rsid w:val="00401DBD"/>
    <w:rsid w:val="00405266"/>
    <w:rsid w:val="004109ED"/>
    <w:rsid w:val="00421426"/>
    <w:rsid w:val="004234B5"/>
    <w:rsid w:val="0043634F"/>
    <w:rsid w:val="00440830"/>
    <w:rsid w:val="00441804"/>
    <w:rsid w:val="00447841"/>
    <w:rsid w:val="00455154"/>
    <w:rsid w:val="0045798D"/>
    <w:rsid w:val="004657CF"/>
    <w:rsid w:val="00466BF6"/>
    <w:rsid w:val="00472207"/>
    <w:rsid w:val="00474E11"/>
    <w:rsid w:val="00480D41"/>
    <w:rsid w:val="004813E1"/>
    <w:rsid w:val="00484C46"/>
    <w:rsid w:val="004871A8"/>
    <w:rsid w:val="004A268E"/>
    <w:rsid w:val="004B01E7"/>
    <w:rsid w:val="004B19EA"/>
    <w:rsid w:val="004B621C"/>
    <w:rsid w:val="004D5F5C"/>
    <w:rsid w:val="004F5F94"/>
    <w:rsid w:val="0050193E"/>
    <w:rsid w:val="00534112"/>
    <w:rsid w:val="00535534"/>
    <w:rsid w:val="00543F6F"/>
    <w:rsid w:val="00547028"/>
    <w:rsid w:val="00550ABD"/>
    <w:rsid w:val="00575F98"/>
    <w:rsid w:val="0059021C"/>
    <w:rsid w:val="00592AB1"/>
    <w:rsid w:val="005A08BD"/>
    <w:rsid w:val="005A1AC5"/>
    <w:rsid w:val="005B05DD"/>
    <w:rsid w:val="005C5E76"/>
    <w:rsid w:val="005D0FFA"/>
    <w:rsid w:val="005F253B"/>
    <w:rsid w:val="005F306A"/>
    <w:rsid w:val="005F3ADF"/>
    <w:rsid w:val="005F3E54"/>
    <w:rsid w:val="00600F5F"/>
    <w:rsid w:val="0060348A"/>
    <w:rsid w:val="006148AF"/>
    <w:rsid w:val="00635928"/>
    <w:rsid w:val="006372E0"/>
    <w:rsid w:val="0064376B"/>
    <w:rsid w:val="006472D9"/>
    <w:rsid w:val="006601E9"/>
    <w:rsid w:val="006745C2"/>
    <w:rsid w:val="006840F6"/>
    <w:rsid w:val="006927A1"/>
    <w:rsid w:val="006944FE"/>
    <w:rsid w:val="006A1CDA"/>
    <w:rsid w:val="006A68B5"/>
    <w:rsid w:val="006A7551"/>
    <w:rsid w:val="006B05F6"/>
    <w:rsid w:val="006B07A7"/>
    <w:rsid w:val="006C377F"/>
    <w:rsid w:val="006C769B"/>
    <w:rsid w:val="006D2B5D"/>
    <w:rsid w:val="006D2DC6"/>
    <w:rsid w:val="006D7B9A"/>
    <w:rsid w:val="006E0E43"/>
    <w:rsid w:val="006E345E"/>
    <w:rsid w:val="006F234B"/>
    <w:rsid w:val="006F489D"/>
    <w:rsid w:val="006F4D12"/>
    <w:rsid w:val="006F5F1C"/>
    <w:rsid w:val="007033AC"/>
    <w:rsid w:val="0071111C"/>
    <w:rsid w:val="007122DB"/>
    <w:rsid w:val="00717031"/>
    <w:rsid w:val="00722D14"/>
    <w:rsid w:val="0072550F"/>
    <w:rsid w:val="00740510"/>
    <w:rsid w:val="0074693F"/>
    <w:rsid w:val="00753DF4"/>
    <w:rsid w:val="0077044C"/>
    <w:rsid w:val="00775AAC"/>
    <w:rsid w:val="00793002"/>
    <w:rsid w:val="00794FA2"/>
    <w:rsid w:val="0079663C"/>
    <w:rsid w:val="007B5039"/>
    <w:rsid w:val="007B5A77"/>
    <w:rsid w:val="007C04DD"/>
    <w:rsid w:val="007C77E9"/>
    <w:rsid w:val="007E18CC"/>
    <w:rsid w:val="007E33B6"/>
    <w:rsid w:val="007F0DC6"/>
    <w:rsid w:val="007F745B"/>
    <w:rsid w:val="0080734D"/>
    <w:rsid w:val="008247CF"/>
    <w:rsid w:val="0083761F"/>
    <w:rsid w:val="008454A1"/>
    <w:rsid w:val="0085085D"/>
    <w:rsid w:val="00867B79"/>
    <w:rsid w:val="00875CF5"/>
    <w:rsid w:val="00882588"/>
    <w:rsid w:val="00891436"/>
    <w:rsid w:val="00897B4F"/>
    <w:rsid w:val="008A2C08"/>
    <w:rsid w:val="008B1B6B"/>
    <w:rsid w:val="008B5804"/>
    <w:rsid w:val="008B5F75"/>
    <w:rsid w:val="008B7FEA"/>
    <w:rsid w:val="008C60CB"/>
    <w:rsid w:val="008C6244"/>
    <w:rsid w:val="008D4326"/>
    <w:rsid w:val="008E6356"/>
    <w:rsid w:val="00901CA5"/>
    <w:rsid w:val="00920D9E"/>
    <w:rsid w:val="00933CEC"/>
    <w:rsid w:val="009344E9"/>
    <w:rsid w:val="009345A4"/>
    <w:rsid w:val="009361B1"/>
    <w:rsid w:val="00942534"/>
    <w:rsid w:val="00944B87"/>
    <w:rsid w:val="00945DDC"/>
    <w:rsid w:val="00946C56"/>
    <w:rsid w:val="0095011A"/>
    <w:rsid w:val="009611CD"/>
    <w:rsid w:val="0096159F"/>
    <w:rsid w:val="0097122C"/>
    <w:rsid w:val="00990BBB"/>
    <w:rsid w:val="009D1233"/>
    <w:rsid w:val="009D1BFE"/>
    <w:rsid w:val="009D1DF1"/>
    <w:rsid w:val="009D6067"/>
    <w:rsid w:val="009E4313"/>
    <w:rsid w:val="009F0A21"/>
    <w:rsid w:val="009F1501"/>
    <w:rsid w:val="00A03688"/>
    <w:rsid w:val="00A30A3B"/>
    <w:rsid w:val="00A3615A"/>
    <w:rsid w:val="00A37116"/>
    <w:rsid w:val="00A52225"/>
    <w:rsid w:val="00A5259D"/>
    <w:rsid w:val="00A55F68"/>
    <w:rsid w:val="00A57905"/>
    <w:rsid w:val="00A62F5F"/>
    <w:rsid w:val="00A63F99"/>
    <w:rsid w:val="00A70B11"/>
    <w:rsid w:val="00A81B48"/>
    <w:rsid w:val="00A973BD"/>
    <w:rsid w:val="00AA006B"/>
    <w:rsid w:val="00AA1AC2"/>
    <w:rsid w:val="00AA65EC"/>
    <w:rsid w:val="00AB01F6"/>
    <w:rsid w:val="00AB2CB4"/>
    <w:rsid w:val="00AE1C02"/>
    <w:rsid w:val="00AE1E11"/>
    <w:rsid w:val="00AE2DE2"/>
    <w:rsid w:val="00AE6AB2"/>
    <w:rsid w:val="00AF2DDD"/>
    <w:rsid w:val="00AF4732"/>
    <w:rsid w:val="00B13A8C"/>
    <w:rsid w:val="00B140D4"/>
    <w:rsid w:val="00B21761"/>
    <w:rsid w:val="00B27F81"/>
    <w:rsid w:val="00B329F7"/>
    <w:rsid w:val="00B40854"/>
    <w:rsid w:val="00B505DB"/>
    <w:rsid w:val="00B51502"/>
    <w:rsid w:val="00B51FB5"/>
    <w:rsid w:val="00B535A4"/>
    <w:rsid w:val="00B7263B"/>
    <w:rsid w:val="00B8013D"/>
    <w:rsid w:val="00BB3550"/>
    <w:rsid w:val="00BB6D69"/>
    <w:rsid w:val="00BD2618"/>
    <w:rsid w:val="00BF255D"/>
    <w:rsid w:val="00BF439C"/>
    <w:rsid w:val="00C04EB9"/>
    <w:rsid w:val="00C0535D"/>
    <w:rsid w:val="00C17CA9"/>
    <w:rsid w:val="00C17E91"/>
    <w:rsid w:val="00C37419"/>
    <w:rsid w:val="00C40F7D"/>
    <w:rsid w:val="00C97ABC"/>
    <w:rsid w:val="00CA0CFE"/>
    <w:rsid w:val="00CA23F4"/>
    <w:rsid w:val="00CA36FC"/>
    <w:rsid w:val="00CA7BA4"/>
    <w:rsid w:val="00CA7C3E"/>
    <w:rsid w:val="00CB2904"/>
    <w:rsid w:val="00CB7864"/>
    <w:rsid w:val="00CC1871"/>
    <w:rsid w:val="00CE559E"/>
    <w:rsid w:val="00CF7EBA"/>
    <w:rsid w:val="00D10AC7"/>
    <w:rsid w:val="00D2024B"/>
    <w:rsid w:val="00D22971"/>
    <w:rsid w:val="00D230CC"/>
    <w:rsid w:val="00D24DBF"/>
    <w:rsid w:val="00D27D13"/>
    <w:rsid w:val="00D3052B"/>
    <w:rsid w:val="00D32933"/>
    <w:rsid w:val="00D41336"/>
    <w:rsid w:val="00D43F44"/>
    <w:rsid w:val="00D50845"/>
    <w:rsid w:val="00D61132"/>
    <w:rsid w:val="00D65789"/>
    <w:rsid w:val="00D7162A"/>
    <w:rsid w:val="00D71BA3"/>
    <w:rsid w:val="00D83A33"/>
    <w:rsid w:val="00DA1CB1"/>
    <w:rsid w:val="00DA4720"/>
    <w:rsid w:val="00DC2D82"/>
    <w:rsid w:val="00DE15C7"/>
    <w:rsid w:val="00DE292C"/>
    <w:rsid w:val="00DE5307"/>
    <w:rsid w:val="00DE751E"/>
    <w:rsid w:val="00DF0222"/>
    <w:rsid w:val="00E0451B"/>
    <w:rsid w:val="00E04CEB"/>
    <w:rsid w:val="00E17EA8"/>
    <w:rsid w:val="00E231BD"/>
    <w:rsid w:val="00E23A55"/>
    <w:rsid w:val="00E3118C"/>
    <w:rsid w:val="00E43FF5"/>
    <w:rsid w:val="00E44A31"/>
    <w:rsid w:val="00E47D78"/>
    <w:rsid w:val="00E52ABA"/>
    <w:rsid w:val="00E548E7"/>
    <w:rsid w:val="00E57732"/>
    <w:rsid w:val="00E61566"/>
    <w:rsid w:val="00E64E1C"/>
    <w:rsid w:val="00E659DE"/>
    <w:rsid w:val="00E83C63"/>
    <w:rsid w:val="00E875E2"/>
    <w:rsid w:val="00EA1B52"/>
    <w:rsid w:val="00EA3B28"/>
    <w:rsid w:val="00EA3DBC"/>
    <w:rsid w:val="00EA71C2"/>
    <w:rsid w:val="00EA7753"/>
    <w:rsid w:val="00EB3CDB"/>
    <w:rsid w:val="00EC1C95"/>
    <w:rsid w:val="00ED16DA"/>
    <w:rsid w:val="00ED374A"/>
    <w:rsid w:val="00EE1A97"/>
    <w:rsid w:val="00EE4DA7"/>
    <w:rsid w:val="00EF0B83"/>
    <w:rsid w:val="00EF7187"/>
    <w:rsid w:val="00F13FED"/>
    <w:rsid w:val="00F17AA0"/>
    <w:rsid w:val="00F24A87"/>
    <w:rsid w:val="00F33D40"/>
    <w:rsid w:val="00F419CB"/>
    <w:rsid w:val="00F54F45"/>
    <w:rsid w:val="00F6270A"/>
    <w:rsid w:val="00F73351"/>
    <w:rsid w:val="00F82707"/>
    <w:rsid w:val="00F94E36"/>
    <w:rsid w:val="00FA1951"/>
    <w:rsid w:val="00FA1FD1"/>
    <w:rsid w:val="00FA456B"/>
    <w:rsid w:val="00FA754F"/>
    <w:rsid w:val="00FA7911"/>
    <w:rsid w:val="00FB4BC8"/>
    <w:rsid w:val="00FB6F86"/>
    <w:rsid w:val="00FC626B"/>
    <w:rsid w:val="00FD4C6E"/>
    <w:rsid w:val="00FD7D28"/>
    <w:rsid w:val="00FE58BD"/>
    <w:rsid w:val="00FF3A53"/>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207FD6"/>
  <w15:chartTrackingRefBased/>
  <w15:docId w15:val="{2A28FF9B-26ED-4704-9765-0E02D053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62"/>
    <w:pPr>
      <w:widowControl w:val="0"/>
      <w:snapToGrid w:val="0"/>
      <w:spacing w:after="0" w:line="240" w:lineRule="auto"/>
    </w:pPr>
    <w:rPr>
      <w:rFonts w:ascii="Courier New" w:eastAsia="Times New Roman" w:hAnsi="Courier New" w:cs="Times New Roman"/>
      <w:sz w:val="20"/>
      <w:szCs w:val="20"/>
    </w:rPr>
  </w:style>
  <w:style w:type="paragraph" w:styleId="Heading2">
    <w:name w:val="heading 2"/>
    <w:basedOn w:val="Normal"/>
    <w:next w:val="Normal"/>
    <w:link w:val="Heading2Char"/>
    <w:qFormat/>
    <w:rsid w:val="00D32933"/>
    <w:pPr>
      <w:keepNext/>
      <w:suppressAutoHyphens/>
      <w:snapToGrid/>
      <w:jc w:val="center"/>
      <w:outlineLvl w:val="1"/>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62162"/>
    <w:rPr>
      <w:color w:val="0000FF"/>
      <w:u w:val="single"/>
    </w:rPr>
  </w:style>
  <w:style w:type="paragraph" w:styleId="CommentText">
    <w:name w:val="annotation text"/>
    <w:basedOn w:val="Normal"/>
    <w:link w:val="CommentTextChar"/>
    <w:unhideWhenUsed/>
    <w:rsid w:val="00262162"/>
  </w:style>
  <w:style w:type="character" w:customStyle="1" w:styleId="CommentTextChar">
    <w:name w:val="Comment Text Char"/>
    <w:basedOn w:val="DefaultParagraphFont"/>
    <w:link w:val="CommentText"/>
    <w:rsid w:val="00262162"/>
    <w:rPr>
      <w:rFonts w:ascii="Courier New" w:eastAsia="Times New Roman" w:hAnsi="Courier New" w:cs="Times New Roman"/>
      <w:sz w:val="20"/>
      <w:szCs w:val="20"/>
    </w:rPr>
  </w:style>
  <w:style w:type="paragraph" w:styleId="ListParagraph">
    <w:name w:val="List Paragraph"/>
    <w:basedOn w:val="Normal"/>
    <w:uiPriority w:val="34"/>
    <w:qFormat/>
    <w:rsid w:val="00262162"/>
    <w:pPr>
      <w:ind w:left="720"/>
    </w:pPr>
  </w:style>
  <w:style w:type="paragraph" w:customStyle="1" w:styleId="ReportCover-Title">
    <w:name w:val="ReportCover-Title"/>
    <w:basedOn w:val="Normal"/>
    <w:rsid w:val="00262162"/>
    <w:pPr>
      <w:widowControl/>
      <w:snapToGrid/>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62162"/>
    <w:pPr>
      <w:widowControl/>
      <w:snapToGrid/>
      <w:spacing w:after="840" w:line="260" w:lineRule="exact"/>
    </w:pPr>
    <w:rPr>
      <w:rFonts w:ascii="Franklin Gothic Medium" w:hAnsi="Franklin Gothic Medium"/>
      <w:b/>
      <w:color w:val="003C79"/>
      <w:sz w:val="24"/>
    </w:rPr>
  </w:style>
  <w:style w:type="character" w:styleId="CommentReference">
    <w:name w:val="annotation reference"/>
    <w:semiHidden/>
    <w:unhideWhenUsed/>
    <w:rsid w:val="00262162"/>
    <w:rPr>
      <w:sz w:val="16"/>
      <w:szCs w:val="16"/>
    </w:rPr>
  </w:style>
  <w:style w:type="paragraph" w:styleId="BalloonText">
    <w:name w:val="Balloon Text"/>
    <w:basedOn w:val="Normal"/>
    <w:link w:val="BalloonTextChar"/>
    <w:uiPriority w:val="99"/>
    <w:semiHidden/>
    <w:unhideWhenUsed/>
    <w:rsid w:val="00262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162"/>
    <w:rPr>
      <w:rFonts w:ascii="Segoe UI" w:eastAsia="Times New Roman" w:hAnsi="Segoe UI" w:cs="Segoe UI"/>
      <w:sz w:val="18"/>
      <w:szCs w:val="18"/>
    </w:rPr>
  </w:style>
  <w:style w:type="character" w:customStyle="1" w:styleId="Heading2Char">
    <w:name w:val="Heading 2 Char"/>
    <w:basedOn w:val="DefaultParagraphFont"/>
    <w:link w:val="Heading2"/>
    <w:rsid w:val="00D32933"/>
    <w:rPr>
      <w:rFonts w:ascii="CG Times" w:eastAsia="Times New Roman" w:hAnsi="CG Times" w:cs="Times New Roman"/>
      <w:b/>
      <w:sz w:val="24"/>
      <w:szCs w:val="20"/>
    </w:rPr>
  </w:style>
  <w:style w:type="paragraph" w:styleId="EndnoteText">
    <w:name w:val="endnote text"/>
    <w:basedOn w:val="Normal"/>
    <w:link w:val="EndnoteTextChar"/>
    <w:semiHidden/>
    <w:rsid w:val="008B5F75"/>
    <w:pPr>
      <w:snapToGrid/>
    </w:pPr>
    <w:rPr>
      <w:rFonts w:ascii="Courier" w:hAnsi="Courier"/>
      <w:sz w:val="24"/>
    </w:rPr>
  </w:style>
  <w:style w:type="character" w:customStyle="1" w:styleId="EndnoteTextChar">
    <w:name w:val="Endnote Text Char"/>
    <w:basedOn w:val="DefaultParagraphFont"/>
    <w:link w:val="EndnoteText"/>
    <w:semiHidden/>
    <w:rsid w:val="008B5F75"/>
    <w:rPr>
      <w:rFonts w:ascii="Courier" w:eastAsia="Times New Roman" w:hAnsi="Courier" w:cs="Times New Roman"/>
      <w:sz w:val="24"/>
      <w:szCs w:val="20"/>
    </w:rPr>
  </w:style>
  <w:style w:type="character" w:styleId="FootnoteReference">
    <w:name w:val="footnote reference"/>
    <w:uiPriority w:val="99"/>
    <w:semiHidden/>
    <w:rsid w:val="00E61566"/>
    <w:rPr>
      <w:vertAlign w:val="superscript"/>
    </w:rPr>
  </w:style>
  <w:style w:type="paragraph" w:styleId="FootnoteText">
    <w:name w:val="footnote text"/>
    <w:basedOn w:val="Normal"/>
    <w:link w:val="FootnoteTextChar"/>
    <w:uiPriority w:val="99"/>
    <w:semiHidden/>
    <w:rsid w:val="00E61566"/>
    <w:pPr>
      <w:snapToGrid/>
    </w:pPr>
    <w:rPr>
      <w:rFonts w:ascii="Courier" w:hAnsi="Courier"/>
      <w:sz w:val="24"/>
    </w:rPr>
  </w:style>
  <w:style w:type="character" w:customStyle="1" w:styleId="FootnoteTextChar">
    <w:name w:val="Footnote Text Char"/>
    <w:basedOn w:val="DefaultParagraphFont"/>
    <w:link w:val="FootnoteText"/>
    <w:uiPriority w:val="99"/>
    <w:semiHidden/>
    <w:rsid w:val="00E61566"/>
    <w:rPr>
      <w:rFonts w:ascii="Courier" w:eastAsia="Times New Roman" w:hAnsi="Courier" w:cs="Times New Roman"/>
      <w:sz w:val="24"/>
      <w:szCs w:val="20"/>
    </w:rPr>
  </w:style>
  <w:style w:type="paragraph" w:styleId="CommentSubject">
    <w:name w:val="annotation subject"/>
    <w:basedOn w:val="CommentText"/>
    <w:next w:val="CommentText"/>
    <w:link w:val="CommentSubjectChar"/>
    <w:uiPriority w:val="99"/>
    <w:semiHidden/>
    <w:unhideWhenUsed/>
    <w:rsid w:val="0024506F"/>
    <w:rPr>
      <w:b/>
      <w:bCs/>
    </w:rPr>
  </w:style>
  <w:style w:type="character" w:customStyle="1" w:styleId="CommentSubjectChar">
    <w:name w:val="Comment Subject Char"/>
    <w:basedOn w:val="CommentTextChar"/>
    <w:link w:val="CommentSubject"/>
    <w:uiPriority w:val="99"/>
    <w:semiHidden/>
    <w:rsid w:val="0024506F"/>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80D41"/>
    <w:pPr>
      <w:tabs>
        <w:tab w:val="center" w:pos="4680"/>
        <w:tab w:val="right" w:pos="9360"/>
      </w:tabs>
    </w:pPr>
  </w:style>
  <w:style w:type="character" w:customStyle="1" w:styleId="HeaderChar">
    <w:name w:val="Header Char"/>
    <w:basedOn w:val="DefaultParagraphFont"/>
    <w:link w:val="Header"/>
    <w:uiPriority w:val="99"/>
    <w:rsid w:val="00480D41"/>
    <w:rPr>
      <w:rFonts w:ascii="Courier New" w:eastAsia="Times New Roman" w:hAnsi="Courier New" w:cs="Times New Roman"/>
      <w:sz w:val="20"/>
      <w:szCs w:val="20"/>
    </w:rPr>
  </w:style>
  <w:style w:type="paragraph" w:styleId="Footer">
    <w:name w:val="footer"/>
    <w:basedOn w:val="Normal"/>
    <w:link w:val="FooterChar"/>
    <w:uiPriority w:val="99"/>
    <w:unhideWhenUsed/>
    <w:rsid w:val="00480D41"/>
    <w:pPr>
      <w:tabs>
        <w:tab w:val="center" w:pos="4680"/>
        <w:tab w:val="right" w:pos="9360"/>
      </w:tabs>
    </w:pPr>
  </w:style>
  <w:style w:type="character" w:customStyle="1" w:styleId="FooterChar">
    <w:name w:val="Footer Char"/>
    <w:basedOn w:val="DefaultParagraphFont"/>
    <w:link w:val="Footer"/>
    <w:uiPriority w:val="99"/>
    <w:rsid w:val="00480D41"/>
    <w:rPr>
      <w:rFonts w:ascii="Courier New" w:eastAsia="Times New Roman" w:hAnsi="Courier New" w:cs="Times New Roman"/>
      <w:sz w:val="20"/>
      <w:szCs w:val="20"/>
    </w:rPr>
  </w:style>
  <w:style w:type="paragraph" w:styleId="Revision">
    <w:name w:val="Revision"/>
    <w:hidden/>
    <w:uiPriority w:val="99"/>
    <w:semiHidden/>
    <w:rsid w:val="006D7B9A"/>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317">
      <w:bodyDiv w:val="1"/>
      <w:marLeft w:val="0"/>
      <w:marRight w:val="0"/>
      <w:marTop w:val="0"/>
      <w:marBottom w:val="0"/>
      <w:divBdr>
        <w:top w:val="none" w:sz="0" w:space="0" w:color="auto"/>
        <w:left w:val="none" w:sz="0" w:space="0" w:color="auto"/>
        <w:bottom w:val="none" w:sz="0" w:space="0" w:color="auto"/>
        <w:right w:val="none" w:sz="0" w:space="0" w:color="auto"/>
      </w:divBdr>
    </w:div>
    <w:div w:id="409930299">
      <w:bodyDiv w:val="1"/>
      <w:marLeft w:val="0"/>
      <w:marRight w:val="0"/>
      <w:marTop w:val="0"/>
      <w:marBottom w:val="0"/>
      <w:divBdr>
        <w:top w:val="none" w:sz="0" w:space="0" w:color="auto"/>
        <w:left w:val="none" w:sz="0" w:space="0" w:color="auto"/>
        <w:bottom w:val="none" w:sz="0" w:space="0" w:color="auto"/>
        <w:right w:val="none" w:sz="0" w:space="0" w:color="auto"/>
      </w:divBdr>
    </w:div>
    <w:div w:id="1035157399">
      <w:bodyDiv w:val="1"/>
      <w:marLeft w:val="0"/>
      <w:marRight w:val="0"/>
      <w:marTop w:val="0"/>
      <w:marBottom w:val="0"/>
      <w:divBdr>
        <w:top w:val="none" w:sz="0" w:space="0" w:color="auto"/>
        <w:left w:val="none" w:sz="0" w:space="0" w:color="auto"/>
        <w:bottom w:val="none" w:sz="0" w:space="0" w:color="auto"/>
        <w:right w:val="none" w:sz="0" w:space="0" w:color="auto"/>
      </w:divBdr>
    </w:div>
    <w:div w:id="13361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without change of a previously approved collection</Request_x0020_Type>
    <Content_x0020_Changes xmlns="e059a2d5-a4f8-4fd8-b836-4c9cf26100e7">No</Content_x0020_Changes>
    <OMB_x0020_Control_x0020_Number xmlns="e059a2d5-a4f8-4fd8-b836-4c9cf26100e7">0146</OMB_x0020_Control_x0020_Number>
    <FR_x0020_Title xmlns="e059a2d5-a4f8-4fd8-b836-4c9cf26100e7">Federal Case Registry</FR_x0020_Title>
    <ACF_x0020_Tracking_x0020_No_x002e_ xmlns="e059a2d5-a4f8-4fd8-b836-4c9cf26100e7">0970-0421</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ABF0-06FE-4ED2-8CF3-1861FBFC1837}">
  <ds:schemaRefs>
    <ds:schemaRef ds:uri="http://schemas.microsoft.com/sharepoint/v3/contenttype/forms"/>
  </ds:schemaRefs>
</ds:datastoreItem>
</file>

<file path=customXml/itemProps2.xml><?xml version="1.0" encoding="utf-8"?>
<ds:datastoreItem xmlns:ds="http://schemas.openxmlformats.org/officeDocument/2006/customXml" ds:itemID="{4A909431-6DEA-4166-8F77-49282E79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F2D1C-FF0E-42C1-B1ED-9B4C90A4D53A}">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71F422D1-664D-45FD-867A-1E71FB43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Federal Case Registry Final Supporting Statement </vt:lpstr>
    </vt:vector>
  </TitlesOfParts>
  <Company>HHS/ITIO</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Case Registry Final Supporting Statement </dc:title>
  <dc:subject/>
  <dc:creator>Crawford, Nancy (ACF) (CTR)</dc:creator>
  <cp:keywords/>
  <dc:description/>
  <cp:lastModifiedBy>Wilson, Camille (ACF) (CTR)</cp:lastModifiedBy>
  <cp:revision>4</cp:revision>
  <cp:lastPrinted>2020-02-21T16:57:00Z</cp:lastPrinted>
  <dcterms:created xsi:type="dcterms:W3CDTF">2020-08-17T19:29:00Z</dcterms:created>
  <dcterms:modified xsi:type="dcterms:W3CDTF">2020-09-01T00:32:00Z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7f410b9a-d0e1-44a7-af3a-8f036a21a3b1,15;7f410b9a-d0e1-44a7-af3a-8f036a21a3b1,27;7f410b9a-d0e1-44a7-af3a-8f036a21a3b1,34;</vt:lpwstr>
  </property>
  <property fmtid="{D5CDD505-2E9C-101B-9397-08002B2CF9AE}" pid="4" name="SPPCopyMoveEvent">
    <vt:lpwstr>1</vt:lpwstr>
  </property>
</Properties>
</file>