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Supporting Statement A</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Consolidated Waiver Request Form</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1076-NEW</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w:t>
      </w:r>
      <w:r>
        <w:rPr>
          <w:b/>
          <w:sz w:val="24"/>
          <w:szCs w:val="24"/>
        </w:rPr>
        <w:tab/>
        <w:t>Explain the circumstances that make the collection of information necessary.  Identify any legal or administrative requirements that necessitate the collection.</w:t>
      </w:r>
    </w:p>
    <w:p w:rsidR="000A7506" w:rsidRDefault="000A7506">
      <w:pPr>
        <w:rPr>
          <w:sz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Bureau of Indian Education (BIE) is seeking emergency review and approval of an information collection.  BIE’s waiver request form will allow BIE-funded schools to request waivers for certain regulations for School Year 2020-2021.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2"/>
          <w:szCs w:val="22"/>
        </w:rPr>
        <w:t>T</w:t>
      </w:r>
      <w:r>
        <w:rPr>
          <w:sz w:val="24"/>
          <w:szCs w:val="22"/>
        </w:rPr>
        <w:t xml:space="preserve">his collection must be conducted before the beginning of the 2020-2021 school year </w:t>
      </w:r>
      <w:r>
        <w:rPr>
          <w:sz w:val="24"/>
          <w:szCs w:val="24"/>
        </w:rPr>
        <w:t>to ensure that a quality education will be provided for the students served at BIE-funded schools during the COVID-19 pandemic. The waiver request form will be sent to BIE-funded schools in conjunction with the disbursement of BIE’s school reopening plan and toolkits, which is scheduled to be sent to schools no later than mid-August.  BIE held tribal consultations in July 2020 and received numerous comments from stakeholders requesting waivers.  BIE anticipates the opening of the 2020-2021 school year will be conducted remotely. School administrators need to plan for instructional learning and create distance learning plans, they also need to finalize their budget.</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waiver requests will help to ensure continuity of learning and compliance with special education and related aids and services requirements for schools which, due to COVID-19 related safety concerns, need to make modifications to their operations and delivery of services.  Special education services vary widely and do include health-related accommodations.  The coupling of not providing continuity of learning, and, for example, health related accommodations could have a serious effect on academic performance and mental health.</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waivers listed on the waiver request form are not new policy, but instead are an exercise of the regulatory provision granting the Assistant Secretary-Indian Affairs (AS-IA) waiver authority.  Specifically, AS-IA will review applications for BIE waivers pursuant to 25 CFR 1.2, which states that the Secretary of the Interior, whose authority in this area has been delegated to AS-IA, may waive "waive or make exceptions to [the] regulations as found in chapter I of title 25 CFR in all cases where permitted by law and the Secretary finds that such waiver or exception is in the best interest of the Indians."  AS-IA approves the BIE school waivers at issue here under that authority, as AS-IA has in the case of every other valid exercise of the Section 1.2 waiver process, upon AS-IA's determination that so long as BIE schools satisfied the waiver requirements, an approved waiver would be in the best interest of Indians.  BIE-funded schools have always had the option under 25 CFR 1.2 to request a waiver of any BIE 25 CFR subchapter E regulation. This form simply makes it easier for them to do so.</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2.</w:t>
      </w:r>
      <w:r>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rPr>
          <w:sz w:val="24"/>
          <w:szCs w:val="24"/>
        </w:rPr>
      </w:pPr>
      <w:r>
        <w:rPr>
          <w:sz w:val="24"/>
          <w:szCs w:val="24"/>
        </w:rPr>
        <w:t>The waiver request form will be sent to BIE-funded schools in conjunction with the disbursement of BIE’s school reopening plan. The form allows these schools to request waivers for regulations relating to the following areas: Indian Student Equalization Program, transportation requirements (25 CFR §§39.710-711), annual bus transportation miles for residential students (25 C.F.R. § 39.711), annual commercial transportation costs for residential students (25 C.F.R. § 39.702 - 704) , residential requirements (25 CFR §§39.216-221), instructional hours (25 CFR §39.214), instructional programs (25 CFR §§36.20-24), student activities (25 CFR §36.43), graduation requirements (25 CFR §§36.32(a) and (b)), promotion (25 CFR §36.31(c)), accreditation (25 C.F.R. §36.50), and gives schools the option to write in any other BIE regulations that are not included on the form.</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form also asks BIE-funded schools to submit a plan for alternative to full-time in-school instruction to students. The written description of the school’s alternative learning plan must detail how any included virtual learning component will incorporate interactive instruction, assessments to measure mastery of instruction, and individualized student support.</w:t>
      </w:r>
      <w:r>
        <w:t xml:space="preserve">  </w:t>
      </w:r>
      <w:r>
        <w:rPr>
          <w:sz w:val="24"/>
          <w:szCs w:val="24"/>
        </w:rPr>
        <w:t xml:space="preserve">Submission of a learning plan is necessary to ensure the requested waivers are issued in the best interest of Indians.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waiver request form was created to drastically reduce the burden on BIE-funded schools.  Any school that is not operating with in-person instruction and/or at typical capacity will not be able to comply with the regulations and will need to submit a waiver application. Absent the template, each school will need to create and submit its own application for each regulation is needs to waive.</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3.</w:t>
      </w:r>
      <w:r>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The waiver request form will be emailed directly to BIE-funded schools.  The forms will be uploaded to the BIE document repository program NATIVE STAR.</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lastRenderedPageBreak/>
        <w:t>4.</w:t>
      </w:r>
      <w:r>
        <w:rPr>
          <w:b/>
          <w:sz w:val="24"/>
          <w:szCs w:val="24"/>
        </w:rPr>
        <w:tab/>
        <w:t>Describe efforts to identify duplication.  Show specifically why any similar information already available cannot be used or modified for use for the purposes described in Item 2 above.</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rPr>
          <w:sz w:val="22"/>
          <w:szCs w:val="22"/>
        </w:rPr>
      </w:pPr>
      <w:r>
        <w:rPr>
          <w:sz w:val="24"/>
          <w:szCs w:val="22"/>
        </w:rPr>
        <w:t xml:space="preserve">This information is not available from any other source. BIE-funded schools have the ability to request waivers for the individual CFR citations listed on the waiver request form, however this form consolidates the waiver requests in to one document in order to alleviate the burden on BIE-funded schools.  </w:t>
      </w:r>
      <w:r>
        <w:rPr>
          <w:sz w:val="22"/>
          <w:szCs w:val="22"/>
        </w:rPr>
        <w:t xml:space="preserve">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5.</w:t>
      </w:r>
      <w:r>
        <w:rPr>
          <w:b/>
          <w:sz w:val="24"/>
          <w:szCs w:val="24"/>
        </w:rPr>
        <w:tab/>
        <w:t>If the collection of information impacts small businesses or other small entities, describe any methods used to minimize burden.</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information collection does not impact small businesses or other small entities.</w:t>
      </w:r>
    </w:p>
    <w:p w:rsidR="000A7506" w:rsidRDefault="000A750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6.</w:t>
      </w:r>
      <w:r>
        <w:rPr>
          <w:b/>
          <w:sz w:val="24"/>
          <w:szCs w:val="24"/>
        </w:rPr>
        <w:tab/>
        <w:t>Describe the consequence to Federal program or policy activities if the collection is not conducted or is conducted less frequently, as well as any technical or legal obstacles to reducing burden.</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BIE-funded day schools are actively planning for the reopening of school year 2020-2021 in the face of the COVID-19 pandemic and local health conditions. Due to the uncertainty of local, state and tribal decisions to open or close schools, BIE must be ready to modify its instruction from in-person to distance learning, ensure adequate accommodations and services to all students including students with disabilities, plan for bus transportation mileage changes, and a reduction of instructional hours.  Consequences due to the uncertainty of school openings or transitions to distance learning could impact the overall administration of educational programs as well as result in serious unplanned budget shortfalls.  </w:t>
      </w:r>
    </w:p>
    <w:p w:rsidR="000A7506" w:rsidRDefault="000A7506">
      <w:pPr>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7.</w:t>
      </w:r>
      <w:r>
        <w:rPr>
          <w:b/>
          <w:sz w:val="24"/>
          <w:szCs w:val="24"/>
        </w:rPr>
        <w:tab/>
        <w:t>Explain any special circumstances that would cause an information collection to be conducted in a manner:</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report information to the agency more often than quarterly;</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Pr>
          <w:b/>
          <w:sz w:val="24"/>
          <w:szCs w:val="24"/>
        </w:rPr>
        <w:t>*</w:t>
      </w:r>
      <w:r>
        <w:rPr>
          <w:b/>
          <w:sz w:val="24"/>
          <w:szCs w:val="24"/>
        </w:rPr>
        <w:tab/>
        <w:t>requiring respondents to prepare a written response to a collection of information in fewer than 30 days after receipt of it;</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submit more than an original and two copies of any document;</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retain records, other than health, medical, government contract, grant-in-aid, or tax records, for more than three years;</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lastRenderedPageBreak/>
        <w:tab/>
        <w:t>*</w:t>
      </w:r>
      <w:r>
        <w:rPr>
          <w:b/>
          <w:sz w:val="24"/>
          <w:szCs w:val="24"/>
        </w:rPr>
        <w:tab/>
        <w:t>in connection with a statistical survey that is not designed to produce valid and reliable results that can be generalized to the universe of study;</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the use of a statistical data classification that has not been reviewed and approved by OMB;</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A7506" w:rsidRDefault="005776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beginning of the school year for most BIE-funded schools typically happens during the months of August and September. BIE-funded schools will need to submit their waiver request forms as quickly as possible, so schools can make informed decisions regarding their school reopening plans and make short-term and long-term planning decisions that directly affect the health and welfare of Indian students.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8.</w:t>
      </w:r>
      <w:r>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BIE will publish a 60-day notice alerting the public that the waiver request form is available to BIE-funded schools. The notice will also provide an opportunity for the public to provide comment on the collection.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lastRenderedPageBreak/>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A7506" w:rsidRDefault="005776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BIE conducted extensive consultation with tribes, parents, staff, and other pertinent stakeholders regarding the challenges affecting school closures and the requirements for BIE’s upcoming school reopening directly related to the COVID-19 pandemic.  Many comments were specific to instructional continuity, services for students with disabilities, health and safety issues, residential programs, and the consequences they could have on school administration and funding.  </w:t>
      </w:r>
    </w:p>
    <w:p w:rsidR="000A7506" w:rsidRDefault="000A7506">
      <w:pPr>
        <w:rPr>
          <w:b/>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Pr>
          <w:b/>
          <w:sz w:val="24"/>
          <w:szCs w:val="24"/>
        </w:rPr>
        <w:tab/>
        <w:t>Explain any decision to provide any payment or gift to respondents, other than remuneration of contractors or grantees.</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 payments or gifts are provided to respondents.</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10.</w:t>
      </w:r>
      <w:r>
        <w:rPr>
          <w:b/>
          <w:sz w:val="24"/>
          <w:szCs w:val="24"/>
        </w:rPr>
        <w:tab/>
        <w:t>Describe any assurance of confidentiality provided to respondents and the basis for the assurance in statute, regulation, or agency policy.</w:t>
      </w:r>
    </w:p>
    <w:p w:rsidR="000A7506" w:rsidRDefault="000A7506">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7506" w:rsidRDefault="005776F9">
      <w:pPr>
        <w:pStyle w:val="NormalWeb"/>
        <w:spacing w:after="0" w:afterAutospacing="0"/>
        <w:rPr>
          <w:szCs w:val="22"/>
        </w:rPr>
      </w:pPr>
      <w:r>
        <w:rPr>
          <w:szCs w:val="22"/>
        </w:rPr>
        <w:t xml:space="preserve">The BIE does not provide any assurance of confidentiality.  </w:t>
      </w:r>
    </w:p>
    <w:p w:rsidR="000A7506" w:rsidRDefault="000A7506">
      <w:pPr>
        <w:pStyle w:val="NormalWeb"/>
        <w:spacing w:after="0" w:afterAutospacing="0"/>
        <w:rPr>
          <w:szCs w:val="22"/>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11.</w:t>
      </w:r>
      <w:r>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7506" w:rsidRDefault="000A7506">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questions of a sensitive nature in this information collection.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lastRenderedPageBreak/>
        <w:t>12.</w:t>
      </w:r>
      <w:r>
        <w:rPr>
          <w:b/>
          <w:sz w:val="24"/>
          <w:szCs w:val="24"/>
        </w:rPr>
        <w:tab/>
        <w:t>Provide estimates of the hour burden of the collection of information.  The statement should:</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If this request for approval covers more than one form, provide separate hour burden estimates for each form and aggregate the hour burdens.</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A7506" w:rsidRDefault="000A7506">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rPr>
          <w:sz w:val="24"/>
        </w:rPr>
      </w:pPr>
      <w:r>
        <w:rPr>
          <w:sz w:val="24"/>
          <w:szCs w:val="22"/>
        </w:rPr>
        <w:t xml:space="preserve">The BIE anticipates receiving approximately 183 waiver request forms at one hour per response, totaling 183 annual burden hours, or the amount equivalent to </w:t>
      </w:r>
      <w:r>
        <w:rPr>
          <w:b/>
          <w:sz w:val="24"/>
          <w:szCs w:val="22"/>
        </w:rPr>
        <w:t xml:space="preserve">$6,905 </w:t>
      </w:r>
      <w:r>
        <w:rPr>
          <w:sz w:val="24"/>
          <w:szCs w:val="22"/>
        </w:rPr>
        <w:t xml:space="preserve">for this information collection. </w:t>
      </w:r>
    </w:p>
    <w:p w:rsidR="000A7506" w:rsidRDefault="000A7506">
      <w:pPr>
        <w:rPr>
          <w:b/>
          <w:sz w:val="22"/>
          <w:szCs w:val="22"/>
        </w:rPr>
      </w:pPr>
    </w:p>
    <w:tbl>
      <w:tblPr>
        <w:tblW w:w="8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959"/>
        <w:gridCol w:w="718"/>
        <w:gridCol w:w="1585"/>
        <w:gridCol w:w="1230"/>
        <w:gridCol w:w="870"/>
        <w:gridCol w:w="932"/>
      </w:tblGrid>
      <w:tr w:rsidR="000A7506">
        <w:trPr>
          <w:cantSplit/>
          <w:trHeight w:val="1475"/>
        </w:trPr>
        <w:tc>
          <w:tcPr>
            <w:tcW w:w="2268" w:type="dxa"/>
            <w:textDirection w:val="btLr"/>
          </w:tcPr>
          <w:p w:rsidR="000A7506" w:rsidRDefault="005776F9">
            <w:pPr>
              <w:ind w:left="113" w:right="113"/>
              <w:rPr>
                <w:b/>
                <w:sz w:val="18"/>
              </w:rPr>
            </w:pPr>
            <w:r>
              <w:rPr>
                <w:b/>
                <w:sz w:val="18"/>
              </w:rPr>
              <w:t>Form</w:t>
            </w:r>
          </w:p>
        </w:tc>
        <w:tc>
          <w:tcPr>
            <w:tcW w:w="959" w:type="dxa"/>
            <w:textDirection w:val="btLr"/>
          </w:tcPr>
          <w:p w:rsidR="000A7506" w:rsidRDefault="005776F9">
            <w:pPr>
              <w:ind w:left="113" w:right="113"/>
              <w:rPr>
                <w:b/>
                <w:sz w:val="18"/>
              </w:rPr>
            </w:pPr>
            <w:r>
              <w:rPr>
                <w:b/>
                <w:sz w:val="18"/>
              </w:rPr>
              <w:t>Annual Number of Respondents</w:t>
            </w:r>
          </w:p>
        </w:tc>
        <w:tc>
          <w:tcPr>
            <w:tcW w:w="718" w:type="dxa"/>
            <w:textDirection w:val="btLr"/>
          </w:tcPr>
          <w:p w:rsidR="000A7506" w:rsidRDefault="005776F9">
            <w:pPr>
              <w:ind w:left="113" w:right="113"/>
              <w:rPr>
                <w:b/>
                <w:sz w:val="18"/>
              </w:rPr>
            </w:pPr>
            <w:r>
              <w:rPr>
                <w:b/>
                <w:sz w:val="18"/>
              </w:rPr>
              <w:t>Frequency of Responses</w:t>
            </w:r>
          </w:p>
        </w:tc>
        <w:tc>
          <w:tcPr>
            <w:tcW w:w="1585" w:type="dxa"/>
            <w:textDirection w:val="btLr"/>
          </w:tcPr>
          <w:p w:rsidR="000A7506" w:rsidRDefault="005776F9">
            <w:pPr>
              <w:ind w:left="113" w:right="113"/>
              <w:rPr>
                <w:b/>
                <w:sz w:val="18"/>
              </w:rPr>
            </w:pPr>
            <w:r>
              <w:rPr>
                <w:b/>
                <w:sz w:val="18"/>
              </w:rPr>
              <w:t>Annual Number of Responses</w:t>
            </w:r>
          </w:p>
        </w:tc>
        <w:tc>
          <w:tcPr>
            <w:tcW w:w="1230" w:type="dxa"/>
            <w:textDirection w:val="btLr"/>
          </w:tcPr>
          <w:p w:rsidR="000A7506" w:rsidRDefault="005776F9">
            <w:pPr>
              <w:ind w:left="113" w:right="113"/>
              <w:rPr>
                <w:b/>
                <w:sz w:val="18"/>
              </w:rPr>
            </w:pPr>
            <w:r>
              <w:rPr>
                <w:b/>
                <w:sz w:val="18"/>
              </w:rPr>
              <w:t>Completion Time (hours) Per Response</w:t>
            </w:r>
          </w:p>
        </w:tc>
        <w:tc>
          <w:tcPr>
            <w:tcW w:w="870" w:type="dxa"/>
            <w:textDirection w:val="btLr"/>
          </w:tcPr>
          <w:p w:rsidR="000A7506" w:rsidRDefault="005776F9">
            <w:pPr>
              <w:ind w:left="113" w:right="113"/>
              <w:rPr>
                <w:b/>
                <w:sz w:val="18"/>
              </w:rPr>
            </w:pPr>
            <w:r>
              <w:rPr>
                <w:b/>
                <w:sz w:val="18"/>
              </w:rPr>
              <w:t xml:space="preserve">Total </w:t>
            </w:r>
          </w:p>
          <w:p w:rsidR="000A7506" w:rsidRDefault="005776F9">
            <w:pPr>
              <w:ind w:left="113" w:right="113"/>
              <w:rPr>
                <w:b/>
                <w:sz w:val="18"/>
              </w:rPr>
            </w:pPr>
            <w:r>
              <w:rPr>
                <w:b/>
                <w:sz w:val="18"/>
              </w:rPr>
              <w:t>Annual Burden Hours</w:t>
            </w:r>
          </w:p>
        </w:tc>
        <w:tc>
          <w:tcPr>
            <w:tcW w:w="932" w:type="dxa"/>
            <w:textDirection w:val="btLr"/>
          </w:tcPr>
          <w:p w:rsidR="000A7506" w:rsidRDefault="005776F9">
            <w:pPr>
              <w:ind w:left="113" w:right="113"/>
              <w:rPr>
                <w:b/>
                <w:sz w:val="18"/>
              </w:rPr>
            </w:pPr>
            <w:r>
              <w:rPr>
                <w:b/>
                <w:sz w:val="18"/>
              </w:rPr>
              <w:t>$ Value of Annual Burden Hours</w:t>
            </w:r>
          </w:p>
        </w:tc>
      </w:tr>
      <w:tr w:rsidR="000A7506">
        <w:tc>
          <w:tcPr>
            <w:tcW w:w="2268" w:type="dxa"/>
          </w:tcPr>
          <w:p w:rsidR="000A7506" w:rsidRDefault="00577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Pr>
                <w:b/>
                <w:color w:val="000000"/>
                <w:sz w:val="18"/>
                <w:szCs w:val="18"/>
              </w:rPr>
              <w:t>Waiver Request Form</w:t>
            </w:r>
          </w:p>
        </w:tc>
        <w:tc>
          <w:tcPr>
            <w:tcW w:w="959" w:type="dxa"/>
          </w:tcPr>
          <w:p w:rsidR="000A7506" w:rsidRDefault="005776F9">
            <w:pPr>
              <w:rPr>
                <w:sz w:val="18"/>
                <w:szCs w:val="18"/>
              </w:rPr>
            </w:pPr>
            <w:r>
              <w:rPr>
                <w:sz w:val="18"/>
                <w:szCs w:val="18"/>
              </w:rPr>
              <w:t>183</w:t>
            </w:r>
          </w:p>
        </w:tc>
        <w:tc>
          <w:tcPr>
            <w:tcW w:w="718" w:type="dxa"/>
          </w:tcPr>
          <w:p w:rsidR="000A7506" w:rsidRDefault="005776F9">
            <w:pPr>
              <w:rPr>
                <w:sz w:val="18"/>
                <w:szCs w:val="18"/>
              </w:rPr>
            </w:pPr>
            <w:r>
              <w:rPr>
                <w:sz w:val="18"/>
                <w:szCs w:val="18"/>
              </w:rPr>
              <w:t>1</w:t>
            </w:r>
          </w:p>
        </w:tc>
        <w:tc>
          <w:tcPr>
            <w:tcW w:w="1585" w:type="dxa"/>
          </w:tcPr>
          <w:p w:rsidR="000A7506" w:rsidRDefault="005776F9">
            <w:pPr>
              <w:rPr>
                <w:sz w:val="18"/>
                <w:szCs w:val="18"/>
              </w:rPr>
            </w:pPr>
            <w:r>
              <w:rPr>
                <w:sz w:val="18"/>
                <w:szCs w:val="18"/>
              </w:rPr>
              <w:t>183</w:t>
            </w:r>
          </w:p>
        </w:tc>
        <w:tc>
          <w:tcPr>
            <w:tcW w:w="1230" w:type="dxa"/>
          </w:tcPr>
          <w:p w:rsidR="000A7506" w:rsidRDefault="005776F9">
            <w:pPr>
              <w:rPr>
                <w:sz w:val="18"/>
                <w:szCs w:val="18"/>
              </w:rPr>
            </w:pPr>
            <w:r>
              <w:rPr>
                <w:sz w:val="18"/>
                <w:szCs w:val="18"/>
              </w:rPr>
              <w:t>1 hour</w:t>
            </w:r>
          </w:p>
        </w:tc>
        <w:tc>
          <w:tcPr>
            <w:tcW w:w="870" w:type="dxa"/>
          </w:tcPr>
          <w:p w:rsidR="000A7506" w:rsidRDefault="005776F9">
            <w:pPr>
              <w:rPr>
                <w:sz w:val="18"/>
                <w:szCs w:val="18"/>
              </w:rPr>
            </w:pPr>
            <w:r>
              <w:rPr>
                <w:sz w:val="18"/>
                <w:szCs w:val="18"/>
              </w:rPr>
              <w:t>183</w:t>
            </w:r>
          </w:p>
        </w:tc>
        <w:tc>
          <w:tcPr>
            <w:tcW w:w="932" w:type="dxa"/>
          </w:tcPr>
          <w:p w:rsidR="000A7506" w:rsidRDefault="005776F9">
            <w:pPr>
              <w:rPr>
                <w:sz w:val="18"/>
              </w:rPr>
            </w:pPr>
            <w:r>
              <w:rPr>
                <w:sz w:val="18"/>
              </w:rPr>
              <w:t>$6,905</w:t>
            </w:r>
          </w:p>
        </w:tc>
      </w:tr>
    </w:tbl>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0A7506" w:rsidRDefault="005776F9">
      <w:pPr>
        <w:rPr>
          <w:sz w:val="22"/>
          <w:szCs w:val="22"/>
        </w:rPr>
      </w:pPr>
      <w:r>
        <w:rPr>
          <w:sz w:val="24"/>
          <w:szCs w:val="24"/>
        </w:rPr>
        <w:t xml:space="preserve">To obtain the hourly rate, BIA used $37.73, the wages and salaries figure for civilian workers from BLS Release USDL-20-1232 Employer Costs for Employee Compensation—March 2020, Table 2, Employer costs per hour worked for employee compensation and costs as a percent of total compensation: Civilian workers, by major occupational and industry group, at https://www.bls.gov/news.release/pdf/ecec.pdf.  This wage includes a multiplier for benefits.  </w:t>
      </w:r>
    </w:p>
    <w:p w:rsidR="000A7506" w:rsidRDefault="000A7506">
      <w:pPr>
        <w:widowControl/>
        <w:rPr>
          <w:i/>
          <w:sz w:val="24"/>
        </w:rPr>
      </w:pPr>
    </w:p>
    <w:p w:rsidR="000A7506" w:rsidRDefault="000A7506">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lastRenderedPageBreak/>
        <w:t>13.</w:t>
      </w:r>
      <w:r>
        <w:rPr>
          <w:b/>
          <w:sz w:val="24"/>
          <w:szCs w:val="24"/>
        </w:rPr>
        <w:tab/>
        <w:t>Provide an estimate of the total annual non-hour cost burden to respondents or recordkeepers resulting from the collection of information.  (Do not include the cost of any hour burden already reflected in item 12.)</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b/>
          <w:sz w:val="24"/>
          <w:szCs w:val="24"/>
        </w:rPr>
        <w:t>*</w:t>
      </w:r>
      <w:r>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b/>
          <w:sz w:val="24"/>
          <w:szCs w:val="24"/>
        </w:rPr>
        <w:t>*</w:t>
      </w:r>
      <w:r>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is no non-hour cost burden associated with this information collection.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14.</w:t>
      </w:r>
      <w:r>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BF53E4"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lastRenderedPageBreak/>
        <w:t>We estimate the annual cos</w:t>
      </w:r>
      <w:bookmarkStart w:name="_GoBack" w:id="0"/>
      <w:bookmarkEnd w:id="0"/>
      <w:r>
        <w:rPr>
          <w:bCs/>
          <w:sz w:val="24"/>
          <w:szCs w:val="24"/>
        </w:rPr>
        <w:t xml:space="preserve">t for BIE to process the waiver request forms and submit them to the Assistant Secretary-Indian Affairs for review, will </w:t>
      </w:r>
      <w:r w:rsidRPr="00BF53E4">
        <w:rPr>
          <w:bCs/>
          <w:sz w:val="24"/>
          <w:szCs w:val="24"/>
        </w:rPr>
        <w:t>be $</w:t>
      </w:r>
      <w:r w:rsidRPr="00BF53E4" w:rsidR="00BF53E4">
        <w:rPr>
          <w:bCs/>
          <w:sz w:val="24"/>
          <w:szCs w:val="24"/>
        </w:rPr>
        <w:t xml:space="preserve">21.16 per response, or </w:t>
      </w:r>
      <w:r w:rsidRPr="00BF53E4" w:rsidR="00BF53E4">
        <w:rPr>
          <w:b/>
          <w:bCs/>
          <w:sz w:val="24"/>
          <w:szCs w:val="24"/>
        </w:rPr>
        <w:t>$3,872.28</w:t>
      </w:r>
      <w:r w:rsidRPr="00BF53E4" w:rsidR="00BF53E4">
        <w:rPr>
          <w:bCs/>
          <w:sz w:val="24"/>
          <w:szCs w:val="24"/>
        </w:rPr>
        <w:t xml:space="preserve"> annually ($21.16 * 183 responses)</w:t>
      </w:r>
      <w:r w:rsidRPr="00BF53E4">
        <w:rPr>
          <w:bCs/>
          <w:sz w:val="24"/>
          <w:szCs w:val="24"/>
        </w:rPr>
        <w:t xml:space="preserve">. </w:t>
      </w:r>
    </w:p>
    <w:p w:rsidRPr="00BF53E4" w:rsidR="000A7506" w:rsidRDefault="005776F9">
      <w:pPr>
        <w:widowControl/>
        <w:autoSpaceDE/>
        <w:autoSpaceDN/>
        <w:adjustRightInd/>
        <w:ind w:left="360"/>
        <w:rPr>
          <w:sz w:val="24"/>
          <w:szCs w:val="24"/>
        </w:rPr>
      </w:pPr>
      <w:r w:rsidRPr="00BF53E4">
        <w:rPr>
          <w:bCs/>
          <w:sz w:val="24"/>
          <w:szCs w:val="24"/>
        </w:rPr>
        <w:tab/>
      </w:r>
    </w:p>
    <w:p w:rsidR="000A7506" w:rsidRDefault="005776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current estimated annual cost to the government has been calculated by using the hourly rate provided by the 2020 General Schedule Annual Rates by Grade and Step:  GS 11, Step 1 (</w:t>
      </w:r>
      <w:r>
        <w:rPr>
          <w:b/>
          <w:sz w:val="24"/>
          <w:szCs w:val="24"/>
        </w:rPr>
        <w:t>$26.45)</w:t>
      </w:r>
      <w:r>
        <w:rPr>
          <w:sz w:val="24"/>
          <w:szCs w:val="24"/>
        </w:rPr>
        <w:t xml:space="preserve">, and a multiplier of 1.6 for benefits for a total </w:t>
      </w:r>
      <w:r>
        <w:rPr>
          <w:rFonts w:ascii=".jS" w:hAnsi=".jS"/>
          <w:sz w:val="24"/>
          <w:szCs w:val="24"/>
        </w:rPr>
        <w:t xml:space="preserve">of </w:t>
      </w:r>
      <w:r>
        <w:rPr>
          <w:rFonts w:ascii=".jS" w:hAnsi=".jS"/>
          <w:b/>
          <w:sz w:val="24"/>
          <w:szCs w:val="24"/>
        </w:rPr>
        <w:t>$42.32</w:t>
      </w:r>
      <w:r>
        <w:rPr>
          <w:rFonts w:ascii=".jS" w:hAnsi=".jS"/>
          <w:sz w:val="24"/>
          <w:szCs w:val="24"/>
        </w:rPr>
        <w:t xml:space="preserve">.  The average work time is estimated at 0.5 </w:t>
      </w:r>
      <w:r>
        <w:rPr>
          <w:sz w:val="24"/>
          <w:szCs w:val="24"/>
        </w:rPr>
        <w:t xml:space="preserve">hours per response.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15.</w:t>
      </w:r>
      <w:r>
        <w:rPr>
          <w:b/>
          <w:sz w:val="24"/>
          <w:szCs w:val="24"/>
        </w:rPr>
        <w:tab/>
        <w:t>Explain the reasons for any program changes or adjustments in hour or cost burden.</w:t>
      </w:r>
    </w:p>
    <w:p w:rsidR="000A7506" w:rsidRDefault="000A7506">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Pr>
          <w:bCs/>
          <w:sz w:val="24"/>
          <w:szCs w:val="22"/>
        </w:rPr>
        <w:t>This is a new collection.</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16.</w:t>
      </w:r>
      <w:r>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BIE will not publish the results of this information collection.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17.</w:t>
      </w:r>
      <w:r>
        <w:rPr>
          <w:b/>
          <w:sz w:val="24"/>
          <w:szCs w:val="24"/>
        </w:rPr>
        <w:tab/>
        <w:t>If seeking approval to not display the expiration date for OMB approval of the information collection, explain the reasons that display would be inappropriate.</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BIE will display the OMB control number on the waiver request form once a control number is assigned to this collection. </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18.</w:t>
      </w:r>
      <w:r>
        <w:rPr>
          <w:b/>
          <w:sz w:val="24"/>
          <w:szCs w:val="24"/>
        </w:rPr>
        <w:tab/>
        <w:t>Explain each exception to the topics of the certification statement identified in "Certification for Paperwork Reduction Act Submissions."</w:t>
      </w:r>
    </w:p>
    <w:p w:rsidR="000A7506" w:rsidRDefault="000A7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7506" w:rsidRDefault="005776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There are no exceptions.</w:t>
      </w:r>
    </w:p>
    <w:sectPr w:rsidR="000A7506">
      <w:headerReference w:type="default" r:id="rId10"/>
      <w:footerReference w:type="default" r:id="rId11"/>
      <w:type w:val="continuous"/>
      <w:pgSz w:w="12240" w:h="15840"/>
      <w:pgMar w:top="1440" w:right="1440" w:bottom="1440" w:left="1440" w:header="1440" w:footer="14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31B3" w16cex:dateUtc="2020-08-12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5F3071" w16cid:durableId="22DE31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6F9" w:rsidRDefault="005776F9">
      <w:r>
        <w:separator/>
      </w:r>
    </w:p>
  </w:endnote>
  <w:endnote w:type="continuationSeparator" w:id="0">
    <w:p w:rsidR="005776F9" w:rsidRDefault="005776F9">
      <w:r>
        <w:continuationSeparator/>
      </w:r>
    </w:p>
  </w:endnote>
  <w:endnote w:type="continuationNotice" w:id="1">
    <w:p w:rsidR="005776F9" w:rsidRDefault="00577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06" w:rsidRDefault="005776F9">
    <w:pPr>
      <w:pStyle w:val="Footer"/>
      <w:jc w:val="center"/>
    </w:pPr>
    <w:r>
      <w:fldChar w:fldCharType="begin"/>
    </w:r>
    <w:r>
      <w:instrText xml:space="preserve"> PAGE   \* MERGEFORMAT </w:instrText>
    </w:r>
    <w:r>
      <w:fldChar w:fldCharType="separate"/>
    </w:r>
    <w:r w:rsidR="00BF53E4">
      <w:rPr>
        <w:noProof/>
      </w:rPr>
      <w:t>7</w:t>
    </w:r>
    <w:r>
      <w:rPr>
        <w:noProof/>
      </w:rPr>
      <w:fldChar w:fldCharType="end"/>
    </w:r>
  </w:p>
  <w:p w:rsidR="000A7506" w:rsidRDefault="000A7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6F9" w:rsidRDefault="005776F9">
      <w:r>
        <w:separator/>
      </w:r>
    </w:p>
  </w:footnote>
  <w:footnote w:type="continuationSeparator" w:id="0">
    <w:p w:rsidR="005776F9" w:rsidRDefault="005776F9">
      <w:r>
        <w:continuationSeparator/>
      </w:r>
    </w:p>
  </w:footnote>
  <w:footnote w:type="continuationNotice" w:id="1">
    <w:p w:rsidR="005776F9" w:rsidRDefault="005776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506" w:rsidRDefault="000A750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1EA1"/>
    <w:multiLevelType w:val="hybridMultilevel"/>
    <w:tmpl w:val="ED3E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D0AC0"/>
    <w:multiLevelType w:val="hybridMultilevel"/>
    <w:tmpl w:val="2C22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6237FE"/>
    <w:multiLevelType w:val="hybridMultilevel"/>
    <w:tmpl w:val="8002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EE2A95"/>
    <w:multiLevelType w:val="hybridMultilevel"/>
    <w:tmpl w:val="817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84C38"/>
    <w:multiLevelType w:val="hybridMultilevel"/>
    <w:tmpl w:val="6DF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86A23"/>
    <w:multiLevelType w:val="hybridMultilevel"/>
    <w:tmpl w:val="EEC6EB2C"/>
    <w:lvl w:ilvl="0" w:tplc="ADF4E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12DC3"/>
    <w:multiLevelType w:val="hybridMultilevel"/>
    <w:tmpl w:val="BA5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3"/>
  </w:num>
  <w:num w:numId="2">
    <w:abstractNumId w:val="0"/>
  </w:num>
  <w:num w:numId="3">
    <w:abstractNumId w:val="8"/>
  </w:num>
  <w:num w:numId="4">
    <w:abstractNumId w:val="12"/>
  </w:num>
  <w:num w:numId="5">
    <w:abstractNumId w:val="9"/>
  </w:num>
  <w:num w:numId="6">
    <w:abstractNumId w:val="4"/>
  </w:num>
  <w:num w:numId="7">
    <w:abstractNumId w:val="14"/>
  </w:num>
  <w:num w:numId="8">
    <w:abstractNumId w:val="10"/>
  </w:num>
  <w:num w:numId="9">
    <w:abstractNumId w:val="7"/>
  </w:num>
  <w:num w:numId="10">
    <w:abstractNumId w:val="5"/>
  </w:num>
  <w:num w:numId="11">
    <w:abstractNumId w:val="6"/>
  </w:num>
  <w:num w:numId="12">
    <w:abstractNumId w:val="11"/>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06"/>
    <w:rsid w:val="000A7506"/>
    <w:rsid w:val="005776F9"/>
    <w:rsid w:val="00BF53E4"/>
    <w:rsid w:val="00C9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A341C"/>
  <w15:chartTrackingRefBased/>
  <w15:docId w15:val="{A7277C07-CDDC-4CFD-AFF0-1AADB476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FootnoteReference">
    <w:name w:val="footnote reference"/>
    <w:uiPriority w:val="99"/>
    <w:semiHidden/>
    <w:unhideWhenUsed/>
    <w:rPr>
      <w:vertAlign w:val="superscript"/>
    </w:rPr>
  </w:style>
  <w:style w:type="table" w:styleId="TableGrid">
    <w:name w:val="Table Grid"/>
    <w:basedOn w:val="TableNormal"/>
    <w:uiPriority w:val="99"/>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hAnsi="Times New Roman"/>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link w:val="CommentText"/>
    <w:uiPriority w:val="99"/>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93748">
      <w:bodyDiv w:val="1"/>
      <w:marLeft w:val="0"/>
      <w:marRight w:val="0"/>
      <w:marTop w:val="0"/>
      <w:marBottom w:val="0"/>
      <w:divBdr>
        <w:top w:val="none" w:sz="0" w:space="0" w:color="auto"/>
        <w:left w:val="none" w:sz="0" w:space="0" w:color="auto"/>
        <w:bottom w:val="none" w:sz="0" w:space="0" w:color="auto"/>
        <w:right w:val="none" w:sz="0" w:space="0" w:color="auto"/>
      </w:divBdr>
    </w:div>
    <w:div w:id="634797413">
      <w:bodyDiv w:val="1"/>
      <w:marLeft w:val="0"/>
      <w:marRight w:val="0"/>
      <w:marTop w:val="0"/>
      <w:marBottom w:val="0"/>
      <w:divBdr>
        <w:top w:val="none" w:sz="0" w:space="0" w:color="auto"/>
        <w:left w:val="none" w:sz="0" w:space="0" w:color="auto"/>
        <w:bottom w:val="none" w:sz="0" w:space="0" w:color="auto"/>
        <w:right w:val="none" w:sz="0" w:space="0" w:color="auto"/>
      </w:divBdr>
    </w:div>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144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f7e8e237b9ff86dae1904ed3f4bafa9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7317e8f9b10ba839b04fb41e9c4e15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AE32F-B9F7-4447-88D4-C582CDF2433E}">
  <ds:schemaRefs>
    <ds:schemaRef ds:uri="http://schemas.microsoft.com/sharepoint/v3/contenttype/forms"/>
  </ds:schemaRefs>
</ds:datastoreItem>
</file>

<file path=customXml/itemProps2.xml><?xml version="1.0" encoding="utf-8"?>
<ds:datastoreItem xmlns:ds="http://schemas.openxmlformats.org/officeDocument/2006/customXml" ds:itemID="{D0C9ED1C-A4A4-4DAB-9D39-E26FEA973855}">
  <ds:schemaRefs>
    <ds:schemaRef ds:uri="http://purl.org/dc/terms/"/>
    <ds:schemaRef ds:uri="http://schemas.openxmlformats.org/package/2006/metadata/core-properties"/>
    <ds:schemaRef ds:uri="http://schemas.microsoft.com/office/2006/documentManagement/types"/>
    <ds:schemaRef ds:uri="02e41e38-1731-4866-b09a-6257d8bc047f"/>
    <ds:schemaRef ds:uri="http://purl.org/dc/elements/1.1/"/>
    <ds:schemaRef ds:uri="http://schemas.microsoft.com/office/2006/metadata/properties"/>
    <ds:schemaRef ds:uri="f87c7b8b-c0e7-4b77-a067-2c707fd1239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43FFB77-05BC-433B-86DE-B8FAF865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2801</Words>
  <Characters>15834</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Fry, Ashley D</cp:lastModifiedBy>
  <cp:revision>2</cp:revision>
  <cp:lastPrinted>2017-04-20T15:37:00Z</cp:lastPrinted>
  <dcterms:created xsi:type="dcterms:W3CDTF">2020-08-13T17:20:00Z</dcterms:created>
  <dcterms:modified xsi:type="dcterms:W3CDTF">2020-08-13T17:20:00Z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