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3F23" w:rsidR="006112F5" w:rsidP="009E3133" w:rsidRDefault="006112F5" w14:paraId="75CD3AD3" w14:textId="77777777">
      <w:pPr>
        <w:jc w:val="center"/>
        <w:rPr>
          <w:b/>
        </w:rPr>
      </w:pPr>
      <w:r w:rsidRPr="004D3F23">
        <w:rPr>
          <w:b/>
        </w:rPr>
        <w:t>Supporting Statement for Paperwork Reduction Act Submissions</w:t>
      </w:r>
    </w:p>
    <w:p w:rsidRPr="004D3F23" w:rsidR="006112F5" w:rsidP="009E3133" w:rsidRDefault="006112F5" w14:paraId="5D56B294" w14:textId="77777777">
      <w:pPr>
        <w:tabs>
          <w:tab w:val="center" w:pos="4680"/>
        </w:tabs>
        <w:jc w:val="center"/>
        <w:rPr>
          <w:b/>
        </w:rPr>
      </w:pPr>
      <w:r w:rsidRPr="004D3F23">
        <w:rPr>
          <w:b/>
        </w:rPr>
        <w:t>Application for Permit to Export Controlled Substances</w:t>
      </w:r>
      <w:r w:rsidRPr="004D3F23" w:rsidR="009E3133">
        <w:rPr>
          <w:b/>
        </w:rPr>
        <w:t xml:space="preserve"> </w:t>
      </w:r>
      <w:r w:rsidRPr="00AD455A" w:rsidR="00AD455A">
        <w:rPr>
          <w:b/>
        </w:rPr>
        <w:t xml:space="preserve">– </w:t>
      </w:r>
      <w:r w:rsidRPr="004D3F23">
        <w:rPr>
          <w:b/>
        </w:rPr>
        <w:t>DEA Form 161</w:t>
      </w:r>
      <w:r w:rsidR="004E5C79">
        <w:rPr>
          <w:b/>
        </w:rPr>
        <w:t>,</w:t>
      </w:r>
    </w:p>
    <w:p w:rsidRPr="004D3F23" w:rsidR="006112F5" w:rsidP="009E3133" w:rsidRDefault="006112F5" w14:paraId="620DB067" w14:textId="58BE75CE">
      <w:pPr>
        <w:tabs>
          <w:tab w:val="center" w:pos="4680"/>
        </w:tabs>
        <w:jc w:val="center"/>
        <w:rPr>
          <w:b/>
        </w:rPr>
      </w:pPr>
      <w:r w:rsidRPr="004D3F23">
        <w:rPr>
          <w:b/>
        </w:rPr>
        <w:t>Application for Permit t</w:t>
      </w:r>
      <w:r w:rsidRPr="004D3F23" w:rsidR="009E3133">
        <w:rPr>
          <w:b/>
        </w:rPr>
        <w:t>o Export Controlled Substances f</w:t>
      </w:r>
      <w:r w:rsidRPr="004D3F23">
        <w:rPr>
          <w:b/>
        </w:rPr>
        <w:t>or Subsequent Re</w:t>
      </w:r>
      <w:r w:rsidR="005B1B1E">
        <w:rPr>
          <w:b/>
        </w:rPr>
        <w:t>-</w:t>
      </w:r>
      <w:r w:rsidRPr="004D3F23">
        <w:rPr>
          <w:b/>
        </w:rPr>
        <w:t>export</w:t>
      </w:r>
      <w:r w:rsidRPr="004D3F23" w:rsidR="009E3133">
        <w:rPr>
          <w:b/>
        </w:rPr>
        <w:t xml:space="preserve"> </w:t>
      </w:r>
      <w:r w:rsidRPr="00AD455A" w:rsidR="00AD455A">
        <w:rPr>
          <w:b/>
        </w:rPr>
        <w:t xml:space="preserve">– </w:t>
      </w:r>
      <w:r w:rsidRPr="004D3F23">
        <w:rPr>
          <w:b/>
        </w:rPr>
        <w:t>DEA Form 161</w:t>
      </w:r>
      <w:r w:rsidR="002110E3">
        <w:rPr>
          <w:b/>
        </w:rPr>
        <w:t>R</w:t>
      </w:r>
      <w:r w:rsidR="004E5C79">
        <w:rPr>
          <w:b/>
        </w:rPr>
        <w:t xml:space="preserve">, </w:t>
      </w:r>
      <w:r w:rsidRPr="004E5C79" w:rsidR="004E5C79">
        <w:rPr>
          <w:b/>
        </w:rPr>
        <w:t>Application for Permit to Export Controlled Substances for Subsequent Re</w:t>
      </w:r>
      <w:r w:rsidR="005B1B1E">
        <w:rPr>
          <w:b/>
        </w:rPr>
        <w:t>-</w:t>
      </w:r>
      <w:r w:rsidRPr="004E5C79" w:rsidR="004E5C79">
        <w:rPr>
          <w:b/>
        </w:rPr>
        <w:t>export Among Members of the European Economic Area – DEA Form 161R–EEA</w:t>
      </w:r>
    </w:p>
    <w:p w:rsidRPr="004D3F23" w:rsidR="004D3F23" w:rsidP="009E3133" w:rsidRDefault="004D3F23" w14:paraId="42355B0D" w14:textId="77777777">
      <w:pPr>
        <w:tabs>
          <w:tab w:val="center" w:pos="4680"/>
        </w:tabs>
        <w:jc w:val="center"/>
        <w:rPr>
          <w:b/>
        </w:rPr>
      </w:pPr>
      <w:r w:rsidRPr="004D3F23">
        <w:rPr>
          <w:b/>
        </w:rPr>
        <w:t>OMB Approval # 1117-0004</w:t>
      </w:r>
    </w:p>
    <w:p w:rsidR="004D3F23" w:rsidP="004D3F23" w:rsidRDefault="004D3F23" w14:paraId="13F2D053" w14:textId="77777777">
      <w:pPr>
        <w:tabs>
          <w:tab w:val="center" w:pos="4680"/>
        </w:tabs>
      </w:pPr>
    </w:p>
    <w:p w:rsidR="006112F5" w:rsidP="00C875F3" w:rsidRDefault="004D3F23" w14:paraId="652EC862" w14:textId="13B8B310">
      <w:pPr>
        <w:tabs>
          <w:tab w:val="center" w:pos="4680"/>
        </w:tabs>
      </w:pPr>
      <w:r>
        <w:t>The Drug Enforcement Administration (DEA) seeks</w:t>
      </w:r>
      <w:r w:rsidR="00BD5299">
        <w:t xml:space="preserve"> approval</w:t>
      </w:r>
      <w:r w:rsidR="004E5C79">
        <w:t xml:space="preserve"> by</w:t>
      </w:r>
      <w:r>
        <w:t xml:space="preserve"> </w:t>
      </w:r>
      <w:r w:rsidR="00D63AFA">
        <w:t>the Office of Management and Budget (</w:t>
      </w:r>
      <w:r>
        <w:t>OMB</w:t>
      </w:r>
      <w:r w:rsidR="00D63AFA">
        <w:t>)</w:t>
      </w:r>
      <w:r>
        <w:t xml:space="preserve"> </w:t>
      </w:r>
      <w:r w:rsidR="002110E3">
        <w:t xml:space="preserve"> for a revision of</w:t>
      </w:r>
      <w:r>
        <w:t xml:space="preserve"> an existing collection of information that was previously approved by OMB</w:t>
      </w:r>
      <w:r w:rsidR="00F4037A">
        <w:t xml:space="preserve"> – OMB </w:t>
      </w:r>
      <w:r w:rsidR="00BD5299">
        <w:t>Approval</w:t>
      </w:r>
      <w:r w:rsidR="004E5C79">
        <w:t xml:space="preserve"># </w:t>
      </w:r>
      <w:r w:rsidR="00F4037A">
        <w:t>1117-0004</w:t>
      </w:r>
      <w:r>
        <w:t xml:space="preserve">, </w:t>
      </w:r>
      <w:r w:rsidR="00AD455A">
        <w:t>Application for Permit to Export Controlled Substances – DEA Form 161,</w:t>
      </w:r>
      <w:r w:rsidR="00C875F3">
        <w:t xml:space="preserve"> </w:t>
      </w:r>
      <w:r w:rsidR="00AD455A">
        <w:t>Application for Permit to Export Controlled Substances for Subsequent Re</w:t>
      </w:r>
      <w:r w:rsidR="005B1B1E">
        <w:t>-</w:t>
      </w:r>
      <w:r w:rsidR="00AD455A">
        <w:t xml:space="preserve">export </w:t>
      </w:r>
      <w:r w:rsidRPr="00AD455A" w:rsidR="00AD455A">
        <w:t xml:space="preserve">– </w:t>
      </w:r>
      <w:r w:rsidR="00AD455A">
        <w:t>DEA Form 161</w:t>
      </w:r>
      <w:r w:rsidR="002110E3">
        <w:t>R</w:t>
      </w:r>
      <w:r w:rsidR="00AD455A">
        <w:t>, Application for Permit to Export Controlled Substances for Subsequent Re</w:t>
      </w:r>
      <w:r w:rsidR="005B1B1E">
        <w:t>-</w:t>
      </w:r>
      <w:r w:rsidR="00AD455A">
        <w:t>export Among Members of the European Economic Area – DEA Form 161R–EEA.</w:t>
      </w:r>
    </w:p>
    <w:p w:rsidR="007455EE" w:rsidP="006112F5" w:rsidRDefault="007455EE" w14:paraId="4ECA3556" w14:textId="77777777">
      <w:pPr>
        <w:rPr>
          <w:b/>
        </w:rPr>
      </w:pPr>
    </w:p>
    <w:p w:rsidRPr="009E3133" w:rsidR="006112F5" w:rsidP="006112F5" w:rsidRDefault="009E3133" w14:paraId="3E6D0700" w14:textId="77777777">
      <w:pPr>
        <w:rPr>
          <w:b/>
        </w:rPr>
      </w:pPr>
      <w:r w:rsidRPr="009E3133">
        <w:rPr>
          <w:b/>
        </w:rPr>
        <w:t xml:space="preserve">Part </w:t>
      </w:r>
      <w:r w:rsidRPr="009E3133" w:rsidR="006112F5">
        <w:rPr>
          <w:b/>
        </w:rPr>
        <w:t xml:space="preserve">A. </w:t>
      </w:r>
      <w:r w:rsidRPr="009E3133">
        <w:rPr>
          <w:b/>
        </w:rPr>
        <w:t xml:space="preserve">Justification </w:t>
      </w:r>
    </w:p>
    <w:p w:rsidR="006112F5" w:rsidP="006112F5" w:rsidRDefault="006112F5" w14:paraId="77B24DE8" w14:textId="77777777"/>
    <w:p w:rsidR="00696EAE" w:rsidP="006112F5" w:rsidRDefault="00696EAE" w14:paraId="0E63C55B" w14:textId="77777777"/>
    <w:p w:rsidRPr="000D136C" w:rsidR="009E3133" w:rsidP="000D136C" w:rsidRDefault="000D136C" w14:paraId="2496E224" w14:textId="77777777">
      <w:pPr>
        <w:rPr>
          <w:u w:val="single"/>
        </w:rPr>
      </w:pPr>
      <w:r>
        <w:t xml:space="preserve">1.  </w:t>
      </w:r>
      <w:r w:rsidRPr="000D136C" w:rsidR="006112F5">
        <w:rPr>
          <w:u w:val="single"/>
        </w:rPr>
        <w:t>Necessity of Information:</w:t>
      </w:r>
    </w:p>
    <w:p w:rsidR="009E3133" w:rsidP="009E3133" w:rsidRDefault="009E3133" w14:paraId="4B6E4DC1" w14:textId="77777777"/>
    <w:p w:rsidR="00696EAE" w:rsidP="00C875F3" w:rsidRDefault="006112F5" w14:paraId="04DBD02F" w14:textId="072B7AA5">
      <w:r>
        <w:t>Section 1003 of the Controlled Substances Import and Export Act (21 U.S.C. 953) and Title 21, Code of Federal Regulations (21 CFR), Sections 1312.21 and 1312.22 require that any person who desires to export or re</w:t>
      </w:r>
      <w:r w:rsidR="005B1B1E">
        <w:t>-</w:t>
      </w:r>
      <w:r>
        <w:t>export controlled substances listed in Schedules I or II, any narcotic substance listed in Schedules III o</w:t>
      </w:r>
      <w:r w:rsidR="00610068">
        <w:t>r IV</w:t>
      </w:r>
      <w:r w:rsidR="00CA3A36">
        <w:t>,</w:t>
      </w:r>
      <w:r w:rsidRPr="00CA3A36" w:rsidR="00CA3A36">
        <w:t xml:space="preserve"> or any non-narcotic substance in Schedule III which the Administrator has specifically designated by regulation in §1312.30</w:t>
      </w:r>
      <w:r w:rsidR="006A2BD4">
        <w:t>,</w:t>
      </w:r>
      <w:r w:rsidR="00CA3A36">
        <w:t xml:space="preserve"> or </w:t>
      </w:r>
      <w:r w:rsidRPr="00CA3A36" w:rsidR="00CA3A36">
        <w:t>any non-narcotic substance in Schedule IV or V</w:t>
      </w:r>
      <w:r w:rsidR="00DA6FB6">
        <w:t xml:space="preserve"> which is also lis</w:t>
      </w:r>
      <w:r w:rsidR="0018070A">
        <w:t>ted in Schedule I or II of the C</w:t>
      </w:r>
      <w:r w:rsidR="00DA6FB6">
        <w:t>onvention on Psychotropic Substances</w:t>
      </w:r>
      <w:r w:rsidR="00CA3A36">
        <w:t>,</w:t>
      </w:r>
      <w:r w:rsidR="00610068">
        <w:t xml:space="preserve"> must have an export permit</w:t>
      </w:r>
      <w:r w:rsidRPr="00F66ABB" w:rsidR="00F66ABB">
        <w:t>.</w:t>
      </w:r>
      <w:r>
        <w:t xml:space="preserve"> </w:t>
      </w:r>
      <w:r w:rsidR="000E4103">
        <w:t xml:space="preserve"> </w:t>
      </w:r>
      <w:r>
        <w:t>To obtain the</w:t>
      </w:r>
      <w:r w:rsidR="00D63AFA">
        <w:t xml:space="preserve"> export</w:t>
      </w:r>
      <w:r>
        <w:t xml:space="preserve"> permit, an application for </w:t>
      </w:r>
      <w:r w:rsidR="00D63AFA">
        <w:t xml:space="preserve">the </w:t>
      </w:r>
      <w:r>
        <w:t>permit must</w:t>
      </w:r>
      <w:r w:rsidR="00610068">
        <w:t xml:space="preserve"> </w:t>
      </w:r>
      <w:r>
        <w:t xml:space="preserve">be made </w:t>
      </w:r>
      <w:r w:rsidR="000E4103">
        <w:t xml:space="preserve">by electronic filing </w:t>
      </w:r>
      <w:r>
        <w:t xml:space="preserve">to DEA on DEA Form 161 for exports, DEA Form </w:t>
      </w:r>
      <w:r w:rsidR="002110E3">
        <w:t xml:space="preserve">161R </w:t>
      </w:r>
      <w:r>
        <w:t>for re</w:t>
      </w:r>
      <w:r w:rsidR="005B1B1E">
        <w:t>-</w:t>
      </w:r>
      <w:r>
        <w:t>exports</w:t>
      </w:r>
      <w:r w:rsidR="00671088">
        <w:t xml:space="preserve"> to </w:t>
      </w:r>
      <w:r w:rsidR="000E4103">
        <w:t xml:space="preserve">countries that are not </w:t>
      </w:r>
      <w:r w:rsidR="00671088">
        <w:t>members</w:t>
      </w:r>
      <w:r w:rsidR="000E4103">
        <w:t xml:space="preserve"> of the European Economic Area, and Form 161R-EEA for re</w:t>
      </w:r>
      <w:r w:rsidR="005B1B1E">
        <w:t>-</w:t>
      </w:r>
      <w:r w:rsidR="000E4103">
        <w:t>exports among members of the European Economic Area</w:t>
      </w:r>
      <w:r w:rsidR="00192601">
        <w:t>.</w:t>
      </w:r>
    </w:p>
    <w:p w:rsidR="00192601" w:rsidP="00C875F3" w:rsidRDefault="00192601" w14:paraId="2A0CCBA2" w14:textId="77777777"/>
    <w:p w:rsidRPr="000D136C" w:rsidR="009E3133" w:rsidP="000D136C" w:rsidRDefault="000D136C" w14:paraId="7FCE5823" w14:textId="77777777">
      <w:pPr>
        <w:rPr>
          <w:u w:val="single"/>
        </w:rPr>
      </w:pPr>
      <w:r>
        <w:t xml:space="preserve">2.  </w:t>
      </w:r>
      <w:r w:rsidRPr="000D136C" w:rsidR="006112F5">
        <w:rPr>
          <w:u w:val="single"/>
        </w:rPr>
        <w:t xml:space="preserve">Needs and Uses: </w:t>
      </w:r>
    </w:p>
    <w:p w:rsidR="009E3133" w:rsidP="009E3133" w:rsidRDefault="009E3133" w14:paraId="2A183858" w14:textId="77777777"/>
    <w:p w:rsidR="00DA17E9" w:rsidP="00DA17E9" w:rsidRDefault="00DA6FB6" w14:paraId="7E3644BB" w14:textId="61F95687">
      <w:r>
        <w:t>The</w:t>
      </w:r>
      <w:r w:rsidR="0018070A">
        <w:t>se</w:t>
      </w:r>
      <w:r>
        <w:t xml:space="preserve"> forms and the information collection help maintain a closed system of distribution.  </w:t>
      </w:r>
      <w:r w:rsidR="006112F5">
        <w:t>DEA Form 161, Application for Permit to Export Controlled Substances, DEA Form 161</w:t>
      </w:r>
      <w:r w:rsidR="00301CFA">
        <w:t>R</w:t>
      </w:r>
      <w:r w:rsidR="006112F5">
        <w:t>, Application for Permit to Export Controlled Substances for Subsequent Re</w:t>
      </w:r>
      <w:r w:rsidR="005B1B1E">
        <w:t>-</w:t>
      </w:r>
      <w:r w:rsidR="006112F5">
        <w:t>export,</w:t>
      </w:r>
      <w:r w:rsidR="00434D58">
        <w:t xml:space="preserve"> and DEA Form 161</w:t>
      </w:r>
      <w:r w:rsidR="00301CFA">
        <w:t>R</w:t>
      </w:r>
      <w:r w:rsidRPr="00434D58" w:rsidR="00434D58">
        <w:t>–</w:t>
      </w:r>
      <w:r w:rsidR="00434D58">
        <w:t xml:space="preserve">EEA, </w:t>
      </w:r>
      <w:r w:rsidRPr="00434D58" w:rsidR="00434D58">
        <w:t>Application for Permit to Export Controlled Substances for Subsequent Re</w:t>
      </w:r>
      <w:r w:rsidR="005B1B1E">
        <w:t>-</w:t>
      </w:r>
      <w:r w:rsidRPr="00434D58" w:rsidR="00434D58">
        <w:t>export Among Members of the European Economic Area</w:t>
      </w:r>
      <w:r w:rsidR="00434D58">
        <w:t>,</w:t>
      </w:r>
      <w:r w:rsidR="006112F5">
        <w:t xml:space="preserve"> are intended to </w:t>
      </w:r>
      <w:r w:rsidR="00F4037A">
        <w:t>enable DEA to monitor and control the export of certain controlled substances to other countries.  T</w:t>
      </w:r>
      <w:r w:rsidR="00D63AFA">
        <w:t>his</w:t>
      </w:r>
      <w:r w:rsidR="006112F5">
        <w:t xml:space="preserve"> information</w:t>
      </w:r>
      <w:r w:rsidR="00F4037A">
        <w:t xml:space="preserve"> is also</w:t>
      </w:r>
      <w:r w:rsidR="006112F5">
        <w:t xml:space="preserve"> necessary for</w:t>
      </w:r>
      <w:r w:rsidR="00F4037A">
        <w:t xml:space="preserve"> </w:t>
      </w:r>
      <w:r w:rsidR="006112F5">
        <w:t xml:space="preserve">DEA to prepare a Permit to Export, DEA Form </w:t>
      </w:r>
      <w:r w:rsidR="00751E68">
        <w:t>2</w:t>
      </w:r>
      <w:r w:rsidR="006112F5">
        <w:t xml:space="preserve">36, which is required </w:t>
      </w:r>
      <w:r w:rsidR="00F4037A">
        <w:t xml:space="preserve">in order to </w:t>
      </w:r>
      <w:r w:rsidR="00610068">
        <w:t xml:space="preserve">lawfully </w:t>
      </w:r>
      <w:r w:rsidR="00F4037A">
        <w:t>export</w:t>
      </w:r>
      <w:r w:rsidR="006112F5">
        <w:t xml:space="preserve"> specific controlled substances.  </w:t>
      </w:r>
      <w:r w:rsidR="00F4037A">
        <w:t>The</w:t>
      </w:r>
      <w:r w:rsidR="006112F5">
        <w:t xml:space="preserve"> permit for exportation and re</w:t>
      </w:r>
      <w:r w:rsidR="005B1B1E">
        <w:t>-</w:t>
      </w:r>
      <w:r w:rsidR="006112F5">
        <w:t>exportation of specific co</w:t>
      </w:r>
      <w:r w:rsidR="00F4037A">
        <w:t>ntrolled substances enables</w:t>
      </w:r>
      <w:r w:rsidR="006112F5">
        <w:t xml:space="preserve"> </w:t>
      </w:r>
      <w:r w:rsidR="00F4037A">
        <w:t xml:space="preserve">DEA to </w:t>
      </w:r>
      <w:r w:rsidR="006112F5">
        <w:t>enforce the Controlled Substances Import and Export Act.</w:t>
      </w:r>
      <w:r w:rsidR="00DA17E9">
        <w:br/>
      </w:r>
    </w:p>
    <w:p w:rsidRPr="00DA17E9" w:rsidR="00DA17E9" w:rsidP="000E4103" w:rsidRDefault="00192601" w14:paraId="02F7C60E" w14:textId="42CACCD0">
      <w:r>
        <w:t xml:space="preserve">Through </w:t>
      </w:r>
      <w:r w:rsidR="002644E3">
        <w:t>§ 1312.</w:t>
      </w:r>
      <w:r w:rsidR="00FD0023">
        <w:t>2</w:t>
      </w:r>
      <w:r w:rsidR="002644E3">
        <w:t>2</w:t>
      </w:r>
      <w:r w:rsidR="000E4103">
        <w:t>,</w:t>
      </w:r>
      <w:r w:rsidR="002644E3">
        <w:t xml:space="preserve"> DEA requi</w:t>
      </w:r>
      <w:r w:rsidR="00B802F3">
        <w:t>res</w:t>
      </w:r>
      <w:r w:rsidR="00F5385D">
        <w:t xml:space="preserve"> that within</w:t>
      </w:r>
      <w:r w:rsidRPr="0036766A" w:rsidR="00F5385D">
        <w:t xml:space="preserve"> </w:t>
      </w:r>
      <w:r w:rsidRPr="00DA17E9" w:rsidR="00DA17E9">
        <w:t>30 calendar days after a controlled substance is</w:t>
      </w:r>
      <w:r w:rsidR="009827E1">
        <w:t xml:space="preserve"> </w:t>
      </w:r>
      <w:r w:rsidR="009827E1">
        <w:lastRenderedPageBreak/>
        <w:t>released by a customs officer at the po</w:t>
      </w:r>
      <w:r w:rsidR="008843E5">
        <w:t>rt of export from the United States in accordance with the permitting process</w:t>
      </w:r>
      <w:r w:rsidRPr="00DA17E9" w:rsidR="00DA17E9">
        <w:t>, or within 10 calendar days after receipt of a written request by the Administration to the exporter, whichever is sooner, the exporter must</w:t>
      </w:r>
      <w:r w:rsidR="008843E5">
        <w:t xml:space="preserve"> file a report  with</w:t>
      </w:r>
      <w:r w:rsidRPr="00DA17E9" w:rsidR="00DA17E9">
        <w:t xml:space="preserve"> the Administration utilizing the secure network application available on DEA</w:t>
      </w:r>
      <w:r w:rsidR="005B1B1E">
        <w:t>’s</w:t>
      </w:r>
      <w:r w:rsidRPr="00DA17E9" w:rsidR="00DA17E9">
        <w:t xml:space="preserve"> Diversion Control </w:t>
      </w:r>
      <w:r w:rsidR="005B1B1E">
        <w:t xml:space="preserve">Division </w:t>
      </w:r>
      <w:r w:rsidRPr="00DA17E9" w:rsidR="00DA17E9">
        <w:t xml:space="preserve">Web site that such export has occurred and the specifics of the transaction.  The report must include information relating to key dates of the transaction(s) and actual quantities involved in the export process. </w:t>
      </w:r>
    </w:p>
    <w:p w:rsidR="00DA17E9" w:rsidRDefault="00DA17E9" w14:paraId="7675ADF9" w14:textId="77777777"/>
    <w:p w:rsidR="0036766A" w:rsidRDefault="0036766A" w14:paraId="1BA00DB7" w14:textId="55560F93">
      <w:r w:rsidRPr="0036766A">
        <w:t>DEA Form 161R–EEA, “Application for Permit to Export Controlled Substances for Subsequent Re</w:t>
      </w:r>
      <w:r w:rsidR="00E82AEC">
        <w:t>-</w:t>
      </w:r>
      <w:r w:rsidRPr="0036766A">
        <w:t xml:space="preserve">export Among Members of the European Economic Area,” </w:t>
      </w:r>
      <w:r w:rsidR="00192601">
        <w:t>is</w:t>
      </w:r>
      <w:r w:rsidRPr="0036766A">
        <w:t xml:space="preserve"> used by registrants who export controlled substances for re</w:t>
      </w:r>
      <w:r w:rsidR="00E82AEC">
        <w:t>-</w:t>
      </w:r>
      <w:r w:rsidRPr="0036766A">
        <w:t xml:space="preserve">export among members of the European Economic Area.  </w:t>
      </w:r>
      <w:r w:rsidR="00FD0023">
        <w:t>Specifically, in</w:t>
      </w:r>
      <w:r w:rsidR="00EF72A6">
        <w:t xml:space="preserve"> </w:t>
      </w:r>
      <w:r w:rsidRPr="0036766A">
        <w:t>§ 1312.22</w:t>
      </w:r>
      <w:r w:rsidR="009827E1">
        <w:t>,</w:t>
      </w:r>
      <w:r w:rsidR="00FD0023">
        <w:t xml:space="preserve"> DEA is requir</w:t>
      </w:r>
      <w:r w:rsidR="00192601">
        <w:t>es</w:t>
      </w:r>
      <w:r w:rsidRPr="0036766A">
        <w:t xml:space="preserve"> within 30 calendar days after the controlled substance is released by a customs off</w:t>
      </w:r>
      <w:r w:rsidR="00FD0023">
        <w:t>ic</w:t>
      </w:r>
      <w:r w:rsidRPr="0036766A">
        <w:t>er at the port of export the exporter</w:t>
      </w:r>
      <w:r w:rsidR="00192601">
        <w:t xml:space="preserve"> to</w:t>
      </w:r>
      <w:r w:rsidRPr="0036766A">
        <w:t xml:space="preserve"> file a report with the Administration through DEA</w:t>
      </w:r>
      <w:r w:rsidR="001A6315">
        <w:t>’s</w:t>
      </w:r>
      <w:r w:rsidRPr="0036766A">
        <w:t xml:space="preserve"> Diversion Control </w:t>
      </w:r>
      <w:r w:rsidR="00192601">
        <w:t xml:space="preserve">Division </w:t>
      </w:r>
      <w:r w:rsidRPr="0036766A">
        <w:t>secure network application</w:t>
      </w:r>
      <w:r w:rsidR="00B96B9C">
        <w:t xml:space="preserve"> of the particulars of the transaction.</w:t>
      </w:r>
      <w:r w:rsidRPr="0036766A">
        <w:t xml:space="preserve">  </w:t>
      </w:r>
      <w:r w:rsidR="00E82AEC">
        <w:t>Furthermore,</w:t>
      </w:r>
      <w:r w:rsidR="000E4103">
        <w:t xml:space="preserve"> t</w:t>
      </w:r>
      <w:r w:rsidRPr="0036766A">
        <w:t>he exporter must</w:t>
      </w:r>
      <w:r w:rsidR="00E82AEC">
        <w:t xml:space="preserve"> </w:t>
      </w:r>
      <w:r w:rsidRPr="0036766A">
        <w:t>file</w:t>
      </w:r>
      <w:r w:rsidR="00C94BCE">
        <w:t xml:space="preserve"> </w:t>
      </w:r>
      <w:r w:rsidRPr="0036766A">
        <w:t>similar</w:t>
      </w:r>
      <w:r w:rsidR="00FD0023">
        <w:t xml:space="preserve"> </w:t>
      </w:r>
      <w:r w:rsidRPr="0036766A">
        <w:t>return information within 30 days of the controlled substances being exported from the first country to the second country</w:t>
      </w:r>
      <w:r w:rsidR="009827E1">
        <w:t xml:space="preserve"> </w:t>
      </w:r>
      <w:r w:rsidRPr="0036766A">
        <w:t>and for each subsequent re</w:t>
      </w:r>
      <w:r w:rsidR="005B1B1E">
        <w:t>-</w:t>
      </w:r>
      <w:r w:rsidRPr="0036766A">
        <w:t xml:space="preserve">export among members of the European Economic Area.  </w:t>
      </w:r>
    </w:p>
    <w:p w:rsidR="006112F5" w:rsidP="006112F5" w:rsidRDefault="006112F5" w14:paraId="7E4B1683" w14:textId="658DFD57"/>
    <w:p w:rsidRPr="000D136C" w:rsidR="009E3133" w:rsidP="000D136C" w:rsidRDefault="000D136C" w14:paraId="21AB9E98" w14:textId="65F43C35">
      <w:pPr>
        <w:rPr>
          <w:u w:val="single"/>
        </w:rPr>
      </w:pPr>
      <w:r>
        <w:t>3</w:t>
      </w:r>
      <w:r w:rsidR="005B1B1E">
        <w:t>.</w:t>
      </w:r>
      <w:r>
        <w:t xml:space="preserve">  </w:t>
      </w:r>
      <w:r w:rsidRPr="000D136C" w:rsidR="006112F5">
        <w:rPr>
          <w:u w:val="single"/>
        </w:rPr>
        <w:t xml:space="preserve">Use of </w:t>
      </w:r>
      <w:r w:rsidRPr="000D136C" w:rsidR="007455EE">
        <w:rPr>
          <w:u w:val="single"/>
        </w:rPr>
        <w:t xml:space="preserve">Information </w:t>
      </w:r>
      <w:r w:rsidRPr="000D136C" w:rsidR="006112F5">
        <w:rPr>
          <w:u w:val="single"/>
        </w:rPr>
        <w:t xml:space="preserve">Technology: </w:t>
      </w:r>
    </w:p>
    <w:p w:rsidR="009E5237" w:rsidP="009E3133" w:rsidRDefault="009E5237" w14:paraId="4FF00290" w14:textId="77777777"/>
    <w:p w:rsidRPr="00603E79" w:rsidR="001E3769" w:rsidRDefault="008460A0" w14:paraId="2ADB4ABB" w14:textId="1A9B984D">
      <w:r>
        <w:t>Pursuant to</w:t>
      </w:r>
      <w:r w:rsidRPr="00603E79" w:rsidR="00603E79">
        <w:t xml:space="preserve"> §</w:t>
      </w:r>
      <w:r w:rsidR="00603E79">
        <w:t> 1312.2</w:t>
      </w:r>
      <w:r w:rsidRPr="00603E79" w:rsidR="00603E79">
        <w:t>2</w:t>
      </w:r>
      <w:r w:rsidR="00E82AEC">
        <w:t>, DEA requires</w:t>
      </w:r>
      <w:r>
        <w:t xml:space="preserve"> a</w:t>
      </w:r>
      <w:r w:rsidRPr="00603E79" w:rsidR="00603E79">
        <w:t xml:space="preserve">pplicants for a permit to </w:t>
      </w:r>
      <w:r w:rsidR="001E3769">
        <w:t>export</w:t>
      </w:r>
      <w:r w:rsidRPr="00603E79" w:rsidR="00603E79">
        <w:t xml:space="preserve"> controlled substances</w:t>
      </w:r>
      <w:r w:rsidR="00E82AEC">
        <w:t xml:space="preserve"> to</w:t>
      </w:r>
      <w:r w:rsidRPr="00603E79" w:rsidR="00603E79">
        <w:t xml:space="preserve">  access, complete, and submit DEA Form</w:t>
      </w:r>
      <w:r w:rsidR="002A7A88">
        <w:t>s</w:t>
      </w:r>
      <w:r w:rsidRPr="00603E79" w:rsidR="00603E79">
        <w:t xml:space="preserve"> </w:t>
      </w:r>
      <w:r w:rsidR="00603E79">
        <w:t>161</w:t>
      </w:r>
      <w:r w:rsidR="002A7A88">
        <w:t>,</w:t>
      </w:r>
      <w:r w:rsidR="00603E79">
        <w:t xml:space="preserve"> 161</w:t>
      </w:r>
      <w:r w:rsidR="002A7A88">
        <w:t>R</w:t>
      </w:r>
      <w:r w:rsidRPr="00603E79" w:rsidR="00603E79">
        <w:t>,</w:t>
      </w:r>
      <w:r w:rsidR="002A7A88">
        <w:t xml:space="preserve"> and 161R-EEA, and associated return information,</w:t>
      </w:r>
      <w:r w:rsidRPr="00603E79" w:rsidR="00603E79">
        <w:t xml:space="preserve"> as appropriate, through DEA</w:t>
      </w:r>
      <w:r w:rsidR="005B1B1E">
        <w:t>’s</w:t>
      </w:r>
      <w:r w:rsidRPr="00603E79" w:rsidR="00603E79">
        <w:t xml:space="preserve"> Diversion Con</w:t>
      </w:r>
      <w:r w:rsidR="00997CAA">
        <w:t xml:space="preserve">trol </w:t>
      </w:r>
      <w:r w:rsidR="005B1B1E">
        <w:t xml:space="preserve">Diversion </w:t>
      </w:r>
      <w:r w:rsidR="00997CAA">
        <w:t>secure network application</w:t>
      </w:r>
      <w:r w:rsidRPr="00603E79" w:rsidR="00603E79">
        <w:t xml:space="preserve">.  </w:t>
      </w:r>
      <w:r w:rsidR="001A6315">
        <w:t>Currently,</w:t>
      </w:r>
      <w:r>
        <w:t xml:space="preserve"> 100% of DEA Forms 161, 161R, and 161R-EEA </w:t>
      </w:r>
      <w:r w:rsidR="001A6315">
        <w:t>are</w:t>
      </w:r>
      <w:r>
        <w:t xml:space="preserve"> submitted electronically.</w:t>
      </w:r>
    </w:p>
    <w:p w:rsidRPr="00603E79" w:rsidR="00603E79" w:rsidP="00603E79" w:rsidRDefault="00603E79" w14:paraId="39CEA0CE" w14:textId="77777777"/>
    <w:p w:rsidRPr="00603E79" w:rsidR="00603E79" w:rsidP="00603E79" w:rsidRDefault="00603E79" w14:paraId="46FBD381" w14:textId="32D05FF6">
      <w:r w:rsidRPr="00603E79">
        <w:t xml:space="preserve"> DEA transmit</w:t>
      </w:r>
      <w:r w:rsidR="008460A0">
        <w:t>s</w:t>
      </w:r>
      <w:r w:rsidRPr="00603E79">
        <w:t xml:space="preserve"> the original permit to the pertinent foreign competent national authorities</w:t>
      </w:r>
      <w:r w:rsidR="00E0663C">
        <w:t xml:space="preserve">.  The </w:t>
      </w:r>
      <w:r w:rsidRPr="00603E79">
        <w:t>“copies” issued by DEA to registrants</w:t>
      </w:r>
      <w:r w:rsidR="00E0663C">
        <w:t xml:space="preserve"> are</w:t>
      </w:r>
      <w:r w:rsidRPr="00603E79">
        <w:t xml:space="preserve"> only</w:t>
      </w:r>
      <w:r w:rsidR="00E0663C">
        <w:t xml:space="preserve"> </w:t>
      </w:r>
      <w:r w:rsidRPr="00603E79">
        <w:t xml:space="preserve">accessible through DEA Diversion Control </w:t>
      </w:r>
      <w:r w:rsidR="005B1B1E">
        <w:t xml:space="preserve">Division’s </w:t>
      </w:r>
      <w:r w:rsidRPr="00603E79">
        <w:t xml:space="preserve">secure network application.  </w:t>
      </w:r>
    </w:p>
    <w:p w:rsidR="006112F5" w:rsidP="006112F5" w:rsidRDefault="006112F5" w14:paraId="45EDDF71" w14:textId="77777777">
      <w:pPr>
        <w:pStyle w:val="1"/>
        <w:numPr>
          <w:ilvl w:val="0"/>
          <w:numId w:val="0"/>
        </w:numPr>
        <w:tabs>
          <w:tab w:val="left" w:pos="-1440"/>
        </w:tabs>
      </w:pPr>
    </w:p>
    <w:p w:rsidRPr="000D136C" w:rsidR="009E3133" w:rsidP="000D136C" w:rsidRDefault="000D136C" w14:paraId="51A1DB40" w14:textId="77777777">
      <w:pPr>
        <w:rPr>
          <w:u w:val="single"/>
        </w:rPr>
      </w:pPr>
      <w:r>
        <w:t xml:space="preserve">4.  </w:t>
      </w:r>
      <w:r w:rsidRPr="000D136C" w:rsidR="006112F5">
        <w:rPr>
          <w:u w:val="single"/>
        </w:rPr>
        <w:t xml:space="preserve">Efforts to Identify Duplication: </w:t>
      </w:r>
    </w:p>
    <w:p w:rsidR="009E3133" w:rsidP="009E3133" w:rsidRDefault="009E3133" w14:paraId="496500FD" w14:textId="77777777"/>
    <w:p w:rsidR="006112F5" w:rsidP="006112F5" w:rsidRDefault="009F539A" w14:paraId="42E3C27A" w14:textId="6B3F2910">
      <w:r w:rsidRPr="009F539A">
        <w:t xml:space="preserve">DEA has made efforts to identify and prevent duplication of the </w:t>
      </w:r>
      <w:r>
        <w:t>collection</w:t>
      </w:r>
      <w:r w:rsidRPr="009F539A">
        <w:t xml:space="preserve"> of information.  </w:t>
      </w:r>
      <w:r w:rsidR="005B1B1E">
        <w:t>D</w:t>
      </w:r>
      <w:r w:rsidRPr="009F539A">
        <w:t>EA Form</w:t>
      </w:r>
      <w:r>
        <w:t>s</w:t>
      </w:r>
      <w:r w:rsidRPr="009F539A">
        <w:t xml:space="preserve"> </w:t>
      </w:r>
      <w:r>
        <w:t>161</w:t>
      </w:r>
      <w:r w:rsidR="005B1B1E">
        <w:t xml:space="preserve">, </w:t>
      </w:r>
      <w:r>
        <w:t>161</w:t>
      </w:r>
      <w:r w:rsidR="005B1B1E">
        <w:t>R, 161R-EEA</w:t>
      </w:r>
      <w:r w:rsidRPr="009F539A">
        <w:t xml:space="preserve"> </w:t>
      </w:r>
      <w:r>
        <w:t>are</w:t>
      </w:r>
      <w:r w:rsidRPr="009F539A">
        <w:t xml:space="preserve"> not dupli</w:t>
      </w:r>
      <w:r w:rsidR="00F4037A">
        <w:t>cative</w:t>
      </w:r>
      <w:r w:rsidRPr="009F539A">
        <w:t xml:space="preserve">. </w:t>
      </w:r>
      <w:r w:rsidR="005B1B1E">
        <w:t xml:space="preserve"> </w:t>
      </w:r>
      <w:r w:rsidR="001E3769">
        <w:t xml:space="preserve">The </w:t>
      </w:r>
      <w:r w:rsidRPr="009F539A">
        <w:t>collection of this information is unique to DEA.</w:t>
      </w:r>
    </w:p>
    <w:p w:rsidR="006112F5" w:rsidP="006112F5" w:rsidRDefault="006112F5" w14:paraId="36A8909F" w14:textId="77777777"/>
    <w:p w:rsidRPr="000D136C" w:rsidR="009E3133" w:rsidP="000D136C" w:rsidRDefault="000D136C" w14:paraId="7BC0F67B" w14:textId="77777777">
      <w:pPr>
        <w:rPr>
          <w:u w:val="single"/>
        </w:rPr>
      </w:pPr>
      <w:r w:rsidRPr="000D136C">
        <w:t>5</w:t>
      </w:r>
      <w:r>
        <w:t xml:space="preserve">.  </w:t>
      </w:r>
      <w:r w:rsidRPr="00EF72A6" w:rsidR="007455EE">
        <w:rPr>
          <w:u w:val="single"/>
        </w:rPr>
        <w:t>Impact o</w:t>
      </w:r>
      <w:r w:rsidRPr="000D136C" w:rsidR="007455EE">
        <w:rPr>
          <w:u w:val="single"/>
        </w:rPr>
        <w:t>n Small Businesses or Entities</w:t>
      </w:r>
      <w:r w:rsidRPr="000D136C" w:rsidR="006112F5">
        <w:rPr>
          <w:u w:val="single"/>
        </w:rPr>
        <w:t>:</w:t>
      </w:r>
    </w:p>
    <w:p w:rsidR="009E3133" w:rsidP="009E3133" w:rsidRDefault="009E3133" w14:paraId="34BCBAE7" w14:textId="77777777"/>
    <w:p w:rsidR="006112F5" w:rsidP="006112F5" w:rsidRDefault="001E3769" w14:paraId="475B1140" w14:textId="71174D8F">
      <w:r w:rsidRPr="001E3769">
        <w:t>DEA</w:t>
      </w:r>
      <w:r w:rsidR="00FE1AC1">
        <w:t xml:space="preserve"> does not anticipate any additional impact on small business or other small entities since the last approval of this form.  The rev</w:t>
      </w:r>
      <w:r w:rsidR="00415360">
        <w:t xml:space="preserve">ised collection will not have </w:t>
      </w:r>
      <w:r w:rsidR="00696EAE">
        <w:t>a</w:t>
      </w:r>
      <w:r w:rsidR="00415360">
        <w:t xml:space="preserve"> significant economic impact on small business or other small entities within the meaning and intent of the Regulatory Flexibility Act, 5 U.S.C. 601-612. </w:t>
      </w:r>
    </w:p>
    <w:p w:rsidR="00DA6FB6" w:rsidP="006112F5" w:rsidRDefault="00DA6FB6" w14:paraId="0BB19C38" w14:textId="77777777"/>
    <w:p w:rsidRPr="000D136C" w:rsidR="009E3133" w:rsidP="000D136C" w:rsidRDefault="000D136C" w14:paraId="37C2CD43" w14:textId="77777777">
      <w:pPr>
        <w:rPr>
          <w:u w:val="single"/>
        </w:rPr>
      </w:pPr>
      <w:r>
        <w:t xml:space="preserve">6. </w:t>
      </w:r>
      <w:r w:rsidR="001B0255">
        <w:t xml:space="preserve"> </w:t>
      </w:r>
      <w:r w:rsidRPr="000D136C" w:rsidR="006112F5">
        <w:rPr>
          <w:u w:val="single"/>
        </w:rPr>
        <w:t>Consequences of Less Frequent Collection:</w:t>
      </w:r>
    </w:p>
    <w:p w:rsidR="009E3133" w:rsidP="009E3133" w:rsidRDefault="009E3133" w14:paraId="474950AA" w14:textId="77777777"/>
    <w:p w:rsidR="006112F5" w:rsidP="009E3133" w:rsidRDefault="006112F5" w14:paraId="62A874FA" w14:textId="6A847C61">
      <w:r>
        <w:t>Information is provided by registrants each time registrants propose to export or re</w:t>
      </w:r>
      <w:r w:rsidR="008460A0">
        <w:t>-</w:t>
      </w:r>
      <w:r>
        <w:t>export</w:t>
      </w:r>
      <w:r w:rsidR="00DA6FB6">
        <w:t xml:space="preserve"> certain</w:t>
      </w:r>
      <w:r>
        <w:t xml:space="preserve"> </w:t>
      </w:r>
      <w:r>
        <w:lastRenderedPageBreak/>
        <w:t xml:space="preserve">controlled substances and therefore cannot be collected </w:t>
      </w:r>
      <w:r w:rsidR="00106DDE">
        <w:t>less frequently</w:t>
      </w:r>
      <w:r w:rsidRPr="00106DDE" w:rsidR="00106DDE">
        <w:t>.</w:t>
      </w:r>
      <w:r w:rsidR="00106DDE">
        <w:t xml:space="preserve">  T</w:t>
      </w:r>
      <w:r w:rsidRPr="00106DDE" w:rsidR="00106DDE">
        <w:t xml:space="preserve">he Attorney General may authorize any controlled substance that is in schedule I or II, or is a narcotic drug in schedule III or IV, to be exported from the United States to a country for subsequent export from </w:t>
      </w:r>
      <w:r w:rsidR="00106DDE">
        <w:t xml:space="preserve">that country to another country.  </w:t>
      </w:r>
      <w:r w:rsidRPr="00106DDE" w:rsidR="00106DDE">
        <w:rPr>
          <w:color w:val="000000"/>
          <w:szCs w:val="24"/>
        </w:rPr>
        <w:t>Within 30 days after the controlled substance is exported from the first country to the second country, the person who exported the controlled substance from the United States delivers to the Attorney General documentation certifying that such export from the first country has occurred.</w:t>
      </w:r>
      <w:r w:rsidR="00106DDE">
        <w:rPr>
          <w:color w:val="000000"/>
          <w:szCs w:val="24"/>
        </w:rPr>
        <w:t xml:space="preserve">  21 USC 953(f)(6).  </w:t>
      </w:r>
      <w:r w:rsidRPr="009E3133">
        <w:rPr>
          <w:color w:val="000000"/>
          <w:szCs w:val="24"/>
        </w:rPr>
        <w:t xml:space="preserve">This is </w:t>
      </w:r>
      <w:r w:rsidR="009D5C76">
        <w:rPr>
          <w:color w:val="000000"/>
          <w:szCs w:val="24"/>
        </w:rPr>
        <w:t>required by statute.</w:t>
      </w:r>
      <w:r w:rsidRPr="00106DDE" w:rsidR="00106DDE">
        <w:t xml:space="preserve"> </w:t>
      </w:r>
      <w:r>
        <w:t>Failure to collect the information would impair DEA’s enforcement of the statute and compliance with requirements under international treaties.  Businesses and other for-profit entities participating in this information collection maintain the requested data as part of usual and customary business practice</w:t>
      </w:r>
      <w:r w:rsidR="009D5C76">
        <w:t>s</w:t>
      </w:r>
      <w:r>
        <w:t>.</w:t>
      </w:r>
    </w:p>
    <w:p w:rsidR="006112F5" w:rsidP="006112F5" w:rsidRDefault="006112F5" w14:paraId="739C983F" w14:textId="77777777"/>
    <w:p w:rsidRPr="009E3133" w:rsidR="009E3133" w:rsidP="001B0255" w:rsidRDefault="001B0255" w14:paraId="5989ABA3" w14:textId="77777777">
      <w:pPr>
        <w:pStyle w:val="1"/>
        <w:numPr>
          <w:ilvl w:val="0"/>
          <w:numId w:val="0"/>
        </w:numPr>
        <w:tabs>
          <w:tab w:val="left" w:pos="-1440"/>
        </w:tabs>
        <w:rPr>
          <w:u w:val="single"/>
        </w:rPr>
      </w:pPr>
      <w:r w:rsidRPr="001B0255">
        <w:t>7.</w:t>
      </w:r>
      <w:r>
        <w:t xml:space="preserve">  </w:t>
      </w:r>
      <w:r w:rsidRPr="009E3133" w:rsidR="006112F5">
        <w:rPr>
          <w:u w:val="single"/>
        </w:rPr>
        <w:t>Special Circumstances Influencing Collection:</w:t>
      </w:r>
    </w:p>
    <w:p w:rsidR="009E3133" w:rsidP="009E3133" w:rsidRDefault="009E3133" w14:paraId="118A64B5" w14:textId="77777777">
      <w:pPr>
        <w:pStyle w:val="1"/>
        <w:numPr>
          <w:ilvl w:val="0"/>
          <w:numId w:val="0"/>
        </w:numPr>
        <w:tabs>
          <w:tab w:val="left" w:pos="-1440"/>
        </w:tabs>
        <w:ind w:left="720" w:hanging="720"/>
      </w:pPr>
    </w:p>
    <w:p w:rsidR="006112F5" w:rsidP="009E3133" w:rsidRDefault="006112F5" w14:paraId="05463B17" w14:textId="77777777">
      <w:pPr>
        <w:pStyle w:val="1"/>
        <w:numPr>
          <w:ilvl w:val="0"/>
          <w:numId w:val="0"/>
        </w:numPr>
        <w:tabs>
          <w:tab w:val="left" w:pos="-1440"/>
        </w:tabs>
        <w:ind w:left="720" w:hanging="720"/>
      </w:pPr>
      <w:r>
        <w:t>There are no special circumstances applicable to this information collection.</w:t>
      </w:r>
    </w:p>
    <w:p w:rsidR="006112F5" w:rsidP="006112F5" w:rsidRDefault="006112F5" w14:paraId="725591D5" w14:textId="77777777"/>
    <w:p w:rsidRPr="001B0255" w:rsidR="009E3133" w:rsidP="001B0255" w:rsidRDefault="001B0255" w14:paraId="57C88639" w14:textId="77777777">
      <w:pPr>
        <w:rPr>
          <w:u w:val="single"/>
        </w:rPr>
      </w:pPr>
      <w:r>
        <w:t xml:space="preserve">8.  </w:t>
      </w:r>
      <w:r w:rsidRPr="001B0255" w:rsidR="002F1A06">
        <w:rPr>
          <w:u w:val="single"/>
        </w:rPr>
        <w:t>Consultation with persons outside the Agency:</w:t>
      </w:r>
    </w:p>
    <w:p w:rsidR="009E3133" w:rsidP="009E3133" w:rsidRDefault="009E3133" w14:paraId="42D21DA3" w14:textId="77777777"/>
    <w:p w:rsidR="00415360" w:rsidP="00415360" w:rsidRDefault="00901959" w14:paraId="11C7C365" w14:textId="43DA4E22">
      <w:r>
        <w:t>Public comment was solicited in t</w:t>
      </w:r>
      <w:r w:rsidR="00415360">
        <w:t xml:space="preserve">he </w:t>
      </w:r>
      <w:r w:rsidR="008460A0">
        <w:t>6</w:t>
      </w:r>
      <w:r>
        <w:t>0-</w:t>
      </w:r>
      <w:r w:rsidR="008460A0">
        <w:t>Day</w:t>
      </w:r>
      <w:r>
        <w:t xml:space="preserve"> Notice of Information Collection</w:t>
      </w:r>
      <w:r w:rsidR="00415360">
        <w:t xml:space="preserve"> published </w:t>
      </w:r>
      <w:r w:rsidR="009E13E7">
        <w:t xml:space="preserve">in the </w:t>
      </w:r>
      <w:r w:rsidR="009E13E7">
        <w:rPr>
          <w:i/>
        </w:rPr>
        <w:t xml:space="preserve">Federal Register </w:t>
      </w:r>
      <w:r w:rsidR="00415360">
        <w:t>at 8</w:t>
      </w:r>
      <w:r>
        <w:t xml:space="preserve">5 </w:t>
      </w:r>
      <w:r w:rsidR="00415360">
        <w:t xml:space="preserve">FR </w:t>
      </w:r>
      <w:r>
        <w:t>34240</w:t>
      </w:r>
      <w:r w:rsidR="00415360">
        <w:t xml:space="preserve">, on </w:t>
      </w:r>
      <w:r>
        <w:t>June</w:t>
      </w:r>
      <w:r w:rsidR="00415360">
        <w:t xml:space="preserve"> </w:t>
      </w:r>
      <w:r>
        <w:t>3</w:t>
      </w:r>
      <w:r w:rsidR="00415360">
        <w:t>, 20</w:t>
      </w:r>
      <w:r>
        <w:t>20</w:t>
      </w:r>
      <w:r w:rsidR="00415360">
        <w:t xml:space="preserve">.  DEA received </w:t>
      </w:r>
      <w:r w:rsidR="00281FFE">
        <w:t>no</w:t>
      </w:r>
      <w:r w:rsidR="00415360">
        <w:t xml:space="preserve"> comments concerning this collection.</w:t>
      </w:r>
      <w:r>
        <w:t xml:space="preserve">  DEA has also published a 30-Day Federal Register Notice of Information Collection </w:t>
      </w:r>
      <w:r w:rsidRPr="00B802F3">
        <w:t xml:space="preserve">on August </w:t>
      </w:r>
      <w:r w:rsidR="00B802F3">
        <w:t>10</w:t>
      </w:r>
      <w:r w:rsidRPr="00B802F3">
        <w:t xml:space="preserve">, 2020 at 85 FR </w:t>
      </w:r>
      <w:r w:rsidR="00B802F3">
        <w:t>48267</w:t>
      </w:r>
      <w:r w:rsidRPr="00B802F3">
        <w:t>.</w:t>
      </w:r>
    </w:p>
    <w:p w:rsidR="00415360" w:rsidP="006112F5" w:rsidRDefault="00415360" w14:paraId="3FC8499B" w14:textId="77777777"/>
    <w:p w:rsidR="00DA0228" w:rsidP="006112F5" w:rsidRDefault="00DA0228" w14:paraId="01BC9EC5" w14:textId="238F92A7">
      <w:r w:rsidRPr="00DA0228">
        <w:t>DEA meets regularly with the affected industry to discuss policies, programs, and regulations.  These meetings provide an open forum to dis</w:t>
      </w:r>
      <w:r w:rsidR="0023249F">
        <w:t xml:space="preserve">cuss matters of mutual concern </w:t>
      </w:r>
      <w:r w:rsidRPr="00DA0228">
        <w:t>with representatives of those</w:t>
      </w:r>
      <w:r w:rsidR="0023249F">
        <w:t xml:space="preserve"> entities</w:t>
      </w:r>
      <w:r w:rsidRPr="00DA0228">
        <w:t xml:space="preserve"> from whom the information is obtained.</w:t>
      </w:r>
    </w:p>
    <w:p w:rsidR="00DA0228" w:rsidP="006112F5" w:rsidRDefault="00DA0228" w14:paraId="3C23AEC7" w14:textId="77777777"/>
    <w:p w:rsidRPr="001B0255" w:rsidR="009E3133" w:rsidP="001B0255" w:rsidRDefault="00112E05" w14:paraId="3FF4DF83" w14:textId="77777777">
      <w:pPr>
        <w:rPr>
          <w:u w:val="single"/>
        </w:rPr>
      </w:pPr>
      <w:r w:rsidRPr="00112E05">
        <w:t>9.</w:t>
      </w:r>
      <w:r>
        <w:t xml:space="preserve">  </w:t>
      </w:r>
      <w:r w:rsidRPr="001B0255" w:rsidR="006112F5">
        <w:rPr>
          <w:u w:val="single"/>
        </w:rPr>
        <w:t xml:space="preserve">Payment or Gift to Claimants: </w:t>
      </w:r>
    </w:p>
    <w:p w:rsidR="009E3133" w:rsidP="009E3133" w:rsidRDefault="009E3133" w14:paraId="302F7F8E" w14:textId="77777777"/>
    <w:p w:rsidR="006112F5" w:rsidP="006112F5" w:rsidRDefault="009F539A" w14:paraId="293D31B2" w14:textId="77777777">
      <w:pPr>
        <w:pStyle w:val="1"/>
        <w:numPr>
          <w:ilvl w:val="0"/>
          <w:numId w:val="0"/>
        </w:numPr>
        <w:tabs>
          <w:tab w:val="left" w:pos="-1440"/>
        </w:tabs>
      </w:pPr>
      <w:r w:rsidRPr="009F539A">
        <w:t>This collection of information does not propose to provide any payment or gift to respondents.</w:t>
      </w:r>
    </w:p>
    <w:p w:rsidR="006112F5" w:rsidP="006112F5" w:rsidRDefault="006112F5" w14:paraId="2BA83B9A" w14:textId="77777777"/>
    <w:p w:rsidRPr="00112E05" w:rsidR="009E3133" w:rsidP="00112E05" w:rsidRDefault="00112E05" w14:paraId="700356CA" w14:textId="77777777">
      <w:pPr>
        <w:rPr>
          <w:u w:val="single"/>
        </w:rPr>
      </w:pPr>
      <w:r w:rsidRPr="00112E05">
        <w:t>10.</w:t>
      </w:r>
      <w:r>
        <w:t xml:space="preserve"> </w:t>
      </w:r>
      <w:r w:rsidRPr="00112E05" w:rsidR="000D136C">
        <w:rPr>
          <w:u w:val="single"/>
        </w:rPr>
        <w:t xml:space="preserve"> </w:t>
      </w:r>
      <w:r w:rsidRPr="00112E05" w:rsidR="002E4C81">
        <w:rPr>
          <w:u w:val="single"/>
        </w:rPr>
        <w:t xml:space="preserve">Assurance of Confidentiality:  </w:t>
      </w:r>
    </w:p>
    <w:p w:rsidR="009E3133" w:rsidP="009E3133" w:rsidRDefault="009E3133" w14:paraId="4B256709" w14:textId="77777777"/>
    <w:p w:rsidR="006112F5" w:rsidP="009E3133" w:rsidRDefault="002E4C81" w14:paraId="74EEB496" w14:textId="325FE001">
      <w:r w:rsidRPr="002E4C8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w:t>
      </w:r>
      <w:r w:rsidR="00D63AFA">
        <w:t>losure of such information.  This</w:t>
      </w:r>
      <w:r w:rsidRPr="002E4C81">
        <w:t xml:space="preserve"> information is protected by</w:t>
      </w:r>
      <w:r w:rsidR="00457126">
        <w:t xml:space="preserve"> </w:t>
      </w:r>
      <w:r w:rsidRPr="002E4C81">
        <w:t>DEA through secure storage, limited acc</w:t>
      </w:r>
      <w:r w:rsidR="00B8163C">
        <w:t xml:space="preserve">ess, and federal regulatory </w:t>
      </w:r>
      <w:r w:rsidR="005A7AB2">
        <w:t>and DEA</w:t>
      </w:r>
      <w:r w:rsidRPr="002E4C81">
        <w:t xml:space="preserve"> procedures.  In the event a FOIA request is made to obtain information that has been designated</w:t>
      </w:r>
      <w:r w:rsidR="00D63AFA">
        <w:t xml:space="preserve"> </w:t>
      </w:r>
      <w:r w:rsidR="00431ED3">
        <w:t xml:space="preserve">as </w:t>
      </w:r>
      <w:r w:rsidR="00D63AFA">
        <w:t>confidential</w:t>
      </w:r>
      <w:r w:rsidRPr="002E4C81">
        <w:t xml:space="preserve"> business information </w:t>
      </w:r>
      <w:r w:rsidR="00D63AFA">
        <w:t>in accordance with</w:t>
      </w:r>
      <w:r w:rsidRPr="002E4C81">
        <w:t xml:space="preserve"> 28 CFR 16.8(c) and Exemption 4 of FOIA, DEA will give written notice to the submitter to allow an opportunity to object within a reasonable time prior to any disclosure by</w:t>
      </w:r>
      <w:r w:rsidR="00457126">
        <w:t xml:space="preserve"> </w:t>
      </w:r>
      <w:r w:rsidRPr="002E4C81">
        <w:t>DEA.</w:t>
      </w:r>
    </w:p>
    <w:p w:rsidR="002E4C81" w:rsidP="006112F5" w:rsidRDefault="002E4C81" w14:paraId="0492C30D" w14:textId="77777777"/>
    <w:p w:rsidRPr="00112E05" w:rsidR="009E3133" w:rsidP="00112E05" w:rsidRDefault="00112E05" w14:paraId="0D517436" w14:textId="77777777">
      <w:pPr>
        <w:rPr>
          <w:u w:val="single"/>
        </w:rPr>
      </w:pPr>
      <w:r w:rsidRPr="00112E05">
        <w:t>11</w:t>
      </w:r>
      <w:r>
        <w:t xml:space="preserve">. </w:t>
      </w:r>
      <w:r w:rsidRPr="00112E05" w:rsidR="000D136C">
        <w:rPr>
          <w:u w:val="single"/>
        </w:rPr>
        <w:t xml:space="preserve"> </w:t>
      </w:r>
      <w:r w:rsidRPr="00112E05" w:rsidR="006112F5">
        <w:rPr>
          <w:u w:val="single"/>
        </w:rPr>
        <w:t xml:space="preserve">Justification for Sensitive Questions: </w:t>
      </w:r>
    </w:p>
    <w:p w:rsidR="009E3133" w:rsidP="009E3133" w:rsidRDefault="009E3133" w14:paraId="08E3EEB9" w14:textId="77777777"/>
    <w:p w:rsidR="009E3133" w:rsidP="006112F5" w:rsidRDefault="007455EE" w14:paraId="2B49DE0A" w14:textId="77777777">
      <w:r w:rsidRPr="007455EE">
        <w:lastRenderedPageBreak/>
        <w:t xml:space="preserve">This collection of information does not ask any questions of a sensitive nature.  </w:t>
      </w:r>
    </w:p>
    <w:p w:rsidR="009E3133" w:rsidP="006112F5" w:rsidRDefault="009E3133" w14:paraId="4BD7ED44" w14:textId="77777777"/>
    <w:p w:rsidRPr="00112E05" w:rsidR="006112F5" w:rsidP="00112E05" w:rsidRDefault="00112E05" w14:paraId="35B6160E" w14:textId="77777777">
      <w:pPr>
        <w:rPr>
          <w:u w:val="single"/>
        </w:rPr>
      </w:pPr>
      <w:r>
        <w:t xml:space="preserve">12. </w:t>
      </w:r>
      <w:r w:rsidRPr="00112E05" w:rsidR="000D136C">
        <w:rPr>
          <w:u w:val="single"/>
        </w:rPr>
        <w:t xml:space="preserve"> </w:t>
      </w:r>
      <w:r w:rsidRPr="00112E05" w:rsidR="00696EAE">
        <w:rPr>
          <w:u w:val="single"/>
        </w:rPr>
        <w:t xml:space="preserve">Estimate </w:t>
      </w:r>
      <w:r w:rsidRPr="00112E05" w:rsidR="007D1B84">
        <w:rPr>
          <w:u w:val="single"/>
        </w:rPr>
        <w:t>of Hour</w:t>
      </w:r>
      <w:r w:rsidRPr="00112E05" w:rsidR="006112F5">
        <w:rPr>
          <w:u w:val="single"/>
        </w:rPr>
        <w:t xml:space="preserve"> Burden: </w:t>
      </w:r>
    </w:p>
    <w:p w:rsidRPr="00D96D90" w:rsidR="006112F5" w:rsidP="006112F5" w:rsidRDefault="006112F5" w14:paraId="2578F473" w14:textId="77777777"/>
    <w:p w:rsidR="001A6313" w:rsidP="001A6313" w:rsidRDefault="001A6313" w14:paraId="2C469FB1" w14:textId="496B770E">
      <w:r>
        <w:rPr>
          <w:szCs w:val="24"/>
        </w:rPr>
        <w:t>DEA Forms 161</w:t>
      </w:r>
      <w:r w:rsidR="00CE08E7">
        <w:rPr>
          <w:szCs w:val="24"/>
        </w:rPr>
        <w:t xml:space="preserve">, </w:t>
      </w:r>
      <w:r>
        <w:rPr>
          <w:szCs w:val="24"/>
        </w:rPr>
        <w:t>161R</w:t>
      </w:r>
      <w:r w:rsidR="00CE08E7">
        <w:rPr>
          <w:szCs w:val="24"/>
        </w:rPr>
        <w:t>, and 161R-EEA</w:t>
      </w:r>
      <w:r>
        <w:rPr>
          <w:szCs w:val="24"/>
        </w:rPr>
        <w:t xml:space="preserve"> are submitted on an as-needed basis by registrants who desire to obtain a permit to export or re</w:t>
      </w:r>
      <w:r w:rsidR="0044795B">
        <w:rPr>
          <w:szCs w:val="24"/>
        </w:rPr>
        <w:t>-</w:t>
      </w:r>
      <w:r>
        <w:rPr>
          <w:szCs w:val="24"/>
        </w:rPr>
        <w:t xml:space="preserve">export </w:t>
      </w:r>
      <w:r>
        <w:t>controlled substances listed in schedules I or II, any narcotic substance listed in schedules III or IV,</w:t>
      </w:r>
      <w:r w:rsidRPr="00CA3A36">
        <w:t xml:space="preserve"> or any non-narcotic substance in </w:t>
      </w:r>
      <w:r>
        <w:t>s</w:t>
      </w:r>
      <w:r w:rsidRPr="00CA3A36">
        <w:t>chedule III which the Administrator has specifically designated by regulation in §1312.30</w:t>
      </w:r>
      <w:r>
        <w:t xml:space="preserve">, or </w:t>
      </w:r>
      <w:r w:rsidRPr="00CA3A36">
        <w:t xml:space="preserve">any non-narcotic substance in </w:t>
      </w:r>
      <w:r>
        <w:t>s</w:t>
      </w:r>
      <w:r w:rsidRPr="00CA3A36">
        <w:t>chedule IV or V</w:t>
      </w:r>
      <w:r>
        <w:t xml:space="preserve"> which is also listed in schedule I or II of the Convention on Psychotropic Substance.</w:t>
      </w:r>
    </w:p>
    <w:p w:rsidR="000B5A85" w:rsidP="001A6313" w:rsidRDefault="000B5A85" w14:paraId="2C6920D2" w14:textId="77777777"/>
    <w:tbl>
      <w:tblPr>
        <w:tblW w:w="6925" w:type="dxa"/>
        <w:tblLook w:val="04A0" w:firstRow="1" w:lastRow="0" w:firstColumn="1" w:lastColumn="0" w:noHBand="0" w:noVBand="1"/>
      </w:tblPr>
      <w:tblGrid>
        <w:gridCol w:w="2229"/>
        <w:gridCol w:w="1406"/>
        <w:gridCol w:w="1139"/>
        <w:gridCol w:w="1017"/>
        <w:gridCol w:w="1134"/>
      </w:tblGrid>
      <w:tr w:rsidRPr="000B5A85" w:rsidR="000B5A85" w:rsidTr="000B5A85" w14:paraId="78D571F8" w14:textId="77777777">
        <w:trPr>
          <w:trHeight w:val="705"/>
        </w:trPr>
        <w:tc>
          <w:tcPr>
            <w:tcW w:w="2335" w:type="dxa"/>
            <w:tcBorders>
              <w:top w:val="single" w:color="auto" w:sz="4" w:space="0"/>
              <w:left w:val="single" w:color="auto" w:sz="4" w:space="0"/>
              <w:bottom w:val="single" w:color="auto" w:sz="4" w:space="0"/>
              <w:right w:val="single" w:color="auto" w:sz="4" w:space="0"/>
            </w:tcBorders>
            <w:shd w:val="clear" w:color="000000" w:fill="B8CCE4"/>
            <w:vAlign w:val="center"/>
            <w:hideMark/>
          </w:tcPr>
          <w:p w:rsidRPr="000B5A85" w:rsidR="000B5A85" w:rsidP="000B5A85" w:rsidRDefault="000B5A85" w14:paraId="581CD1C2" w14:textId="77777777">
            <w:pPr>
              <w:widowControl/>
              <w:rPr>
                <w:snapToGrid/>
                <w:color w:val="000000"/>
                <w:sz w:val="20"/>
              </w:rPr>
            </w:pPr>
            <w:bookmarkStart w:name="RANGE!A3" w:id="0"/>
            <w:r w:rsidRPr="000B5A85">
              <w:rPr>
                <w:snapToGrid/>
                <w:color w:val="000000"/>
                <w:sz w:val="20"/>
              </w:rPr>
              <w:t> </w:t>
            </w:r>
            <w:bookmarkEnd w:id="0"/>
          </w:p>
        </w:tc>
        <w:tc>
          <w:tcPr>
            <w:tcW w:w="1260" w:type="dxa"/>
            <w:tcBorders>
              <w:top w:val="single" w:color="auto" w:sz="4" w:space="0"/>
              <w:left w:val="nil"/>
              <w:bottom w:val="single" w:color="auto" w:sz="4" w:space="0"/>
              <w:right w:val="single" w:color="auto" w:sz="4" w:space="0"/>
            </w:tcBorders>
            <w:shd w:val="clear" w:color="000000" w:fill="B8CCE4"/>
            <w:vAlign w:val="center"/>
            <w:hideMark/>
          </w:tcPr>
          <w:p w:rsidRPr="000B5A85" w:rsidR="000B5A85" w:rsidP="000B5A85" w:rsidRDefault="000B5A85" w14:paraId="64A7E587" w14:textId="77777777">
            <w:pPr>
              <w:widowControl/>
              <w:jc w:val="center"/>
              <w:rPr>
                <w:b/>
                <w:bCs/>
                <w:snapToGrid/>
                <w:color w:val="000000"/>
                <w:sz w:val="20"/>
              </w:rPr>
            </w:pPr>
            <w:r w:rsidRPr="000B5A85">
              <w:rPr>
                <w:b/>
                <w:bCs/>
                <w:snapToGrid/>
                <w:color w:val="000000"/>
                <w:sz w:val="20"/>
              </w:rPr>
              <w:t>Number of Annual Respondents*</w:t>
            </w:r>
          </w:p>
        </w:tc>
        <w:tc>
          <w:tcPr>
            <w:tcW w:w="1149" w:type="dxa"/>
            <w:tcBorders>
              <w:top w:val="single" w:color="auto" w:sz="4" w:space="0"/>
              <w:left w:val="nil"/>
              <w:bottom w:val="single" w:color="auto" w:sz="4" w:space="0"/>
              <w:right w:val="single" w:color="auto" w:sz="4" w:space="0"/>
            </w:tcBorders>
            <w:shd w:val="clear" w:color="000000" w:fill="B8CCE4"/>
            <w:vAlign w:val="center"/>
            <w:hideMark/>
          </w:tcPr>
          <w:p w:rsidRPr="000B5A85" w:rsidR="000B5A85" w:rsidP="000B5A85" w:rsidRDefault="000B5A85" w14:paraId="181D5505" w14:textId="77777777">
            <w:pPr>
              <w:widowControl/>
              <w:jc w:val="center"/>
              <w:rPr>
                <w:b/>
                <w:bCs/>
                <w:snapToGrid/>
                <w:color w:val="000000"/>
                <w:sz w:val="20"/>
              </w:rPr>
            </w:pPr>
            <w:r w:rsidRPr="000B5A85">
              <w:rPr>
                <w:b/>
                <w:bCs/>
                <w:snapToGrid/>
                <w:color w:val="000000"/>
                <w:sz w:val="20"/>
              </w:rPr>
              <w:t>Number of Annual responses</w:t>
            </w:r>
          </w:p>
        </w:tc>
        <w:tc>
          <w:tcPr>
            <w:tcW w:w="1017" w:type="dxa"/>
            <w:tcBorders>
              <w:top w:val="single" w:color="auto" w:sz="4" w:space="0"/>
              <w:left w:val="nil"/>
              <w:bottom w:val="single" w:color="auto" w:sz="4" w:space="0"/>
              <w:right w:val="single" w:color="auto" w:sz="4" w:space="0"/>
            </w:tcBorders>
            <w:shd w:val="clear" w:color="000000" w:fill="B8CCE4"/>
            <w:vAlign w:val="center"/>
            <w:hideMark/>
          </w:tcPr>
          <w:p w:rsidRPr="000B5A85" w:rsidR="000B5A85" w:rsidP="000B5A85" w:rsidRDefault="000B5A85" w14:paraId="385366A6" w14:textId="77777777">
            <w:pPr>
              <w:widowControl/>
              <w:jc w:val="center"/>
              <w:rPr>
                <w:b/>
                <w:bCs/>
                <w:snapToGrid/>
                <w:color w:val="000000"/>
                <w:sz w:val="20"/>
              </w:rPr>
            </w:pPr>
            <w:r w:rsidRPr="000B5A85">
              <w:rPr>
                <w:b/>
                <w:bCs/>
                <w:snapToGrid/>
                <w:color w:val="000000"/>
                <w:sz w:val="20"/>
              </w:rPr>
              <w:t>Average Time per Response</w:t>
            </w:r>
          </w:p>
        </w:tc>
        <w:tc>
          <w:tcPr>
            <w:tcW w:w="1164" w:type="dxa"/>
            <w:tcBorders>
              <w:top w:val="single" w:color="auto" w:sz="4" w:space="0"/>
              <w:left w:val="nil"/>
              <w:bottom w:val="single" w:color="auto" w:sz="4" w:space="0"/>
              <w:right w:val="single" w:color="auto" w:sz="4" w:space="0"/>
            </w:tcBorders>
            <w:shd w:val="clear" w:color="000000" w:fill="B8CCE4"/>
            <w:vAlign w:val="center"/>
            <w:hideMark/>
          </w:tcPr>
          <w:p w:rsidRPr="000B5A85" w:rsidR="000B5A85" w:rsidP="000B5A85" w:rsidRDefault="000B5A85" w14:paraId="7295D33B" w14:textId="77777777">
            <w:pPr>
              <w:widowControl/>
              <w:jc w:val="center"/>
              <w:rPr>
                <w:b/>
                <w:bCs/>
                <w:snapToGrid/>
                <w:color w:val="000000"/>
                <w:sz w:val="20"/>
              </w:rPr>
            </w:pPr>
            <w:r w:rsidRPr="000B5A85">
              <w:rPr>
                <w:b/>
                <w:bCs/>
                <w:snapToGrid/>
                <w:color w:val="000000"/>
                <w:sz w:val="20"/>
              </w:rPr>
              <w:t>Total Annual Hours</w:t>
            </w:r>
          </w:p>
        </w:tc>
      </w:tr>
      <w:tr w:rsidRPr="000B5A85" w:rsidR="000B5A85" w:rsidTr="000B5A85" w14:paraId="74FA593D"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0B5A85" w:rsidR="000B5A85" w:rsidP="000B5A85" w:rsidRDefault="000B5A85" w14:paraId="2F823AE5" w14:textId="77777777">
            <w:pPr>
              <w:widowControl/>
              <w:rPr>
                <w:snapToGrid/>
                <w:color w:val="000000"/>
                <w:sz w:val="20"/>
              </w:rPr>
            </w:pPr>
            <w:r w:rsidRPr="000B5A85">
              <w:rPr>
                <w:snapToGrid/>
                <w:color w:val="000000"/>
                <w:sz w:val="20"/>
              </w:rPr>
              <w:t>DEA-161</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hideMark/>
          </w:tcPr>
          <w:p w:rsidRPr="000B5A85" w:rsidR="000B5A85" w:rsidP="000B5A85" w:rsidRDefault="000B5A85" w14:paraId="321A2A26" w14:textId="77777777">
            <w:pPr>
              <w:widowControl/>
              <w:jc w:val="center"/>
              <w:rPr>
                <w:snapToGrid/>
                <w:color w:val="000000"/>
                <w:sz w:val="20"/>
              </w:rPr>
            </w:pPr>
            <w:r w:rsidRPr="000B5A85">
              <w:rPr>
                <w:snapToGrid/>
                <w:color w:val="000000"/>
                <w:sz w:val="20"/>
              </w:rPr>
              <w:t>127</w:t>
            </w:r>
          </w:p>
        </w:tc>
        <w:tc>
          <w:tcPr>
            <w:tcW w:w="1149" w:type="dxa"/>
            <w:tcBorders>
              <w:top w:val="nil"/>
              <w:left w:val="nil"/>
              <w:bottom w:val="single" w:color="auto" w:sz="4" w:space="0"/>
              <w:right w:val="single" w:color="auto" w:sz="4" w:space="0"/>
            </w:tcBorders>
            <w:shd w:val="clear" w:color="auto" w:fill="auto"/>
            <w:vAlign w:val="center"/>
            <w:hideMark/>
          </w:tcPr>
          <w:p w:rsidRPr="000B5A85" w:rsidR="000B5A85" w:rsidP="000B5A85" w:rsidRDefault="000B5A85" w14:paraId="30CFCE2B" w14:textId="77777777">
            <w:pPr>
              <w:widowControl/>
              <w:jc w:val="right"/>
              <w:rPr>
                <w:snapToGrid/>
                <w:color w:val="000000"/>
                <w:sz w:val="20"/>
              </w:rPr>
            </w:pPr>
            <w:r w:rsidRPr="000B5A85">
              <w:rPr>
                <w:snapToGrid/>
                <w:color w:val="000000"/>
                <w:sz w:val="20"/>
              </w:rPr>
              <w:t>6,493</w:t>
            </w:r>
          </w:p>
        </w:tc>
        <w:tc>
          <w:tcPr>
            <w:tcW w:w="1017" w:type="dxa"/>
            <w:tcBorders>
              <w:top w:val="nil"/>
              <w:left w:val="nil"/>
              <w:bottom w:val="single" w:color="auto" w:sz="4" w:space="0"/>
              <w:right w:val="single" w:color="auto" w:sz="4" w:space="0"/>
            </w:tcBorders>
            <w:shd w:val="clear" w:color="auto" w:fill="auto"/>
            <w:vAlign w:val="center"/>
            <w:hideMark/>
          </w:tcPr>
          <w:p w:rsidRPr="000B5A85" w:rsidR="000B5A85" w:rsidP="000B5A85" w:rsidRDefault="000B5A85" w14:paraId="2F2523B6" w14:textId="77777777">
            <w:pPr>
              <w:widowControl/>
              <w:jc w:val="right"/>
              <w:rPr>
                <w:snapToGrid/>
                <w:color w:val="000000"/>
                <w:sz w:val="20"/>
              </w:rPr>
            </w:pPr>
            <w:r w:rsidRPr="000B5A85">
              <w:rPr>
                <w:snapToGrid/>
                <w:color w:val="000000"/>
                <w:sz w:val="20"/>
              </w:rPr>
              <w:t>0.5</w:t>
            </w:r>
          </w:p>
        </w:tc>
        <w:tc>
          <w:tcPr>
            <w:tcW w:w="1164" w:type="dxa"/>
            <w:tcBorders>
              <w:top w:val="nil"/>
              <w:left w:val="nil"/>
              <w:bottom w:val="single" w:color="auto" w:sz="4" w:space="0"/>
              <w:right w:val="single" w:color="auto" w:sz="4" w:space="0"/>
            </w:tcBorders>
            <w:shd w:val="clear" w:color="auto" w:fill="auto"/>
            <w:vAlign w:val="center"/>
            <w:hideMark/>
          </w:tcPr>
          <w:p w:rsidRPr="000B5A85" w:rsidR="000B5A85" w:rsidP="000B5A85" w:rsidRDefault="000B5A85" w14:paraId="3ED7B9A9" w14:textId="77777777">
            <w:pPr>
              <w:widowControl/>
              <w:jc w:val="right"/>
              <w:rPr>
                <w:snapToGrid/>
                <w:color w:val="000000"/>
                <w:sz w:val="20"/>
              </w:rPr>
            </w:pPr>
            <w:r w:rsidRPr="000B5A85">
              <w:rPr>
                <w:snapToGrid/>
                <w:color w:val="000000"/>
                <w:sz w:val="20"/>
              </w:rPr>
              <w:t>3,247</w:t>
            </w:r>
          </w:p>
        </w:tc>
      </w:tr>
      <w:tr w:rsidRPr="000B5A85" w:rsidR="000B5A85" w:rsidTr="000B5A85" w14:paraId="3CCDDC2E"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0B5A85" w:rsidR="000B5A85" w:rsidP="000B5A85" w:rsidRDefault="000B5A85" w14:paraId="433E78FD" w14:textId="77777777">
            <w:pPr>
              <w:widowControl/>
              <w:rPr>
                <w:snapToGrid/>
                <w:color w:val="000000"/>
                <w:sz w:val="20"/>
              </w:rPr>
            </w:pPr>
            <w:r w:rsidRPr="000B5A85">
              <w:rPr>
                <w:snapToGrid/>
                <w:color w:val="000000"/>
                <w:sz w:val="20"/>
              </w:rPr>
              <w:t>DEA-161R/161R-EEA</w:t>
            </w:r>
          </w:p>
        </w:tc>
        <w:tc>
          <w:tcPr>
            <w:tcW w:w="1260" w:type="dxa"/>
            <w:vMerge/>
            <w:tcBorders>
              <w:top w:val="nil"/>
              <w:left w:val="single" w:color="auto" w:sz="4" w:space="0"/>
              <w:bottom w:val="single" w:color="000000" w:sz="4" w:space="0"/>
              <w:right w:val="single" w:color="auto" w:sz="4" w:space="0"/>
            </w:tcBorders>
            <w:vAlign w:val="center"/>
            <w:hideMark/>
          </w:tcPr>
          <w:p w:rsidRPr="000B5A85" w:rsidR="000B5A85" w:rsidP="000B5A85" w:rsidRDefault="000B5A85" w14:paraId="4EB45741" w14:textId="77777777">
            <w:pPr>
              <w:widowControl/>
              <w:rPr>
                <w:snapToGrid/>
                <w:color w:val="000000"/>
                <w:sz w:val="20"/>
              </w:rPr>
            </w:pPr>
          </w:p>
        </w:tc>
        <w:tc>
          <w:tcPr>
            <w:tcW w:w="1149" w:type="dxa"/>
            <w:tcBorders>
              <w:top w:val="nil"/>
              <w:left w:val="nil"/>
              <w:bottom w:val="single" w:color="auto" w:sz="4" w:space="0"/>
              <w:right w:val="single" w:color="auto" w:sz="4" w:space="0"/>
            </w:tcBorders>
            <w:shd w:val="clear" w:color="auto" w:fill="auto"/>
            <w:vAlign w:val="center"/>
            <w:hideMark/>
          </w:tcPr>
          <w:p w:rsidRPr="000B5A85" w:rsidR="000B5A85" w:rsidP="000B5A85" w:rsidRDefault="000B5A85" w14:paraId="77842E2E" w14:textId="77777777">
            <w:pPr>
              <w:widowControl/>
              <w:jc w:val="right"/>
              <w:rPr>
                <w:snapToGrid/>
                <w:color w:val="000000"/>
                <w:sz w:val="20"/>
              </w:rPr>
            </w:pPr>
            <w:r w:rsidRPr="000B5A85">
              <w:rPr>
                <w:snapToGrid/>
                <w:color w:val="000000"/>
                <w:sz w:val="20"/>
              </w:rPr>
              <w:t>789</w:t>
            </w:r>
          </w:p>
        </w:tc>
        <w:tc>
          <w:tcPr>
            <w:tcW w:w="1017" w:type="dxa"/>
            <w:tcBorders>
              <w:top w:val="nil"/>
              <w:left w:val="nil"/>
              <w:bottom w:val="single" w:color="auto" w:sz="4" w:space="0"/>
              <w:right w:val="single" w:color="auto" w:sz="4" w:space="0"/>
            </w:tcBorders>
            <w:shd w:val="clear" w:color="auto" w:fill="auto"/>
            <w:vAlign w:val="center"/>
            <w:hideMark/>
          </w:tcPr>
          <w:p w:rsidRPr="000B5A85" w:rsidR="000B5A85" w:rsidP="000B5A85" w:rsidRDefault="000B5A85" w14:paraId="24EC8530" w14:textId="77777777">
            <w:pPr>
              <w:widowControl/>
              <w:jc w:val="right"/>
              <w:rPr>
                <w:snapToGrid/>
                <w:color w:val="000000"/>
                <w:sz w:val="20"/>
              </w:rPr>
            </w:pPr>
            <w:r w:rsidRPr="000B5A85">
              <w:rPr>
                <w:snapToGrid/>
                <w:color w:val="000000"/>
                <w:sz w:val="20"/>
              </w:rPr>
              <w:t>0.75</w:t>
            </w:r>
          </w:p>
        </w:tc>
        <w:tc>
          <w:tcPr>
            <w:tcW w:w="1164" w:type="dxa"/>
            <w:tcBorders>
              <w:top w:val="nil"/>
              <w:left w:val="nil"/>
              <w:bottom w:val="single" w:color="auto" w:sz="4" w:space="0"/>
              <w:right w:val="single" w:color="auto" w:sz="4" w:space="0"/>
            </w:tcBorders>
            <w:shd w:val="clear" w:color="auto" w:fill="auto"/>
            <w:vAlign w:val="center"/>
            <w:hideMark/>
          </w:tcPr>
          <w:p w:rsidRPr="000B5A85" w:rsidR="000B5A85" w:rsidP="000B5A85" w:rsidRDefault="000B5A85" w14:paraId="20BE3A43" w14:textId="77777777">
            <w:pPr>
              <w:widowControl/>
              <w:jc w:val="right"/>
              <w:rPr>
                <w:snapToGrid/>
                <w:color w:val="000000"/>
                <w:sz w:val="20"/>
              </w:rPr>
            </w:pPr>
            <w:r w:rsidRPr="000B5A85">
              <w:rPr>
                <w:snapToGrid/>
                <w:color w:val="000000"/>
                <w:sz w:val="20"/>
              </w:rPr>
              <w:t>592</w:t>
            </w:r>
          </w:p>
        </w:tc>
      </w:tr>
      <w:tr w:rsidRPr="000B5A85" w:rsidR="000B5A85" w:rsidTr="000B5A85" w14:paraId="2CBAFD25" w14:textId="77777777">
        <w:trPr>
          <w:trHeight w:val="300"/>
        </w:trPr>
        <w:tc>
          <w:tcPr>
            <w:tcW w:w="2335" w:type="dxa"/>
            <w:tcBorders>
              <w:top w:val="nil"/>
              <w:left w:val="single" w:color="auto" w:sz="4" w:space="0"/>
              <w:bottom w:val="single" w:color="auto" w:sz="4" w:space="0"/>
              <w:right w:val="single" w:color="auto" w:sz="4" w:space="0"/>
            </w:tcBorders>
            <w:shd w:val="clear" w:color="000000" w:fill="B8CCE4"/>
            <w:vAlign w:val="center"/>
            <w:hideMark/>
          </w:tcPr>
          <w:p w:rsidRPr="000B5A85" w:rsidR="000B5A85" w:rsidP="000B5A85" w:rsidRDefault="000B5A85" w14:paraId="4084A142" w14:textId="77777777">
            <w:pPr>
              <w:widowControl/>
              <w:rPr>
                <w:b/>
                <w:bCs/>
                <w:snapToGrid/>
                <w:color w:val="000000"/>
                <w:sz w:val="20"/>
              </w:rPr>
            </w:pPr>
            <w:r w:rsidRPr="000B5A85">
              <w:rPr>
                <w:b/>
                <w:bCs/>
                <w:snapToGrid/>
                <w:color w:val="000000"/>
                <w:sz w:val="20"/>
              </w:rPr>
              <w:t>Total</w:t>
            </w:r>
          </w:p>
        </w:tc>
        <w:tc>
          <w:tcPr>
            <w:tcW w:w="1260" w:type="dxa"/>
            <w:tcBorders>
              <w:top w:val="nil"/>
              <w:left w:val="nil"/>
              <w:bottom w:val="single" w:color="auto" w:sz="4" w:space="0"/>
              <w:right w:val="single" w:color="auto" w:sz="4" w:space="0"/>
            </w:tcBorders>
            <w:shd w:val="clear" w:color="000000" w:fill="B8CCE4"/>
            <w:vAlign w:val="center"/>
            <w:hideMark/>
          </w:tcPr>
          <w:p w:rsidRPr="000B5A85" w:rsidR="000B5A85" w:rsidP="000B5A85" w:rsidRDefault="000B5A85" w14:paraId="3B2B44EE" w14:textId="77777777">
            <w:pPr>
              <w:widowControl/>
              <w:jc w:val="center"/>
              <w:rPr>
                <w:b/>
                <w:bCs/>
                <w:snapToGrid/>
                <w:color w:val="000000"/>
                <w:sz w:val="20"/>
              </w:rPr>
            </w:pPr>
            <w:r w:rsidRPr="000B5A85">
              <w:rPr>
                <w:b/>
                <w:bCs/>
                <w:snapToGrid/>
                <w:color w:val="000000"/>
                <w:sz w:val="20"/>
              </w:rPr>
              <w:t>127</w:t>
            </w:r>
          </w:p>
        </w:tc>
        <w:tc>
          <w:tcPr>
            <w:tcW w:w="1149" w:type="dxa"/>
            <w:tcBorders>
              <w:top w:val="nil"/>
              <w:left w:val="nil"/>
              <w:bottom w:val="single" w:color="auto" w:sz="4" w:space="0"/>
              <w:right w:val="single" w:color="auto" w:sz="4" w:space="0"/>
            </w:tcBorders>
            <w:shd w:val="clear" w:color="000000" w:fill="B8CCE4"/>
            <w:vAlign w:val="center"/>
            <w:hideMark/>
          </w:tcPr>
          <w:p w:rsidRPr="000B5A85" w:rsidR="000B5A85" w:rsidP="000B5A85" w:rsidRDefault="000B5A85" w14:paraId="06004424" w14:textId="77777777">
            <w:pPr>
              <w:widowControl/>
              <w:jc w:val="right"/>
              <w:rPr>
                <w:b/>
                <w:bCs/>
                <w:snapToGrid/>
                <w:color w:val="000000"/>
                <w:sz w:val="20"/>
              </w:rPr>
            </w:pPr>
            <w:r w:rsidRPr="000B5A85">
              <w:rPr>
                <w:b/>
                <w:bCs/>
                <w:snapToGrid/>
                <w:color w:val="000000"/>
                <w:sz w:val="20"/>
              </w:rPr>
              <w:t>7,282</w:t>
            </w:r>
          </w:p>
        </w:tc>
        <w:tc>
          <w:tcPr>
            <w:tcW w:w="1017" w:type="dxa"/>
            <w:tcBorders>
              <w:top w:val="nil"/>
              <w:left w:val="nil"/>
              <w:bottom w:val="single" w:color="auto" w:sz="4" w:space="0"/>
              <w:right w:val="single" w:color="auto" w:sz="4" w:space="0"/>
            </w:tcBorders>
            <w:shd w:val="clear" w:color="000000" w:fill="B8CCE4"/>
            <w:vAlign w:val="center"/>
            <w:hideMark/>
          </w:tcPr>
          <w:p w:rsidRPr="000B5A85" w:rsidR="000B5A85" w:rsidP="000B5A85" w:rsidRDefault="000B5A85" w14:paraId="5342DF36" w14:textId="77777777">
            <w:pPr>
              <w:widowControl/>
              <w:rPr>
                <w:b/>
                <w:bCs/>
                <w:snapToGrid/>
                <w:color w:val="000000"/>
                <w:sz w:val="20"/>
              </w:rPr>
            </w:pPr>
            <w:r w:rsidRPr="000B5A85">
              <w:rPr>
                <w:b/>
                <w:bCs/>
                <w:snapToGrid/>
                <w:color w:val="000000"/>
                <w:sz w:val="20"/>
              </w:rPr>
              <w:t> </w:t>
            </w:r>
          </w:p>
        </w:tc>
        <w:tc>
          <w:tcPr>
            <w:tcW w:w="1164" w:type="dxa"/>
            <w:tcBorders>
              <w:top w:val="nil"/>
              <w:left w:val="nil"/>
              <w:bottom w:val="single" w:color="auto" w:sz="4" w:space="0"/>
              <w:right w:val="single" w:color="auto" w:sz="4" w:space="0"/>
            </w:tcBorders>
            <w:shd w:val="clear" w:color="000000" w:fill="B8CCE4"/>
            <w:vAlign w:val="center"/>
            <w:hideMark/>
          </w:tcPr>
          <w:p w:rsidRPr="000B5A85" w:rsidR="000B5A85" w:rsidP="000B5A85" w:rsidRDefault="000B5A85" w14:paraId="4779F50E" w14:textId="77777777">
            <w:pPr>
              <w:widowControl/>
              <w:jc w:val="right"/>
              <w:rPr>
                <w:b/>
                <w:bCs/>
                <w:snapToGrid/>
                <w:color w:val="000000"/>
                <w:sz w:val="20"/>
              </w:rPr>
            </w:pPr>
            <w:r w:rsidRPr="000B5A85">
              <w:rPr>
                <w:b/>
                <w:bCs/>
                <w:snapToGrid/>
                <w:color w:val="000000"/>
                <w:sz w:val="20"/>
              </w:rPr>
              <w:t>3,839</w:t>
            </w:r>
          </w:p>
        </w:tc>
      </w:tr>
    </w:tbl>
    <w:p w:rsidRPr="00E3756F" w:rsidR="001A6313" w:rsidP="001A6313" w:rsidRDefault="001A6313" w14:paraId="1C8E2CDD" w14:textId="77777777">
      <w:pPr>
        <w:tabs>
          <w:tab w:val="left" w:pos="2880"/>
        </w:tabs>
        <w:rPr>
          <w:sz w:val="20"/>
        </w:rPr>
      </w:pPr>
      <w:r w:rsidRPr="00E3756F">
        <w:rPr>
          <w:sz w:val="20"/>
        </w:rPr>
        <w:t xml:space="preserve">* </w:t>
      </w:r>
      <w:r>
        <w:rPr>
          <w:sz w:val="20"/>
        </w:rPr>
        <w:t>Based on the number</w:t>
      </w:r>
      <w:r w:rsidRPr="00E3756F">
        <w:rPr>
          <w:sz w:val="20"/>
        </w:rPr>
        <w:t xml:space="preserve"> of registration numbers.</w:t>
      </w:r>
      <w:r>
        <w:rPr>
          <w:sz w:val="20"/>
        </w:rPr>
        <w:t xml:space="preserve">  A respondent may use any of the three form/versions above.  Separately counting the number of respondents for each form/version would result in multiple counts of the same respondent.  Therefore, the number of combined respondents is used.</w:t>
      </w:r>
    </w:p>
    <w:p w:rsidR="001A6313" w:rsidP="001A6313" w:rsidRDefault="001A6313" w14:paraId="155BEB83" w14:textId="77777777">
      <w:pPr>
        <w:tabs>
          <w:tab w:val="left" w:pos="2880"/>
        </w:tabs>
      </w:pPr>
    </w:p>
    <w:tbl>
      <w:tblPr>
        <w:tblW w:w="7120" w:type="dxa"/>
        <w:tblInd w:w="720" w:type="dxa"/>
        <w:tblLook w:val="04A0" w:firstRow="1" w:lastRow="0" w:firstColumn="1" w:lastColumn="0" w:noHBand="0" w:noVBand="1"/>
      </w:tblPr>
      <w:tblGrid>
        <w:gridCol w:w="4762"/>
        <w:gridCol w:w="1116"/>
        <w:gridCol w:w="1242"/>
      </w:tblGrid>
      <w:tr w:rsidRPr="00204F12" w:rsidR="00F37572" w:rsidTr="004775B5" w14:paraId="295ED465" w14:textId="77777777">
        <w:trPr>
          <w:trHeight w:val="315"/>
        </w:trPr>
        <w:tc>
          <w:tcPr>
            <w:tcW w:w="4762" w:type="dxa"/>
            <w:tcBorders>
              <w:top w:val="nil"/>
              <w:left w:val="nil"/>
              <w:bottom w:val="nil"/>
              <w:right w:val="nil"/>
            </w:tcBorders>
            <w:shd w:val="clear" w:color="auto" w:fill="auto"/>
            <w:noWrap/>
            <w:vAlign w:val="center"/>
            <w:hideMark/>
          </w:tcPr>
          <w:p w:rsidRPr="00204F12" w:rsidR="00F37572" w:rsidP="004775B5" w:rsidRDefault="00F37572" w14:paraId="0266B02C" w14:textId="77777777">
            <w:pPr>
              <w:rPr>
                <w:color w:val="000000"/>
              </w:rPr>
            </w:pPr>
            <w:r w:rsidRPr="00204F12">
              <w:rPr>
                <w:color w:val="000000"/>
              </w:rPr>
              <w:t>Total number of respondents:</w:t>
            </w:r>
          </w:p>
        </w:tc>
        <w:tc>
          <w:tcPr>
            <w:tcW w:w="1116" w:type="dxa"/>
            <w:tcBorders>
              <w:top w:val="nil"/>
              <w:left w:val="nil"/>
              <w:bottom w:val="nil"/>
              <w:right w:val="nil"/>
            </w:tcBorders>
            <w:shd w:val="clear" w:color="auto" w:fill="auto"/>
            <w:noWrap/>
            <w:vAlign w:val="bottom"/>
            <w:hideMark/>
          </w:tcPr>
          <w:p w:rsidRPr="00204F12" w:rsidR="00F37572" w:rsidP="004775B5" w:rsidRDefault="00F80806" w14:paraId="38814893" w14:textId="77777777">
            <w:pPr>
              <w:jc w:val="right"/>
              <w:rPr>
                <w:color w:val="000000"/>
              </w:rPr>
            </w:pPr>
            <w:r>
              <w:rPr>
                <w:color w:val="000000"/>
              </w:rPr>
              <w:t>127</w:t>
            </w:r>
          </w:p>
        </w:tc>
        <w:tc>
          <w:tcPr>
            <w:tcW w:w="1242" w:type="dxa"/>
            <w:tcBorders>
              <w:top w:val="nil"/>
              <w:left w:val="nil"/>
              <w:bottom w:val="nil"/>
              <w:right w:val="nil"/>
            </w:tcBorders>
            <w:shd w:val="clear" w:color="auto" w:fill="auto"/>
            <w:noWrap/>
            <w:vAlign w:val="bottom"/>
            <w:hideMark/>
          </w:tcPr>
          <w:p w:rsidRPr="00204F12" w:rsidR="00F37572" w:rsidP="004775B5" w:rsidRDefault="00F37572" w14:paraId="52C9F8E9" w14:textId="77777777">
            <w:pPr>
              <w:rPr>
                <w:color w:val="000000"/>
              </w:rPr>
            </w:pPr>
          </w:p>
        </w:tc>
      </w:tr>
      <w:tr w:rsidRPr="00204F12" w:rsidR="00F37572" w:rsidTr="004775B5" w14:paraId="33215815" w14:textId="77777777">
        <w:trPr>
          <w:trHeight w:val="315"/>
        </w:trPr>
        <w:tc>
          <w:tcPr>
            <w:tcW w:w="4762" w:type="dxa"/>
            <w:tcBorders>
              <w:top w:val="nil"/>
              <w:left w:val="nil"/>
              <w:bottom w:val="nil"/>
              <w:right w:val="nil"/>
            </w:tcBorders>
            <w:shd w:val="clear" w:color="auto" w:fill="auto"/>
            <w:noWrap/>
            <w:vAlign w:val="center"/>
            <w:hideMark/>
          </w:tcPr>
          <w:p w:rsidRPr="00204F12" w:rsidR="00F37572" w:rsidP="004775B5" w:rsidRDefault="00F37572" w14:paraId="3606E0B0" w14:textId="77777777">
            <w:pPr>
              <w:rPr>
                <w:color w:val="000000"/>
              </w:rPr>
            </w:pPr>
            <w:r w:rsidRPr="00204F12">
              <w:rPr>
                <w:color w:val="000000"/>
              </w:rPr>
              <w:t>Number of responses per respondent per year:</w:t>
            </w:r>
          </w:p>
        </w:tc>
        <w:tc>
          <w:tcPr>
            <w:tcW w:w="1116" w:type="dxa"/>
            <w:tcBorders>
              <w:top w:val="nil"/>
              <w:left w:val="nil"/>
              <w:bottom w:val="nil"/>
              <w:right w:val="nil"/>
            </w:tcBorders>
            <w:shd w:val="clear" w:color="auto" w:fill="auto"/>
            <w:noWrap/>
            <w:vAlign w:val="bottom"/>
            <w:hideMark/>
          </w:tcPr>
          <w:p w:rsidRPr="00204F12" w:rsidR="00F37572" w:rsidP="00F37572" w:rsidRDefault="00F37572" w14:paraId="40E68A0B" w14:textId="77777777">
            <w:pPr>
              <w:jc w:val="right"/>
              <w:rPr>
                <w:color w:val="000000"/>
              </w:rPr>
            </w:pPr>
            <w:r w:rsidRPr="00204F12">
              <w:rPr>
                <w:color w:val="000000"/>
              </w:rPr>
              <w:t xml:space="preserve">       </w:t>
            </w:r>
            <w:r w:rsidR="00F80806">
              <w:rPr>
                <w:color w:val="000000"/>
              </w:rPr>
              <w:t>57.3386</w:t>
            </w:r>
            <w:r w:rsidRPr="00204F12">
              <w:rPr>
                <w:color w:val="000000"/>
              </w:rPr>
              <w:t xml:space="preserve"> </w:t>
            </w:r>
          </w:p>
        </w:tc>
        <w:tc>
          <w:tcPr>
            <w:tcW w:w="1242" w:type="dxa"/>
            <w:tcBorders>
              <w:top w:val="nil"/>
              <w:left w:val="nil"/>
              <w:bottom w:val="nil"/>
              <w:right w:val="nil"/>
            </w:tcBorders>
            <w:shd w:val="clear" w:color="auto" w:fill="auto"/>
            <w:noWrap/>
            <w:vAlign w:val="bottom"/>
            <w:hideMark/>
          </w:tcPr>
          <w:p w:rsidRPr="00204F12" w:rsidR="00F37572" w:rsidP="004775B5" w:rsidRDefault="00F37572" w14:paraId="674A941F" w14:textId="77777777">
            <w:pPr>
              <w:rPr>
                <w:color w:val="000000"/>
              </w:rPr>
            </w:pPr>
            <w:r w:rsidRPr="00204F12">
              <w:rPr>
                <w:color w:val="000000"/>
              </w:rPr>
              <w:t>(average)</w:t>
            </w:r>
          </w:p>
        </w:tc>
      </w:tr>
      <w:tr w:rsidRPr="00204F12" w:rsidR="00F37572" w:rsidTr="004775B5" w14:paraId="60A71C3E" w14:textId="77777777">
        <w:trPr>
          <w:trHeight w:val="315"/>
        </w:trPr>
        <w:tc>
          <w:tcPr>
            <w:tcW w:w="4762" w:type="dxa"/>
            <w:tcBorders>
              <w:top w:val="nil"/>
              <w:left w:val="nil"/>
              <w:bottom w:val="nil"/>
              <w:right w:val="nil"/>
            </w:tcBorders>
            <w:shd w:val="clear" w:color="auto" w:fill="auto"/>
            <w:noWrap/>
            <w:vAlign w:val="center"/>
            <w:hideMark/>
          </w:tcPr>
          <w:p w:rsidRPr="00204F12" w:rsidR="00F37572" w:rsidP="004775B5" w:rsidRDefault="00F37572" w14:paraId="213CE9E8" w14:textId="77777777">
            <w:pPr>
              <w:rPr>
                <w:color w:val="000000"/>
              </w:rPr>
            </w:pPr>
            <w:r w:rsidRPr="00204F12">
              <w:rPr>
                <w:color w:val="000000"/>
              </w:rPr>
              <w:t>Total annual responses</w:t>
            </w:r>
          </w:p>
        </w:tc>
        <w:tc>
          <w:tcPr>
            <w:tcW w:w="1116" w:type="dxa"/>
            <w:tcBorders>
              <w:top w:val="nil"/>
              <w:left w:val="nil"/>
              <w:bottom w:val="nil"/>
              <w:right w:val="nil"/>
            </w:tcBorders>
            <w:shd w:val="clear" w:color="auto" w:fill="auto"/>
            <w:noWrap/>
            <w:vAlign w:val="bottom"/>
            <w:hideMark/>
          </w:tcPr>
          <w:p w:rsidRPr="00204F12" w:rsidR="00F37572" w:rsidP="004775B5" w:rsidRDefault="00F80806" w14:paraId="38E63FAD" w14:textId="77777777">
            <w:pPr>
              <w:jc w:val="right"/>
              <w:rPr>
                <w:color w:val="000000"/>
              </w:rPr>
            </w:pPr>
            <w:r>
              <w:rPr>
                <w:color w:val="000000"/>
              </w:rPr>
              <w:t>7,282</w:t>
            </w:r>
          </w:p>
        </w:tc>
        <w:tc>
          <w:tcPr>
            <w:tcW w:w="1242" w:type="dxa"/>
            <w:tcBorders>
              <w:top w:val="nil"/>
              <w:left w:val="nil"/>
              <w:bottom w:val="nil"/>
              <w:right w:val="nil"/>
            </w:tcBorders>
            <w:shd w:val="clear" w:color="auto" w:fill="auto"/>
            <w:noWrap/>
            <w:vAlign w:val="bottom"/>
            <w:hideMark/>
          </w:tcPr>
          <w:p w:rsidRPr="00204F12" w:rsidR="00F37572" w:rsidP="004775B5" w:rsidRDefault="00F37572" w14:paraId="742593E1" w14:textId="77777777">
            <w:pPr>
              <w:rPr>
                <w:color w:val="000000"/>
              </w:rPr>
            </w:pPr>
          </w:p>
        </w:tc>
      </w:tr>
      <w:tr w:rsidRPr="00204F12" w:rsidR="00F37572" w:rsidTr="004775B5" w14:paraId="49858F5F" w14:textId="77777777">
        <w:trPr>
          <w:trHeight w:val="315"/>
        </w:trPr>
        <w:tc>
          <w:tcPr>
            <w:tcW w:w="4762" w:type="dxa"/>
            <w:tcBorders>
              <w:top w:val="nil"/>
              <w:left w:val="nil"/>
              <w:bottom w:val="nil"/>
              <w:right w:val="nil"/>
            </w:tcBorders>
            <w:shd w:val="clear" w:color="auto" w:fill="auto"/>
            <w:noWrap/>
            <w:vAlign w:val="center"/>
            <w:hideMark/>
          </w:tcPr>
          <w:p w:rsidRPr="00204F12" w:rsidR="00F37572" w:rsidP="004775B5" w:rsidRDefault="00F37572" w14:paraId="05F359F5" w14:textId="77777777">
            <w:pPr>
              <w:rPr>
                <w:color w:val="000000"/>
              </w:rPr>
            </w:pPr>
            <w:r w:rsidRPr="00204F12">
              <w:rPr>
                <w:color w:val="000000"/>
              </w:rPr>
              <w:t xml:space="preserve">Total </w:t>
            </w:r>
            <w:r>
              <w:rPr>
                <w:color w:val="000000"/>
              </w:rPr>
              <w:t>a</w:t>
            </w:r>
            <w:r w:rsidRPr="00204F12">
              <w:rPr>
                <w:color w:val="000000"/>
              </w:rPr>
              <w:t>nnual hour burden</w:t>
            </w:r>
          </w:p>
        </w:tc>
        <w:tc>
          <w:tcPr>
            <w:tcW w:w="1116" w:type="dxa"/>
            <w:tcBorders>
              <w:top w:val="nil"/>
              <w:left w:val="nil"/>
              <w:bottom w:val="nil"/>
              <w:right w:val="nil"/>
            </w:tcBorders>
            <w:shd w:val="clear" w:color="auto" w:fill="auto"/>
            <w:noWrap/>
            <w:vAlign w:val="bottom"/>
            <w:hideMark/>
          </w:tcPr>
          <w:p w:rsidRPr="00204F12" w:rsidR="00F37572" w:rsidP="004775B5" w:rsidRDefault="00F80806" w14:paraId="63CEC0E7" w14:textId="77777777">
            <w:pPr>
              <w:jc w:val="right"/>
              <w:rPr>
                <w:color w:val="000000"/>
              </w:rPr>
            </w:pPr>
            <w:r>
              <w:rPr>
                <w:color w:val="000000"/>
              </w:rPr>
              <w:t>3,839</w:t>
            </w:r>
          </w:p>
        </w:tc>
        <w:tc>
          <w:tcPr>
            <w:tcW w:w="1242" w:type="dxa"/>
            <w:tcBorders>
              <w:top w:val="nil"/>
              <w:left w:val="nil"/>
              <w:bottom w:val="nil"/>
              <w:right w:val="nil"/>
            </w:tcBorders>
            <w:shd w:val="clear" w:color="auto" w:fill="auto"/>
            <w:noWrap/>
            <w:vAlign w:val="bottom"/>
            <w:hideMark/>
          </w:tcPr>
          <w:p w:rsidRPr="00204F12" w:rsidR="00F37572" w:rsidP="004775B5" w:rsidRDefault="00F37572" w14:paraId="0DCB40E7" w14:textId="77777777">
            <w:pPr>
              <w:rPr>
                <w:color w:val="000000"/>
              </w:rPr>
            </w:pPr>
          </w:p>
        </w:tc>
      </w:tr>
      <w:tr w:rsidRPr="00204F12" w:rsidR="00F37572" w:rsidTr="004775B5" w14:paraId="0808EE45" w14:textId="77777777">
        <w:trPr>
          <w:trHeight w:val="315"/>
        </w:trPr>
        <w:tc>
          <w:tcPr>
            <w:tcW w:w="4762" w:type="dxa"/>
            <w:tcBorders>
              <w:top w:val="nil"/>
              <w:left w:val="nil"/>
              <w:bottom w:val="nil"/>
              <w:right w:val="nil"/>
            </w:tcBorders>
            <w:shd w:val="clear" w:color="auto" w:fill="auto"/>
            <w:noWrap/>
            <w:vAlign w:val="center"/>
            <w:hideMark/>
          </w:tcPr>
          <w:p w:rsidRPr="00204F12" w:rsidR="00F37572" w:rsidP="004775B5" w:rsidRDefault="00F37572" w14:paraId="23DA04DB" w14:textId="77777777">
            <w:pPr>
              <w:rPr>
                <w:color w:val="000000"/>
              </w:rPr>
            </w:pPr>
          </w:p>
        </w:tc>
        <w:tc>
          <w:tcPr>
            <w:tcW w:w="1116" w:type="dxa"/>
            <w:tcBorders>
              <w:top w:val="nil"/>
              <w:left w:val="nil"/>
              <w:bottom w:val="nil"/>
              <w:right w:val="nil"/>
            </w:tcBorders>
            <w:shd w:val="clear" w:color="auto" w:fill="auto"/>
            <w:noWrap/>
            <w:vAlign w:val="bottom"/>
            <w:hideMark/>
          </w:tcPr>
          <w:p w:rsidRPr="00204F12" w:rsidR="00F37572" w:rsidP="004775B5" w:rsidRDefault="00F37572" w14:paraId="7DF91B20" w14:textId="77777777">
            <w:pPr>
              <w:jc w:val="right"/>
              <w:rPr>
                <w:color w:val="000000"/>
              </w:rPr>
            </w:pPr>
          </w:p>
        </w:tc>
        <w:tc>
          <w:tcPr>
            <w:tcW w:w="1242" w:type="dxa"/>
            <w:tcBorders>
              <w:top w:val="nil"/>
              <w:left w:val="nil"/>
              <w:bottom w:val="nil"/>
              <w:right w:val="nil"/>
            </w:tcBorders>
            <w:shd w:val="clear" w:color="auto" w:fill="auto"/>
            <w:noWrap/>
            <w:vAlign w:val="bottom"/>
            <w:hideMark/>
          </w:tcPr>
          <w:p w:rsidRPr="00204F12" w:rsidR="00F37572" w:rsidP="004775B5" w:rsidRDefault="00F37572" w14:paraId="58928519" w14:textId="77777777">
            <w:pPr>
              <w:rPr>
                <w:color w:val="000000"/>
              </w:rPr>
            </w:pPr>
          </w:p>
        </w:tc>
      </w:tr>
      <w:tr w:rsidRPr="00204F12" w:rsidR="00F37572" w:rsidTr="004775B5" w14:paraId="19AA07C6" w14:textId="77777777">
        <w:trPr>
          <w:trHeight w:val="315"/>
        </w:trPr>
        <w:tc>
          <w:tcPr>
            <w:tcW w:w="4762" w:type="dxa"/>
            <w:tcBorders>
              <w:top w:val="nil"/>
              <w:left w:val="nil"/>
              <w:bottom w:val="nil"/>
              <w:right w:val="nil"/>
            </w:tcBorders>
            <w:shd w:val="clear" w:color="auto" w:fill="auto"/>
            <w:noWrap/>
            <w:vAlign w:val="center"/>
            <w:hideMark/>
          </w:tcPr>
          <w:p w:rsidRPr="00204F12" w:rsidR="00F37572" w:rsidP="004775B5" w:rsidRDefault="00F37572" w14:paraId="59A98CE7" w14:textId="77777777">
            <w:pPr>
              <w:rPr>
                <w:color w:val="000000"/>
              </w:rPr>
            </w:pPr>
            <w:r w:rsidRPr="00204F12">
              <w:rPr>
                <w:color w:val="000000"/>
              </w:rPr>
              <w:t>Average burden, per collection:</w:t>
            </w:r>
          </w:p>
        </w:tc>
        <w:tc>
          <w:tcPr>
            <w:tcW w:w="1116" w:type="dxa"/>
            <w:tcBorders>
              <w:top w:val="nil"/>
              <w:left w:val="nil"/>
              <w:bottom w:val="nil"/>
              <w:right w:val="nil"/>
            </w:tcBorders>
            <w:shd w:val="clear" w:color="auto" w:fill="auto"/>
            <w:noWrap/>
            <w:vAlign w:val="bottom"/>
            <w:hideMark/>
          </w:tcPr>
          <w:p w:rsidRPr="00204F12" w:rsidR="00F37572" w:rsidP="00F37572" w:rsidRDefault="00F37572" w14:paraId="588F70D4" w14:textId="77777777">
            <w:pPr>
              <w:jc w:val="right"/>
              <w:rPr>
                <w:color w:val="000000"/>
              </w:rPr>
            </w:pPr>
            <w:r w:rsidRPr="00204F12">
              <w:rPr>
                <w:color w:val="000000"/>
              </w:rPr>
              <w:t xml:space="preserve">     0.</w:t>
            </w:r>
            <w:r w:rsidR="00F80806">
              <w:rPr>
                <w:color w:val="000000"/>
              </w:rPr>
              <w:t>52719</w:t>
            </w:r>
            <w:r w:rsidRPr="00204F12">
              <w:rPr>
                <w:color w:val="000000"/>
              </w:rPr>
              <w:t xml:space="preserve"> </w:t>
            </w:r>
          </w:p>
        </w:tc>
        <w:tc>
          <w:tcPr>
            <w:tcW w:w="1242" w:type="dxa"/>
            <w:tcBorders>
              <w:top w:val="nil"/>
              <w:left w:val="nil"/>
              <w:bottom w:val="nil"/>
              <w:right w:val="nil"/>
            </w:tcBorders>
            <w:shd w:val="clear" w:color="auto" w:fill="auto"/>
            <w:noWrap/>
            <w:vAlign w:val="bottom"/>
            <w:hideMark/>
          </w:tcPr>
          <w:p w:rsidRPr="00204F12" w:rsidR="00F37572" w:rsidP="004775B5" w:rsidRDefault="00F37572" w14:paraId="11E858F9" w14:textId="77777777">
            <w:pPr>
              <w:rPr>
                <w:color w:val="000000"/>
              </w:rPr>
            </w:pPr>
          </w:p>
        </w:tc>
      </w:tr>
      <w:tr w:rsidRPr="00204F12" w:rsidR="00F37572" w:rsidTr="004775B5" w14:paraId="6D1D121E" w14:textId="77777777">
        <w:trPr>
          <w:trHeight w:val="315"/>
        </w:trPr>
        <w:tc>
          <w:tcPr>
            <w:tcW w:w="4762" w:type="dxa"/>
            <w:tcBorders>
              <w:top w:val="nil"/>
              <w:left w:val="nil"/>
              <w:bottom w:val="nil"/>
              <w:right w:val="nil"/>
            </w:tcBorders>
            <w:shd w:val="clear" w:color="auto" w:fill="auto"/>
            <w:noWrap/>
            <w:vAlign w:val="center"/>
            <w:hideMark/>
          </w:tcPr>
          <w:p w:rsidRPr="00204F12" w:rsidR="00F37572" w:rsidP="004775B5" w:rsidRDefault="00F37572" w14:paraId="2AF8FD10" w14:textId="77777777">
            <w:pPr>
              <w:rPr>
                <w:color w:val="000000"/>
              </w:rPr>
            </w:pPr>
            <w:r w:rsidRPr="00204F12">
              <w:rPr>
                <w:color w:val="000000"/>
              </w:rPr>
              <w:t>Average burden, per respondent:</w:t>
            </w:r>
          </w:p>
        </w:tc>
        <w:tc>
          <w:tcPr>
            <w:tcW w:w="1116" w:type="dxa"/>
            <w:tcBorders>
              <w:top w:val="nil"/>
              <w:left w:val="nil"/>
              <w:bottom w:val="nil"/>
              <w:right w:val="nil"/>
            </w:tcBorders>
            <w:shd w:val="clear" w:color="auto" w:fill="auto"/>
            <w:noWrap/>
            <w:vAlign w:val="bottom"/>
            <w:hideMark/>
          </w:tcPr>
          <w:p w:rsidRPr="00204F12" w:rsidR="00F37572" w:rsidP="004775B5" w:rsidRDefault="00F37572" w14:paraId="2D112941" w14:textId="77777777">
            <w:pPr>
              <w:jc w:val="right"/>
              <w:rPr>
                <w:color w:val="000000"/>
              </w:rPr>
            </w:pPr>
            <w:r w:rsidRPr="00204F12">
              <w:rPr>
                <w:color w:val="000000"/>
              </w:rPr>
              <w:t xml:space="preserve">       </w:t>
            </w:r>
            <w:r w:rsidR="00F80806">
              <w:rPr>
                <w:color w:val="000000"/>
              </w:rPr>
              <w:t>30.2</w:t>
            </w:r>
            <w:r w:rsidRPr="00204F12">
              <w:rPr>
                <w:color w:val="000000"/>
              </w:rPr>
              <w:t xml:space="preserve"> </w:t>
            </w:r>
          </w:p>
        </w:tc>
        <w:tc>
          <w:tcPr>
            <w:tcW w:w="1242" w:type="dxa"/>
            <w:tcBorders>
              <w:top w:val="nil"/>
              <w:left w:val="nil"/>
              <w:bottom w:val="nil"/>
              <w:right w:val="nil"/>
            </w:tcBorders>
            <w:shd w:val="clear" w:color="auto" w:fill="auto"/>
            <w:noWrap/>
            <w:vAlign w:val="bottom"/>
            <w:hideMark/>
          </w:tcPr>
          <w:p w:rsidRPr="00204F12" w:rsidR="00F37572" w:rsidP="004775B5" w:rsidRDefault="00F37572" w14:paraId="06685F4F" w14:textId="77777777">
            <w:pPr>
              <w:rPr>
                <w:color w:val="000000"/>
              </w:rPr>
            </w:pPr>
          </w:p>
        </w:tc>
      </w:tr>
      <w:tr w:rsidRPr="00204F12" w:rsidR="00F37572" w:rsidTr="004775B5" w14:paraId="0EF0B1CB" w14:textId="77777777">
        <w:trPr>
          <w:trHeight w:val="315"/>
        </w:trPr>
        <w:tc>
          <w:tcPr>
            <w:tcW w:w="4762" w:type="dxa"/>
            <w:tcBorders>
              <w:top w:val="nil"/>
              <w:left w:val="nil"/>
              <w:bottom w:val="nil"/>
              <w:right w:val="nil"/>
            </w:tcBorders>
            <w:shd w:val="clear" w:color="auto" w:fill="auto"/>
            <w:noWrap/>
            <w:vAlign w:val="center"/>
            <w:hideMark/>
          </w:tcPr>
          <w:p w:rsidRPr="00204F12" w:rsidR="00F37572" w:rsidP="004775B5" w:rsidRDefault="00F37572" w14:paraId="0F4D007D" w14:textId="77777777">
            <w:pPr>
              <w:rPr>
                <w:color w:val="000000"/>
              </w:rPr>
            </w:pPr>
          </w:p>
        </w:tc>
        <w:tc>
          <w:tcPr>
            <w:tcW w:w="1116" w:type="dxa"/>
            <w:tcBorders>
              <w:top w:val="nil"/>
              <w:left w:val="nil"/>
              <w:bottom w:val="nil"/>
              <w:right w:val="nil"/>
            </w:tcBorders>
            <w:shd w:val="clear" w:color="auto" w:fill="auto"/>
            <w:noWrap/>
            <w:vAlign w:val="bottom"/>
            <w:hideMark/>
          </w:tcPr>
          <w:p w:rsidRPr="00204F12" w:rsidR="00F37572" w:rsidP="004775B5" w:rsidRDefault="00F37572" w14:paraId="18186AFE" w14:textId="77777777">
            <w:pPr>
              <w:jc w:val="right"/>
              <w:rPr>
                <w:color w:val="000000"/>
              </w:rPr>
            </w:pPr>
          </w:p>
        </w:tc>
        <w:tc>
          <w:tcPr>
            <w:tcW w:w="1242" w:type="dxa"/>
            <w:tcBorders>
              <w:top w:val="nil"/>
              <w:left w:val="nil"/>
              <w:bottom w:val="nil"/>
              <w:right w:val="nil"/>
            </w:tcBorders>
            <w:shd w:val="clear" w:color="auto" w:fill="auto"/>
            <w:noWrap/>
            <w:vAlign w:val="bottom"/>
            <w:hideMark/>
          </w:tcPr>
          <w:p w:rsidRPr="00204F12" w:rsidR="00F37572" w:rsidP="004775B5" w:rsidRDefault="00F37572" w14:paraId="7BCD52DC" w14:textId="77777777">
            <w:pPr>
              <w:rPr>
                <w:color w:val="000000"/>
              </w:rPr>
            </w:pPr>
          </w:p>
        </w:tc>
      </w:tr>
    </w:tbl>
    <w:p w:rsidRPr="003A2DA1" w:rsidR="001A6313" w:rsidP="001A6313" w:rsidRDefault="001A6313" w14:paraId="42E17391" w14:textId="77777777">
      <w:pPr>
        <w:rPr>
          <w:szCs w:val="24"/>
        </w:rPr>
      </w:pPr>
      <w:r w:rsidRPr="003A2DA1">
        <w:rPr>
          <w:szCs w:val="24"/>
        </w:rPr>
        <w:t>Burden dollars:</w:t>
      </w:r>
    </w:p>
    <w:p w:rsidR="001A6313" w:rsidP="001A6313" w:rsidRDefault="001A6313" w14:paraId="5E1B4BB4" w14:textId="77777777"/>
    <w:tbl>
      <w:tblPr>
        <w:tblW w:w="0" w:type="auto"/>
        <w:tblInd w:w="720" w:type="dxa"/>
        <w:tblLayout w:type="fixed"/>
        <w:tblLook w:val="04A0" w:firstRow="1" w:lastRow="0" w:firstColumn="1" w:lastColumn="0" w:noHBand="0" w:noVBand="1"/>
      </w:tblPr>
      <w:tblGrid>
        <w:gridCol w:w="4405"/>
        <w:gridCol w:w="1553"/>
        <w:gridCol w:w="1440"/>
        <w:gridCol w:w="1080"/>
      </w:tblGrid>
      <w:tr w:rsidRPr="00D46C28" w:rsidR="001A6313" w:rsidTr="00F37572" w14:paraId="0B80E476" w14:textId="77777777">
        <w:tc>
          <w:tcPr>
            <w:tcW w:w="4405" w:type="dxa"/>
          </w:tcPr>
          <w:p w:rsidRPr="00D46C28" w:rsidR="001A6313" w:rsidP="008A2A8B" w:rsidRDefault="001A6313" w14:paraId="583423E9" w14:textId="77777777">
            <w:pPr>
              <w:rPr>
                <w:rFonts w:eastAsia="SimSun"/>
                <w:szCs w:val="24"/>
              </w:rPr>
            </w:pPr>
            <w:r w:rsidRPr="00D46C28">
              <w:rPr>
                <w:rFonts w:eastAsia="SimSun"/>
                <w:szCs w:val="24"/>
              </w:rPr>
              <w:t>Estimate hourly wage ($/hour):</w:t>
            </w:r>
            <w:r w:rsidRPr="00D46C28">
              <w:rPr>
                <w:rStyle w:val="FootnoteReference"/>
                <w:rFonts w:eastAsia="SimSun"/>
                <w:szCs w:val="24"/>
                <w:vertAlign w:val="superscript"/>
              </w:rPr>
              <w:footnoteReference w:id="1"/>
            </w:r>
          </w:p>
        </w:tc>
        <w:tc>
          <w:tcPr>
            <w:tcW w:w="1553" w:type="dxa"/>
          </w:tcPr>
          <w:p w:rsidRPr="00D46C28" w:rsidR="001A6313" w:rsidP="008A2A8B" w:rsidRDefault="001A6313" w14:paraId="126A9E9C" w14:textId="77777777">
            <w:pPr>
              <w:jc w:val="right"/>
              <w:rPr>
                <w:rFonts w:eastAsia="SimSun"/>
                <w:szCs w:val="24"/>
              </w:rPr>
            </w:pPr>
            <w:r w:rsidRPr="00D46C28">
              <w:rPr>
                <w:rFonts w:eastAsia="SimSun"/>
                <w:szCs w:val="24"/>
              </w:rPr>
              <w:t>$</w:t>
            </w:r>
            <w:r w:rsidR="00F80806">
              <w:rPr>
                <w:rFonts w:eastAsia="SimSun"/>
                <w:szCs w:val="24"/>
              </w:rPr>
              <w:t>45.46</w:t>
            </w:r>
          </w:p>
        </w:tc>
        <w:tc>
          <w:tcPr>
            <w:tcW w:w="1440" w:type="dxa"/>
          </w:tcPr>
          <w:p w:rsidRPr="00D46C28" w:rsidR="001A6313" w:rsidP="008A2A8B" w:rsidRDefault="001A6313" w14:paraId="1F5378F3" w14:textId="77777777">
            <w:pPr>
              <w:jc w:val="right"/>
              <w:rPr>
                <w:rFonts w:eastAsia="SimSun"/>
                <w:szCs w:val="24"/>
              </w:rPr>
            </w:pPr>
          </w:p>
        </w:tc>
        <w:tc>
          <w:tcPr>
            <w:tcW w:w="1080" w:type="dxa"/>
          </w:tcPr>
          <w:p w:rsidRPr="00D46C28" w:rsidR="001A6313" w:rsidP="008A2A8B" w:rsidRDefault="001A6313" w14:paraId="6053D78B" w14:textId="77777777">
            <w:pPr>
              <w:jc w:val="right"/>
              <w:rPr>
                <w:rFonts w:eastAsia="SimSun"/>
                <w:szCs w:val="24"/>
              </w:rPr>
            </w:pPr>
          </w:p>
        </w:tc>
      </w:tr>
      <w:tr w:rsidRPr="00D46C28" w:rsidR="001A6313" w:rsidTr="00F37572" w14:paraId="1F4E99C3" w14:textId="77777777">
        <w:tc>
          <w:tcPr>
            <w:tcW w:w="4405" w:type="dxa"/>
          </w:tcPr>
          <w:p w:rsidRPr="00D46C28" w:rsidR="001A6313" w:rsidP="008A2A8B" w:rsidRDefault="001A6313" w14:paraId="6AC94B19" w14:textId="77777777">
            <w:pPr>
              <w:rPr>
                <w:rFonts w:eastAsia="SimSun"/>
                <w:szCs w:val="24"/>
              </w:rPr>
            </w:pPr>
            <w:r w:rsidRPr="00D46C28">
              <w:rPr>
                <w:rFonts w:eastAsia="SimSun"/>
                <w:szCs w:val="24"/>
              </w:rPr>
              <w:t>Load for benefits (percent of labor rate):</w:t>
            </w:r>
            <w:r w:rsidRPr="00D46C28">
              <w:rPr>
                <w:rStyle w:val="FootnoteReference"/>
                <w:rFonts w:eastAsia="SimSun"/>
                <w:szCs w:val="24"/>
                <w:vertAlign w:val="superscript"/>
              </w:rPr>
              <w:footnoteReference w:id="2"/>
            </w:r>
          </w:p>
        </w:tc>
        <w:tc>
          <w:tcPr>
            <w:tcW w:w="1553" w:type="dxa"/>
          </w:tcPr>
          <w:p w:rsidRPr="00D46C28" w:rsidR="001A6313" w:rsidP="008A2A8B" w:rsidRDefault="00F80806" w14:paraId="50C7C3C1" w14:textId="77777777">
            <w:pPr>
              <w:jc w:val="right"/>
              <w:rPr>
                <w:rFonts w:eastAsia="SimSun"/>
                <w:szCs w:val="24"/>
              </w:rPr>
            </w:pPr>
            <w:r>
              <w:rPr>
                <w:rFonts w:eastAsia="SimSun"/>
                <w:szCs w:val="24"/>
              </w:rPr>
              <w:t>42.7</w:t>
            </w:r>
            <w:r w:rsidRPr="00D46C28" w:rsidR="001A6313">
              <w:rPr>
                <w:rFonts w:eastAsia="SimSun"/>
                <w:szCs w:val="24"/>
              </w:rPr>
              <w:t>%</w:t>
            </w:r>
          </w:p>
        </w:tc>
        <w:tc>
          <w:tcPr>
            <w:tcW w:w="1440" w:type="dxa"/>
          </w:tcPr>
          <w:p w:rsidR="001A6313" w:rsidP="008A2A8B" w:rsidRDefault="001A6313" w14:paraId="1AADB35C" w14:textId="77777777">
            <w:pPr>
              <w:jc w:val="right"/>
              <w:rPr>
                <w:rFonts w:eastAsia="SimSun"/>
                <w:szCs w:val="24"/>
              </w:rPr>
            </w:pPr>
          </w:p>
        </w:tc>
        <w:tc>
          <w:tcPr>
            <w:tcW w:w="1080" w:type="dxa"/>
          </w:tcPr>
          <w:p w:rsidR="001A6313" w:rsidP="008A2A8B" w:rsidRDefault="001A6313" w14:paraId="14C687A6" w14:textId="77777777">
            <w:pPr>
              <w:jc w:val="right"/>
              <w:rPr>
                <w:rFonts w:eastAsia="SimSun"/>
                <w:szCs w:val="24"/>
              </w:rPr>
            </w:pPr>
          </w:p>
        </w:tc>
      </w:tr>
      <w:tr w:rsidRPr="00D46C28" w:rsidR="001A6313" w:rsidTr="00F37572" w14:paraId="31432952" w14:textId="77777777">
        <w:tc>
          <w:tcPr>
            <w:tcW w:w="4405" w:type="dxa"/>
          </w:tcPr>
          <w:p w:rsidRPr="00D46C28" w:rsidR="001A6313" w:rsidP="008A2A8B" w:rsidRDefault="001A6313" w14:paraId="256D98FF" w14:textId="77777777">
            <w:pPr>
              <w:rPr>
                <w:rFonts w:eastAsia="SimSun"/>
                <w:szCs w:val="24"/>
              </w:rPr>
            </w:pPr>
            <w:r w:rsidRPr="006A589C">
              <w:rPr>
                <w:rFonts w:eastAsia="SimSun"/>
                <w:szCs w:val="24"/>
              </w:rPr>
              <w:t>Loaded labor rate ($/hour):</w:t>
            </w:r>
            <w:r w:rsidRPr="00D46C28">
              <w:rPr>
                <w:rStyle w:val="FootnoteReference"/>
                <w:rFonts w:eastAsia="SimSun"/>
                <w:szCs w:val="24"/>
                <w:vertAlign w:val="superscript"/>
              </w:rPr>
              <w:footnoteReference w:id="3"/>
            </w:r>
          </w:p>
        </w:tc>
        <w:tc>
          <w:tcPr>
            <w:tcW w:w="1553" w:type="dxa"/>
          </w:tcPr>
          <w:p w:rsidRPr="00D46C28" w:rsidR="001A6313" w:rsidP="008A2A8B" w:rsidRDefault="001A6313" w14:paraId="40A197EC" w14:textId="77777777">
            <w:pPr>
              <w:jc w:val="right"/>
              <w:rPr>
                <w:rFonts w:eastAsia="SimSun"/>
                <w:szCs w:val="24"/>
              </w:rPr>
            </w:pPr>
            <w:r w:rsidRPr="00D46C28">
              <w:rPr>
                <w:rFonts w:eastAsia="SimSun"/>
                <w:szCs w:val="24"/>
              </w:rPr>
              <w:t>$</w:t>
            </w:r>
            <w:r w:rsidR="00F80806">
              <w:rPr>
                <w:rFonts w:eastAsia="SimSun"/>
                <w:szCs w:val="24"/>
              </w:rPr>
              <w:t>64.87</w:t>
            </w:r>
          </w:p>
        </w:tc>
        <w:tc>
          <w:tcPr>
            <w:tcW w:w="1440" w:type="dxa"/>
          </w:tcPr>
          <w:p w:rsidRPr="00D46C28" w:rsidR="001A6313" w:rsidP="008A2A8B" w:rsidRDefault="001A6313" w14:paraId="124E0A56" w14:textId="77777777">
            <w:pPr>
              <w:jc w:val="right"/>
              <w:rPr>
                <w:rFonts w:eastAsia="SimSun"/>
                <w:szCs w:val="24"/>
              </w:rPr>
            </w:pPr>
          </w:p>
        </w:tc>
        <w:tc>
          <w:tcPr>
            <w:tcW w:w="1080" w:type="dxa"/>
          </w:tcPr>
          <w:p w:rsidRPr="00D46C28" w:rsidR="001A6313" w:rsidP="008A2A8B" w:rsidRDefault="001A6313" w14:paraId="56EF314D" w14:textId="77777777">
            <w:pPr>
              <w:jc w:val="right"/>
              <w:rPr>
                <w:rFonts w:eastAsia="SimSun"/>
                <w:szCs w:val="24"/>
              </w:rPr>
            </w:pPr>
          </w:p>
        </w:tc>
      </w:tr>
    </w:tbl>
    <w:p w:rsidR="009E3133" w:rsidP="006112F5" w:rsidRDefault="009E3133" w14:paraId="7894FA2A" w14:textId="77777777"/>
    <w:tbl>
      <w:tblPr>
        <w:tblW w:w="6565" w:type="dxa"/>
        <w:tblLook w:val="04A0" w:firstRow="1" w:lastRow="0" w:firstColumn="1" w:lastColumn="0" w:noHBand="0" w:noVBand="1"/>
      </w:tblPr>
      <w:tblGrid>
        <w:gridCol w:w="2785"/>
        <w:gridCol w:w="1440"/>
        <w:gridCol w:w="1350"/>
        <w:gridCol w:w="990"/>
      </w:tblGrid>
      <w:tr w:rsidRPr="00F80806" w:rsidR="00F80806" w:rsidTr="00F80806" w14:paraId="1E4D0D51" w14:textId="77777777">
        <w:trPr>
          <w:trHeight w:val="300"/>
        </w:trPr>
        <w:tc>
          <w:tcPr>
            <w:tcW w:w="2785"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Pr="00F80806" w:rsidR="00F80806" w:rsidP="00F80806" w:rsidRDefault="00F80806" w14:paraId="064E1320" w14:textId="77777777">
            <w:pPr>
              <w:widowControl/>
              <w:rPr>
                <w:b/>
                <w:bCs/>
                <w:snapToGrid/>
                <w:color w:val="000000"/>
                <w:sz w:val="20"/>
              </w:rPr>
            </w:pPr>
            <w:r w:rsidRPr="00F80806">
              <w:rPr>
                <w:b/>
                <w:bCs/>
                <w:snapToGrid/>
                <w:color w:val="000000"/>
                <w:sz w:val="20"/>
              </w:rPr>
              <w:t>Burden by form</w:t>
            </w:r>
          </w:p>
        </w:tc>
        <w:tc>
          <w:tcPr>
            <w:tcW w:w="1440" w:type="dxa"/>
            <w:tcBorders>
              <w:top w:val="single" w:color="auto" w:sz="4" w:space="0"/>
              <w:left w:val="nil"/>
              <w:bottom w:val="single" w:color="auto" w:sz="4" w:space="0"/>
              <w:right w:val="single" w:color="auto" w:sz="4" w:space="0"/>
            </w:tcBorders>
            <w:shd w:val="clear" w:color="000000" w:fill="B8CCE4"/>
            <w:noWrap/>
            <w:vAlign w:val="bottom"/>
            <w:hideMark/>
          </w:tcPr>
          <w:p w:rsidRPr="00F80806" w:rsidR="00F80806" w:rsidP="00F80806" w:rsidRDefault="00F80806" w14:paraId="7C405B75" w14:textId="77777777">
            <w:pPr>
              <w:widowControl/>
              <w:jc w:val="center"/>
              <w:rPr>
                <w:b/>
                <w:bCs/>
                <w:snapToGrid/>
                <w:color w:val="000000"/>
                <w:sz w:val="20"/>
              </w:rPr>
            </w:pPr>
            <w:r w:rsidRPr="00F80806">
              <w:rPr>
                <w:b/>
                <w:bCs/>
                <w:snapToGrid/>
                <w:color w:val="000000"/>
                <w:sz w:val="20"/>
              </w:rPr>
              <w:t>DEA 161</w:t>
            </w:r>
          </w:p>
        </w:tc>
        <w:tc>
          <w:tcPr>
            <w:tcW w:w="1350" w:type="dxa"/>
            <w:tcBorders>
              <w:top w:val="single" w:color="auto" w:sz="4" w:space="0"/>
              <w:left w:val="nil"/>
              <w:bottom w:val="single" w:color="auto" w:sz="4" w:space="0"/>
              <w:right w:val="single" w:color="auto" w:sz="4" w:space="0"/>
            </w:tcBorders>
            <w:shd w:val="clear" w:color="000000" w:fill="B8CCE4"/>
            <w:noWrap/>
            <w:vAlign w:val="bottom"/>
            <w:hideMark/>
          </w:tcPr>
          <w:p w:rsidRPr="00F80806" w:rsidR="00F80806" w:rsidP="00F80806" w:rsidRDefault="00F80806" w14:paraId="4C01977B" w14:textId="77777777">
            <w:pPr>
              <w:widowControl/>
              <w:jc w:val="center"/>
              <w:rPr>
                <w:b/>
                <w:bCs/>
                <w:snapToGrid/>
                <w:color w:val="000000"/>
                <w:sz w:val="20"/>
              </w:rPr>
            </w:pPr>
            <w:r w:rsidRPr="00F80806">
              <w:rPr>
                <w:b/>
                <w:bCs/>
                <w:snapToGrid/>
                <w:color w:val="000000"/>
                <w:sz w:val="20"/>
              </w:rPr>
              <w:t>DEA 161R</w:t>
            </w:r>
            <w:r>
              <w:rPr>
                <w:b/>
                <w:bCs/>
                <w:snapToGrid/>
                <w:color w:val="000000"/>
                <w:sz w:val="20"/>
              </w:rPr>
              <w:t>/ 161R-EEA</w:t>
            </w:r>
          </w:p>
        </w:tc>
        <w:tc>
          <w:tcPr>
            <w:tcW w:w="990" w:type="dxa"/>
            <w:tcBorders>
              <w:top w:val="single" w:color="auto" w:sz="4" w:space="0"/>
              <w:left w:val="nil"/>
              <w:bottom w:val="single" w:color="auto" w:sz="4" w:space="0"/>
              <w:right w:val="single" w:color="auto" w:sz="4" w:space="0"/>
            </w:tcBorders>
            <w:shd w:val="clear" w:color="000000" w:fill="B8CCE4"/>
            <w:noWrap/>
            <w:vAlign w:val="bottom"/>
            <w:hideMark/>
          </w:tcPr>
          <w:p w:rsidRPr="00F80806" w:rsidR="00F80806" w:rsidP="00F80806" w:rsidRDefault="00F80806" w14:paraId="741D2CD0" w14:textId="77777777">
            <w:pPr>
              <w:widowControl/>
              <w:jc w:val="center"/>
              <w:rPr>
                <w:b/>
                <w:bCs/>
                <w:snapToGrid/>
                <w:color w:val="000000"/>
                <w:sz w:val="20"/>
              </w:rPr>
            </w:pPr>
            <w:r w:rsidRPr="00F80806">
              <w:rPr>
                <w:b/>
                <w:bCs/>
                <w:snapToGrid/>
                <w:color w:val="000000"/>
                <w:sz w:val="20"/>
              </w:rPr>
              <w:t>Total</w:t>
            </w:r>
          </w:p>
        </w:tc>
      </w:tr>
      <w:tr w:rsidRPr="00F80806" w:rsidR="00F80806" w:rsidTr="00F80806" w14:paraId="1775223A"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F80806" w:rsidR="00F80806" w:rsidP="00F80806" w:rsidRDefault="00F80806" w14:paraId="0D04A9AE" w14:textId="77777777">
            <w:pPr>
              <w:widowControl/>
              <w:rPr>
                <w:snapToGrid/>
                <w:color w:val="000000"/>
                <w:sz w:val="20"/>
              </w:rPr>
            </w:pPr>
            <w:r w:rsidRPr="00F80806">
              <w:rPr>
                <w:snapToGrid/>
                <w:color w:val="000000"/>
                <w:sz w:val="20"/>
              </w:rPr>
              <w:t>Number of responses</w:t>
            </w:r>
          </w:p>
        </w:tc>
        <w:tc>
          <w:tcPr>
            <w:tcW w:w="144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06EE361B" w14:textId="77777777">
            <w:pPr>
              <w:widowControl/>
              <w:jc w:val="right"/>
              <w:rPr>
                <w:snapToGrid/>
                <w:color w:val="000000"/>
                <w:sz w:val="20"/>
              </w:rPr>
            </w:pPr>
            <w:r w:rsidRPr="00F80806">
              <w:rPr>
                <w:snapToGrid/>
                <w:color w:val="000000"/>
                <w:sz w:val="20"/>
              </w:rPr>
              <w:t xml:space="preserve">              6,493 </w:t>
            </w:r>
          </w:p>
        </w:tc>
        <w:tc>
          <w:tcPr>
            <w:tcW w:w="135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7B9E5EA1" w14:textId="77777777">
            <w:pPr>
              <w:widowControl/>
              <w:jc w:val="right"/>
              <w:rPr>
                <w:snapToGrid/>
                <w:color w:val="000000"/>
                <w:sz w:val="20"/>
              </w:rPr>
            </w:pPr>
            <w:r w:rsidRPr="00F80806">
              <w:rPr>
                <w:snapToGrid/>
                <w:color w:val="000000"/>
                <w:sz w:val="20"/>
              </w:rPr>
              <w:t xml:space="preserve">               789 </w:t>
            </w:r>
          </w:p>
        </w:tc>
        <w:tc>
          <w:tcPr>
            <w:tcW w:w="99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05A148DE" w14:textId="77777777">
            <w:pPr>
              <w:widowControl/>
              <w:jc w:val="right"/>
              <w:rPr>
                <w:snapToGrid/>
                <w:color w:val="000000"/>
                <w:sz w:val="20"/>
              </w:rPr>
            </w:pPr>
            <w:r w:rsidRPr="00F80806">
              <w:rPr>
                <w:snapToGrid/>
                <w:color w:val="000000"/>
                <w:sz w:val="20"/>
              </w:rPr>
              <w:t>7,282</w:t>
            </w:r>
          </w:p>
        </w:tc>
      </w:tr>
      <w:tr w:rsidRPr="00F80806" w:rsidR="00F80806" w:rsidTr="00F80806" w14:paraId="79518402" w14:textId="77777777">
        <w:trPr>
          <w:trHeight w:val="51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F80806" w:rsidR="00F80806" w:rsidP="00F80806" w:rsidRDefault="00F80806" w14:paraId="03AEB9AE" w14:textId="77777777">
            <w:pPr>
              <w:widowControl/>
              <w:rPr>
                <w:snapToGrid/>
                <w:color w:val="000000"/>
                <w:sz w:val="20"/>
              </w:rPr>
            </w:pPr>
            <w:r w:rsidRPr="00F80806">
              <w:rPr>
                <w:snapToGrid/>
                <w:color w:val="000000"/>
                <w:sz w:val="20"/>
              </w:rPr>
              <w:lastRenderedPageBreak/>
              <w:t>Burden per response (hour)</w:t>
            </w:r>
          </w:p>
        </w:tc>
        <w:tc>
          <w:tcPr>
            <w:tcW w:w="144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6115FAF0" w14:textId="77777777">
            <w:pPr>
              <w:widowControl/>
              <w:jc w:val="right"/>
              <w:rPr>
                <w:snapToGrid/>
                <w:color w:val="000000"/>
                <w:sz w:val="20"/>
              </w:rPr>
            </w:pPr>
            <w:r w:rsidRPr="00F80806">
              <w:rPr>
                <w:snapToGrid/>
                <w:color w:val="000000"/>
                <w:sz w:val="20"/>
              </w:rPr>
              <w:t xml:space="preserve">                0.50 </w:t>
            </w:r>
          </w:p>
        </w:tc>
        <w:tc>
          <w:tcPr>
            <w:tcW w:w="135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2348A1E8" w14:textId="77777777">
            <w:pPr>
              <w:widowControl/>
              <w:jc w:val="right"/>
              <w:rPr>
                <w:snapToGrid/>
                <w:color w:val="000000"/>
                <w:sz w:val="20"/>
              </w:rPr>
            </w:pPr>
            <w:r w:rsidRPr="00F80806">
              <w:rPr>
                <w:snapToGrid/>
                <w:color w:val="000000"/>
                <w:sz w:val="20"/>
              </w:rPr>
              <w:t xml:space="preserve">              0.75 </w:t>
            </w:r>
          </w:p>
        </w:tc>
        <w:tc>
          <w:tcPr>
            <w:tcW w:w="99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3477F728" w14:textId="77777777">
            <w:pPr>
              <w:widowControl/>
              <w:jc w:val="right"/>
              <w:rPr>
                <w:snapToGrid/>
                <w:color w:val="000000"/>
                <w:sz w:val="20"/>
              </w:rPr>
            </w:pPr>
            <w:r w:rsidRPr="00F80806">
              <w:rPr>
                <w:snapToGrid/>
                <w:color w:val="000000"/>
                <w:sz w:val="20"/>
              </w:rPr>
              <w:t>N/A</w:t>
            </w:r>
          </w:p>
        </w:tc>
      </w:tr>
      <w:tr w:rsidRPr="00F80806" w:rsidR="00F80806" w:rsidTr="00F80806" w14:paraId="6915E456"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F80806" w:rsidR="00F80806" w:rsidP="00F80806" w:rsidRDefault="00F80806" w14:paraId="47422FB2" w14:textId="77777777">
            <w:pPr>
              <w:widowControl/>
              <w:rPr>
                <w:snapToGrid/>
                <w:color w:val="000000"/>
                <w:sz w:val="20"/>
              </w:rPr>
            </w:pPr>
            <w:r w:rsidRPr="00F80806">
              <w:rPr>
                <w:snapToGrid/>
                <w:color w:val="000000"/>
                <w:sz w:val="20"/>
              </w:rPr>
              <w:t>To</w:t>
            </w:r>
            <w:r>
              <w:rPr>
                <w:snapToGrid/>
                <w:color w:val="000000"/>
                <w:sz w:val="20"/>
              </w:rPr>
              <w:t>t</w:t>
            </w:r>
            <w:r w:rsidRPr="00F80806">
              <w:rPr>
                <w:snapToGrid/>
                <w:color w:val="000000"/>
                <w:sz w:val="20"/>
              </w:rPr>
              <w:t>al burden hours</w:t>
            </w:r>
          </w:p>
        </w:tc>
        <w:tc>
          <w:tcPr>
            <w:tcW w:w="144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512C99F4" w14:textId="77777777">
            <w:pPr>
              <w:widowControl/>
              <w:jc w:val="right"/>
              <w:rPr>
                <w:snapToGrid/>
                <w:color w:val="000000"/>
                <w:sz w:val="20"/>
              </w:rPr>
            </w:pPr>
            <w:r w:rsidRPr="00F80806">
              <w:rPr>
                <w:snapToGrid/>
                <w:color w:val="000000"/>
                <w:sz w:val="20"/>
              </w:rPr>
              <w:t xml:space="preserve">              3,247 </w:t>
            </w:r>
          </w:p>
        </w:tc>
        <w:tc>
          <w:tcPr>
            <w:tcW w:w="135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371AFAC3" w14:textId="77777777">
            <w:pPr>
              <w:widowControl/>
              <w:jc w:val="right"/>
              <w:rPr>
                <w:snapToGrid/>
                <w:color w:val="000000"/>
                <w:sz w:val="20"/>
              </w:rPr>
            </w:pPr>
            <w:r w:rsidRPr="00F80806">
              <w:rPr>
                <w:snapToGrid/>
                <w:color w:val="000000"/>
                <w:sz w:val="20"/>
              </w:rPr>
              <w:t xml:space="preserve">               592 </w:t>
            </w:r>
          </w:p>
        </w:tc>
        <w:tc>
          <w:tcPr>
            <w:tcW w:w="99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2112CB81" w14:textId="77777777">
            <w:pPr>
              <w:widowControl/>
              <w:jc w:val="right"/>
              <w:rPr>
                <w:snapToGrid/>
                <w:color w:val="000000"/>
                <w:sz w:val="20"/>
              </w:rPr>
            </w:pPr>
            <w:r w:rsidRPr="00F80806">
              <w:rPr>
                <w:snapToGrid/>
                <w:color w:val="000000"/>
                <w:sz w:val="20"/>
              </w:rPr>
              <w:t>3,839</w:t>
            </w:r>
          </w:p>
        </w:tc>
      </w:tr>
      <w:tr w:rsidRPr="00F80806" w:rsidR="00F80806" w:rsidTr="00F80806" w14:paraId="2BA28957" w14:textId="77777777">
        <w:trPr>
          <w:trHeight w:val="51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F80806" w:rsidR="00F80806" w:rsidP="00F80806" w:rsidRDefault="00F80806" w14:paraId="07E5943B" w14:textId="77777777">
            <w:pPr>
              <w:widowControl/>
              <w:rPr>
                <w:snapToGrid/>
                <w:color w:val="000000"/>
                <w:sz w:val="20"/>
              </w:rPr>
            </w:pPr>
            <w:r w:rsidRPr="00F80806">
              <w:rPr>
                <w:snapToGrid/>
                <w:color w:val="000000"/>
                <w:sz w:val="20"/>
              </w:rPr>
              <w:t>Burden dollars per response ($)</w:t>
            </w:r>
          </w:p>
        </w:tc>
        <w:tc>
          <w:tcPr>
            <w:tcW w:w="144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0D745EDF" w14:textId="77777777">
            <w:pPr>
              <w:widowControl/>
              <w:jc w:val="right"/>
              <w:rPr>
                <w:snapToGrid/>
                <w:color w:val="000000"/>
                <w:sz w:val="20"/>
              </w:rPr>
            </w:pPr>
            <w:r w:rsidRPr="00F80806">
              <w:rPr>
                <w:snapToGrid/>
                <w:color w:val="000000"/>
                <w:sz w:val="20"/>
              </w:rPr>
              <w:t xml:space="preserve">              32.44 </w:t>
            </w:r>
          </w:p>
        </w:tc>
        <w:tc>
          <w:tcPr>
            <w:tcW w:w="135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446856C5" w14:textId="77777777">
            <w:pPr>
              <w:widowControl/>
              <w:jc w:val="right"/>
              <w:rPr>
                <w:snapToGrid/>
                <w:color w:val="000000"/>
                <w:sz w:val="20"/>
              </w:rPr>
            </w:pPr>
            <w:r w:rsidRPr="00F80806">
              <w:rPr>
                <w:snapToGrid/>
                <w:color w:val="000000"/>
                <w:sz w:val="20"/>
              </w:rPr>
              <w:t xml:space="preserve">            48.65 </w:t>
            </w:r>
          </w:p>
        </w:tc>
        <w:tc>
          <w:tcPr>
            <w:tcW w:w="990" w:type="dxa"/>
            <w:tcBorders>
              <w:top w:val="nil"/>
              <w:left w:val="nil"/>
              <w:bottom w:val="single" w:color="auto" w:sz="4" w:space="0"/>
              <w:right w:val="single" w:color="auto" w:sz="4" w:space="0"/>
            </w:tcBorders>
            <w:shd w:val="clear" w:color="auto" w:fill="auto"/>
            <w:noWrap/>
            <w:vAlign w:val="bottom"/>
            <w:hideMark/>
          </w:tcPr>
          <w:p w:rsidRPr="00F80806" w:rsidR="00F80806" w:rsidP="00F80806" w:rsidRDefault="00F80806" w14:paraId="71D5A186" w14:textId="77777777">
            <w:pPr>
              <w:widowControl/>
              <w:jc w:val="right"/>
              <w:rPr>
                <w:snapToGrid/>
                <w:color w:val="000000"/>
                <w:sz w:val="20"/>
              </w:rPr>
            </w:pPr>
            <w:r w:rsidRPr="00F80806">
              <w:rPr>
                <w:snapToGrid/>
                <w:color w:val="000000"/>
                <w:sz w:val="20"/>
              </w:rPr>
              <w:t>N/A</w:t>
            </w:r>
          </w:p>
        </w:tc>
      </w:tr>
      <w:tr w:rsidRPr="00F80806" w:rsidR="00F80806" w:rsidTr="00F80806" w14:paraId="78B2076A" w14:textId="77777777">
        <w:trPr>
          <w:trHeight w:val="510"/>
        </w:trPr>
        <w:tc>
          <w:tcPr>
            <w:tcW w:w="2785" w:type="dxa"/>
            <w:tcBorders>
              <w:top w:val="nil"/>
              <w:left w:val="single" w:color="auto" w:sz="4" w:space="0"/>
              <w:bottom w:val="single" w:color="auto" w:sz="4" w:space="0"/>
              <w:right w:val="single" w:color="auto" w:sz="4" w:space="0"/>
            </w:tcBorders>
            <w:shd w:val="clear" w:color="000000" w:fill="B8CCE4"/>
            <w:vAlign w:val="center"/>
            <w:hideMark/>
          </w:tcPr>
          <w:p w:rsidRPr="00F80806" w:rsidR="00F80806" w:rsidP="00F80806" w:rsidRDefault="00F80806" w14:paraId="157BAB98" w14:textId="77777777">
            <w:pPr>
              <w:widowControl/>
              <w:rPr>
                <w:b/>
                <w:bCs/>
                <w:snapToGrid/>
                <w:color w:val="000000"/>
                <w:sz w:val="20"/>
              </w:rPr>
            </w:pPr>
            <w:r w:rsidRPr="00F80806">
              <w:rPr>
                <w:b/>
                <w:bCs/>
                <w:snapToGrid/>
                <w:color w:val="000000"/>
                <w:sz w:val="20"/>
              </w:rPr>
              <w:t>Total burden dollars ($)</w:t>
            </w:r>
          </w:p>
        </w:tc>
        <w:tc>
          <w:tcPr>
            <w:tcW w:w="1440" w:type="dxa"/>
            <w:tcBorders>
              <w:top w:val="nil"/>
              <w:left w:val="nil"/>
              <w:bottom w:val="single" w:color="auto" w:sz="4" w:space="0"/>
              <w:right w:val="single" w:color="auto" w:sz="4" w:space="0"/>
            </w:tcBorders>
            <w:shd w:val="clear" w:color="000000" w:fill="B8CCE4"/>
            <w:noWrap/>
            <w:vAlign w:val="bottom"/>
            <w:hideMark/>
          </w:tcPr>
          <w:p w:rsidRPr="00F80806" w:rsidR="00F80806" w:rsidP="00F80806" w:rsidRDefault="00F80806" w14:paraId="4472A9A7" w14:textId="77777777">
            <w:pPr>
              <w:widowControl/>
              <w:jc w:val="right"/>
              <w:rPr>
                <w:b/>
                <w:bCs/>
                <w:snapToGrid/>
                <w:color w:val="000000"/>
                <w:sz w:val="20"/>
              </w:rPr>
            </w:pPr>
            <w:r w:rsidRPr="00F80806">
              <w:rPr>
                <w:b/>
                <w:bCs/>
                <w:snapToGrid/>
                <w:color w:val="000000"/>
                <w:sz w:val="20"/>
              </w:rPr>
              <w:t xml:space="preserve">        210,633 </w:t>
            </w:r>
          </w:p>
        </w:tc>
        <w:tc>
          <w:tcPr>
            <w:tcW w:w="1350" w:type="dxa"/>
            <w:tcBorders>
              <w:top w:val="nil"/>
              <w:left w:val="nil"/>
              <w:bottom w:val="single" w:color="auto" w:sz="4" w:space="0"/>
              <w:right w:val="single" w:color="auto" w:sz="4" w:space="0"/>
            </w:tcBorders>
            <w:shd w:val="clear" w:color="000000" w:fill="B8CCE4"/>
            <w:noWrap/>
            <w:vAlign w:val="bottom"/>
            <w:hideMark/>
          </w:tcPr>
          <w:p w:rsidRPr="00F80806" w:rsidR="00F80806" w:rsidP="00F80806" w:rsidRDefault="00F80806" w14:paraId="7DE357C9" w14:textId="77777777">
            <w:pPr>
              <w:widowControl/>
              <w:jc w:val="right"/>
              <w:rPr>
                <w:b/>
                <w:bCs/>
                <w:snapToGrid/>
                <w:color w:val="000000"/>
                <w:sz w:val="20"/>
              </w:rPr>
            </w:pPr>
            <w:r w:rsidRPr="00F80806">
              <w:rPr>
                <w:b/>
                <w:bCs/>
                <w:snapToGrid/>
                <w:color w:val="000000"/>
                <w:sz w:val="20"/>
              </w:rPr>
              <w:t xml:space="preserve">        38,385 </w:t>
            </w:r>
          </w:p>
        </w:tc>
        <w:tc>
          <w:tcPr>
            <w:tcW w:w="990" w:type="dxa"/>
            <w:tcBorders>
              <w:top w:val="nil"/>
              <w:left w:val="nil"/>
              <w:bottom w:val="single" w:color="auto" w:sz="4" w:space="0"/>
              <w:right w:val="single" w:color="auto" w:sz="4" w:space="0"/>
            </w:tcBorders>
            <w:shd w:val="clear" w:color="000000" w:fill="B8CCE4"/>
            <w:noWrap/>
            <w:vAlign w:val="bottom"/>
            <w:hideMark/>
          </w:tcPr>
          <w:p w:rsidRPr="00F80806" w:rsidR="00F80806" w:rsidP="00F80806" w:rsidRDefault="00F80806" w14:paraId="15ABBE59" w14:textId="77777777">
            <w:pPr>
              <w:widowControl/>
              <w:jc w:val="right"/>
              <w:rPr>
                <w:b/>
                <w:bCs/>
                <w:snapToGrid/>
                <w:color w:val="000000"/>
                <w:sz w:val="20"/>
              </w:rPr>
            </w:pPr>
            <w:r w:rsidRPr="00F80806">
              <w:rPr>
                <w:b/>
                <w:bCs/>
                <w:snapToGrid/>
                <w:color w:val="000000"/>
                <w:sz w:val="20"/>
              </w:rPr>
              <w:t xml:space="preserve">   249,018 </w:t>
            </w:r>
          </w:p>
        </w:tc>
      </w:tr>
    </w:tbl>
    <w:p w:rsidR="00F80806" w:rsidP="006112F5" w:rsidRDefault="00F80806" w14:paraId="60D3585B" w14:textId="77777777"/>
    <w:p w:rsidR="009E3133" w:rsidP="006112F5" w:rsidRDefault="009E3133" w14:paraId="26F175CC" w14:textId="77777777"/>
    <w:p w:rsidRPr="009E3133" w:rsidR="006112F5" w:rsidP="009E3133" w:rsidRDefault="009E3133" w14:paraId="1840EBAD" w14:textId="77777777">
      <w:pPr>
        <w:rPr>
          <w:highlight w:val="yellow"/>
        </w:rPr>
      </w:pPr>
      <w:r>
        <w:t xml:space="preserve">13. </w:t>
      </w:r>
      <w:r w:rsidR="000D136C">
        <w:t xml:space="preserve"> </w:t>
      </w:r>
      <w:r w:rsidRPr="009E3133" w:rsidR="006112F5">
        <w:rPr>
          <w:u w:val="single"/>
        </w:rPr>
        <w:t>Estimate</w:t>
      </w:r>
      <w:r w:rsidR="00696EAE">
        <w:rPr>
          <w:u w:val="single"/>
        </w:rPr>
        <w:t xml:space="preserve"> of</w:t>
      </w:r>
      <w:r w:rsidRPr="009E3133" w:rsidR="006112F5">
        <w:rPr>
          <w:u w:val="single"/>
        </w:rPr>
        <w:t xml:space="preserve"> Cost Burden:</w:t>
      </w:r>
      <w:r w:rsidRPr="005E1F8F" w:rsidR="006112F5">
        <w:t xml:space="preserve"> </w:t>
      </w:r>
    </w:p>
    <w:p w:rsidRPr="005E1F8F" w:rsidR="006112F5" w:rsidP="006112F5" w:rsidRDefault="006112F5" w14:paraId="0D9E1A27" w14:textId="77777777"/>
    <w:p w:rsidRPr="006112F5" w:rsidR="006112F5" w:rsidP="006112F5" w:rsidRDefault="008A2A8B" w14:paraId="055DF688" w14:textId="77777777">
      <w:pPr>
        <w:rPr>
          <w:highlight w:val="yellow"/>
        </w:rPr>
      </w:pPr>
      <w:r w:rsidRPr="00244030">
        <w:t>The estimated annual cost burden is zero.  Respondents are not estimated to incur any    a) additional start-up cost or capital expenditure, or b) additional operation and maintenance costs or purchase services as a result of this information collection.</w:t>
      </w:r>
      <w:r>
        <w:t xml:space="preserve"> </w:t>
      </w:r>
    </w:p>
    <w:p w:rsidRPr="006112F5" w:rsidR="006112F5" w:rsidP="006112F5" w:rsidRDefault="006112F5" w14:paraId="00C760E7" w14:textId="77777777">
      <w:pPr>
        <w:rPr>
          <w:highlight w:val="yellow"/>
        </w:rPr>
      </w:pPr>
    </w:p>
    <w:p w:rsidRPr="00E76EE2" w:rsidR="006112F5" w:rsidP="006112F5" w:rsidRDefault="006112F5" w14:paraId="7BDD38CF" w14:textId="77777777">
      <w:r w:rsidRPr="00E76EE2">
        <w:t xml:space="preserve">14. </w:t>
      </w:r>
      <w:r w:rsidR="000D136C">
        <w:t xml:space="preserve"> </w:t>
      </w:r>
      <w:r w:rsidRPr="009E3133">
        <w:rPr>
          <w:u w:val="single"/>
        </w:rPr>
        <w:t>Estimated Annualized Cost to Federal Government:</w:t>
      </w:r>
      <w:r w:rsidRPr="00E76EE2">
        <w:t xml:space="preserve">  </w:t>
      </w:r>
    </w:p>
    <w:p w:rsidRPr="00E76EE2" w:rsidR="006112F5" w:rsidP="006112F5" w:rsidRDefault="006112F5" w14:paraId="70D9548F" w14:textId="77777777"/>
    <w:p w:rsidR="00E5792F" w:rsidP="00E5792F" w:rsidRDefault="00E5792F" w14:paraId="5C8DE4F6" w14:textId="77777777">
      <w:pPr>
        <w:rPr>
          <w:color w:val="000000"/>
          <w:szCs w:val="24"/>
        </w:rPr>
      </w:pPr>
      <w:r>
        <w:rPr>
          <w:color w:val="000000"/>
          <w:szCs w:val="24"/>
        </w:rPr>
        <w:t>Estimated Annual Labor Cost to Government:</w:t>
      </w:r>
    </w:p>
    <w:p w:rsidR="005E4F6B" w:rsidP="00E5792F" w:rsidRDefault="005E4F6B" w14:paraId="4A95AAAD" w14:textId="77777777">
      <w:pPr>
        <w:rPr>
          <w:color w:val="000000"/>
          <w:szCs w:val="24"/>
        </w:rPr>
      </w:pPr>
    </w:p>
    <w:tbl>
      <w:tblPr>
        <w:tblW w:w="8753" w:type="dxa"/>
        <w:tblLook w:val="04A0" w:firstRow="1" w:lastRow="0" w:firstColumn="1" w:lastColumn="0" w:noHBand="0" w:noVBand="1"/>
      </w:tblPr>
      <w:tblGrid>
        <w:gridCol w:w="2965"/>
        <w:gridCol w:w="1080"/>
        <w:gridCol w:w="1288"/>
        <w:gridCol w:w="990"/>
        <w:gridCol w:w="1080"/>
        <w:gridCol w:w="1350"/>
      </w:tblGrid>
      <w:tr w:rsidRPr="005E4F6B" w:rsidR="005E4F6B" w:rsidTr="005E4F6B" w14:paraId="5B61A775" w14:textId="77777777">
        <w:trPr>
          <w:trHeight w:val="345"/>
        </w:trPr>
        <w:tc>
          <w:tcPr>
            <w:tcW w:w="2965"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Pr="005E4F6B" w:rsidR="005E4F6B" w:rsidP="005E4F6B" w:rsidRDefault="005E4F6B" w14:paraId="6AC18B9B" w14:textId="77777777">
            <w:pPr>
              <w:widowControl/>
              <w:rPr>
                <w:b/>
                <w:bCs/>
                <w:snapToGrid/>
                <w:color w:val="000000"/>
                <w:sz w:val="20"/>
              </w:rPr>
            </w:pPr>
            <w:r w:rsidRPr="005E4F6B">
              <w:rPr>
                <w:b/>
                <w:bCs/>
                <w:snapToGrid/>
                <w:color w:val="000000"/>
                <w:sz w:val="20"/>
              </w:rPr>
              <w:t>Labor Category</w:t>
            </w:r>
          </w:p>
        </w:tc>
        <w:tc>
          <w:tcPr>
            <w:tcW w:w="1080" w:type="dxa"/>
            <w:tcBorders>
              <w:top w:val="single" w:color="auto" w:sz="4" w:space="0"/>
              <w:left w:val="nil"/>
              <w:bottom w:val="single" w:color="auto" w:sz="4" w:space="0"/>
              <w:right w:val="single" w:color="auto" w:sz="4" w:space="0"/>
            </w:tcBorders>
            <w:shd w:val="clear" w:color="000000" w:fill="B8CCE4"/>
            <w:noWrap/>
            <w:vAlign w:val="bottom"/>
            <w:hideMark/>
          </w:tcPr>
          <w:p w:rsidRPr="005E4F6B" w:rsidR="005E4F6B" w:rsidP="005E4F6B" w:rsidRDefault="005E4F6B" w14:paraId="1E15B491" w14:textId="77777777">
            <w:pPr>
              <w:widowControl/>
              <w:jc w:val="center"/>
              <w:rPr>
                <w:b/>
                <w:bCs/>
                <w:snapToGrid/>
                <w:color w:val="000000"/>
                <w:sz w:val="20"/>
              </w:rPr>
            </w:pPr>
            <w:r w:rsidRPr="005E4F6B">
              <w:rPr>
                <w:b/>
                <w:bCs/>
                <w:snapToGrid/>
                <w:color w:val="000000"/>
                <w:sz w:val="20"/>
              </w:rPr>
              <w:t>Number</w:t>
            </w:r>
          </w:p>
        </w:tc>
        <w:tc>
          <w:tcPr>
            <w:tcW w:w="1288" w:type="dxa"/>
            <w:tcBorders>
              <w:top w:val="single" w:color="auto" w:sz="4" w:space="0"/>
              <w:left w:val="nil"/>
              <w:bottom w:val="single" w:color="auto" w:sz="4" w:space="0"/>
              <w:right w:val="single" w:color="auto" w:sz="4" w:space="0"/>
            </w:tcBorders>
            <w:shd w:val="clear" w:color="000000" w:fill="B8CCE4"/>
            <w:noWrap/>
            <w:vAlign w:val="bottom"/>
            <w:hideMark/>
          </w:tcPr>
          <w:p w:rsidRPr="005E4F6B" w:rsidR="005E4F6B" w:rsidP="005E4F6B" w:rsidRDefault="005E4F6B" w14:paraId="41BCF0CC" w14:textId="77777777">
            <w:pPr>
              <w:widowControl/>
              <w:jc w:val="center"/>
              <w:rPr>
                <w:b/>
                <w:bCs/>
                <w:snapToGrid/>
                <w:color w:val="000000"/>
                <w:sz w:val="20"/>
              </w:rPr>
            </w:pPr>
            <w:r w:rsidRPr="005E4F6B">
              <w:rPr>
                <w:b/>
                <w:bCs/>
                <w:snapToGrid/>
                <w:color w:val="000000"/>
                <w:sz w:val="20"/>
              </w:rPr>
              <w:t>Annual rate ($)</w:t>
            </w:r>
            <w:r w:rsidR="00B119E9">
              <w:rPr>
                <w:b/>
                <w:bCs/>
                <w:snapToGrid/>
                <w:color w:val="000000"/>
                <w:sz w:val="20"/>
              </w:rPr>
              <w:t>*</w:t>
            </w:r>
          </w:p>
        </w:tc>
        <w:tc>
          <w:tcPr>
            <w:tcW w:w="990" w:type="dxa"/>
            <w:tcBorders>
              <w:top w:val="single" w:color="auto" w:sz="4" w:space="0"/>
              <w:left w:val="nil"/>
              <w:bottom w:val="single" w:color="auto" w:sz="4" w:space="0"/>
              <w:right w:val="single" w:color="auto" w:sz="4" w:space="0"/>
            </w:tcBorders>
            <w:shd w:val="clear" w:color="000000" w:fill="B8CCE4"/>
            <w:noWrap/>
            <w:vAlign w:val="bottom"/>
            <w:hideMark/>
          </w:tcPr>
          <w:p w:rsidRPr="005E4F6B" w:rsidR="005E4F6B" w:rsidP="005E4F6B" w:rsidRDefault="005E4F6B" w14:paraId="086E9EF3" w14:textId="77777777">
            <w:pPr>
              <w:widowControl/>
              <w:jc w:val="center"/>
              <w:rPr>
                <w:b/>
                <w:bCs/>
                <w:snapToGrid/>
                <w:color w:val="000000"/>
                <w:sz w:val="20"/>
              </w:rPr>
            </w:pPr>
            <w:r w:rsidRPr="005E4F6B">
              <w:rPr>
                <w:b/>
                <w:bCs/>
                <w:snapToGrid/>
                <w:color w:val="000000"/>
                <w:sz w:val="20"/>
              </w:rPr>
              <w:t>Load</w:t>
            </w:r>
            <w:r w:rsidR="00B119E9">
              <w:rPr>
                <w:b/>
                <w:bCs/>
                <w:snapToGrid/>
                <w:color w:val="000000"/>
                <w:sz w:val="20"/>
              </w:rPr>
              <w:t>**</w:t>
            </w:r>
          </w:p>
        </w:tc>
        <w:tc>
          <w:tcPr>
            <w:tcW w:w="1080" w:type="dxa"/>
            <w:tcBorders>
              <w:top w:val="single" w:color="auto" w:sz="4" w:space="0"/>
              <w:left w:val="nil"/>
              <w:bottom w:val="single" w:color="auto" w:sz="4" w:space="0"/>
              <w:right w:val="single" w:color="auto" w:sz="4" w:space="0"/>
            </w:tcBorders>
            <w:shd w:val="clear" w:color="000000" w:fill="B8CCE4"/>
            <w:noWrap/>
            <w:vAlign w:val="bottom"/>
            <w:hideMark/>
          </w:tcPr>
          <w:p w:rsidRPr="005E4F6B" w:rsidR="005E4F6B" w:rsidP="005E4F6B" w:rsidRDefault="005E4F6B" w14:paraId="16D485C7" w14:textId="77777777">
            <w:pPr>
              <w:widowControl/>
              <w:jc w:val="center"/>
              <w:rPr>
                <w:b/>
                <w:bCs/>
                <w:snapToGrid/>
                <w:color w:val="000000"/>
                <w:sz w:val="20"/>
              </w:rPr>
            </w:pPr>
            <w:r w:rsidRPr="005E4F6B">
              <w:rPr>
                <w:b/>
                <w:bCs/>
                <w:snapToGrid/>
                <w:color w:val="000000"/>
                <w:sz w:val="20"/>
              </w:rPr>
              <w:t>% of time</w:t>
            </w:r>
          </w:p>
        </w:tc>
        <w:tc>
          <w:tcPr>
            <w:tcW w:w="1350" w:type="dxa"/>
            <w:tcBorders>
              <w:top w:val="single" w:color="auto" w:sz="4" w:space="0"/>
              <w:left w:val="nil"/>
              <w:bottom w:val="single" w:color="auto" w:sz="4" w:space="0"/>
              <w:right w:val="single" w:color="auto" w:sz="4" w:space="0"/>
            </w:tcBorders>
            <w:shd w:val="clear" w:color="000000" w:fill="B8CCE4"/>
            <w:noWrap/>
            <w:vAlign w:val="bottom"/>
            <w:hideMark/>
          </w:tcPr>
          <w:p w:rsidRPr="005E4F6B" w:rsidR="005E4F6B" w:rsidP="005E4F6B" w:rsidRDefault="005E4F6B" w14:paraId="721CF14A" w14:textId="77777777">
            <w:pPr>
              <w:widowControl/>
              <w:jc w:val="center"/>
              <w:rPr>
                <w:b/>
                <w:bCs/>
                <w:snapToGrid/>
                <w:color w:val="000000"/>
                <w:sz w:val="20"/>
              </w:rPr>
            </w:pPr>
            <w:r w:rsidRPr="005E4F6B">
              <w:rPr>
                <w:b/>
                <w:bCs/>
                <w:snapToGrid/>
                <w:color w:val="000000"/>
                <w:sz w:val="20"/>
              </w:rPr>
              <w:t>Cost ($)</w:t>
            </w:r>
          </w:p>
        </w:tc>
      </w:tr>
      <w:tr w:rsidRPr="005E4F6B" w:rsidR="005E4F6B" w:rsidTr="005E4F6B" w14:paraId="3D56D2C1"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5E4F6B" w:rsidR="005E4F6B" w:rsidP="005E4F6B" w:rsidRDefault="005E4F6B" w14:paraId="4C620BD8" w14:textId="77777777">
            <w:pPr>
              <w:widowControl/>
              <w:rPr>
                <w:snapToGrid/>
                <w:color w:val="000000"/>
                <w:sz w:val="20"/>
              </w:rPr>
            </w:pPr>
            <w:r w:rsidRPr="005E4F6B">
              <w:rPr>
                <w:snapToGrid/>
                <w:color w:val="000000"/>
                <w:sz w:val="20"/>
              </w:rPr>
              <w:t>Staff Coordinator - GS-14</w:t>
            </w:r>
          </w:p>
        </w:tc>
        <w:tc>
          <w:tcPr>
            <w:tcW w:w="108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686D3D3A" w14:textId="77777777">
            <w:pPr>
              <w:widowControl/>
              <w:jc w:val="right"/>
              <w:rPr>
                <w:snapToGrid/>
                <w:color w:val="000000"/>
                <w:sz w:val="20"/>
              </w:rPr>
            </w:pPr>
            <w:r w:rsidRPr="005E4F6B">
              <w:rPr>
                <w:snapToGrid/>
                <w:color w:val="000000"/>
                <w:sz w:val="20"/>
              </w:rPr>
              <w:t>1</w:t>
            </w:r>
          </w:p>
        </w:tc>
        <w:tc>
          <w:tcPr>
            <w:tcW w:w="1288"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41D2B928" w14:textId="77777777">
            <w:pPr>
              <w:widowControl/>
              <w:rPr>
                <w:snapToGrid/>
                <w:color w:val="000000"/>
                <w:sz w:val="20"/>
              </w:rPr>
            </w:pPr>
            <w:r w:rsidRPr="005E4F6B">
              <w:rPr>
                <w:snapToGrid/>
                <w:color w:val="000000"/>
                <w:sz w:val="20"/>
              </w:rPr>
              <w:t xml:space="preserve">        137,491 </w:t>
            </w:r>
          </w:p>
        </w:tc>
        <w:tc>
          <w:tcPr>
            <w:tcW w:w="99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4C15FA43" w14:textId="77777777">
            <w:pPr>
              <w:widowControl/>
              <w:rPr>
                <w:snapToGrid/>
                <w:color w:val="000000"/>
                <w:sz w:val="20"/>
              </w:rPr>
            </w:pPr>
            <w:r w:rsidRPr="005E4F6B">
              <w:rPr>
                <w:snapToGrid/>
                <w:color w:val="000000"/>
                <w:sz w:val="20"/>
              </w:rPr>
              <w:t xml:space="preserve">     1.605 </w:t>
            </w:r>
          </w:p>
        </w:tc>
        <w:tc>
          <w:tcPr>
            <w:tcW w:w="108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022EC82A" w14:textId="77777777">
            <w:pPr>
              <w:widowControl/>
              <w:jc w:val="right"/>
              <w:rPr>
                <w:snapToGrid/>
                <w:color w:val="000000"/>
                <w:sz w:val="20"/>
              </w:rPr>
            </w:pPr>
            <w:r w:rsidRPr="005E4F6B">
              <w:rPr>
                <w:snapToGrid/>
                <w:color w:val="000000"/>
                <w:sz w:val="20"/>
              </w:rPr>
              <w:t>25%</w:t>
            </w:r>
          </w:p>
        </w:tc>
        <w:tc>
          <w:tcPr>
            <w:tcW w:w="135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57C1B558" w14:textId="77777777">
            <w:pPr>
              <w:widowControl/>
              <w:rPr>
                <w:snapToGrid/>
                <w:color w:val="000000"/>
                <w:sz w:val="20"/>
              </w:rPr>
            </w:pPr>
            <w:r w:rsidRPr="005E4F6B">
              <w:rPr>
                <w:snapToGrid/>
                <w:color w:val="000000"/>
                <w:sz w:val="20"/>
              </w:rPr>
              <w:t xml:space="preserve">           55,168 </w:t>
            </w:r>
          </w:p>
        </w:tc>
      </w:tr>
      <w:tr w:rsidRPr="005E4F6B" w:rsidR="005E4F6B" w:rsidTr="005E4F6B" w14:paraId="67879A86"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5E4F6B" w:rsidR="005E4F6B" w:rsidP="005E4F6B" w:rsidRDefault="005E4F6B" w14:paraId="46E0022A" w14:textId="77777777">
            <w:pPr>
              <w:widowControl/>
              <w:rPr>
                <w:snapToGrid/>
                <w:color w:val="000000"/>
                <w:sz w:val="20"/>
              </w:rPr>
            </w:pPr>
            <w:r w:rsidRPr="005E4F6B">
              <w:rPr>
                <w:snapToGrid/>
                <w:color w:val="000000"/>
                <w:sz w:val="20"/>
              </w:rPr>
              <w:t>Program Analyst - GS-13</w:t>
            </w:r>
          </w:p>
        </w:tc>
        <w:tc>
          <w:tcPr>
            <w:tcW w:w="108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1ABFED1C" w14:textId="77777777">
            <w:pPr>
              <w:widowControl/>
              <w:jc w:val="right"/>
              <w:rPr>
                <w:snapToGrid/>
                <w:color w:val="000000"/>
                <w:sz w:val="20"/>
              </w:rPr>
            </w:pPr>
            <w:r w:rsidRPr="005E4F6B">
              <w:rPr>
                <w:snapToGrid/>
                <w:color w:val="000000"/>
                <w:sz w:val="20"/>
              </w:rPr>
              <w:t>1</w:t>
            </w:r>
          </w:p>
        </w:tc>
        <w:tc>
          <w:tcPr>
            <w:tcW w:w="1288"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4FF81B92" w14:textId="77777777">
            <w:pPr>
              <w:widowControl/>
              <w:rPr>
                <w:snapToGrid/>
                <w:color w:val="000000"/>
                <w:sz w:val="20"/>
              </w:rPr>
            </w:pPr>
            <w:r w:rsidRPr="005E4F6B">
              <w:rPr>
                <w:snapToGrid/>
                <w:color w:val="000000"/>
                <w:sz w:val="20"/>
              </w:rPr>
              <w:t xml:space="preserve">        116,353 </w:t>
            </w:r>
          </w:p>
        </w:tc>
        <w:tc>
          <w:tcPr>
            <w:tcW w:w="99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7C46860E" w14:textId="77777777">
            <w:pPr>
              <w:widowControl/>
              <w:rPr>
                <w:snapToGrid/>
                <w:color w:val="000000"/>
                <w:sz w:val="20"/>
              </w:rPr>
            </w:pPr>
            <w:r w:rsidRPr="005E4F6B">
              <w:rPr>
                <w:snapToGrid/>
                <w:color w:val="000000"/>
                <w:sz w:val="20"/>
              </w:rPr>
              <w:t xml:space="preserve">     1.605 </w:t>
            </w:r>
          </w:p>
        </w:tc>
        <w:tc>
          <w:tcPr>
            <w:tcW w:w="108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3891B502" w14:textId="77777777">
            <w:pPr>
              <w:widowControl/>
              <w:jc w:val="right"/>
              <w:rPr>
                <w:snapToGrid/>
                <w:color w:val="000000"/>
                <w:sz w:val="20"/>
              </w:rPr>
            </w:pPr>
            <w:r w:rsidRPr="005E4F6B">
              <w:rPr>
                <w:snapToGrid/>
                <w:color w:val="000000"/>
                <w:sz w:val="20"/>
              </w:rPr>
              <w:t>60%</w:t>
            </w:r>
          </w:p>
        </w:tc>
        <w:tc>
          <w:tcPr>
            <w:tcW w:w="135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48D9D32F" w14:textId="77777777">
            <w:pPr>
              <w:widowControl/>
              <w:rPr>
                <w:snapToGrid/>
                <w:color w:val="000000"/>
                <w:sz w:val="20"/>
              </w:rPr>
            </w:pPr>
            <w:r w:rsidRPr="005E4F6B">
              <w:rPr>
                <w:snapToGrid/>
                <w:color w:val="000000"/>
                <w:sz w:val="20"/>
              </w:rPr>
              <w:t xml:space="preserve">         112,048 </w:t>
            </w:r>
          </w:p>
        </w:tc>
      </w:tr>
      <w:tr w:rsidRPr="005E4F6B" w:rsidR="005E4F6B" w:rsidTr="005E4F6B" w14:paraId="482C959B"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5E4F6B" w:rsidR="005E4F6B" w:rsidP="005E4F6B" w:rsidRDefault="005E4F6B" w14:paraId="583FE876" w14:textId="77777777">
            <w:pPr>
              <w:widowControl/>
              <w:rPr>
                <w:snapToGrid/>
                <w:color w:val="000000"/>
                <w:sz w:val="20"/>
              </w:rPr>
            </w:pPr>
            <w:r w:rsidRPr="005E4F6B">
              <w:rPr>
                <w:snapToGrid/>
                <w:color w:val="000000"/>
                <w:sz w:val="20"/>
              </w:rPr>
              <w:t>Import/Export Specialist - GS-13</w:t>
            </w:r>
          </w:p>
        </w:tc>
        <w:tc>
          <w:tcPr>
            <w:tcW w:w="108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26C5D248" w14:textId="77777777">
            <w:pPr>
              <w:widowControl/>
              <w:jc w:val="right"/>
              <w:rPr>
                <w:snapToGrid/>
                <w:color w:val="000000"/>
                <w:sz w:val="20"/>
              </w:rPr>
            </w:pPr>
            <w:r w:rsidRPr="005E4F6B">
              <w:rPr>
                <w:snapToGrid/>
                <w:color w:val="000000"/>
                <w:sz w:val="20"/>
              </w:rPr>
              <w:t>2</w:t>
            </w:r>
          </w:p>
        </w:tc>
        <w:tc>
          <w:tcPr>
            <w:tcW w:w="1288"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0E20DEB7" w14:textId="77777777">
            <w:pPr>
              <w:widowControl/>
              <w:rPr>
                <w:snapToGrid/>
                <w:color w:val="000000"/>
                <w:sz w:val="20"/>
              </w:rPr>
            </w:pPr>
            <w:r w:rsidRPr="005E4F6B">
              <w:rPr>
                <w:snapToGrid/>
                <w:color w:val="000000"/>
                <w:sz w:val="20"/>
              </w:rPr>
              <w:t xml:space="preserve">        116,353 </w:t>
            </w:r>
          </w:p>
        </w:tc>
        <w:tc>
          <w:tcPr>
            <w:tcW w:w="99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1E0CBBB2" w14:textId="77777777">
            <w:pPr>
              <w:widowControl/>
              <w:rPr>
                <w:snapToGrid/>
                <w:color w:val="000000"/>
                <w:sz w:val="20"/>
              </w:rPr>
            </w:pPr>
            <w:r w:rsidRPr="005E4F6B">
              <w:rPr>
                <w:snapToGrid/>
                <w:color w:val="000000"/>
                <w:sz w:val="20"/>
              </w:rPr>
              <w:t xml:space="preserve">     1.605 </w:t>
            </w:r>
          </w:p>
        </w:tc>
        <w:tc>
          <w:tcPr>
            <w:tcW w:w="108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69894B64" w14:textId="77777777">
            <w:pPr>
              <w:widowControl/>
              <w:jc w:val="right"/>
              <w:rPr>
                <w:snapToGrid/>
                <w:color w:val="000000"/>
                <w:sz w:val="20"/>
              </w:rPr>
            </w:pPr>
            <w:r w:rsidRPr="005E4F6B">
              <w:rPr>
                <w:snapToGrid/>
                <w:color w:val="000000"/>
                <w:sz w:val="20"/>
              </w:rPr>
              <w:t>25%</w:t>
            </w:r>
          </w:p>
        </w:tc>
        <w:tc>
          <w:tcPr>
            <w:tcW w:w="1350" w:type="dxa"/>
            <w:tcBorders>
              <w:top w:val="nil"/>
              <w:left w:val="nil"/>
              <w:bottom w:val="single" w:color="auto" w:sz="4" w:space="0"/>
              <w:right w:val="single" w:color="auto" w:sz="4" w:space="0"/>
            </w:tcBorders>
            <w:shd w:val="clear" w:color="auto" w:fill="auto"/>
            <w:noWrap/>
            <w:vAlign w:val="bottom"/>
            <w:hideMark/>
          </w:tcPr>
          <w:p w:rsidRPr="005E4F6B" w:rsidR="005E4F6B" w:rsidP="005E4F6B" w:rsidRDefault="005E4F6B" w14:paraId="531E3037" w14:textId="77777777">
            <w:pPr>
              <w:widowControl/>
              <w:rPr>
                <w:snapToGrid/>
                <w:color w:val="000000"/>
                <w:sz w:val="20"/>
              </w:rPr>
            </w:pPr>
            <w:r w:rsidRPr="005E4F6B">
              <w:rPr>
                <w:snapToGrid/>
                <w:color w:val="000000"/>
                <w:sz w:val="20"/>
              </w:rPr>
              <w:t xml:space="preserve">           93,373 </w:t>
            </w:r>
          </w:p>
        </w:tc>
      </w:tr>
      <w:tr w:rsidRPr="005E4F6B" w:rsidR="005E4F6B" w:rsidTr="005E4F6B" w14:paraId="08664102" w14:textId="77777777">
        <w:trPr>
          <w:trHeight w:val="300"/>
        </w:trPr>
        <w:tc>
          <w:tcPr>
            <w:tcW w:w="2965" w:type="dxa"/>
            <w:tcBorders>
              <w:top w:val="nil"/>
              <w:left w:val="single" w:color="auto" w:sz="4" w:space="0"/>
              <w:bottom w:val="single" w:color="auto" w:sz="4" w:space="0"/>
              <w:right w:val="single" w:color="auto" w:sz="4" w:space="0"/>
            </w:tcBorders>
            <w:shd w:val="clear" w:color="000000" w:fill="B8CCE4"/>
            <w:noWrap/>
            <w:vAlign w:val="bottom"/>
            <w:hideMark/>
          </w:tcPr>
          <w:p w:rsidRPr="005E4F6B" w:rsidR="005E4F6B" w:rsidP="005E4F6B" w:rsidRDefault="005E4F6B" w14:paraId="71743D2A" w14:textId="77777777">
            <w:pPr>
              <w:widowControl/>
              <w:rPr>
                <w:b/>
                <w:bCs/>
                <w:snapToGrid/>
                <w:color w:val="000000"/>
                <w:sz w:val="20"/>
              </w:rPr>
            </w:pPr>
            <w:r w:rsidRPr="005E4F6B">
              <w:rPr>
                <w:b/>
                <w:bCs/>
                <w:snapToGrid/>
                <w:color w:val="000000"/>
                <w:sz w:val="20"/>
              </w:rPr>
              <w:t>Total</w:t>
            </w:r>
          </w:p>
        </w:tc>
        <w:tc>
          <w:tcPr>
            <w:tcW w:w="1080" w:type="dxa"/>
            <w:tcBorders>
              <w:top w:val="nil"/>
              <w:left w:val="nil"/>
              <w:bottom w:val="single" w:color="auto" w:sz="4" w:space="0"/>
              <w:right w:val="single" w:color="auto" w:sz="4" w:space="0"/>
            </w:tcBorders>
            <w:shd w:val="clear" w:color="000000" w:fill="B8CCE4"/>
            <w:noWrap/>
            <w:vAlign w:val="bottom"/>
            <w:hideMark/>
          </w:tcPr>
          <w:p w:rsidRPr="005E4F6B" w:rsidR="005E4F6B" w:rsidP="005E4F6B" w:rsidRDefault="005E4F6B" w14:paraId="135B56A4" w14:textId="77777777">
            <w:pPr>
              <w:widowControl/>
              <w:rPr>
                <w:b/>
                <w:bCs/>
                <w:snapToGrid/>
                <w:color w:val="000000"/>
                <w:sz w:val="20"/>
              </w:rPr>
            </w:pPr>
            <w:r w:rsidRPr="005E4F6B">
              <w:rPr>
                <w:b/>
                <w:bCs/>
                <w:snapToGrid/>
                <w:color w:val="000000"/>
                <w:sz w:val="20"/>
              </w:rPr>
              <w:t> </w:t>
            </w:r>
          </w:p>
        </w:tc>
        <w:tc>
          <w:tcPr>
            <w:tcW w:w="1288" w:type="dxa"/>
            <w:tcBorders>
              <w:top w:val="nil"/>
              <w:left w:val="nil"/>
              <w:bottom w:val="single" w:color="auto" w:sz="4" w:space="0"/>
              <w:right w:val="single" w:color="auto" w:sz="4" w:space="0"/>
            </w:tcBorders>
            <w:shd w:val="clear" w:color="000000" w:fill="B8CCE4"/>
            <w:noWrap/>
            <w:vAlign w:val="bottom"/>
            <w:hideMark/>
          </w:tcPr>
          <w:p w:rsidRPr="005E4F6B" w:rsidR="005E4F6B" w:rsidP="005E4F6B" w:rsidRDefault="005E4F6B" w14:paraId="32179816" w14:textId="77777777">
            <w:pPr>
              <w:widowControl/>
              <w:rPr>
                <w:b/>
                <w:bCs/>
                <w:snapToGrid/>
                <w:color w:val="000000"/>
                <w:sz w:val="20"/>
              </w:rPr>
            </w:pPr>
            <w:r w:rsidRPr="005E4F6B">
              <w:rPr>
                <w:b/>
                <w:bCs/>
                <w:snapToGrid/>
                <w:color w:val="000000"/>
                <w:sz w:val="20"/>
              </w:rPr>
              <w:t> </w:t>
            </w:r>
          </w:p>
        </w:tc>
        <w:tc>
          <w:tcPr>
            <w:tcW w:w="990" w:type="dxa"/>
            <w:tcBorders>
              <w:top w:val="nil"/>
              <w:left w:val="nil"/>
              <w:bottom w:val="single" w:color="auto" w:sz="4" w:space="0"/>
              <w:right w:val="single" w:color="auto" w:sz="4" w:space="0"/>
            </w:tcBorders>
            <w:shd w:val="clear" w:color="000000" w:fill="B8CCE4"/>
            <w:noWrap/>
            <w:vAlign w:val="bottom"/>
            <w:hideMark/>
          </w:tcPr>
          <w:p w:rsidRPr="005E4F6B" w:rsidR="005E4F6B" w:rsidP="005E4F6B" w:rsidRDefault="005E4F6B" w14:paraId="4E325AE9" w14:textId="77777777">
            <w:pPr>
              <w:widowControl/>
              <w:rPr>
                <w:b/>
                <w:bCs/>
                <w:snapToGrid/>
                <w:color w:val="000000"/>
                <w:sz w:val="20"/>
              </w:rPr>
            </w:pPr>
            <w:r w:rsidRPr="005E4F6B">
              <w:rPr>
                <w:b/>
                <w:bCs/>
                <w:snapToGrid/>
                <w:color w:val="000000"/>
                <w:sz w:val="20"/>
              </w:rPr>
              <w:t> </w:t>
            </w:r>
          </w:p>
        </w:tc>
        <w:tc>
          <w:tcPr>
            <w:tcW w:w="1080" w:type="dxa"/>
            <w:tcBorders>
              <w:top w:val="nil"/>
              <w:left w:val="nil"/>
              <w:bottom w:val="single" w:color="auto" w:sz="4" w:space="0"/>
              <w:right w:val="single" w:color="auto" w:sz="4" w:space="0"/>
            </w:tcBorders>
            <w:shd w:val="clear" w:color="000000" w:fill="B8CCE4"/>
            <w:noWrap/>
            <w:vAlign w:val="bottom"/>
            <w:hideMark/>
          </w:tcPr>
          <w:p w:rsidRPr="005E4F6B" w:rsidR="005E4F6B" w:rsidP="005E4F6B" w:rsidRDefault="005E4F6B" w14:paraId="7CD66B17" w14:textId="77777777">
            <w:pPr>
              <w:widowControl/>
              <w:rPr>
                <w:b/>
                <w:bCs/>
                <w:snapToGrid/>
                <w:color w:val="000000"/>
                <w:sz w:val="20"/>
              </w:rPr>
            </w:pPr>
            <w:r w:rsidRPr="005E4F6B">
              <w:rPr>
                <w:b/>
                <w:bCs/>
                <w:snapToGrid/>
                <w:color w:val="000000"/>
                <w:sz w:val="20"/>
              </w:rPr>
              <w:t> </w:t>
            </w:r>
          </w:p>
        </w:tc>
        <w:tc>
          <w:tcPr>
            <w:tcW w:w="1350" w:type="dxa"/>
            <w:tcBorders>
              <w:top w:val="nil"/>
              <w:left w:val="nil"/>
              <w:bottom w:val="single" w:color="auto" w:sz="4" w:space="0"/>
              <w:right w:val="single" w:color="auto" w:sz="4" w:space="0"/>
            </w:tcBorders>
            <w:shd w:val="clear" w:color="000000" w:fill="B8CCE4"/>
            <w:noWrap/>
            <w:vAlign w:val="bottom"/>
            <w:hideMark/>
          </w:tcPr>
          <w:p w:rsidRPr="005E4F6B" w:rsidR="005E4F6B" w:rsidP="005E4F6B" w:rsidRDefault="005E4F6B" w14:paraId="48D75860" w14:textId="77777777">
            <w:pPr>
              <w:widowControl/>
              <w:jc w:val="right"/>
              <w:rPr>
                <w:b/>
                <w:bCs/>
                <w:snapToGrid/>
                <w:color w:val="000000"/>
                <w:sz w:val="20"/>
              </w:rPr>
            </w:pPr>
            <w:r>
              <w:rPr>
                <w:b/>
                <w:bCs/>
                <w:snapToGrid/>
                <w:color w:val="000000"/>
                <w:sz w:val="20"/>
              </w:rPr>
              <w:t xml:space="preserve">     </w:t>
            </w:r>
            <w:r w:rsidRPr="005E4F6B">
              <w:rPr>
                <w:b/>
                <w:bCs/>
                <w:snapToGrid/>
                <w:color w:val="000000"/>
                <w:sz w:val="20"/>
              </w:rPr>
              <w:t xml:space="preserve"> 260,589 </w:t>
            </w:r>
          </w:p>
        </w:tc>
      </w:tr>
    </w:tbl>
    <w:p w:rsidR="00B119E9" w:rsidP="00B119E9" w:rsidRDefault="00B119E9" w14:paraId="55D88CF1" w14:textId="77777777">
      <w:pPr>
        <w:rPr>
          <w:sz w:val="20"/>
        </w:rPr>
      </w:pPr>
      <w:r w:rsidRPr="00690A85">
        <w:rPr>
          <w:sz w:val="20"/>
        </w:rPr>
        <w:t>*</w:t>
      </w:r>
      <w:r w:rsidRPr="00FC603C">
        <w:rPr>
          <w:sz w:val="20"/>
        </w:rPr>
        <w:t>Government salary figures are based on Washington, DC locality pay</w:t>
      </w:r>
      <w:r>
        <w:rPr>
          <w:sz w:val="20"/>
        </w:rPr>
        <w:t xml:space="preserve"> at step 5 for each grade level.</w:t>
      </w:r>
    </w:p>
    <w:p w:rsidR="00E5792F" w:rsidP="00B119E9" w:rsidRDefault="00B119E9" w14:paraId="6FA3E1A0" w14:textId="77777777">
      <w:pPr>
        <w:rPr>
          <w:sz w:val="20"/>
        </w:rPr>
      </w:pPr>
      <w:r>
        <w:rPr>
          <w:sz w:val="20"/>
        </w:rPr>
        <w:t>**L</w:t>
      </w:r>
      <w:r w:rsidRPr="00690A85">
        <w:rPr>
          <w:sz w:val="20"/>
        </w:rPr>
        <w:t>oad</w:t>
      </w:r>
      <w:r>
        <w:rPr>
          <w:sz w:val="20"/>
        </w:rPr>
        <w:t xml:space="preserve"> of 60.5%</w:t>
      </w:r>
      <w:r w:rsidRPr="00690A85">
        <w:rPr>
          <w:sz w:val="20"/>
        </w:rPr>
        <w:t xml:space="preserve"> for benefits based on the ECEC for “State and local gover</w:t>
      </w:r>
      <w:r>
        <w:rPr>
          <w:sz w:val="20"/>
        </w:rPr>
        <w:t>nment</w:t>
      </w:r>
      <w:r w:rsidRPr="00690A85">
        <w:rPr>
          <w:sz w:val="20"/>
        </w:rPr>
        <w:t>.</w:t>
      </w:r>
      <w:r>
        <w:rPr>
          <w:sz w:val="20"/>
        </w:rPr>
        <w:t>”</w:t>
      </w:r>
      <w:r w:rsidRPr="00690A85">
        <w:rPr>
          <w:sz w:val="20"/>
        </w:rPr>
        <w:t xml:space="preserve">  The ECEC does not include figures for the Federal Government.</w:t>
      </w:r>
    </w:p>
    <w:p w:rsidR="00B119E9" w:rsidP="00B119E9" w:rsidRDefault="00B119E9" w14:paraId="7D139C6D" w14:textId="77777777">
      <w:pPr>
        <w:rPr>
          <w:noProof/>
          <w:color w:val="000000"/>
          <w:szCs w:val="24"/>
        </w:rPr>
      </w:pPr>
    </w:p>
    <w:p w:rsidRPr="005E4F6B" w:rsidR="00E5792F" w:rsidP="00E5792F" w:rsidRDefault="00E5792F" w14:paraId="7464F19D" w14:textId="77777777">
      <w:pPr>
        <w:rPr>
          <w:color w:val="000000"/>
          <w:szCs w:val="24"/>
        </w:rPr>
      </w:pPr>
      <w:r w:rsidRPr="005E4F6B">
        <w:rPr>
          <w:color w:val="000000"/>
          <w:szCs w:val="24"/>
        </w:rPr>
        <w:t>T</w:t>
      </w:r>
      <w:r w:rsidRPr="005E4F6B" w:rsidR="00F5385D">
        <w:rPr>
          <w:color w:val="000000"/>
          <w:szCs w:val="24"/>
        </w:rPr>
        <w:t xml:space="preserve">otal cost to government: </w:t>
      </w:r>
      <w:r w:rsidRPr="005E4F6B" w:rsidR="00C875F3">
        <w:rPr>
          <w:color w:val="000000"/>
          <w:szCs w:val="24"/>
        </w:rPr>
        <w:t xml:space="preserve">                  </w:t>
      </w:r>
      <w:r w:rsidRPr="005E4F6B" w:rsidR="00C875F3">
        <w:rPr>
          <w:color w:val="000000"/>
          <w:szCs w:val="24"/>
        </w:rPr>
        <w:tab/>
      </w:r>
      <w:r w:rsidRPr="005E4F6B" w:rsidR="00C875F3">
        <w:rPr>
          <w:color w:val="000000"/>
          <w:szCs w:val="24"/>
        </w:rPr>
        <w:tab/>
      </w:r>
      <w:r w:rsidRPr="005E4F6B" w:rsidR="00C875F3">
        <w:rPr>
          <w:color w:val="000000"/>
          <w:szCs w:val="24"/>
        </w:rPr>
        <w:tab/>
      </w:r>
      <w:r w:rsidRPr="005E4F6B" w:rsidR="00C875F3">
        <w:rPr>
          <w:color w:val="000000"/>
          <w:szCs w:val="24"/>
        </w:rPr>
        <w:tab/>
        <w:t xml:space="preserve">           </w:t>
      </w:r>
      <w:r w:rsidRPr="005E4F6B">
        <w:rPr>
          <w:color w:val="000000"/>
          <w:szCs w:val="24"/>
        </w:rPr>
        <w:tab/>
        <w:t xml:space="preserve">      </w:t>
      </w:r>
      <w:r w:rsidRPr="005E4F6B" w:rsidR="005E4F6B">
        <w:rPr>
          <w:color w:val="000000"/>
          <w:szCs w:val="24"/>
        </w:rPr>
        <w:t>$260,589</w:t>
      </w:r>
    </w:p>
    <w:p w:rsidRPr="00E76EE2" w:rsidR="00E5792F" w:rsidP="00E5792F" w:rsidRDefault="00E5792F" w14:paraId="5F960327" w14:textId="77777777"/>
    <w:p w:rsidR="00E5792F" w:rsidP="00E5792F" w:rsidRDefault="00E5792F" w14:paraId="1903D765" w14:textId="77777777">
      <w:pPr>
        <w:rPr>
          <w:szCs w:val="24"/>
        </w:rPr>
      </w:pPr>
      <w:r>
        <w:rPr>
          <w:color w:val="000000"/>
          <w:szCs w:val="24"/>
        </w:rPr>
        <w:t>All costs are recovered from registrants through registration fees, as required by the CSA.  21 U.S.C. 886a.</w:t>
      </w:r>
    </w:p>
    <w:p w:rsidR="006112F5" w:rsidP="006112F5" w:rsidRDefault="006112F5" w14:paraId="436B0A91" w14:textId="77777777"/>
    <w:p w:rsidR="009E3133" w:rsidP="006112F5" w:rsidRDefault="006112F5" w14:paraId="7C814473" w14:textId="77777777">
      <w:r w:rsidRPr="00903345">
        <w:t xml:space="preserve">15.  </w:t>
      </w:r>
      <w:r w:rsidRPr="009E3133">
        <w:rPr>
          <w:u w:val="single"/>
        </w:rPr>
        <w:t>Reasons for Change in Burden:</w:t>
      </w:r>
      <w:r w:rsidRPr="00903345">
        <w:t xml:space="preserve"> </w:t>
      </w:r>
    </w:p>
    <w:p w:rsidR="009E3133" w:rsidP="006112F5" w:rsidRDefault="009E3133" w14:paraId="062BDF93" w14:textId="77777777"/>
    <w:p w:rsidR="00E5792F" w:rsidP="00E5792F" w:rsidRDefault="005E4F6B" w14:paraId="5C2CBE2D" w14:textId="77777777">
      <w:pPr>
        <w:rPr>
          <w:szCs w:val="24"/>
        </w:rPr>
      </w:pPr>
      <w:r>
        <w:t xml:space="preserve">The increase in annual responses and annual burden hours reflect adjustments related to normal business activity.  The decrease in the </w:t>
      </w:r>
      <w:r w:rsidR="00085C7E">
        <w:t>annual cost</w:t>
      </w:r>
      <w:r>
        <w:t xml:space="preserve"> is due to the elimination of </w:t>
      </w:r>
      <w:r w:rsidR="00085C7E">
        <w:t>paper response shipping cost, which were included in the 2017 annual cost figure,</w:t>
      </w:r>
      <w:r>
        <w:t xml:space="preserve"> as responses have moved to electronic responses</w:t>
      </w:r>
      <w:r w:rsidR="00085C7E">
        <w:t>.</w:t>
      </w:r>
      <w:r w:rsidR="00E5792F">
        <w:rPr>
          <w:szCs w:val="24"/>
        </w:rPr>
        <w:t xml:space="preserve">  </w:t>
      </w:r>
      <w:r w:rsidR="00085C7E">
        <w:t>There have been no statutory or regulatory changes affecting this information collection.  The table below summarizes the changes since the last renewal of this information collection</w:t>
      </w:r>
      <w:r w:rsidR="00E5792F">
        <w:rPr>
          <w:szCs w:val="24"/>
        </w:rPr>
        <w:t>.</w:t>
      </w:r>
    </w:p>
    <w:p w:rsidR="005E4F6B" w:rsidP="00E5792F" w:rsidRDefault="005E4F6B" w14:paraId="3B88B1E5" w14:textId="77777777">
      <w:pPr>
        <w:rPr>
          <w:szCs w:val="24"/>
        </w:rPr>
      </w:pPr>
    </w:p>
    <w:tbl>
      <w:tblPr>
        <w:tblW w:w="5935" w:type="dxa"/>
        <w:tblLook w:val="04A0" w:firstRow="1" w:lastRow="0" w:firstColumn="1" w:lastColumn="0" w:noHBand="0" w:noVBand="1"/>
      </w:tblPr>
      <w:tblGrid>
        <w:gridCol w:w="2065"/>
        <w:gridCol w:w="1260"/>
        <w:gridCol w:w="1440"/>
        <w:gridCol w:w="1170"/>
      </w:tblGrid>
      <w:tr w:rsidRPr="005E4F6B" w:rsidR="005E4F6B" w:rsidTr="005E4F6B" w14:paraId="64B063D6" w14:textId="77777777">
        <w:trPr>
          <w:trHeight w:val="765"/>
        </w:trPr>
        <w:tc>
          <w:tcPr>
            <w:tcW w:w="2065" w:type="dxa"/>
            <w:tcBorders>
              <w:top w:val="single" w:color="auto" w:sz="4" w:space="0"/>
              <w:left w:val="single" w:color="auto" w:sz="4" w:space="0"/>
              <w:bottom w:val="single" w:color="auto" w:sz="4" w:space="0"/>
              <w:right w:val="single" w:color="auto" w:sz="4" w:space="0"/>
            </w:tcBorders>
            <w:shd w:val="clear" w:color="000000" w:fill="B8CCE4"/>
            <w:vAlign w:val="center"/>
            <w:hideMark/>
          </w:tcPr>
          <w:p w:rsidRPr="005E4F6B" w:rsidR="005E4F6B" w:rsidP="005E4F6B" w:rsidRDefault="005E4F6B" w14:paraId="061D671A" w14:textId="77777777">
            <w:pPr>
              <w:widowControl/>
              <w:rPr>
                <w:snapToGrid/>
                <w:color w:val="000000"/>
                <w:sz w:val="20"/>
              </w:rPr>
            </w:pPr>
            <w:r w:rsidRPr="005E4F6B">
              <w:rPr>
                <w:snapToGrid/>
                <w:color w:val="000000"/>
                <w:sz w:val="20"/>
              </w:rPr>
              <w:t> </w:t>
            </w:r>
          </w:p>
        </w:tc>
        <w:tc>
          <w:tcPr>
            <w:tcW w:w="1260" w:type="dxa"/>
            <w:tcBorders>
              <w:top w:val="single" w:color="auto" w:sz="4" w:space="0"/>
              <w:left w:val="nil"/>
              <w:bottom w:val="single" w:color="auto" w:sz="4" w:space="0"/>
              <w:right w:val="single" w:color="auto" w:sz="4" w:space="0"/>
            </w:tcBorders>
            <w:shd w:val="clear" w:color="000000" w:fill="B8CCE4"/>
            <w:vAlign w:val="center"/>
            <w:hideMark/>
          </w:tcPr>
          <w:p w:rsidRPr="005E4F6B" w:rsidR="005E4F6B" w:rsidP="005E4F6B" w:rsidRDefault="005E4F6B" w14:paraId="3108F9CF" w14:textId="77777777">
            <w:pPr>
              <w:widowControl/>
              <w:jc w:val="center"/>
              <w:rPr>
                <w:b/>
                <w:bCs/>
                <w:snapToGrid/>
                <w:color w:val="000000"/>
                <w:sz w:val="20"/>
              </w:rPr>
            </w:pPr>
            <w:r w:rsidRPr="005E4F6B">
              <w:rPr>
                <w:b/>
                <w:bCs/>
                <w:snapToGrid/>
                <w:color w:val="000000"/>
                <w:sz w:val="20"/>
              </w:rPr>
              <w:t>2017 Approved Burden</w:t>
            </w:r>
          </w:p>
        </w:tc>
        <w:tc>
          <w:tcPr>
            <w:tcW w:w="1440" w:type="dxa"/>
            <w:tcBorders>
              <w:top w:val="single" w:color="auto" w:sz="4" w:space="0"/>
              <w:left w:val="nil"/>
              <w:bottom w:val="single" w:color="auto" w:sz="4" w:space="0"/>
              <w:right w:val="single" w:color="auto" w:sz="4" w:space="0"/>
            </w:tcBorders>
            <w:shd w:val="clear" w:color="000000" w:fill="B8CCE4"/>
            <w:vAlign w:val="center"/>
            <w:hideMark/>
          </w:tcPr>
          <w:p w:rsidRPr="005E4F6B" w:rsidR="005E4F6B" w:rsidP="005E4F6B" w:rsidRDefault="005E4F6B" w14:paraId="406437DE" w14:textId="77777777">
            <w:pPr>
              <w:widowControl/>
              <w:jc w:val="center"/>
              <w:rPr>
                <w:b/>
                <w:bCs/>
                <w:snapToGrid/>
                <w:color w:val="000000"/>
                <w:sz w:val="20"/>
              </w:rPr>
            </w:pPr>
            <w:r w:rsidRPr="005E4F6B">
              <w:rPr>
                <w:b/>
                <w:bCs/>
                <w:snapToGrid/>
                <w:color w:val="000000"/>
                <w:sz w:val="20"/>
              </w:rPr>
              <w:t>2020 Requested Burden</w:t>
            </w:r>
          </w:p>
        </w:tc>
        <w:tc>
          <w:tcPr>
            <w:tcW w:w="1170" w:type="dxa"/>
            <w:tcBorders>
              <w:top w:val="single" w:color="auto" w:sz="4" w:space="0"/>
              <w:left w:val="nil"/>
              <w:bottom w:val="single" w:color="auto" w:sz="4" w:space="0"/>
              <w:right w:val="single" w:color="auto" w:sz="4" w:space="0"/>
            </w:tcBorders>
            <w:shd w:val="clear" w:color="000000" w:fill="B8CCE4"/>
            <w:vAlign w:val="center"/>
            <w:hideMark/>
          </w:tcPr>
          <w:p w:rsidRPr="005E4F6B" w:rsidR="005E4F6B" w:rsidP="005E4F6B" w:rsidRDefault="005E4F6B" w14:paraId="5FC005EE" w14:textId="77777777">
            <w:pPr>
              <w:widowControl/>
              <w:jc w:val="center"/>
              <w:rPr>
                <w:b/>
                <w:bCs/>
                <w:snapToGrid/>
                <w:color w:val="000000"/>
                <w:sz w:val="20"/>
              </w:rPr>
            </w:pPr>
            <w:r w:rsidRPr="005E4F6B">
              <w:rPr>
                <w:b/>
                <w:bCs/>
                <w:snapToGrid/>
                <w:color w:val="000000"/>
                <w:sz w:val="20"/>
              </w:rPr>
              <w:t>Difference</w:t>
            </w:r>
          </w:p>
        </w:tc>
      </w:tr>
      <w:tr w:rsidRPr="005E4F6B" w:rsidR="005E4F6B" w:rsidTr="005E4F6B" w14:paraId="78142D36" w14:textId="77777777">
        <w:trPr>
          <w:trHeight w:val="30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5E4F6B" w:rsidR="005E4F6B" w:rsidP="005E4F6B" w:rsidRDefault="005E4F6B" w14:paraId="5DF2E38E" w14:textId="77777777">
            <w:pPr>
              <w:widowControl/>
              <w:rPr>
                <w:snapToGrid/>
                <w:color w:val="000000"/>
                <w:sz w:val="20"/>
              </w:rPr>
            </w:pPr>
            <w:r w:rsidRPr="005E4F6B">
              <w:rPr>
                <w:snapToGrid/>
                <w:color w:val="000000"/>
                <w:sz w:val="20"/>
              </w:rPr>
              <w:t>Annual respon</w:t>
            </w:r>
            <w:r>
              <w:rPr>
                <w:snapToGrid/>
                <w:color w:val="000000"/>
                <w:sz w:val="20"/>
              </w:rPr>
              <w:t>s</w:t>
            </w:r>
            <w:r w:rsidRPr="005E4F6B">
              <w:rPr>
                <w:snapToGrid/>
                <w:color w:val="000000"/>
                <w:sz w:val="20"/>
              </w:rPr>
              <w:t>es</w:t>
            </w:r>
          </w:p>
        </w:tc>
        <w:tc>
          <w:tcPr>
            <w:tcW w:w="1260" w:type="dxa"/>
            <w:tcBorders>
              <w:top w:val="nil"/>
              <w:left w:val="nil"/>
              <w:bottom w:val="single" w:color="auto" w:sz="4" w:space="0"/>
              <w:right w:val="single" w:color="auto" w:sz="4" w:space="0"/>
            </w:tcBorders>
            <w:shd w:val="clear" w:color="auto" w:fill="auto"/>
            <w:vAlign w:val="center"/>
            <w:hideMark/>
          </w:tcPr>
          <w:p w:rsidRPr="005E4F6B" w:rsidR="005E4F6B" w:rsidP="005E4F6B" w:rsidRDefault="005E4F6B" w14:paraId="4A109E1F" w14:textId="77777777">
            <w:pPr>
              <w:widowControl/>
              <w:jc w:val="right"/>
              <w:rPr>
                <w:snapToGrid/>
                <w:color w:val="000000"/>
                <w:sz w:val="20"/>
              </w:rPr>
            </w:pPr>
            <w:r w:rsidRPr="005E4F6B">
              <w:rPr>
                <w:snapToGrid/>
                <w:color w:val="000000"/>
                <w:sz w:val="20"/>
              </w:rPr>
              <w:t xml:space="preserve">       6,116 </w:t>
            </w:r>
          </w:p>
        </w:tc>
        <w:tc>
          <w:tcPr>
            <w:tcW w:w="1440" w:type="dxa"/>
            <w:tcBorders>
              <w:top w:val="nil"/>
              <w:left w:val="nil"/>
              <w:bottom w:val="single" w:color="auto" w:sz="4" w:space="0"/>
              <w:right w:val="single" w:color="auto" w:sz="4" w:space="0"/>
            </w:tcBorders>
            <w:shd w:val="clear" w:color="auto" w:fill="auto"/>
            <w:vAlign w:val="center"/>
            <w:hideMark/>
          </w:tcPr>
          <w:p w:rsidRPr="005E4F6B" w:rsidR="005E4F6B" w:rsidP="005E4F6B" w:rsidRDefault="005E4F6B" w14:paraId="7A8ED570" w14:textId="77777777">
            <w:pPr>
              <w:widowControl/>
              <w:jc w:val="right"/>
              <w:rPr>
                <w:snapToGrid/>
                <w:color w:val="000000"/>
                <w:sz w:val="20"/>
              </w:rPr>
            </w:pPr>
            <w:r w:rsidRPr="005E4F6B">
              <w:rPr>
                <w:snapToGrid/>
                <w:color w:val="000000"/>
                <w:sz w:val="20"/>
              </w:rPr>
              <w:t xml:space="preserve">            7,282 </w:t>
            </w:r>
          </w:p>
        </w:tc>
        <w:tc>
          <w:tcPr>
            <w:tcW w:w="1170" w:type="dxa"/>
            <w:tcBorders>
              <w:top w:val="nil"/>
              <w:left w:val="nil"/>
              <w:bottom w:val="single" w:color="auto" w:sz="4" w:space="0"/>
              <w:right w:val="single" w:color="auto" w:sz="4" w:space="0"/>
            </w:tcBorders>
            <w:shd w:val="clear" w:color="auto" w:fill="auto"/>
            <w:vAlign w:val="center"/>
            <w:hideMark/>
          </w:tcPr>
          <w:p w:rsidRPr="005E4F6B" w:rsidR="005E4F6B" w:rsidP="005E4F6B" w:rsidRDefault="005E4F6B" w14:paraId="549F2325" w14:textId="77777777">
            <w:pPr>
              <w:widowControl/>
              <w:jc w:val="right"/>
              <w:rPr>
                <w:snapToGrid/>
                <w:color w:val="000000"/>
                <w:sz w:val="20"/>
              </w:rPr>
            </w:pPr>
            <w:r w:rsidRPr="005E4F6B">
              <w:rPr>
                <w:snapToGrid/>
                <w:color w:val="000000"/>
                <w:sz w:val="20"/>
              </w:rPr>
              <w:t xml:space="preserve">         1,166 </w:t>
            </w:r>
          </w:p>
        </w:tc>
      </w:tr>
      <w:tr w:rsidRPr="005E4F6B" w:rsidR="005E4F6B" w:rsidTr="005E4F6B" w14:paraId="37F61498" w14:textId="77777777">
        <w:trPr>
          <w:trHeight w:val="30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5E4F6B" w:rsidR="005E4F6B" w:rsidP="005E4F6B" w:rsidRDefault="005E4F6B" w14:paraId="39176A9A" w14:textId="77777777">
            <w:pPr>
              <w:widowControl/>
              <w:rPr>
                <w:snapToGrid/>
                <w:color w:val="000000"/>
                <w:sz w:val="20"/>
              </w:rPr>
            </w:pPr>
            <w:r w:rsidRPr="005E4F6B">
              <w:rPr>
                <w:snapToGrid/>
                <w:color w:val="000000"/>
                <w:sz w:val="20"/>
              </w:rPr>
              <w:lastRenderedPageBreak/>
              <w:t>Annual burden hours</w:t>
            </w:r>
          </w:p>
        </w:tc>
        <w:tc>
          <w:tcPr>
            <w:tcW w:w="1260" w:type="dxa"/>
            <w:tcBorders>
              <w:top w:val="nil"/>
              <w:left w:val="nil"/>
              <w:bottom w:val="single" w:color="auto" w:sz="4" w:space="0"/>
              <w:right w:val="single" w:color="auto" w:sz="4" w:space="0"/>
            </w:tcBorders>
            <w:shd w:val="clear" w:color="auto" w:fill="auto"/>
            <w:vAlign w:val="center"/>
            <w:hideMark/>
          </w:tcPr>
          <w:p w:rsidRPr="005E4F6B" w:rsidR="005E4F6B" w:rsidP="005E4F6B" w:rsidRDefault="005E4F6B" w14:paraId="526164B2" w14:textId="77777777">
            <w:pPr>
              <w:widowControl/>
              <w:jc w:val="right"/>
              <w:rPr>
                <w:snapToGrid/>
                <w:color w:val="000000"/>
                <w:sz w:val="20"/>
              </w:rPr>
            </w:pPr>
            <w:r w:rsidRPr="005E4F6B">
              <w:rPr>
                <w:snapToGrid/>
                <w:color w:val="000000"/>
                <w:sz w:val="20"/>
              </w:rPr>
              <w:t xml:space="preserve">       3,301 </w:t>
            </w:r>
          </w:p>
        </w:tc>
        <w:tc>
          <w:tcPr>
            <w:tcW w:w="1440" w:type="dxa"/>
            <w:tcBorders>
              <w:top w:val="nil"/>
              <w:left w:val="nil"/>
              <w:bottom w:val="single" w:color="auto" w:sz="4" w:space="0"/>
              <w:right w:val="single" w:color="auto" w:sz="4" w:space="0"/>
            </w:tcBorders>
            <w:shd w:val="clear" w:color="auto" w:fill="auto"/>
            <w:vAlign w:val="center"/>
            <w:hideMark/>
          </w:tcPr>
          <w:p w:rsidRPr="005E4F6B" w:rsidR="005E4F6B" w:rsidP="005E4F6B" w:rsidRDefault="005E4F6B" w14:paraId="7D60D6D4" w14:textId="77777777">
            <w:pPr>
              <w:widowControl/>
              <w:jc w:val="right"/>
              <w:rPr>
                <w:snapToGrid/>
                <w:color w:val="000000"/>
                <w:sz w:val="20"/>
              </w:rPr>
            </w:pPr>
            <w:r w:rsidRPr="005E4F6B">
              <w:rPr>
                <w:snapToGrid/>
                <w:color w:val="000000"/>
                <w:sz w:val="20"/>
              </w:rPr>
              <w:t xml:space="preserve">            3,839 </w:t>
            </w:r>
          </w:p>
        </w:tc>
        <w:tc>
          <w:tcPr>
            <w:tcW w:w="1170" w:type="dxa"/>
            <w:tcBorders>
              <w:top w:val="nil"/>
              <w:left w:val="nil"/>
              <w:bottom w:val="single" w:color="auto" w:sz="4" w:space="0"/>
              <w:right w:val="single" w:color="auto" w:sz="4" w:space="0"/>
            </w:tcBorders>
            <w:shd w:val="clear" w:color="auto" w:fill="auto"/>
            <w:vAlign w:val="center"/>
            <w:hideMark/>
          </w:tcPr>
          <w:p w:rsidRPr="005E4F6B" w:rsidR="005E4F6B" w:rsidP="005E4F6B" w:rsidRDefault="005E4F6B" w14:paraId="071E7EE0" w14:textId="77777777">
            <w:pPr>
              <w:widowControl/>
              <w:jc w:val="right"/>
              <w:rPr>
                <w:snapToGrid/>
                <w:color w:val="000000"/>
                <w:sz w:val="20"/>
              </w:rPr>
            </w:pPr>
            <w:r w:rsidRPr="005E4F6B">
              <w:rPr>
                <w:snapToGrid/>
                <w:color w:val="000000"/>
                <w:sz w:val="20"/>
              </w:rPr>
              <w:t xml:space="preserve">            538 </w:t>
            </w:r>
          </w:p>
        </w:tc>
      </w:tr>
      <w:tr w:rsidRPr="005E4F6B" w:rsidR="005E4F6B" w:rsidTr="005E4F6B" w14:paraId="487C7CB4" w14:textId="77777777">
        <w:trPr>
          <w:trHeight w:val="300"/>
        </w:trPr>
        <w:tc>
          <w:tcPr>
            <w:tcW w:w="2065" w:type="dxa"/>
            <w:tcBorders>
              <w:top w:val="nil"/>
              <w:left w:val="single" w:color="auto" w:sz="4" w:space="0"/>
              <w:bottom w:val="single" w:color="auto" w:sz="4" w:space="0"/>
              <w:right w:val="single" w:color="auto" w:sz="4" w:space="0"/>
            </w:tcBorders>
            <w:shd w:val="clear" w:color="auto" w:fill="auto"/>
            <w:vAlign w:val="center"/>
            <w:hideMark/>
          </w:tcPr>
          <w:p w:rsidRPr="005E4F6B" w:rsidR="005E4F6B" w:rsidP="005E4F6B" w:rsidRDefault="005E4F6B" w14:paraId="7680CE0D" w14:textId="77777777">
            <w:pPr>
              <w:widowControl/>
              <w:rPr>
                <w:snapToGrid/>
                <w:color w:val="000000"/>
                <w:sz w:val="20"/>
              </w:rPr>
            </w:pPr>
            <w:r w:rsidRPr="005E4F6B">
              <w:rPr>
                <w:snapToGrid/>
                <w:color w:val="000000"/>
                <w:sz w:val="20"/>
              </w:rPr>
              <w:t>Annual cost ($)</w:t>
            </w:r>
          </w:p>
        </w:tc>
        <w:tc>
          <w:tcPr>
            <w:tcW w:w="1260" w:type="dxa"/>
            <w:tcBorders>
              <w:top w:val="nil"/>
              <w:left w:val="nil"/>
              <w:bottom w:val="single" w:color="auto" w:sz="4" w:space="0"/>
              <w:right w:val="single" w:color="auto" w:sz="4" w:space="0"/>
            </w:tcBorders>
            <w:shd w:val="clear" w:color="auto" w:fill="auto"/>
            <w:vAlign w:val="center"/>
            <w:hideMark/>
          </w:tcPr>
          <w:p w:rsidRPr="005E4F6B" w:rsidR="005E4F6B" w:rsidP="005E4F6B" w:rsidRDefault="005E4F6B" w14:paraId="466DC9D3" w14:textId="77777777">
            <w:pPr>
              <w:widowControl/>
              <w:jc w:val="right"/>
              <w:rPr>
                <w:snapToGrid/>
                <w:color w:val="000000"/>
                <w:sz w:val="20"/>
              </w:rPr>
            </w:pPr>
            <w:r w:rsidRPr="005E4F6B">
              <w:rPr>
                <w:snapToGrid/>
                <w:color w:val="000000"/>
                <w:sz w:val="20"/>
              </w:rPr>
              <w:t xml:space="preserve">   281,709 </w:t>
            </w:r>
          </w:p>
        </w:tc>
        <w:tc>
          <w:tcPr>
            <w:tcW w:w="1440" w:type="dxa"/>
            <w:tcBorders>
              <w:top w:val="nil"/>
              <w:left w:val="nil"/>
              <w:bottom w:val="single" w:color="auto" w:sz="4" w:space="0"/>
              <w:right w:val="single" w:color="auto" w:sz="4" w:space="0"/>
            </w:tcBorders>
            <w:shd w:val="clear" w:color="auto" w:fill="auto"/>
            <w:vAlign w:val="center"/>
            <w:hideMark/>
          </w:tcPr>
          <w:p w:rsidRPr="005E4F6B" w:rsidR="005E4F6B" w:rsidP="005E4F6B" w:rsidRDefault="005E4F6B" w14:paraId="7CE47C4A" w14:textId="77777777">
            <w:pPr>
              <w:widowControl/>
              <w:jc w:val="right"/>
              <w:rPr>
                <w:snapToGrid/>
                <w:color w:val="000000"/>
                <w:sz w:val="20"/>
              </w:rPr>
            </w:pPr>
            <w:r w:rsidRPr="005E4F6B">
              <w:rPr>
                <w:snapToGrid/>
                <w:color w:val="000000"/>
                <w:sz w:val="20"/>
              </w:rPr>
              <w:t xml:space="preserve">        249,018 </w:t>
            </w:r>
          </w:p>
        </w:tc>
        <w:tc>
          <w:tcPr>
            <w:tcW w:w="1170" w:type="dxa"/>
            <w:tcBorders>
              <w:top w:val="nil"/>
              <w:left w:val="nil"/>
              <w:bottom w:val="single" w:color="auto" w:sz="4" w:space="0"/>
              <w:right w:val="single" w:color="auto" w:sz="4" w:space="0"/>
            </w:tcBorders>
            <w:shd w:val="clear" w:color="auto" w:fill="auto"/>
            <w:vAlign w:val="center"/>
            <w:hideMark/>
          </w:tcPr>
          <w:p w:rsidRPr="005E4F6B" w:rsidR="005E4F6B" w:rsidP="005E4F6B" w:rsidRDefault="005E4F6B" w14:paraId="64811E83" w14:textId="77777777">
            <w:pPr>
              <w:widowControl/>
              <w:jc w:val="right"/>
              <w:rPr>
                <w:snapToGrid/>
                <w:color w:val="000000"/>
                <w:sz w:val="20"/>
              </w:rPr>
            </w:pPr>
            <w:r w:rsidRPr="005E4F6B">
              <w:rPr>
                <w:snapToGrid/>
                <w:color w:val="000000"/>
                <w:sz w:val="20"/>
              </w:rPr>
              <w:t xml:space="preserve">     (32,691)</w:t>
            </w:r>
          </w:p>
        </w:tc>
      </w:tr>
    </w:tbl>
    <w:p w:rsidR="000875A4" w:rsidP="006112F5" w:rsidRDefault="000875A4" w14:paraId="6AC8DB8E" w14:textId="77777777"/>
    <w:p w:rsidR="009E3133" w:rsidP="006112F5" w:rsidRDefault="006112F5" w14:paraId="369BD271" w14:textId="77777777">
      <w:r>
        <w:t xml:space="preserve">16. </w:t>
      </w:r>
      <w:r w:rsidR="00112E05">
        <w:t xml:space="preserve"> </w:t>
      </w:r>
      <w:r w:rsidRPr="009E3133">
        <w:rPr>
          <w:u w:val="single"/>
        </w:rPr>
        <w:t>Plans for Publication:</w:t>
      </w:r>
      <w:r>
        <w:t xml:space="preserve"> </w:t>
      </w:r>
    </w:p>
    <w:p w:rsidR="009E3133" w:rsidP="006112F5" w:rsidRDefault="009E3133" w14:paraId="12E51CA2" w14:textId="77777777"/>
    <w:p w:rsidR="006112F5" w:rsidP="006112F5" w:rsidRDefault="00506B4F" w14:paraId="7A8835AF" w14:textId="3AC31EB7">
      <w:r>
        <w:t xml:space="preserve">DEA will not public the results of the information collected.  </w:t>
      </w:r>
    </w:p>
    <w:p w:rsidR="006112F5" w:rsidP="006112F5" w:rsidRDefault="006112F5" w14:paraId="56807BAD" w14:textId="77777777"/>
    <w:p w:rsidR="009E3133" w:rsidP="006112F5" w:rsidRDefault="006112F5" w14:paraId="1A15747E" w14:textId="77777777">
      <w:r>
        <w:t xml:space="preserve">17. </w:t>
      </w:r>
      <w:r w:rsidR="00112E05">
        <w:t xml:space="preserve"> </w:t>
      </w:r>
      <w:r w:rsidRPr="009E3133">
        <w:rPr>
          <w:u w:val="single"/>
        </w:rPr>
        <w:t xml:space="preserve">Expiration Date </w:t>
      </w:r>
      <w:r w:rsidR="00E54D80">
        <w:rPr>
          <w:u w:val="single"/>
        </w:rPr>
        <w:t xml:space="preserve">of </w:t>
      </w:r>
      <w:r w:rsidRPr="009E3133">
        <w:rPr>
          <w:u w:val="single"/>
        </w:rPr>
        <w:t>Approval:</w:t>
      </w:r>
      <w:r w:rsidRPr="00E76EE2">
        <w:t xml:space="preserve"> </w:t>
      </w:r>
    </w:p>
    <w:p w:rsidR="009E3133" w:rsidP="006112F5" w:rsidRDefault="009E3133" w14:paraId="4422B4AE" w14:textId="77777777"/>
    <w:p w:rsidR="006112F5" w:rsidP="006112F5" w:rsidRDefault="00506B4F" w14:paraId="027A45D1" w14:textId="50B1B011">
      <w:pPr>
        <w:rPr>
          <w:szCs w:val="24"/>
        </w:rPr>
      </w:pPr>
      <w:r>
        <w:rPr>
          <w:szCs w:val="24"/>
        </w:rPr>
        <w:t xml:space="preserve">DEA </w:t>
      </w:r>
      <w:r w:rsidR="00C875F3">
        <w:rPr>
          <w:szCs w:val="24"/>
        </w:rPr>
        <w:t>does not object to OMB displaying the expiration date.</w:t>
      </w:r>
    </w:p>
    <w:p w:rsidR="00C875F3" w:rsidP="006112F5" w:rsidRDefault="00C875F3" w14:paraId="27D504CC" w14:textId="77777777"/>
    <w:p w:rsidR="009E3133" w:rsidP="006112F5" w:rsidRDefault="006112F5" w14:paraId="3225BD7C" w14:textId="77777777">
      <w:r>
        <w:t>18.</w:t>
      </w:r>
      <w:r w:rsidR="00112E05">
        <w:t xml:space="preserve"> </w:t>
      </w:r>
      <w:r>
        <w:t xml:space="preserve"> </w:t>
      </w:r>
      <w:r w:rsidRPr="009E3133">
        <w:rPr>
          <w:u w:val="single"/>
        </w:rPr>
        <w:t>Exceptions to the Certification Statement:</w:t>
      </w:r>
    </w:p>
    <w:p w:rsidR="009E3133" w:rsidP="006112F5" w:rsidRDefault="009E3133" w14:paraId="6CE31171" w14:textId="77777777"/>
    <w:p w:rsidR="006112F5" w:rsidP="006112F5" w:rsidRDefault="00506B4F" w14:paraId="5E20FC42" w14:textId="1CDFB50A">
      <w:r>
        <w:t xml:space="preserve">DEA is not seeking an exception to the certification statement “Certification for Paperwork Reduction Act Submissions” for this collection of information.  </w:t>
      </w:r>
    </w:p>
    <w:p w:rsidR="000875A4" w:rsidP="006112F5" w:rsidRDefault="000875A4" w14:paraId="327A5282" w14:textId="77777777"/>
    <w:p w:rsidRPr="009E3133" w:rsidR="006112F5" w:rsidP="006112F5" w:rsidRDefault="006112F5" w14:paraId="19BC1999" w14:textId="77777777">
      <w:pPr>
        <w:rPr>
          <w:b/>
        </w:rPr>
      </w:pPr>
      <w:r w:rsidRPr="009E3133">
        <w:rPr>
          <w:b/>
        </w:rPr>
        <w:t>Part B. Statistical Methods</w:t>
      </w:r>
    </w:p>
    <w:p w:rsidR="002D6729" w:rsidRDefault="002D6729" w14:paraId="602ECA49" w14:textId="77777777"/>
    <w:p w:rsidR="006112F5" w:rsidRDefault="00C875F3" w14:paraId="7E134C33" w14:textId="035454E5">
      <w:r>
        <w:t>DEA does not employ statistical methods in this information collection</w:t>
      </w:r>
      <w:r w:rsidR="007F22A4">
        <w:t>.</w:t>
      </w:r>
    </w:p>
    <w:sectPr w:rsidR="006112F5">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AC95F" w14:textId="77777777" w:rsidR="005C60E0" w:rsidRDefault="005C60E0" w:rsidP="001A6313">
      <w:r>
        <w:separator/>
      </w:r>
    </w:p>
  </w:endnote>
  <w:endnote w:type="continuationSeparator" w:id="0">
    <w:p w14:paraId="52B3373B" w14:textId="77777777" w:rsidR="005C60E0" w:rsidRDefault="005C60E0" w:rsidP="001A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5CFF4" w14:textId="77777777" w:rsidR="005C60E0" w:rsidRDefault="005C60E0" w:rsidP="001A6313">
      <w:r>
        <w:separator/>
      </w:r>
    </w:p>
  </w:footnote>
  <w:footnote w:type="continuationSeparator" w:id="0">
    <w:p w14:paraId="092557E6" w14:textId="77777777" w:rsidR="005C60E0" w:rsidRDefault="005C60E0" w:rsidP="001A6313">
      <w:r>
        <w:continuationSeparator/>
      </w:r>
    </w:p>
  </w:footnote>
  <w:footnote w:id="1">
    <w:p w14:paraId="25E2B15B" w14:textId="77777777" w:rsidR="001A6313" w:rsidRDefault="001A6313" w:rsidP="001A6313">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r w:rsidR="00F80806" w:rsidRPr="00F80806">
        <w:rPr>
          <w:rFonts w:ascii="Times New Roman" w:hAnsi="Times New Roman"/>
        </w:rPr>
        <w:t>Median hourly wage, Bureau of Labor Statistics, Occupational and Employment and Wages, May 2019, 11-3071 Transportation, Storage, and Distribution Managers (https://www.bls.gov/oes/current/oes_nat.htm)</w:t>
      </w:r>
      <w:r w:rsidRPr="00D34495">
        <w:rPr>
          <w:rFonts w:ascii="Times New Roman" w:hAnsi="Times New Roman"/>
        </w:rPr>
        <w:t>.</w:t>
      </w:r>
    </w:p>
  </w:footnote>
  <w:footnote w:id="2">
    <w:p w14:paraId="04BAA8EF" w14:textId="77777777" w:rsidR="001A6313" w:rsidRDefault="001A6313" w:rsidP="001A6313">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w:t>
      </w:r>
      <w:r w:rsidR="00F80806" w:rsidRPr="00F80806">
        <w:rPr>
          <w:rFonts w:ascii="Times New Roman" w:hAnsi="Times New Roman"/>
        </w:rPr>
        <w:t>Bureau of Labor Statistics, “Employer Costs for Employee Compensation – December 2019” (ECEC) reports that average benefits for private industry is 29.9% of total compensation.  The 29.9% of total compensation equates to 42.7% (29.9% / 70.1%) load on wages and salaries</w:t>
      </w:r>
      <w:r w:rsidRPr="007B3740">
        <w:rPr>
          <w:rFonts w:ascii="Times New Roman" w:hAnsi="Times New Roman"/>
        </w:rPr>
        <w:t>.</w:t>
      </w:r>
    </w:p>
  </w:footnote>
  <w:footnote w:id="3">
    <w:p w14:paraId="07EF8722" w14:textId="77777777" w:rsidR="001A6313" w:rsidRDefault="001A6313" w:rsidP="001A6313">
      <w:pPr>
        <w:pStyle w:val="FootnoteText"/>
      </w:pPr>
      <w:r w:rsidRPr="007B3740">
        <w:rPr>
          <w:rStyle w:val="FootnoteReference"/>
          <w:rFonts w:ascii="Times New Roman" w:hAnsi="Times New Roman"/>
          <w:vertAlign w:val="superscript"/>
        </w:rPr>
        <w:footnoteRef/>
      </w:r>
      <w:r w:rsidR="008A2A8B">
        <w:rPr>
          <w:rFonts w:ascii="Times New Roman" w:hAnsi="Times New Roman"/>
        </w:rPr>
        <w:t xml:space="preserve"> </w:t>
      </w:r>
      <w:r w:rsidR="00F80806" w:rsidRPr="00F80806">
        <w:rPr>
          <w:rFonts w:ascii="Times New Roman" w:hAnsi="Times New Roman"/>
        </w:rPr>
        <w:t>$45.46 x (1 + 0.427) = $64.87</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15:restartNumberingAfterBreak="0">
    <w:nsid w:val="02A17A9B"/>
    <w:multiLevelType w:val="hybridMultilevel"/>
    <w:tmpl w:val="BF325A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011D74"/>
    <w:multiLevelType w:val="hybridMultilevel"/>
    <w:tmpl w:val="5364853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1"/>
        <w:lvlText w:val="%1."/>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F5"/>
    <w:rsid w:val="00085C7E"/>
    <w:rsid w:val="000875A4"/>
    <w:rsid w:val="000B5A85"/>
    <w:rsid w:val="000D136C"/>
    <w:rsid w:val="000E4103"/>
    <w:rsid w:val="00106DDE"/>
    <w:rsid w:val="00112E05"/>
    <w:rsid w:val="00152578"/>
    <w:rsid w:val="00154005"/>
    <w:rsid w:val="001604B6"/>
    <w:rsid w:val="0018070A"/>
    <w:rsid w:val="001809F8"/>
    <w:rsid w:val="00184411"/>
    <w:rsid w:val="00192601"/>
    <w:rsid w:val="001A6313"/>
    <w:rsid w:val="001A6315"/>
    <w:rsid w:val="001B0255"/>
    <w:rsid w:val="001D4256"/>
    <w:rsid w:val="001E3769"/>
    <w:rsid w:val="00200EE2"/>
    <w:rsid w:val="002110E3"/>
    <w:rsid w:val="0023249F"/>
    <w:rsid w:val="00240D57"/>
    <w:rsid w:val="00263864"/>
    <w:rsid w:val="002644E3"/>
    <w:rsid w:val="00281FFE"/>
    <w:rsid w:val="002A7A88"/>
    <w:rsid w:val="002D50D1"/>
    <w:rsid w:val="002D6729"/>
    <w:rsid w:val="002E4C81"/>
    <w:rsid w:val="002F1A06"/>
    <w:rsid w:val="00301CFA"/>
    <w:rsid w:val="0036766A"/>
    <w:rsid w:val="003A6030"/>
    <w:rsid w:val="003B627C"/>
    <w:rsid w:val="003D495E"/>
    <w:rsid w:val="00415360"/>
    <w:rsid w:val="00431ED3"/>
    <w:rsid w:val="00434D58"/>
    <w:rsid w:val="004439F6"/>
    <w:rsid w:val="0044795B"/>
    <w:rsid w:val="00457126"/>
    <w:rsid w:val="004D3F23"/>
    <w:rsid w:val="004D5928"/>
    <w:rsid w:val="004E5C79"/>
    <w:rsid w:val="00506B4F"/>
    <w:rsid w:val="0052340B"/>
    <w:rsid w:val="0053706B"/>
    <w:rsid w:val="00594738"/>
    <w:rsid w:val="005A7AB2"/>
    <w:rsid w:val="005A7E16"/>
    <w:rsid w:val="005B1B1E"/>
    <w:rsid w:val="005C60E0"/>
    <w:rsid w:val="005E1F8F"/>
    <w:rsid w:val="005E4F6B"/>
    <w:rsid w:val="00602100"/>
    <w:rsid w:val="00603E79"/>
    <w:rsid w:val="00610068"/>
    <w:rsid w:val="006112F5"/>
    <w:rsid w:val="00626A91"/>
    <w:rsid w:val="00671088"/>
    <w:rsid w:val="00696EAE"/>
    <w:rsid w:val="006A2BD4"/>
    <w:rsid w:val="006B434D"/>
    <w:rsid w:val="006D6BD1"/>
    <w:rsid w:val="006E0305"/>
    <w:rsid w:val="006E5BAC"/>
    <w:rsid w:val="0071678F"/>
    <w:rsid w:val="00725D4C"/>
    <w:rsid w:val="007455EE"/>
    <w:rsid w:val="00751E68"/>
    <w:rsid w:val="007D1B84"/>
    <w:rsid w:val="007D6EA0"/>
    <w:rsid w:val="007E4C5D"/>
    <w:rsid w:val="007F22A4"/>
    <w:rsid w:val="008003F4"/>
    <w:rsid w:val="00820FD8"/>
    <w:rsid w:val="00826EE3"/>
    <w:rsid w:val="0083232F"/>
    <w:rsid w:val="00835817"/>
    <w:rsid w:val="008460A0"/>
    <w:rsid w:val="00874F1A"/>
    <w:rsid w:val="008843E5"/>
    <w:rsid w:val="008A2A8B"/>
    <w:rsid w:val="008B7E0C"/>
    <w:rsid w:val="008C78CB"/>
    <w:rsid w:val="008D2225"/>
    <w:rsid w:val="008D27EB"/>
    <w:rsid w:val="008D4187"/>
    <w:rsid w:val="008E64A4"/>
    <w:rsid w:val="00901959"/>
    <w:rsid w:val="00903345"/>
    <w:rsid w:val="00923E32"/>
    <w:rsid w:val="00923F45"/>
    <w:rsid w:val="009261DD"/>
    <w:rsid w:val="00940B3C"/>
    <w:rsid w:val="00943390"/>
    <w:rsid w:val="009827E1"/>
    <w:rsid w:val="00997CAA"/>
    <w:rsid w:val="009B781E"/>
    <w:rsid w:val="009D5C76"/>
    <w:rsid w:val="009E13E7"/>
    <w:rsid w:val="009E3133"/>
    <w:rsid w:val="009E5237"/>
    <w:rsid w:val="009F539A"/>
    <w:rsid w:val="00A93F0F"/>
    <w:rsid w:val="00AA191A"/>
    <w:rsid w:val="00AC323F"/>
    <w:rsid w:val="00AD455A"/>
    <w:rsid w:val="00AD6388"/>
    <w:rsid w:val="00AE184C"/>
    <w:rsid w:val="00B04726"/>
    <w:rsid w:val="00B119E9"/>
    <w:rsid w:val="00B802F3"/>
    <w:rsid w:val="00B8163C"/>
    <w:rsid w:val="00B83A1F"/>
    <w:rsid w:val="00B92AAB"/>
    <w:rsid w:val="00B96B9C"/>
    <w:rsid w:val="00BB2EC6"/>
    <w:rsid w:val="00BB6C3D"/>
    <w:rsid w:val="00BD5299"/>
    <w:rsid w:val="00BF3103"/>
    <w:rsid w:val="00C74216"/>
    <w:rsid w:val="00C875F3"/>
    <w:rsid w:val="00C94BCE"/>
    <w:rsid w:val="00CA1151"/>
    <w:rsid w:val="00CA3A36"/>
    <w:rsid w:val="00CB24C4"/>
    <w:rsid w:val="00CE08E7"/>
    <w:rsid w:val="00D2462C"/>
    <w:rsid w:val="00D54798"/>
    <w:rsid w:val="00D63AFA"/>
    <w:rsid w:val="00D96D90"/>
    <w:rsid w:val="00DA0228"/>
    <w:rsid w:val="00DA17E9"/>
    <w:rsid w:val="00DA6FB6"/>
    <w:rsid w:val="00DD1B17"/>
    <w:rsid w:val="00E03938"/>
    <w:rsid w:val="00E0663C"/>
    <w:rsid w:val="00E11E8C"/>
    <w:rsid w:val="00E320FF"/>
    <w:rsid w:val="00E52D60"/>
    <w:rsid w:val="00E54D80"/>
    <w:rsid w:val="00E5792F"/>
    <w:rsid w:val="00E71E30"/>
    <w:rsid w:val="00E76EE2"/>
    <w:rsid w:val="00E82AEC"/>
    <w:rsid w:val="00EE4AC3"/>
    <w:rsid w:val="00EF72A6"/>
    <w:rsid w:val="00F22875"/>
    <w:rsid w:val="00F37572"/>
    <w:rsid w:val="00F4037A"/>
    <w:rsid w:val="00F463A7"/>
    <w:rsid w:val="00F5385D"/>
    <w:rsid w:val="00F66ABB"/>
    <w:rsid w:val="00F71E4E"/>
    <w:rsid w:val="00F80806"/>
    <w:rsid w:val="00F951C4"/>
    <w:rsid w:val="00FA59AC"/>
    <w:rsid w:val="00FC3ADF"/>
    <w:rsid w:val="00FD0023"/>
    <w:rsid w:val="00FE1AC1"/>
    <w:rsid w:val="00FE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BBCE4"/>
  <w15:docId w15:val="{37F98F5F-B034-43E8-9F44-4B02B777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2F5"/>
    <w:pPr>
      <w:widowControl w:val="0"/>
    </w:pPr>
    <w:rPr>
      <w:snapToGrid w:val="0"/>
      <w:sz w:val="24"/>
    </w:rPr>
  </w:style>
  <w:style w:type="paragraph" w:styleId="Heading1">
    <w:name w:val="heading 1"/>
    <w:basedOn w:val="Normal"/>
    <w:next w:val="Normal"/>
    <w:link w:val="Heading1Char"/>
    <w:uiPriority w:val="9"/>
    <w:qFormat/>
    <w:rsid w:val="00E5792F"/>
    <w:pPr>
      <w:widowControl/>
      <w:outlineLvl w:val="0"/>
    </w:pPr>
    <w:rPr>
      <w:noProof/>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6112F5"/>
    <w:pPr>
      <w:numPr>
        <w:numId w:val="1"/>
      </w:numPr>
      <w:ind w:left="720" w:hanging="720"/>
    </w:pPr>
  </w:style>
  <w:style w:type="table" w:styleId="TableGrid">
    <w:name w:val="Table Grid"/>
    <w:basedOn w:val="TableNormal"/>
    <w:uiPriority w:val="59"/>
    <w:rsid w:val="0026386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133"/>
    <w:pPr>
      <w:ind w:left="720"/>
      <w:contextualSpacing/>
    </w:pPr>
  </w:style>
  <w:style w:type="paragraph" w:styleId="BalloonText">
    <w:name w:val="Balloon Text"/>
    <w:basedOn w:val="Normal"/>
    <w:link w:val="BalloonTextChar"/>
    <w:uiPriority w:val="99"/>
    <w:semiHidden/>
    <w:unhideWhenUsed/>
    <w:rsid w:val="00FE4C71"/>
    <w:rPr>
      <w:rFonts w:ascii="Tahoma" w:hAnsi="Tahoma" w:cs="Tahoma"/>
      <w:sz w:val="16"/>
      <w:szCs w:val="16"/>
    </w:rPr>
  </w:style>
  <w:style w:type="character" w:customStyle="1" w:styleId="BalloonTextChar">
    <w:name w:val="Balloon Text Char"/>
    <w:basedOn w:val="DefaultParagraphFont"/>
    <w:link w:val="BalloonText"/>
    <w:uiPriority w:val="99"/>
    <w:semiHidden/>
    <w:rsid w:val="00FE4C71"/>
    <w:rPr>
      <w:rFonts w:ascii="Tahoma" w:hAnsi="Tahoma" w:cs="Tahoma"/>
      <w:snapToGrid w:val="0"/>
      <w:sz w:val="16"/>
      <w:szCs w:val="16"/>
    </w:rPr>
  </w:style>
  <w:style w:type="character" w:styleId="Hyperlink">
    <w:name w:val="Hyperlink"/>
    <w:basedOn w:val="DefaultParagraphFont"/>
    <w:uiPriority w:val="99"/>
    <w:unhideWhenUsed/>
    <w:rsid w:val="00B83A1F"/>
    <w:rPr>
      <w:color w:val="0000FF" w:themeColor="hyperlink"/>
      <w:u w:val="single"/>
    </w:rPr>
  </w:style>
  <w:style w:type="paragraph" w:styleId="Revision">
    <w:name w:val="Revision"/>
    <w:hidden/>
    <w:uiPriority w:val="99"/>
    <w:semiHidden/>
    <w:rsid w:val="001809F8"/>
    <w:rPr>
      <w:snapToGrid w:val="0"/>
      <w:sz w:val="24"/>
    </w:rPr>
  </w:style>
  <w:style w:type="character" w:styleId="CommentReference">
    <w:name w:val="annotation reference"/>
    <w:basedOn w:val="DefaultParagraphFont"/>
    <w:uiPriority w:val="99"/>
    <w:semiHidden/>
    <w:unhideWhenUsed/>
    <w:rsid w:val="008E64A4"/>
    <w:rPr>
      <w:sz w:val="16"/>
      <w:szCs w:val="16"/>
    </w:rPr>
  </w:style>
  <w:style w:type="paragraph" w:styleId="CommentText">
    <w:name w:val="annotation text"/>
    <w:basedOn w:val="Normal"/>
    <w:link w:val="CommentTextChar"/>
    <w:uiPriority w:val="99"/>
    <w:semiHidden/>
    <w:unhideWhenUsed/>
    <w:rsid w:val="008E64A4"/>
    <w:rPr>
      <w:sz w:val="20"/>
    </w:rPr>
  </w:style>
  <w:style w:type="character" w:customStyle="1" w:styleId="CommentTextChar">
    <w:name w:val="Comment Text Char"/>
    <w:basedOn w:val="DefaultParagraphFont"/>
    <w:link w:val="CommentText"/>
    <w:uiPriority w:val="99"/>
    <w:semiHidden/>
    <w:rsid w:val="008E64A4"/>
    <w:rPr>
      <w:snapToGrid w:val="0"/>
    </w:rPr>
  </w:style>
  <w:style w:type="paragraph" w:styleId="CommentSubject">
    <w:name w:val="annotation subject"/>
    <w:basedOn w:val="CommentText"/>
    <w:next w:val="CommentText"/>
    <w:link w:val="CommentSubjectChar"/>
    <w:uiPriority w:val="99"/>
    <w:semiHidden/>
    <w:unhideWhenUsed/>
    <w:rsid w:val="008E64A4"/>
    <w:rPr>
      <w:b/>
      <w:bCs/>
    </w:rPr>
  </w:style>
  <w:style w:type="character" w:customStyle="1" w:styleId="CommentSubjectChar">
    <w:name w:val="Comment Subject Char"/>
    <w:basedOn w:val="CommentTextChar"/>
    <w:link w:val="CommentSubject"/>
    <w:uiPriority w:val="99"/>
    <w:semiHidden/>
    <w:rsid w:val="008E64A4"/>
    <w:rPr>
      <w:b/>
      <w:bCs/>
      <w:snapToGrid w:val="0"/>
    </w:rPr>
  </w:style>
  <w:style w:type="paragraph" w:styleId="FootnoteText">
    <w:name w:val="footnote text"/>
    <w:basedOn w:val="Normal"/>
    <w:link w:val="FootnoteTextChar"/>
    <w:uiPriority w:val="99"/>
    <w:semiHidden/>
    <w:unhideWhenUsed/>
    <w:rsid w:val="001A6313"/>
    <w:pPr>
      <w:widowControl/>
    </w:pPr>
    <w:rPr>
      <w:rFonts w:ascii="Cambria" w:hAnsi="Cambria"/>
      <w:snapToGrid/>
      <w:sz w:val="20"/>
    </w:rPr>
  </w:style>
  <w:style w:type="character" w:customStyle="1" w:styleId="FootnoteTextChar">
    <w:name w:val="Footnote Text Char"/>
    <w:basedOn w:val="DefaultParagraphFont"/>
    <w:link w:val="FootnoteText"/>
    <w:uiPriority w:val="99"/>
    <w:semiHidden/>
    <w:rsid w:val="001A6313"/>
    <w:rPr>
      <w:rFonts w:ascii="Cambria" w:hAnsi="Cambria"/>
    </w:rPr>
  </w:style>
  <w:style w:type="character" w:styleId="FootnoteReference">
    <w:name w:val="footnote reference"/>
    <w:basedOn w:val="DefaultParagraphFont"/>
    <w:uiPriority w:val="99"/>
    <w:semiHidden/>
    <w:unhideWhenUsed/>
    <w:rsid w:val="001A6313"/>
    <w:rPr>
      <w:rFonts w:cs="Times New Roman"/>
    </w:rPr>
  </w:style>
  <w:style w:type="character" w:customStyle="1" w:styleId="Heading1Char">
    <w:name w:val="Heading 1 Char"/>
    <w:basedOn w:val="DefaultParagraphFont"/>
    <w:link w:val="Heading1"/>
    <w:uiPriority w:val="9"/>
    <w:rsid w:val="00E5792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652692">
      <w:bodyDiv w:val="1"/>
      <w:marLeft w:val="0"/>
      <w:marRight w:val="0"/>
      <w:marTop w:val="0"/>
      <w:marBottom w:val="0"/>
      <w:divBdr>
        <w:top w:val="none" w:sz="0" w:space="0" w:color="auto"/>
        <w:left w:val="none" w:sz="0" w:space="0" w:color="auto"/>
        <w:bottom w:val="none" w:sz="0" w:space="0" w:color="auto"/>
        <w:right w:val="none" w:sz="0" w:space="0" w:color="auto"/>
      </w:divBdr>
    </w:div>
    <w:div w:id="1207524989">
      <w:bodyDiv w:val="1"/>
      <w:marLeft w:val="0"/>
      <w:marRight w:val="0"/>
      <w:marTop w:val="0"/>
      <w:marBottom w:val="0"/>
      <w:divBdr>
        <w:top w:val="none" w:sz="0" w:space="0" w:color="auto"/>
        <w:left w:val="none" w:sz="0" w:space="0" w:color="auto"/>
        <w:bottom w:val="none" w:sz="0" w:space="0" w:color="auto"/>
        <w:right w:val="none" w:sz="0" w:space="0" w:color="auto"/>
      </w:divBdr>
    </w:div>
    <w:div w:id="1502038642">
      <w:bodyDiv w:val="1"/>
      <w:marLeft w:val="0"/>
      <w:marRight w:val="0"/>
      <w:marTop w:val="0"/>
      <w:marBottom w:val="0"/>
      <w:divBdr>
        <w:top w:val="none" w:sz="0" w:space="0" w:color="auto"/>
        <w:left w:val="none" w:sz="0" w:space="0" w:color="auto"/>
        <w:bottom w:val="none" w:sz="0" w:space="0" w:color="auto"/>
        <w:right w:val="none" w:sz="0" w:space="0" w:color="auto"/>
      </w:divBdr>
    </w:div>
    <w:div w:id="2035762193">
      <w:bodyDiv w:val="1"/>
      <w:marLeft w:val="0"/>
      <w:marRight w:val="0"/>
      <w:marTop w:val="0"/>
      <w:marBottom w:val="0"/>
      <w:divBdr>
        <w:top w:val="none" w:sz="0" w:space="0" w:color="auto"/>
        <w:left w:val="none" w:sz="0" w:space="0" w:color="auto"/>
        <w:bottom w:val="none" w:sz="0" w:space="0" w:color="auto"/>
        <w:right w:val="none" w:sz="0" w:space="0" w:color="auto"/>
      </w:divBdr>
    </w:div>
    <w:div w:id="20428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2F8FF-85AA-4961-8E43-2AE65FB241C9}">
  <ds:schemaRefs>
    <ds:schemaRef ds:uri="http://schemas.openxmlformats.org/officeDocument/2006/bibliography"/>
  </ds:schemaRefs>
</ds:datastoreItem>
</file>

<file path=customXml/itemProps2.xml><?xml version="1.0" encoding="utf-8"?>
<ds:datastoreItem xmlns:ds="http://schemas.openxmlformats.org/officeDocument/2006/customXml" ds:itemID="{F4441A84-76A8-46C6-816C-797B514C2B15}">
  <ds:schemaRefs>
    <ds:schemaRef ds:uri="http://schemas.microsoft.com/sharepoint/v3/contenttype/forms"/>
  </ds:schemaRefs>
</ds:datastoreItem>
</file>

<file path=customXml/itemProps3.xml><?xml version="1.0" encoding="utf-8"?>
<ds:datastoreItem xmlns:ds="http://schemas.openxmlformats.org/officeDocument/2006/customXml" ds:itemID="{FEA9CC2D-FE96-47A0-B5E5-7A27F25F68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087412-4B85-4187-B6C0-2BE959F2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Patricia Black</dc:creator>
  <cp:lastModifiedBy>Microsoft Office User</cp:lastModifiedBy>
  <cp:revision>6</cp:revision>
  <dcterms:created xsi:type="dcterms:W3CDTF">2020-08-07T20:43:00Z</dcterms:created>
  <dcterms:modified xsi:type="dcterms:W3CDTF">2020-08-18T00:24:00Z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