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4F27" w:rsidR="00E843AF" w:rsidP="00E843AF" w:rsidRDefault="00E843AF">
      <w:pPr>
        <w:jc w:val="center"/>
        <w:rPr>
          <w:b/>
        </w:rPr>
      </w:pPr>
      <w:r w:rsidRPr="00654F27">
        <w:rPr>
          <w:b/>
        </w:rPr>
        <w:t>Supporting Statement for Paperwork Reduction Act Submissions</w:t>
      </w:r>
    </w:p>
    <w:p w:rsidRPr="00654F27" w:rsidR="005455ED" w:rsidP="00654F27" w:rsidRDefault="00E843AF">
      <w:pPr>
        <w:ind w:left="360"/>
        <w:jc w:val="center"/>
        <w:rPr>
          <w:b/>
        </w:rPr>
      </w:pPr>
      <w:r w:rsidRPr="00654F27">
        <w:rPr>
          <w:b/>
        </w:rPr>
        <w:t>Application for Permit to Import Controlled Substances for Domestic and/or Scientific Pur</w:t>
      </w:r>
      <w:r w:rsidR="00654F27">
        <w:rPr>
          <w:b/>
        </w:rPr>
        <w:t xml:space="preserve">poses pursuant to 21 U.S.C. 952 </w:t>
      </w:r>
      <w:r w:rsidRPr="00AD455A" w:rsidR="00654F27">
        <w:rPr>
          <w:b/>
        </w:rPr>
        <w:t>–</w:t>
      </w:r>
      <w:r w:rsidR="00654F27">
        <w:rPr>
          <w:b/>
        </w:rPr>
        <w:t xml:space="preserve"> DEA Form 357</w:t>
      </w:r>
    </w:p>
    <w:p w:rsidRPr="00654F27" w:rsidR="00E843AF" w:rsidP="00E843AF" w:rsidRDefault="005455ED">
      <w:pPr>
        <w:jc w:val="center"/>
        <w:rPr>
          <w:b/>
        </w:rPr>
      </w:pPr>
      <w:r w:rsidRPr="00654F27">
        <w:rPr>
          <w:b/>
        </w:rPr>
        <w:t xml:space="preserve"> OMB Approval # 1117-0013</w:t>
      </w:r>
    </w:p>
    <w:p w:rsidR="005455ED" w:rsidP="00E843AF" w:rsidRDefault="005455ED">
      <w:pPr>
        <w:jc w:val="center"/>
      </w:pPr>
    </w:p>
    <w:p w:rsidRPr="00B051D2" w:rsidR="005455ED" w:rsidP="005455ED" w:rsidRDefault="005455ED">
      <w:pPr>
        <w:tabs>
          <w:tab w:val="left" w:pos="0"/>
          <w:tab w:val="left" w:pos="720"/>
          <w:tab w:val="left" w:pos="1440"/>
          <w:tab w:val="left" w:pos="2010"/>
          <w:tab w:val="left" w:pos="2160"/>
          <w:tab w:val="left" w:pos="2880"/>
          <w:tab w:val="left" w:pos="3600"/>
          <w:tab w:val="left" w:pos="4320"/>
          <w:tab w:val="left" w:pos="5040"/>
          <w:tab w:val="left" w:pos="5760"/>
          <w:tab w:val="left" w:pos="6480"/>
          <w:tab w:val="left" w:pos="7200"/>
          <w:tab w:val="left" w:pos="7920"/>
          <w:tab w:val="left" w:pos="8640"/>
          <w:tab w:val="left" w:pos="936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 w:val="left" w:pos="0"/>
          <w:tab w:val="left" w:pos="720"/>
          <w:tab w:val="left" w:pos="1440"/>
          <w:tab w:val="left" w:pos="2010"/>
          <w:tab w:val="left" w:pos="2160"/>
          <w:tab w:val="left" w:pos="2880"/>
          <w:tab w:val="left" w:pos="3600"/>
        </w:tabs>
      </w:pPr>
      <w:r>
        <w:t>Drug Enforcement Administration (DEA) seeks approval by the Office of Ma</w:t>
      </w:r>
      <w:r w:rsidR="00203255">
        <w:t>nagement and Budget (OMB) for a revision of an</w:t>
      </w:r>
      <w:r>
        <w:t xml:space="preserve"> existing collection of information that was previously approved by OMB </w:t>
      </w:r>
      <w:r w:rsidRPr="00FB41E0">
        <w:t xml:space="preserve">– </w:t>
      </w:r>
      <w:r w:rsidR="00B83341">
        <w:t>OMB Approval # 1117-0013</w:t>
      </w:r>
      <w:r w:rsidR="001B5A4D">
        <w:t xml:space="preserve">, </w:t>
      </w:r>
      <w:r w:rsidR="00B83341">
        <w:t>Application for Permit to Import Controlled Substances for Domestic and/or Scientific Purposes</w:t>
      </w:r>
      <w:r w:rsidR="00707867">
        <w:t xml:space="preserve"> pursuant to 21</w:t>
      </w:r>
      <w:r>
        <w:t xml:space="preserve"> (DEA Form</w:t>
      </w:r>
      <w:r w:rsidR="00B83341">
        <w:t xml:space="preserve"> 357</w:t>
      </w:r>
      <w:r>
        <w:t>).</w:t>
      </w:r>
    </w:p>
    <w:p w:rsidR="00E843AF" w:rsidP="00E843AF" w:rsidRDefault="00E843AF"/>
    <w:p w:rsidRPr="002F7479" w:rsidR="00E843AF" w:rsidP="00E843AF" w:rsidRDefault="00E843AF">
      <w:pPr>
        <w:rPr>
          <w:b/>
        </w:rPr>
      </w:pPr>
      <w:r w:rsidRPr="002F7479">
        <w:rPr>
          <w:b/>
        </w:rPr>
        <w:t xml:space="preserve">Part A.  Justification </w:t>
      </w:r>
    </w:p>
    <w:p w:rsidR="00E843AF" w:rsidP="00E843AF" w:rsidRDefault="00E843AF"/>
    <w:p w:rsidR="005455ED" w:rsidP="00E843AF" w:rsidRDefault="00E843AF">
      <w:r>
        <w:t xml:space="preserve">1. </w:t>
      </w:r>
      <w:r w:rsidR="005455ED">
        <w:t xml:space="preserve"> </w:t>
      </w:r>
      <w:r w:rsidRPr="005455ED" w:rsidR="005455ED">
        <w:rPr>
          <w:u w:val="single"/>
        </w:rPr>
        <w:t>Necessity of Information:</w:t>
      </w:r>
    </w:p>
    <w:p w:rsidR="005455ED" w:rsidP="00E843AF" w:rsidRDefault="005455ED"/>
    <w:p w:rsidR="006D223D" w:rsidP="006D223D" w:rsidRDefault="006D223D">
      <w:r>
        <w:t xml:space="preserve">Section 1002 of the Controlled Substances Import and Export Act (CSIEA) (21 U.S.C. 952) and Title 21, Code of Federal Regulations (21 CFR), Sections 1312.11, 1312.12 and 1312.13 requires any person who desires to import controlled substances listed in schedules I or II, any narcotic substance </w:t>
      </w:r>
      <w:r w:rsidR="00F01D8E">
        <w:t xml:space="preserve">listed in schedules III or IV, </w:t>
      </w:r>
      <w:r>
        <w:t xml:space="preserve">or any non-narcotic substance in schedule III which the Administrator has specifically designated by regulation in </w:t>
      </w:r>
      <w:r w:rsidRPr="00CA3A36">
        <w:t>§1312.30</w:t>
      </w:r>
      <w:r>
        <w:t xml:space="preserve">, or any nonnarcotic substance in schedule IV or V which is also listed in schedule I or II of the Convention on Psychotropic Substances, must have an import permit.  To obtain the permit to import controlled substances for domestic and or scientific purposes, an application for the permit must be made to </w:t>
      </w:r>
      <w:r w:rsidR="00DD0303">
        <w:t>DEA</w:t>
      </w:r>
      <w:r>
        <w:t xml:space="preserve"> on DEA Form 357. </w:t>
      </w:r>
      <w:r w:rsidR="00E4582A">
        <w:t xml:space="preserve"> Also, by Executive Order of the President, DEA is required to streamline the export/import process and to utilize the International Trade Data System.   </w:t>
      </w:r>
    </w:p>
    <w:p w:rsidR="000B4B68" w:rsidP="00E843AF" w:rsidRDefault="00CA7244">
      <w:r>
        <w:t xml:space="preserve"> </w:t>
      </w:r>
    </w:p>
    <w:p w:rsidRPr="00DE665F" w:rsidR="005455ED" w:rsidP="00E843AF" w:rsidRDefault="00E843AF">
      <w:r w:rsidRPr="00DE665F">
        <w:t xml:space="preserve">2. </w:t>
      </w:r>
      <w:r w:rsidR="00DE665F">
        <w:t xml:space="preserve"> </w:t>
      </w:r>
      <w:r w:rsidRPr="00DE665F">
        <w:rPr>
          <w:u w:val="single"/>
        </w:rPr>
        <w:t xml:space="preserve">Needs and Uses: </w:t>
      </w:r>
    </w:p>
    <w:p w:rsidR="005455ED" w:rsidP="00E843AF" w:rsidRDefault="005455ED"/>
    <w:p w:rsidR="005455ED" w:rsidP="000868C6" w:rsidRDefault="00DD0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DEA</w:t>
      </w:r>
      <w:r w:rsidR="00E4582A">
        <w:t xml:space="preserve"> mandates</w:t>
      </w:r>
      <w:r w:rsidRPr="000868C6" w:rsidR="000868C6">
        <w:t xml:space="preserve"> electronic filing of return information for any person who desires to import any controlled substance listed in schedule I or II or any narcotic controlled substance listed in schedule III, IV, or V or any non-narcotic controlled substance in schedule III which the Administrator has specifically designed by regulation in 21 CFR 1312.30 or any non-narcotic controlled substance in schedule IV or V which is also listed in schedule I or II of the Convention on Psychotropic Substances.</w:t>
      </w:r>
    </w:p>
    <w:p w:rsidR="00D54BA0" w:rsidP="00E843AF" w:rsidRDefault="00D54BA0"/>
    <w:p w:rsidR="00D54BA0" w:rsidP="00E843AF" w:rsidRDefault="00654F27">
      <w:r>
        <w:t>In</w:t>
      </w:r>
      <w:r w:rsidR="001A795A">
        <w:t xml:space="preserve"> </w:t>
      </w:r>
      <w:r w:rsidRPr="00CA3A36" w:rsidR="001A795A">
        <w:t>§</w:t>
      </w:r>
      <w:r w:rsidR="001A795A">
        <w:t xml:space="preserve"> 1312.12(d)</w:t>
      </w:r>
      <w:r>
        <w:t>, DEA</w:t>
      </w:r>
      <w:r w:rsidR="001A795A">
        <w:t xml:space="preserve"> provide</w:t>
      </w:r>
      <w:r>
        <w:t>s</w:t>
      </w:r>
      <w:r w:rsidR="001A795A">
        <w:t xml:space="preserve"> clear instructions on the process of return information for controlled substances imported under </w:t>
      </w:r>
      <w:r w:rsidR="00CC54B4">
        <w:t>permit procedures, which is</w:t>
      </w:r>
      <w:r w:rsidR="001A795A">
        <w:t xml:space="preserve"> submitted electronically as part of </w:t>
      </w:r>
      <w:r w:rsidR="00DD0303">
        <w:t>DEA</w:t>
      </w:r>
      <w:r w:rsidR="001A795A">
        <w:t xml:space="preserve"> Form 357.  Specifically in </w:t>
      </w:r>
      <w:r w:rsidRPr="00CA3A36" w:rsidR="001A795A">
        <w:t>§</w:t>
      </w:r>
      <w:r w:rsidR="001A795A">
        <w:t xml:space="preserve"> 1312.12(d), </w:t>
      </w:r>
      <w:r w:rsidR="00DD0303">
        <w:t>DEA</w:t>
      </w:r>
      <w:r w:rsidR="00CC54B4">
        <w:t xml:space="preserve"> requires</w:t>
      </w:r>
      <w:r w:rsidR="001A795A">
        <w:t xml:space="preserve"> that within 30 calendar days of actual receipt of a controlled substance at the importers registered location, or within 10 calendar days after receipt of a written request by the Administration, whichever is sooner, the importer must report to the Administration through </w:t>
      </w:r>
      <w:r w:rsidR="00DD0303">
        <w:t>DEA’s</w:t>
      </w:r>
      <w:r w:rsidR="001A795A">
        <w:t xml:space="preserve"> Diversion Control Division secure network application (</w:t>
      </w:r>
      <w:r w:rsidR="000868C6">
        <w:t>available</w:t>
      </w:r>
      <w:r w:rsidR="001A795A">
        <w:t xml:space="preserve"> on </w:t>
      </w:r>
      <w:r w:rsidR="00DD0303">
        <w:t>DEA</w:t>
      </w:r>
      <w:r w:rsidR="001A795A">
        <w:t xml:space="preserve"> Diversion Con</w:t>
      </w:r>
      <w:r w:rsidR="000868C6">
        <w:t>trol Division Web site</w:t>
      </w:r>
      <w:r w:rsidR="00DD0303">
        <w:t>-(</w:t>
      </w:r>
      <w:hyperlink w:history="1" r:id="rId10">
        <w:r w:rsidRPr="00E854CE" w:rsidR="00DD0303">
          <w:rPr>
            <w:rStyle w:val="Hyperlink"/>
          </w:rPr>
          <w:t>http://www.deadiversion.usdoj.gov</w:t>
        </w:r>
      </w:hyperlink>
      <w:r w:rsidR="00DD0303">
        <w:t>)</w:t>
      </w:r>
      <w:r w:rsidR="000868C6">
        <w:t xml:space="preserve"> that such import occurred and the details of the transaction.</w:t>
      </w:r>
    </w:p>
    <w:p w:rsidR="000868C6" w:rsidP="00E843AF" w:rsidRDefault="000868C6"/>
    <w:p w:rsidR="000868C6" w:rsidP="00E843AF" w:rsidRDefault="000868C6">
      <w:r>
        <w:lastRenderedPageBreak/>
        <w:t>This form and the information collection help maintain a closed system of distribution.  DEA Form 357, Application for Permit to Import Controlled Substances for Domestic and/or Scientific Pu</w:t>
      </w:r>
      <w:r w:rsidR="00CC54B4">
        <w:t xml:space="preserve">rposes, </w:t>
      </w:r>
      <w:r>
        <w:t>enable</w:t>
      </w:r>
      <w:r w:rsidR="00CC54B4">
        <w:t>s</w:t>
      </w:r>
      <w:r>
        <w:t xml:space="preserve"> </w:t>
      </w:r>
      <w:r w:rsidR="00DD0303">
        <w:t>DEA</w:t>
      </w:r>
      <w:r>
        <w:t xml:space="preserve"> to monitor and control the importation of controlled substances exclusively for domestic and/or scientific purposes. Analysis of this document provides </w:t>
      </w:r>
      <w:r w:rsidR="00DD0303">
        <w:t>DEA</w:t>
      </w:r>
      <w:r>
        <w:t xml:space="preserve"> with important intelligence regarding the international commerce in controlled substances and assists in the identification of suspected points of diversion.  The permit to import controlled substances for domestic and/or scientific purposes enables </w:t>
      </w:r>
      <w:r w:rsidR="00DD0303">
        <w:t>DEA</w:t>
      </w:r>
      <w:r>
        <w:t xml:space="preserve"> to enforce CSIEA.</w:t>
      </w:r>
    </w:p>
    <w:p w:rsidR="005455ED" w:rsidP="00E843AF" w:rsidRDefault="005455ED"/>
    <w:p w:rsidR="00DE665F" w:rsidP="00E843AF" w:rsidRDefault="00E843AF">
      <w:r>
        <w:t>3.</w:t>
      </w:r>
      <w:r w:rsidRPr="00406453">
        <w:t xml:space="preserve"> </w:t>
      </w:r>
      <w:r w:rsidR="00DE665F">
        <w:t xml:space="preserve"> </w:t>
      </w:r>
      <w:r w:rsidRPr="00DE665F">
        <w:rPr>
          <w:u w:val="single"/>
        </w:rPr>
        <w:t>Use of</w:t>
      </w:r>
      <w:r w:rsidR="00A61397">
        <w:rPr>
          <w:u w:val="single"/>
        </w:rPr>
        <w:t xml:space="preserve"> Information</w:t>
      </w:r>
      <w:r w:rsidRPr="00DE665F">
        <w:rPr>
          <w:u w:val="single"/>
        </w:rPr>
        <w:t xml:space="preserve"> Technology</w:t>
      </w:r>
      <w:r>
        <w:t xml:space="preserve">:  </w:t>
      </w:r>
    </w:p>
    <w:p w:rsidR="00DE665F" w:rsidP="00E843AF" w:rsidRDefault="00DE665F"/>
    <w:p w:rsidR="00A5391A" w:rsidP="00A5391A" w:rsidRDefault="00CC54B4">
      <w:pPr>
        <w:tabs>
          <w:tab w:val="left" w:pos="720"/>
          <w:tab w:val="left" w:pos="1440"/>
          <w:tab w:val="left" w:pos="2160"/>
        </w:tabs>
      </w:pPr>
      <w:r>
        <w:t>A</w:t>
      </w:r>
      <w:r w:rsidR="00A5391A">
        <w:t xml:space="preserve">pplications, declarations, and notices filed through </w:t>
      </w:r>
      <w:r w:rsidR="00DD0303">
        <w:t>DEA</w:t>
      </w:r>
      <w:r w:rsidR="00E4582A">
        <w:t xml:space="preserve">’s </w:t>
      </w:r>
      <w:r w:rsidR="00A5391A">
        <w:t>Diversion Control</w:t>
      </w:r>
      <w:r w:rsidR="00E4582A">
        <w:t xml:space="preserve"> Division</w:t>
      </w:r>
      <w:r w:rsidR="00A5391A">
        <w:t xml:space="preserve"> secure net</w:t>
      </w:r>
      <w:r>
        <w:t>work application is</w:t>
      </w:r>
      <w:r w:rsidR="00A5391A">
        <w:t xml:space="preserve"> not be deemed filed until </w:t>
      </w:r>
      <w:r w:rsidR="00DD0303">
        <w:t>DEA</w:t>
      </w:r>
      <w:r w:rsidR="00A5391A">
        <w:t xml:space="preserve"> assigns a single-use, randomly-generated, unique identifier.  This identif</w:t>
      </w:r>
      <w:r>
        <w:t xml:space="preserve">ier is </w:t>
      </w:r>
      <w:r w:rsidR="00A5391A">
        <w:t>referenced as the “transaction identification number” except for permits, where the transact</w:t>
      </w:r>
      <w:r>
        <w:t xml:space="preserve">ion identification number </w:t>
      </w:r>
      <w:r w:rsidR="00A5391A">
        <w:t>continue</w:t>
      </w:r>
      <w:r>
        <w:t>s</w:t>
      </w:r>
      <w:r w:rsidR="00A5391A">
        <w:t xml:space="preserve"> to be called the “permit number” to correspond with current business prac</w:t>
      </w:r>
      <w:r>
        <w:t xml:space="preserve">tice.  A permit number is </w:t>
      </w:r>
      <w:r w:rsidR="00A5391A">
        <w:t xml:space="preserve">assigned once </w:t>
      </w:r>
      <w:r w:rsidR="00DD0303">
        <w:t>DEA</w:t>
      </w:r>
      <w:r>
        <w:t xml:space="preserve"> approves</w:t>
      </w:r>
      <w:r w:rsidR="00A5391A">
        <w:t xml:space="preserve"> an application for a permit.  A transaction</w:t>
      </w:r>
      <w:r>
        <w:t xml:space="preserve"> identification number is </w:t>
      </w:r>
      <w:r w:rsidR="00A5391A">
        <w:t xml:space="preserve">assigned once </w:t>
      </w:r>
      <w:r w:rsidR="00DD0303">
        <w:t>DEA</w:t>
      </w:r>
      <w:r w:rsidR="00A5391A">
        <w:t xml:space="preserve"> reviews a declaration, notice, or other filing for completeness and it is accepted for filing.  Although issuance of a transaction identi</w:t>
      </w:r>
      <w:r>
        <w:t>fication number signifies</w:t>
      </w:r>
      <w:r w:rsidR="00A5391A">
        <w:t xml:space="preserve"> that the declaration, notice, or other filing has been reviewed for completeness, the issuance of the transaction identification number does not mean that such filing has been “approved” by </w:t>
      </w:r>
      <w:r w:rsidR="00DD0303">
        <w:t>DEA</w:t>
      </w:r>
      <w:r w:rsidR="00A5391A">
        <w:t xml:space="preserve">.  </w:t>
      </w:r>
      <w:r w:rsidR="00DD0303">
        <w:t>DEA</w:t>
      </w:r>
      <w:r w:rsidR="00A5391A">
        <w:t xml:space="preserve"> reserves the right to cancel an import or export permit or declaration for cause and suspend shipments of listed chemicals in accordance with applicable regulations.</w:t>
      </w:r>
    </w:p>
    <w:p w:rsidR="00A5391A" w:rsidP="00E843AF" w:rsidRDefault="00A5391A"/>
    <w:p w:rsidR="0085043E" w:rsidP="00E843AF" w:rsidRDefault="00B26599">
      <w:r>
        <w:t>DEA Form 357</w:t>
      </w:r>
      <w:r w:rsidR="006D223D">
        <w:t xml:space="preserve"> is designed to require only the minimum essential data from the respondents for </w:t>
      </w:r>
      <w:r w:rsidR="00DD0303">
        <w:t>DEA</w:t>
      </w:r>
      <w:r w:rsidR="006D223D">
        <w:t xml:space="preserve"> to exercise control over the suitability for issuance of an Import Permit.  The reference DEA Form 357 is available on </w:t>
      </w:r>
      <w:r w:rsidR="00DD0303">
        <w:t>DEA’s</w:t>
      </w:r>
      <w:r w:rsidR="006D223D">
        <w:t xml:space="preserve"> Diversion Control Program website (</w:t>
      </w:r>
      <w:hyperlink w:history="1" r:id="rId11">
        <w:r w:rsidRPr="00E854CE" w:rsidR="006D223D">
          <w:rPr>
            <w:rStyle w:val="Hyperlink"/>
          </w:rPr>
          <w:t>http://www.deadiversion.usdoj.gov</w:t>
        </w:r>
      </w:hyperlink>
      <w:r w:rsidR="006D223D">
        <w:t xml:space="preserve">).  This form is partially interactive and can be completed electronically, printed, signed manually, and sent to </w:t>
      </w:r>
      <w:r w:rsidR="00DD0303">
        <w:t>DEA</w:t>
      </w:r>
      <w:r w:rsidR="006D223D">
        <w:t xml:space="preserve">.  Currently, </w:t>
      </w:r>
      <w:r w:rsidR="00F01D8E">
        <w:t>9</w:t>
      </w:r>
      <w:r w:rsidR="00314AD1">
        <w:t>5</w:t>
      </w:r>
      <w:r w:rsidRPr="00F01D8E" w:rsidR="006D223D">
        <w:t>%</w:t>
      </w:r>
      <w:r w:rsidR="006D223D">
        <w:t xml:space="preserve"> of DEA form 357 is submitted electronically.</w:t>
      </w:r>
      <w:r w:rsidR="0085043E">
        <w:t xml:space="preserve">  </w:t>
      </w:r>
    </w:p>
    <w:p w:rsidR="000868C6" w:rsidP="00E843AF" w:rsidRDefault="000868C6">
      <w:pPr>
        <w:rPr>
          <w:color w:val="000000"/>
        </w:rPr>
      </w:pPr>
    </w:p>
    <w:p w:rsidR="00DE665F" w:rsidP="00E843AF" w:rsidRDefault="00E843AF">
      <w:pPr>
        <w:rPr>
          <w:color w:val="000000"/>
        </w:rPr>
      </w:pPr>
      <w:r>
        <w:rPr>
          <w:color w:val="000000"/>
        </w:rPr>
        <w:t xml:space="preserve">4. </w:t>
      </w:r>
      <w:r w:rsidR="00DE665F">
        <w:rPr>
          <w:color w:val="000000"/>
        </w:rPr>
        <w:t xml:space="preserve"> </w:t>
      </w:r>
      <w:r w:rsidRPr="00DE665F">
        <w:rPr>
          <w:color w:val="000000"/>
          <w:u w:val="single"/>
        </w:rPr>
        <w:t>Efforts to Identify Duplication</w:t>
      </w:r>
      <w:r>
        <w:rPr>
          <w:color w:val="000000"/>
        </w:rPr>
        <w:t xml:space="preserve">:  </w:t>
      </w:r>
    </w:p>
    <w:p w:rsidR="00DE665F" w:rsidP="00E843AF" w:rsidRDefault="00DE665F">
      <w:pPr>
        <w:rPr>
          <w:color w:val="000000"/>
        </w:rPr>
      </w:pPr>
    </w:p>
    <w:p w:rsidR="0085043E" w:rsidP="00E843AF" w:rsidRDefault="00DD0303">
      <w:r>
        <w:t>DEA</w:t>
      </w:r>
      <w:r w:rsidR="00AA572D">
        <w:t xml:space="preserve"> makes </w:t>
      </w:r>
      <w:r w:rsidR="006D223D">
        <w:t xml:space="preserve">efforts to identify and prevent duplication of the collection of information.  The existing DEA form 357 is not duplicative.  The collection of this information is unique to </w:t>
      </w:r>
      <w:r>
        <w:t>DEA</w:t>
      </w:r>
      <w:r w:rsidR="006D223D">
        <w:t>.</w:t>
      </w:r>
    </w:p>
    <w:p w:rsidR="00E843AF" w:rsidP="00E843AF" w:rsidRDefault="0085043E">
      <w:r>
        <w:t xml:space="preserve"> </w:t>
      </w:r>
    </w:p>
    <w:p w:rsidR="00DE665F" w:rsidP="00E843AF" w:rsidRDefault="00E843AF">
      <w:r>
        <w:t xml:space="preserve">5. </w:t>
      </w:r>
      <w:r w:rsidR="00DE665F">
        <w:t xml:space="preserve"> </w:t>
      </w:r>
      <w:r w:rsidR="0085043E">
        <w:rPr>
          <w:u w:val="single"/>
        </w:rPr>
        <w:t xml:space="preserve">Impact on Small </w:t>
      </w:r>
      <w:r w:rsidRPr="00DE665F">
        <w:rPr>
          <w:u w:val="single"/>
        </w:rPr>
        <w:t>Businesses</w:t>
      </w:r>
      <w:r w:rsidR="00F01D8E">
        <w:rPr>
          <w:u w:val="single"/>
        </w:rPr>
        <w:t xml:space="preserve"> </w:t>
      </w:r>
      <w:r w:rsidR="0085043E">
        <w:rPr>
          <w:u w:val="single"/>
        </w:rPr>
        <w:t>or Entities</w:t>
      </w:r>
      <w:r w:rsidRPr="00DE665F">
        <w:rPr>
          <w:u w:val="single"/>
        </w:rPr>
        <w:t>:</w:t>
      </w:r>
    </w:p>
    <w:p w:rsidR="00DE665F" w:rsidP="00E843AF" w:rsidRDefault="00E843AF">
      <w:r>
        <w:t xml:space="preserve"> </w:t>
      </w:r>
    </w:p>
    <w:p w:rsidR="00DE665F" w:rsidP="00E843AF" w:rsidRDefault="006D223D">
      <w:r>
        <w:t xml:space="preserve">This is a routine three-year renewal of DEA Form 357.  </w:t>
      </w:r>
      <w:r w:rsidR="00DD0303">
        <w:t>DEA</w:t>
      </w:r>
      <w:r>
        <w:t xml:space="preserve"> does not anticipate any additional impact on small business or other small entities since the last approval of </w:t>
      </w:r>
      <w:r w:rsidR="00AA572D">
        <w:t xml:space="preserve">this form.  The collection does </w:t>
      </w:r>
      <w:r>
        <w:t>not have a significant economic impact on small businesses or other small entities within the meaning and intent of the Regulatory Flexibility Act, 5 U.S.C. 601-612.</w:t>
      </w:r>
    </w:p>
    <w:p w:rsidR="00DE665F" w:rsidP="006D223D" w:rsidRDefault="006D223D">
      <w:pPr>
        <w:tabs>
          <w:tab w:val="left" w:pos="1373"/>
        </w:tabs>
      </w:pPr>
      <w:r>
        <w:tab/>
      </w:r>
    </w:p>
    <w:p w:rsidR="00DE665F" w:rsidP="00E843AF" w:rsidRDefault="00E843AF">
      <w:r>
        <w:lastRenderedPageBreak/>
        <w:t xml:space="preserve">6. </w:t>
      </w:r>
      <w:r w:rsidR="00DE665F">
        <w:t xml:space="preserve"> </w:t>
      </w:r>
      <w:r w:rsidRPr="00DE665F">
        <w:rPr>
          <w:u w:val="single"/>
        </w:rPr>
        <w:t>Consequences of Less Frequent Collection:</w:t>
      </w:r>
      <w:r>
        <w:t xml:space="preserve">  </w:t>
      </w:r>
    </w:p>
    <w:p w:rsidR="00DE665F" w:rsidP="00E843AF" w:rsidRDefault="00DE665F"/>
    <w:p w:rsidR="00E843AF" w:rsidP="00E843AF" w:rsidRDefault="00DD0303">
      <w:r>
        <w:t>DEA</w:t>
      </w:r>
      <w:r w:rsidR="006D223D">
        <w:t xml:space="preserve"> uses the information collected to monitor the import of controlled substances.  </w:t>
      </w:r>
      <w:r w:rsidRPr="000936D4" w:rsidR="006D223D">
        <w:t>Information is provided each time the registra</w:t>
      </w:r>
      <w:r w:rsidR="006D223D">
        <w:t xml:space="preserve">nt proposes to import </w:t>
      </w:r>
      <w:r w:rsidRPr="000936D4" w:rsidR="006D223D">
        <w:t xml:space="preserve">controlled substances and therefore cannot be collected less frequently.  Failure to collect the information would impair </w:t>
      </w:r>
      <w:r>
        <w:t>DEA</w:t>
      </w:r>
      <w:r w:rsidR="006D223D">
        <w:t>’</w:t>
      </w:r>
      <w:r w:rsidRPr="000936D4" w:rsidR="006D223D">
        <w:t xml:space="preserve">s enforcement activities and violate the requirements imposed by </w:t>
      </w:r>
      <w:r w:rsidR="006D223D">
        <w:t>the CSA and the United States’ international obligations.</w:t>
      </w:r>
    </w:p>
    <w:p w:rsidR="006D223D" w:rsidP="00E843AF" w:rsidRDefault="006D223D"/>
    <w:p w:rsidR="00F45827" w:rsidP="00E843AF" w:rsidRDefault="00E843AF">
      <w:r>
        <w:t xml:space="preserve">7. </w:t>
      </w:r>
      <w:r w:rsidR="00DE665F">
        <w:t xml:space="preserve"> </w:t>
      </w:r>
      <w:r w:rsidRPr="00F45827">
        <w:rPr>
          <w:u w:val="single"/>
        </w:rPr>
        <w:t>Special Circumstances Influencing Collection</w:t>
      </w:r>
      <w:r>
        <w:t xml:space="preserve">:  </w:t>
      </w:r>
    </w:p>
    <w:p w:rsidR="00F45827" w:rsidP="00E843AF" w:rsidRDefault="00F45827"/>
    <w:p w:rsidR="00E843AF" w:rsidP="00E843AF" w:rsidRDefault="00002022">
      <w:r>
        <w:t>There are no special circumstances applicable to this information collection.</w:t>
      </w:r>
      <w:r w:rsidR="00E843AF">
        <w:t xml:space="preserve">   </w:t>
      </w:r>
    </w:p>
    <w:p w:rsidR="00E843AF" w:rsidP="00E843AF" w:rsidRDefault="00E843AF"/>
    <w:p w:rsidR="00F45827" w:rsidP="00E843AF" w:rsidRDefault="00E843AF">
      <w:r>
        <w:t xml:space="preserve">8. </w:t>
      </w:r>
      <w:r w:rsidR="00DE665F">
        <w:t xml:space="preserve"> </w:t>
      </w:r>
      <w:r w:rsidR="00F45827">
        <w:rPr>
          <w:u w:val="single"/>
        </w:rPr>
        <w:t>Consultation with persons outside the Agency</w:t>
      </w:r>
      <w:r w:rsidR="00F45827">
        <w:t>:</w:t>
      </w:r>
    </w:p>
    <w:p w:rsidR="00F45827" w:rsidP="00E843AF" w:rsidRDefault="00F45827"/>
    <w:p w:rsidRPr="0088064A" w:rsidR="00AA572D" w:rsidP="00AA572D" w:rsidRDefault="00AA572D">
      <w:r>
        <w:t xml:space="preserve">DEA solicited public comment in the 60 Day Notice of Information Collection that was </w:t>
      </w:r>
      <w:r w:rsidRPr="0088064A">
        <w:t>published in the</w:t>
      </w:r>
      <w:r w:rsidRPr="00007BA7">
        <w:t xml:space="preserve"> </w:t>
      </w:r>
      <w:r w:rsidRPr="00AA572D">
        <w:rPr>
          <w:i/>
        </w:rPr>
        <w:t>Federal Register</w:t>
      </w:r>
      <w:r w:rsidRPr="0088064A">
        <w:t xml:space="preserve"> at 8</w:t>
      </w:r>
      <w:r>
        <w:t>5</w:t>
      </w:r>
      <w:r w:rsidRPr="0088064A">
        <w:t xml:space="preserve"> FR </w:t>
      </w:r>
      <w:r w:rsidR="002C58EC">
        <w:t>34237</w:t>
      </w:r>
      <w:r w:rsidRPr="0088064A">
        <w:t xml:space="preserve">, on </w:t>
      </w:r>
      <w:r>
        <w:t>June</w:t>
      </w:r>
      <w:r w:rsidRPr="0088064A">
        <w:t xml:space="preserve"> </w:t>
      </w:r>
      <w:r>
        <w:t>3</w:t>
      </w:r>
      <w:r w:rsidRPr="0088064A">
        <w:t>, 20</w:t>
      </w:r>
      <w:r>
        <w:t>20</w:t>
      </w:r>
      <w:r w:rsidRPr="0088064A">
        <w:t>.  DEA received no comments concerning this collection.</w:t>
      </w:r>
    </w:p>
    <w:p w:rsidRPr="0088064A" w:rsidR="00AA572D" w:rsidP="00AA572D" w:rsidRDefault="00AA572D"/>
    <w:p w:rsidR="00AA572D" w:rsidP="00AA572D" w:rsidRDefault="00AA572D">
      <w:r>
        <w:t>The 30 Day Notice of Information Collection</w:t>
      </w:r>
      <w:r w:rsidRPr="0088064A">
        <w:t xml:space="preserve"> was published in the </w:t>
      </w:r>
      <w:r w:rsidRPr="00AA572D">
        <w:rPr>
          <w:i/>
        </w:rPr>
        <w:t>Federal Register</w:t>
      </w:r>
      <w:r w:rsidRPr="0088064A">
        <w:t xml:space="preserve"> at 8</w:t>
      </w:r>
      <w:r>
        <w:t xml:space="preserve">5 </w:t>
      </w:r>
      <w:r w:rsidRPr="0088064A">
        <w:t xml:space="preserve">FR </w:t>
      </w:r>
      <w:r>
        <w:t>48270</w:t>
      </w:r>
      <w:r w:rsidRPr="0088064A">
        <w:t xml:space="preserve">, on </w:t>
      </w:r>
      <w:r>
        <w:t>August 10</w:t>
      </w:r>
      <w:r w:rsidRPr="0088064A">
        <w:t>, 20</w:t>
      </w:r>
      <w:r>
        <w:t>20</w:t>
      </w:r>
      <w:r w:rsidRPr="0088064A">
        <w:t xml:space="preserve">.  </w:t>
      </w:r>
    </w:p>
    <w:p w:rsidR="00A61397" w:rsidP="00C33ADC" w:rsidRDefault="00A61397"/>
    <w:p w:rsidR="00A61397" w:rsidP="00C33ADC" w:rsidRDefault="00DD0303">
      <w:r>
        <w:t>DEA</w:t>
      </w:r>
      <w:r w:rsidRPr="009151B2" w:rsidR="00A61397">
        <w:t xml:space="preserve"> meets regularly with the affected industry to discuss policies, programs, and regulations.  These meetings provide an open forum to discuss matters of mutual concern with representatives of those entities from whom the information is obtained.</w:t>
      </w:r>
    </w:p>
    <w:p w:rsidR="00E843AF" w:rsidP="00E843AF" w:rsidRDefault="00E843AF"/>
    <w:p w:rsidR="00F45827" w:rsidP="00E843AF" w:rsidRDefault="00E843AF">
      <w:r>
        <w:t xml:space="preserve">9. </w:t>
      </w:r>
      <w:r w:rsidR="00DE665F">
        <w:t xml:space="preserve"> </w:t>
      </w:r>
      <w:r w:rsidRPr="00F45827">
        <w:rPr>
          <w:u w:val="single"/>
        </w:rPr>
        <w:t>Payment or Gift to Claimants:</w:t>
      </w:r>
      <w:r>
        <w:t xml:space="preserve"> </w:t>
      </w:r>
    </w:p>
    <w:p w:rsidR="00F45827" w:rsidP="00E843AF" w:rsidRDefault="00F45827"/>
    <w:p w:rsidR="007C34D3" w:rsidP="00E843AF" w:rsidRDefault="00002022">
      <w:r>
        <w:t xml:space="preserve">This collection of information does not propose to provide any payment or gift to respondents. </w:t>
      </w:r>
    </w:p>
    <w:p w:rsidR="005B1BFF" w:rsidP="00E843AF" w:rsidRDefault="005B1BFF"/>
    <w:p w:rsidR="005455ED" w:rsidP="00E843AF" w:rsidRDefault="00E843AF">
      <w:r>
        <w:t xml:space="preserve">10. </w:t>
      </w:r>
      <w:r w:rsidR="00DE665F">
        <w:t xml:space="preserve"> </w:t>
      </w:r>
      <w:r w:rsidRPr="00F45827">
        <w:rPr>
          <w:u w:val="single"/>
        </w:rPr>
        <w:t>Assurance of Confidentiality:</w:t>
      </w:r>
      <w:r>
        <w:t xml:space="preserve"> </w:t>
      </w:r>
    </w:p>
    <w:p w:rsidR="005455ED" w:rsidP="00E843AF" w:rsidRDefault="005455ED"/>
    <w:p w:rsidR="00E843AF" w:rsidP="00E843AF" w:rsidRDefault="005455ED">
      <w:r w:rsidRPr="009151B2">
        <w:t xml:space="preserve">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w:t>
      </w:r>
      <w:r w:rsidR="00DD0303">
        <w:t>DEA</w:t>
      </w:r>
      <w:r w:rsidRPr="009151B2">
        <w:t xml:space="preserve"> through secure storage, limited access, and federal regulatory and DEA procedures.  In the event a FOIA request is made to obtain information that has been designated as confidential business information per 28 CFR 16.8(c) and Exemption 4 of FOIA, </w:t>
      </w:r>
      <w:r w:rsidR="00DD0303">
        <w:t>DEA</w:t>
      </w:r>
      <w:r w:rsidRPr="009151B2">
        <w:t xml:space="preserve"> will give written notice to the submitter to allow an opportunity to object within a reasonable time prior to any disclosure by </w:t>
      </w:r>
      <w:r w:rsidR="00DD0303">
        <w:t>DEA</w:t>
      </w:r>
      <w:r w:rsidR="00E843AF">
        <w:t xml:space="preserve">.  </w:t>
      </w:r>
    </w:p>
    <w:p w:rsidR="00E843AF" w:rsidP="00E843AF" w:rsidRDefault="00E843AF"/>
    <w:p w:rsidR="00E843AF" w:rsidP="00E843AF" w:rsidRDefault="00E843AF">
      <w:r>
        <w:t xml:space="preserve">11. </w:t>
      </w:r>
      <w:r w:rsidR="00DE665F">
        <w:t xml:space="preserve"> </w:t>
      </w:r>
      <w:r w:rsidRPr="00B5399E">
        <w:rPr>
          <w:u w:val="single"/>
        </w:rPr>
        <w:t>Justification for Sensitive Questions:</w:t>
      </w:r>
      <w:r>
        <w:t xml:space="preserve"> </w:t>
      </w:r>
    </w:p>
    <w:p w:rsidR="00B5399E" w:rsidP="00E843AF" w:rsidRDefault="00B5399E"/>
    <w:p w:rsidR="005455ED" w:rsidP="00E843AF" w:rsidRDefault="005455ED">
      <w:r>
        <w:t>T</w:t>
      </w:r>
      <w:r w:rsidRPr="00B051D2">
        <w:t>his collection of information does not ask any questions of a sensitive nature.</w:t>
      </w:r>
    </w:p>
    <w:p w:rsidR="00E843AF" w:rsidP="00E843AF" w:rsidRDefault="00E843AF"/>
    <w:p w:rsidR="00E843AF" w:rsidP="00E843AF" w:rsidRDefault="00E843AF">
      <w:r>
        <w:t xml:space="preserve">12. </w:t>
      </w:r>
      <w:r w:rsidR="00DE665F">
        <w:t xml:space="preserve"> </w:t>
      </w:r>
      <w:r w:rsidRPr="00807206">
        <w:rPr>
          <w:u w:val="single"/>
        </w:rPr>
        <w:t>Estimate of Hour Burden:</w:t>
      </w:r>
    </w:p>
    <w:p w:rsidR="00E843AF" w:rsidP="00E843AF" w:rsidRDefault="00E843AF"/>
    <w:p w:rsidR="007C34D3" w:rsidP="00E843AF" w:rsidRDefault="00D90F62">
      <w:r>
        <w:t>DEA Form 357</w:t>
      </w:r>
      <w:r w:rsidR="007C34D3">
        <w:t xml:space="preserve"> is submitted on an as-needed basis by registrants who desire to import </w:t>
      </w:r>
      <w:r>
        <w:t>schedules I or II, any narcotic substance listed in schedules III or IV, or any non-narcotic substance in schedule III or any nonnarcotic substance in schedule IV or V.</w:t>
      </w:r>
    </w:p>
    <w:p w:rsidR="00314AD1" w:rsidP="00E843AF" w:rsidRDefault="00314AD1"/>
    <w:tbl>
      <w:tblPr>
        <w:tblW w:w="7375" w:type="dxa"/>
        <w:tblInd w:w="113" w:type="dxa"/>
        <w:tblLook w:val="04A0" w:firstRow="1" w:lastRow="0" w:firstColumn="1" w:lastColumn="0" w:noHBand="0" w:noVBand="1"/>
      </w:tblPr>
      <w:tblGrid>
        <w:gridCol w:w="1795"/>
        <w:gridCol w:w="1440"/>
        <w:gridCol w:w="1350"/>
        <w:gridCol w:w="1530"/>
        <w:gridCol w:w="1260"/>
      </w:tblGrid>
      <w:tr w:rsidRPr="00314AD1" w:rsidR="00314AD1" w:rsidTr="00314AD1">
        <w:trPr>
          <w:trHeight w:val="705"/>
        </w:trPr>
        <w:tc>
          <w:tcPr>
            <w:tcW w:w="1795"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Pr="00314AD1" w:rsidR="00314AD1" w:rsidP="00314AD1" w:rsidRDefault="00314AD1">
            <w:pPr>
              <w:rPr>
                <w:color w:val="000000"/>
                <w:sz w:val="20"/>
                <w:szCs w:val="20"/>
              </w:rPr>
            </w:pPr>
            <w:r w:rsidRPr="00314AD1">
              <w:rPr>
                <w:color w:val="000000"/>
                <w:sz w:val="20"/>
                <w:szCs w:val="20"/>
              </w:rPr>
              <w:t> </w:t>
            </w:r>
          </w:p>
        </w:tc>
        <w:tc>
          <w:tcPr>
            <w:tcW w:w="1440" w:type="dxa"/>
            <w:tcBorders>
              <w:top w:val="single" w:color="auto" w:sz="4" w:space="0"/>
              <w:left w:val="nil"/>
              <w:bottom w:val="single" w:color="auto" w:sz="4" w:space="0"/>
              <w:right w:val="single" w:color="auto" w:sz="4" w:space="0"/>
            </w:tcBorders>
            <w:shd w:val="clear" w:color="000000" w:fill="B8CCE4"/>
            <w:vAlign w:val="center"/>
            <w:hideMark/>
          </w:tcPr>
          <w:p w:rsidRPr="00314AD1" w:rsidR="00314AD1" w:rsidP="00314AD1" w:rsidRDefault="00314AD1">
            <w:pPr>
              <w:jc w:val="center"/>
              <w:rPr>
                <w:b/>
                <w:bCs/>
                <w:color w:val="000000"/>
                <w:sz w:val="20"/>
                <w:szCs w:val="20"/>
              </w:rPr>
            </w:pPr>
            <w:r w:rsidRPr="00314AD1">
              <w:rPr>
                <w:b/>
                <w:bCs/>
                <w:color w:val="000000"/>
                <w:sz w:val="20"/>
                <w:szCs w:val="20"/>
              </w:rPr>
              <w:t>Number of Annual Respondents</w:t>
            </w:r>
          </w:p>
        </w:tc>
        <w:tc>
          <w:tcPr>
            <w:tcW w:w="1350" w:type="dxa"/>
            <w:tcBorders>
              <w:top w:val="single" w:color="auto" w:sz="4" w:space="0"/>
              <w:left w:val="nil"/>
              <w:bottom w:val="single" w:color="auto" w:sz="4" w:space="0"/>
              <w:right w:val="single" w:color="auto" w:sz="4" w:space="0"/>
            </w:tcBorders>
            <w:shd w:val="clear" w:color="000000" w:fill="B8CCE4"/>
            <w:vAlign w:val="center"/>
            <w:hideMark/>
          </w:tcPr>
          <w:p w:rsidRPr="00314AD1" w:rsidR="00314AD1" w:rsidP="00314AD1" w:rsidRDefault="00314AD1">
            <w:pPr>
              <w:jc w:val="center"/>
              <w:rPr>
                <w:b/>
                <w:bCs/>
                <w:color w:val="000000"/>
                <w:sz w:val="20"/>
                <w:szCs w:val="20"/>
              </w:rPr>
            </w:pPr>
            <w:r w:rsidRPr="00314AD1">
              <w:rPr>
                <w:b/>
                <w:bCs/>
                <w:color w:val="000000"/>
                <w:sz w:val="20"/>
                <w:szCs w:val="20"/>
              </w:rPr>
              <w:t>Number of Annual responses</w:t>
            </w:r>
          </w:p>
        </w:tc>
        <w:tc>
          <w:tcPr>
            <w:tcW w:w="1530" w:type="dxa"/>
            <w:tcBorders>
              <w:top w:val="single" w:color="auto" w:sz="4" w:space="0"/>
              <w:left w:val="nil"/>
              <w:bottom w:val="single" w:color="auto" w:sz="4" w:space="0"/>
              <w:right w:val="single" w:color="auto" w:sz="4" w:space="0"/>
            </w:tcBorders>
            <w:shd w:val="clear" w:color="000000" w:fill="B8CCE4"/>
            <w:vAlign w:val="center"/>
            <w:hideMark/>
          </w:tcPr>
          <w:p w:rsidRPr="00314AD1" w:rsidR="00314AD1" w:rsidP="00314AD1" w:rsidRDefault="00314AD1">
            <w:pPr>
              <w:jc w:val="center"/>
              <w:rPr>
                <w:b/>
                <w:bCs/>
                <w:color w:val="000000"/>
                <w:sz w:val="20"/>
                <w:szCs w:val="20"/>
              </w:rPr>
            </w:pPr>
            <w:r w:rsidRPr="00314AD1">
              <w:rPr>
                <w:b/>
                <w:bCs/>
                <w:color w:val="000000"/>
                <w:sz w:val="20"/>
                <w:szCs w:val="20"/>
              </w:rPr>
              <w:t>Average Time per Response (Hours)</w:t>
            </w:r>
          </w:p>
        </w:tc>
        <w:tc>
          <w:tcPr>
            <w:tcW w:w="1260" w:type="dxa"/>
            <w:tcBorders>
              <w:top w:val="single" w:color="auto" w:sz="4" w:space="0"/>
              <w:left w:val="nil"/>
              <w:bottom w:val="single" w:color="auto" w:sz="4" w:space="0"/>
              <w:right w:val="single" w:color="auto" w:sz="4" w:space="0"/>
            </w:tcBorders>
            <w:shd w:val="clear" w:color="000000" w:fill="B8CCE4"/>
            <w:vAlign w:val="center"/>
            <w:hideMark/>
          </w:tcPr>
          <w:p w:rsidRPr="00314AD1" w:rsidR="00314AD1" w:rsidP="00314AD1" w:rsidRDefault="00314AD1">
            <w:pPr>
              <w:jc w:val="center"/>
              <w:rPr>
                <w:b/>
                <w:bCs/>
                <w:color w:val="000000"/>
                <w:sz w:val="20"/>
                <w:szCs w:val="20"/>
              </w:rPr>
            </w:pPr>
            <w:r w:rsidRPr="00314AD1">
              <w:rPr>
                <w:b/>
                <w:bCs/>
                <w:color w:val="000000"/>
                <w:sz w:val="20"/>
                <w:szCs w:val="20"/>
              </w:rPr>
              <w:t>Total Annual Hours</w:t>
            </w:r>
          </w:p>
        </w:tc>
      </w:tr>
      <w:tr w:rsidRPr="00314AD1" w:rsidR="00314AD1" w:rsidTr="00314AD1">
        <w:trPr>
          <w:trHeight w:val="300"/>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314AD1" w:rsidR="00314AD1" w:rsidP="00314AD1" w:rsidRDefault="00314AD1">
            <w:pPr>
              <w:rPr>
                <w:color w:val="000000"/>
                <w:sz w:val="20"/>
                <w:szCs w:val="20"/>
              </w:rPr>
            </w:pPr>
            <w:r w:rsidRPr="00314AD1">
              <w:rPr>
                <w:color w:val="000000"/>
                <w:sz w:val="20"/>
                <w:szCs w:val="20"/>
              </w:rPr>
              <w:t>DEA-357 (paper)</w:t>
            </w:r>
          </w:p>
        </w:tc>
        <w:tc>
          <w:tcPr>
            <w:tcW w:w="1440" w:type="dxa"/>
            <w:vMerge w:val="restart"/>
            <w:tcBorders>
              <w:top w:val="nil"/>
              <w:left w:val="single" w:color="auto" w:sz="4" w:space="0"/>
              <w:bottom w:val="nil"/>
              <w:right w:val="single" w:color="auto" w:sz="4" w:space="0"/>
            </w:tcBorders>
            <w:shd w:val="clear" w:color="auto" w:fill="auto"/>
            <w:vAlign w:val="center"/>
            <w:hideMark/>
          </w:tcPr>
          <w:p w:rsidRPr="00314AD1" w:rsidR="00314AD1" w:rsidP="00314AD1" w:rsidRDefault="00314AD1">
            <w:pPr>
              <w:jc w:val="center"/>
              <w:rPr>
                <w:color w:val="000000"/>
                <w:sz w:val="20"/>
                <w:szCs w:val="20"/>
              </w:rPr>
            </w:pPr>
            <w:r w:rsidRPr="00314AD1">
              <w:rPr>
                <w:color w:val="000000"/>
                <w:sz w:val="20"/>
                <w:szCs w:val="20"/>
              </w:rPr>
              <w:t>171</w:t>
            </w:r>
          </w:p>
        </w:tc>
        <w:tc>
          <w:tcPr>
            <w:tcW w:w="1350" w:type="dxa"/>
            <w:tcBorders>
              <w:top w:val="nil"/>
              <w:left w:val="nil"/>
              <w:bottom w:val="single" w:color="auto" w:sz="4" w:space="0"/>
              <w:right w:val="single" w:color="auto" w:sz="4" w:space="0"/>
            </w:tcBorders>
            <w:shd w:val="clear" w:color="auto" w:fill="auto"/>
            <w:vAlign w:val="center"/>
            <w:hideMark/>
          </w:tcPr>
          <w:p w:rsidRPr="00314AD1" w:rsidR="00314AD1" w:rsidP="00314AD1" w:rsidRDefault="00314AD1">
            <w:pPr>
              <w:jc w:val="right"/>
              <w:rPr>
                <w:color w:val="000000"/>
                <w:sz w:val="20"/>
                <w:szCs w:val="20"/>
              </w:rPr>
            </w:pPr>
            <w:r w:rsidRPr="00314AD1">
              <w:rPr>
                <w:color w:val="000000"/>
                <w:sz w:val="20"/>
                <w:szCs w:val="20"/>
              </w:rPr>
              <w:t>104</w:t>
            </w:r>
          </w:p>
        </w:tc>
        <w:tc>
          <w:tcPr>
            <w:tcW w:w="1530" w:type="dxa"/>
            <w:tcBorders>
              <w:top w:val="nil"/>
              <w:left w:val="nil"/>
              <w:bottom w:val="single" w:color="auto" w:sz="4" w:space="0"/>
              <w:right w:val="single" w:color="auto" w:sz="4" w:space="0"/>
            </w:tcBorders>
            <w:shd w:val="clear" w:color="auto" w:fill="auto"/>
            <w:vAlign w:val="center"/>
            <w:hideMark/>
          </w:tcPr>
          <w:p w:rsidRPr="00314AD1" w:rsidR="00314AD1" w:rsidP="00314AD1" w:rsidRDefault="00314AD1">
            <w:pPr>
              <w:rPr>
                <w:color w:val="000000"/>
                <w:sz w:val="20"/>
                <w:szCs w:val="20"/>
              </w:rPr>
            </w:pPr>
            <w:r w:rsidRPr="00314AD1">
              <w:rPr>
                <w:color w:val="000000"/>
                <w:sz w:val="20"/>
                <w:szCs w:val="20"/>
              </w:rPr>
              <w:t xml:space="preserve">               0.35 </w:t>
            </w:r>
          </w:p>
        </w:tc>
        <w:tc>
          <w:tcPr>
            <w:tcW w:w="1260" w:type="dxa"/>
            <w:tcBorders>
              <w:top w:val="nil"/>
              <w:left w:val="nil"/>
              <w:bottom w:val="single" w:color="auto" w:sz="4" w:space="0"/>
              <w:right w:val="single" w:color="auto" w:sz="4" w:space="0"/>
            </w:tcBorders>
            <w:shd w:val="clear" w:color="auto" w:fill="auto"/>
            <w:vAlign w:val="center"/>
            <w:hideMark/>
          </w:tcPr>
          <w:p w:rsidRPr="00314AD1" w:rsidR="00314AD1" w:rsidP="00314AD1" w:rsidRDefault="00314AD1">
            <w:pPr>
              <w:jc w:val="right"/>
              <w:rPr>
                <w:color w:val="000000"/>
                <w:sz w:val="20"/>
                <w:szCs w:val="20"/>
              </w:rPr>
            </w:pPr>
            <w:r w:rsidRPr="00314AD1">
              <w:rPr>
                <w:color w:val="000000"/>
                <w:sz w:val="20"/>
                <w:szCs w:val="20"/>
              </w:rPr>
              <w:t>36</w:t>
            </w:r>
          </w:p>
        </w:tc>
      </w:tr>
      <w:tr w:rsidRPr="00314AD1" w:rsidR="00314AD1" w:rsidTr="00314AD1">
        <w:trPr>
          <w:trHeight w:val="300"/>
        </w:trPr>
        <w:tc>
          <w:tcPr>
            <w:tcW w:w="1795" w:type="dxa"/>
            <w:tcBorders>
              <w:top w:val="nil"/>
              <w:left w:val="single" w:color="auto" w:sz="4" w:space="0"/>
              <w:bottom w:val="single" w:color="auto" w:sz="4" w:space="0"/>
              <w:right w:val="single" w:color="auto" w:sz="4" w:space="0"/>
            </w:tcBorders>
            <w:shd w:val="clear" w:color="auto" w:fill="auto"/>
            <w:vAlign w:val="center"/>
            <w:hideMark/>
          </w:tcPr>
          <w:p w:rsidRPr="00314AD1" w:rsidR="00314AD1" w:rsidP="00314AD1" w:rsidRDefault="00314AD1">
            <w:pPr>
              <w:rPr>
                <w:color w:val="000000"/>
                <w:sz w:val="20"/>
                <w:szCs w:val="20"/>
              </w:rPr>
            </w:pPr>
            <w:r w:rsidRPr="00314AD1">
              <w:rPr>
                <w:color w:val="000000"/>
                <w:sz w:val="20"/>
                <w:szCs w:val="20"/>
              </w:rPr>
              <w:t>DEA-357 (online)</w:t>
            </w:r>
          </w:p>
        </w:tc>
        <w:tc>
          <w:tcPr>
            <w:tcW w:w="1440" w:type="dxa"/>
            <w:vMerge/>
            <w:tcBorders>
              <w:top w:val="nil"/>
              <w:left w:val="single" w:color="auto" w:sz="4" w:space="0"/>
              <w:bottom w:val="nil"/>
              <w:right w:val="single" w:color="auto" w:sz="4" w:space="0"/>
            </w:tcBorders>
            <w:vAlign w:val="center"/>
            <w:hideMark/>
          </w:tcPr>
          <w:p w:rsidRPr="00314AD1" w:rsidR="00314AD1" w:rsidP="00314AD1" w:rsidRDefault="00314AD1">
            <w:pPr>
              <w:rPr>
                <w:color w:val="000000"/>
                <w:sz w:val="20"/>
                <w:szCs w:val="20"/>
              </w:rPr>
            </w:pPr>
          </w:p>
        </w:tc>
        <w:tc>
          <w:tcPr>
            <w:tcW w:w="1350" w:type="dxa"/>
            <w:tcBorders>
              <w:top w:val="nil"/>
              <w:left w:val="nil"/>
              <w:bottom w:val="single" w:color="auto" w:sz="4" w:space="0"/>
              <w:right w:val="single" w:color="auto" w:sz="4" w:space="0"/>
            </w:tcBorders>
            <w:shd w:val="clear" w:color="auto" w:fill="auto"/>
            <w:vAlign w:val="center"/>
            <w:hideMark/>
          </w:tcPr>
          <w:p w:rsidRPr="00314AD1" w:rsidR="00314AD1" w:rsidP="00314AD1" w:rsidRDefault="00314AD1">
            <w:pPr>
              <w:jc w:val="right"/>
              <w:rPr>
                <w:color w:val="000000"/>
                <w:sz w:val="20"/>
                <w:szCs w:val="20"/>
              </w:rPr>
            </w:pPr>
            <w:r w:rsidRPr="00314AD1">
              <w:rPr>
                <w:color w:val="000000"/>
                <w:sz w:val="20"/>
                <w:szCs w:val="20"/>
              </w:rPr>
              <w:t>1,845</w:t>
            </w:r>
          </w:p>
        </w:tc>
        <w:tc>
          <w:tcPr>
            <w:tcW w:w="1530" w:type="dxa"/>
            <w:tcBorders>
              <w:top w:val="nil"/>
              <w:left w:val="nil"/>
              <w:bottom w:val="single" w:color="auto" w:sz="4" w:space="0"/>
              <w:right w:val="single" w:color="auto" w:sz="4" w:space="0"/>
            </w:tcBorders>
            <w:shd w:val="clear" w:color="auto" w:fill="auto"/>
            <w:vAlign w:val="center"/>
            <w:hideMark/>
          </w:tcPr>
          <w:p w:rsidRPr="00314AD1" w:rsidR="00314AD1" w:rsidP="00314AD1" w:rsidRDefault="00314AD1">
            <w:pPr>
              <w:rPr>
                <w:color w:val="000000"/>
                <w:sz w:val="20"/>
                <w:szCs w:val="20"/>
              </w:rPr>
            </w:pPr>
            <w:r w:rsidRPr="00314AD1">
              <w:rPr>
                <w:color w:val="000000"/>
                <w:sz w:val="20"/>
                <w:szCs w:val="20"/>
              </w:rPr>
              <w:t xml:space="preserve">               0.25 </w:t>
            </w:r>
          </w:p>
        </w:tc>
        <w:tc>
          <w:tcPr>
            <w:tcW w:w="1260" w:type="dxa"/>
            <w:tcBorders>
              <w:top w:val="nil"/>
              <w:left w:val="nil"/>
              <w:bottom w:val="single" w:color="auto" w:sz="4" w:space="0"/>
              <w:right w:val="single" w:color="auto" w:sz="4" w:space="0"/>
            </w:tcBorders>
            <w:shd w:val="clear" w:color="auto" w:fill="auto"/>
            <w:vAlign w:val="center"/>
            <w:hideMark/>
          </w:tcPr>
          <w:p w:rsidRPr="00314AD1" w:rsidR="00314AD1" w:rsidP="00314AD1" w:rsidRDefault="00314AD1">
            <w:pPr>
              <w:jc w:val="right"/>
              <w:rPr>
                <w:color w:val="000000"/>
                <w:sz w:val="20"/>
                <w:szCs w:val="20"/>
              </w:rPr>
            </w:pPr>
            <w:r w:rsidRPr="00314AD1">
              <w:rPr>
                <w:color w:val="000000"/>
                <w:sz w:val="20"/>
                <w:szCs w:val="20"/>
              </w:rPr>
              <w:t>461</w:t>
            </w:r>
          </w:p>
        </w:tc>
      </w:tr>
      <w:tr w:rsidRPr="00314AD1" w:rsidR="00314AD1" w:rsidTr="00314AD1">
        <w:trPr>
          <w:trHeight w:val="300"/>
        </w:trPr>
        <w:tc>
          <w:tcPr>
            <w:tcW w:w="1795" w:type="dxa"/>
            <w:tcBorders>
              <w:top w:val="nil"/>
              <w:left w:val="single" w:color="auto" w:sz="4" w:space="0"/>
              <w:bottom w:val="single" w:color="auto" w:sz="4" w:space="0"/>
              <w:right w:val="single" w:color="auto" w:sz="4" w:space="0"/>
            </w:tcBorders>
            <w:shd w:val="clear" w:color="000000" w:fill="B8CCE4"/>
            <w:vAlign w:val="center"/>
            <w:hideMark/>
          </w:tcPr>
          <w:p w:rsidRPr="00314AD1" w:rsidR="00314AD1" w:rsidP="00314AD1" w:rsidRDefault="00314AD1">
            <w:pPr>
              <w:rPr>
                <w:b/>
                <w:bCs/>
                <w:color w:val="000000"/>
                <w:sz w:val="20"/>
                <w:szCs w:val="20"/>
              </w:rPr>
            </w:pPr>
            <w:r w:rsidRPr="00314AD1">
              <w:rPr>
                <w:b/>
                <w:bCs/>
                <w:color w:val="000000"/>
                <w:sz w:val="20"/>
                <w:szCs w:val="20"/>
              </w:rPr>
              <w:t>Total</w:t>
            </w:r>
          </w:p>
        </w:tc>
        <w:tc>
          <w:tcPr>
            <w:tcW w:w="1440" w:type="dxa"/>
            <w:tcBorders>
              <w:top w:val="single" w:color="auto" w:sz="4" w:space="0"/>
              <w:left w:val="nil"/>
              <w:bottom w:val="single" w:color="auto" w:sz="4" w:space="0"/>
              <w:right w:val="single" w:color="auto" w:sz="4" w:space="0"/>
            </w:tcBorders>
            <w:shd w:val="clear" w:color="000000" w:fill="B8CCE4"/>
            <w:vAlign w:val="center"/>
            <w:hideMark/>
          </w:tcPr>
          <w:p w:rsidRPr="00314AD1" w:rsidR="00314AD1" w:rsidP="00314AD1" w:rsidRDefault="00314AD1">
            <w:pPr>
              <w:jc w:val="center"/>
              <w:rPr>
                <w:b/>
                <w:bCs/>
                <w:color w:val="000000"/>
                <w:sz w:val="20"/>
                <w:szCs w:val="20"/>
              </w:rPr>
            </w:pPr>
            <w:r w:rsidRPr="00314AD1">
              <w:rPr>
                <w:b/>
                <w:bCs/>
                <w:color w:val="000000"/>
                <w:sz w:val="20"/>
                <w:szCs w:val="20"/>
              </w:rPr>
              <w:t>171</w:t>
            </w:r>
          </w:p>
        </w:tc>
        <w:tc>
          <w:tcPr>
            <w:tcW w:w="1350" w:type="dxa"/>
            <w:tcBorders>
              <w:top w:val="nil"/>
              <w:left w:val="nil"/>
              <w:bottom w:val="single" w:color="auto" w:sz="4" w:space="0"/>
              <w:right w:val="single" w:color="auto" w:sz="4" w:space="0"/>
            </w:tcBorders>
            <w:shd w:val="clear" w:color="000000" w:fill="B8CCE4"/>
            <w:vAlign w:val="center"/>
            <w:hideMark/>
          </w:tcPr>
          <w:p w:rsidRPr="00314AD1" w:rsidR="00314AD1" w:rsidP="00314AD1" w:rsidRDefault="00314AD1">
            <w:pPr>
              <w:jc w:val="right"/>
              <w:rPr>
                <w:b/>
                <w:bCs/>
                <w:color w:val="000000"/>
                <w:sz w:val="20"/>
                <w:szCs w:val="20"/>
              </w:rPr>
            </w:pPr>
            <w:r w:rsidRPr="00314AD1">
              <w:rPr>
                <w:b/>
                <w:bCs/>
                <w:color w:val="000000"/>
                <w:sz w:val="20"/>
                <w:szCs w:val="20"/>
              </w:rPr>
              <w:t>1,949</w:t>
            </w:r>
          </w:p>
        </w:tc>
        <w:tc>
          <w:tcPr>
            <w:tcW w:w="1530" w:type="dxa"/>
            <w:tcBorders>
              <w:top w:val="nil"/>
              <w:left w:val="nil"/>
              <w:bottom w:val="single" w:color="auto" w:sz="4" w:space="0"/>
              <w:right w:val="single" w:color="auto" w:sz="4" w:space="0"/>
            </w:tcBorders>
            <w:shd w:val="clear" w:color="000000" w:fill="B8CCE4"/>
            <w:vAlign w:val="center"/>
            <w:hideMark/>
          </w:tcPr>
          <w:p w:rsidRPr="00314AD1" w:rsidR="00314AD1" w:rsidP="00314AD1" w:rsidRDefault="00314AD1">
            <w:pPr>
              <w:rPr>
                <w:b/>
                <w:bCs/>
                <w:color w:val="000000"/>
                <w:sz w:val="20"/>
                <w:szCs w:val="20"/>
              </w:rPr>
            </w:pPr>
            <w:r w:rsidRPr="00314AD1">
              <w:rPr>
                <w:b/>
                <w:bCs/>
                <w:color w:val="000000"/>
                <w:sz w:val="20"/>
                <w:szCs w:val="20"/>
              </w:rPr>
              <w:t xml:space="preserve">              0.26 </w:t>
            </w:r>
          </w:p>
        </w:tc>
        <w:tc>
          <w:tcPr>
            <w:tcW w:w="1260" w:type="dxa"/>
            <w:tcBorders>
              <w:top w:val="nil"/>
              <w:left w:val="nil"/>
              <w:bottom w:val="single" w:color="auto" w:sz="4" w:space="0"/>
              <w:right w:val="single" w:color="auto" w:sz="4" w:space="0"/>
            </w:tcBorders>
            <w:shd w:val="clear" w:color="000000" w:fill="B8CCE4"/>
            <w:vAlign w:val="center"/>
            <w:hideMark/>
          </w:tcPr>
          <w:p w:rsidRPr="00314AD1" w:rsidR="00314AD1" w:rsidP="00314AD1" w:rsidRDefault="00314AD1">
            <w:pPr>
              <w:jc w:val="right"/>
              <w:rPr>
                <w:b/>
                <w:bCs/>
                <w:color w:val="000000"/>
                <w:sz w:val="20"/>
                <w:szCs w:val="20"/>
              </w:rPr>
            </w:pPr>
            <w:r w:rsidRPr="00314AD1">
              <w:rPr>
                <w:b/>
                <w:bCs/>
                <w:color w:val="000000"/>
                <w:sz w:val="20"/>
                <w:szCs w:val="20"/>
              </w:rPr>
              <w:t>497</w:t>
            </w:r>
          </w:p>
        </w:tc>
      </w:tr>
    </w:tbl>
    <w:p w:rsidR="00755189" w:rsidP="00E843AF" w:rsidRDefault="00755189"/>
    <w:tbl>
      <w:tblPr>
        <w:tblW w:w="7120" w:type="dxa"/>
        <w:tblInd w:w="720" w:type="dxa"/>
        <w:tblLook w:val="04A0" w:firstRow="1" w:lastRow="0" w:firstColumn="1" w:lastColumn="0" w:noHBand="0" w:noVBand="1"/>
      </w:tblPr>
      <w:tblGrid>
        <w:gridCol w:w="4762"/>
        <w:gridCol w:w="1116"/>
        <w:gridCol w:w="1242"/>
      </w:tblGrid>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Total number of respondents:</w:t>
            </w:r>
          </w:p>
        </w:tc>
        <w:tc>
          <w:tcPr>
            <w:tcW w:w="1116" w:type="dxa"/>
            <w:tcBorders>
              <w:top w:val="nil"/>
              <w:left w:val="nil"/>
              <w:bottom w:val="nil"/>
              <w:right w:val="nil"/>
            </w:tcBorders>
            <w:shd w:val="clear" w:color="auto" w:fill="auto"/>
            <w:noWrap/>
            <w:vAlign w:val="bottom"/>
            <w:hideMark/>
          </w:tcPr>
          <w:p w:rsidRPr="00204F12" w:rsidR="00204F12" w:rsidP="00204F12" w:rsidRDefault="00314AD1">
            <w:pPr>
              <w:jc w:val="right"/>
              <w:rPr>
                <w:color w:val="000000"/>
              </w:rPr>
            </w:pPr>
            <w:r>
              <w:rPr>
                <w:color w:val="000000"/>
              </w:rPr>
              <w:t>171</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Number of responses per respondent per year:</w:t>
            </w:r>
          </w:p>
        </w:tc>
        <w:tc>
          <w:tcPr>
            <w:tcW w:w="1116" w:type="dxa"/>
            <w:tcBorders>
              <w:top w:val="nil"/>
              <w:left w:val="nil"/>
              <w:bottom w:val="nil"/>
              <w:right w:val="nil"/>
            </w:tcBorders>
            <w:shd w:val="clear" w:color="auto" w:fill="auto"/>
            <w:noWrap/>
            <w:vAlign w:val="bottom"/>
            <w:hideMark/>
          </w:tcPr>
          <w:p w:rsidRPr="00204F12" w:rsidR="00204F12" w:rsidP="00204F12" w:rsidRDefault="00204F12">
            <w:pPr>
              <w:jc w:val="right"/>
              <w:rPr>
                <w:color w:val="000000"/>
              </w:rPr>
            </w:pPr>
            <w:r w:rsidRPr="00204F12">
              <w:rPr>
                <w:color w:val="000000"/>
              </w:rPr>
              <w:t xml:space="preserve">       </w:t>
            </w:r>
            <w:r w:rsidR="00314AD1">
              <w:rPr>
                <w:color w:val="000000"/>
              </w:rPr>
              <w:t>11.3977</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r w:rsidRPr="00204F12">
              <w:rPr>
                <w:color w:val="000000"/>
              </w:rPr>
              <w:t>(average)</w:t>
            </w: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Total annual responses</w:t>
            </w:r>
          </w:p>
        </w:tc>
        <w:tc>
          <w:tcPr>
            <w:tcW w:w="1116" w:type="dxa"/>
            <w:tcBorders>
              <w:top w:val="nil"/>
              <w:left w:val="nil"/>
              <w:bottom w:val="nil"/>
              <w:right w:val="nil"/>
            </w:tcBorders>
            <w:shd w:val="clear" w:color="auto" w:fill="auto"/>
            <w:noWrap/>
            <w:vAlign w:val="bottom"/>
            <w:hideMark/>
          </w:tcPr>
          <w:p w:rsidRPr="00204F12" w:rsidR="00204F12" w:rsidP="00314AD1" w:rsidRDefault="00314AD1">
            <w:pPr>
              <w:jc w:val="right"/>
              <w:rPr>
                <w:color w:val="000000"/>
              </w:rPr>
            </w:pPr>
            <w:r>
              <w:rPr>
                <w:color w:val="000000"/>
              </w:rPr>
              <w:t>1,949</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CD5EB0" w:rsidRDefault="00204F12">
            <w:pPr>
              <w:rPr>
                <w:color w:val="000000"/>
              </w:rPr>
            </w:pPr>
            <w:r w:rsidRPr="00204F12">
              <w:rPr>
                <w:color w:val="000000"/>
              </w:rPr>
              <w:t xml:space="preserve">Total </w:t>
            </w:r>
            <w:r w:rsidR="00CD5EB0">
              <w:rPr>
                <w:color w:val="000000"/>
              </w:rPr>
              <w:t>a</w:t>
            </w:r>
            <w:r w:rsidRPr="00204F12">
              <w:rPr>
                <w:color w:val="000000"/>
              </w:rPr>
              <w:t>nnual hour burden</w:t>
            </w:r>
          </w:p>
        </w:tc>
        <w:tc>
          <w:tcPr>
            <w:tcW w:w="1116" w:type="dxa"/>
            <w:tcBorders>
              <w:top w:val="nil"/>
              <w:left w:val="nil"/>
              <w:bottom w:val="nil"/>
              <w:right w:val="nil"/>
            </w:tcBorders>
            <w:shd w:val="clear" w:color="auto" w:fill="auto"/>
            <w:noWrap/>
            <w:vAlign w:val="bottom"/>
            <w:hideMark/>
          </w:tcPr>
          <w:p w:rsidRPr="00204F12" w:rsidR="00204F12" w:rsidP="00204F12" w:rsidRDefault="00314AD1">
            <w:pPr>
              <w:jc w:val="right"/>
              <w:rPr>
                <w:color w:val="000000"/>
              </w:rPr>
            </w:pPr>
            <w:r>
              <w:rPr>
                <w:color w:val="000000"/>
              </w:rPr>
              <w:t>497</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p>
        </w:tc>
        <w:tc>
          <w:tcPr>
            <w:tcW w:w="1116" w:type="dxa"/>
            <w:tcBorders>
              <w:top w:val="nil"/>
              <w:left w:val="nil"/>
              <w:bottom w:val="nil"/>
              <w:right w:val="nil"/>
            </w:tcBorders>
            <w:shd w:val="clear" w:color="auto" w:fill="auto"/>
            <w:noWrap/>
            <w:vAlign w:val="bottom"/>
            <w:hideMark/>
          </w:tcPr>
          <w:p w:rsidRPr="00204F12" w:rsidR="00204F12" w:rsidP="00204F12" w:rsidRDefault="00204F12">
            <w:pPr>
              <w:jc w:val="right"/>
              <w:rPr>
                <w:color w:val="000000"/>
              </w:rPr>
            </w:pP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Average burden, per collection:</w:t>
            </w:r>
          </w:p>
        </w:tc>
        <w:tc>
          <w:tcPr>
            <w:tcW w:w="1116" w:type="dxa"/>
            <w:tcBorders>
              <w:top w:val="nil"/>
              <w:left w:val="nil"/>
              <w:bottom w:val="nil"/>
              <w:right w:val="nil"/>
            </w:tcBorders>
            <w:shd w:val="clear" w:color="auto" w:fill="auto"/>
            <w:noWrap/>
            <w:vAlign w:val="bottom"/>
            <w:hideMark/>
          </w:tcPr>
          <w:p w:rsidRPr="00204F12" w:rsidR="00204F12" w:rsidP="00204F12" w:rsidRDefault="00204F12">
            <w:pPr>
              <w:jc w:val="right"/>
              <w:rPr>
                <w:color w:val="000000"/>
              </w:rPr>
            </w:pPr>
            <w:r w:rsidRPr="00204F12">
              <w:rPr>
                <w:color w:val="000000"/>
              </w:rPr>
              <w:t xml:space="preserve">     0.25</w:t>
            </w:r>
            <w:r w:rsidR="00314AD1">
              <w:rPr>
                <w:color w:val="000000"/>
              </w:rPr>
              <w:t>5</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Average burden, per respondent:</w:t>
            </w:r>
          </w:p>
        </w:tc>
        <w:tc>
          <w:tcPr>
            <w:tcW w:w="1116" w:type="dxa"/>
            <w:tcBorders>
              <w:top w:val="nil"/>
              <w:left w:val="nil"/>
              <w:bottom w:val="nil"/>
              <w:right w:val="nil"/>
            </w:tcBorders>
            <w:shd w:val="clear" w:color="auto" w:fill="auto"/>
            <w:noWrap/>
            <w:vAlign w:val="bottom"/>
            <w:hideMark/>
          </w:tcPr>
          <w:p w:rsidRPr="00204F12" w:rsidR="00204F12" w:rsidP="00204F12" w:rsidRDefault="00204F12">
            <w:pPr>
              <w:jc w:val="right"/>
              <w:rPr>
                <w:color w:val="000000"/>
              </w:rPr>
            </w:pPr>
            <w:r w:rsidRPr="00204F12">
              <w:rPr>
                <w:color w:val="000000"/>
              </w:rPr>
              <w:t xml:space="preserve">       </w:t>
            </w:r>
            <w:r w:rsidR="00314AD1">
              <w:rPr>
                <w:color w:val="000000"/>
              </w:rPr>
              <w:t>2.9</w:t>
            </w:r>
            <w:r w:rsidRPr="00204F12">
              <w:rPr>
                <w:color w:val="000000"/>
              </w:rPr>
              <w:t xml:space="preserve"> </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p>
        </w:tc>
        <w:tc>
          <w:tcPr>
            <w:tcW w:w="1116" w:type="dxa"/>
            <w:tcBorders>
              <w:top w:val="nil"/>
              <w:left w:val="nil"/>
              <w:bottom w:val="nil"/>
              <w:right w:val="nil"/>
            </w:tcBorders>
            <w:shd w:val="clear" w:color="auto" w:fill="auto"/>
            <w:noWrap/>
            <w:vAlign w:val="bottom"/>
            <w:hideMark/>
          </w:tcPr>
          <w:p w:rsidRPr="00204F12" w:rsidR="00204F12" w:rsidP="00204F12" w:rsidRDefault="00204F12">
            <w:pPr>
              <w:jc w:val="right"/>
              <w:rPr>
                <w:color w:val="000000"/>
              </w:rPr>
            </w:pP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Total responses received on paper:</w:t>
            </w:r>
          </w:p>
        </w:tc>
        <w:tc>
          <w:tcPr>
            <w:tcW w:w="1116" w:type="dxa"/>
            <w:tcBorders>
              <w:top w:val="nil"/>
              <w:left w:val="nil"/>
              <w:bottom w:val="nil"/>
              <w:right w:val="nil"/>
            </w:tcBorders>
            <w:shd w:val="clear" w:color="auto" w:fill="auto"/>
            <w:noWrap/>
            <w:vAlign w:val="bottom"/>
            <w:hideMark/>
          </w:tcPr>
          <w:p w:rsidRPr="00204F12" w:rsidR="00204F12" w:rsidP="00314AD1" w:rsidRDefault="00314AD1">
            <w:pPr>
              <w:jc w:val="right"/>
              <w:rPr>
                <w:color w:val="000000"/>
              </w:rPr>
            </w:pPr>
            <w:r>
              <w:rPr>
                <w:color w:val="000000"/>
              </w:rPr>
              <w:t>104</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Total responses received online:</w:t>
            </w:r>
          </w:p>
        </w:tc>
        <w:tc>
          <w:tcPr>
            <w:tcW w:w="1116" w:type="dxa"/>
            <w:tcBorders>
              <w:top w:val="nil"/>
              <w:left w:val="nil"/>
              <w:bottom w:val="nil"/>
              <w:right w:val="nil"/>
            </w:tcBorders>
            <w:shd w:val="clear" w:color="auto" w:fill="auto"/>
            <w:noWrap/>
            <w:vAlign w:val="bottom"/>
            <w:hideMark/>
          </w:tcPr>
          <w:p w:rsidRPr="00204F12" w:rsidR="00204F12" w:rsidP="00204F12" w:rsidRDefault="00314AD1">
            <w:pPr>
              <w:jc w:val="right"/>
              <w:rPr>
                <w:color w:val="000000"/>
              </w:rPr>
            </w:pPr>
            <w:r>
              <w:rPr>
                <w:color w:val="000000"/>
              </w:rPr>
              <w:t>1,849</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r w:rsidRPr="00204F12" w:rsidR="00204F12" w:rsidTr="001C1689">
        <w:trPr>
          <w:trHeight w:val="315"/>
        </w:trPr>
        <w:tc>
          <w:tcPr>
            <w:tcW w:w="4762" w:type="dxa"/>
            <w:tcBorders>
              <w:top w:val="nil"/>
              <w:left w:val="nil"/>
              <w:bottom w:val="nil"/>
              <w:right w:val="nil"/>
            </w:tcBorders>
            <w:shd w:val="clear" w:color="auto" w:fill="auto"/>
            <w:noWrap/>
            <w:vAlign w:val="center"/>
            <w:hideMark/>
          </w:tcPr>
          <w:p w:rsidRPr="00204F12" w:rsidR="00204F12" w:rsidP="00204F12" w:rsidRDefault="00204F12">
            <w:pPr>
              <w:rPr>
                <w:color w:val="000000"/>
              </w:rPr>
            </w:pPr>
            <w:r w:rsidRPr="00204F12">
              <w:rPr>
                <w:color w:val="000000"/>
              </w:rPr>
              <w:t>Percent of responses received online:</w:t>
            </w:r>
          </w:p>
        </w:tc>
        <w:tc>
          <w:tcPr>
            <w:tcW w:w="1116" w:type="dxa"/>
            <w:tcBorders>
              <w:top w:val="nil"/>
              <w:left w:val="nil"/>
              <w:bottom w:val="nil"/>
              <w:right w:val="nil"/>
            </w:tcBorders>
            <w:shd w:val="clear" w:color="auto" w:fill="auto"/>
            <w:noWrap/>
            <w:vAlign w:val="bottom"/>
            <w:hideMark/>
          </w:tcPr>
          <w:p w:rsidRPr="00204F12" w:rsidR="00204F12" w:rsidP="00204F12" w:rsidRDefault="00204F12">
            <w:pPr>
              <w:jc w:val="right"/>
              <w:rPr>
                <w:color w:val="000000"/>
              </w:rPr>
            </w:pPr>
            <w:r w:rsidRPr="00204F12">
              <w:rPr>
                <w:color w:val="000000"/>
              </w:rPr>
              <w:t>9</w:t>
            </w:r>
            <w:r w:rsidR="00314AD1">
              <w:rPr>
                <w:color w:val="000000"/>
              </w:rPr>
              <w:t>5</w:t>
            </w:r>
            <w:r w:rsidRPr="00204F12">
              <w:rPr>
                <w:color w:val="000000"/>
              </w:rPr>
              <w:t>%</w:t>
            </w:r>
          </w:p>
        </w:tc>
        <w:tc>
          <w:tcPr>
            <w:tcW w:w="1242" w:type="dxa"/>
            <w:tcBorders>
              <w:top w:val="nil"/>
              <w:left w:val="nil"/>
              <w:bottom w:val="nil"/>
              <w:right w:val="nil"/>
            </w:tcBorders>
            <w:shd w:val="clear" w:color="auto" w:fill="auto"/>
            <w:noWrap/>
            <w:vAlign w:val="bottom"/>
            <w:hideMark/>
          </w:tcPr>
          <w:p w:rsidRPr="00204F12" w:rsidR="00204F12" w:rsidP="00204F12" w:rsidRDefault="00204F12">
            <w:pPr>
              <w:rPr>
                <w:color w:val="000000"/>
              </w:rPr>
            </w:pPr>
          </w:p>
        </w:tc>
      </w:tr>
    </w:tbl>
    <w:p w:rsidR="00CD55CE" w:rsidP="00204F12" w:rsidRDefault="00CD55CE"/>
    <w:p w:rsidR="00F01D8E" w:rsidP="00204F12" w:rsidRDefault="00F01D8E"/>
    <w:p w:rsidR="00F01D8E" w:rsidP="00204F12" w:rsidRDefault="00F01D8E"/>
    <w:p w:rsidR="00F01D8E" w:rsidP="00204F12" w:rsidRDefault="00F01D8E"/>
    <w:p w:rsidR="00F01D8E" w:rsidP="00204F12" w:rsidRDefault="00F01D8E"/>
    <w:p w:rsidRPr="003A2DA1" w:rsidR="00204F12" w:rsidP="00204F12" w:rsidRDefault="00204F12">
      <w:r w:rsidRPr="003A2DA1">
        <w:t>Burden dollars:</w:t>
      </w:r>
    </w:p>
    <w:p w:rsidR="00204F12" w:rsidP="00204F12" w:rsidRDefault="00204F12"/>
    <w:tbl>
      <w:tblPr>
        <w:tblW w:w="0" w:type="auto"/>
        <w:tblInd w:w="720" w:type="dxa"/>
        <w:tblLayout w:type="fixed"/>
        <w:tblLook w:val="04A0" w:firstRow="1" w:lastRow="0" w:firstColumn="1" w:lastColumn="0" w:noHBand="0" w:noVBand="1"/>
      </w:tblPr>
      <w:tblGrid>
        <w:gridCol w:w="4248"/>
        <w:gridCol w:w="1620"/>
        <w:tblGridChange w:id="0">
          <w:tblGrid>
            <w:gridCol w:w="4248"/>
            <w:gridCol w:w="1620"/>
          </w:tblGrid>
        </w:tblGridChange>
      </w:tblGrid>
      <w:tr w:rsidRPr="00D46C28" w:rsidR="00204F12" w:rsidTr="00204F12">
        <w:tc>
          <w:tcPr>
            <w:tcW w:w="4248" w:type="dxa"/>
          </w:tcPr>
          <w:p w:rsidRPr="00D46C28" w:rsidR="00204F12" w:rsidP="00204F12" w:rsidRDefault="00204F12">
            <w:pPr>
              <w:rPr>
                <w:rFonts w:eastAsia="SimSun"/>
              </w:rPr>
            </w:pPr>
            <w:r w:rsidRPr="00D46C28">
              <w:rPr>
                <w:rFonts w:eastAsia="SimSun"/>
              </w:rPr>
              <w:t>Estimate hourly wage ($/hour):</w:t>
            </w:r>
            <w:r w:rsidRPr="00D46C28">
              <w:rPr>
                <w:rStyle w:val="FootnoteReference"/>
                <w:rFonts w:eastAsia="SimSun"/>
                <w:vertAlign w:val="superscript"/>
              </w:rPr>
              <w:footnoteReference w:id="1"/>
            </w:r>
          </w:p>
        </w:tc>
        <w:tc>
          <w:tcPr>
            <w:tcW w:w="1620" w:type="dxa"/>
          </w:tcPr>
          <w:p w:rsidRPr="00D46C28" w:rsidR="00204F12" w:rsidP="00204F12" w:rsidRDefault="00204F12">
            <w:pPr>
              <w:jc w:val="right"/>
              <w:rPr>
                <w:rFonts w:eastAsia="SimSun"/>
              </w:rPr>
            </w:pPr>
            <w:r w:rsidRPr="00D46C28">
              <w:rPr>
                <w:rFonts w:eastAsia="SimSun"/>
              </w:rPr>
              <w:t>$</w:t>
            </w:r>
            <w:r w:rsidR="00314AD1">
              <w:rPr>
                <w:rFonts w:eastAsia="SimSun"/>
              </w:rPr>
              <w:t>45.46</w:t>
            </w:r>
          </w:p>
        </w:tc>
      </w:tr>
      <w:tr w:rsidRPr="00D46C28" w:rsidR="00204F12" w:rsidTr="00204F12">
        <w:tc>
          <w:tcPr>
            <w:tcW w:w="4248" w:type="dxa"/>
          </w:tcPr>
          <w:p w:rsidRPr="00D46C28" w:rsidR="00204F12" w:rsidP="00204F12" w:rsidRDefault="00204F12">
            <w:pPr>
              <w:rPr>
                <w:rFonts w:eastAsia="SimSun"/>
              </w:rPr>
            </w:pPr>
            <w:r w:rsidRPr="00D46C28">
              <w:rPr>
                <w:rFonts w:eastAsia="SimSun"/>
              </w:rPr>
              <w:t>Load for benefits (percent of labor rate):</w:t>
            </w:r>
            <w:r w:rsidRPr="00D46C28">
              <w:rPr>
                <w:rStyle w:val="FootnoteReference"/>
                <w:rFonts w:eastAsia="SimSun"/>
                <w:vertAlign w:val="superscript"/>
              </w:rPr>
              <w:footnoteReference w:id="2"/>
            </w:r>
          </w:p>
        </w:tc>
        <w:tc>
          <w:tcPr>
            <w:tcW w:w="1620" w:type="dxa"/>
          </w:tcPr>
          <w:p w:rsidRPr="00F01D8E" w:rsidR="00204F12" w:rsidP="00204F12" w:rsidRDefault="00314AD1">
            <w:pPr>
              <w:jc w:val="right"/>
              <w:rPr>
                <w:rFonts w:eastAsia="SimSun"/>
                <w:u w:val="single"/>
              </w:rPr>
            </w:pPr>
            <w:r>
              <w:rPr>
                <w:rFonts w:eastAsia="SimSun"/>
                <w:u w:val="single"/>
              </w:rPr>
              <w:t>42.7</w:t>
            </w:r>
            <w:r w:rsidRPr="00F01D8E" w:rsidR="00204F12">
              <w:rPr>
                <w:rFonts w:eastAsia="SimSun"/>
                <w:u w:val="single"/>
              </w:rPr>
              <w:t>%</w:t>
            </w:r>
          </w:p>
        </w:tc>
      </w:tr>
      <w:tr w:rsidRPr="00D46C28" w:rsidR="00204F12" w:rsidTr="00204F12">
        <w:tc>
          <w:tcPr>
            <w:tcW w:w="4248" w:type="dxa"/>
          </w:tcPr>
          <w:p w:rsidRPr="00D46C28" w:rsidR="00204F12" w:rsidP="00204F12" w:rsidRDefault="00204F12">
            <w:pPr>
              <w:rPr>
                <w:rFonts w:eastAsia="SimSun"/>
              </w:rPr>
            </w:pPr>
            <w:r w:rsidRPr="006A589C">
              <w:rPr>
                <w:rFonts w:eastAsia="SimSun"/>
              </w:rPr>
              <w:t>Loaded labor rate ($/hour):</w:t>
            </w:r>
            <w:r w:rsidRPr="00D46C28">
              <w:rPr>
                <w:rStyle w:val="FootnoteReference"/>
                <w:rFonts w:eastAsia="SimSun"/>
                <w:vertAlign w:val="superscript"/>
              </w:rPr>
              <w:footnoteReference w:id="3"/>
            </w:r>
          </w:p>
        </w:tc>
        <w:tc>
          <w:tcPr>
            <w:tcW w:w="1620" w:type="dxa"/>
          </w:tcPr>
          <w:p w:rsidRPr="00D46C28" w:rsidR="00204F12" w:rsidP="00204F12" w:rsidRDefault="00204F12">
            <w:pPr>
              <w:jc w:val="right"/>
              <w:rPr>
                <w:rFonts w:eastAsia="SimSun"/>
              </w:rPr>
            </w:pPr>
            <w:r w:rsidRPr="00D46C28">
              <w:rPr>
                <w:rFonts w:eastAsia="SimSun"/>
              </w:rPr>
              <w:t>$</w:t>
            </w:r>
            <w:r w:rsidR="00314AD1">
              <w:rPr>
                <w:rFonts w:eastAsia="SimSun"/>
              </w:rPr>
              <w:t>64.87</w:t>
            </w:r>
          </w:p>
        </w:tc>
      </w:tr>
      <w:tr w:rsidRPr="00D46C28" w:rsidR="00204F12" w:rsidTr="00204F12">
        <w:tc>
          <w:tcPr>
            <w:tcW w:w="4248" w:type="dxa"/>
          </w:tcPr>
          <w:p w:rsidR="00204F12" w:rsidP="00204F12" w:rsidRDefault="00204F12">
            <w:pPr>
              <w:rPr>
                <w:rFonts w:eastAsia="SimSun"/>
              </w:rPr>
            </w:pPr>
          </w:p>
        </w:tc>
        <w:tc>
          <w:tcPr>
            <w:tcW w:w="1620" w:type="dxa"/>
          </w:tcPr>
          <w:p w:rsidR="00204F12" w:rsidP="00204F12" w:rsidRDefault="00204F12">
            <w:pPr>
              <w:jc w:val="right"/>
              <w:rPr>
                <w:rFonts w:eastAsia="SimSun"/>
              </w:rPr>
            </w:pPr>
          </w:p>
        </w:tc>
      </w:tr>
      <w:tr w:rsidRPr="00D46C28" w:rsidR="00204F12" w:rsidTr="00204F12">
        <w:tc>
          <w:tcPr>
            <w:tcW w:w="4248" w:type="dxa"/>
          </w:tcPr>
          <w:p w:rsidRPr="00D46C28" w:rsidR="00204F12" w:rsidP="00204F12" w:rsidRDefault="00204F12">
            <w:pPr>
              <w:rPr>
                <w:rFonts w:eastAsia="SimSun"/>
              </w:rPr>
            </w:pPr>
            <w:r>
              <w:rPr>
                <w:rFonts w:eastAsia="SimSun"/>
              </w:rPr>
              <w:t>Number of responses:</w:t>
            </w:r>
          </w:p>
        </w:tc>
        <w:tc>
          <w:tcPr>
            <w:tcW w:w="1620" w:type="dxa"/>
          </w:tcPr>
          <w:p w:rsidRPr="00D46C28" w:rsidR="00204F12" w:rsidP="00314AD1" w:rsidRDefault="00314AD1">
            <w:pPr>
              <w:jc w:val="right"/>
              <w:rPr>
                <w:rFonts w:eastAsia="SimSun"/>
              </w:rPr>
            </w:pPr>
            <w:r>
              <w:rPr>
                <w:rFonts w:eastAsia="SimSun"/>
              </w:rPr>
              <w:t>1,949</w:t>
            </w:r>
          </w:p>
        </w:tc>
      </w:tr>
      <w:tr w:rsidRPr="00D46C28" w:rsidR="00204F12" w:rsidTr="00204F12">
        <w:tc>
          <w:tcPr>
            <w:tcW w:w="4248" w:type="dxa"/>
          </w:tcPr>
          <w:p w:rsidRPr="00D46C28" w:rsidR="00204F12" w:rsidP="00204F12" w:rsidRDefault="00204F12">
            <w:pPr>
              <w:rPr>
                <w:rFonts w:eastAsia="SimSun"/>
              </w:rPr>
            </w:pPr>
            <w:r>
              <w:rPr>
                <w:rFonts w:eastAsia="SimSun"/>
              </w:rPr>
              <w:lastRenderedPageBreak/>
              <w:t>Burden per response (hours):</w:t>
            </w:r>
          </w:p>
        </w:tc>
        <w:tc>
          <w:tcPr>
            <w:tcW w:w="1620" w:type="dxa"/>
          </w:tcPr>
          <w:p w:rsidRPr="00D46C28" w:rsidR="00204F12" w:rsidP="00204F12" w:rsidRDefault="00204F12">
            <w:pPr>
              <w:jc w:val="right"/>
              <w:rPr>
                <w:rFonts w:eastAsia="SimSun"/>
              </w:rPr>
            </w:pPr>
            <w:r>
              <w:rPr>
                <w:rFonts w:eastAsia="SimSun"/>
              </w:rPr>
              <w:t>0.25</w:t>
            </w:r>
            <w:r w:rsidR="00314AD1">
              <w:rPr>
                <w:rFonts w:eastAsia="SimSun"/>
              </w:rPr>
              <w:t>5</w:t>
            </w:r>
          </w:p>
        </w:tc>
      </w:tr>
      <w:tr w:rsidRPr="00D46C28" w:rsidR="00204F12" w:rsidTr="00204F12">
        <w:tc>
          <w:tcPr>
            <w:tcW w:w="4248" w:type="dxa"/>
          </w:tcPr>
          <w:p w:rsidRPr="00D46C28" w:rsidR="00204F12" w:rsidP="00204F12" w:rsidRDefault="00204F12">
            <w:pPr>
              <w:rPr>
                <w:rFonts w:eastAsia="SimSun"/>
              </w:rPr>
            </w:pPr>
            <w:r>
              <w:rPr>
                <w:rFonts w:eastAsia="SimSun"/>
              </w:rPr>
              <w:t>Burden dollars per response ($)</w:t>
            </w:r>
            <w:r w:rsidRPr="00D46C28">
              <w:rPr>
                <w:rFonts w:eastAsia="SimSun"/>
              </w:rPr>
              <w:t>:</w:t>
            </w:r>
          </w:p>
        </w:tc>
        <w:tc>
          <w:tcPr>
            <w:tcW w:w="1620" w:type="dxa"/>
          </w:tcPr>
          <w:p w:rsidRPr="00A643A4" w:rsidR="00204F12" w:rsidP="00204F12" w:rsidRDefault="00204F12">
            <w:pPr>
              <w:jc w:val="right"/>
              <w:rPr>
                <w:color w:val="000000"/>
                <w:u w:val="single"/>
              </w:rPr>
            </w:pPr>
            <w:r w:rsidRPr="00A643A4">
              <w:rPr>
                <w:color w:val="000000"/>
                <w:u w:val="single"/>
              </w:rPr>
              <w:t xml:space="preserve"> $      </w:t>
            </w:r>
            <w:r w:rsidR="00314AD1">
              <w:rPr>
                <w:color w:val="000000"/>
                <w:u w:val="single"/>
              </w:rPr>
              <w:t>16.54</w:t>
            </w:r>
            <w:r w:rsidRPr="00A643A4">
              <w:rPr>
                <w:color w:val="000000"/>
                <w:u w:val="single"/>
              </w:rPr>
              <w:t xml:space="preserve"> </w:t>
            </w:r>
          </w:p>
        </w:tc>
      </w:tr>
      <w:tr w:rsidRPr="00A643A4" w:rsidR="00204F12" w:rsidTr="00204F12">
        <w:tc>
          <w:tcPr>
            <w:tcW w:w="4248" w:type="dxa"/>
          </w:tcPr>
          <w:p w:rsidRPr="00A643A4" w:rsidR="00204F12" w:rsidP="00204F12" w:rsidRDefault="00204F12">
            <w:pPr>
              <w:rPr>
                <w:rFonts w:eastAsia="SimSun"/>
                <w:b/>
              </w:rPr>
            </w:pPr>
            <w:r w:rsidRPr="00A643A4">
              <w:rPr>
                <w:rFonts w:eastAsia="SimSun"/>
                <w:b/>
              </w:rPr>
              <w:t>Total burden dollars</w:t>
            </w:r>
          </w:p>
        </w:tc>
        <w:tc>
          <w:tcPr>
            <w:tcW w:w="1620" w:type="dxa"/>
          </w:tcPr>
          <w:p w:rsidRPr="00A643A4" w:rsidR="00204F12" w:rsidP="00314AD1" w:rsidRDefault="00204F12">
            <w:pPr>
              <w:jc w:val="right"/>
              <w:rPr>
                <w:b/>
                <w:color w:val="000000"/>
              </w:rPr>
            </w:pPr>
            <w:r w:rsidRPr="00A643A4">
              <w:rPr>
                <w:b/>
                <w:color w:val="000000"/>
              </w:rPr>
              <w:t xml:space="preserve"> $</w:t>
            </w:r>
            <w:r w:rsidR="00314AD1">
              <w:rPr>
                <w:b/>
                <w:color w:val="000000"/>
              </w:rPr>
              <w:t xml:space="preserve">   </w:t>
            </w:r>
            <w:r w:rsidRPr="00A643A4">
              <w:rPr>
                <w:b/>
                <w:color w:val="000000"/>
              </w:rPr>
              <w:t xml:space="preserve"> </w:t>
            </w:r>
            <w:r w:rsidR="00314AD1">
              <w:rPr>
                <w:b/>
                <w:color w:val="000000"/>
              </w:rPr>
              <w:t>32,236</w:t>
            </w:r>
            <w:r w:rsidRPr="00A643A4">
              <w:rPr>
                <w:b/>
                <w:color w:val="000000"/>
              </w:rPr>
              <w:t xml:space="preserve"> </w:t>
            </w:r>
          </w:p>
        </w:tc>
      </w:tr>
    </w:tbl>
    <w:p w:rsidR="00755189" w:rsidP="00E843AF" w:rsidRDefault="00755189"/>
    <w:p w:rsidR="00E843AF" w:rsidP="00E843AF" w:rsidRDefault="00E843AF">
      <w:r>
        <w:t xml:space="preserve">13. </w:t>
      </w:r>
      <w:r w:rsidR="00DE665F">
        <w:t xml:space="preserve"> </w:t>
      </w:r>
      <w:r w:rsidRPr="00807206">
        <w:rPr>
          <w:u w:val="single"/>
        </w:rPr>
        <w:t>Estimate of Cost Burden:</w:t>
      </w:r>
      <w:r>
        <w:t xml:space="preserve">  </w:t>
      </w:r>
    </w:p>
    <w:p w:rsidR="00E843AF" w:rsidP="00E843AF" w:rsidRDefault="00E843AF"/>
    <w:p w:rsidR="00204F12" w:rsidP="00204F12" w:rsidRDefault="00204F12">
      <w:r>
        <w:t>Respondents are not estimated to incur any additional start-up cost or capital expenditure as a result of this information collection.  However, respondents are expected to incur shipping costs.</w:t>
      </w:r>
    </w:p>
    <w:p w:rsidR="00204F12" w:rsidP="00204F12" w:rsidRDefault="00204F12"/>
    <w:p w:rsidR="00204F12" w:rsidP="00204F12" w:rsidRDefault="00204F12">
      <w:r>
        <w:t xml:space="preserve">The vast majority of the paper responses </w:t>
      </w:r>
      <w:r w:rsidR="00DC21E3">
        <w:t>are</w:t>
      </w:r>
      <w:r>
        <w:t xml:space="preserve"> delivered to DEA by an express carrier with respondent-paid means for return delivery.  The estimated cost burden is </w:t>
      </w:r>
      <w:r w:rsidRPr="00807206">
        <w:t>$19.50</w:t>
      </w:r>
      <w:r>
        <w:t xml:space="preserve"> per response.</w:t>
      </w:r>
      <w:r>
        <w:rPr>
          <w:rStyle w:val="FootnoteReference"/>
          <w:vertAlign w:val="superscript"/>
        </w:rPr>
        <w:footnoteReference w:id="4"/>
      </w:r>
      <w:r>
        <w:t xml:space="preserve">  The delivery cost of $19.50 per response applied to </w:t>
      </w:r>
      <w:r w:rsidR="00056068">
        <w:t>104</w:t>
      </w:r>
      <w:r>
        <w:t xml:space="preserve"> paper responses results in a total cost burden of $</w:t>
      </w:r>
      <w:r w:rsidR="00056068">
        <w:t>2,028</w:t>
      </w:r>
      <w:r>
        <w:t>.</w:t>
      </w:r>
    </w:p>
    <w:p w:rsidR="00204F12" w:rsidP="00204F12" w:rsidRDefault="00204F12"/>
    <w:p w:rsidR="009A0CEC" w:rsidP="00204F12" w:rsidRDefault="00204F12">
      <w:r>
        <w:t>Estimated annual cost burden:</w:t>
      </w:r>
      <w:r>
        <w:tab/>
        <w:t>$</w:t>
      </w:r>
      <w:r w:rsidR="00056068">
        <w:t>2,028</w:t>
      </w:r>
      <w:r>
        <w:tab/>
      </w:r>
    </w:p>
    <w:p w:rsidR="00E843AF" w:rsidP="00E843AF" w:rsidRDefault="00E843AF"/>
    <w:p w:rsidR="00E843AF" w:rsidP="00E843AF" w:rsidRDefault="00E843AF">
      <w:pPr>
        <w:rPr>
          <w:u w:val="single"/>
        </w:rPr>
      </w:pPr>
      <w:r>
        <w:t xml:space="preserve">14. </w:t>
      </w:r>
      <w:r w:rsidR="00DE665F">
        <w:t xml:space="preserve"> </w:t>
      </w:r>
      <w:r w:rsidRPr="00807206">
        <w:rPr>
          <w:u w:val="single"/>
        </w:rPr>
        <w:t>Estimated Annualized Cost to Federal Government:</w:t>
      </w:r>
    </w:p>
    <w:p w:rsidR="00A61397" w:rsidP="00E843AF" w:rsidRDefault="00A61397"/>
    <w:p w:rsidR="002828D5" w:rsidP="00E843AF" w:rsidRDefault="002828D5">
      <w:r>
        <w:t>Estimated annual labor cost:</w:t>
      </w:r>
    </w:p>
    <w:tbl>
      <w:tblPr>
        <w:tblW w:w="8455"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5"/>
        <w:gridCol w:w="1080"/>
        <w:gridCol w:w="1170"/>
        <w:gridCol w:w="1080"/>
        <w:gridCol w:w="900"/>
        <w:gridCol w:w="1260"/>
      </w:tblGrid>
      <w:tr w:rsidRPr="007A1864" w:rsidR="007A1864" w:rsidTr="00690A85">
        <w:trPr>
          <w:trHeight w:val="345"/>
        </w:trPr>
        <w:tc>
          <w:tcPr>
            <w:tcW w:w="2965" w:type="dxa"/>
            <w:shd w:val="clear" w:color="000000" w:fill="B8CCE4"/>
            <w:noWrap/>
            <w:vAlign w:val="bottom"/>
            <w:hideMark/>
          </w:tcPr>
          <w:p w:rsidRPr="007A1864" w:rsidR="007A1864" w:rsidP="007A1864" w:rsidRDefault="007A1864">
            <w:pPr>
              <w:rPr>
                <w:b/>
                <w:bCs/>
                <w:color w:val="000000"/>
                <w:sz w:val="20"/>
                <w:szCs w:val="20"/>
              </w:rPr>
            </w:pPr>
            <w:r w:rsidRPr="007A1864">
              <w:rPr>
                <w:b/>
                <w:bCs/>
                <w:color w:val="000000"/>
                <w:sz w:val="20"/>
                <w:szCs w:val="20"/>
              </w:rPr>
              <w:t>Labor Category</w:t>
            </w:r>
          </w:p>
        </w:tc>
        <w:tc>
          <w:tcPr>
            <w:tcW w:w="1080" w:type="dxa"/>
            <w:shd w:val="clear" w:color="000000" w:fill="B8CCE4"/>
            <w:noWrap/>
            <w:vAlign w:val="bottom"/>
            <w:hideMark/>
          </w:tcPr>
          <w:p w:rsidRPr="007A1864" w:rsidR="007A1864" w:rsidP="007A1864" w:rsidRDefault="007A1864">
            <w:pPr>
              <w:jc w:val="center"/>
              <w:rPr>
                <w:b/>
                <w:bCs/>
                <w:color w:val="000000"/>
                <w:sz w:val="20"/>
                <w:szCs w:val="20"/>
              </w:rPr>
            </w:pPr>
            <w:r w:rsidRPr="007A1864">
              <w:rPr>
                <w:b/>
                <w:bCs/>
                <w:color w:val="000000"/>
                <w:sz w:val="20"/>
                <w:szCs w:val="20"/>
              </w:rPr>
              <w:t>Number</w:t>
            </w:r>
          </w:p>
        </w:tc>
        <w:tc>
          <w:tcPr>
            <w:tcW w:w="1170" w:type="dxa"/>
            <w:shd w:val="clear" w:color="000000" w:fill="B8CCE4"/>
            <w:noWrap/>
            <w:vAlign w:val="bottom"/>
            <w:hideMark/>
          </w:tcPr>
          <w:p w:rsidRPr="007A1864" w:rsidR="007A1864" w:rsidP="007A1864" w:rsidRDefault="00FC603C">
            <w:pPr>
              <w:jc w:val="center"/>
              <w:rPr>
                <w:b/>
                <w:bCs/>
                <w:color w:val="000000"/>
                <w:sz w:val="20"/>
                <w:szCs w:val="20"/>
              </w:rPr>
            </w:pPr>
            <w:r>
              <w:rPr>
                <w:b/>
                <w:bCs/>
                <w:color w:val="000000"/>
                <w:sz w:val="20"/>
                <w:szCs w:val="20"/>
              </w:rPr>
              <w:t xml:space="preserve"> Annual rate ($)*</w:t>
            </w:r>
          </w:p>
        </w:tc>
        <w:tc>
          <w:tcPr>
            <w:tcW w:w="1080" w:type="dxa"/>
            <w:shd w:val="clear" w:color="000000" w:fill="B8CCE4"/>
            <w:noWrap/>
            <w:vAlign w:val="bottom"/>
            <w:hideMark/>
          </w:tcPr>
          <w:p w:rsidRPr="007A1864" w:rsidR="007A1864" w:rsidP="007A1864" w:rsidRDefault="007A1864">
            <w:pPr>
              <w:jc w:val="center"/>
              <w:rPr>
                <w:b/>
                <w:bCs/>
                <w:color w:val="000000"/>
                <w:sz w:val="20"/>
                <w:szCs w:val="20"/>
              </w:rPr>
            </w:pPr>
            <w:r w:rsidRPr="007A1864">
              <w:rPr>
                <w:b/>
                <w:bCs/>
                <w:color w:val="000000"/>
                <w:sz w:val="20"/>
                <w:szCs w:val="20"/>
              </w:rPr>
              <w:t>Load</w:t>
            </w:r>
            <w:r w:rsidR="00690A85">
              <w:rPr>
                <w:b/>
                <w:bCs/>
                <w:color w:val="000000"/>
                <w:sz w:val="20"/>
                <w:szCs w:val="20"/>
              </w:rPr>
              <w:t>*</w:t>
            </w:r>
            <w:r w:rsidR="00FC603C">
              <w:rPr>
                <w:b/>
                <w:bCs/>
                <w:color w:val="000000"/>
                <w:sz w:val="20"/>
                <w:szCs w:val="20"/>
              </w:rPr>
              <w:t>*</w:t>
            </w:r>
          </w:p>
        </w:tc>
        <w:tc>
          <w:tcPr>
            <w:tcW w:w="900" w:type="dxa"/>
            <w:shd w:val="clear" w:color="000000" w:fill="B8CCE4"/>
            <w:noWrap/>
            <w:vAlign w:val="bottom"/>
            <w:hideMark/>
          </w:tcPr>
          <w:p w:rsidRPr="007A1864" w:rsidR="007A1864" w:rsidP="007A1864" w:rsidRDefault="007A1864">
            <w:pPr>
              <w:jc w:val="center"/>
              <w:rPr>
                <w:b/>
                <w:bCs/>
                <w:color w:val="000000"/>
                <w:sz w:val="20"/>
                <w:szCs w:val="20"/>
              </w:rPr>
            </w:pPr>
            <w:r w:rsidRPr="007A1864">
              <w:rPr>
                <w:b/>
                <w:bCs/>
                <w:color w:val="000000"/>
                <w:sz w:val="20"/>
                <w:szCs w:val="20"/>
              </w:rPr>
              <w:t>% of time</w:t>
            </w:r>
          </w:p>
        </w:tc>
        <w:tc>
          <w:tcPr>
            <w:tcW w:w="1260" w:type="dxa"/>
            <w:shd w:val="clear" w:color="000000" w:fill="B8CCE4"/>
            <w:noWrap/>
            <w:vAlign w:val="bottom"/>
            <w:hideMark/>
          </w:tcPr>
          <w:p w:rsidRPr="007A1864" w:rsidR="007A1864" w:rsidP="007A1864" w:rsidRDefault="007A1864">
            <w:pPr>
              <w:jc w:val="center"/>
              <w:rPr>
                <w:b/>
                <w:bCs/>
                <w:color w:val="000000"/>
                <w:sz w:val="20"/>
                <w:szCs w:val="20"/>
              </w:rPr>
            </w:pPr>
            <w:r w:rsidRPr="007A1864">
              <w:rPr>
                <w:b/>
                <w:bCs/>
                <w:color w:val="000000"/>
                <w:sz w:val="20"/>
                <w:szCs w:val="20"/>
              </w:rPr>
              <w:t>Cost ($)</w:t>
            </w:r>
          </w:p>
        </w:tc>
      </w:tr>
      <w:tr w:rsidRPr="007A1864" w:rsidR="007A1864" w:rsidTr="00690A85">
        <w:trPr>
          <w:trHeight w:val="300"/>
        </w:trPr>
        <w:tc>
          <w:tcPr>
            <w:tcW w:w="2965"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Staff Coordinator - GS-14</w:t>
            </w:r>
          </w:p>
        </w:tc>
        <w:tc>
          <w:tcPr>
            <w:tcW w:w="108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1</w:t>
            </w:r>
          </w:p>
        </w:tc>
        <w:tc>
          <w:tcPr>
            <w:tcW w:w="117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137,491 </w:t>
            </w:r>
          </w:p>
        </w:tc>
        <w:tc>
          <w:tcPr>
            <w:tcW w:w="108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1.605 </w:t>
            </w:r>
          </w:p>
        </w:tc>
        <w:tc>
          <w:tcPr>
            <w:tcW w:w="90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3%</w:t>
            </w:r>
          </w:p>
        </w:tc>
        <w:tc>
          <w:tcPr>
            <w:tcW w:w="1260" w:type="dxa"/>
            <w:shd w:val="clear" w:color="auto" w:fill="auto"/>
            <w:noWrap/>
            <w:vAlign w:val="bottom"/>
            <w:hideMark/>
          </w:tcPr>
          <w:p w:rsidRPr="007A1864" w:rsidR="007A1864" w:rsidP="00690A85" w:rsidRDefault="007A1864">
            <w:pPr>
              <w:jc w:val="right"/>
              <w:rPr>
                <w:color w:val="000000"/>
                <w:sz w:val="20"/>
                <w:szCs w:val="20"/>
              </w:rPr>
            </w:pPr>
            <w:r w:rsidRPr="007A1864">
              <w:rPr>
                <w:color w:val="000000"/>
                <w:sz w:val="20"/>
                <w:szCs w:val="20"/>
              </w:rPr>
              <w:t xml:space="preserve">          6,621 </w:t>
            </w:r>
          </w:p>
        </w:tc>
      </w:tr>
      <w:tr w:rsidRPr="007A1864" w:rsidR="007A1864" w:rsidTr="00690A85">
        <w:trPr>
          <w:trHeight w:val="300"/>
        </w:trPr>
        <w:tc>
          <w:tcPr>
            <w:tcW w:w="2965"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Import/Export Specialist - GS-13</w:t>
            </w:r>
          </w:p>
        </w:tc>
        <w:tc>
          <w:tcPr>
            <w:tcW w:w="108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1</w:t>
            </w:r>
          </w:p>
        </w:tc>
        <w:tc>
          <w:tcPr>
            <w:tcW w:w="117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116,353 </w:t>
            </w:r>
          </w:p>
        </w:tc>
        <w:tc>
          <w:tcPr>
            <w:tcW w:w="108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1.605 </w:t>
            </w:r>
          </w:p>
        </w:tc>
        <w:tc>
          <w:tcPr>
            <w:tcW w:w="90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80%</w:t>
            </w:r>
          </w:p>
        </w:tc>
        <w:tc>
          <w:tcPr>
            <w:tcW w:w="1260" w:type="dxa"/>
            <w:shd w:val="clear" w:color="auto" w:fill="auto"/>
            <w:noWrap/>
            <w:vAlign w:val="bottom"/>
            <w:hideMark/>
          </w:tcPr>
          <w:p w:rsidRPr="007A1864" w:rsidR="007A1864" w:rsidP="00690A85" w:rsidRDefault="007A1864">
            <w:pPr>
              <w:jc w:val="right"/>
              <w:rPr>
                <w:color w:val="000000"/>
                <w:sz w:val="20"/>
                <w:szCs w:val="20"/>
              </w:rPr>
            </w:pPr>
            <w:r w:rsidRPr="007A1864">
              <w:rPr>
                <w:color w:val="000000"/>
                <w:sz w:val="20"/>
                <w:szCs w:val="20"/>
              </w:rPr>
              <w:t xml:space="preserve">      149,410 </w:t>
            </w:r>
          </w:p>
        </w:tc>
      </w:tr>
      <w:tr w:rsidRPr="007A1864" w:rsidR="007A1864" w:rsidTr="00690A85">
        <w:trPr>
          <w:trHeight w:val="300"/>
        </w:trPr>
        <w:tc>
          <w:tcPr>
            <w:tcW w:w="2965"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Program Analyst - GS-11</w:t>
            </w:r>
          </w:p>
        </w:tc>
        <w:tc>
          <w:tcPr>
            <w:tcW w:w="108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1</w:t>
            </w:r>
          </w:p>
        </w:tc>
        <w:tc>
          <w:tcPr>
            <w:tcW w:w="117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81,634 </w:t>
            </w:r>
          </w:p>
        </w:tc>
        <w:tc>
          <w:tcPr>
            <w:tcW w:w="108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1.605 </w:t>
            </w:r>
          </w:p>
        </w:tc>
        <w:tc>
          <w:tcPr>
            <w:tcW w:w="90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80%</w:t>
            </w:r>
          </w:p>
        </w:tc>
        <w:tc>
          <w:tcPr>
            <w:tcW w:w="1260" w:type="dxa"/>
            <w:shd w:val="clear" w:color="auto" w:fill="auto"/>
            <w:noWrap/>
            <w:vAlign w:val="bottom"/>
            <w:hideMark/>
          </w:tcPr>
          <w:p w:rsidRPr="007A1864" w:rsidR="007A1864" w:rsidP="00690A85" w:rsidRDefault="007A1864">
            <w:pPr>
              <w:jc w:val="right"/>
              <w:rPr>
                <w:color w:val="000000"/>
                <w:sz w:val="20"/>
                <w:szCs w:val="20"/>
              </w:rPr>
            </w:pPr>
            <w:r w:rsidRPr="007A1864">
              <w:rPr>
                <w:color w:val="000000"/>
                <w:sz w:val="20"/>
                <w:szCs w:val="20"/>
              </w:rPr>
              <w:t xml:space="preserve">      104,827 </w:t>
            </w:r>
          </w:p>
        </w:tc>
      </w:tr>
      <w:tr w:rsidRPr="007A1864" w:rsidR="007A1864" w:rsidTr="00690A85">
        <w:trPr>
          <w:trHeight w:val="300"/>
        </w:trPr>
        <w:tc>
          <w:tcPr>
            <w:tcW w:w="2965"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Secretary, Contractor (GS-8 equivalent)</w:t>
            </w:r>
          </w:p>
        </w:tc>
        <w:tc>
          <w:tcPr>
            <w:tcW w:w="108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1</w:t>
            </w:r>
          </w:p>
        </w:tc>
        <w:tc>
          <w:tcPr>
            <w:tcW w:w="117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61,088 </w:t>
            </w:r>
          </w:p>
        </w:tc>
        <w:tc>
          <w:tcPr>
            <w:tcW w:w="1080" w:type="dxa"/>
            <w:shd w:val="clear" w:color="auto" w:fill="auto"/>
            <w:noWrap/>
            <w:vAlign w:val="bottom"/>
            <w:hideMark/>
          </w:tcPr>
          <w:p w:rsidRPr="007A1864" w:rsidR="007A1864" w:rsidP="007A1864" w:rsidRDefault="007A1864">
            <w:pPr>
              <w:rPr>
                <w:color w:val="000000"/>
                <w:sz w:val="20"/>
                <w:szCs w:val="20"/>
              </w:rPr>
            </w:pPr>
            <w:r w:rsidRPr="007A1864">
              <w:rPr>
                <w:color w:val="000000"/>
                <w:sz w:val="20"/>
                <w:szCs w:val="20"/>
              </w:rPr>
              <w:t xml:space="preserve">     1.605 </w:t>
            </w:r>
          </w:p>
        </w:tc>
        <w:tc>
          <w:tcPr>
            <w:tcW w:w="900" w:type="dxa"/>
            <w:shd w:val="clear" w:color="auto" w:fill="auto"/>
            <w:noWrap/>
            <w:vAlign w:val="bottom"/>
            <w:hideMark/>
          </w:tcPr>
          <w:p w:rsidRPr="007A1864" w:rsidR="007A1864" w:rsidP="007A1864" w:rsidRDefault="007A1864">
            <w:pPr>
              <w:jc w:val="right"/>
              <w:rPr>
                <w:color w:val="000000"/>
                <w:sz w:val="20"/>
                <w:szCs w:val="20"/>
              </w:rPr>
            </w:pPr>
            <w:r w:rsidRPr="007A1864">
              <w:rPr>
                <w:color w:val="000000"/>
                <w:sz w:val="20"/>
                <w:szCs w:val="20"/>
              </w:rPr>
              <w:t>15%</w:t>
            </w:r>
          </w:p>
        </w:tc>
        <w:tc>
          <w:tcPr>
            <w:tcW w:w="1260" w:type="dxa"/>
            <w:shd w:val="clear" w:color="auto" w:fill="auto"/>
            <w:noWrap/>
            <w:vAlign w:val="bottom"/>
            <w:hideMark/>
          </w:tcPr>
          <w:p w:rsidRPr="007A1864" w:rsidR="007A1864" w:rsidP="00690A85" w:rsidRDefault="007A1864">
            <w:pPr>
              <w:jc w:val="right"/>
              <w:rPr>
                <w:color w:val="000000"/>
                <w:sz w:val="20"/>
                <w:szCs w:val="20"/>
              </w:rPr>
            </w:pPr>
            <w:r w:rsidRPr="007A1864">
              <w:rPr>
                <w:color w:val="000000"/>
                <w:sz w:val="20"/>
                <w:szCs w:val="20"/>
              </w:rPr>
              <w:t xml:space="preserve">        14,708 </w:t>
            </w:r>
          </w:p>
        </w:tc>
      </w:tr>
      <w:tr w:rsidRPr="007A1864" w:rsidR="007A1864" w:rsidTr="00690A85">
        <w:trPr>
          <w:trHeight w:val="300"/>
        </w:trPr>
        <w:tc>
          <w:tcPr>
            <w:tcW w:w="2965" w:type="dxa"/>
            <w:shd w:val="clear" w:color="000000" w:fill="B8CCE4"/>
            <w:noWrap/>
            <w:vAlign w:val="bottom"/>
            <w:hideMark/>
          </w:tcPr>
          <w:p w:rsidRPr="007A1864" w:rsidR="007A1864" w:rsidP="007A1864" w:rsidRDefault="007A1864">
            <w:pPr>
              <w:rPr>
                <w:b/>
                <w:bCs/>
                <w:color w:val="000000"/>
                <w:sz w:val="20"/>
                <w:szCs w:val="20"/>
              </w:rPr>
            </w:pPr>
            <w:r w:rsidRPr="007A1864">
              <w:rPr>
                <w:b/>
                <w:bCs/>
                <w:color w:val="000000"/>
                <w:sz w:val="20"/>
                <w:szCs w:val="20"/>
              </w:rPr>
              <w:t>Total</w:t>
            </w:r>
          </w:p>
        </w:tc>
        <w:tc>
          <w:tcPr>
            <w:tcW w:w="1080" w:type="dxa"/>
            <w:shd w:val="clear" w:color="000000" w:fill="B8CCE4"/>
            <w:noWrap/>
            <w:vAlign w:val="bottom"/>
            <w:hideMark/>
          </w:tcPr>
          <w:p w:rsidRPr="007A1864" w:rsidR="007A1864" w:rsidP="007A1864" w:rsidRDefault="007A1864">
            <w:pPr>
              <w:rPr>
                <w:b/>
                <w:bCs/>
                <w:color w:val="000000"/>
                <w:sz w:val="20"/>
                <w:szCs w:val="20"/>
              </w:rPr>
            </w:pPr>
            <w:r w:rsidRPr="007A1864">
              <w:rPr>
                <w:b/>
                <w:bCs/>
                <w:color w:val="000000"/>
                <w:sz w:val="20"/>
                <w:szCs w:val="20"/>
              </w:rPr>
              <w:t> </w:t>
            </w:r>
          </w:p>
        </w:tc>
        <w:tc>
          <w:tcPr>
            <w:tcW w:w="1170" w:type="dxa"/>
            <w:shd w:val="clear" w:color="000000" w:fill="B8CCE4"/>
            <w:noWrap/>
            <w:vAlign w:val="bottom"/>
            <w:hideMark/>
          </w:tcPr>
          <w:p w:rsidRPr="007A1864" w:rsidR="007A1864" w:rsidP="007A1864" w:rsidRDefault="007A1864">
            <w:pPr>
              <w:rPr>
                <w:b/>
                <w:bCs/>
                <w:color w:val="000000"/>
                <w:sz w:val="20"/>
                <w:szCs w:val="20"/>
              </w:rPr>
            </w:pPr>
            <w:r w:rsidRPr="007A1864">
              <w:rPr>
                <w:b/>
                <w:bCs/>
                <w:color w:val="000000"/>
                <w:sz w:val="20"/>
                <w:szCs w:val="20"/>
              </w:rPr>
              <w:t> </w:t>
            </w:r>
          </w:p>
        </w:tc>
        <w:tc>
          <w:tcPr>
            <w:tcW w:w="1080" w:type="dxa"/>
            <w:shd w:val="clear" w:color="000000" w:fill="B8CCE4"/>
            <w:noWrap/>
            <w:vAlign w:val="bottom"/>
            <w:hideMark/>
          </w:tcPr>
          <w:p w:rsidRPr="007A1864" w:rsidR="007A1864" w:rsidP="007A1864" w:rsidRDefault="007A1864">
            <w:pPr>
              <w:rPr>
                <w:b/>
                <w:bCs/>
                <w:color w:val="000000"/>
                <w:sz w:val="20"/>
                <w:szCs w:val="20"/>
              </w:rPr>
            </w:pPr>
            <w:r w:rsidRPr="007A1864">
              <w:rPr>
                <w:b/>
                <w:bCs/>
                <w:color w:val="000000"/>
                <w:sz w:val="20"/>
                <w:szCs w:val="20"/>
              </w:rPr>
              <w:t> </w:t>
            </w:r>
          </w:p>
        </w:tc>
        <w:tc>
          <w:tcPr>
            <w:tcW w:w="900" w:type="dxa"/>
            <w:shd w:val="clear" w:color="000000" w:fill="B8CCE4"/>
            <w:noWrap/>
            <w:vAlign w:val="bottom"/>
            <w:hideMark/>
          </w:tcPr>
          <w:p w:rsidRPr="007A1864" w:rsidR="007A1864" w:rsidP="007A1864" w:rsidRDefault="007A1864">
            <w:pPr>
              <w:rPr>
                <w:b/>
                <w:bCs/>
                <w:color w:val="000000"/>
                <w:sz w:val="20"/>
                <w:szCs w:val="20"/>
              </w:rPr>
            </w:pPr>
            <w:r w:rsidRPr="007A1864">
              <w:rPr>
                <w:b/>
                <w:bCs/>
                <w:color w:val="000000"/>
                <w:sz w:val="20"/>
                <w:szCs w:val="20"/>
              </w:rPr>
              <w:t> </w:t>
            </w:r>
          </w:p>
        </w:tc>
        <w:tc>
          <w:tcPr>
            <w:tcW w:w="1260" w:type="dxa"/>
            <w:shd w:val="clear" w:color="000000" w:fill="B8CCE4"/>
            <w:noWrap/>
            <w:vAlign w:val="bottom"/>
            <w:hideMark/>
          </w:tcPr>
          <w:p w:rsidRPr="007A1864" w:rsidR="007A1864" w:rsidP="00690A85" w:rsidRDefault="00690A85">
            <w:pPr>
              <w:jc w:val="right"/>
              <w:rPr>
                <w:b/>
                <w:bCs/>
                <w:color w:val="000000"/>
                <w:sz w:val="20"/>
                <w:szCs w:val="20"/>
              </w:rPr>
            </w:pPr>
            <w:r>
              <w:rPr>
                <w:b/>
                <w:bCs/>
                <w:color w:val="000000"/>
                <w:sz w:val="20"/>
                <w:szCs w:val="20"/>
              </w:rPr>
              <w:t xml:space="preserve">    275,566</w:t>
            </w:r>
          </w:p>
        </w:tc>
      </w:tr>
    </w:tbl>
    <w:p w:rsidR="00FC603C" w:rsidP="00E843AF" w:rsidRDefault="00690A85">
      <w:pPr>
        <w:rPr>
          <w:sz w:val="20"/>
          <w:szCs w:val="20"/>
        </w:rPr>
      </w:pPr>
      <w:r w:rsidRPr="00690A85">
        <w:rPr>
          <w:sz w:val="20"/>
          <w:szCs w:val="20"/>
        </w:rPr>
        <w:t>*</w:t>
      </w:r>
      <w:r w:rsidRPr="00FC603C" w:rsidR="00FC603C">
        <w:rPr>
          <w:sz w:val="20"/>
          <w:szCs w:val="20"/>
        </w:rPr>
        <w:t>Government salary figures are based on Washington, DC locality pay</w:t>
      </w:r>
      <w:r w:rsidR="00FC603C">
        <w:rPr>
          <w:sz w:val="20"/>
          <w:szCs w:val="20"/>
        </w:rPr>
        <w:t xml:space="preserve"> at step 5 for each grade level.</w:t>
      </w:r>
    </w:p>
    <w:p w:rsidRPr="00690A85" w:rsidR="007A1864" w:rsidP="00E843AF" w:rsidRDefault="00FC603C">
      <w:pPr>
        <w:rPr>
          <w:sz w:val="20"/>
          <w:szCs w:val="20"/>
        </w:rPr>
      </w:pPr>
      <w:r>
        <w:rPr>
          <w:sz w:val="20"/>
          <w:szCs w:val="20"/>
        </w:rPr>
        <w:t>**</w:t>
      </w:r>
      <w:r w:rsidR="00690A85">
        <w:rPr>
          <w:sz w:val="20"/>
          <w:szCs w:val="20"/>
        </w:rPr>
        <w:t>L</w:t>
      </w:r>
      <w:r w:rsidRPr="00690A85" w:rsidR="00690A85">
        <w:rPr>
          <w:sz w:val="20"/>
          <w:szCs w:val="20"/>
        </w:rPr>
        <w:t>oad</w:t>
      </w:r>
      <w:r w:rsidR="00690A85">
        <w:rPr>
          <w:sz w:val="20"/>
          <w:szCs w:val="20"/>
        </w:rPr>
        <w:t xml:space="preserve"> of 60.5%</w:t>
      </w:r>
      <w:r w:rsidRPr="00690A85" w:rsidR="00690A85">
        <w:rPr>
          <w:sz w:val="20"/>
          <w:szCs w:val="20"/>
        </w:rPr>
        <w:t xml:space="preserve"> for benefits based on the ECEC for “State and local gover</w:t>
      </w:r>
      <w:r w:rsidR="00690A85">
        <w:rPr>
          <w:sz w:val="20"/>
          <w:szCs w:val="20"/>
        </w:rPr>
        <w:t>nment</w:t>
      </w:r>
      <w:r w:rsidRPr="00690A85" w:rsidR="00690A85">
        <w:rPr>
          <w:sz w:val="20"/>
          <w:szCs w:val="20"/>
        </w:rPr>
        <w:t>.</w:t>
      </w:r>
      <w:r w:rsidR="00690A85">
        <w:rPr>
          <w:sz w:val="20"/>
          <w:szCs w:val="20"/>
        </w:rPr>
        <w:t>”</w:t>
      </w:r>
      <w:r w:rsidRPr="00690A85" w:rsidR="00690A85">
        <w:rPr>
          <w:sz w:val="20"/>
          <w:szCs w:val="20"/>
        </w:rPr>
        <w:t xml:space="preserve">  The ECEC does not include figures for the Federal Government.</w:t>
      </w:r>
    </w:p>
    <w:p w:rsidR="00690A85" w:rsidP="00E843AF" w:rsidRDefault="00690A85"/>
    <w:p w:rsidR="00E843AF" w:rsidP="00E843AF" w:rsidRDefault="00E843AF">
      <w:r>
        <w:t xml:space="preserve">Total </w:t>
      </w:r>
      <w:r w:rsidR="002828D5">
        <w:t xml:space="preserve">cost </w:t>
      </w:r>
      <w:r>
        <w:t xml:space="preserve">to </w:t>
      </w:r>
      <w:r w:rsidR="002828D5">
        <w:t>government</w:t>
      </w:r>
      <w:r>
        <w:t>:  $</w:t>
      </w:r>
      <w:r w:rsidR="00690A85">
        <w:t>275,566</w:t>
      </w:r>
    </w:p>
    <w:p w:rsidR="00E843AF" w:rsidP="00E843AF" w:rsidRDefault="00E843AF"/>
    <w:p w:rsidR="00E843AF" w:rsidP="00E843AF" w:rsidRDefault="002828D5">
      <w:pPr>
        <w:rPr>
          <w:color w:val="000000"/>
        </w:rPr>
      </w:pPr>
      <w:r>
        <w:rPr>
          <w:color w:val="000000"/>
        </w:rPr>
        <w:t>All costs are recovered from registrants through registration fees, as required by the CSA.  21 U.S.C. 886a.</w:t>
      </w:r>
    </w:p>
    <w:p w:rsidRPr="00A74C21" w:rsidR="002828D5" w:rsidP="00E843AF" w:rsidRDefault="002828D5"/>
    <w:p w:rsidR="00B5399E" w:rsidP="00E843AF" w:rsidRDefault="00E843AF">
      <w:r w:rsidRPr="00A74C21">
        <w:t xml:space="preserve">15. </w:t>
      </w:r>
      <w:r w:rsidR="00DE665F">
        <w:t xml:space="preserve"> </w:t>
      </w:r>
      <w:r w:rsidRPr="00B5399E">
        <w:rPr>
          <w:u w:val="single"/>
        </w:rPr>
        <w:t>Reasons for Change in Burden:</w:t>
      </w:r>
      <w:r w:rsidRPr="00A74C21">
        <w:t xml:space="preserve">  </w:t>
      </w:r>
    </w:p>
    <w:p w:rsidR="00B5399E" w:rsidP="00E843AF" w:rsidRDefault="00B5399E"/>
    <w:p w:rsidR="00E843AF" w:rsidP="00E843AF" w:rsidRDefault="00DF0A76">
      <w:r>
        <w:t xml:space="preserve">The increase in annual responses and annual burden hours reflect adjustments related to normal business activity.  </w:t>
      </w:r>
      <w:r w:rsidR="00CD5EB0">
        <w:t xml:space="preserve">The </w:t>
      </w:r>
      <w:r>
        <w:t>decrease</w:t>
      </w:r>
      <w:r w:rsidR="00CD5EB0">
        <w:t xml:space="preserve"> in the burden dollars is due to </w:t>
      </w:r>
      <w:r>
        <w:t>the elimination of most of shipping cost per paper response</w:t>
      </w:r>
      <w:r w:rsidR="005E4F5C">
        <w:t xml:space="preserve"> as most responses have moved to electronic responses</w:t>
      </w:r>
      <w:r w:rsidR="00CD5EB0">
        <w:t>, and a c</w:t>
      </w:r>
      <w:r w:rsidR="00544570">
        <w:t xml:space="preserve">hange in calculation method.*   </w:t>
      </w:r>
      <w:r w:rsidR="00CD5EB0">
        <w:t>There have been no statutory or regulatory changes affecting this information collection.  The table below summarizes the changes since the last renewal of this information collection.</w:t>
      </w:r>
    </w:p>
    <w:p w:rsidR="00DF0A76" w:rsidP="00E843AF" w:rsidRDefault="00DF0A76"/>
    <w:tbl>
      <w:tblPr>
        <w:tblW w:w="7375" w:type="dxa"/>
        <w:tblInd w:w="113" w:type="dxa"/>
        <w:tblLook w:val="04A0" w:firstRow="1" w:lastRow="0" w:firstColumn="1" w:lastColumn="0" w:noHBand="0" w:noVBand="1"/>
      </w:tblPr>
      <w:tblGrid>
        <w:gridCol w:w="2180"/>
        <w:gridCol w:w="1595"/>
        <w:gridCol w:w="1890"/>
        <w:gridCol w:w="1710"/>
      </w:tblGrid>
      <w:tr w:rsidRPr="00DF0A76" w:rsidR="00DF0A76" w:rsidTr="00DF0A76">
        <w:trPr>
          <w:trHeight w:val="765"/>
        </w:trPr>
        <w:tc>
          <w:tcPr>
            <w:tcW w:w="2180" w:type="dxa"/>
            <w:tcBorders>
              <w:top w:val="single" w:color="auto" w:sz="4" w:space="0"/>
              <w:left w:val="single" w:color="auto" w:sz="4" w:space="0"/>
              <w:bottom w:val="single" w:color="auto" w:sz="4" w:space="0"/>
              <w:right w:val="single" w:color="auto" w:sz="4" w:space="0"/>
            </w:tcBorders>
            <w:shd w:val="clear" w:color="000000" w:fill="B8CCE4"/>
            <w:vAlign w:val="center"/>
            <w:hideMark/>
          </w:tcPr>
          <w:p w:rsidRPr="00DF0A76" w:rsidR="00DF0A76" w:rsidP="00DF0A76" w:rsidRDefault="00DF0A76">
            <w:pPr>
              <w:rPr>
                <w:color w:val="000000"/>
                <w:sz w:val="20"/>
                <w:szCs w:val="20"/>
              </w:rPr>
            </w:pPr>
            <w:r w:rsidRPr="00DF0A76">
              <w:rPr>
                <w:color w:val="000000"/>
                <w:sz w:val="20"/>
                <w:szCs w:val="20"/>
              </w:rPr>
              <w:t> </w:t>
            </w:r>
          </w:p>
        </w:tc>
        <w:tc>
          <w:tcPr>
            <w:tcW w:w="1595" w:type="dxa"/>
            <w:tcBorders>
              <w:top w:val="single" w:color="auto" w:sz="4" w:space="0"/>
              <w:left w:val="nil"/>
              <w:bottom w:val="single" w:color="auto" w:sz="4" w:space="0"/>
              <w:right w:val="single" w:color="auto" w:sz="4" w:space="0"/>
            </w:tcBorders>
            <w:shd w:val="clear" w:color="000000" w:fill="B8CCE4"/>
            <w:vAlign w:val="center"/>
            <w:hideMark/>
          </w:tcPr>
          <w:p w:rsidRPr="00DF0A76" w:rsidR="00DF0A76" w:rsidP="00DF0A76" w:rsidRDefault="00DF0A76">
            <w:pPr>
              <w:jc w:val="center"/>
              <w:rPr>
                <w:b/>
                <w:bCs/>
                <w:color w:val="000000"/>
                <w:sz w:val="20"/>
                <w:szCs w:val="20"/>
              </w:rPr>
            </w:pPr>
            <w:r w:rsidRPr="00DF0A76">
              <w:rPr>
                <w:b/>
                <w:bCs/>
                <w:color w:val="000000"/>
                <w:sz w:val="20"/>
                <w:szCs w:val="20"/>
              </w:rPr>
              <w:t>2017 Approved Burden</w:t>
            </w:r>
          </w:p>
        </w:tc>
        <w:tc>
          <w:tcPr>
            <w:tcW w:w="1890" w:type="dxa"/>
            <w:tcBorders>
              <w:top w:val="single" w:color="auto" w:sz="4" w:space="0"/>
              <w:left w:val="nil"/>
              <w:bottom w:val="single" w:color="auto" w:sz="4" w:space="0"/>
              <w:right w:val="single" w:color="auto" w:sz="4" w:space="0"/>
            </w:tcBorders>
            <w:shd w:val="clear" w:color="000000" w:fill="B8CCE4"/>
            <w:vAlign w:val="center"/>
            <w:hideMark/>
          </w:tcPr>
          <w:p w:rsidRPr="00DF0A76" w:rsidR="00DF0A76" w:rsidP="00DF0A76" w:rsidRDefault="00DF0A76">
            <w:pPr>
              <w:jc w:val="center"/>
              <w:rPr>
                <w:b/>
                <w:bCs/>
                <w:color w:val="000000"/>
                <w:sz w:val="20"/>
                <w:szCs w:val="20"/>
              </w:rPr>
            </w:pPr>
            <w:r w:rsidRPr="00DF0A76">
              <w:rPr>
                <w:b/>
                <w:bCs/>
                <w:color w:val="000000"/>
                <w:sz w:val="20"/>
                <w:szCs w:val="20"/>
              </w:rPr>
              <w:t>2020 Requested Burden</w:t>
            </w:r>
          </w:p>
        </w:tc>
        <w:tc>
          <w:tcPr>
            <w:tcW w:w="1710" w:type="dxa"/>
            <w:tcBorders>
              <w:top w:val="single" w:color="auto" w:sz="4" w:space="0"/>
              <w:left w:val="nil"/>
              <w:bottom w:val="single" w:color="auto" w:sz="4" w:space="0"/>
              <w:right w:val="single" w:color="auto" w:sz="4" w:space="0"/>
            </w:tcBorders>
            <w:shd w:val="clear" w:color="000000" w:fill="B8CCE4"/>
            <w:vAlign w:val="center"/>
            <w:hideMark/>
          </w:tcPr>
          <w:p w:rsidRPr="00DF0A76" w:rsidR="00DF0A76" w:rsidP="00DF0A76" w:rsidRDefault="00DF0A76">
            <w:pPr>
              <w:jc w:val="center"/>
              <w:rPr>
                <w:b/>
                <w:bCs/>
                <w:color w:val="000000"/>
                <w:sz w:val="20"/>
                <w:szCs w:val="20"/>
              </w:rPr>
            </w:pPr>
            <w:r w:rsidRPr="00DF0A76">
              <w:rPr>
                <w:b/>
                <w:bCs/>
                <w:color w:val="000000"/>
                <w:sz w:val="20"/>
                <w:szCs w:val="20"/>
              </w:rPr>
              <w:t>Difference</w:t>
            </w:r>
          </w:p>
        </w:tc>
      </w:tr>
      <w:tr w:rsidRPr="00DF0A76" w:rsidR="00DF0A76" w:rsidTr="00DF0A76">
        <w:trPr>
          <w:trHeight w:val="300"/>
        </w:trPr>
        <w:tc>
          <w:tcPr>
            <w:tcW w:w="2180" w:type="dxa"/>
            <w:tcBorders>
              <w:top w:val="nil"/>
              <w:left w:val="single" w:color="auto" w:sz="4" w:space="0"/>
              <w:bottom w:val="single" w:color="auto" w:sz="4" w:space="0"/>
              <w:right w:val="single" w:color="auto" w:sz="4" w:space="0"/>
            </w:tcBorders>
            <w:shd w:val="clear" w:color="auto" w:fill="auto"/>
            <w:vAlign w:val="center"/>
            <w:hideMark/>
          </w:tcPr>
          <w:p w:rsidRPr="00DF0A76" w:rsidR="00DF0A76" w:rsidP="00DF0A76" w:rsidRDefault="00DF0A76">
            <w:pPr>
              <w:rPr>
                <w:color w:val="000000"/>
                <w:sz w:val="20"/>
                <w:szCs w:val="20"/>
              </w:rPr>
            </w:pPr>
            <w:r w:rsidRPr="00DF0A76">
              <w:rPr>
                <w:color w:val="000000"/>
                <w:sz w:val="20"/>
                <w:szCs w:val="20"/>
              </w:rPr>
              <w:t>Annual responses</w:t>
            </w:r>
          </w:p>
        </w:tc>
        <w:tc>
          <w:tcPr>
            <w:tcW w:w="1595"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1,332 </w:t>
            </w:r>
          </w:p>
        </w:tc>
        <w:tc>
          <w:tcPr>
            <w:tcW w:w="1890"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1,949 </w:t>
            </w:r>
          </w:p>
        </w:tc>
        <w:tc>
          <w:tcPr>
            <w:tcW w:w="1710"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617 </w:t>
            </w:r>
          </w:p>
        </w:tc>
      </w:tr>
      <w:tr w:rsidRPr="00DF0A76" w:rsidR="00DF0A76" w:rsidTr="00DF0A76">
        <w:trPr>
          <w:trHeight w:val="300"/>
        </w:trPr>
        <w:tc>
          <w:tcPr>
            <w:tcW w:w="2180" w:type="dxa"/>
            <w:tcBorders>
              <w:top w:val="nil"/>
              <w:left w:val="single" w:color="auto" w:sz="4" w:space="0"/>
              <w:bottom w:val="single" w:color="auto" w:sz="4" w:space="0"/>
              <w:right w:val="single" w:color="auto" w:sz="4" w:space="0"/>
            </w:tcBorders>
            <w:shd w:val="clear" w:color="auto" w:fill="auto"/>
            <w:vAlign w:val="center"/>
            <w:hideMark/>
          </w:tcPr>
          <w:p w:rsidRPr="00DF0A76" w:rsidR="00DF0A76" w:rsidP="00DF0A76" w:rsidRDefault="00DF0A76">
            <w:pPr>
              <w:rPr>
                <w:color w:val="000000"/>
                <w:sz w:val="20"/>
                <w:szCs w:val="20"/>
              </w:rPr>
            </w:pPr>
            <w:r w:rsidRPr="00DF0A76">
              <w:rPr>
                <w:color w:val="000000"/>
                <w:sz w:val="20"/>
                <w:szCs w:val="20"/>
              </w:rPr>
              <w:t>Annual burden hours</w:t>
            </w:r>
          </w:p>
        </w:tc>
        <w:tc>
          <w:tcPr>
            <w:tcW w:w="1595"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333 </w:t>
            </w:r>
          </w:p>
        </w:tc>
        <w:tc>
          <w:tcPr>
            <w:tcW w:w="1890"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497 </w:t>
            </w:r>
          </w:p>
        </w:tc>
        <w:tc>
          <w:tcPr>
            <w:tcW w:w="1710"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164 </w:t>
            </w:r>
          </w:p>
        </w:tc>
      </w:tr>
      <w:tr w:rsidRPr="00DF0A76" w:rsidR="00DF0A76" w:rsidTr="00DF0A76">
        <w:trPr>
          <w:trHeight w:val="300"/>
        </w:trPr>
        <w:tc>
          <w:tcPr>
            <w:tcW w:w="2180" w:type="dxa"/>
            <w:tcBorders>
              <w:top w:val="nil"/>
              <w:left w:val="single" w:color="auto" w:sz="4" w:space="0"/>
              <w:bottom w:val="single" w:color="auto" w:sz="4" w:space="0"/>
              <w:right w:val="single" w:color="auto" w:sz="4" w:space="0"/>
            </w:tcBorders>
            <w:shd w:val="clear" w:color="auto" w:fill="auto"/>
            <w:vAlign w:val="center"/>
            <w:hideMark/>
          </w:tcPr>
          <w:p w:rsidRPr="00DF0A76" w:rsidR="00DF0A76" w:rsidP="00DF0A76" w:rsidRDefault="00DF0A76">
            <w:pPr>
              <w:rPr>
                <w:color w:val="000000"/>
                <w:sz w:val="20"/>
                <w:szCs w:val="20"/>
              </w:rPr>
            </w:pPr>
            <w:r w:rsidRPr="00DF0A76">
              <w:rPr>
                <w:color w:val="000000"/>
                <w:sz w:val="20"/>
                <w:szCs w:val="20"/>
              </w:rPr>
              <w:t>Annual cost ($)</w:t>
            </w:r>
          </w:p>
        </w:tc>
        <w:tc>
          <w:tcPr>
            <w:tcW w:w="1595"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43,552 </w:t>
            </w:r>
          </w:p>
        </w:tc>
        <w:tc>
          <w:tcPr>
            <w:tcW w:w="1890"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32,236 </w:t>
            </w:r>
          </w:p>
        </w:tc>
        <w:tc>
          <w:tcPr>
            <w:tcW w:w="1710" w:type="dxa"/>
            <w:tcBorders>
              <w:top w:val="nil"/>
              <w:left w:val="nil"/>
              <w:bottom w:val="single" w:color="auto" w:sz="4" w:space="0"/>
              <w:right w:val="single" w:color="auto" w:sz="4" w:space="0"/>
            </w:tcBorders>
            <w:shd w:val="clear" w:color="auto" w:fill="auto"/>
            <w:vAlign w:val="center"/>
            <w:hideMark/>
          </w:tcPr>
          <w:p w:rsidRPr="00DF0A76" w:rsidR="00DF0A76" w:rsidP="00DF0A76" w:rsidRDefault="00DF0A76">
            <w:pPr>
              <w:jc w:val="right"/>
              <w:rPr>
                <w:color w:val="000000"/>
                <w:sz w:val="20"/>
                <w:szCs w:val="20"/>
              </w:rPr>
            </w:pPr>
            <w:r w:rsidRPr="00DF0A76">
              <w:rPr>
                <w:color w:val="000000"/>
                <w:sz w:val="20"/>
                <w:szCs w:val="20"/>
              </w:rPr>
              <w:t xml:space="preserve">             (11,316)</w:t>
            </w:r>
          </w:p>
        </w:tc>
      </w:tr>
    </w:tbl>
    <w:p w:rsidRPr="00CD5EB0" w:rsidR="00CD5EB0" w:rsidP="00E843AF" w:rsidRDefault="005E4F5C">
      <w:pPr>
        <w:rPr>
          <w:sz w:val="20"/>
          <w:szCs w:val="20"/>
        </w:rPr>
      </w:pPr>
      <w:r>
        <w:rPr>
          <w:sz w:val="20"/>
          <w:szCs w:val="20"/>
        </w:rPr>
        <w:t>(*The annual cost ($) in the 2017 approved burden includes the estimated cost burden. The cost burden is excluded in the annual cost for the 2020 requested burden</w:t>
      </w:r>
      <w:r w:rsidRPr="00CD5EB0" w:rsidR="00CD5EB0">
        <w:rPr>
          <w:sz w:val="20"/>
          <w:szCs w:val="20"/>
        </w:rPr>
        <w:t>.  This change in calculation method is employed in this and future information collection requests.)</w:t>
      </w:r>
    </w:p>
    <w:p w:rsidRPr="00A74C21" w:rsidR="00E843AF" w:rsidP="00E843AF" w:rsidRDefault="00E843AF"/>
    <w:p w:rsidR="00B5399E" w:rsidP="00E843AF" w:rsidRDefault="00E843AF">
      <w:r>
        <w:t xml:space="preserve">16. </w:t>
      </w:r>
      <w:r w:rsidR="00DE665F">
        <w:t xml:space="preserve"> </w:t>
      </w:r>
      <w:r w:rsidRPr="00B5399E">
        <w:rPr>
          <w:u w:val="single"/>
        </w:rPr>
        <w:t>Plans for Publication:</w:t>
      </w:r>
      <w:r>
        <w:t xml:space="preserve"> </w:t>
      </w:r>
    </w:p>
    <w:p w:rsidR="00B5399E" w:rsidP="00E843AF" w:rsidRDefault="00B5399E"/>
    <w:p w:rsidR="00E843AF" w:rsidP="00E843AF" w:rsidRDefault="00DD0303">
      <w:r>
        <w:t>DEA</w:t>
      </w:r>
      <w:r w:rsidR="00002022">
        <w:t xml:space="preserve"> will not publish the results of the information collected</w:t>
      </w:r>
      <w:r w:rsidR="00E843AF">
        <w:t xml:space="preserve">.  </w:t>
      </w:r>
    </w:p>
    <w:p w:rsidR="00E843AF" w:rsidP="00E843AF" w:rsidRDefault="00E843AF"/>
    <w:p w:rsidR="00B5399E" w:rsidP="00E843AF" w:rsidRDefault="00E843AF">
      <w:r>
        <w:t xml:space="preserve">17. </w:t>
      </w:r>
      <w:r w:rsidR="00DE665F">
        <w:t xml:space="preserve"> </w:t>
      </w:r>
      <w:r w:rsidRPr="00B5399E">
        <w:rPr>
          <w:u w:val="single"/>
        </w:rPr>
        <w:t>Expiration Date Approval:</w:t>
      </w:r>
      <w:r>
        <w:t xml:space="preserve"> </w:t>
      </w:r>
    </w:p>
    <w:p w:rsidR="00B5399E" w:rsidP="00E843AF" w:rsidRDefault="00B5399E"/>
    <w:p w:rsidR="00E843AF" w:rsidP="00E843AF" w:rsidRDefault="00DD0303">
      <w:r>
        <w:t>DEA</w:t>
      </w:r>
      <w:r w:rsidR="009D48B2">
        <w:t xml:space="preserve"> does not object to OMB displaying the expiration date</w:t>
      </w:r>
      <w:r w:rsidR="00E843AF">
        <w:t>.</w:t>
      </w:r>
    </w:p>
    <w:p w:rsidR="00E843AF" w:rsidP="00E843AF" w:rsidRDefault="00E843AF"/>
    <w:p w:rsidR="00B5399E" w:rsidP="00E843AF" w:rsidRDefault="00E843AF">
      <w:r>
        <w:t xml:space="preserve">18. </w:t>
      </w:r>
      <w:r w:rsidR="00DE665F">
        <w:t xml:space="preserve"> </w:t>
      </w:r>
      <w:r w:rsidRPr="00B5399E">
        <w:rPr>
          <w:u w:val="single"/>
        </w:rPr>
        <w:t>Exceptions to the Certification Statement:</w:t>
      </w:r>
      <w:r>
        <w:t xml:space="preserve"> </w:t>
      </w:r>
    </w:p>
    <w:p w:rsidR="00B5399E" w:rsidP="00E843AF" w:rsidRDefault="00B5399E"/>
    <w:p w:rsidR="00E843AF" w:rsidP="00E843AF" w:rsidRDefault="00DD0303">
      <w:r>
        <w:t>DEA</w:t>
      </w:r>
      <w:r w:rsidR="009D48B2">
        <w:t xml:space="preserve"> is not seeking and exception to the certification statement “Certification for Paperwork Reduction Act Submissions” for this collection of information</w:t>
      </w:r>
      <w:r w:rsidR="00E843AF">
        <w:t>.</w:t>
      </w:r>
    </w:p>
    <w:p w:rsidRPr="002F7479" w:rsidR="00E843AF" w:rsidP="00E843AF" w:rsidRDefault="00E843AF">
      <w:pPr>
        <w:rPr>
          <w:b/>
        </w:rPr>
      </w:pPr>
    </w:p>
    <w:p w:rsidR="00291CA9" w:rsidP="00E843AF" w:rsidRDefault="00291CA9">
      <w:pPr>
        <w:rPr>
          <w:b/>
        </w:rPr>
      </w:pPr>
    </w:p>
    <w:p w:rsidRPr="002F7479" w:rsidR="00E843AF" w:rsidP="00E843AF" w:rsidRDefault="00E843AF">
      <w:pPr>
        <w:rPr>
          <w:b/>
        </w:rPr>
      </w:pPr>
      <w:r w:rsidRPr="002F7479">
        <w:rPr>
          <w:b/>
        </w:rPr>
        <w:t>Part B.  Statistical Methods</w:t>
      </w:r>
    </w:p>
    <w:p w:rsidR="002C5426" w:rsidRDefault="002C5426"/>
    <w:p w:rsidR="009D48B2" w:rsidRDefault="00DD0303">
      <w:r>
        <w:t>DEA</w:t>
      </w:r>
      <w:r w:rsidR="009D48B2">
        <w:t xml:space="preserve"> does not employ statistical methods in this information collection.</w:t>
      </w:r>
    </w:p>
    <w:sectPr w:rsidR="009D48B2" w:rsidSect="001B5A4D">
      <w:footerReference w:type="defaul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7207" w:rsidRDefault="002A7207" w:rsidP="000F2F9A">
      <w:r>
        <w:separator/>
      </w:r>
    </w:p>
  </w:endnote>
  <w:endnote w:type="continuationSeparator" w:id="0">
    <w:p w:rsidR="002A7207" w:rsidRDefault="002A7207" w:rsidP="000F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A4D" w:rsidRDefault="001B5A4D">
    <w:pPr>
      <w:pStyle w:val="Footer"/>
      <w:jc w:val="center"/>
    </w:pPr>
    <w:r>
      <w:fldChar w:fldCharType="begin"/>
    </w:r>
    <w:r>
      <w:instrText xml:space="preserve"> PAGE   \* MERGEFORMAT </w:instrText>
    </w:r>
    <w:r>
      <w:fldChar w:fldCharType="separate"/>
    </w:r>
    <w:r w:rsidR="00654F27">
      <w:rPr>
        <w:noProof/>
      </w:rPr>
      <w:t>2</w:t>
    </w:r>
    <w:r>
      <w:rPr>
        <w:noProof/>
      </w:rPr>
      <w:fldChar w:fldCharType="end"/>
    </w:r>
  </w:p>
  <w:p w:rsidR="000F2F9A" w:rsidRDefault="000F2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B5A4D" w:rsidRDefault="001B5A4D">
    <w:pPr>
      <w:pStyle w:val="Footer"/>
      <w:jc w:val="center"/>
    </w:pPr>
  </w:p>
  <w:p w:rsidR="001B5A4D" w:rsidRDefault="001B5A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7207" w:rsidRDefault="002A7207" w:rsidP="000F2F9A">
      <w:r>
        <w:separator/>
      </w:r>
    </w:p>
  </w:footnote>
  <w:footnote w:type="continuationSeparator" w:id="0">
    <w:p w:rsidR="002A7207" w:rsidRDefault="002A7207" w:rsidP="000F2F9A">
      <w:r>
        <w:continuationSeparator/>
      </w:r>
    </w:p>
  </w:footnote>
  <w:footnote w:id="1">
    <w:p w:rsidR="00204F12" w:rsidRDefault="00204F12" w:rsidP="00204F12">
      <w:pPr>
        <w:pStyle w:val="FootnoteText"/>
      </w:pPr>
      <w:r w:rsidRPr="00D34495">
        <w:rPr>
          <w:rStyle w:val="FootnoteReference"/>
          <w:rFonts w:ascii="Times New Roman" w:hAnsi="Times New Roman"/>
          <w:vertAlign w:val="superscript"/>
        </w:rPr>
        <w:footnoteRef/>
      </w:r>
      <w:r w:rsidRPr="00D34495">
        <w:rPr>
          <w:rFonts w:ascii="Times New Roman" w:hAnsi="Times New Roman"/>
        </w:rPr>
        <w:t xml:space="preserve"> </w:t>
      </w:r>
      <w:r>
        <w:rPr>
          <w:rFonts w:ascii="Times New Roman" w:hAnsi="Times New Roman"/>
        </w:rPr>
        <w:t xml:space="preserve">Median hourly wage, </w:t>
      </w:r>
      <w:r w:rsidRPr="00D34495">
        <w:rPr>
          <w:rFonts w:ascii="Times New Roman" w:hAnsi="Times New Roman"/>
        </w:rPr>
        <w:t>Bureau of Labor Statistics, Occupational and Employment and Wages, May 201</w:t>
      </w:r>
      <w:r w:rsidR="00056068">
        <w:rPr>
          <w:rFonts w:ascii="Times New Roman" w:hAnsi="Times New Roman"/>
        </w:rPr>
        <w:t>9</w:t>
      </w:r>
      <w:r w:rsidRPr="00D34495">
        <w:rPr>
          <w:rFonts w:ascii="Times New Roman" w:hAnsi="Times New Roman"/>
        </w:rPr>
        <w:t xml:space="preserve">, </w:t>
      </w:r>
      <w:r>
        <w:rPr>
          <w:rFonts w:ascii="Times New Roman" w:hAnsi="Times New Roman"/>
        </w:rPr>
        <w:t>11-3071 Transportation, Storage, and Distribution Man</w:t>
      </w:r>
      <w:r w:rsidRPr="00A473DD">
        <w:rPr>
          <w:rFonts w:ascii="Times New Roman" w:hAnsi="Times New Roman"/>
        </w:rPr>
        <w:t>a</w:t>
      </w:r>
      <w:r>
        <w:rPr>
          <w:rFonts w:ascii="Times New Roman" w:hAnsi="Times New Roman"/>
        </w:rPr>
        <w:t xml:space="preserve">gers </w:t>
      </w:r>
      <w:r w:rsidRPr="00D34495">
        <w:rPr>
          <w:rFonts w:ascii="Times New Roman" w:hAnsi="Times New Roman"/>
        </w:rPr>
        <w:t>(</w:t>
      </w:r>
      <w:r w:rsidRPr="000F7D87">
        <w:rPr>
          <w:rFonts w:ascii="Times New Roman" w:hAnsi="Times New Roman"/>
        </w:rPr>
        <w:t>http</w:t>
      </w:r>
      <w:r w:rsidR="00056068">
        <w:rPr>
          <w:rFonts w:ascii="Times New Roman" w:hAnsi="Times New Roman"/>
        </w:rPr>
        <w:t>s</w:t>
      </w:r>
      <w:r w:rsidRPr="000F7D87">
        <w:rPr>
          <w:rFonts w:ascii="Times New Roman" w:hAnsi="Times New Roman"/>
        </w:rPr>
        <w:t>://www.bls.gov/oes/current/oes_nat.htm</w:t>
      </w:r>
      <w:r w:rsidRPr="00D34495">
        <w:rPr>
          <w:rFonts w:ascii="Times New Roman" w:hAnsi="Times New Roman"/>
        </w:rPr>
        <w:t>).</w:t>
      </w:r>
    </w:p>
  </w:footnote>
  <w:footnote w:id="2">
    <w:p w:rsidR="00204F12" w:rsidRDefault="00204F12" w:rsidP="00204F12">
      <w:pPr>
        <w:pStyle w:val="FootnoteText"/>
      </w:pPr>
      <w:r w:rsidRPr="007B3740">
        <w:rPr>
          <w:rStyle w:val="FootnoteReference"/>
          <w:rFonts w:ascii="Times New Roman" w:hAnsi="Times New Roman"/>
          <w:vertAlign w:val="superscript"/>
        </w:rPr>
        <w:footnoteRef/>
      </w:r>
      <w:r w:rsidRPr="007B3740">
        <w:rPr>
          <w:rFonts w:ascii="Times New Roman" w:hAnsi="Times New Roman"/>
        </w:rPr>
        <w:t xml:space="preserve"> Bureau of Labor Statistics, “Employer Costs for Employee Compensation – </w:t>
      </w:r>
      <w:r w:rsidR="00056068">
        <w:rPr>
          <w:rFonts w:ascii="Times New Roman" w:hAnsi="Times New Roman"/>
        </w:rPr>
        <w:t>December</w:t>
      </w:r>
      <w:r w:rsidRPr="007B3740">
        <w:rPr>
          <w:rFonts w:ascii="Times New Roman" w:hAnsi="Times New Roman"/>
        </w:rPr>
        <w:t xml:space="preserve"> 201</w:t>
      </w:r>
      <w:r w:rsidR="00056068">
        <w:rPr>
          <w:rFonts w:ascii="Times New Roman" w:hAnsi="Times New Roman"/>
        </w:rPr>
        <w:t>9</w:t>
      </w:r>
      <w:r w:rsidRPr="007B3740">
        <w:rPr>
          <w:rFonts w:ascii="Times New Roman" w:hAnsi="Times New Roman"/>
        </w:rPr>
        <w:t xml:space="preserve">” </w:t>
      </w:r>
      <w:r>
        <w:rPr>
          <w:rFonts w:ascii="Times New Roman" w:hAnsi="Times New Roman"/>
        </w:rPr>
        <w:t xml:space="preserve">(ECEC) </w:t>
      </w:r>
      <w:r w:rsidRPr="007B3740">
        <w:rPr>
          <w:rFonts w:ascii="Times New Roman" w:hAnsi="Times New Roman"/>
        </w:rPr>
        <w:t xml:space="preserve">reports that </w:t>
      </w:r>
      <w:r>
        <w:rPr>
          <w:rFonts w:ascii="Times New Roman" w:hAnsi="Times New Roman"/>
        </w:rPr>
        <w:t xml:space="preserve">average </w:t>
      </w:r>
      <w:r w:rsidRPr="007B3740">
        <w:rPr>
          <w:rFonts w:ascii="Times New Roman" w:hAnsi="Times New Roman"/>
        </w:rPr>
        <w:t>benef</w:t>
      </w:r>
      <w:r w:rsidR="00056068">
        <w:rPr>
          <w:rFonts w:ascii="Times New Roman" w:hAnsi="Times New Roman"/>
        </w:rPr>
        <w:t>its for private industry is 29.9</w:t>
      </w:r>
      <w:r w:rsidRPr="007B3740">
        <w:rPr>
          <w:rFonts w:ascii="Times New Roman" w:hAnsi="Times New Roman"/>
        </w:rPr>
        <w:t xml:space="preserve">% </w:t>
      </w:r>
      <w:r w:rsidR="00056068">
        <w:rPr>
          <w:rFonts w:ascii="Times New Roman" w:hAnsi="Times New Roman"/>
        </w:rPr>
        <w:t>of total compensation.  The 29.9</w:t>
      </w:r>
      <w:r w:rsidRPr="007B3740">
        <w:rPr>
          <w:rFonts w:ascii="Times New Roman" w:hAnsi="Times New Roman"/>
        </w:rPr>
        <w:t>% of total com</w:t>
      </w:r>
      <w:r>
        <w:rPr>
          <w:rFonts w:ascii="Times New Roman" w:hAnsi="Times New Roman"/>
        </w:rPr>
        <w:t>p</w:t>
      </w:r>
      <w:r w:rsidR="00056068">
        <w:rPr>
          <w:rFonts w:ascii="Times New Roman" w:hAnsi="Times New Roman"/>
        </w:rPr>
        <w:t>ensation equates to 42.7% (29.9% / 70.1</w:t>
      </w:r>
      <w:r w:rsidRPr="007B3740">
        <w:rPr>
          <w:rFonts w:ascii="Times New Roman" w:hAnsi="Times New Roman"/>
        </w:rPr>
        <w:t>%) load on wages and salaries.</w:t>
      </w:r>
    </w:p>
  </w:footnote>
  <w:footnote w:id="3">
    <w:p w:rsidR="00204F12" w:rsidRDefault="00204F12" w:rsidP="00204F12">
      <w:pPr>
        <w:pStyle w:val="FootnoteText"/>
      </w:pPr>
      <w:r w:rsidRPr="007B3740">
        <w:rPr>
          <w:rStyle w:val="FootnoteReference"/>
          <w:rFonts w:ascii="Times New Roman" w:hAnsi="Times New Roman"/>
          <w:vertAlign w:val="superscript"/>
        </w:rPr>
        <w:footnoteRef/>
      </w:r>
      <w:r w:rsidR="00056068">
        <w:rPr>
          <w:rFonts w:ascii="Times New Roman" w:hAnsi="Times New Roman"/>
        </w:rPr>
        <w:t xml:space="preserve"> $45.46 x (1 + 0.427) = $64.87</w:t>
      </w:r>
      <w:r>
        <w:rPr>
          <w:rFonts w:ascii="Times New Roman" w:hAnsi="Times New Roman"/>
        </w:rPr>
        <w:t>.</w:t>
      </w:r>
    </w:p>
  </w:footnote>
  <w:footnote w:id="4">
    <w:p w:rsidR="00204F12" w:rsidRDefault="00204F12" w:rsidP="00204F12">
      <w:pPr>
        <w:pStyle w:val="FootnoteText"/>
      </w:pPr>
      <w:r w:rsidRPr="00807206">
        <w:rPr>
          <w:rStyle w:val="FootnoteReference"/>
          <w:vertAlign w:val="superscript"/>
        </w:rPr>
        <w:footnoteRef/>
      </w:r>
      <w:r w:rsidRPr="00807206">
        <w:rPr>
          <w:rFonts w:ascii="Times New Roman" w:hAnsi="Times New Roman"/>
        </w:rPr>
        <w:t xml:space="preserve"> 2 x $9.75 = $19.50.  $9.75 is based on a major express carrier’s national 3-day flat rate for envelopes.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4413B"/>
    <w:multiLevelType w:val="hybridMultilevel"/>
    <w:tmpl w:val="1F181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A47F1"/>
    <w:multiLevelType w:val="hybridMultilevel"/>
    <w:tmpl w:val="1F181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AF"/>
    <w:rsid w:val="00002022"/>
    <w:rsid w:val="00034C01"/>
    <w:rsid w:val="00043759"/>
    <w:rsid w:val="00056068"/>
    <w:rsid w:val="000868C6"/>
    <w:rsid w:val="000A07DF"/>
    <w:rsid w:val="000A17F5"/>
    <w:rsid w:val="000A3E6A"/>
    <w:rsid w:val="000B1D5E"/>
    <w:rsid w:val="000B4B68"/>
    <w:rsid w:val="000C4FF4"/>
    <w:rsid w:val="000E1F0C"/>
    <w:rsid w:val="000F2F9A"/>
    <w:rsid w:val="00107CBA"/>
    <w:rsid w:val="001230E1"/>
    <w:rsid w:val="00133D07"/>
    <w:rsid w:val="001A795A"/>
    <w:rsid w:val="001B5A4D"/>
    <w:rsid w:val="001C1689"/>
    <w:rsid w:val="001D4B5B"/>
    <w:rsid w:val="00203255"/>
    <w:rsid w:val="00204F12"/>
    <w:rsid w:val="002246D8"/>
    <w:rsid w:val="002553A2"/>
    <w:rsid w:val="002828C9"/>
    <w:rsid w:val="002828D5"/>
    <w:rsid w:val="00291CA9"/>
    <w:rsid w:val="00293678"/>
    <w:rsid w:val="002A7207"/>
    <w:rsid w:val="002B28CD"/>
    <w:rsid w:val="002C5426"/>
    <w:rsid w:val="002C58EC"/>
    <w:rsid w:val="002E698F"/>
    <w:rsid w:val="00314AD1"/>
    <w:rsid w:val="00327558"/>
    <w:rsid w:val="00342D42"/>
    <w:rsid w:val="00412010"/>
    <w:rsid w:val="00452452"/>
    <w:rsid w:val="0047127F"/>
    <w:rsid w:val="00486DCD"/>
    <w:rsid w:val="00492C92"/>
    <w:rsid w:val="004A0065"/>
    <w:rsid w:val="004A3A6F"/>
    <w:rsid w:val="004B1859"/>
    <w:rsid w:val="004C2CFA"/>
    <w:rsid w:val="004D4526"/>
    <w:rsid w:val="004F4983"/>
    <w:rsid w:val="00504E1E"/>
    <w:rsid w:val="00527A98"/>
    <w:rsid w:val="00537A29"/>
    <w:rsid w:val="00537D06"/>
    <w:rsid w:val="00544570"/>
    <w:rsid w:val="005455ED"/>
    <w:rsid w:val="005522BA"/>
    <w:rsid w:val="00552CA6"/>
    <w:rsid w:val="005B1BFF"/>
    <w:rsid w:val="005E4F5C"/>
    <w:rsid w:val="005F4F83"/>
    <w:rsid w:val="00603830"/>
    <w:rsid w:val="00623D23"/>
    <w:rsid w:val="00635CC4"/>
    <w:rsid w:val="00644AE7"/>
    <w:rsid w:val="00654F27"/>
    <w:rsid w:val="00672032"/>
    <w:rsid w:val="00676D8A"/>
    <w:rsid w:val="00690A85"/>
    <w:rsid w:val="006C7808"/>
    <w:rsid w:val="006D223D"/>
    <w:rsid w:val="00707867"/>
    <w:rsid w:val="00733253"/>
    <w:rsid w:val="00755189"/>
    <w:rsid w:val="00757C4D"/>
    <w:rsid w:val="00763B5E"/>
    <w:rsid w:val="00767A1F"/>
    <w:rsid w:val="00793B22"/>
    <w:rsid w:val="007A1864"/>
    <w:rsid w:val="007C0474"/>
    <w:rsid w:val="007C34D3"/>
    <w:rsid w:val="007D26E5"/>
    <w:rsid w:val="007E7D23"/>
    <w:rsid w:val="007F6B8D"/>
    <w:rsid w:val="00807206"/>
    <w:rsid w:val="00817BE5"/>
    <w:rsid w:val="0085043E"/>
    <w:rsid w:val="008521FF"/>
    <w:rsid w:val="008548DD"/>
    <w:rsid w:val="00882FEA"/>
    <w:rsid w:val="008A4008"/>
    <w:rsid w:val="008C430A"/>
    <w:rsid w:val="008F1779"/>
    <w:rsid w:val="00946D42"/>
    <w:rsid w:val="0099407D"/>
    <w:rsid w:val="009A0CEC"/>
    <w:rsid w:val="009D48B2"/>
    <w:rsid w:val="00A20D48"/>
    <w:rsid w:val="00A465EB"/>
    <w:rsid w:val="00A5060D"/>
    <w:rsid w:val="00A5391A"/>
    <w:rsid w:val="00A569C7"/>
    <w:rsid w:val="00A61397"/>
    <w:rsid w:val="00A643A4"/>
    <w:rsid w:val="00AA572D"/>
    <w:rsid w:val="00B26599"/>
    <w:rsid w:val="00B50BC3"/>
    <w:rsid w:val="00B5230A"/>
    <w:rsid w:val="00B5399E"/>
    <w:rsid w:val="00B643D7"/>
    <w:rsid w:val="00B83341"/>
    <w:rsid w:val="00BB3604"/>
    <w:rsid w:val="00BD7625"/>
    <w:rsid w:val="00BF19C8"/>
    <w:rsid w:val="00C33ADC"/>
    <w:rsid w:val="00C40DDC"/>
    <w:rsid w:val="00C94C0D"/>
    <w:rsid w:val="00CA7244"/>
    <w:rsid w:val="00CB71E9"/>
    <w:rsid w:val="00CB7756"/>
    <w:rsid w:val="00CC54B4"/>
    <w:rsid w:val="00CD55CE"/>
    <w:rsid w:val="00CD5EB0"/>
    <w:rsid w:val="00CF576C"/>
    <w:rsid w:val="00D21F75"/>
    <w:rsid w:val="00D259DA"/>
    <w:rsid w:val="00D54BA0"/>
    <w:rsid w:val="00D67249"/>
    <w:rsid w:val="00D700C1"/>
    <w:rsid w:val="00D70564"/>
    <w:rsid w:val="00D70F63"/>
    <w:rsid w:val="00D90F62"/>
    <w:rsid w:val="00DC21E3"/>
    <w:rsid w:val="00DD0303"/>
    <w:rsid w:val="00DE665F"/>
    <w:rsid w:val="00DF0A76"/>
    <w:rsid w:val="00E4582A"/>
    <w:rsid w:val="00E843AF"/>
    <w:rsid w:val="00F00644"/>
    <w:rsid w:val="00F01D8E"/>
    <w:rsid w:val="00F16D16"/>
    <w:rsid w:val="00F45827"/>
    <w:rsid w:val="00F541A1"/>
    <w:rsid w:val="00F6418A"/>
    <w:rsid w:val="00F70335"/>
    <w:rsid w:val="00F9492B"/>
    <w:rsid w:val="00F95DF1"/>
    <w:rsid w:val="00FA6756"/>
    <w:rsid w:val="00FC6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F90F31-E077-EA4A-AD0C-CDC88CF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3A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843AF"/>
    <w:pPr>
      <w:spacing w:before="100" w:beforeAutospacing="1" w:after="100" w:afterAutospacing="1"/>
    </w:pPr>
    <w:rPr>
      <w:rFonts w:eastAsia="SimSun"/>
      <w:color w:val="000000"/>
      <w:lang w:eastAsia="zh-CN"/>
    </w:rPr>
  </w:style>
  <w:style w:type="paragraph" w:styleId="PlainText">
    <w:name w:val="Plain Text"/>
    <w:basedOn w:val="Normal"/>
    <w:link w:val="PlainTextChar"/>
    <w:uiPriority w:val="99"/>
    <w:unhideWhenUsed/>
    <w:rsid w:val="00E843AF"/>
    <w:rPr>
      <w:rFonts w:ascii="Consolas" w:eastAsia="Calibri" w:hAnsi="Consolas"/>
      <w:sz w:val="21"/>
      <w:szCs w:val="21"/>
    </w:rPr>
  </w:style>
  <w:style w:type="character" w:customStyle="1" w:styleId="PlainTextChar">
    <w:name w:val="Plain Text Char"/>
    <w:link w:val="PlainText"/>
    <w:uiPriority w:val="99"/>
    <w:rsid w:val="00E843AF"/>
    <w:rPr>
      <w:rFonts w:ascii="Consolas" w:eastAsia="Calibri" w:hAnsi="Consolas" w:cs="Times New Roman"/>
      <w:sz w:val="21"/>
      <w:szCs w:val="21"/>
    </w:rPr>
  </w:style>
  <w:style w:type="paragraph" w:styleId="Header">
    <w:name w:val="header"/>
    <w:basedOn w:val="Normal"/>
    <w:link w:val="HeaderChar"/>
    <w:uiPriority w:val="99"/>
    <w:unhideWhenUsed/>
    <w:rsid w:val="000F2F9A"/>
    <w:pPr>
      <w:tabs>
        <w:tab w:val="center" w:pos="4680"/>
        <w:tab w:val="right" w:pos="9360"/>
      </w:tabs>
    </w:pPr>
  </w:style>
  <w:style w:type="character" w:customStyle="1" w:styleId="HeaderChar">
    <w:name w:val="Header Char"/>
    <w:link w:val="Header"/>
    <w:uiPriority w:val="99"/>
    <w:rsid w:val="000F2F9A"/>
    <w:rPr>
      <w:rFonts w:ascii="Times New Roman" w:eastAsia="Times New Roman" w:hAnsi="Times New Roman"/>
      <w:sz w:val="24"/>
      <w:szCs w:val="24"/>
    </w:rPr>
  </w:style>
  <w:style w:type="paragraph" w:styleId="Footer">
    <w:name w:val="footer"/>
    <w:basedOn w:val="Normal"/>
    <w:link w:val="FooterChar"/>
    <w:uiPriority w:val="99"/>
    <w:unhideWhenUsed/>
    <w:rsid w:val="000F2F9A"/>
    <w:pPr>
      <w:tabs>
        <w:tab w:val="center" w:pos="4680"/>
        <w:tab w:val="right" w:pos="9360"/>
      </w:tabs>
    </w:pPr>
  </w:style>
  <w:style w:type="character" w:customStyle="1" w:styleId="FooterChar">
    <w:name w:val="Footer Char"/>
    <w:link w:val="Footer"/>
    <w:uiPriority w:val="99"/>
    <w:rsid w:val="000F2F9A"/>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455ED"/>
    <w:rPr>
      <w:rFonts w:ascii="Tahoma" w:hAnsi="Tahoma" w:cs="Tahoma"/>
      <w:sz w:val="16"/>
      <w:szCs w:val="16"/>
    </w:rPr>
  </w:style>
  <w:style w:type="character" w:customStyle="1" w:styleId="BalloonTextChar">
    <w:name w:val="Balloon Text Char"/>
    <w:link w:val="BalloonText"/>
    <w:uiPriority w:val="99"/>
    <w:semiHidden/>
    <w:rsid w:val="005455ED"/>
    <w:rPr>
      <w:rFonts w:ascii="Tahoma" w:eastAsia="Times New Roman" w:hAnsi="Tahoma" w:cs="Tahoma"/>
      <w:sz w:val="16"/>
      <w:szCs w:val="16"/>
    </w:rPr>
  </w:style>
  <w:style w:type="character" w:styleId="Hyperlink">
    <w:name w:val="Hyperlink"/>
    <w:uiPriority w:val="99"/>
    <w:unhideWhenUsed/>
    <w:rsid w:val="0085043E"/>
    <w:rPr>
      <w:color w:val="0000FF"/>
      <w:u w:val="single"/>
    </w:rPr>
  </w:style>
  <w:style w:type="character" w:styleId="CommentReference">
    <w:name w:val="annotation reference"/>
    <w:uiPriority w:val="99"/>
    <w:semiHidden/>
    <w:unhideWhenUsed/>
    <w:rsid w:val="004A3A6F"/>
    <w:rPr>
      <w:sz w:val="16"/>
      <w:szCs w:val="16"/>
    </w:rPr>
  </w:style>
  <w:style w:type="paragraph" w:styleId="CommentText">
    <w:name w:val="annotation text"/>
    <w:basedOn w:val="Normal"/>
    <w:link w:val="CommentTextChar"/>
    <w:uiPriority w:val="99"/>
    <w:semiHidden/>
    <w:unhideWhenUsed/>
    <w:rsid w:val="004A3A6F"/>
    <w:rPr>
      <w:sz w:val="20"/>
      <w:szCs w:val="20"/>
    </w:rPr>
  </w:style>
  <w:style w:type="character" w:customStyle="1" w:styleId="CommentTextChar">
    <w:name w:val="Comment Text Char"/>
    <w:link w:val="CommentText"/>
    <w:uiPriority w:val="99"/>
    <w:semiHidden/>
    <w:rsid w:val="004A3A6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A3A6F"/>
    <w:rPr>
      <w:b/>
      <w:bCs/>
    </w:rPr>
  </w:style>
  <w:style w:type="character" w:customStyle="1" w:styleId="CommentSubjectChar">
    <w:name w:val="Comment Subject Char"/>
    <w:link w:val="CommentSubject"/>
    <w:uiPriority w:val="99"/>
    <w:semiHidden/>
    <w:rsid w:val="004A3A6F"/>
    <w:rPr>
      <w:rFonts w:ascii="Times New Roman" w:eastAsia="Times New Roman" w:hAnsi="Times New Roman"/>
      <w:b/>
      <w:bCs/>
    </w:rPr>
  </w:style>
  <w:style w:type="paragraph" w:styleId="FootnoteText">
    <w:name w:val="footnote text"/>
    <w:basedOn w:val="Normal"/>
    <w:link w:val="FootnoteTextChar"/>
    <w:uiPriority w:val="99"/>
    <w:semiHidden/>
    <w:unhideWhenUsed/>
    <w:rsid w:val="00204F12"/>
    <w:rPr>
      <w:rFonts w:ascii="Cambria" w:hAnsi="Cambria"/>
      <w:sz w:val="20"/>
      <w:szCs w:val="20"/>
    </w:rPr>
  </w:style>
  <w:style w:type="character" w:customStyle="1" w:styleId="FootnoteTextChar">
    <w:name w:val="Footnote Text Char"/>
    <w:link w:val="FootnoteText"/>
    <w:uiPriority w:val="99"/>
    <w:semiHidden/>
    <w:rsid w:val="00204F12"/>
    <w:rPr>
      <w:rFonts w:ascii="Cambria" w:eastAsia="Times New Roman" w:hAnsi="Cambria"/>
    </w:rPr>
  </w:style>
  <w:style w:type="character" w:styleId="FootnoteReference">
    <w:name w:val="footnote reference"/>
    <w:uiPriority w:val="99"/>
    <w:semiHidden/>
    <w:unhideWhenUsed/>
    <w:rsid w:val="00204F1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48148">
      <w:bodyDiv w:val="1"/>
      <w:marLeft w:val="0"/>
      <w:marRight w:val="0"/>
      <w:marTop w:val="0"/>
      <w:marBottom w:val="0"/>
      <w:divBdr>
        <w:top w:val="none" w:sz="0" w:space="0" w:color="auto"/>
        <w:left w:val="none" w:sz="0" w:space="0" w:color="auto"/>
        <w:bottom w:val="none" w:sz="0" w:space="0" w:color="auto"/>
        <w:right w:val="none" w:sz="0" w:space="0" w:color="auto"/>
      </w:divBdr>
    </w:div>
    <w:div w:id="390613403">
      <w:bodyDiv w:val="1"/>
      <w:marLeft w:val="0"/>
      <w:marRight w:val="0"/>
      <w:marTop w:val="0"/>
      <w:marBottom w:val="0"/>
      <w:divBdr>
        <w:top w:val="none" w:sz="0" w:space="0" w:color="auto"/>
        <w:left w:val="none" w:sz="0" w:space="0" w:color="auto"/>
        <w:bottom w:val="none" w:sz="0" w:space="0" w:color="auto"/>
        <w:right w:val="none" w:sz="0" w:space="0" w:color="auto"/>
      </w:divBdr>
    </w:div>
    <w:div w:id="419523588">
      <w:bodyDiv w:val="1"/>
      <w:marLeft w:val="0"/>
      <w:marRight w:val="0"/>
      <w:marTop w:val="0"/>
      <w:marBottom w:val="0"/>
      <w:divBdr>
        <w:top w:val="none" w:sz="0" w:space="0" w:color="auto"/>
        <w:left w:val="none" w:sz="0" w:space="0" w:color="auto"/>
        <w:bottom w:val="none" w:sz="0" w:space="0" w:color="auto"/>
        <w:right w:val="none" w:sz="0" w:space="0" w:color="auto"/>
      </w:divBdr>
    </w:div>
    <w:div w:id="867719385">
      <w:bodyDiv w:val="1"/>
      <w:marLeft w:val="0"/>
      <w:marRight w:val="0"/>
      <w:marTop w:val="0"/>
      <w:marBottom w:val="0"/>
      <w:divBdr>
        <w:top w:val="none" w:sz="0" w:space="0" w:color="auto"/>
        <w:left w:val="none" w:sz="0" w:space="0" w:color="auto"/>
        <w:bottom w:val="none" w:sz="0" w:space="0" w:color="auto"/>
        <w:right w:val="none" w:sz="0" w:space="0" w:color="auto"/>
      </w:divBdr>
    </w:div>
    <w:div w:id="1164928143">
      <w:bodyDiv w:val="1"/>
      <w:marLeft w:val="0"/>
      <w:marRight w:val="0"/>
      <w:marTop w:val="0"/>
      <w:marBottom w:val="0"/>
      <w:divBdr>
        <w:top w:val="none" w:sz="0" w:space="0" w:color="auto"/>
        <w:left w:val="none" w:sz="0" w:space="0" w:color="auto"/>
        <w:bottom w:val="none" w:sz="0" w:space="0" w:color="auto"/>
        <w:right w:val="none" w:sz="0" w:space="0" w:color="auto"/>
      </w:divBdr>
    </w:div>
    <w:div w:id="1333223077">
      <w:bodyDiv w:val="1"/>
      <w:marLeft w:val="0"/>
      <w:marRight w:val="0"/>
      <w:marTop w:val="0"/>
      <w:marBottom w:val="0"/>
      <w:divBdr>
        <w:top w:val="none" w:sz="0" w:space="0" w:color="auto"/>
        <w:left w:val="none" w:sz="0" w:space="0" w:color="auto"/>
        <w:bottom w:val="none" w:sz="0" w:space="0" w:color="auto"/>
        <w:right w:val="none" w:sz="0" w:space="0" w:color="auto"/>
      </w:divBdr>
    </w:div>
    <w:div w:id="1370103278">
      <w:bodyDiv w:val="1"/>
      <w:marLeft w:val="0"/>
      <w:marRight w:val="0"/>
      <w:marTop w:val="0"/>
      <w:marBottom w:val="0"/>
      <w:divBdr>
        <w:top w:val="none" w:sz="0" w:space="0" w:color="auto"/>
        <w:left w:val="none" w:sz="0" w:space="0" w:color="auto"/>
        <w:bottom w:val="none" w:sz="0" w:space="0" w:color="auto"/>
        <w:right w:val="none" w:sz="0" w:space="0" w:color="auto"/>
      </w:divBdr>
    </w:div>
    <w:div w:id="1385256368">
      <w:bodyDiv w:val="1"/>
      <w:marLeft w:val="0"/>
      <w:marRight w:val="0"/>
      <w:marTop w:val="0"/>
      <w:marBottom w:val="0"/>
      <w:divBdr>
        <w:top w:val="none" w:sz="0" w:space="0" w:color="auto"/>
        <w:left w:val="none" w:sz="0" w:space="0" w:color="auto"/>
        <w:bottom w:val="none" w:sz="0" w:space="0" w:color="auto"/>
        <w:right w:val="none" w:sz="0" w:space="0" w:color="auto"/>
      </w:divBdr>
    </w:div>
    <w:div w:id="1498618746">
      <w:bodyDiv w:val="1"/>
      <w:marLeft w:val="0"/>
      <w:marRight w:val="0"/>
      <w:marTop w:val="0"/>
      <w:marBottom w:val="0"/>
      <w:divBdr>
        <w:top w:val="none" w:sz="0" w:space="0" w:color="auto"/>
        <w:left w:val="none" w:sz="0" w:space="0" w:color="auto"/>
        <w:bottom w:val="none" w:sz="0" w:space="0" w:color="auto"/>
        <w:right w:val="none" w:sz="0" w:space="0" w:color="auto"/>
      </w:divBdr>
    </w:div>
    <w:div w:id="1950703234">
      <w:bodyDiv w:val="1"/>
      <w:marLeft w:val="0"/>
      <w:marRight w:val="0"/>
      <w:marTop w:val="0"/>
      <w:marBottom w:val="0"/>
      <w:divBdr>
        <w:top w:val="none" w:sz="0" w:space="0" w:color="auto"/>
        <w:left w:val="none" w:sz="0" w:space="0" w:color="auto"/>
        <w:bottom w:val="none" w:sz="0" w:space="0" w:color="auto"/>
        <w:right w:val="none" w:sz="0" w:space="0" w:color="auto"/>
      </w:divBdr>
    </w:div>
    <w:div w:id="1966735824">
      <w:bodyDiv w:val="1"/>
      <w:marLeft w:val="0"/>
      <w:marRight w:val="0"/>
      <w:marTop w:val="0"/>
      <w:marBottom w:val="0"/>
      <w:divBdr>
        <w:top w:val="none" w:sz="0" w:space="0" w:color="auto"/>
        <w:left w:val="none" w:sz="0" w:space="0" w:color="auto"/>
        <w:bottom w:val="none" w:sz="0" w:space="0" w:color="auto"/>
        <w:right w:val="none" w:sz="0" w:space="0" w:color="auto"/>
      </w:divBdr>
    </w:div>
    <w:div w:id="2128547026">
      <w:bodyDiv w:val="1"/>
      <w:marLeft w:val="0"/>
      <w:marRight w:val="0"/>
      <w:marTop w:val="0"/>
      <w:marBottom w:val="0"/>
      <w:divBdr>
        <w:top w:val="none" w:sz="0" w:space="0" w:color="auto"/>
        <w:left w:val="none" w:sz="0" w:space="0" w:color="auto"/>
        <w:bottom w:val="none" w:sz="0" w:space="0" w:color="auto"/>
        <w:right w:val="none" w:sz="0" w:space="0" w:color="auto"/>
      </w:divBdr>
    </w:div>
    <w:div w:id="2146655452">
      <w:bodyDiv w:val="1"/>
      <w:marLeft w:val="0"/>
      <w:marRight w:val="0"/>
      <w:marTop w:val="0"/>
      <w:marBottom w:val="0"/>
      <w:divBdr>
        <w:top w:val="none" w:sz="0" w:space="0" w:color="auto"/>
        <w:left w:val="none" w:sz="0" w:space="0" w:color="auto"/>
        <w:bottom w:val="none" w:sz="0" w:space="0" w:color="auto"/>
        <w:right w:val="none" w:sz="0" w:space="0" w:color="auto"/>
      </w:divBdr>
    </w:div>
    <w:div w:id="214712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eadiversion.usdoj.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eadiversion.usdoj.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EB2412-7F02-4CB8-9F6C-A665D3EF570F}">
  <ds:schemaRefs>
    <ds:schemaRef ds:uri="http://schemas.openxmlformats.org/officeDocument/2006/bibliography"/>
  </ds:schemaRefs>
</ds:datastoreItem>
</file>

<file path=customXml/itemProps2.xml><?xml version="1.0" encoding="utf-8"?>
<ds:datastoreItem xmlns:ds="http://schemas.openxmlformats.org/officeDocument/2006/customXml" ds:itemID="{37396166-1609-454A-91AF-03BECEADB2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035E1-5774-4CCB-81E0-D4B0858CA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12452</CharactersWithSpaces>
  <SharedDoc>false</SharedDoc>
  <HLinks>
    <vt:vector size="12" baseType="variant">
      <vt:variant>
        <vt:i4>6422584</vt:i4>
      </vt:variant>
      <vt:variant>
        <vt:i4>3</vt:i4>
      </vt:variant>
      <vt:variant>
        <vt:i4>0</vt:i4>
      </vt:variant>
      <vt:variant>
        <vt:i4>5</vt:i4>
      </vt:variant>
      <vt:variant>
        <vt:lpwstr>http://www.deadiversion.usdoj.gov/</vt:lpwstr>
      </vt:variant>
      <vt:variant>
        <vt:lpwstr/>
      </vt:variant>
      <vt:variant>
        <vt:i4>6422584</vt:i4>
      </vt:variant>
      <vt:variant>
        <vt:i4>0</vt:i4>
      </vt:variant>
      <vt:variant>
        <vt:i4>0</vt:i4>
      </vt:variant>
      <vt:variant>
        <vt:i4>5</vt:i4>
      </vt:variant>
      <vt:variant>
        <vt:lpwstr>http://www.deadiversion.usdoj.gov/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Fink, Cristina R</dc:creator>
  <cp:keywords/>
  <cp:lastModifiedBy>Microsoft Office User</cp:lastModifiedBy>
  <cp:revision>2</cp:revision>
  <cp:lastPrinted>2016-07-11T15:17:00Z</cp:lastPrinted>
  <dcterms:created xsi:type="dcterms:W3CDTF">2020-08-17T18:37:00Z</dcterms:created>
  <dcterms:modified xsi:type="dcterms:W3CDTF">2020-08-17T18:37:00Z</dcterms:modified>
</cp:coreProperties>
</file>