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871CA6" w:rsidR="00116CD5" w:rsidP="00046571" w:rsidRDefault="00046571" w14:paraId="2523DF68" w14:textId="0B062417">
      <w:pPr>
        <w:widowControl/>
        <w:jc w:val="center"/>
        <w:outlineLvl w:val="0"/>
        <w:rPr>
          <w:rFonts w:ascii="Times New Roman" w:hAnsi="Times New Roman"/>
          <w:b/>
          <w:bCs/>
        </w:rPr>
      </w:pPr>
      <w:r>
        <w:rPr>
          <w:rFonts w:ascii="Times New Roman" w:hAnsi="Times New Roman"/>
          <w:b/>
          <w:bCs/>
        </w:rPr>
        <w:t xml:space="preserve"> </w:t>
      </w:r>
      <w:r w:rsidRPr="00046571">
        <w:rPr>
          <w:rFonts w:ascii="Times New Roman" w:hAnsi="Times New Roman"/>
          <w:b/>
          <w:bCs/>
          <w:caps/>
        </w:rPr>
        <w:t>Disaster Unemployment Assistance Activities Report</w:t>
      </w:r>
    </w:p>
    <w:p w:rsidR="00046571" w:rsidP="00116CD5" w:rsidRDefault="00046571" w14:paraId="02C13D60" w14:textId="77777777">
      <w:pPr>
        <w:widowControl/>
        <w:jc w:val="center"/>
        <w:rPr>
          <w:rFonts w:ascii="Times New Roman" w:hAnsi="Times New Roman"/>
          <w:b/>
          <w:bCs/>
        </w:rPr>
      </w:pPr>
    </w:p>
    <w:p w:rsidRPr="00871CA6" w:rsidR="00690F56" w:rsidP="00116CD5" w:rsidRDefault="00116CD5" w14:paraId="6C3E63C8" w14:textId="6FBF73EC">
      <w:pPr>
        <w:widowControl/>
        <w:jc w:val="center"/>
        <w:rPr>
          <w:rFonts w:ascii="Times New Roman" w:hAnsi="Times New Roman"/>
          <w:b/>
          <w:bCs/>
        </w:rPr>
      </w:pPr>
      <w:r w:rsidRPr="00871CA6">
        <w:rPr>
          <w:rFonts w:ascii="Times New Roman" w:hAnsi="Times New Roman"/>
          <w:b/>
          <w:bCs/>
        </w:rPr>
        <w:t>OMB</w:t>
      </w:r>
      <w:r w:rsidR="00046571">
        <w:rPr>
          <w:rFonts w:ascii="Times New Roman" w:hAnsi="Times New Roman"/>
          <w:b/>
          <w:bCs/>
        </w:rPr>
        <w:t xml:space="preserve"> </w:t>
      </w:r>
      <w:r w:rsidRPr="00871CA6" w:rsidR="00690F56">
        <w:rPr>
          <w:rFonts w:ascii="Times New Roman" w:hAnsi="Times New Roman"/>
          <w:b/>
          <w:bCs/>
        </w:rPr>
        <w:t xml:space="preserve">CONTROL NO. </w:t>
      </w:r>
      <w:r w:rsidR="00046571">
        <w:rPr>
          <w:rFonts w:ascii="Times New Roman" w:hAnsi="Times New Roman"/>
          <w:b/>
          <w:bCs/>
        </w:rPr>
        <w:t>1205-0051</w:t>
      </w:r>
    </w:p>
    <w:p w:rsidRPr="00D53DEB" w:rsidR="00530EBD" w:rsidP="00116CD5" w:rsidRDefault="00530EBD" w14:paraId="3086E90B" w14:textId="77777777">
      <w:pPr>
        <w:widowControl/>
        <w:jc w:val="center"/>
        <w:rPr>
          <w:rFonts w:ascii="Times New Roman" w:hAnsi="Times New Roman"/>
          <w:bCs/>
        </w:rPr>
      </w:pPr>
    </w:p>
    <w:p w:rsidRPr="00046571" w:rsidR="00046571" w:rsidP="00046571" w:rsidRDefault="00530EBD" w14:paraId="25AB3E12" w14:textId="22577B84">
      <w:pPr>
        <w:widowControl/>
        <w:jc w:val="both"/>
        <w:outlineLvl w:val="0"/>
        <w:rPr>
          <w:rFonts w:ascii="Times New Roman" w:hAnsi="Times New Roman"/>
        </w:rPr>
      </w:pPr>
      <w:r w:rsidRPr="00D53DEB">
        <w:rPr>
          <w:rFonts w:ascii="Times New Roman" w:hAnsi="Times New Roman"/>
          <w:bCs/>
        </w:rPr>
        <w:t xml:space="preserve">This </w:t>
      </w:r>
      <w:r w:rsidR="00C74BC7">
        <w:rPr>
          <w:rFonts w:ascii="Times New Roman" w:hAnsi="Times New Roman"/>
          <w:bCs/>
        </w:rPr>
        <w:t>information collection request (</w:t>
      </w:r>
      <w:r w:rsidRPr="00D53DEB">
        <w:rPr>
          <w:rFonts w:ascii="Times New Roman" w:hAnsi="Times New Roman"/>
          <w:bCs/>
        </w:rPr>
        <w:t>ICR</w:t>
      </w:r>
      <w:r w:rsidR="00C74BC7">
        <w:rPr>
          <w:rFonts w:ascii="Times New Roman" w:hAnsi="Times New Roman"/>
          <w:bCs/>
        </w:rPr>
        <w:t>)</w:t>
      </w:r>
      <w:r w:rsidRPr="00D53DEB">
        <w:rPr>
          <w:rFonts w:ascii="Times New Roman" w:hAnsi="Times New Roman"/>
          <w:bCs/>
        </w:rPr>
        <w:t xml:space="preserve"> seeks </w:t>
      </w:r>
      <w:r w:rsidR="00046571">
        <w:rPr>
          <w:rFonts w:ascii="Times New Roman" w:hAnsi="Times New Roman"/>
        </w:rPr>
        <w:t>an extension without</w:t>
      </w:r>
      <w:r w:rsidRPr="00046571" w:rsidR="00046571">
        <w:rPr>
          <w:rFonts w:ascii="Times New Roman" w:hAnsi="Times New Roman"/>
        </w:rPr>
        <w:t xml:space="preserve"> change</w:t>
      </w:r>
      <w:r w:rsidR="00C74BC7">
        <w:rPr>
          <w:rFonts w:ascii="Times New Roman" w:hAnsi="Times New Roman"/>
        </w:rPr>
        <w:t xml:space="preserve"> to 1205-0051,</w:t>
      </w:r>
      <w:r w:rsidRPr="00046571" w:rsidR="00046571">
        <w:rPr>
          <w:rFonts w:ascii="Times New Roman" w:hAnsi="Times New Roman"/>
        </w:rPr>
        <w:t xml:space="preserve"> Disaster Unemployment Assistance Activities Report (DUA).  </w:t>
      </w:r>
    </w:p>
    <w:p w:rsidRPr="00D53DEB" w:rsidR="00530EBD" w:rsidP="00D53DEB" w:rsidRDefault="00530EBD" w14:paraId="42A7085D" w14:textId="77777777">
      <w:pPr>
        <w:widowControl/>
        <w:rPr>
          <w:rFonts w:ascii="Times New Roman" w:hAnsi="Times New Roman"/>
          <w:bCs/>
        </w:rPr>
      </w:pP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w:t>
      </w:r>
      <w:bookmarkStart w:name="_GoBack" w:id="0"/>
      <w:bookmarkEnd w:id="0"/>
      <w:r w:rsidRPr="00D53DEB">
        <w:rPr>
          <w:rFonts w:ascii="Times New Roman" w:hAnsi="Times New Roman"/>
          <w:b/>
          <w:bCs/>
        </w:rPr>
        <w:t>ke the collection of information necessary.  Identify any legal or administrative requirements that necessitate the collection.  Attach a copy of the appropriate section of each statute and regulation mandating or authorizing the collection of information.</w:t>
      </w:r>
    </w:p>
    <w:p w:rsidRPr="00A47DA7" w:rsidR="00690F56" w:rsidP="00690F56" w:rsidRDefault="00690F56" w14:paraId="38CEE6AD" w14:textId="77777777">
      <w:pPr>
        <w:widowControl/>
        <w:rPr>
          <w:rFonts w:ascii="Times New Roman" w:hAnsi="Times New Roman"/>
        </w:rPr>
      </w:pPr>
    </w:p>
    <w:p w:rsidRPr="00046571" w:rsidR="00046571" w:rsidP="00046571" w:rsidRDefault="00046571" w14:paraId="4E53C77B" w14:textId="77777777">
      <w:pPr>
        <w:widowControl/>
        <w:rPr>
          <w:rFonts w:ascii="Times New Roman" w:hAnsi="Times New Roman"/>
        </w:rPr>
      </w:pPr>
      <w:r w:rsidRPr="00046571">
        <w:rPr>
          <w:rFonts w:ascii="Times New Roman" w:hAnsi="Times New Roman"/>
        </w:rPr>
        <w:t>Public Law 100-707 (Sections 410 and 423 of The Robert T. Stafford Disaster Relief and Emergency Assistance Act [the Stafford Act]) provides for assistance to eligible individuals who are unemployed due to a major disaster.  State Workforce Agencies through individual agreements with the Secretary of Labor (Secretary), act as agents of the Federal government in providing DUA to eligible applicants who are unemployed as a direct result of a major disaster.</w:t>
      </w:r>
    </w:p>
    <w:p w:rsidRPr="00046571" w:rsidR="00046571" w:rsidP="00046571" w:rsidRDefault="00046571" w14:paraId="7F189A56" w14:textId="77777777">
      <w:pPr>
        <w:widowControl/>
        <w:rPr>
          <w:rFonts w:ascii="Times New Roman" w:hAnsi="Times New Roman"/>
        </w:rPr>
      </w:pPr>
    </w:p>
    <w:p w:rsidRPr="00046571" w:rsidR="00046571" w:rsidP="00046571" w:rsidRDefault="00046571" w14:paraId="6DE5E195" w14:textId="77777777">
      <w:pPr>
        <w:widowControl/>
        <w:rPr>
          <w:rFonts w:ascii="Times New Roman" w:hAnsi="Times New Roman"/>
        </w:rPr>
      </w:pPr>
      <w:r w:rsidRPr="00046571">
        <w:rPr>
          <w:rFonts w:ascii="Times New Roman" w:hAnsi="Times New Roman"/>
        </w:rPr>
        <w:t xml:space="preserve">The ETA 902 is a monthly report submitted by the states on DUA program activities once a disaster is declared by the President.  </w:t>
      </w:r>
    </w:p>
    <w:p w:rsidRPr="00046571" w:rsidR="00046571" w:rsidP="00046571" w:rsidRDefault="00046571" w14:paraId="270BF336" w14:textId="77777777">
      <w:pPr>
        <w:widowControl/>
        <w:rPr>
          <w:rFonts w:ascii="Times New Roman" w:hAnsi="Times New Roman"/>
        </w:rPr>
      </w:pPr>
    </w:p>
    <w:p w:rsidRPr="00046571" w:rsidR="00046571" w:rsidP="00046571" w:rsidRDefault="00046571" w14:paraId="107E2F9E" w14:textId="77777777">
      <w:pPr>
        <w:widowControl/>
        <w:rPr>
          <w:rFonts w:ascii="Times New Roman" w:hAnsi="Times New Roman"/>
        </w:rPr>
      </w:pPr>
      <w:r w:rsidRPr="00046571">
        <w:rPr>
          <w:rFonts w:ascii="Times New Roman" w:hAnsi="Times New Roman"/>
        </w:rPr>
        <w:t>ETA 902 is prescribed by the Secretary under 20 CFR 625.8 and 625.9 and is necessary for oversight of the DUA program.  Collection is authorized under Section 303(a)(6) of the SSA.</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046571" w:rsidP="00046571" w:rsidRDefault="00046571" w14:paraId="600658DF" w14:textId="77777777">
      <w:pPr>
        <w:widowControl/>
        <w:rPr>
          <w:rFonts w:ascii="Times New Roman" w:hAnsi="Times New Roman"/>
        </w:rPr>
      </w:pPr>
    </w:p>
    <w:p w:rsidRPr="00046571" w:rsidR="00046571" w:rsidP="00046571" w:rsidRDefault="00046571" w14:paraId="086D11D1" w14:textId="1C255A4F">
      <w:pPr>
        <w:widowControl/>
        <w:rPr>
          <w:rFonts w:ascii="Times New Roman" w:hAnsi="Times New Roman"/>
        </w:rPr>
      </w:pPr>
      <w:r w:rsidRPr="00046571">
        <w:rPr>
          <w:rFonts w:ascii="Times New Roman" w:hAnsi="Times New Roman"/>
        </w:rPr>
        <w:t>The ETA 902 report includes information on the number of claimants who filed for DUA, including self employed individuals; number of claimants denied DUA benefits; the amount of DUA benefits paid; the number of appeals filed; and the number of overpayments issued.  The report is also used to monitor state agency expenditures and to support requests for additional administrative funds from the Federal Emergency Management Agency (FEMA) within the Department of Homeland Security (DHS), which provides the funds for administration and benefits for the DUA program.  A copy of this report is attached.</w:t>
      </w:r>
    </w:p>
    <w:p w:rsidRPr="00046571" w:rsidR="00046571" w:rsidP="00046571" w:rsidRDefault="00046571" w14:paraId="5B512AC2" w14:textId="77777777">
      <w:pPr>
        <w:widowControl/>
        <w:rPr>
          <w:rFonts w:ascii="Times New Roman" w:hAnsi="Times New Roman"/>
        </w:rPr>
      </w:pPr>
    </w:p>
    <w:p w:rsidRPr="00046571" w:rsidR="00046571" w:rsidP="00046571" w:rsidRDefault="00046571" w14:paraId="53E23848" w14:textId="77777777">
      <w:pPr>
        <w:widowControl/>
        <w:rPr>
          <w:rFonts w:ascii="Times New Roman" w:hAnsi="Times New Roman"/>
        </w:rPr>
      </w:pPr>
      <w:r w:rsidRPr="00046571">
        <w:rPr>
          <w:rFonts w:ascii="Times New Roman" w:hAnsi="Times New Roman"/>
        </w:rPr>
        <w:t>The data allows ETA Office of Unemployment Insurance (OUI) to do comparative analyses of states’ performance and to monitor the impact of the disaster and properly manage the resulting financial accountability.</w:t>
      </w:r>
    </w:p>
    <w:p w:rsidRPr="00046571" w:rsidR="00046571" w:rsidP="00046571" w:rsidRDefault="00046571" w14:paraId="2895F9E6" w14:textId="77777777">
      <w:pPr>
        <w:widowControl/>
        <w:rPr>
          <w:rFonts w:ascii="Times New Roman" w:hAnsi="Times New Roman"/>
        </w:rPr>
      </w:pPr>
    </w:p>
    <w:p w:rsidRPr="00046571" w:rsidR="00046571" w:rsidP="00046571" w:rsidRDefault="00046571" w14:paraId="1CA0BAEF" w14:textId="7736A31D">
      <w:pPr>
        <w:widowControl/>
        <w:rPr>
          <w:rFonts w:ascii="Times New Roman" w:hAnsi="Times New Roman"/>
        </w:rPr>
      </w:pPr>
      <w:r w:rsidRPr="00046571">
        <w:rPr>
          <w:rFonts w:ascii="Times New Roman" w:hAnsi="Times New Roman"/>
        </w:rPr>
        <w:lastRenderedPageBreak/>
        <w:t xml:space="preserve">If these data were not available, OUI would not have sufficient information to monitor and assess states’ performance in administering the DUA program and related activities. Any attempts to identify risks to the program or resolve potential problems would be greatly hindered.  </w:t>
      </w:r>
    </w:p>
    <w:p w:rsidRPr="00046571" w:rsidR="00690F56" w:rsidP="00690F56" w:rsidRDefault="00690F56" w14:paraId="6EBE63D5" w14:textId="77777777">
      <w:pPr>
        <w:widowControl/>
        <w:rPr>
          <w:rFonts w:ascii="Times New Roman" w:hAnsi="Times New Roman"/>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04006A6E" w14:textId="04A6ADA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046571" w:rsidP="00690F56" w:rsidRDefault="00046571" w14:paraId="096005D5" w14:textId="4AB1A8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46571">
        <w:rPr>
          <w:rFonts w:ascii="Times New Roman" w:hAnsi="Times New Roman"/>
        </w:rPr>
        <w:t>The states are continually improving program operations and their information handling technologies and, where feasible, new methods are used for taking applications, and collecting and transmitting the data for these reports.  For example, many states have implemented automated remote claims-taking systems, and automated recordkeeping.  Reduction of burden through increased automation is always encouraged and supported.  As with most unemployment insurance (UI) reports, the ETA 902 report is part of an electronic reporting system through which state UI agencies enter the data on a monthly basis and transmit the data to the ETA National Office.</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046571" w14:paraId="0C27A844" w14:textId="101E942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46571">
        <w:rPr>
          <w:rFonts w:ascii="Times New Roman" w:hAnsi="Times New Roman"/>
        </w:rPr>
        <w:t>FEMA/DHS has delegated authority to DOL for the DUA program.  Neither FEMA nor any other agency collects information prescribed on the ETA 902 report.</w:t>
      </w:r>
      <w:r w:rsidRPr="00046571">
        <w:rPr>
          <w:rFonts w:ascii="Times New Roman" w:hAnsi="Times New Roman"/>
          <w:bCs/>
        </w:rPr>
        <w:t xml:space="preserve">  </w:t>
      </w:r>
      <w:r w:rsidRPr="00046571">
        <w:rPr>
          <w:rFonts w:ascii="Times New Roman" w:hAnsi="Times New Roman"/>
        </w:rPr>
        <w:t>The data requested are not available from any other source.  Therefore, there is no duplication in the information being requested.</w:t>
      </w:r>
    </w:p>
    <w:p w:rsidRPr="00A973AA" w:rsidR="00046571" w:rsidP="00690F56" w:rsidRDefault="00046571" w14:paraId="0025CF2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046571" w14:paraId="5D56A05A" w14:textId="3210CD2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46571">
        <w:rPr>
          <w:rFonts w:ascii="Times New Roman" w:hAnsi="Times New Roman"/>
        </w:rPr>
        <w:t>The information collection does not involve small businesses or other small entities.</w:t>
      </w:r>
    </w:p>
    <w:p w:rsidRPr="00A973AA" w:rsidR="00046571" w:rsidP="00690F56" w:rsidRDefault="00046571" w14:paraId="499C29C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F528885" w14:textId="4E96FEB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976070" w:rsidP="00690F56" w:rsidRDefault="00976070" w14:paraId="11B799B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76070" w:rsidR="00976070" w:rsidP="00976070" w:rsidRDefault="00976070" w14:paraId="494D771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6070">
        <w:rPr>
          <w:rFonts w:ascii="Times New Roman" w:hAnsi="Times New Roman"/>
        </w:rPr>
        <w:t>The ETA 902 report is due monthly when a disaster makes submittal of the report necessary. If these data were collected less frequently, ETA’s ability to carry out its oversight responsibilities, document disaster impacts, and monitor program effectiveness would be greatly weakened. The funding needs projections would be more unpredictable.  Effective accounting of DUA payments and other DUA expenditures would also be hindered. Claimants must certify for DUA on a weekly or bi-weekly basis, which coincides with the frequency required for regular unemployment insurance benefits.  The monthly ETA 902 data collection allows the DOL to assess the overall impact and effectiveness of the DUA program(s) administered by the states.</w:t>
      </w:r>
    </w:p>
    <w:p w:rsidRPr="00A47DA7" w:rsidR="00690F56" w:rsidP="00690F56" w:rsidRDefault="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976070" w:rsidP="00642220" w:rsidRDefault="00976070" w14:paraId="0841681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42220" w:rsidP="00642220" w:rsidRDefault="00976070" w14:paraId="3DCDBA31" w14:textId="10A924D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976070">
        <w:t>There are no special circumstances</w:t>
      </w:r>
      <w:r w:rsidR="00700377">
        <w:t xml:space="preserve"> or record keeping requirements</w:t>
      </w:r>
      <w:r w:rsidRPr="00976070">
        <w:t>.</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lastRenderedPageBreak/>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0BCAF9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76070" w:rsidR="00976070" w:rsidP="00976070" w:rsidRDefault="00976070" w14:paraId="6755B9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76070">
        <w:rPr>
          <w:rFonts w:ascii="Times New Roman" w:hAnsi="Times New Roman"/>
          <w:bCs/>
        </w:rPr>
        <w:t>In accordance with the Paperwork Reduction Act of 1995, the public was allowed 60 days to comment through the Federal Register Notice posted on April 7, 2020(85 FR 19505).  No public comments were received.</w:t>
      </w:r>
    </w:p>
    <w:p w:rsidRPr="00A47DA7" w:rsidR="0060114B" w:rsidP="0060114B" w:rsidRDefault="0060114B" w14:paraId="425C0DB9" w14:textId="6B9FDA35">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1A3531" w:rsidP="00690F56" w:rsidRDefault="001A3531" w14:paraId="3B5F63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1A3531" w14:paraId="3EC59954" w14:textId="7E486B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A7A60">
        <w:rPr>
          <w:rFonts w:ascii="Times New Roman" w:hAnsi="Times New Roman"/>
        </w:rPr>
        <w:t>No payment or gift is provided to respondents, other than remuneration of contractors or grantees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1A3531" w14:paraId="61F2ECC1" w14:textId="3A7AB4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632">
        <w:rPr>
          <w:rFonts w:ascii="Times New Roman" w:hAnsi="Times New Roman"/>
        </w:rPr>
        <w:t>T</w:t>
      </w:r>
      <w:r w:rsidRPr="00646632">
        <w:rPr>
          <w:rFonts w:ascii="Times New Roman" w:hAnsi="Times New Roman"/>
          <w:bCs/>
        </w:rPr>
        <w:t xml:space="preserve">he ETA 902 </w:t>
      </w:r>
      <w:r w:rsidRPr="005C2743">
        <w:rPr>
          <w:rFonts w:ascii="Times New Roman" w:hAnsi="Times New Roman"/>
        </w:rPr>
        <w:t>report do</w:t>
      </w:r>
      <w:r w:rsidRPr="001A7A60">
        <w:rPr>
          <w:rFonts w:ascii="Times New Roman" w:hAnsi="Times New Roman"/>
        </w:rPr>
        <w:t>es not identify individuals receiving benefits by name or social security number.  Respondents have no expectation of confidentiality</w:t>
      </w:r>
    </w:p>
    <w:p w:rsidRPr="00871CA6" w:rsidR="001A3531" w:rsidP="00690F56" w:rsidRDefault="001A3531" w14:paraId="106F72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1A3531" w14:paraId="27A67CE6" w14:textId="6A7DEB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632">
        <w:rPr>
          <w:rFonts w:ascii="Times New Roman" w:hAnsi="Times New Roman"/>
        </w:rPr>
        <w:t>There are no items to be completed on the forms which involve sensitive information of a private nature</w:t>
      </w:r>
      <w:r w:rsidRPr="005C2743">
        <w:rPr>
          <w:rFonts w:ascii="Times New Roman" w:hAnsi="Times New Roman"/>
        </w:rPr>
        <w:t xml:space="preserve"> or otherwise.</w:t>
      </w:r>
    </w:p>
    <w:p w:rsidRPr="00871CA6" w:rsidR="001A3531" w:rsidP="00690F56" w:rsidRDefault="001A3531" w14:paraId="7BB93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lastRenderedPageBreak/>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1A3531" w:rsidP="001A3531" w:rsidRDefault="001A3531" w14:paraId="5E5A7FBA" w14:textId="77777777">
      <w:pPr>
        <w:widowControl/>
        <w:ind w:left="720"/>
        <w:jc w:val="both"/>
        <w:rPr>
          <w:rFonts w:ascii="Times New Roman" w:hAnsi="Times New Roman"/>
          <w:u w:val="single"/>
        </w:rPr>
      </w:pPr>
    </w:p>
    <w:p w:rsidRPr="001A3531" w:rsidR="001A3531" w:rsidP="001A3531" w:rsidRDefault="001A3531" w14:paraId="259A7D41" w14:textId="0C16B640">
      <w:pPr>
        <w:widowControl/>
        <w:ind w:left="720"/>
        <w:jc w:val="both"/>
        <w:rPr>
          <w:rFonts w:ascii="Times New Roman" w:hAnsi="Times New Roman"/>
          <w:u w:val="single"/>
        </w:rPr>
      </w:pPr>
      <w:r w:rsidRPr="001A3531">
        <w:rPr>
          <w:rFonts w:ascii="Times New Roman" w:hAnsi="Times New Roman"/>
          <w:u w:val="single"/>
        </w:rPr>
        <w:t>Time Estimate</w:t>
      </w:r>
    </w:p>
    <w:p w:rsidRPr="001A3531" w:rsidR="001A3531" w:rsidP="001A3531" w:rsidRDefault="001A3531" w14:paraId="32C3E5C7" w14:textId="77777777">
      <w:pPr>
        <w:widowControl/>
        <w:ind w:left="720"/>
        <w:jc w:val="both"/>
        <w:rPr>
          <w:rFonts w:ascii="Times New Roman" w:hAnsi="Times New Roman"/>
          <w:u w:val="single"/>
        </w:rPr>
      </w:pPr>
    </w:p>
    <w:p w:rsidRPr="001A3531" w:rsidR="001A3531" w:rsidP="001A3531" w:rsidRDefault="001A3531" w14:paraId="2052E1DB" w14:textId="77777777">
      <w:pPr>
        <w:widowControl/>
        <w:tabs>
          <w:tab w:val="left" w:pos="-1440"/>
        </w:tabs>
        <w:ind w:left="720" w:hanging="720"/>
        <w:jc w:val="both"/>
        <w:rPr>
          <w:rFonts w:ascii="Times New Roman" w:hAnsi="Times New Roman"/>
        </w:rPr>
      </w:pPr>
      <w:r w:rsidRPr="001A3531">
        <w:rPr>
          <w:rFonts w:ascii="Times New Roman" w:hAnsi="Times New Roman"/>
        </w:rPr>
        <w:tab/>
        <w:t>On average, there are approximately 50 presidentially declared disasters each year nationwide occurring in about 30 states and about 30 of these disasters include DUA.  Approximately 6 ETA 902 monthly activity reports are submitted per disaster that includes DUA.  Estimated average response time for a single report is one (1) hour, and the agency assumes for purposes of this estimate that the average disaster lasts six months from the date of declaration.  There is also a final report submitted for each disaster activity, which averages one (1) hour for preparation of the report.  Specific breakout of burden hours is as following:</w:t>
      </w:r>
    </w:p>
    <w:p w:rsidRPr="001A3531" w:rsidR="001A3531" w:rsidP="001A3531" w:rsidRDefault="001A3531" w14:paraId="26AF4AE1" w14:textId="77777777">
      <w:pPr>
        <w:widowControl/>
        <w:tabs>
          <w:tab w:val="left" w:pos="-1440"/>
        </w:tabs>
        <w:ind w:left="720" w:hanging="720"/>
        <w:jc w:val="both"/>
        <w:rPr>
          <w:rFonts w:ascii="Times New Roman" w:hAnsi="Times New Roman"/>
        </w:rPr>
      </w:pPr>
    </w:p>
    <w:p w:rsidRPr="001A3531" w:rsidR="001A3531" w:rsidP="001A3531" w:rsidRDefault="001A3531" w14:paraId="2DD855AF" w14:textId="77777777">
      <w:pPr>
        <w:widowControl/>
        <w:numPr>
          <w:ilvl w:val="1"/>
          <w:numId w:val="14"/>
        </w:numPr>
        <w:rPr>
          <w:rFonts w:ascii="Times New Roman" w:hAnsi="Times New Roman"/>
          <w:i/>
          <w:color w:val="000000"/>
        </w:rPr>
      </w:pPr>
      <w:r w:rsidRPr="001A3531">
        <w:rPr>
          <w:rFonts w:ascii="Times New Roman" w:hAnsi="Times New Roman"/>
          <w:i/>
          <w:color w:val="000000"/>
        </w:rPr>
        <w:t>Reporting of 902:  30 state disaster declarations x 6 reports per year x 1 hour p/report = 180 hours annually.</w:t>
      </w:r>
    </w:p>
    <w:p w:rsidRPr="001A3531" w:rsidR="001A3531" w:rsidP="001A3531" w:rsidRDefault="001A3531" w14:paraId="5F5BDA09" w14:textId="77777777">
      <w:pPr>
        <w:widowControl/>
        <w:numPr>
          <w:ilvl w:val="1"/>
          <w:numId w:val="14"/>
        </w:numPr>
        <w:rPr>
          <w:rFonts w:ascii="Times New Roman" w:hAnsi="Times New Roman"/>
          <w:i/>
          <w:color w:val="000000"/>
        </w:rPr>
      </w:pPr>
      <w:r w:rsidRPr="001A3531">
        <w:rPr>
          <w:rFonts w:ascii="Times New Roman" w:hAnsi="Times New Roman"/>
          <w:i/>
          <w:color w:val="000000"/>
        </w:rPr>
        <w:t>Reporting of Final Report: 30 state disaster declarations x 1 Final Reports per year x 1 hour per report = 30 hours annually.</w:t>
      </w:r>
    </w:p>
    <w:p w:rsidRPr="001A3531" w:rsidR="001A3531" w:rsidP="001A3531" w:rsidRDefault="001A3531" w14:paraId="61C885B3" w14:textId="77777777">
      <w:pPr>
        <w:widowControl/>
        <w:rPr>
          <w:rFonts w:ascii="Times New Roman" w:hAnsi="Times New Roman"/>
          <w:i/>
          <w:color w:val="000000"/>
        </w:rPr>
      </w:pPr>
    </w:p>
    <w:p w:rsidRPr="001A3531" w:rsidR="001A3531" w:rsidP="001A3531" w:rsidRDefault="001A3531" w14:paraId="64BE1C96" w14:textId="77777777">
      <w:pPr>
        <w:widowControl/>
        <w:rPr>
          <w:rFonts w:ascii="Times New Roman" w:hAnsi="Times New Roman"/>
          <w:i/>
          <w:color w:val="000000"/>
        </w:rPr>
      </w:pPr>
      <w:r w:rsidRPr="001A3531">
        <w:rPr>
          <w:rFonts w:ascii="Times New Roman" w:hAnsi="Times New Roman"/>
          <w:i/>
          <w:color w:val="000000"/>
        </w:rPr>
        <w:tab/>
        <w:t>Total annual estimated burden hours = 210</w:t>
      </w:r>
    </w:p>
    <w:p w:rsidRPr="001A3531" w:rsidR="001A3531" w:rsidP="001A3531" w:rsidRDefault="001A3531" w14:paraId="6C5B8A4B" w14:textId="77777777">
      <w:pPr>
        <w:widowControl/>
        <w:rPr>
          <w:rFonts w:ascii="Times New Roman" w:hAnsi="Times New Roman"/>
          <w:i/>
          <w:color w:val="000000"/>
        </w:rPr>
      </w:pPr>
    </w:p>
    <w:p w:rsidRPr="001A3531" w:rsidR="001A3531" w:rsidP="001A3531" w:rsidRDefault="001A3531" w14:paraId="0ED55D5B" w14:textId="77777777">
      <w:pPr>
        <w:widowControl/>
        <w:ind w:left="720"/>
        <w:jc w:val="both"/>
        <w:rPr>
          <w:rFonts w:ascii="Times New Roman" w:hAnsi="Times New Roman"/>
        </w:rPr>
      </w:pPr>
      <w:r w:rsidRPr="001A3531">
        <w:rPr>
          <w:rFonts w:ascii="Times New Roman" w:hAnsi="Times New Roman"/>
          <w:u w:val="single"/>
        </w:rPr>
        <w:t>Respondent Time Value Estimate</w:t>
      </w:r>
    </w:p>
    <w:p w:rsidRPr="001A3531" w:rsidR="001A3531" w:rsidP="001A3531" w:rsidRDefault="001A3531" w14:paraId="2A6B1426" w14:textId="77777777">
      <w:pPr>
        <w:widowControl/>
        <w:tabs>
          <w:tab w:val="left" w:pos="-1440"/>
        </w:tabs>
        <w:ind w:left="720"/>
        <w:jc w:val="both"/>
        <w:rPr>
          <w:rFonts w:ascii="Times New Roman" w:hAnsi="Times New Roman"/>
        </w:rPr>
      </w:pPr>
    </w:p>
    <w:p w:rsidRPr="001A3531" w:rsidR="001A3531" w:rsidP="001A3531" w:rsidRDefault="001A3531" w14:paraId="68F0B019" w14:textId="77777777">
      <w:pPr>
        <w:widowControl/>
        <w:numPr>
          <w:ilvl w:val="0"/>
          <w:numId w:val="15"/>
        </w:numPr>
        <w:ind w:left="1224" w:hanging="144"/>
        <w:jc w:val="both"/>
        <w:rPr>
          <w:rFonts w:ascii="Times New Roman" w:hAnsi="Times New Roman"/>
          <w:i/>
        </w:rPr>
      </w:pPr>
      <w:r w:rsidRPr="001A3531">
        <w:rPr>
          <w:rFonts w:ascii="Times New Roman" w:hAnsi="Times New Roman"/>
          <w:i/>
        </w:rPr>
        <w:t>210 x $50.62 per hour = $ 10,630.20 (annualized cost).</w:t>
      </w:r>
    </w:p>
    <w:p w:rsidRPr="001A3531" w:rsidR="001A3531" w:rsidP="001A3531" w:rsidRDefault="001A3531" w14:paraId="74A0950E" w14:textId="77777777">
      <w:pPr>
        <w:widowControl/>
        <w:ind w:left="720"/>
        <w:jc w:val="both"/>
        <w:rPr>
          <w:rFonts w:ascii="Times New Roman" w:hAnsi="Times New Roman"/>
          <w:i/>
        </w:rPr>
      </w:pPr>
    </w:p>
    <w:p w:rsidRPr="001A3531" w:rsidR="001A3531" w:rsidP="001A3531" w:rsidRDefault="001A3531" w14:paraId="4F834274" w14:textId="77777777">
      <w:pPr>
        <w:widowControl/>
        <w:tabs>
          <w:tab w:val="left" w:pos="-1440"/>
        </w:tabs>
        <w:ind w:left="720"/>
        <w:jc w:val="both"/>
        <w:rPr>
          <w:rFonts w:ascii="Times New Roman" w:hAnsi="Times New Roman"/>
        </w:rPr>
      </w:pPr>
      <w:r w:rsidRPr="001A3531">
        <w:rPr>
          <w:rFonts w:ascii="Times New Roman" w:hAnsi="Times New Roman"/>
        </w:rPr>
        <w:t>Total annual time burden: ETA 902 (210 hours) Total annual cost burden: ETA 902 (</w:t>
      </w:r>
      <w:r w:rsidRPr="001A3531">
        <w:rPr>
          <w:rFonts w:ascii="Times New Roman" w:hAnsi="Times New Roman"/>
          <w:i/>
        </w:rPr>
        <w:t>$10,630.20)</w:t>
      </w:r>
      <w:r w:rsidRPr="001A3531">
        <w:rPr>
          <w:rFonts w:ascii="Times New Roman" w:hAnsi="Times New Roman"/>
        </w:rPr>
        <w:t>.</w:t>
      </w:r>
    </w:p>
    <w:p w:rsidRPr="001A3531"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329"/>
        <w:gridCol w:w="1183"/>
        <w:gridCol w:w="1062"/>
        <w:gridCol w:w="962"/>
        <w:gridCol w:w="905"/>
        <w:gridCol w:w="1206"/>
      </w:tblGrid>
      <w:tr w:rsidRPr="00E60FB0" w:rsidR="006626FF" w:rsidTr="00276CC8" w14:paraId="2DF04903" w14:textId="77777777">
        <w:trPr>
          <w:trHeight w:val="890"/>
        </w:trPr>
        <w:tc>
          <w:tcPr>
            <w:tcW w:w="143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1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276CC8" w14:paraId="09169E28" w14:textId="77777777">
        <w:trPr>
          <w:trHeight w:val="548"/>
        </w:trPr>
        <w:tc>
          <w:tcPr>
            <w:tcW w:w="1435"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1A3531" w14:paraId="762DB321" w14:textId="73FEE8D3">
            <w:pPr>
              <w:spacing w:line="276" w:lineRule="auto"/>
              <w:rPr>
                <w:rFonts w:ascii="Times New Roman" w:hAnsi="Times New Roman"/>
                <w:sz w:val="22"/>
                <w:szCs w:val="22"/>
              </w:rPr>
            </w:pPr>
            <w:r>
              <w:rPr>
                <w:rFonts w:ascii="Times New Roman" w:hAnsi="Times New Roman"/>
                <w:sz w:val="22"/>
                <w:szCs w:val="22"/>
              </w:rPr>
              <w:t>Regular</w:t>
            </w:r>
            <w:r w:rsidR="00276CC8">
              <w:rPr>
                <w:rFonts w:ascii="Times New Roman" w:hAnsi="Times New Roman"/>
                <w:sz w:val="22"/>
                <w:szCs w:val="22"/>
              </w:rPr>
              <w:t xml:space="preserve"> </w:t>
            </w:r>
          </w:p>
        </w:tc>
        <w:tc>
          <w:tcPr>
            <w:tcW w:w="1415"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1A3531" w14:paraId="523DFE49" w14:textId="1F7E3C01">
            <w:pPr>
              <w:jc w:val="center"/>
              <w:rPr>
                <w:rFonts w:ascii="Times New Roman" w:hAnsi="Times New Roman"/>
                <w:sz w:val="22"/>
                <w:szCs w:val="22"/>
              </w:rPr>
            </w:pPr>
            <w:r w:rsidRPr="00276CC8">
              <w:rPr>
                <w:rFonts w:ascii="Times New Roman" w:hAnsi="Times New Roman"/>
                <w:sz w:val="22"/>
                <w:szCs w:val="22"/>
              </w:rPr>
              <w:t>30</w:t>
            </w:r>
          </w:p>
          <w:p w:rsidRPr="00276CC8" w:rsidR="006626FF" w:rsidP="00276CC8" w:rsidRDefault="006626FF" w14:paraId="2F5115C1" w14:textId="77777777">
            <w:pPr>
              <w:jc w:val="center"/>
              <w:rPr>
                <w:rFonts w:ascii="Times New Roman" w:hAnsi="Times New Roman"/>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1A3531" w14:paraId="54BC61C8" w14:textId="6CA94778">
            <w:pPr>
              <w:jc w:val="center"/>
              <w:rPr>
                <w:rFonts w:ascii="Times New Roman" w:hAnsi="Times New Roman"/>
                <w:sz w:val="22"/>
                <w:szCs w:val="22"/>
              </w:rPr>
            </w:pPr>
            <w:r w:rsidRPr="00276CC8">
              <w:rPr>
                <w:rFonts w:ascii="Times New Roman" w:hAnsi="Times New Roman"/>
                <w:sz w:val="22"/>
                <w:szCs w:val="22"/>
              </w:rPr>
              <w:t>6</w:t>
            </w:r>
          </w:p>
          <w:p w:rsidRPr="00276CC8" w:rsidR="006626FF" w:rsidP="00276CC8" w:rsidRDefault="006626FF" w14:paraId="5A00193C" w14:textId="77777777">
            <w:pPr>
              <w:jc w:val="center"/>
              <w:rPr>
                <w:rFonts w:ascii="Times New Roman" w:hAnsi="Times New Roman"/>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1A3531" w14:paraId="50D4FBFF" w14:textId="64C6C0A0">
            <w:pPr>
              <w:jc w:val="center"/>
              <w:rPr>
                <w:rFonts w:ascii="Times New Roman" w:hAnsi="Times New Roman"/>
                <w:sz w:val="22"/>
                <w:szCs w:val="22"/>
              </w:rPr>
            </w:pPr>
            <w:r w:rsidRPr="00276CC8">
              <w:rPr>
                <w:rFonts w:ascii="Times New Roman" w:hAnsi="Times New Roman"/>
                <w:sz w:val="22"/>
                <w:szCs w:val="22"/>
              </w:rPr>
              <w:t>180</w:t>
            </w:r>
          </w:p>
          <w:p w:rsidRPr="00276CC8" w:rsidR="006626FF" w:rsidP="00276CC8" w:rsidRDefault="006626FF" w14:paraId="15D44061" w14:textId="77777777">
            <w:pPr>
              <w:jc w:val="center"/>
              <w:rPr>
                <w:rFonts w:ascii="Times New Roman" w:hAnsi="Times New Roman"/>
                <w:sz w:val="22"/>
                <w:szCs w:val="22"/>
              </w:rPr>
            </w:pPr>
          </w:p>
        </w:tc>
        <w:tc>
          <w:tcPr>
            <w:tcW w:w="1070"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276CC8" w14:paraId="0AB67B72" w14:textId="7C1E9BF3">
            <w:pPr>
              <w:jc w:val="center"/>
              <w:rPr>
                <w:rFonts w:ascii="Times New Roman" w:hAnsi="Times New Roman"/>
                <w:sz w:val="22"/>
                <w:szCs w:val="22"/>
              </w:rPr>
            </w:pPr>
            <w:r w:rsidRPr="00276CC8">
              <w:rPr>
                <w:rFonts w:ascii="Times New Roman" w:hAnsi="Times New Roman"/>
                <w:sz w:val="22"/>
                <w:szCs w:val="22"/>
              </w:rPr>
              <w:t>1</w:t>
            </w:r>
          </w:p>
          <w:p w:rsidRPr="00276CC8" w:rsidR="006626FF" w:rsidP="00276CC8" w:rsidRDefault="006626FF" w14:paraId="15AA6C5B" w14:textId="77777777">
            <w:pPr>
              <w:jc w:val="center"/>
              <w:rPr>
                <w:rFonts w:ascii="Times New Roman" w:hAnsi="Times New Roman"/>
                <w:sz w:val="22"/>
                <w:szCs w:val="22"/>
              </w:rPr>
            </w:pPr>
          </w:p>
          <w:p w:rsidRPr="00276CC8" w:rsidR="006626FF" w:rsidP="00276CC8" w:rsidRDefault="006626FF" w14:paraId="460B8B6B" w14:textId="77777777">
            <w:pPr>
              <w:jc w:val="center"/>
              <w:rPr>
                <w:rFonts w:ascii="Times New Roman" w:hAnsi="Times New Roman"/>
                <w:sz w:val="22"/>
                <w:szCs w:val="22"/>
              </w:rPr>
            </w:pPr>
          </w:p>
        </w:tc>
        <w:tc>
          <w:tcPr>
            <w:tcW w:w="964"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276CC8" w14:paraId="43F04FBA" w14:textId="4877DC1B">
            <w:pPr>
              <w:jc w:val="center"/>
              <w:rPr>
                <w:rFonts w:ascii="Times New Roman" w:hAnsi="Times New Roman"/>
                <w:sz w:val="22"/>
                <w:szCs w:val="22"/>
              </w:rPr>
            </w:pPr>
            <w:r w:rsidRPr="00276CC8">
              <w:rPr>
                <w:rFonts w:ascii="Times New Roman" w:hAnsi="Times New Roman"/>
                <w:sz w:val="22"/>
                <w:szCs w:val="22"/>
              </w:rPr>
              <w:t>180</w:t>
            </w:r>
          </w:p>
          <w:p w:rsidRPr="00276CC8" w:rsidR="006626FF" w:rsidP="00276CC8" w:rsidRDefault="006626FF" w14:paraId="752F73D3" w14:textId="77777777">
            <w:pPr>
              <w:jc w:val="center"/>
              <w:rPr>
                <w:rFonts w:ascii="Times New Roman" w:hAnsi="Times New Roman"/>
                <w:sz w:val="22"/>
                <w:szCs w:val="22"/>
              </w:rPr>
            </w:pPr>
          </w:p>
        </w:tc>
        <w:tc>
          <w:tcPr>
            <w:tcW w:w="907"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276CC8" w14:paraId="387B5D04" w14:textId="2E7874A6">
            <w:pPr>
              <w:jc w:val="center"/>
              <w:rPr>
                <w:rFonts w:ascii="Times New Roman" w:hAnsi="Times New Roman"/>
                <w:sz w:val="22"/>
                <w:szCs w:val="22"/>
              </w:rPr>
            </w:pPr>
            <w:r w:rsidRPr="00276CC8">
              <w:rPr>
                <w:rFonts w:ascii="Times New Roman" w:hAnsi="Times New Roman"/>
                <w:sz w:val="22"/>
                <w:szCs w:val="22"/>
              </w:rPr>
              <w:t>$50.62</w:t>
            </w:r>
          </w:p>
          <w:p w:rsidRPr="00276CC8" w:rsidR="006626FF" w:rsidP="00276CC8" w:rsidRDefault="006626FF" w14:paraId="6FAC2390" w14:textId="77777777">
            <w:pPr>
              <w:jc w:val="center"/>
              <w:rPr>
                <w:rFonts w:ascii="Times New Roman" w:hAnsi="Times New Roman"/>
                <w:sz w:val="22"/>
                <w:szCs w:val="22"/>
              </w:rPr>
            </w:pPr>
          </w:p>
        </w:tc>
        <w:tc>
          <w:tcPr>
            <w:tcW w:w="1198" w:type="dxa"/>
            <w:tcBorders>
              <w:top w:val="single" w:color="auto" w:sz="4" w:space="0"/>
              <w:left w:val="single" w:color="auto" w:sz="4" w:space="0"/>
              <w:bottom w:val="single" w:color="auto" w:sz="4" w:space="0"/>
              <w:right w:val="single" w:color="auto" w:sz="4" w:space="0"/>
            </w:tcBorders>
            <w:vAlign w:val="center"/>
          </w:tcPr>
          <w:p w:rsidRPr="00276CC8" w:rsidR="006626FF" w:rsidP="00276CC8" w:rsidRDefault="00276CC8" w14:paraId="39DD4599" w14:textId="35983806">
            <w:pPr>
              <w:jc w:val="center"/>
              <w:rPr>
                <w:rFonts w:ascii="Times New Roman" w:hAnsi="Times New Roman"/>
                <w:sz w:val="22"/>
                <w:szCs w:val="22"/>
              </w:rPr>
            </w:pPr>
            <w:r w:rsidRPr="00276CC8">
              <w:rPr>
                <w:rFonts w:ascii="Times New Roman" w:hAnsi="Times New Roman"/>
                <w:sz w:val="22"/>
                <w:szCs w:val="22"/>
              </w:rPr>
              <w:t>9,111.60</w:t>
            </w:r>
          </w:p>
          <w:p w:rsidRPr="00276CC8" w:rsidR="006626FF" w:rsidP="00276CC8" w:rsidRDefault="006626FF" w14:paraId="78C3C2D7" w14:textId="77777777">
            <w:pPr>
              <w:jc w:val="center"/>
              <w:rPr>
                <w:rFonts w:ascii="Times New Roman" w:hAnsi="Times New Roman"/>
                <w:sz w:val="22"/>
                <w:szCs w:val="22"/>
              </w:rPr>
            </w:pPr>
          </w:p>
        </w:tc>
      </w:tr>
      <w:tr w:rsidRPr="00E60FB0" w:rsidR="00276CC8" w:rsidTr="00276CC8" w14:paraId="1850A33D" w14:textId="77777777">
        <w:tc>
          <w:tcPr>
            <w:tcW w:w="1435" w:type="dxa"/>
            <w:tcBorders>
              <w:top w:val="single" w:color="auto" w:sz="4" w:space="0"/>
              <w:left w:val="single" w:color="auto" w:sz="4" w:space="0"/>
              <w:bottom w:val="single" w:color="auto" w:sz="4" w:space="0"/>
              <w:right w:val="single" w:color="auto" w:sz="4" w:space="0"/>
            </w:tcBorders>
            <w:vAlign w:val="bottom"/>
          </w:tcPr>
          <w:p w:rsidR="00276CC8" w:rsidRDefault="00276CC8" w14:paraId="1E65741A" w14:textId="2CF1C3B4">
            <w:pPr>
              <w:spacing w:line="276" w:lineRule="auto"/>
              <w:rPr>
                <w:rFonts w:ascii="Times New Roman" w:hAnsi="Times New Roman"/>
                <w:sz w:val="22"/>
                <w:szCs w:val="22"/>
              </w:rPr>
            </w:pPr>
            <w:r>
              <w:rPr>
                <w:rFonts w:ascii="Times New Roman" w:hAnsi="Times New Roman"/>
                <w:sz w:val="22"/>
                <w:szCs w:val="22"/>
              </w:rPr>
              <w:t>Final Report</w:t>
            </w:r>
          </w:p>
        </w:tc>
        <w:tc>
          <w:tcPr>
            <w:tcW w:w="1415" w:type="dxa"/>
            <w:tcBorders>
              <w:top w:val="single" w:color="auto" w:sz="4" w:space="0"/>
              <w:left w:val="single" w:color="auto" w:sz="4" w:space="0"/>
              <w:bottom w:val="single" w:color="auto" w:sz="4" w:space="0"/>
              <w:right w:val="single" w:color="auto" w:sz="4" w:space="0"/>
            </w:tcBorders>
            <w:vAlign w:val="center"/>
          </w:tcPr>
          <w:p w:rsidR="00276CC8" w:rsidRDefault="00276CC8" w14:paraId="3523D1E7" w14:textId="23AE7D01">
            <w:pPr>
              <w:spacing w:line="276" w:lineRule="auto"/>
              <w:jc w:val="center"/>
              <w:rPr>
                <w:rFonts w:ascii="Times New Roman" w:hAnsi="Times New Roman"/>
                <w:sz w:val="22"/>
                <w:szCs w:val="22"/>
              </w:rPr>
            </w:pPr>
            <w:r>
              <w:rPr>
                <w:rFonts w:ascii="Times New Roman" w:hAnsi="Times New Roman"/>
                <w:sz w:val="22"/>
                <w:szCs w:val="22"/>
              </w:rPr>
              <w:t>30</w:t>
            </w:r>
          </w:p>
        </w:tc>
        <w:tc>
          <w:tcPr>
            <w:tcW w:w="1329" w:type="dxa"/>
            <w:tcBorders>
              <w:top w:val="single" w:color="auto" w:sz="4" w:space="0"/>
              <w:left w:val="single" w:color="auto" w:sz="4" w:space="0"/>
              <w:bottom w:val="single" w:color="auto" w:sz="4" w:space="0"/>
              <w:right w:val="single" w:color="auto" w:sz="4" w:space="0"/>
            </w:tcBorders>
            <w:vAlign w:val="center"/>
          </w:tcPr>
          <w:p w:rsidR="00276CC8" w:rsidRDefault="00276CC8" w14:paraId="3A385732" w14:textId="4A02320B">
            <w:pPr>
              <w:spacing w:line="276" w:lineRule="auto"/>
              <w:jc w:val="center"/>
              <w:rPr>
                <w:rFonts w:ascii="Times New Roman" w:hAnsi="Times New Roman"/>
                <w:sz w:val="22"/>
                <w:szCs w:val="22"/>
              </w:rPr>
            </w:pPr>
            <w:r>
              <w:rPr>
                <w:rFonts w:ascii="Times New Roman" w:hAnsi="Times New Roman"/>
                <w:sz w:val="22"/>
                <w:szCs w:val="22"/>
              </w:rPr>
              <w:t>1</w:t>
            </w:r>
          </w:p>
        </w:tc>
        <w:tc>
          <w:tcPr>
            <w:tcW w:w="1183" w:type="dxa"/>
            <w:tcBorders>
              <w:top w:val="single" w:color="auto" w:sz="4" w:space="0"/>
              <w:left w:val="single" w:color="auto" w:sz="4" w:space="0"/>
              <w:bottom w:val="single" w:color="auto" w:sz="4" w:space="0"/>
              <w:right w:val="single" w:color="auto" w:sz="4" w:space="0"/>
            </w:tcBorders>
            <w:vAlign w:val="center"/>
          </w:tcPr>
          <w:p w:rsidR="00276CC8" w:rsidRDefault="00276CC8" w14:paraId="1E75EF8F" w14:textId="077B7414">
            <w:pPr>
              <w:spacing w:line="276" w:lineRule="auto"/>
              <w:jc w:val="center"/>
              <w:rPr>
                <w:rFonts w:ascii="Times New Roman" w:hAnsi="Times New Roman"/>
                <w:sz w:val="22"/>
                <w:szCs w:val="22"/>
              </w:rPr>
            </w:pPr>
            <w:r>
              <w:rPr>
                <w:rFonts w:ascii="Times New Roman" w:hAnsi="Times New Roman"/>
                <w:sz w:val="22"/>
                <w:szCs w:val="22"/>
              </w:rPr>
              <w:t>30</w:t>
            </w:r>
          </w:p>
        </w:tc>
        <w:tc>
          <w:tcPr>
            <w:tcW w:w="1070" w:type="dxa"/>
            <w:tcBorders>
              <w:top w:val="single" w:color="auto" w:sz="4" w:space="0"/>
              <w:left w:val="single" w:color="auto" w:sz="4" w:space="0"/>
              <w:bottom w:val="single" w:color="auto" w:sz="4" w:space="0"/>
              <w:right w:val="single" w:color="auto" w:sz="4" w:space="0"/>
            </w:tcBorders>
            <w:vAlign w:val="center"/>
          </w:tcPr>
          <w:p w:rsidR="00276CC8" w:rsidRDefault="00276CC8" w14:paraId="2D7404FC" w14:textId="2C378DD8">
            <w:pPr>
              <w:spacing w:line="276" w:lineRule="auto"/>
              <w:jc w:val="center"/>
              <w:rPr>
                <w:rFonts w:ascii="Times New Roman" w:hAnsi="Times New Roman"/>
                <w:sz w:val="22"/>
                <w:szCs w:val="22"/>
              </w:rPr>
            </w:pPr>
            <w:r>
              <w:rPr>
                <w:rFonts w:ascii="Times New Roman" w:hAnsi="Times New Roman"/>
                <w:sz w:val="22"/>
                <w:szCs w:val="22"/>
              </w:rPr>
              <w:t>1</w:t>
            </w:r>
          </w:p>
        </w:tc>
        <w:tc>
          <w:tcPr>
            <w:tcW w:w="964" w:type="dxa"/>
            <w:tcBorders>
              <w:top w:val="single" w:color="auto" w:sz="4" w:space="0"/>
              <w:left w:val="single" w:color="auto" w:sz="4" w:space="0"/>
              <w:bottom w:val="single" w:color="auto" w:sz="4" w:space="0"/>
              <w:right w:val="single" w:color="auto" w:sz="4" w:space="0"/>
            </w:tcBorders>
            <w:vAlign w:val="center"/>
          </w:tcPr>
          <w:p w:rsidR="00276CC8" w:rsidRDefault="00276CC8" w14:paraId="56F00EB0" w14:textId="258DCB79">
            <w:pPr>
              <w:spacing w:line="276" w:lineRule="auto"/>
              <w:jc w:val="center"/>
              <w:rPr>
                <w:rFonts w:ascii="Times New Roman" w:hAnsi="Times New Roman"/>
                <w:sz w:val="22"/>
                <w:szCs w:val="22"/>
              </w:rPr>
            </w:pPr>
            <w:r>
              <w:rPr>
                <w:rFonts w:ascii="Times New Roman" w:hAnsi="Times New Roman"/>
                <w:sz w:val="22"/>
                <w:szCs w:val="22"/>
              </w:rPr>
              <w:t>30</w:t>
            </w:r>
          </w:p>
        </w:tc>
        <w:tc>
          <w:tcPr>
            <w:tcW w:w="907" w:type="dxa"/>
            <w:tcBorders>
              <w:top w:val="single" w:color="auto" w:sz="4" w:space="0"/>
              <w:left w:val="single" w:color="auto" w:sz="4" w:space="0"/>
              <w:bottom w:val="single" w:color="auto" w:sz="4" w:space="0"/>
              <w:right w:val="single" w:color="auto" w:sz="4" w:space="0"/>
            </w:tcBorders>
            <w:vAlign w:val="center"/>
          </w:tcPr>
          <w:p w:rsidR="00276CC8" w:rsidRDefault="00276CC8" w14:paraId="5270594B" w14:textId="58F60EB2">
            <w:pPr>
              <w:spacing w:line="276" w:lineRule="auto"/>
              <w:jc w:val="center"/>
              <w:rPr>
                <w:rFonts w:ascii="Times New Roman" w:hAnsi="Times New Roman"/>
                <w:sz w:val="22"/>
                <w:szCs w:val="22"/>
              </w:rPr>
            </w:pPr>
            <w:r>
              <w:rPr>
                <w:rFonts w:ascii="Times New Roman" w:hAnsi="Times New Roman"/>
                <w:sz w:val="22"/>
                <w:szCs w:val="22"/>
              </w:rPr>
              <w:t>$50.62</w:t>
            </w:r>
          </w:p>
        </w:tc>
        <w:tc>
          <w:tcPr>
            <w:tcW w:w="1198" w:type="dxa"/>
            <w:tcBorders>
              <w:top w:val="single" w:color="auto" w:sz="4" w:space="0"/>
              <w:left w:val="single" w:color="auto" w:sz="4" w:space="0"/>
              <w:bottom w:val="single" w:color="auto" w:sz="4" w:space="0"/>
              <w:right w:val="single" w:color="auto" w:sz="4" w:space="0"/>
            </w:tcBorders>
            <w:vAlign w:val="center"/>
          </w:tcPr>
          <w:p w:rsidR="00276CC8" w:rsidRDefault="00276CC8" w14:paraId="3B1E668B" w14:textId="2A8D5239">
            <w:pPr>
              <w:spacing w:line="276" w:lineRule="auto"/>
              <w:jc w:val="center"/>
              <w:rPr>
                <w:rFonts w:ascii="Times New Roman" w:hAnsi="Times New Roman"/>
                <w:sz w:val="22"/>
                <w:szCs w:val="22"/>
              </w:rPr>
            </w:pPr>
            <w:r>
              <w:rPr>
                <w:rFonts w:ascii="Times New Roman" w:hAnsi="Times New Roman"/>
                <w:sz w:val="22"/>
                <w:szCs w:val="22"/>
              </w:rPr>
              <w:t>$1,518.60</w:t>
            </w:r>
          </w:p>
        </w:tc>
      </w:tr>
      <w:tr w:rsidRPr="00E60FB0" w:rsidR="00276CC8" w:rsidTr="00276CC8" w14:paraId="6D96751E" w14:textId="77777777">
        <w:tc>
          <w:tcPr>
            <w:tcW w:w="1435" w:type="dxa"/>
            <w:tcBorders>
              <w:top w:val="single" w:color="auto" w:sz="4" w:space="0"/>
              <w:left w:val="single" w:color="auto" w:sz="4" w:space="0"/>
              <w:bottom w:val="single" w:color="auto" w:sz="4" w:space="0"/>
              <w:right w:val="single" w:color="auto" w:sz="4" w:space="0"/>
            </w:tcBorders>
            <w:vAlign w:val="bottom"/>
          </w:tcPr>
          <w:p w:rsidRPr="00276CC8" w:rsidR="00276CC8" w:rsidRDefault="00276CC8" w14:paraId="232EDFAB" w14:textId="4C1CDDFA">
            <w:pPr>
              <w:spacing w:line="276" w:lineRule="auto"/>
              <w:rPr>
                <w:rFonts w:ascii="Times New Roman" w:hAnsi="Times New Roman"/>
                <w:b/>
                <w:i/>
                <w:sz w:val="22"/>
                <w:szCs w:val="22"/>
              </w:rPr>
            </w:pPr>
            <w:r w:rsidRPr="00276CC8">
              <w:rPr>
                <w:rFonts w:ascii="Times New Roman" w:hAnsi="Times New Roman"/>
                <w:b/>
                <w:i/>
                <w:sz w:val="22"/>
                <w:szCs w:val="22"/>
              </w:rPr>
              <w:lastRenderedPageBreak/>
              <w:t xml:space="preserve">Unduplicated </w:t>
            </w:r>
          </w:p>
        </w:tc>
        <w:tc>
          <w:tcPr>
            <w:tcW w:w="1415" w:type="dxa"/>
            <w:tcBorders>
              <w:top w:val="single" w:color="auto" w:sz="4" w:space="0"/>
              <w:left w:val="single" w:color="auto" w:sz="4" w:space="0"/>
              <w:bottom w:val="single" w:color="auto" w:sz="4" w:space="0"/>
              <w:right w:val="single" w:color="auto" w:sz="4" w:space="0"/>
            </w:tcBorders>
            <w:vAlign w:val="center"/>
          </w:tcPr>
          <w:p w:rsidR="00276CC8" w:rsidRDefault="00782660" w14:paraId="58476FC6" w14:textId="253F5DCC">
            <w:pPr>
              <w:spacing w:line="276" w:lineRule="auto"/>
              <w:jc w:val="center"/>
              <w:rPr>
                <w:rFonts w:ascii="Times New Roman" w:hAnsi="Times New Roman"/>
                <w:sz w:val="22"/>
                <w:szCs w:val="22"/>
              </w:rPr>
            </w:pPr>
            <w:r>
              <w:rPr>
                <w:rFonts w:ascii="Times New Roman" w:hAnsi="Times New Roman"/>
                <w:sz w:val="22"/>
                <w:szCs w:val="22"/>
              </w:rPr>
              <w:t>30</w:t>
            </w:r>
          </w:p>
        </w:tc>
        <w:tc>
          <w:tcPr>
            <w:tcW w:w="1329" w:type="dxa"/>
            <w:tcBorders>
              <w:top w:val="single" w:color="auto" w:sz="4" w:space="0"/>
              <w:left w:val="single" w:color="auto" w:sz="4" w:space="0"/>
              <w:bottom w:val="single" w:color="auto" w:sz="4" w:space="0"/>
              <w:right w:val="single" w:color="auto" w:sz="4" w:space="0"/>
            </w:tcBorders>
            <w:vAlign w:val="center"/>
          </w:tcPr>
          <w:p w:rsidR="00276CC8" w:rsidRDefault="00782660" w14:paraId="4797D1CD" w14:textId="7965D82E">
            <w:pPr>
              <w:spacing w:line="276" w:lineRule="auto"/>
              <w:jc w:val="center"/>
              <w:rPr>
                <w:rFonts w:ascii="Times New Roman" w:hAnsi="Times New Roman"/>
                <w:sz w:val="22"/>
                <w:szCs w:val="22"/>
              </w:rPr>
            </w:pPr>
            <w:r>
              <w:rPr>
                <w:rFonts w:ascii="Times New Roman" w:hAnsi="Times New Roman"/>
                <w:sz w:val="22"/>
                <w:szCs w:val="22"/>
              </w:rPr>
              <w:t>Varies</w:t>
            </w:r>
          </w:p>
        </w:tc>
        <w:tc>
          <w:tcPr>
            <w:tcW w:w="1183" w:type="dxa"/>
            <w:tcBorders>
              <w:top w:val="single" w:color="auto" w:sz="4" w:space="0"/>
              <w:left w:val="single" w:color="auto" w:sz="4" w:space="0"/>
              <w:bottom w:val="single" w:color="auto" w:sz="4" w:space="0"/>
              <w:right w:val="single" w:color="auto" w:sz="4" w:space="0"/>
            </w:tcBorders>
            <w:vAlign w:val="center"/>
          </w:tcPr>
          <w:p w:rsidRPr="00276CC8" w:rsidR="00276CC8" w:rsidRDefault="00276CC8" w14:paraId="26587B44" w14:textId="3190F246">
            <w:pPr>
              <w:spacing w:line="276" w:lineRule="auto"/>
              <w:jc w:val="center"/>
              <w:rPr>
                <w:rFonts w:ascii="Times New Roman" w:hAnsi="Times New Roman"/>
                <w:b/>
                <w:sz w:val="22"/>
                <w:szCs w:val="22"/>
              </w:rPr>
            </w:pPr>
            <w:r w:rsidRPr="00276CC8">
              <w:rPr>
                <w:rFonts w:ascii="Times New Roman" w:hAnsi="Times New Roman"/>
                <w:b/>
                <w:sz w:val="22"/>
                <w:szCs w:val="22"/>
              </w:rPr>
              <w:t>210</w:t>
            </w:r>
          </w:p>
        </w:tc>
        <w:tc>
          <w:tcPr>
            <w:tcW w:w="1070" w:type="dxa"/>
            <w:tcBorders>
              <w:top w:val="single" w:color="auto" w:sz="4" w:space="0"/>
              <w:left w:val="single" w:color="auto" w:sz="4" w:space="0"/>
              <w:bottom w:val="single" w:color="auto" w:sz="4" w:space="0"/>
              <w:right w:val="single" w:color="auto" w:sz="4" w:space="0"/>
            </w:tcBorders>
            <w:vAlign w:val="center"/>
          </w:tcPr>
          <w:p w:rsidR="00276CC8" w:rsidRDefault="00782660" w14:paraId="2B7DB8B8" w14:textId="5D791F70">
            <w:pPr>
              <w:spacing w:line="276" w:lineRule="auto"/>
              <w:jc w:val="center"/>
              <w:rPr>
                <w:rFonts w:ascii="Times New Roman" w:hAnsi="Times New Roman"/>
                <w:sz w:val="22"/>
                <w:szCs w:val="22"/>
              </w:rPr>
            </w:pPr>
            <w:r>
              <w:rPr>
                <w:rFonts w:ascii="Times New Roman" w:hAnsi="Times New Roman"/>
                <w:sz w:val="22"/>
                <w:szCs w:val="22"/>
              </w:rPr>
              <w:t>1</w:t>
            </w:r>
          </w:p>
        </w:tc>
        <w:tc>
          <w:tcPr>
            <w:tcW w:w="964" w:type="dxa"/>
            <w:tcBorders>
              <w:top w:val="single" w:color="auto" w:sz="4" w:space="0"/>
              <w:left w:val="single" w:color="auto" w:sz="4" w:space="0"/>
              <w:bottom w:val="single" w:color="auto" w:sz="4" w:space="0"/>
              <w:right w:val="single" w:color="auto" w:sz="4" w:space="0"/>
            </w:tcBorders>
            <w:vAlign w:val="center"/>
          </w:tcPr>
          <w:p w:rsidRPr="00276CC8" w:rsidR="00276CC8" w:rsidRDefault="00276CC8" w14:paraId="11243C98" w14:textId="60E1FEAE">
            <w:pPr>
              <w:spacing w:line="276" w:lineRule="auto"/>
              <w:jc w:val="center"/>
              <w:rPr>
                <w:rFonts w:ascii="Times New Roman" w:hAnsi="Times New Roman"/>
                <w:b/>
                <w:sz w:val="22"/>
                <w:szCs w:val="22"/>
              </w:rPr>
            </w:pPr>
            <w:r w:rsidRPr="00276CC8">
              <w:rPr>
                <w:rFonts w:ascii="Times New Roman" w:hAnsi="Times New Roman"/>
                <w:b/>
                <w:sz w:val="22"/>
                <w:szCs w:val="22"/>
              </w:rPr>
              <w:t>210</w:t>
            </w:r>
          </w:p>
        </w:tc>
        <w:tc>
          <w:tcPr>
            <w:tcW w:w="907" w:type="dxa"/>
            <w:tcBorders>
              <w:top w:val="single" w:color="auto" w:sz="4" w:space="0"/>
              <w:left w:val="single" w:color="auto" w:sz="4" w:space="0"/>
              <w:bottom w:val="single" w:color="auto" w:sz="4" w:space="0"/>
              <w:right w:val="single" w:color="auto" w:sz="4" w:space="0"/>
            </w:tcBorders>
            <w:vAlign w:val="center"/>
          </w:tcPr>
          <w:p w:rsidR="00276CC8" w:rsidRDefault="00782660" w14:paraId="36354D37" w14:textId="4EBA7D8F">
            <w:pPr>
              <w:spacing w:line="276" w:lineRule="auto"/>
              <w:jc w:val="center"/>
              <w:rPr>
                <w:rFonts w:ascii="Times New Roman" w:hAnsi="Times New Roman"/>
                <w:sz w:val="22"/>
                <w:szCs w:val="22"/>
              </w:rPr>
            </w:pPr>
            <w:r>
              <w:rPr>
                <w:rFonts w:ascii="Times New Roman" w:hAnsi="Times New Roman"/>
                <w:sz w:val="22"/>
                <w:szCs w:val="22"/>
              </w:rPr>
              <w:t>$50.62</w:t>
            </w:r>
          </w:p>
        </w:tc>
        <w:tc>
          <w:tcPr>
            <w:tcW w:w="1198" w:type="dxa"/>
            <w:tcBorders>
              <w:top w:val="single" w:color="auto" w:sz="4" w:space="0"/>
              <w:left w:val="single" w:color="auto" w:sz="4" w:space="0"/>
              <w:bottom w:val="single" w:color="auto" w:sz="4" w:space="0"/>
              <w:right w:val="single" w:color="auto" w:sz="4" w:space="0"/>
            </w:tcBorders>
            <w:vAlign w:val="center"/>
          </w:tcPr>
          <w:p w:rsidRPr="00276CC8" w:rsidR="00276CC8" w:rsidRDefault="00276CC8" w14:paraId="35E00116" w14:textId="62CFE6AF">
            <w:pPr>
              <w:spacing w:line="276" w:lineRule="auto"/>
              <w:jc w:val="center"/>
              <w:rPr>
                <w:rFonts w:ascii="Times New Roman" w:hAnsi="Times New Roman"/>
                <w:b/>
                <w:sz w:val="22"/>
                <w:szCs w:val="22"/>
              </w:rPr>
            </w:pPr>
            <w:r w:rsidRPr="00276CC8">
              <w:rPr>
                <w:rFonts w:ascii="Times New Roman" w:hAnsi="Times New Roman"/>
                <w:b/>
                <w:sz w:val="22"/>
                <w:szCs w:val="22"/>
              </w:rPr>
              <w:t>$10,630.20</w:t>
            </w:r>
          </w:p>
        </w:tc>
      </w:tr>
    </w:tbl>
    <w:p w:rsidRPr="00BF56F5" w:rsidR="001A3531" w:rsidP="001A3531" w:rsidRDefault="001A3531" w14:paraId="7B066759" w14:textId="77777777">
      <w:pPr>
        <w:pStyle w:val="BodyTextIndent"/>
        <w:keepNext w:val="0"/>
        <w:keepLines w:val="0"/>
        <w:widowControl/>
        <w:ind w:firstLine="0"/>
        <w:rPr>
          <w:rFonts w:ascii="Times New Roman" w:hAnsi="Times New Roman"/>
          <w:u w:val="single"/>
        </w:rPr>
      </w:pPr>
      <w:r w:rsidRPr="00006D17">
        <w:rPr>
          <w:rFonts w:ascii="Times New Roman" w:hAnsi="Times New Roman"/>
          <w:color w:val="000000"/>
          <w:sz w:val="20"/>
          <w:szCs w:val="20"/>
        </w:rPr>
        <w:t>*Source: The hourly rate is computed by dividing the FY 2020 national average PS/PB annual salary for state staff as provided for through the distribution of state UI administrative grants (https://wdr.doleta.gov/directives/attach/UIPL/UIPL_16-19.pdf )by the average number of hours worked in a year (1,711).  For FY 2020, this calculation is:  $86,609 / 1,711= $50.62</w:t>
      </w: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276CC8" w14:paraId="726D62FC" w14:textId="7DE6E1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There are no other costs associated with this collection of information.</w:t>
      </w:r>
    </w:p>
    <w:p w:rsidRPr="00F4518C" w:rsidR="00276CC8" w:rsidP="00690F56" w:rsidRDefault="00276CC8" w14:paraId="1D530D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276CC8" w:rsidR="00276CC8" w:rsidP="00276CC8" w:rsidRDefault="00276CC8" w14:paraId="472A4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lastRenderedPageBreak/>
        <w:t>Federal Burden for Data Collection:  ETA 902.</w:t>
      </w:r>
    </w:p>
    <w:p w:rsidRPr="00276CC8" w:rsidR="00276CC8" w:rsidP="00276CC8" w:rsidRDefault="00276CC8" w14:paraId="3B140A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6CC8" w:rsidR="00276CC8" w:rsidP="00276CC8" w:rsidRDefault="00276CC8" w14:paraId="0AEC93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Annual Burden Hours: 105 hours (average 30 minutes per report).</w:t>
      </w:r>
    </w:p>
    <w:p w:rsidRPr="00276CC8" w:rsidR="00276CC8" w:rsidP="00276CC8" w:rsidRDefault="00276CC8" w14:paraId="30E49B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6CC8" w:rsidR="00276CC8" w:rsidP="00276CC8" w:rsidRDefault="00276CC8" w14:paraId="4D3FA7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Estimated Annual Salary Cost to Review Data:  $5,873.70.</w:t>
      </w:r>
    </w:p>
    <w:p w:rsidRPr="00276CC8" w:rsidR="00276CC8" w:rsidP="00276CC8" w:rsidRDefault="00276CC8" w14:paraId="1E06B4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6CC8" w:rsidR="00276CC8" w:rsidP="00276CC8" w:rsidRDefault="00276CC8" w14:paraId="02484D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 xml:space="preserve">Note:  The estimated cost is based upon the annual salary for a Washington, DC based GS-13, Step 5 at $55.94 per hour.  (See Office of Personnel Management Salary Table 2016-GS, </w:t>
      </w:r>
      <w:hyperlink w:history="1" r:id="rId11">
        <w:r w:rsidRPr="00276CC8">
          <w:rPr>
            <w:rStyle w:val="Hyperlink"/>
            <w:rFonts w:ascii="Times New Roman" w:hAnsi="Times New Roman"/>
          </w:rPr>
          <w:t>https://www.opm.gov/policy-data-oversight/pay-leave/salaries-wages/salary-tables/pdf/2020/DCB.pdf</w:t>
        </w:r>
      </w:hyperlink>
      <w:r w:rsidRPr="00276CC8">
        <w:rPr>
          <w:rFonts w:ascii="Times New Roman" w:hAnsi="Times New Roman"/>
        </w:rPr>
        <w:t xml:space="preserve"> ).  $55.94 x 105 hours = $5,873.7.</w:t>
      </w:r>
    </w:p>
    <w:p w:rsidRPr="00276CC8" w:rsidR="00276CC8" w:rsidP="00276CC8" w:rsidRDefault="00276CC8" w14:paraId="2ADD72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 xml:space="preserve">The data is received and stored on Department owned computer equipment along with all other Unemployment Insurance Reports data. </w:t>
      </w:r>
    </w:p>
    <w:p w:rsidRPr="00276CC8" w:rsidR="00276CC8" w:rsidP="00276CC8" w:rsidRDefault="00276CC8" w14:paraId="0C7079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6CC8" w:rsidR="00276CC8" w:rsidP="00276CC8" w:rsidRDefault="00276CC8" w14:paraId="51E61A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Although no staff is required to process this report, ETA has budgeted $1,024,744.87 in fiscal year 2020,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$34,158.16 ($1,024,744.87 system cost/30 information collections).</w:t>
      </w:r>
    </w:p>
    <w:p w:rsidRPr="00276CC8" w:rsidR="00276CC8" w:rsidP="00276CC8" w:rsidRDefault="00276CC8" w14:paraId="0390A8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Total Federal costs are estimated to be $40,031.86 ($5,873.70 + $34,158.16 = $40,031.86).</w:t>
      </w:r>
    </w:p>
    <w:p w:rsidRPr="00871CA6" w:rsidR="00690F56" w:rsidP="00690F56" w:rsidRDefault="00690F56" w14:paraId="3F8C7E1B" w14:textId="13225E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8F614F" w:rsidP="00276CC8" w:rsidRDefault="008F614F" w14:paraId="501B66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6CC8" w:rsidR="00276CC8" w:rsidP="00276CC8" w:rsidRDefault="00276CC8" w14:paraId="17DEC3FE" w14:textId="511C92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6CC8">
        <w:rPr>
          <w:rFonts w:ascii="Times New Roman" w:hAnsi="Times New Roman"/>
        </w:rPr>
        <w:t xml:space="preserve">There are no changes to the burden hours.  </w:t>
      </w:r>
    </w:p>
    <w:p w:rsidRPr="00F4518C" w:rsidR="00690F56" w:rsidP="00690F56" w:rsidRDefault="00690F56" w14:paraId="5321AF4F" w14:textId="344027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8F614F" w:rsidP="008F614F" w:rsidRDefault="008F614F" w14:paraId="0534AB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F614F" w:rsidR="008F614F" w:rsidP="008F614F" w:rsidRDefault="008F614F" w14:paraId="777533EF" w14:textId="628AE3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614F">
        <w:rPr>
          <w:rFonts w:ascii="Times New Roman" w:hAnsi="Times New Roman"/>
        </w:rPr>
        <w:t>There are no plans to publish the data for statistical use.</w:t>
      </w:r>
    </w:p>
    <w:p w:rsidRPr="00871CA6" w:rsidR="00690F56" w:rsidP="00690F56" w:rsidRDefault="00690F56" w14:paraId="41B59CA5" w14:textId="6CE734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8F614F" w:rsidP="008F614F" w:rsidRDefault="008F614F" w14:paraId="3553F4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F614F" w:rsidR="008F614F" w:rsidP="008F614F" w:rsidRDefault="008F614F" w14:paraId="6F3B91F5" w14:textId="657ADB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614F">
        <w:rPr>
          <w:rFonts w:ascii="Times New Roman" w:hAnsi="Times New Roman"/>
        </w:rPr>
        <w:t>The OMB number and expiration date will be displayed as part of the Handbook instructions for the ETA 902 report.</w:t>
      </w:r>
    </w:p>
    <w:p w:rsidRPr="00A973AA" w:rsidR="000C3A92" w:rsidP="00690F56" w:rsidRDefault="000C3A92" w14:paraId="3D60B41E" w14:textId="14AC08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F614F" w:rsidR="008F614F" w:rsidP="008F614F" w:rsidRDefault="008F614F" w14:paraId="3E2A82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614F">
        <w:rPr>
          <w:rFonts w:ascii="Times New Roman" w:hAnsi="Times New Roman"/>
        </w:rPr>
        <w:t>There are no exceptions to the certification statement.</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332F98" w14:paraId="3E8CBCDA" w14:textId="77777777">
      <w:pPr>
        <w:rPr>
          <w:rFonts w:ascii="Times New Roman" w:hAnsi="Times New Roman"/>
        </w:rPr>
      </w:pP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786B" w14:textId="77777777" w:rsidR="00FA3D8C" w:rsidRDefault="00FA3D8C">
      <w:r>
        <w:separator/>
      </w:r>
    </w:p>
  </w:endnote>
  <w:endnote w:type="continuationSeparator" w:id="0">
    <w:p w14:paraId="7F85FADB" w14:textId="77777777" w:rsidR="00FA3D8C" w:rsidRDefault="00F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2A3260BC"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14C81">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8A76" w14:textId="77777777" w:rsidR="00FA3D8C" w:rsidRDefault="00FA3D8C">
      <w:r>
        <w:separator/>
      </w:r>
    </w:p>
  </w:footnote>
  <w:footnote w:type="continuationSeparator" w:id="0">
    <w:p w14:paraId="611BA0DC" w14:textId="77777777" w:rsidR="00FA3D8C" w:rsidRDefault="00FA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70AD62E5" w:rsidR="006626FF" w:rsidRPr="006626FF" w:rsidRDefault="008F614F" w:rsidP="00F8164B">
    <w:pPr>
      <w:pStyle w:val="Header"/>
      <w:rPr>
        <w:rFonts w:ascii="Times New Roman" w:hAnsi="Times New Roman"/>
        <w:bCs/>
        <w:sz w:val="20"/>
        <w:szCs w:val="20"/>
      </w:rPr>
    </w:pPr>
    <w:r>
      <w:rPr>
        <w:rFonts w:ascii="Times New Roman" w:hAnsi="Times New Roman"/>
        <w:bCs/>
        <w:sz w:val="20"/>
        <w:szCs w:val="20"/>
      </w:rPr>
      <w:t>Disaster Unemployment Assistance Activities Report</w:t>
    </w:r>
  </w:p>
  <w:p w14:paraId="52F50703" w14:textId="0D203166"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8F614F">
      <w:rPr>
        <w:rFonts w:ascii="Times New Roman" w:hAnsi="Times New Roman"/>
        <w:sz w:val="20"/>
        <w:szCs w:val="20"/>
      </w:rPr>
      <w:t xml:space="preserve"> 1205-0051</w:t>
    </w:r>
  </w:p>
  <w:p w14:paraId="1D1AD862" w14:textId="786C99BD"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B118A8">
      <w:rPr>
        <w:rFonts w:ascii="Times New Roman" w:hAnsi="Times New Roman"/>
        <w:sz w:val="20"/>
        <w:szCs w:val="20"/>
      </w:rPr>
      <w:t>February 202</w:t>
    </w:r>
    <w:r w:rsidR="00F14C81">
      <w:rPr>
        <w:rFonts w:ascii="Times New Roman" w:hAnsi="Times New Roman"/>
        <w:sz w:val="20"/>
        <w:szCs w:val="20"/>
      </w:rPr>
      <w:t>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4D40EB"/>
    <w:multiLevelType w:val="hybridMultilevel"/>
    <w:tmpl w:val="A14447C0"/>
    <w:lvl w:ilvl="0" w:tplc="FD4036E0">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B7A72"/>
    <w:multiLevelType w:val="hybridMultilevel"/>
    <w:tmpl w:val="64D6F5F2"/>
    <w:lvl w:ilvl="0" w:tplc="FD4036E0">
      <w:start w:val="1"/>
      <w:numFmt w:val="bullet"/>
      <w:lvlText w:val=""/>
      <w:lvlJc w:val="left"/>
      <w:pPr>
        <w:tabs>
          <w:tab w:val="num" w:pos="360"/>
        </w:tabs>
        <w:ind w:left="432" w:hanging="360"/>
      </w:pPr>
      <w:rPr>
        <w:rFonts w:ascii="Wingdings" w:hAnsi="Wingdings" w:hint="default"/>
        <w:sz w:val="20"/>
      </w:rPr>
    </w:lvl>
    <w:lvl w:ilvl="1" w:tplc="9BF48462">
      <w:start w:val="1"/>
      <w:numFmt w:val="bullet"/>
      <w:lvlText w:val=""/>
      <w:lvlJc w:val="left"/>
      <w:pPr>
        <w:tabs>
          <w:tab w:val="num" w:pos="1152"/>
        </w:tabs>
        <w:ind w:left="1224" w:hanging="144"/>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7"/>
  </w:num>
  <w:num w:numId="13">
    <w:abstractNumId w:val="5"/>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46571"/>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3531"/>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6CC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64DC"/>
    <w:rsid w:val="00530EBD"/>
    <w:rsid w:val="00567912"/>
    <w:rsid w:val="00570098"/>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C39F8"/>
    <w:rsid w:val="006E1A08"/>
    <w:rsid w:val="006F66F9"/>
    <w:rsid w:val="006F6E13"/>
    <w:rsid w:val="00700377"/>
    <w:rsid w:val="007010C5"/>
    <w:rsid w:val="007011F1"/>
    <w:rsid w:val="007127A1"/>
    <w:rsid w:val="00713ACE"/>
    <w:rsid w:val="00715F82"/>
    <w:rsid w:val="0071749C"/>
    <w:rsid w:val="007412B6"/>
    <w:rsid w:val="007636EC"/>
    <w:rsid w:val="00767D37"/>
    <w:rsid w:val="00774503"/>
    <w:rsid w:val="00777CD2"/>
    <w:rsid w:val="0078038F"/>
    <w:rsid w:val="00782660"/>
    <w:rsid w:val="00785FE9"/>
    <w:rsid w:val="00786E04"/>
    <w:rsid w:val="007A7F79"/>
    <w:rsid w:val="007D46C2"/>
    <w:rsid w:val="008043E5"/>
    <w:rsid w:val="00804A1A"/>
    <w:rsid w:val="0081073D"/>
    <w:rsid w:val="008323ED"/>
    <w:rsid w:val="00835955"/>
    <w:rsid w:val="00845B2C"/>
    <w:rsid w:val="00846701"/>
    <w:rsid w:val="008624D5"/>
    <w:rsid w:val="00871CA6"/>
    <w:rsid w:val="00882AB5"/>
    <w:rsid w:val="00882B1D"/>
    <w:rsid w:val="0088672C"/>
    <w:rsid w:val="008A1F0C"/>
    <w:rsid w:val="008A40D1"/>
    <w:rsid w:val="008B541B"/>
    <w:rsid w:val="008F614F"/>
    <w:rsid w:val="00901003"/>
    <w:rsid w:val="0090158E"/>
    <w:rsid w:val="00901EF6"/>
    <w:rsid w:val="0090413E"/>
    <w:rsid w:val="009271B1"/>
    <w:rsid w:val="009441E2"/>
    <w:rsid w:val="00963680"/>
    <w:rsid w:val="00964D3F"/>
    <w:rsid w:val="009700D9"/>
    <w:rsid w:val="00976070"/>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118A8"/>
    <w:rsid w:val="00B35DAD"/>
    <w:rsid w:val="00B47443"/>
    <w:rsid w:val="00B5377A"/>
    <w:rsid w:val="00B6181C"/>
    <w:rsid w:val="00B66231"/>
    <w:rsid w:val="00BA6C9C"/>
    <w:rsid w:val="00BB3BEF"/>
    <w:rsid w:val="00BD34F2"/>
    <w:rsid w:val="00C02E4A"/>
    <w:rsid w:val="00C05B88"/>
    <w:rsid w:val="00C07F7F"/>
    <w:rsid w:val="00C12530"/>
    <w:rsid w:val="00C14429"/>
    <w:rsid w:val="00C247D8"/>
    <w:rsid w:val="00C34009"/>
    <w:rsid w:val="00C4763A"/>
    <w:rsid w:val="00C63D1E"/>
    <w:rsid w:val="00C667F3"/>
    <w:rsid w:val="00C712D2"/>
    <w:rsid w:val="00C74BC7"/>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14C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Indent">
    <w:name w:val="Body Text Indent"/>
    <w:basedOn w:val="Normal"/>
    <w:link w:val="BodyTextIndentChar"/>
    <w:rsid w:val="001A3531"/>
    <w:pPr>
      <w:keepNext/>
      <w:keepLines/>
      <w:ind w:left="720" w:hanging="720"/>
    </w:pPr>
    <w:rPr>
      <w:rFonts w:ascii="Courier New" w:hAnsi="Courier New"/>
    </w:rPr>
  </w:style>
  <w:style w:type="character" w:customStyle="1" w:styleId="BodyTextIndentChar">
    <w:name w:val="Body Text Indent Char"/>
    <w:basedOn w:val="DefaultParagraphFont"/>
    <w:link w:val="BodyTextIndent"/>
    <w:rsid w:val="001A3531"/>
    <w:rPr>
      <w:rFonts w:ascii="Courier New" w:hAnsi="Courier New"/>
      <w:sz w:val="24"/>
      <w:szCs w:val="24"/>
    </w:rPr>
  </w:style>
  <w:style w:type="character" w:styleId="Hyperlink">
    <w:name w:val="Hyperlink"/>
    <w:basedOn w:val="DefaultParagraphFont"/>
    <w:rsid w:val="00276C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DCB.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F719-8E32-4D6C-B418-81F0914FD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4F2CD-B545-434A-874F-149DAB3EC0DB}">
  <ds:schemaRefs>
    <ds:schemaRef ds:uri="http://schemas.microsoft.com/sharepoint/v3/contenttype/forms"/>
  </ds:schemaRefs>
</ds:datastoreItem>
</file>

<file path=customXml/itemProps3.xml><?xml version="1.0" encoding="utf-8"?>
<ds:datastoreItem xmlns:ds="http://schemas.openxmlformats.org/officeDocument/2006/customXml" ds:itemID="{D2491D0B-6C1C-41F7-A6E8-B826C4DB331C}">
  <ds:schemaRefs>
    <ds:schemaRef ds:uri="http://schemas.openxmlformats.org/package/2006/metadata/core-properties"/>
    <ds:schemaRef ds:uri="http://schemas.microsoft.com/office/infopath/2007/PartnerControls"/>
    <ds:schemaRef ds:uri="2b487234-2a61-45b0-86e3-998bf12a0e9d"/>
    <ds:schemaRef ds:uri="http://schemas.microsoft.com/office/2006/documentManagement/types"/>
    <ds:schemaRef ds:uri="http://www.w3.org/XML/1998/namespace"/>
    <ds:schemaRef ds:uri="2a1ba486-ff2f-4459-80ac-1ab5aa17f82f"/>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DFB2CB59-3B7F-4C05-827D-6C4329CD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2553</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17092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2</cp:revision>
  <cp:lastPrinted>2020-02-19T15:46:00Z</cp:lastPrinted>
  <dcterms:created xsi:type="dcterms:W3CDTF">2020-11-03T16:18:00Z</dcterms:created>
  <dcterms:modified xsi:type="dcterms:W3CDTF">2020-11-03T16:18:00Z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