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143D7" w:rsidR="00E143D7" w:rsidP="00E143D7" w:rsidRDefault="00E143D7" w14:paraId="3D13624A" w14:textId="77777777">
      <w:pPr>
        <w:pStyle w:val="NoSpacing"/>
        <w:jc w:val="center"/>
        <w:rPr>
          <w:rFonts w:ascii="Times New Roman" w:hAnsi="Times New Roman"/>
          <w:b/>
          <w:sz w:val="24"/>
          <w:szCs w:val="24"/>
        </w:rPr>
      </w:pPr>
      <w:bookmarkStart w:name="_GoBack" w:id="0"/>
      <w:bookmarkEnd w:id="0"/>
      <w:r w:rsidRPr="00E143D7">
        <w:rPr>
          <w:rFonts w:ascii="Times New Roman" w:hAnsi="Times New Roman"/>
          <w:b/>
          <w:sz w:val="24"/>
          <w:szCs w:val="24"/>
        </w:rPr>
        <w:t>SUPPORTING STATEMENT</w:t>
      </w:r>
    </w:p>
    <w:p w:rsidRPr="00E143D7" w:rsidR="00E143D7" w:rsidP="00E143D7" w:rsidRDefault="0029769D" w14:paraId="2BAE96B6" w14:textId="77777777">
      <w:pPr>
        <w:pStyle w:val="NoSpacing"/>
        <w:jc w:val="center"/>
        <w:rPr>
          <w:rFonts w:ascii="Times New Roman" w:hAnsi="Times New Roman"/>
          <w:b/>
          <w:sz w:val="24"/>
          <w:szCs w:val="24"/>
        </w:rPr>
      </w:pPr>
      <w:r>
        <w:rPr>
          <w:rFonts w:ascii="Times New Roman" w:hAnsi="Times New Roman"/>
          <w:b/>
          <w:sz w:val="24"/>
          <w:szCs w:val="24"/>
        </w:rPr>
        <w:t xml:space="preserve">IRAP </w:t>
      </w:r>
      <w:r w:rsidR="00B518D2">
        <w:rPr>
          <w:rFonts w:ascii="Times New Roman" w:hAnsi="Times New Roman"/>
          <w:b/>
          <w:sz w:val="24"/>
          <w:szCs w:val="24"/>
        </w:rPr>
        <w:t xml:space="preserve">Program </w:t>
      </w:r>
      <w:r w:rsidR="007A26C7">
        <w:rPr>
          <w:rFonts w:ascii="Times New Roman" w:hAnsi="Times New Roman"/>
          <w:b/>
          <w:sz w:val="24"/>
          <w:szCs w:val="24"/>
        </w:rPr>
        <w:t xml:space="preserve">and </w:t>
      </w:r>
      <w:r w:rsidRPr="00E143D7" w:rsidR="009D047E">
        <w:rPr>
          <w:rFonts w:ascii="Times New Roman" w:hAnsi="Times New Roman"/>
          <w:b/>
          <w:sz w:val="24"/>
          <w:szCs w:val="24"/>
        </w:rPr>
        <w:t xml:space="preserve">Performance </w:t>
      </w:r>
      <w:r w:rsidRPr="00E143D7" w:rsidR="00E143D7">
        <w:rPr>
          <w:rFonts w:ascii="Times New Roman" w:hAnsi="Times New Roman"/>
          <w:b/>
          <w:sz w:val="24"/>
          <w:szCs w:val="24"/>
        </w:rPr>
        <w:t>Report</w:t>
      </w:r>
      <w:r w:rsidRPr="009D047E" w:rsidR="009D047E">
        <w:rPr>
          <w:rFonts w:ascii="Times New Roman" w:hAnsi="Times New Roman"/>
          <w:b/>
          <w:sz w:val="24"/>
          <w:szCs w:val="24"/>
        </w:rPr>
        <w:t xml:space="preserve"> </w:t>
      </w:r>
      <w:r w:rsidR="009D047E">
        <w:rPr>
          <w:rFonts w:ascii="Times New Roman" w:hAnsi="Times New Roman"/>
          <w:b/>
          <w:sz w:val="24"/>
          <w:szCs w:val="24"/>
        </w:rPr>
        <w:t xml:space="preserve">for </w:t>
      </w:r>
      <w:r w:rsidRPr="00E143D7" w:rsidR="009D047E">
        <w:rPr>
          <w:rFonts w:ascii="Times New Roman" w:hAnsi="Times New Roman"/>
          <w:b/>
          <w:sz w:val="24"/>
          <w:szCs w:val="24"/>
        </w:rPr>
        <w:t>Standards Recognition Entit</w:t>
      </w:r>
      <w:r w:rsidR="009D047E">
        <w:rPr>
          <w:rFonts w:ascii="Times New Roman" w:hAnsi="Times New Roman"/>
          <w:b/>
          <w:sz w:val="24"/>
          <w:szCs w:val="24"/>
        </w:rPr>
        <w:t>ies</w:t>
      </w:r>
    </w:p>
    <w:p w:rsidR="0049303D" w:rsidP="00E143D7" w:rsidRDefault="00E143D7" w14:paraId="63D8982F" w14:textId="77777777">
      <w:pPr>
        <w:pStyle w:val="NoSpacing"/>
        <w:jc w:val="center"/>
        <w:rPr>
          <w:rFonts w:ascii="Times New Roman" w:hAnsi="Times New Roman"/>
          <w:b/>
          <w:sz w:val="24"/>
          <w:szCs w:val="24"/>
        </w:rPr>
      </w:pPr>
      <w:r w:rsidRPr="00E143D7">
        <w:rPr>
          <w:rFonts w:ascii="Times New Roman" w:hAnsi="Times New Roman"/>
          <w:b/>
          <w:sz w:val="24"/>
          <w:szCs w:val="24"/>
        </w:rPr>
        <w:t>Office of Management and Budget (OMB) Control Number 1205-0</w:t>
      </w:r>
      <w:r w:rsidR="00E75998">
        <w:rPr>
          <w:rFonts w:ascii="Times New Roman" w:hAnsi="Times New Roman"/>
          <w:b/>
          <w:sz w:val="24"/>
          <w:szCs w:val="24"/>
        </w:rPr>
        <w:t>NEW</w:t>
      </w:r>
    </w:p>
    <w:p w:rsidR="00A85FE9" w:rsidP="00E143D7" w:rsidRDefault="00A85FE9" w14:paraId="07533BA3" w14:textId="77777777">
      <w:pPr>
        <w:pStyle w:val="NoSpacing"/>
        <w:jc w:val="center"/>
        <w:rPr>
          <w:rFonts w:ascii="Times New Roman" w:hAnsi="Times New Roman"/>
          <w:b/>
          <w:sz w:val="24"/>
          <w:szCs w:val="24"/>
        </w:rPr>
      </w:pPr>
    </w:p>
    <w:p w:rsidRPr="00F535E7" w:rsidR="00A85FE9" w:rsidP="00F535E7" w:rsidRDefault="00A85FE9" w14:paraId="1F2399A9" w14:textId="77777777">
      <w:pPr>
        <w:pStyle w:val="NoSpacing"/>
        <w:rPr>
          <w:rFonts w:ascii="Times New Roman" w:hAnsi="Times New Roman"/>
          <w:sz w:val="28"/>
          <w:szCs w:val="24"/>
        </w:rPr>
      </w:pPr>
      <w:r w:rsidRPr="00F535E7">
        <w:rPr>
          <w:rFonts w:ascii="Times New Roman" w:hAnsi="Times New Roman"/>
          <w:bCs/>
          <w:sz w:val="24"/>
        </w:rPr>
        <w:t>This information collection request (ICR) seeks to establish a new information collection titled IRAP Program and Performance Report for Standards Recognition Entities.</w:t>
      </w:r>
    </w:p>
    <w:p w:rsidR="00E143D7" w:rsidP="00E143D7" w:rsidRDefault="00E143D7" w14:paraId="33CA99C6" w14:textId="77777777">
      <w:pPr>
        <w:pStyle w:val="NoSpacing"/>
        <w:rPr>
          <w:rFonts w:ascii="Times New Roman" w:hAnsi="Times New Roman"/>
          <w:b/>
          <w:sz w:val="24"/>
          <w:szCs w:val="24"/>
        </w:rPr>
      </w:pPr>
    </w:p>
    <w:p w:rsidR="00E143D7" w:rsidP="00E143D7" w:rsidRDefault="00E143D7" w14:paraId="7E7A0F4D" w14:textId="77777777">
      <w:pPr>
        <w:pStyle w:val="NoSpacing"/>
        <w:rPr>
          <w:rFonts w:ascii="Times New Roman" w:hAnsi="Times New Roman"/>
          <w:b/>
          <w:sz w:val="24"/>
          <w:szCs w:val="24"/>
        </w:rPr>
      </w:pPr>
    </w:p>
    <w:p w:rsidRPr="006F72A0" w:rsidR="00E143D7" w:rsidP="00C37CAF" w:rsidRDefault="00E143D7" w14:paraId="2BA9FD07" w14:textId="77777777">
      <w:pPr>
        <w:pStyle w:val="ListParagraph"/>
        <w:widowControl w:val="0"/>
        <w:numPr>
          <w:ilvl w:val="0"/>
          <w:numId w:val="1"/>
        </w:numPr>
        <w:autoSpaceDE w:val="0"/>
        <w:autoSpaceDN w:val="0"/>
        <w:adjustRightInd w:val="0"/>
        <w:rPr>
          <w:rFonts w:ascii="Calibri" w:hAnsi="Calibri"/>
          <w:b/>
          <w:bCs/>
          <w:u w:val="single"/>
        </w:rPr>
      </w:pPr>
      <w:r w:rsidRPr="3C1C6D2B">
        <w:rPr>
          <w:b/>
          <w:bCs/>
          <w:u w:val="single"/>
        </w:rPr>
        <w:t>Justification.</w:t>
      </w:r>
    </w:p>
    <w:p w:rsidRPr="00F1250A" w:rsidR="00E143D7" w:rsidP="00E143D7" w:rsidRDefault="00E143D7" w14:paraId="335CB95B" w14:textId="77777777">
      <w:pPr>
        <w:tabs>
          <w:tab w:val="center" w:pos="4680"/>
        </w:tabs>
        <w:autoSpaceDE w:val="0"/>
        <w:autoSpaceDN w:val="0"/>
        <w:adjustRightInd w:val="0"/>
      </w:pPr>
      <w:r>
        <w:tab/>
      </w:r>
    </w:p>
    <w:p w:rsidRPr="00F7529D" w:rsidR="00E143D7" w:rsidP="00E143D7" w:rsidRDefault="00E143D7" w14:paraId="073F9A4D" w14:textId="77777777">
      <w:pPr>
        <w:widowControl w:val="0"/>
        <w:numPr>
          <w:ilvl w:val="0"/>
          <w:numId w:val="2"/>
        </w:numPr>
        <w:tabs>
          <w:tab w:val="right" w:pos="-1080"/>
        </w:tabs>
        <w:autoSpaceDE w:val="0"/>
        <w:autoSpaceDN w:val="0"/>
        <w:adjustRightInd w:val="0"/>
        <w:ind w:left="720" w:hanging="720"/>
        <w:contextualSpacing/>
        <w:rPr>
          <w:i/>
        </w:rPr>
      </w:pPr>
      <w:r w:rsidRPr="00F7529D">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143D7" w:rsidP="00E143D7" w:rsidRDefault="00E143D7" w14:paraId="2E0F1EF7" w14:textId="77777777">
      <w:pPr>
        <w:pStyle w:val="NoSpacing"/>
        <w:rPr>
          <w:rFonts w:ascii="Times New Roman" w:hAnsi="Times New Roman"/>
          <w:b/>
          <w:sz w:val="24"/>
          <w:szCs w:val="24"/>
        </w:rPr>
      </w:pPr>
    </w:p>
    <w:p w:rsidR="0002478F" w:rsidP="0002478F" w:rsidRDefault="0002478F" w14:paraId="1523BCE7" w14:textId="77777777">
      <w:pPr>
        <w:widowControl w:val="0"/>
        <w:autoSpaceDE w:val="0"/>
        <w:autoSpaceDN w:val="0"/>
        <w:adjustRightInd w:val="0"/>
      </w:pPr>
      <w:r w:rsidRPr="00F7529D">
        <w:t>The National Apprenticeship Act</w:t>
      </w:r>
      <w:r w:rsidR="007328BE">
        <w:t xml:space="preserve"> (NAA)</w:t>
      </w:r>
      <w:r w:rsidRPr="00F7529D">
        <w:t xml:space="preserve"> (29 U.S.C. </w:t>
      </w:r>
      <w:r>
        <w:t>§ </w:t>
      </w:r>
      <w:r w:rsidRPr="00F7529D">
        <w:t xml:space="preserve">50) authorizes </w:t>
      </w:r>
      <w:r>
        <w:t xml:space="preserve">the </w:t>
      </w:r>
      <w:r w:rsidR="00422DF6">
        <w:t xml:space="preserve">U.S. </w:t>
      </w:r>
      <w:r w:rsidRPr="00F7529D">
        <w:t>Department</w:t>
      </w:r>
      <w:r w:rsidR="00422DF6">
        <w:t xml:space="preserve"> of Labor (Department)</w:t>
      </w:r>
      <w:r w:rsidRPr="00F7529D">
        <w:t xml:space="preserve"> </w:t>
      </w:r>
      <w:r>
        <w:t>“</w:t>
      </w:r>
      <w:r w:rsidRPr="00F7529D">
        <w:t>to formulate and promote the furtherance of labor standards necessary to safeguard the welfare of apprentices</w:t>
      </w:r>
      <w:r>
        <w:t>,” as well as to “bring together employers and labor for the formulation of programs of apprenticeship</w:t>
      </w:r>
      <w:r w:rsidRPr="00F7529D">
        <w:t>.</w:t>
      </w:r>
      <w:r>
        <w:t xml:space="preserve">” </w:t>
      </w:r>
      <w:r w:rsidRPr="00F7529D">
        <w:t xml:space="preserve">On June 15, </w:t>
      </w:r>
      <w:r>
        <w:t>2017</w:t>
      </w:r>
      <w:r w:rsidRPr="00F7529D">
        <w:t xml:space="preserve">, President Trump issued Executive Order </w:t>
      </w:r>
      <w:r>
        <w:t xml:space="preserve">(EO) </w:t>
      </w:r>
      <w:r w:rsidRPr="00F7529D">
        <w:t>13801 (82 FR 28229), titled</w:t>
      </w:r>
      <w:r>
        <w:t xml:space="preserve"> </w:t>
      </w:r>
      <w:r w:rsidRPr="00F7529D">
        <w:t>“</w:t>
      </w:r>
      <w:r w:rsidRPr="00A15DD2">
        <w:t>Expanding Apprenticeships in America</w:t>
      </w:r>
      <w:r w:rsidRPr="00F7529D">
        <w:t>,” which directed the Secretary of Labor (in consultation with the Secretaries of Education and Commerce) to consider “proposing regulations, consistent with applicable law, including 29 U.S.C. 50, that promote the development of apprenticeship programs.</w:t>
      </w:r>
      <w:r>
        <w:t xml:space="preserve">” The EO also </w:t>
      </w:r>
      <w:r w:rsidRPr="00F7529D">
        <w:t>direct</w:t>
      </w:r>
      <w:r>
        <w:t>ed</w:t>
      </w:r>
      <w:r w:rsidRPr="00F7529D">
        <w:t xml:space="preserve"> the Department to determine</w:t>
      </w:r>
      <w:r w:rsidR="00F67400">
        <w:t xml:space="preserve"> </w:t>
      </w:r>
      <w:r w:rsidRPr="00F7529D" w:rsidR="00F67400">
        <w:t>how qualified</w:t>
      </w:r>
      <w:r w:rsidR="00F67400">
        <w:t xml:space="preserve"> entities</w:t>
      </w:r>
      <w:r w:rsidRPr="00F7529D" w:rsidR="00F67400">
        <w:t xml:space="preserve"> may provide recognition to “industry-recognized apprenticeship programs</w:t>
      </w:r>
      <w:r w:rsidR="00F67400">
        <w:t>,</w:t>
      </w:r>
      <w:r w:rsidRPr="00F7529D" w:rsidR="00F67400">
        <w:t>” and</w:t>
      </w:r>
      <w:r w:rsidRPr="00F7529D">
        <w:t xml:space="preserve"> </w:t>
      </w:r>
      <w:r>
        <w:t>to</w:t>
      </w:r>
      <w:r w:rsidRPr="00F7529D">
        <w:t xml:space="preserve"> “establish guidelines or requirements that qualified </w:t>
      </w:r>
      <w:r>
        <w:t>[Standards Recognition Entities]</w:t>
      </w:r>
      <w:r w:rsidRPr="00F7529D">
        <w:t xml:space="preserve"> should</w:t>
      </w:r>
      <w:r>
        <w:t xml:space="preserve"> or must follow to ensure that the industry-recognized</w:t>
      </w:r>
      <w:r w:rsidRPr="00F7529D">
        <w:t xml:space="preserve"> apprenticeship programs they recognize meet quality standards.” </w:t>
      </w:r>
      <w:r w:rsidR="009B3B93">
        <w:t xml:space="preserve">On March </w:t>
      </w:r>
      <w:r w:rsidR="008C4B72">
        <w:t>11</w:t>
      </w:r>
      <w:r w:rsidR="009B3B93">
        <w:t xml:space="preserve">, 2020 the </w:t>
      </w:r>
      <w:r w:rsidRPr="009B3B93" w:rsidR="009B3B93">
        <w:rPr>
          <w:iCs/>
        </w:rPr>
        <w:t>Industry-Recognized Apprenticeship Program (IRAP) final rule was</w:t>
      </w:r>
      <w:r w:rsidR="00C15C15">
        <w:rPr>
          <w:iCs/>
        </w:rPr>
        <w:t xml:space="preserve"> published</w:t>
      </w:r>
      <w:r w:rsidR="008C4B72">
        <w:rPr>
          <w:iCs/>
        </w:rPr>
        <w:t xml:space="preserve"> and will go into effect on May 1</w:t>
      </w:r>
      <w:r w:rsidR="00003A9E">
        <w:rPr>
          <w:iCs/>
        </w:rPr>
        <w:t>1</w:t>
      </w:r>
      <w:r w:rsidR="008C4B72">
        <w:rPr>
          <w:iCs/>
        </w:rPr>
        <w:t>, 2020</w:t>
      </w:r>
      <w:r w:rsidR="00C15C15">
        <w:rPr>
          <w:iCs/>
        </w:rPr>
        <w:t>.</w:t>
      </w:r>
      <w:r w:rsidR="00F64302">
        <w:rPr>
          <w:iCs/>
        </w:rPr>
        <w:t xml:space="preserve"> </w:t>
      </w:r>
    </w:p>
    <w:p w:rsidR="0002478F" w:rsidP="0002478F" w:rsidRDefault="0002478F" w14:paraId="1712B539" w14:textId="77777777">
      <w:pPr>
        <w:widowControl w:val="0"/>
        <w:autoSpaceDE w:val="0"/>
        <w:autoSpaceDN w:val="0"/>
        <w:adjustRightInd w:val="0"/>
      </w:pPr>
    </w:p>
    <w:p w:rsidR="00C55D99" w:rsidP="00C55D99" w:rsidRDefault="0002478F" w14:paraId="43BF143D" w14:textId="77777777">
      <w:pPr>
        <w:widowControl w:val="0"/>
        <w:autoSpaceDE w:val="0"/>
        <w:autoSpaceDN w:val="0"/>
        <w:adjustRightInd w:val="0"/>
        <w:rPr>
          <w:rFonts w:eastAsia="Calibri"/>
          <w:color w:val="020202"/>
        </w:rPr>
      </w:pPr>
      <w:r>
        <w:rPr>
          <w:rFonts w:eastAsia="Calibri"/>
          <w:color w:val="000000"/>
        </w:rPr>
        <w:t xml:space="preserve">The Department </w:t>
      </w:r>
      <w:r w:rsidRPr="009B37C3">
        <w:t>is submitting</w:t>
      </w:r>
      <w:r>
        <w:t xml:space="preserve"> </w:t>
      </w:r>
      <w:r w:rsidR="00034BFB">
        <w:t>this</w:t>
      </w:r>
      <w:r>
        <w:t xml:space="preserve"> Information Collection Request (ICR), titled </w:t>
      </w:r>
      <w:r w:rsidR="004A7C4F">
        <w:rPr>
          <w:i/>
          <w:iCs/>
        </w:rPr>
        <w:t>IRAP</w:t>
      </w:r>
      <w:r w:rsidRPr="000B61E0">
        <w:rPr>
          <w:i/>
          <w:iCs/>
        </w:rPr>
        <w:t xml:space="preserve"> </w:t>
      </w:r>
      <w:r w:rsidR="00B518D2">
        <w:rPr>
          <w:i/>
          <w:iCs/>
        </w:rPr>
        <w:t xml:space="preserve">Program </w:t>
      </w:r>
      <w:r w:rsidR="00034BFB">
        <w:rPr>
          <w:i/>
          <w:iCs/>
        </w:rPr>
        <w:t xml:space="preserve">and </w:t>
      </w:r>
      <w:r w:rsidR="00422DF6">
        <w:rPr>
          <w:i/>
          <w:iCs/>
        </w:rPr>
        <w:t xml:space="preserve">Performance </w:t>
      </w:r>
      <w:r w:rsidR="00034BFB">
        <w:rPr>
          <w:i/>
          <w:iCs/>
        </w:rPr>
        <w:t>Report</w:t>
      </w:r>
      <w:r w:rsidR="004A7C4F">
        <w:rPr>
          <w:i/>
          <w:iCs/>
        </w:rPr>
        <w:t>s</w:t>
      </w:r>
      <w:r w:rsidR="00034BFB">
        <w:rPr>
          <w:i/>
          <w:iCs/>
        </w:rPr>
        <w:t xml:space="preserve"> </w:t>
      </w:r>
      <w:r w:rsidR="009D047E">
        <w:rPr>
          <w:i/>
          <w:iCs/>
        </w:rPr>
        <w:t xml:space="preserve">for </w:t>
      </w:r>
      <w:r w:rsidRPr="000B61E0" w:rsidR="009D047E">
        <w:rPr>
          <w:i/>
          <w:iCs/>
        </w:rPr>
        <w:t>Standards Recognition Entit</w:t>
      </w:r>
      <w:r w:rsidR="009D047E">
        <w:rPr>
          <w:i/>
          <w:iCs/>
        </w:rPr>
        <w:t>ies</w:t>
      </w:r>
      <w:r w:rsidRPr="000B61E0">
        <w:t xml:space="preserve">. </w:t>
      </w:r>
      <w:r w:rsidR="00034BFB">
        <w:t>T</w:t>
      </w:r>
      <w:r w:rsidRPr="00144CBC" w:rsidR="00034BFB">
        <w:t xml:space="preserve">he Department’s </w:t>
      </w:r>
      <w:r w:rsidR="00B518D2">
        <w:t>program</w:t>
      </w:r>
      <w:r w:rsidRPr="00144CBC" w:rsidR="00B518D2">
        <w:t xml:space="preserve"> </w:t>
      </w:r>
      <w:r w:rsidRPr="00144CBC" w:rsidR="00034BFB">
        <w:t xml:space="preserve">and </w:t>
      </w:r>
      <w:r w:rsidR="00B518D2">
        <w:t xml:space="preserve">performance </w:t>
      </w:r>
      <w:r w:rsidRPr="00144CBC" w:rsidR="00034BFB">
        <w:t xml:space="preserve">reporting requirements set forth in § 29.22(h) include program-level data and performance outcomes for IRAPs, which allows the Department, the </w:t>
      </w:r>
      <w:r w:rsidRPr="00422DF6" w:rsidR="00422DF6">
        <w:t>Standards Recognition Entit</w:t>
      </w:r>
      <w:r w:rsidR="00422DF6">
        <w:t>ies</w:t>
      </w:r>
      <w:r w:rsidRPr="00422DF6" w:rsidR="00422DF6">
        <w:t xml:space="preserve"> </w:t>
      </w:r>
      <w:r w:rsidR="00422DF6">
        <w:t>(</w:t>
      </w:r>
      <w:r w:rsidRPr="00144CBC" w:rsidR="00034BFB">
        <w:t>SRE</w:t>
      </w:r>
      <w:r w:rsidR="00034BFB">
        <w:t>s</w:t>
      </w:r>
      <w:r w:rsidR="00422DF6">
        <w:t>)</w:t>
      </w:r>
      <w:r w:rsidRPr="00144CBC" w:rsidR="00034BFB">
        <w:t xml:space="preserve">, and the public to review and assess IRAP </w:t>
      </w:r>
      <w:r w:rsidR="004A7C4F">
        <w:t xml:space="preserve">program and </w:t>
      </w:r>
      <w:r w:rsidRPr="00144CBC" w:rsidR="00034BFB">
        <w:t>performance</w:t>
      </w:r>
      <w:r w:rsidR="004A7C4F">
        <w:t xml:space="preserve"> information</w:t>
      </w:r>
      <w:r w:rsidR="00337B65">
        <w:t>.</w:t>
      </w:r>
      <w:r w:rsidRPr="00F7529D">
        <w:rPr>
          <w:rFonts w:eastAsia="Calibri"/>
          <w:color w:val="000000"/>
        </w:rPr>
        <w:t xml:space="preserve"> </w:t>
      </w:r>
      <w:r w:rsidR="00337B65">
        <w:rPr>
          <w:rFonts w:eastAsia="Calibri"/>
          <w:color w:val="000000"/>
        </w:rPr>
        <w:t xml:space="preserve">In addition, </w:t>
      </w:r>
      <w:r w:rsidRPr="00F725A8" w:rsidR="00337B65">
        <w:rPr>
          <w:rFonts w:eastAsia="Calibri"/>
          <w:color w:val="000000"/>
        </w:rPr>
        <w:t>29 CFR part</w:t>
      </w:r>
      <w:r w:rsidR="00337B65">
        <w:rPr>
          <w:rFonts w:eastAsia="Calibri"/>
          <w:color w:val="000000"/>
        </w:rPr>
        <w:t xml:space="preserve"> 29 </w:t>
      </w:r>
      <w:r w:rsidRPr="005900DD" w:rsidR="00337B65">
        <w:rPr>
          <w:rFonts w:eastAsia="Calibri"/>
          <w:color w:val="020202"/>
        </w:rPr>
        <w:t>subpart B</w:t>
      </w:r>
      <w:r w:rsidR="00337B65">
        <w:rPr>
          <w:rFonts w:eastAsia="Calibri"/>
          <w:color w:val="020202"/>
        </w:rPr>
        <w:t xml:space="preserve"> includes regulatory requirements for public notifications and reporting requirements </w:t>
      </w:r>
      <w:r w:rsidR="00422DF6">
        <w:rPr>
          <w:rFonts w:eastAsia="Calibri"/>
          <w:color w:val="020202"/>
        </w:rPr>
        <w:t xml:space="preserve">by the SRE </w:t>
      </w:r>
      <w:r w:rsidR="00337B65">
        <w:rPr>
          <w:rFonts w:eastAsia="Calibri"/>
          <w:color w:val="020202"/>
        </w:rPr>
        <w:t xml:space="preserve">to the </w:t>
      </w:r>
      <w:r w:rsidR="0048787E">
        <w:rPr>
          <w:rFonts w:eastAsia="Calibri"/>
          <w:color w:val="020202"/>
        </w:rPr>
        <w:t>Department of Labor’s, Office of Apprenticeship Administrator (</w:t>
      </w:r>
      <w:r w:rsidR="00337B65">
        <w:rPr>
          <w:rFonts w:eastAsia="Calibri"/>
          <w:color w:val="020202"/>
        </w:rPr>
        <w:t>Administrator</w:t>
      </w:r>
      <w:r w:rsidR="0048787E">
        <w:rPr>
          <w:rFonts w:eastAsia="Calibri"/>
          <w:color w:val="020202"/>
        </w:rPr>
        <w:t>)</w:t>
      </w:r>
      <w:r w:rsidR="00337B65">
        <w:rPr>
          <w:rFonts w:eastAsia="Calibri"/>
          <w:color w:val="020202"/>
        </w:rPr>
        <w:t xml:space="preserve"> in a format prescribed by the Administrator. This ICR establishes the</w:t>
      </w:r>
      <w:r w:rsidR="00003A9E">
        <w:rPr>
          <w:rFonts w:eastAsia="Calibri"/>
          <w:color w:val="020202"/>
        </w:rPr>
        <w:t>se</w:t>
      </w:r>
      <w:r w:rsidR="00337B65">
        <w:rPr>
          <w:rFonts w:eastAsia="Calibri"/>
          <w:color w:val="020202"/>
        </w:rPr>
        <w:t xml:space="preserve"> </w:t>
      </w:r>
      <w:r w:rsidR="00E82A27">
        <w:rPr>
          <w:rFonts w:eastAsia="Calibri"/>
          <w:color w:val="020202"/>
        </w:rPr>
        <w:t xml:space="preserve">reports </w:t>
      </w:r>
      <w:r w:rsidR="00422DF6">
        <w:rPr>
          <w:rFonts w:eastAsia="Calibri"/>
          <w:color w:val="020202"/>
        </w:rPr>
        <w:t xml:space="preserve">as </w:t>
      </w:r>
      <w:r w:rsidR="00003A9E">
        <w:rPr>
          <w:rFonts w:eastAsia="Calibri"/>
          <w:color w:val="020202"/>
        </w:rPr>
        <w:t xml:space="preserve">the </w:t>
      </w:r>
      <w:r w:rsidR="00422DF6">
        <w:rPr>
          <w:rFonts w:eastAsia="Calibri"/>
          <w:color w:val="020202"/>
        </w:rPr>
        <w:t xml:space="preserve">required format for SREs </w:t>
      </w:r>
      <w:r w:rsidR="00337B65">
        <w:rPr>
          <w:rFonts w:eastAsia="Calibri"/>
          <w:color w:val="020202"/>
        </w:rPr>
        <w:t>to submit</w:t>
      </w:r>
      <w:r w:rsidR="00422DF6">
        <w:rPr>
          <w:rFonts w:eastAsia="Calibri"/>
          <w:color w:val="020202"/>
        </w:rPr>
        <w:t xml:space="preserve"> the data and guidelines on calculating the</w:t>
      </w:r>
      <w:r w:rsidR="00337B65">
        <w:rPr>
          <w:rFonts w:eastAsia="Calibri"/>
          <w:color w:val="020202"/>
        </w:rPr>
        <w:t xml:space="preserve"> required information. </w:t>
      </w:r>
    </w:p>
    <w:p w:rsidR="00FB4000" w:rsidP="00C55D99" w:rsidRDefault="00FB4000" w14:paraId="14783B69" w14:textId="77777777">
      <w:pPr>
        <w:widowControl w:val="0"/>
        <w:autoSpaceDE w:val="0"/>
        <w:autoSpaceDN w:val="0"/>
        <w:adjustRightInd w:val="0"/>
        <w:rPr>
          <w:rFonts w:eastAsia="Calibri"/>
          <w:color w:val="020202"/>
        </w:rPr>
      </w:pPr>
    </w:p>
    <w:p w:rsidRPr="003624F7" w:rsidR="001D6D2C" w:rsidP="001D6D2C" w:rsidRDefault="001D6D2C" w14:paraId="638BD70D" w14:textId="4B322CC9">
      <w:pPr>
        <w:rPr>
          <w:color w:val="0D0D0D"/>
        </w:rPr>
      </w:pPr>
      <w:r w:rsidRPr="003624F7">
        <w:rPr>
          <w:color w:val="0D0D0D"/>
        </w:rPr>
        <w:t>As this ICR is a Departmental priority and in order to meet the proposed performance system launch deadline of October 1</w:t>
      </w:r>
      <w:r w:rsidRPr="003624F7">
        <w:rPr>
          <w:color w:val="0D0D0D"/>
          <w:vertAlign w:val="superscript"/>
        </w:rPr>
        <w:t>st</w:t>
      </w:r>
      <w:r w:rsidRPr="003624F7">
        <w:rPr>
          <w:color w:val="0D0D0D"/>
        </w:rPr>
        <w:t xml:space="preserve">, 2020.  </w:t>
      </w:r>
    </w:p>
    <w:p w:rsidRPr="00F7529D" w:rsidR="00E143D7" w:rsidP="00E143D7" w:rsidRDefault="00E143D7" w14:paraId="06C5F880" w14:textId="77777777">
      <w:pPr>
        <w:widowControl w:val="0"/>
        <w:autoSpaceDE w:val="0"/>
        <w:autoSpaceDN w:val="0"/>
        <w:adjustRightInd w:val="0"/>
      </w:pPr>
    </w:p>
    <w:p w:rsidRPr="00F7529D" w:rsidR="00E143D7" w:rsidP="00E143D7" w:rsidRDefault="00E143D7" w14:paraId="73DAF3C1" w14:textId="77777777">
      <w:pPr>
        <w:widowControl w:val="0"/>
        <w:numPr>
          <w:ilvl w:val="0"/>
          <w:numId w:val="2"/>
        </w:numPr>
        <w:tabs>
          <w:tab w:val="right" w:pos="-1080"/>
        </w:tabs>
        <w:autoSpaceDE w:val="0"/>
        <w:autoSpaceDN w:val="0"/>
        <w:adjustRightInd w:val="0"/>
        <w:ind w:left="720" w:hanging="720"/>
        <w:contextualSpacing/>
        <w:rPr>
          <w:i/>
        </w:rPr>
      </w:pPr>
      <w:r w:rsidRPr="00F7529D">
        <w:rPr>
          <w:i/>
        </w:rPr>
        <w:t>Indicate how, by whom, and for what purpose the information is to be used. Except for a new collection, indicate the actual use the agency has made of the information received from the current collection.</w:t>
      </w:r>
    </w:p>
    <w:p w:rsidR="00E143D7" w:rsidP="00E143D7" w:rsidRDefault="00E143D7" w14:paraId="31C6283A" w14:textId="77777777">
      <w:pPr>
        <w:pStyle w:val="NoSpacing"/>
        <w:rPr>
          <w:rFonts w:ascii="Times New Roman" w:hAnsi="Times New Roman"/>
          <w:b/>
          <w:sz w:val="24"/>
          <w:szCs w:val="24"/>
        </w:rPr>
      </w:pPr>
    </w:p>
    <w:p w:rsidRPr="00B17DDE" w:rsidR="0026059D" w:rsidP="0026059D" w:rsidRDefault="0026059D" w14:paraId="1A020F51" w14:textId="77777777">
      <w:pPr>
        <w:spacing w:after="200"/>
        <w:rPr>
          <w:rFonts w:eastAsia="Calibri"/>
          <w:color w:val="020202"/>
        </w:rPr>
      </w:pPr>
      <w:r w:rsidRPr="2EDE09E3">
        <w:rPr>
          <w:rFonts w:eastAsia="Calibri"/>
          <w:color w:val="020202"/>
        </w:rPr>
        <w:t>The information collected in the</w:t>
      </w:r>
      <w:r w:rsidRPr="2EDE09E3" w:rsidR="004A7C4F">
        <w:rPr>
          <w:rFonts w:eastAsia="Calibri"/>
          <w:color w:val="020202"/>
        </w:rPr>
        <w:t>se</w:t>
      </w:r>
      <w:r w:rsidRPr="2EDE09E3">
        <w:rPr>
          <w:rFonts w:eastAsia="Calibri"/>
          <w:color w:val="020202"/>
        </w:rPr>
        <w:t xml:space="preserve"> </w:t>
      </w:r>
      <w:r w:rsidRPr="2EDE09E3" w:rsidR="00E82A27">
        <w:rPr>
          <w:rFonts w:eastAsia="Calibri"/>
          <w:color w:val="020202"/>
        </w:rPr>
        <w:t xml:space="preserve">reports </w:t>
      </w:r>
      <w:r w:rsidRPr="2EDE09E3" w:rsidR="004A7C4F">
        <w:rPr>
          <w:rFonts w:eastAsia="Calibri"/>
          <w:color w:val="020202"/>
        </w:rPr>
        <w:t>are</w:t>
      </w:r>
      <w:r w:rsidRPr="2EDE09E3" w:rsidR="61E395F9">
        <w:rPr>
          <w:rFonts w:eastAsia="Calibri"/>
          <w:color w:val="020202"/>
        </w:rPr>
        <w:t xml:space="preserve"> </w:t>
      </w:r>
      <w:r w:rsidRPr="2EDE09E3">
        <w:rPr>
          <w:rFonts w:eastAsia="Calibri"/>
          <w:color w:val="020202"/>
        </w:rPr>
        <w:t>aligned with the amendments to 29 CFR part 29, as set forth in subpart B</w:t>
      </w:r>
      <w:r w:rsidRPr="2EDE09E3" w:rsidR="006E0BFE">
        <w:rPr>
          <w:rFonts w:eastAsia="Calibri"/>
          <w:color w:val="020202"/>
        </w:rPr>
        <w:t>, which will go into effect on May 11</w:t>
      </w:r>
      <w:r w:rsidR="00615ACC">
        <w:rPr>
          <w:rFonts w:eastAsia="Calibri"/>
          <w:color w:val="020202"/>
        </w:rPr>
        <w:t>, 2020</w:t>
      </w:r>
      <w:r w:rsidRPr="2EDE09E3">
        <w:rPr>
          <w:rFonts w:eastAsia="Calibri"/>
          <w:color w:val="020202"/>
        </w:rPr>
        <w:t xml:space="preserve">. The Department’s Office of </w:t>
      </w:r>
      <w:r w:rsidRPr="2EDE09E3">
        <w:rPr>
          <w:rFonts w:eastAsia="Calibri"/>
          <w:color w:val="020202"/>
        </w:rPr>
        <w:lastRenderedPageBreak/>
        <w:t xml:space="preserve">Apprenticeship (OA) will use this information </w:t>
      </w:r>
      <w:r w:rsidRPr="2EDE09E3" w:rsidR="007A26C7">
        <w:rPr>
          <w:rFonts w:eastAsia="Calibri"/>
          <w:color w:val="020202"/>
        </w:rPr>
        <w:t xml:space="preserve">for </w:t>
      </w:r>
      <w:r w:rsidR="007A26C7">
        <w:t xml:space="preserve">quality assurance, data collection and </w:t>
      </w:r>
      <w:r w:rsidR="004A7C4F">
        <w:t xml:space="preserve">the </w:t>
      </w:r>
      <w:r w:rsidR="007A26C7">
        <w:t xml:space="preserve">performance assessment of SREs </w:t>
      </w:r>
      <w:r w:rsidRPr="2EDE09E3">
        <w:rPr>
          <w:rFonts w:eastAsia="Calibri"/>
          <w:color w:val="020202"/>
        </w:rPr>
        <w:t>to evaluate whether an SRE is in compliance with the Department</w:t>
      </w:r>
      <w:r w:rsidRPr="2EDE09E3" w:rsidR="0084064B">
        <w:rPr>
          <w:rFonts w:eastAsia="Calibri"/>
          <w:color w:val="020202"/>
        </w:rPr>
        <w:t>’s</w:t>
      </w:r>
      <w:r w:rsidRPr="2EDE09E3">
        <w:rPr>
          <w:rFonts w:eastAsia="Calibri"/>
          <w:color w:val="020202"/>
        </w:rPr>
        <w:t xml:space="preserve"> regulations and standards. Specifically, OA will use the information gathered to gauge the qualifications, plans, and processes of an SRE seeking </w:t>
      </w:r>
      <w:r w:rsidRPr="2EDE09E3" w:rsidR="0002478F">
        <w:rPr>
          <w:rFonts w:eastAsia="Calibri"/>
          <w:color w:val="020202"/>
        </w:rPr>
        <w:t>re-</w:t>
      </w:r>
      <w:r w:rsidRPr="2EDE09E3">
        <w:rPr>
          <w:rFonts w:eastAsia="Calibri"/>
          <w:color w:val="020202"/>
        </w:rPr>
        <w:t xml:space="preserve">recognition to determine whether it meets the standards described in </w:t>
      </w:r>
      <w:r w:rsidRPr="006F72A0">
        <w:rPr>
          <w:rFonts w:eastAsia="Calibri"/>
          <w:color w:val="000000"/>
        </w:rPr>
        <w:t>subpart B</w:t>
      </w:r>
      <w:r w:rsidRPr="2EDE09E3">
        <w:rPr>
          <w:rFonts w:eastAsia="Calibri"/>
          <w:color w:val="020202"/>
        </w:rPr>
        <w:t xml:space="preserve">. </w:t>
      </w:r>
      <w:r w:rsidRPr="0048787E" w:rsidR="0048787E">
        <w:rPr>
          <w:rFonts w:eastAsia="Calibri"/>
          <w:color w:val="020202"/>
        </w:rPr>
        <w:t xml:space="preserve">In § 29.22(j), SREs are required to make publicly available the aggregated number of complaints pertaining to each IRAP in a format and frequency prescribed by the Administrator.  Pursuant to § 29.22(j), the Administrator is requiring SREs to separate the publicly available aggregated number of complaints by: 1) number of complaints from an IRAP apprentice; and 2) number of complaints from all other parties. This information must be made publicly available on an annual basis, within 45 days of every Fiscal Year. </w:t>
      </w:r>
      <w:r w:rsidRPr="2EDE09E3" w:rsidR="0002478F">
        <w:rPr>
          <w:rFonts w:eastAsia="Calibri"/>
          <w:color w:val="020202"/>
        </w:rPr>
        <w:t xml:space="preserve">In addition, the SRE </w:t>
      </w:r>
      <w:r w:rsidRPr="2EDE09E3" w:rsidR="00003A9E">
        <w:rPr>
          <w:rFonts w:eastAsia="Calibri"/>
          <w:color w:val="020202"/>
        </w:rPr>
        <w:t>is required to report</w:t>
      </w:r>
      <w:r w:rsidRPr="2EDE09E3" w:rsidR="0002478F">
        <w:rPr>
          <w:rFonts w:eastAsia="Calibri"/>
          <w:color w:val="020202"/>
        </w:rPr>
        <w:t xml:space="preserve"> data pursuant to § 29.22(h) that will reflect the outcomes of the IRAPs the SRE has recognized. </w:t>
      </w:r>
      <w:r w:rsidRPr="2EDE09E3" w:rsidR="007A312D">
        <w:rPr>
          <w:rFonts w:eastAsia="Calibri"/>
          <w:color w:val="020202"/>
        </w:rPr>
        <w:t xml:space="preserve">§ 29.22(h) </w:t>
      </w:r>
      <w:r w:rsidRPr="2EDE09E3" w:rsidR="00003A9E">
        <w:rPr>
          <w:rFonts w:eastAsia="Calibri"/>
          <w:color w:val="020202"/>
        </w:rPr>
        <w:t xml:space="preserve">also requires </w:t>
      </w:r>
      <w:r w:rsidRPr="2EDE09E3" w:rsidR="007A312D">
        <w:rPr>
          <w:rFonts w:eastAsia="Calibri"/>
          <w:color w:val="020202"/>
        </w:rPr>
        <w:t>SRE</w:t>
      </w:r>
      <w:r w:rsidRPr="2EDE09E3" w:rsidR="00CC1901">
        <w:rPr>
          <w:rFonts w:eastAsia="Calibri"/>
          <w:color w:val="020202"/>
        </w:rPr>
        <w:t>s</w:t>
      </w:r>
      <w:r w:rsidRPr="2EDE09E3" w:rsidR="007A312D">
        <w:rPr>
          <w:rFonts w:eastAsia="Calibri"/>
          <w:color w:val="020202"/>
        </w:rPr>
        <w:t xml:space="preserve"> </w:t>
      </w:r>
      <w:r w:rsidRPr="2EDE09E3" w:rsidR="00003A9E">
        <w:rPr>
          <w:rFonts w:eastAsia="Calibri"/>
          <w:color w:val="020202"/>
        </w:rPr>
        <w:t xml:space="preserve">to </w:t>
      </w:r>
      <w:r w:rsidRPr="2EDE09E3" w:rsidR="007A312D">
        <w:rPr>
          <w:rFonts w:eastAsia="Calibri"/>
          <w:color w:val="020202"/>
        </w:rPr>
        <w:t xml:space="preserve">make publicly available certain data about IRAPs and performance outcomes, which it must also submit to the Department. Among the required data are the industry-recognized credentials attained by apprentices for each IRAP. </w:t>
      </w:r>
      <w:r w:rsidR="0084064B">
        <w:t xml:space="preserve">These </w:t>
      </w:r>
      <w:r w:rsidR="00DC038B">
        <w:t>reporting requirement</w:t>
      </w:r>
      <w:r w:rsidR="0084064B">
        <w:t>s</w:t>
      </w:r>
      <w:r w:rsidR="00DC038B">
        <w:t xml:space="preserve"> demonstrate that the Department is promoting standards of apprenticeship, consistent with the directions in the NAA, by requiring </w:t>
      </w:r>
      <w:r w:rsidR="0084064B">
        <w:t xml:space="preserve">outcomes and </w:t>
      </w:r>
      <w:r w:rsidR="00DC038B">
        <w:t xml:space="preserve">accountability from SREs. </w:t>
      </w:r>
      <w:r w:rsidR="00BC7012">
        <w:t>By enhancing oversight</w:t>
      </w:r>
      <w:r w:rsidR="0084064B">
        <w:t xml:space="preserve">, outcomes, </w:t>
      </w:r>
      <w:r w:rsidR="00BC7012">
        <w:t>and accountability of SREs, these measures help the Department ensure that SREs are recognizing apprenticeship programs that adhere to the standards of high-quality apprenticeship</w:t>
      </w:r>
      <w:r w:rsidR="00BF7884">
        <w:t xml:space="preserve"> </w:t>
      </w:r>
      <w:r w:rsidR="00A85492">
        <w:t>required by</w:t>
      </w:r>
      <w:r w:rsidR="00BF7884">
        <w:t xml:space="preserve"> the rule</w:t>
      </w:r>
      <w:r w:rsidR="00BC7012">
        <w:t xml:space="preserve">. </w:t>
      </w:r>
    </w:p>
    <w:p w:rsidR="0026059D" w:rsidP="0026059D" w:rsidRDefault="0026059D" w14:paraId="5C124C86" w14:textId="77777777">
      <w:pPr>
        <w:rPr>
          <w:rFonts w:eastAsia="Calibri"/>
        </w:rPr>
      </w:pPr>
      <w:r>
        <w:rPr>
          <w:rFonts w:eastAsia="Calibri"/>
        </w:rPr>
        <w:t xml:space="preserve">If the information collection described herein is approved, the Department will continue to monitor the quality and practical utility of the information yielded from </w:t>
      </w:r>
      <w:r w:rsidR="0084064B">
        <w:rPr>
          <w:rFonts w:eastAsia="Calibri"/>
        </w:rPr>
        <w:t>these reports</w:t>
      </w:r>
      <w:r w:rsidRPr="00A8579D">
        <w:rPr>
          <w:rFonts w:eastAsia="Calibri"/>
        </w:rPr>
        <w:t>.</w:t>
      </w:r>
      <w:r>
        <w:rPr>
          <w:rFonts w:eastAsia="Calibri"/>
        </w:rPr>
        <w:t xml:space="preserve"> </w:t>
      </w:r>
    </w:p>
    <w:p w:rsidR="0026059D" w:rsidP="0026059D" w:rsidRDefault="0026059D" w14:paraId="450E9010" w14:textId="77777777">
      <w:pPr>
        <w:rPr>
          <w:rFonts w:eastAsia="Calibri"/>
        </w:rPr>
      </w:pPr>
    </w:p>
    <w:p w:rsidR="0026059D" w:rsidP="007328BE" w:rsidRDefault="0026059D" w14:paraId="5AB9986B" w14:textId="77777777">
      <w:pPr>
        <w:rPr>
          <w:color w:val="000000"/>
        </w:rPr>
      </w:pPr>
      <w:r>
        <w:rPr>
          <w:color w:val="000000"/>
        </w:rPr>
        <w:t xml:space="preserve">The </w:t>
      </w:r>
      <w:r w:rsidRPr="009A3151">
        <w:rPr>
          <w:color w:val="000000"/>
        </w:rPr>
        <w:t>regulations at 2</w:t>
      </w:r>
      <w:r>
        <w:rPr>
          <w:color w:val="000000"/>
        </w:rPr>
        <w:t>9</w:t>
      </w:r>
      <w:r w:rsidRPr="009A3151">
        <w:rPr>
          <w:color w:val="000000"/>
        </w:rPr>
        <w:t xml:space="preserve"> CFR part </w:t>
      </w:r>
      <w:r>
        <w:rPr>
          <w:color w:val="000000"/>
        </w:rPr>
        <w:t>29, subpart B</w:t>
      </w:r>
      <w:r w:rsidRPr="009A3151">
        <w:rPr>
          <w:color w:val="000000"/>
        </w:rPr>
        <w:t xml:space="preserve"> specif</w:t>
      </w:r>
      <w:r>
        <w:rPr>
          <w:color w:val="000000"/>
        </w:rPr>
        <w:t>y</w:t>
      </w:r>
      <w:r w:rsidRPr="009A3151">
        <w:rPr>
          <w:color w:val="000000"/>
        </w:rPr>
        <w:t xml:space="preserve"> the following information collection requirements</w:t>
      </w:r>
      <w:r w:rsidR="007328BE">
        <w:rPr>
          <w:color w:val="000000"/>
        </w:rPr>
        <w:t>:</w:t>
      </w:r>
    </w:p>
    <w:p w:rsidR="007328BE" w:rsidP="007328BE" w:rsidRDefault="007328BE" w14:paraId="1D191C36" w14:textId="77777777">
      <w:pPr>
        <w:rPr>
          <w:b/>
        </w:rPr>
      </w:pPr>
    </w:p>
    <w:p w:rsidRPr="00996725" w:rsidR="00677A95" w:rsidP="00677A95" w:rsidRDefault="00677A95" w14:paraId="675C0733" w14:textId="77777777">
      <w:pPr>
        <w:widowControl w:val="0"/>
        <w:tabs>
          <w:tab w:val="left" w:pos="0"/>
        </w:tabs>
        <w:autoSpaceDE w:val="0"/>
        <w:autoSpaceDN w:val="0"/>
        <w:adjustRightInd w:val="0"/>
      </w:pPr>
      <w:r w:rsidRPr="00996725">
        <w:t xml:space="preserve">§ 29.22(a)(2) – Provides that an SRE must inform the Administrator within 30 calendar days when it has recognized, </w:t>
      </w:r>
      <w:r w:rsidRPr="00996725">
        <w:rPr>
          <w:rFonts w:eastAsia="Calibri"/>
        </w:rPr>
        <w:t>suspended, or derecognized an IRAP, and include the name and contact information of the program</w:t>
      </w:r>
      <w:r w:rsidRPr="00996725">
        <w:t>.</w:t>
      </w:r>
    </w:p>
    <w:p w:rsidRPr="00996725" w:rsidR="00677A95" w:rsidP="00E143D7" w:rsidRDefault="00677A95" w14:paraId="508D2996" w14:textId="77777777">
      <w:pPr>
        <w:pStyle w:val="NoSpacing"/>
        <w:rPr>
          <w:rFonts w:ascii="Times New Roman" w:hAnsi="Times New Roman"/>
          <w:b/>
          <w:sz w:val="24"/>
          <w:szCs w:val="24"/>
        </w:rPr>
      </w:pPr>
    </w:p>
    <w:p w:rsidRPr="00996725" w:rsidR="00645AB5" w:rsidP="00645AB5" w:rsidRDefault="00645AB5" w14:paraId="52813536" w14:textId="77777777">
      <w:pPr>
        <w:widowControl w:val="0"/>
        <w:tabs>
          <w:tab w:val="left" w:pos="0"/>
        </w:tabs>
        <w:autoSpaceDE w:val="0"/>
        <w:autoSpaceDN w:val="0"/>
        <w:adjustRightInd w:val="0"/>
      </w:pPr>
      <w:r w:rsidRPr="00996725">
        <w:t>§ 29.22(h) –</w:t>
      </w:r>
      <w:r w:rsidRPr="00996725">
        <w:rPr>
          <w:b/>
        </w:rPr>
        <w:t xml:space="preserve"> </w:t>
      </w:r>
      <w:r w:rsidRPr="00996725">
        <w:t>Provides that SREs must annually report to the Administrator, in a format prescribed by the Administrator, and make publicly available information on each IRAP it recognizes.</w:t>
      </w:r>
    </w:p>
    <w:p w:rsidRPr="00996725" w:rsidR="0074143F" w:rsidP="0074143F" w:rsidRDefault="0074143F" w14:paraId="41E32AAA" w14:textId="77777777">
      <w:pPr>
        <w:pStyle w:val="NoSpacing"/>
        <w:ind w:left="720"/>
        <w:rPr>
          <w:rFonts w:ascii="Times New Roman" w:hAnsi="Times New Roman"/>
          <w:sz w:val="24"/>
          <w:szCs w:val="24"/>
        </w:rPr>
      </w:pPr>
      <w:r w:rsidRPr="00996725">
        <w:rPr>
          <w:rFonts w:ascii="Times New Roman" w:hAnsi="Times New Roman"/>
          <w:sz w:val="24"/>
          <w:szCs w:val="24"/>
        </w:rPr>
        <w:t>(1) Up-to-date contact information for each IRAP;</w:t>
      </w:r>
    </w:p>
    <w:p w:rsidRPr="00996725" w:rsidR="0074143F" w:rsidP="0074143F" w:rsidRDefault="0074143F" w14:paraId="42E891A0" w14:textId="77777777">
      <w:pPr>
        <w:pStyle w:val="NoSpacing"/>
        <w:ind w:left="720"/>
        <w:rPr>
          <w:rFonts w:ascii="Times New Roman" w:hAnsi="Times New Roman"/>
          <w:sz w:val="24"/>
          <w:szCs w:val="24"/>
        </w:rPr>
      </w:pPr>
      <w:r w:rsidRPr="00996725">
        <w:rPr>
          <w:rFonts w:ascii="Times New Roman" w:hAnsi="Times New Roman"/>
          <w:sz w:val="24"/>
          <w:szCs w:val="24"/>
        </w:rPr>
        <w:t>(2) The total number of new and continuing apprentices annually training in each IRAP under an apprenticeship agreement;</w:t>
      </w:r>
    </w:p>
    <w:p w:rsidRPr="00996725" w:rsidR="0074143F" w:rsidP="0074143F" w:rsidRDefault="0074143F" w14:paraId="6F27871B" w14:textId="77777777">
      <w:pPr>
        <w:pStyle w:val="NoSpacing"/>
        <w:ind w:left="720"/>
        <w:rPr>
          <w:rFonts w:ascii="Times New Roman" w:hAnsi="Times New Roman"/>
          <w:sz w:val="24"/>
          <w:szCs w:val="24"/>
        </w:rPr>
      </w:pPr>
      <w:r w:rsidRPr="00996725">
        <w:rPr>
          <w:rFonts w:ascii="Times New Roman" w:hAnsi="Times New Roman"/>
          <w:sz w:val="24"/>
          <w:szCs w:val="24"/>
        </w:rPr>
        <w:t xml:space="preserve">(3) The total number of apprentices who successfully completed the IRAP annually; </w:t>
      </w:r>
    </w:p>
    <w:p w:rsidRPr="00996725" w:rsidR="0074143F" w:rsidP="0074143F" w:rsidRDefault="0074143F" w14:paraId="5A770ACC" w14:textId="77777777">
      <w:pPr>
        <w:pStyle w:val="NoSpacing"/>
        <w:ind w:left="720"/>
        <w:rPr>
          <w:rFonts w:ascii="Times New Roman" w:hAnsi="Times New Roman"/>
          <w:sz w:val="24"/>
          <w:szCs w:val="24"/>
        </w:rPr>
      </w:pPr>
      <w:r w:rsidRPr="00996725">
        <w:rPr>
          <w:rFonts w:ascii="Times New Roman" w:hAnsi="Times New Roman"/>
          <w:sz w:val="24"/>
          <w:szCs w:val="24"/>
        </w:rPr>
        <w:t>(4) The annual completion rate for apprentices. Annual completion rate must be calculated by comparing the number of apprentices in a designated apprenticeship cohort who successfully completed the IRAP requirements and attained an industry-recognized credential with the number of apprentices in that cohort who initially began training in the IRAP;</w:t>
      </w:r>
    </w:p>
    <w:p w:rsidRPr="00996725" w:rsidR="0074143F" w:rsidP="0074143F" w:rsidRDefault="0074143F" w14:paraId="23E614D8" w14:textId="77777777">
      <w:pPr>
        <w:pStyle w:val="NoSpacing"/>
        <w:ind w:left="720"/>
        <w:rPr>
          <w:rFonts w:ascii="Times New Roman" w:hAnsi="Times New Roman"/>
          <w:sz w:val="24"/>
          <w:szCs w:val="24"/>
        </w:rPr>
      </w:pPr>
      <w:r w:rsidRPr="00996725">
        <w:rPr>
          <w:rFonts w:ascii="Times New Roman" w:hAnsi="Times New Roman"/>
          <w:sz w:val="24"/>
          <w:szCs w:val="24"/>
        </w:rPr>
        <w:t>(5) The median length of time for IRAP completion;</w:t>
      </w:r>
    </w:p>
    <w:p w:rsidRPr="00996725" w:rsidR="0074143F" w:rsidP="0074143F" w:rsidRDefault="0074143F" w14:paraId="4CBA690D" w14:textId="77777777">
      <w:pPr>
        <w:pStyle w:val="NoSpacing"/>
        <w:ind w:left="720"/>
        <w:rPr>
          <w:rFonts w:ascii="Times New Roman" w:hAnsi="Times New Roman"/>
          <w:sz w:val="24"/>
          <w:szCs w:val="24"/>
        </w:rPr>
      </w:pPr>
      <w:r w:rsidRPr="00996725">
        <w:rPr>
          <w:rFonts w:ascii="Times New Roman" w:hAnsi="Times New Roman"/>
          <w:sz w:val="24"/>
          <w:szCs w:val="24"/>
        </w:rPr>
        <w:t xml:space="preserve">(6) The post-apprenticeship employment retention rate, calculated 6 and 12 months after program completion;   </w:t>
      </w:r>
    </w:p>
    <w:p w:rsidRPr="00996725" w:rsidR="0074143F" w:rsidP="0074143F" w:rsidRDefault="0074143F" w14:paraId="265CF59C" w14:textId="77777777">
      <w:pPr>
        <w:pStyle w:val="NoSpacing"/>
        <w:ind w:left="720"/>
        <w:rPr>
          <w:rFonts w:ascii="Times New Roman" w:hAnsi="Times New Roman"/>
          <w:sz w:val="24"/>
          <w:szCs w:val="24"/>
        </w:rPr>
      </w:pPr>
      <w:r w:rsidRPr="00996725">
        <w:rPr>
          <w:rFonts w:ascii="Times New Roman" w:hAnsi="Times New Roman"/>
          <w:sz w:val="24"/>
          <w:szCs w:val="24"/>
        </w:rPr>
        <w:t xml:space="preserve">(7) The industry-recognized credentials attained by apprentices in an IRAP, and the annual number of such credentials attained;  </w:t>
      </w:r>
    </w:p>
    <w:p w:rsidRPr="00996725" w:rsidR="0074143F" w:rsidP="0074143F" w:rsidRDefault="0074143F" w14:paraId="57472C00" w14:textId="77777777">
      <w:pPr>
        <w:pStyle w:val="NoSpacing"/>
        <w:ind w:left="720"/>
        <w:rPr>
          <w:rFonts w:ascii="Times New Roman" w:hAnsi="Times New Roman"/>
          <w:sz w:val="24"/>
          <w:szCs w:val="24"/>
        </w:rPr>
      </w:pPr>
      <w:r w:rsidRPr="00996725">
        <w:rPr>
          <w:rFonts w:ascii="Times New Roman" w:hAnsi="Times New Roman"/>
          <w:sz w:val="24"/>
          <w:szCs w:val="24"/>
        </w:rPr>
        <w:t>(8) The annualized average earnings of an IRAP’s former apprentices, calculated over the 6 month period after IRAP completion;</w:t>
      </w:r>
    </w:p>
    <w:p w:rsidRPr="00996725" w:rsidR="0074143F" w:rsidP="0074143F" w:rsidRDefault="0074143F" w14:paraId="606FDD08" w14:textId="77777777">
      <w:pPr>
        <w:pStyle w:val="NoSpacing"/>
        <w:ind w:left="720"/>
        <w:rPr>
          <w:rFonts w:ascii="Times New Roman" w:hAnsi="Times New Roman"/>
          <w:sz w:val="24"/>
          <w:szCs w:val="24"/>
        </w:rPr>
      </w:pPr>
      <w:r w:rsidRPr="00996725">
        <w:rPr>
          <w:rFonts w:ascii="Times New Roman" w:hAnsi="Times New Roman"/>
          <w:sz w:val="24"/>
          <w:szCs w:val="24"/>
        </w:rPr>
        <w:t>(9) Training cost per apprentice; and</w:t>
      </w:r>
    </w:p>
    <w:p w:rsidRPr="00996725" w:rsidR="00E143D7" w:rsidP="0074143F" w:rsidRDefault="0074143F" w14:paraId="3E7F5E5D" w14:textId="77777777">
      <w:pPr>
        <w:pStyle w:val="NoSpacing"/>
        <w:ind w:left="720"/>
        <w:rPr>
          <w:rFonts w:ascii="Times New Roman" w:hAnsi="Times New Roman"/>
          <w:sz w:val="24"/>
          <w:szCs w:val="24"/>
        </w:rPr>
      </w:pPr>
      <w:r w:rsidRPr="00996725">
        <w:rPr>
          <w:rFonts w:ascii="Times New Roman" w:hAnsi="Times New Roman"/>
          <w:sz w:val="24"/>
          <w:szCs w:val="24"/>
        </w:rPr>
        <w:t>(10) Basic demographic information on participants.</w:t>
      </w:r>
    </w:p>
    <w:p w:rsidRPr="00996725" w:rsidR="00E143D7" w:rsidP="00E143D7" w:rsidRDefault="00E143D7" w14:paraId="3753E330" w14:textId="77777777">
      <w:pPr>
        <w:pStyle w:val="NoSpacing"/>
        <w:rPr>
          <w:rFonts w:ascii="Times New Roman" w:hAnsi="Times New Roman"/>
          <w:b/>
          <w:sz w:val="24"/>
          <w:szCs w:val="24"/>
        </w:rPr>
      </w:pPr>
    </w:p>
    <w:p w:rsidRPr="00A6543C" w:rsidR="00A6543C" w:rsidP="00C20E9C" w:rsidRDefault="00442842" w14:paraId="283F7444" w14:textId="77777777">
      <w:r w:rsidRPr="2EDE09E3">
        <w:rPr>
          <w:rFonts w:eastAsia="Calibri"/>
          <w:color w:val="020202"/>
        </w:rPr>
        <w:t>§ 29.22(j) –</w:t>
      </w:r>
      <w:r w:rsidRPr="2EDE09E3" w:rsidR="007C7AFC">
        <w:rPr>
          <w:rFonts w:eastAsia="Calibri"/>
          <w:color w:val="020202"/>
        </w:rPr>
        <w:t xml:space="preserve"> </w:t>
      </w:r>
      <w:r w:rsidRPr="2EDE09E3" w:rsidR="00A6543C">
        <w:rPr>
          <w:rFonts w:eastAsia="Calibri"/>
        </w:rPr>
        <w:t>An SRE must make publicly available the aggregated number of complaints pertaining to each IRAP in a format and</w:t>
      </w:r>
      <w:r w:rsidRPr="2EDE09E3" w:rsidR="7F075E31">
        <w:rPr>
          <w:rFonts w:eastAsia="Calibri"/>
        </w:rPr>
        <w:t xml:space="preserve"> with the</w:t>
      </w:r>
      <w:r w:rsidRPr="2EDE09E3" w:rsidR="00A6543C">
        <w:rPr>
          <w:rFonts w:eastAsia="Calibri"/>
        </w:rPr>
        <w:t xml:space="preserve"> frequency prescribed by the Administrator.</w:t>
      </w:r>
    </w:p>
    <w:p w:rsidR="00C20E9C" w:rsidP="00C20E9C" w:rsidRDefault="00C20E9C" w14:paraId="255C27A7" w14:textId="77777777"/>
    <w:p w:rsidR="00B366D8" w:rsidP="00C20E9C" w:rsidRDefault="00996725" w14:paraId="5B69E811" w14:textId="77777777">
      <w:r w:rsidRPr="00A6543C">
        <w:t xml:space="preserve">§ 29.24 </w:t>
      </w:r>
      <w:r w:rsidRPr="00A6543C">
        <w:rPr>
          <w:rFonts w:eastAsia="Calibri"/>
          <w:color w:val="020202"/>
        </w:rPr>
        <w:t>–</w:t>
      </w:r>
      <w:r w:rsidRPr="00A6543C">
        <w:t xml:space="preserve"> Publication of Standards Recognition Entities and Industry-Recognized Apprenticeship Programs. The Administrator will make publicly available a list of recognized, suspended, and derecognized SREs and IRAPs.</w:t>
      </w:r>
    </w:p>
    <w:p w:rsidR="0048787E" w:rsidP="00C20E9C" w:rsidRDefault="0048787E" w14:paraId="08F8A913" w14:textId="77777777"/>
    <w:p w:rsidRPr="00A6543C" w:rsidR="0048787E" w:rsidP="00C20E9C" w:rsidRDefault="0048787E" w14:paraId="467AE9A9" w14:textId="77777777">
      <w:r w:rsidRPr="0048787E">
        <w:t>Pursuant to § 29.22(h) and § 29.22(j), annual is defined as within 45 days of the Fiscal Year (October 1 of the budget's prior year through September 30 of the year being described).</w:t>
      </w:r>
    </w:p>
    <w:p w:rsidR="00CC0EE4" w:rsidP="00CC0EE4" w:rsidRDefault="00CC0EE4" w14:paraId="7462D53A" w14:textId="77777777">
      <w:pPr>
        <w:widowControl w:val="0"/>
        <w:tabs>
          <w:tab w:val="right" w:pos="-1080"/>
        </w:tabs>
        <w:autoSpaceDE w:val="0"/>
        <w:autoSpaceDN w:val="0"/>
        <w:adjustRightInd w:val="0"/>
        <w:ind w:left="720"/>
        <w:contextualSpacing/>
        <w:rPr>
          <w:i/>
        </w:rPr>
      </w:pPr>
    </w:p>
    <w:p w:rsidRPr="00F7529D" w:rsidR="00B366D8" w:rsidP="00B366D8" w:rsidRDefault="00B366D8" w14:paraId="0E9B144D" w14:textId="77777777">
      <w:pPr>
        <w:widowControl w:val="0"/>
        <w:numPr>
          <w:ilvl w:val="0"/>
          <w:numId w:val="2"/>
        </w:numPr>
        <w:tabs>
          <w:tab w:val="right" w:pos="-1080"/>
        </w:tabs>
        <w:autoSpaceDE w:val="0"/>
        <w:autoSpaceDN w:val="0"/>
        <w:adjustRightInd w:val="0"/>
        <w:ind w:left="720" w:hanging="720"/>
        <w:contextualSpacing/>
        <w:rPr>
          <w:i/>
        </w:rPr>
      </w:pPr>
      <w:r w:rsidRPr="00F7529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F7529D" w:rsidR="00B366D8" w:rsidP="00B366D8" w:rsidRDefault="00B366D8" w14:paraId="6E6675C2" w14:textId="77777777">
      <w:pPr>
        <w:widowControl w:val="0"/>
        <w:autoSpaceDE w:val="0"/>
        <w:autoSpaceDN w:val="0"/>
        <w:adjustRightInd w:val="0"/>
        <w:rPr>
          <w:u w:val="single"/>
        </w:rPr>
      </w:pPr>
    </w:p>
    <w:p w:rsidR="00B366D8" w:rsidP="00B366D8" w:rsidRDefault="00B366D8" w14:paraId="6BC07E9F"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720"/>
      </w:pPr>
      <w:r>
        <w:tab/>
        <w:t xml:space="preserve">The Department intends to relieve paperwork burdens by making the </w:t>
      </w:r>
      <w:r w:rsidR="00B518D2">
        <w:t xml:space="preserve">program </w:t>
      </w:r>
      <w:r>
        <w:t xml:space="preserve">and </w:t>
      </w:r>
      <w:r w:rsidR="00B518D2">
        <w:t xml:space="preserve">performance </w:t>
      </w:r>
      <w:r>
        <w:t>report</w:t>
      </w:r>
      <w:r w:rsidR="0029769D">
        <w:t>s</w:t>
      </w:r>
      <w:r>
        <w:t xml:space="preserve"> </w:t>
      </w:r>
      <w:r w:rsidR="0029769D">
        <w:t xml:space="preserve"> available in </w:t>
      </w:r>
      <w:r>
        <w:t xml:space="preserve">an online </w:t>
      </w:r>
      <w:r w:rsidR="0029769D">
        <w:t>reporting system</w:t>
      </w:r>
      <w:r>
        <w:t>. Th</w:t>
      </w:r>
      <w:r w:rsidR="0029769D">
        <w:t>is</w:t>
      </w:r>
      <w:r>
        <w:t xml:space="preserve"> online </w:t>
      </w:r>
      <w:r w:rsidR="00CC5DE0">
        <w:t>report</w:t>
      </w:r>
      <w:r w:rsidR="0029769D">
        <w:t xml:space="preserve">ing </w:t>
      </w:r>
      <w:r>
        <w:t xml:space="preserve">process </w:t>
      </w:r>
      <w:r w:rsidR="0084064B">
        <w:t xml:space="preserve">reduces burden and </w:t>
      </w:r>
      <w:r>
        <w:t xml:space="preserve">is </w:t>
      </w:r>
      <w:r w:rsidRPr="00F7529D">
        <w:t xml:space="preserve">consistent with the </w:t>
      </w:r>
      <w:r>
        <w:t xml:space="preserve">purposes and requirements of both the </w:t>
      </w:r>
      <w:r w:rsidRPr="00F7529D">
        <w:t xml:space="preserve">Government Paperwork Elimination Act </w:t>
      </w:r>
      <w:r>
        <w:t xml:space="preserve">(GPEA) </w:t>
      </w:r>
      <w:r w:rsidRPr="00F7529D">
        <w:t xml:space="preserve">and </w:t>
      </w:r>
      <w:r>
        <w:t xml:space="preserve">the </w:t>
      </w:r>
      <w:r w:rsidRPr="00F7529D">
        <w:t xml:space="preserve">E-Government </w:t>
      </w:r>
      <w:r>
        <w:t xml:space="preserve">Act. </w:t>
      </w:r>
    </w:p>
    <w:p w:rsidR="00B366D8" w:rsidP="00B366D8" w:rsidRDefault="00B366D8" w14:paraId="52C6905F"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720"/>
      </w:pPr>
    </w:p>
    <w:p w:rsidR="004D3613" w:rsidP="004D3613" w:rsidRDefault="004D3613" w14:paraId="269D7B08"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720"/>
      </w:pPr>
    </w:p>
    <w:p w:rsidRPr="004D3613" w:rsidR="004D3613" w:rsidP="004D3613" w:rsidRDefault="004D3613" w14:paraId="0285B8AD" w14:textId="77777777">
      <w:pPr>
        <w:pStyle w:val="ListParagraph"/>
        <w:widowControl w:val="0"/>
        <w:numPr>
          <w:ilvl w:val="0"/>
          <w:numId w:val="2"/>
        </w:numPr>
        <w:tabs>
          <w:tab w:val="right" w:pos="-1080"/>
        </w:tabs>
        <w:autoSpaceDE w:val="0"/>
        <w:autoSpaceDN w:val="0"/>
        <w:adjustRightInd w:val="0"/>
        <w:ind w:left="720" w:hanging="720"/>
        <w:rPr>
          <w:i/>
        </w:rPr>
      </w:pPr>
      <w:r w:rsidRPr="004D3613">
        <w:rPr>
          <w:i/>
        </w:rPr>
        <w:t>Describe efforts to identify duplication. Show specifically why any similar information already available cannot be used or modified for use for the purposes described in Item 2 above.</w:t>
      </w:r>
    </w:p>
    <w:p w:rsidRPr="00F7529D" w:rsidR="004D3613" w:rsidP="004D3613" w:rsidRDefault="004D3613" w14:paraId="5F0A855C" w14:textId="77777777">
      <w:pPr>
        <w:widowControl w:val="0"/>
        <w:autoSpaceDE w:val="0"/>
        <w:autoSpaceDN w:val="0"/>
        <w:adjustRightInd w:val="0"/>
      </w:pPr>
    </w:p>
    <w:p w:rsidRPr="00F7529D" w:rsidR="004D3613" w:rsidP="004D3613" w:rsidRDefault="004D3613" w14:paraId="31AB0353" w14:textId="77777777">
      <w:pPr>
        <w:autoSpaceDE w:val="0"/>
        <w:autoSpaceDN w:val="0"/>
        <w:adjustRightInd w:val="0"/>
      </w:pPr>
      <w:r>
        <w:t xml:space="preserve">While the Department will collect data from the </w:t>
      </w:r>
      <w:r w:rsidR="0084064B">
        <w:t>prospective SREs in the initial SRE application process on IRAPs they intend to recognize,</w:t>
      </w:r>
      <w:r w:rsidR="00FE1D28">
        <w:t xml:space="preserve"> </w:t>
      </w:r>
      <w:r>
        <w:t>those collections are during the prospective applicant stage</w:t>
      </w:r>
      <w:r w:rsidR="0084064B">
        <w:t>.</w:t>
      </w:r>
      <w:r>
        <w:t xml:space="preserve"> </w:t>
      </w:r>
      <w:r w:rsidR="0084064B">
        <w:t>T</w:t>
      </w:r>
      <w:r>
        <w:t>he</w:t>
      </w:r>
      <w:r w:rsidR="0084064B">
        <w:t>se</w:t>
      </w:r>
      <w:r>
        <w:t xml:space="preserve"> </w:t>
      </w:r>
      <w:r w:rsidR="00B518D2">
        <w:t xml:space="preserve">program </w:t>
      </w:r>
      <w:r>
        <w:t xml:space="preserve">and </w:t>
      </w:r>
      <w:r w:rsidR="00B518D2">
        <w:t xml:space="preserve">performance </w:t>
      </w:r>
      <w:r w:rsidR="0084064B">
        <w:t xml:space="preserve">reports will allow the SRE to submit actual program and performance data as required in </w:t>
      </w:r>
      <w:r w:rsidRPr="006F72A0">
        <w:rPr>
          <w:rFonts w:eastAsia="Calibri"/>
          <w:color w:val="000000"/>
        </w:rPr>
        <w:t>subpart B</w:t>
      </w:r>
      <w:r w:rsidRPr="006F72A0" w:rsidR="00AB6A63">
        <w:rPr>
          <w:rFonts w:eastAsia="Calibri"/>
          <w:color w:val="000000"/>
        </w:rPr>
        <w:t>.</w:t>
      </w:r>
      <w:r>
        <w:t xml:space="preserve"> </w:t>
      </w:r>
      <w:r w:rsidR="00AB6A63">
        <w:t>S</w:t>
      </w:r>
      <w:r w:rsidRPr="006F72A0">
        <w:rPr>
          <w:rFonts w:eastAsia="Calibri"/>
          <w:color w:val="000000"/>
        </w:rPr>
        <w:t>ubpart B</w:t>
      </w:r>
      <w:r w:rsidR="00AB6A63">
        <w:t xml:space="preserve"> also requires that that</w:t>
      </w:r>
      <w:r w:rsidR="00D84047">
        <w:t xml:space="preserve"> </w:t>
      </w:r>
      <w:r>
        <w:t xml:space="preserve">the </w:t>
      </w:r>
      <w:r w:rsidR="00FE1D28">
        <w:t xml:space="preserve">SRE and IRAP </w:t>
      </w:r>
      <w:r w:rsidR="00276E4A">
        <w:t xml:space="preserve">data be made </w:t>
      </w:r>
      <w:r w:rsidR="00FE1D28">
        <w:t>publicly</w:t>
      </w:r>
      <w:r w:rsidR="00276E4A">
        <w:t xml:space="preserve"> available and sent to the Administrator </w:t>
      </w:r>
      <w:r w:rsidR="00BC7012">
        <w:t xml:space="preserve">by the SRE </w:t>
      </w:r>
      <w:r w:rsidR="00276E4A">
        <w:t>in a format prescribed by the Administrator</w:t>
      </w:r>
      <w:r>
        <w:t xml:space="preserve">. </w:t>
      </w:r>
      <w:r w:rsidR="00276E4A">
        <w:t>T</w:t>
      </w:r>
      <w:r>
        <w:t xml:space="preserve">his </w:t>
      </w:r>
      <w:r w:rsidR="00276E4A">
        <w:t xml:space="preserve">ICR </w:t>
      </w:r>
      <w:r>
        <w:t xml:space="preserve">would complement the existing </w:t>
      </w:r>
      <w:r w:rsidR="00276E4A">
        <w:t>final rule for compliance, quality assurance</w:t>
      </w:r>
      <w:r w:rsidR="5130719D">
        <w:t>,</w:t>
      </w:r>
      <w:r w:rsidR="00276E4A">
        <w:t xml:space="preserve"> and outcome measures</w:t>
      </w:r>
      <w:r>
        <w:t xml:space="preserve">.  </w:t>
      </w:r>
    </w:p>
    <w:p w:rsidRPr="00F7529D" w:rsidR="00A61426" w:rsidP="00A61426" w:rsidRDefault="00A61426" w14:paraId="08AB5D06"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F7529D" w:rsidR="00A61426" w:rsidP="00A61426" w:rsidRDefault="00A61426" w14:paraId="311C68CD" w14:textId="77777777">
      <w:pPr>
        <w:widowControl w:val="0"/>
        <w:numPr>
          <w:ilvl w:val="0"/>
          <w:numId w:val="2"/>
        </w:numPr>
        <w:tabs>
          <w:tab w:val="right" w:pos="-1080"/>
        </w:tabs>
        <w:autoSpaceDE w:val="0"/>
        <w:autoSpaceDN w:val="0"/>
        <w:adjustRightInd w:val="0"/>
        <w:ind w:left="720" w:hanging="720"/>
        <w:contextualSpacing/>
        <w:rPr>
          <w:i/>
        </w:rPr>
      </w:pPr>
      <w:r w:rsidRPr="00F7529D">
        <w:rPr>
          <w:i/>
        </w:rPr>
        <w:t>If the collection of information impacts small businesses or other small entities, describe any methods used to minimize burden.</w:t>
      </w:r>
    </w:p>
    <w:p w:rsidRPr="00F7529D" w:rsidR="00A61426" w:rsidP="00A61426" w:rsidRDefault="00A61426" w14:paraId="29ED4E1A"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F7529D" w:rsidR="00A61426" w:rsidP="00A61426" w:rsidRDefault="00A61426" w14:paraId="0FD9F5D1"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2EDE09E3">
        <w:rPr>
          <w:rFonts w:eastAsia="Calibri"/>
        </w:rPr>
        <w:t xml:space="preserve">Because all the information to be collected </w:t>
      </w:r>
      <w:r w:rsidRPr="2EDE09E3" w:rsidR="00C80521">
        <w:rPr>
          <w:rFonts w:eastAsia="Calibri"/>
        </w:rPr>
        <w:t>is necessary to assess</w:t>
      </w:r>
      <w:r w:rsidRPr="2EDE09E3">
        <w:rPr>
          <w:rFonts w:eastAsia="Calibri"/>
        </w:rPr>
        <w:t xml:space="preserve"> the </w:t>
      </w:r>
      <w:r w:rsidRPr="2EDE09E3" w:rsidR="0027633C">
        <w:rPr>
          <w:rFonts w:eastAsia="Calibri"/>
        </w:rPr>
        <w:t>compliance</w:t>
      </w:r>
      <w:r w:rsidRPr="2EDE09E3">
        <w:rPr>
          <w:rFonts w:eastAsia="Calibri"/>
        </w:rPr>
        <w:t xml:space="preserve"> of </w:t>
      </w:r>
      <w:r>
        <w:t>SREs</w:t>
      </w:r>
      <w:r w:rsidRPr="2EDE09E3">
        <w:rPr>
          <w:rFonts w:eastAsia="Calibri"/>
        </w:rPr>
        <w:t xml:space="preserve"> (which could include small businesses or other small</w:t>
      </w:r>
      <w:r w:rsidRPr="2EDE09E3" w:rsidR="00C80521">
        <w:rPr>
          <w:rFonts w:eastAsia="Calibri"/>
        </w:rPr>
        <w:t xml:space="preserve"> entities</w:t>
      </w:r>
      <w:r w:rsidRPr="2EDE09E3" w:rsidR="00B30CF9">
        <w:rPr>
          <w:rFonts w:eastAsia="Calibri"/>
        </w:rPr>
        <w:t>)</w:t>
      </w:r>
      <w:r w:rsidRPr="2EDE09E3" w:rsidR="00C80521">
        <w:rPr>
          <w:rFonts w:eastAsia="Calibri"/>
        </w:rPr>
        <w:t>, the</w:t>
      </w:r>
      <w:r w:rsidRPr="2EDE09E3">
        <w:rPr>
          <w:rFonts w:eastAsia="Calibri"/>
        </w:rPr>
        <w:t xml:space="preserve"> burden on these </w:t>
      </w:r>
      <w:r>
        <w:t xml:space="preserve">SREs </w:t>
      </w:r>
      <w:r w:rsidRPr="2EDE09E3">
        <w:rPr>
          <w:rFonts w:eastAsia="Calibri"/>
        </w:rPr>
        <w:t xml:space="preserve">cannot be readily minimized, regardless of size. However, all </w:t>
      </w:r>
      <w:r w:rsidRPr="2EDE09E3" w:rsidR="00C80521">
        <w:rPr>
          <w:rFonts w:eastAsia="Calibri"/>
        </w:rPr>
        <w:t>recognized SREs</w:t>
      </w:r>
      <w:r w:rsidRPr="2EDE09E3">
        <w:rPr>
          <w:rFonts w:eastAsia="Calibri"/>
        </w:rPr>
        <w:t xml:space="preserve"> must </w:t>
      </w:r>
      <w:r w:rsidRPr="2EDE09E3" w:rsidR="00017F5A">
        <w:rPr>
          <w:rFonts w:eastAsia="Calibri"/>
        </w:rPr>
        <w:t>report</w:t>
      </w:r>
      <w:r w:rsidRPr="2EDE09E3">
        <w:rPr>
          <w:rFonts w:eastAsia="Calibri"/>
        </w:rPr>
        <w:t xml:space="preserve"> electronically through an online web-based </w:t>
      </w:r>
      <w:r w:rsidRPr="2EDE09E3" w:rsidR="00017F5A">
        <w:rPr>
          <w:rFonts w:eastAsia="Calibri"/>
        </w:rPr>
        <w:t xml:space="preserve">reporting </w:t>
      </w:r>
      <w:r w:rsidRPr="2EDE09E3">
        <w:rPr>
          <w:rFonts w:eastAsia="Calibri"/>
        </w:rPr>
        <w:t>system</w:t>
      </w:r>
      <w:r w:rsidRPr="2EDE09E3" w:rsidR="6918F9A4">
        <w:rPr>
          <w:rFonts w:eastAsia="Calibri"/>
        </w:rPr>
        <w:t>,</w:t>
      </w:r>
      <w:r w:rsidRPr="2EDE09E3" w:rsidR="00AB6A63">
        <w:rPr>
          <w:rFonts w:eastAsia="Calibri"/>
        </w:rPr>
        <w:t xml:space="preserve"> which reduces burden</w:t>
      </w:r>
      <w:r w:rsidRPr="2EDE09E3">
        <w:rPr>
          <w:rFonts w:eastAsia="Calibri"/>
        </w:rPr>
        <w:t xml:space="preserve">. The web-based </w:t>
      </w:r>
      <w:r w:rsidRPr="2EDE09E3" w:rsidR="00017F5A">
        <w:rPr>
          <w:rFonts w:eastAsia="Calibri"/>
        </w:rPr>
        <w:t>reporting system</w:t>
      </w:r>
      <w:r w:rsidRPr="2EDE09E3">
        <w:rPr>
          <w:rFonts w:eastAsia="Calibri"/>
        </w:rPr>
        <w:t xml:space="preserve"> offers efficient features that allows SREs to easily save, update, and submit their </w:t>
      </w:r>
      <w:r w:rsidRPr="2EDE09E3" w:rsidR="00017F5A">
        <w:rPr>
          <w:rFonts w:eastAsia="Calibri"/>
        </w:rPr>
        <w:t>IRAP</w:t>
      </w:r>
      <w:r w:rsidRPr="2EDE09E3" w:rsidR="00AB6A63">
        <w:rPr>
          <w:rFonts w:eastAsia="Calibri"/>
        </w:rPr>
        <w:t xml:space="preserve"> program and performance</w:t>
      </w:r>
      <w:r w:rsidRPr="2EDE09E3" w:rsidR="00017F5A">
        <w:rPr>
          <w:rFonts w:eastAsia="Calibri"/>
        </w:rPr>
        <w:t xml:space="preserve"> </w:t>
      </w:r>
      <w:r w:rsidRPr="2EDE09E3" w:rsidR="00AB6A63">
        <w:rPr>
          <w:rFonts w:eastAsia="Calibri"/>
        </w:rPr>
        <w:t xml:space="preserve">reports </w:t>
      </w:r>
      <w:r w:rsidRPr="2EDE09E3">
        <w:rPr>
          <w:rFonts w:eastAsia="Calibri"/>
        </w:rPr>
        <w:t>to DOL in a timely manner.</w:t>
      </w:r>
    </w:p>
    <w:p w:rsidR="00E143D7" w:rsidP="00E143D7" w:rsidRDefault="00E143D7" w14:paraId="37B81982" w14:textId="77777777">
      <w:pPr>
        <w:pStyle w:val="NoSpacing"/>
        <w:rPr>
          <w:rFonts w:ascii="Times New Roman" w:hAnsi="Times New Roman"/>
          <w:b/>
          <w:sz w:val="24"/>
          <w:szCs w:val="24"/>
        </w:rPr>
      </w:pPr>
    </w:p>
    <w:p w:rsidRPr="00F7529D" w:rsidR="00017F5A" w:rsidP="00017F5A" w:rsidRDefault="00017F5A" w14:paraId="2CB76E1D" w14:textId="77777777">
      <w:pPr>
        <w:widowControl w:val="0"/>
        <w:numPr>
          <w:ilvl w:val="0"/>
          <w:numId w:val="2"/>
        </w:numPr>
        <w:tabs>
          <w:tab w:val="right" w:pos="-1080"/>
        </w:tabs>
        <w:autoSpaceDE w:val="0"/>
        <w:autoSpaceDN w:val="0"/>
        <w:adjustRightInd w:val="0"/>
        <w:ind w:left="720" w:hanging="720"/>
        <w:contextualSpacing/>
        <w:rPr>
          <w:i/>
        </w:rPr>
      </w:pPr>
      <w:r w:rsidRPr="00F7529D">
        <w:rPr>
          <w:i/>
        </w:rPr>
        <w:t>Describe the consequence to Federal program or policy activities if the collection is not conducted or is conducted less frequently, as well as any technical or legal obstacles to reducing burden.</w:t>
      </w:r>
    </w:p>
    <w:p w:rsidRPr="00F7529D" w:rsidR="00017F5A" w:rsidP="00017F5A" w:rsidRDefault="00017F5A" w14:paraId="140818DE" w14:textId="77777777">
      <w:pPr>
        <w:widowControl w:val="0"/>
        <w:autoSpaceDE w:val="0"/>
        <w:autoSpaceDN w:val="0"/>
        <w:adjustRightInd w:val="0"/>
        <w:rPr>
          <w:b/>
        </w:rPr>
      </w:pPr>
    </w:p>
    <w:p w:rsidRPr="00F7529D" w:rsidR="00017F5A" w:rsidP="00017F5A" w:rsidRDefault="00017F5A" w14:paraId="15AEB752"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Pr>
          <w:rFonts w:eastAsia="Calibri"/>
        </w:rPr>
        <w:lastRenderedPageBreak/>
        <w:t>If authorization to collect the foregoing information were not granted, the Department would be unable to</w:t>
      </w:r>
      <w:r w:rsidR="009F0163">
        <w:rPr>
          <w:rFonts w:eastAsia="Calibri"/>
        </w:rPr>
        <w:t xml:space="preserve"> monitor SREs to</w:t>
      </w:r>
      <w:r>
        <w:rPr>
          <w:rFonts w:eastAsia="Calibri"/>
        </w:rPr>
        <w:t xml:space="preserve"> determine whether or not SREs are in compliance</w:t>
      </w:r>
      <w:r w:rsidR="009F0163">
        <w:rPr>
          <w:rFonts w:eastAsia="Calibri"/>
        </w:rPr>
        <w:t xml:space="preserve"> </w:t>
      </w:r>
      <w:r>
        <w:rPr>
          <w:rFonts w:eastAsia="Calibri"/>
        </w:rPr>
        <w:t xml:space="preserve">with the </w:t>
      </w:r>
      <w:r w:rsidR="009F0163">
        <w:rPr>
          <w:rFonts w:eastAsia="Calibri"/>
        </w:rPr>
        <w:t>standards</w:t>
      </w:r>
      <w:r>
        <w:rPr>
          <w:rFonts w:eastAsia="Calibri"/>
        </w:rPr>
        <w:t xml:space="preserve"> outlined in</w:t>
      </w:r>
      <w:r w:rsidRPr="005900DD">
        <w:rPr>
          <w:rFonts w:eastAsia="Calibri"/>
          <w:color w:val="000000"/>
        </w:rPr>
        <w:t xml:space="preserve"> </w:t>
      </w:r>
      <w:r>
        <w:rPr>
          <w:rFonts w:eastAsia="Calibri"/>
          <w:color w:val="000000"/>
        </w:rPr>
        <w:t>subpart B, and thus could not effectively administer the IRAP program</w:t>
      </w:r>
      <w:r>
        <w:rPr>
          <w:rFonts w:eastAsia="Calibri"/>
        </w:rPr>
        <w:t xml:space="preserve">.  </w:t>
      </w:r>
    </w:p>
    <w:p w:rsidRPr="00F7529D" w:rsidR="009F0163" w:rsidP="009F0163" w:rsidRDefault="009F0163" w14:paraId="6ABB80E1"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p>
    <w:p w:rsidR="00615ACC" w:rsidP="009F0163" w:rsidRDefault="009F0163" w14:paraId="364C2B81" w14:textId="77777777">
      <w:pPr>
        <w:widowControl w:val="0"/>
        <w:numPr>
          <w:ilvl w:val="0"/>
          <w:numId w:val="2"/>
        </w:numPr>
        <w:tabs>
          <w:tab w:val="right" w:pos="-1080"/>
        </w:tabs>
        <w:autoSpaceDE w:val="0"/>
        <w:autoSpaceDN w:val="0"/>
        <w:adjustRightInd w:val="0"/>
        <w:ind w:left="720" w:hanging="720"/>
        <w:contextualSpacing/>
        <w:rPr>
          <w:i/>
        </w:rPr>
      </w:pPr>
      <w:r w:rsidRPr="00F7529D">
        <w:rPr>
          <w:i/>
        </w:rPr>
        <w:t>Explain any special circumstances that would cause an information collection to be conducted in a manner that implicates the special circumstances listed in regulations 5 CFR 1320.5</w:t>
      </w:r>
      <w:r w:rsidR="00615ACC">
        <w:rPr>
          <w:i/>
        </w:rPr>
        <w:t>:</w:t>
      </w:r>
    </w:p>
    <w:p w:rsidRPr="002221A7" w:rsidR="00615ACC" w:rsidP="00615ACC" w:rsidRDefault="00615ACC" w14:paraId="232DBFB1" w14:textId="77777777">
      <w:pPr>
        <w:autoSpaceDE w:val="0"/>
        <w:autoSpaceDN w:val="0"/>
        <w:adjustRightInd w:val="0"/>
        <w:ind w:left="720" w:hanging="180"/>
        <w:rPr>
          <w:i/>
        </w:rPr>
      </w:pPr>
      <w:r w:rsidRPr="002221A7">
        <w:rPr>
          <w:i/>
        </w:rPr>
        <w:t xml:space="preserve">* Requiring respondents to report information to the agency more often than quarterly; </w:t>
      </w:r>
    </w:p>
    <w:p w:rsidRPr="002221A7" w:rsidR="00615ACC" w:rsidP="00615ACC" w:rsidRDefault="00615ACC" w14:paraId="2D1FBC3F" w14:textId="77777777">
      <w:pPr>
        <w:autoSpaceDE w:val="0"/>
        <w:autoSpaceDN w:val="0"/>
        <w:adjustRightInd w:val="0"/>
        <w:ind w:left="720" w:hanging="180"/>
        <w:rPr>
          <w:i/>
        </w:rPr>
      </w:pPr>
      <w:r w:rsidRPr="002221A7">
        <w:rPr>
          <w:i/>
        </w:rPr>
        <w:t xml:space="preserve">* Requiring respondents to prepare a written response to a collection of information in fewer than 30 days after receipt of it; </w:t>
      </w:r>
    </w:p>
    <w:p w:rsidRPr="002221A7" w:rsidR="00615ACC" w:rsidP="00615ACC" w:rsidRDefault="00615ACC" w14:paraId="358599A6" w14:textId="77777777">
      <w:pPr>
        <w:autoSpaceDE w:val="0"/>
        <w:autoSpaceDN w:val="0"/>
        <w:adjustRightInd w:val="0"/>
        <w:ind w:left="720" w:hanging="180"/>
        <w:rPr>
          <w:i/>
        </w:rPr>
      </w:pPr>
      <w:r w:rsidRPr="002221A7">
        <w:rPr>
          <w:i/>
        </w:rPr>
        <w:t xml:space="preserve">* Requiring respondents to submit more than an original and two copies of any document; </w:t>
      </w:r>
    </w:p>
    <w:p w:rsidRPr="002221A7" w:rsidR="00615ACC" w:rsidP="00615ACC" w:rsidRDefault="00615ACC" w14:paraId="61644A32" w14:textId="77777777">
      <w:pPr>
        <w:autoSpaceDE w:val="0"/>
        <w:autoSpaceDN w:val="0"/>
        <w:adjustRightInd w:val="0"/>
        <w:ind w:left="720" w:hanging="180"/>
        <w:rPr>
          <w:i/>
        </w:rPr>
      </w:pPr>
      <w:r w:rsidRPr="002221A7">
        <w:rPr>
          <w:i/>
        </w:rPr>
        <w:t xml:space="preserve">* Requiring respondents to retain records, other than health, medical, government contract, grant-in-aid, or tax records, for more than three years; </w:t>
      </w:r>
    </w:p>
    <w:p w:rsidRPr="002221A7" w:rsidR="00615ACC" w:rsidP="00615ACC" w:rsidRDefault="00615ACC" w14:paraId="5F7F58A6" w14:textId="77777777">
      <w:pPr>
        <w:autoSpaceDE w:val="0"/>
        <w:autoSpaceDN w:val="0"/>
        <w:adjustRightInd w:val="0"/>
        <w:ind w:left="720" w:hanging="180"/>
        <w:rPr>
          <w:i/>
        </w:rPr>
      </w:pPr>
      <w:r w:rsidRPr="002221A7">
        <w:rPr>
          <w:i/>
        </w:rPr>
        <w:t xml:space="preserve">* In connection with a statistical survey, that is not designed to produce valid and reliable results that can be generalized to the universe of study; </w:t>
      </w:r>
    </w:p>
    <w:p w:rsidRPr="002221A7" w:rsidR="00615ACC" w:rsidP="00615ACC" w:rsidRDefault="00615ACC" w14:paraId="3378B524" w14:textId="77777777">
      <w:pPr>
        <w:autoSpaceDE w:val="0"/>
        <w:autoSpaceDN w:val="0"/>
        <w:adjustRightInd w:val="0"/>
        <w:ind w:left="720" w:hanging="180"/>
        <w:rPr>
          <w:i/>
        </w:rPr>
      </w:pPr>
      <w:r w:rsidRPr="002221A7">
        <w:rPr>
          <w:i/>
        </w:rPr>
        <w:t xml:space="preserve">* Requiring the use of a statistical data classification that has not been reviewed and approved by OMB; </w:t>
      </w:r>
    </w:p>
    <w:p w:rsidRPr="002221A7" w:rsidR="00615ACC" w:rsidP="00615ACC" w:rsidRDefault="00615ACC" w14:paraId="38CA01F1" w14:textId="77777777">
      <w:pPr>
        <w:autoSpaceDE w:val="0"/>
        <w:autoSpaceDN w:val="0"/>
        <w:adjustRightInd w:val="0"/>
        <w:ind w:left="720" w:hanging="180"/>
        <w:rPr>
          <w:i/>
        </w:rPr>
      </w:pPr>
      <w:r w:rsidRPr="002221A7">
        <w:rPr>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2221A7" w:rsidR="00615ACC" w:rsidP="00615ACC" w:rsidRDefault="00615ACC" w14:paraId="38B9488D" w14:textId="77777777">
      <w:pPr>
        <w:autoSpaceDE w:val="0"/>
        <w:autoSpaceDN w:val="0"/>
        <w:adjustRightInd w:val="0"/>
        <w:ind w:left="720" w:hanging="180"/>
        <w:rPr>
          <w:i/>
        </w:rPr>
      </w:pPr>
      <w:r w:rsidRPr="002221A7">
        <w:rPr>
          <w:i/>
        </w:rPr>
        <w:t>* Requiring respondents to submit proprietary trade secrets, or other confidential information unless the agency can demonstrate that it has instituted procedures to protect the information's confidentiality to the extent permitted by law.</w:t>
      </w:r>
    </w:p>
    <w:p w:rsidRPr="00F7529D" w:rsidR="009F0163" w:rsidP="008E32F4" w:rsidRDefault="009F0163" w14:paraId="3721266F" w14:textId="77777777">
      <w:pPr>
        <w:widowControl w:val="0"/>
        <w:tabs>
          <w:tab w:val="right" w:pos="-1080"/>
        </w:tabs>
        <w:autoSpaceDE w:val="0"/>
        <w:autoSpaceDN w:val="0"/>
        <w:adjustRightInd w:val="0"/>
        <w:ind w:left="720"/>
        <w:contextualSpacing/>
        <w:rPr>
          <w:i/>
        </w:rPr>
      </w:pPr>
    </w:p>
    <w:p w:rsidRPr="00F7529D" w:rsidR="007D72B2" w:rsidP="009F0163" w:rsidRDefault="007D72B2" w14:paraId="0DCC48AB"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p>
    <w:p w:rsidR="009F0163" w:rsidP="009F0163" w:rsidRDefault="009F0163" w14:paraId="710C8183" w14:textId="60A78A9F">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CB7D8E">
        <w:t>These data collection efforts do not involve any special circumstance</w:t>
      </w:r>
      <w:r w:rsidR="003A5A14">
        <w:t xml:space="preserve">s other than record retention.  Pursuant to </w:t>
      </w:r>
      <w:r w:rsidRPr="003A5A14" w:rsidR="003A5A14">
        <w:t>§ 29.22(</w:t>
      </w:r>
      <w:r w:rsidR="003A5A14">
        <w:t xml:space="preserve">o), </w:t>
      </w:r>
      <w:r w:rsidRPr="003A5A14" w:rsidR="003A5A14">
        <w:t>SRE</w:t>
      </w:r>
      <w:r w:rsidR="003A5A14">
        <w:t>s</w:t>
      </w:r>
      <w:r w:rsidRPr="003A5A14" w:rsidR="003A5A14">
        <w:t xml:space="preserve"> must ensure that records regarding each IRAP recognized, including whether the IRAP has met all applicable requirements of this subpart, are maintained for a minimum of 5 years</w:t>
      </w:r>
      <w:r w:rsidR="003A5A14">
        <w:t>.</w:t>
      </w:r>
      <w:r w:rsidR="00EB53B3">
        <w:t xml:space="preserve"> </w:t>
      </w:r>
      <w:r w:rsidR="0010232F">
        <w:t>Concerning</w:t>
      </w:r>
      <w:r w:rsidR="00EB53B3">
        <w:t xml:space="preserve"> a recordkeeping burden, this matter </w:t>
      </w:r>
      <w:r w:rsidR="0010232F">
        <w:t>has been previously</w:t>
      </w:r>
      <w:r w:rsidR="00EB53B3">
        <w:t xml:space="preserve"> addressed in ETA ICR 1205-0536.</w:t>
      </w:r>
    </w:p>
    <w:p w:rsidRPr="00F7529D" w:rsidR="00C55D99" w:rsidP="00C55D99" w:rsidRDefault="00C55D99" w14:paraId="07D1840A"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C55D99" w:rsidP="00C55D99" w:rsidRDefault="00C55D99" w14:paraId="0BC33A72" w14:textId="77777777">
      <w:pPr>
        <w:widowControl w:val="0"/>
        <w:numPr>
          <w:ilvl w:val="0"/>
          <w:numId w:val="2"/>
        </w:numPr>
        <w:tabs>
          <w:tab w:val="right" w:pos="-1080"/>
        </w:tabs>
        <w:autoSpaceDE w:val="0"/>
        <w:autoSpaceDN w:val="0"/>
        <w:adjustRightInd w:val="0"/>
        <w:ind w:left="720" w:hanging="720"/>
        <w:contextualSpacing/>
        <w:rPr>
          <w:i/>
        </w:rPr>
      </w:pPr>
      <w:r w:rsidRPr="00F7529D">
        <w:rPr>
          <w:i/>
        </w:rPr>
        <w:t>If applicable, provide a copy and identify the data and page number of publication in the Federal Register of the agency</w:t>
      </w:r>
      <w:r>
        <w:rPr>
          <w:i/>
        </w:rPr>
        <w:t>’</w:t>
      </w:r>
      <w:r w:rsidRPr="00F7529D">
        <w:rPr>
          <w:i/>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15ACC" w:rsidP="008E32F4" w:rsidRDefault="00615ACC" w14:paraId="5BA5CD7A" w14:textId="77777777">
      <w:pPr>
        <w:widowControl w:val="0"/>
        <w:tabs>
          <w:tab w:val="right" w:pos="-1080"/>
        </w:tabs>
        <w:autoSpaceDE w:val="0"/>
        <w:autoSpaceDN w:val="0"/>
        <w:adjustRightInd w:val="0"/>
        <w:ind w:left="720"/>
        <w:contextualSpacing/>
        <w:rPr>
          <w:i/>
        </w:rPr>
      </w:pPr>
    </w:p>
    <w:p w:rsidRPr="00615ACC" w:rsidR="00615ACC" w:rsidP="00615ACC" w:rsidRDefault="00615ACC" w14:paraId="02C8A5A7" w14:textId="77777777">
      <w:pPr>
        <w:widowControl w:val="0"/>
        <w:tabs>
          <w:tab w:val="right" w:pos="-1080"/>
        </w:tabs>
        <w:autoSpaceDE w:val="0"/>
        <w:autoSpaceDN w:val="0"/>
        <w:adjustRightInd w:val="0"/>
        <w:ind w:left="720"/>
        <w:contextualSpacing/>
        <w:rPr>
          <w:i/>
        </w:rPr>
      </w:pPr>
      <w:r w:rsidRPr="00615ACC">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15ACC" w:rsidR="00615ACC" w:rsidP="00615ACC" w:rsidRDefault="00615ACC" w14:paraId="6687B375" w14:textId="77777777">
      <w:pPr>
        <w:widowControl w:val="0"/>
        <w:tabs>
          <w:tab w:val="right" w:pos="-1080"/>
        </w:tabs>
        <w:autoSpaceDE w:val="0"/>
        <w:autoSpaceDN w:val="0"/>
        <w:adjustRightInd w:val="0"/>
        <w:ind w:left="720"/>
        <w:contextualSpacing/>
        <w:rPr>
          <w:i/>
        </w:rPr>
      </w:pPr>
    </w:p>
    <w:p w:rsidRPr="00F7529D" w:rsidR="00615ACC" w:rsidP="008E32F4" w:rsidRDefault="00615ACC" w14:paraId="7EFC8DC2" w14:textId="77777777">
      <w:pPr>
        <w:widowControl w:val="0"/>
        <w:tabs>
          <w:tab w:val="right" w:pos="-1080"/>
        </w:tabs>
        <w:autoSpaceDE w:val="0"/>
        <w:autoSpaceDN w:val="0"/>
        <w:adjustRightInd w:val="0"/>
        <w:ind w:left="720"/>
        <w:contextualSpacing/>
        <w:rPr>
          <w:i/>
        </w:rPr>
      </w:pPr>
      <w:r w:rsidRPr="00615ACC">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C55D99" w:rsidP="00C55D99" w:rsidRDefault="00C55D99" w14:paraId="39D73ECB" w14:textId="77777777">
      <w:pPr>
        <w:tabs>
          <w:tab w:val="right" w:pos="-1080"/>
        </w:tabs>
        <w:autoSpaceDE w:val="0"/>
        <w:autoSpaceDN w:val="0"/>
        <w:adjustRightInd w:val="0"/>
        <w:ind w:left="720"/>
        <w:contextualSpacing/>
        <w:rPr>
          <w:i/>
        </w:rPr>
      </w:pPr>
    </w:p>
    <w:p w:rsidR="00FA690C" w:rsidP="00F535E7" w:rsidRDefault="00E121D4" w14:paraId="1190BA34" w14:textId="73229F6E">
      <w:pPr>
        <w:tabs>
          <w:tab w:val="right" w:pos="-1080"/>
        </w:tabs>
        <w:autoSpaceDE w:val="0"/>
        <w:autoSpaceDN w:val="0"/>
        <w:adjustRightInd w:val="0"/>
        <w:contextualSpacing/>
        <w:rPr>
          <w:rFonts w:eastAsia="Calibri"/>
          <w:bCs/>
        </w:rPr>
      </w:pPr>
      <w:r>
        <w:lastRenderedPageBreak/>
        <w:t>A 60-day Notice was published in the Federal Register on May 26, 2020 (</w:t>
      </w:r>
      <w:r w:rsidRPr="00E121D4">
        <w:t>85 FR 31551</w:t>
      </w:r>
      <w:r>
        <w:t>)</w:t>
      </w:r>
      <w:r w:rsidR="002662DE">
        <w:t>,</w:t>
      </w:r>
      <w:r>
        <w:t xml:space="preserve"> </w:t>
      </w:r>
      <w:r w:rsidRPr="000B61E0" w:rsidR="00FA690C">
        <w:t>included the following information soliciting comments on the information collection</w:t>
      </w:r>
      <w:r>
        <w:t>.</w:t>
      </w:r>
      <w:r w:rsidR="00FA690C">
        <w:rPr>
          <w:rFonts w:eastAsia="Calibri"/>
          <w:bCs/>
        </w:rPr>
        <w:t xml:space="preserve">   The Department received </w:t>
      </w:r>
      <w:r w:rsidR="000251D1">
        <w:rPr>
          <w:rFonts w:eastAsia="Calibri"/>
          <w:bCs/>
        </w:rPr>
        <w:t xml:space="preserve">two </w:t>
      </w:r>
      <w:r w:rsidR="00FA690C">
        <w:rPr>
          <w:rFonts w:eastAsia="Calibri"/>
          <w:bCs/>
        </w:rPr>
        <w:t>comment</w:t>
      </w:r>
      <w:r w:rsidR="000251D1">
        <w:rPr>
          <w:rFonts w:eastAsia="Calibri"/>
          <w:bCs/>
        </w:rPr>
        <w:t>s</w:t>
      </w:r>
      <w:r w:rsidR="00FA690C">
        <w:rPr>
          <w:rFonts w:eastAsia="Calibri"/>
          <w:bCs/>
        </w:rPr>
        <w:t xml:space="preserve"> in the public docket</w:t>
      </w:r>
      <w:r w:rsidR="000251D1">
        <w:rPr>
          <w:rFonts w:eastAsia="Calibri"/>
          <w:bCs/>
        </w:rPr>
        <w:t>.  One was not germane.  The Department issued a direct response to the second commenter</w:t>
      </w:r>
      <w:r w:rsidR="00FA690C">
        <w:rPr>
          <w:rFonts w:eastAsia="Calibri"/>
          <w:bCs/>
        </w:rPr>
        <w:t>.</w:t>
      </w:r>
      <w:r w:rsidR="000251D1">
        <w:rPr>
          <w:rFonts w:eastAsia="Calibri"/>
          <w:bCs/>
        </w:rPr>
        <w:t xml:space="preserve">  The Department has provided this comment and its response in the supplementary document entitled “</w:t>
      </w:r>
      <w:r w:rsidRPr="000251D1" w:rsidR="000251D1">
        <w:rPr>
          <w:rFonts w:eastAsia="Calibri"/>
          <w:bCs/>
        </w:rPr>
        <w:t>Response to IRAP Performance ICR Comments (Clean) 8.11.2020.docx</w:t>
      </w:r>
      <w:r w:rsidR="000251D1">
        <w:rPr>
          <w:rFonts w:eastAsia="Calibri"/>
          <w:bCs/>
        </w:rPr>
        <w:t>”</w:t>
      </w:r>
    </w:p>
    <w:p w:rsidRPr="00F7529D" w:rsidR="0009376B" w:rsidP="0009376B" w:rsidRDefault="0009376B" w14:paraId="7844292A" w14:textId="77777777">
      <w:pPr>
        <w:tabs>
          <w:tab w:val="right" w:pos="-1080"/>
        </w:tabs>
        <w:autoSpaceDE w:val="0"/>
        <w:autoSpaceDN w:val="0"/>
        <w:adjustRightInd w:val="0"/>
        <w:ind w:left="720"/>
        <w:contextualSpacing/>
        <w:rPr>
          <w:i/>
        </w:rPr>
      </w:pPr>
    </w:p>
    <w:p w:rsidRPr="00F7529D" w:rsidR="0009376B" w:rsidP="0009376B" w:rsidRDefault="0009376B" w14:paraId="69EC2D03" w14:textId="77777777">
      <w:pPr>
        <w:widowControl w:val="0"/>
        <w:numPr>
          <w:ilvl w:val="0"/>
          <w:numId w:val="2"/>
        </w:numPr>
        <w:tabs>
          <w:tab w:val="right" w:pos="-1080"/>
        </w:tabs>
        <w:autoSpaceDE w:val="0"/>
        <w:autoSpaceDN w:val="0"/>
        <w:adjustRightInd w:val="0"/>
        <w:ind w:left="720" w:hanging="720"/>
        <w:contextualSpacing/>
        <w:rPr>
          <w:i/>
        </w:rPr>
      </w:pPr>
      <w:r w:rsidRPr="00F7529D">
        <w:rPr>
          <w:i/>
        </w:rPr>
        <w:t>Explain any decision to provide any payment or gift to respondents, other than remuneration of contractors or grantees.</w:t>
      </w:r>
    </w:p>
    <w:p w:rsidRPr="00F7529D" w:rsidR="0009376B" w:rsidP="0009376B" w:rsidRDefault="0009376B" w14:paraId="2487B691"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F7529D" w:rsidR="0009376B" w:rsidP="0009376B" w:rsidRDefault="0009376B" w14:paraId="0573906D" w14:textId="77777777">
      <w:pPr>
        <w:tabs>
          <w:tab w:val="right" w:pos="-1080"/>
        </w:tabs>
        <w:autoSpaceDE w:val="0"/>
        <w:autoSpaceDN w:val="0"/>
        <w:adjustRightInd w:val="0"/>
        <w:contextualSpacing/>
        <w:rPr>
          <w:i/>
        </w:rPr>
      </w:pPr>
      <w:r w:rsidRPr="00F7529D">
        <w:t>This information collection does not involve payments to respondents</w:t>
      </w:r>
      <w:r w:rsidR="00C80521">
        <w:t>.</w:t>
      </w:r>
    </w:p>
    <w:p w:rsidRPr="00F7529D" w:rsidR="0009376B" w:rsidP="0009376B" w:rsidRDefault="0009376B" w14:paraId="3D785E78"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F7529D" w:rsidR="0009376B" w:rsidP="0009376B" w:rsidRDefault="0009376B" w14:paraId="4DCCF643" w14:textId="77777777">
      <w:pPr>
        <w:widowControl w:val="0"/>
        <w:autoSpaceDE w:val="0"/>
        <w:autoSpaceDN w:val="0"/>
        <w:adjustRightInd w:val="0"/>
        <w:ind w:left="720" w:hanging="720"/>
        <w:rPr>
          <w:i/>
        </w:rPr>
      </w:pPr>
      <w:r w:rsidRPr="00F7529D">
        <w:rPr>
          <w:i/>
        </w:rPr>
        <w:t>10.</w:t>
      </w:r>
      <w:r w:rsidRPr="00F7529D">
        <w:rPr>
          <w:rFonts w:ascii="Courier" w:hAnsi="Courier"/>
          <w:i/>
        </w:rPr>
        <w:tab/>
      </w:r>
      <w:r w:rsidRPr="00F7529D">
        <w:rPr>
          <w:i/>
        </w:rPr>
        <w:t>Describe any assurance of confidentiality provided to respondents and the basis for the assurance in statute, regulation, or agency policy.</w:t>
      </w:r>
    </w:p>
    <w:p w:rsidR="00701D8F" w:rsidP="00701D8F" w:rsidRDefault="00701D8F" w14:paraId="4B104BEB" w14:textId="77777777"/>
    <w:p w:rsidRPr="008D4371" w:rsidR="00701D8F" w:rsidP="00701D8F" w:rsidRDefault="00701D8F" w14:paraId="4B3D5F92" w14:textId="77777777">
      <w:r>
        <w:t xml:space="preserve">The </w:t>
      </w:r>
      <w:r w:rsidR="00B518D2">
        <w:t xml:space="preserve">program </w:t>
      </w:r>
      <w:r w:rsidR="00CE0360">
        <w:t>and</w:t>
      </w:r>
      <w:r w:rsidR="00B518D2">
        <w:t xml:space="preserve"> performance</w:t>
      </w:r>
      <w:r w:rsidR="00CE0360">
        <w:t xml:space="preserve"> </w:t>
      </w:r>
      <w:r w:rsidR="00B518D2">
        <w:t>reports</w:t>
      </w:r>
      <w:r>
        <w:t xml:space="preserve"> </w:t>
      </w:r>
      <w:r w:rsidR="008F1E65">
        <w:t xml:space="preserve">require aggregate level participant data and </w:t>
      </w:r>
      <w:r>
        <w:t>will not require the disclosure by the SREs</w:t>
      </w:r>
      <w:r w:rsidR="008F1E65">
        <w:t xml:space="preserve"> </w:t>
      </w:r>
      <w:r>
        <w:t xml:space="preserve">(nor by IRAP sponsors) of personally identifiable information about apprentices (such as the individualized salary information or social security numbers of such persons). </w:t>
      </w:r>
      <w:r w:rsidR="003E570C">
        <w:t xml:space="preserve">While </w:t>
      </w:r>
      <w:r w:rsidR="00AB6A63">
        <w:t xml:space="preserve">information on </w:t>
      </w:r>
      <w:r w:rsidR="003E570C">
        <w:t xml:space="preserve">training cost per apprentice and fees are </w:t>
      </w:r>
      <w:r w:rsidR="002D0EA9">
        <w:t>a part</w:t>
      </w:r>
      <w:r w:rsidR="003E570C">
        <w:t xml:space="preserve"> of the reporting </w:t>
      </w:r>
      <w:r w:rsidR="00AB6A63">
        <w:t>elements</w:t>
      </w:r>
      <w:r w:rsidR="003E570C">
        <w:t>, personal identifiers are not captured. P</w:t>
      </w:r>
      <w:r w:rsidRPr="003E570C" w:rsidR="003E570C">
        <w:t xml:space="preserve">ersonally identifiable information </w:t>
      </w:r>
      <w:r w:rsidR="002D0EA9">
        <w:t xml:space="preserve">of apprentices </w:t>
      </w:r>
      <w:r w:rsidR="003E570C">
        <w:t xml:space="preserve">are </w:t>
      </w:r>
      <w:r w:rsidR="002D0EA9">
        <w:t>treated as private between</w:t>
      </w:r>
      <w:r>
        <w:t xml:space="preserve"> the SRE </w:t>
      </w:r>
      <w:r w:rsidR="002D0EA9">
        <w:t>and</w:t>
      </w:r>
      <w:r>
        <w:t xml:space="preserve"> IRAP. Such information is exempt from public disclosure under Exemption #4 of the Freedom of Information Act (FOIA) (5 U.S.C. § 552(b)(4)). This </w:t>
      </w:r>
      <w:r w:rsidR="00B518D2">
        <w:t xml:space="preserve">program </w:t>
      </w:r>
      <w:r w:rsidR="00CE0360">
        <w:t xml:space="preserve">and </w:t>
      </w:r>
      <w:r w:rsidR="00B518D2">
        <w:t xml:space="preserve">performance </w:t>
      </w:r>
      <w:r w:rsidR="00CE0360">
        <w:t xml:space="preserve">reporting </w:t>
      </w:r>
      <w:r w:rsidR="00B518D2">
        <w:t xml:space="preserve">reports </w:t>
      </w:r>
      <w:r>
        <w:t xml:space="preserve">generally seeks to obtain information from and concerning SREs. Under this collection, the name of an SRE </w:t>
      </w:r>
      <w:r w:rsidR="00CE0360">
        <w:t xml:space="preserve">and IRAP </w:t>
      </w:r>
      <w:r w:rsidR="00B30CF9">
        <w:t xml:space="preserve">Sponsor </w:t>
      </w:r>
      <w:r>
        <w:t xml:space="preserve">will be posted at </w:t>
      </w:r>
      <w:hyperlink w:history="1" r:id="rId11">
        <w:r w:rsidRPr="007A46FF">
          <w:rPr>
            <w:rStyle w:val="Hyperlink"/>
          </w:rPr>
          <w:t>www.dol.gov/apprenticeship</w:t>
        </w:r>
      </w:hyperlink>
      <w:r w:rsidR="00557488">
        <w:rPr>
          <w:rStyle w:val="Hyperlink"/>
        </w:rPr>
        <w:t>,</w:t>
      </w:r>
      <w:r>
        <w:t xml:space="preserve"> </w:t>
      </w:r>
      <w:r w:rsidR="00CE0360">
        <w:t>t</w:t>
      </w:r>
      <w:r w:rsidRPr="00996725" w:rsidR="00CE0360">
        <w:t xml:space="preserve">he </w:t>
      </w:r>
      <w:r w:rsidR="00CE0360">
        <w:t>A</w:t>
      </w:r>
      <w:r w:rsidRPr="00996725" w:rsidR="00CE0360">
        <w:t>dministrator will make publicly available a list of recognized, suspended, and derecognized SREs and IRAPs</w:t>
      </w:r>
      <w:r w:rsidR="00557488">
        <w:t xml:space="preserve">. </w:t>
      </w:r>
      <w:r>
        <w:t xml:space="preserve">This information collection does not offer a limited assurance of confidentiality. While information collected by </w:t>
      </w:r>
      <w:r w:rsidR="003E570C">
        <w:t xml:space="preserve">these </w:t>
      </w:r>
      <w:r w:rsidR="00CC5DE0">
        <w:t xml:space="preserve">reports </w:t>
      </w:r>
      <w:r w:rsidR="003E570C">
        <w:t>are</w:t>
      </w:r>
      <w:r>
        <w:t xml:space="preserve"> generally subject to public disclosure under the Freedom of Information Act (FOIA), as noted above, FOIA Exemption #4 affords protection to submitters (such as </w:t>
      </w:r>
      <w:r w:rsidR="003E570C">
        <w:t>recognized</w:t>
      </w:r>
      <w:r>
        <w:t xml:space="preserve"> SREs) who are asked to furnish commercial or financial information to the Federal Government. </w:t>
      </w:r>
      <w:r w:rsidRPr="008D4371">
        <w:t>The Office of Apprenticeship will provide an applicant notice and an opportunity to object before disclosing information from the applicant.</w:t>
      </w:r>
    </w:p>
    <w:p w:rsidR="0009376B" w:rsidP="0009376B" w:rsidRDefault="0009376B" w14:paraId="0C883EC8" w14:textId="77777777">
      <w:pPr>
        <w:widowControl w:val="0"/>
        <w:autoSpaceDE w:val="0"/>
        <w:autoSpaceDN w:val="0"/>
        <w:adjustRightInd w:val="0"/>
        <w:rPr>
          <w:b/>
        </w:rPr>
      </w:pPr>
    </w:p>
    <w:p w:rsidRPr="00D74537" w:rsidR="0009376B" w:rsidP="0009376B" w:rsidRDefault="0009376B" w14:paraId="61DD30DB" w14:textId="77777777">
      <w:pPr>
        <w:ind w:left="720" w:hanging="720"/>
        <w:rPr>
          <w:i/>
        </w:rPr>
      </w:pPr>
      <w:r w:rsidRPr="00D74537">
        <w:rPr>
          <w:i/>
        </w:rPr>
        <w:t>11.</w:t>
      </w:r>
      <w:r w:rsidRPr="00D74537">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C5F44" w:rsidR="0009376B" w:rsidP="0009376B" w:rsidRDefault="0009376B" w14:paraId="7DA83638" w14:textId="77777777"/>
    <w:p w:rsidRPr="00CC5F44" w:rsidR="0009376B" w:rsidP="0009376B" w:rsidRDefault="0009376B" w14:paraId="3934FB6E" w14:textId="77777777">
      <w:r w:rsidRPr="00CC5F44">
        <w:t xml:space="preserve">No questions of this nature are posed </w:t>
      </w:r>
      <w:r w:rsidR="008F1E65">
        <w:t>in</w:t>
      </w:r>
      <w:r w:rsidRPr="00CC5F44" w:rsidR="008F1E65">
        <w:t xml:space="preserve"> </w:t>
      </w:r>
      <w:r w:rsidR="008F1E65">
        <w:t>this information collection</w:t>
      </w:r>
      <w:r w:rsidR="001C175B">
        <w:t>.</w:t>
      </w:r>
    </w:p>
    <w:p w:rsidRPr="00CC5F44" w:rsidR="007C7AFC" w:rsidP="007C7AFC" w:rsidRDefault="007C7AFC" w14:paraId="409E72D1" w14:textId="77777777"/>
    <w:p w:rsidRPr="00615ACC" w:rsidR="00615ACC" w:rsidP="00615ACC" w:rsidRDefault="007C7AFC" w14:paraId="19A79D2F" w14:textId="77777777">
      <w:pPr>
        <w:tabs>
          <w:tab w:val="right" w:pos="360"/>
        </w:tabs>
        <w:autoSpaceDE w:val="0"/>
        <w:autoSpaceDN w:val="0"/>
        <w:adjustRightInd w:val="0"/>
        <w:ind w:left="540" w:hanging="540"/>
        <w:rPr>
          <w:i/>
        </w:rPr>
      </w:pPr>
      <w:r w:rsidRPr="00D74537">
        <w:rPr>
          <w:i/>
        </w:rPr>
        <w:t>12.</w:t>
      </w:r>
      <w:r w:rsidRPr="00D74537">
        <w:rPr>
          <w:i/>
        </w:rPr>
        <w:tab/>
        <w:t>Provide estimates of the hour burden of the collection of information.</w:t>
      </w:r>
      <w:r w:rsidR="00615ACC">
        <w:rPr>
          <w:i/>
        </w:rPr>
        <w:t xml:space="preserve">  </w:t>
      </w:r>
      <w:r w:rsidRPr="00615ACC" w:rsidR="00615ACC">
        <w:rPr>
          <w:i/>
        </w:rPr>
        <w:t xml:space="preserve">The statement should: </w:t>
      </w:r>
    </w:p>
    <w:p w:rsidRPr="00615ACC" w:rsidR="00615ACC" w:rsidP="00615ACC" w:rsidRDefault="00615ACC" w14:paraId="4E45E512" w14:textId="77777777">
      <w:pPr>
        <w:autoSpaceDE w:val="0"/>
        <w:autoSpaceDN w:val="0"/>
        <w:adjustRightInd w:val="0"/>
        <w:ind w:left="720" w:hanging="180"/>
        <w:rPr>
          <w:i/>
        </w:rPr>
      </w:pPr>
      <w:r w:rsidRPr="00615ACC">
        <w:rPr>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15ACC">
        <w:rPr>
          <w:i/>
        </w:rPr>
        <w:lastRenderedPageBreak/>
        <w:t>Generally, estimates should not include burden hours for customary and usual business practices.</w:t>
      </w:r>
    </w:p>
    <w:p w:rsidRPr="00615ACC" w:rsidR="00615ACC" w:rsidP="00615ACC" w:rsidRDefault="00615ACC" w14:paraId="6A71CAF0" w14:textId="77777777">
      <w:pPr>
        <w:autoSpaceDE w:val="0"/>
        <w:autoSpaceDN w:val="0"/>
        <w:adjustRightInd w:val="0"/>
        <w:ind w:left="720" w:hanging="180"/>
        <w:rPr>
          <w:i/>
        </w:rPr>
      </w:pPr>
      <w:r w:rsidRPr="00615ACC">
        <w:rPr>
          <w:i/>
        </w:rPr>
        <w:t xml:space="preserve">* If this request for approval covers more than one form, provide separate hour burden estimates for each form and aggregate the hour burdens. </w:t>
      </w:r>
    </w:p>
    <w:p w:rsidRPr="00615ACC" w:rsidR="00615ACC" w:rsidP="00615ACC" w:rsidRDefault="00615ACC" w14:paraId="2A834C81" w14:textId="77777777">
      <w:pPr>
        <w:autoSpaceDE w:val="0"/>
        <w:autoSpaceDN w:val="0"/>
        <w:adjustRightInd w:val="0"/>
        <w:ind w:left="720" w:hanging="180"/>
        <w:rPr>
          <w:i/>
        </w:rPr>
      </w:pPr>
      <w:r w:rsidRPr="00615ACC">
        <w:rPr>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D74537" w:rsidR="007C7AFC" w:rsidP="007C7AFC" w:rsidRDefault="007C7AFC" w14:paraId="0A1AB93F" w14:textId="77777777">
      <w:pPr>
        <w:ind w:left="720" w:hanging="720"/>
        <w:rPr>
          <w:i/>
        </w:rPr>
      </w:pPr>
    </w:p>
    <w:p w:rsidRPr="00CC5F44" w:rsidR="007C7AFC" w:rsidP="007C7AFC" w:rsidRDefault="007C7AFC" w14:paraId="3E416B32" w14:textId="77777777"/>
    <w:p w:rsidR="007C7AFC" w:rsidP="007C7AFC" w:rsidRDefault="007C7AFC" w14:paraId="6EBA37AD" w14:textId="77777777">
      <w:pPr>
        <w:widowControl w:val="0"/>
        <w:autoSpaceDE w:val="0"/>
        <w:autoSpaceDN w:val="0"/>
        <w:adjustRightInd w:val="0"/>
      </w:pPr>
      <w:r>
        <w:rPr>
          <w:b/>
          <w:u w:val="single"/>
        </w:rPr>
        <w:t>Estimat</w:t>
      </w:r>
      <w:r w:rsidRPr="003B2ECA">
        <w:rPr>
          <w:b/>
          <w:u w:val="single"/>
        </w:rPr>
        <w:t>ed Number of Respondents to the Information Collection</w:t>
      </w:r>
      <w:r w:rsidRPr="00D1462A">
        <w:rPr>
          <w:b/>
          <w:u w:val="single"/>
        </w:rPr>
        <w:t xml:space="preserve"> </w:t>
      </w:r>
      <w:r w:rsidRPr="00D275E1">
        <w:t xml:space="preserve"> </w:t>
      </w:r>
    </w:p>
    <w:p w:rsidR="007C7AFC" w:rsidP="007C7AFC" w:rsidRDefault="007C7AFC" w14:paraId="78F6D1DE" w14:textId="77777777">
      <w:pPr>
        <w:widowControl w:val="0"/>
        <w:autoSpaceDE w:val="0"/>
        <w:autoSpaceDN w:val="0"/>
        <w:adjustRightInd w:val="0"/>
      </w:pPr>
    </w:p>
    <w:p w:rsidR="007C7AFC" w:rsidP="007C7AFC" w:rsidRDefault="007C7AFC" w14:paraId="2FDE32C0" w14:textId="77777777">
      <w:pPr>
        <w:widowControl w:val="0"/>
        <w:autoSpaceDE w:val="0"/>
        <w:autoSpaceDN w:val="0"/>
        <w:adjustRightInd w:val="0"/>
      </w:pPr>
      <w:r w:rsidRPr="005E4605">
        <w:rPr>
          <w:rFonts w:eastAsia="Calibri"/>
        </w:rPr>
        <w:t xml:space="preserve">The Department believes </w:t>
      </w:r>
      <w:r>
        <w:rPr>
          <w:rFonts w:eastAsia="Calibri"/>
        </w:rPr>
        <w:t>a</w:t>
      </w:r>
      <w:r w:rsidRPr="005E4605">
        <w:rPr>
          <w:rFonts w:eastAsia="Calibri"/>
        </w:rPr>
        <w:t xml:space="preserve"> reliable guidepost for estimating the number of </w:t>
      </w:r>
      <w:r>
        <w:rPr>
          <w:rFonts w:eastAsia="Calibri"/>
        </w:rPr>
        <w:t>SRE</w:t>
      </w:r>
      <w:r w:rsidRPr="005E4605">
        <w:rPr>
          <w:rFonts w:eastAsia="Calibri"/>
        </w:rPr>
        <w:t xml:space="preserve"> </w:t>
      </w:r>
      <w:r>
        <w:rPr>
          <w:rFonts w:eastAsia="Calibri"/>
        </w:rPr>
        <w:t>applicants</w:t>
      </w:r>
      <w:r w:rsidRPr="005E4605">
        <w:rPr>
          <w:rFonts w:eastAsia="Calibri"/>
        </w:rPr>
        <w:t xml:space="preserve"> is the number of entities that submitted grant applications in Fiscal Year 2016 under the Office of Apprenticeship’s American Apprenticeship Initiative (AAI) grants program.</w:t>
      </w:r>
      <w:r w:rsidRPr="0090538D">
        <w:t xml:space="preserve"> </w:t>
      </w:r>
    </w:p>
    <w:p w:rsidR="007C7AFC" w:rsidP="007C7AFC" w:rsidRDefault="007C7AFC" w14:paraId="7A4DC863" w14:textId="77777777">
      <w:pPr>
        <w:widowControl w:val="0"/>
        <w:autoSpaceDE w:val="0"/>
        <w:autoSpaceDN w:val="0"/>
        <w:adjustRightInd w:val="0"/>
      </w:pPr>
    </w:p>
    <w:p w:rsidR="007C7AFC" w:rsidP="007C7AFC" w:rsidRDefault="007C7AFC" w14:paraId="150D7999" w14:textId="77777777">
      <w:pPr>
        <w:widowControl w:val="0"/>
        <w:autoSpaceDE w:val="0"/>
        <w:autoSpaceDN w:val="0"/>
        <w:adjustRightInd w:val="0"/>
      </w:pPr>
      <w:r>
        <w:t xml:space="preserve">Like Industry-Recognized Apprenticeship Programs, the Department designed the AAI grant program to encourage the development of innovative, groundbreaking approaches to apprenticeship program development by a wide cross-section of groups, including private-sector employers, labor unions, educational institutions, and not-for-profit organizations. In the four months during which AAI grant applications were accepted, the Office of Apprenticeship received 191 applications for grants from the intended cross-section of program sponsors and innovators. </w:t>
      </w:r>
    </w:p>
    <w:p w:rsidR="007C7AFC" w:rsidP="007C7AFC" w:rsidRDefault="007C7AFC" w14:paraId="40FEB155" w14:textId="77777777">
      <w:pPr>
        <w:widowControl w:val="0"/>
        <w:autoSpaceDE w:val="0"/>
        <w:autoSpaceDN w:val="0"/>
        <w:adjustRightInd w:val="0"/>
        <w:rPr>
          <w:rFonts w:eastAsia="Calibri"/>
        </w:rPr>
      </w:pPr>
    </w:p>
    <w:p w:rsidRPr="00CA4A69" w:rsidR="007C7AFC" w:rsidP="007C7AFC" w:rsidRDefault="007C7AFC" w14:paraId="05E5E00D" w14:textId="77777777">
      <w:pPr>
        <w:widowControl w:val="0"/>
        <w:autoSpaceDE w:val="0"/>
        <w:autoSpaceDN w:val="0"/>
        <w:adjustRightInd w:val="0"/>
        <w:rPr>
          <w:rFonts w:eastAsia="Calibri"/>
        </w:rPr>
      </w:pPr>
      <w:r w:rsidRPr="00CA4A69">
        <w:rPr>
          <w:rFonts w:eastAsia="Calibri"/>
        </w:rPr>
        <w:t>Starting with 191 AAI grantee applicants as a reasonably</w:t>
      </w:r>
      <w:r>
        <w:rPr>
          <w:rFonts w:eastAsia="Calibri"/>
        </w:rPr>
        <w:t xml:space="preserve"> </w:t>
      </w:r>
      <w:r w:rsidRPr="00CA4A69">
        <w:rPr>
          <w:rFonts w:eastAsia="Calibri"/>
        </w:rPr>
        <w:t xml:space="preserve">analogous baseline, the Department rounded this figure slightly upwards to 200 to provide for ease of estimation. The Department then reduced this number by 10 percent to 180 to account for </w:t>
      </w:r>
      <w:r>
        <w:rPr>
          <w:rFonts w:eastAsia="Calibri"/>
        </w:rPr>
        <w:t xml:space="preserve">the fact that </w:t>
      </w:r>
      <w:r w:rsidRPr="00CA4A69">
        <w:rPr>
          <w:rFonts w:eastAsia="Calibri"/>
        </w:rPr>
        <w:t xml:space="preserve">some entities in industries that applied for AAI grants may choose not to seek to participate in </w:t>
      </w:r>
      <w:r>
        <w:rPr>
          <w:rFonts w:eastAsia="Calibri"/>
        </w:rPr>
        <w:t>this program</w:t>
      </w:r>
      <w:r w:rsidRPr="00CA4A69">
        <w:rPr>
          <w:rFonts w:eastAsia="Calibri"/>
        </w:rPr>
        <w:t xml:space="preserve">. The Department then adjusted this figure 50 percent higher to account for its planned efforts to promote </w:t>
      </w:r>
      <w:r>
        <w:rPr>
          <w:rFonts w:eastAsia="Calibri"/>
        </w:rPr>
        <w:t>IRAP</w:t>
      </w:r>
      <w:r w:rsidRPr="00CA4A69">
        <w:rPr>
          <w:rFonts w:eastAsia="Calibri"/>
        </w:rPr>
        <w:t xml:space="preserve">s in the private sector, resulting in an estimate of 270 SRE applications in Year 1 (= 180 × 1.5). The Department further estimates that it </w:t>
      </w:r>
      <w:r>
        <w:rPr>
          <w:rFonts w:eastAsia="Calibri"/>
        </w:rPr>
        <w:t>will</w:t>
      </w:r>
      <w:r w:rsidRPr="00CA4A69">
        <w:rPr>
          <w:rFonts w:eastAsia="Calibri"/>
        </w:rPr>
        <w:t xml:space="preserve"> recognize approximately 75 percent of applicants as SREs, either during their initial submission or their resubmission. Accordingly, the Department estimates that there </w:t>
      </w:r>
      <w:r>
        <w:rPr>
          <w:rFonts w:eastAsia="Calibri"/>
        </w:rPr>
        <w:t>will</w:t>
      </w:r>
      <w:r w:rsidRPr="00CA4A69">
        <w:rPr>
          <w:rFonts w:eastAsia="Calibri"/>
        </w:rPr>
        <w:t xml:space="preserve"> be 203 SREs (= 270 × 75%) in Year 1. </w:t>
      </w:r>
    </w:p>
    <w:p w:rsidR="007C7AFC" w:rsidP="007C7AFC" w:rsidRDefault="007C7AFC" w14:paraId="5ED101DA" w14:textId="77777777">
      <w:pPr>
        <w:widowControl w:val="0"/>
        <w:autoSpaceDE w:val="0"/>
        <w:autoSpaceDN w:val="0"/>
        <w:adjustRightInd w:val="0"/>
        <w:rPr>
          <w:rFonts w:eastAsia="Calibri"/>
        </w:rPr>
      </w:pPr>
    </w:p>
    <w:p w:rsidRPr="00CA4A69" w:rsidR="007C7AFC" w:rsidP="007C7AFC" w:rsidRDefault="007C7AFC" w14:paraId="1340EBB4" w14:textId="77777777">
      <w:pPr>
        <w:widowControl w:val="0"/>
        <w:autoSpaceDE w:val="0"/>
        <w:autoSpaceDN w:val="0"/>
        <w:adjustRightInd w:val="0"/>
        <w:rPr>
          <w:rFonts w:eastAsia="Calibri"/>
        </w:rPr>
      </w:pPr>
      <w:r w:rsidRPr="00CA4A69">
        <w:rPr>
          <w:rFonts w:eastAsia="Calibri"/>
        </w:rPr>
        <w:t xml:space="preserve">To estimate the number of applications and </w:t>
      </w:r>
      <w:r>
        <w:rPr>
          <w:rFonts w:eastAsia="Calibri"/>
        </w:rPr>
        <w:t xml:space="preserve">the number of applicants that will be recognized as </w:t>
      </w:r>
      <w:r w:rsidRPr="00CA4A69">
        <w:rPr>
          <w:rFonts w:eastAsia="Calibri"/>
        </w:rPr>
        <w:t>SREs in Years 2</w:t>
      </w:r>
      <w:r>
        <w:rPr>
          <w:rFonts w:eastAsia="Calibri"/>
        </w:rPr>
        <w:t xml:space="preserve"> and 3</w:t>
      </w:r>
      <w:r w:rsidRPr="00CA4A69">
        <w:rPr>
          <w:rFonts w:eastAsia="Calibri"/>
        </w:rPr>
        <w:t xml:space="preserve">, the Department began by assuming that the total number of SREs </w:t>
      </w:r>
      <w:r>
        <w:rPr>
          <w:rFonts w:eastAsia="Calibri"/>
        </w:rPr>
        <w:t>will</w:t>
      </w:r>
      <w:r w:rsidRPr="00CA4A69">
        <w:rPr>
          <w:rFonts w:eastAsia="Calibri"/>
        </w:rPr>
        <w:t xml:space="preserve"> increase by 5 percent per year based on historic growth in the Registered Apprenticeship program. </w:t>
      </w:r>
      <w:r>
        <w:rPr>
          <w:rFonts w:eastAsia="Calibri"/>
        </w:rPr>
        <w:t xml:space="preserve">So, in Year 2, </w:t>
      </w:r>
      <w:r w:rsidRPr="00CA4A69">
        <w:rPr>
          <w:rFonts w:eastAsia="Calibri"/>
        </w:rPr>
        <w:t xml:space="preserve">the total number of SREs is estimated to be 213 (= 203 </w:t>
      </w:r>
      <w:r>
        <w:rPr>
          <w:rFonts w:eastAsia="Calibri"/>
        </w:rPr>
        <w:t xml:space="preserve">total </w:t>
      </w:r>
      <w:r w:rsidRPr="00CA4A69">
        <w:rPr>
          <w:rFonts w:eastAsia="Calibri"/>
        </w:rPr>
        <w:t xml:space="preserve">SREs in Year 1 × 1.05). </w:t>
      </w:r>
      <w:r>
        <w:rPr>
          <w:rFonts w:eastAsia="Calibri"/>
        </w:rPr>
        <w:t xml:space="preserve">In Year 3, </w:t>
      </w:r>
      <w:r w:rsidRPr="00CA4A69">
        <w:rPr>
          <w:rFonts w:eastAsia="Calibri"/>
        </w:rPr>
        <w:t>the total number of SREs is estimated to be 2</w:t>
      </w:r>
      <w:r>
        <w:rPr>
          <w:rFonts w:eastAsia="Calibri"/>
        </w:rPr>
        <w:t>24</w:t>
      </w:r>
      <w:r w:rsidRPr="00CA4A69">
        <w:rPr>
          <w:rFonts w:eastAsia="Calibri"/>
        </w:rPr>
        <w:t xml:space="preserve"> (= 2</w:t>
      </w:r>
      <w:r>
        <w:rPr>
          <w:rFonts w:eastAsia="Calibri"/>
        </w:rPr>
        <w:t>1</w:t>
      </w:r>
      <w:r w:rsidRPr="00CA4A69">
        <w:rPr>
          <w:rFonts w:eastAsia="Calibri"/>
        </w:rPr>
        <w:t xml:space="preserve">3 </w:t>
      </w:r>
      <w:r>
        <w:rPr>
          <w:rFonts w:eastAsia="Calibri"/>
        </w:rPr>
        <w:t xml:space="preserve">total </w:t>
      </w:r>
      <w:r w:rsidRPr="00CA4A69">
        <w:rPr>
          <w:rFonts w:eastAsia="Calibri"/>
        </w:rPr>
        <w:t xml:space="preserve">SREs in Year </w:t>
      </w:r>
      <w:r>
        <w:rPr>
          <w:rFonts w:eastAsia="Calibri"/>
        </w:rPr>
        <w:t>2</w:t>
      </w:r>
      <w:r w:rsidRPr="00CA4A69">
        <w:rPr>
          <w:rFonts w:eastAsia="Calibri"/>
        </w:rPr>
        <w:t xml:space="preserve"> × 1.05)</w:t>
      </w:r>
      <w:r>
        <w:rPr>
          <w:rFonts w:eastAsia="Calibri"/>
        </w:rPr>
        <w:t>.</w:t>
      </w:r>
      <w:r w:rsidRPr="001409F3">
        <w:rPr>
          <w:rFonts w:eastAsia="Calibri"/>
        </w:rPr>
        <w:t xml:space="preserve"> </w:t>
      </w:r>
      <w:r>
        <w:rPr>
          <w:rFonts w:eastAsia="Calibri"/>
        </w:rPr>
        <w:t>Therefore, the Department estimates that the annual average number of total SREs in the first three years will be 213 [= (203 total SREs in Year 1 + 213 total SREs in Year 2 + 224 total SREs in Year 3) ÷ 3 years)].</w:t>
      </w:r>
    </w:p>
    <w:p w:rsidR="007C7AFC" w:rsidP="007C7AFC" w:rsidRDefault="007C7AFC" w14:paraId="3C9F1442" w14:textId="77777777">
      <w:pPr>
        <w:widowControl w:val="0"/>
        <w:autoSpaceDE w:val="0"/>
        <w:autoSpaceDN w:val="0"/>
        <w:adjustRightInd w:val="0"/>
        <w:rPr>
          <w:rFonts w:eastAsia="Calibri"/>
        </w:rPr>
      </w:pPr>
    </w:p>
    <w:p w:rsidR="007C7AFC" w:rsidP="007C7AFC" w:rsidRDefault="007C7AFC" w14:paraId="3DD906D6" w14:textId="77777777">
      <w:pPr>
        <w:widowControl w:val="0"/>
        <w:autoSpaceDE w:val="0"/>
        <w:autoSpaceDN w:val="0"/>
        <w:adjustRightInd w:val="0"/>
      </w:pPr>
      <w:r>
        <w:t xml:space="preserve">The Department anticipates that each SRE will recognize approximately 32 IRAPs, beginning with 10 new IRAPs in its first year, 8 new IRAPs in its second year, and 5 new IRAPs in its third year. Based on this assumption, the number of new IRAPs in Year 1 is estimated to be 2,030 (= 203 new SREs in Year 1 × 10 new IRAPs per SRE). The number of new IRAPs in Year 2 is estimated to be 1,724 [= (203 new SREs in Year 1 × 8 new IRAPs per SRE) + (10 new SREs in Year 2 × 10 new IRAPs per SRE)]. The number of new IRAPs in Year 3 is estimated to be 1,205 [= (203 new SREs in Year 1 × 5 new IRAPs </w:t>
      </w:r>
      <w:r>
        <w:lastRenderedPageBreak/>
        <w:t xml:space="preserve">per SRE) + (10 new SREs in Year 2 × 8 new IRAPs per SRE) + (11 new SREs in Year 3 × 10 new IRAPs per SRE)]. Therefore, the Department estimates that there will be an average of 1,653 new IRAPs in the first three years [= (2,030 new IRAPs in Year 1 + 1,724 new IRAPs in Year 2 + 1,205 new IRAPs in Year 3) ÷ 3 years)]. </w:t>
      </w:r>
    </w:p>
    <w:p w:rsidR="007C7AFC" w:rsidP="007C7AFC" w:rsidRDefault="007C7AFC" w14:paraId="49E817EF" w14:textId="77777777">
      <w:pPr>
        <w:widowControl w:val="0"/>
        <w:autoSpaceDE w:val="0"/>
        <w:autoSpaceDN w:val="0"/>
        <w:adjustRightInd w:val="0"/>
      </w:pPr>
    </w:p>
    <w:p w:rsidR="007C7AFC" w:rsidP="007C7AFC" w:rsidRDefault="007C7AFC" w14:paraId="67EAFDA5" w14:textId="77777777">
      <w:pPr>
        <w:widowControl w:val="0"/>
        <w:autoSpaceDE w:val="0"/>
        <w:autoSpaceDN w:val="0"/>
        <w:adjustRightInd w:val="0"/>
      </w:pPr>
      <w:r>
        <w:t>On a cumulative basis, the total number of IRAPs in Year 2 is estimated to be 3,754 (= 2,030 new IRAPs in Year 1 + 1,724 new IRAPs in Year 2). In Year 3, the total number of IRAPs is estimated to be 4,959 (= 2,030 new IRAPs in Year 1 + 1,724 new IRAPs in Year 2 + 1,205 new IRAPs in Year 3). Therefore, the Department estimates that there will be an average of 3,581 total IRAPs in the first three years [= (2,030 total IRAPs in Year 1 + 3,754 total IRAPs in Year 2 + 4,959 total IRAPs in Year 3) ÷ 3 years)].</w:t>
      </w:r>
    </w:p>
    <w:p w:rsidR="007C7AFC" w:rsidP="007C7AFC" w:rsidRDefault="007C7AFC" w14:paraId="3D118A45" w14:textId="77777777">
      <w:pPr>
        <w:widowControl w:val="0"/>
        <w:autoSpaceDE w:val="0"/>
        <w:autoSpaceDN w:val="0"/>
        <w:adjustRightInd w:val="0"/>
      </w:pPr>
    </w:p>
    <w:p w:rsidR="007C7AFC" w:rsidP="007C7AFC" w:rsidRDefault="007C7AFC" w14:paraId="64F23F0C" w14:textId="77777777">
      <w:pPr>
        <w:widowControl w:val="0"/>
        <w:numPr>
          <w:ilvl w:val="0"/>
          <w:numId w:val="6"/>
        </w:numPr>
        <w:autoSpaceDE w:val="0"/>
        <w:autoSpaceDN w:val="0"/>
        <w:adjustRightInd w:val="0"/>
        <w:rPr>
          <w:b/>
          <w:u w:val="single"/>
        </w:rPr>
      </w:pPr>
      <w:r w:rsidRPr="0070785E">
        <w:rPr>
          <w:b/>
          <w:u w:val="single"/>
        </w:rPr>
        <w:t xml:space="preserve">Description of the information collection </w:t>
      </w:r>
    </w:p>
    <w:p w:rsidR="007C7AFC" w:rsidP="007C7AFC" w:rsidRDefault="007C7AFC" w14:paraId="3C69A23A" w14:textId="77777777">
      <w:pPr>
        <w:widowControl w:val="0"/>
        <w:autoSpaceDE w:val="0"/>
        <w:autoSpaceDN w:val="0"/>
        <w:adjustRightInd w:val="0"/>
        <w:ind w:left="720"/>
        <w:rPr>
          <w:b/>
          <w:u w:val="single"/>
        </w:rPr>
      </w:pPr>
    </w:p>
    <w:p w:rsidRPr="00D72C43" w:rsidR="007C7AFC" w:rsidP="007C7AFC" w:rsidRDefault="007C7AFC" w14:paraId="3B815001" w14:textId="77777777">
      <w:pPr>
        <w:widowControl w:val="0"/>
        <w:autoSpaceDE w:val="0"/>
        <w:autoSpaceDN w:val="0"/>
        <w:adjustRightInd w:val="0"/>
        <w:rPr>
          <w:b/>
          <w:u w:val="single"/>
        </w:rPr>
      </w:pPr>
      <w:r w:rsidRPr="00D72C43">
        <w:rPr>
          <w:b/>
          <w:u w:val="single"/>
        </w:rPr>
        <w:t>Anticipated Designated Responders to the Information Collection and Their Compensation Rate</w:t>
      </w:r>
      <w:r w:rsidRPr="00D72C43">
        <w:t>:</w:t>
      </w:r>
      <w:r w:rsidRPr="00D72C43">
        <w:rPr>
          <w:b/>
          <w:u w:val="single"/>
        </w:rPr>
        <w:t xml:space="preserve"> </w:t>
      </w:r>
    </w:p>
    <w:p w:rsidR="007C7AFC" w:rsidP="007C7AFC" w:rsidRDefault="007C7AFC" w14:paraId="6AE71465" w14:textId="77777777">
      <w:pPr>
        <w:widowControl w:val="0"/>
        <w:autoSpaceDE w:val="0"/>
        <w:autoSpaceDN w:val="0"/>
        <w:adjustRightInd w:val="0"/>
      </w:pPr>
    </w:p>
    <w:p w:rsidR="007C7AFC" w:rsidP="007C7AFC" w:rsidRDefault="007C7AFC" w14:paraId="3E066552" w14:textId="77777777">
      <w:pPr>
        <w:autoSpaceDE w:val="0"/>
        <w:autoSpaceDN w:val="0"/>
        <w:adjustRightInd w:val="0"/>
        <w:rPr>
          <w:rFonts w:eastAsia="Calibri"/>
        </w:rPr>
      </w:pPr>
      <w:r>
        <w:rPr>
          <w:rFonts w:eastAsia="Calibri"/>
        </w:rPr>
        <w:t>The Department anticipates that the bulk of the workload for private sector workers will be performed by employees in occupations similar to those associated with Standard Occupational Classification code 11-3131 (Training and Development Managers).</w:t>
      </w:r>
    </w:p>
    <w:p w:rsidR="007C7AFC" w:rsidP="007C7AFC" w:rsidRDefault="007C7AFC" w14:paraId="1669D3BB" w14:textId="77777777">
      <w:pPr>
        <w:autoSpaceDE w:val="0"/>
        <w:autoSpaceDN w:val="0"/>
        <w:adjustRightInd w:val="0"/>
        <w:rPr>
          <w:rFonts w:eastAsia="Calibri"/>
        </w:rPr>
      </w:pPr>
    </w:p>
    <w:p w:rsidR="007C7AFC" w:rsidP="007C7AFC" w:rsidRDefault="007C7AFC" w14:paraId="74EC77B6" w14:textId="77777777">
      <w:pPr>
        <w:autoSpaceDE w:val="0"/>
        <w:autoSpaceDN w:val="0"/>
        <w:adjustRightInd w:val="0"/>
        <w:rPr>
          <w:rFonts w:eastAsia="Calibri"/>
        </w:rPr>
      </w:pPr>
      <w:r>
        <w:rPr>
          <w:rFonts w:eastAsia="Calibri"/>
        </w:rPr>
        <w:t>According to BLS, the mean hourly wage rate for Training and Development Managers in May 2018 was $58.53.</w:t>
      </w:r>
      <w:r>
        <w:rPr>
          <w:rStyle w:val="FootnoteReference"/>
          <w:rFonts w:eastAsia="Calibri"/>
        </w:rPr>
        <w:footnoteReference w:id="1"/>
      </w:r>
      <w:r>
        <w:rPr>
          <w:rFonts w:eastAsia="Calibri"/>
        </w:rPr>
        <w:t xml:space="preserve"> For this analysis, the Department used a fringe benefits rate of 46 percent</w:t>
      </w:r>
      <w:r>
        <w:rPr>
          <w:rStyle w:val="FootnoteReference"/>
          <w:rFonts w:eastAsia="Calibri"/>
        </w:rPr>
        <w:footnoteReference w:id="2"/>
      </w:r>
      <w:r>
        <w:rPr>
          <w:rFonts w:eastAsia="Calibri"/>
        </w:rPr>
        <w:t xml:space="preserve"> and an overhead rate of 54 percent,</w:t>
      </w:r>
      <w:r>
        <w:rPr>
          <w:rStyle w:val="FootnoteReference"/>
          <w:rFonts w:eastAsia="Calibri"/>
        </w:rPr>
        <w:footnoteReference w:id="3"/>
      </w:r>
      <w:r>
        <w:rPr>
          <w:rFonts w:eastAsia="Calibri"/>
        </w:rPr>
        <w:t xml:space="preserve"> resulting in a fully loaded hourly compensation rate for Training and Development Managers of $117.06 [= $58.53 + ($58.53 × 46%) + ($58.53 × 54%)]. </w:t>
      </w:r>
    </w:p>
    <w:p w:rsidR="007C7AFC" w:rsidP="007C7AFC" w:rsidRDefault="007C7AFC" w14:paraId="2EB96599" w14:textId="77777777">
      <w:pPr>
        <w:widowControl w:val="0"/>
        <w:autoSpaceDE w:val="0"/>
        <w:autoSpaceDN w:val="0"/>
        <w:adjustRightInd w:val="0"/>
        <w:rPr>
          <w:rFonts w:eastAsia="Calibri"/>
        </w:rPr>
      </w:pPr>
    </w:p>
    <w:p w:rsidRPr="00A07456" w:rsidR="007C7AFC" w:rsidP="007C7AFC" w:rsidRDefault="007C7AFC" w14:paraId="197B6864" w14:textId="77777777">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color w:val="000000"/>
          <w:u w:val="single"/>
        </w:rPr>
      </w:pPr>
      <w:r>
        <w:rPr>
          <w:b/>
          <w:u w:val="single"/>
        </w:rPr>
        <w:t xml:space="preserve">Time for SRE to </w:t>
      </w:r>
      <w:r w:rsidRPr="00A07456">
        <w:rPr>
          <w:b/>
          <w:u w:val="single"/>
        </w:rPr>
        <w:t>Inform Administrator of I</w:t>
      </w:r>
      <w:r>
        <w:rPr>
          <w:b/>
          <w:u w:val="single"/>
        </w:rPr>
        <w:t>RAP</w:t>
      </w:r>
      <w:r w:rsidRPr="00A07456">
        <w:rPr>
          <w:b/>
          <w:u w:val="single"/>
        </w:rPr>
        <w:t xml:space="preserve"> Recognition</w:t>
      </w:r>
      <w:r>
        <w:rPr>
          <w:b/>
          <w:u w:val="single"/>
        </w:rPr>
        <w:t>, Suspension,</w:t>
      </w:r>
      <w:r w:rsidRPr="00A07456">
        <w:rPr>
          <w:b/>
          <w:u w:val="single"/>
        </w:rPr>
        <w:t xml:space="preserve"> or Termination</w:t>
      </w:r>
      <w:r w:rsidRPr="00900638">
        <w:t>: (</w:t>
      </w:r>
      <w:r>
        <w:t>3.75</w:t>
      </w:r>
      <w:r w:rsidRPr="00900638">
        <w:t xml:space="preserve"> minutes per </w:t>
      </w:r>
      <w:r>
        <w:t xml:space="preserve">notification per </w:t>
      </w:r>
      <w:r w:rsidRPr="00900638">
        <w:t>SRE)</w:t>
      </w:r>
    </w:p>
    <w:p w:rsidR="007C7AFC" w:rsidP="007C7AFC" w:rsidRDefault="007C7AFC" w14:paraId="2E607495" w14:textId="77777777">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7C7AFC" w:rsidP="007C7AFC" w:rsidRDefault="007C7AFC" w14:paraId="45655112" w14:textId="77777777">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The Department estimates that it will take </w:t>
      </w:r>
      <w:r w:rsidRPr="002F4599">
        <w:t xml:space="preserve">an SRE </w:t>
      </w:r>
      <w:r>
        <w:t xml:space="preserve">3.75 minutes to </w:t>
      </w:r>
      <w:r w:rsidRPr="002F4599">
        <w:t>inform the Administrator when it has recognized</w:t>
      </w:r>
      <w:r>
        <w:t>, suspended,</w:t>
      </w:r>
      <w:r w:rsidRPr="002F4599">
        <w:t xml:space="preserve"> or terminated the recognition of </w:t>
      </w:r>
      <w:r>
        <w:t xml:space="preserve">an IRAP. </w:t>
      </w:r>
      <w:r>
        <w:rPr>
          <w:rFonts w:eastAsia="Calibri"/>
        </w:rPr>
        <w:t>T</w:t>
      </w:r>
      <w:r>
        <w:t>he average number of notifications per SRE is estimated at 8 in the first three years, totaling 1,704 notifications (= 213 SREs × 8 notifications). The total burden is estimated at 107 hours (= 1,704 notifications × 3.75 minutes)</w:t>
      </w:r>
      <w:r w:rsidRPr="002F4599">
        <w:t>.</w:t>
      </w:r>
      <w:r w:rsidRPr="00B11EE7">
        <w:t xml:space="preserve"> </w:t>
      </w:r>
    </w:p>
    <w:p w:rsidR="007C7AFC" w:rsidP="007C7AFC" w:rsidRDefault="007C7AFC" w14:paraId="5AE3EA51" w14:textId="77777777">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7C7AFC" w:rsidP="007C7AFC" w:rsidRDefault="007C7AFC" w14:paraId="74A109E7" w14:textId="77777777">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r>
        <w:rPr>
          <w:b/>
          <w:u w:val="single"/>
        </w:rPr>
        <w:t>Time for SRE to Provide Administrator with IRAP Performance Information</w:t>
      </w:r>
      <w:r>
        <w:t>:</w:t>
      </w:r>
      <w:r w:rsidRPr="00D72C43">
        <w:t xml:space="preserve"> </w:t>
      </w:r>
      <w:r>
        <w:t>(4 hours per IRAP per SRE)</w:t>
      </w:r>
    </w:p>
    <w:p w:rsidR="007C7AFC" w:rsidP="007C7AFC" w:rsidRDefault="007C7AFC" w14:paraId="6105D302" w14:textId="77777777">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7C7AFC" w:rsidP="007C7AFC" w:rsidRDefault="007C7AFC" w14:paraId="377CE9BD" w14:textId="77777777">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The Department estimates that it will take an SRE 4 hours per IRAP </w:t>
      </w:r>
      <w:r>
        <w:rPr>
          <w:color w:val="000000"/>
        </w:rPr>
        <w:t>to provide the Administrator with the performance information from its IRAP.</w:t>
      </w:r>
      <w:r>
        <w:rPr>
          <w:rFonts w:eastAsia="Calibri"/>
        </w:rPr>
        <w:t xml:space="preserve"> T</w:t>
      </w:r>
      <w:r>
        <w:t>he average number of IRAPs per SRE is estimated at 16.81 in the first three years (= 3,581 IRAPs ÷ 213 SREs). The total burden is estimated at 14,324 hours (= 3,581 IRAPs × 4 hours).</w:t>
      </w:r>
    </w:p>
    <w:p w:rsidR="007C7AFC" w:rsidP="007C7AFC" w:rsidRDefault="007C7AFC" w14:paraId="4E1FD4B8" w14:textId="77777777">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p>
    <w:p w:rsidR="007C7AFC" w:rsidP="007C7AFC" w:rsidRDefault="007C7AFC" w14:paraId="3630879D" w14:textId="77777777">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r>
        <w:rPr>
          <w:b/>
          <w:u w:val="single"/>
        </w:rPr>
        <w:t>Time for SRE to Make Publicly Available IRAP List and Performance Information</w:t>
      </w:r>
      <w:r>
        <w:t>:</w:t>
      </w:r>
      <w:r w:rsidRPr="00D72C43">
        <w:t xml:space="preserve"> </w:t>
      </w:r>
      <w:r>
        <w:t>(2 hours per IRAP per SRE)</w:t>
      </w:r>
    </w:p>
    <w:p w:rsidR="007C7AFC" w:rsidP="007C7AFC" w:rsidRDefault="007C7AFC" w14:paraId="7ECF53AB" w14:textId="77777777">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7C7AFC" w:rsidP="007C7AFC" w:rsidRDefault="007C7AFC" w14:paraId="72C9CBD1" w14:textId="77777777">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The Department estimates that it will take an SRE 2 hours per IRAP </w:t>
      </w:r>
      <w:r>
        <w:rPr>
          <w:color w:val="000000"/>
        </w:rPr>
        <w:t>to m</w:t>
      </w:r>
      <w:r w:rsidRPr="009170DA">
        <w:rPr>
          <w:color w:val="000000"/>
        </w:rPr>
        <w:t xml:space="preserve">ake </w:t>
      </w:r>
      <w:r>
        <w:rPr>
          <w:color w:val="000000"/>
        </w:rPr>
        <w:t>p</w:t>
      </w:r>
      <w:r w:rsidRPr="009170DA">
        <w:rPr>
          <w:color w:val="000000"/>
        </w:rPr>
        <w:t xml:space="preserve">ublicly </w:t>
      </w:r>
      <w:r>
        <w:rPr>
          <w:color w:val="000000"/>
        </w:rPr>
        <w:t>a</w:t>
      </w:r>
      <w:r w:rsidRPr="009170DA">
        <w:rPr>
          <w:color w:val="000000"/>
        </w:rPr>
        <w:t xml:space="preserve">vailable </w:t>
      </w:r>
      <w:r>
        <w:rPr>
          <w:color w:val="000000"/>
        </w:rPr>
        <w:t xml:space="preserve">its list of IRAPs </w:t>
      </w:r>
      <w:r w:rsidRPr="009170DA">
        <w:rPr>
          <w:color w:val="000000"/>
        </w:rPr>
        <w:t xml:space="preserve">and IRAP </w:t>
      </w:r>
      <w:r>
        <w:rPr>
          <w:color w:val="000000"/>
        </w:rPr>
        <w:t>p</w:t>
      </w:r>
      <w:r w:rsidRPr="009170DA">
        <w:rPr>
          <w:color w:val="000000"/>
        </w:rPr>
        <w:t xml:space="preserve">erformance </w:t>
      </w:r>
      <w:r>
        <w:rPr>
          <w:color w:val="000000"/>
        </w:rPr>
        <w:t>i</w:t>
      </w:r>
      <w:r w:rsidRPr="009170DA">
        <w:rPr>
          <w:color w:val="000000"/>
        </w:rPr>
        <w:t>nformation</w:t>
      </w:r>
      <w:r>
        <w:rPr>
          <w:color w:val="000000"/>
        </w:rPr>
        <w:t>.</w:t>
      </w:r>
      <w:r>
        <w:rPr>
          <w:rFonts w:eastAsia="Calibri"/>
        </w:rPr>
        <w:t xml:space="preserve"> T</w:t>
      </w:r>
      <w:r>
        <w:t>he average number of IRAPs per SRE is estimated at 16.81 in the first three years (= 3,581 IRAPs ÷ 213 SREs). The total burden is estimated at 7,162 hours (= 3,581 IRAPs × 2 hours).</w:t>
      </w:r>
    </w:p>
    <w:p w:rsidR="007C7AFC" w:rsidP="007C7AFC" w:rsidRDefault="007C7AFC" w14:paraId="429D0524" w14:textId="77777777">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p>
    <w:p w:rsidRPr="008F4B1C" w:rsidR="007C7AFC" w:rsidP="007C7AFC" w:rsidRDefault="007C7AFC" w14:paraId="1CDB056E" w14:textId="77777777">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color w:val="000000"/>
          <w:u w:val="single"/>
        </w:rPr>
      </w:pPr>
      <w:r>
        <w:rPr>
          <w:b/>
          <w:u w:val="single"/>
        </w:rPr>
        <w:t>Time for IRAP to Provide SRE with Performance Information</w:t>
      </w:r>
      <w:r>
        <w:t>: (25 hours per IRAP)</w:t>
      </w:r>
    </w:p>
    <w:p w:rsidR="008F4B1C" w:rsidP="007C7AFC" w:rsidRDefault="008F4B1C" w14:paraId="196C0E27" w14:textId="77777777">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7C7AFC" w:rsidP="007C7AFC" w:rsidRDefault="007C7AFC" w14:paraId="6167A2B1" w14:textId="77777777">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r>
        <w:t xml:space="preserve">The Department estimates that it will take an IRAP 25 hours </w:t>
      </w:r>
      <w:r w:rsidRPr="00144CBC">
        <w:rPr>
          <w:rFonts w:eastAsia="Calibri"/>
        </w:rPr>
        <w:t>to provide performance information to its SRE</w:t>
      </w:r>
      <w:r>
        <w:rPr>
          <w:rFonts w:eastAsia="Calibri"/>
        </w:rPr>
        <w:t>, s</w:t>
      </w:r>
      <w:r>
        <w:t>o the total burden is estimated at 89,525 hours (= 3,581 IRAPs × 25 hours).</w:t>
      </w:r>
    </w:p>
    <w:p w:rsidR="007C7AFC" w:rsidP="007C7AFC" w:rsidRDefault="007C7AFC" w14:paraId="5FD946CD" w14:textId="77777777">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p>
    <w:p w:rsidR="00F8431B" w:rsidP="008F4B1C" w:rsidRDefault="007C7AFC" w14:paraId="2D7E12E5" w14:textId="77777777">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2C370A">
        <w:rPr>
          <w:b/>
          <w:u w:val="single"/>
        </w:rPr>
        <w:t>Burden Summary Table</w:t>
      </w:r>
      <w:r w:rsidRPr="00D72C43">
        <w:t>:</w:t>
      </w:r>
    </w:p>
    <w:p w:rsidR="00B245EE" w:rsidP="008F4B1C" w:rsidRDefault="00B245EE" w14:paraId="58A7AEA9" w14:textId="77777777">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20"/>
        <w:gridCol w:w="1415"/>
        <w:gridCol w:w="1329"/>
        <w:gridCol w:w="1183"/>
        <w:gridCol w:w="1072"/>
        <w:gridCol w:w="809"/>
        <w:gridCol w:w="900"/>
        <w:gridCol w:w="1368"/>
      </w:tblGrid>
      <w:tr w:rsidRPr="00E60FB0" w:rsidR="00B245EE" w:rsidTr="00F535E7" w14:paraId="28289595" w14:textId="77777777">
        <w:trPr>
          <w:trHeight w:val="1025"/>
        </w:trPr>
        <w:tc>
          <w:tcPr>
            <w:tcW w:w="222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535E7" w:rsidR="00B245EE" w:rsidP="009D0769" w:rsidRDefault="00B245EE" w14:paraId="33E47092" w14:textId="77777777">
            <w:pPr>
              <w:spacing w:line="276" w:lineRule="auto"/>
              <w:jc w:val="center"/>
              <w:rPr>
                <w:b/>
                <w:sz w:val="18"/>
                <w:szCs w:val="18"/>
              </w:rPr>
            </w:pPr>
            <w:r w:rsidRPr="00F535E7">
              <w:rPr>
                <w:b/>
                <w:sz w:val="18"/>
                <w:szCs w:val="18"/>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535E7" w:rsidR="00B245EE" w:rsidP="00F535E7" w:rsidRDefault="00B245EE" w14:paraId="5DBF6F72" w14:textId="77777777">
            <w:pPr>
              <w:spacing w:line="276" w:lineRule="auto"/>
              <w:jc w:val="center"/>
              <w:rPr>
                <w:b/>
                <w:sz w:val="18"/>
                <w:szCs w:val="18"/>
              </w:rPr>
            </w:pPr>
            <w:r w:rsidRPr="00F535E7">
              <w:rPr>
                <w:b/>
                <w:sz w:val="18"/>
                <w:szCs w:val="18"/>
              </w:rPr>
              <w:t>No. of Respondents</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tcPr>
          <w:p w:rsidRPr="00F535E7" w:rsidR="00B245EE" w:rsidP="00F535E7" w:rsidRDefault="00B245EE" w14:paraId="14236386" w14:textId="77777777">
            <w:pPr>
              <w:spacing w:line="276" w:lineRule="auto"/>
              <w:jc w:val="center"/>
              <w:rPr>
                <w:b/>
                <w:sz w:val="18"/>
                <w:szCs w:val="18"/>
              </w:rPr>
            </w:pPr>
          </w:p>
          <w:p w:rsidRPr="00F535E7" w:rsidR="00B245EE" w:rsidP="00F535E7" w:rsidRDefault="00B245EE" w14:paraId="2CADCFDE" w14:textId="77777777">
            <w:pPr>
              <w:spacing w:line="276" w:lineRule="auto"/>
              <w:jc w:val="center"/>
              <w:rPr>
                <w:b/>
                <w:sz w:val="18"/>
                <w:szCs w:val="18"/>
              </w:rPr>
            </w:pPr>
            <w:r w:rsidRPr="00F535E7">
              <w:rPr>
                <w:b/>
                <w:sz w:val="18"/>
                <w:szCs w:val="18"/>
              </w:rPr>
              <w:t>No. of Responses</w:t>
            </w:r>
          </w:p>
          <w:p w:rsidRPr="00F535E7" w:rsidR="00B245EE" w:rsidP="00F535E7" w:rsidRDefault="00B245EE" w14:paraId="230C365E" w14:textId="77777777">
            <w:pPr>
              <w:spacing w:line="276" w:lineRule="auto"/>
              <w:jc w:val="center"/>
              <w:rPr>
                <w:b/>
                <w:sz w:val="18"/>
                <w:szCs w:val="18"/>
              </w:rPr>
            </w:pPr>
            <w:r w:rsidRPr="00F535E7">
              <w:rPr>
                <w:b/>
                <w:sz w:val="18"/>
                <w:szCs w:val="18"/>
              </w:rPr>
              <w:t>per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535E7" w:rsidR="00B245EE" w:rsidP="00F535E7" w:rsidRDefault="00B245EE" w14:paraId="268E68E6" w14:textId="77777777">
            <w:pPr>
              <w:spacing w:line="276" w:lineRule="auto"/>
              <w:jc w:val="center"/>
              <w:rPr>
                <w:b/>
                <w:sz w:val="18"/>
                <w:szCs w:val="18"/>
              </w:rPr>
            </w:pPr>
            <w:r w:rsidRPr="00F535E7">
              <w:rPr>
                <w:b/>
                <w:sz w:val="18"/>
                <w:szCs w:val="18"/>
              </w:rPr>
              <w:t>Total Responses</w:t>
            </w:r>
          </w:p>
        </w:tc>
        <w:tc>
          <w:tcPr>
            <w:tcW w:w="107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535E7" w:rsidR="00B245EE" w:rsidP="00F535E7" w:rsidRDefault="00B245EE" w14:paraId="405B1499" w14:textId="77777777">
            <w:pPr>
              <w:spacing w:line="276" w:lineRule="auto"/>
              <w:jc w:val="center"/>
              <w:rPr>
                <w:b/>
                <w:sz w:val="18"/>
                <w:szCs w:val="18"/>
              </w:rPr>
            </w:pPr>
            <w:r w:rsidRPr="00F535E7">
              <w:rPr>
                <w:b/>
                <w:sz w:val="18"/>
                <w:szCs w:val="18"/>
              </w:rPr>
              <w:t>Average Burden (Hours)</w:t>
            </w:r>
          </w:p>
        </w:tc>
        <w:tc>
          <w:tcPr>
            <w:tcW w:w="80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535E7" w:rsidR="00B245EE" w:rsidP="00F535E7" w:rsidRDefault="00B245EE" w14:paraId="013211A5" w14:textId="77777777">
            <w:pPr>
              <w:spacing w:line="276" w:lineRule="auto"/>
              <w:jc w:val="center"/>
              <w:rPr>
                <w:b/>
                <w:sz w:val="18"/>
                <w:szCs w:val="18"/>
              </w:rPr>
            </w:pPr>
            <w:r w:rsidRPr="00F535E7">
              <w:rPr>
                <w:b/>
                <w:sz w:val="18"/>
                <w:szCs w:val="18"/>
              </w:rPr>
              <w:t>Total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535E7" w:rsidR="00B245EE" w:rsidP="00F535E7" w:rsidRDefault="00B245EE" w14:paraId="78DB952B" w14:textId="77777777">
            <w:pPr>
              <w:spacing w:line="276" w:lineRule="auto"/>
              <w:jc w:val="center"/>
              <w:rPr>
                <w:b/>
                <w:sz w:val="18"/>
                <w:szCs w:val="18"/>
              </w:rPr>
            </w:pPr>
            <w:r w:rsidRPr="00F535E7">
              <w:rPr>
                <w:b/>
                <w:sz w:val="18"/>
                <w:szCs w:val="18"/>
              </w:rPr>
              <w:t>Hourly</w:t>
            </w:r>
          </w:p>
          <w:p w:rsidRPr="00F535E7" w:rsidR="00B245EE" w:rsidP="00F535E7" w:rsidRDefault="00B245EE" w14:paraId="1AF69599" w14:textId="77777777">
            <w:pPr>
              <w:spacing w:line="276" w:lineRule="auto"/>
              <w:jc w:val="center"/>
              <w:rPr>
                <w:b/>
                <w:sz w:val="18"/>
                <w:szCs w:val="18"/>
              </w:rPr>
            </w:pPr>
            <w:r w:rsidRPr="00F535E7">
              <w:rPr>
                <w:b/>
                <w:sz w:val="18"/>
                <w:szCs w:val="18"/>
              </w:rPr>
              <w:t>Wage Rate</w:t>
            </w:r>
          </w:p>
        </w:tc>
        <w:tc>
          <w:tcPr>
            <w:tcW w:w="136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535E7" w:rsidR="00B245EE" w:rsidP="00F535E7" w:rsidRDefault="00B245EE" w14:paraId="00D5E115" w14:textId="77777777">
            <w:pPr>
              <w:spacing w:line="276" w:lineRule="auto"/>
              <w:jc w:val="center"/>
              <w:rPr>
                <w:b/>
                <w:sz w:val="18"/>
                <w:szCs w:val="18"/>
              </w:rPr>
            </w:pPr>
            <w:r w:rsidRPr="00F535E7">
              <w:rPr>
                <w:b/>
                <w:sz w:val="18"/>
                <w:szCs w:val="18"/>
              </w:rPr>
              <w:t>Total Burden Cost</w:t>
            </w:r>
          </w:p>
        </w:tc>
      </w:tr>
      <w:tr w:rsidRPr="00F535E7" w:rsidR="00B245EE" w:rsidTr="00F535E7" w14:paraId="445AC682" w14:textId="77777777">
        <w:trPr>
          <w:trHeight w:val="818"/>
        </w:trPr>
        <w:tc>
          <w:tcPr>
            <w:tcW w:w="2220" w:type="dxa"/>
            <w:tcBorders>
              <w:top w:val="single" w:color="auto" w:sz="4" w:space="0"/>
              <w:left w:val="single" w:color="auto" w:sz="4" w:space="0"/>
              <w:bottom w:val="single" w:color="auto" w:sz="4" w:space="0"/>
              <w:right w:val="single" w:color="auto" w:sz="4" w:space="0"/>
            </w:tcBorders>
            <w:vAlign w:val="center"/>
            <w:hideMark/>
          </w:tcPr>
          <w:p w:rsidRPr="00F535E7" w:rsidR="00B245EE" w:rsidP="00F535E7" w:rsidRDefault="00B245EE" w14:paraId="37FF3C63" w14:textId="77777777">
            <w:pPr>
              <w:spacing w:line="276" w:lineRule="auto"/>
              <w:jc w:val="center"/>
              <w:rPr>
                <w:b/>
                <w:sz w:val="18"/>
                <w:szCs w:val="18"/>
              </w:rPr>
            </w:pPr>
            <w:r w:rsidRPr="00F535E7">
              <w:rPr>
                <w:b/>
                <w:sz w:val="18"/>
                <w:szCs w:val="18"/>
              </w:rPr>
              <w:t>Time for SRE to Inform Administrator of IRAP Recognition, Suspension, or Termination</w:t>
            </w:r>
          </w:p>
        </w:tc>
        <w:tc>
          <w:tcPr>
            <w:tcW w:w="1415" w:type="dxa"/>
            <w:tcBorders>
              <w:top w:val="single" w:color="auto" w:sz="4" w:space="0"/>
              <w:left w:val="single" w:color="auto" w:sz="4" w:space="0"/>
              <w:bottom w:val="single" w:color="auto" w:sz="4" w:space="0"/>
              <w:right w:val="single" w:color="auto" w:sz="4" w:space="0"/>
            </w:tcBorders>
            <w:vAlign w:val="center"/>
          </w:tcPr>
          <w:p w:rsidRPr="00F535E7" w:rsidR="00B245EE" w:rsidP="009D0769" w:rsidRDefault="00B245EE" w14:paraId="55BC7D57" w14:textId="77777777">
            <w:pPr>
              <w:spacing w:line="276" w:lineRule="auto"/>
              <w:jc w:val="center"/>
              <w:rPr>
                <w:sz w:val="18"/>
                <w:szCs w:val="18"/>
              </w:rPr>
            </w:pPr>
          </w:p>
          <w:p w:rsidRPr="00F535E7" w:rsidR="00B245EE" w:rsidP="00F535E7" w:rsidRDefault="00B245EE" w14:paraId="3B214CD2" w14:textId="77777777">
            <w:pPr>
              <w:spacing w:line="276" w:lineRule="auto"/>
              <w:jc w:val="center"/>
              <w:rPr>
                <w:sz w:val="18"/>
                <w:szCs w:val="18"/>
              </w:rPr>
            </w:pPr>
            <w:r w:rsidRPr="00F535E7">
              <w:rPr>
                <w:sz w:val="18"/>
                <w:szCs w:val="18"/>
              </w:rPr>
              <w:t>213</w:t>
            </w:r>
          </w:p>
        </w:tc>
        <w:tc>
          <w:tcPr>
            <w:tcW w:w="1329"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078CE271" w14:textId="77777777">
            <w:pPr>
              <w:spacing w:line="276" w:lineRule="auto"/>
              <w:jc w:val="center"/>
              <w:rPr>
                <w:sz w:val="18"/>
                <w:szCs w:val="18"/>
              </w:rPr>
            </w:pPr>
            <w:r w:rsidRPr="00F535E7">
              <w:rPr>
                <w:sz w:val="18"/>
                <w:szCs w:val="18"/>
              </w:rPr>
              <w:t>8</w:t>
            </w:r>
          </w:p>
        </w:tc>
        <w:tc>
          <w:tcPr>
            <w:tcW w:w="1183"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42D7CDD6" w14:textId="77777777">
            <w:pPr>
              <w:spacing w:line="276" w:lineRule="auto"/>
              <w:jc w:val="center"/>
              <w:rPr>
                <w:sz w:val="18"/>
                <w:szCs w:val="18"/>
              </w:rPr>
            </w:pPr>
          </w:p>
          <w:p w:rsidRPr="00F535E7" w:rsidR="00B245EE" w:rsidP="00F535E7" w:rsidRDefault="00B245EE" w14:paraId="6C005AD7" w14:textId="77777777">
            <w:pPr>
              <w:spacing w:line="276" w:lineRule="auto"/>
              <w:jc w:val="center"/>
              <w:rPr>
                <w:sz w:val="18"/>
                <w:szCs w:val="18"/>
              </w:rPr>
            </w:pPr>
            <w:r w:rsidRPr="00F535E7">
              <w:rPr>
                <w:sz w:val="18"/>
                <w:szCs w:val="18"/>
              </w:rPr>
              <w:t>1,704</w:t>
            </w:r>
          </w:p>
        </w:tc>
        <w:tc>
          <w:tcPr>
            <w:tcW w:w="1072"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64A9CA9C" w14:textId="77777777">
            <w:pPr>
              <w:spacing w:line="276" w:lineRule="auto"/>
              <w:jc w:val="center"/>
              <w:rPr>
                <w:sz w:val="18"/>
                <w:szCs w:val="18"/>
              </w:rPr>
            </w:pPr>
            <w:r w:rsidRPr="00F535E7">
              <w:rPr>
                <w:sz w:val="18"/>
                <w:szCs w:val="18"/>
              </w:rPr>
              <w:t>0.0625</w:t>
            </w:r>
          </w:p>
        </w:tc>
        <w:tc>
          <w:tcPr>
            <w:tcW w:w="809"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60CEC113" w14:textId="77777777">
            <w:pPr>
              <w:spacing w:line="276" w:lineRule="auto"/>
              <w:jc w:val="center"/>
              <w:rPr>
                <w:sz w:val="18"/>
                <w:szCs w:val="18"/>
              </w:rPr>
            </w:pPr>
          </w:p>
          <w:p w:rsidRPr="00F535E7" w:rsidR="00B245EE" w:rsidP="00F535E7" w:rsidRDefault="00B245EE" w14:paraId="76D1E026" w14:textId="77777777">
            <w:pPr>
              <w:spacing w:line="276" w:lineRule="auto"/>
              <w:jc w:val="center"/>
              <w:rPr>
                <w:sz w:val="18"/>
                <w:szCs w:val="18"/>
              </w:rPr>
            </w:pPr>
            <w:r w:rsidRPr="00F535E7">
              <w:rPr>
                <w:sz w:val="18"/>
                <w:szCs w:val="18"/>
              </w:rPr>
              <w:t>107</w:t>
            </w:r>
          </w:p>
        </w:tc>
        <w:tc>
          <w:tcPr>
            <w:tcW w:w="900"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6C91015F" w14:textId="77777777">
            <w:pPr>
              <w:spacing w:line="276" w:lineRule="auto"/>
              <w:jc w:val="center"/>
              <w:rPr>
                <w:sz w:val="18"/>
                <w:szCs w:val="18"/>
              </w:rPr>
            </w:pPr>
          </w:p>
          <w:p w:rsidRPr="00F535E7" w:rsidR="00B245EE" w:rsidP="00F535E7" w:rsidRDefault="00B245EE" w14:paraId="11EE8530" w14:textId="77777777">
            <w:pPr>
              <w:spacing w:line="276" w:lineRule="auto"/>
              <w:jc w:val="center"/>
              <w:rPr>
                <w:sz w:val="18"/>
                <w:szCs w:val="18"/>
              </w:rPr>
            </w:pPr>
            <w:r w:rsidRPr="00F535E7">
              <w:rPr>
                <w:sz w:val="18"/>
                <w:szCs w:val="18"/>
              </w:rPr>
              <w:t>$117.06</w:t>
            </w:r>
          </w:p>
        </w:tc>
        <w:tc>
          <w:tcPr>
            <w:tcW w:w="1368"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067836AB" w14:textId="77777777">
            <w:pPr>
              <w:spacing w:line="276" w:lineRule="auto"/>
              <w:jc w:val="center"/>
              <w:rPr>
                <w:sz w:val="18"/>
                <w:szCs w:val="18"/>
              </w:rPr>
            </w:pPr>
          </w:p>
          <w:p w:rsidRPr="00F535E7" w:rsidR="00B245EE" w:rsidP="00F535E7" w:rsidRDefault="00B245EE" w14:paraId="4CD5E263" w14:textId="549A349B">
            <w:pPr>
              <w:spacing w:line="276" w:lineRule="auto"/>
              <w:jc w:val="center"/>
              <w:rPr>
                <w:sz w:val="18"/>
                <w:szCs w:val="18"/>
              </w:rPr>
            </w:pPr>
            <w:r w:rsidRPr="00F535E7">
              <w:rPr>
                <w:sz w:val="18"/>
                <w:szCs w:val="18"/>
              </w:rPr>
              <w:t>$12,</w:t>
            </w:r>
            <w:r w:rsidR="00DA11B0">
              <w:rPr>
                <w:sz w:val="18"/>
                <w:szCs w:val="18"/>
              </w:rPr>
              <w:t>525</w:t>
            </w:r>
          </w:p>
        </w:tc>
      </w:tr>
      <w:tr w:rsidRPr="00F535E7" w:rsidR="00B245EE" w:rsidTr="00F535E7" w14:paraId="30D8096B" w14:textId="77777777">
        <w:tc>
          <w:tcPr>
            <w:tcW w:w="2220"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697E3B32" w14:textId="77777777">
            <w:pPr>
              <w:spacing w:line="276" w:lineRule="auto"/>
              <w:jc w:val="center"/>
              <w:rPr>
                <w:b/>
                <w:sz w:val="18"/>
                <w:szCs w:val="18"/>
              </w:rPr>
            </w:pPr>
            <w:r w:rsidRPr="00F535E7">
              <w:rPr>
                <w:b/>
                <w:sz w:val="18"/>
                <w:szCs w:val="18"/>
              </w:rPr>
              <w:t>Time for SRE to Provide Administrator with IRAP Performance Information</w:t>
            </w:r>
          </w:p>
        </w:tc>
        <w:tc>
          <w:tcPr>
            <w:tcW w:w="1415" w:type="dxa"/>
            <w:tcBorders>
              <w:top w:val="single" w:color="auto" w:sz="4" w:space="0"/>
              <w:left w:val="single" w:color="auto" w:sz="4" w:space="0"/>
              <w:bottom w:val="single" w:color="auto" w:sz="4" w:space="0"/>
              <w:right w:val="single" w:color="auto" w:sz="4" w:space="0"/>
            </w:tcBorders>
            <w:vAlign w:val="center"/>
          </w:tcPr>
          <w:p w:rsidRPr="00F535E7" w:rsidR="00B245EE" w:rsidP="009D0769" w:rsidRDefault="00B245EE" w14:paraId="2AB1E26E" w14:textId="77777777">
            <w:pPr>
              <w:spacing w:line="276" w:lineRule="auto"/>
              <w:jc w:val="center"/>
              <w:rPr>
                <w:sz w:val="18"/>
                <w:szCs w:val="18"/>
              </w:rPr>
            </w:pPr>
            <w:r w:rsidRPr="00F535E7">
              <w:rPr>
                <w:sz w:val="18"/>
                <w:szCs w:val="18"/>
              </w:rPr>
              <w:t>213</w:t>
            </w:r>
          </w:p>
        </w:tc>
        <w:tc>
          <w:tcPr>
            <w:tcW w:w="1329"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054853B5" w14:textId="77777777">
            <w:pPr>
              <w:spacing w:line="276" w:lineRule="auto"/>
              <w:jc w:val="center"/>
              <w:rPr>
                <w:sz w:val="18"/>
                <w:szCs w:val="18"/>
              </w:rPr>
            </w:pPr>
            <w:r w:rsidRPr="00F535E7">
              <w:rPr>
                <w:sz w:val="18"/>
                <w:szCs w:val="18"/>
              </w:rPr>
              <w:t>16.81</w:t>
            </w:r>
          </w:p>
        </w:tc>
        <w:tc>
          <w:tcPr>
            <w:tcW w:w="1183"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42BFEDA4" w14:textId="77777777">
            <w:pPr>
              <w:spacing w:line="276" w:lineRule="auto"/>
              <w:jc w:val="center"/>
              <w:rPr>
                <w:sz w:val="18"/>
                <w:szCs w:val="18"/>
              </w:rPr>
            </w:pPr>
            <w:r w:rsidRPr="00F535E7">
              <w:rPr>
                <w:sz w:val="18"/>
                <w:szCs w:val="18"/>
              </w:rPr>
              <w:t>3,581</w:t>
            </w:r>
          </w:p>
        </w:tc>
        <w:tc>
          <w:tcPr>
            <w:tcW w:w="1072"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580C90D5" w14:textId="77777777">
            <w:pPr>
              <w:spacing w:line="276" w:lineRule="auto"/>
              <w:jc w:val="center"/>
              <w:rPr>
                <w:sz w:val="18"/>
                <w:szCs w:val="18"/>
              </w:rPr>
            </w:pPr>
            <w:r w:rsidRPr="00F535E7">
              <w:rPr>
                <w:sz w:val="18"/>
                <w:szCs w:val="18"/>
              </w:rPr>
              <w:t>4</w:t>
            </w:r>
          </w:p>
        </w:tc>
        <w:tc>
          <w:tcPr>
            <w:tcW w:w="809"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751D1690" w14:textId="77777777">
            <w:pPr>
              <w:spacing w:line="276" w:lineRule="auto"/>
              <w:jc w:val="center"/>
              <w:rPr>
                <w:sz w:val="18"/>
                <w:szCs w:val="18"/>
              </w:rPr>
            </w:pPr>
            <w:r w:rsidRPr="00F535E7">
              <w:rPr>
                <w:sz w:val="18"/>
                <w:szCs w:val="18"/>
              </w:rPr>
              <w:t>14,324</w:t>
            </w:r>
          </w:p>
        </w:tc>
        <w:tc>
          <w:tcPr>
            <w:tcW w:w="900"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77F794AF" w14:textId="77777777">
            <w:pPr>
              <w:spacing w:line="276" w:lineRule="auto"/>
              <w:jc w:val="center"/>
              <w:rPr>
                <w:sz w:val="18"/>
                <w:szCs w:val="18"/>
              </w:rPr>
            </w:pPr>
            <w:r w:rsidRPr="00F535E7">
              <w:rPr>
                <w:sz w:val="18"/>
                <w:szCs w:val="18"/>
              </w:rPr>
              <w:t>$117.06</w:t>
            </w:r>
          </w:p>
        </w:tc>
        <w:tc>
          <w:tcPr>
            <w:tcW w:w="1368"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700FFFDF" w14:textId="77777777">
            <w:pPr>
              <w:spacing w:line="276" w:lineRule="auto"/>
              <w:jc w:val="center"/>
              <w:rPr>
                <w:sz w:val="18"/>
                <w:szCs w:val="18"/>
              </w:rPr>
            </w:pPr>
            <w:r w:rsidRPr="00F535E7">
              <w:rPr>
                <w:sz w:val="18"/>
                <w:szCs w:val="18"/>
              </w:rPr>
              <w:t>$1,676,767</w:t>
            </w:r>
          </w:p>
        </w:tc>
      </w:tr>
      <w:tr w:rsidRPr="00F535E7" w:rsidR="00B245EE" w:rsidTr="00F535E7" w14:paraId="797FE3F2" w14:textId="77777777">
        <w:tc>
          <w:tcPr>
            <w:tcW w:w="2220"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6AEE2E00" w14:textId="77777777">
            <w:pPr>
              <w:spacing w:line="276" w:lineRule="auto"/>
              <w:jc w:val="center"/>
              <w:rPr>
                <w:b/>
                <w:sz w:val="18"/>
                <w:szCs w:val="18"/>
              </w:rPr>
            </w:pPr>
            <w:r w:rsidRPr="00F535E7">
              <w:rPr>
                <w:b/>
                <w:sz w:val="18"/>
                <w:szCs w:val="18"/>
              </w:rPr>
              <w:t>Time for SRE to Make Publicly Available IRAP List and Performance Information</w:t>
            </w:r>
          </w:p>
        </w:tc>
        <w:tc>
          <w:tcPr>
            <w:tcW w:w="1415" w:type="dxa"/>
            <w:tcBorders>
              <w:top w:val="single" w:color="auto" w:sz="4" w:space="0"/>
              <w:left w:val="single" w:color="auto" w:sz="4" w:space="0"/>
              <w:bottom w:val="single" w:color="auto" w:sz="4" w:space="0"/>
              <w:right w:val="single" w:color="auto" w:sz="4" w:space="0"/>
            </w:tcBorders>
            <w:vAlign w:val="center"/>
          </w:tcPr>
          <w:p w:rsidRPr="00F535E7" w:rsidR="00B245EE" w:rsidP="009D0769" w:rsidRDefault="00B245EE" w14:paraId="4E67B7ED" w14:textId="77777777">
            <w:pPr>
              <w:spacing w:line="276" w:lineRule="auto"/>
              <w:jc w:val="center"/>
              <w:rPr>
                <w:sz w:val="18"/>
                <w:szCs w:val="18"/>
              </w:rPr>
            </w:pPr>
            <w:r w:rsidRPr="00F535E7">
              <w:rPr>
                <w:sz w:val="18"/>
                <w:szCs w:val="18"/>
              </w:rPr>
              <w:t>213</w:t>
            </w:r>
          </w:p>
        </w:tc>
        <w:tc>
          <w:tcPr>
            <w:tcW w:w="1329"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7C07D7BC" w14:textId="77777777">
            <w:pPr>
              <w:spacing w:line="276" w:lineRule="auto"/>
              <w:jc w:val="center"/>
              <w:rPr>
                <w:sz w:val="18"/>
                <w:szCs w:val="18"/>
              </w:rPr>
            </w:pPr>
            <w:r w:rsidRPr="00F535E7">
              <w:rPr>
                <w:sz w:val="18"/>
                <w:szCs w:val="18"/>
              </w:rPr>
              <w:t>16.81</w:t>
            </w:r>
          </w:p>
        </w:tc>
        <w:tc>
          <w:tcPr>
            <w:tcW w:w="1183"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53EC42ED" w14:textId="77777777">
            <w:pPr>
              <w:spacing w:line="276" w:lineRule="auto"/>
              <w:jc w:val="center"/>
              <w:rPr>
                <w:sz w:val="18"/>
                <w:szCs w:val="18"/>
              </w:rPr>
            </w:pPr>
            <w:r w:rsidRPr="00F535E7">
              <w:rPr>
                <w:sz w:val="18"/>
                <w:szCs w:val="18"/>
              </w:rPr>
              <w:t>3,581</w:t>
            </w:r>
          </w:p>
        </w:tc>
        <w:tc>
          <w:tcPr>
            <w:tcW w:w="1072"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29D07336" w14:textId="77777777">
            <w:pPr>
              <w:spacing w:line="276" w:lineRule="auto"/>
              <w:jc w:val="center"/>
              <w:rPr>
                <w:sz w:val="18"/>
                <w:szCs w:val="18"/>
              </w:rPr>
            </w:pPr>
            <w:r w:rsidRPr="00F535E7">
              <w:rPr>
                <w:sz w:val="18"/>
                <w:szCs w:val="18"/>
              </w:rPr>
              <w:t>2</w:t>
            </w:r>
          </w:p>
        </w:tc>
        <w:tc>
          <w:tcPr>
            <w:tcW w:w="809"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3CE0B4C9" w14:textId="77777777">
            <w:pPr>
              <w:spacing w:line="276" w:lineRule="auto"/>
              <w:jc w:val="center"/>
              <w:rPr>
                <w:sz w:val="18"/>
                <w:szCs w:val="18"/>
              </w:rPr>
            </w:pPr>
            <w:r w:rsidRPr="00F535E7">
              <w:rPr>
                <w:sz w:val="18"/>
                <w:szCs w:val="18"/>
              </w:rPr>
              <w:t>7,162</w:t>
            </w:r>
          </w:p>
        </w:tc>
        <w:tc>
          <w:tcPr>
            <w:tcW w:w="900"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13845884" w14:textId="77777777">
            <w:pPr>
              <w:spacing w:line="276" w:lineRule="auto"/>
              <w:jc w:val="center"/>
              <w:rPr>
                <w:sz w:val="18"/>
                <w:szCs w:val="18"/>
              </w:rPr>
            </w:pPr>
            <w:r w:rsidRPr="00F535E7">
              <w:rPr>
                <w:sz w:val="18"/>
                <w:szCs w:val="18"/>
              </w:rPr>
              <w:t>$117.06</w:t>
            </w:r>
          </w:p>
        </w:tc>
        <w:tc>
          <w:tcPr>
            <w:tcW w:w="1368"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57447D18" w14:textId="77777777">
            <w:pPr>
              <w:spacing w:line="276" w:lineRule="auto"/>
              <w:jc w:val="center"/>
              <w:rPr>
                <w:sz w:val="18"/>
                <w:szCs w:val="18"/>
              </w:rPr>
            </w:pPr>
            <w:r w:rsidRPr="00F535E7">
              <w:rPr>
                <w:sz w:val="18"/>
                <w:szCs w:val="18"/>
              </w:rPr>
              <w:t>$838,384</w:t>
            </w:r>
          </w:p>
        </w:tc>
      </w:tr>
      <w:tr w:rsidRPr="00F535E7" w:rsidR="00B245EE" w:rsidTr="00F535E7" w14:paraId="22AA304C" w14:textId="77777777">
        <w:tc>
          <w:tcPr>
            <w:tcW w:w="2220"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3A58C023" w14:textId="77777777">
            <w:pPr>
              <w:spacing w:line="276" w:lineRule="auto"/>
              <w:jc w:val="center"/>
              <w:rPr>
                <w:b/>
                <w:sz w:val="18"/>
                <w:szCs w:val="18"/>
              </w:rPr>
            </w:pPr>
            <w:r w:rsidRPr="00F535E7">
              <w:rPr>
                <w:b/>
                <w:sz w:val="18"/>
                <w:szCs w:val="18"/>
              </w:rPr>
              <w:t>Time for IRAP to Provide SRE with Performance Information</w:t>
            </w:r>
          </w:p>
        </w:tc>
        <w:tc>
          <w:tcPr>
            <w:tcW w:w="1415" w:type="dxa"/>
            <w:tcBorders>
              <w:top w:val="single" w:color="auto" w:sz="4" w:space="0"/>
              <w:left w:val="single" w:color="auto" w:sz="4" w:space="0"/>
              <w:bottom w:val="single" w:color="auto" w:sz="4" w:space="0"/>
              <w:right w:val="single" w:color="auto" w:sz="4" w:space="0"/>
            </w:tcBorders>
            <w:vAlign w:val="center"/>
          </w:tcPr>
          <w:p w:rsidRPr="00F535E7" w:rsidR="00B245EE" w:rsidP="009D0769" w:rsidRDefault="00B245EE" w14:paraId="79CFD70D" w14:textId="77777777">
            <w:pPr>
              <w:spacing w:line="276" w:lineRule="auto"/>
              <w:jc w:val="center"/>
              <w:rPr>
                <w:sz w:val="18"/>
                <w:szCs w:val="18"/>
              </w:rPr>
            </w:pPr>
            <w:r w:rsidRPr="00F535E7">
              <w:rPr>
                <w:sz w:val="18"/>
                <w:szCs w:val="18"/>
              </w:rPr>
              <w:t>3,581</w:t>
            </w:r>
          </w:p>
        </w:tc>
        <w:tc>
          <w:tcPr>
            <w:tcW w:w="1329"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357A13D8" w14:textId="77777777">
            <w:pPr>
              <w:spacing w:line="276" w:lineRule="auto"/>
              <w:jc w:val="center"/>
              <w:rPr>
                <w:sz w:val="18"/>
                <w:szCs w:val="18"/>
              </w:rPr>
            </w:pPr>
            <w:r w:rsidRPr="00F535E7">
              <w:rPr>
                <w:sz w:val="18"/>
                <w:szCs w:val="18"/>
              </w:rPr>
              <w:t>1</w:t>
            </w:r>
          </w:p>
        </w:tc>
        <w:tc>
          <w:tcPr>
            <w:tcW w:w="1183"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275824B4" w14:textId="77777777">
            <w:pPr>
              <w:spacing w:line="276" w:lineRule="auto"/>
              <w:jc w:val="center"/>
              <w:rPr>
                <w:sz w:val="18"/>
                <w:szCs w:val="18"/>
              </w:rPr>
            </w:pPr>
            <w:r w:rsidRPr="00F535E7">
              <w:rPr>
                <w:sz w:val="18"/>
                <w:szCs w:val="18"/>
              </w:rPr>
              <w:t>3,581</w:t>
            </w:r>
          </w:p>
        </w:tc>
        <w:tc>
          <w:tcPr>
            <w:tcW w:w="1072"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7B84E20E" w14:textId="77777777">
            <w:pPr>
              <w:spacing w:line="276" w:lineRule="auto"/>
              <w:jc w:val="center"/>
              <w:rPr>
                <w:sz w:val="18"/>
                <w:szCs w:val="18"/>
              </w:rPr>
            </w:pPr>
            <w:r w:rsidRPr="00F535E7">
              <w:rPr>
                <w:sz w:val="18"/>
                <w:szCs w:val="18"/>
              </w:rPr>
              <w:t>25</w:t>
            </w:r>
          </w:p>
        </w:tc>
        <w:tc>
          <w:tcPr>
            <w:tcW w:w="809"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33E13D08" w14:textId="77777777">
            <w:pPr>
              <w:spacing w:line="276" w:lineRule="auto"/>
              <w:jc w:val="center"/>
              <w:rPr>
                <w:sz w:val="18"/>
                <w:szCs w:val="18"/>
              </w:rPr>
            </w:pPr>
            <w:r w:rsidRPr="00F535E7">
              <w:rPr>
                <w:sz w:val="18"/>
                <w:szCs w:val="18"/>
              </w:rPr>
              <w:t>89,525</w:t>
            </w:r>
          </w:p>
        </w:tc>
        <w:tc>
          <w:tcPr>
            <w:tcW w:w="900"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62EF1ED1" w14:textId="77777777">
            <w:pPr>
              <w:spacing w:line="276" w:lineRule="auto"/>
              <w:jc w:val="center"/>
              <w:rPr>
                <w:sz w:val="18"/>
                <w:szCs w:val="18"/>
              </w:rPr>
            </w:pPr>
            <w:r w:rsidRPr="00F535E7">
              <w:rPr>
                <w:sz w:val="18"/>
                <w:szCs w:val="18"/>
              </w:rPr>
              <w:t>$117.06</w:t>
            </w:r>
          </w:p>
        </w:tc>
        <w:tc>
          <w:tcPr>
            <w:tcW w:w="1368"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0A7E19A3" w14:textId="77777777">
            <w:pPr>
              <w:spacing w:line="276" w:lineRule="auto"/>
              <w:jc w:val="center"/>
              <w:rPr>
                <w:sz w:val="18"/>
                <w:szCs w:val="18"/>
              </w:rPr>
            </w:pPr>
            <w:r w:rsidRPr="00F535E7">
              <w:rPr>
                <w:sz w:val="18"/>
                <w:szCs w:val="18"/>
              </w:rPr>
              <w:t>$10,479,797</w:t>
            </w:r>
          </w:p>
        </w:tc>
      </w:tr>
      <w:tr w:rsidRPr="00F535E7" w:rsidR="009D0769" w:rsidTr="00F535E7" w14:paraId="6946B5CE" w14:textId="77777777">
        <w:tc>
          <w:tcPr>
            <w:tcW w:w="2220" w:type="dxa"/>
            <w:tcBorders>
              <w:top w:val="single" w:color="auto" w:sz="4" w:space="0"/>
              <w:left w:val="single" w:color="auto" w:sz="4" w:space="0"/>
              <w:bottom w:val="single" w:color="auto" w:sz="4" w:space="0"/>
              <w:right w:val="single" w:color="auto" w:sz="4" w:space="0"/>
            </w:tcBorders>
            <w:vAlign w:val="center"/>
          </w:tcPr>
          <w:p w:rsidRPr="00F535E7" w:rsidR="00B245EE" w:rsidP="00F535E7" w:rsidRDefault="00B245EE" w14:paraId="760BA248" w14:textId="77777777">
            <w:pPr>
              <w:spacing w:line="276" w:lineRule="auto"/>
              <w:jc w:val="center"/>
              <w:rPr>
                <w:b/>
                <w:sz w:val="18"/>
                <w:szCs w:val="18"/>
              </w:rPr>
            </w:pPr>
            <w:r w:rsidRPr="00F535E7">
              <w:rPr>
                <w:b/>
                <w:sz w:val="18"/>
                <w:szCs w:val="18"/>
              </w:rPr>
              <w:t>Unduplicated Totals</w:t>
            </w:r>
          </w:p>
        </w:tc>
        <w:tc>
          <w:tcPr>
            <w:tcW w:w="1415" w:type="dxa"/>
            <w:tcBorders>
              <w:top w:val="single" w:color="auto" w:sz="4" w:space="0"/>
              <w:left w:val="single" w:color="auto" w:sz="4" w:space="0"/>
              <w:bottom w:val="single" w:color="auto" w:sz="4" w:space="0"/>
              <w:right w:val="single" w:color="auto" w:sz="4" w:space="0"/>
            </w:tcBorders>
            <w:shd w:val="clear" w:color="auto" w:fill="FFFFFF"/>
            <w:vAlign w:val="center"/>
          </w:tcPr>
          <w:p w:rsidRPr="00F535E7" w:rsidR="00B245EE" w:rsidP="009D0769" w:rsidRDefault="00B245EE" w14:paraId="375D99B8" w14:textId="77777777">
            <w:pPr>
              <w:spacing w:line="276" w:lineRule="auto"/>
              <w:jc w:val="center"/>
              <w:rPr>
                <w:b/>
                <w:sz w:val="18"/>
                <w:szCs w:val="18"/>
              </w:rPr>
            </w:pPr>
            <w:r w:rsidRPr="00F535E7">
              <w:rPr>
                <w:b/>
                <w:sz w:val="18"/>
                <w:szCs w:val="18"/>
              </w:rPr>
              <w:t>3,794</w:t>
            </w:r>
          </w:p>
        </w:tc>
        <w:tc>
          <w:tcPr>
            <w:tcW w:w="1329" w:type="dxa"/>
            <w:tcBorders>
              <w:top w:val="single" w:color="auto" w:sz="4" w:space="0"/>
              <w:left w:val="single" w:color="auto" w:sz="4" w:space="0"/>
              <w:bottom w:val="single" w:color="auto" w:sz="4" w:space="0"/>
              <w:right w:val="single" w:color="auto" w:sz="4" w:space="0"/>
            </w:tcBorders>
            <w:shd w:val="clear" w:color="auto" w:fill="D9D9D9"/>
            <w:vAlign w:val="center"/>
          </w:tcPr>
          <w:p w:rsidRPr="00F535E7" w:rsidR="00B245EE" w:rsidP="00F535E7" w:rsidRDefault="00B245EE" w14:paraId="1CDF0189" w14:textId="77777777">
            <w:pPr>
              <w:spacing w:line="276" w:lineRule="auto"/>
              <w:jc w:val="center"/>
              <w:rPr>
                <w:b/>
                <w:sz w:val="18"/>
                <w:szCs w:val="18"/>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rsidRPr="00F535E7" w:rsidR="00B245EE" w:rsidP="00F535E7" w:rsidRDefault="00B245EE" w14:paraId="324AA882" w14:textId="77777777">
            <w:pPr>
              <w:spacing w:line="276" w:lineRule="auto"/>
              <w:jc w:val="center"/>
              <w:rPr>
                <w:b/>
                <w:sz w:val="18"/>
                <w:szCs w:val="18"/>
              </w:rPr>
            </w:pPr>
            <w:r w:rsidRPr="00F535E7">
              <w:rPr>
                <w:b/>
                <w:sz w:val="18"/>
                <w:szCs w:val="18"/>
              </w:rPr>
              <w:t>12,447</w:t>
            </w:r>
          </w:p>
        </w:tc>
        <w:tc>
          <w:tcPr>
            <w:tcW w:w="1072" w:type="dxa"/>
            <w:tcBorders>
              <w:top w:val="single" w:color="auto" w:sz="4" w:space="0"/>
              <w:left w:val="single" w:color="auto" w:sz="4" w:space="0"/>
              <w:bottom w:val="single" w:color="auto" w:sz="4" w:space="0"/>
              <w:right w:val="single" w:color="auto" w:sz="4" w:space="0"/>
            </w:tcBorders>
            <w:shd w:val="clear" w:color="auto" w:fill="D9D9D9"/>
            <w:vAlign w:val="center"/>
          </w:tcPr>
          <w:p w:rsidRPr="00F535E7" w:rsidR="00B245EE" w:rsidP="00F535E7" w:rsidRDefault="00B245EE" w14:paraId="752F3E7E" w14:textId="77777777">
            <w:pPr>
              <w:spacing w:line="276" w:lineRule="auto"/>
              <w:jc w:val="center"/>
              <w:rPr>
                <w:b/>
                <w:sz w:val="18"/>
                <w:szCs w:val="18"/>
              </w:rPr>
            </w:pPr>
          </w:p>
        </w:tc>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rsidRPr="00F535E7" w:rsidR="00B245EE" w:rsidP="00F535E7" w:rsidRDefault="00B245EE" w14:paraId="307D5B9D" w14:textId="77777777">
            <w:pPr>
              <w:spacing w:line="276" w:lineRule="auto"/>
              <w:jc w:val="center"/>
              <w:rPr>
                <w:b/>
                <w:sz w:val="18"/>
                <w:szCs w:val="18"/>
              </w:rPr>
            </w:pPr>
            <w:r w:rsidRPr="00F535E7">
              <w:rPr>
                <w:b/>
                <w:sz w:val="18"/>
                <w:szCs w:val="18"/>
              </w:rPr>
              <w:t>111,118</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F535E7" w:rsidR="00B245EE" w:rsidP="00F535E7" w:rsidRDefault="00B245EE" w14:paraId="543068FB" w14:textId="77777777">
            <w:pPr>
              <w:spacing w:line="276" w:lineRule="auto"/>
              <w:jc w:val="center"/>
              <w:rPr>
                <w:b/>
                <w:sz w:val="18"/>
                <w:szCs w:val="18"/>
              </w:rPr>
            </w:pP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rsidRPr="00F535E7" w:rsidR="00B245EE" w:rsidP="00F535E7" w:rsidRDefault="00B245EE" w14:paraId="603841F1" w14:textId="77777777">
            <w:pPr>
              <w:spacing w:line="276" w:lineRule="auto"/>
              <w:jc w:val="center"/>
              <w:rPr>
                <w:b/>
                <w:sz w:val="18"/>
                <w:szCs w:val="18"/>
              </w:rPr>
            </w:pPr>
            <w:r w:rsidRPr="00F535E7">
              <w:rPr>
                <w:b/>
                <w:sz w:val="18"/>
                <w:szCs w:val="18"/>
              </w:rPr>
              <w:t>$13,007,415</w:t>
            </w:r>
          </w:p>
        </w:tc>
      </w:tr>
    </w:tbl>
    <w:p w:rsidRPr="00F535E7" w:rsidR="00B245EE" w:rsidP="008F4B1C" w:rsidRDefault="00B245EE" w14:paraId="58B99852" w14:textId="77777777">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p w:rsidR="00F8431B" w:rsidP="007C7AFC" w:rsidRDefault="00F8431B" w14:paraId="63155EA0" w14:textId="77777777">
      <w:pPr>
        <w:widowControl w:val="0"/>
        <w:tabs>
          <w:tab w:val="right" w:pos="-2880"/>
          <w:tab w:val="left" w:pos="-1620"/>
        </w:tabs>
        <w:autoSpaceDE w:val="0"/>
        <w:autoSpaceDN w:val="0"/>
        <w:adjustRightInd w:val="0"/>
        <w:rPr>
          <w:b/>
          <w:noProof/>
        </w:rPr>
      </w:pPr>
    </w:p>
    <w:p w:rsidR="007C7AFC" w:rsidP="007C7AFC" w:rsidRDefault="00F8431B" w14:paraId="45DBFBFD" w14:textId="77777777">
      <w:pPr>
        <w:widowControl w:val="0"/>
        <w:tabs>
          <w:tab w:val="right" w:pos="-2880"/>
          <w:tab w:val="left" w:pos="-1620"/>
        </w:tabs>
        <w:autoSpaceDE w:val="0"/>
        <w:autoSpaceDN w:val="0"/>
        <w:adjustRightInd w:val="0"/>
        <w:rPr>
          <w:b/>
          <w:noProof/>
        </w:rPr>
      </w:pPr>
      <w:r w:rsidRPr="00F8431B">
        <w:rPr>
          <w:b/>
          <w:noProof/>
        </w:rPr>
        <w:t xml:space="preserve"> </w:t>
      </w:r>
    </w:p>
    <w:p w:rsidR="007C7AFC" w:rsidP="007C7AFC" w:rsidRDefault="007C7AFC" w14:paraId="235EE6EA" w14:textId="77777777">
      <w:pPr>
        <w:widowControl w:val="0"/>
        <w:tabs>
          <w:tab w:val="right" w:pos="-2880"/>
          <w:tab w:val="left" w:pos="-1620"/>
        </w:tabs>
        <w:autoSpaceDE w:val="0"/>
        <w:autoSpaceDN w:val="0"/>
        <w:adjustRightInd w:val="0"/>
        <w:rPr>
          <w:b/>
          <w:noProof/>
        </w:rPr>
      </w:pPr>
    </w:p>
    <w:p w:rsidRPr="008F4D44" w:rsidR="00FF7623" w:rsidP="00FF7623" w:rsidRDefault="007C7AFC" w14:paraId="5FFDF73E" w14:textId="77777777">
      <w:pPr>
        <w:tabs>
          <w:tab w:val="right" w:pos="360"/>
        </w:tabs>
        <w:autoSpaceDE w:val="0"/>
        <w:autoSpaceDN w:val="0"/>
        <w:adjustRightInd w:val="0"/>
        <w:ind w:left="540" w:hanging="540"/>
        <w:rPr>
          <w:i/>
        </w:rPr>
      </w:pPr>
      <w:r w:rsidRPr="004D611C">
        <w:rPr>
          <w:i/>
        </w:rPr>
        <w:t>13.</w:t>
      </w:r>
      <w:r w:rsidRPr="004D611C">
        <w:rPr>
          <w:i/>
        </w:rPr>
        <w:tab/>
      </w:r>
    </w:p>
    <w:p w:rsidRPr="008F4D44" w:rsidR="00FF7623" w:rsidP="00FF7623" w:rsidRDefault="00FF7623" w14:paraId="1F8DEBAE" w14:textId="77777777">
      <w:pPr>
        <w:tabs>
          <w:tab w:val="right" w:pos="360"/>
        </w:tabs>
        <w:autoSpaceDE w:val="0"/>
        <w:autoSpaceDN w:val="0"/>
        <w:adjustRightInd w:val="0"/>
        <w:ind w:left="540" w:hanging="540"/>
        <w:rPr>
          <w:i/>
        </w:rPr>
      </w:pPr>
      <w:r w:rsidRPr="008F4D44">
        <w:rPr>
          <w:i/>
        </w:rPr>
        <w:t>Provide an estimate for the total annual cost burden to respondents or record keepers resulting from the collection of information.  (Do not include the cost of any hour burden already reflected on the burden worksheet).</w:t>
      </w:r>
    </w:p>
    <w:p w:rsidRPr="008F4D44" w:rsidR="00FF7623" w:rsidP="00FF7623" w:rsidRDefault="00FF7623" w14:paraId="22972B4F" w14:textId="77777777">
      <w:pPr>
        <w:autoSpaceDE w:val="0"/>
        <w:autoSpaceDN w:val="0"/>
        <w:adjustRightInd w:val="0"/>
        <w:ind w:left="720" w:hanging="180"/>
        <w:rPr>
          <w:i/>
        </w:rPr>
      </w:pPr>
      <w:r w:rsidRPr="008F4D44">
        <w:rPr>
          <w:i/>
        </w:rPr>
        <w:lastRenderedPageBreak/>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8F4D44" w:rsidR="00FF7623" w:rsidP="00FF7623" w:rsidRDefault="00FF7623" w14:paraId="1C6538EA" w14:textId="77777777">
      <w:pPr>
        <w:autoSpaceDE w:val="0"/>
        <w:autoSpaceDN w:val="0"/>
        <w:adjustRightInd w:val="0"/>
        <w:ind w:left="720" w:hanging="180"/>
        <w:rPr>
          <w:i/>
        </w:rPr>
      </w:pPr>
      <w:r w:rsidRPr="008F4D44">
        <w:rPr>
          <w:i/>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F4D44" w:rsidR="00FF7623" w:rsidP="00FF7623" w:rsidRDefault="00FF7623" w14:paraId="724519DC" w14:textId="77777777">
      <w:pPr>
        <w:autoSpaceDE w:val="0"/>
        <w:autoSpaceDN w:val="0"/>
        <w:adjustRightInd w:val="0"/>
        <w:ind w:left="720" w:hanging="180"/>
        <w:rPr>
          <w:i/>
        </w:rPr>
      </w:pPr>
      <w:r w:rsidRPr="008F4D44">
        <w:rPr>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7529D" w:rsidR="007C7AFC" w:rsidP="007C7AFC" w:rsidRDefault="007C7AFC" w14:paraId="0ACD55DC" w14:textId="6673DAC1">
      <w:pPr>
        <w:widowControl w:val="0"/>
        <w:tabs>
          <w:tab w:val="right" w:pos="-2880"/>
          <w:tab w:val="left" w:pos="-1620"/>
        </w:tabs>
        <w:autoSpaceDE w:val="0"/>
        <w:autoSpaceDN w:val="0"/>
        <w:adjustRightInd w:val="0"/>
        <w:ind w:left="720" w:hanging="720"/>
        <w:rPr>
          <w:i/>
        </w:rPr>
      </w:pPr>
      <w:r w:rsidRPr="00F7529D">
        <w:rPr>
          <w:i/>
        </w:rPr>
        <w:t>.</w:t>
      </w:r>
    </w:p>
    <w:p w:rsidRPr="00F7529D" w:rsidR="007C7AFC" w:rsidP="007C7AFC" w:rsidRDefault="007C7AFC" w14:paraId="02638AE7" w14:textId="77777777">
      <w:pPr>
        <w:tabs>
          <w:tab w:val="left" w:pos="-1440"/>
          <w:tab w:val="left" w:pos="-720"/>
          <w:tab w:val="left" w:pos="288"/>
          <w:tab w:val="left" w:pos="720"/>
          <w:tab w:val="left" w:pos="5616"/>
          <w:tab w:val="left" w:pos="7920"/>
        </w:tabs>
        <w:autoSpaceDE w:val="0"/>
        <w:autoSpaceDN w:val="0"/>
        <w:adjustRightInd w:val="0"/>
        <w:ind w:left="720" w:hanging="720"/>
        <w:rPr>
          <w:sz w:val="20"/>
          <w:szCs w:val="20"/>
        </w:rPr>
      </w:pPr>
    </w:p>
    <w:p w:rsidR="007C7AFC" w:rsidP="007C7AFC" w:rsidRDefault="007C7AFC" w14:paraId="3FD47950"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F7529D">
        <w:t xml:space="preserve">There are no additional costs </w:t>
      </w:r>
      <w:r>
        <w:t xml:space="preserve">to respondents </w:t>
      </w:r>
      <w:r w:rsidRPr="00F7529D">
        <w:t xml:space="preserve">other than </w:t>
      </w:r>
      <w:r>
        <w:t>the value of respondent time captured in item 12</w:t>
      </w:r>
      <w:r w:rsidRPr="00F7529D">
        <w:t>.</w:t>
      </w:r>
    </w:p>
    <w:p w:rsidRPr="00F7529D" w:rsidR="007C7AFC" w:rsidP="007C7AFC" w:rsidRDefault="007C7AFC" w14:paraId="553ED126" w14:textId="77777777">
      <w:pPr>
        <w:widowControl w:val="0"/>
        <w:autoSpaceDE w:val="0"/>
        <w:autoSpaceDN w:val="0"/>
        <w:adjustRightInd w:val="0"/>
        <w:rPr>
          <w:b/>
        </w:rPr>
      </w:pPr>
    </w:p>
    <w:p w:rsidRPr="00D275E1" w:rsidR="007C7AFC" w:rsidP="007C7AFC" w:rsidRDefault="007C7AFC" w14:paraId="65EA7C8A" w14:textId="473D6DB8">
      <w:pPr>
        <w:widowControl w:val="0"/>
        <w:tabs>
          <w:tab w:val="right" w:pos="-2880"/>
          <w:tab w:val="left" w:pos="-1620"/>
        </w:tabs>
        <w:autoSpaceDE w:val="0"/>
        <w:autoSpaceDN w:val="0"/>
        <w:adjustRightInd w:val="0"/>
        <w:ind w:left="720" w:hanging="720"/>
        <w:rPr>
          <w:i/>
        </w:rPr>
      </w:pPr>
      <w:r w:rsidRPr="00D275E1">
        <w:rPr>
          <w:i/>
        </w:rPr>
        <w:t>14.</w:t>
      </w:r>
      <w:r w:rsidRPr="00D275E1">
        <w:rPr>
          <w:i/>
        </w:rPr>
        <w:tab/>
      </w:r>
      <w:r w:rsidRPr="008F4D44" w:rsidR="00FF7623">
        <w:rPr>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D275E1">
        <w:rPr>
          <w:i/>
        </w:rPr>
        <w:t xml:space="preserve">. </w:t>
      </w:r>
    </w:p>
    <w:p w:rsidRPr="00D275E1" w:rsidR="007C7AFC" w:rsidP="007C7AFC" w:rsidRDefault="007C7AFC" w14:paraId="6FB89CE3"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p>
    <w:p w:rsidR="007C7AFC" w:rsidP="007C7AFC" w:rsidRDefault="007C7AFC" w14:paraId="186799BE" w14:textId="325E70C5">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D275E1">
        <w:t>The following narrative summarizes the estimated annualized costs to the Office of Apprenticeship of the Department’s Employment and Training Administration (ETA) in connection with processing and reviewing the information collections described in this submission:</w:t>
      </w:r>
      <w:r>
        <w:t xml:space="preserve"> </w:t>
      </w:r>
    </w:p>
    <w:p w:rsidRPr="009C7D2E" w:rsidR="007C7AFC" w:rsidP="007C7AFC" w:rsidRDefault="007C7AFC" w14:paraId="5981C971" w14:textId="6C18F6C0">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highlight w:val="yellow"/>
        </w:rPr>
      </w:pPr>
    </w:p>
    <w:p w:rsidR="007C7AFC" w:rsidP="007C7AFC" w:rsidRDefault="007C7AFC" w14:paraId="7038D2C8" w14:textId="1AA71499">
      <w:r w:rsidRPr="00356D18">
        <w:rPr>
          <w:b/>
          <w:u w:val="single"/>
        </w:rPr>
        <w:t xml:space="preserve">Online </w:t>
      </w:r>
      <w:r>
        <w:rPr>
          <w:b/>
          <w:u w:val="single"/>
        </w:rPr>
        <w:t>Portal for Receiving Performance Information from SREs</w:t>
      </w:r>
    </w:p>
    <w:p w:rsidRPr="0096276E" w:rsidR="007C7AFC" w:rsidP="007C7AFC" w:rsidRDefault="007C7AFC" w14:paraId="16B6F577" w14:textId="16CDE283">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96276E">
        <w:t>The one-time cost to develop an online portal to receive performance information from SREs is estimated at $1,163,085 for software and labor. </w:t>
      </w:r>
      <w:r w:rsidRPr="0096276E" w:rsidR="005F4B5D">
        <w:t xml:space="preserve">Contractor labor for developing the online system will account for 20 percent of the total cost, contractor labor for developing a public website that will accept the performance data and a private system for managing the internal review of the performance data will account for 77 percent of the total cost, and material costs for software hosting and licensing will account for 3 percent of the total cost. </w:t>
      </w:r>
      <w:r w:rsidRPr="0096276E">
        <w:t>The annual maintenance cost is estimated at $245,909 for software and labor.</w:t>
      </w:r>
      <w:r w:rsidRPr="0096276E" w:rsidR="005F4B5D">
        <w:t xml:space="preserve"> Contractor labor to support maintenance of the online performance system will account for 68 percent of the total cost, while material costs for software hosting and licensing fees will account for 32 percent of the total cost.</w:t>
      </w:r>
    </w:p>
    <w:p w:rsidRPr="0096276E" w:rsidR="007C7AFC" w:rsidP="007C7AFC" w:rsidRDefault="007C7AFC" w14:paraId="315B51E7" w14:textId="73778684">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r w:rsidRPr="0096276E">
        <w:rPr>
          <w:b/>
          <w:u w:val="single"/>
        </w:rPr>
        <w:t>Online Portal for List of SREs and IRAPs</w:t>
      </w:r>
    </w:p>
    <w:p w:rsidR="00127B6E" w:rsidP="00C776DB" w:rsidRDefault="007C7AFC" w14:paraId="43800EE5" w14:textId="4B70685E">
      <w:r w:rsidRPr="0096276E">
        <w:t>The one-time cost to develop an online portal for the list of SREs and IRAPs is estimated at $92,000 for software and labor. </w:t>
      </w:r>
      <w:r w:rsidRPr="0096276E" w:rsidR="002D421B">
        <w:t xml:space="preserve">Contractor labor for developing the online resource will account for 98 percent of </w:t>
      </w:r>
      <w:r w:rsidRPr="0096276E" w:rsidR="002D421B">
        <w:lastRenderedPageBreak/>
        <w:t xml:space="preserve">the total cost, while material costs for software hosting and licensing will account for 2 percent of the total cost. </w:t>
      </w:r>
      <w:r w:rsidRPr="0096276E">
        <w:t>The annual maintenance cost is estimated at $18,000 for software and labor.</w:t>
      </w:r>
      <w:r w:rsidRPr="0096276E" w:rsidR="00C776DB">
        <w:t xml:space="preserve"> Contractor labor to support maintenance of the online list of SREs and IRAPs will account for 68 percent of the total cost, while material costs for software hosting and licensing fees will account for 32 percent of the total cost.</w:t>
      </w:r>
    </w:p>
    <w:p w:rsidRPr="0096276E" w:rsidR="00127B6E" w:rsidP="00C776DB" w:rsidRDefault="00127B6E" w14:paraId="77CCBD91" w14:textId="77777777">
      <w:pPr>
        <w:rPr>
          <w:b/>
          <w:bCs/>
        </w:rPr>
      </w:pPr>
    </w:p>
    <w:p w:rsidR="007C7AFC" w:rsidP="007C7AFC" w:rsidRDefault="007C7AFC" w14:paraId="47AD0062" w14:textId="681C2441">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r w:rsidRPr="00BE7F6D">
        <w:rPr>
          <w:b/>
          <w:u w:val="single"/>
        </w:rPr>
        <w:t>Total Federal Government Burden</w:t>
      </w:r>
    </w:p>
    <w:p w:rsidR="007C7AFC" w:rsidP="007C7AFC" w:rsidRDefault="000A3DE7" w14:paraId="52F4834C" w14:textId="2F3DDDBC">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r w:rsidRPr="006F72A0">
        <w:rPr>
          <w:b/>
          <w:noProof/>
          <w:u w:val="single"/>
        </w:rPr>
        <w:drawing>
          <wp:inline distT="0" distB="0" distL="0" distR="0" wp14:anchorId="6C8DB428" wp14:editId="13454720">
            <wp:extent cx="6105525" cy="19050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05525" cy="1905000"/>
                    </a:xfrm>
                    <a:prstGeom prst="rect">
                      <a:avLst/>
                    </a:prstGeom>
                    <a:noFill/>
                    <a:ln>
                      <a:noFill/>
                    </a:ln>
                  </pic:spPr>
                </pic:pic>
              </a:graphicData>
            </a:graphic>
          </wp:inline>
        </w:drawing>
      </w:r>
    </w:p>
    <w:p w:rsidR="007C7AFC" w:rsidP="007C7AFC" w:rsidRDefault="007C7AFC" w14:paraId="095DD055" w14:textId="5141C9A4">
      <w:pPr>
        <w:widowControl w:val="0"/>
        <w:autoSpaceDE w:val="0"/>
        <w:autoSpaceDN w:val="0"/>
        <w:adjustRightInd w:val="0"/>
        <w:rPr>
          <w:b/>
          <w:u w:val="single"/>
        </w:rPr>
      </w:pPr>
    </w:p>
    <w:p w:rsidR="007C7AFC" w:rsidP="007C7AFC" w:rsidRDefault="007C7AFC" w14:paraId="6F0DF88F" w14:textId="63E17497">
      <w:pPr>
        <w:widowControl w:val="0"/>
        <w:autoSpaceDE w:val="0"/>
        <w:autoSpaceDN w:val="0"/>
        <w:adjustRightInd w:val="0"/>
        <w:rPr>
          <w:b/>
          <w:u w:val="single"/>
        </w:rPr>
      </w:pPr>
    </w:p>
    <w:p w:rsidRPr="00D275E1" w:rsidR="007C7AFC" w:rsidP="007C7AFC" w:rsidRDefault="007C7AFC" w14:paraId="0605822F" w14:textId="2B842AC1">
      <w:pPr>
        <w:widowControl w:val="0"/>
        <w:autoSpaceDE w:val="0"/>
        <w:autoSpaceDN w:val="0"/>
        <w:adjustRightInd w:val="0"/>
      </w:pPr>
      <w:r w:rsidRPr="00D275E1">
        <w:rPr>
          <w:b/>
          <w:u w:val="single"/>
        </w:rPr>
        <w:t>GRAND TOTAL OF FEDERAL COST BURDEN:</w:t>
      </w:r>
      <w:r w:rsidRPr="00D275E1">
        <w:rPr>
          <w:b/>
        </w:rPr>
        <w:tab/>
        <w:t>$</w:t>
      </w:r>
      <w:r>
        <w:rPr>
          <w:b/>
        </w:rPr>
        <w:t>1,408,994</w:t>
      </w:r>
    </w:p>
    <w:p w:rsidRPr="00D275E1" w:rsidR="00586BE3" w:rsidP="007C7AFC" w:rsidRDefault="007C7AFC" w14:paraId="1C5FFED9" w14:textId="77777777">
      <w:pPr>
        <w:pStyle w:val="NoSpacing"/>
      </w:pPr>
      <w:r>
        <w:t xml:space="preserve">  </w:t>
      </w:r>
      <w:r w:rsidRPr="00F7529D">
        <w:t xml:space="preserve"> </w:t>
      </w:r>
    </w:p>
    <w:p w:rsidRPr="00F7529D" w:rsidR="00586BE3" w:rsidP="00586BE3" w:rsidRDefault="00586BE3" w14:paraId="29C08008" w14:textId="77777777">
      <w:pPr>
        <w:widowControl w:val="0"/>
        <w:autoSpaceDE w:val="0"/>
        <w:autoSpaceDN w:val="0"/>
        <w:adjustRightInd w:val="0"/>
        <w:ind w:left="720" w:hanging="720"/>
        <w:rPr>
          <w:i/>
        </w:rPr>
      </w:pPr>
      <w:r w:rsidRPr="00F7529D">
        <w:rPr>
          <w:i/>
        </w:rPr>
        <w:t>15.</w:t>
      </w:r>
      <w:r w:rsidRPr="00F7529D">
        <w:rPr>
          <w:i/>
        </w:rPr>
        <w:tab/>
        <w:t>Explain the reasons for any program changes or adjustments reported on the burden worksheet.</w:t>
      </w:r>
    </w:p>
    <w:p w:rsidR="000D337B" w:rsidP="000D337B" w:rsidRDefault="000D337B" w14:paraId="58FC8B65" w14:textId="77777777">
      <w:pPr>
        <w:autoSpaceDE w:val="0"/>
        <w:autoSpaceDN w:val="0"/>
        <w:adjustRightInd w:val="0"/>
        <w:ind w:left="720" w:hanging="720"/>
      </w:pPr>
    </w:p>
    <w:p w:rsidRPr="00F7529D" w:rsidR="000D337B" w:rsidP="000D337B" w:rsidRDefault="000D337B" w14:paraId="6B7C8F62" w14:textId="77777777">
      <w:pPr>
        <w:autoSpaceDE w:val="0"/>
        <w:autoSpaceDN w:val="0"/>
        <w:adjustRightInd w:val="0"/>
        <w:ind w:left="720" w:hanging="720"/>
      </w:pPr>
      <w:r>
        <w:t>This is a new information collection</w:t>
      </w:r>
      <w:r w:rsidR="008F1E65">
        <w:t xml:space="preserve"> request</w:t>
      </w:r>
      <w:r>
        <w:t>.</w:t>
      </w:r>
    </w:p>
    <w:p w:rsidRPr="00F7529D" w:rsidR="00586BE3" w:rsidP="00586BE3" w:rsidRDefault="00586BE3" w14:paraId="24959FCF"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bCs/>
        </w:rPr>
      </w:pPr>
    </w:p>
    <w:p w:rsidRPr="00F7529D" w:rsidR="00586BE3" w:rsidP="00586BE3" w:rsidRDefault="00586BE3" w14:paraId="1B208FC2" w14:textId="77777777">
      <w:pPr>
        <w:widowControl w:val="0"/>
        <w:autoSpaceDE w:val="0"/>
        <w:autoSpaceDN w:val="0"/>
        <w:adjustRightInd w:val="0"/>
        <w:ind w:left="720" w:hanging="720"/>
        <w:rPr>
          <w:rFonts w:ascii="Courier" w:hAnsi="Courier"/>
          <w:i/>
        </w:rPr>
      </w:pPr>
      <w:r w:rsidRPr="00F7529D">
        <w:rPr>
          <w:i/>
        </w:rPr>
        <w:t>16.</w:t>
      </w:r>
      <w:r w:rsidRPr="00F7529D">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w:t>
      </w:r>
    </w:p>
    <w:p w:rsidR="000D337B" w:rsidP="000D337B" w:rsidRDefault="000D337B" w14:paraId="4B37CADC" w14:textId="77777777"/>
    <w:p w:rsidRPr="009E61C4" w:rsidR="000D337B" w:rsidP="000D337B" w:rsidRDefault="000D337B" w14:paraId="366E3B68" w14:textId="77777777">
      <w:r>
        <w:t xml:space="preserve">After </w:t>
      </w:r>
      <w:r w:rsidR="009A3442">
        <w:t xml:space="preserve">prospective SREs </w:t>
      </w:r>
      <w:r>
        <w:t xml:space="preserve">receive </w:t>
      </w:r>
      <w:r w:rsidR="009A3442">
        <w:t>recognition</w:t>
      </w:r>
      <w:r>
        <w:t xml:space="preserve"> from the Department, </w:t>
      </w:r>
      <w:r w:rsidR="009A3442">
        <w:t xml:space="preserve">the Department </w:t>
      </w:r>
      <w:r w:rsidR="008F1E65">
        <w:t xml:space="preserve">are required to </w:t>
      </w:r>
      <w:r w:rsidR="009A3442">
        <w:t xml:space="preserve">list the </w:t>
      </w:r>
      <w:r w:rsidR="008F1E65">
        <w:t xml:space="preserve">recognized </w:t>
      </w:r>
      <w:r w:rsidR="009A3442">
        <w:t xml:space="preserve">SREs </w:t>
      </w:r>
      <w:r w:rsidR="008F1E65">
        <w:t>online</w:t>
      </w:r>
      <w:r w:rsidR="009A3442">
        <w:t xml:space="preserve">, along with </w:t>
      </w:r>
      <w:r w:rsidR="008F1E65">
        <w:t>high-level</w:t>
      </w:r>
      <w:r w:rsidR="009A3442">
        <w:t xml:space="preserve"> information in their application</w:t>
      </w:r>
      <w:r w:rsidR="008F1E65">
        <w:t xml:space="preserve"> such as the industry, occupations, and credentials they are approved to recognize and the state they’re located in</w:t>
      </w:r>
      <w:r w:rsidR="000C44CD">
        <w:t xml:space="preserve">.  Once recognized, SREs </w:t>
      </w:r>
      <w:r w:rsidR="008F1E65">
        <w:t xml:space="preserve">are required to </w:t>
      </w:r>
      <w:r w:rsidR="000C44CD">
        <w:t>share IRAP program info with the Department within 30 days of program recognition</w:t>
      </w:r>
      <w:r w:rsidR="00CA7469">
        <w:t xml:space="preserve">, suspension, or derecognition.  The Department </w:t>
      </w:r>
      <w:r w:rsidR="008F1E65">
        <w:t>is required to post the</w:t>
      </w:r>
      <w:r w:rsidR="00CA7469">
        <w:t xml:space="preserve"> program and sponsor information, as well as the status of the program, </w:t>
      </w:r>
      <w:r w:rsidR="008F1E65">
        <w:t>online</w:t>
      </w:r>
      <w:r w:rsidR="00CA7469">
        <w:t>.</w:t>
      </w:r>
      <w:r w:rsidR="000C44CD">
        <w:t xml:space="preserve"> </w:t>
      </w:r>
      <w:r w:rsidR="00CA7469">
        <w:t xml:space="preserve">SREs will provide the Department with annual program performance information and will make it publicly available, on an annual basis.  </w:t>
      </w:r>
    </w:p>
    <w:p w:rsidRPr="00F7529D" w:rsidR="00586BE3" w:rsidP="000D337B" w:rsidRDefault="00586BE3" w14:paraId="3DE9C452" w14:textId="77777777">
      <w:pPr>
        <w:tabs>
          <w:tab w:val="left" w:pos="-1440"/>
          <w:tab w:val="left" w:pos="-720"/>
          <w:tab w:val="left" w:pos="0"/>
          <w:tab w:val="left" w:pos="108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rPr>
      </w:pPr>
    </w:p>
    <w:p w:rsidRPr="00D74537" w:rsidR="00586BE3" w:rsidP="00586BE3" w:rsidRDefault="00586BE3" w14:paraId="4C1D58D4" w14:textId="77777777">
      <w:pPr>
        <w:ind w:left="720" w:hanging="720"/>
        <w:rPr>
          <w:i/>
        </w:rPr>
      </w:pPr>
      <w:r w:rsidRPr="00D74537">
        <w:rPr>
          <w:i/>
        </w:rPr>
        <w:t>17.</w:t>
      </w:r>
      <w:r w:rsidRPr="00D74537">
        <w:rPr>
          <w:i/>
        </w:rPr>
        <w:tab/>
        <w:t>If seeking approval not to display the expiration date for OMB approval of the information collection, explain the reasons that display would be inappropriate.</w:t>
      </w:r>
    </w:p>
    <w:p w:rsidR="000D337B" w:rsidP="000D337B" w:rsidRDefault="000D337B" w14:paraId="1CE58B18" w14:textId="77777777">
      <w:pPr>
        <w:autoSpaceDE w:val="0"/>
        <w:autoSpaceDN w:val="0"/>
        <w:adjustRightInd w:val="0"/>
      </w:pPr>
    </w:p>
    <w:p w:rsidRPr="00F7529D" w:rsidR="000D337B" w:rsidP="000D337B" w:rsidRDefault="009A3442" w14:paraId="2D15D589" w14:textId="77777777">
      <w:pPr>
        <w:autoSpaceDE w:val="0"/>
        <w:autoSpaceDN w:val="0"/>
        <w:adjustRightInd w:val="0"/>
      </w:pPr>
      <w:r>
        <w:t>The Department will display the OMB expiration.</w:t>
      </w:r>
    </w:p>
    <w:p w:rsidRPr="009E61C4" w:rsidR="00586BE3" w:rsidP="00586BE3" w:rsidRDefault="00586BE3" w14:paraId="39ADBCFD" w14:textId="77777777"/>
    <w:p w:rsidRPr="00F7529D" w:rsidR="00586BE3" w:rsidP="00586BE3" w:rsidRDefault="00586BE3" w14:paraId="5938160B" w14:textId="77777777">
      <w:pPr>
        <w:widowControl w:val="0"/>
        <w:autoSpaceDE w:val="0"/>
        <w:autoSpaceDN w:val="0"/>
        <w:adjustRightInd w:val="0"/>
        <w:ind w:left="720" w:hanging="720"/>
        <w:rPr>
          <w:i/>
        </w:rPr>
      </w:pPr>
      <w:r w:rsidRPr="00F7529D">
        <w:rPr>
          <w:i/>
        </w:rPr>
        <w:t>18.</w:t>
      </w:r>
      <w:r w:rsidRPr="00F7529D">
        <w:rPr>
          <w:i/>
        </w:rPr>
        <w:tab/>
        <w:t>Explain each exception to the topics of the certification statement identified in “Certification for Paperwork Reduction Act Submissions</w:t>
      </w:r>
      <w:r>
        <w:rPr>
          <w:i/>
        </w:rPr>
        <w:t>.</w:t>
      </w:r>
      <w:r w:rsidRPr="00F7529D">
        <w:rPr>
          <w:i/>
        </w:rPr>
        <w:t>”</w:t>
      </w:r>
    </w:p>
    <w:p w:rsidR="00586BE3" w:rsidP="00586BE3" w:rsidRDefault="00586BE3" w14:paraId="57B27F8F" w14:textId="77777777">
      <w:pPr>
        <w:widowControl w:val="0"/>
        <w:autoSpaceDE w:val="0"/>
        <w:autoSpaceDN w:val="0"/>
        <w:adjustRightInd w:val="0"/>
        <w:ind w:left="720" w:hanging="720"/>
        <w:rPr>
          <w:rFonts w:ascii="Courier" w:hAnsi="Courier"/>
          <w:i/>
        </w:rPr>
      </w:pPr>
    </w:p>
    <w:p w:rsidRPr="00F7529D" w:rsidR="000D337B" w:rsidP="000D337B" w:rsidRDefault="000D337B" w14:paraId="75D46970" w14:textId="77777777">
      <w:pPr>
        <w:autoSpaceDE w:val="0"/>
        <w:autoSpaceDN w:val="0"/>
        <w:adjustRightInd w:val="0"/>
        <w:ind w:right="-144"/>
      </w:pPr>
      <w:r w:rsidRPr="00F7529D">
        <w:t>There are no exceptions to the certification statement.</w:t>
      </w:r>
    </w:p>
    <w:p w:rsidRPr="00F7529D" w:rsidR="000D337B" w:rsidP="000D337B" w:rsidRDefault="000D337B" w14:paraId="70DDDB61" w14:textId="77777777">
      <w:pPr>
        <w:autoSpaceDE w:val="0"/>
        <w:autoSpaceDN w:val="0"/>
        <w:adjustRightInd w:val="0"/>
        <w:ind w:left="720" w:right="-144"/>
      </w:pPr>
    </w:p>
    <w:p w:rsidRPr="00F7529D" w:rsidR="000D337B" w:rsidP="000D337B" w:rsidRDefault="000D337B" w14:paraId="0A361572" w14:textId="7777777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ight="-144"/>
      </w:pPr>
    </w:p>
    <w:p w:rsidRPr="00F7529D" w:rsidR="000D337B" w:rsidP="2C185149" w:rsidRDefault="000D337B" w14:paraId="57E17DF8" w14:textId="77777777">
      <w:pPr>
        <w:autoSpaceDE w:val="0"/>
        <w:autoSpaceDN w:val="0"/>
        <w:adjustRightInd w:val="0"/>
        <w:ind w:left="720" w:right="-144" w:hanging="720"/>
        <w:rPr>
          <w:b/>
          <w:bCs/>
        </w:rPr>
      </w:pPr>
      <w:r w:rsidRPr="2C185149">
        <w:rPr>
          <w:b/>
          <w:bCs/>
        </w:rPr>
        <w:t>B.</w:t>
      </w:r>
      <w:r w:rsidRPr="2C185149" w:rsidR="3F596AC2">
        <w:rPr>
          <w:b/>
          <w:bCs/>
        </w:rPr>
        <w:t xml:space="preserve"> </w:t>
      </w:r>
      <w:r w:rsidRPr="00F7529D">
        <w:rPr>
          <w:b/>
        </w:rPr>
        <w:tab/>
      </w:r>
      <w:r w:rsidRPr="2C185149">
        <w:rPr>
          <w:b/>
          <w:bCs/>
        </w:rPr>
        <w:t>Collections of Information Employing Statistical Methods</w:t>
      </w:r>
    </w:p>
    <w:p w:rsidRPr="00F7529D" w:rsidR="000D337B" w:rsidP="000D337B" w:rsidRDefault="000D337B" w14:paraId="00AA7ED8" w14:textId="77777777">
      <w:pPr>
        <w:autoSpaceDE w:val="0"/>
        <w:autoSpaceDN w:val="0"/>
        <w:adjustRightInd w:val="0"/>
        <w:ind w:right="-144"/>
        <w:rPr>
          <w:b/>
        </w:rPr>
      </w:pPr>
    </w:p>
    <w:p w:rsidRPr="00F7529D" w:rsidR="000D337B" w:rsidP="000D337B" w:rsidRDefault="000D337B" w14:paraId="27D0DF97" w14:textId="77777777">
      <w:pPr>
        <w:autoSpaceDE w:val="0"/>
        <w:autoSpaceDN w:val="0"/>
        <w:adjustRightInd w:val="0"/>
        <w:ind w:right="-144"/>
      </w:pPr>
      <w:r w:rsidRPr="00F7529D">
        <w:t>This collection of information does not employ statistical methods.</w:t>
      </w:r>
    </w:p>
    <w:p w:rsidRPr="00F7529D" w:rsidR="000D337B" w:rsidP="00586BE3" w:rsidRDefault="000D337B" w14:paraId="131E6366" w14:textId="77777777">
      <w:pPr>
        <w:widowControl w:val="0"/>
        <w:autoSpaceDE w:val="0"/>
        <w:autoSpaceDN w:val="0"/>
        <w:adjustRightInd w:val="0"/>
        <w:ind w:left="720" w:hanging="720"/>
        <w:rPr>
          <w:rFonts w:ascii="Courier" w:hAnsi="Courier"/>
          <w:i/>
        </w:rPr>
      </w:pPr>
    </w:p>
    <w:p w:rsidRPr="00F7529D" w:rsidR="0009376B" w:rsidP="0009376B" w:rsidRDefault="0009376B" w14:paraId="0FD8003C" w14:textId="77777777">
      <w:pPr>
        <w:widowControl w:val="0"/>
        <w:autoSpaceDE w:val="0"/>
        <w:autoSpaceDN w:val="0"/>
        <w:adjustRightInd w:val="0"/>
        <w:rPr>
          <w:b/>
        </w:rPr>
      </w:pPr>
    </w:p>
    <w:sectPr w:rsidRPr="00F7529D" w:rsidR="0009376B" w:rsidSect="00C20AF5">
      <w:head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85782" w14:textId="77777777" w:rsidR="00473B1B" w:rsidRDefault="00473B1B" w:rsidP="00F774EC">
      <w:r>
        <w:separator/>
      </w:r>
    </w:p>
  </w:endnote>
  <w:endnote w:type="continuationSeparator" w:id="0">
    <w:p w14:paraId="4D61D865" w14:textId="77777777" w:rsidR="00473B1B" w:rsidRDefault="00473B1B" w:rsidP="00F7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6FE04" w14:textId="77777777" w:rsidR="00473B1B" w:rsidRDefault="00473B1B" w:rsidP="00F774EC">
      <w:r>
        <w:separator/>
      </w:r>
    </w:p>
  </w:footnote>
  <w:footnote w:type="continuationSeparator" w:id="0">
    <w:p w14:paraId="7A9E1656" w14:textId="77777777" w:rsidR="00473B1B" w:rsidRDefault="00473B1B" w:rsidP="00F774EC">
      <w:r>
        <w:continuationSeparator/>
      </w:r>
    </w:p>
  </w:footnote>
  <w:footnote w:id="1">
    <w:p w14:paraId="04061D1A" w14:textId="77777777" w:rsidR="007C7AFC" w:rsidRPr="00E3551B" w:rsidRDefault="007C7AFC" w:rsidP="007C7AFC">
      <w:pPr>
        <w:pStyle w:val="FootnoteText"/>
      </w:pPr>
      <w:r w:rsidRPr="00E3551B">
        <w:rPr>
          <w:rStyle w:val="FootnoteReference"/>
        </w:rPr>
        <w:footnoteRef/>
      </w:r>
      <w:r w:rsidRPr="00E3551B">
        <w:t xml:space="preserve"> Source: Bureau of Labor Statistics, Occupational Employment Statistics, May 2018, https://www.bls.gov/oes/current/oes113131.htm</w:t>
      </w:r>
      <w:r w:rsidRPr="00E3551B">
        <w:rPr>
          <w:rFonts w:eastAsia="Calibri"/>
        </w:rPr>
        <w:t>.</w:t>
      </w:r>
    </w:p>
  </w:footnote>
  <w:footnote w:id="2">
    <w:p w14:paraId="799729B6" w14:textId="77777777" w:rsidR="007C7AFC" w:rsidRPr="00E3551B" w:rsidRDefault="007C7AFC" w:rsidP="007C7AFC">
      <w:pPr>
        <w:pStyle w:val="FootnoteText"/>
      </w:pPr>
      <w:r w:rsidRPr="00E3551B">
        <w:rPr>
          <w:rStyle w:val="FootnoteReference"/>
        </w:rPr>
        <w:footnoteRef/>
      </w:r>
      <w:r w:rsidRPr="00E3551B">
        <w:t xml:space="preserve"> Source: Bureau of Labor Statistics, Employer Costs for Employee Compensation, https://www.bls.gov/ncs/data.htm. Wages and salaries averaged $24.86 per hour worked in 2018, while benefit costs averaged $11.52, which is a benefits rate of 46 percent.</w:t>
      </w:r>
    </w:p>
  </w:footnote>
  <w:footnote w:id="3">
    <w:p w14:paraId="37281EF5" w14:textId="77777777" w:rsidR="007C7AFC" w:rsidRDefault="007C7AFC" w:rsidP="007C7AFC">
      <w:pPr>
        <w:pStyle w:val="FootnoteText"/>
      </w:pPr>
      <w:r w:rsidRPr="00E3551B">
        <w:rPr>
          <w:rStyle w:val="FootnoteReference"/>
        </w:rPr>
        <w:footnoteRef/>
      </w:r>
      <w:r w:rsidRPr="00E3551B">
        <w:t xml:space="preserve"> Source: U.S. Department of Health and Human Services, </w:t>
      </w:r>
      <w:r w:rsidRPr="00E3551B">
        <w:rPr>
          <w:i/>
          <w:iCs/>
        </w:rPr>
        <w:t xml:space="preserve">Guidelines for Regulatory Impact Analysis </w:t>
      </w:r>
      <w:r w:rsidRPr="00E3551B">
        <w:rPr>
          <w:iCs/>
        </w:rPr>
        <w:t>(</w:t>
      </w:r>
      <w:r w:rsidRPr="00E3551B">
        <w:t xml:space="preserve">2016), </w:t>
      </w:r>
      <w:hyperlink r:id="rId1" w:history="1">
        <w:r w:rsidRPr="00E3551B">
          <w:rPr>
            <w:rStyle w:val="Hyperlink"/>
          </w:rPr>
          <w:t>https://aspe.hhs.gov/system/files/pdf/242926/HHS_RIAGuidance.pdf</w:t>
        </w:r>
      </w:hyperlink>
      <w:r w:rsidRPr="00E3551B">
        <w:t>. In its guidelines, HHS states, “as an interim default, while HHS conducts more research, analysts should assume overhead costs (including benefits) are equal to 100 percent of pre-tax wages.” HHS explains that 100 percent is roughly the midpoint between 46 and 150 percent, with 46 percent based on ECEC data that suggest benefits average 46 percent of wages and salaries, and 150 percent based on the private sector “rule of thumb” that fringe benefits plus overhead equal 150 percent of wages. To isolate the overhead costs from HHS’s 100 percent assumption, the Department subtracted the 46 percent benefits rate that HHS references, resulting in an overhead rate of approximately 54 percent.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151E6" w14:textId="77777777" w:rsidR="00F774EC" w:rsidRPr="00E143D7" w:rsidRDefault="005C6064" w:rsidP="00F774EC">
    <w:pPr>
      <w:pStyle w:val="Header"/>
      <w:rPr>
        <w:sz w:val="20"/>
        <w:szCs w:val="20"/>
      </w:rPr>
    </w:pPr>
    <w:r>
      <w:rPr>
        <w:sz w:val="20"/>
        <w:szCs w:val="20"/>
      </w:rPr>
      <w:t>IRAP</w:t>
    </w:r>
    <w:r w:rsidR="00F774EC" w:rsidRPr="00E143D7">
      <w:rPr>
        <w:sz w:val="20"/>
        <w:szCs w:val="20"/>
      </w:rPr>
      <w:t xml:space="preserve"> </w:t>
    </w:r>
    <w:r w:rsidR="00B518D2">
      <w:rPr>
        <w:sz w:val="20"/>
        <w:szCs w:val="20"/>
      </w:rPr>
      <w:t xml:space="preserve">Program </w:t>
    </w:r>
    <w:r w:rsidR="007A26C7">
      <w:rPr>
        <w:sz w:val="20"/>
        <w:szCs w:val="20"/>
      </w:rPr>
      <w:t>and</w:t>
    </w:r>
    <w:r w:rsidR="00E143D7" w:rsidRPr="00E143D7">
      <w:rPr>
        <w:sz w:val="20"/>
        <w:szCs w:val="20"/>
      </w:rPr>
      <w:t xml:space="preserve"> </w:t>
    </w:r>
    <w:r w:rsidR="009D047E" w:rsidRPr="00E143D7">
      <w:rPr>
        <w:sz w:val="20"/>
        <w:szCs w:val="20"/>
      </w:rPr>
      <w:t xml:space="preserve">Performance </w:t>
    </w:r>
    <w:r w:rsidR="00F774EC" w:rsidRPr="00E143D7">
      <w:rPr>
        <w:sz w:val="20"/>
        <w:szCs w:val="20"/>
      </w:rPr>
      <w:t>Report</w:t>
    </w:r>
    <w:r w:rsidR="009D047E">
      <w:rPr>
        <w:sz w:val="20"/>
        <w:szCs w:val="20"/>
      </w:rPr>
      <w:t xml:space="preserve"> for</w:t>
    </w:r>
    <w:r w:rsidR="00F774EC" w:rsidRPr="00E143D7">
      <w:rPr>
        <w:sz w:val="20"/>
        <w:szCs w:val="20"/>
      </w:rPr>
      <w:t xml:space="preserve"> </w:t>
    </w:r>
    <w:r w:rsidR="009D047E" w:rsidRPr="00E143D7">
      <w:rPr>
        <w:sz w:val="20"/>
        <w:szCs w:val="20"/>
      </w:rPr>
      <w:t>Standards Recognition Entit</w:t>
    </w:r>
    <w:r w:rsidR="009D047E">
      <w:rPr>
        <w:sz w:val="20"/>
        <w:szCs w:val="20"/>
      </w:rPr>
      <w:t>ies</w:t>
    </w:r>
  </w:p>
  <w:p w14:paraId="753FA49E" w14:textId="77777777" w:rsidR="00F774EC" w:rsidRDefault="00F774EC">
    <w:pPr>
      <w:pStyle w:val="Header"/>
      <w:rPr>
        <w:sz w:val="20"/>
        <w:szCs w:val="20"/>
      </w:rPr>
    </w:pPr>
    <w:r w:rsidRPr="00E143D7">
      <w:rPr>
        <w:sz w:val="20"/>
        <w:szCs w:val="20"/>
      </w:rPr>
      <w:t>OMB Control No. 1205-0</w:t>
    </w:r>
    <w:r w:rsidR="00E75998">
      <w:rPr>
        <w:sz w:val="20"/>
        <w:szCs w:val="20"/>
      </w:rPr>
      <w:t>NEW</w:t>
    </w:r>
  </w:p>
  <w:p w14:paraId="259B26DA" w14:textId="77777777" w:rsidR="00A85FE9" w:rsidRDefault="00A85FE9">
    <w:pPr>
      <w:pStyle w:val="Header"/>
      <w:rPr>
        <w:sz w:val="20"/>
        <w:szCs w:val="20"/>
      </w:rPr>
    </w:pPr>
    <w:r>
      <w:rPr>
        <w:sz w:val="20"/>
        <w:szCs w:val="20"/>
      </w:rPr>
      <w:t>OMB Expiration Date: xx/xx/xxxx</w:t>
    </w:r>
  </w:p>
  <w:p w14:paraId="4C2E50F0" w14:textId="77777777" w:rsidR="00C20E9C" w:rsidRPr="00E143D7" w:rsidRDefault="00C20E9C">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6D43"/>
    <w:multiLevelType w:val="hybridMultilevel"/>
    <w:tmpl w:val="56D492C2"/>
    <w:lvl w:ilvl="0" w:tplc="0576FE4C">
      <w:numFmt w:val="bullet"/>
      <w:lvlText w:val=""/>
      <w:lvlJc w:val="left"/>
      <w:pPr>
        <w:ind w:left="1080" w:hanging="72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3F4B11"/>
    <w:multiLevelType w:val="hybridMultilevel"/>
    <w:tmpl w:val="E6C6D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063E5E"/>
    <w:multiLevelType w:val="hybridMultilevel"/>
    <w:tmpl w:val="B388129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68D052F6"/>
    <w:multiLevelType w:val="hybridMultilevel"/>
    <w:tmpl w:val="F894DD38"/>
    <w:lvl w:ilvl="0" w:tplc="50EE5230">
      <w:start w:val="1"/>
      <w:numFmt w:val="upperLetter"/>
      <w:lvlText w:val="%1."/>
      <w:lvlJc w:val="left"/>
      <w:pPr>
        <w:ind w:left="720" w:hanging="360"/>
      </w:pPr>
    </w:lvl>
    <w:lvl w:ilvl="1" w:tplc="5D2864C0">
      <w:start w:val="1"/>
      <w:numFmt w:val="lowerLetter"/>
      <w:lvlText w:val="%2."/>
      <w:lvlJc w:val="left"/>
      <w:pPr>
        <w:ind w:left="1440" w:hanging="360"/>
      </w:pPr>
    </w:lvl>
    <w:lvl w:ilvl="2" w:tplc="7152D598">
      <w:start w:val="1"/>
      <w:numFmt w:val="lowerRoman"/>
      <w:lvlText w:val="%3."/>
      <w:lvlJc w:val="right"/>
      <w:pPr>
        <w:ind w:left="2160" w:hanging="180"/>
      </w:pPr>
    </w:lvl>
    <w:lvl w:ilvl="3" w:tplc="A64E8B34">
      <w:start w:val="1"/>
      <w:numFmt w:val="decimal"/>
      <w:lvlText w:val="%4."/>
      <w:lvlJc w:val="left"/>
      <w:pPr>
        <w:ind w:left="2880" w:hanging="360"/>
      </w:pPr>
    </w:lvl>
    <w:lvl w:ilvl="4" w:tplc="DD34C5A6">
      <w:start w:val="1"/>
      <w:numFmt w:val="lowerLetter"/>
      <w:lvlText w:val="%5."/>
      <w:lvlJc w:val="left"/>
      <w:pPr>
        <w:ind w:left="3600" w:hanging="360"/>
      </w:pPr>
    </w:lvl>
    <w:lvl w:ilvl="5" w:tplc="229C1A06">
      <w:start w:val="1"/>
      <w:numFmt w:val="lowerRoman"/>
      <w:lvlText w:val="%6."/>
      <w:lvlJc w:val="right"/>
      <w:pPr>
        <w:ind w:left="4320" w:hanging="180"/>
      </w:pPr>
    </w:lvl>
    <w:lvl w:ilvl="6" w:tplc="DA20A8D2">
      <w:start w:val="1"/>
      <w:numFmt w:val="decimal"/>
      <w:lvlText w:val="%7."/>
      <w:lvlJc w:val="left"/>
      <w:pPr>
        <w:ind w:left="5040" w:hanging="360"/>
      </w:pPr>
    </w:lvl>
    <w:lvl w:ilvl="7" w:tplc="045A3B44">
      <w:start w:val="1"/>
      <w:numFmt w:val="lowerLetter"/>
      <w:lvlText w:val="%8."/>
      <w:lvlJc w:val="left"/>
      <w:pPr>
        <w:ind w:left="5760" w:hanging="360"/>
      </w:pPr>
    </w:lvl>
    <w:lvl w:ilvl="8" w:tplc="1E4E1916">
      <w:start w:val="1"/>
      <w:numFmt w:val="lowerRoman"/>
      <w:lvlText w:val="%9."/>
      <w:lvlJc w:val="right"/>
      <w:pPr>
        <w:ind w:left="6480" w:hanging="180"/>
      </w:pPr>
    </w:lvl>
  </w:abstractNum>
  <w:abstractNum w:abstractNumId="4" w15:restartNumberingAfterBreak="0">
    <w:nsid w:val="6F34759C"/>
    <w:multiLevelType w:val="hybridMultilevel"/>
    <w:tmpl w:val="E50EE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27366D"/>
    <w:multiLevelType w:val="hybridMultilevel"/>
    <w:tmpl w:val="5E26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EE66D2"/>
    <w:multiLevelType w:val="hybridMultilevel"/>
    <w:tmpl w:val="B388129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6"/>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03A9E"/>
    <w:rsid w:val="00017F5A"/>
    <w:rsid w:val="0002478F"/>
    <w:rsid w:val="000251D1"/>
    <w:rsid w:val="0002727B"/>
    <w:rsid w:val="00034BFB"/>
    <w:rsid w:val="00050669"/>
    <w:rsid w:val="000712AB"/>
    <w:rsid w:val="00083D74"/>
    <w:rsid w:val="0009376B"/>
    <w:rsid w:val="000A3AA9"/>
    <w:rsid w:val="000A3DE7"/>
    <w:rsid w:val="000C44CD"/>
    <w:rsid w:val="000D337B"/>
    <w:rsid w:val="000E7C7E"/>
    <w:rsid w:val="0010232F"/>
    <w:rsid w:val="00104FB3"/>
    <w:rsid w:val="001079E8"/>
    <w:rsid w:val="00127B6E"/>
    <w:rsid w:val="001332A5"/>
    <w:rsid w:val="00153FA7"/>
    <w:rsid w:val="001556E8"/>
    <w:rsid w:val="00192AAC"/>
    <w:rsid w:val="001C175B"/>
    <w:rsid w:val="001D084F"/>
    <w:rsid w:val="001D2BAE"/>
    <w:rsid w:val="001D3521"/>
    <w:rsid w:val="001D4148"/>
    <w:rsid w:val="001D6D2C"/>
    <w:rsid w:val="001E100E"/>
    <w:rsid w:val="00234002"/>
    <w:rsid w:val="00252499"/>
    <w:rsid w:val="0026059D"/>
    <w:rsid w:val="002662DE"/>
    <w:rsid w:val="00275783"/>
    <w:rsid w:val="0027633C"/>
    <w:rsid w:val="00276E4A"/>
    <w:rsid w:val="00277896"/>
    <w:rsid w:val="0029769D"/>
    <w:rsid w:val="002D0EA9"/>
    <w:rsid w:val="002D421B"/>
    <w:rsid w:val="002D4AE3"/>
    <w:rsid w:val="002E639C"/>
    <w:rsid w:val="0031481E"/>
    <w:rsid w:val="003158A3"/>
    <w:rsid w:val="00321F07"/>
    <w:rsid w:val="00327D3C"/>
    <w:rsid w:val="00337B65"/>
    <w:rsid w:val="003624F7"/>
    <w:rsid w:val="003A3581"/>
    <w:rsid w:val="003A5A14"/>
    <w:rsid w:val="003B472E"/>
    <w:rsid w:val="003E570C"/>
    <w:rsid w:val="003E7AE0"/>
    <w:rsid w:val="00403120"/>
    <w:rsid w:val="00422DF6"/>
    <w:rsid w:val="004341FD"/>
    <w:rsid w:val="00442842"/>
    <w:rsid w:val="00473B1B"/>
    <w:rsid w:val="00481AD1"/>
    <w:rsid w:val="0048787E"/>
    <w:rsid w:val="0049303D"/>
    <w:rsid w:val="004A264D"/>
    <w:rsid w:val="004A30DC"/>
    <w:rsid w:val="004A3A4E"/>
    <w:rsid w:val="004A7C4F"/>
    <w:rsid w:val="004D3613"/>
    <w:rsid w:val="00513EA9"/>
    <w:rsid w:val="00557488"/>
    <w:rsid w:val="00557944"/>
    <w:rsid w:val="005611A7"/>
    <w:rsid w:val="00562D3D"/>
    <w:rsid w:val="00586BE3"/>
    <w:rsid w:val="005A0FF6"/>
    <w:rsid w:val="005C6064"/>
    <w:rsid w:val="005E6095"/>
    <w:rsid w:val="005F223C"/>
    <w:rsid w:val="005F4B5D"/>
    <w:rsid w:val="00615ACC"/>
    <w:rsid w:val="00621CC9"/>
    <w:rsid w:val="006253EE"/>
    <w:rsid w:val="00627EEF"/>
    <w:rsid w:val="00645AB5"/>
    <w:rsid w:val="0064672C"/>
    <w:rsid w:val="00646DFE"/>
    <w:rsid w:val="00652684"/>
    <w:rsid w:val="0066700B"/>
    <w:rsid w:val="00677A95"/>
    <w:rsid w:val="00693ADD"/>
    <w:rsid w:val="006C667B"/>
    <w:rsid w:val="006E0BFE"/>
    <w:rsid w:val="006F72A0"/>
    <w:rsid w:val="00701D8F"/>
    <w:rsid w:val="007032BF"/>
    <w:rsid w:val="00705175"/>
    <w:rsid w:val="0070758D"/>
    <w:rsid w:val="007328BE"/>
    <w:rsid w:val="00734A61"/>
    <w:rsid w:val="007401F4"/>
    <w:rsid w:val="0074143F"/>
    <w:rsid w:val="007863D8"/>
    <w:rsid w:val="00792CF7"/>
    <w:rsid w:val="007A26C7"/>
    <w:rsid w:val="007A312D"/>
    <w:rsid w:val="007B7489"/>
    <w:rsid w:val="007C7AFC"/>
    <w:rsid w:val="007D72B2"/>
    <w:rsid w:val="007F078D"/>
    <w:rsid w:val="00801000"/>
    <w:rsid w:val="008062EA"/>
    <w:rsid w:val="00821440"/>
    <w:rsid w:val="008355C8"/>
    <w:rsid w:val="0084064B"/>
    <w:rsid w:val="008B3A70"/>
    <w:rsid w:val="008C4B72"/>
    <w:rsid w:val="008D0C5A"/>
    <w:rsid w:val="008E32F4"/>
    <w:rsid w:val="008E3931"/>
    <w:rsid w:val="008F1E65"/>
    <w:rsid w:val="008F4B1C"/>
    <w:rsid w:val="00915160"/>
    <w:rsid w:val="009540A9"/>
    <w:rsid w:val="0096276E"/>
    <w:rsid w:val="0097348A"/>
    <w:rsid w:val="00992AA2"/>
    <w:rsid w:val="00996725"/>
    <w:rsid w:val="009A3442"/>
    <w:rsid w:val="009B3B93"/>
    <w:rsid w:val="009D047E"/>
    <w:rsid w:val="009D0769"/>
    <w:rsid w:val="009E278F"/>
    <w:rsid w:val="009F0163"/>
    <w:rsid w:val="00A01BF5"/>
    <w:rsid w:val="00A30CA0"/>
    <w:rsid w:val="00A61426"/>
    <w:rsid w:val="00A6543C"/>
    <w:rsid w:val="00A82188"/>
    <w:rsid w:val="00A84359"/>
    <w:rsid w:val="00A85492"/>
    <w:rsid w:val="00A85FE9"/>
    <w:rsid w:val="00A91D00"/>
    <w:rsid w:val="00AA28B0"/>
    <w:rsid w:val="00AA3798"/>
    <w:rsid w:val="00AB1041"/>
    <w:rsid w:val="00AB5142"/>
    <w:rsid w:val="00AB6A63"/>
    <w:rsid w:val="00AE4F09"/>
    <w:rsid w:val="00AF42FB"/>
    <w:rsid w:val="00B245EE"/>
    <w:rsid w:val="00B30CF9"/>
    <w:rsid w:val="00B33275"/>
    <w:rsid w:val="00B35D30"/>
    <w:rsid w:val="00B366D8"/>
    <w:rsid w:val="00B422DA"/>
    <w:rsid w:val="00B518D2"/>
    <w:rsid w:val="00B95F34"/>
    <w:rsid w:val="00BC7012"/>
    <w:rsid w:val="00BF7884"/>
    <w:rsid w:val="00C00518"/>
    <w:rsid w:val="00C15C15"/>
    <w:rsid w:val="00C20AF5"/>
    <w:rsid w:val="00C20E9C"/>
    <w:rsid w:val="00C36EA5"/>
    <w:rsid w:val="00C37CAF"/>
    <w:rsid w:val="00C55A4D"/>
    <w:rsid w:val="00C55D99"/>
    <w:rsid w:val="00C640E4"/>
    <w:rsid w:val="00C74A17"/>
    <w:rsid w:val="00C776DB"/>
    <w:rsid w:val="00C80521"/>
    <w:rsid w:val="00C8723D"/>
    <w:rsid w:val="00CA7469"/>
    <w:rsid w:val="00CB7827"/>
    <w:rsid w:val="00CC0EE4"/>
    <w:rsid w:val="00CC1901"/>
    <w:rsid w:val="00CC5DE0"/>
    <w:rsid w:val="00CE0360"/>
    <w:rsid w:val="00CE0620"/>
    <w:rsid w:val="00CE11C4"/>
    <w:rsid w:val="00D15C34"/>
    <w:rsid w:val="00D16FD7"/>
    <w:rsid w:val="00D658C7"/>
    <w:rsid w:val="00D67A1D"/>
    <w:rsid w:val="00D84047"/>
    <w:rsid w:val="00DA11B0"/>
    <w:rsid w:val="00DB5206"/>
    <w:rsid w:val="00DC038B"/>
    <w:rsid w:val="00E121D4"/>
    <w:rsid w:val="00E143D7"/>
    <w:rsid w:val="00E16D7C"/>
    <w:rsid w:val="00E43FAA"/>
    <w:rsid w:val="00E550D5"/>
    <w:rsid w:val="00E75998"/>
    <w:rsid w:val="00E82A27"/>
    <w:rsid w:val="00EB53B3"/>
    <w:rsid w:val="00EC24AE"/>
    <w:rsid w:val="00EC5082"/>
    <w:rsid w:val="00ED40D1"/>
    <w:rsid w:val="00EE0663"/>
    <w:rsid w:val="00EF7593"/>
    <w:rsid w:val="00F04C44"/>
    <w:rsid w:val="00F37929"/>
    <w:rsid w:val="00F52F2C"/>
    <w:rsid w:val="00F535E7"/>
    <w:rsid w:val="00F64302"/>
    <w:rsid w:val="00F67400"/>
    <w:rsid w:val="00F725A8"/>
    <w:rsid w:val="00F75D81"/>
    <w:rsid w:val="00F774EC"/>
    <w:rsid w:val="00F8431B"/>
    <w:rsid w:val="00F858E3"/>
    <w:rsid w:val="00FA1526"/>
    <w:rsid w:val="00FA690C"/>
    <w:rsid w:val="00FB4000"/>
    <w:rsid w:val="00FC12C3"/>
    <w:rsid w:val="00FD11A7"/>
    <w:rsid w:val="00FD200B"/>
    <w:rsid w:val="00FE1D28"/>
    <w:rsid w:val="00FE5448"/>
    <w:rsid w:val="00FF7623"/>
    <w:rsid w:val="09E9E8FC"/>
    <w:rsid w:val="1CFE6A93"/>
    <w:rsid w:val="23E25EF2"/>
    <w:rsid w:val="28DE75BA"/>
    <w:rsid w:val="2C185149"/>
    <w:rsid w:val="2EDE09E3"/>
    <w:rsid w:val="3C1C6D2B"/>
    <w:rsid w:val="3F596AC2"/>
    <w:rsid w:val="5130719D"/>
    <w:rsid w:val="61E395F9"/>
    <w:rsid w:val="6918F9A4"/>
    <w:rsid w:val="7E2CA12A"/>
    <w:rsid w:val="7F07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C14688"/>
  <w15:chartTrackingRefBased/>
  <w15:docId w15:val="{A2449ABB-BB03-44BC-B75B-54D41BB3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3D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74EC"/>
    <w:pPr>
      <w:tabs>
        <w:tab w:val="center" w:pos="4680"/>
        <w:tab w:val="right" w:pos="9360"/>
      </w:tabs>
    </w:pPr>
  </w:style>
  <w:style w:type="character" w:customStyle="1" w:styleId="HeaderChar">
    <w:name w:val="Header Char"/>
    <w:basedOn w:val="DefaultParagraphFont"/>
    <w:link w:val="Header"/>
    <w:rsid w:val="00F774EC"/>
  </w:style>
  <w:style w:type="paragraph" w:styleId="Footer">
    <w:name w:val="footer"/>
    <w:basedOn w:val="Normal"/>
    <w:link w:val="FooterChar"/>
    <w:uiPriority w:val="99"/>
    <w:unhideWhenUsed/>
    <w:rsid w:val="00F774EC"/>
    <w:pPr>
      <w:tabs>
        <w:tab w:val="center" w:pos="4680"/>
        <w:tab w:val="right" w:pos="9360"/>
      </w:tabs>
    </w:pPr>
  </w:style>
  <w:style w:type="character" w:customStyle="1" w:styleId="FooterChar">
    <w:name w:val="Footer Char"/>
    <w:basedOn w:val="DefaultParagraphFont"/>
    <w:link w:val="Footer"/>
    <w:uiPriority w:val="99"/>
    <w:rsid w:val="00F774EC"/>
  </w:style>
  <w:style w:type="paragraph" w:styleId="NoSpacing">
    <w:name w:val="No Spacing"/>
    <w:uiPriority w:val="1"/>
    <w:qFormat/>
    <w:rsid w:val="00E143D7"/>
    <w:rPr>
      <w:sz w:val="22"/>
      <w:szCs w:val="22"/>
    </w:rPr>
  </w:style>
  <w:style w:type="character" w:styleId="CommentReference">
    <w:name w:val="annotation reference"/>
    <w:uiPriority w:val="99"/>
    <w:semiHidden/>
    <w:unhideWhenUsed/>
    <w:rsid w:val="00EE0663"/>
    <w:rPr>
      <w:sz w:val="16"/>
      <w:szCs w:val="16"/>
    </w:rPr>
  </w:style>
  <w:style w:type="paragraph" w:styleId="CommentText">
    <w:name w:val="annotation text"/>
    <w:basedOn w:val="Normal"/>
    <w:link w:val="CommentTextChar"/>
    <w:uiPriority w:val="99"/>
    <w:unhideWhenUsed/>
    <w:rsid w:val="00EE0663"/>
    <w:rPr>
      <w:sz w:val="20"/>
      <w:szCs w:val="20"/>
    </w:rPr>
  </w:style>
  <w:style w:type="character" w:customStyle="1" w:styleId="CommentTextChar">
    <w:name w:val="Comment Text Char"/>
    <w:link w:val="CommentText"/>
    <w:uiPriority w:val="99"/>
    <w:rsid w:val="00EE06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0663"/>
    <w:rPr>
      <w:b/>
      <w:bCs/>
    </w:rPr>
  </w:style>
  <w:style w:type="character" w:customStyle="1" w:styleId="CommentSubjectChar">
    <w:name w:val="Comment Subject Char"/>
    <w:link w:val="CommentSubject"/>
    <w:uiPriority w:val="99"/>
    <w:semiHidden/>
    <w:rsid w:val="00EE066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E0663"/>
    <w:rPr>
      <w:rFonts w:ascii="Segoe UI" w:hAnsi="Segoe UI" w:cs="Segoe UI"/>
      <w:sz w:val="18"/>
      <w:szCs w:val="18"/>
    </w:rPr>
  </w:style>
  <w:style w:type="character" w:customStyle="1" w:styleId="BalloonTextChar">
    <w:name w:val="Balloon Text Char"/>
    <w:link w:val="BalloonText"/>
    <w:uiPriority w:val="99"/>
    <w:semiHidden/>
    <w:rsid w:val="00EE0663"/>
    <w:rPr>
      <w:rFonts w:ascii="Segoe UI" w:eastAsia="Times New Roman" w:hAnsi="Segoe UI" w:cs="Segoe UI"/>
      <w:sz w:val="18"/>
      <w:szCs w:val="18"/>
    </w:rPr>
  </w:style>
  <w:style w:type="paragraph" w:styleId="ListParagraph">
    <w:name w:val="List Paragraph"/>
    <w:basedOn w:val="Normal"/>
    <w:uiPriority w:val="34"/>
    <w:qFormat/>
    <w:rsid w:val="00996725"/>
    <w:pPr>
      <w:ind w:left="720"/>
      <w:contextualSpacing/>
    </w:pPr>
  </w:style>
  <w:style w:type="character" w:styleId="Hyperlink">
    <w:name w:val="Hyperlink"/>
    <w:rsid w:val="00C55D99"/>
    <w:rPr>
      <w:color w:val="0000FF"/>
      <w:u w:val="single"/>
    </w:rPr>
  </w:style>
  <w:style w:type="character" w:styleId="PageNumber">
    <w:name w:val="page number"/>
    <w:rsid w:val="0009376B"/>
  </w:style>
  <w:style w:type="paragraph" w:styleId="FootnoteText">
    <w:name w:val="footnote text"/>
    <w:aliases w:val="*Footnote Text"/>
    <w:basedOn w:val="Normal"/>
    <w:link w:val="FootnoteTextChar"/>
    <w:qFormat/>
    <w:rsid w:val="007C7AFC"/>
    <w:rPr>
      <w:sz w:val="20"/>
      <w:szCs w:val="20"/>
    </w:rPr>
  </w:style>
  <w:style w:type="character" w:customStyle="1" w:styleId="FootnoteTextChar">
    <w:name w:val="Footnote Text Char"/>
    <w:aliases w:val="*Footnote Text Char"/>
    <w:link w:val="FootnoteText"/>
    <w:rsid w:val="007C7AFC"/>
    <w:rPr>
      <w:rFonts w:ascii="Times New Roman" w:eastAsia="Times New Roman" w:hAnsi="Times New Roman" w:cs="Times New Roman"/>
      <w:sz w:val="20"/>
      <w:szCs w:val="20"/>
    </w:rPr>
  </w:style>
  <w:style w:type="character" w:styleId="FootnoteReference">
    <w:name w:val="footnote reference"/>
    <w:aliases w:val="*Footnote Reference,Number"/>
    <w:qFormat/>
    <w:rsid w:val="007C7AFC"/>
    <w:rPr>
      <w:vertAlign w:val="superscript"/>
    </w:rPr>
  </w:style>
  <w:style w:type="paragraph" w:styleId="BodyText">
    <w:name w:val="Body Text"/>
    <w:basedOn w:val="Normal"/>
    <w:link w:val="BodyTextChar"/>
    <w:uiPriority w:val="99"/>
    <w:semiHidden/>
    <w:unhideWhenUsed/>
    <w:rsid w:val="00B518D2"/>
    <w:pPr>
      <w:spacing w:after="120"/>
    </w:pPr>
  </w:style>
  <w:style w:type="character" w:customStyle="1" w:styleId="BodyTextChar">
    <w:name w:val="Body Text Char"/>
    <w:link w:val="BodyText"/>
    <w:uiPriority w:val="99"/>
    <w:semiHidden/>
    <w:rsid w:val="00B518D2"/>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rsid w:val="00B518D2"/>
    <w:pPr>
      <w:ind w:firstLine="210"/>
    </w:pPr>
    <w:rPr>
      <w:rFonts w:eastAsia="Calibri"/>
    </w:rPr>
  </w:style>
  <w:style w:type="character" w:customStyle="1" w:styleId="BodyTextFirstIndentChar">
    <w:name w:val="Body Text First Indent Char"/>
    <w:link w:val="BodyTextFirstIndent"/>
    <w:uiPriority w:val="99"/>
    <w:rsid w:val="00B518D2"/>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93885">
      <w:bodyDiv w:val="1"/>
      <w:marLeft w:val="0"/>
      <w:marRight w:val="0"/>
      <w:marTop w:val="0"/>
      <w:marBottom w:val="0"/>
      <w:divBdr>
        <w:top w:val="none" w:sz="0" w:space="0" w:color="auto"/>
        <w:left w:val="none" w:sz="0" w:space="0" w:color="auto"/>
        <w:bottom w:val="none" w:sz="0" w:space="0" w:color="auto"/>
        <w:right w:val="none" w:sz="0" w:space="0" w:color="auto"/>
      </w:divBdr>
    </w:div>
    <w:div w:id="1335760041">
      <w:bodyDiv w:val="1"/>
      <w:marLeft w:val="0"/>
      <w:marRight w:val="0"/>
      <w:marTop w:val="0"/>
      <w:marBottom w:val="0"/>
      <w:divBdr>
        <w:top w:val="none" w:sz="0" w:space="0" w:color="auto"/>
        <w:left w:val="none" w:sz="0" w:space="0" w:color="auto"/>
        <w:bottom w:val="none" w:sz="0" w:space="0" w:color="auto"/>
        <w:right w:val="none" w:sz="0" w:space="0" w:color="auto"/>
      </w:divBdr>
    </w:div>
    <w:div w:id="210537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apprenticesh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spe.hhs.gov/system/files/pdf/242926/HHS_RIA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7939A-9BFC-4F46-A193-B8BD0A80F276}">
  <ds:schemaRef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b31e9ac3-e9ea-478f-867b-1d49b715581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7F11EBB-59AB-4D9E-9ED4-5140F6B78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AA6C8-E9E3-4193-948E-1FE514B169B6}">
  <ds:schemaRefs>
    <ds:schemaRef ds:uri="http://schemas.microsoft.com/sharepoint/v3/contenttype/forms"/>
  </ds:schemaRefs>
</ds:datastoreItem>
</file>

<file path=customXml/itemProps4.xml><?xml version="1.0" encoding="utf-8"?>
<ds:datastoreItem xmlns:ds="http://schemas.openxmlformats.org/officeDocument/2006/customXml" ds:itemID="{961F55E4-D0B1-42A1-B25F-E25D40C00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4548</Words>
  <Characters>25925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30413</CharactersWithSpaces>
  <SharedDoc>false</SharedDoc>
  <HLinks>
    <vt:vector size="12" baseType="variant">
      <vt:variant>
        <vt:i4>4915289</vt:i4>
      </vt:variant>
      <vt:variant>
        <vt:i4>0</vt:i4>
      </vt:variant>
      <vt:variant>
        <vt:i4>0</vt:i4>
      </vt:variant>
      <vt:variant>
        <vt:i4>5</vt:i4>
      </vt:variant>
      <vt:variant>
        <vt:lpwstr>http://www.dol.gov/apprenticeship</vt:lpwstr>
      </vt:variant>
      <vt:variant>
        <vt:lpwstr/>
      </vt:variant>
      <vt:variant>
        <vt:i4>1048691</vt:i4>
      </vt:variant>
      <vt:variant>
        <vt:i4>0</vt:i4>
      </vt:variant>
      <vt:variant>
        <vt:i4>0</vt:i4>
      </vt:variant>
      <vt:variant>
        <vt:i4>5</vt:i4>
      </vt:variant>
      <vt:variant>
        <vt:lpwstr>https://aspe.hhs.gov/system/files/pdf/242926/HHS_RIAGuidance.pdf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Magloire, Yasheka - ETA</dc:creator>
  <cp:keywords/>
  <dc:description/>
  <cp:lastModifiedBy>St.Onge, Emily - ETA</cp:lastModifiedBy>
  <cp:revision>2</cp:revision>
  <dcterms:created xsi:type="dcterms:W3CDTF">2020-09-02T18:53:00Z</dcterms:created>
  <dcterms:modified xsi:type="dcterms:W3CDTF">2020-09-02T18:53:00Z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