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94" w:rsidRPr="00DC4294" w:rsidRDefault="00DC4294" w:rsidP="00DC4294">
      <w:pPr>
        <w:shd w:val="clear" w:color="auto" w:fill="FFFFFF"/>
        <w:spacing w:before="100" w:beforeAutospacing="1" w:after="75" w:line="240" w:lineRule="auto"/>
        <w:outlineLvl w:val="0"/>
        <w:rPr>
          <w:rFonts w:ascii="Tahoma" w:eastAsia="Times New Roman" w:hAnsi="Tahoma" w:cs="Tahoma"/>
          <w:b/>
          <w:bCs/>
          <w:color w:val="003399"/>
          <w:kern w:val="36"/>
          <w:sz w:val="34"/>
          <w:szCs w:val="34"/>
        </w:rPr>
      </w:pPr>
      <w:bookmarkStart w:id="0" w:name="_GoBack"/>
      <w:bookmarkEnd w:id="0"/>
      <w:r w:rsidRPr="00DC4294">
        <w:rPr>
          <w:rFonts w:ascii="Tahoma" w:eastAsia="Times New Roman" w:hAnsi="Tahoma" w:cs="Tahoma"/>
          <w:b/>
          <w:bCs/>
          <w:color w:val="003399"/>
          <w:kern w:val="36"/>
          <w:sz w:val="34"/>
          <w:szCs w:val="34"/>
        </w:rPr>
        <w:t>Privacy Act Systems - DOL/GOVT-1</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SYSTEM NAME:</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Office of Workers’ Compensation Programs, Federal Employees’ Compensation Act File.</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SECURITY CLASSIFICATIONS: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SYSTEM LOCATION:</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The central database for DOL/GOVT-1 is located at the DOL National office and the offices of OWCP’s contractor. Paper claim files are located at the various OWCP district offices; claim files of employees of the Central Intelligence Agency are located at that agency. Records from this system of records may be temporarily located in the offices of health care providers and other individuals or entities with whom the Department contracts for services such as examination or evaluation of claimants. Copies of claim forms and other documents arising out of a job-related injury that resulted in the filing of a claim under the Federal Employees’ Compensation Act (FECA) may also be maintained by the employing agency (and where the forms were transmitted to OWCP electronically, the original forms are maintained by the employing agency). In addition, records relating to third-party claims of FECA beneficiaries are maintained in the Division of Federal Employees’ and Energy Workers’ Compensation, Office of the Solicitor, United States Department of Labor, 200 Constitution Avenue, N.W., Washington, D.C. 20210, in the offices of the Regional and Associate Regional Solicitors, and in various offices of the United States Postal Service, which undertakes various duties relating to third party claims pursuant to an agreement with OWCP.</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Pursuant to the Department of Labor's Flexiplace Programs, copies of records may be temporarily located at alternative worksites, including employees' homes or at geographically convenient satellite offices for part of the workweek. All appropriate safeguards will be taken at these sites.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CATEGORIES OF INDIVIDUALS COVERED BY THE SYSTEM:</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Individuals and/or their survivors who file claims seeking benefits under FECA by reason of injuries sustained while in the performance of duty. FECA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FECA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CATEGORIES OF RECORDS IN THE SYSTEM:</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 xml:space="preserve">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w:t>
      </w:r>
      <w:r w:rsidRPr="00DC4294">
        <w:rPr>
          <w:rFonts w:ascii="Tahoma" w:eastAsia="Times New Roman" w:hAnsi="Tahoma" w:cs="Tahoma"/>
          <w:color w:val="000000"/>
          <w:sz w:val="19"/>
          <w:szCs w:val="19"/>
        </w:rPr>
        <w:lastRenderedPageBreak/>
        <w:t>court proceedings, insurance, banking and employment; articles from newspapers and other publications; information relating to other benefits (financial and otherwise) the claimant may be entitled to; and information received from various investigative agencies concerning possible violations of Federal civil or criminal law. 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AUTHORITY for maintenance of the system:</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 xml:space="preserve">5 U.S.C. 8101 </w:t>
      </w:r>
      <w:r w:rsidRPr="00DC4294">
        <w:rPr>
          <w:rFonts w:ascii="Tahoma" w:eastAsia="Times New Roman" w:hAnsi="Tahoma" w:cs="Tahoma"/>
          <w:color w:val="000000"/>
          <w:sz w:val="19"/>
          <w:szCs w:val="19"/>
          <w:u w:val="single"/>
        </w:rPr>
        <w:t>et seq.,</w:t>
      </w:r>
      <w:r w:rsidRPr="00DC4294">
        <w:rPr>
          <w:rFonts w:ascii="Tahoma" w:eastAsia="Times New Roman" w:hAnsi="Tahoma" w:cs="Tahoma"/>
          <w:color w:val="000000"/>
          <w:sz w:val="19"/>
          <w:szCs w:val="19"/>
        </w:rPr>
        <w:t xml:space="preserve">20 CFR 1.1 </w:t>
      </w:r>
      <w:r w:rsidRPr="00DC4294">
        <w:rPr>
          <w:rFonts w:ascii="Tahoma" w:eastAsia="Times New Roman" w:hAnsi="Tahoma" w:cs="Tahoma"/>
          <w:color w:val="000000"/>
          <w:sz w:val="19"/>
          <w:szCs w:val="19"/>
          <w:u w:val="single"/>
        </w:rPr>
        <w:t>et seq.</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PURPOSE(S):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The FECA establishes the system for processing and adjudicating claims that federal employees and other covered individuals file with the Department of Labor's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FECA must be based.</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ROUTINE USES OF RECORDS MAINTAINED IN THE SYSTEM, INCLUDING CATEGORIES OF USERS AND THE PURPOSES OF SUCH USES: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In addition to those Department-wide routine uses set forth above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DC4294" w:rsidRDefault="002F0F5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DC4294" w:rsidRPr="00DC4294">
        <w:rPr>
          <w:rFonts w:ascii="Tahoma" w:eastAsia="Times New Roman" w:hAnsi="Tahoma" w:cs="Tahoma"/>
          <w:color w:val="000000"/>
          <w:sz w:val="19"/>
          <w:szCs w:val="19"/>
        </w:rPr>
        <w:t>To any attorney or other representative of a FECA beneficiary for the purpose of assisting in a claim or litigation against a third party or parties potentially liable to pay damages as a result of the FECA beneficiary's FECA-covered injury and for the purpose of administering the provisions of §§ 8131-8132 of the FECA. Any such third party, or a representative acting on that third party's behalf, may be provided information or documents concerning the existence of a record and the amount and nature of compensation paid to or on behalf of the FECA beneficiary for the purpose of assisting in the resolution of the claim or litigation against that party or administering the provisions of §§ 8131-8132 of the FECA.</w:t>
      </w:r>
    </w:p>
    <w:p w:rsidR="00DC4294" w:rsidRDefault="00DC4294" w:rsidP="00DC4294">
      <w:pPr>
        <w:pStyle w:val="ListParagraph"/>
        <w:shd w:val="clear" w:color="auto" w:fill="FFFFFF"/>
        <w:spacing w:before="100" w:beforeAutospacing="1" w:after="60" w:line="240" w:lineRule="auto"/>
        <w:ind w:left="810"/>
        <w:rPr>
          <w:rFonts w:ascii="Tahoma" w:eastAsia="Times New Roman" w:hAnsi="Tahoma" w:cs="Tahoma"/>
          <w:color w:val="000000"/>
          <w:sz w:val="19"/>
          <w:szCs w:val="19"/>
        </w:rPr>
      </w:pPr>
    </w:p>
    <w:p w:rsidR="00DC4294" w:rsidRDefault="002F0F5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DC4294" w:rsidRPr="00DC4294">
        <w:rPr>
          <w:rFonts w:ascii="Tahoma" w:eastAsia="Times New Roman" w:hAnsi="Tahoma" w:cs="Tahoma"/>
          <w:color w:val="000000"/>
          <w:sz w:val="19"/>
          <w:szCs w:val="19"/>
        </w:rPr>
        <w:t>To federal agencies that employed the claimant at the time of the occurrence or recurrence of the injury or occupational illness in order to verify billing, to assist in administering the FECA,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the FECA's exclusive remedy provision to an administrative claim or to litigation filed under the Federal Tort Claims Act.</w:t>
      </w:r>
    </w:p>
    <w:p w:rsidR="008626CF" w:rsidRPr="008626CF" w:rsidRDefault="008626CF" w:rsidP="008626CF">
      <w:pPr>
        <w:pStyle w:val="ListParagraph"/>
        <w:rPr>
          <w:rFonts w:ascii="Tahoma" w:eastAsia="Times New Roman" w:hAnsi="Tahoma" w:cs="Tahoma"/>
          <w:color w:val="000000"/>
          <w:sz w:val="19"/>
          <w:szCs w:val="19"/>
        </w:rPr>
      </w:pPr>
    </w:p>
    <w:p w:rsidR="00DC4294" w:rsidRPr="002F0F5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lastRenderedPageBreak/>
        <w:t>To federal, state or private rehabilitation agencies and individuals to whom the claimant has been referred for evaluation of rehabilitation and possible reemployment.</w:t>
      </w:r>
    </w:p>
    <w:p w:rsidR="002F0F54" w:rsidRPr="002F0F54" w:rsidRDefault="002F0F54" w:rsidP="002F0F54">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8626CF" w:rsidRPr="008626CF" w:rsidRDefault="008626CF" w:rsidP="008626CF">
      <w:pPr>
        <w:pStyle w:val="ListParagraph"/>
        <w:rPr>
          <w:rFonts w:ascii="Tahoma" w:eastAsia="Times New Roman" w:hAnsi="Tahoma" w:cs="Tahoma"/>
          <w:color w:val="000000"/>
          <w:sz w:val="19"/>
          <w:szCs w:val="19"/>
        </w:rPr>
      </w:pP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medical insurance or health and welfare plans (or their designees) that cover the claimant in instances where OWCP had paid for treatment of a medical condition that is not compensable under the FECA, or where a medical insurance plan or health and welfare plan has paid for treatment of a medical condition that may be compensable under the FECA, for the purpose of resolving the appropriate source of payment in such circumstances.</w:t>
      </w: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labor unions and other voluntary employee associations from whom the claimant has requested assistance for the purpose of providing such assistance to the claimant.</w:t>
      </w:r>
    </w:p>
    <w:p w:rsidR="008626CF" w:rsidRPr="008626CF" w:rsidRDefault="008626CF" w:rsidP="008626CF">
      <w:pPr>
        <w:pStyle w:val="ListParagraph"/>
        <w:rPr>
          <w:rFonts w:ascii="Tahoma" w:eastAsia="Times New Roman" w:hAnsi="Tahoma" w:cs="Tahoma"/>
          <w:color w:val="000000"/>
          <w:sz w:val="19"/>
          <w:szCs w:val="19"/>
        </w:rPr>
      </w:pP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a federal, state or local agency for the purpose of obtaining information relevant to a determination concerning initial or continuing eligibility for FECA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FECA compensation and debts otherwise related to the payment of FECA benefits.</w:t>
      </w: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8626CF" w:rsidRPr="008626CF" w:rsidRDefault="008626CF" w:rsidP="008626CF">
      <w:pPr>
        <w:pStyle w:val="ListParagraph"/>
        <w:rPr>
          <w:rFonts w:ascii="Tahoma" w:eastAsia="Times New Roman" w:hAnsi="Tahoma" w:cs="Tahoma"/>
          <w:color w:val="000000"/>
          <w:sz w:val="19"/>
          <w:szCs w:val="19"/>
        </w:rPr>
      </w:pP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OSHA for the purpose of using injury reports filed by Federal agencies pursuant to FECA to fulfill agency injury reporting requirements. Information in this system of records may be disclosed to OSHA by employing agencies as part of any Management Information System established under OSHA regulations to monitor health and safety.</w:t>
      </w: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insure that the contractor complies fully with all Privacy Act provisions, including those prohibiting unlawful disclosure of such information.</w:t>
      </w:r>
    </w:p>
    <w:p w:rsidR="008626CF" w:rsidRPr="008626CF" w:rsidRDefault="008626CF" w:rsidP="008626CF">
      <w:pPr>
        <w:pStyle w:val="ListParagraph"/>
        <w:rPr>
          <w:rFonts w:ascii="Tahoma" w:eastAsia="Times New Roman" w:hAnsi="Tahoma" w:cs="Tahoma"/>
          <w:color w:val="000000"/>
          <w:sz w:val="19"/>
          <w:szCs w:val="19"/>
        </w:rPr>
      </w:pP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the Defense Manpower Data Center -- 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(Public Law 97-365) by voluntary repayment, or by salary or administrative offset procedures.</w:t>
      </w: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a credit bureau for the purpose of obtaining consumer credit reports identifying the assets, liabilities, expenses, and income of a debtor in order to ascertain the debtor’s ability to repay a debt incurred under FECA, to collect the debt, or to establish a payment schedule.</w:t>
      </w:r>
    </w:p>
    <w:p w:rsidR="008626CF" w:rsidRPr="008626CF" w:rsidRDefault="008626CF" w:rsidP="008626CF">
      <w:pPr>
        <w:pStyle w:val="ListParagraph"/>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consumer reporting agencies as defined by § 603(f) of the Fair Credit Reporting Act (15 U.S.C. 1681a(f)) or in accordance with § 3(d)(4)(A)(ii) of the Federal Claims Collection Act of 1966 as amended (31 U.S.C.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U.S.C. 552a(b)(12).</w:t>
      </w:r>
    </w:p>
    <w:p w:rsidR="008626CF" w:rsidRPr="008626CF" w:rsidRDefault="008626CF" w:rsidP="008626CF">
      <w:pPr>
        <w:pStyle w:val="ListParagraph"/>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a Member of Congress or to a Congressional staff member in response to an inquiry made by an individual seeking assistance who is the subject of the record being disclosed for the purpose of providing such assistance.</w:t>
      </w:r>
    </w:p>
    <w:p w:rsidR="008626CF" w:rsidRPr="008626CF" w:rsidRDefault="008626CF" w:rsidP="008626CF">
      <w:pPr>
        <w:pStyle w:val="ListParagraph"/>
        <w:rPr>
          <w:rFonts w:ascii="Tahoma" w:eastAsia="Times New Roman" w:hAnsi="Tahoma" w:cs="Tahoma"/>
          <w:color w:val="000000"/>
          <w:sz w:val="19"/>
          <w:szCs w:val="19"/>
        </w:rPr>
      </w:pP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 666(b) of title 42, U.S.C., or for the purpose of denying the existence of funds subject to such legal obligation.</w:t>
      </w:r>
    </w:p>
    <w:p w:rsidR="008626CF" w:rsidRPr="002F0F54" w:rsidRDefault="008626CF" w:rsidP="008626CF">
      <w:pPr>
        <w:pStyle w:val="ListParagraph"/>
        <w:shd w:val="clear" w:color="auto" w:fill="FFFFFF"/>
        <w:spacing w:before="100" w:beforeAutospacing="1" w:after="60" w:line="240" w:lineRule="auto"/>
        <w:ind w:left="1170"/>
        <w:rPr>
          <w:rFonts w:ascii="Tahoma" w:eastAsia="Times New Roman" w:hAnsi="Tahoma" w:cs="Tahoma"/>
          <w:color w:val="000000"/>
          <w:sz w:val="19"/>
          <w:szCs w:val="19"/>
        </w:rPr>
      </w:pPr>
    </w:p>
    <w:p w:rsidR="00DC4294" w:rsidRPr="002F0F54" w:rsidRDefault="00DC4294" w:rsidP="002F0F54">
      <w:pPr>
        <w:pStyle w:val="ListParagraph"/>
        <w:numPr>
          <w:ilvl w:val="0"/>
          <w:numId w:val="3"/>
        </w:numPr>
        <w:shd w:val="clear" w:color="auto" w:fill="FFFFFF"/>
        <w:spacing w:before="100" w:beforeAutospacing="1" w:after="60" w:line="240" w:lineRule="auto"/>
        <w:rPr>
          <w:rFonts w:ascii="Tahoma" w:eastAsia="Times New Roman" w:hAnsi="Tahoma" w:cs="Tahoma"/>
          <w:color w:val="000000"/>
          <w:sz w:val="19"/>
          <w:szCs w:val="19"/>
        </w:rPr>
      </w:pPr>
      <w:r w:rsidRPr="002F0F54">
        <w:rPr>
          <w:rFonts w:ascii="Tahoma" w:eastAsia="Times New Roman" w:hAnsi="Tahoma" w:cs="Tahoma"/>
          <w:color w:val="000000"/>
          <w:sz w:val="19"/>
          <w:szCs w:val="19"/>
        </w:rPr>
        <w:t>To the National Institute for Occupational Safety and Health (NIOSH), for the purpose of performing statistical analyses of injury and illness patterns to identify patterns and locations of high incidence, help devise safety and return-to-work interventions, and guide worker safety and health research. The statistical analyses performed by NIOSH will assist OWCP and OSHA in their efforts to reduce the occurrence of employment injuries, assist employees in achieving a smooth transition and return to work following employment injuries, and improve Federal employee safety and health.</w:t>
      </w:r>
    </w:p>
    <w:p w:rsidR="00DC4294" w:rsidRPr="00DC4294" w:rsidRDefault="00DC4294" w:rsidP="00DC4294">
      <w:pPr>
        <w:shd w:val="clear" w:color="auto" w:fill="FFFFFF"/>
        <w:spacing w:before="100" w:beforeAutospacing="1" w:after="60"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br/>
        <w:t> </w:t>
      </w:r>
      <w:r w:rsidRPr="00DC4294">
        <w:rPr>
          <w:rFonts w:ascii="Tahoma" w:eastAsia="Times New Roman" w:hAnsi="Tahoma" w:cs="Tahoma"/>
          <w:b/>
          <w:bCs/>
          <w:color w:val="000000"/>
          <w:sz w:val="19"/>
          <w:szCs w:val="19"/>
        </w:rPr>
        <w:t>Note:</w:t>
      </w:r>
      <w:r w:rsidRPr="00DC4294">
        <w:rPr>
          <w:rFonts w:ascii="Tahoma" w:eastAsia="Times New Roman" w:hAnsi="Tahoma" w:cs="Tahoma"/>
          <w:color w:val="000000"/>
          <w:sz w:val="19"/>
          <w:szCs w:val="19"/>
        </w:rPr>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FECA. Pursuant to 5 U.S.C.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DISCLOSURE TO CONSUMER REPORTING AGENCIES: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The amount, status and history of overdue debts, the name and address, taxpayer identification (SSN), and other information necessary to establish the identity of a debtor, the agency and program under which the claim arose, may be disclosed pursuant to 5 U.S.C. 552a(b)(12) to consumer reporting agencies as defined by § 603(f) of the Fair Credit Reporting Act (15 U.S.C. 1681a(f)) or in accordance with § 3(d)(4)(A)(ii) of the Federal Claims Collection Act of 1966 as amended (31 U.S.C. 3711(f)) for the purpose of encouraging the repayment of an overdue debt.</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POLICIES AND PRACTICES FOR STORING, RETRIEVING, ACCESSING, RETAINING AND DISPOSING OF RECORDS IN THE SYSTEM:</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STORAGE:</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Files are stored electronically and/or on paper.</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RETRIEVABILITY:</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SAFEGUARDS: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Access by authorized personnel only. Computer security safeguards are used for electronically stored data and locked locations for paper files. Only personnel having an appropriate security clearance may handle or process security files.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RETENTION AND DISPOSAL:</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All case files and automated data pertain</w:t>
      </w:r>
      <w:r>
        <w:rPr>
          <w:rFonts w:ascii="Tahoma" w:eastAsia="Times New Roman" w:hAnsi="Tahoma" w:cs="Tahoma"/>
          <w:color w:val="000000"/>
          <w:sz w:val="19"/>
          <w:szCs w:val="19"/>
        </w:rPr>
        <w:t xml:space="preserve">ing to a claim are destroyed 15 </w:t>
      </w:r>
      <w:r w:rsidRPr="00DC4294">
        <w:rPr>
          <w:rFonts w:ascii="Tahoma" w:eastAsia="Times New Roman" w:hAnsi="Tahoma" w:cs="Tahoma"/>
          <w:color w:val="000000"/>
          <w:sz w:val="19"/>
          <w:szCs w:val="19"/>
        </w:rPr>
        <w:t>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SYSTEM MANAGER(S) AND ADDRESS: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Director for Federal Employees’ Compensation, Office of Workers’ Compensation Programs, 200 Constitution Avenue, N.W., Room S-3229, Washington, D.C. 20210.</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NOTIFICATION PROCEDURE:</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RECORD ACCESS PROCEDURES: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CONTESTING RECORD PROCEDURES: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 (1999).</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RECORD SOURCE CATEGORIES: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b/>
          <w:bCs/>
          <w:color w:val="000000"/>
          <w:sz w:val="19"/>
          <w:szCs w:val="19"/>
        </w:rPr>
        <w:t>SYSTEMS EXEMPTED FROM CERTAIN PROVISIONS OF THE ACT</w:t>
      </w:r>
    </w:p>
    <w:p w:rsidR="00DC4294" w:rsidRPr="00DC4294" w:rsidRDefault="00DC4294" w:rsidP="00DC4294">
      <w:pPr>
        <w:shd w:val="clear" w:color="auto" w:fill="FFFFFF"/>
        <w:spacing w:before="100" w:beforeAutospacing="1" w:after="75" w:line="240" w:lineRule="auto"/>
        <w:rPr>
          <w:rFonts w:ascii="Tahoma" w:eastAsia="Times New Roman" w:hAnsi="Tahoma" w:cs="Tahoma"/>
          <w:color w:val="000000"/>
          <w:sz w:val="19"/>
          <w:szCs w:val="19"/>
        </w:rPr>
      </w:pPr>
      <w:r w:rsidRPr="00DC4294">
        <w:rPr>
          <w:rFonts w:ascii="Tahoma" w:eastAsia="Times New Roman" w:hAnsi="Tahoma" w:cs="Tahoma"/>
          <w:color w:val="000000"/>
          <w:sz w:val="19"/>
          <w:szCs w:val="19"/>
        </w:rPr>
        <w:t>In accordance with 5 U.S.C. 552a(k)(2), investigative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 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2B52BC" w:rsidRDefault="003E527A" w:rsidP="00DC4294"/>
    <w:sectPr w:rsidR="002B5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CD" w:rsidRDefault="002B0BCD" w:rsidP="00DC4294">
      <w:pPr>
        <w:spacing w:after="0" w:line="240" w:lineRule="auto"/>
      </w:pPr>
      <w:r>
        <w:separator/>
      </w:r>
    </w:p>
  </w:endnote>
  <w:endnote w:type="continuationSeparator" w:id="0">
    <w:p w:rsidR="002B0BCD" w:rsidRDefault="002B0BCD" w:rsidP="00DC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CD" w:rsidRDefault="002B0BCD" w:rsidP="00DC4294">
      <w:pPr>
        <w:spacing w:after="0" w:line="240" w:lineRule="auto"/>
      </w:pPr>
      <w:r>
        <w:separator/>
      </w:r>
    </w:p>
  </w:footnote>
  <w:footnote w:type="continuationSeparator" w:id="0">
    <w:p w:rsidR="002B0BCD" w:rsidRDefault="002B0BCD" w:rsidP="00DC4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2CD"/>
    <w:multiLevelType w:val="multilevel"/>
    <w:tmpl w:val="46849C30"/>
    <w:lvl w:ilvl="0">
      <w:start w:val="1"/>
      <w:numFmt w:val="lowerLetter"/>
      <w:lvlText w:val="%1."/>
      <w:lvlJc w:val="left"/>
      <w:pPr>
        <w:tabs>
          <w:tab w:val="num" w:pos="720"/>
        </w:tabs>
        <w:ind w:left="720" w:hanging="360"/>
      </w:pPr>
      <w:rPr>
        <w:rFonts w:ascii="Tahoma" w:eastAsia="Times New Roman" w:hAnsi="Tahoma" w:cs="Tahoma"/>
      </w:rPr>
    </w:lvl>
    <w:lvl w:ilvl="1" w:tentative="1">
      <w:start w:val="1"/>
      <w:numFmt w:val="lowerLetter"/>
      <w:lvlText w:val="%2."/>
      <w:lvlJc w:val="left"/>
      <w:pPr>
        <w:tabs>
          <w:tab w:val="num" w:pos="1350"/>
        </w:tabs>
        <w:ind w:left="1350" w:hanging="360"/>
      </w:pPr>
    </w:lvl>
    <w:lvl w:ilvl="2" w:tentative="1">
      <w:start w:val="1"/>
      <w:numFmt w:val="lowerLetter"/>
      <w:lvlText w:val="%3."/>
      <w:lvlJc w:val="left"/>
      <w:pPr>
        <w:tabs>
          <w:tab w:val="num" w:pos="2070"/>
        </w:tabs>
        <w:ind w:left="2070" w:hanging="360"/>
      </w:pPr>
    </w:lvl>
    <w:lvl w:ilvl="3" w:tentative="1">
      <w:start w:val="1"/>
      <w:numFmt w:val="lowerLetter"/>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1">
    <w:nsid w:val="16D071BF"/>
    <w:multiLevelType w:val="hybridMultilevel"/>
    <w:tmpl w:val="3A066DA4"/>
    <w:lvl w:ilvl="0" w:tplc="E250AEF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7FD56E49"/>
    <w:multiLevelType w:val="hybridMultilevel"/>
    <w:tmpl w:val="E45C514E"/>
    <w:lvl w:ilvl="0" w:tplc="6B94AE94">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0A"/>
    <w:rsid w:val="00096276"/>
    <w:rsid w:val="002B0BCD"/>
    <w:rsid w:val="002F0F54"/>
    <w:rsid w:val="003E527A"/>
    <w:rsid w:val="008324BA"/>
    <w:rsid w:val="008626CF"/>
    <w:rsid w:val="00BD189B"/>
    <w:rsid w:val="00C1580A"/>
    <w:rsid w:val="00D465DF"/>
    <w:rsid w:val="00DC4294"/>
    <w:rsid w:val="00F8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94"/>
    <w:pPr>
      <w:ind w:left="720"/>
      <w:contextualSpacing/>
    </w:pPr>
  </w:style>
  <w:style w:type="paragraph" w:styleId="Header">
    <w:name w:val="header"/>
    <w:basedOn w:val="Normal"/>
    <w:link w:val="HeaderChar"/>
    <w:uiPriority w:val="99"/>
    <w:unhideWhenUsed/>
    <w:rsid w:val="00DC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294"/>
  </w:style>
  <w:style w:type="paragraph" w:styleId="Footer">
    <w:name w:val="footer"/>
    <w:basedOn w:val="Normal"/>
    <w:link w:val="FooterChar"/>
    <w:uiPriority w:val="99"/>
    <w:unhideWhenUsed/>
    <w:rsid w:val="00DC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94"/>
    <w:pPr>
      <w:ind w:left="720"/>
      <w:contextualSpacing/>
    </w:pPr>
  </w:style>
  <w:style w:type="paragraph" w:styleId="Header">
    <w:name w:val="header"/>
    <w:basedOn w:val="Normal"/>
    <w:link w:val="HeaderChar"/>
    <w:uiPriority w:val="99"/>
    <w:unhideWhenUsed/>
    <w:rsid w:val="00DC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294"/>
  </w:style>
  <w:style w:type="paragraph" w:styleId="Footer">
    <w:name w:val="footer"/>
    <w:basedOn w:val="Normal"/>
    <w:link w:val="FooterChar"/>
    <w:uiPriority w:val="99"/>
    <w:unhideWhenUsed/>
    <w:rsid w:val="00DC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347488">
      <w:bodyDiv w:val="1"/>
      <w:marLeft w:val="0"/>
      <w:marRight w:val="0"/>
      <w:marTop w:val="0"/>
      <w:marBottom w:val="0"/>
      <w:divBdr>
        <w:top w:val="none" w:sz="0" w:space="0" w:color="auto"/>
        <w:left w:val="none" w:sz="0" w:space="0" w:color="auto"/>
        <w:bottom w:val="none" w:sz="0" w:space="0" w:color="auto"/>
        <w:right w:val="none" w:sz="0" w:space="0" w:color="auto"/>
      </w:divBdr>
      <w:divsChild>
        <w:div w:id="1272392025">
          <w:marLeft w:val="0"/>
          <w:marRight w:val="0"/>
          <w:marTop w:val="0"/>
          <w:marBottom w:val="0"/>
          <w:divBdr>
            <w:top w:val="none" w:sz="0" w:space="0" w:color="auto"/>
            <w:left w:val="none" w:sz="0" w:space="0" w:color="auto"/>
            <w:bottom w:val="none" w:sz="0" w:space="0" w:color="auto"/>
            <w:right w:val="none" w:sz="0" w:space="0" w:color="auto"/>
          </w:divBdr>
          <w:divsChild>
            <w:div w:id="1304694180">
              <w:marLeft w:val="0"/>
              <w:marRight w:val="0"/>
              <w:marTop w:val="0"/>
              <w:marBottom w:val="0"/>
              <w:divBdr>
                <w:top w:val="none" w:sz="0" w:space="0" w:color="auto"/>
                <w:left w:val="none" w:sz="0" w:space="0" w:color="auto"/>
                <w:bottom w:val="none" w:sz="0" w:space="0" w:color="auto"/>
                <w:right w:val="none" w:sz="0" w:space="0" w:color="auto"/>
              </w:divBdr>
              <w:divsChild>
                <w:div w:id="1595212278">
                  <w:marLeft w:val="2850"/>
                  <w:marRight w:val="150"/>
                  <w:marTop w:val="105"/>
                  <w:marBottom w:val="0"/>
                  <w:divBdr>
                    <w:top w:val="none" w:sz="0" w:space="0" w:color="auto"/>
                    <w:left w:val="none" w:sz="0" w:space="0" w:color="auto"/>
                    <w:bottom w:val="none" w:sz="0" w:space="0" w:color="auto"/>
                    <w:right w:val="none" w:sz="0" w:space="0" w:color="auto"/>
                  </w:divBdr>
                  <w:divsChild>
                    <w:div w:id="1395666304">
                      <w:marLeft w:val="0"/>
                      <w:marRight w:val="0"/>
                      <w:marTop w:val="225"/>
                      <w:marBottom w:val="150"/>
                      <w:divBdr>
                        <w:top w:val="none" w:sz="0" w:space="0" w:color="auto"/>
                        <w:left w:val="none" w:sz="0" w:space="0" w:color="auto"/>
                        <w:bottom w:val="none" w:sz="0" w:space="0" w:color="auto"/>
                        <w:right w:val="none" w:sz="0" w:space="0" w:color="auto"/>
                      </w:divBdr>
                    </w:div>
                    <w:div w:id="505096214">
                      <w:marLeft w:val="0"/>
                      <w:marRight w:val="0"/>
                      <w:marTop w:val="225"/>
                      <w:marBottom w:val="150"/>
                      <w:divBdr>
                        <w:top w:val="none" w:sz="0" w:space="0" w:color="auto"/>
                        <w:left w:val="none" w:sz="0" w:space="0" w:color="auto"/>
                        <w:bottom w:val="none" w:sz="0" w:space="0" w:color="auto"/>
                        <w:right w:val="none" w:sz="0" w:space="0" w:color="auto"/>
                      </w:divBdr>
                    </w:div>
                    <w:div w:id="155819748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2018-08-24T12:14:00Z</dcterms:created>
  <dcterms:modified xsi:type="dcterms:W3CDTF">2018-08-24T12:14:00Z</dcterms:modified>
</cp:coreProperties>
</file>