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3D6" w:rsidP="00C005FB" w:rsidRDefault="00590187" w14:paraId="47D9DAAB" w14:textId="77777777">
      <w:pPr>
        <w:pStyle w:val="Heading1"/>
        <w:spacing w:before="0" w:after="0"/>
      </w:pPr>
      <w:bookmarkStart w:name="_Toc436939711" w:id="0"/>
      <w:bookmarkStart w:name="_GoBack" w:id="1"/>
      <w:bookmarkEnd w:id="1"/>
      <w:r>
        <w:t xml:space="preserve">OMB Supporting statement </w:t>
      </w:r>
    </w:p>
    <w:p w:rsidRPr="009018B3" w:rsidR="00590187" w:rsidP="00C005FB" w:rsidRDefault="00590187" w14:paraId="285043C6" w14:textId="40FD5CD2">
      <w:pPr>
        <w:pStyle w:val="Heading1"/>
        <w:spacing w:before="0" w:after="0"/>
      </w:pPr>
      <w:r w:rsidRPr="009018B3">
        <w:t xml:space="preserve">PART B: COLLECTION OF INFORMATION EMPLOYING STATISTICAL METHODS </w:t>
      </w:r>
    </w:p>
    <w:p w:rsidR="0058148D" w:rsidP="002A3C60" w:rsidRDefault="00590187" w14:paraId="1F5EC888" w14:textId="77777777">
      <w:pPr>
        <w:tabs>
          <w:tab w:val="left" w:pos="0"/>
          <w:tab w:val="left" w:pos="360"/>
        </w:tabs>
        <w:spacing w:line="240" w:lineRule="auto"/>
        <w:ind w:firstLine="0"/>
        <w:rPr>
          <w:bCs/>
        </w:rPr>
      </w:pPr>
      <w:bookmarkStart w:name="_Toc436939712" w:id="2"/>
      <w:bookmarkEnd w:id="0"/>
      <w:r>
        <w:rPr>
          <w:bCs/>
        </w:rPr>
        <w:tab/>
      </w:r>
    </w:p>
    <w:p w:rsidR="002A3C60" w:rsidP="002A3C60" w:rsidRDefault="0058148D" w14:paraId="536BD4E1" w14:textId="526281C1">
      <w:pPr>
        <w:tabs>
          <w:tab w:val="left" w:pos="0"/>
          <w:tab w:val="left" w:pos="360"/>
        </w:tabs>
        <w:spacing w:line="240" w:lineRule="auto"/>
        <w:ind w:firstLine="0"/>
        <w:rPr>
          <w:bCs/>
          <w:szCs w:val="24"/>
        </w:rPr>
      </w:pPr>
      <w:r>
        <w:rPr>
          <w:bCs/>
        </w:rPr>
        <w:tab/>
      </w:r>
      <w:r w:rsidR="00590187">
        <w:rPr>
          <w:bCs/>
        </w:rPr>
        <w:t xml:space="preserve">In this document, the Department of Labor (DOL) requests clearance from the Office of Management and Budget (OMB) under the Paperwork Reduction Act (PRA) for </w:t>
      </w:r>
      <w:r w:rsidRPr="00A643FE" w:rsidR="00590187">
        <w:rPr>
          <w:b/>
          <w:bCs/>
        </w:rPr>
        <w:t>a new collection</w:t>
      </w:r>
      <w:r w:rsidRPr="003F5E8C" w:rsidR="00590187">
        <w:rPr>
          <w:bCs/>
        </w:rPr>
        <w:t xml:space="preserve"> </w:t>
      </w:r>
      <w:r w:rsidR="00590187">
        <w:rPr>
          <w:bCs/>
        </w:rPr>
        <w:t>associated with the Apprenticeship Evidence-Building Portfolio</w:t>
      </w:r>
      <w:r w:rsidR="005B4944">
        <w:rPr>
          <w:bCs/>
        </w:rPr>
        <w:t xml:space="preserve">. </w:t>
      </w:r>
      <w:r w:rsidR="002A3C60">
        <w:t>The Chief Evaluation Office of the U.S. Department of Labor (DOL) commissioned t</w:t>
      </w:r>
      <w:r w:rsidRPr="00903C72" w:rsidR="002A3C60">
        <w:rPr>
          <w:szCs w:val="24"/>
        </w:rPr>
        <w:t xml:space="preserve">he </w:t>
      </w:r>
      <w:r w:rsidRPr="00903C72" w:rsidR="002A3C60">
        <w:rPr>
          <w:bCs/>
          <w:szCs w:val="24"/>
        </w:rPr>
        <w:t xml:space="preserve">Apprenticeship Evidence-Building Portfolio </w:t>
      </w:r>
      <w:r w:rsidR="002A3C60">
        <w:rPr>
          <w:bCs/>
          <w:szCs w:val="24"/>
        </w:rPr>
        <w:t xml:space="preserve">evaluation contract to </w:t>
      </w:r>
      <w:r w:rsidRPr="00903C72" w:rsidR="002A3C60">
        <w:rPr>
          <w:bCs/>
          <w:szCs w:val="24"/>
        </w:rPr>
        <w:t>build</w:t>
      </w:r>
      <w:r w:rsidR="002A3C60">
        <w:rPr>
          <w:bCs/>
          <w:szCs w:val="24"/>
        </w:rPr>
        <w:t xml:space="preserve"> the</w:t>
      </w:r>
      <w:r w:rsidRPr="00903C72" w:rsidR="002A3C60">
        <w:rPr>
          <w:bCs/>
          <w:szCs w:val="24"/>
        </w:rPr>
        <w:t xml:space="preserve"> evidence on apprenticeship, including apprenticeship models, practices, and partnership strategies in high-growth occupations and industries.</w:t>
      </w:r>
      <w:r w:rsidR="002A3C60">
        <w:rPr>
          <w:bCs/>
          <w:szCs w:val="24"/>
        </w:rPr>
        <w:t xml:space="preserve">  </w:t>
      </w:r>
    </w:p>
    <w:p w:rsidR="002A3C60" w:rsidP="002A3C60" w:rsidRDefault="002A3C60" w14:paraId="2B680473" w14:textId="77777777">
      <w:pPr>
        <w:tabs>
          <w:tab w:val="left" w:pos="0"/>
          <w:tab w:val="left" w:pos="360"/>
        </w:tabs>
        <w:spacing w:line="240" w:lineRule="auto"/>
        <w:ind w:firstLine="0"/>
        <w:rPr>
          <w:bCs/>
          <w:szCs w:val="24"/>
        </w:rPr>
      </w:pPr>
    </w:p>
    <w:p w:rsidR="005B4944" w:rsidP="002A3C60" w:rsidRDefault="002A3C60" w14:paraId="4BC18035" w14:textId="7D6FAED7">
      <w:pPr>
        <w:tabs>
          <w:tab w:val="left" w:pos="0"/>
          <w:tab w:val="left" w:pos="360"/>
        </w:tabs>
        <w:spacing w:line="240" w:lineRule="auto"/>
        <w:ind w:firstLine="0"/>
        <w:rPr>
          <w:bCs/>
        </w:rPr>
      </w:pPr>
      <w:r>
        <w:rPr>
          <w:bCs/>
          <w:szCs w:val="24"/>
        </w:rPr>
        <w:tab/>
      </w:r>
      <w:r w:rsidR="00BF7865">
        <w:rPr>
          <w:bCs/>
        </w:rPr>
        <w:t>We discuss here seven different instruments</w:t>
      </w:r>
      <w:r>
        <w:rPr>
          <w:bCs/>
        </w:rPr>
        <w:t xml:space="preserve"> in two separate sections</w:t>
      </w:r>
      <w:r w:rsidR="00BF7865">
        <w:rPr>
          <w:bCs/>
        </w:rPr>
        <w:t xml:space="preserve">. The first </w:t>
      </w:r>
      <w:r>
        <w:rPr>
          <w:bCs/>
        </w:rPr>
        <w:t xml:space="preserve">section </w:t>
      </w:r>
      <w:r w:rsidR="00C11EE1">
        <w:rPr>
          <w:bCs/>
        </w:rPr>
        <w:t xml:space="preserve">(B.I) </w:t>
      </w:r>
      <w:r>
        <w:rPr>
          <w:bCs/>
        </w:rPr>
        <w:t xml:space="preserve">addresses the </w:t>
      </w:r>
      <w:r w:rsidR="00BF7865">
        <w:rPr>
          <w:bCs/>
        </w:rPr>
        <w:t>t</w:t>
      </w:r>
      <w:r w:rsidR="005B4944">
        <w:rPr>
          <w:bCs/>
        </w:rPr>
        <w:t xml:space="preserve">wo instruments </w:t>
      </w:r>
      <w:r>
        <w:rPr>
          <w:bCs/>
        </w:rPr>
        <w:t xml:space="preserve">that are part of </w:t>
      </w:r>
      <w:r w:rsidRPr="006B5465">
        <w:rPr>
          <w:szCs w:val="24"/>
        </w:rPr>
        <w:t>an impact evaluation to examine the effectiveness of Scaling Apprenticeship</w:t>
      </w:r>
      <w:r>
        <w:rPr>
          <w:szCs w:val="24"/>
        </w:rPr>
        <w:t xml:space="preserve"> and </w:t>
      </w:r>
      <w:r w:rsidRPr="006B5465">
        <w:rPr>
          <w:szCs w:val="24"/>
        </w:rPr>
        <w:t xml:space="preserve">Closing the Skill Gaps </w:t>
      </w:r>
      <w:r>
        <w:rPr>
          <w:szCs w:val="24"/>
        </w:rPr>
        <w:t xml:space="preserve">grants </w:t>
      </w:r>
      <w:r w:rsidRPr="006B5465">
        <w:rPr>
          <w:szCs w:val="24"/>
        </w:rPr>
        <w:t>on participants’ outcomes, such as employment earnings and career advancement</w:t>
      </w:r>
      <w:r>
        <w:rPr>
          <w:bCs/>
        </w:rPr>
        <w:t xml:space="preserve">. </w:t>
      </w:r>
    </w:p>
    <w:p w:rsidR="00590187" w:rsidP="00FD0C72" w:rsidRDefault="00590187" w14:paraId="2DB6D02C" w14:textId="77777777">
      <w:pPr>
        <w:tabs>
          <w:tab w:val="left" w:pos="0"/>
          <w:tab w:val="left" w:pos="360"/>
        </w:tabs>
        <w:spacing w:line="240" w:lineRule="auto"/>
        <w:ind w:firstLine="0"/>
        <w:rPr>
          <w:bCs/>
        </w:rPr>
      </w:pPr>
    </w:p>
    <w:p w:rsidRPr="0063009F" w:rsidR="00F933D6" w:rsidP="0063009F" w:rsidRDefault="00590187" w14:paraId="586D8C39" w14:textId="3E3774F3">
      <w:pPr>
        <w:pStyle w:val="ListParagraph"/>
        <w:numPr>
          <w:ilvl w:val="0"/>
          <w:numId w:val="91"/>
        </w:numPr>
        <w:tabs>
          <w:tab w:val="left" w:pos="0"/>
          <w:tab w:val="left" w:pos="360"/>
        </w:tabs>
        <w:spacing w:line="240" w:lineRule="auto"/>
        <w:rPr>
          <w:bCs/>
        </w:rPr>
      </w:pPr>
      <w:r w:rsidRPr="0063009F">
        <w:rPr>
          <w:bCs/>
        </w:rPr>
        <w:t xml:space="preserve">A </w:t>
      </w:r>
      <w:r w:rsidRPr="0063009F" w:rsidR="005B4944">
        <w:rPr>
          <w:bCs/>
        </w:rPr>
        <w:t xml:space="preserve">baseline survey </w:t>
      </w:r>
      <w:r w:rsidRPr="0063009F">
        <w:rPr>
          <w:bCs/>
        </w:rPr>
        <w:t xml:space="preserve">for </w:t>
      </w:r>
      <w:r w:rsidRPr="0063009F" w:rsidR="005B4944">
        <w:rPr>
          <w:bCs/>
        </w:rPr>
        <w:t xml:space="preserve">program </w:t>
      </w:r>
      <w:r w:rsidRPr="0063009F">
        <w:rPr>
          <w:bCs/>
        </w:rPr>
        <w:t xml:space="preserve">participants </w:t>
      </w:r>
    </w:p>
    <w:p w:rsidR="00590187" w:rsidP="00FD0C72" w:rsidRDefault="00590187" w14:paraId="5E8F1F2B" w14:textId="21C17E22">
      <w:pPr>
        <w:pStyle w:val="ListParagraph"/>
        <w:numPr>
          <w:ilvl w:val="0"/>
          <w:numId w:val="91"/>
        </w:numPr>
        <w:tabs>
          <w:tab w:val="left" w:pos="0"/>
          <w:tab w:val="left" w:pos="360"/>
        </w:tabs>
        <w:spacing w:line="240" w:lineRule="auto"/>
        <w:rPr>
          <w:bCs/>
        </w:rPr>
      </w:pPr>
      <w:r>
        <w:rPr>
          <w:bCs/>
        </w:rPr>
        <w:t xml:space="preserve">A </w:t>
      </w:r>
      <w:r w:rsidR="005B4944">
        <w:rPr>
          <w:bCs/>
        </w:rPr>
        <w:t>consent form</w:t>
      </w:r>
      <w:r>
        <w:rPr>
          <w:bCs/>
        </w:rPr>
        <w:t xml:space="preserve"> for </w:t>
      </w:r>
      <w:r w:rsidR="005B4944">
        <w:rPr>
          <w:bCs/>
        </w:rPr>
        <w:t>program</w:t>
      </w:r>
      <w:r>
        <w:rPr>
          <w:bCs/>
        </w:rPr>
        <w:t xml:space="preserve"> participants</w:t>
      </w:r>
    </w:p>
    <w:p w:rsidR="007E2012" w:rsidP="00FD0C72" w:rsidRDefault="007E2012" w14:paraId="6B65B199" w14:textId="7E5A6055">
      <w:pPr>
        <w:autoSpaceDE w:val="0"/>
        <w:autoSpaceDN w:val="0"/>
        <w:adjustRightInd w:val="0"/>
        <w:spacing w:line="240" w:lineRule="auto"/>
        <w:ind w:firstLine="360"/>
        <w:rPr>
          <w:szCs w:val="24"/>
        </w:rPr>
      </w:pPr>
    </w:p>
    <w:p w:rsidR="002A3C60" w:rsidP="002A3C60" w:rsidRDefault="002A3C60" w14:paraId="0FC35C48" w14:textId="710A54E4">
      <w:pPr>
        <w:tabs>
          <w:tab w:val="left" w:pos="0"/>
          <w:tab w:val="left" w:pos="360"/>
        </w:tabs>
        <w:spacing w:line="240" w:lineRule="auto"/>
        <w:ind w:firstLine="0"/>
        <w:rPr>
          <w:bCs/>
        </w:rPr>
      </w:pPr>
      <w:bookmarkStart w:name="_Hlk42787945" w:id="3"/>
      <w:r>
        <w:rPr>
          <w:bCs/>
        </w:rPr>
        <w:t xml:space="preserve">The remaining five instruments are discussed in section two </w:t>
      </w:r>
      <w:r w:rsidR="00C11EE1">
        <w:rPr>
          <w:bCs/>
        </w:rPr>
        <w:t xml:space="preserve">(B.II) and are </w:t>
      </w:r>
      <w:r>
        <w:rPr>
          <w:bCs/>
        </w:rPr>
        <w:t xml:space="preserve">part of two implementation studies: implementation study </w:t>
      </w:r>
      <w:r w:rsidRPr="006B5465">
        <w:rPr>
          <w:szCs w:val="24"/>
        </w:rPr>
        <w:t xml:space="preserve">of the Scaling Apprenticeship, Closing the Skill Gaps, and other similar DOL initiatives to develop typologies of apprenticeship models and practices, identify promising strategies across the portfolio, and to better understand the implementation of models to help interpret impact evaluation findings; </w:t>
      </w:r>
      <w:r>
        <w:rPr>
          <w:szCs w:val="24"/>
        </w:rPr>
        <w:t xml:space="preserve">and </w:t>
      </w:r>
      <w:r w:rsidRPr="006B5465">
        <w:rPr>
          <w:szCs w:val="24"/>
        </w:rPr>
        <w:t xml:space="preserve">an implementation study on the </w:t>
      </w:r>
      <w:r w:rsidR="00060545">
        <w:rPr>
          <w:szCs w:val="24"/>
        </w:rPr>
        <w:t>VETS</w:t>
      </w:r>
      <w:r w:rsidRPr="006B5465">
        <w:rPr>
          <w:szCs w:val="24"/>
        </w:rPr>
        <w:t xml:space="preserve"> Apprenticeship </w:t>
      </w:r>
      <w:r w:rsidR="00060545">
        <w:rPr>
          <w:szCs w:val="24"/>
        </w:rPr>
        <w:t>pilot</w:t>
      </w:r>
      <w:r w:rsidRPr="006B5465">
        <w:rPr>
          <w:szCs w:val="24"/>
        </w:rPr>
        <w:t xml:space="preserve"> to understand service delivery design and implementation, challenges, and promising practices. </w:t>
      </w:r>
      <w:r>
        <w:rPr>
          <w:szCs w:val="24"/>
        </w:rPr>
        <w:t xml:space="preserve"> </w:t>
      </w:r>
    </w:p>
    <w:bookmarkEnd w:id="3"/>
    <w:p w:rsidR="002A3C60" w:rsidP="002A3C60" w:rsidRDefault="002A3C60" w14:paraId="54B7FB50" w14:textId="77777777">
      <w:pPr>
        <w:tabs>
          <w:tab w:val="left" w:pos="0"/>
          <w:tab w:val="left" w:pos="360"/>
        </w:tabs>
        <w:spacing w:line="240" w:lineRule="auto"/>
        <w:ind w:firstLine="0"/>
        <w:rPr>
          <w:bCs/>
        </w:rPr>
      </w:pPr>
    </w:p>
    <w:p w:rsidR="005B4944" w:rsidP="005B4944" w:rsidRDefault="005B4944" w14:paraId="45E96056" w14:textId="77777777">
      <w:pPr>
        <w:pStyle w:val="ListParagraph"/>
        <w:numPr>
          <w:ilvl w:val="0"/>
          <w:numId w:val="91"/>
        </w:numPr>
        <w:tabs>
          <w:tab w:val="left" w:pos="0"/>
          <w:tab w:val="left" w:pos="360"/>
        </w:tabs>
        <w:spacing w:line="240" w:lineRule="auto"/>
        <w:rPr>
          <w:bCs/>
          <w:szCs w:val="24"/>
        </w:rPr>
      </w:pPr>
      <w:r>
        <w:rPr>
          <w:bCs/>
          <w:szCs w:val="24"/>
        </w:rPr>
        <w:t>An interview guide for program staff</w:t>
      </w:r>
    </w:p>
    <w:p w:rsidR="005B4944" w:rsidP="005B4944" w:rsidRDefault="005B4944" w14:paraId="25219B96" w14:textId="77777777">
      <w:pPr>
        <w:pStyle w:val="ListParagraph"/>
        <w:numPr>
          <w:ilvl w:val="0"/>
          <w:numId w:val="91"/>
        </w:numPr>
        <w:tabs>
          <w:tab w:val="left" w:pos="0"/>
          <w:tab w:val="left" w:pos="360"/>
        </w:tabs>
        <w:spacing w:line="240" w:lineRule="auto"/>
        <w:rPr>
          <w:bCs/>
          <w:szCs w:val="24"/>
        </w:rPr>
      </w:pPr>
      <w:r>
        <w:rPr>
          <w:bCs/>
          <w:szCs w:val="24"/>
        </w:rPr>
        <w:t>An interview guide for program partners</w:t>
      </w:r>
    </w:p>
    <w:p w:rsidR="005B4944" w:rsidP="005B4944" w:rsidRDefault="005B4944" w14:paraId="155A8E5B" w14:textId="77777777">
      <w:pPr>
        <w:pStyle w:val="ListParagraph"/>
        <w:numPr>
          <w:ilvl w:val="0"/>
          <w:numId w:val="91"/>
        </w:numPr>
        <w:tabs>
          <w:tab w:val="left" w:pos="0"/>
          <w:tab w:val="left" w:pos="360"/>
        </w:tabs>
        <w:spacing w:line="240" w:lineRule="auto"/>
        <w:rPr>
          <w:bCs/>
          <w:szCs w:val="24"/>
        </w:rPr>
      </w:pPr>
      <w:r>
        <w:rPr>
          <w:bCs/>
          <w:szCs w:val="24"/>
        </w:rPr>
        <w:t>A focus group guide for program participants</w:t>
      </w:r>
    </w:p>
    <w:p w:rsidR="005B4944" w:rsidP="0063009F" w:rsidRDefault="005B4944" w14:paraId="19582178" w14:textId="77777777">
      <w:pPr>
        <w:pStyle w:val="ListParagraph"/>
        <w:numPr>
          <w:ilvl w:val="0"/>
          <w:numId w:val="91"/>
        </w:numPr>
        <w:tabs>
          <w:tab w:val="left" w:pos="0"/>
          <w:tab w:val="left" w:pos="360"/>
        </w:tabs>
        <w:spacing w:line="240" w:lineRule="auto"/>
        <w:rPr>
          <w:bCs/>
          <w:szCs w:val="24"/>
        </w:rPr>
      </w:pPr>
      <w:r>
        <w:rPr>
          <w:bCs/>
          <w:szCs w:val="24"/>
        </w:rPr>
        <w:t>An interview guide for military apprenticeship placement counselors</w:t>
      </w:r>
    </w:p>
    <w:p w:rsidRPr="0063009F" w:rsidR="005B4944" w:rsidP="0063009F" w:rsidRDefault="005B4944" w14:paraId="6C2E8ACC" w14:textId="0853BC00">
      <w:pPr>
        <w:pStyle w:val="ListParagraph"/>
        <w:numPr>
          <w:ilvl w:val="0"/>
          <w:numId w:val="91"/>
        </w:numPr>
        <w:tabs>
          <w:tab w:val="left" w:pos="0"/>
          <w:tab w:val="left" w:pos="360"/>
        </w:tabs>
        <w:spacing w:line="240" w:lineRule="auto"/>
        <w:rPr>
          <w:bCs/>
          <w:szCs w:val="24"/>
        </w:rPr>
      </w:pPr>
      <w:r w:rsidRPr="0063009F">
        <w:rPr>
          <w:bCs/>
          <w:szCs w:val="24"/>
        </w:rPr>
        <w:t>A</w:t>
      </w:r>
      <w:r w:rsidR="00217B66">
        <w:rPr>
          <w:bCs/>
          <w:szCs w:val="24"/>
        </w:rPr>
        <w:t>n</w:t>
      </w:r>
      <w:r w:rsidRPr="0063009F">
        <w:rPr>
          <w:bCs/>
          <w:szCs w:val="24"/>
        </w:rPr>
        <w:t xml:space="preserve"> </w:t>
      </w:r>
      <w:r w:rsidR="00217B66">
        <w:rPr>
          <w:bCs/>
          <w:szCs w:val="24"/>
        </w:rPr>
        <w:t>interview</w:t>
      </w:r>
      <w:r w:rsidRPr="0063009F">
        <w:rPr>
          <w:bCs/>
          <w:szCs w:val="24"/>
        </w:rPr>
        <w:t xml:space="preserve"> guide for military participants</w:t>
      </w:r>
    </w:p>
    <w:p w:rsidR="002A3C60" w:rsidP="00217B66" w:rsidRDefault="002A3C60" w14:paraId="0DBB4DFB" w14:textId="65AB551F">
      <w:pPr>
        <w:pStyle w:val="H4Number"/>
      </w:pPr>
    </w:p>
    <w:p w:rsidRPr="00C11EE1" w:rsidR="002A3C60" w:rsidP="00217B66" w:rsidRDefault="002A3C60" w14:paraId="78ED7647" w14:textId="6650F6CB">
      <w:pPr>
        <w:pStyle w:val="H3Alpha"/>
      </w:pPr>
      <w:r w:rsidRPr="00C11EE1">
        <w:t>Section B.I Impact Evaluation Data Collection</w:t>
      </w:r>
    </w:p>
    <w:p w:rsidR="002A3C60" w:rsidP="00217B66" w:rsidRDefault="002A3C60" w14:paraId="63510791" w14:textId="77777777">
      <w:pPr>
        <w:autoSpaceDE w:val="0"/>
        <w:autoSpaceDN w:val="0"/>
        <w:adjustRightInd w:val="0"/>
        <w:spacing w:line="240" w:lineRule="auto"/>
        <w:ind w:firstLine="0"/>
        <w:rPr>
          <w:szCs w:val="24"/>
        </w:rPr>
      </w:pPr>
    </w:p>
    <w:p w:rsidRPr="003A0B99" w:rsidR="00590187" w:rsidP="00FD0C72" w:rsidRDefault="00590187" w14:paraId="5C30E0BD" w14:textId="0391B082">
      <w:pPr>
        <w:autoSpaceDE w:val="0"/>
        <w:autoSpaceDN w:val="0"/>
        <w:adjustRightInd w:val="0"/>
        <w:spacing w:line="240" w:lineRule="auto"/>
        <w:ind w:firstLine="360"/>
        <w:rPr>
          <w:szCs w:val="24"/>
        </w:rPr>
      </w:pPr>
      <w:r w:rsidRPr="00903C72">
        <w:rPr>
          <w:bCs/>
          <w:szCs w:val="24"/>
        </w:rPr>
        <w:t xml:space="preserve">A major component of this evaluation is to develop an impact design option to rigorously evaluate the effectiveness of apprenticeship models and partnerships, based on the Scaling Apprenticeship Through Sector-Based Strategies grants (Scaling Apprenticeship grants), Closing the Skills Gap grants, and other relevant apprenticeship investments. DOL contracted with </w:t>
      </w:r>
      <w:r w:rsidR="000E3116">
        <w:rPr>
          <w:bCs/>
          <w:szCs w:val="24"/>
        </w:rPr>
        <w:t>t</w:t>
      </w:r>
      <w:r w:rsidRPr="00903C72">
        <w:rPr>
          <w:bCs/>
          <w:szCs w:val="24"/>
        </w:rPr>
        <w:t>he Urban Institute in partnership with Mathematica and Capital Research Corporation to conduct the evaluation. This stage of the impact evaluation will include two data collection instruments, a baseline survey and consent form.</w:t>
      </w:r>
      <w:r w:rsidRPr="00903C72">
        <w:rPr>
          <w:szCs w:val="24"/>
        </w:rPr>
        <w:t xml:space="preserve"> Study participants will be potential apprenticeship candidates seeking apprenticeship program services from the grantee organizations</w:t>
      </w:r>
      <w:r>
        <w:rPr>
          <w:szCs w:val="24"/>
        </w:rPr>
        <w:t xml:space="preserve"> and their </w:t>
      </w:r>
      <w:proofErr w:type="spellStart"/>
      <w:r>
        <w:rPr>
          <w:szCs w:val="24"/>
        </w:rPr>
        <w:t>subgrantees</w:t>
      </w:r>
      <w:proofErr w:type="spellEnd"/>
      <w:r>
        <w:rPr>
          <w:szCs w:val="24"/>
        </w:rPr>
        <w:t xml:space="preserve"> and partners</w:t>
      </w:r>
      <w:r w:rsidRPr="00903C72">
        <w:rPr>
          <w:szCs w:val="24"/>
        </w:rPr>
        <w:t xml:space="preserve">.    </w:t>
      </w:r>
    </w:p>
    <w:p w:rsidR="00590187" w:rsidP="00C005FB" w:rsidRDefault="00590187" w14:paraId="5A2A9809" w14:textId="77777777">
      <w:pPr>
        <w:pStyle w:val="H3Alpha"/>
        <w:spacing w:after="0"/>
      </w:pPr>
    </w:p>
    <w:p w:rsidRPr="009018B3" w:rsidR="00590187" w:rsidP="008E1327" w:rsidRDefault="00590187" w14:paraId="2F178842" w14:textId="0E565FFE">
      <w:pPr>
        <w:pStyle w:val="H4Number"/>
      </w:pPr>
      <w:r w:rsidRPr="009018B3">
        <w:t>B.</w:t>
      </w:r>
      <w:r w:rsidR="002A3C60">
        <w:t>I.</w:t>
      </w:r>
      <w:r w:rsidRPr="009018B3">
        <w:t>1. Respondent universe and sampling methods</w:t>
      </w:r>
      <w:bookmarkEnd w:id="2"/>
    </w:p>
    <w:p w:rsidR="00F933D6" w:rsidP="00C005FB" w:rsidRDefault="00F933D6" w14:paraId="4FAE34F3" w14:textId="77777777">
      <w:pPr>
        <w:pStyle w:val="NormalSS"/>
        <w:spacing w:after="0"/>
      </w:pPr>
    </w:p>
    <w:p w:rsidR="00590187" w:rsidP="00C005FB" w:rsidRDefault="00590187" w14:paraId="34D31089" w14:textId="7CB44BB0">
      <w:pPr>
        <w:pStyle w:val="NormalSS"/>
        <w:spacing w:after="0"/>
      </w:pPr>
      <w:r w:rsidRPr="00A73F71">
        <w:t xml:space="preserve">The respondent universe for the baseline survey and consent form </w:t>
      </w:r>
      <w:r>
        <w:t xml:space="preserve">are </w:t>
      </w:r>
      <w:r w:rsidR="00AE3177">
        <w:t>all</w:t>
      </w:r>
      <w:r w:rsidRPr="00A73F71">
        <w:t xml:space="preserve"> grantee</w:t>
      </w:r>
      <w:r>
        <w:t>s</w:t>
      </w:r>
      <w:r w:rsidRPr="00A73F71">
        <w:t xml:space="preserve"> </w:t>
      </w:r>
      <w:r>
        <w:t>(and associated sub-grantees)</w:t>
      </w:r>
      <w:r w:rsidRPr="00A73F71">
        <w:t xml:space="preserve"> </w:t>
      </w:r>
      <w:r w:rsidR="00AE3177">
        <w:t>of</w:t>
      </w:r>
      <w:r>
        <w:t xml:space="preserve"> the Scaling Apprenticeship grants, and </w:t>
      </w:r>
      <w:r w:rsidR="00AE3177">
        <w:t>all</w:t>
      </w:r>
      <w:r>
        <w:t xml:space="preserve"> grantees (and associated sub-grantees) for the Closing the Skills Gap grants (yet to be awarded).</w:t>
      </w:r>
      <w:r w:rsidRPr="00A73F71">
        <w:t xml:space="preserve"> </w:t>
      </w:r>
      <w:r w:rsidR="000F349B">
        <w:t>A</w:t>
      </w:r>
      <w:r>
        <w:t xml:space="preserve"> </w:t>
      </w:r>
      <w:r w:rsidRPr="00A73F71">
        <w:t xml:space="preserve">Randomized Controlled Trial </w:t>
      </w:r>
      <w:r>
        <w:t xml:space="preserve">(RCT) </w:t>
      </w:r>
      <w:r w:rsidRPr="00A73F71">
        <w:t xml:space="preserve">design </w:t>
      </w:r>
      <w:r>
        <w:t>to estimate program impacts with control groups or enhanced treatment groups</w:t>
      </w:r>
      <w:r w:rsidR="000F349B">
        <w:t xml:space="preserve"> is planned. If the design changes, a change request package will be submitted to OMB for review</w:t>
      </w:r>
      <w:r>
        <w:t xml:space="preserve">. </w:t>
      </w:r>
      <w:bookmarkStart w:name="_Toc436939713" w:id="4"/>
      <w:r w:rsidR="00AE3177">
        <w:t>The study will include</w:t>
      </w:r>
      <w:r>
        <w:t xml:space="preserve"> a purposeful sample of up to 10 sites from this universe of potential grantees and 5,000 program participants split evenly between the research groups. This design </w:t>
      </w:r>
      <w:r w:rsidR="00AE3177">
        <w:t>is intended</w:t>
      </w:r>
      <w:r>
        <w:t xml:space="preserve"> to rigorously address the following research questions to be honed during the ongoing knowledge development phase of the study: </w:t>
      </w:r>
    </w:p>
    <w:p w:rsidR="00F933D6" w:rsidP="00C005FB" w:rsidRDefault="00F933D6" w14:paraId="01AE7B96" w14:textId="77777777">
      <w:pPr>
        <w:pStyle w:val="NormalSS"/>
        <w:spacing w:after="0"/>
      </w:pPr>
    </w:p>
    <w:p w:rsidR="00590187" w:rsidP="00C005FB" w:rsidRDefault="0003266C" w14:paraId="202E3954" w14:textId="2BC8A43D">
      <w:pPr>
        <w:pStyle w:val="NormalSS"/>
        <w:numPr>
          <w:ilvl w:val="0"/>
          <w:numId w:val="89"/>
        </w:numPr>
        <w:spacing w:after="0"/>
      </w:pPr>
      <w:r>
        <w:t>In the study sites, w</w:t>
      </w:r>
      <w:r w:rsidRPr="00BE0679" w:rsidR="00590187">
        <w:t xml:space="preserve">hat are the impacts of apprenticeship models, components, and/or strategies on apprentices’ employment, earnings, career advancement? </w:t>
      </w:r>
    </w:p>
    <w:p w:rsidRPr="00BE0679" w:rsidR="00F933D6" w:rsidP="00C005FB" w:rsidRDefault="00F933D6" w14:paraId="692B5A93" w14:textId="77777777">
      <w:pPr>
        <w:pStyle w:val="NormalSS"/>
        <w:spacing w:after="0"/>
        <w:ind w:left="720" w:firstLine="0"/>
      </w:pPr>
    </w:p>
    <w:p w:rsidR="00F933D6" w:rsidP="0003266C" w:rsidRDefault="0003266C" w14:paraId="3294E705" w14:textId="4B517108">
      <w:pPr>
        <w:pStyle w:val="NormalSS"/>
        <w:numPr>
          <w:ilvl w:val="0"/>
          <w:numId w:val="89"/>
        </w:numPr>
        <w:spacing w:after="0"/>
      </w:pPr>
      <w:r>
        <w:t>In the study sites, w</w:t>
      </w:r>
      <w:r w:rsidRPr="00BE0679" w:rsidR="00590187">
        <w:t>hat are the differential impacts for underserved populations such as veterans, those with disabilities, women, and people of color?</w:t>
      </w:r>
    </w:p>
    <w:p w:rsidRPr="00BE0679" w:rsidR="00F933D6" w:rsidP="00C005FB" w:rsidRDefault="00F933D6" w14:paraId="6FEFEB36" w14:textId="77777777">
      <w:pPr>
        <w:pStyle w:val="NormalSS"/>
        <w:spacing w:after="0"/>
        <w:ind w:left="720" w:firstLine="0"/>
      </w:pPr>
    </w:p>
    <w:p w:rsidR="00590187" w:rsidP="00C005FB" w:rsidRDefault="0003266C" w14:paraId="22724719" w14:textId="0E6A1494">
      <w:pPr>
        <w:pStyle w:val="NormalSS"/>
        <w:numPr>
          <w:ilvl w:val="0"/>
          <w:numId w:val="89"/>
        </w:numPr>
        <w:spacing w:after="0"/>
      </w:pPr>
      <w:r>
        <w:t>In the study sites, w</w:t>
      </w:r>
      <w:r w:rsidRPr="00BE0679" w:rsidR="00590187">
        <w:t xml:space="preserve">hat are the proximate impacts of intervening strategies, and job features (e.g., supervisory/mentoring strategies, method of training, length of training) that may be related to employment outcomes (e.g., retention and completion in the program, receipt of industry-recognized credentials, continuous employment, workplace benefits)? </w:t>
      </w:r>
    </w:p>
    <w:p w:rsidR="00F933D6" w:rsidP="00C005FB" w:rsidRDefault="00F933D6" w14:paraId="188C9AE9" w14:textId="77777777">
      <w:pPr>
        <w:pStyle w:val="NormalSS"/>
        <w:spacing w:after="0"/>
        <w:ind w:left="720" w:firstLine="0"/>
      </w:pPr>
    </w:p>
    <w:p w:rsidR="00590187" w:rsidP="00C005FB" w:rsidRDefault="00590187" w14:paraId="151E5889" w14:textId="3B4CECBC">
      <w:pPr>
        <w:pStyle w:val="Heading4"/>
        <w:numPr>
          <w:ilvl w:val="0"/>
          <w:numId w:val="98"/>
        </w:numPr>
        <w:spacing w:after="0"/>
      </w:pPr>
      <w:r>
        <w:t>Selection of sites</w:t>
      </w:r>
    </w:p>
    <w:p w:rsidR="00F933D6" w:rsidP="00C005FB" w:rsidRDefault="00F933D6" w14:paraId="06E1DF4D" w14:textId="77777777">
      <w:pPr>
        <w:pStyle w:val="NormalSS"/>
        <w:spacing w:after="0"/>
      </w:pPr>
    </w:p>
    <w:p w:rsidR="00590187" w:rsidP="00C005FB" w:rsidRDefault="00590187" w14:paraId="48373A10" w14:textId="2801E652">
      <w:pPr>
        <w:pStyle w:val="NormalSS"/>
        <w:spacing w:after="0"/>
      </w:pPr>
      <w:r>
        <w:t xml:space="preserve">The objective of site selection is to identify up to 10 sites that </w:t>
      </w:r>
      <w:r w:rsidR="00AE3177">
        <w:t>are</w:t>
      </w:r>
      <w:r>
        <w:t xml:space="preserve"> deem</w:t>
      </w:r>
      <w:r w:rsidR="00AE3177">
        <w:t>ed</w:t>
      </w:r>
      <w:r>
        <w:t xml:space="preserve"> to be suitable candidates for participating in a random assignment evaluation to address the study research questions. </w:t>
      </w:r>
      <w:r w:rsidR="00AE3177">
        <w:t>The study</w:t>
      </w:r>
      <w:r>
        <w:t xml:space="preserve"> will purposively select the sites based on factors related to what can be learned from them and the feasibility of implementing random assignment. </w:t>
      </w:r>
      <w:r w:rsidR="00AE3177">
        <w:t>The study</w:t>
      </w:r>
      <w:r>
        <w:t xml:space="preserve"> will consider five factors in determining a site’s suitability for participating in the random assignment study:</w:t>
      </w:r>
    </w:p>
    <w:p w:rsidR="00590187" w:rsidP="00C005FB" w:rsidRDefault="00590187" w14:paraId="09BB5DCB" w14:textId="182EC5E3">
      <w:pPr>
        <w:pStyle w:val="BulletBlack"/>
        <w:numPr>
          <w:ilvl w:val="0"/>
          <w:numId w:val="90"/>
        </w:numPr>
        <w:spacing w:after="0"/>
        <w:rPr>
          <w:rFonts w:ascii="Times New Roman" w:hAnsi="Times New Roman"/>
        </w:rPr>
      </w:pPr>
      <w:r>
        <w:rPr>
          <w:rFonts w:ascii="Times New Roman" w:hAnsi="Times New Roman"/>
          <w:b/>
        </w:rPr>
        <w:t>Sufficient sample size for estimating impacts</w:t>
      </w:r>
      <w:r w:rsidRPr="007C46EE">
        <w:rPr>
          <w:rFonts w:ascii="Times New Roman" w:hAnsi="Times New Roman"/>
          <w:b/>
        </w:rPr>
        <w:t>.</w:t>
      </w:r>
      <w:r w:rsidRPr="007C46EE">
        <w:rPr>
          <w:rFonts w:ascii="Times New Roman" w:hAnsi="Times New Roman"/>
        </w:rPr>
        <w:t xml:space="preserve"> To ensure a </w:t>
      </w:r>
      <w:r>
        <w:rPr>
          <w:rFonts w:ascii="Times New Roman" w:hAnsi="Times New Roman"/>
        </w:rPr>
        <w:t xml:space="preserve">study </w:t>
      </w:r>
      <w:r w:rsidRPr="007C46EE">
        <w:rPr>
          <w:rFonts w:ascii="Times New Roman" w:hAnsi="Times New Roman"/>
        </w:rPr>
        <w:t xml:space="preserve">sample size </w:t>
      </w:r>
      <w:r>
        <w:rPr>
          <w:rFonts w:ascii="Times New Roman" w:hAnsi="Times New Roman"/>
        </w:rPr>
        <w:t>to</w:t>
      </w:r>
      <w:r w:rsidRPr="007C46EE">
        <w:rPr>
          <w:rFonts w:ascii="Times New Roman" w:hAnsi="Times New Roman"/>
        </w:rPr>
        <w:t xml:space="preserve"> yield sufficient statistical power to detect impacts, each participating site must be able to recruit and enroll a sufficient number of participants.</w:t>
      </w:r>
      <w:r>
        <w:rPr>
          <w:rFonts w:ascii="Times New Roman" w:hAnsi="Times New Roman"/>
        </w:rPr>
        <w:t xml:space="preserve"> </w:t>
      </w:r>
      <w:r w:rsidR="00AE3177">
        <w:rPr>
          <w:rFonts w:ascii="Times New Roman" w:hAnsi="Times New Roman"/>
        </w:rPr>
        <w:t>C</w:t>
      </w:r>
      <w:r>
        <w:rPr>
          <w:rFonts w:ascii="Times New Roman" w:hAnsi="Times New Roman"/>
        </w:rPr>
        <w:t xml:space="preserve">larifying discussions with </w:t>
      </w:r>
      <w:r w:rsidRPr="007C46EE">
        <w:rPr>
          <w:rFonts w:ascii="Times New Roman" w:hAnsi="Times New Roman"/>
        </w:rPr>
        <w:t>site</w:t>
      </w:r>
      <w:r>
        <w:rPr>
          <w:rFonts w:ascii="Times New Roman" w:hAnsi="Times New Roman"/>
        </w:rPr>
        <w:t>s</w:t>
      </w:r>
      <w:r w:rsidRPr="007C46EE">
        <w:rPr>
          <w:rFonts w:ascii="Times New Roman" w:hAnsi="Times New Roman"/>
        </w:rPr>
        <w:t xml:space="preserve"> </w:t>
      </w:r>
      <w:r>
        <w:rPr>
          <w:rFonts w:ascii="Times New Roman" w:hAnsi="Times New Roman"/>
        </w:rPr>
        <w:t xml:space="preserve">(discussed further below) </w:t>
      </w:r>
      <w:r w:rsidRPr="007C46EE">
        <w:rPr>
          <w:rFonts w:ascii="Times New Roman" w:hAnsi="Times New Roman"/>
        </w:rPr>
        <w:t xml:space="preserve">will record the </w:t>
      </w:r>
      <w:r>
        <w:rPr>
          <w:rFonts w:ascii="Times New Roman" w:hAnsi="Times New Roman"/>
        </w:rPr>
        <w:t>planned enrollment and the expected intake period</w:t>
      </w:r>
      <w:r w:rsidRPr="007C46EE">
        <w:rPr>
          <w:rFonts w:ascii="Times New Roman" w:hAnsi="Times New Roman"/>
        </w:rPr>
        <w:t xml:space="preserve">. </w:t>
      </w:r>
      <w:r w:rsidR="00AE3177">
        <w:rPr>
          <w:rFonts w:ascii="Times New Roman" w:hAnsi="Times New Roman"/>
        </w:rPr>
        <w:t>The study</w:t>
      </w:r>
      <w:r w:rsidRPr="007C46EE">
        <w:rPr>
          <w:rFonts w:ascii="Times New Roman" w:hAnsi="Times New Roman"/>
        </w:rPr>
        <w:t xml:space="preserve"> will also </w:t>
      </w:r>
      <w:r>
        <w:rPr>
          <w:rFonts w:ascii="Times New Roman" w:hAnsi="Times New Roman"/>
        </w:rPr>
        <w:t>assess</w:t>
      </w:r>
      <w:r w:rsidRPr="007C46EE">
        <w:rPr>
          <w:rFonts w:ascii="Times New Roman" w:hAnsi="Times New Roman"/>
        </w:rPr>
        <w:t xml:space="preserve"> whether sites have the ability to recruit additional participants to fill a control group. </w:t>
      </w:r>
    </w:p>
    <w:p w:rsidRPr="007C46EE" w:rsidR="00F933D6" w:rsidP="00C005FB" w:rsidRDefault="00F933D6" w14:paraId="57839BA6" w14:textId="77777777">
      <w:pPr>
        <w:pStyle w:val="BulletBlack"/>
        <w:numPr>
          <w:ilvl w:val="0"/>
          <w:numId w:val="0"/>
        </w:numPr>
        <w:spacing w:after="0"/>
        <w:ind w:left="1152"/>
        <w:rPr>
          <w:rFonts w:ascii="Times New Roman" w:hAnsi="Times New Roman"/>
        </w:rPr>
      </w:pPr>
    </w:p>
    <w:p w:rsidR="00590187" w:rsidP="00C005FB" w:rsidRDefault="00590187" w14:paraId="7409F063" w14:textId="556A5F1E">
      <w:pPr>
        <w:pStyle w:val="BulletBlack"/>
        <w:numPr>
          <w:ilvl w:val="0"/>
          <w:numId w:val="90"/>
        </w:numPr>
        <w:spacing w:after="0"/>
        <w:rPr>
          <w:rFonts w:ascii="Times New Roman" w:hAnsi="Times New Roman"/>
        </w:rPr>
      </w:pPr>
      <w:r>
        <w:rPr>
          <w:rFonts w:ascii="Times New Roman" w:hAnsi="Times New Roman"/>
          <w:b/>
        </w:rPr>
        <w:t>Implementation status and readiness for evaluation</w:t>
      </w:r>
      <w:r w:rsidRPr="007C46EE">
        <w:rPr>
          <w:rFonts w:ascii="Times New Roman" w:hAnsi="Times New Roman"/>
          <w:b/>
        </w:rPr>
        <w:t>.</w:t>
      </w:r>
      <w:r w:rsidRPr="007C46EE">
        <w:rPr>
          <w:rFonts w:ascii="Times New Roman" w:hAnsi="Times New Roman"/>
        </w:rPr>
        <w:t xml:space="preserve"> A second factor is th</w:t>
      </w:r>
      <w:r>
        <w:rPr>
          <w:rFonts w:ascii="Times New Roman" w:hAnsi="Times New Roman"/>
        </w:rPr>
        <w:t xml:space="preserve">at </w:t>
      </w:r>
      <w:r w:rsidRPr="007C46EE">
        <w:rPr>
          <w:rFonts w:ascii="Times New Roman" w:hAnsi="Times New Roman"/>
        </w:rPr>
        <w:t xml:space="preserve">the site’s program services </w:t>
      </w:r>
      <w:r>
        <w:rPr>
          <w:rFonts w:ascii="Times New Roman" w:hAnsi="Times New Roman"/>
        </w:rPr>
        <w:t>are</w:t>
      </w:r>
      <w:r w:rsidRPr="007C46EE">
        <w:rPr>
          <w:rFonts w:ascii="Times New Roman" w:hAnsi="Times New Roman"/>
        </w:rPr>
        <w:t xml:space="preserve"> </w:t>
      </w:r>
      <w:r>
        <w:rPr>
          <w:rFonts w:ascii="Times New Roman" w:hAnsi="Times New Roman"/>
        </w:rPr>
        <w:t>of sufficient high q</w:t>
      </w:r>
      <w:r w:rsidRPr="007C46EE">
        <w:rPr>
          <w:rFonts w:ascii="Times New Roman" w:hAnsi="Times New Roman"/>
        </w:rPr>
        <w:t>uality</w:t>
      </w:r>
      <w:r>
        <w:rPr>
          <w:rFonts w:ascii="Times New Roman" w:hAnsi="Times New Roman"/>
        </w:rPr>
        <w:t xml:space="preserve"> and maturity</w:t>
      </w:r>
      <w:r w:rsidRPr="007C46EE">
        <w:rPr>
          <w:rFonts w:ascii="Times New Roman" w:hAnsi="Times New Roman"/>
        </w:rPr>
        <w:t xml:space="preserve">, include all features required by the original Solicitations for Grant Application, and are consistent with the literature on effective </w:t>
      </w:r>
      <w:r>
        <w:rPr>
          <w:rFonts w:ascii="Times New Roman" w:hAnsi="Times New Roman"/>
        </w:rPr>
        <w:t xml:space="preserve">apprenticeship </w:t>
      </w:r>
      <w:r w:rsidRPr="007C46EE">
        <w:rPr>
          <w:rFonts w:ascii="Times New Roman" w:hAnsi="Times New Roman"/>
        </w:rPr>
        <w:t xml:space="preserve">services. </w:t>
      </w:r>
      <w:r>
        <w:rPr>
          <w:rFonts w:ascii="Times New Roman" w:hAnsi="Times New Roman"/>
        </w:rPr>
        <w:t xml:space="preserve">To help maximize what can be learned from the study, </w:t>
      </w:r>
      <w:r w:rsidR="00AE3177">
        <w:rPr>
          <w:rFonts w:ascii="Times New Roman" w:hAnsi="Times New Roman"/>
        </w:rPr>
        <w:t>the study</w:t>
      </w:r>
      <w:r>
        <w:rPr>
          <w:rFonts w:ascii="Times New Roman" w:hAnsi="Times New Roman"/>
        </w:rPr>
        <w:t xml:space="preserve"> will prioritize grantees </w:t>
      </w:r>
      <w:r>
        <w:rPr>
          <w:rFonts w:ascii="Times New Roman" w:hAnsi="Times New Roman"/>
        </w:rPr>
        <w:lastRenderedPageBreak/>
        <w:t>that are planning to use innovative apprenticeship and work-based learning models.</w:t>
      </w:r>
    </w:p>
    <w:p w:rsidRPr="007C46EE" w:rsidR="00F933D6" w:rsidP="00C005FB" w:rsidRDefault="00F933D6" w14:paraId="3373D1ED" w14:textId="51AC9364">
      <w:pPr>
        <w:pStyle w:val="BulletBlack"/>
        <w:numPr>
          <w:ilvl w:val="0"/>
          <w:numId w:val="0"/>
        </w:numPr>
        <w:spacing w:after="0"/>
        <w:rPr>
          <w:rFonts w:ascii="Times New Roman" w:hAnsi="Times New Roman"/>
        </w:rPr>
      </w:pPr>
    </w:p>
    <w:p w:rsidR="00590187" w:rsidP="00C005FB" w:rsidRDefault="00590187" w14:paraId="3C57F648" w14:textId="2518089E">
      <w:pPr>
        <w:pStyle w:val="BulletBlack"/>
        <w:numPr>
          <w:ilvl w:val="0"/>
          <w:numId w:val="90"/>
        </w:numPr>
        <w:spacing w:after="0"/>
        <w:rPr>
          <w:rFonts w:ascii="Times New Roman" w:hAnsi="Times New Roman"/>
        </w:rPr>
      </w:pPr>
      <w:r>
        <w:rPr>
          <w:rFonts w:ascii="Times New Roman" w:hAnsi="Times New Roman"/>
          <w:b/>
        </w:rPr>
        <w:t>Service d</w:t>
      </w:r>
      <w:r w:rsidRPr="007C46EE">
        <w:rPr>
          <w:rFonts w:ascii="Times New Roman" w:hAnsi="Times New Roman"/>
          <w:b/>
        </w:rPr>
        <w:t>ifferential</w:t>
      </w:r>
      <w:r>
        <w:rPr>
          <w:rFonts w:ascii="Times New Roman" w:hAnsi="Times New Roman"/>
          <w:b/>
        </w:rPr>
        <w:t xml:space="preserve"> between the contrasted groups</w:t>
      </w:r>
      <w:r w:rsidRPr="007C46EE">
        <w:rPr>
          <w:rFonts w:ascii="Times New Roman" w:hAnsi="Times New Roman"/>
        </w:rPr>
        <w:t xml:space="preserve">. A third factor is </w:t>
      </w:r>
      <w:r w:rsidRPr="007C46EE" w:rsidR="00265C32">
        <w:rPr>
          <w:rFonts w:ascii="Times New Roman" w:hAnsi="Times New Roman"/>
        </w:rPr>
        <w:t>the differential</w:t>
      </w:r>
      <w:r w:rsidRPr="007C46EE">
        <w:rPr>
          <w:rFonts w:ascii="Times New Roman" w:hAnsi="Times New Roman"/>
        </w:rPr>
        <w:t xml:space="preserve"> between the </w:t>
      </w:r>
      <w:r>
        <w:rPr>
          <w:rFonts w:ascii="Times New Roman" w:hAnsi="Times New Roman"/>
        </w:rPr>
        <w:t xml:space="preserve">apprenticeship-related </w:t>
      </w:r>
      <w:r w:rsidRPr="007C46EE">
        <w:rPr>
          <w:rFonts w:ascii="Times New Roman" w:hAnsi="Times New Roman"/>
        </w:rPr>
        <w:t xml:space="preserve">services provided </w:t>
      </w:r>
      <w:r>
        <w:rPr>
          <w:rFonts w:ascii="Times New Roman" w:hAnsi="Times New Roman"/>
        </w:rPr>
        <w:t xml:space="preserve">to the </w:t>
      </w:r>
      <w:r w:rsidR="00265C32">
        <w:rPr>
          <w:rFonts w:ascii="Times New Roman" w:hAnsi="Times New Roman"/>
        </w:rPr>
        <w:t>research groups</w:t>
      </w:r>
      <w:r>
        <w:rPr>
          <w:rFonts w:ascii="Times New Roman" w:hAnsi="Times New Roman"/>
        </w:rPr>
        <w:t>. Control group members denied apprenticeship services</w:t>
      </w:r>
      <w:r w:rsidRPr="007C46EE">
        <w:rPr>
          <w:rFonts w:ascii="Times New Roman" w:hAnsi="Times New Roman"/>
        </w:rPr>
        <w:t xml:space="preserve"> will have access to other services available in the community</w:t>
      </w:r>
      <w:r>
        <w:rPr>
          <w:rFonts w:ascii="Times New Roman" w:hAnsi="Times New Roman"/>
        </w:rPr>
        <w:t xml:space="preserve"> (and perhaps even other services from the same grantee). Thus, </w:t>
      </w:r>
      <w:r w:rsidRPr="007C46EE">
        <w:rPr>
          <w:rFonts w:ascii="Times New Roman" w:hAnsi="Times New Roman"/>
        </w:rPr>
        <w:t xml:space="preserve">it is </w:t>
      </w:r>
      <w:r>
        <w:rPr>
          <w:rFonts w:ascii="Times New Roman" w:hAnsi="Times New Roman"/>
        </w:rPr>
        <w:t xml:space="preserve">critical </w:t>
      </w:r>
      <w:r w:rsidRPr="007C46EE">
        <w:rPr>
          <w:rFonts w:ascii="Times New Roman" w:hAnsi="Times New Roman"/>
        </w:rPr>
        <w:t xml:space="preserve">a sufficient differential </w:t>
      </w:r>
      <w:r>
        <w:rPr>
          <w:rFonts w:ascii="Times New Roman" w:hAnsi="Times New Roman"/>
        </w:rPr>
        <w:t xml:space="preserve">exists </w:t>
      </w:r>
      <w:r w:rsidRPr="007C46EE">
        <w:rPr>
          <w:rFonts w:ascii="Times New Roman" w:hAnsi="Times New Roman"/>
        </w:rPr>
        <w:t xml:space="preserve">between </w:t>
      </w:r>
      <w:r>
        <w:rPr>
          <w:rFonts w:ascii="Times New Roman" w:hAnsi="Times New Roman"/>
        </w:rPr>
        <w:t xml:space="preserve">the tested </w:t>
      </w:r>
      <w:r w:rsidRPr="007C46EE">
        <w:rPr>
          <w:rFonts w:ascii="Times New Roman" w:hAnsi="Times New Roman"/>
        </w:rPr>
        <w:t>program services and those available elsewhere in the community</w:t>
      </w:r>
      <w:r>
        <w:rPr>
          <w:rFonts w:ascii="Times New Roman" w:hAnsi="Times New Roman"/>
        </w:rPr>
        <w:t>. Similarly, for designs testing enhanced apprenticeship services, it will be critical to ensure that these enhanced services are sufficiently different from business-as-usual services to have a reasonable chance of yielding detectable program impacts.</w:t>
      </w:r>
      <w:r w:rsidRPr="007C46EE">
        <w:rPr>
          <w:rFonts w:ascii="Times New Roman" w:hAnsi="Times New Roman"/>
        </w:rPr>
        <w:t xml:space="preserve"> </w:t>
      </w:r>
    </w:p>
    <w:p w:rsidRPr="007C46EE" w:rsidR="00F933D6" w:rsidP="00C005FB" w:rsidRDefault="00F933D6" w14:paraId="302AA314" w14:textId="139002FC">
      <w:pPr>
        <w:pStyle w:val="BulletBlack"/>
        <w:numPr>
          <w:ilvl w:val="0"/>
          <w:numId w:val="0"/>
        </w:numPr>
        <w:spacing w:after="0"/>
        <w:rPr>
          <w:rFonts w:ascii="Times New Roman" w:hAnsi="Times New Roman"/>
        </w:rPr>
      </w:pPr>
    </w:p>
    <w:p w:rsidR="00590187" w:rsidP="00C005FB" w:rsidRDefault="00590187" w14:paraId="15900CCA" w14:textId="0FF393BD">
      <w:pPr>
        <w:pStyle w:val="BulletBlack"/>
        <w:numPr>
          <w:ilvl w:val="0"/>
          <w:numId w:val="90"/>
        </w:numPr>
        <w:spacing w:after="0"/>
        <w:rPr>
          <w:rFonts w:ascii="Times New Roman" w:hAnsi="Times New Roman"/>
        </w:rPr>
      </w:pPr>
      <w:r w:rsidRPr="007C46EE">
        <w:rPr>
          <w:rFonts w:ascii="Times New Roman" w:hAnsi="Times New Roman"/>
          <w:b/>
        </w:rPr>
        <w:t xml:space="preserve">Similarity of </w:t>
      </w:r>
      <w:r>
        <w:rPr>
          <w:rFonts w:ascii="Times New Roman" w:hAnsi="Times New Roman"/>
          <w:b/>
        </w:rPr>
        <w:t>s</w:t>
      </w:r>
      <w:r w:rsidRPr="007C46EE">
        <w:rPr>
          <w:rFonts w:ascii="Times New Roman" w:hAnsi="Times New Roman"/>
          <w:b/>
        </w:rPr>
        <w:t xml:space="preserve">ervices and </w:t>
      </w:r>
      <w:r>
        <w:rPr>
          <w:rFonts w:ascii="Times New Roman" w:hAnsi="Times New Roman"/>
          <w:b/>
        </w:rPr>
        <w:t>p</w:t>
      </w:r>
      <w:r w:rsidRPr="007C46EE">
        <w:rPr>
          <w:rFonts w:ascii="Times New Roman" w:hAnsi="Times New Roman"/>
          <w:b/>
        </w:rPr>
        <w:t xml:space="preserve">oint of </w:t>
      </w:r>
      <w:r>
        <w:rPr>
          <w:rFonts w:ascii="Times New Roman" w:hAnsi="Times New Roman"/>
          <w:b/>
        </w:rPr>
        <w:t>r</w:t>
      </w:r>
      <w:r w:rsidRPr="007C46EE">
        <w:rPr>
          <w:rFonts w:ascii="Times New Roman" w:hAnsi="Times New Roman"/>
          <w:b/>
        </w:rPr>
        <w:t xml:space="preserve">andom </w:t>
      </w:r>
      <w:r>
        <w:rPr>
          <w:rFonts w:ascii="Times New Roman" w:hAnsi="Times New Roman"/>
          <w:b/>
        </w:rPr>
        <w:t>a</w:t>
      </w:r>
      <w:r w:rsidRPr="007C46EE">
        <w:rPr>
          <w:rFonts w:ascii="Times New Roman" w:hAnsi="Times New Roman"/>
          <w:b/>
        </w:rPr>
        <w:t xml:space="preserve">ssignment across </w:t>
      </w:r>
      <w:r>
        <w:rPr>
          <w:rFonts w:ascii="Times New Roman" w:hAnsi="Times New Roman"/>
          <w:b/>
        </w:rPr>
        <w:t>s</w:t>
      </w:r>
      <w:r w:rsidRPr="007C46EE">
        <w:rPr>
          <w:rFonts w:ascii="Times New Roman" w:hAnsi="Times New Roman"/>
          <w:b/>
        </w:rPr>
        <w:t xml:space="preserve">tudy </w:t>
      </w:r>
      <w:r>
        <w:rPr>
          <w:rFonts w:ascii="Times New Roman" w:hAnsi="Times New Roman"/>
          <w:b/>
        </w:rPr>
        <w:t>s</w:t>
      </w:r>
      <w:r w:rsidRPr="007C46EE">
        <w:rPr>
          <w:rFonts w:ascii="Times New Roman" w:hAnsi="Times New Roman"/>
          <w:b/>
        </w:rPr>
        <w:t>ites.</w:t>
      </w:r>
      <w:r w:rsidRPr="007C46EE">
        <w:rPr>
          <w:rFonts w:ascii="Times New Roman" w:hAnsi="Times New Roman"/>
        </w:rPr>
        <w:t xml:space="preserve"> A fourth factor is the ability of participating sites to implement a relatively consistent point of random assignment </w:t>
      </w:r>
      <w:r>
        <w:rPr>
          <w:rFonts w:ascii="Times New Roman" w:hAnsi="Times New Roman"/>
        </w:rPr>
        <w:t xml:space="preserve">(for example, at the community college admissions office) </w:t>
      </w:r>
      <w:r w:rsidRPr="007C46EE">
        <w:rPr>
          <w:rFonts w:ascii="Times New Roman" w:hAnsi="Times New Roman"/>
        </w:rPr>
        <w:t xml:space="preserve">and deliver a relatively similar set of </w:t>
      </w:r>
      <w:r>
        <w:rPr>
          <w:rFonts w:ascii="Times New Roman" w:hAnsi="Times New Roman"/>
        </w:rPr>
        <w:t xml:space="preserve">intervention </w:t>
      </w:r>
      <w:r w:rsidRPr="007C46EE">
        <w:rPr>
          <w:rFonts w:ascii="Times New Roman" w:hAnsi="Times New Roman"/>
        </w:rPr>
        <w:t xml:space="preserve">services, thereby ensuring that the impact analysis (which </w:t>
      </w:r>
      <w:r>
        <w:rPr>
          <w:rFonts w:ascii="Times New Roman" w:hAnsi="Times New Roman"/>
        </w:rPr>
        <w:t xml:space="preserve">may need to </w:t>
      </w:r>
      <w:r w:rsidRPr="007C46EE">
        <w:rPr>
          <w:rFonts w:ascii="Times New Roman" w:hAnsi="Times New Roman"/>
        </w:rPr>
        <w:t>pool across grant programs because of sample size considerations) tests a consistent model</w:t>
      </w:r>
      <w:r>
        <w:rPr>
          <w:rFonts w:ascii="Times New Roman" w:hAnsi="Times New Roman"/>
        </w:rPr>
        <w:t xml:space="preserve"> with focused research questions</w:t>
      </w:r>
      <w:r w:rsidRPr="007C46EE">
        <w:rPr>
          <w:rFonts w:ascii="Times New Roman" w:hAnsi="Times New Roman"/>
        </w:rPr>
        <w:t xml:space="preserve">. Variation across sites in services or points of random assignment can pose problems for the analysis because a pooled impact analysis effectively </w:t>
      </w:r>
      <w:r>
        <w:rPr>
          <w:rFonts w:ascii="Times New Roman" w:hAnsi="Times New Roman"/>
        </w:rPr>
        <w:t xml:space="preserve">would </w:t>
      </w:r>
      <w:r w:rsidRPr="007C46EE">
        <w:rPr>
          <w:rFonts w:ascii="Times New Roman" w:hAnsi="Times New Roman"/>
        </w:rPr>
        <w:t>treat them as the same program even if they actually vary substantially in the nature of their services or in how or when a</w:t>
      </w:r>
      <w:r>
        <w:rPr>
          <w:rFonts w:ascii="Times New Roman" w:hAnsi="Times New Roman"/>
        </w:rPr>
        <w:t xml:space="preserve"> worker</w:t>
      </w:r>
      <w:r w:rsidRPr="007C46EE">
        <w:rPr>
          <w:rFonts w:ascii="Times New Roman" w:hAnsi="Times New Roman"/>
        </w:rPr>
        <w:t xml:space="preserve"> is defined as a </w:t>
      </w:r>
      <w:r>
        <w:rPr>
          <w:rFonts w:ascii="Times New Roman" w:hAnsi="Times New Roman"/>
        </w:rPr>
        <w:t xml:space="preserve">study </w:t>
      </w:r>
      <w:r w:rsidRPr="007C46EE">
        <w:rPr>
          <w:rFonts w:ascii="Times New Roman" w:hAnsi="Times New Roman"/>
        </w:rPr>
        <w:t xml:space="preserve">participant. </w:t>
      </w:r>
    </w:p>
    <w:p w:rsidRPr="007C46EE" w:rsidR="00F933D6" w:rsidP="00C005FB" w:rsidRDefault="00F933D6" w14:paraId="0E776D10" w14:textId="0C62CCA8">
      <w:pPr>
        <w:pStyle w:val="BulletBlack"/>
        <w:numPr>
          <w:ilvl w:val="0"/>
          <w:numId w:val="0"/>
        </w:numPr>
        <w:spacing w:after="0"/>
        <w:rPr>
          <w:rFonts w:ascii="Times New Roman" w:hAnsi="Times New Roman"/>
        </w:rPr>
      </w:pPr>
    </w:p>
    <w:p w:rsidR="00F933D6" w:rsidP="00C005FB" w:rsidRDefault="00590187" w14:paraId="2FB86C6D" w14:textId="6CCFF0F1">
      <w:pPr>
        <w:pStyle w:val="BulletBlackLastSS"/>
        <w:numPr>
          <w:ilvl w:val="0"/>
          <w:numId w:val="90"/>
        </w:numPr>
        <w:spacing w:after="0"/>
      </w:pPr>
      <w:r w:rsidRPr="007C46EE">
        <w:rPr>
          <w:b/>
        </w:rPr>
        <w:t xml:space="preserve">Appropriateness of </w:t>
      </w:r>
      <w:r>
        <w:rPr>
          <w:b/>
        </w:rPr>
        <w:t>i</w:t>
      </w:r>
      <w:r w:rsidRPr="007C46EE">
        <w:rPr>
          <w:b/>
        </w:rPr>
        <w:t xml:space="preserve">mplementing </w:t>
      </w:r>
      <w:r>
        <w:rPr>
          <w:b/>
        </w:rPr>
        <w:t>r</w:t>
      </w:r>
      <w:r w:rsidRPr="007C46EE">
        <w:rPr>
          <w:b/>
        </w:rPr>
        <w:t xml:space="preserve">andom </w:t>
      </w:r>
      <w:r>
        <w:rPr>
          <w:b/>
        </w:rPr>
        <w:t>a</w:t>
      </w:r>
      <w:r w:rsidRPr="007C46EE">
        <w:rPr>
          <w:b/>
        </w:rPr>
        <w:t>ssignment</w:t>
      </w:r>
      <w:r w:rsidRPr="007C46EE">
        <w:t>. A final factor is consideration of the feasibility of implementing random assignment. In some cases</w:t>
      </w:r>
      <w:r>
        <w:t>,</w:t>
      </w:r>
      <w:r w:rsidRPr="007C46EE">
        <w:t xml:space="preserve"> sites may operate with established referral networks </w:t>
      </w:r>
      <w:r>
        <w:t xml:space="preserve">from employers or elsewhere </w:t>
      </w:r>
      <w:r w:rsidRPr="007C46EE">
        <w:t>that could prohibit the use of random assignment</w:t>
      </w:r>
      <w:r>
        <w:t xml:space="preserve">. In these cases, programs </w:t>
      </w:r>
      <w:r w:rsidRPr="007C46EE">
        <w:t xml:space="preserve">could find themselves in conflict with partners who simply refuse to participate in such a study. </w:t>
      </w:r>
      <w:r>
        <w:t xml:space="preserve">This could occur, for example, if the study focuses on incumbent workers or special populations with control groups. </w:t>
      </w:r>
      <w:r w:rsidRPr="007C46EE">
        <w:t xml:space="preserve">During site selection, </w:t>
      </w:r>
      <w:r w:rsidR="00AE3177">
        <w:t>the study</w:t>
      </w:r>
      <w:r w:rsidRPr="007C46EE">
        <w:t xml:space="preserve"> will focus on the sites in which random assignment is more feasible and does not threaten the program’s continued operation</w:t>
      </w:r>
      <w:r>
        <w:t>s and recruitment sources</w:t>
      </w:r>
      <w:r w:rsidRPr="007C46EE">
        <w:t>.</w:t>
      </w:r>
    </w:p>
    <w:p w:rsidRPr="00F933D6" w:rsidR="00F933D6" w:rsidP="00C005FB" w:rsidRDefault="00F933D6" w14:paraId="19C8905F" w14:textId="77777777">
      <w:pPr>
        <w:pStyle w:val="NormalSS"/>
      </w:pPr>
    </w:p>
    <w:p w:rsidR="00590187" w:rsidP="00C005FB" w:rsidRDefault="00AE3177" w14:paraId="153BF159" w14:textId="67A44CB3">
      <w:pPr>
        <w:pStyle w:val="NormalSS"/>
        <w:spacing w:after="0"/>
      </w:pPr>
      <w:r>
        <w:t>The study</w:t>
      </w:r>
      <w:r w:rsidR="00590187">
        <w:t xml:space="preserve"> will rate each site using these five criteria during a multi-step site selection process. First, </w:t>
      </w:r>
      <w:r>
        <w:t>the study</w:t>
      </w:r>
      <w:r w:rsidR="00590187">
        <w:t xml:space="preserve"> </w:t>
      </w:r>
      <w:r w:rsidRPr="008640EA" w:rsidR="00590187">
        <w:t xml:space="preserve">will begin </w:t>
      </w:r>
      <w:r w:rsidR="00590187">
        <w:t xml:space="preserve">with a </w:t>
      </w:r>
      <w:r w:rsidRPr="008640EA" w:rsidR="00590187">
        <w:t>systematic</w:t>
      </w:r>
      <w:r w:rsidR="00590187">
        <w:t xml:space="preserve"> examination of </w:t>
      </w:r>
      <w:r w:rsidRPr="008640EA" w:rsidR="00590187">
        <w:t>extant material</w:t>
      </w:r>
      <w:r w:rsidR="00590187">
        <w:t>s</w:t>
      </w:r>
      <w:r w:rsidRPr="008640EA" w:rsidR="00590187">
        <w:t xml:space="preserve"> on </w:t>
      </w:r>
      <w:r w:rsidR="00590187">
        <w:t xml:space="preserve">all </w:t>
      </w:r>
      <w:r w:rsidRPr="008640EA" w:rsidR="00590187">
        <w:t xml:space="preserve">grantees including the grantee applications and progress reports. </w:t>
      </w:r>
      <w:r>
        <w:t>It</w:t>
      </w:r>
      <w:r w:rsidRPr="00CB3905" w:rsidR="00590187">
        <w:t xml:space="preserve"> will </w:t>
      </w:r>
      <w:r w:rsidR="00590187">
        <w:t>use</w:t>
      </w:r>
      <w:r w:rsidRPr="00CB3905" w:rsidR="00590187">
        <w:t xml:space="preserve"> a template for recording </w:t>
      </w:r>
      <w:r w:rsidR="00590187">
        <w:t xml:space="preserve">this </w:t>
      </w:r>
      <w:r w:rsidRPr="00CB3905" w:rsidR="00590187">
        <w:t>information</w:t>
      </w:r>
      <w:r w:rsidR="00590187">
        <w:t xml:space="preserve"> and the r</w:t>
      </w:r>
      <w:r w:rsidRPr="00CB3905" w:rsidR="00590187">
        <w:t>esults will be recorded directly into a database</w:t>
      </w:r>
      <w:r w:rsidR="00590187">
        <w:t>.</w:t>
      </w:r>
      <w:r w:rsidRPr="00CB3905" w:rsidR="00590187">
        <w:t xml:space="preserve"> </w:t>
      </w:r>
    </w:p>
    <w:p w:rsidR="00F933D6" w:rsidP="00C005FB" w:rsidRDefault="00F933D6" w14:paraId="5300A851" w14:textId="77777777">
      <w:pPr>
        <w:pStyle w:val="NormalSS"/>
        <w:spacing w:after="0"/>
      </w:pPr>
    </w:p>
    <w:p w:rsidR="00590187" w:rsidP="00C005FB" w:rsidRDefault="00AE3177" w14:paraId="37A69AC8" w14:textId="6B950E46">
      <w:pPr>
        <w:pStyle w:val="NormalSS"/>
        <w:spacing w:after="0"/>
      </w:pPr>
      <w:r>
        <w:t>This</w:t>
      </w:r>
      <w:r w:rsidRPr="008640EA" w:rsidR="00590187">
        <w:t xml:space="preserve"> information gathering effort will continue with </w:t>
      </w:r>
      <w:r w:rsidR="00590187">
        <w:t xml:space="preserve">clarifying </w:t>
      </w:r>
      <w:r w:rsidRPr="008640EA" w:rsidR="00590187">
        <w:t xml:space="preserve">phone calls to </w:t>
      </w:r>
      <w:r w:rsidR="00590187">
        <w:t>all</w:t>
      </w:r>
      <w:r w:rsidRPr="008640EA" w:rsidR="00590187">
        <w:t xml:space="preserve"> grantees</w:t>
      </w:r>
      <w:r w:rsidR="00590187">
        <w:t>, excluding sites who would clearly not be suitable for the study (for example, because of very few expected program participants)</w:t>
      </w:r>
      <w:r w:rsidRPr="008640EA" w:rsidR="00590187">
        <w:t xml:space="preserve">. </w:t>
      </w:r>
      <w:r w:rsidR="00590187">
        <w:t xml:space="preserve">These calls will focus on clarifying services provided by the programs and the process by which participants are recruited and enrolled into the program. </w:t>
      </w:r>
      <w:r w:rsidRPr="008640EA" w:rsidR="00590187">
        <w:t xml:space="preserve">Following each call, a standardized write-up on the grantee </w:t>
      </w:r>
      <w:r w:rsidR="00F4654B">
        <w:t>will be completed, as well as updates to the study’s</w:t>
      </w:r>
      <w:r w:rsidRPr="008640EA" w:rsidR="00590187">
        <w:t xml:space="preserve"> grantee database. </w:t>
      </w:r>
    </w:p>
    <w:p w:rsidR="00F933D6" w:rsidP="00C005FB" w:rsidRDefault="00F933D6" w14:paraId="0BEF35CA" w14:textId="77777777">
      <w:pPr>
        <w:pStyle w:val="NormalSS"/>
        <w:spacing w:after="0"/>
      </w:pPr>
    </w:p>
    <w:p w:rsidR="00590187" w:rsidP="00C005FB" w:rsidRDefault="00F4654B" w14:paraId="0D8CAE05" w14:textId="286D9FDB">
      <w:pPr>
        <w:pStyle w:val="NormalSS"/>
        <w:spacing w:after="0"/>
      </w:pPr>
      <w:r>
        <w:t>The study</w:t>
      </w:r>
      <w:r w:rsidR="00590187">
        <w:t xml:space="preserve"> will identify </w:t>
      </w:r>
      <w:r w:rsidR="00260ADB">
        <w:t xml:space="preserve">approximately </w:t>
      </w:r>
      <w:r w:rsidR="00590187">
        <w:t xml:space="preserve">20 sites with the highest ratings in the five considered categories. Formal recruiting of these sites will then occur by phone, and </w:t>
      </w:r>
      <w:r>
        <w:t>the study</w:t>
      </w:r>
      <w:r w:rsidR="00590187">
        <w:t xml:space="preserve"> will start the process of tailoring random assignment procedures to fit the sites’ contexts, and also develop Memoranda of Understanding between the sites and DOL and the </w:t>
      </w:r>
      <w:r>
        <w:t>evaluation team</w:t>
      </w:r>
      <w:r w:rsidR="00590187">
        <w:t xml:space="preserve">. As needed, </w:t>
      </w:r>
      <w:r>
        <w:t>the evaluation team</w:t>
      </w:r>
      <w:r w:rsidR="00590187">
        <w:t xml:space="preserve"> will conduct in-person visits with up to 5 sites to further assess the feasibility of implementing random assignment and to learn more about their services and processes. </w:t>
      </w:r>
      <w:r>
        <w:t xml:space="preserve">It is </w:t>
      </w:r>
      <w:r w:rsidR="00590187">
        <w:t>expect</w:t>
      </w:r>
      <w:r>
        <w:t>ed that</w:t>
      </w:r>
      <w:r w:rsidR="00590187">
        <w:t xml:space="preserve"> this process will yield up to 10 suitable grantees for the study. </w:t>
      </w:r>
    </w:p>
    <w:p w:rsidR="00F933D6" w:rsidP="00C005FB" w:rsidRDefault="00F933D6" w14:paraId="77AC747F" w14:textId="77777777">
      <w:pPr>
        <w:pStyle w:val="NormalSS"/>
        <w:spacing w:after="0"/>
      </w:pPr>
    </w:p>
    <w:p w:rsidR="00F933D6" w:rsidP="00C005FB" w:rsidRDefault="00590187" w14:paraId="79FFD2CC" w14:textId="109A5872">
      <w:pPr>
        <w:pStyle w:val="Heading4"/>
        <w:numPr>
          <w:ilvl w:val="0"/>
          <w:numId w:val="98"/>
        </w:numPr>
        <w:spacing w:after="0"/>
      </w:pPr>
      <w:r>
        <w:t>Selection of participants</w:t>
      </w:r>
    </w:p>
    <w:p w:rsidR="00F933D6" w:rsidP="00C005FB" w:rsidRDefault="00F933D6" w14:paraId="09928AF8" w14:textId="77777777">
      <w:pPr>
        <w:pStyle w:val="NormalSS"/>
        <w:spacing w:after="0"/>
        <w:rPr>
          <w:szCs w:val="24"/>
        </w:rPr>
      </w:pPr>
    </w:p>
    <w:p w:rsidR="00590187" w:rsidP="00C005FB" w:rsidRDefault="00590187" w14:paraId="41A98064" w14:textId="0C3FD69F">
      <w:pPr>
        <w:pStyle w:val="NormalSS"/>
        <w:spacing w:after="0"/>
        <w:rPr>
          <w:szCs w:val="24"/>
        </w:rPr>
      </w:pPr>
      <w:r w:rsidRPr="00E212E3">
        <w:rPr>
          <w:szCs w:val="24"/>
        </w:rPr>
        <w:t xml:space="preserve">All participants who meet the program eligibility requirements and consent to be part of the study will be subject to random assignment. According to the Scaling Apprenticeship grant applications, almost half of grantees were funded at a level associated with serving at least 5,000 apprentices (11 out of 23). The remaining 12 grantees were evenly split between a minimum requirement of 800, 1,600, and 3,200 apprentices. </w:t>
      </w:r>
      <w:r w:rsidR="00F4654B">
        <w:rPr>
          <w:szCs w:val="24"/>
        </w:rPr>
        <w:t>The</w:t>
      </w:r>
      <w:r>
        <w:rPr>
          <w:szCs w:val="24"/>
        </w:rPr>
        <w:t xml:space="preserve"> working assumption is that the </w:t>
      </w:r>
      <w:r>
        <w:rPr>
          <w:bCs/>
        </w:rPr>
        <w:t>Closing the Skills Gap grants</w:t>
      </w:r>
      <w:r>
        <w:rPr>
          <w:szCs w:val="24"/>
        </w:rPr>
        <w:t xml:space="preserve"> will plan to serve similar numbers of participants.</w:t>
      </w:r>
    </w:p>
    <w:p w:rsidR="00F933D6" w:rsidP="00C005FB" w:rsidRDefault="00F933D6" w14:paraId="41B982AD" w14:textId="77777777">
      <w:pPr>
        <w:pStyle w:val="NormalSS"/>
        <w:spacing w:after="0"/>
        <w:rPr>
          <w:szCs w:val="24"/>
        </w:rPr>
      </w:pPr>
    </w:p>
    <w:p w:rsidR="0003266C" w:rsidP="0003266C" w:rsidRDefault="00590187" w14:paraId="4F407AB2" w14:textId="33AB3C62">
      <w:pPr>
        <w:pStyle w:val="NormalSS"/>
        <w:spacing w:after="0"/>
      </w:pPr>
      <w:r>
        <w:rPr>
          <w:szCs w:val="24"/>
        </w:rPr>
        <w:t>N</w:t>
      </w:r>
      <w:r w:rsidRPr="00E212E3">
        <w:rPr>
          <w:szCs w:val="24"/>
        </w:rPr>
        <w:t>ot all grantee</w:t>
      </w:r>
      <w:r>
        <w:rPr>
          <w:szCs w:val="24"/>
        </w:rPr>
        <w:t xml:space="preserve"> participants will be part of the study population to address the specific research questions. F</w:t>
      </w:r>
      <w:r w:rsidRPr="00E212E3">
        <w:rPr>
          <w:szCs w:val="24"/>
        </w:rPr>
        <w:t xml:space="preserve">or example, </w:t>
      </w:r>
      <w:r>
        <w:rPr>
          <w:szCs w:val="24"/>
        </w:rPr>
        <w:t xml:space="preserve">the study population may focus on </w:t>
      </w:r>
      <w:r w:rsidRPr="00E212E3">
        <w:rPr>
          <w:szCs w:val="24"/>
        </w:rPr>
        <w:t>incumbent workers</w:t>
      </w:r>
      <w:r w:rsidR="00A12D22">
        <w:rPr>
          <w:szCs w:val="24"/>
        </w:rPr>
        <w:t xml:space="preserve"> </w:t>
      </w:r>
      <w:proofErr w:type="spellStart"/>
      <w:r w:rsidR="00A12D22">
        <w:rPr>
          <w:szCs w:val="24"/>
        </w:rPr>
        <w:t>or</w:t>
      </w:r>
      <w:r w:rsidRPr="00E212E3">
        <w:rPr>
          <w:szCs w:val="24"/>
        </w:rPr>
        <w:t>special</w:t>
      </w:r>
      <w:proofErr w:type="spellEnd"/>
      <w:r w:rsidRPr="00E212E3">
        <w:rPr>
          <w:szCs w:val="24"/>
        </w:rPr>
        <w:t xml:space="preserve"> populations. </w:t>
      </w:r>
      <w:r>
        <w:rPr>
          <w:szCs w:val="24"/>
        </w:rPr>
        <w:t>Further, b</w:t>
      </w:r>
      <w:r w:rsidRPr="00E212E3">
        <w:rPr>
          <w:szCs w:val="24"/>
        </w:rPr>
        <w:t xml:space="preserve">ased on </w:t>
      </w:r>
      <w:r>
        <w:rPr>
          <w:szCs w:val="24"/>
        </w:rPr>
        <w:t xml:space="preserve">actual </w:t>
      </w:r>
      <w:r w:rsidRPr="00E212E3">
        <w:rPr>
          <w:szCs w:val="24"/>
        </w:rPr>
        <w:t xml:space="preserve">counts from previous </w:t>
      </w:r>
      <w:r>
        <w:rPr>
          <w:szCs w:val="24"/>
        </w:rPr>
        <w:t xml:space="preserve">DOL-funded </w:t>
      </w:r>
      <w:r w:rsidRPr="00E212E3">
        <w:rPr>
          <w:szCs w:val="24"/>
        </w:rPr>
        <w:t>apprenticeship grant programs</w:t>
      </w:r>
      <w:r>
        <w:rPr>
          <w:szCs w:val="24"/>
        </w:rPr>
        <w:t>, t</w:t>
      </w:r>
      <w:r w:rsidRPr="00E212E3">
        <w:rPr>
          <w:szCs w:val="24"/>
        </w:rPr>
        <w:t>he</w:t>
      </w:r>
      <w:r>
        <w:rPr>
          <w:szCs w:val="24"/>
        </w:rPr>
        <w:t xml:space="preserve"> sample size</w:t>
      </w:r>
      <w:r w:rsidRPr="00E212E3">
        <w:rPr>
          <w:szCs w:val="24"/>
        </w:rPr>
        <w:t xml:space="preserve"> targets </w:t>
      </w:r>
      <w:r>
        <w:rPr>
          <w:szCs w:val="24"/>
        </w:rPr>
        <w:t xml:space="preserve">of the grantees </w:t>
      </w:r>
      <w:r w:rsidRPr="00E212E3">
        <w:rPr>
          <w:szCs w:val="24"/>
        </w:rPr>
        <w:t xml:space="preserve">are ambitious. </w:t>
      </w:r>
      <w:r>
        <w:rPr>
          <w:szCs w:val="24"/>
        </w:rPr>
        <w:t xml:space="preserve">Thus, </w:t>
      </w:r>
      <w:r w:rsidR="00F4654B">
        <w:rPr>
          <w:szCs w:val="24"/>
        </w:rPr>
        <w:t>the study</w:t>
      </w:r>
      <w:r>
        <w:rPr>
          <w:szCs w:val="24"/>
        </w:rPr>
        <w:t xml:space="preserve"> conservatively assume</w:t>
      </w:r>
      <w:r w:rsidR="00F4654B">
        <w:rPr>
          <w:szCs w:val="24"/>
        </w:rPr>
        <w:t>s</w:t>
      </w:r>
      <w:r>
        <w:rPr>
          <w:szCs w:val="24"/>
        </w:rPr>
        <w:t xml:space="preserve"> an average of 500 eligible program applicants per site who </w:t>
      </w:r>
      <w:r>
        <w:t>will be subject to random assignment, yielding a respondent universe of 5,000 participants split evenly between the research groups.</w:t>
      </w:r>
      <w:r w:rsidRPr="0003266C" w:rsidR="0003266C">
        <w:t xml:space="preserve"> </w:t>
      </w:r>
      <w:r w:rsidR="0003266C">
        <w:t>Universe and sample size estimates are provided in Table B.1.</w:t>
      </w:r>
    </w:p>
    <w:p w:rsidR="0003266C" w:rsidP="0003266C" w:rsidRDefault="0003266C" w14:paraId="77AFF0ED" w14:textId="77777777">
      <w:pPr>
        <w:pStyle w:val="NormalSS"/>
        <w:spacing w:after="0"/>
      </w:pPr>
    </w:p>
    <w:p w:rsidR="0003266C" w:rsidP="0003266C" w:rsidRDefault="0003266C" w14:paraId="33BAB460" w14:textId="77777777">
      <w:pPr>
        <w:pStyle w:val="MarkforTableTitle"/>
      </w:pPr>
      <w:r w:rsidRPr="005278CD">
        <w:t xml:space="preserve">Table </w:t>
      </w:r>
      <w:r>
        <w:t>B.</w:t>
      </w:r>
      <w:r w:rsidRPr="005278CD">
        <w:t xml:space="preserve">1. </w:t>
      </w:r>
      <w:r>
        <w:t>Summary of u</w:t>
      </w:r>
      <w:r w:rsidRPr="005278CD">
        <w:t xml:space="preserve">niverse and sample counts </w:t>
      </w:r>
    </w:p>
    <w:tbl>
      <w:tblPr>
        <w:tblStyle w:val="LightList"/>
        <w:tblW w:w="5000" w:type="pct"/>
        <w:tblBorders>
          <w:top w:val="none" w:color="auto" w:sz="0" w:space="0"/>
          <w:left w:val="none" w:color="auto" w:sz="0" w:space="0"/>
          <w:bottom w:val="none" w:color="auto" w:sz="0" w:space="0"/>
          <w:right w:val="none" w:color="auto" w:sz="0" w:space="0"/>
        </w:tblBorders>
        <w:tblLook w:val="0620" w:firstRow="1" w:lastRow="0" w:firstColumn="0" w:lastColumn="0" w:noHBand="1" w:noVBand="1"/>
      </w:tblPr>
      <w:tblGrid>
        <w:gridCol w:w="1881"/>
        <w:gridCol w:w="3497"/>
        <w:gridCol w:w="1430"/>
        <w:gridCol w:w="1161"/>
        <w:gridCol w:w="1391"/>
      </w:tblGrid>
      <w:tr w:rsidRPr="00F878AA" w:rsidR="0003266C" w:rsidTr="00D024EB" w14:paraId="6EA2F3EB" w14:textId="77777777">
        <w:trPr>
          <w:cnfStyle w:val="100000000000" w:firstRow="1" w:lastRow="0" w:firstColumn="0" w:lastColumn="0" w:oddVBand="0" w:evenVBand="0" w:oddHBand="0" w:evenHBand="0" w:firstRowFirstColumn="0" w:firstRowLastColumn="0" w:lastRowFirstColumn="0" w:lastRowLastColumn="0"/>
          <w:tblHeader/>
        </w:trPr>
        <w:tc>
          <w:tcPr>
            <w:tcW w:w="1005" w:type="pct"/>
            <w:tcBorders>
              <w:top w:val="single" w:color="FFFFFF" w:themeColor="background1" w:sz="8" w:space="0"/>
              <w:bottom w:val="single" w:color="000000" w:themeColor="text1" w:sz="8" w:space="0"/>
            </w:tcBorders>
            <w:shd w:val="clear" w:color="auto" w:fill="6C6F70"/>
          </w:tcPr>
          <w:p w:rsidRPr="00F878AA" w:rsidR="0003266C" w:rsidP="00D024EB" w:rsidRDefault="0003266C" w14:paraId="1CA69F85" w14:textId="77777777">
            <w:pPr>
              <w:pStyle w:val="TableHeaderLeft"/>
              <w:rPr>
                <w:b/>
              </w:rPr>
            </w:pPr>
            <w:r>
              <w:rPr>
                <w:b/>
              </w:rPr>
              <w:t>Evaluation component</w:t>
            </w:r>
          </w:p>
        </w:tc>
        <w:tc>
          <w:tcPr>
            <w:tcW w:w="1868" w:type="pct"/>
            <w:tcBorders>
              <w:top w:val="single" w:color="FFFFFF" w:themeColor="background1" w:sz="8" w:space="0"/>
              <w:bottom w:val="single" w:color="000000" w:themeColor="text1" w:sz="8" w:space="0"/>
            </w:tcBorders>
            <w:shd w:val="clear" w:color="auto" w:fill="6C6F70"/>
          </w:tcPr>
          <w:p w:rsidRPr="00F878AA" w:rsidR="0003266C" w:rsidP="00D024EB" w:rsidRDefault="0003266C" w14:paraId="3F426039" w14:textId="77777777">
            <w:pPr>
              <w:pStyle w:val="TableHeaderCenter"/>
              <w:rPr>
                <w:b/>
              </w:rPr>
            </w:pPr>
            <w:r>
              <w:rPr>
                <w:b/>
              </w:rPr>
              <w:t>Universe Description</w:t>
            </w:r>
          </w:p>
        </w:tc>
        <w:tc>
          <w:tcPr>
            <w:tcW w:w="764" w:type="pct"/>
            <w:tcBorders>
              <w:top w:val="single" w:color="FFFFFF" w:themeColor="background1" w:sz="8" w:space="0"/>
              <w:bottom w:val="single" w:color="000000" w:themeColor="text1" w:sz="8" w:space="0"/>
            </w:tcBorders>
            <w:shd w:val="clear" w:color="auto" w:fill="6C6F70"/>
          </w:tcPr>
          <w:p w:rsidRPr="00F878AA" w:rsidR="0003266C" w:rsidP="00D024EB" w:rsidRDefault="0003266C" w14:paraId="7072394E" w14:textId="77777777">
            <w:pPr>
              <w:pStyle w:val="TableHeaderCenter"/>
              <w:rPr>
                <w:b/>
              </w:rPr>
            </w:pPr>
            <w:r>
              <w:rPr>
                <w:b/>
              </w:rPr>
              <w:t>Estimated Size of Universe</w:t>
            </w:r>
          </w:p>
        </w:tc>
        <w:tc>
          <w:tcPr>
            <w:tcW w:w="620" w:type="pct"/>
            <w:tcBorders>
              <w:top w:val="single" w:color="FFFFFF" w:themeColor="background1" w:sz="8" w:space="0"/>
              <w:bottom w:val="single" w:color="000000" w:themeColor="text1" w:sz="8" w:space="0"/>
            </w:tcBorders>
            <w:shd w:val="clear" w:color="auto" w:fill="6C6F70"/>
          </w:tcPr>
          <w:p w:rsidRPr="00F878AA" w:rsidR="0003266C" w:rsidP="00D024EB" w:rsidRDefault="0003266C" w14:paraId="690D53EE" w14:textId="77777777">
            <w:pPr>
              <w:pStyle w:val="TableHeaderCenter"/>
              <w:rPr>
                <w:b/>
              </w:rPr>
            </w:pPr>
            <w:r>
              <w:rPr>
                <w:b/>
              </w:rPr>
              <w:t xml:space="preserve">Expected Sample Size </w:t>
            </w:r>
          </w:p>
        </w:tc>
        <w:tc>
          <w:tcPr>
            <w:tcW w:w="743" w:type="pct"/>
            <w:tcBorders>
              <w:top w:val="single" w:color="FFFFFF" w:themeColor="background1" w:sz="8" w:space="0"/>
              <w:bottom w:val="single" w:color="000000" w:themeColor="text1" w:sz="8" w:space="0"/>
            </w:tcBorders>
            <w:shd w:val="clear" w:color="auto" w:fill="6C6F70"/>
          </w:tcPr>
          <w:p w:rsidRPr="00F878AA" w:rsidR="0003266C" w:rsidP="00D024EB" w:rsidRDefault="0003266C" w14:paraId="3F59AF32" w14:textId="77777777">
            <w:pPr>
              <w:pStyle w:val="TableHeaderCenter"/>
              <w:rPr>
                <w:b/>
              </w:rPr>
            </w:pPr>
            <w:r>
              <w:rPr>
                <w:b/>
              </w:rPr>
              <w:t>Sampling method</w:t>
            </w:r>
          </w:p>
        </w:tc>
      </w:tr>
      <w:tr w:rsidRPr="00AA795E" w:rsidR="0003266C" w:rsidTr="00D024EB" w14:paraId="18B906BA" w14:textId="77777777">
        <w:tc>
          <w:tcPr>
            <w:tcW w:w="5000" w:type="pct"/>
            <w:gridSpan w:val="5"/>
            <w:tcBorders>
              <w:top w:val="single" w:color="000000" w:themeColor="text1" w:sz="8" w:space="0"/>
            </w:tcBorders>
            <w:vAlign w:val="center"/>
          </w:tcPr>
          <w:p w:rsidR="0003266C" w:rsidP="00D024EB" w:rsidRDefault="0003266C" w14:paraId="7C7467A4" w14:textId="77777777">
            <w:pPr>
              <w:pStyle w:val="TableText"/>
              <w:spacing w:before="60" w:after="60"/>
              <w:rPr>
                <w:iCs/>
              </w:rPr>
            </w:pPr>
            <w:r>
              <w:rPr>
                <w:rFonts w:eastAsiaTheme="minorEastAsia"/>
                <w:szCs w:val="18"/>
              </w:rPr>
              <w:t>Scaling Apprenticeship grants</w:t>
            </w:r>
          </w:p>
        </w:tc>
      </w:tr>
      <w:tr w:rsidRPr="00AA795E" w:rsidR="0003266C" w:rsidTr="00D024EB" w14:paraId="5012A718" w14:textId="77777777">
        <w:tc>
          <w:tcPr>
            <w:tcW w:w="1005" w:type="pct"/>
            <w:tcBorders>
              <w:top w:val="single" w:color="000000" w:themeColor="text1" w:sz="8" w:space="0"/>
            </w:tcBorders>
            <w:vAlign w:val="center"/>
          </w:tcPr>
          <w:p w:rsidRPr="00AA795E" w:rsidR="0003266C" w:rsidP="00D024EB" w:rsidRDefault="0003266C" w14:paraId="0D43C2B3" w14:textId="77777777">
            <w:pPr>
              <w:pStyle w:val="TableText"/>
              <w:spacing w:before="60" w:after="60"/>
            </w:pPr>
            <w:r>
              <w:rPr>
                <w:rFonts w:eastAsiaTheme="minorEastAsia"/>
                <w:szCs w:val="18"/>
              </w:rPr>
              <w:t>Grantees</w:t>
            </w:r>
          </w:p>
        </w:tc>
        <w:tc>
          <w:tcPr>
            <w:tcW w:w="1868" w:type="pct"/>
            <w:tcBorders>
              <w:top w:val="single" w:color="000000" w:themeColor="text1" w:sz="8" w:space="0"/>
            </w:tcBorders>
            <w:vAlign w:val="center"/>
          </w:tcPr>
          <w:p w:rsidRPr="00AA795E" w:rsidR="0003266C" w:rsidP="00D024EB" w:rsidRDefault="0003266C" w14:paraId="7B90F82F" w14:textId="77777777">
            <w:pPr>
              <w:pStyle w:val="TableText"/>
              <w:spacing w:before="60" w:after="60"/>
              <w:rPr>
                <w:iCs/>
              </w:rPr>
            </w:pPr>
            <w:r>
              <w:rPr>
                <w:rFonts w:eastAsiaTheme="minorEastAsia"/>
                <w:color w:val="000000"/>
                <w:szCs w:val="18"/>
              </w:rPr>
              <w:t>A</w:t>
            </w:r>
            <w:r w:rsidRPr="00B638AB">
              <w:rPr>
                <w:rFonts w:eastAsiaTheme="minorEastAsia"/>
                <w:color w:val="000000"/>
                <w:szCs w:val="18"/>
              </w:rPr>
              <w:t>ll grantees and associated sub-grantees of the Scaling</w:t>
            </w:r>
            <w:r>
              <w:rPr>
                <w:rFonts w:eastAsiaTheme="minorEastAsia"/>
                <w:color w:val="000000"/>
                <w:szCs w:val="18"/>
              </w:rPr>
              <w:t xml:space="preserve"> </w:t>
            </w:r>
            <w:r w:rsidRPr="00B638AB">
              <w:rPr>
                <w:rFonts w:eastAsiaTheme="minorEastAsia"/>
                <w:color w:val="000000"/>
                <w:szCs w:val="18"/>
              </w:rPr>
              <w:t>Apprenticeship grants</w:t>
            </w:r>
            <w:r>
              <w:rPr>
                <w:rFonts w:eastAsiaTheme="minorEastAsia"/>
                <w:color w:val="000000"/>
                <w:szCs w:val="18"/>
              </w:rPr>
              <w:t xml:space="preserve"> </w:t>
            </w:r>
          </w:p>
        </w:tc>
        <w:tc>
          <w:tcPr>
            <w:tcW w:w="764" w:type="pct"/>
            <w:tcBorders>
              <w:top w:val="single" w:color="000000" w:themeColor="text1" w:sz="8" w:space="0"/>
            </w:tcBorders>
            <w:vAlign w:val="center"/>
          </w:tcPr>
          <w:p w:rsidRPr="00AA795E" w:rsidR="0003266C" w:rsidP="00D024EB" w:rsidRDefault="0003266C" w14:paraId="038E14E5" w14:textId="77777777">
            <w:pPr>
              <w:pStyle w:val="TableText"/>
              <w:spacing w:before="60" w:after="60"/>
              <w:jc w:val="center"/>
            </w:pPr>
            <w:r>
              <w:t>23</w:t>
            </w:r>
          </w:p>
        </w:tc>
        <w:tc>
          <w:tcPr>
            <w:tcW w:w="620" w:type="pct"/>
            <w:tcBorders>
              <w:top w:val="single" w:color="000000" w:themeColor="text1" w:sz="8" w:space="0"/>
            </w:tcBorders>
            <w:vAlign w:val="center"/>
          </w:tcPr>
          <w:p w:rsidRPr="00AA795E" w:rsidR="0003266C" w:rsidP="00D024EB" w:rsidRDefault="0003266C" w14:paraId="7CC4455E" w14:textId="77777777">
            <w:pPr>
              <w:pStyle w:val="TableText"/>
              <w:spacing w:before="60" w:after="60"/>
              <w:jc w:val="center"/>
            </w:pPr>
            <w:r>
              <w:rPr>
                <w:rFonts w:eastAsiaTheme="minorEastAsia"/>
                <w:color w:val="000000"/>
                <w:szCs w:val="18"/>
              </w:rPr>
              <w:t>5</w:t>
            </w:r>
          </w:p>
        </w:tc>
        <w:tc>
          <w:tcPr>
            <w:tcW w:w="743" w:type="pct"/>
            <w:tcBorders>
              <w:top w:val="single" w:color="000000" w:themeColor="text1" w:sz="8" w:space="0"/>
            </w:tcBorders>
            <w:vAlign w:val="center"/>
          </w:tcPr>
          <w:p w:rsidRPr="00AA795E" w:rsidR="0003266C" w:rsidP="00D024EB" w:rsidRDefault="0003266C" w14:paraId="10A61F7D" w14:textId="77777777">
            <w:pPr>
              <w:pStyle w:val="TableText"/>
              <w:spacing w:before="60" w:after="60"/>
              <w:jc w:val="center"/>
              <w:rPr>
                <w:iCs/>
              </w:rPr>
            </w:pPr>
            <w:r>
              <w:rPr>
                <w:iCs/>
              </w:rPr>
              <w:t>Purposive</w:t>
            </w:r>
          </w:p>
        </w:tc>
      </w:tr>
      <w:tr w:rsidRPr="00AA795E" w:rsidR="0003266C" w:rsidTr="00F95D4C" w14:paraId="44BE1160" w14:textId="77777777">
        <w:tc>
          <w:tcPr>
            <w:tcW w:w="1005" w:type="pct"/>
            <w:vAlign w:val="center"/>
          </w:tcPr>
          <w:p w:rsidRPr="00AA795E" w:rsidR="0003266C" w:rsidP="00D024EB" w:rsidRDefault="0003266C" w14:paraId="76A135C2" w14:textId="77777777">
            <w:pPr>
              <w:pStyle w:val="TableText"/>
              <w:spacing w:before="60" w:after="60"/>
            </w:pPr>
            <w:r>
              <w:rPr>
                <w:rFonts w:eastAsiaTheme="minorEastAsia"/>
                <w:szCs w:val="18"/>
              </w:rPr>
              <w:t>Participants</w:t>
            </w:r>
          </w:p>
        </w:tc>
        <w:tc>
          <w:tcPr>
            <w:tcW w:w="1868" w:type="pct"/>
            <w:vAlign w:val="center"/>
          </w:tcPr>
          <w:p w:rsidRPr="00AA795E" w:rsidR="0003266C" w:rsidP="00D024EB" w:rsidRDefault="0003266C" w14:paraId="21983EDA" w14:textId="77777777">
            <w:pPr>
              <w:pStyle w:val="TableText"/>
              <w:spacing w:before="60" w:after="60"/>
              <w:rPr>
                <w:iCs/>
              </w:rPr>
            </w:pPr>
            <w:r>
              <w:rPr>
                <w:rFonts w:eastAsiaTheme="minorEastAsia"/>
                <w:color w:val="000000"/>
                <w:szCs w:val="18"/>
              </w:rPr>
              <w:t xml:space="preserve">All eligible applicants within selected grantees </w:t>
            </w:r>
          </w:p>
        </w:tc>
        <w:tc>
          <w:tcPr>
            <w:tcW w:w="764" w:type="pct"/>
            <w:vAlign w:val="center"/>
          </w:tcPr>
          <w:p w:rsidRPr="00AA795E" w:rsidR="0003266C" w:rsidP="00D024EB" w:rsidRDefault="0003266C" w14:paraId="68AFEFE8" w14:textId="77777777">
            <w:pPr>
              <w:pStyle w:val="TableText"/>
              <w:spacing w:before="60" w:after="60"/>
              <w:jc w:val="center"/>
            </w:pPr>
            <w:r>
              <w:t>2,500</w:t>
            </w:r>
          </w:p>
        </w:tc>
        <w:tc>
          <w:tcPr>
            <w:tcW w:w="620" w:type="pct"/>
            <w:vAlign w:val="center"/>
          </w:tcPr>
          <w:p w:rsidRPr="00AA795E" w:rsidR="0003266C" w:rsidP="00D024EB" w:rsidRDefault="0003266C" w14:paraId="409398C2" w14:textId="77777777">
            <w:pPr>
              <w:pStyle w:val="TableText"/>
              <w:spacing w:before="60" w:after="60"/>
              <w:jc w:val="center"/>
            </w:pPr>
            <w:r>
              <w:rPr>
                <w:rFonts w:eastAsiaTheme="minorEastAsia"/>
                <w:color w:val="000000"/>
                <w:szCs w:val="18"/>
              </w:rPr>
              <w:t>2,500</w:t>
            </w:r>
          </w:p>
        </w:tc>
        <w:tc>
          <w:tcPr>
            <w:tcW w:w="743" w:type="pct"/>
            <w:vAlign w:val="center"/>
          </w:tcPr>
          <w:p w:rsidRPr="00AA795E" w:rsidR="0003266C" w:rsidP="00D024EB" w:rsidRDefault="0003266C" w14:paraId="79581F84" w14:textId="77777777">
            <w:pPr>
              <w:pStyle w:val="TableText"/>
              <w:spacing w:before="60" w:after="60"/>
              <w:jc w:val="center"/>
              <w:rPr>
                <w:iCs/>
              </w:rPr>
            </w:pPr>
            <w:r>
              <w:rPr>
                <w:rFonts w:eastAsiaTheme="minorEastAsia"/>
                <w:color w:val="000000"/>
                <w:szCs w:val="18"/>
              </w:rPr>
              <w:t>Universe of all eligible applicants</w:t>
            </w:r>
          </w:p>
        </w:tc>
      </w:tr>
      <w:tr w:rsidRPr="00AA795E" w:rsidR="0003266C" w:rsidTr="00F95D4C" w14:paraId="78F9EBF1" w14:textId="77777777">
        <w:tc>
          <w:tcPr>
            <w:tcW w:w="5000" w:type="pct"/>
            <w:gridSpan w:val="5"/>
            <w:tcBorders>
              <w:bottom w:val="single" w:color="auto" w:sz="4" w:space="0"/>
            </w:tcBorders>
            <w:vAlign w:val="center"/>
          </w:tcPr>
          <w:p w:rsidR="0003266C" w:rsidP="00D024EB" w:rsidRDefault="0003266C" w14:paraId="4AAD649E" w14:textId="77777777">
            <w:pPr>
              <w:pStyle w:val="TableText"/>
              <w:spacing w:before="60" w:after="60"/>
              <w:rPr>
                <w:rFonts w:eastAsiaTheme="minorEastAsia"/>
                <w:color w:val="000000"/>
                <w:szCs w:val="18"/>
              </w:rPr>
            </w:pPr>
            <w:r>
              <w:rPr>
                <w:rFonts w:eastAsiaTheme="minorEastAsia"/>
                <w:szCs w:val="18"/>
              </w:rPr>
              <w:t>Closing the Skills Gap grants</w:t>
            </w:r>
          </w:p>
        </w:tc>
      </w:tr>
      <w:tr w:rsidRPr="00AA795E" w:rsidR="0003266C" w:rsidTr="00F95D4C" w14:paraId="3EC03B04" w14:textId="77777777">
        <w:tc>
          <w:tcPr>
            <w:tcW w:w="1005" w:type="pct"/>
            <w:tcBorders>
              <w:top w:val="single" w:color="auto" w:sz="4" w:space="0"/>
            </w:tcBorders>
            <w:vAlign w:val="center"/>
          </w:tcPr>
          <w:p w:rsidR="0003266C" w:rsidP="00D024EB" w:rsidRDefault="0003266C" w14:paraId="26DD87FF" w14:textId="77777777">
            <w:pPr>
              <w:pStyle w:val="TableText"/>
              <w:spacing w:before="60" w:after="60"/>
              <w:rPr>
                <w:rFonts w:eastAsiaTheme="minorEastAsia"/>
                <w:szCs w:val="18"/>
              </w:rPr>
            </w:pPr>
            <w:r>
              <w:rPr>
                <w:rFonts w:eastAsiaTheme="minorEastAsia"/>
                <w:szCs w:val="18"/>
              </w:rPr>
              <w:t>Grantees</w:t>
            </w:r>
          </w:p>
        </w:tc>
        <w:tc>
          <w:tcPr>
            <w:tcW w:w="1868" w:type="pct"/>
            <w:tcBorders>
              <w:top w:val="single" w:color="auto" w:sz="4" w:space="0"/>
            </w:tcBorders>
            <w:vAlign w:val="center"/>
          </w:tcPr>
          <w:p w:rsidR="0003266C" w:rsidP="00D024EB" w:rsidRDefault="0003266C" w14:paraId="1BB6F677" w14:textId="77777777">
            <w:pPr>
              <w:pStyle w:val="TableText"/>
              <w:spacing w:before="60" w:after="60"/>
              <w:rPr>
                <w:rFonts w:eastAsiaTheme="minorEastAsia"/>
                <w:color w:val="000000"/>
                <w:szCs w:val="18"/>
              </w:rPr>
            </w:pPr>
            <w:r>
              <w:rPr>
                <w:rFonts w:eastAsiaTheme="minorEastAsia"/>
                <w:color w:val="000000"/>
                <w:szCs w:val="18"/>
              </w:rPr>
              <w:t>A</w:t>
            </w:r>
            <w:r w:rsidRPr="00B638AB">
              <w:rPr>
                <w:rFonts w:eastAsiaTheme="minorEastAsia"/>
                <w:color w:val="000000"/>
                <w:szCs w:val="18"/>
              </w:rPr>
              <w:t xml:space="preserve">ll grantees and associated sub-grantees of </w:t>
            </w:r>
            <w:r>
              <w:rPr>
                <w:rFonts w:eastAsiaTheme="minorEastAsia"/>
                <w:color w:val="000000"/>
                <w:szCs w:val="18"/>
              </w:rPr>
              <w:t xml:space="preserve">the </w:t>
            </w:r>
            <w:r w:rsidRPr="00B638AB">
              <w:rPr>
                <w:rFonts w:eastAsiaTheme="minorEastAsia"/>
                <w:color w:val="000000"/>
                <w:szCs w:val="18"/>
              </w:rPr>
              <w:t>Closing the Skills Gap grants</w:t>
            </w:r>
          </w:p>
        </w:tc>
        <w:tc>
          <w:tcPr>
            <w:tcW w:w="764" w:type="pct"/>
            <w:tcBorders>
              <w:top w:val="single" w:color="auto" w:sz="4" w:space="0"/>
            </w:tcBorders>
            <w:vAlign w:val="center"/>
          </w:tcPr>
          <w:p w:rsidR="0003266C" w:rsidP="00D024EB" w:rsidRDefault="0003266C" w14:paraId="5519E8E1" w14:textId="77777777">
            <w:pPr>
              <w:pStyle w:val="TableText"/>
              <w:spacing w:before="60" w:after="60"/>
              <w:jc w:val="center"/>
            </w:pPr>
            <w:r>
              <w:t>28</w:t>
            </w:r>
          </w:p>
        </w:tc>
        <w:tc>
          <w:tcPr>
            <w:tcW w:w="620" w:type="pct"/>
            <w:tcBorders>
              <w:top w:val="single" w:color="auto" w:sz="4" w:space="0"/>
            </w:tcBorders>
            <w:vAlign w:val="center"/>
          </w:tcPr>
          <w:p w:rsidR="0003266C" w:rsidP="00D024EB" w:rsidRDefault="0003266C" w14:paraId="5E07DBAC" w14:textId="77777777">
            <w:pPr>
              <w:pStyle w:val="TableText"/>
              <w:spacing w:before="60" w:after="60"/>
              <w:jc w:val="center"/>
              <w:rPr>
                <w:rFonts w:eastAsiaTheme="minorEastAsia"/>
                <w:color w:val="000000"/>
                <w:szCs w:val="18"/>
              </w:rPr>
            </w:pPr>
            <w:r>
              <w:rPr>
                <w:rFonts w:eastAsiaTheme="minorEastAsia"/>
                <w:color w:val="000000"/>
                <w:szCs w:val="18"/>
              </w:rPr>
              <w:t>5</w:t>
            </w:r>
          </w:p>
        </w:tc>
        <w:tc>
          <w:tcPr>
            <w:tcW w:w="743" w:type="pct"/>
            <w:tcBorders>
              <w:top w:val="single" w:color="auto" w:sz="4" w:space="0"/>
            </w:tcBorders>
            <w:vAlign w:val="center"/>
          </w:tcPr>
          <w:p w:rsidR="0003266C" w:rsidP="00D024EB" w:rsidRDefault="0003266C" w14:paraId="6E8350D0" w14:textId="77777777">
            <w:pPr>
              <w:pStyle w:val="TableText"/>
              <w:spacing w:before="60" w:after="60"/>
              <w:jc w:val="center"/>
              <w:rPr>
                <w:rFonts w:eastAsiaTheme="minorEastAsia"/>
                <w:color w:val="000000"/>
                <w:szCs w:val="18"/>
              </w:rPr>
            </w:pPr>
            <w:r>
              <w:rPr>
                <w:iCs/>
              </w:rPr>
              <w:t>Purposive</w:t>
            </w:r>
          </w:p>
        </w:tc>
      </w:tr>
      <w:tr w:rsidRPr="00AA795E" w:rsidR="0003266C" w:rsidTr="00D024EB" w14:paraId="33989F7E" w14:textId="77777777">
        <w:tc>
          <w:tcPr>
            <w:tcW w:w="1005" w:type="pct"/>
            <w:vAlign w:val="center"/>
          </w:tcPr>
          <w:p w:rsidR="0003266C" w:rsidP="00D024EB" w:rsidRDefault="0003266C" w14:paraId="6FA4E13E" w14:textId="77777777">
            <w:pPr>
              <w:pStyle w:val="TableText"/>
              <w:spacing w:before="60" w:after="60"/>
              <w:rPr>
                <w:rFonts w:eastAsiaTheme="minorEastAsia"/>
                <w:szCs w:val="18"/>
              </w:rPr>
            </w:pPr>
            <w:r>
              <w:rPr>
                <w:rFonts w:eastAsiaTheme="minorEastAsia"/>
                <w:szCs w:val="18"/>
              </w:rPr>
              <w:t>Participants</w:t>
            </w:r>
          </w:p>
        </w:tc>
        <w:tc>
          <w:tcPr>
            <w:tcW w:w="1868" w:type="pct"/>
            <w:vAlign w:val="center"/>
          </w:tcPr>
          <w:p w:rsidR="0003266C" w:rsidP="00D024EB" w:rsidRDefault="0003266C" w14:paraId="2361EABB" w14:textId="77777777">
            <w:pPr>
              <w:pStyle w:val="TableText"/>
              <w:spacing w:before="60" w:after="60"/>
              <w:rPr>
                <w:rFonts w:eastAsiaTheme="minorEastAsia"/>
                <w:color w:val="000000"/>
                <w:szCs w:val="18"/>
              </w:rPr>
            </w:pPr>
            <w:r>
              <w:rPr>
                <w:rFonts w:eastAsiaTheme="minorEastAsia"/>
                <w:color w:val="000000"/>
                <w:szCs w:val="18"/>
              </w:rPr>
              <w:t>All eligible applicants within selected grantees</w:t>
            </w:r>
          </w:p>
        </w:tc>
        <w:tc>
          <w:tcPr>
            <w:tcW w:w="764" w:type="pct"/>
            <w:vAlign w:val="center"/>
          </w:tcPr>
          <w:p w:rsidR="0003266C" w:rsidP="00D024EB" w:rsidRDefault="0003266C" w14:paraId="7E76CE4A" w14:textId="77777777">
            <w:pPr>
              <w:pStyle w:val="TableText"/>
              <w:spacing w:before="60" w:after="60"/>
              <w:jc w:val="center"/>
            </w:pPr>
            <w:r>
              <w:t>2,500</w:t>
            </w:r>
          </w:p>
        </w:tc>
        <w:tc>
          <w:tcPr>
            <w:tcW w:w="620" w:type="pct"/>
            <w:vAlign w:val="center"/>
          </w:tcPr>
          <w:p w:rsidR="0003266C" w:rsidP="00D024EB" w:rsidRDefault="0003266C" w14:paraId="2ED4DC3A" w14:textId="77777777">
            <w:pPr>
              <w:pStyle w:val="TableText"/>
              <w:spacing w:before="60" w:after="60"/>
              <w:jc w:val="center"/>
              <w:rPr>
                <w:rFonts w:eastAsiaTheme="minorEastAsia"/>
                <w:color w:val="000000"/>
                <w:szCs w:val="18"/>
              </w:rPr>
            </w:pPr>
            <w:r>
              <w:rPr>
                <w:rFonts w:eastAsiaTheme="minorEastAsia"/>
                <w:color w:val="000000"/>
                <w:szCs w:val="18"/>
              </w:rPr>
              <w:t>2,500</w:t>
            </w:r>
          </w:p>
        </w:tc>
        <w:tc>
          <w:tcPr>
            <w:tcW w:w="743" w:type="pct"/>
            <w:vAlign w:val="center"/>
          </w:tcPr>
          <w:p w:rsidR="0003266C" w:rsidP="00D024EB" w:rsidRDefault="0003266C" w14:paraId="371173EA" w14:textId="77777777">
            <w:pPr>
              <w:pStyle w:val="TableText"/>
              <w:spacing w:before="60" w:after="60"/>
              <w:jc w:val="center"/>
              <w:rPr>
                <w:rFonts w:eastAsiaTheme="minorEastAsia"/>
                <w:color w:val="000000"/>
                <w:szCs w:val="18"/>
              </w:rPr>
            </w:pPr>
            <w:r>
              <w:rPr>
                <w:rFonts w:eastAsiaTheme="minorEastAsia"/>
                <w:color w:val="000000"/>
                <w:szCs w:val="18"/>
              </w:rPr>
              <w:t>Universe of all eligible applicants</w:t>
            </w:r>
          </w:p>
        </w:tc>
      </w:tr>
    </w:tbl>
    <w:p w:rsidR="0003266C" w:rsidP="0003266C" w:rsidRDefault="0003266C" w14:paraId="012B6331" w14:textId="77777777">
      <w:pPr>
        <w:pStyle w:val="NormalSS"/>
        <w:spacing w:after="0"/>
      </w:pPr>
    </w:p>
    <w:p w:rsidR="0003266C" w:rsidP="00F95D4C" w:rsidRDefault="0003266C" w14:paraId="78890E0A" w14:textId="77777777">
      <w:pPr>
        <w:pStyle w:val="NormalSS"/>
        <w:numPr>
          <w:ilvl w:val="0"/>
          <w:numId w:val="98"/>
        </w:numPr>
        <w:spacing w:after="0"/>
        <w:rPr>
          <w:b/>
          <w:bCs/>
        </w:rPr>
      </w:pPr>
      <w:r w:rsidRPr="009A3878">
        <w:rPr>
          <w:b/>
          <w:bCs/>
        </w:rPr>
        <w:t>Response rates</w:t>
      </w:r>
    </w:p>
    <w:p w:rsidR="0003266C" w:rsidP="0003266C" w:rsidRDefault="0003266C" w14:paraId="3CEC7B2A" w14:textId="77777777">
      <w:pPr>
        <w:pStyle w:val="NormalSS"/>
        <w:spacing w:after="0"/>
        <w:ind w:left="795" w:firstLine="0"/>
        <w:rPr>
          <w:b/>
          <w:bCs/>
        </w:rPr>
      </w:pPr>
    </w:p>
    <w:p w:rsidR="00590187" w:rsidP="0003266C" w:rsidRDefault="0003266C" w14:paraId="1EAF4D41" w14:textId="573DBE11">
      <w:pPr>
        <w:pStyle w:val="NormalSS"/>
        <w:spacing w:after="0"/>
      </w:pPr>
      <w:r w:rsidRPr="009A3878">
        <w:rPr>
          <w:szCs w:val="24"/>
        </w:rPr>
        <w:lastRenderedPageBreak/>
        <w:t>Applicants eligible for study participation will only be enrolled in the study and randomly assigned if they complete the baseline survey and provide their identifying information as part of the intake process. Therefore, the project team anticipates that 100 percent of study participants will provide these data.</w:t>
      </w:r>
    </w:p>
    <w:p w:rsidR="00F933D6" w:rsidP="00C005FB" w:rsidRDefault="00F933D6" w14:paraId="282C657B" w14:textId="77777777">
      <w:pPr>
        <w:pStyle w:val="H3Alpha"/>
        <w:spacing w:after="0"/>
      </w:pPr>
    </w:p>
    <w:p w:rsidR="00590187" w:rsidP="00C005FB" w:rsidRDefault="00590187" w14:paraId="463370AF" w14:textId="66470364">
      <w:pPr>
        <w:pStyle w:val="H3Alpha"/>
        <w:spacing w:after="0"/>
      </w:pPr>
      <w:r w:rsidRPr="009018B3">
        <w:t>B.</w:t>
      </w:r>
      <w:r w:rsidR="00C11EE1">
        <w:t>I.</w:t>
      </w:r>
      <w:r w:rsidRPr="009018B3">
        <w:t>2. Procedures for the collection of information</w:t>
      </w:r>
    </w:p>
    <w:p w:rsidR="00F933D6" w:rsidP="00C005FB" w:rsidRDefault="00F933D6" w14:paraId="2E678D68" w14:textId="77777777">
      <w:pPr>
        <w:pStyle w:val="NormalSS"/>
        <w:spacing w:after="0"/>
      </w:pPr>
    </w:p>
    <w:p w:rsidRPr="00705516" w:rsidR="00590187" w:rsidP="00C005FB" w:rsidRDefault="00590187" w14:paraId="3E76BAA6" w14:textId="100A4FC9">
      <w:pPr>
        <w:pStyle w:val="NormalSS"/>
        <w:spacing w:after="0"/>
      </w:pPr>
      <w:r>
        <w:t xml:space="preserve">The evaluation team anticipates starting participant intake, randomization, and baseline data collection in April 2020. Grantee staff will use </w:t>
      </w:r>
      <w:r w:rsidRPr="00705516">
        <w:t>RAPTER®</w:t>
      </w:r>
      <w:r>
        <w:t xml:space="preserve"> to conduct participant intake</w:t>
      </w:r>
      <w:r w:rsidRPr="00705516">
        <w:t xml:space="preserve">. RAPTER® is a secure, web-based system that program staff will use to administer consent to participants, collect their identifying and contact information, </w:t>
      </w:r>
      <w:r>
        <w:t xml:space="preserve">and </w:t>
      </w:r>
      <w:r w:rsidRPr="00705516">
        <w:t>conduct random assignment</w:t>
      </w:r>
      <w:r>
        <w:t xml:space="preserve"> of study participants</w:t>
      </w:r>
      <w:r w:rsidRPr="00705516">
        <w:t>.</w:t>
      </w:r>
      <w:r>
        <w:t xml:space="preserve"> Participants completing the </w:t>
      </w:r>
      <w:r w:rsidR="00265C32">
        <w:t>15-minute</w:t>
      </w:r>
      <w:r>
        <w:t xml:space="preserve"> baseline survey via the web or program staff entering baseline survey information on behalf of participants will use the RAPTER® interface to complete baseline information, which will also be completed online. </w:t>
      </w:r>
      <w:r w:rsidR="00F4654B">
        <w:t>The evaluation team</w:t>
      </w:r>
      <w:r>
        <w:t xml:space="preserve"> will program RAPTER® to conduct random assignment within strata to ensure key population subgroups (such as special populations and those targeted for specific occupations) are balanced across the research conditions to improve precision of the impact estimates.</w:t>
      </w:r>
      <w:r w:rsidRPr="00705516">
        <w:t xml:space="preserve">  </w:t>
      </w:r>
    </w:p>
    <w:p w:rsidR="00F933D6" w:rsidP="00C005FB" w:rsidRDefault="00F933D6" w14:paraId="654A651F" w14:textId="77777777">
      <w:pPr>
        <w:pStyle w:val="H4Number"/>
        <w:spacing w:after="0"/>
        <w:rPr>
          <w:bCs/>
        </w:rPr>
      </w:pPr>
    </w:p>
    <w:p w:rsidR="00590187" w:rsidP="00217B66" w:rsidRDefault="00C11EE1" w14:paraId="6BE33A4F" w14:textId="30A13DF6">
      <w:pPr>
        <w:pStyle w:val="H5Lower"/>
      </w:pPr>
      <w:r>
        <w:t>a</w:t>
      </w:r>
      <w:r w:rsidR="00590187">
        <w:t xml:space="preserve">. </w:t>
      </w:r>
      <w:r w:rsidR="00590187">
        <w:tab/>
        <w:t>Estimation procedures</w:t>
      </w:r>
      <w:bookmarkEnd w:id="4"/>
      <w:r w:rsidRPr="009018B3" w:rsidDel="00781FAC" w:rsidR="00590187">
        <w:t xml:space="preserve"> </w:t>
      </w:r>
    </w:p>
    <w:p w:rsidR="00F933D6" w:rsidP="00C005FB" w:rsidRDefault="00F933D6" w14:paraId="24A42113" w14:textId="77777777">
      <w:pPr>
        <w:pStyle w:val="NormalSS"/>
        <w:spacing w:after="0"/>
      </w:pPr>
    </w:p>
    <w:p w:rsidR="00590187" w:rsidP="00C005FB" w:rsidRDefault="00590187" w14:paraId="0740D7E6" w14:textId="34139EB8">
      <w:pPr>
        <w:pStyle w:val="NormalSS"/>
        <w:spacing w:after="0"/>
      </w:pPr>
      <w:r>
        <w:t xml:space="preserve">With an experimental design, unbiased impact estimates can be obtained by comparing differences between the mean outcomes of the contrasted research groups. By using regression procedures that control for highly predictive covariates, however, </w:t>
      </w:r>
      <w:r w:rsidR="00F4654B">
        <w:t>the study</w:t>
      </w:r>
      <w:r>
        <w:t xml:space="preserve"> will improve the precision of estimates and adjust for small baseline differences between groups that may arise by chance or from survey nonresponse or missing administrative records data. </w:t>
      </w:r>
      <w:r w:rsidR="00F4654B">
        <w:t>The study</w:t>
      </w:r>
      <w:r>
        <w:t xml:space="preserve"> will estimate i</w:t>
      </w:r>
      <w:r w:rsidRPr="00352369">
        <w:t xml:space="preserve">mpacts not only for the full sample, but also for important subgroups defined by </w:t>
      </w:r>
      <w:r>
        <w:t>participant and</w:t>
      </w:r>
      <w:r w:rsidRPr="00352369">
        <w:t xml:space="preserve"> program characteristics</w:t>
      </w:r>
      <w:r>
        <w:t xml:space="preserve"> from the grant application and baseline survey</w:t>
      </w:r>
      <w:r w:rsidRPr="00352369">
        <w:t>.</w:t>
      </w:r>
      <w:r>
        <w:t xml:space="preserve"> The analysis will be conducted using the RCT-YES software program (</w:t>
      </w:r>
      <w:hyperlink w:history="1" r:id="rId11">
        <w:r w:rsidRPr="00170AB5">
          <w:rPr>
            <w:rStyle w:val="Hyperlink"/>
          </w:rPr>
          <w:t>www.rct-yes.com</w:t>
        </w:r>
      </w:hyperlink>
      <w:r>
        <w:t>) that uses state-of-the-art design-based impact estimators derived from the building blocks of experiments with minimal assumptions, and can estimate impacts for continuous, binary, and discrete outcomes.</w:t>
      </w:r>
      <w:r w:rsidRPr="00352369">
        <w:t xml:space="preserve"> </w:t>
      </w:r>
    </w:p>
    <w:p w:rsidR="00F933D6" w:rsidP="00FD0C72" w:rsidRDefault="00F933D6" w14:paraId="5AB02705" w14:textId="77777777">
      <w:pPr>
        <w:spacing w:line="240" w:lineRule="auto"/>
        <w:rPr>
          <w:b/>
          <w:bCs/>
          <w:i/>
        </w:rPr>
      </w:pPr>
    </w:p>
    <w:p w:rsidR="00590187" w:rsidP="00FD0C72" w:rsidRDefault="00590187" w14:paraId="5DA734F2" w14:textId="620999A1">
      <w:pPr>
        <w:spacing w:line="240" w:lineRule="auto"/>
      </w:pPr>
      <w:r>
        <w:rPr>
          <w:b/>
          <w:bCs/>
          <w:i/>
        </w:rPr>
        <w:t>Assessing baseline equivalence</w:t>
      </w:r>
      <w:r w:rsidRPr="00352369">
        <w:rPr>
          <w:b/>
          <w:bCs/>
        </w:rPr>
        <w:t>.</w:t>
      </w:r>
      <w:r w:rsidRPr="00352369">
        <w:t xml:space="preserve">  </w:t>
      </w:r>
      <w:r w:rsidR="00130E88">
        <w:t>Using data from the program application and baseline surveys, the study will conduct t-tests on each baseline measure in isolation to examine differences between the research groups due to random sampling. We will also conduct a joint F-test to assess the joint significance of the baseline differences. The analysis will control for baseline characteristics, correlated with the outcomes, to improve the precision of the estimates.</w:t>
      </w:r>
    </w:p>
    <w:p w:rsidRPr="00352369" w:rsidR="00590187" w:rsidP="00FD0C72" w:rsidRDefault="00590187" w14:paraId="72A71010" w14:textId="77777777">
      <w:pPr>
        <w:spacing w:line="240" w:lineRule="auto"/>
      </w:pPr>
    </w:p>
    <w:p w:rsidR="00590187" w:rsidP="00C005FB" w:rsidRDefault="00590187" w14:paraId="0E202216" w14:textId="35B7A696">
      <w:pPr>
        <w:spacing w:line="240" w:lineRule="auto"/>
      </w:pPr>
      <w:r w:rsidRPr="00352369">
        <w:rPr>
          <w:b/>
          <w:bCs/>
          <w:i/>
        </w:rPr>
        <w:t xml:space="preserve">Estimating </w:t>
      </w:r>
      <w:r>
        <w:rPr>
          <w:b/>
          <w:bCs/>
          <w:i/>
        </w:rPr>
        <w:t>i</w:t>
      </w:r>
      <w:r w:rsidRPr="00352369">
        <w:rPr>
          <w:b/>
          <w:bCs/>
          <w:i/>
        </w:rPr>
        <w:t xml:space="preserve">mpacts for the </w:t>
      </w:r>
      <w:r>
        <w:rPr>
          <w:b/>
          <w:bCs/>
          <w:i/>
        </w:rPr>
        <w:t>f</w:t>
      </w:r>
      <w:r w:rsidRPr="00352369">
        <w:rPr>
          <w:b/>
          <w:bCs/>
          <w:i/>
        </w:rPr>
        <w:t xml:space="preserve">ull </w:t>
      </w:r>
      <w:r>
        <w:rPr>
          <w:b/>
          <w:bCs/>
          <w:i/>
        </w:rPr>
        <w:t>s</w:t>
      </w:r>
      <w:r w:rsidRPr="00352369">
        <w:rPr>
          <w:b/>
          <w:bCs/>
          <w:i/>
        </w:rPr>
        <w:t>ample</w:t>
      </w:r>
      <w:r w:rsidRPr="00352369">
        <w:rPr>
          <w:b/>
          <w:bCs/>
        </w:rPr>
        <w:t>.</w:t>
      </w:r>
      <w:r w:rsidRPr="00352369">
        <w:t xml:space="preserve"> </w:t>
      </w:r>
      <w:r>
        <w:t xml:space="preserve">Assuming 10 sites, </w:t>
      </w:r>
      <w:r w:rsidR="00F4654B">
        <w:t>the</w:t>
      </w:r>
      <w:r w:rsidRPr="0035010D">
        <w:t xml:space="preserve"> benchmark model will be a regression in which an impact is calculated for each site, adjusted for students’ </w:t>
      </w:r>
      <w:r>
        <w:t xml:space="preserve">baseline </w:t>
      </w:r>
      <w:r w:rsidRPr="0035010D">
        <w:t>demographic characteristics</w:t>
      </w:r>
      <w:r>
        <w:t xml:space="preserve"> from the program application and baseline information forms</w:t>
      </w:r>
      <w:r w:rsidRPr="0035010D">
        <w:t>:</w:t>
      </w:r>
    </w:p>
    <w:p w:rsidR="00590187" w:rsidP="00C005FB" w:rsidRDefault="00A660EA" w14:paraId="01C86B9B" w14:textId="77777777">
      <w:pPr>
        <w:pStyle w:val="NormalSS"/>
        <w:spacing w:after="0"/>
        <w:ind w:firstLine="0"/>
        <w:jc w:val="center"/>
      </w:pPr>
      <m:oMathPara>
        <m:oMath>
          <m:d>
            <m:dPr>
              <m:ctrlPr>
                <w:rPr>
                  <w:rFonts w:ascii="Cambria Math" w:hAnsi="Cambria Math"/>
                  <w:i/>
                </w:rPr>
              </m:ctrlPr>
            </m:dPr>
            <m:e>
              <m:r>
                <w:rPr>
                  <w:rFonts w:ascii="Cambria Math" w:hAnsi="Cambria Math"/>
                </w:rPr>
                <m:t>1</m:t>
              </m:r>
            </m:e>
          </m:d>
          <m:r>
            <w:rPr>
              <w:rFonts w:ascii="Cambria Math" w:hAnsi="Cambria Math"/>
            </w:rPr>
            <m:t xml:space="preserve">       </m:t>
          </m:r>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m:t>
          </m:r>
          <m:nary>
            <m:naryPr>
              <m:chr m:val="∑"/>
              <m:limLoc m:val="undOvr"/>
              <m:ctrlPr>
                <w:rPr>
                  <w:rFonts w:ascii="Cambria Math" w:hAnsi="Cambria Math"/>
                  <w:i/>
                </w:rPr>
              </m:ctrlPr>
            </m:naryPr>
            <m:sub>
              <m:r>
                <w:rPr>
                  <w:rFonts w:ascii="Cambria Math" w:hAnsi="Cambria Math"/>
                </w:rPr>
                <m:t>k=1</m:t>
              </m:r>
            </m:sub>
            <m:sup>
              <m:r>
                <w:rPr>
                  <w:rFonts w:ascii="Cambria Math" w:hAnsi="Cambria Math"/>
                </w:rPr>
                <m:t>10</m:t>
              </m:r>
            </m:sup>
            <m:e>
              <m:sSub>
                <m:sSubPr>
                  <m:ctrlPr>
                    <w:rPr>
                      <w:rFonts w:ascii="Cambria Math" w:hAnsi="Cambria Math"/>
                      <w:i/>
                    </w:rPr>
                  </m:ctrlPr>
                </m:sSubPr>
                <m:e>
                  <m:r>
                    <w:rPr>
                      <w:rFonts w:ascii="Cambria Math" w:hAnsi="Cambria Math"/>
                    </w:rPr>
                    <m:t>β</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Block</m:t>
                  </m:r>
                </m:e>
                <m:sub>
                  <m:r>
                    <w:rPr>
                      <w:rFonts w:ascii="Cambria Math" w:hAnsi="Cambria Math"/>
                    </w:rPr>
                    <m:t>i,k</m:t>
                  </m:r>
                </m:sub>
              </m:sSub>
              <m:r>
                <w:rPr>
                  <w:rFonts w:ascii="Cambria Math" w:hAnsi="Cambria Math"/>
                </w:rPr>
                <m:t>+</m:t>
              </m:r>
              <m:nary>
                <m:naryPr>
                  <m:chr m:val="∑"/>
                  <m:limLoc m:val="undOvr"/>
                  <m:ctrlPr>
                    <w:rPr>
                      <w:rFonts w:ascii="Cambria Math" w:hAnsi="Cambria Math"/>
                      <w:i/>
                    </w:rPr>
                  </m:ctrlPr>
                </m:naryPr>
                <m:sub>
                  <m:r>
                    <w:rPr>
                      <w:rFonts w:ascii="Cambria Math" w:hAnsi="Cambria Math"/>
                    </w:rPr>
                    <m:t>k=1</m:t>
                  </m:r>
                </m:sub>
                <m:sup>
                  <m:r>
                    <w:rPr>
                      <w:rFonts w:ascii="Cambria Math" w:hAnsi="Cambria Math"/>
                    </w:rPr>
                    <m:t>10</m:t>
                  </m:r>
                </m:sup>
                <m:e>
                  <m:sSub>
                    <m:sSubPr>
                      <m:ctrlPr>
                        <w:rPr>
                          <w:rFonts w:ascii="Cambria Math" w:hAnsi="Cambria Math"/>
                          <w:i/>
                        </w:rPr>
                      </m:ctrlPr>
                    </m:sSubPr>
                    <m:e>
                      <m:r>
                        <w:rPr>
                          <w:rFonts w:ascii="Cambria Math" w:hAnsi="Cambria Math"/>
                        </w:rPr>
                        <m:t>δ</m:t>
                      </m:r>
                    </m:e>
                    <m:sub>
                      <m:r>
                        <w:rPr>
                          <w:rFonts w:ascii="Cambria Math" w:hAnsi="Cambria Math"/>
                        </w:rPr>
                        <m:t>k</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Treat</m:t>
                          </m:r>
                        </m:e>
                        <m:sub>
                          <m:r>
                            <w:rPr>
                              <w:rFonts w:ascii="Cambria Math" w:hAnsi="Cambria Math"/>
                            </w:rPr>
                            <m:t>i</m:t>
                          </m:r>
                        </m:sub>
                      </m:sSub>
                      <m:r>
                        <w:rPr>
                          <w:rFonts w:ascii="Cambria Math" w:hAnsi="Cambria Math"/>
                        </w:rPr>
                        <m:t>*Block</m:t>
                      </m:r>
                    </m:e>
                    <m:sub>
                      <m:r>
                        <w:rPr>
                          <w:rFonts w:ascii="Cambria Math" w:hAnsi="Cambria Math"/>
                        </w:rPr>
                        <m:t>i,k</m:t>
                      </m:r>
                    </m:sub>
                  </m:sSub>
                  <m:r>
                    <w:rPr>
                      <w:rFonts w:ascii="Cambria Math" w:hAnsi="Cambria Math"/>
                    </w:rPr>
                    <m:t>+γ*</m:t>
                  </m:r>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i</m:t>
                      </m:r>
                    </m:sub>
                  </m:sSub>
                  <m:r>
                    <w:rPr>
                      <w:rFonts w:ascii="Cambria Math" w:hAnsi="Cambria Math"/>
                    </w:rPr>
                    <m:t xml:space="preserve">,  </m:t>
                  </m:r>
                </m:e>
              </m:nary>
            </m:e>
          </m:nary>
        </m:oMath>
      </m:oMathPara>
    </w:p>
    <w:p w:rsidR="00590187" w:rsidP="00C005FB" w:rsidRDefault="00590187" w14:paraId="00D4C2F9" w14:textId="1F326BD5">
      <w:pPr>
        <w:pStyle w:val="NormalSS"/>
        <w:spacing w:after="0"/>
        <w:ind w:firstLine="0"/>
      </w:pPr>
      <w:r>
        <w:lastRenderedPageBreak/>
        <w:t>where</w:t>
      </w:r>
      <w:r w:rsidRPr="00E7310B">
        <w:rPr>
          <w:position w:val="-12"/>
        </w:rPr>
        <w:object w:dxaOrig="240" w:dyaOrig="360" w14:anchorId="3BFE97C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2.75pt;height:18.75pt" o:ole="" type="#_x0000_t75">
            <v:imagedata o:title="" r:id="rId12"/>
          </v:shape>
          <o:OLEObject Type="Embed" ProgID="Equation.DSMT4" ShapeID="_x0000_i1025" DrawAspect="Content" ObjectID="_1657096098" r:id="rId13"/>
        </w:object>
      </w:r>
      <w:r>
        <w:t xml:space="preserve"> is the outcome of worker </w:t>
      </w:r>
      <w:r w:rsidRPr="00E7310B">
        <w:rPr>
          <w:position w:val="-6"/>
        </w:rPr>
        <w:object w:dxaOrig="139" w:dyaOrig="260" w14:anchorId="311068E8">
          <v:shape id="_x0000_i1026" style="width:7.5pt;height:13.5pt" o:ole="" type="#_x0000_t75">
            <v:imagedata o:title="" r:id="rId14"/>
          </v:shape>
          <o:OLEObject Type="Embed" ProgID="Equation.DSMT4" ShapeID="_x0000_i1026" DrawAspect="Content" ObjectID="_1657096099" r:id="rId15"/>
        </w:object>
      </w:r>
      <w:r>
        <w:t xml:space="preserve">;  </w:t>
      </w:r>
      <w:r w:rsidRPr="00E7310B">
        <w:rPr>
          <w:position w:val="-14"/>
        </w:rPr>
        <w:object w:dxaOrig="1140" w:dyaOrig="380" w14:anchorId="5D95630C">
          <v:shape id="_x0000_i1027" style="width:57pt;height:19.5pt" o:ole="" type="#_x0000_t75">
            <v:imagedata o:title="" r:id="rId16"/>
          </v:shape>
          <o:OLEObject Type="Embed" ProgID="Equation.DSMT4" ShapeID="_x0000_i1027" DrawAspect="Content" ObjectID="_1657096100" r:id="rId17"/>
        </w:object>
      </w:r>
      <w:r>
        <w:t xml:space="preserve"> for a worker in site </w:t>
      </w:r>
      <w:r w:rsidRPr="00E7310B">
        <w:rPr>
          <w:position w:val="-6"/>
        </w:rPr>
        <w:object w:dxaOrig="200" w:dyaOrig="279" w14:anchorId="4705AA3C">
          <v:shape id="_x0000_i1028" style="width:9.75pt;height:13.5pt" o:ole="" type="#_x0000_t75">
            <v:imagedata o:title="" r:id="rId18"/>
          </v:shape>
          <o:OLEObject Type="Embed" ProgID="Equation.DSMT4" ShapeID="_x0000_i1028" DrawAspect="Content" ObjectID="_1657096101" r:id="rId19"/>
        </w:object>
      </w:r>
      <w:r>
        <w:t xml:space="preserve"> and 0 otherwise; </w:t>
      </w:r>
      <w:r w:rsidRPr="00E7310B">
        <w:rPr>
          <w:position w:val="-12"/>
        </w:rPr>
        <w:object w:dxaOrig="960" w:dyaOrig="360" w14:anchorId="3F60A8B2">
          <v:shape id="_x0000_i1029" style="width:48pt;height:18.75pt" o:ole="" type="#_x0000_t75">
            <v:imagedata o:title="" r:id="rId20"/>
          </v:shape>
          <o:OLEObject Type="Embed" ProgID="Equation.DSMT4" ShapeID="_x0000_i1029" DrawAspect="Content" ObjectID="_1657096102" r:id="rId21"/>
        </w:object>
      </w:r>
      <w:r>
        <w:t xml:space="preserve"> for treatment students offered program services and 0 for controls; </w:t>
      </w:r>
      <w:r w:rsidRPr="00E7310B">
        <w:rPr>
          <w:position w:val="-12"/>
        </w:rPr>
        <w:object w:dxaOrig="300" w:dyaOrig="360" w14:anchorId="7A3499E4">
          <v:shape id="_x0000_i1030" style="width:15pt;height:18.75pt" o:ole="" type="#_x0000_t75">
            <v:imagedata o:title="" r:id="rId22"/>
          </v:shape>
          <o:OLEObject Type="Embed" ProgID="Equation.DSMT4" ShapeID="_x0000_i1030" DrawAspect="Content" ObjectID="_1657096103" r:id="rId23"/>
        </w:object>
      </w:r>
      <w:r>
        <w:t xml:space="preserve"> are baseline </w:t>
      </w:r>
      <w:r w:rsidRPr="00BC64BB">
        <w:t>characteristics</w:t>
      </w:r>
      <w:r>
        <w:t xml:space="preserve">; </w:t>
      </w:r>
      <w:r w:rsidRPr="00DD419C">
        <w:rPr>
          <w:position w:val="-12"/>
        </w:rPr>
        <w:object w:dxaOrig="240" w:dyaOrig="360" w14:anchorId="4F00A8E1">
          <v:shape id="_x0000_i1031" style="width:12.75pt;height:18.75pt" o:ole="" type="#_x0000_t75">
            <v:imagedata o:title="" r:id="rId24"/>
          </v:shape>
          <o:OLEObject Type="Embed" ProgID="Equation.DSMT4" ShapeID="_x0000_i1031" DrawAspect="Content" ObjectID="_1657096104" r:id="rId25"/>
        </w:object>
      </w:r>
      <w:r>
        <w:t xml:space="preserve"> is the error term</w:t>
      </w:r>
      <w:r>
        <w:rPr>
          <w:iCs/>
        </w:rPr>
        <w:t xml:space="preserve">; and </w:t>
      </w:r>
      <w:r w:rsidRPr="00624496">
        <w:rPr>
          <w:position w:val="-12"/>
        </w:rPr>
        <w:object w:dxaOrig="700" w:dyaOrig="360" w14:anchorId="675B8CB0">
          <v:shape id="_x0000_i1032" style="width:35.25pt;height:18.75pt" o:ole="" type="#_x0000_t75">
            <v:imagedata o:title="" r:id="rId26"/>
          </v:shape>
          <o:OLEObject Type="Embed" ProgID="Equation.DSMT4" ShapeID="_x0000_i1032" DrawAspect="Content" ObjectID="_1657096105" r:id="rId27"/>
        </w:object>
      </w:r>
      <w:r>
        <w:t xml:space="preserve"> </w:t>
      </w:r>
      <w:proofErr w:type="spellStart"/>
      <w:r>
        <w:t>and</w:t>
      </w:r>
      <w:proofErr w:type="spellEnd"/>
      <w:r>
        <w:t xml:space="preserve"> </w:t>
      </w:r>
      <w:r w:rsidRPr="00624496">
        <w:rPr>
          <w:position w:val="-10"/>
        </w:rPr>
        <w:object w:dxaOrig="200" w:dyaOrig="260" w14:anchorId="3E312AAF">
          <v:shape id="_x0000_i1033" style="width:9.75pt;height:13.5pt" o:ole="" type="#_x0000_t75">
            <v:imagedata o:title="" r:id="rId28"/>
          </v:shape>
          <o:OLEObject Type="Embed" ProgID="Equation.DSMT4" ShapeID="_x0000_i1033" DrawAspect="Content" ObjectID="_1657096106" r:id="rId29"/>
        </w:object>
      </w:r>
      <w:r>
        <w:rPr>
          <w:iCs/>
        </w:rPr>
        <w:t xml:space="preserve"> are parameters to be estimated.</w:t>
      </w:r>
      <w:r>
        <w:t xml:space="preserve"> </w:t>
      </w:r>
      <w:r w:rsidR="00130E88">
        <w:t>We will select the baseline covariates that are correlated with the outcomes using Least Absolute Shrinkage and Selection Operator (lasso) procedures (</w:t>
      </w:r>
      <w:proofErr w:type="spellStart"/>
      <w:r w:rsidR="00130E88">
        <w:t>Tibshirani</w:t>
      </w:r>
      <w:proofErr w:type="spellEnd"/>
      <w:r w:rsidR="00130E88">
        <w:t>, 1996; Hastie et al., 2009) that avoid model overfitting.</w:t>
      </w:r>
      <w:r>
        <w:rPr>
          <w:i/>
          <w:iCs/>
        </w:rPr>
        <w:t xml:space="preserve"> </w:t>
      </w:r>
    </w:p>
    <w:p w:rsidR="00260ADB" w:rsidP="00C005FB" w:rsidRDefault="00260ADB" w14:paraId="62298788" w14:textId="77777777">
      <w:pPr>
        <w:pStyle w:val="NormalSS"/>
        <w:spacing w:after="0"/>
      </w:pPr>
    </w:p>
    <w:p w:rsidR="00590187" w:rsidP="00C005FB" w:rsidRDefault="00590187" w14:paraId="7D487DA2" w14:textId="524F2DBA">
      <w:pPr>
        <w:pStyle w:val="NormalSS"/>
        <w:spacing w:after="0"/>
      </w:pPr>
      <w:r w:rsidRPr="0035010D">
        <w:t xml:space="preserve">The average impact of </w:t>
      </w:r>
      <w:r>
        <w:t>the tested intervention across grant programs</w:t>
      </w:r>
      <w:r w:rsidRPr="0035010D">
        <w:t xml:space="preserve"> is</w:t>
      </w:r>
      <w:r>
        <w:t xml:space="preserve"> </w:t>
      </w:r>
      <w:r w:rsidRPr="00624496">
        <w:rPr>
          <w:position w:val="-16"/>
        </w:rPr>
        <w:object w:dxaOrig="1160" w:dyaOrig="460" w14:anchorId="7F3F40E1">
          <v:shape id="_x0000_i1034" style="width:58.5pt;height:22.5pt" o:ole="" type="#_x0000_t75">
            <v:imagedata o:title="" r:id="rId30"/>
          </v:shape>
          <o:OLEObject Type="Embed" ProgID="Equation.DSMT4" ShapeID="_x0000_i1034" DrawAspect="Content" ObjectID="_1657096107" r:id="rId31"/>
        </w:object>
      </w:r>
      <w:r w:rsidRPr="0035010D">
        <w:t>.</w:t>
      </w:r>
      <w:r>
        <w:t xml:space="preserve"> </w:t>
      </w:r>
      <w:r w:rsidR="00F4654B">
        <w:t>The study</w:t>
      </w:r>
      <w:r>
        <w:t xml:space="preserve"> will assess d</w:t>
      </w:r>
      <w:r w:rsidRPr="0035010D">
        <w:t>ifferences in impacts across s</w:t>
      </w:r>
      <w:r>
        <w:t>ites</w:t>
      </w:r>
      <w:r w:rsidRPr="0035010D">
        <w:t xml:space="preserve"> using a joint F-test of the site-level impacts (</w:t>
      </w:r>
      <w:r w:rsidRPr="0035010D">
        <w:rPr>
          <w:i/>
        </w:rPr>
        <w:sym w:font="Symbol" w:char="F064"/>
      </w:r>
      <w:r w:rsidRPr="0035010D">
        <w:rPr>
          <w:i/>
          <w:vertAlign w:val="subscript"/>
        </w:rPr>
        <w:t>k</w:t>
      </w:r>
      <w:r w:rsidRPr="0035010D">
        <w:t>) and by comparing them to each other.</w:t>
      </w:r>
      <w:r>
        <w:t xml:space="preserve"> </w:t>
      </w:r>
      <w:r w:rsidR="00F4654B">
        <w:t>The study</w:t>
      </w:r>
      <w:r w:rsidRPr="00EF1C31">
        <w:t xml:space="preserve"> will also </w:t>
      </w:r>
      <w:r>
        <w:t xml:space="preserve">explore the extent to which the results are sensitive to different weighting schemes, where for example, </w:t>
      </w:r>
      <w:r w:rsidRPr="00EF1C31">
        <w:t xml:space="preserve">each sample member </w:t>
      </w:r>
      <w:r>
        <w:t xml:space="preserve">is weighted </w:t>
      </w:r>
      <w:r w:rsidRPr="00EF1C31">
        <w:t xml:space="preserve">equally, or </w:t>
      </w:r>
      <w:r>
        <w:t xml:space="preserve">each site is </w:t>
      </w:r>
      <w:r w:rsidRPr="00EF1C31">
        <w:t>weight</w:t>
      </w:r>
      <w:r>
        <w:t>ed</w:t>
      </w:r>
      <w:r w:rsidRPr="00EF1C31">
        <w:t xml:space="preserve"> according to the size of the program eligible population</w:t>
      </w:r>
      <w:r>
        <w:t>. All</w:t>
      </w:r>
      <w:r w:rsidRPr="00EF1C31">
        <w:t xml:space="preserve"> </w:t>
      </w:r>
      <w:r>
        <w:t xml:space="preserve">weighting schemes </w:t>
      </w:r>
      <w:r w:rsidRPr="00EF1C31">
        <w:t>are valid approaches but will provide slightly different estimates if grantees are of different sizes</w:t>
      </w:r>
      <w:r>
        <w:t xml:space="preserve"> and have heterogeneous impacts</w:t>
      </w:r>
      <w:r w:rsidRPr="00EF1C31">
        <w:t xml:space="preserve">. </w:t>
      </w:r>
      <w:r w:rsidR="00F4654B">
        <w:t>The study</w:t>
      </w:r>
      <w:r>
        <w:t xml:space="preserve"> will account for missing data on baseline covariates using multiple imputation procedures with chained equations and predictive mean matching.</w:t>
      </w:r>
    </w:p>
    <w:p w:rsidR="00260ADB" w:rsidP="00C005FB" w:rsidRDefault="00260ADB" w14:paraId="0B38AD5A" w14:textId="77777777">
      <w:pPr>
        <w:pStyle w:val="NormalSS"/>
        <w:spacing w:after="0"/>
      </w:pPr>
    </w:p>
    <w:p w:rsidRPr="002C03FB" w:rsidR="00590187" w:rsidP="00C005FB" w:rsidRDefault="00F4654B" w14:paraId="6108A302" w14:textId="2D566595">
      <w:pPr>
        <w:pStyle w:val="NormalSS"/>
        <w:spacing w:after="0"/>
        <w:rPr>
          <w:szCs w:val="24"/>
        </w:rPr>
      </w:pPr>
      <w:r>
        <w:rPr>
          <w:szCs w:val="24"/>
        </w:rPr>
        <w:t>The study</w:t>
      </w:r>
      <w:r w:rsidRPr="002C03FB" w:rsidR="00590187">
        <w:rPr>
          <w:szCs w:val="24"/>
        </w:rPr>
        <w:t xml:space="preserve"> will interpret the impact estimates by conducting both classical significance testing and a Bayesian approach, where </w:t>
      </w:r>
      <w:r>
        <w:rPr>
          <w:szCs w:val="24"/>
        </w:rPr>
        <w:t>the study</w:t>
      </w:r>
      <w:r w:rsidRPr="002C03FB" w:rsidR="00590187">
        <w:rPr>
          <w:szCs w:val="24"/>
        </w:rPr>
        <w:t xml:space="preserve"> will report the probability that the intervention had positive effects given our findings (a Bayesian posterior probability). The Bayesian approach reduces the chance of misinterpreting </w:t>
      </w:r>
      <w:r w:rsidRPr="002C03FB" w:rsidR="00590187">
        <w:rPr>
          <w:i/>
          <w:iCs/>
          <w:szCs w:val="24"/>
        </w:rPr>
        <w:t>p</w:t>
      </w:r>
      <w:r w:rsidRPr="002C03FB" w:rsidR="00590187">
        <w:rPr>
          <w:szCs w:val="24"/>
        </w:rPr>
        <w:t>-values and statistical significance findings while providing credible, understandable assessments of program effectiveness.</w:t>
      </w:r>
    </w:p>
    <w:p w:rsidR="00F933D6" w:rsidP="00C005FB" w:rsidRDefault="00F933D6" w14:paraId="73FAB942" w14:textId="77777777">
      <w:pPr>
        <w:pStyle w:val="NormalSS"/>
        <w:spacing w:after="0"/>
        <w:rPr>
          <w:b/>
          <w:bCs/>
          <w:i/>
        </w:rPr>
      </w:pPr>
    </w:p>
    <w:p w:rsidR="00590187" w:rsidP="00C005FB" w:rsidRDefault="00590187" w14:paraId="236277CB" w14:textId="0FB39236">
      <w:pPr>
        <w:pStyle w:val="NormalSS"/>
        <w:spacing w:after="0"/>
      </w:pPr>
      <w:r w:rsidRPr="00352369">
        <w:rPr>
          <w:b/>
          <w:bCs/>
          <w:i/>
        </w:rPr>
        <w:t xml:space="preserve">Estimating </w:t>
      </w:r>
      <w:r>
        <w:rPr>
          <w:b/>
          <w:bCs/>
          <w:i/>
        </w:rPr>
        <w:t>i</w:t>
      </w:r>
      <w:r w:rsidRPr="00352369">
        <w:rPr>
          <w:b/>
          <w:bCs/>
          <w:i/>
        </w:rPr>
        <w:t xml:space="preserve">mpacts for </w:t>
      </w:r>
      <w:r>
        <w:rPr>
          <w:b/>
          <w:bCs/>
          <w:i/>
        </w:rPr>
        <w:t>s</w:t>
      </w:r>
      <w:r w:rsidRPr="00352369">
        <w:rPr>
          <w:b/>
          <w:bCs/>
          <w:i/>
        </w:rPr>
        <w:t>ubgroups</w:t>
      </w:r>
      <w:r w:rsidRPr="00352369">
        <w:rPr>
          <w:b/>
          <w:bCs/>
        </w:rPr>
        <w:t>.</w:t>
      </w:r>
      <w:r w:rsidRPr="00352369">
        <w:rPr>
          <w:b/>
          <w:bCs/>
          <w:i/>
          <w:iCs/>
        </w:rPr>
        <w:t xml:space="preserve"> </w:t>
      </w:r>
      <w:r w:rsidRPr="00435DDA">
        <w:t xml:space="preserve">These same analytic methods </w:t>
      </w:r>
      <w:r>
        <w:t xml:space="preserve">for the full sample </w:t>
      </w:r>
      <w:r w:rsidRPr="00435DDA">
        <w:t xml:space="preserve">can be used to obtain impact estimates for </w:t>
      </w:r>
      <w:r>
        <w:t>t</w:t>
      </w:r>
      <w:r w:rsidR="000F349B">
        <w:t>wo</w:t>
      </w:r>
      <w:r>
        <w:t xml:space="preserve"> types of </w:t>
      </w:r>
      <w:r w:rsidRPr="00435DDA">
        <w:t>subgroups</w:t>
      </w:r>
      <w:r>
        <w:t xml:space="preserve"> to </w:t>
      </w:r>
      <w:r w:rsidRPr="00352369">
        <w:t xml:space="preserve">address the question of whether access to </w:t>
      </w:r>
      <w:r>
        <w:t xml:space="preserve">grantee </w:t>
      </w:r>
      <w:r w:rsidRPr="00352369">
        <w:t>services is more effective for some subgroups than others</w:t>
      </w:r>
      <w:r>
        <w:t xml:space="preserve">. First, </w:t>
      </w:r>
      <w:r w:rsidR="00F4654B">
        <w:t>the study</w:t>
      </w:r>
      <w:r>
        <w:t xml:space="preserve"> will estimate impacts for subgroups </w:t>
      </w:r>
      <w:r w:rsidRPr="00435DDA">
        <w:t xml:space="preserve">defined by </w:t>
      </w:r>
      <w:r>
        <w:t xml:space="preserve">worker characteristics </w:t>
      </w:r>
      <w:r w:rsidRPr="00435DDA">
        <w:t xml:space="preserve">(for example, age, prior </w:t>
      </w:r>
      <w:r>
        <w:t>employment experiences, special populations</w:t>
      </w:r>
      <w:r w:rsidRPr="00435DDA">
        <w:t xml:space="preserve">) </w:t>
      </w:r>
      <w:r>
        <w:t xml:space="preserve">defined from the program application and baseline surveys. Second, </w:t>
      </w:r>
      <w:r w:rsidR="00F4654B">
        <w:t>the study</w:t>
      </w:r>
      <w:r>
        <w:t xml:space="preserve"> will estimate impacts for subgroups defined by key </w:t>
      </w:r>
      <w:r w:rsidRPr="00435DDA">
        <w:t>program features</w:t>
      </w:r>
      <w:r>
        <w:t xml:space="preserve"> obtained from the implementation analysis (separate ICR).</w:t>
      </w:r>
    </w:p>
    <w:p w:rsidR="00260ADB" w:rsidP="00C005FB" w:rsidRDefault="00260ADB" w14:paraId="0C06CF5F" w14:textId="77777777">
      <w:pPr>
        <w:pStyle w:val="NormalSS"/>
        <w:spacing w:after="0"/>
      </w:pPr>
    </w:p>
    <w:p w:rsidR="00590187" w:rsidP="00C005FB" w:rsidRDefault="00590187" w14:paraId="139A6816" w14:textId="3834F605">
      <w:pPr>
        <w:pStyle w:val="NormalSS"/>
        <w:spacing w:after="0"/>
      </w:pPr>
      <w:r w:rsidRPr="00352369">
        <w:t xml:space="preserve">Impacts for </w:t>
      </w:r>
      <w:r>
        <w:t>s</w:t>
      </w:r>
      <w:r w:rsidRPr="00352369">
        <w:t>ubgroup</w:t>
      </w:r>
      <w:r>
        <w:t>s</w:t>
      </w:r>
      <w:r w:rsidRPr="00352369">
        <w:t xml:space="preserve"> will be estimated using a straightforward modification to </w:t>
      </w:r>
      <w:r>
        <w:t>E</w:t>
      </w:r>
      <w:r w:rsidRPr="00352369">
        <w:t>quation (</w:t>
      </w:r>
      <w:r>
        <w:t>1</w:t>
      </w:r>
      <w:r w:rsidRPr="00352369">
        <w:t xml:space="preserve">), where </w:t>
      </w:r>
      <w:r>
        <w:t xml:space="preserve">the model includes terms formed by interacting subgroup indicators with the treatment status indicator variable </w:t>
      </w:r>
      <w:r w:rsidRPr="00352369">
        <w:t xml:space="preserve">and using </w:t>
      </w:r>
      <w:r w:rsidRPr="00352369">
        <w:rPr>
          <w:i/>
          <w:iCs/>
        </w:rPr>
        <w:t>F</w:t>
      </w:r>
      <w:r w:rsidRPr="00352369">
        <w:t xml:space="preserve">-tests to assess whether differences in impacts across subgroup levels are statistically significant. </w:t>
      </w:r>
      <w:r w:rsidRPr="0035010D">
        <w:t xml:space="preserve">In addition, </w:t>
      </w:r>
      <w:r>
        <w:t xml:space="preserve">for the second set of program-related subgroups, </w:t>
      </w:r>
      <w:r w:rsidRPr="0035010D">
        <w:t xml:space="preserve">Equation (1) can be reformulated to be the first level of a multi-level model or hierarchical linear model (HLM).  In the second level, </w:t>
      </w:r>
      <w:r w:rsidR="00F4654B">
        <w:t>the study</w:t>
      </w:r>
      <w:r w:rsidRPr="0035010D">
        <w:t xml:space="preserve"> can regress the estimated impact of each </w:t>
      </w:r>
      <w:r>
        <w:t>site</w:t>
      </w:r>
      <w:r w:rsidRPr="0035010D">
        <w:t xml:space="preserve"> (</w:t>
      </w:r>
      <w:r w:rsidRPr="0035010D">
        <w:rPr>
          <w:i/>
        </w:rPr>
        <w:sym w:font="Symbol" w:char="F064"/>
      </w:r>
      <w:r w:rsidRPr="0035010D">
        <w:rPr>
          <w:i/>
          <w:vertAlign w:val="subscript"/>
        </w:rPr>
        <w:t>k</w:t>
      </w:r>
      <w:r w:rsidRPr="0035010D">
        <w:t xml:space="preserve">) on </w:t>
      </w:r>
      <w:r>
        <w:t>key program</w:t>
      </w:r>
      <w:r w:rsidRPr="0035010D">
        <w:t xml:space="preserve"> characteristics obtained from the implementation analysis, including key </w:t>
      </w:r>
      <w:r>
        <w:t xml:space="preserve">components, </w:t>
      </w:r>
      <w:r w:rsidRPr="0035010D">
        <w:t>practices</w:t>
      </w:r>
      <w:r>
        <w:t>,</w:t>
      </w:r>
      <w:r w:rsidRPr="0035010D">
        <w:t xml:space="preserve"> and policies, to </w:t>
      </w:r>
      <w:r>
        <w:t xml:space="preserve">help identify promising innovations for future development of apprenticeship programs. </w:t>
      </w:r>
    </w:p>
    <w:p w:rsidR="00F933D6" w:rsidP="00C005FB" w:rsidRDefault="00F933D6" w14:paraId="4BBA8E83" w14:textId="77777777">
      <w:pPr>
        <w:pStyle w:val="NormalSS"/>
        <w:spacing w:after="0"/>
      </w:pPr>
    </w:p>
    <w:p w:rsidRPr="00CB1304" w:rsidR="00590187" w:rsidP="00FD0C72" w:rsidRDefault="00590187" w14:paraId="2597D675" w14:textId="77777777">
      <w:pPr>
        <w:spacing w:line="240" w:lineRule="auto"/>
      </w:pPr>
      <w:r w:rsidRPr="00C33918">
        <w:rPr>
          <w:b/>
          <w:i/>
        </w:rPr>
        <w:t>Accounting for survey nonresponse.</w:t>
      </w:r>
      <w:r>
        <w:t xml:space="preserve">  A future OMB package will request clearance for the 12- and 30-month follow-up surveys for the evaluation. However, baseline survey and program application data will be used to assess and correct for potential follow-up s</w:t>
      </w:r>
      <w:r w:rsidRPr="00352369">
        <w:t>urvey nonresponse</w:t>
      </w:r>
      <w:r>
        <w:t>, which</w:t>
      </w:r>
      <w:r w:rsidRPr="00352369">
        <w:t xml:space="preserve"> </w:t>
      </w:r>
      <w:r>
        <w:t xml:space="preserve">could </w:t>
      </w:r>
      <w:r w:rsidRPr="00352369">
        <w:t xml:space="preserve">bias </w:t>
      </w:r>
      <w:r>
        <w:t xml:space="preserve">the </w:t>
      </w:r>
      <w:r w:rsidRPr="00352369">
        <w:t xml:space="preserve">impact estimates if outcomes of survey respondents and </w:t>
      </w:r>
      <w:proofErr w:type="spellStart"/>
      <w:r w:rsidRPr="00352369">
        <w:t>nonrespondents</w:t>
      </w:r>
      <w:proofErr w:type="spellEnd"/>
      <w:r w:rsidRPr="00352369">
        <w:t xml:space="preserve"> </w:t>
      </w:r>
      <w:r w:rsidRPr="00352369">
        <w:lastRenderedPageBreak/>
        <w:t xml:space="preserve">differ. </w:t>
      </w:r>
      <w:r w:rsidRPr="00CB1304">
        <w:t>To assess whether survey nonresponse may be a problem for the follow-up survey, two general methods will be used:</w:t>
      </w:r>
    </w:p>
    <w:p w:rsidRPr="00CB1304" w:rsidR="00590187" w:rsidP="00FD0C72" w:rsidRDefault="00590187" w14:paraId="4D0AFE66" w14:textId="77777777">
      <w:pPr>
        <w:spacing w:line="240" w:lineRule="auto"/>
      </w:pPr>
    </w:p>
    <w:p w:rsidR="00590187" w:rsidP="00C005FB" w:rsidRDefault="00590187" w14:paraId="39CE7C3A" w14:textId="3E2216A8">
      <w:pPr>
        <w:pStyle w:val="BulletBlack"/>
        <w:spacing w:after="0"/>
        <w:ind w:left="720" w:hanging="288"/>
        <w:rPr>
          <w:rFonts w:ascii="Times New Roman" w:hAnsi="Times New Roman"/>
        </w:rPr>
      </w:pPr>
      <w:r w:rsidRPr="008B160A">
        <w:rPr>
          <w:rFonts w:ascii="Times New Roman" w:hAnsi="Times New Roman"/>
          <w:bCs/>
          <w:i/>
          <w:iCs/>
        </w:rPr>
        <w:t xml:space="preserve">Comparing the baseline characteristics of survey respondents and </w:t>
      </w:r>
      <w:proofErr w:type="spellStart"/>
      <w:r w:rsidRPr="008B160A">
        <w:rPr>
          <w:rFonts w:ascii="Times New Roman" w:hAnsi="Times New Roman"/>
          <w:bCs/>
          <w:i/>
          <w:iCs/>
        </w:rPr>
        <w:t>nonrespondents</w:t>
      </w:r>
      <w:proofErr w:type="spellEnd"/>
      <w:r w:rsidRPr="008B160A">
        <w:rPr>
          <w:rFonts w:ascii="Times New Roman" w:hAnsi="Times New Roman"/>
          <w:bCs/>
          <w:i/>
          <w:iCs/>
        </w:rPr>
        <w:t xml:space="preserve"> </w:t>
      </w:r>
      <w:r>
        <w:rPr>
          <w:rFonts w:ascii="Times New Roman" w:hAnsi="Times New Roman"/>
          <w:bCs/>
          <w:i/>
          <w:iCs/>
        </w:rPr>
        <w:t xml:space="preserve">for each </w:t>
      </w:r>
      <w:r w:rsidRPr="008B160A">
        <w:rPr>
          <w:rFonts w:ascii="Times New Roman" w:hAnsi="Times New Roman"/>
          <w:bCs/>
          <w:i/>
          <w:iCs/>
        </w:rPr>
        <w:t>research group.</w:t>
      </w:r>
      <w:r w:rsidRPr="00CB1304">
        <w:rPr>
          <w:rFonts w:ascii="Times New Roman" w:hAnsi="Times New Roman"/>
        </w:rPr>
        <w:t xml:space="preserve"> Baseline data (which will be available for the </w:t>
      </w:r>
      <w:r w:rsidRPr="00CB1304">
        <w:rPr>
          <w:rFonts w:ascii="Times New Roman" w:hAnsi="Times New Roman"/>
          <w:iCs/>
        </w:rPr>
        <w:t>full</w:t>
      </w:r>
      <w:r w:rsidRPr="00CB1304">
        <w:rPr>
          <w:rFonts w:ascii="Times New Roman" w:hAnsi="Times New Roman"/>
        </w:rPr>
        <w:t xml:space="preserve"> research sample) will be used to conduct statistical tests (chi-squared and </w:t>
      </w:r>
      <w:r w:rsidRPr="00CB1304">
        <w:rPr>
          <w:rFonts w:ascii="Times New Roman" w:hAnsi="Times New Roman"/>
          <w:i/>
        </w:rPr>
        <w:t>t</w:t>
      </w:r>
      <w:r w:rsidRPr="00CB1304">
        <w:rPr>
          <w:rFonts w:ascii="Times New Roman" w:hAnsi="Times New Roman"/>
        </w:rPr>
        <w:t xml:space="preserve">-tests) to gauge whether those in a particular research group who respond to the interviews are fully representative of all those in that research group. Noticeable differences between respondents and </w:t>
      </w:r>
      <w:proofErr w:type="spellStart"/>
      <w:r w:rsidRPr="00CB1304">
        <w:rPr>
          <w:rFonts w:ascii="Times New Roman" w:hAnsi="Times New Roman"/>
        </w:rPr>
        <w:t>nonrespondents</w:t>
      </w:r>
      <w:proofErr w:type="spellEnd"/>
      <w:r w:rsidRPr="00CB1304">
        <w:rPr>
          <w:rFonts w:ascii="Times New Roman" w:hAnsi="Times New Roman"/>
        </w:rPr>
        <w:t xml:space="preserve"> could indicate potential nonresponse bias.  </w:t>
      </w:r>
    </w:p>
    <w:p w:rsidRPr="00CB1304" w:rsidR="00F933D6" w:rsidP="00C005FB" w:rsidRDefault="00F933D6" w14:paraId="3CCBFCEE" w14:textId="77777777">
      <w:pPr>
        <w:pStyle w:val="BulletBlack"/>
        <w:numPr>
          <w:ilvl w:val="0"/>
          <w:numId w:val="0"/>
        </w:numPr>
        <w:spacing w:after="0"/>
        <w:ind w:left="720"/>
        <w:rPr>
          <w:rFonts w:ascii="Times New Roman" w:hAnsi="Times New Roman"/>
        </w:rPr>
      </w:pPr>
    </w:p>
    <w:p w:rsidR="00590187" w:rsidP="00C005FB" w:rsidRDefault="00590187" w14:paraId="4180897F" w14:textId="44B1446F">
      <w:pPr>
        <w:pStyle w:val="BulletBlack"/>
        <w:spacing w:after="0"/>
        <w:ind w:left="720" w:hanging="288"/>
        <w:rPr>
          <w:rFonts w:ascii="Times New Roman" w:hAnsi="Times New Roman"/>
        </w:rPr>
      </w:pPr>
      <w:r w:rsidRPr="008B160A">
        <w:rPr>
          <w:rFonts w:ascii="Times New Roman" w:hAnsi="Times New Roman"/>
          <w:i/>
        </w:rPr>
        <w:t xml:space="preserve">Comparing the </w:t>
      </w:r>
      <w:r>
        <w:rPr>
          <w:rFonts w:ascii="Times New Roman" w:hAnsi="Times New Roman"/>
          <w:i/>
        </w:rPr>
        <w:t>b</w:t>
      </w:r>
      <w:r w:rsidRPr="008B160A">
        <w:rPr>
          <w:rFonts w:ascii="Times New Roman" w:hAnsi="Times New Roman"/>
          <w:i/>
        </w:rPr>
        <w:t xml:space="preserve">aseline </w:t>
      </w:r>
      <w:r>
        <w:rPr>
          <w:rFonts w:ascii="Times New Roman" w:hAnsi="Times New Roman"/>
          <w:i/>
        </w:rPr>
        <w:t>c</w:t>
      </w:r>
      <w:r w:rsidRPr="008B160A">
        <w:rPr>
          <w:rFonts w:ascii="Times New Roman" w:hAnsi="Times New Roman"/>
          <w:i/>
        </w:rPr>
        <w:t xml:space="preserve">haracteristics of </w:t>
      </w:r>
      <w:r>
        <w:rPr>
          <w:rFonts w:ascii="Times New Roman" w:hAnsi="Times New Roman"/>
          <w:i/>
        </w:rPr>
        <w:t>r</w:t>
      </w:r>
      <w:r w:rsidRPr="008B160A">
        <w:rPr>
          <w:rFonts w:ascii="Times New Roman" w:hAnsi="Times New Roman"/>
          <w:i/>
        </w:rPr>
        <w:t xml:space="preserve">espondents </w:t>
      </w:r>
      <w:r>
        <w:rPr>
          <w:rFonts w:ascii="Times New Roman" w:hAnsi="Times New Roman"/>
          <w:i/>
        </w:rPr>
        <w:t>a</w:t>
      </w:r>
      <w:r w:rsidRPr="008B160A">
        <w:rPr>
          <w:rFonts w:ascii="Times New Roman" w:hAnsi="Times New Roman"/>
          <w:i/>
        </w:rPr>
        <w:t xml:space="preserve">cross </w:t>
      </w:r>
      <w:r>
        <w:rPr>
          <w:rFonts w:ascii="Times New Roman" w:hAnsi="Times New Roman"/>
          <w:i/>
        </w:rPr>
        <w:t>r</w:t>
      </w:r>
      <w:r w:rsidRPr="008B160A">
        <w:rPr>
          <w:rFonts w:ascii="Times New Roman" w:hAnsi="Times New Roman"/>
          <w:i/>
        </w:rPr>
        <w:t xml:space="preserve">esearch </w:t>
      </w:r>
      <w:r>
        <w:rPr>
          <w:rFonts w:ascii="Times New Roman" w:hAnsi="Times New Roman"/>
          <w:i/>
        </w:rPr>
        <w:t>g</w:t>
      </w:r>
      <w:r w:rsidRPr="008B160A">
        <w:rPr>
          <w:rFonts w:ascii="Times New Roman" w:hAnsi="Times New Roman"/>
          <w:i/>
        </w:rPr>
        <w:t>roups.</w:t>
      </w:r>
      <w:r w:rsidRPr="00CB1304">
        <w:rPr>
          <w:rFonts w:ascii="Times New Roman" w:hAnsi="Times New Roman"/>
          <w:b/>
          <w:i/>
        </w:rPr>
        <w:t xml:space="preserve"> </w:t>
      </w:r>
      <w:r w:rsidRPr="00CB1304">
        <w:rPr>
          <w:rFonts w:ascii="Times New Roman" w:hAnsi="Times New Roman"/>
        </w:rPr>
        <w:t>Tests for whether the baseline characteristics of respondents</w:t>
      </w:r>
      <w:r w:rsidRPr="00CB1304">
        <w:rPr>
          <w:rFonts w:ascii="Times New Roman" w:hAnsi="Times New Roman"/>
          <w:i/>
        </w:rPr>
        <w:t xml:space="preserve"> </w:t>
      </w:r>
      <w:r w:rsidRPr="00CB1304">
        <w:rPr>
          <w:rFonts w:ascii="Times New Roman" w:hAnsi="Times New Roman"/>
        </w:rPr>
        <w:t xml:space="preserve">across the </w:t>
      </w:r>
      <w:r>
        <w:rPr>
          <w:rFonts w:ascii="Times New Roman" w:hAnsi="Times New Roman"/>
        </w:rPr>
        <w:t xml:space="preserve">research </w:t>
      </w:r>
      <w:r w:rsidRPr="00CB1304">
        <w:rPr>
          <w:rFonts w:ascii="Times New Roman" w:hAnsi="Times New Roman"/>
        </w:rPr>
        <w:t>groups differ from each other will be conducted. Noticeable differences between respondents in different research groups could indicate potential nonresponse bias and limit the internal validity of the study if not taken into account.</w:t>
      </w:r>
    </w:p>
    <w:p w:rsidRPr="00CB1304" w:rsidR="00F933D6" w:rsidP="00C005FB" w:rsidRDefault="00F933D6" w14:paraId="5F9B3063" w14:textId="03CA8F4A">
      <w:pPr>
        <w:pStyle w:val="BulletBlack"/>
        <w:numPr>
          <w:ilvl w:val="0"/>
          <w:numId w:val="0"/>
        </w:numPr>
        <w:spacing w:after="0"/>
        <w:rPr>
          <w:rFonts w:ascii="Times New Roman" w:hAnsi="Times New Roman"/>
        </w:rPr>
      </w:pPr>
    </w:p>
    <w:p w:rsidRPr="00CB1304" w:rsidR="00590187" w:rsidP="00FD0C72" w:rsidRDefault="00590187" w14:paraId="7B27B176" w14:textId="76FCCA13">
      <w:pPr>
        <w:spacing w:line="240" w:lineRule="auto"/>
      </w:pPr>
      <w:r w:rsidRPr="00CB1304">
        <w:t xml:space="preserve">Two approaches for correcting for potential nonresponse using the baseline data will be used in the estimation of program impacts based on </w:t>
      </w:r>
      <w:r>
        <w:t xml:space="preserve">follow-up </w:t>
      </w:r>
      <w:r w:rsidRPr="00CB1304">
        <w:t xml:space="preserve">survey data. First, adjustments for any observed baseline differences between respondents across the various research groups will be performed using regression models. Second, because this regression procedure will not correct for differences between respondents and </w:t>
      </w:r>
      <w:proofErr w:type="spellStart"/>
      <w:r w:rsidRPr="00CB1304">
        <w:t>nonrespondents</w:t>
      </w:r>
      <w:proofErr w:type="spellEnd"/>
      <w:r w:rsidRPr="00CB1304">
        <w:t xml:space="preserve">, sample weights will be constructed so that weighted observable baseline characteristics are similar for respondents and the full sample that includes both respondents and </w:t>
      </w:r>
      <w:proofErr w:type="spellStart"/>
      <w:r w:rsidRPr="00CB1304">
        <w:t>nonrespondents</w:t>
      </w:r>
      <w:proofErr w:type="spellEnd"/>
      <w:r w:rsidRPr="00CB1304">
        <w:t xml:space="preserve">. For each survey instrument, weights will be constructed for each research group separately, using the following </w:t>
      </w:r>
      <w:r w:rsidR="00DD3D71">
        <w:t>two</w:t>
      </w:r>
      <w:r w:rsidRPr="00CB1304" w:rsidR="00DD3D71">
        <w:t xml:space="preserve"> </w:t>
      </w:r>
      <w:r w:rsidRPr="00CB1304">
        <w:t xml:space="preserve">steps:  </w:t>
      </w:r>
    </w:p>
    <w:p w:rsidRPr="00CB1304" w:rsidR="00590187" w:rsidP="00FD0C72" w:rsidRDefault="00590187" w14:paraId="3CD00463" w14:textId="77777777">
      <w:pPr>
        <w:spacing w:line="240" w:lineRule="auto"/>
      </w:pPr>
    </w:p>
    <w:p w:rsidR="00590187" w:rsidP="00C005FB" w:rsidRDefault="00590187" w14:paraId="13452202" w14:textId="3967350C">
      <w:pPr>
        <w:pStyle w:val="BulletBlack"/>
        <w:spacing w:after="0"/>
        <w:ind w:left="720" w:hanging="288"/>
        <w:rPr>
          <w:rFonts w:ascii="Times New Roman" w:hAnsi="Times New Roman"/>
        </w:rPr>
      </w:pPr>
      <w:r w:rsidRPr="0034651A">
        <w:rPr>
          <w:rFonts w:ascii="Times New Roman" w:hAnsi="Times New Roman"/>
          <w:i/>
        </w:rPr>
        <w:t xml:space="preserve">Calculate a propensity score for each </w:t>
      </w:r>
      <w:r>
        <w:rPr>
          <w:rFonts w:ascii="Times New Roman" w:hAnsi="Times New Roman"/>
          <w:i/>
        </w:rPr>
        <w:t xml:space="preserve">sample member that measures the probability of survey </w:t>
      </w:r>
      <w:r w:rsidRPr="0034651A">
        <w:rPr>
          <w:rFonts w:ascii="Times New Roman" w:hAnsi="Times New Roman"/>
          <w:i/>
        </w:rPr>
        <w:t>respon</w:t>
      </w:r>
      <w:r>
        <w:rPr>
          <w:rFonts w:ascii="Times New Roman" w:hAnsi="Times New Roman"/>
          <w:i/>
        </w:rPr>
        <w:t>se</w:t>
      </w:r>
      <w:r w:rsidRPr="0034651A">
        <w:rPr>
          <w:rFonts w:ascii="Times New Roman" w:hAnsi="Times New Roman"/>
          <w:i/>
        </w:rPr>
        <w:t xml:space="preserve"> based on baseline variables</w:t>
      </w:r>
      <w:r w:rsidRPr="0034651A">
        <w:rPr>
          <w:rFonts w:ascii="Times New Roman" w:hAnsi="Times New Roman"/>
        </w:rPr>
        <w:t xml:space="preserve">. </w:t>
      </w:r>
      <w:r w:rsidR="00F4654B">
        <w:rPr>
          <w:rFonts w:ascii="Times New Roman" w:hAnsi="Times New Roman"/>
        </w:rPr>
        <w:t>The study</w:t>
      </w:r>
      <w:r w:rsidRPr="0034651A">
        <w:rPr>
          <w:rFonts w:ascii="Times New Roman" w:hAnsi="Times New Roman"/>
        </w:rPr>
        <w:t xml:space="preserve"> will use machine learning methods </w:t>
      </w:r>
      <w:r>
        <w:rPr>
          <w:rFonts w:ascii="Times New Roman" w:hAnsi="Times New Roman"/>
        </w:rPr>
        <w:t>to construct the propensity scores</w:t>
      </w:r>
      <w:r w:rsidRPr="0034651A">
        <w:rPr>
          <w:rFonts w:ascii="Times New Roman" w:hAnsi="Times New Roman"/>
        </w:rPr>
        <w:t xml:space="preserve"> </w:t>
      </w:r>
      <w:r>
        <w:rPr>
          <w:rFonts w:ascii="Times New Roman" w:hAnsi="Times New Roman"/>
        </w:rPr>
        <w:t>using data from the baseline survey and program application forms</w:t>
      </w:r>
      <w:r w:rsidRPr="0034651A">
        <w:rPr>
          <w:rFonts w:ascii="Times New Roman" w:hAnsi="Times New Roman"/>
        </w:rPr>
        <w:t>.</w:t>
      </w:r>
      <w:r>
        <w:rPr>
          <w:rFonts w:ascii="Times New Roman" w:hAnsi="Times New Roman"/>
        </w:rPr>
        <w:t xml:space="preserve"> </w:t>
      </w:r>
      <w:r w:rsidRPr="0034651A">
        <w:rPr>
          <w:rFonts w:ascii="Times New Roman" w:hAnsi="Times New Roman"/>
        </w:rPr>
        <w:t xml:space="preserve">Specifically, </w:t>
      </w:r>
      <w:r w:rsidR="00F4654B">
        <w:rPr>
          <w:rFonts w:ascii="Times New Roman" w:hAnsi="Times New Roman"/>
        </w:rPr>
        <w:t>the study</w:t>
      </w:r>
      <w:r w:rsidRPr="0034651A">
        <w:rPr>
          <w:rFonts w:ascii="Times New Roman" w:hAnsi="Times New Roman"/>
        </w:rPr>
        <w:t xml:space="preserve"> will use the Toolkit for Weighting and Analysis of Nonequivalent Groups (TWANG) software to estimate propensity scores (Griffin et al. 2014). </w:t>
      </w:r>
      <w:r>
        <w:rPr>
          <w:rFonts w:ascii="Times New Roman" w:hAnsi="Times New Roman"/>
        </w:rPr>
        <w:t xml:space="preserve">The </w:t>
      </w:r>
      <w:r w:rsidRPr="0034651A">
        <w:rPr>
          <w:rFonts w:ascii="Times New Roman" w:hAnsi="Times New Roman"/>
        </w:rPr>
        <w:t xml:space="preserve">TWANG algorithm produces propensity scores based on the nonparametric splits of the </w:t>
      </w:r>
      <w:r>
        <w:rPr>
          <w:rFonts w:ascii="Times New Roman" w:hAnsi="Times New Roman"/>
        </w:rPr>
        <w:t>baseline variables</w:t>
      </w:r>
      <w:r w:rsidRPr="0034651A">
        <w:rPr>
          <w:rFonts w:ascii="Times New Roman" w:hAnsi="Times New Roman"/>
        </w:rPr>
        <w:t xml:space="preserve"> according to the created trees. Individuals with large propensity scores are likely to be </w:t>
      </w:r>
      <w:r>
        <w:rPr>
          <w:rFonts w:ascii="Times New Roman" w:hAnsi="Times New Roman"/>
        </w:rPr>
        <w:t xml:space="preserve">survey </w:t>
      </w:r>
      <w:r w:rsidRPr="0034651A">
        <w:rPr>
          <w:rFonts w:ascii="Times New Roman" w:hAnsi="Times New Roman"/>
        </w:rPr>
        <w:t xml:space="preserve">respondents, whereas those with small propensity scores are likely to be </w:t>
      </w:r>
      <w:r>
        <w:rPr>
          <w:rFonts w:ascii="Times New Roman" w:hAnsi="Times New Roman"/>
        </w:rPr>
        <w:t xml:space="preserve">survey </w:t>
      </w:r>
      <w:proofErr w:type="spellStart"/>
      <w:r w:rsidRPr="0034651A">
        <w:rPr>
          <w:rFonts w:ascii="Times New Roman" w:hAnsi="Times New Roman"/>
        </w:rPr>
        <w:t>nonrespondents</w:t>
      </w:r>
      <w:proofErr w:type="spellEnd"/>
      <w:r w:rsidRPr="0034651A">
        <w:rPr>
          <w:rFonts w:ascii="Times New Roman" w:hAnsi="Times New Roman"/>
        </w:rPr>
        <w:t>.</w:t>
      </w:r>
    </w:p>
    <w:p w:rsidRPr="0034651A" w:rsidR="00260ADB" w:rsidP="00260ADB" w:rsidRDefault="00260ADB" w14:paraId="054DF014" w14:textId="77777777">
      <w:pPr>
        <w:pStyle w:val="BulletBlack"/>
        <w:numPr>
          <w:ilvl w:val="0"/>
          <w:numId w:val="0"/>
        </w:numPr>
        <w:spacing w:after="0"/>
        <w:ind w:left="720"/>
        <w:rPr>
          <w:rFonts w:ascii="Times New Roman" w:hAnsi="Times New Roman"/>
        </w:rPr>
      </w:pPr>
    </w:p>
    <w:p w:rsidR="00F933D6" w:rsidP="00C005FB" w:rsidRDefault="00590187" w14:paraId="7E97441A" w14:textId="4196C613">
      <w:pPr>
        <w:pStyle w:val="BulletBlackLastDS"/>
        <w:numPr>
          <w:ilvl w:val="0"/>
          <w:numId w:val="10"/>
        </w:numPr>
        <w:spacing w:after="0"/>
        <w:ind w:left="720" w:hanging="288"/>
      </w:pPr>
      <w:r w:rsidRPr="0034651A">
        <w:rPr>
          <w:i/>
        </w:rPr>
        <w:t>Construct nonresponse weights using the propensity scores.</w:t>
      </w:r>
      <w:r w:rsidRPr="00CB1304">
        <w:t xml:space="preserve"> The weight for a sample member will be inversely proportional to the </w:t>
      </w:r>
      <w:r>
        <w:t xml:space="preserve">person’s estimated </w:t>
      </w:r>
      <w:r w:rsidRPr="00CB1304">
        <w:t>propensity score.</w:t>
      </w:r>
      <w:r>
        <w:t xml:space="preserve"> These weights will then be used in the impact analysis.</w:t>
      </w:r>
      <w:r w:rsidRPr="00CB1304">
        <w:t xml:space="preserve"> Thus, the weighted</w:t>
      </w:r>
      <w:r w:rsidR="00DD3D71">
        <w:t xml:space="preserve"> observed</w:t>
      </w:r>
      <w:r w:rsidRPr="00CB1304">
        <w:t xml:space="preserve"> characteristics of respondents should be similar, on average, to the </w:t>
      </w:r>
      <w:r w:rsidR="00DD3D71">
        <w:t xml:space="preserve">observed </w:t>
      </w:r>
      <w:r w:rsidRPr="00CB1304">
        <w:t>characteristics of the entire research sample</w:t>
      </w:r>
      <w:r>
        <w:t>.</w:t>
      </w:r>
      <w:r w:rsidRPr="00CB1304">
        <w:t xml:space="preserve"> </w:t>
      </w:r>
    </w:p>
    <w:p w:rsidRPr="00CB1304" w:rsidR="00590187" w:rsidP="00C005FB" w:rsidRDefault="00590187" w14:paraId="5E366A9C" w14:textId="7BEAED1C">
      <w:pPr>
        <w:pStyle w:val="BulletBlackLastDS"/>
        <w:numPr>
          <w:ilvl w:val="0"/>
          <w:numId w:val="0"/>
        </w:numPr>
        <w:spacing w:after="0"/>
        <w:ind w:left="720"/>
      </w:pPr>
      <w:r w:rsidRPr="00CB1304">
        <w:t xml:space="preserve"> </w:t>
      </w:r>
    </w:p>
    <w:p w:rsidR="00590187" w:rsidP="00C005FB" w:rsidRDefault="00590187" w14:paraId="68A4D23D" w14:textId="088F6024">
      <w:pPr>
        <w:pStyle w:val="NormalSS"/>
        <w:spacing w:after="0"/>
      </w:pPr>
      <w:r w:rsidRPr="00352369">
        <w:rPr>
          <w:b/>
          <w:bCs/>
          <w:i/>
        </w:rPr>
        <w:t xml:space="preserve">Assessing and </w:t>
      </w:r>
      <w:r>
        <w:rPr>
          <w:b/>
          <w:bCs/>
          <w:i/>
        </w:rPr>
        <w:t>c</w:t>
      </w:r>
      <w:r w:rsidRPr="00352369">
        <w:rPr>
          <w:b/>
          <w:bCs/>
          <w:i/>
        </w:rPr>
        <w:t xml:space="preserve">orrecting for </w:t>
      </w:r>
      <w:r>
        <w:rPr>
          <w:b/>
          <w:bCs/>
          <w:i/>
        </w:rPr>
        <w:t>grantee</w:t>
      </w:r>
      <w:r w:rsidRPr="00352369">
        <w:rPr>
          <w:b/>
          <w:bCs/>
          <w:i/>
        </w:rPr>
        <w:t xml:space="preserve"> </w:t>
      </w:r>
      <w:r>
        <w:rPr>
          <w:b/>
          <w:bCs/>
          <w:i/>
        </w:rPr>
        <w:t>n</w:t>
      </w:r>
      <w:r w:rsidRPr="00352369">
        <w:rPr>
          <w:b/>
          <w:bCs/>
          <w:i/>
        </w:rPr>
        <w:t>onparticipation</w:t>
      </w:r>
      <w:r w:rsidRPr="00352369">
        <w:rPr>
          <w:b/>
          <w:bCs/>
          <w:i/>
          <w:iCs/>
        </w:rPr>
        <w:t>.</w:t>
      </w:r>
      <w:r w:rsidRPr="00352369">
        <w:t xml:space="preserve"> </w:t>
      </w:r>
      <w:r>
        <w:t xml:space="preserve">As part of the recruitment process, </w:t>
      </w:r>
      <w:r w:rsidR="00F4654B">
        <w:t>the study</w:t>
      </w:r>
      <w:r>
        <w:t xml:space="preserve"> will collect data on key grantee characteristics and compare the characteristics of the selected sites that agree to participate to those that do not. This information will be used to help interpret the analysis findings. However, because </w:t>
      </w:r>
      <w:r w:rsidR="00F4654B">
        <w:t>the study</w:t>
      </w:r>
      <w:r>
        <w:t xml:space="preserve"> will not randomly select sites, but rather, purposively select them based on their suitability for the study, there is not a well-defined </w:t>
      </w:r>
      <w:r>
        <w:lastRenderedPageBreak/>
        <w:t xml:space="preserve">universe of sites to which the study sites will generalize. Thus, our benchmark approach will not adjust the impact estimates for site nonparticipation, because external validity is not a well-defined concept for this evaluation. However, </w:t>
      </w:r>
      <w:r w:rsidR="00F4654B">
        <w:t>the study</w:t>
      </w:r>
      <w:r>
        <w:t xml:space="preserve"> will re-weight the data for sensitivity analyses.</w:t>
      </w:r>
    </w:p>
    <w:p w:rsidR="00F933D6" w:rsidP="00C005FB" w:rsidRDefault="00F933D6" w14:paraId="71EBE972" w14:textId="77777777">
      <w:pPr>
        <w:pStyle w:val="NormalSS"/>
        <w:spacing w:after="0"/>
        <w:ind w:firstLine="0"/>
      </w:pPr>
    </w:p>
    <w:p w:rsidR="00590187" w:rsidP="00C005FB" w:rsidRDefault="00590187" w14:paraId="162259C3" w14:textId="54779D15">
      <w:pPr>
        <w:pStyle w:val="NormalSS"/>
        <w:spacing w:after="0"/>
      </w:pPr>
      <w:r w:rsidRPr="00C33918">
        <w:rPr>
          <w:b/>
          <w:i/>
        </w:rPr>
        <w:t>Adjusting for no-shows and crossovers.</w:t>
      </w:r>
      <w:r>
        <w:t xml:space="preserve"> In any experiment in the real world, some members of the treatment group may not receive intervention services (no-shows), and some controls may be exposed to the interventions (crossovers). To correct for these sample members, </w:t>
      </w:r>
      <w:r w:rsidR="00F4654B">
        <w:t>the study</w:t>
      </w:r>
      <w:r>
        <w:t xml:space="preserve"> will use an instrumental variable approach by replacing the </w:t>
      </w:r>
      <w:r w:rsidRPr="00E7310B">
        <w:rPr>
          <w:position w:val="-12"/>
        </w:rPr>
        <w:object w:dxaOrig="620" w:dyaOrig="360" w14:anchorId="38A8F89E">
          <v:shape id="_x0000_i1035" style="width:30.75pt;height:18.75pt" o:ole="" type="#_x0000_t75">
            <v:imagedata o:title="" r:id="rId32"/>
          </v:shape>
          <o:OLEObject Type="Embed" ProgID="Equation.DSMT4" ShapeID="_x0000_i1035" DrawAspect="Content" ObjectID="_1657096108" r:id="rId33"/>
        </w:object>
      </w:r>
      <w:r>
        <w:t xml:space="preserve"> indicator in the models above with the indicator variable, </w:t>
      </w:r>
      <w:r w:rsidRPr="00E7310B">
        <w:rPr>
          <w:position w:val="-12"/>
        </w:rPr>
        <w:object w:dxaOrig="560" w:dyaOrig="360" w14:anchorId="4556890F">
          <v:shape id="_x0000_i1036" style="width:27pt;height:18.75pt" o:ole="" type="#_x0000_t75">
            <v:imagedata o:title="" r:id="rId34"/>
          </v:shape>
          <o:OLEObject Type="Embed" ProgID="Equation.DSMT4" ShapeID="_x0000_i1036" DrawAspect="Content" ObjectID="_1657096109" r:id="rId35"/>
        </w:object>
      </w:r>
      <w:r>
        <w:t xml:space="preserve"> that equals 1 for those who received intervention services and 0 for those who did not, and </w:t>
      </w:r>
      <w:r w:rsidR="00F4654B">
        <w:t>the study</w:t>
      </w:r>
      <w:r>
        <w:t xml:space="preserve"> will use </w:t>
      </w:r>
      <w:r w:rsidRPr="00E7310B">
        <w:rPr>
          <w:position w:val="-12"/>
        </w:rPr>
        <w:object w:dxaOrig="620" w:dyaOrig="360" w14:anchorId="23D4DF1D">
          <v:shape id="_x0000_i1037" style="width:30.75pt;height:18.75pt" o:ole="" type="#_x0000_t75">
            <v:imagedata o:title="" r:id="rId32"/>
          </v:shape>
          <o:OLEObject Type="Embed" ProgID="Equation.DSMT4" ShapeID="_x0000_i1037" DrawAspect="Content" ObjectID="_1657096110" r:id="rId36"/>
        </w:object>
      </w:r>
      <w:r>
        <w:t xml:space="preserve"> as an instrument for </w:t>
      </w:r>
      <w:r w:rsidRPr="00E7310B">
        <w:rPr>
          <w:position w:val="-12"/>
        </w:rPr>
        <w:object w:dxaOrig="560" w:dyaOrig="360" w14:anchorId="38802D22">
          <v:shape id="_x0000_i1038" style="width:27pt;height:18.75pt" o:ole="" type="#_x0000_t75">
            <v:imagedata o:title="" r:id="rId34"/>
          </v:shape>
          <o:OLEObject Type="Embed" ProgID="Equation.DSMT4" ShapeID="_x0000_i1038" DrawAspect="Content" ObjectID="_1657096111" r:id="rId37"/>
        </w:object>
      </w:r>
      <w:r>
        <w:t xml:space="preserve">. </w:t>
      </w:r>
    </w:p>
    <w:p w:rsidR="00F933D6" w:rsidP="00C005FB" w:rsidRDefault="00F933D6" w14:paraId="38B717EC" w14:textId="77777777">
      <w:pPr>
        <w:pStyle w:val="NormalSS"/>
        <w:spacing w:after="0"/>
      </w:pPr>
    </w:p>
    <w:p w:rsidR="00590187" w:rsidP="00217B66" w:rsidRDefault="00C11EE1" w14:paraId="3EDA3B06" w14:textId="34D2C276">
      <w:pPr>
        <w:pStyle w:val="H5Lower"/>
      </w:pPr>
      <w:r>
        <w:t>b</w:t>
      </w:r>
      <w:r w:rsidR="00590187">
        <w:t xml:space="preserve">. </w:t>
      </w:r>
      <w:r w:rsidR="00590187">
        <w:tab/>
        <w:t>Statistical Power</w:t>
      </w:r>
    </w:p>
    <w:p w:rsidR="00F933D6" w:rsidP="00FD0C72" w:rsidRDefault="00F933D6" w14:paraId="6B84A080" w14:textId="77777777">
      <w:pPr>
        <w:pStyle w:val="Default"/>
        <w:ind w:firstLine="432"/>
      </w:pPr>
    </w:p>
    <w:p w:rsidR="00590187" w:rsidP="00FD0C72" w:rsidRDefault="00590187" w14:paraId="55171CF6" w14:textId="5AE13E66">
      <w:pPr>
        <w:pStyle w:val="Default"/>
        <w:ind w:firstLine="432"/>
      </w:pPr>
      <w:r w:rsidRPr="00850A74">
        <w:t xml:space="preserve">To adequately address the evaluation’s research questions, the design must have sufficient statistical power to detect impacts that are policy relevant and of practical significance. The sample sizes needed for the study were determined by focusing on minimum detectable impacts (MDIs) for the primary outcome of </w:t>
      </w:r>
      <w:r>
        <w:t>quarterly e</w:t>
      </w:r>
      <w:r w:rsidRPr="00850A74">
        <w:t>arnings</w:t>
      </w:r>
      <w:r>
        <w:t xml:space="preserve"> but </w:t>
      </w:r>
      <w:r w:rsidR="00F4654B">
        <w:t>the study</w:t>
      </w:r>
      <w:r>
        <w:t xml:space="preserve"> also present MDIs for completion of an apprenticeship program</w:t>
      </w:r>
      <w:r w:rsidRPr="00850A74">
        <w:t xml:space="preserve">, </w:t>
      </w:r>
      <w:r>
        <w:t>a key proximal (mediating) outcomes</w:t>
      </w:r>
      <w:r w:rsidRPr="00850A74">
        <w:t xml:space="preserve">. </w:t>
      </w:r>
      <w:r w:rsidRPr="00A85C27">
        <w:t>Enrolling 5,000 (</w:t>
      </w:r>
      <w:r>
        <w:t>split evenly between the two research groups</w:t>
      </w:r>
      <w:r w:rsidRPr="00A85C27">
        <w:t xml:space="preserve">) in an RCT would enable us to detect MDIs of $246 on quarterly earnings </w:t>
      </w:r>
      <w:r>
        <w:t>and</w:t>
      </w:r>
      <w:r w:rsidRPr="00A85C27">
        <w:t xml:space="preserve"> 4.0 percentage points on apprenticeship program completion (Table </w:t>
      </w:r>
      <w:r>
        <w:t>B.</w:t>
      </w:r>
      <w:r w:rsidR="00DD3D71">
        <w:t>2</w:t>
      </w:r>
      <w:r>
        <w:t>)</w:t>
      </w:r>
      <w:r w:rsidRPr="00A85C27">
        <w:t xml:space="preserve">. This is smaller than the gains from participation in apprenticeship programs found in other studies. For example, Reed et al. (2012) found that participating in Registered Apprenticeship was associated with a gain of $6,595 in annual earnings ($1,649 in quarterly earnings) compared to the earnings of nonparticipants. </w:t>
      </w:r>
      <w:r>
        <w:t xml:space="preserve">This $1,649 earnings gain is also larger than our calculated $779 MDI for a 10 percent subgroup analysis based on 500 participants. For a design comparing an enhanced-service treatment group to a business-as-usual treatment group, </w:t>
      </w:r>
      <w:r w:rsidR="00F4654B">
        <w:t>it is</w:t>
      </w:r>
      <w:r>
        <w:t xml:space="preserve"> expect</w:t>
      </w:r>
      <w:r w:rsidR="00F4654B">
        <w:t>ed that</w:t>
      </w:r>
      <w:r>
        <w:t xml:space="preserve"> </w:t>
      </w:r>
      <w:r w:rsidRPr="00A85C27">
        <w:t xml:space="preserve">the </w:t>
      </w:r>
      <w:r>
        <w:t xml:space="preserve">study will have sufficient power to detect likely program effects if the enhanced services are </w:t>
      </w:r>
      <w:r w:rsidRPr="00A85C27">
        <w:t>intens</w:t>
      </w:r>
      <w:r>
        <w:t>ive</w:t>
      </w:r>
      <w:r w:rsidRPr="00A85C27">
        <w:t xml:space="preserve"> </w:t>
      </w:r>
      <w:r>
        <w:t>(for example, providing intensive case management and supportive services).</w:t>
      </w:r>
      <w:r w:rsidRPr="00A85C27">
        <w:t xml:space="preserve"> </w:t>
      </w:r>
    </w:p>
    <w:p w:rsidR="00590187" w:rsidP="00FD0C72" w:rsidRDefault="00590187" w14:paraId="72BEE3A7" w14:textId="77777777">
      <w:pPr>
        <w:spacing w:line="240" w:lineRule="auto"/>
      </w:pPr>
    </w:p>
    <w:p w:rsidRPr="009018B3" w:rsidR="00590187" w:rsidP="00C005FB" w:rsidRDefault="00590187" w14:paraId="20307927" w14:textId="0E23C6DE">
      <w:pPr>
        <w:pStyle w:val="MarkforTableTitle"/>
        <w:spacing w:after="0"/>
        <w:rPr>
          <w:szCs w:val="24"/>
        </w:rPr>
      </w:pPr>
      <w:r w:rsidRPr="009018B3">
        <w:t>Table B.</w:t>
      </w:r>
      <w:r w:rsidR="00DD3D71">
        <w:t>2</w:t>
      </w:r>
      <w:r w:rsidRPr="009018B3">
        <w:t xml:space="preserve">. </w:t>
      </w:r>
      <w:r>
        <w:t xml:space="preserve">Minimum detectable impacts on key outcomes for an RCT </w:t>
      </w:r>
    </w:p>
    <w:tbl>
      <w:tblPr>
        <w:tblStyle w:val="LightList1"/>
        <w:tblW w:w="0" w:type="auto"/>
        <w:tblLook w:val="04A0" w:firstRow="1" w:lastRow="0" w:firstColumn="1" w:lastColumn="0" w:noHBand="0" w:noVBand="1"/>
      </w:tblPr>
      <w:tblGrid>
        <w:gridCol w:w="2960"/>
        <w:gridCol w:w="2790"/>
        <w:gridCol w:w="2610"/>
      </w:tblGrid>
      <w:tr w:rsidRPr="00B61EED" w:rsidR="00590187" w:rsidTr="00260ADB" w14:paraId="5C608A40" w14:textId="77777777">
        <w:trPr>
          <w:cnfStyle w:val="100000000000" w:firstRow="1" w:lastRow="0" w:firstColumn="0" w:lastColumn="0" w:oddVBand="0" w:evenVBand="0" w:oddHBand="0" w:evenHBand="0" w:firstRowFirstColumn="0" w:firstRowLastColumn="0" w:lastRowFirstColumn="0" w:lastRowLastColumn="0"/>
          <w:trHeight w:val="728"/>
        </w:trPr>
        <w:tc>
          <w:tcPr>
            <w:cnfStyle w:val="001000000000" w:firstRow="0" w:lastRow="0" w:firstColumn="1" w:lastColumn="0" w:oddVBand="0" w:evenVBand="0" w:oddHBand="0" w:evenHBand="0" w:firstRowFirstColumn="0" w:firstRowLastColumn="0" w:lastRowFirstColumn="0" w:lastRowLastColumn="0"/>
            <w:tcW w:w="2960" w:type="dxa"/>
            <w:hideMark/>
          </w:tcPr>
          <w:p w:rsidRPr="00AF2451" w:rsidR="00590187" w:rsidP="00C005FB" w:rsidRDefault="00590187" w14:paraId="7EA48DD4" w14:textId="77777777">
            <w:pPr>
              <w:pStyle w:val="TableText"/>
              <w:rPr>
                <w:rFonts w:cs="Arial"/>
                <w:b w:val="0"/>
                <w:szCs w:val="18"/>
              </w:rPr>
            </w:pPr>
            <w:r w:rsidRPr="00AF2451">
              <w:rPr>
                <w:rFonts w:cs="Arial"/>
                <w:szCs w:val="18"/>
              </w:rPr>
              <w:t xml:space="preserve">Sample size </w:t>
            </w:r>
            <w:r>
              <w:rPr>
                <w:rFonts w:cs="Arial"/>
                <w:szCs w:val="18"/>
              </w:rPr>
              <w:br/>
            </w:r>
            <w:r w:rsidRPr="00AF2451">
              <w:rPr>
                <w:rFonts w:cs="Arial"/>
                <w:szCs w:val="18"/>
              </w:rPr>
              <w:t>(treatment and control)</w:t>
            </w:r>
          </w:p>
        </w:tc>
        <w:tc>
          <w:tcPr>
            <w:tcW w:w="2790" w:type="dxa"/>
            <w:hideMark/>
          </w:tcPr>
          <w:p w:rsidRPr="00AF2451" w:rsidR="00590187" w:rsidP="00C005FB" w:rsidRDefault="00590187" w14:paraId="09E1F4DB" w14:textId="77777777">
            <w:pPr>
              <w:pStyle w:val="TableText"/>
              <w:cnfStyle w:val="100000000000" w:firstRow="1" w:lastRow="0" w:firstColumn="0" w:lastColumn="0" w:oddVBand="0" w:evenVBand="0" w:oddHBand="0" w:evenHBand="0" w:firstRowFirstColumn="0" w:firstRowLastColumn="0" w:lastRowFirstColumn="0" w:lastRowLastColumn="0"/>
              <w:rPr>
                <w:rFonts w:cs="Arial"/>
                <w:b w:val="0"/>
                <w:szCs w:val="18"/>
              </w:rPr>
            </w:pPr>
            <w:r w:rsidRPr="006E3CEB">
              <w:rPr>
                <w:rFonts w:ascii="Arial Bold" w:hAnsi="Arial Bold" w:cs="Arial"/>
                <w:szCs w:val="18"/>
              </w:rPr>
              <w:t>Quarterly earnings</w:t>
            </w:r>
            <w:r>
              <w:rPr>
                <w:rFonts w:ascii="Arial Bold" w:hAnsi="Arial Bold" w:cs="Arial"/>
                <w:szCs w:val="18"/>
              </w:rPr>
              <w:br/>
            </w:r>
            <w:r w:rsidRPr="006E3CEB">
              <w:rPr>
                <w:rFonts w:ascii="Arial Bold" w:hAnsi="Arial Bold" w:cs="Arial"/>
                <w:szCs w:val="18"/>
              </w:rPr>
              <w:t>(impact,</w:t>
            </w:r>
            <w:r w:rsidRPr="00AF2451">
              <w:rPr>
                <w:rFonts w:cs="Arial"/>
                <w:szCs w:val="18"/>
              </w:rPr>
              <w:t xml:space="preserve"> dollars)</w:t>
            </w:r>
          </w:p>
        </w:tc>
        <w:tc>
          <w:tcPr>
            <w:tcW w:w="2610" w:type="dxa"/>
          </w:tcPr>
          <w:p w:rsidRPr="00AF2451" w:rsidR="00590187" w:rsidP="00C005FB" w:rsidRDefault="00590187" w14:paraId="3C7B2C55" w14:textId="77777777">
            <w:pPr>
              <w:pStyle w:val="TableText"/>
              <w:cnfStyle w:val="100000000000" w:firstRow="1" w:lastRow="0" w:firstColumn="0" w:lastColumn="0" w:oddVBand="0" w:evenVBand="0" w:oddHBand="0" w:evenHBand="0" w:firstRowFirstColumn="0" w:firstRowLastColumn="0" w:lastRowFirstColumn="0" w:lastRowLastColumn="0"/>
              <w:rPr>
                <w:rFonts w:cs="Arial"/>
                <w:b w:val="0"/>
                <w:szCs w:val="18"/>
              </w:rPr>
            </w:pPr>
            <w:r w:rsidRPr="00AF2451">
              <w:rPr>
                <w:rFonts w:cs="Arial"/>
                <w:szCs w:val="18"/>
              </w:rPr>
              <w:t xml:space="preserve">Apprenticeship program completion </w:t>
            </w:r>
            <w:r>
              <w:rPr>
                <w:rFonts w:cs="Arial"/>
                <w:szCs w:val="18"/>
              </w:rPr>
              <w:br/>
            </w:r>
            <w:r w:rsidRPr="00AF2451">
              <w:rPr>
                <w:rFonts w:cs="Arial"/>
                <w:szCs w:val="18"/>
              </w:rPr>
              <w:t>(impact, percentage points)</w:t>
            </w:r>
          </w:p>
        </w:tc>
      </w:tr>
      <w:tr w:rsidRPr="00B61EED" w:rsidR="00590187" w:rsidTr="00260ADB" w14:paraId="6C350E38" w14:textId="77777777">
        <w:trPr>
          <w:cnfStyle w:val="000000100000" w:firstRow="0" w:lastRow="0" w:firstColumn="0" w:lastColumn="0" w:oddVBand="0" w:evenVBand="0" w:oddHBand="1"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2960" w:type="dxa"/>
          </w:tcPr>
          <w:p w:rsidRPr="00CE747C" w:rsidR="00590187" w:rsidP="00C005FB" w:rsidRDefault="00590187" w14:paraId="7EA49D20" w14:textId="77777777">
            <w:pPr>
              <w:pStyle w:val="TableText"/>
              <w:rPr>
                <w:rFonts w:cs="Arial"/>
                <w:szCs w:val="18"/>
              </w:rPr>
            </w:pPr>
            <w:r w:rsidRPr="00CE747C">
              <w:rPr>
                <w:rFonts w:cs="Arial"/>
                <w:szCs w:val="18"/>
              </w:rPr>
              <w:t>100</w:t>
            </w:r>
          </w:p>
        </w:tc>
        <w:tc>
          <w:tcPr>
            <w:tcW w:w="2790" w:type="dxa"/>
          </w:tcPr>
          <w:p w:rsidRPr="00CE747C" w:rsidR="00590187" w:rsidP="00C005FB" w:rsidRDefault="00590187" w14:paraId="0C2CD9B3" w14:textId="77777777">
            <w:pPr>
              <w:pStyle w:val="TableText"/>
              <w:ind w:right="101"/>
              <w:cnfStyle w:val="000000100000" w:firstRow="0" w:lastRow="0" w:firstColumn="0" w:lastColumn="0" w:oddVBand="0" w:evenVBand="0" w:oddHBand="1" w:evenHBand="0" w:firstRowFirstColumn="0" w:firstRowLastColumn="0" w:lastRowFirstColumn="0" w:lastRowLastColumn="0"/>
              <w:rPr>
                <w:rFonts w:ascii="Arial Bold" w:hAnsi="Arial Bold" w:cs="Arial"/>
                <w:szCs w:val="18"/>
              </w:rPr>
            </w:pPr>
            <w:r w:rsidRPr="00CE747C">
              <w:rPr>
                <w:rFonts w:cs="Arial"/>
                <w:szCs w:val="18"/>
              </w:rPr>
              <w:t>1,755</w:t>
            </w:r>
          </w:p>
        </w:tc>
        <w:tc>
          <w:tcPr>
            <w:tcW w:w="2610" w:type="dxa"/>
          </w:tcPr>
          <w:p w:rsidRPr="00CE747C" w:rsidR="00590187" w:rsidP="00C005FB" w:rsidRDefault="00590187" w14:paraId="2FA87248" w14:textId="77777777">
            <w:pPr>
              <w:pStyle w:val="TableText"/>
              <w:ind w:right="113"/>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28.3</w:t>
            </w:r>
          </w:p>
        </w:tc>
      </w:tr>
      <w:tr w:rsidRPr="00B61EED" w:rsidR="00590187" w:rsidTr="00260ADB" w14:paraId="79CF44E0" w14:textId="77777777">
        <w:trPr>
          <w:trHeight w:val="106"/>
        </w:trPr>
        <w:tc>
          <w:tcPr>
            <w:cnfStyle w:val="001000000000" w:firstRow="0" w:lastRow="0" w:firstColumn="1" w:lastColumn="0" w:oddVBand="0" w:evenVBand="0" w:oddHBand="0" w:evenHBand="0" w:firstRowFirstColumn="0" w:firstRowLastColumn="0" w:lastRowFirstColumn="0" w:lastRowLastColumn="0"/>
            <w:tcW w:w="2960" w:type="dxa"/>
          </w:tcPr>
          <w:p w:rsidRPr="00CE747C" w:rsidR="00590187" w:rsidP="00C005FB" w:rsidRDefault="00590187" w14:paraId="4A6F60EC" w14:textId="77777777">
            <w:pPr>
              <w:pStyle w:val="TableText"/>
              <w:rPr>
                <w:rFonts w:cs="Arial"/>
                <w:szCs w:val="18"/>
              </w:rPr>
            </w:pPr>
            <w:r w:rsidRPr="00CE747C">
              <w:rPr>
                <w:rFonts w:cs="Arial"/>
                <w:szCs w:val="18"/>
              </w:rPr>
              <w:t>500</w:t>
            </w:r>
          </w:p>
        </w:tc>
        <w:tc>
          <w:tcPr>
            <w:tcW w:w="2790" w:type="dxa"/>
          </w:tcPr>
          <w:p w:rsidRPr="00CE747C" w:rsidR="00590187" w:rsidP="00C005FB" w:rsidRDefault="00590187" w14:paraId="2DE60AD6" w14:textId="77777777">
            <w:pPr>
              <w:pStyle w:val="TableText"/>
              <w:ind w:right="101"/>
              <w:cnfStyle w:val="000000000000" w:firstRow="0" w:lastRow="0" w:firstColumn="0" w:lastColumn="0" w:oddVBand="0" w:evenVBand="0" w:oddHBand="0" w:evenHBand="0" w:firstRowFirstColumn="0" w:firstRowLastColumn="0" w:lastRowFirstColumn="0" w:lastRowLastColumn="0"/>
              <w:rPr>
                <w:rFonts w:cs="Arial"/>
                <w:szCs w:val="18"/>
              </w:rPr>
            </w:pPr>
            <w:r w:rsidRPr="00CE747C">
              <w:rPr>
                <w:rFonts w:cs="Arial"/>
                <w:szCs w:val="18"/>
              </w:rPr>
              <w:t>779</w:t>
            </w:r>
          </w:p>
        </w:tc>
        <w:tc>
          <w:tcPr>
            <w:tcW w:w="2610" w:type="dxa"/>
          </w:tcPr>
          <w:p w:rsidR="00590187" w:rsidP="00C005FB" w:rsidRDefault="00590187" w14:paraId="6D3A8A0F" w14:textId="77777777">
            <w:pPr>
              <w:pStyle w:val="TableText"/>
              <w:ind w:right="113"/>
              <w:cnfStyle w:val="000000000000" w:firstRow="0" w:lastRow="0" w:firstColumn="0" w:lastColumn="0" w:oddVBand="0" w:evenVBand="0" w:oddHBand="0" w:evenHBand="0" w:firstRowFirstColumn="0" w:firstRowLastColumn="0" w:lastRowFirstColumn="0" w:lastRowLastColumn="0"/>
              <w:rPr>
                <w:rFonts w:cs="Arial"/>
                <w:szCs w:val="18"/>
              </w:rPr>
            </w:pPr>
            <w:r>
              <w:rPr>
                <w:rFonts w:cs="Arial"/>
                <w:szCs w:val="18"/>
              </w:rPr>
              <w:t>12.6</w:t>
            </w:r>
          </w:p>
        </w:tc>
      </w:tr>
      <w:tr w:rsidRPr="00B61EED" w:rsidR="00590187" w:rsidTr="00260ADB" w14:paraId="339CE570" w14:textId="77777777">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2960" w:type="dxa"/>
          </w:tcPr>
          <w:p w:rsidRPr="00CE747C" w:rsidR="00590187" w:rsidP="00C005FB" w:rsidRDefault="00590187" w14:paraId="1F924714" w14:textId="77777777">
            <w:pPr>
              <w:pStyle w:val="TableText"/>
              <w:rPr>
                <w:rFonts w:cs="Arial"/>
                <w:szCs w:val="18"/>
              </w:rPr>
            </w:pPr>
            <w:r w:rsidRPr="00CE747C">
              <w:rPr>
                <w:rFonts w:cs="Arial"/>
                <w:szCs w:val="18"/>
              </w:rPr>
              <w:t>1,000</w:t>
            </w:r>
          </w:p>
        </w:tc>
        <w:tc>
          <w:tcPr>
            <w:tcW w:w="2790" w:type="dxa"/>
          </w:tcPr>
          <w:p w:rsidRPr="00CE747C" w:rsidR="00590187" w:rsidP="00C005FB" w:rsidRDefault="00590187" w14:paraId="49BD8DED" w14:textId="77777777">
            <w:pPr>
              <w:pStyle w:val="TableText"/>
              <w:ind w:right="101"/>
              <w:cnfStyle w:val="000000100000" w:firstRow="0" w:lastRow="0" w:firstColumn="0" w:lastColumn="0" w:oddVBand="0" w:evenVBand="0" w:oddHBand="1" w:evenHBand="0" w:firstRowFirstColumn="0" w:firstRowLastColumn="0" w:lastRowFirstColumn="0" w:lastRowLastColumn="0"/>
              <w:rPr>
                <w:rFonts w:cs="Arial"/>
                <w:szCs w:val="18"/>
              </w:rPr>
            </w:pPr>
            <w:r w:rsidRPr="00CE747C">
              <w:rPr>
                <w:rFonts w:cs="Arial"/>
                <w:szCs w:val="18"/>
              </w:rPr>
              <w:t>550</w:t>
            </w:r>
          </w:p>
        </w:tc>
        <w:tc>
          <w:tcPr>
            <w:tcW w:w="2610" w:type="dxa"/>
          </w:tcPr>
          <w:p w:rsidR="00590187" w:rsidP="00C005FB" w:rsidRDefault="00590187" w14:paraId="07FA97C4" w14:textId="77777777">
            <w:pPr>
              <w:pStyle w:val="TableText"/>
              <w:ind w:right="113"/>
              <w:cnfStyle w:val="000000100000" w:firstRow="0" w:lastRow="0" w:firstColumn="0" w:lastColumn="0" w:oddVBand="0" w:evenVBand="0" w:oddHBand="1" w:evenHBand="0" w:firstRowFirstColumn="0" w:firstRowLastColumn="0" w:lastRowFirstColumn="0" w:lastRowLastColumn="0"/>
              <w:rPr>
                <w:rFonts w:cs="Arial"/>
                <w:szCs w:val="18"/>
              </w:rPr>
            </w:pPr>
            <w:r>
              <w:rPr>
                <w:rFonts w:cs="Arial"/>
                <w:szCs w:val="18"/>
              </w:rPr>
              <w:t>8.9</w:t>
            </w:r>
          </w:p>
        </w:tc>
      </w:tr>
      <w:tr w:rsidRPr="00B61EED" w:rsidR="00590187" w:rsidTr="00260ADB" w14:paraId="6AB6D129" w14:textId="77777777">
        <w:trPr>
          <w:trHeight w:val="142"/>
        </w:trPr>
        <w:tc>
          <w:tcPr>
            <w:cnfStyle w:val="001000000000" w:firstRow="0" w:lastRow="0" w:firstColumn="1" w:lastColumn="0" w:oddVBand="0" w:evenVBand="0" w:oddHBand="0" w:evenHBand="0" w:firstRowFirstColumn="0" w:firstRowLastColumn="0" w:lastRowFirstColumn="0" w:lastRowLastColumn="0"/>
            <w:tcW w:w="2960" w:type="dxa"/>
          </w:tcPr>
          <w:p w:rsidRPr="00CE747C" w:rsidR="00590187" w:rsidP="00C005FB" w:rsidRDefault="00590187" w14:paraId="251ACC1C" w14:textId="77777777">
            <w:pPr>
              <w:pStyle w:val="TableText"/>
              <w:rPr>
                <w:rFonts w:cs="Arial"/>
                <w:szCs w:val="18"/>
              </w:rPr>
            </w:pPr>
            <w:r w:rsidRPr="00CE747C">
              <w:rPr>
                <w:rFonts w:cs="Arial"/>
                <w:szCs w:val="18"/>
              </w:rPr>
              <w:t>5,000</w:t>
            </w:r>
          </w:p>
        </w:tc>
        <w:tc>
          <w:tcPr>
            <w:tcW w:w="2790" w:type="dxa"/>
          </w:tcPr>
          <w:p w:rsidRPr="00CE747C" w:rsidR="00590187" w:rsidP="00C005FB" w:rsidRDefault="00590187" w14:paraId="10152085" w14:textId="77777777">
            <w:pPr>
              <w:pStyle w:val="TableText"/>
              <w:ind w:right="101"/>
              <w:cnfStyle w:val="000000000000" w:firstRow="0" w:lastRow="0" w:firstColumn="0" w:lastColumn="0" w:oddVBand="0" w:evenVBand="0" w:oddHBand="0" w:evenHBand="0" w:firstRowFirstColumn="0" w:firstRowLastColumn="0" w:lastRowFirstColumn="0" w:lastRowLastColumn="0"/>
              <w:rPr>
                <w:rFonts w:cs="Arial"/>
                <w:szCs w:val="18"/>
              </w:rPr>
            </w:pPr>
            <w:r w:rsidRPr="00CE747C">
              <w:rPr>
                <w:rFonts w:cs="Arial"/>
                <w:szCs w:val="18"/>
              </w:rPr>
              <w:t>246</w:t>
            </w:r>
          </w:p>
        </w:tc>
        <w:tc>
          <w:tcPr>
            <w:tcW w:w="2610" w:type="dxa"/>
          </w:tcPr>
          <w:p w:rsidR="00590187" w:rsidP="00C005FB" w:rsidRDefault="00590187" w14:paraId="158D59B2" w14:textId="77777777">
            <w:pPr>
              <w:pStyle w:val="TableText"/>
              <w:ind w:right="113"/>
              <w:cnfStyle w:val="000000000000" w:firstRow="0" w:lastRow="0" w:firstColumn="0" w:lastColumn="0" w:oddVBand="0" w:evenVBand="0" w:oddHBand="0" w:evenHBand="0" w:firstRowFirstColumn="0" w:firstRowLastColumn="0" w:lastRowFirstColumn="0" w:lastRowLastColumn="0"/>
              <w:rPr>
                <w:rFonts w:cs="Arial"/>
                <w:szCs w:val="18"/>
              </w:rPr>
            </w:pPr>
            <w:r>
              <w:rPr>
                <w:rFonts w:cs="Arial"/>
                <w:szCs w:val="18"/>
              </w:rPr>
              <w:t>4.0</w:t>
            </w:r>
          </w:p>
        </w:tc>
      </w:tr>
    </w:tbl>
    <w:p w:rsidR="00DD3D71" w:rsidP="00DD3D71" w:rsidRDefault="00DD3D71" w14:paraId="1C596DF0" w14:textId="10CEC12F">
      <w:pPr>
        <w:spacing w:line="240" w:lineRule="auto"/>
        <w:ind w:firstLine="0"/>
      </w:pPr>
      <w:r>
        <w:rPr>
          <w:bCs/>
          <w:sz w:val="20"/>
        </w:rPr>
        <w:t>Notes:</w:t>
      </w:r>
      <w:r>
        <w:rPr>
          <w:sz w:val="20"/>
        </w:rPr>
        <w:t xml:space="preserve"> Calculations above were made using Microsoft Excel tables. </w:t>
      </w:r>
      <w:r w:rsidR="000F349B">
        <w:rPr>
          <w:sz w:val="20"/>
        </w:rPr>
        <w:t xml:space="preserve">Assumptions made include: individuals are randomly assigned; equal assignment probabilities to treatment and control; 50% control group mean for completion; $3,102 standard deviation of earnings; covariates explain 20% of the variation in outcomes; attrition of 20% in survey and NDNH data; alpha level 0.05, two-sided test, 80% power. The MDIs are calculated using the following formula: </w:t>
      </w:r>
      <m:oMath>
        <m:r>
          <w:rPr>
            <w:rFonts w:ascii="Cambria Math" w:hAnsi="Cambria Math"/>
            <w:sz w:val="20"/>
          </w:rPr>
          <m:t>MDI=Factor(α,β,df)*</m:t>
        </m:r>
        <m:r>
          <m:rPr>
            <m:sty m:val="p"/>
          </m:rPr>
          <w:rPr>
            <w:rFonts w:ascii="Cambria Math" w:hAnsi="Cambria Math"/>
            <w:color w:val="000000"/>
            <w:sz w:val="20"/>
          </w:rPr>
          <m:t>standard deviation of outcome</m:t>
        </m:r>
        <m:r>
          <m:rPr>
            <m:sty m:val="p"/>
          </m:rPr>
          <w:rPr>
            <w:rFonts w:ascii="Cambria Math" w:hAnsi="Cambria Math" w:cs="Cambria Math"/>
            <w:color w:val="000000"/>
            <w:sz w:val="20"/>
          </w:rPr>
          <m:t>*</m:t>
        </m:r>
        <m:rad>
          <m:radPr>
            <m:degHide m:val="1"/>
            <m:ctrlPr>
              <w:rPr>
                <w:rFonts w:ascii="Cambria Math" w:hAnsi="Calibri"/>
                <w:color w:val="000000"/>
                <w:sz w:val="20"/>
              </w:rPr>
            </m:ctrlPr>
          </m:radPr>
          <m:deg/>
          <m:e>
            <m:d>
              <m:dPr>
                <m:ctrlPr>
                  <w:rPr>
                    <w:rFonts w:ascii="Cambria Math" w:hAnsi="Cambria Math"/>
                    <w:color w:val="000000"/>
                    <w:sz w:val="20"/>
                  </w:rPr>
                </m:ctrlPr>
              </m:dPr>
              <m:e>
                <m:r>
                  <m:rPr>
                    <m:sty m:val="p"/>
                  </m:rPr>
                  <w:rPr>
                    <w:rFonts w:ascii="Cambria Math" w:hAnsi="Cambria Math"/>
                    <w:color w:val="000000"/>
                    <w:sz w:val="20"/>
                  </w:rPr>
                  <m:t xml:space="preserve">1 – </m:t>
                </m:r>
                <m:sSup>
                  <m:sSupPr>
                    <m:ctrlPr>
                      <w:rPr>
                        <w:rFonts w:ascii="Cambria Math" w:hAnsi="Cambria Math"/>
                        <w:color w:val="000000"/>
                        <w:sz w:val="20"/>
                      </w:rPr>
                    </m:ctrlPr>
                  </m:sSupPr>
                  <m:e>
                    <m:r>
                      <m:rPr>
                        <m:sty m:val="p"/>
                      </m:rPr>
                      <w:rPr>
                        <w:rFonts w:ascii="Cambria Math" w:hAnsi="Cambria Math"/>
                        <w:color w:val="000000"/>
                        <w:sz w:val="20"/>
                      </w:rPr>
                      <m:t>R</m:t>
                    </m:r>
                  </m:e>
                  <m:sup>
                    <m:r>
                      <m:rPr>
                        <m:sty m:val="p"/>
                      </m:rPr>
                      <w:rPr>
                        <w:rFonts w:ascii="Cambria Math" w:hAnsi="Cambria Math"/>
                        <w:color w:val="000000"/>
                        <w:sz w:val="20"/>
                        <w:vertAlign w:val="superscript"/>
                      </w:rPr>
                      <m:t>2</m:t>
                    </m:r>
                  </m:sup>
                </m:sSup>
              </m:e>
            </m:d>
            <m:r>
              <m:rPr>
                <m:sty m:val="p"/>
              </m:rPr>
              <w:rPr>
                <w:rFonts w:ascii="Cambria Math" w:hAnsi="Cambria Math"/>
                <w:color w:val="000000"/>
                <w:sz w:val="20"/>
              </w:rPr>
              <m:t>*(</m:t>
            </m:r>
            <m:f>
              <m:fPr>
                <m:ctrlPr>
                  <w:rPr>
                    <w:rFonts w:ascii="Cambria Math" w:hAnsi="Cambria Math"/>
                    <w:color w:val="000000"/>
                    <w:sz w:val="20"/>
                  </w:rPr>
                </m:ctrlPr>
              </m:fPr>
              <m:num>
                <m:r>
                  <w:rPr>
                    <w:rFonts w:ascii="Cambria Math" w:hAnsi="Cambria Math"/>
                    <w:color w:val="000000"/>
                    <w:sz w:val="20"/>
                  </w:rPr>
                  <m:t>1</m:t>
                </m:r>
              </m:num>
              <m:den>
                <m:sSub>
                  <m:sSubPr>
                    <m:ctrlPr>
                      <w:rPr>
                        <w:rFonts w:ascii="Cambria Math" w:hAnsi="Cambria Math"/>
                        <w:i/>
                        <w:color w:val="000000"/>
                        <w:sz w:val="20"/>
                      </w:rPr>
                    </m:ctrlPr>
                  </m:sSubPr>
                  <m:e>
                    <m:r>
                      <w:rPr>
                        <w:rFonts w:ascii="Cambria Math" w:hAnsi="Cambria Math"/>
                        <w:color w:val="000000"/>
                        <w:sz w:val="20"/>
                      </w:rPr>
                      <m:t>N</m:t>
                    </m:r>
                  </m:e>
                  <m:sub>
                    <m:r>
                      <w:rPr>
                        <w:rFonts w:ascii="Cambria Math" w:hAnsi="Cambria Math"/>
                        <w:color w:val="000000"/>
                        <w:sz w:val="20"/>
                      </w:rPr>
                      <m:t>T</m:t>
                    </m:r>
                  </m:sub>
                </m:sSub>
              </m:den>
            </m:f>
            <m:r>
              <w:rPr>
                <w:rFonts w:ascii="Cambria Math" w:hAnsi="Cambria Math"/>
                <w:color w:val="000000"/>
                <w:sz w:val="20"/>
              </w:rPr>
              <m:t>+</m:t>
            </m:r>
            <m:f>
              <m:fPr>
                <m:ctrlPr>
                  <w:rPr>
                    <w:rFonts w:ascii="Cambria Math" w:hAnsi="Cambria Math"/>
                    <w:color w:val="000000"/>
                    <w:sz w:val="20"/>
                  </w:rPr>
                </m:ctrlPr>
              </m:fPr>
              <m:num>
                <m:r>
                  <w:rPr>
                    <w:rFonts w:ascii="Cambria Math" w:hAnsi="Cambria Math"/>
                    <w:color w:val="000000"/>
                    <w:sz w:val="20"/>
                  </w:rPr>
                  <m:t>1</m:t>
                </m:r>
              </m:num>
              <m:den>
                <m:sSub>
                  <m:sSubPr>
                    <m:ctrlPr>
                      <w:rPr>
                        <w:rFonts w:ascii="Cambria Math" w:hAnsi="Cambria Math"/>
                        <w:i/>
                        <w:color w:val="000000"/>
                        <w:sz w:val="20"/>
                      </w:rPr>
                    </m:ctrlPr>
                  </m:sSubPr>
                  <m:e>
                    <m:r>
                      <w:rPr>
                        <w:rFonts w:ascii="Cambria Math" w:hAnsi="Cambria Math"/>
                        <w:color w:val="000000"/>
                        <w:sz w:val="20"/>
                      </w:rPr>
                      <m:t>N</m:t>
                    </m:r>
                  </m:e>
                  <m:sub>
                    <m:r>
                      <w:rPr>
                        <w:rFonts w:ascii="Cambria Math" w:hAnsi="Cambria Math"/>
                        <w:color w:val="000000"/>
                        <w:sz w:val="20"/>
                      </w:rPr>
                      <m:t>C</m:t>
                    </m:r>
                  </m:sub>
                </m:sSub>
              </m:den>
            </m:f>
            <m:r>
              <w:rPr>
                <w:rFonts w:ascii="Cambria Math" w:hAnsi="Cambria Math"/>
                <w:color w:val="000000"/>
                <w:sz w:val="20"/>
              </w:rPr>
              <m:t>)</m:t>
            </m:r>
          </m:e>
        </m:rad>
      </m:oMath>
      <w:r w:rsidRPr="00473A9F" w:rsidR="000F349B">
        <w:rPr>
          <w:color w:val="000000"/>
          <w:sz w:val="20"/>
        </w:rPr>
        <w:t>, where</w:t>
      </w:r>
      <m:oMath>
        <m:r>
          <w:rPr>
            <w:rFonts w:ascii="Cambria Math" w:hAnsi="Cambria Math"/>
            <w:sz w:val="20"/>
          </w:rPr>
          <m:t xml:space="preserve"> Factor</m:t>
        </m:r>
        <m:d>
          <m:dPr>
            <m:ctrlPr>
              <w:rPr>
                <w:rFonts w:ascii="Cambria Math" w:hAnsi="Cambria Math"/>
                <w:i/>
                <w:sz w:val="20"/>
              </w:rPr>
            </m:ctrlPr>
          </m:dPr>
          <m:e>
            <m:r>
              <w:rPr>
                <w:rFonts w:ascii="Cambria Math" w:hAnsi="Cambria Math"/>
                <w:sz w:val="20"/>
              </w:rPr>
              <m:t>α,β,df</m:t>
            </m:r>
          </m:e>
        </m:d>
        <m:r>
          <w:rPr>
            <w:rFonts w:ascii="Cambria Math" w:hAnsi="Cambria Math"/>
            <w:sz w:val="20"/>
          </w:rPr>
          <m:t>=</m:t>
        </m:r>
      </m:oMath>
      <w:r w:rsidRPr="00473A9F" w:rsidR="000F349B">
        <w:rPr>
          <w:color w:val="000000"/>
          <w:sz w:val="20"/>
        </w:rPr>
        <w:t xml:space="preserve"> </w:t>
      </w:r>
      <m:oMath>
        <m:sSup>
          <m:sSupPr>
            <m:ctrlPr>
              <w:rPr>
                <w:rFonts w:ascii="Cambria Math" w:hAnsi="Cambria Math"/>
                <w:i/>
                <w:sz w:val="20"/>
              </w:rPr>
            </m:ctrlPr>
          </m:sSupPr>
          <m:e>
            <m:r>
              <w:rPr>
                <w:rFonts w:ascii="Cambria Math" w:hAnsi="Cambria Math"/>
                <w:sz w:val="20"/>
              </w:rPr>
              <m:t>T</m:t>
            </m:r>
          </m:e>
          <m:sup>
            <m:r>
              <w:rPr>
                <w:rFonts w:ascii="Cambria Math" w:hAnsi="Cambria Math"/>
                <w:sz w:val="20"/>
              </w:rPr>
              <m:t>-1</m:t>
            </m:r>
          </m:sup>
        </m:sSup>
        <m:d>
          <m:dPr>
            <m:ctrlPr>
              <w:rPr>
                <w:rFonts w:ascii="Cambria Math" w:hAnsi="Cambria Math"/>
                <w:i/>
                <w:sz w:val="20"/>
              </w:rPr>
            </m:ctrlPr>
          </m:dPr>
          <m:e>
            <m:r>
              <w:rPr>
                <w:rFonts w:ascii="Cambria Math" w:hAnsi="Cambria Math"/>
                <w:sz w:val="20"/>
              </w:rPr>
              <m:t>α,df</m:t>
            </m:r>
          </m:e>
        </m:d>
        <m:r>
          <w:rPr>
            <w:rFonts w:ascii="Cambria Math" w:hAnsi="Cambria Math"/>
            <w:sz w:val="20"/>
          </w:rPr>
          <m:t>+</m:t>
        </m:r>
        <m:sSup>
          <m:sSupPr>
            <m:ctrlPr>
              <w:rPr>
                <w:rFonts w:ascii="Cambria Math" w:hAnsi="Cambria Math"/>
                <w:i/>
                <w:sz w:val="20"/>
              </w:rPr>
            </m:ctrlPr>
          </m:sSupPr>
          <m:e>
            <m:r>
              <w:rPr>
                <w:rFonts w:ascii="Cambria Math" w:hAnsi="Cambria Math"/>
                <w:sz w:val="20"/>
              </w:rPr>
              <m:t>T</m:t>
            </m:r>
          </m:e>
          <m:sup>
            <m:r>
              <w:rPr>
                <w:rFonts w:ascii="Cambria Math" w:hAnsi="Cambria Math"/>
                <w:sz w:val="20"/>
              </w:rPr>
              <m:t>-1</m:t>
            </m:r>
          </m:sup>
        </m:sSup>
        <m:d>
          <m:dPr>
            <m:ctrlPr>
              <w:rPr>
                <w:rFonts w:ascii="Cambria Math" w:hAnsi="Cambria Math"/>
                <w:i/>
                <w:sz w:val="20"/>
              </w:rPr>
            </m:ctrlPr>
          </m:dPr>
          <m:e>
            <m:r>
              <w:rPr>
                <w:rFonts w:ascii="Cambria Math" w:hAnsi="Cambria Math"/>
                <w:sz w:val="20"/>
              </w:rPr>
              <m:t>2*(1-β),df</m:t>
            </m:r>
          </m:e>
        </m:d>
      </m:oMath>
      <w:r w:rsidRPr="00D90EFB" w:rsidR="000F349B">
        <w:rPr>
          <w:sz w:val="20"/>
        </w:rPr>
        <w:t xml:space="preserve"> </w:t>
      </w:r>
      <w:r w:rsidR="000F349B">
        <w:rPr>
          <w:sz w:val="20"/>
        </w:rPr>
        <w:t xml:space="preserve">where </w:t>
      </w:r>
      <m:oMath>
        <m:r>
          <w:rPr>
            <w:rFonts w:ascii="Cambria Math" w:hAnsi="Cambria Math"/>
            <w:sz w:val="20"/>
          </w:rPr>
          <m:t>α</m:t>
        </m:r>
      </m:oMath>
      <w:r w:rsidRPr="00D90EFB" w:rsidR="000F349B">
        <w:rPr>
          <w:sz w:val="20"/>
        </w:rPr>
        <w:t xml:space="preserve"> </w:t>
      </w:r>
      <w:r w:rsidR="000F349B">
        <w:rPr>
          <w:sz w:val="20"/>
        </w:rPr>
        <w:t xml:space="preserve">is the significance level (0.05), </w:t>
      </w:r>
      <m:oMath>
        <m:r>
          <w:rPr>
            <w:rFonts w:ascii="Cambria Math" w:hAnsi="Cambria Math"/>
            <w:sz w:val="20"/>
          </w:rPr>
          <m:t>β</m:t>
        </m:r>
      </m:oMath>
      <w:r w:rsidRPr="00D90EFB" w:rsidR="000F349B">
        <w:rPr>
          <w:sz w:val="20"/>
        </w:rPr>
        <w:t xml:space="preserve"> </w:t>
      </w:r>
      <w:r w:rsidR="000F349B">
        <w:rPr>
          <w:sz w:val="20"/>
        </w:rPr>
        <w:t>is the power (80%),</w:t>
      </w:r>
      <w:r w:rsidRPr="00D90EFB" w:rsidR="000F349B">
        <w:rPr>
          <w:sz w:val="20"/>
        </w:rPr>
        <w:t xml:space="preserve"> </w:t>
      </w:r>
      <m:oMath>
        <m:sSup>
          <m:sSupPr>
            <m:ctrlPr>
              <w:rPr>
                <w:rFonts w:ascii="Cambria Math" w:hAnsi="Cambria Math"/>
                <w:i/>
                <w:sz w:val="20"/>
              </w:rPr>
            </m:ctrlPr>
          </m:sSupPr>
          <m:e>
            <m:r>
              <w:rPr>
                <w:rFonts w:ascii="Cambria Math" w:hAnsi="Cambria Math"/>
                <w:sz w:val="20"/>
              </w:rPr>
              <m:t>T</m:t>
            </m:r>
          </m:e>
          <m:sup>
            <m:r>
              <w:rPr>
                <w:rFonts w:ascii="Cambria Math" w:hAnsi="Cambria Math"/>
                <w:sz w:val="20"/>
              </w:rPr>
              <m:t>-1</m:t>
            </m:r>
          </m:sup>
        </m:sSup>
        <m:d>
          <m:dPr>
            <m:ctrlPr>
              <w:rPr>
                <w:rFonts w:ascii="Cambria Math" w:hAnsi="Cambria Math"/>
                <w:i/>
                <w:sz w:val="20"/>
              </w:rPr>
            </m:ctrlPr>
          </m:dPr>
          <m:e>
            <m:r>
              <w:rPr>
                <w:rFonts w:ascii="Cambria Math" w:hAnsi="Cambria Math"/>
                <w:sz w:val="20"/>
              </w:rPr>
              <m:t>A, df</m:t>
            </m:r>
          </m:e>
        </m:d>
      </m:oMath>
      <w:r w:rsidR="000F349B">
        <w:rPr>
          <w:sz w:val="20"/>
        </w:rPr>
        <w:t xml:space="preserve"> is the inverse of the student’s </w:t>
      </w:r>
      <w:r w:rsidRPr="00473A9F" w:rsidR="000F349B">
        <w:rPr>
          <w:i/>
          <w:iCs/>
          <w:sz w:val="20"/>
        </w:rPr>
        <w:t>t</w:t>
      </w:r>
      <w:r w:rsidR="000F349B">
        <w:rPr>
          <w:sz w:val="20"/>
        </w:rPr>
        <w:t xml:space="preserve"> distribution function evaluated at </w:t>
      </w:r>
      <m:oMath>
        <m:r>
          <w:rPr>
            <w:rFonts w:ascii="Cambria Math" w:hAnsi="Cambria Math"/>
            <w:sz w:val="20"/>
          </w:rPr>
          <m:t>A</m:t>
        </m:r>
      </m:oMath>
      <w:r w:rsidR="000F349B">
        <w:rPr>
          <w:sz w:val="20"/>
        </w:rPr>
        <w:t xml:space="preserve"> with </w:t>
      </w:r>
      <m:oMath>
        <m:r>
          <w:rPr>
            <w:rFonts w:ascii="Cambria Math" w:hAnsi="Cambria Math"/>
            <w:sz w:val="20"/>
          </w:rPr>
          <m:t>df</m:t>
        </m:r>
      </m:oMath>
      <w:r w:rsidR="000F349B">
        <w:rPr>
          <w:sz w:val="20"/>
        </w:rPr>
        <w:t xml:space="preserve"> degrees of </w:t>
      </w:r>
      <w:r w:rsidR="000F349B">
        <w:rPr>
          <w:sz w:val="20"/>
        </w:rPr>
        <w:lastRenderedPageBreak/>
        <w:t xml:space="preserve">freedom, and </w:t>
      </w:r>
      <m:oMath>
        <m:r>
          <w:rPr>
            <w:rFonts w:ascii="Cambria Math" w:hAnsi="Cambria Math"/>
            <w:sz w:val="20"/>
          </w:rPr>
          <m:t>df</m:t>
        </m:r>
      </m:oMath>
      <w:r w:rsidR="000F349B">
        <w:rPr>
          <w:sz w:val="20"/>
        </w:rPr>
        <w:t xml:space="preserve"> is equal to the sample size (after accou</w:t>
      </w:r>
      <w:proofErr w:type="spellStart"/>
      <w:r w:rsidR="000F349B">
        <w:rPr>
          <w:sz w:val="20"/>
        </w:rPr>
        <w:t>nting</w:t>
      </w:r>
      <w:proofErr w:type="spellEnd"/>
      <w:r w:rsidR="000F349B">
        <w:rPr>
          <w:sz w:val="20"/>
        </w:rPr>
        <w:t xml:space="preserve"> for attrition) minus 2. </w:t>
      </w:r>
      <m:oMath>
        <m:sSup>
          <m:sSupPr>
            <m:ctrlPr>
              <w:rPr>
                <w:rFonts w:ascii="Cambria Math" w:hAnsi="Cambria Math"/>
                <w:color w:val="000000"/>
                <w:sz w:val="20"/>
              </w:rPr>
            </m:ctrlPr>
          </m:sSupPr>
          <m:e>
            <m:r>
              <m:rPr>
                <m:sty m:val="p"/>
              </m:rPr>
              <w:rPr>
                <w:rFonts w:ascii="Cambria Math" w:hAnsi="Cambria Math"/>
                <w:color w:val="000000"/>
                <w:sz w:val="20"/>
              </w:rPr>
              <m:t>R</m:t>
            </m:r>
          </m:e>
          <m:sup>
            <m:r>
              <m:rPr>
                <m:sty m:val="p"/>
              </m:rPr>
              <w:rPr>
                <w:rFonts w:ascii="Cambria Math" w:hAnsi="Cambria Math"/>
                <w:color w:val="000000"/>
                <w:sz w:val="20"/>
                <w:vertAlign w:val="superscript"/>
              </w:rPr>
              <m:t>2</m:t>
            </m:r>
          </m:sup>
        </m:sSup>
      </m:oMath>
      <w:r w:rsidRPr="00473A9F" w:rsidR="000F349B">
        <w:rPr>
          <w:rFonts w:ascii="Calibri" w:hAnsi="Calibri"/>
          <w:color w:val="000000"/>
          <w:sz w:val="20"/>
        </w:rPr>
        <w:t xml:space="preserve"> </w:t>
      </w:r>
      <w:r w:rsidRPr="00473A9F" w:rsidR="000F349B">
        <w:rPr>
          <w:color w:val="000000"/>
          <w:sz w:val="20"/>
        </w:rPr>
        <w:t>is</w:t>
      </w:r>
      <w:r w:rsidRPr="00473A9F" w:rsidR="000F349B">
        <w:rPr>
          <w:rFonts w:ascii="Calibri" w:hAnsi="Calibri"/>
          <w:color w:val="000000"/>
          <w:sz w:val="20"/>
        </w:rPr>
        <w:t xml:space="preserve"> </w:t>
      </w:r>
      <w:r w:rsidRPr="00473A9F" w:rsidR="000F349B">
        <w:rPr>
          <w:color w:val="000000"/>
          <w:sz w:val="20"/>
        </w:rPr>
        <w:t>the proportion of variation in the outcome</w:t>
      </w:r>
      <w:r w:rsidRPr="00473A9F" w:rsidR="000F349B">
        <w:rPr>
          <w:rFonts w:ascii="Calibri" w:hAnsi="Calibri"/>
          <w:color w:val="000000"/>
          <w:sz w:val="20"/>
        </w:rPr>
        <w:t xml:space="preserve"> </w:t>
      </w:r>
      <w:r w:rsidRPr="00473A9F" w:rsidR="000F349B">
        <w:rPr>
          <w:color w:val="000000"/>
          <w:sz w:val="20"/>
        </w:rPr>
        <w:t>explained by covariates (</w:t>
      </w:r>
      <w:r w:rsidR="000F349B">
        <w:rPr>
          <w:color w:val="000000"/>
          <w:sz w:val="20"/>
        </w:rPr>
        <w:t>20%</w:t>
      </w:r>
      <w:r w:rsidRPr="00473A9F" w:rsidR="000F349B">
        <w:rPr>
          <w:color w:val="000000"/>
          <w:sz w:val="20"/>
        </w:rPr>
        <w:t>), and</w:t>
      </w:r>
      <w:r w:rsidRPr="00473A9F" w:rsidR="000F349B">
        <w:rPr>
          <w:rFonts w:ascii="Calibri" w:hAnsi="Calibri"/>
          <w:color w:val="000000"/>
          <w:sz w:val="20"/>
        </w:rPr>
        <w:t xml:space="preserve"> </w:t>
      </w:r>
      <m:oMath>
        <m:sSub>
          <m:sSubPr>
            <m:ctrlPr>
              <w:rPr>
                <w:rFonts w:ascii="Cambria Math" w:hAnsi="Cambria Math"/>
                <w:i/>
                <w:color w:val="000000"/>
                <w:sz w:val="20"/>
              </w:rPr>
            </m:ctrlPr>
          </m:sSubPr>
          <m:e>
            <m:r>
              <w:rPr>
                <w:rFonts w:ascii="Cambria Math" w:hAnsi="Cambria Math"/>
                <w:color w:val="000000"/>
                <w:sz w:val="20"/>
              </w:rPr>
              <m:t>N</m:t>
            </m:r>
          </m:e>
          <m:sub>
            <m:r>
              <w:rPr>
                <w:rFonts w:ascii="Cambria Math" w:hAnsi="Cambria Math"/>
                <w:color w:val="000000"/>
                <w:sz w:val="20"/>
              </w:rPr>
              <m:t>T</m:t>
            </m:r>
          </m:sub>
        </m:sSub>
      </m:oMath>
      <w:r w:rsidRPr="00473A9F" w:rsidR="000F349B">
        <w:rPr>
          <w:rFonts w:ascii="Calibri" w:hAnsi="Calibri"/>
          <w:color w:val="000000"/>
          <w:sz w:val="20"/>
        </w:rPr>
        <w:t xml:space="preserve"> </w:t>
      </w:r>
      <w:r w:rsidRPr="00473A9F" w:rsidR="000F349B">
        <w:rPr>
          <w:color w:val="000000"/>
          <w:sz w:val="20"/>
        </w:rPr>
        <w:t>and</w:t>
      </w:r>
      <w:r w:rsidRPr="00473A9F" w:rsidR="000F349B">
        <w:rPr>
          <w:rFonts w:ascii="Calibri" w:hAnsi="Calibri"/>
          <w:color w:val="000000"/>
          <w:sz w:val="20"/>
        </w:rPr>
        <w:t xml:space="preserve"> </w:t>
      </w:r>
      <m:oMath>
        <m:sSub>
          <m:sSubPr>
            <m:ctrlPr>
              <w:rPr>
                <w:rFonts w:ascii="Cambria Math" w:hAnsi="Cambria Math"/>
                <w:i/>
                <w:color w:val="000000"/>
                <w:sz w:val="20"/>
              </w:rPr>
            </m:ctrlPr>
          </m:sSubPr>
          <m:e>
            <m:r>
              <w:rPr>
                <w:rFonts w:ascii="Cambria Math" w:hAnsi="Cambria Math"/>
                <w:color w:val="000000"/>
                <w:sz w:val="20"/>
              </w:rPr>
              <m:t>N</m:t>
            </m:r>
          </m:e>
          <m:sub>
            <m:r>
              <w:rPr>
                <w:rFonts w:ascii="Cambria Math" w:hAnsi="Cambria Math"/>
                <w:color w:val="000000"/>
                <w:sz w:val="20"/>
              </w:rPr>
              <m:t>C</m:t>
            </m:r>
          </m:sub>
        </m:sSub>
      </m:oMath>
      <w:r w:rsidRPr="00473A9F" w:rsidR="000F349B">
        <w:rPr>
          <w:rFonts w:ascii="Calibri" w:hAnsi="Calibri"/>
          <w:color w:val="000000"/>
          <w:sz w:val="20"/>
        </w:rPr>
        <w:t xml:space="preserve"> </w:t>
      </w:r>
      <w:r w:rsidRPr="00473A9F" w:rsidR="000F349B">
        <w:rPr>
          <w:color w:val="000000"/>
          <w:sz w:val="20"/>
        </w:rPr>
        <w:t xml:space="preserve">refer to the sample size in the treatment and control group, respectively, after accounting for </w:t>
      </w:r>
      <w:proofErr w:type="gramStart"/>
      <w:r w:rsidRPr="00473A9F" w:rsidR="000F349B">
        <w:rPr>
          <w:color w:val="000000"/>
          <w:sz w:val="20"/>
        </w:rPr>
        <w:t>attrition.</w:t>
      </w:r>
      <w:proofErr w:type="gramEnd"/>
    </w:p>
    <w:p w:rsidR="00590187" w:rsidP="00FD0C72" w:rsidRDefault="00590187" w14:paraId="77BF0D3F" w14:textId="77777777">
      <w:pPr>
        <w:spacing w:line="240" w:lineRule="auto"/>
      </w:pPr>
    </w:p>
    <w:p w:rsidRPr="009018B3" w:rsidR="00590187" w:rsidP="00217B66" w:rsidRDefault="00C11EE1" w14:paraId="776C1123" w14:textId="3567DE9C">
      <w:pPr>
        <w:pStyle w:val="H5Lower"/>
      </w:pPr>
      <w:bookmarkStart w:name="_Toc396726848" w:id="5"/>
      <w:bookmarkStart w:name="_Toc436939714" w:id="6"/>
      <w:r>
        <w:t>c</w:t>
      </w:r>
      <w:r w:rsidR="00590187">
        <w:t>.</w:t>
      </w:r>
      <w:r w:rsidR="00590187">
        <w:tab/>
        <w:t>Statistical methodology for sample selection</w:t>
      </w:r>
      <w:bookmarkEnd w:id="5"/>
      <w:bookmarkEnd w:id="6"/>
    </w:p>
    <w:p w:rsidR="00914A39" w:rsidP="00C005FB" w:rsidRDefault="00914A39" w14:paraId="5A85BDAB" w14:textId="77777777">
      <w:pPr>
        <w:pStyle w:val="NormalSS"/>
        <w:spacing w:after="0"/>
        <w:rPr>
          <w:szCs w:val="24"/>
        </w:rPr>
      </w:pPr>
    </w:p>
    <w:p w:rsidRPr="00D024EB" w:rsidR="00590187" w:rsidP="00217B66" w:rsidRDefault="00590187" w14:paraId="5D46A0CD" w14:textId="07BBE19F">
      <w:pPr>
        <w:pStyle w:val="NormalSS"/>
        <w:spacing w:after="0"/>
      </w:pPr>
      <w:r w:rsidRPr="00E212E3">
        <w:rPr>
          <w:szCs w:val="24"/>
        </w:rPr>
        <w:t xml:space="preserve">All participants who meet the program eligibility requirements and consent to be part of the study will be subject to random assignment. </w:t>
      </w:r>
      <w:r>
        <w:rPr>
          <w:szCs w:val="24"/>
        </w:rPr>
        <w:t xml:space="preserve">Stratified random assignment will be conducted online using </w:t>
      </w:r>
      <w:r>
        <w:t>RAPTER® with pre-specified random assignment strings, developed separately for each sample intake location. Strata will be formed using information from the baseline survey and program application forms to ensure the research groups are balanced along key dimensions such as age, special populations, and those targeted for specific occupations.</w:t>
      </w:r>
    </w:p>
    <w:p w:rsidR="00914A39" w:rsidP="00C005FB" w:rsidRDefault="00914A39" w14:paraId="1E2CC1BD" w14:textId="77777777">
      <w:pPr>
        <w:pStyle w:val="H3Alpha"/>
        <w:spacing w:after="0"/>
      </w:pPr>
      <w:bookmarkStart w:name="_Toc436939715" w:id="7"/>
    </w:p>
    <w:p w:rsidRPr="009018B3" w:rsidR="00590187" w:rsidP="00C005FB" w:rsidRDefault="00590187" w14:paraId="60DB2E95" w14:textId="6AC5264A">
      <w:pPr>
        <w:pStyle w:val="H3Alpha"/>
        <w:spacing w:after="0"/>
      </w:pPr>
      <w:r w:rsidRPr="009018B3">
        <w:t>B.</w:t>
      </w:r>
      <w:r w:rsidR="00C11EE1">
        <w:t>I.</w:t>
      </w:r>
      <w:r w:rsidRPr="009018B3">
        <w:t>3. Methods to maximize response rates and minimize nonresponse</w:t>
      </w:r>
      <w:bookmarkEnd w:id="7"/>
    </w:p>
    <w:p w:rsidR="00914A39" w:rsidP="00C005FB" w:rsidRDefault="00914A39" w14:paraId="48622BE9" w14:textId="77777777">
      <w:pPr>
        <w:pStyle w:val="NormalSS"/>
        <w:spacing w:after="0"/>
      </w:pPr>
    </w:p>
    <w:p w:rsidR="00590187" w:rsidP="00C005FB" w:rsidRDefault="00F4654B" w14:paraId="5396F8B9" w14:textId="08876DFA">
      <w:pPr>
        <w:pStyle w:val="NormalSS"/>
        <w:spacing w:after="0"/>
      </w:pPr>
      <w:r>
        <w:t>The study is expected</w:t>
      </w:r>
      <w:r w:rsidR="00590187">
        <w:t xml:space="preserve"> to collect baseline information from 5,000 participants in up to 10 grantee sites. I</w:t>
      </w:r>
      <w:r w:rsidRPr="0044461C" w:rsidR="00590187">
        <w:t xml:space="preserve">n each </w:t>
      </w:r>
      <w:r w:rsidR="00590187">
        <w:t xml:space="preserve">site </w:t>
      </w:r>
      <w:r w:rsidRPr="0044461C" w:rsidR="00590187">
        <w:t xml:space="preserve">selected for the </w:t>
      </w:r>
      <w:r w:rsidR="00590187">
        <w:t>evaluation</w:t>
      </w:r>
      <w:r w:rsidRPr="0044461C" w:rsidR="00590187">
        <w:t xml:space="preserve">, </w:t>
      </w:r>
      <w:r w:rsidR="00590187">
        <w:t>grantee</w:t>
      </w:r>
      <w:r w:rsidRPr="0044461C" w:rsidR="00590187">
        <w:t xml:space="preserve"> staff will</w:t>
      </w:r>
      <w:r w:rsidR="00590187">
        <w:t xml:space="preserve"> </w:t>
      </w:r>
      <w:r w:rsidRPr="0044461C" w:rsidR="00590187">
        <w:t>administer the consent form</w:t>
      </w:r>
      <w:r w:rsidR="00590187">
        <w:t xml:space="preserve"> to participants</w:t>
      </w:r>
      <w:r w:rsidRPr="0044461C" w:rsidR="00590187">
        <w:t>. If the</w:t>
      </w:r>
      <w:r w:rsidR="00590187">
        <w:t xml:space="preserve"> participant</w:t>
      </w:r>
      <w:r w:rsidRPr="0044461C" w:rsidR="00590187">
        <w:t xml:space="preserve"> </w:t>
      </w:r>
      <w:r w:rsidR="00590187">
        <w:t>consents to participate in the evaluation</w:t>
      </w:r>
      <w:r w:rsidRPr="0044461C" w:rsidR="00590187">
        <w:t>, staff will enter the person’s identifying and contact information into RAPTER</w:t>
      </w:r>
      <w:r w:rsidRPr="0044461C" w:rsidR="00590187">
        <w:rPr>
          <w:vertAlign w:val="superscript"/>
        </w:rPr>
        <w:t>®</w:t>
      </w:r>
      <w:r w:rsidR="00590187">
        <w:t>, a secure, web-based system, to make sure the participant has not been enrolled in the study</w:t>
      </w:r>
      <w:r w:rsidRPr="0044461C" w:rsidR="00590187">
        <w:t>.</w:t>
      </w:r>
      <w:r w:rsidR="00590187">
        <w:t xml:space="preserve"> New study enrollees will then be asked to respond to the baseline survey.</w:t>
      </w:r>
      <w:r w:rsidRPr="0044461C" w:rsidR="00590187">
        <w:t xml:space="preserve"> </w:t>
      </w:r>
      <w:r w:rsidR="00590187">
        <w:t xml:space="preserve">The study team will make use of survey methods and best practices to encourage high response rates while minimizing burden and non-response. These methods include: </w:t>
      </w:r>
    </w:p>
    <w:p w:rsidR="00914A39" w:rsidP="00C005FB" w:rsidRDefault="00914A39" w14:paraId="19638D01" w14:textId="77777777">
      <w:pPr>
        <w:pStyle w:val="NormalSS"/>
        <w:spacing w:after="0"/>
        <w:rPr>
          <w:b/>
        </w:rPr>
      </w:pPr>
    </w:p>
    <w:p w:rsidR="00590187" w:rsidP="00C005FB" w:rsidRDefault="00590187" w14:paraId="61D0AEF1" w14:textId="48199B31">
      <w:pPr>
        <w:pStyle w:val="NormalSS"/>
        <w:spacing w:after="0"/>
      </w:pPr>
      <w:r w:rsidRPr="001A27F7">
        <w:rPr>
          <w:b/>
        </w:rPr>
        <w:t>Web administration.</w:t>
      </w:r>
      <w:r>
        <w:t xml:space="preserve"> It is anticipated that most respondents will prefer to complete the survey online. This choice allows the respondent to complete on their own schedule and pace, as well as complete the survey over multiple sessions. The web survey system used by the data collection team also supports mobile browsers, such as tablets or cellular phones.    </w:t>
      </w:r>
    </w:p>
    <w:p w:rsidR="00914A39" w:rsidP="00C005FB" w:rsidRDefault="00914A39" w14:paraId="03C8E7FA" w14:textId="77777777">
      <w:pPr>
        <w:pStyle w:val="NormalSS"/>
        <w:spacing w:after="0"/>
        <w:rPr>
          <w:b/>
        </w:rPr>
      </w:pPr>
    </w:p>
    <w:p w:rsidR="00590187" w:rsidP="00C005FB" w:rsidRDefault="00590187" w14:paraId="1DD4364F" w14:textId="22431D54">
      <w:pPr>
        <w:pStyle w:val="NormalSS"/>
        <w:spacing w:after="0"/>
      </w:pPr>
      <w:r w:rsidRPr="001A27F7">
        <w:rPr>
          <w:b/>
        </w:rPr>
        <w:t>Multiple modes of administration.</w:t>
      </w:r>
      <w:r>
        <w:t xml:space="preserve"> </w:t>
      </w:r>
      <w:r w:rsidRPr="008E12A0">
        <w:t xml:space="preserve">Program staff will either administer the baseline survey </w:t>
      </w:r>
      <w:r>
        <w:t xml:space="preserve">or the participant </w:t>
      </w:r>
      <w:r w:rsidRPr="008E12A0">
        <w:t>will self-administer</w:t>
      </w:r>
      <w:r>
        <w:t xml:space="preserve"> the survey online</w:t>
      </w:r>
      <w:r w:rsidRPr="008E12A0">
        <w:t>.</w:t>
      </w:r>
      <w:r>
        <w:t xml:space="preserve"> </w:t>
      </w:r>
      <w:r w:rsidRPr="0064790C">
        <w:t xml:space="preserve">To comply with Section 508 of the Rehabilitation Act, </w:t>
      </w:r>
      <w:r>
        <w:t xml:space="preserve">participants </w:t>
      </w:r>
      <w:r w:rsidRPr="0064790C">
        <w:t>who may have difficulty completing a web survey will be offered the option of completing the survey by telephone.</w:t>
      </w:r>
      <w:r>
        <w:t xml:space="preserve">  </w:t>
      </w:r>
    </w:p>
    <w:p w:rsidR="00914A39" w:rsidP="00C005FB" w:rsidRDefault="00914A39" w14:paraId="536AAE26" w14:textId="77777777">
      <w:pPr>
        <w:pStyle w:val="NormalSS"/>
        <w:spacing w:after="0"/>
        <w:rPr>
          <w:b/>
        </w:rPr>
      </w:pPr>
    </w:p>
    <w:p w:rsidR="00590187" w:rsidP="00C005FB" w:rsidRDefault="00590187" w14:paraId="7134379C" w14:textId="15E37E22">
      <w:pPr>
        <w:pStyle w:val="NormalSS"/>
        <w:spacing w:after="0"/>
      </w:pPr>
      <w:r w:rsidRPr="00930B11">
        <w:rPr>
          <w:b/>
        </w:rPr>
        <w:t>Technology to reduce burden.</w:t>
      </w:r>
      <w:r>
        <w:t xml:space="preserve"> </w:t>
      </w:r>
      <w:r w:rsidRPr="00930B11">
        <w:t xml:space="preserve">To reduce burden, the </w:t>
      </w:r>
      <w:r>
        <w:t xml:space="preserve">baseline </w:t>
      </w:r>
      <w:r w:rsidRPr="00930B11">
        <w:t>survey will employ drop-down response categories so respondents can quickly select from a list, dynamic questions and automated skip patterns so respondents only see those questions that apply to them (including those based on answers provided previously in the survey), and logical rules for responses so respondents’ answers are restricted to those intended by the question.</w:t>
      </w:r>
      <w:r>
        <w:t xml:space="preserve"> </w:t>
      </w:r>
      <w:r w:rsidRPr="00930B11">
        <w:t>These features should minimize data entry burden by participants and facilitate high quality responses.</w:t>
      </w:r>
    </w:p>
    <w:p w:rsidR="00914A39" w:rsidP="00C005FB" w:rsidRDefault="00914A39" w14:paraId="0C16013E" w14:textId="77777777">
      <w:pPr>
        <w:pStyle w:val="NormalSS"/>
        <w:spacing w:after="0"/>
        <w:rPr>
          <w:b/>
        </w:rPr>
      </w:pPr>
    </w:p>
    <w:p w:rsidR="00590187" w:rsidP="00C005FB" w:rsidRDefault="000F349B" w14:paraId="7B463D60" w14:textId="37912187">
      <w:pPr>
        <w:pStyle w:val="NormalSS"/>
        <w:spacing w:after="0"/>
      </w:pPr>
      <w:r>
        <w:rPr>
          <w:b/>
          <w:bCs/>
        </w:rPr>
        <w:t>Use a tested questionnaire.</w:t>
      </w:r>
      <w:r>
        <w:t xml:space="preserve"> The collection of baseline data has been tailored to the specific circumstances of this evaluation, yet is based closely on prior baseline surveys. These include the America’s Promise Job Driven Grant Program Evaluation (OMB control number pending), the Parents and Children Together Evaluation (OMB control number 0970-0403), the Evaluation of the Supplemental Nutrition Assistance Program (SNAP) Employment and Training Pilots </w:t>
      </w:r>
      <w:r>
        <w:lastRenderedPageBreak/>
        <w:t>baseline survey (OMB control number 0584-0604), and the Trade Adjustment Assistance Evaluation (TAA) (OMB control number 1205-0460). These prior instruments were extensively tested using interviews, cognitive interviews, or debrief sessions under each of these evaluations with populations that are similar to this study. These populations include active participants of SNAP employment and training services, individuals receiving economic stability services funded by Responsible Fatherhood or Healthy Marriage grants, individuals who received a Trade Readjustment Allowance payment to cover employment/retraining services, and America’s Promise grantees. In addition, the Parents and Children Together Evaluation, the Evaluation of the Supplemental Nutrition Assistance Program Employment and Training, and the Trade Adjustment Assistance Evaluation (TAA) have successfully fielded their instruments.</w:t>
      </w:r>
    </w:p>
    <w:p w:rsidR="00914A39" w:rsidP="00C005FB" w:rsidRDefault="00914A39" w14:paraId="1055E687" w14:textId="77777777">
      <w:pPr>
        <w:pStyle w:val="NormalSS"/>
        <w:spacing w:after="0"/>
        <w:rPr>
          <w:b/>
        </w:rPr>
      </w:pPr>
    </w:p>
    <w:p w:rsidR="00590187" w:rsidP="00C005FB" w:rsidRDefault="00590187" w14:paraId="50AD86AF" w14:textId="414D615F">
      <w:pPr>
        <w:pStyle w:val="NormalSS"/>
        <w:spacing w:after="0"/>
      </w:pPr>
      <w:r w:rsidRPr="009018B3">
        <w:rPr>
          <w:b/>
        </w:rPr>
        <w:t>Methods to ensure data reliability.</w:t>
      </w:r>
      <w:r w:rsidRPr="009018B3">
        <w:t xml:space="preserve"> </w:t>
      </w:r>
      <w:r w:rsidR="00F4654B">
        <w:t>The study</w:t>
      </w:r>
      <w:r w:rsidRPr="009018B3">
        <w:t xml:space="preserve"> will use several well-proven strategies to ensure the reliability of the </w:t>
      </w:r>
      <w:r>
        <w:t xml:space="preserve">survey </w:t>
      </w:r>
      <w:r w:rsidRPr="009018B3">
        <w:t>data</w:t>
      </w:r>
      <w:r>
        <w:t xml:space="preserve">. </w:t>
      </w:r>
      <w:r w:rsidRPr="002D7A14">
        <w:t xml:space="preserve">The survey </w:t>
      </w:r>
      <w:r>
        <w:t>will be</w:t>
      </w:r>
      <w:r w:rsidRPr="002D7A14">
        <w:t xml:space="preserve"> extensively reviewed by project staff</w:t>
      </w:r>
      <w:r>
        <w:t xml:space="preserve">, </w:t>
      </w:r>
      <w:r w:rsidRPr="002D7A14">
        <w:t xml:space="preserve">staff at </w:t>
      </w:r>
      <w:r>
        <w:t xml:space="preserve">DOL, and a Technical Working Group (TWG). These steps have been taken to make the questions as simple and straightforward as possible while targeting a consistent interpretation across participants and grantees.   </w:t>
      </w:r>
    </w:p>
    <w:p w:rsidR="00914A39" w:rsidP="00C005FB" w:rsidRDefault="00914A39" w14:paraId="665012E5" w14:textId="77777777">
      <w:pPr>
        <w:pStyle w:val="NormalSS"/>
        <w:spacing w:after="0"/>
      </w:pPr>
    </w:p>
    <w:p w:rsidR="00590187" w:rsidP="00C005FB" w:rsidRDefault="00590187" w14:paraId="2C14B653" w14:textId="40CF7BA2">
      <w:pPr>
        <w:pStyle w:val="NormalSS"/>
        <w:spacing w:after="0"/>
      </w:pPr>
      <w:r>
        <w:t xml:space="preserve">The online baseline will include checks to prevent outlier entry. </w:t>
      </w:r>
      <w:r w:rsidRPr="002D7A14">
        <w:t>Additionally, to ensure that res</w:t>
      </w:r>
      <w:r>
        <w:t xml:space="preserve">pondents answer questions, all </w:t>
      </w:r>
      <w:r w:rsidRPr="002D7A14">
        <w:t xml:space="preserve">respondents are </w:t>
      </w:r>
      <w:r>
        <w:t xml:space="preserve">informed </w:t>
      </w:r>
      <w:r w:rsidRPr="002D7A14">
        <w:t xml:space="preserve">of the privacy </w:t>
      </w:r>
      <w:r>
        <w:t xml:space="preserve">of their responses and that reports will never identify a </w:t>
      </w:r>
      <w:r w:rsidR="009A144A">
        <w:t xml:space="preserve">respondent’s </w:t>
      </w:r>
      <w:r>
        <w:t xml:space="preserve">specific data and that </w:t>
      </w:r>
      <w:r w:rsidR="009A144A">
        <w:t xml:space="preserve">respondent </w:t>
      </w:r>
      <w:r>
        <w:t xml:space="preserve">names will remain private. </w:t>
      </w:r>
    </w:p>
    <w:p w:rsidR="00914A39" w:rsidP="00C005FB" w:rsidRDefault="00914A39" w14:paraId="48307533" w14:textId="77777777">
      <w:pPr>
        <w:pStyle w:val="NormalSS"/>
        <w:spacing w:after="0"/>
      </w:pPr>
    </w:p>
    <w:p w:rsidR="00590187" w:rsidP="00C005FB" w:rsidRDefault="00590187" w14:paraId="31A36452" w14:textId="02AD29FD">
      <w:pPr>
        <w:pStyle w:val="NormalSS"/>
        <w:spacing w:after="0"/>
      </w:pPr>
      <w:r w:rsidRPr="007F616F">
        <w:t xml:space="preserve">The evaluation team will train and provide written materials to all program staff on administering consent, collecting and identifying contact information from participants, </w:t>
      </w:r>
      <w:r>
        <w:t xml:space="preserve">and </w:t>
      </w:r>
      <w:r w:rsidRPr="007F616F">
        <w:t>administering the baseline survey</w:t>
      </w:r>
      <w:r>
        <w:t xml:space="preserve">. </w:t>
      </w:r>
    </w:p>
    <w:p w:rsidR="00914A39" w:rsidP="00C005FB" w:rsidRDefault="00914A39" w14:paraId="16B0F63E" w14:textId="77777777">
      <w:pPr>
        <w:pStyle w:val="NormalSS"/>
        <w:spacing w:after="0"/>
      </w:pPr>
    </w:p>
    <w:p w:rsidRPr="009018B3" w:rsidR="00590187" w:rsidP="00C005FB" w:rsidRDefault="00590187" w14:paraId="644C7348" w14:textId="6E9A74F2">
      <w:pPr>
        <w:pStyle w:val="NormalSS"/>
        <w:spacing w:after="0"/>
      </w:pPr>
      <w:r w:rsidRPr="004223B5">
        <w:t xml:space="preserve">Data from completed </w:t>
      </w:r>
      <w:r>
        <w:t xml:space="preserve">baseline </w:t>
      </w:r>
      <w:r w:rsidRPr="004223B5">
        <w:t xml:space="preserve">surveys will be reviewed throughout the fielding period for accuracy and consistency. </w:t>
      </w:r>
      <w:r>
        <w:t xml:space="preserve">To prepare survey data for analysis, </w:t>
      </w:r>
      <w:r w:rsidR="00F4654B">
        <w:t>the study</w:t>
      </w:r>
      <w:r>
        <w:t xml:space="preserve"> will run data checks, examine frequencies and means, and assess the extent of missing data. Participants that do not complete the baseline survey at all will be excluded from the analysis. </w:t>
      </w:r>
    </w:p>
    <w:p w:rsidR="00914A39" w:rsidP="00C005FB" w:rsidRDefault="00914A39" w14:paraId="784C7DA8" w14:textId="77777777">
      <w:pPr>
        <w:pStyle w:val="H3Alpha"/>
        <w:spacing w:after="0"/>
      </w:pPr>
      <w:bookmarkStart w:name="_Toc436939716" w:id="8"/>
    </w:p>
    <w:p w:rsidRPr="009018B3" w:rsidR="00590187" w:rsidP="00C005FB" w:rsidRDefault="00590187" w14:paraId="63EF74A9" w14:textId="413EAF3D">
      <w:pPr>
        <w:pStyle w:val="H3Alpha"/>
        <w:spacing w:after="0"/>
      </w:pPr>
      <w:r w:rsidRPr="009018B3">
        <w:t>B.</w:t>
      </w:r>
      <w:r w:rsidR="00C11EE1">
        <w:t>I.</w:t>
      </w:r>
      <w:r w:rsidRPr="009018B3">
        <w:t>4. Tests of procedures or methods to be undertaken</w:t>
      </w:r>
      <w:bookmarkEnd w:id="8"/>
    </w:p>
    <w:p w:rsidR="00914A39" w:rsidP="00C005FB" w:rsidRDefault="00914A39" w14:paraId="2A287EE6" w14:textId="77777777">
      <w:pPr>
        <w:pStyle w:val="NormalSS"/>
        <w:spacing w:after="0"/>
      </w:pPr>
    </w:p>
    <w:p w:rsidRPr="009018B3" w:rsidR="00590187" w:rsidP="00C005FB" w:rsidRDefault="00590187" w14:paraId="745B599F" w14:textId="3025833D">
      <w:pPr>
        <w:pStyle w:val="NormalSS"/>
        <w:spacing w:after="0"/>
      </w:pPr>
      <w:r w:rsidRPr="009018B3">
        <w:t xml:space="preserve">All </w:t>
      </w:r>
      <w:r>
        <w:t xml:space="preserve">data collection </w:t>
      </w:r>
      <w:r w:rsidRPr="009018B3">
        <w:t>procedures</w:t>
      </w:r>
      <w:r>
        <w:t xml:space="preserve"> </w:t>
      </w:r>
      <w:r w:rsidRPr="009018B3">
        <w:t xml:space="preserve">and </w:t>
      </w:r>
      <w:r>
        <w:t xml:space="preserve">instruments included in this request </w:t>
      </w:r>
      <w:r w:rsidRPr="009018B3">
        <w:t>to be used in the</w:t>
      </w:r>
      <w:r>
        <w:t xml:space="preserve"> evaluation have been </w:t>
      </w:r>
      <w:r w:rsidRPr="009018B3">
        <w:t>reviewed by content and methodological experts to ensure clarity and optimal ordering of the questions.</w:t>
      </w:r>
    </w:p>
    <w:p w:rsidR="00914A39" w:rsidP="00C005FB" w:rsidRDefault="00914A39" w14:paraId="2E22919F" w14:textId="77777777">
      <w:pPr>
        <w:pStyle w:val="NormalSS"/>
        <w:spacing w:after="0"/>
      </w:pPr>
    </w:p>
    <w:p w:rsidR="00590187" w:rsidP="00C005FB" w:rsidRDefault="00DF1C35" w14:paraId="6F8A2DFB" w14:textId="7B480596">
      <w:pPr>
        <w:pStyle w:val="NormalSS"/>
        <w:spacing w:after="0"/>
      </w:pPr>
      <w:r>
        <w:t xml:space="preserve">Just as the instruments </w:t>
      </w:r>
      <w:r w:rsidR="00C95A39">
        <w:t xml:space="preserve">for the baseline survey are based closely on prior surveys that have been extensively tested </w:t>
      </w:r>
      <w:r w:rsidRPr="004629F9" w:rsidR="00C95A39">
        <w:t>to evaluate the clarity of the questions to be asked, to identify possible modifications to either question wording or question order that could improve the quality of the data, and to estimate respondent burden</w:t>
      </w:r>
      <w:r w:rsidR="00C95A39">
        <w:t xml:space="preserve"> (B.I.3), the procedures used to collect the data will be based closely on the procedures used successfully for similar surveys, which ensures that they can be </w:t>
      </w:r>
      <w:r w:rsidRPr="009018B3" w:rsidR="00590187">
        <w:t>used effectively</w:t>
      </w:r>
      <w:r w:rsidRPr="004629F9" w:rsidR="00590187">
        <w:t xml:space="preserve"> </w:t>
      </w:r>
      <w:r w:rsidR="00590187">
        <w:t>to conduct</w:t>
      </w:r>
      <w:r w:rsidR="00C95A39">
        <w:t xml:space="preserve"> the</w:t>
      </w:r>
      <w:r w:rsidR="00590187">
        <w:t xml:space="preserve"> data collection</w:t>
      </w:r>
      <w:r w:rsidR="00C95A39">
        <w:t xml:space="preserve"> for this study.</w:t>
      </w:r>
      <w:r w:rsidRPr="004629F9" w:rsidR="00590187">
        <w:t xml:space="preserve">. </w:t>
      </w:r>
    </w:p>
    <w:p w:rsidRPr="009018B3" w:rsidR="000F2E30" w:rsidP="00C005FB" w:rsidRDefault="000F2E30" w14:paraId="6963F6E2" w14:textId="77777777">
      <w:pPr>
        <w:pStyle w:val="NormalSS"/>
        <w:spacing w:after="0"/>
      </w:pPr>
    </w:p>
    <w:p w:rsidR="00260ADB" w:rsidP="00C005FB" w:rsidRDefault="00260ADB" w14:paraId="4EF4A6A8" w14:textId="77777777">
      <w:pPr>
        <w:pStyle w:val="H3Alpha"/>
        <w:spacing w:after="0"/>
      </w:pPr>
      <w:bookmarkStart w:name="_Toc436939717" w:id="9"/>
    </w:p>
    <w:p w:rsidRPr="00022FE9" w:rsidR="00590187" w:rsidP="00C005FB" w:rsidRDefault="00590187" w14:paraId="2312F4E4" w14:textId="4670B275">
      <w:pPr>
        <w:pStyle w:val="H3Alpha"/>
        <w:spacing w:after="0"/>
      </w:pPr>
      <w:r w:rsidRPr="00022FE9">
        <w:t>B.</w:t>
      </w:r>
      <w:r w:rsidR="00C11EE1">
        <w:t>I.</w:t>
      </w:r>
      <w:r w:rsidRPr="00022FE9">
        <w:t>5. Individuals consulted on statistical aspects of design and on collecting and/or analyzing data</w:t>
      </w:r>
      <w:bookmarkEnd w:id="9"/>
    </w:p>
    <w:p w:rsidR="00914A39" w:rsidP="00C005FB" w:rsidRDefault="00914A39" w14:paraId="485E0FBD" w14:textId="77777777">
      <w:pPr>
        <w:pStyle w:val="NormalSS"/>
        <w:spacing w:after="0"/>
      </w:pPr>
    </w:p>
    <w:p w:rsidRPr="009018B3" w:rsidR="00590187" w:rsidP="00C005FB" w:rsidRDefault="00590187" w14:paraId="2949884D" w14:textId="2AA3E5E9">
      <w:pPr>
        <w:pStyle w:val="NormalSS"/>
        <w:spacing w:after="0"/>
      </w:pPr>
      <w:r w:rsidRPr="009018B3">
        <w:t xml:space="preserve">Consultations on the methods used in this </w:t>
      </w:r>
      <w:r>
        <w:t>evaluation</w:t>
      </w:r>
      <w:r w:rsidRPr="009018B3">
        <w:t xml:space="preserve"> </w:t>
      </w:r>
      <w:r>
        <w:t>are</w:t>
      </w:r>
      <w:r w:rsidRPr="009018B3">
        <w:t xml:space="preserve"> part of the </w:t>
      </w:r>
      <w:r>
        <w:t>impact design options</w:t>
      </w:r>
      <w:r w:rsidRPr="009018B3">
        <w:t xml:space="preserve"> phase</w:t>
      </w:r>
      <w:r>
        <w:t xml:space="preserve"> of the project</w:t>
      </w:r>
      <w:r w:rsidRPr="009018B3">
        <w:t xml:space="preserve"> to ensure technical soundness. </w:t>
      </w:r>
      <w:r>
        <w:t xml:space="preserve">Consultations include stakeholders within the U.S. Department of Labor and a TWG. Members of the study team and the TWG are listed in </w:t>
      </w:r>
      <w:r w:rsidRPr="009018B3">
        <w:t>Table B.</w:t>
      </w:r>
      <w:r w:rsidR="009A144A">
        <w:t>3</w:t>
      </w:r>
      <w:r w:rsidRPr="009018B3">
        <w:t>.</w:t>
      </w:r>
      <w:r w:rsidRPr="004C63E0">
        <w:t xml:space="preserve"> </w:t>
      </w:r>
    </w:p>
    <w:p w:rsidR="00914A39" w:rsidP="00C005FB" w:rsidRDefault="00914A39" w14:paraId="42386157" w14:textId="77777777">
      <w:pPr>
        <w:pStyle w:val="MarkforTableTitle"/>
        <w:spacing w:after="0"/>
      </w:pPr>
    </w:p>
    <w:p w:rsidR="00590187" w:rsidP="00C005FB" w:rsidRDefault="00590187" w14:paraId="04FEB1AA" w14:textId="6CB7D57D">
      <w:pPr>
        <w:pStyle w:val="MarkforTableTitle"/>
        <w:spacing w:after="0"/>
      </w:pPr>
      <w:r w:rsidRPr="009018B3">
        <w:t>Table B.</w:t>
      </w:r>
      <w:r w:rsidR="009A144A">
        <w:t>3</w:t>
      </w:r>
      <w:r w:rsidRPr="009018B3">
        <w:t xml:space="preserve">. Individuals who were consulted for the </w:t>
      </w:r>
      <w:r w:rsidRPr="0032313F">
        <w:t>A</w:t>
      </w:r>
      <w:r>
        <w:t>pprenticeship Evidence-Building Portfolio</w:t>
      </w:r>
    </w:p>
    <w:p w:rsidRPr="000F2E30" w:rsidR="000F2E30" w:rsidP="000F2E30" w:rsidRDefault="000F2E30" w14:paraId="04952060" w14:textId="77777777">
      <w:pPr>
        <w:pStyle w:val="NormalSS"/>
      </w:pPr>
    </w:p>
    <w:tbl>
      <w:tblPr>
        <w:tblW w:w="5000" w:type="pct"/>
        <w:tblCellMar>
          <w:left w:w="0" w:type="dxa"/>
          <w:right w:w="0" w:type="dxa"/>
        </w:tblCellMar>
        <w:tblLook w:val="04A0" w:firstRow="1" w:lastRow="0" w:firstColumn="1" w:lastColumn="0" w:noHBand="0" w:noVBand="1"/>
      </w:tblPr>
      <w:tblGrid>
        <w:gridCol w:w="3420"/>
        <w:gridCol w:w="5940"/>
      </w:tblGrid>
      <w:tr w:rsidRPr="00B61EED" w:rsidR="00590187" w:rsidTr="006B5C3A" w14:paraId="5704A584" w14:textId="77777777">
        <w:trPr>
          <w:cantSplit/>
        </w:trPr>
        <w:tc>
          <w:tcPr>
            <w:tcW w:w="1827" w:type="pct"/>
            <w:tcBorders>
              <w:top w:val="single" w:color="auto" w:sz="4" w:space="0"/>
              <w:left w:val="nil"/>
              <w:bottom w:val="single" w:color="auto" w:sz="4" w:space="0"/>
              <w:right w:val="nil"/>
            </w:tcBorders>
            <w:tcMar>
              <w:top w:w="0" w:type="dxa"/>
              <w:left w:w="108" w:type="dxa"/>
              <w:bottom w:w="0" w:type="dxa"/>
              <w:right w:w="108" w:type="dxa"/>
            </w:tcMar>
            <w:hideMark/>
          </w:tcPr>
          <w:p w:rsidRPr="00B61EED" w:rsidR="00590187" w:rsidP="00C005FB" w:rsidRDefault="00590187" w14:paraId="39F2895F" w14:textId="77777777">
            <w:pPr>
              <w:pStyle w:val="TableText"/>
              <w:rPr>
                <w:rFonts w:cs="Arial" w:eastAsiaTheme="minorHAnsi"/>
                <w:szCs w:val="18"/>
              </w:rPr>
            </w:pPr>
            <w:r>
              <w:rPr>
                <w:rFonts w:cs="Arial"/>
                <w:szCs w:val="18"/>
              </w:rPr>
              <w:t>The Urban Institute</w:t>
            </w:r>
          </w:p>
          <w:p w:rsidRPr="00B61EED" w:rsidR="00590187" w:rsidP="00C005FB" w:rsidRDefault="00590187" w14:paraId="288CC759" w14:textId="77777777">
            <w:pPr>
              <w:pStyle w:val="TableText"/>
              <w:rPr>
                <w:rFonts w:cs="Arial"/>
                <w:szCs w:val="18"/>
              </w:rPr>
            </w:pPr>
          </w:p>
        </w:tc>
        <w:tc>
          <w:tcPr>
            <w:tcW w:w="3173" w:type="pct"/>
            <w:tcBorders>
              <w:top w:val="single" w:color="auto" w:sz="4" w:space="0"/>
              <w:left w:val="nil"/>
              <w:bottom w:val="single" w:color="auto" w:sz="4" w:space="0"/>
              <w:right w:val="nil"/>
            </w:tcBorders>
            <w:tcMar>
              <w:top w:w="0" w:type="dxa"/>
              <w:left w:w="108" w:type="dxa"/>
              <w:bottom w:w="0" w:type="dxa"/>
              <w:right w:w="108" w:type="dxa"/>
            </w:tcMar>
            <w:vAlign w:val="center"/>
            <w:hideMark/>
          </w:tcPr>
          <w:p w:rsidR="0014041C" w:rsidP="00C005FB" w:rsidRDefault="00590187" w14:paraId="43E8EB48" w14:textId="77777777">
            <w:pPr>
              <w:pStyle w:val="TableText"/>
              <w:rPr>
                <w:rFonts w:cs="Arial"/>
                <w:szCs w:val="18"/>
              </w:rPr>
            </w:pPr>
            <w:r>
              <w:rPr>
                <w:rFonts w:cs="Arial"/>
                <w:szCs w:val="18"/>
              </w:rPr>
              <w:t>Barbara Butrica</w:t>
            </w:r>
          </w:p>
          <w:p w:rsidR="00590187" w:rsidP="00C005FB" w:rsidRDefault="0014041C" w14:paraId="3BC85FE6" w14:textId="0AACE883">
            <w:pPr>
              <w:pStyle w:val="TableText"/>
              <w:rPr>
                <w:rFonts w:cs="Arial"/>
                <w:szCs w:val="18"/>
              </w:rPr>
            </w:pPr>
            <w:r>
              <w:rPr>
                <w:rFonts w:cs="Arial"/>
                <w:szCs w:val="18"/>
              </w:rPr>
              <w:t>Pamela Loprest</w:t>
            </w:r>
            <w:r w:rsidR="00590187">
              <w:rPr>
                <w:rFonts w:cs="Arial"/>
                <w:szCs w:val="18"/>
              </w:rPr>
              <w:t xml:space="preserve"> </w:t>
            </w:r>
          </w:p>
          <w:p w:rsidRPr="00B61EED" w:rsidR="00590187" w:rsidP="00C005FB" w:rsidRDefault="00590187" w14:paraId="1113C7BC" w14:textId="26609593">
            <w:pPr>
              <w:pStyle w:val="TableText"/>
              <w:rPr>
                <w:rFonts w:cs="Arial"/>
                <w:szCs w:val="18"/>
              </w:rPr>
            </w:pPr>
            <w:r>
              <w:rPr>
                <w:rFonts w:cs="Arial"/>
                <w:szCs w:val="18"/>
              </w:rPr>
              <w:t>Project Director</w:t>
            </w:r>
            <w:r w:rsidR="0014041C">
              <w:rPr>
                <w:rFonts w:cs="Arial"/>
                <w:szCs w:val="18"/>
              </w:rPr>
              <w:t>s</w:t>
            </w:r>
          </w:p>
          <w:p w:rsidR="00590187" w:rsidP="00C005FB" w:rsidRDefault="00590187" w14:paraId="3EE22E38" w14:textId="77777777">
            <w:pPr>
              <w:pStyle w:val="TableText"/>
              <w:rPr>
                <w:rFonts w:cs="Arial"/>
                <w:szCs w:val="18"/>
              </w:rPr>
            </w:pPr>
          </w:p>
          <w:p w:rsidR="00590187" w:rsidP="00C005FB" w:rsidRDefault="00590187" w14:paraId="0613F9A8" w14:textId="77777777">
            <w:pPr>
              <w:pStyle w:val="TableText"/>
              <w:rPr>
                <w:rFonts w:cs="Arial"/>
                <w:szCs w:val="18"/>
              </w:rPr>
            </w:pPr>
            <w:r>
              <w:rPr>
                <w:rFonts w:cs="Arial"/>
                <w:szCs w:val="18"/>
              </w:rPr>
              <w:t>Demetra Nightingale</w:t>
            </w:r>
          </w:p>
          <w:p w:rsidR="00590187" w:rsidP="00C005FB" w:rsidRDefault="00590187" w14:paraId="475D574E" w14:textId="77777777">
            <w:pPr>
              <w:pStyle w:val="TableText"/>
              <w:rPr>
                <w:rFonts w:cs="Arial"/>
                <w:szCs w:val="18"/>
              </w:rPr>
            </w:pPr>
            <w:r>
              <w:rPr>
                <w:rFonts w:cs="Arial"/>
                <w:szCs w:val="18"/>
              </w:rPr>
              <w:t>Co-Principal Investigator</w:t>
            </w:r>
          </w:p>
          <w:p w:rsidR="00590187" w:rsidP="00C005FB" w:rsidRDefault="00590187" w14:paraId="62EB2ACB" w14:textId="77777777">
            <w:pPr>
              <w:pStyle w:val="TableText"/>
              <w:rPr>
                <w:rFonts w:cs="Arial"/>
                <w:szCs w:val="18"/>
              </w:rPr>
            </w:pPr>
          </w:p>
          <w:p w:rsidR="00590187" w:rsidP="00C005FB" w:rsidRDefault="00590187" w14:paraId="72D59751" w14:textId="77777777">
            <w:pPr>
              <w:pStyle w:val="TableText"/>
              <w:rPr>
                <w:rFonts w:cs="Arial"/>
                <w:szCs w:val="18"/>
              </w:rPr>
            </w:pPr>
            <w:r>
              <w:rPr>
                <w:rFonts w:cs="Arial"/>
                <w:szCs w:val="18"/>
              </w:rPr>
              <w:t>Daniel Kuehn</w:t>
            </w:r>
          </w:p>
          <w:p w:rsidR="00590187" w:rsidP="00C005FB" w:rsidRDefault="00590187" w14:paraId="071AFC02" w14:textId="77777777">
            <w:pPr>
              <w:pStyle w:val="TableText"/>
              <w:rPr>
                <w:rFonts w:cs="Arial"/>
                <w:szCs w:val="18"/>
              </w:rPr>
            </w:pPr>
            <w:r>
              <w:rPr>
                <w:rFonts w:cs="Arial"/>
                <w:szCs w:val="18"/>
              </w:rPr>
              <w:t>Deputy Project Director</w:t>
            </w:r>
          </w:p>
          <w:p w:rsidR="00590187" w:rsidP="00C005FB" w:rsidRDefault="00590187" w14:paraId="31429CB0" w14:textId="77777777">
            <w:pPr>
              <w:pStyle w:val="TableText"/>
              <w:rPr>
                <w:rFonts w:cs="Arial"/>
                <w:szCs w:val="18"/>
              </w:rPr>
            </w:pPr>
          </w:p>
          <w:p w:rsidR="0014041C" w:rsidP="00C005FB" w:rsidRDefault="00590187" w14:paraId="3CD30F28" w14:textId="50FBA971">
            <w:pPr>
              <w:pStyle w:val="TableText"/>
              <w:rPr>
                <w:rFonts w:cs="Arial"/>
                <w:szCs w:val="18"/>
              </w:rPr>
            </w:pPr>
            <w:r>
              <w:rPr>
                <w:rFonts w:cs="Arial"/>
                <w:szCs w:val="18"/>
              </w:rPr>
              <w:t>William Congdon</w:t>
            </w:r>
          </w:p>
          <w:p w:rsidR="00590187" w:rsidP="00C005FB" w:rsidRDefault="00590187" w14:paraId="07E605A7" w14:textId="77777777">
            <w:pPr>
              <w:pStyle w:val="TableText"/>
              <w:rPr>
                <w:rFonts w:cs="Arial"/>
                <w:szCs w:val="18"/>
              </w:rPr>
            </w:pPr>
            <w:r>
              <w:rPr>
                <w:rFonts w:cs="Arial"/>
                <w:szCs w:val="18"/>
              </w:rPr>
              <w:t>Senior Advisor, Methods</w:t>
            </w:r>
          </w:p>
          <w:p w:rsidR="00590187" w:rsidP="00C005FB" w:rsidRDefault="00590187" w14:paraId="1E73853A" w14:textId="77777777">
            <w:pPr>
              <w:pStyle w:val="TableText"/>
              <w:rPr>
                <w:rFonts w:cs="Arial"/>
                <w:szCs w:val="18"/>
              </w:rPr>
            </w:pPr>
          </w:p>
          <w:p w:rsidR="00590187" w:rsidP="00C005FB" w:rsidRDefault="00590187" w14:paraId="50CAC654" w14:textId="77777777">
            <w:pPr>
              <w:pStyle w:val="TableText"/>
              <w:rPr>
                <w:rFonts w:cs="Arial"/>
                <w:szCs w:val="18"/>
              </w:rPr>
            </w:pPr>
            <w:r>
              <w:rPr>
                <w:rFonts w:cs="Arial"/>
                <w:szCs w:val="18"/>
              </w:rPr>
              <w:t>Robert Lerman</w:t>
            </w:r>
          </w:p>
          <w:p w:rsidRPr="00B61EED" w:rsidR="00590187" w:rsidP="0014041C" w:rsidRDefault="00590187" w14:paraId="50FB62A8" w14:textId="61A03C20">
            <w:pPr>
              <w:pStyle w:val="TableText"/>
              <w:rPr>
                <w:rFonts w:cs="Arial"/>
                <w:szCs w:val="18"/>
              </w:rPr>
            </w:pPr>
            <w:r>
              <w:rPr>
                <w:rFonts w:cs="Arial"/>
                <w:szCs w:val="18"/>
              </w:rPr>
              <w:t>Senior Advisor, Apprenticeship</w:t>
            </w:r>
          </w:p>
        </w:tc>
      </w:tr>
      <w:tr w:rsidRPr="00B61EED" w:rsidR="00590187" w:rsidTr="006B5C3A" w14:paraId="4E67498B" w14:textId="77777777">
        <w:trPr>
          <w:cantSplit/>
        </w:trPr>
        <w:tc>
          <w:tcPr>
            <w:tcW w:w="1827" w:type="pct"/>
            <w:tcBorders>
              <w:top w:val="single" w:color="auto" w:sz="4" w:space="0"/>
              <w:left w:val="nil"/>
              <w:bottom w:val="single" w:color="auto" w:sz="4" w:space="0"/>
              <w:right w:val="nil"/>
            </w:tcBorders>
            <w:shd w:val="clear" w:color="auto" w:fill="auto"/>
            <w:tcMar>
              <w:top w:w="0" w:type="dxa"/>
              <w:left w:w="108" w:type="dxa"/>
              <w:bottom w:w="0" w:type="dxa"/>
              <w:right w:w="108" w:type="dxa"/>
            </w:tcMar>
            <w:hideMark/>
          </w:tcPr>
          <w:p w:rsidRPr="00B61EED" w:rsidR="00590187" w:rsidP="00C005FB" w:rsidRDefault="00590187" w14:paraId="684E94AA" w14:textId="77777777">
            <w:pPr>
              <w:pStyle w:val="TableText"/>
              <w:rPr>
                <w:rFonts w:cs="Arial" w:eastAsiaTheme="minorHAnsi"/>
                <w:szCs w:val="18"/>
              </w:rPr>
            </w:pPr>
            <w:r>
              <w:rPr>
                <w:rFonts w:cs="Arial"/>
                <w:szCs w:val="18"/>
              </w:rPr>
              <w:t>Mathematica</w:t>
            </w:r>
          </w:p>
          <w:p w:rsidRPr="00B61EED" w:rsidR="00590187" w:rsidP="00C005FB" w:rsidRDefault="00590187" w14:paraId="29AA2430" w14:textId="77777777">
            <w:pPr>
              <w:pStyle w:val="TableText"/>
              <w:rPr>
                <w:rFonts w:cs="Arial"/>
                <w:szCs w:val="18"/>
              </w:rPr>
            </w:pPr>
          </w:p>
        </w:tc>
        <w:tc>
          <w:tcPr>
            <w:tcW w:w="3173" w:type="pct"/>
            <w:tcBorders>
              <w:top w:val="single" w:color="auto" w:sz="4" w:space="0"/>
              <w:left w:val="nil"/>
              <w:bottom w:val="single" w:color="auto" w:sz="4" w:space="0"/>
              <w:right w:val="nil"/>
            </w:tcBorders>
            <w:shd w:val="clear" w:color="auto" w:fill="auto"/>
            <w:tcMar>
              <w:top w:w="0" w:type="dxa"/>
              <w:left w:w="108" w:type="dxa"/>
              <w:bottom w:w="0" w:type="dxa"/>
              <w:right w:w="108" w:type="dxa"/>
            </w:tcMar>
            <w:hideMark/>
          </w:tcPr>
          <w:p w:rsidR="00590187" w:rsidP="00FD0C72" w:rsidRDefault="00590187" w14:paraId="7F3B0486" w14:textId="77777777">
            <w:pPr>
              <w:pStyle w:val="TableText"/>
              <w:rPr>
                <w:rFonts w:cs="Arial"/>
                <w:szCs w:val="18"/>
              </w:rPr>
            </w:pPr>
            <w:r>
              <w:rPr>
                <w:rFonts w:cs="Arial"/>
                <w:szCs w:val="18"/>
              </w:rPr>
              <w:t>Peter Schochet</w:t>
            </w:r>
          </w:p>
          <w:p w:rsidR="00590187" w:rsidP="00FD0C72" w:rsidRDefault="00590187" w14:paraId="162986A3" w14:textId="77777777">
            <w:pPr>
              <w:pStyle w:val="TableText"/>
              <w:rPr>
                <w:rFonts w:cs="Arial"/>
                <w:szCs w:val="18"/>
              </w:rPr>
            </w:pPr>
            <w:r>
              <w:rPr>
                <w:rFonts w:cs="Arial"/>
                <w:szCs w:val="18"/>
              </w:rPr>
              <w:t>Co-Principal Investigator</w:t>
            </w:r>
          </w:p>
          <w:p w:rsidR="00590187" w:rsidP="00FD0C72" w:rsidRDefault="00590187" w14:paraId="521EDBBA" w14:textId="77777777">
            <w:pPr>
              <w:pStyle w:val="TableText"/>
              <w:rPr>
                <w:rFonts w:cs="Arial"/>
                <w:szCs w:val="18"/>
              </w:rPr>
            </w:pPr>
          </w:p>
          <w:p w:rsidR="00590187" w:rsidP="00FD0C72" w:rsidRDefault="00590187" w14:paraId="04E05779" w14:textId="77777777">
            <w:pPr>
              <w:pStyle w:val="TableText"/>
              <w:rPr>
                <w:rFonts w:cs="Arial"/>
                <w:szCs w:val="18"/>
              </w:rPr>
            </w:pPr>
            <w:r>
              <w:rPr>
                <w:rFonts w:cs="Arial"/>
                <w:szCs w:val="18"/>
              </w:rPr>
              <w:t>Samina Sattar</w:t>
            </w:r>
          </w:p>
          <w:p w:rsidR="00590187" w:rsidP="00FD0C72" w:rsidRDefault="00590187" w14:paraId="2D887BD3" w14:textId="77777777">
            <w:pPr>
              <w:pStyle w:val="TableText"/>
              <w:rPr>
                <w:rFonts w:cs="Arial"/>
                <w:szCs w:val="18"/>
              </w:rPr>
            </w:pPr>
            <w:r>
              <w:rPr>
                <w:rFonts w:cs="Arial"/>
                <w:szCs w:val="18"/>
              </w:rPr>
              <w:t>Project Director</w:t>
            </w:r>
          </w:p>
          <w:p w:rsidR="00590187" w:rsidP="00FD0C72" w:rsidRDefault="00590187" w14:paraId="68031056" w14:textId="77777777">
            <w:pPr>
              <w:pStyle w:val="TableText"/>
              <w:rPr>
                <w:rFonts w:cs="Arial"/>
                <w:szCs w:val="18"/>
              </w:rPr>
            </w:pPr>
          </w:p>
          <w:p w:rsidR="00590187" w:rsidP="00FD0C72" w:rsidRDefault="00590187" w14:paraId="5896A668" w14:textId="77777777">
            <w:pPr>
              <w:pStyle w:val="TableText"/>
              <w:rPr>
                <w:rFonts w:cs="Arial"/>
                <w:szCs w:val="18"/>
              </w:rPr>
            </w:pPr>
            <w:r>
              <w:rPr>
                <w:rFonts w:cs="Arial"/>
                <w:szCs w:val="18"/>
              </w:rPr>
              <w:t xml:space="preserve">Annalisa </w:t>
            </w:r>
            <w:proofErr w:type="spellStart"/>
            <w:r>
              <w:rPr>
                <w:rFonts w:cs="Arial"/>
                <w:szCs w:val="18"/>
              </w:rPr>
              <w:t>Mastri</w:t>
            </w:r>
            <w:proofErr w:type="spellEnd"/>
          </w:p>
          <w:p w:rsidRPr="00B61EED" w:rsidR="00590187" w:rsidP="00FD0C72" w:rsidRDefault="00590187" w14:paraId="267AC497" w14:textId="77777777">
            <w:pPr>
              <w:pStyle w:val="TableText"/>
              <w:rPr>
                <w:rFonts w:cs="Arial"/>
                <w:szCs w:val="18"/>
              </w:rPr>
            </w:pPr>
            <w:r>
              <w:rPr>
                <w:rFonts w:cs="Arial"/>
                <w:szCs w:val="18"/>
              </w:rPr>
              <w:t>Quality Control Advisor</w:t>
            </w:r>
          </w:p>
          <w:p w:rsidRPr="00B61EED" w:rsidR="00590187" w:rsidP="00FD0C72" w:rsidRDefault="00590187" w14:paraId="4ED4A268" w14:textId="77777777">
            <w:pPr>
              <w:pStyle w:val="TableText"/>
              <w:rPr>
                <w:rFonts w:cs="Arial"/>
                <w:szCs w:val="18"/>
              </w:rPr>
            </w:pPr>
          </w:p>
        </w:tc>
      </w:tr>
      <w:tr w:rsidRPr="00B61EED" w:rsidR="00590187" w:rsidTr="006B5C3A" w14:paraId="6DB79E4C" w14:textId="77777777">
        <w:trPr>
          <w:cantSplit/>
        </w:trPr>
        <w:tc>
          <w:tcPr>
            <w:tcW w:w="1827" w:type="pct"/>
            <w:tcBorders>
              <w:top w:val="single" w:color="auto" w:sz="4" w:space="0"/>
              <w:left w:val="nil"/>
              <w:bottom w:val="single" w:color="auto" w:sz="4" w:space="0"/>
              <w:right w:val="nil"/>
            </w:tcBorders>
            <w:shd w:val="clear" w:color="auto" w:fill="auto"/>
            <w:tcMar>
              <w:top w:w="0" w:type="dxa"/>
              <w:left w:w="108" w:type="dxa"/>
              <w:bottom w:w="0" w:type="dxa"/>
              <w:right w:w="108" w:type="dxa"/>
            </w:tcMar>
          </w:tcPr>
          <w:p w:rsidRPr="00B61EED" w:rsidR="00590187" w:rsidDel="00E44216" w:rsidP="00C005FB" w:rsidRDefault="00590187" w14:paraId="6B7D4A90" w14:textId="77777777">
            <w:pPr>
              <w:pStyle w:val="TableText"/>
              <w:rPr>
                <w:rFonts w:cs="Arial"/>
                <w:szCs w:val="18"/>
              </w:rPr>
            </w:pPr>
            <w:bookmarkStart w:name="_Hlk30677850" w:id="10"/>
            <w:r>
              <w:rPr>
                <w:rFonts w:cs="Arial"/>
                <w:szCs w:val="18"/>
              </w:rPr>
              <w:t>Capital Research Corporation</w:t>
            </w:r>
          </w:p>
        </w:tc>
        <w:tc>
          <w:tcPr>
            <w:tcW w:w="3173" w:type="pct"/>
            <w:tcBorders>
              <w:top w:val="single" w:color="auto" w:sz="4" w:space="0"/>
              <w:left w:val="nil"/>
              <w:bottom w:val="single" w:color="auto" w:sz="4" w:space="0"/>
              <w:right w:val="nil"/>
            </w:tcBorders>
            <w:shd w:val="clear" w:color="auto" w:fill="auto"/>
            <w:tcMar>
              <w:top w:w="0" w:type="dxa"/>
              <w:left w:w="108" w:type="dxa"/>
              <w:bottom w:w="0" w:type="dxa"/>
              <w:right w:w="108" w:type="dxa"/>
            </w:tcMar>
          </w:tcPr>
          <w:p w:rsidR="00590187" w:rsidP="00C005FB" w:rsidRDefault="00590187" w14:paraId="40A253D3" w14:textId="77777777">
            <w:pPr>
              <w:pStyle w:val="TableText"/>
              <w:rPr>
                <w:rFonts w:cs="Arial"/>
                <w:szCs w:val="18"/>
              </w:rPr>
            </w:pPr>
            <w:r>
              <w:rPr>
                <w:rFonts w:cs="Arial"/>
                <w:szCs w:val="18"/>
              </w:rPr>
              <w:t>John Trutko</w:t>
            </w:r>
          </w:p>
          <w:p w:rsidR="00590187" w:rsidP="00FD0C72" w:rsidRDefault="00590187" w14:paraId="2E769381" w14:textId="77777777">
            <w:pPr>
              <w:pStyle w:val="TableText"/>
              <w:rPr>
                <w:rFonts w:cs="Arial"/>
                <w:szCs w:val="18"/>
              </w:rPr>
            </w:pPr>
            <w:r>
              <w:rPr>
                <w:rFonts w:cs="Arial"/>
                <w:szCs w:val="18"/>
              </w:rPr>
              <w:t>Project Director</w:t>
            </w:r>
          </w:p>
          <w:p w:rsidR="00590187" w:rsidDel="00E44216" w:rsidP="00FD0C72" w:rsidRDefault="00590187" w14:paraId="16058B24" w14:textId="77777777">
            <w:pPr>
              <w:pStyle w:val="TableText"/>
              <w:rPr>
                <w:rFonts w:cs="Arial"/>
                <w:szCs w:val="18"/>
              </w:rPr>
            </w:pPr>
          </w:p>
        </w:tc>
      </w:tr>
      <w:tr w:rsidRPr="00B61EED" w:rsidR="00217B66" w:rsidTr="006B5C3A" w14:paraId="30869F36" w14:textId="77777777">
        <w:trPr>
          <w:cantSplit/>
        </w:trPr>
        <w:tc>
          <w:tcPr>
            <w:tcW w:w="1827" w:type="pct"/>
            <w:tcBorders>
              <w:top w:val="single" w:color="auto" w:sz="4" w:space="0"/>
              <w:left w:val="nil"/>
              <w:bottom w:val="single" w:color="auto" w:sz="4" w:space="0"/>
              <w:right w:val="nil"/>
            </w:tcBorders>
            <w:shd w:val="clear" w:color="auto" w:fill="auto"/>
            <w:tcMar>
              <w:top w:w="0" w:type="dxa"/>
              <w:left w:w="108" w:type="dxa"/>
              <w:bottom w:w="0" w:type="dxa"/>
              <w:right w:w="108" w:type="dxa"/>
            </w:tcMar>
          </w:tcPr>
          <w:p w:rsidR="00217B66" w:rsidP="00C005FB" w:rsidRDefault="00217B66" w14:paraId="3615AAF8" w14:textId="02D9CE72">
            <w:pPr>
              <w:pStyle w:val="TableText"/>
              <w:rPr>
                <w:rFonts w:cs="Arial"/>
                <w:szCs w:val="18"/>
              </w:rPr>
            </w:pPr>
            <w:r>
              <w:rPr>
                <w:rFonts w:cs="Arial"/>
                <w:szCs w:val="18"/>
              </w:rPr>
              <w:t>Technical Work Group Members</w:t>
            </w:r>
          </w:p>
        </w:tc>
        <w:tc>
          <w:tcPr>
            <w:tcW w:w="3173" w:type="pct"/>
            <w:tcBorders>
              <w:top w:val="single" w:color="auto" w:sz="4" w:space="0"/>
              <w:left w:val="nil"/>
              <w:bottom w:val="single" w:color="auto" w:sz="4" w:space="0"/>
              <w:right w:val="nil"/>
            </w:tcBorders>
            <w:shd w:val="clear" w:color="auto" w:fill="auto"/>
            <w:tcMar>
              <w:top w:w="0" w:type="dxa"/>
              <w:left w:w="108" w:type="dxa"/>
              <w:bottom w:w="0" w:type="dxa"/>
              <w:right w:w="108" w:type="dxa"/>
            </w:tcMar>
          </w:tcPr>
          <w:p w:rsidR="00217B66" w:rsidP="00C005FB" w:rsidRDefault="00217B66" w14:paraId="79764806" w14:textId="77777777">
            <w:pPr>
              <w:pStyle w:val="TableText"/>
              <w:rPr>
                <w:rFonts w:cs="Arial"/>
                <w:szCs w:val="18"/>
              </w:rPr>
            </w:pPr>
            <w:r>
              <w:rPr>
                <w:rFonts w:cs="Arial"/>
                <w:szCs w:val="18"/>
              </w:rPr>
              <w:t>Carolyn Heinrich</w:t>
            </w:r>
          </w:p>
          <w:p w:rsidR="00217B66" w:rsidP="00C005FB" w:rsidRDefault="00217B66" w14:paraId="562A63F9" w14:textId="77777777">
            <w:pPr>
              <w:pStyle w:val="TableText"/>
              <w:rPr>
                <w:rFonts w:cs="Arial"/>
                <w:szCs w:val="18"/>
              </w:rPr>
            </w:pPr>
            <w:r w:rsidRPr="00217B66">
              <w:rPr>
                <w:rFonts w:cs="Arial"/>
                <w:szCs w:val="18"/>
              </w:rPr>
              <w:t xml:space="preserve">Patricia and </w:t>
            </w:r>
            <w:proofErr w:type="spellStart"/>
            <w:r w:rsidRPr="00217B66">
              <w:rPr>
                <w:rFonts w:cs="Arial"/>
                <w:szCs w:val="18"/>
              </w:rPr>
              <w:t>Rodes</w:t>
            </w:r>
            <w:proofErr w:type="spellEnd"/>
            <w:r w:rsidRPr="00217B66">
              <w:rPr>
                <w:rFonts w:cs="Arial"/>
                <w:szCs w:val="18"/>
              </w:rPr>
              <w:t xml:space="preserve"> Hart Professor of Public Policy, Education, and Economics, Vanderbilt University</w:t>
            </w:r>
          </w:p>
          <w:p w:rsidR="00217B66" w:rsidP="00C005FB" w:rsidRDefault="00217B66" w14:paraId="3FB81D97" w14:textId="77777777">
            <w:pPr>
              <w:pStyle w:val="TableText"/>
              <w:rPr>
                <w:rFonts w:cs="Arial"/>
                <w:szCs w:val="18"/>
              </w:rPr>
            </w:pPr>
          </w:p>
          <w:p w:rsidR="00217B66" w:rsidP="00C005FB" w:rsidRDefault="00217B66" w14:paraId="52E1A0CD" w14:textId="77777777">
            <w:pPr>
              <w:pStyle w:val="TableText"/>
              <w:rPr>
                <w:rFonts w:cs="Arial"/>
                <w:szCs w:val="18"/>
              </w:rPr>
            </w:pPr>
            <w:r>
              <w:rPr>
                <w:rFonts w:cs="Arial"/>
                <w:szCs w:val="18"/>
              </w:rPr>
              <w:t>Susan Helper</w:t>
            </w:r>
          </w:p>
          <w:p w:rsidR="00217B66" w:rsidP="00C005FB" w:rsidRDefault="00217B66" w14:paraId="14842CF3" w14:textId="77777777">
            <w:pPr>
              <w:pStyle w:val="TableText"/>
              <w:rPr>
                <w:rFonts w:cs="Arial"/>
                <w:szCs w:val="18"/>
              </w:rPr>
            </w:pPr>
            <w:r w:rsidRPr="00217B66">
              <w:rPr>
                <w:rFonts w:cs="Arial"/>
                <w:szCs w:val="18"/>
              </w:rPr>
              <w:t xml:space="preserve">Frank Tracy Carlton Professor of Economics at the </w:t>
            </w:r>
            <w:proofErr w:type="spellStart"/>
            <w:r w:rsidRPr="00217B66">
              <w:rPr>
                <w:rFonts w:cs="Arial"/>
                <w:szCs w:val="18"/>
              </w:rPr>
              <w:t>Weatherhead</w:t>
            </w:r>
            <w:proofErr w:type="spellEnd"/>
            <w:r w:rsidRPr="00217B66">
              <w:rPr>
                <w:rFonts w:cs="Arial"/>
                <w:szCs w:val="18"/>
              </w:rPr>
              <w:t xml:space="preserve"> School of Management, Case Western Reserve University</w:t>
            </w:r>
          </w:p>
          <w:p w:rsidR="00217B66" w:rsidP="00C005FB" w:rsidRDefault="00217B66" w14:paraId="4B32CB8B" w14:textId="77777777">
            <w:pPr>
              <w:pStyle w:val="TableText"/>
              <w:rPr>
                <w:rFonts w:cs="Arial"/>
                <w:szCs w:val="18"/>
              </w:rPr>
            </w:pPr>
          </w:p>
          <w:p w:rsidR="00217B66" w:rsidP="00C005FB" w:rsidRDefault="00217B66" w14:paraId="1188C57F" w14:textId="71DEF594">
            <w:pPr>
              <w:pStyle w:val="TableText"/>
              <w:rPr>
                <w:rFonts w:cs="Arial"/>
                <w:szCs w:val="18"/>
              </w:rPr>
            </w:pPr>
            <w:r>
              <w:rPr>
                <w:rFonts w:cs="Arial"/>
                <w:szCs w:val="18"/>
              </w:rPr>
              <w:t>Chris Magyar</w:t>
            </w:r>
          </w:p>
          <w:p w:rsidR="00217B66" w:rsidP="00C005FB" w:rsidRDefault="00217B66" w14:paraId="118021DC" w14:textId="45CBCC6A">
            <w:pPr>
              <w:pStyle w:val="TableText"/>
              <w:rPr>
                <w:rFonts w:cs="Arial"/>
                <w:szCs w:val="18"/>
              </w:rPr>
            </w:pPr>
            <w:r w:rsidRPr="00217B66">
              <w:rPr>
                <w:rFonts w:cs="Arial"/>
                <w:szCs w:val="18"/>
              </w:rPr>
              <w:t xml:space="preserve">Chief Apprenticeship Officer, </w:t>
            </w:r>
            <w:proofErr w:type="spellStart"/>
            <w:r w:rsidRPr="00217B66">
              <w:rPr>
                <w:rFonts w:cs="Arial"/>
                <w:szCs w:val="18"/>
              </w:rPr>
              <w:t>Techtonic</w:t>
            </w:r>
            <w:proofErr w:type="spellEnd"/>
            <w:r w:rsidRPr="00217B66">
              <w:rPr>
                <w:rFonts w:cs="Arial"/>
                <w:szCs w:val="18"/>
              </w:rPr>
              <w:t xml:space="preserve"> Inc.</w:t>
            </w:r>
          </w:p>
          <w:p w:rsidR="00217B66" w:rsidP="00C005FB" w:rsidRDefault="00217B66" w14:paraId="5A6B418B" w14:textId="0BC788E0">
            <w:pPr>
              <w:pStyle w:val="TableText"/>
              <w:rPr>
                <w:rFonts w:cs="Arial"/>
                <w:szCs w:val="18"/>
              </w:rPr>
            </w:pPr>
          </w:p>
          <w:p w:rsidR="00217B66" w:rsidP="00C005FB" w:rsidRDefault="00217B66" w14:paraId="00DAA1C4" w14:textId="752DF596">
            <w:pPr>
              <w:pStyle w:val="TableText"/>
              <w:rPr>
                <w:rFonts w:cs="Arial"/>
                <w:szCs w:val="18"/>
              </w:rPr>
            </w:pPr>
            <w:r>
              <w:rPr>
                <w:rFonts w:cs="Arial"/>
                <w:szCs w:val="18"/>
              </w:rPr>
              <w:t>Mary Alice McCarthy</w:t>
            </w:r>
          </w:p>
          <w:p w:rsidR="00217B66" w:rsidP="00C005FB" w:rsidRDefault="00217B66" w14:paraId="2C01AD6A" w14:textId="77777777">
            <w:pPr>
              <w:pStyle w:val="TableText"/>
              <w:rPr>
                <w:rFonts w:cs="Arial"/>
                <w:szCs w:val="18"/>
              </w:rPr>
            </w:pPr>
            <w:r w:rsidRPr="00217B66">
              <w:rPr>
                <w:rFonts w:cs="Arial"/>
                <w:szCs w:val="18"/>
              </w:rPr>
              <w:t xml:space="preserve">Director of the Center on Education &amp; Skills, New America </w:t>
            </w:r>
          </w:p>
          <w:p w:rsidR="00217B66" w:rsidP="00C005FB" w:rsidRDefault="00217B66" w14:paraId="135461D6" w14:textId="77777777">
            <w:pPr>
              <w:pStyle w:val="TableText"/>
              <w:rPr>
                <w:rFonts w:cs="Arial"/>
                <w:szCs w:val="18"/>
              </w:rPr>
            </w:pPr>
          </w:p>
          <w:p w:rsidR="00217B66" w:rsidP="00C005FB" w:rsidRDefault="00217B66" w14:paraId="2C45A31D" w14:textId="77777777">
            <w:pPr>
              <w:pStyle w:val="TableText"/>
              <w:rPr>
                <w:rFonts w:cs="Arial"/>
                <w:szCs w:val="18"/>
              </w:rPr>
            </w:pPr>
            <w:r>
              <w:rPr>
                <w:rFonts w:cs="Arial"/>
                <w:szCs w:val="18"/>
              </w:rPr>
              <w:t>Jeffrey Smith</w:t>
            </w:r>
          </w:p>
          <w:p w:rsidR="00217B66" w:rsidP="00C005FB" w:rsidRDefault="00217B66" w14:paraId="784CAC9B" w14:textId="7F616CAD">
            <w:pPr>
              <w:pStyle w:val="TableText"/>
              <w:rPr>
                <w:rFonts w:cs="Arial"/>
                <w:szCs w:val="18"/>
              </w:rPr>
            </w:pPr>
            <w:r w:rsidRPr="00217B66">
              <w:rPr>
                <w:rFonts w:cs="Arial"/>
                <w:szCs w:val="18"/>
              </w:rPr>
              <w:t xml:space="preserve">Paul T. </w:t>
            </w:r>
            <w:proofErr w:type="spellStart"/>
            <w:r w:rsidRPr="00217B66">
              <w:rPr>
                <w:rFonts w:cs="Arial"/>
                <w:szCs w:val="18"/>
              </w:rPr>
              <w:t>Heyne</w:t>
            </w:r>
            <w:proofErr w:type="spellEnd"/>
            <w:r w:rsidRPr="00217B66">
              <w:rPr>
                <w:rFonts w:cs="Arial"/>
                <w:szCs w:val="18"/>
              </w:rPr>
              <w:t xml:space="preserve"> Distinguished Chair in Economics and Richard Meese Chair in Applied Econometrics, University of Wisconsin-Madison</w:t>
            </w:r>
          </w:p>
        </w:tc>
      </w:tr>
      <w:bookmarkEnd w:id="10"/>
    </w:tbl>
    <w:p w:rsidR="00590187" w:rsidP="00C005FB" w:rsidRDefault="00590187" w14:paraId="058F56F9" w14:textId="77777777">
      <w:pPr>
        <w:pStyle w:val="MarkforTableTitle"/>
        <w:spacing w:after="0"/>
      </w:pPr>
    </w:p>
    <w:p w:rsidRPr="009018B3" w:rsidR="00590187" w:rsidDel="004C63E0" w:rsidP="00C005FB" w:rsidRDefault="00590187" w14:paraId="6708374A" w14:textId="32F3FFF5">
      <w:pPr>
        <w:pStyle w:val="NormalSS"/>
        <w:spacing w:after="0"/>
      </w:pPr>
      <w:r w:rsidRPr="009018B3" w:rsidDel="004C63E0">
        <w:t>Staff responsible for overseeing the collection and analysis of data are listed in Table B.</w:t>
      </w:r>
      <w:r w:rsidR="009A144A">
        <w:t>4</w:t>
      </w:r>
      <w:r w:rsidRPr="009018B3" w:rsidDel="004C63E0">
        <w:t xml:space="preserve">. </w:t>
      </w:r>
    </w:p>
    <w:p w:rsidR="00914A39" w:rsidP="00C005FB" w:rsidRDefault="00914A39" w14:paraId="4AF55044" w14:textId="77777777">
      <w:pPr>
        <w:pStyle w:val="MarkforTableTitle"/>
        <w:spacing w:after="0"/>
      </w:pPr>
    </w:p>
    <w:p w:rsidR="000F2E30" w:rsidP="00C005FB" w:rsidRDefault="000F2E30" w14:paraId="01EEF481" w14:textId="77777777">
      <w:pPr>
        <w:pStyle w:val="MarkforTableTitle"/>
        <w:spacing w:after="0"/>
      </w:pPr>
    </w:p>
    <w:p w:rsidR="00590187" w:rsidP="00C005FB" w:rsidRDefault="00590187" w14:paraId="413E11DC" w14:textId="55AF16C5">
      <w:pPr>
        <w:pStyle w:val="MarkforTableTitle"/>
        <w:spacing w:after="0"/>
      </w:pPr>
      <w:r w:rsidRPr="009018B3">
        <w:t>Table B.</w:t>
      </w:r>
      <w:r w:rsidR="009A144A">
        <w:t>4</w:t>
      </w:r>
      <w:r w:rsidRPr="009018B3">
        <w:t xml:space="preserve">. Individuals who will oversee the collection and analysis of data for the </w:t>
      </w:r>
      <w:r w:rsidRPr="006A4243">
        <w:t>Apprenticeship Evidence-Building Portfolio</w:t>
      </w:r>
    </w:p>
    <w:tbl>
      <w:tblPr>
        <w:tblW w:w="5000" w:type="pct"/>
        <w:tblCellMar>
          <w:left w:w="0" w:type="dxa"/>
          <w:right w:w="0" w:type="dxa"/>
        </w:tblCellMar>
        <w:tblLook w:val="04A0" w:firstRow="1" w:lastRow="0" w:firstColumn="1" w:lastColumn="0" w:noHBand="0" w:noVBand="1"/>
      </w:tblPr>
      <w:tblGrid>
        <w:gridCol w:w="3420"/>
        <w:gridCol w:w="5940"/>
      </w:tblGrid>
      <w:tr w:rsidRPr="00B61EED" w:rsidR="00590187" w:rsidTr="006B5C3A" w14:paraId="1F1D1127" w14:textId="77777777">
        <w:trPr>
          <w:cantSplit/>
        </w:trPr>
        <w:tc>
          <w:tcPr>
            <w:tcW w:w="1827" w:type="pct"/>
            <w:tcBorders>
              <w:top w:val="single" w:color="auto" w:sz="4" w:space="0"/>
              <w:left w:val="nil"/>
              <w:bottom w:val="single" w:color="auto" w:sz="4" w:space="0"/>
              <w:right w:val="nil"/>
            </w:tcBorders>
            <w:tcMar>
              <w:top w:w="0" w:type="dxa"/>
              <w:left w:w="108" w:type="dxa"/>
              <w:bottom w:w="0" w:type="dxa"/>
              <w:right w:w="108" w:type="dxa"/>
            </w:tcMar>
            <w:hideMark/>
          </w:tcPr>
          <w:p w:rsidRPr="00B61EED" w:rsidR="00590187" w:rsidP="00C005FB" w:rsidRDefault="00590187" w14:paraId="0540080E" w14:textId="77777777">
            <w:pPr>
              <w:pStyle w:val="TableText"/>
              <w:rPr>
                <w:rFonts w:cs="Arial"/>
                <w:szCs w:val="18"/>
              </w:rPr>
            </w:pPr>
            <w:r>
              <w:rPr>
                <w:rFonts w:cs="Arial"/>
                <w:szCs w:val="18"/>
              </w:rPr>
              <w:t>The Urban Institute</w:t>
            </w:r>
            <w:r>
              <w:rPr>
                <w:rFonts w:cs="Arial"/>
                <w:szCs w:val="18"/>
              </w:rPr>
              <w:br/>
            </w:r>
          </w:p>
        </w:tc>
        <w:tc>
          <w:tcPr>
            <w:tcW w:w="3173" w:type="pct"/>
            <w:tcBorders>
              <w:top w:val="single" w:color="auto" w:sz="4" w:space="0"/>
              <w:left w:val="nil"/>
              <w:bottom w:val="single" w:color="auto" w:sz="4" w:space="0"/>
              <w:right w:val="nil"/>
            </w:tcBorders>
            <w:tcMar>
              <w:top w:w="0" w:type="dxa"/>
              <w:left w:w="108" w:type="dxa"/>
              <w:bottom w:w="0" w:type="dxa"/>
              <w:right w:w="108" w:type="dxa"/>
            </w:tcMar>
            <w:vAlign w:val="center"/>
            <w:hideMark/>
          </w:tcPr>
          <w:p w:rsidR="00590187" w:rsidP="00C005FB" w:rsidRDefault="00590187" w14:paraId="0481C07B" w14:textId="5B2F7CED">
            <w:pPr>
              <w:pStyle w:val="TableText"/>
              <w:rPr>
                <w:rFonts w:cs="Arial"/>
                <w:szCs w:val="18"/>
              </w:rPr>
            </w:pPr>
            <w:r w:rsidRPr="006A4243">
              <w:rPr>
                <w:rFonts w:cs="Arial"/>
                <w:szCs w:val="18"/>
              </w:rPr>
              <w:t xml:space="preserve">Barbara Butrica </w:t>
            </w:r>
          </w:p>
          <w:p w:rsidR="0014041C" w:rsidP="00C005FB" w:rsidRDefault="0014041C" w14:paraId="47D8801E" w14:textId="79C3A886">
            <w:pPr>
              <w:pStyle w:val="TableText"/>
              <w:rPr>
                <w:rFonts w:cs="Arial"/>
                <w:szCs w:val="18"/>
              </w:rPr>
            </w:pPr>
            <w:r>
              <w:rPr>
                <w:rFonts w:cs="Arial"/>
                <w:szCs w:val="18"/>
              </w:rPr>
              <w:t xml:space="preserve">Pamela Loprest </w:t>
            </w:r>
          </w:p>
          <w:p w:rsidR="00590187" w:rsidP="00C005FB" w:rsidRDefault="00590187" w14:paraId="00C1D56D" w14:textId="622520ED">
            <w:pPr>
              <w:pStyle w:val="TableText"/>
              <w:rPr>
                <w:rFonts w:cs="Arial"/>
                <w:szCs w:val="18"/>
              </w:rPr>
            </w:pPr>
            <w:r w:rsidRPr="006A4243">
              <w:rPr>
                <w:rFonts w:cs="Arial"/>
                <w:szCs w:val="18"/>
              </w:rPr>
              <w:t>Project Director</w:t>
            </w:r>
            <w:r w:rsidR="0014041C">
              <w:rPr>
                <w:rFonts w:cs="Arial"/>
                <w:szCs w:val="18"/>
              </w:rPr>
              <w:t>s</w:t>
            </w:r>
          </w:p>
          <w:p w:rsidR="00590187" w:rsidP="00C005FB" w:rsidRDefault="00590187" w14:paraId="2725668E" w14:textId="77777777">
            <w:pPr>
              <w:pStyle w:val="TableText"/>
              <w:rPr>
                <w:rFonts w:cs="Arial"/>
                <w:szCs w:val="18"/>
              </w:rPr>
            </w:pPr>
          </w:p>
          <w:p w:rsidR="00590187" w:rsidP="00C005FB" w:rsidRDefault="00590187" w14:paraId="60DC12A7" w14:textId="77777777">
            <w:pPr>
              <w:pStyle w:val="TableText"/>
              <w:rPr>
                <w:rFonts w:cs="Arial"/>
                <w:szCs w:val="18"/>
              </w:rPr>
            </w:pPr>
            <w:r w:rsidRPr="006A4243">
              <w:rPr>
                <w:rFonts w:cs="Arial"/>
                <w:szCs w:val="18"/>
              </w:rPr>
              <w:t>Daniel Kuehn</w:t>
            </w:r>
          </w:p>
          <w:p w:rsidR="00590187" w:rsidP="00C005FB" w:rsidRDefault="00590187" w14:paraId="75C4776E" w14:textId="19EF44D2">
            <w:pPr>
              <w:pStyle w:val="TableText"/>
              <w:rPr>
                <w:rFonts w:cs="Arial"/>
                <w:szCs w:val="18"/>
              </w:rPr>
            </w:pPr>
            <w:r w:rsidRPr="006A4243">
              <w:rPr>
                <w:rFonts w:cs="Arial"/>
                <w:szCs w:val="18"/>
              </w:rPr>
              <w:t>Deputy Project Director</w:t>
            </w:r>
          </w:p>
          <w:p w:rsidR="000F2E30" w:rsidP="00C005FB" w:rsidRDefault="000F2E30" w14:paraId="0B2FD9A0" w14:textId="45BC7E7B">
            <w:pPr>
              <w:pStyle w:val="TableText"/>
              <w:rPr>
                <w:rFonts w:cs="Arial"/>
                <w:szCs w:val="18"/>
              </w:rPr>
            </w:pPr>
          </w:p>
          <w:p w:rsidR="000F2E30" w:rsidP="00C005FB" w:rsidRDefault="000F2E30" w14:paraId="6B4D06BA" w14:textId="0E3C5215">
            <w:pPr>
              <w:pStyle w:val="TableText"/>
              <w:rPr>
                <w:rFonts w:cs="Arial"/>
                <w:szCs w:val="18"/>
              </w:rPr>
            </w:pPr>
            <w:r>
              <w:rPr>
                <w:rFonts w:cs="Arial"/>
                <w:szCs w:val="18"/>
              </w:rPr>
              <w:t>Lauren Eyster</w:t>
            </w:r>
          </w:p>
          <w:p w:rsidR="000F2E30" w:rsidP="00C005FB" w:rsidRDefault="000F2E30" w14:paraId="3B25AB59" w14:textId="369CA541">
            <w:pPr>
              <w:pStyle w:val="TableText"/>
              <w:rPr>
                <w:rFonts w:cs="Arial"/>
                <w:szCs w:val="18"/>
              </w:rPr>
            </w:pPr>
            <w:r>
              <w:rPr>
                <w:rFonts w:cs="Arial"/>
                <w:szCs w:val="18"/>
              </w:rPr>
              <w:t>Shayne Spaulding</w:t>
            </w:r>
          </w:p>
          <w:p w:rsidR="000F2E30" w:rsidP="00C005FB" w:rsidRDefault="000F2E30" w14:paraId="2083050A" w14:textId="327C80F6">
            <w:pPr>
              <w:pStyle w:val="TableText"/>
              <w:rPr>
                <w:rFonts w:cs="Arial"/>
                <w:szCs w:val="18"/>
              </w:rPr>
            </w:pPr>
            <w:r>
              <w:rPr>
                <w:rFonts w:cs="Arial"/>
                <w:szCs w:val="18"/>
              </w:rPr>
              <w:t>Task Directors</w:t>
            </w:r>
          </w:p>
          <w:p w:rsidRPr="00B61EED" w:rsidR="00590187" w:rsidP="00C005FB" w:rsidRDefault="00590187" w14:paraId="0D26A88E" w14:textId="77777777">
            <w:pPr>
              <w:pStyle w:val="TableText"/>
              <w:rPr>
                <w:rFonts w:cs="Arial"/>
                <w:szCs w:val="18"/>
              </w:rPr>
            </w:pPr>
          </w:p>
        </w:tc>
      </w:tr>
      <w:tr w:rsidRPr="00B61EED" w:rsidR="00590187" w:rsidTr="006B5C3A" w14:paraId="72CD3445" w14:textId="77777777">
        <w:trPr>
          <w:cantSplit/>
        </w:trPr>
        <w:tc>
          <w:tcPr>
            <w:tcW w:w="1827" w:type="pct"/>
            <w:tcBorders>
              <w:top w:val="single" w:color="auto" w:sz="4" w:space="0"/>
              <w:left w:val="nil"/>
              <w:bottom w:val="single" w:color="auto" w:sz="4" w:space="0"/>
              <w:right w:val="nil"/>
            </w:tcBorders>
            <w:shd w:val="clear" w:color="auto" w:fill="auto"/>
            <w:tcMar>
              <w:top w:w="0" w:type="dxa"/>
              <w:left w:w="108" w:type="dxa"/>
              <w:bottom w:w="0" w:type="dxa"/>
              <w:right w:w="108" w:type="dxa"/>
            </w:tcMar>
            <w:hideMark/>
          </w:tcPr>
          <w:p w:rsidR="00590187" w:rsidP="00C005FB" w:rsidRDefault="00590187" w14:paraId="3927B62C" w14:textId="77777777">
            <w:pPr>
              <w:pStyle w:val="TableText"/>
              <w:rPr>
                <w:rFonts w:cs="Arial"/>
                <w:szCs w:val="18"/>
              </w:rPr>
            </w:pPr>
            <w:r>
              <w:rPr>
                <w:rFonts w:cs="Arial"/>
                <w:szCs w:val="18"/>
              </w:rPr>
              <w:t xml:space="preserve">Mathematica </w:t>
            </w:r>
          </w:p>
          <w:p w:rsidRPr="00B61EED" w:rsidR="00590187" w:rsidP="00C005FB" w:rsidRDefault="00590187" w14:paraId="438487E2" w14:textId="77777777">
            <w:pPr>
              <w:pStyle w:val="TableText"/>
              <w:rPr>
                <w:rFonts w:cs="Arial"/>
                <w:szCs w:val="18"/>
              </w:rPr>
            </w:pPr>
          </w:p>
        </w:tc>
        <w:tc>
          <w:tcPr>
            <w:tcW w:w="3173" w:type="pct"/>
            <w:tcBorders>
              <w:top w:val="single" w:color="auto" w:sz="4" w:space="0"/>
              <w:left w:val="nil"/>
              <w:bottom w:val="single" w:color="auto" w:sz="4" w:space="0"/>
              <w:right w:val="nil"/>
            </w:tcBorders>
            <w:shd w:val="clear" w:color="auto" w:fill="auto"/>
            <w:tcMar>
              <w:top w:w="0" w:type="dxa"/>
              <w:left w:w="108" w:type="dxa"/>
              <w:bottom w:w="0" w:type="dxa"/>
              <w:right w:w="108" w:type="dxa"/>
            </w:tcMar>
            <w:hideMark/>
          </w:tcPr>
          <w:p w:rsidR="00590187" w:rsidP="00FD0C72" w:rsidRDefault="00590187" w14:paraId="4E5DB108" w14:textId="77777777">
            <w:pPr>
              <w:pStyle w:val="TableText"/>
              <w:rPr>
                <w:rFonts w:cs="Arial"/>
                <w:szCs w:val="18"/>
              </w:rPr>
            </w:pPr>
            <w:r>
              <w:rPr>
                <w:rFonts w:cs="Arial"/>
                <w:szCs w:val="18"/>
              </w:rPr>
              <w:t>Samina Sattar</w:t>
            </w:r>
          </w:p>
          <w:p w:rsidRPr="006A4243" w:rsidR="00590187" w:rsidP="00FD0C72" w:rsidRDefault="00590187" w14:paraId="7B5D6821" w14:textId="77777777">
            <w:pPr>
              <w:pStyle w:val="TableText"/>
              <w:rPr>
                <w:rFonts w:cs="Arial"/>
                <w:szCs w:val="18"/>
              </w:rPr>
            </w:pPr>
            <w:r w:rsidRPr="006A4243">
              <w:rPr>
                <w:rFonts w:cs="Arial"/>
                <w:szCs w:val="18"/>
              </w:rPr>
              <w:t>Project Director</w:t>
            </w:r>
          </w:p>
          <w:p w:rsidR="00590187" w:rsidP="00FD0C72" w:rsidRDefault="00590187" w14:paraId="4970AD3A" w14:textId="77777777">
            <w:pPr>
              <w:pStyle w:val="TableText"/>
              <w:rPr>
                <w:rFonts w:cs="Arial"/>
                <w:szCs w:val="18"/>
              </w:rPr>
            </w:pPr>
          </w:p>
          <w:p w:rsidR="00590187" w:rsidP="00FD0C72" w:rsidRDefault="00590187" w14:paraId="02B27200" w14:textId="77777777">
            <w:pPr>
              <w:pStyle w:val="TableText"/>
              <w:rPr>
                <w:rFonts w:cs="Arial"/>
                <w:szCs w:val="18"/>
              </w:rPr>
            </w:pPr>
            <w:r>
              <w:rPr>
                <w:rFonts w:cs="Arial"/>
                <w:szCs w:val="18"/>
              </w:rPr>
              <w:t>Ryan Callahan</w:t>
            </w:r>
          </w:p>
          <w:p w:rsidR="00590187" w:rsidP="00FD0C72" w:rsidRDefault="00590187" w14:paraId="12CC1B02" w14:textId="77777777">
            <w:pPr>
              <w:pStyle w:val="TableText"/>
              <w:rPr>
                <w:rFonts w:cs="Arial"/>
                <w:szCs w:val="18"/>
              </w:rPr>
            </w:pPr>
            <w:r>
              <w:rPr>
                <w:rFonts w:cs="Arial"/>
                <w:szCs w:val="18"/>
              </w:rPr>
              <w:t>Survey Director</w:t>
            </w:r>
          </w:p>
          <w:p w:rsidRPr="00B61EED" w:rsidR="00590187" w:rsidP="00FD0C72" w:rsidRDefault="00590187" w14:paraId="3B34C743" w14:textId="77777777">
            <w:pPr>
              <w:pStyle w:val="TableText"/>
              <w:rPr>
                <w:rFonts w:cs="Arial"/>
                <w:szCs w:val="18"/>
              </w:rPr>
            </w:pPr>
          </w:p>
        </w:tc>
      </w:tr>
      <w:tr w:rsidRPr="00B61EED" w:rsidR="0014041C" w:rsidTr="0014041C" w14:paraId="12EB0BDF" w14:textId="77777777">
        <w:trPr>
          <w:cantSplit/>
        </w:trPr>
        <w:tc>
          <w:tcPr>
            <w:tcW w:w="1827" w:type="pct"/>
            <w:tcBorders>
              <w:top w:val="single" w:color="auto" w:sz="4" w:space="0"/>
              <w:left w:val="nil"/>
              <w:bottom w:val="single" w:color="auto" w:sz="4" w:space="0"/>
              <w:right w:val="nil"/>
            </w:tcBorders>
            <w:shd w:val="clear" w:color="auto" w:fill="auto"/>
            <w:tcMar>
              <w:top w:w="0" w:type="dxa"/>
              <w:left w:w="108" w:type="dxa"/>
              <w:bottom w:w="0" w:type="dxa"/>
              <w:right w:w="108" w:type="dxa"/>
            </w:tcMar>
          </w:tcPr>
          <w:p w:rsidRPr="00B61EED" w:rsidR="0014041C" w:rsidDel="00E44216" w:rsidP="0014041C" w:rsidRDefault="0014041C" w14:paraId="01185777" w14:textId="77777777">
            <w:pPr>
              <w:pStyle w:val="TableText"/>
              <w:rPr>
                <w:rFonts w:cs="Arial"/>
                <w:szCs w:val="18"/>
              </w:rPr>
            </w:pPr>
            <w:r>
              <w:rPr>
                <w:rFonts w:cs="Arial"/>
                <w:szCs w:val="18"/>
              </w:rPr>
              <w:t>Capital Research Corporation</w:t>
            </w:r>
          </w:p>
        </w:tc>
        <w:tc>
          <w:tcPr>
            <w:tcW w:w="3173" w:type="pct"/>
            <w:tcBorders>
              <w:top w:val="single" w:color="auto" w:sz="4" w:space="0"/>
              <w:left w:val="nil"/>
              <w:bottom w:val="single" w:color="auto" w:sz="4" w:space="0"/>
              <w:right w:val="nil"/>
            </w:tcBorders>
            <w:shd w:val="clear" w:color="auto" w:fill="auto"/>
            <w:tcMar>
              <w:top w:w="0" w:type="dxa"/>
              <w:left w:w="108" w:type="dxa"/>
              <w:bottom w:w="0" w:type="dxa"/>
              <w:right w:w="108" w:type="dxa"/>
            </w:tcMar>
          </w:tcPr>
          <w:p w:rsidR="0014041C" w:rsidP="0014041C" w:rsidRDefault="0014041C" w14:paraId="1DE02D26" w14:textId="77777777">
            <w:pPr>
              <w:pStyle w:val="TableText"/>
              <w:rPr>
                <w:rFonts w:cs="Arial"/>
                <w:szCs w:val="18"/>
              </w:rPr>
            </w:pPr>
            <w:r>
              <w:rPr>
                <w:rFonts w:cs="Arial"/>
                <w:szCs w:val="18"/>
              </w:rPr>
              <w:t>John Trutko</w:t>
            </w:r>
          </w:p>
          <w:p w:rsidR="0014041C" w:rsidP="0014041C" w:rsidRDefault="0014041C" w14:paraId="3C30D822" w14:textId="77777777">
            <w:pPr>
              <w:pStyle w:val="TableText"/>
              <w:rPr>
                <w:rFonts w:cs="Arial"/>
                <w:szCs w:val="18"/>
              </w:rPr>
            </w:pPr>
            <w:r>
              <w:rPr>
                <w:rFonts w:cs="Arial"/>
                <w:szCs w:val="18"/>
              </w:rPr>
              <w:t>Project Director</w:t>
            </w:r>
          </w:p>
          <w:p w:rsidR="0014041C" w:rsidDel="00E44216" w:rsidP="0014041C" w:rsidRDefault="0014041C" w14:paraId="38E060B7" w14:textId="77777777">
            <w:pPr>
              <w:pStyle w:val="TableText"/>
              <w:rPr>
                <w:rFonts w:cs="Arial"/>
                <w:szCs w:val="18"/>
              </w:rPr>
            </w:pPr>
          </w:p>
        </w:tc>
      </w:tr>
    </w:tbl>
    <w:p w:rsidR="00C11EE1" w:rsidP="00C11EE1" w:rsidRDefault="00C11EE1" w14:paraId="774C842D" w14:textId="77777777">
      <w:pPr>
        <w:pStyle w:val="H3Alpha"/>
      </w:pPr>
    </w:p>
    <w:p w:rsidR="00C11EE1" w:rsidP="00C11EE1" w:rsidRDefault="00C11EE1" w14:paraId="4937D0EA" w14:textId="354DEA76">
      <w:pPr>
        <w:pStyle w:val="H3Alpha"/>
      </w:pPr>
      <w:bookmarkStart w:name="_Hlk42788552" w:id="11"/>
      <w:r w:rsidRPr="00C11EE1">
        <w:t>Section B.I</w:t>
      </w:r>
      <w:r w:rsidR="00DC721D">
        <w:t>I</w:t>
      </w:r>
      <w:r w:rsidRPr="00C11EE1">
        <w:t xml:space="preserve"> Imp</w:t>
      </w:r>
      <w:r>
        <w:t>lementation</w:t>
      </w:r>
      <w:r w:rsidRPr="00C11EE1">
        <w:t xml:space="preserve"> Evaluation Data Collection</w:t>
      </w:r>
    </w:p>
    <w:p w:rsidRPr="00060545" w:rsidR="00060545" w:rsidP="00060545" w:rsidRDefault="00060545" w14:paraId="46DD7294" w14:textId="0EB7BE06">
      <w:pPr>
        <w:pStyle w:val="NormalSS"/>
      </w:pPr>
      <w:r w:rsidRPr="00060545">
        <w:t xml:space="preserve">The Apprenticeship </w:t>
      </w:r>
      <w:r w:rsidRPr="00060545">
        <w:rPr>
          <w:bCs/>
        </w:rPr>
        <w:t>Evidence-Building Portfolio</w:t>
      </w:r>
      <w:r w:rsidRPr="00060545">
        <w:t xml:space="preserve"> includes two implementation studies: an implementation study of the Scaling Apprenticeship, Closing the Skill Gaps, and other similar DOL initiatives to develop typologies of apprenticeship models and practices, identify promising strategies across the portfolio, and to better understand the implementation of models to help interpret impact evaluation findings (labeled below as the Program Implementation Study); and an implementation study on the </w:t>
      </w:r>
      <w:r>
        <w:t>VETS</w:t>
      </w:r>
      <w:r w:rsidRPr="00060545">
        <w:t xml:space="preserve"> Apprenticeship </w:t>
      </w:r>
      <w:r>
        <w:t>pilot</w:t>
      </w:r>
      <w:r w:rsidRPr="00060545">
        <w:t xml:space="preserve"> to understand service delivery design and implementation, challenges, and promising practices.  In this section, we describe the data collection for each of these in turn.</w:t>
      </w:r>
    </w:p>
    <w:p w:rsidRPr="00060545" w:rsidR="00060545" w:rsidP="00060545" w:rsidRDefault="00060545" w14:paraId="38816E89" w14:textId="77777777">
      <w:pPr>
        <w:pStyle w:val="NormalSS"/>
        <w:rPr>
          <w:b/>
        </w:rPr>
      </w:pPr>
      <w:r w:rsidRPr="00060545">
        <w:rPr>
          <w:b/>
        </w:rPr>
        <w:t xml:space="preserve">Section B.II.1 Respondent Universe and Sampling </w:t>
      </w:r>
    </w:p>
    <w:p w:rsidRPr="00060545" w:rsidR="00060545" w:rsidP="00060545" w:rsidRDefault="00060545" w14:paraId="587A3E48" w14:textId="77777777">
      <w:pPr>
        <w:pStyle w:val="NormalSS"/>
      </w:pPr>
      <w:r w:rsidRPr="00060545">
        <w:rPr>
          <w:i/>
          <w:iCs/>
        </w:rPr>
        <w:t>Program Implementation Study</w:t>
      </w:r>
      <w:r w:rsidRPr="00060545">
        <w:t xml:space="preserve">. </w:t>
      </w:r>
      <w:bookmarkStart w:name="_Hlk42791391" w:id="12"/>
      <w:r w:rsidRPr="00060545">
        <w:t>The potential universe for site visits as part of this implementation study is 23 Scaling Apprenticeship Grants and 28 Closing the Skill Gap grants. From this universe, 21 sites will be visited for three- to four-day site visits (Table B.5) The site visits are designed to provide in-depth information about a group of grantees with a range of characteristics and apprenticeship program designs, including grantees whose programs are part of the impact evaluation. The site visit information will be used to inform development of typologies of types of apprenticeship programs and identify promising strategies. All reports including these findings will make clear that the results show not be generalized to all programs receiving these apprenticeship grants or all apprenticeship programs. In addition to including sites that are part of the impact evaluation, suitable sites for these visits will be identified using the following primary criteria:</w:t>
      </w:r>
    </w:p>
    <w:p w:rsidRPr="00060545" w:rsidR="00060545" w:rsidP="00AB3F60" w:rsidRDefault="00060545" w14:paraId="64B4390E" w14:textId="77777777">
      <w:pPr>
        <w:pStyle w:val="NormalSS"/>
        <w:numPr>
          <w:ilvl w:val="0"/>
          <w:numId w:val="75"/>
        </w:numPr>
        <w:spacing w:after="0"/>
        <w:ind w:left="720"/>
      </w:pPr>
      <w:r w:rsidRPr="00060545">
        <w:lastRenderedPageBreak/>
        <w:t>Grant type, with at least 9 site visits allocated to each grant program (Scaling Apprenticeship and Closing the Skill Gap);</w:t>
      </w:r>
    </w:p>
    <w:p w:rsidRPr="00060545" w:rsidR="00060545" w:rsidP="00AB3F60" w:rsidRDefault="00060545" w14:paraId="70FDB350" w14:textId="77777777">
      <w:pPr>
        <w:pStyle w:val="NormalSS"/>
        <w:numPr>
          <w:ilvl w:val="0"/>
          <w:numId w:val="75"/>
        </w:numPr>
        <w:spacing w:after="0"/>
        <w:ind w:left="720"/>
      </w:pPr>
      <w:r w:rsidRPr="00060545">
        <w:t>Models, strategies and practices being implemented;</w:t>
      </w:r>
    </w:p>
    <w:p w:rsidRPr="00060545" w:rsidR="00060545" w:rsidP="00AB3F60" w:rsidRDefault="00060545" w14:paraId="4FD4ED1D" w14:textId="77777777">
      <w:pPr>
        <w:pStyle w:val="NormalSS"/>
        <w:numPr>
          <w:ilvl w:val="0"/>
          <w:numId w:val="75"/>
        </w:numPr>
        <w:spacing w:after="0"/>
        <w:ind w:left="720"/>
      </w:pPr>
      <w:r w:rsidRPr="00060545">
        <w:t>Industry focus of the grant (to include a mixture of sectors, such as IT, health care, advanced manufacturing);</w:t>
      </w:r>
    </w:p>
    <w:p w:rsidRPr="00060545" w:rsidR="00060545" w:rsidP="00AB3F60" w:rsidRDefault="00060545" w14:paraId="36993E7D" w14:textId="77777777">
      <w:pPr>
        <w:pStyle w:val="NormalSS"/>
        <w:numPr>
          <w:ilvl w:val="0"/>
          <w:numId w:val="75"/>
        </w:numPr>
        <w:spacing w:after="0"/>
        <w:ind w:left="720"/>
      </w:pPr>
      <w:r w:rsidRPr="00060545">
        <w:t>Organization type (for Closing the Skill Gap);</w:t>
      </w:r>
    </w:p>
    <w:p w:rsidRPr="00060545" w:rsidR="00060545" w:rsidP="00AB3F60" w:rsidRDefault="00060545" w14:paraId="2FFF09CB" w14:textId="289E9FBD">
      <w:pPr>
        <w:pStyle w:val="NormalSS"/>
        <w:numPr>
          <w:ilvl w:val="0"/>
          <w:numId w:val="75"/>
        </w:numPr>
        <w:spacing w:after="0"/>
        <w:ind w:left="720"/>
      </w:pPr>
      <w:r w:rsidRPr="00060545">
        <w:t>Target populations to be served</w:t>
      </w:r>
      <w:r w:rsidR="00AB3F60">
        <w:t>;</w:t>
      </w:r>
    </w:p>
    <w:p w:rsidR="00060545" w:rsidP="00AB3F60" w:rsidRDefault="00060545" w14:paraId="6627760E" w14:textId="6862D80B">
      <w:pPr>
        <w:pStyle w:val="NormalSS"/>
        <w:numPr>
          <w:ilvl w:val="0"/>
          <w:numId w:val="75"/>
        </w:numPr>
        <w:spacing w:after="0"/>
        <w:ind w:left="720"/>
      </w:pPr>
      <w:r w:rsidRPr="00060545">
        <w:t>Geographic area served by the grant.</w:t>
      </w:r>
    </w:p>
    <w:p w:rsidRPr="00060545" w:rsidR="00AB3F60" w:rsidP="00AB3F60" w:rsidRDefault="00AB3F60" w14:paraId="33071BA7" w14:textId="77777777">
      <w:pPr>
        <w:pStyle w:val="NormalSS"/>
        <w:spacing w:after="0"/>
        <w:ind w:left="720" w:firstLine="0"/>
      </w:pPr>
    </w:p>
    <w:p w:rsidRPr="00060545" w:rsidR="00060545" w:rsidP="00060545" w:rsidRDefault="00060545" w14:paraId="12E8D19A" w14:textId="77777777">
      <w:pPr>
        <w:pStyle w:val="NormalSS"/>
      </w:pPr>
      <w:r w:rsidRPr="00060545">
        <w:t xml:space="preserve">Data sources for site selection information include grantee applications, </w:t>
      </w:r>
      <w:proofErr w:type="spellStart"/>
      <w:r w:rsidRPr="00060545">
        <w:t>workplans</w:t>
      </w:r>
      <w:proofErr w:type="spellEnd"/>
      <w:r w:rsidRPr="00060545">
        <w:t xml:space="preserve"> and quarterly reports, and notes from clarification calls made to a select number of grantees as part of the impact study design process. A list of alternative sites, having similar characteristics, will be identified in the event that the grantee is unable to participate in the data collection. </w:t>
      </w:r>
    </w:p>
    <w:p w:rsidRPr="00060545" w:rsidR="00060545" w:rsidP="00060545" w:rsidRDefault="00060545" w14:paraId="08BDC49C" w14:textId="77777777">
      <w:pPr>
        <w:pStyle w:val="NormalSS"/>
      </w:pPr>
      <w:r w:rsidRPr="00060545">
        <w:t>The potential respondents at each selected site include staff from the grantee organization and partner organizations, including employers. For each of the 21 sites selected, the member of the two-person site visit team primarily responsible for logistics will make initial contact by phone with the individual listed as the primary contact in the Office of Apprenticeship records.  The site visit team will then send an e-mail to inform the grantee organization of the study and request its cooperation.  The initial telephone contact will provide background about the project and seek additional information on organizations and partners in order to identify key respondents.  Based on this information, the site visit team will contact respondents and determine the best timing for the visit in order to accommodate the schedule of local respondents.</w:t>
      </w:r>
    </w:p>
    <w:p w:rsidRPr="00060545" w:rsidR="00060545" w:rsidP="00060545" w:rsidRDefault="00060545" w14:paraId="732C48F8" w14:textId="77777777">
      <w:pPr>
        <w:pStyle w:val="NormalSS"/>
      </w:pPr>
      <w:r w:rsidRPr="00060545">
        <w:t xml:space="preserve">At the outset of the interviews, we will inquire about environmental context for the grant, key features of the program, including apprenticeship and pre-apprenticeship programs, program organization and structure, role of key partners, overlap with other apprenticeship initiatives, target population and recruitment practices, employer engagement, sustainability of grant activities, and key lessons learned. </w:t>
      </w:r>
    </w:p>
    <w:bookmarkEnd w:id="11"/>
    <w:bookmarkEnd w:id="12"/>
    <w:p w:rsidRPr="00931CF1" w:rsidR="00931CF1" w:rsidP="00931CF1" w:rsidRDefault="00931CF1" w14:paraId="71F52625" w14:textId="3BC48655">
      <w:pPr>
        <w:autoSpaceDE w:val="0"/>
        <w:autoSpaceDN w:val="0"/>
        <w:adjustRightInd w:val="0"/>
        <w:spacing w:line="240" w:lineRule="auto"/>
        <w:ind w:firstLine="0"/>
        <w:rPr>
          <w:bCs/>
          <w:szCs w:val="24"/>
        </w:rPr>
      </w:pPr>
      <w:r w:rsidRPr="00931CF1">
        <w:rPr>
          <w:b/>
          <w:bCs/>
          <w:szCs w:val="24"/>
        </w:rPr>
        <w:t xml:space="preserve">Table </w:t>
      </w:r>
      <w:r>
        <w:rPr>
          <w:b/>
          <w:bCs/>
          <w:szCs w:val="24"/>
        </w:rPr>
        <w:t>B.</w:t>
      </w:r>
      <w:r w:rsidR="008F44C3">
        <w:rPr>
          <w:b/>
          <w:bCs/>
          <w:szCs w:val="24"/>
        </w:rPr>
        <w:t>5</w:t>
      </w:r>
      <w:r w:rsidRPr="00931CF1">
        <w:rPr>
          <w:b/>
          <w:bCs/>
          <w:szCs w:val="24"/>
        </w:rPr>
        <w:t>. Respondent Universe for Site Visits</w:t>
      </w:r>
      <w:r>
        <w:rPr>
          <w:b/>
          <w:bCs/>
          <w:szCs w:val="24"/>
        </w:rPr>
        <w:t xml:space="preserve"> Implementation Study</w:t>
      </w:r>
      <w:r w:rsidRPr="00931CF1">
        <w:rPr>
          <w:b/>
          <w:bCs/>
          <w:szCs w:val="24"/>
        </w:rPr>
        <w:t xml:space="preserve"> </w:t>
      </w:r>
    </w:p>
    <w:tbl>
      <w:tblPr>
        <w:tblW w:w="10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345"/>
        <w:gridCol w:w="3870"/>
        <w:gridCol w:w="4063"/>
      </w:tblGrid>
      <w:tr w:rsidRPr="00931CF1" w:rsidR="00931CF1" w:rsidTr="00591803" w14:paraId="02BDAD50" w14:textId="77777777">
        <w:tc>
          <w:tcPr>
            <w:tcW w:w="2345" w:type="dxa"/>
          </w:tcPr>
          <w:p w:rsidRPr="00AB3F60" w:rsidR="00931CF1" w:rsidP="00931CF1" w:rsidRDefault="00931CF1" w14:paraId="64C5597E" w14:textId="77777777">
            <w:pPr>
              <w:spacing w:line="240" w:lineRule="auto"/>
              <w:ind w:firstLine="0"/>
              <w:rPr>
                <w:b/>
                <w:sz w:val="22"/>
                <w:szCs w:val="22"/>
              </w:rPr>
            </w:pPr>
            <w:r w:rsidRPr="00AB3F60">
              <w:rPr>
                <w:b/>
                <w:sz w:val="22"/>
                <w:szCs w:val="22"/>
              </w:rPr>
              <w:t>Data Collection Activity</w:t>
            </w:r>
          </w:p>
        </w:tc>
        <w:tc>
          <w:tcPr>
            <w:tcW w:w="3870" w:type="dxa"/>
          </w:tcPr>
          <w:p w:rsidRPr="00AB3F60" w:rsidR="00931CF1" w:rsidP="00931CF1" w:rsidRDefault="00931CF1" w14:paraId="020720F3" w14:textId="77777777">
            <w:pPr>
              <w:spacing w:line="240" w:lineRule="auto"/>
              <w:ind w:firstLine="0"/>
              <w:jc w:val="center"/>
              <w:rPr>
                <w:b/>
                <w:sz w:val="22"/>
                <w:szCs w:val="22"/>
              </w:rPr>
            </w:pPr>
            <w:r w:rsidRPr="00AB3F60">
              <w:rPr>
                <w:b/>
                <w:sz w:val="22"/>
                <w:szCs w:val="22"/>
              </w:rPr>
              <w:t>Universe/Sampling Frame</w:t>
            </w:r>
          </w:p>
        </w:tc>
        <w:tc>
          <w:tcPr>
            <w:tcW w:w="4063" w:type="dxa"/>
          </w:tcPr>
          <w:p w:rsidRPr="00AB3F60" w:rsidR="00931CF1" w:rsidP="00931CF1" w:rsidRDefault="00931CF1" w14:paraId="6687CC83" w14:textId="77777777">
            <w:pPr>
              <w:spacing w:line="240" w:lineRule="auto"/>
              <w:ind w:firstLine="0"/>
              <w:jc w:val="center"/>
              <w:rPr>
                <w:b/>
                <w:sz w:val="22"/>
                <w:szCs w:val="22"/>
              </w:rPr>
            </w:pPr>
            <w:r w:rsidRPr="00AB3F60">
              <w:rPr>
                <w:b/>
                <w:sz w:val="22"/>
                <w:szCs w:val="22"/>
              </w:rPr>
              <w:t>Respondent Description</w:t>
            </w:r>
          </w:p>
        </w:tc>
      </w:tr>
      <w:tr w:rsidRPr="00931CF1" w:rsidR="00931CF1" w:rsidTr="00591803" w14:paraId="7014AFE3" w14:textId="77777777">
        <w:tc>
          <w:tcPr>
            <w:tcW w:w="2345" w:type="dxa"/>
          </w:tcPr>
          <w:p w:rsidRPr="00AB3F60" w:rsidR="00931CF1" w:rsidP="00931CF1" w:rsidRDefault="00931CF1" w14:paraId="7A5AA97C" w14:textId="7D622EC3">
            <w:pPr>
              <w:spacing w:line="240" w:lineRule="auto"/>
              <w:ind w:firstLine="0"/>
              <w:rPr>
                <w:sz w:val="22"/>
                <w:szCs w:val="22"/>
              </w:rPr>
            </w:pPr>
            <w:r w:rsidRPr="00AB3F60">
              <w:rPr>
                <w:sz w:val="22"/>
                <w:szCs w:val="22"/>
              </w:rPr>
              <w:t>Site visits: Semi-structured interviews</w:t>
            </w:r>
          </w:p>
        </w:tc>
        <w:tc>
          <w:tcPr>
            <w:tcW w:w="3870" w:type="dxa"/>
          </w:tcPr>
          <w:p w:rsidRPr="00AB3F60" w:rsidR="00931CF1" w:rsidP="00931CF1" w:rsidRDefault="00931CF1" w14:paraId="0324E892" w14:textId="2B7362DE">
            <w:pPr>
              <w:spacing w:line="240" w:lineRule="auto"/>
              <w:ind w:firstLine="0"/>
              <w:rPr>
                <w:sz w:val="22"/>
                <w:szCs w:val="22"/>
              </w:rPr>
            </w:pPr>
            <w:r w:rsidRPr="00AB3F60">
              <w:rPr>
                <w:sz w:val="22"/>
                <w:szCs w:val="22"/>
              </w:rPr>
              <w:t xml:space="preserve">Universe of 51 grant recipients/purposive sampling of </w:t>
            </w:r>
            <w:r w:rsidRPr="00AB3F60" w:rsidR="00060545">
              <w:rPr>
                <w:sz w:val="22"/>
                <w:szCs w:val="22"/>
              </w:rPr>
              <w:t>21</w:t>
            </w:r>
            <w:r w:rsidRPr="00AB3F60">
              <w:rPr>
                <w:sz w:val="22"/>
                <w:szCs w:val="22"/>
              </w:rPr>
              <w:t>grantees that represent a range of grantee characteristics and program design features, including grantees in impact study</w:t>
            </w:r>
          </w:p>
        </w:tc>
        <w:tc>
          <w:tcPr>
            <w:tcW w:w="4063" w:type="dxa"/>
          </w:tcPr>
          <w:p w:rsidRPr="00AB3F60" w:rsidR="00931CF1" w:rsidP="00A75916" w:rsidRDefault="00931CF1" w14:paraId="67778ACC" w14:textId="23A019F9">
            <w:pPr>
              <w:widowControl w:val="0"/>
              <w:spacing w:line="240" w:lineRule="auto"/>
              <w:ind w:firstLine="0"/>
              <w:rPr>
                <w:sz w:val="22"/>
                <w:szCs w:val="22"/>
              </w:rPr>
            </w:pPr>
            <w:r w:rsidRPr="00AB3F60">
              <w:rPr>
                <w:sz w:val="22"/>
                <w:szCs w:val="22"/>
              </w:rPr>
              <w:t>Grantee program coordinators, other program staff, employer partners</w:t>
            </w:r>
          </w:p>
        </w:tc>
      </w:tr>
      <w:tr w:rsidRPr="00931CF1" w:rsidR="00931CF1" w:rsidTr="00591803" w14:paraId="070C87CB" w14:textId="77777777">
        <w:trPr>
          <w:trHeight w:val="1457"/>
        </w:trPr>
        <w:tc>
          <w:tcPr>
            <w:tcW w:w="2345" w:type="dxa"/>
          </w:tcPr>
          <w:p w:rsidRPr="00AB3F60" w:rsidR="00931CF1" w:rsidP="00931CF1" w:rsidRDefault="00931CF1" w14:paraId="64AC9A5D" w14:textId="77777777">
            <w:pPr>
              <w:spacing w:line="240" w:lineRule="auto"/>
              <w:ind w:firstLine="0"/>
              <w:rPr>
                <w:sz w:val="22"/>
                <w:szCs w:val="22"/>
              </w:rPr>
            </w:pPr>
            <w:r w:rsidRPr="00AB3F60">
              <w:rPr>
                <w:sz w:val="22"/>
                <w:szCs w:val="22"/>
              </w:rPr>
              <w:t>Site visits: Focus groups</w:t>
            </w:r>
          </w:p>
        </w:tc>
        <w:tc>
          <w:tcPr>
            <w:tcW w:w="3870" w:type="dxa"/>
          </w:tcPr>
          <w:p w:rsidRPr="00AB3F60" w:rsidR="00931CF1" w:rsidP="00931CF1" w:rsidRDefault="00931CF1" w14:paraId="4CAAC836" w14:textId="751224B3">
            <w:pPr>
              <w:widowControl w:val="0"/>
              <w:spacing w:line="240" w:lineRule="auto"/>
              <w:ind w:firstLine="0"/>
              <w:rPr>
                <w:i/>
                <w:sz w:val="22"/>
                <w:szCs w:val="22"/>
              </w:rPr>
            </w:pPr>
            <w:r w:rsidRPr="00AB3F60">
              <w:rPr>
                <w:sz w:val="22"/>
                <w:szCs w:val="22"/>
              </w:rPr>
              <w:t xml:space="preserve">Universe for each site ranging from </w:t>
            </w:r>
            <w:r w:rsidRPr="00AB3F60" w:rsidR="008F44C3">
              <w:rPr>
                <w:sz w:val="22"/>
                <w:szCs w:val="22"/>
              </w:rPr>
              <w:t>800</w:t>
            </w:r>
            <w:r w:rsidRPr="00AB3F60">
              <w:rPr>
                <w:sz w:val="22"/>
                <w:szCs w:val="22"/>
              </w:rPr>
              <w:t xml:space="preserve"> to </w:t>
            </w:r>
            <w:r w:rsidRPr="00AB3F60" w:rsidR="008F44C3">
              <w:rPr>
                <w:sz w:val="22"/>
                <w:szCs w:val="22"/>
              </w:rPr>
              <w:t>5,00</w:t>
            </w:r>
            <w:r w:rsidRPr="00AB3F60" w:rsidR="00060545">
              <w:rPr>
                <w:sz w:val="22"/>
                <w:szCs w:val="22"/>
              </w:rPr>
              <w:t>0</w:t>
            </w:r>
            <w:r w:rsidRPr="00AB3F60">
              <w:rPr>
                <w:sz w:val="22"/>
                <w:szCs w:val="22"/>
              </w:rPr>
              <w:t xml:space="preserve"> participants</w:t>
            </w:r>
            <w:r w:rsidRPr="00AB3F60" w:rsidR="008F44C3">
              <w:rPr>
                <w:sz w:val="22"/>
                <w:szCs w:val="22"/>
              </w:rPr>
              <w:t xml:space="preserve"> over course of program;</w:t>
            </w:r>
            <w:r w:rsidRPr="00AB3F60">
              <w:rPr>
                <w:sz w:val="22"/>
                <w:szCs w:val="22"/>
              </w:rPr>
              <w:t xml:space="preserve"> contact for focus group participation made in </w:t>
            </w:r>
            <w:r w:rsidRPr="00AB3F60" w:rsidR="00060545">
              <w:rPr>
                <w:sz w:val="22"/>
                <w:szCs w:val="22"/>
              </w:rPr>
              <w:t xml:space="preserve">21 </w:t>
            </w:r>
            <w:r w:rsidRPr="00AB3F60">
              <w:rPr>
                <w:sz w:val="22"/>
                <w:szCs w:val="22"/>
              </w:rPr>
              <w:t>grant sites. Convenience sample of 210 students willing and able to attend the focus groups.</w:t>
            </w:r>
          </w:p>
          <w:p w:rsidRPr="00AB3F60" w:rsidR="00931CF1" w:rsidP="00931CF1" w:rsidRDefault="00931CF1" w14:paraId="4ECFA512" w14:textId="77777777">
            <w:pPr>
              <w:spacing w:line="240" w:lineRule="auto"/>
              <w:ind w:firstLine="0"/>
              <w:rPr>
                <w:sz w:val="22"/>
                <w:szCs w:val="22"/>
              </w:rPr>
            </w:pPr>
          </w:p>
        </w:tc>
        <w:tc>
          <w:tcPr>
            <w:tcW w:w="4063" w:type="dxa"/>
          </w:tcPr>
          <w:p w:rsidRPr="00AB3F60" w:rsidR="00931CF1" w:rsidP="00931CF1" w:rsidRDefault="00931CF1" w14:paraId="0EFC7B22" w14:textId="0A675A27">
            <w:pPr>
              <w:spacing w:line="240" w:lineRule="auto"/>
              <w:ind w:firstLine="0"/>
              <w:rPr>
                <w:sz w:val="22"/>
                <w:szCs w:val="22"/>
              </w:rPr>
            </w:pPr>
            <w:r w:rsidRPr="00AB3F60">
              <w:rPr>
                <w:sz w:val="22"/>
                <w:szCs w:val="22"/>
              </w:rPr>
              <w:t>Apprentices participating in Scaling Apprenticeship or Closing the Skill Gap</w:t>
            </w:r>
            <w:r w:rsidRPr="00AB3F60" w:rsidR="00060545">
              <w:rPr>
                <w:sz w:val="22"/>
                <w:szCs w:val="22"/>
              </w:rPr>
              <w:t>s</w:t>
            </w:r>
            <w:r w:rsidRPr="00AB3F60">
              <w:rPr>
                <w:sz w:val="22"/>
                <w:szCs w:val="22"/>
              </w:rPr>
              <w:t xml:space="preserve"> programs</w:t>
            </w:r>
          </w:p>
        </w:tc>
      </w:tr>
    </w:tbl>
    <w:p w:rsidRPr="00931CF1" w:rsidR="00060545" w:rsidP="00060545" w:rsidRDefault="00060545" w14:paraId="024E421C" w14:textId="77777777">
      <w:pPr>
        <w:autoSpaceDE w:val="0"/>
        <w:autoSpaceDN w:val="0"/>
        <w:adjustRightInd w:val="0"/>
        <w:spacing w:line="240" w:lineRule="auto"/>
        <w:ind w:firstLine="0"/>
        <w:rPr>
          <w:bCs/>
          <w:szCs w:val="24"/>
        </w:rPr>
      </w:pPr>
    </w:p>
    <w:p w:rsidRPr="00060545" w:rsidR="00060545" w:rsidP="00060545" w:rsidRDefault="00060545" w14:paraId="406CF425" w14:textId="77777777">
      <w:pPr>
        <w:pStyle w:val="NormalSS"/>
        <w:rPr>
          <w:rFonts w:eastAsiaTheme="minorHAnsi"/>
        </w:rPr>
      </w:pPr>
      <w:r w:rsidRPr="00060545">
        <w:rPr>
          <w:rFonts w:eastAsiaTheme="minorHAnsi"/>
        </w:rPr>
        <w:lastRenderedPageBreak/>
        <w:t>The study will also conduct one focus group of program participants at each site visited, where feasible. We will first work with grantees to select several programs or one program, depending on proximity and numbers of participants, where it will be possible to hold a single focus group. We will then obtain a list of program participants with their contact information from the grantee, and then send apprentices recruitment emails and if necessary, conduct follow-up phone calls. If the grantee prefers to have participants contacted by program staff, we will provide the recruitment materials to facilitate outreach efforts. Outreach for each grantee will be conducted until 10 participants accept the focus group invitation in each site.</w:t>
      </w:r>
    </w:p>
    <w:p w:rsidRPr="00205EFC" w:rsidR="00931CF1" w:rsidP="00931CF1" w:rsidRDefault="00931CF1" w14:paraId="7BFD6651" w14:textId="34742C47">
      <w:pPr>
        <w:pStyle w:val="NormalSS"/>
        <w:rPr>
          <w:rFonts w:eastAsiaTheme="minorHAnsi"/>
        </w:rPr>
      </w:pPr>
      <w:r w:rsidRPr="00205EFC">
        <w:rPr>
          <w:rFonts w:eastAsiaTheme="minorHAnsi"/>
        </w:rPr>
        <w:t xml:space="preserve">For the focus groups, we will ask about participants’ reasons for enrollment, how they were recruited, their educational and employment aspirations, </w:t>
      </w:r>
      <w:r w:rsidR="00B617A9">
        <w:rPr>
          <w:rFonts w:eastAsiaTheme="minorHAnsi"/>
        </w:rPr>
        <w:t xml:space="preserve">perspectives on key features of the apprenticeship, credential attainment and key outcomes, and perspectives on program. </w:t>
      </w:r>
    </w:p>
    <w:p w:rsidRPr="002A48F2" w:rsidR="008F44C3" w:rsidP="008F44C3" w:rsidRDefault="00060545" w14:paraId="02CF3430" w14:textId="79AEE2C3">
      <w:pPr>
        <w:pStyle w:val="NormalSS"/>
        <w:rPr>
          <w:rFonts w:eastAsiaTheme="minorHAnsi"/>
        </w:rPr>
      </w:pPr>
      <w:r>
        <w:rPr>
          <w:i/>
          <w:iCs/>
        </w:rPr>
        <w:t>VETS Apprenticeship</w:t>
      </w:r>
      <w:r w:rsidRPr="00A75916" w:rsidR="008F44C3">
        <w:rPr>
          <w:i/>
          <w:iCs/>
        </w:rPr>
        <w:t xml:space="preserve"> </w:t>
      </w:r>
      <w:r>
        <w:rPr>
          <w:i/>
          <w:iCs/>
        </w:rPr>
        <w:t>Pilot</w:t>
      </w:r>
      <w:r w:rsidRPr="00A75916" w:rsidR="008F44C3">
        <w:rPr>
          <w:i/>
          <w:iCs/>
        </w:rPr>
        <w:t>.</w:t>
      </w:r>
      <w:r w:rsidR="008F44C3">
        <w:rPr>
          <w:i/>
          <w:iCs/>
        </w:rPr>
        <w:t xml:space="preserve"> </w:t>
      </w:r>
      <w:r w:rsidR="00F81A68">
        <w:t xml:space="preserve">Interviews will be conducted with military apprenticeship placement counselors at each of the 8 sites implementing the pilot. In some sites we will include two placement counselors and in some sites one, reflecting the number of placement counselors at each base. </w:t>
      </w:r>
    </w:p>
    <w:p w:rsidR="008F44C3" w:rsidP="008F44C3" w:rsidRDefault="00F81A68" w14:paraId="60527F4D" w14:textId="50DBC0A2">
      <w:pPr>
        <w:pStyle w:val="NormalSS"/>
        <w:rPr>
          <w:rFonts w:eastAsiaTheme="minorHAnsi"/>
        </w:rPr>
      </w:pPr>
      <w:r>
        <w:rPr>
          <w:rFonts w:eastAsiaTheme="minorHAnsi"/>
        </w:rPr>
        <w:t>The interviews</w:t>
      </w:r>
      <w:r w:rsidRPr="00205EFC" w:rsidR="008F44C3">
        <w:rPr>
          <w:rFonts w:eastAsiaTheme="minorHAnsi"/>
        </w:rPr>
        <w:t xml:space="preserve"> will inquire about the vision for program, </w:t>
      </w:r>
      <w:r>
        <w:rPr>
          <w:rFonts w:eastAsiaTheme="minorHAnsi"/>
        </w:rPr>
        <w:t>organizational structure of the pilot, apprenticeship placement counselors</w:t>
      </w:r>
      <w:r w:rsidR="001427BE">
        <w:rPr>
          <w:rFonts w:eastAsiaTheme="minorHAnsi"/>
        </w:rPr>
        <w:t>’</w:t>
      </w:r>
      <w:r>
        <w:rPr>
          <w:rFonts w:eastAsiaTheme="minorHAnsi"/>
        </w:rPr>
        <w:t xml:space="preserve"> role and services provided, key partners in the pilot</w:t>
      </w:r>
      <w:r w:rsidRPr="00933632" w:rsidR="00933632">
        <w:rPr>
          <w:rFonts w:eastAsiaTheme="minorHAnsi"/>
        </w:rPr>
        <w:t xml:space="preserve"> </w:t>
      </w:r>
      <w:r w:rsidR="00933632">
        <w:rPr>
          <w:rFonts w:eastAsiaTheme="minorHAnsi"/>
        </w:rPr>
        <w:t>and their expected and actual role</w:t>
      </w:r>
      <w:r>
        <w:rPr>
          <w:rFonts w:eastAsiaTheme="minorHAnsi"/>
        </w:rPr>
        <w:t xml:space="preserve">, implementation challenges, </w:t>
      </w:r>
      <w:r w:rsidR="00060545">
        <w:rPr>
          <w:rFonts w:eastAsiaTheme="minorHAnsi"/>
        </w:rPr>
        <w:t>participant</w:t>
      </w:r>
      <w:r>
        <w:rPr>
          <w:rFonts w:eastAsiaTheme="minorHAnsi"/>
        </w:rPr>
        <w:t xml:space="preserve"> flow through the program, </w:t>
      </w:r>
      <w:r w:rsidR="00933632">
        <w:rPr>
          <w:rFonts w:eastAsiaTheme="minorHAnsi"/>
        </w:rPr>
        <w:t xml:space="preserve">their view of </w:t>
      </w:r>
      <w:r w:rsidR="00060545">
        <w:rPr>
          <w:rFonts w:eastAsiaTheme="minorHAnsi"/>
        </w:rPr>
        <w:t>participants’</w:t>
      </w:r>
      <w:r w:rsidR="00933632">
        <w:rPr>
          <w:rFonts w:eastAsiaTheme="minorHAnsi"/>
        </w:rPr>
        <w:t xml:space="preserve"> </w:t>
      </w:r>
      <w:r>
        <w:rPr>
          <w:rFonts w:eastAsiaTheme="minorHAnsi"/>
        </w:rPr>
        <w:t>expectations</w:t>
      </w:r>
      <w:r w:rsidR="00933632">
        <w:rPr>
          <w:rFonts w:eastAsiaTheme="minorHAnsi"/>
        </w:rPr>
        <w:t xml:space="preserve"> and motivations for participation</w:t>
      </w:r>
      <w:r>
        <w:rPr>
          <w:rFonts w:eastAsiaTheme="minorHAnsi"/>
        </w:rPr>
        <w:t xml:space="preserve">, </w:t>
      </w:r>
      <w:r w:rsidR="00933632">
        <w:rPr>
          <w:rFonts w:eastAsiaTheme="minorHAnsi"/>
        </w:rPr>
        <w:t xml:space="preserve">perspective on program </w:t>
      </w:r>
      <w:r>
        <w:rPr>
          <w:rFonts w:eastAsiaTheme="minorHAnsi"/>
        </w:rPr>
        <w:t>outcomes</w:t>
      </w:r>
      <w:r w:rsidR="00933632">
        <w:rPr>
          <w:rFonts w:eastAsiaTheme="minorHAnsi"/>
        </w:rPr>
        <w:t xml:space="preserve"> and promising strategies</w:t>
      </w:r>
      <w:r w:rsidR="00B617A9">
        <w:rPr>
          <w:rFonts w:eastAsiaTheme="minorHAnsi"/>
        </w:rPr>
        <w:t>.</w:t>
      </w:r>
    </w:p>
    <w:p w:rsidRPr="00060545" w:rsidR="00060545" w:rsidP="00060545" w:rsidRDefault="00060545" w14:paraId="695B37A2" w14:textId="77777777">
      <w:pPr>
        <w:pStyle w:val="NormalSS"/>
      </w:pPr>
      <w:r w:rsidRPr="00060545">
        <w:t xml:space="preserve">The study will also interview participants in the pilot program. Participants will be interviewed from three bases. These bases will be selected from the 8 participating sites to reflect diversity in terms of geography, the scale of programs, and branches of the military represented. The number of participants at each site ranges from 24 to 72, with 383 expected participants in total. We aim to interview five service members from each of the three selected bases. We will select a set of 20 participants from each of the three bases randomly using data from the case management system, but then select among these to make sure we have a mix of participants based on gender, rank, and apprenticeship sector of interest/placement. We expect that some participants will not respond to our calls/emails, so we will plan to reach out to as many as needed to get to our targeted number of interviews. Once participants are identified, we may seek assistance from apprenticeship placement counselors in getting responses for interviews. We will make clear in any public report that findings based on these interviews are suggestive of participant experiences and perspectives but may not be representative of all pilot participants. </w:t>
      </w:r>
    </w:p>
    <w:p w:rsidRPr="00A75916" w:rsidR="008F44C3" w:rsidRDefault="0072281D" w14:paraId="4E915B5F" w14:textId="6ADAB143">
      <w:pPr>
        <w:pStyle w:val="NormalSS"/>
      </w:pPr>
      <w:r w:rsidRPr="0072281D">
        <w:t>These interviews will gather information on how participants became interested in the program, the types of information and assistance they received, how participation has</w:t>
      </w:r>
      <w:r w:rsidRPr="00A75916">
        <w:rPr>
          <w:rFonts w:eastAsia="Calibri"/>
        </w:rPr>
        <w:t xml:space="preserve"> helped (or not helped) them learn about apprenticeship opportunities, gain placement in an apprenticeship, upgrade skills, improve earnings, and move along his/her career pathway, and</w:t>
      </w:r>
      <w:r w:rsidRPr="0072281D">
        <w:t xml:space="preserve"> if they have been placed in apprenticeship their views on the experience</w:t>
      </w:r>
      <w:r w:rsidR="00B617A9">
        <w:t>.</w:t>
      </w:r>
      <w:r w:rsidR="00060545">
        <w:t xml:space="preserve"> Interviewees will receive a $25 gift card as a thank you gift for participation.</w:t>
      </w:r>
    </w:p>
    <w:p w:rsidR="0072281D" w:rsidP="0072281D" w:rsidRDefault="0072281D" w14:paraId="662E5B84" w14:textId="75B75112">
      <w:pPr>
        <w:pStyle w:val="H3AlphaNoTOC"/>
      </w:pPr>
      <w:r>
        <w:lastRenderedPageBreak/>
        <w:t>B.II.2. Procedures</w:t>
      </w:r>
      <w:r w:rsidRPr="0072281D">
        <w:t xml:space="preserve"> for the collection of information </w:t>
      </w:r>
    </w:p>
    <w:p w:rsidRPr="0072281D" w:rsidR="0072281D" w:rsidP="0072281D" w:rsidRDefault="0072281D" w14:paraId="539D51F1" w14:textId="79D5B4DF">
      <w:pPr>
        <w:pStyle w:val="NormalSS"/>
      </w:pPr>
      <w:r w:rsidRPr="0072281D">
        <w:t xml:space="preserve">The data </w:t>
      </w:r>
      <w:r w:rsidR="004C1EDF">
        <w:t xml:space="preserve">for both implementation studies </w:t>
      </w:r>
      <w:r w:rsidRPr="0072281D">
        <w:t xml:space="preserve">will be collected through semi-structured interviews </w:t>
      </w:r>
      <w:r w:rsidR="004276EC">
        <w:t xml:space="preserve">of program staff or partners </w:t>
      </w:r>
      <w:r w:rsidRPr="0072281D">
        <w:t>held at selected grantees</w:t>
      </w:r>
      <w:r w:rsidR="004276EC">
        <w:t xml:space="preserve"> and military bases, </w:t>
      </w:r>
      <w:r w:rsidRPr="0072281D">
        <w:t xml:space="preserve">focus groups of </w:t>
      </w:r>
      <w:r>
        <w:t>apprentices</w:t>
      </w:r>
      <w:r w:rsidRPr="0072281D">
        <w:t xml:space="preserve"> participating in </w:t>
      </w:r>
      <w:r>
        <w:t>grant</w:t>
      </w:r>
      <w:r w:rsidRPr="0072281D">
        <w:t xml:space="preserve"> programs</w:t>
      </w:r>
      <w:r w:rsidR="004276EC">
        <w:t xml:space="preserve">, and phone interviews with selected </w:t>
      </w:r>
      <w:r w:rsidR="00A75916">
        <w:t>participant</w:t>
      </w:r>
      <w:r w:rsidR="004276EC">
        <w:t>s</w:t>
      </w:r>
      <w:r w:rsidRPr="0072281D">
        <w:t xml:space="preserve">. The interview </w:t>
      </w:r>
      <w:r w:rsidR="004276EC">
        <w:t>topic guides</w:t>
      </w:r>
      <w:r w:rsidRPr="0072281D">
        <w:t xml:space="preserve"> are provided in Attachment</w:t>
      </w:r>
      <w:r w:rsidR="004276EC">
        <w:t xml:space="preserve">s D and E for implementation program study staff and partners, F for </w:t>
      </w:r>
      <w:r w:rsidRPr="0072281D">
        <w:t xml:space="preserve">focus group guide </w:t>
      </w:r>
      <w:r w:rsidR="004276EC">
        <w:t xml:space="preserve">for program participants, Attachment G for military apprenticeship counselors, and Attachment H for </w:t>
      </w:r>
      <w:r w:rsidR="001427BE">
        <w:t xml:space="preserve">semi-structured phone interviews with </w:t>
      </w:r>
      <w:r w:rsidR="00A75916">
        <w:t>participant</w:t>
      </w:r>
      <w:r w:rsidR="004276EC">
        <w:t xml:space="preserve">s. </w:t>
      </w:r>
    </w:p>
    <w:p w:rsidRPr="00B57854" w:rsidR="0072281D" w:rsidP="0072281D" w:rsidRDefault="0072281D" w14:paraId="6C837FF3" w14:textId="676F97F5">
      <w:pPr>
        <w:spacing w:line="240" w:lineRule="auto"/>
        <w:ind w:firstLine="0"/>
        <w:rPr>
          <w:bCs/>
          <w:szCs w:val="24"/>
        </w:rPr>
      </w:pPr>
      <w:r w:rsidRPr="0072281D">
        <w:rPr>
          <w:bCs/>
          <w:szCs w:val="24"/>
        </w:rPr>
        <w:t>Since th</w:t>
      </w:r>
      <w:r w:rsidR="004276EC">
        <w:rPr>
          <w:bCs/>
          <w:szCs w:val="24"/>
        </w:rPr>
        <w:t>ese are</w:t>
      </w:r>
      <w:r w:rsidRPr="0072281D">
        <w:rPr>
          <w:bCs/>
          <w:szCs w:val="24"/>
        </w:rPr>
        <w:t xml:space="preserve"> qualitative stud</w:t>
      </w:r>
      <w:r w:rsidR="004276EC">
        <w:rPr>
          <w:bCs/>
          <w:szCs w:val="24"/>
        </w:rPr>
        <w:t xml:space="preserve">ies </w:t>
      </w:r>
      <w:r w:rsidRPr="0072281D">
        <w:rPr>
          <w:bCs/>
          <w:szCs w:val="24"/>
        </w:rPr>
        <w:t xml:space="preserve">of </w:t>
      </w:r>
      <w:r w:rsidR="004276EC">
        <w:rPr>
          <w:bCs/>
          <w:szCs w:val="24"/>
        </w:rPr>
        <w:t>program</w:t>
      </w:r>
      <w:r w:rsidRPr="0072281D">
        <w:rPr>
          <w:bCs/>
          <w:szCs w:val="24"/>
        </w:rPr>
        <w:t xml:space="preserve"> implementation no statistical methods will be used to sample respondent populations.  </w:t>
      </w:r>
      <w:r w:rsidR="004276EC">
        <w:rPr>
          <w:bCs/>
          <w:szCs w:val="24"/>
        </w:rPr>
        <w:t>N</w:t>
      </w:r>
      <w:r w:rsidRPr="0072281D">
        <w:rPr>
          <w:bCs/>
          <w:szCs w:val="24"/>
        </w:rPr>
        <w:t xml:space="preserve">o statistical methods will be used to select the grantee organizations for the </w:t>
      </w:r>
      <w:r w:rsidR="004276EC">
        <w:rPr>
          <w:bCs/>
          <w:szCs w:val="24"/>
        </w:rPr>
        <w:t xml:space="preserve">program implementation </w:t>
      </w:r>
      <w:r w:rsidRPr="0072281D">
        <w:rPr>
          <w:bCs/>
          <w:szCs w:val="24"/>
        </w:rPr>
        <w:t xml:space="preserve">site visits as the sample is intended to be neither random nor representative. </w:t>
      </w:r>
      <w:r w:rsidR="004276EC">
        <w:rPr>
          <w:bCs/>
          <w:szCs w:val="24"/>
        </w:rPr>
        <w:t xml:space="preserve">All </w:t>
      </w:r>
      <w:r w:rsidR="00A75916">
        <w:rPr>
          <w:bCs/>
          <w:szCs w:val="24"/>
        </w:rPr>
        <w:t>VETS Apprenticeship Pilot</w:t>
      </w:r>
      <w:r w:rsidR="004276EC">
        <w:rPr>
          <w:bCs/>
          <w:szCs w:val="24"/>
        </w:rPr>
        <w:t xml:space="preserve"> sites will be included.</w:t>
      </w:r>
      <w:bookmarkStart w:name="_Toc281926155" w:id="13"/>
      <w:bookmarkStart w:name="_Toc281926156" w:id="14"/>
      <w:bookmarkStart w:name="_Toc281926157" w:id="15"/>
      <w:bookmarkEnd w:id="13"/>
      <w:bookmarkEnd w:id="14"/>
      <w:bookmarkEnd w:id="15"/>
      <w:r w:rsidR="004276EC">
        <w:rPr>
          <w:bCs/>
          <w:szCs w:val="24"/>
        </w:rPr>
        <w:t xml:space="preserve"> The information collection for the implementation studies is</w:t>
      </w:r>
      <w:r w:rsidRPr="0072281D">
        <w:rPr>
          <w:bCs/>
          <w:szCs w:val="24"/>
        </w:rPr>
        <w:t xml:space="preserve"> designed to provide in-depth qualitative information about grantees</w:t>
      </w:r>
      <w:r w:rsidR="004276EC">
        <w:rPr>
          <w:bCs/>
          <w:szCs w:val="24"/>
        </w:rPr>
        <w:t xml:space="preserve"> and information suggestive of participants experiences and perspectives. </w:t>
      </w:r>
      <w:r w:rsidRPr="0072281D">
        <w:rPr>
          <w:szCs w:val="24"/>
        </w:rPr>
        <w:t xml:space="preserve"> </w:t>
      </w:r>
      <w:r w:rsidR="004276EC">
        <w:rPr>
          <w:szCs w:val="24"/>
        </w:rPr>
        <w:t>N</w:t>
      </w:r>
      <w:r w:rsidRPr="0072281D">
        <w:rPr>
          <w:szCs w:val="24"/>
        </w:rPr>
        <w:t>o estimation procedures will be used. The data analysis will be descriptive.</w:t>
      </w:r>
      <w:r w:rsidR="004C1EDF">
        <w:rPr>
          <w:bCs/>
          <w:szCs w:val="24"/>
        </w:rPr>
        <w:t xml:space="preserve"> T</w:t>
      </w:r>
      <w:r w:rsidRPr="0072281D">
        <w:rPr>
          <w:szCs w:val="24"/>
        </w:rPr>
        <w:t>he site visits</w:t>
      </w:r>
      <w:r w:rsidR="004C1EDF">
        <w:rPr>
          <w:szCs w:val="24"/>
        </w:rPr>
        <w:t xml:space="preserve">, focus groups, and participant interviews </w:t>
      </w:r>
      <w:r w:rsidRPr="0072281D">
        <w:rPr>
          <w:szCs w:val="24"/>
        </w:rPr>
        <w:t>are one-time data collection efforts</w:t>
      </w:r>
      <w:r w:rsidR="004C1EDF">
        <w:rPr>
          <w:szCs w:val="24"/>
        </w:rPr>
        <w:t>.</w:t>
      </w:r>
    </w:p>
    <w:p w:rsidR="0072281D" w:rsidP="0072281D" w:rsidRDefault="0072281D" w14:paraId="0BD074E6" w14:textId="3CB285BA">
      <w:pPr>
        <w:spacing w:line="240" w:lineRule="auto"/>
        <w:ind w:firstLine="0"/>
        <w:rPr>
          <w:b/>
          <w:bCs/>
          <w:szCs w:val="24"/>
        </w:rPr>
      </w:pPr>
    </w:p>
    <w:p w:rsidRPr="004C1EDF" w:rsidR="004C1EDF" w:rsidP="00A75916" w:rsidRDefault="004C1EDF" w14:paraId="111B7950" w14:textId="1D6516AF">
      <w:pPr>
        <w:pStyle w:val="H4Number"/>
      </w:pPr>
      <w:r w:rsidRPr="004C1EDF">
        <w:t>B.I</w:t>
      </w:r>
      <w:r>
        <w:t>I</w:t>
      </w:r>
      <w:r w:rsidRPr="004C1EDF">
        <w:t>.3. Methods to maximize response rates and minimize nonresponse</w:t>
      </w:r>
    </w:p>
    <w:p w:rsidRPr="004C1EDF" w:rsidR="004C1EDF" w:rsidP="004C1EDF" w:rsidRDefault="004C1EDF" w14:paraId="185858DE" w14:textId="43F8CDF5">
      <w:pPr>
        <w:tabs>
          <w:tab w:val="left" w:pos="360"/>
        </w:tabs>
        <w:autoSpaceDE w:val="0"/>
        <w:autoSpaceDN w:val="0"/>
        <w:adjustRightInd w:val="0"/>
        <w:spacing w:line="240" w:lineRule="auto"/>
        <w:ind w:firstLine="0"/>
        <w:rPr>
          <w:szCs w:val="24"/>
        </w:rPr>
      </w:pPr>
      <w:r w:rsidRPr="004C1EDF">
        <w:rPr>
          <w:bCs/>
          <w:iCs/>
          <w:szCs w:val="24"/>
        </w:rPr>
        <w:t xml:space="preserve">For </w:t>
      </w:r>
      <w:r>
        <w:rPr>
          <w:bCs/>
          <w:iCs/>
          <w:szCs w:val="24"/>
        </w:rPr>
        <w:t>both implementation studies</w:t>
      </w:r>
      <w:r w:rsidR="006D2E54">
        <w:rPr>
          <w:bCs/>
          <w:iCs/>
          <w:szCs w:val="24"/>
        </w:rPr>
        <w:t>,</w:t>
      </w:r>
      <w:r>
        <w:rPr>
          <w:bCs/>
          <w:iCs/>
          <w:szCs w:val="24"/>
        </w:rPr>
        <w:t xml:space="preserve"> we</w:t>
      </w:r>
      <w:r w:rsidRPr="004C1EDF">
        <w:rPr>
          <w:bCs/>
          <w:iCs/>
          <w:szCs w:val="24"/>
        </w:rPr>
        <w:t xml:space="preserve"> expect that </w:t>
      </w:r>
      <w:r>
        <w:rPr>
          <w:bCs/>
          <w:iCs/>
          <w:szCs w:val="24"/>
        </w:rPr>
        <w:t xml:space="preserve">all </w:t>
      </w:r>
      <w:r w:rsidR="00811740">
        <w:rPr>
          <w:bCs/>
          <w:iCs/>
          <w:szCs w:val="24"/>
        </w:rPr>
        <w:t xml:space="preserve">program </w:t>
      </w:r>
      <w:r>
        <w:rPr>
          <w:bCs/>
          <w:iCs/>
          <w:szCs w:val="24"/>
        </w:rPr>
        <w:t>staff identified</w:t>
      </w:r>
      <w:r w:rsidRPr="004C1EDF">
        <w:rPr>
          <w:bCs/>
          <w:iCs/>
          <w:szCs w:val="24"/>
        </w:rPr>
        <w:t xml:space="preserve"> </w:t>
      </w:r>
      <w:r>
        <w:rPr>
          <w:bCs/>
          <w:iCs/>
          <w:szCs w:val="24"/>
        </w:rPr>
        <w:t>for interviews</w:t>
      </w:r>
      <w:r w:rsidRPr="004C1EDF">
        <w:rPr>
          <w:bCs/>
          <w:iCs/>
          <w:szCs w:val="24"/>
        </w:rPr>
        <w:t xml:space="preserve"> will agree to participate</w:t>
      </w:r>
      <w:r>
        <w:rPr>
          <w:bCs/>
          <w:iCs/>
          <w:szCs w:val="24"/>
        </w:rPr>
        <w:t xml:space="preserve">. For the Program Implementation Study, we will work with the primary contact person for the grant to identify </w:t>
      </w:r>
      <w:r w:rsidR="006E7275">
        <w:rPr>
          <w:bCs/>
          <w:iCs/>
          <w:szCs w:val="24"/>
        </w:rPr>
        <w:t>appropriate staff and partners</w:t>
      </w:r>
      <w:r w:rsidR="00811740">
        <w:rPr>
          <w:bCs/>
          <w:iCs/>
          <w:szCs w:val="24"/>
        </w:rPr>
        <w:t xml:space="preserve"> </w:t>
      </w:r>
      <w:r w:rsidR="006E7275">
        <w:rPr>
          <w:bCs/>
          <w:iCs/>
          <w:szCs w:val="24"/>
        </w:rPr>
        <w:t xml:space="preserve">and to schedule interviews. </w:t>
      </w:r>
      <w:r w:rsidR="00811740">
        <w:rPr>
          <w:bCs/>
          <w:iCs/>
          <w:szCs w:val="24"/>
        </w:rPr>
        <w:t xml:space="preserve">We will use program staff to provide introduction to partner employers and discuss importance of the study to increase partner participation in interviews. </w:t>
      </w:r>
      <w:r w:rsidR="006E7275">
        <w:rPr>
          <w:bCs/>
          <w:iCs/>
          <w:szCs w:val="24"/>
        </w:rPr>
        <w:t xml:space="preserve">In the </w:t>
      </w:r>
      <w:r w:rsidR="00A75916">
        <w:rPr>
          <w:bCs/>
          <w:iCs/>
          <w:szCs w:val="24"/>
        </w:rPr>
        <w:t xml:space="preserve">VETS Apprenticeship </w:t>
      </w:r>
      <w:proofErr w:type="gramStart"/>
      <w:r w:rsidR="00A75916">
        <w:rPr>
          <w:bCs/>
          <w:iCs/>
          <w:szCs w:val="24"/>
        </w:rPr>
        <w:t>Pilot</w:t>
      </w:r>
      <w:proofErr w:type="gramEnd"/>
      <w:r w:rsidR="006E7275">
        <w:rPr>
          <w:bCs/>
          <w:iCs/>
          <w:szCs w:val="24"/>
        </w:rPr>
        <w:t xml:space="preserve"> we will interview all apprenticeship placement counselors. </w:t>
      </w:r>
      <w:r w:rsidRPr="004C1EDF">
        <w:rPr>
          <w:szCs w:val="24"/>
        </w:rPr>
        <w:t xml:space="preserve">Should a potential respondent not be available during </w:t>
      </w:r>
      <w:r w:rsidR="006E7275">
        <w:rPr>
          <w:szCs w:val="24"/>
        </w:rPr>
        <w:t>a</w:t>
      </w:r>
      <w:r w:rsidRPr="004C1EDF">
        <w:rPr>
          <w:szCs w:val="24"/>
        </w:rPr>
        <w:t xml:space="preserve"> visit, the research team will follow up with a time to interview the person by phone. </w:t>
      </w:r>
      <w:r w:rsidR="006E7275">
        <w:rPr>
          <w:szCs w:val="24"/>
        </w:rPr>
        <w:t xml:space="preserve">For focus groups, we will </w:t>
      </w:r>
      <w:r w:rsidR="00811740">
        <w:rPr>
          <w:szCs w:val="24"/>
        </w:rPr>
        <w:t>recruit participants ahead of time, providing them with information on the importance of the study and confidential nature of their responses. We will continue recruitment until we have acceptances from 10 participants. For participants, we will work with apprenticeship placement counselors to introduce the study and invite selected participants to take part in interviews. We will send prospective participants information on the study prior to the interview to encourage participation.</w:t>
      </w:r>
    </w:p>
    <w:p w:rsidR="004C1EDF" w:rsidP="0072281D" w:rsidRDefault="004C1EDF" w14:paraId="27C116D9" w14:textId="35965A59">
      <w:pPr>
        <w:spacing w:line="240" w:lineRule="auto"/>
        <w:ind w:firstLine="0"/>
        <w:rPr>
          <w:b/>
          <w:bCs/>
          <w:szCs w:val="24"/>
        </w:rPr>
      </w:pPr>
    </w:p>
    <w:p w:rsidRPr="0072281D" w:rsidR="004C1EDF" w:rsidP="0072281D" w:rsidRDefault="004C1EDF" w14:paraId="6414E82A" w14:textId="77777777">
      <w:pPr>
        <w:spacing w:line="240" w:lineRule="auto"/>
        <w:ind w:firstLine="0"/>
        <w:rPr>
          <w:b/>
          <w:bCs/>
          <w:szCs w:val="24"/>
        </w:rPr>
      </w:pPr>
    </w:p>
    <w:p w:rsidRPr="004C1EDF" w:rsidR="004C1EDF" w:rsidP="00A75916" w:rsidRDefault="004C1EDF" w14:paraId="1104FAD8" w14:textId="60A69041">
      <w:pPr>
        <w:pStyle w:val="H4NumberNoTOC"/>
      </w:pPr>
      <w:r w:rsidRPr="004C1EDF">
        <w:t>B.I</w:t>
      </w:r>
      <w:r>
        <w:t>I</w:t>
      </w:r>
      <w:r w:rsidRPr="004C1EDF">
        <w:t>.</w:t>
      </w:r>
      <w:r>
        <w:t>4</w:t>
      </w:r>
      <w:r w:rsidRPr="004C1EDF">
        <w:t>. Individuals consulted on statistical aspects of design and on collecting and/or analyzing data</w:t>
      </w:r>
    </w:p>
    <w:p w:rsidRPr="009018B3" w:rsidR="00811740" w:rsidDel="004C63E0" w:rsidP="00A75916" w:rsidRDefault="00811740" w14:paraId="62BE2DB4" w14:textId="77777777">
      <w:pPr>
        <w:pStyle w:val="NormalSS"/>
        <w:spacing w:after="0"/>
        <w:ind w:firstLine="0"/>
      </w:pPr>
      <w:r w:rsidRPr="009018B3" w:rsidDel="004C63E0">
        <w:t>Staff responsible for overseeing the collection and analysis of data are listed in Table B.</w:t>
      </w:r>
      <w:r>
        <w:t>4</w:t>
      </w:r>
      <w:r w:rsidRPr="009018B3" w:rsidDel="004C63E0">
        <w:t xml:space="preserve">. </w:t>
      </w:r>
    </w:p>
    <w:p w:rsidR="00811740" w:rsidP="00811740" w:rsidRDefault="00811740" w14:paraId="34EC4615" w14:textId="77777777">
      <w:pPr>
        <w:pStyle w:val="MarkforTableTitle"/>
        <w:spacing w:after="0"/>
      </w:pPr>
    </w:p>
    <w:p w:rsidRPr="004C1EDF" w:rsidR="004C1EDF" w:rsidP="004C1EDF" w:rsidRDefault="004C1EDF" w14:paraId="0717F99A" w14:textId="77777777">
      <w:pPr>
        <w:pStyle w:val="NormalSS"/>
        <w:rPr>
          <w:i/>
          <w:iCs/>
        </w:rPr>
      </w:pPr>
    </w:p>
    <w:p w:rsidRPr="00A75916" w:rsidR="00C11EE1" w:rsidP="00A75916" w:rsidRDefault="00C11EE1" w14:paraId="2AE90A2B" w14:textId="74FD2010">
      <w:pPr>
        <w:pStyle w:val="NormalSS"/>
        <w:rPr>
          <w:i/>
          <w:iCs/>
        </w:rPr>
      </w:pPr>
    </w:p>
    <w:sectPr w:rsidRPr="00A75916" w:rsidR="00C11EE1" w:rsidSect="00D523F6">
      <w:headerReference w:type="even" r:id="rId38"/>
      <w:headerReference w:type="default" r:id="rId39"/>
      <w:headerReference w:type="first" r:id="rId40"/>
      <w:pgSz w:w="12240" w:h="15840"/>
      <w:pgMar w:top="1440" w:right="1440" w:bottom="1440" w:left="144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143F89" w16cid:durableId="228DC59B"/>
  <w16cid:commentId w16cid:paraId="224D2419" w16cid:durableId="228E136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8D6072" w14:textId="77777777" w:rsidR="00A660EA" w:rsidRDefault="00A660EA" w:rsidP="002E3E35">
      <w:pPr>
        <w:spacing w:line="240" w:lineRule="auto"/>
      </w:pPr>
      <w:r>
        <w:separator/>
      </w:r>
    </w:p>
  </w:endnote>
  <w:endnote w:type="continuationSeparator" w:id="0">
    <w:p w14:paraId="72C08638" w14:textId="77777777" w:rsidR="00A660EA" w:rsidRDefault="00A660EA" w:rsidP="002E3E35">
      <w:pPr>
        <w:spacing w:line="240" w:lineRule="auto"/>
      </w:pPr>
      <w:r>
        <w:continuationSeparator/>
      </w:r>
    </w:p>
  </w:endnote>
  <w:endnote w:type="continuationNotice" w:id="1">
    <w:p w14:paraId="52FC0C05" w14:textId="77777777" w:rsidR="00A660EA" w:rsidRDefault="00A660E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angal">
    <w:altName w:val="Courier New"/>
    <w:panose1 w:val="00000400000000000000"/>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A89302" w14:textId="77777777" w:rsidR="00A660EA" w:rsidRDefault="00A660EA" w:rsidP="002E3E35">
      <w:pPr>
        <w:spacing w:line="240" w:lineRule="auto"/>
      </w:pPr>
      <w:r>
        <w:separator/>
      </w:r>
    </w:p>
  </w:footnote>
  <w:footnote w:type="continuationSeparator" w:id="0">
    <w:p w14:paraId="22926F4F" w14:textId="77777777" w:rsidR="00A660EA" w:rsidRDefault="00A660EA" w:rsidP="002E3E35">
      <w:pPr>
        <w:spacing w:line="240" w:lineRule="auto"/>
      </w:pPr>
      <w:r>
        <w:continuationSeparator/>
      </w:r>
    </w:p>
  </w:footnote>
  <w:footnote w:type="continuationNotice" w:id="1">
    <w:p w14:paraId="2AE427D2" w14:textId="77777777" w:rsidR="00A660EA" w:rsidRDefault="00A660E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DB0D0" w14:textId="2BEC52EA" w:rsidR="002B31FD" w:rsidRDefault="00A660EA">
    <w:pPr>
      <w:pStyle w:val="Header"/>
    </w:pPr>
    <w:r>
      <w:rPr>
        <w:noProof/>
      </w:rPr>
      <w:pict w14:anchorId="41D538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864832" o:spid="_x0000_s2054" type="#_x0000_t136" style="position:absolute;margin-left:0;margin-top:0;width:471.3pt;height:188.5pt;rotation:315;z-index:-2516490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F92C7" w14:textId="178C3A33" w:rsidR="002B31FD" w:rsidRPr="006733D7" w:rsidRDefault="00A660EA" w:rsidP="006B5C3A">
    <w:pPr>
      <w:pStyle w:val="Header"/>
      <w:rPr>
        <w:rFonts w:cs="Arial"/>
        <w:sz w:val="20"/>
      </w:rPr>
    </w:pPr>
    <w:r>
      <w:rPr>
        <w:noProof/>
      </w:rPr>
      <w:pict w14:anchorId="3774D1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864833" o:spid="_x0000_s2055" type="#_x0000_t136" style="position:absolute;margin-left:0;margin-top:0;width:471.3pt;height:188.5pt;rotation:315;z-index:-2516469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A1FB0" w14:textId="77681355" w:rsidR="002B31FD" w:rsidRDefault="00A660EA">
    <w:pPr>
      <w:pStyle w:val="Header"/>
    </w:pPr>
    <w:r>
      <w:rPr>
        <w:noProof/>
      </w:rPr>
      <w:pict w14:anchorId="029A60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864831" o:spid="_x0000_s2053" type="#_x0000_t136" style="position:absolute;margin-left:0;margin-top:0;width:471.3pt;height:188.5pt;rotation:315;z-index:-2516510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3648B4"/>
    <w:multiLevelType w:val="hybridMultilevel"/>
    <w:tmpl w:val="D31A34C4"/>
    <w:lvl w:ilvl="0" w:tplc="EEC6E3C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15:restartNumberingAfterBreak="0">
    <w:nsid w:val="00D65140"/>
    <w:multiLevelType w:val="hybridMultilevel"/>
    <w:tmpl w:val="B44C4848"/>
    <w:lvl w:ilvl="0" w:tplc="7CB2423C">
      <w:start w:val="1"/>
      <w:numFmt w:val="bullet"/>
      <w:pStyle w:val="BulletBlackLastSS"/>
      <w:lvlText w:val=""/>
      <w:lvlJc w:val="left"/>
      <w:pPr>
        <w:ind w:left="792"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385F22"/>
    <w:multiLevelType w:val="hybridMultilevel"/>
    <w:tmpl w:val="CCC646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5" w15:restartNumberingAfterBreak="0">
    <w:nsid w:val="029A0DBB"/>
    <w:multiLevelType w:val="hybridMultilevel"/>
    <w:tmpl w:val="E1401710"/>
    <w:lvl w:ilvl="0" w:tplc="1D9C3D1E">
      <w:start w:val="1"/>
      <w:numFmt w:val="decimal"/>
      <w:lvlText w:val="(%1)"/>
      <w:lvlJc w:val="left"/>
      <w:pPr>
        <w:ind w:left="1152" w:hanging="360"/>
      </w:pPr>
      <w:rPr>
        <w:rFont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10542E"/>
    <w:multiLevelType w:val="hybridMultilevel"/>
    <w:tmpl w:val="E9505312"/>
    <w:lvl w:ilvl="0" w:tplc="3AE61C3E">
      <w:start w:val="1"/>
      <w:numFmt w:val="low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79A4A67"/>
    <w:multiLevelType w:val="hybridMultilevel"/>
    <w:tmpl w:val="75F238A0"/>
    <w:lvl w:ilvl="0" w:tplc="3AE61C3E">
      <w:start w:val="1"/>
      <w:numFmt w:val="low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3B42A9"/>
    <w:multiLevelType w:val="hybridMultilevel"/>
    <w:tmpl w:val="0EF63E1A"/>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1" w15:restartNumberingAfterBreak="0">
    <w:nsid w:val="0A7970EE"/>
    <w:multiLevelType w:val="hybridMultilevel"/>
    <w:tmpl w:val="0F66FEAA"/>
    <w:lvl w:ilvl="0" w:tplc="1D9C3D1E">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15:restartNumberingAfterBreak="0">
    <w:nsid w:val="0AA81137"/>
    <w:multiLevelType w:val="hybridMultilevel"/>
    <w:tmpl w:val="C6A43B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663EF5"/>
    <w:multiLevelType w:val="hybridMultilevel"/>
    <w:tmpl w:val="02361E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9D72E1"/>
    <w:multiLevelType w:val="hybridMultilevel"/>
    <w:tmpl w:val="C19057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15:restartNumberingAfterBreak="0">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7" w15:restartNumberingAfterBreak="0">
    <w:nsid w:val="0FBA1595"/>
    <w:multiLevelType w:val="hybridMultilevel"/>
    <w:tmpl w:val="5A4CAE48"/>
    <w:lvl w:ilvl="0" w:tplc="0409000F">
      <w:start w:val="1"/>
      <w:numFmt w:val="decimal"/>
      <w:lvlText w:val="%1."/>
      <w:lvlJc w:val="left"/>
      <w:pPr>
        <w:ind w:left="1152" w:hanging="360"/>
      </w:pPr>
      <w:rPr>
        <w:rFonts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15:restartNumberingAfterBreak="0">
    <w:nsid w:val="12CD7532"/>
    <w:multiLevelType w:val="hybridMultilevel"/>
    <w:tmpl w:val="10BA1EC0"/>
    <w:lvl w:ilvl="0" w:tplc="C22ED68E">
      <w:start w:val="1"/>
      <w:numFmt w:val="decimal"/>
      <w:lvlText w:val="%1."/>
      <w:lvlJc w:val="left"/>
      <w:pPr>
        <w:ind w:left="630" w:hanging="360"/>
      </w:pPr>
      <w:rPr>
        <w:b w:val="0"/>
      </w:rPr>
    </w:lvl>
    <w:lvl w:ilvl="1" w:tplc="A4EC679C">
      <w:start w:val="1"/>
      <w:numFmt w:val="bullet"/>
      <w:lvlText w:val="-"/>
      <w:lvlJc w:val="left"/>
      <w:pPr>
        <w:tabs>
          <w:tab w:val="num" w:pos="1440"/>
        </w:tabs>
        <w:ind w:left="1440" w:hanging="360"/>
      </w:pPr>
      <w:rPr>
        <w:rFonts w:ascii="Courier New" w:hAnsi="Courier New"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C577A6F"/>
    <w:multiLevelType w:val="hybridMultilevel"/>
    <w:tmpl w:val="6F24172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15:restartNumberingAfterBreak="0">
    <w:nsid w:val="1F7513D4"/>
    <w:multiLevelType w:val="hybridMultilevel"/>
    <w:tmpl w:val="197ADDEE"/>
    <w:lvl w:ilvl="0" w:tplc="8D662572">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15:restartNumberingAfterBreak="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994CFE"/>
    <w:multiLevelType w:val="hybridMultilevel"/>
    <w:tmpl w:val="D5584A1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15:restartNumberingAfterBreak="0">
    <w:nsid w:val="234F3B68"/>
    <w:multiLevelType w:val="hybridMultilevel"/>
    <w:tmpl w:val="2FB80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3C61C8F"/>
    <w:multiLevelType w:val="hybridMultilevel"/>
    <w:tmpl w:val="81DEA34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6" w15:restartNumberingAfterBreak="0">
    <w:nsid w:val="23F77054"/>
    <w:multiLevelType w:val="hybridMultilevel"/>
    <w:tmpl w:val="278A1CB2"/>
    <w:lvl w:ilvl="0" w:tplc="815299E4">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7" w15:restartNumberingAfterBreak="0">
    <w:nsid w:val="288B287F"/>
    <w:multiLevelType w:val="hybridMultilevel"/>
    <w:tmpl w:val="8AC662E8"/>
    <w:lvl w:ilvl="0" w:tplc="E8FEEC24">
      <w:start w:val="1"/>
      <w:numFmt w:val="bullet"/>
      <w:lvlText w:val="–"/>
      <w:lvlJc w:val="left"/>
      <w:pPr>
        <w:tabs>
          <w:tab w:val="num" w:pos="720"/>
        </w:tabs>
        <w:ind w:left="720" w:hanging="360"/>
      </w:pPr>
      <w:rPr>
        <w:rFonts w:ascii="Arial" w:hAnsi="Arial" w:hint="default"/>
      </w:rPr>
    </w:lvl>
    <w:lvl w:ilvl="1" w:tplc="D1DC77AA">
      <w:start w:val="1"/>
      <w:numFmt w:val="bullet"/>
      <w:lvlText w:val="–"/>
      <w:lvlJc w:val="left"/>
      <w:pPr>
        <w:tabs>
          <w:tab w:val="num" w:pos="1440"/>
        </w:tabs>
        <w:ind w:left="1440" w:hanging="360"/>
      </w:pPr>
      <w:rPr>
        <w:rFonts w:ascii="Arial" w:hAnsi="Arial" w:hint="default"/>
      </w:rPr>
    </w:lvl>
    <w:lvl w:ilvl="2" w:tplc="0F465B8E" w:tentative="1">
      <w:start w:val="1"/>
      <w:numFmt w:val="bullet"/>
      <w:lvlText w:val="–"/>
      <w:lvlJc w:val="left"/>
      <w:pPr>
        <w:tabs>
          <w:tab w:val="num" w:pos="2160"/>
        </w:tabs>
        <w:ind w:left="2160" w:hanging="360"/>
      </w:pPr>
      <w:rPr>
        <w:rFonts w:ascii="Arial" w:hAnsi="Arial" w:hint="default"/>
      </w:rPr>
    </w:lvl>
    <w:lvl w:ilvl="3" w:tplc="D4182D0E" w:tentative="1">
      <w:start w:val="1"/>
      <w:numFmt w:val="bullet"/>
      <w:lvlText w:val="–"/>
      <w:lvlJc w:val="left"/>
      <w:pPr>
        <w:tabs>
          <w:tab w:val="num" w:pos="2880"/>
        </w:tabs>
        <w:ind w:left="2880" w:hanging="360"/>
      </w:pPr>
      <w:rPr>
        <w:rFonts w:ascii="Arial" w:hAnsi="Arial" w:hint="default"/>
      </w:rPr>
    </w:lvl>
    <w:lvl w:ilvl="4" w:tplc="FD649DDC" w:tentative="1">
      <w:start w:val="1"/>
      <w:numFmt w:val="bullet"/>
      <w:lvlText w:val="–"/>
      <w:lvlJc w:val="left"/>
      <w:pPr>
        <w:tabs>
          <w:tab w:val="num" w:pos="3600"/>
        </w:tabs>
        <w:ind w:left="3600" w:hanging="360"/>
      </w:pPr>
      <w:rPr>
        <w:rFonts w:ascii="Arial" w:hAnsi="Arial" w:hint="default"/>
      </w:rPr>
    </w:lvl>
    <w:lvl w:ilvl="5" w:tplc="7824658A" w:tentative="1">
      <w:start w:val="1"/>
      <w:numFmt w:val="bullet"/>
      <w:lvlText w:val="–"/>
      <w:lvlJc w:val="left"/>
      <w:pPr>
        <w:tabs>
          <w:tab w:val="num" w:pos="4320"/>
        </w:tabs>
        <w:ind w:left="4320" w:hanging="360"/>
      </w:pPr>
      <w:rPr>
        <w:rFonts w:ascii="Arial" w:hAnsi="Arial" w:hint="default"/>
      </w:rPr>
    </w:lvl>
    <w:lvl w:ilvl="6" w:tplc="D34A6CE4" w:tentative="1">
      <w:start w:val="1"/>
      <w:numFmt w:val="bullet"/>
      <w:lvlText w:val="–"/>
      <w:lvlJc w:val="left"/>
      <w:pPr>
        <w:tabs>
          <w:tab w:val="num" w:pos="5040"/>
        </w:tabs>
        <w:ind w:left="5040" w:hanging="360"/>
      </w:pPr>
      <w:rPr>
        <w:rFonts w:ascii="Arial" w:hAnsi="Arial" w:hint="default"/>
      </w:rPr>
    </w:lvl>
    <w:lvl w:ilvl="7" w:tplc="C80E44FE" w:tentative="1">
      <w:start w:val="1"/>
      <w:numFmt w:val="bullet"/>
      <w:lvlText w:val="–"/>
      <w:lvlJc w:val="left"/>
      <w:pPr>
        <w:tabs>
          <w:tab w:val="num" w:pos="5760"/>
        </w:tabs>
        <w:ind w:left="5760" w:hanging="360"/>
      </w:pPr>
      <w:rPr>
        <w:rFonts w:ascii="Arial" w:hAnsi="Arial" w:hint="default"/>
      </w:rPr>
    </w:lvl>
    <w:lvl w:ilvl="8" w:tplc="16A4E77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299201EB"/>
    <w:multiLevelType w:val="hybridMultilevel"/>
    <w:tmpl w:val="9F8A1216"/>
    <w:lvl w:ilvl="0" w:tplc="A4EC679C">
      <w:start w:val="1"/>
      <w:numFmt w:val="bullet"/>
      <w:lvlText w:val="-"/>
      <w:lvlJc w:val="left"/>
      <w:pPr>
        <w:ind w:left="1152" w:hanging="360"/>
      </w:pPr>
      <w:rPr>
        <w:rFonts w:ascii="Courier New" w:hAnsi="Courier New"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9" w15:restartNumberingAfterBreak="0">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2A3C7A10"/>
    <w:multiLevelType w:val="hybridMultilevel"/>
    <w:tmpl w:val="226296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2" w15:restartNumberingAfterBreak="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30C20B3"/>
    <w:multiLevelType w:val="hybridMultilevel"/>
    <w:tmpl w:val="38AA552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4" w15:restartNumberingAfterBreak="0">
    <w:nsid w:val="35BC3779"/>
    <w:multiLevelType w:val="hybridMultilevel"/>
    <w:tmpl w:val="A7120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6B45B7C"/>
    <w:multiLevelType w:val="hybridMultilevel"/>
    <w:tmpl w:val="DF4297D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6" w15:restartNumberingAfterBreak="0">
    <w:nsid w:val="37895014"/>
    <w:multiLevelType w:val="hybridMultilevel"/>
    <w:tmpl w:val="8FE23716"/>
    <w:lvl w:ilvl="0" w:tplc="A4EC679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9C569D6"/>
    <w:multiLevelType w:val="hybridMultilevel"/>
    <w:tmpl w:val="8710DB62"/>
    <w:lvl w:ilvl="0" w:tplc="67E43108">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8" w15:restartNumberingAfterBreak="0">
    <w:nsid w:val="3A3E11EB"/>
    <w:multiLevelType w:val="hybridMultilevel"/>
    <w:tmpl w:val="39AC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BC94177"/>
    <w:multiLevelType w:val="hybridMultilevel"/>
    <w:tmpl w:val="44668328"/>
    <w:lvl w:ilvl="0" w:tplc="A4EC679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C6B2089"/>
    <w:multiLevelType w:val="hybridMultilevel"/>
    <w:tmpl w:val="DEFE6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CBD5FB5"/>
    <w:multiLevelType w:val="hybridMultilevel"/>
    <w:tmpl w:val="C0921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27C5ABF"/>
    <w:multiLevelType w:val="hybridMultilevel"/>
    <w:tmpl w:val="CA4A1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3485417"/>
    <w:multiLevelType w:val="hybridMultilevel"/>
    <w:tmpl w:val="76425644"/>
    <w:lvl w:ilvl="0" w:tplc="F30EF53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4" w15:restartNumberingAfterBreak="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5312B7A"/>
    <w:multiLevelType w:val="hybridMultilevel"/>
    <w:tmpl w:val="22C42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5E114C6"/>
    <w:multiLevelType w:val="hybridMultilevel"/>
    <w:tmpl w:val="5E2C3A56"/>
    <w:lvl w:ilvl="0" w:tplc="0409000F">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7" w15:restartNumberingAfterBreak="0">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62B16FC"/>
    <w:multiLevelType w:val="singleLevel"/>
    <w:tmpl w:val="F04C3902"/>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46574A6F"/>
    <w:multiLevelType w:val="hybridMultilevel"/>
    <w:tmpl w:val="6C2EA1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51"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4307777"/>
    <w:multiLevelType w:val="hybridMultilevel"/>
    <w:tmpl w:val="B7CCC5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53" w15:restartNumberingAfterBreak="0">
    <w:nsid w:val="551D06C9"/>
    <w:multiLevelType w:val="hybridMultilevel"/>
    <w:tmpl w:val="D9B6B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5764CD5"/>
    <w:multiLevelType w:val="hybridMultilevel"/>
    <w:tmpl w:val="4F3070BE"/>
    <w:lvl w:ilvl="0" w:tplc="B3E299DE">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6" w15:restartNumberingAfterBreak="0">
    <w:nsid w:val="560E0C69"/>
    <w:multiLevelType w:val="hybridMultilevel"/>
    <w:tmpl w:val="FE640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AC32822"/>
    <w:multiLevelType w:val="hybridMultilevel"/>
    <w:tmpl w:val="2FB80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C71346E"/>
    <w:multiLevelType w:val="hybridMultilevel"/>
    <w:tmpl w:val="3932BF38"/>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60" w15:restartNumberingAfterBreak="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1" w15:restartNumberingAfterBreak="0">
    <w:nsid w:val="61997815"/>
    <w:multiLevelType w:val="hybridMultilevel"/>
    <w:tmpl w:val="7EDE9B54"/>
    <w:lvl w:ilvl="0" w:tplc="48B84124">
      <w:start w:val="1"/>
      <w:numFmt w:val="bullet"/>
      <w:lvlText w:val="-"/>
      <w:lvlJc w:val="left"/>
      <w:pPr>
        <w:ind w:left="792" w:hanging="360"/>
      </w:pPr>
      <w:rPr>
        <w:rFonts w:ascii="Garamond" w:eastAsia="Times New Roman" w:hAnsi="Garamond"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2" w15:restartNumberingAfterBreak="0">
    <w:nsid w:val="61F95F26"/>
    <w:multiLevelType w:val="hybridMultilevel"/>
    <w:tmpl w:val="1F822F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64A84B10"/>
    <w:multiLevelType w:val="hybridMultilevel"/>
    <w:tmpl w:val="B2C00C68"/>
    <w:lvl w:ilvl="0" w:tplc="4678F8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4AD1BB4"/>
    <w:multiLevelType w:val="hybridMultilevel"/>
    <w:tmpl w:val="E7AC58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6" w15:restartNumberingAfterBreak="0">
    <w:nsid w:val="65CA4DE5"/>
    <w:multiLevelType w:val="hybridMultilevel"/>
    <w:tmpl w:val="644066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68" w15:restartNumberingAfterBreak="0">
    <w:nsid w:val="673A5AD6"/>
    <w:multiLevelType w:val="hybridMultilevel"/>
    <w:tmpl w:val="3F04E66A"/>
    <w:lvl w:ilvl="0" w:tplc="0706E3A6">
      <w:start w:val="1"/>
      <w:numFmt w:val="decimal"/>
      <w:lvlText w:val="%1."/>
      <w:lvlJc w:val="left"/>
      <w:pPr>
        <w:tabs>
          <w:tab w:val="num" w:pos="720"/>
        </w:tabs>
        <w:ind w:left="720" w:hanging="360"/>
      </w:pPr>
    </w:lvl>
    <w:lvl w:ilvl="1" w:tplc="1D082146" w:tentative="1">
      <w:start w:val="1"/>
      <w:numFmt w:val="decimal"/>
      <w:lvlText w:val="%2."/>
      <w:lvlJc w:val="left"/>
      <w:pPr>
        <w:tabs>
          <w:tab w:val="num" w:pos="1440"/>
        </w:tabs>
        <w:ind w:left="1440" w:hanging="360"/>
      </w:pPr>
    </w:lvl>
    <w:lvl w:ilvl="2" w:tplc="D5244A3E" w:tentative="1">
      <w:start w:val="1"/>
      <w:numFmt w:val="decimal"/>
      <w:lvlText w:val="%3."/>
      <w:lvlJc w:val="left"/>
      <w:pPr>
        <w:tabs>
          <w:tab w:val="num" w:pos="2160"/>
        </w:tabs>
        <w:ind w:left="2160" w:hanging="360"/>
      </w:pPr>
    </w:lvl>
    <w:lvl w:ilvl="3" w:tplc="ACDCFA64" w:tentative="1">
      <w:start w:val="1"/>
      <w:numFmt w:val="decimal"/>
      <w:lvlText w:val="%4."/>
      <w:lvlJc w:val="left"/>
      <w:pPr>
        <w:tabs>
          <w:tab w:val="num" w:pos="2880"/>
        </w:tabs>
        <w:ind w:left="2880" w:hanging="360"/>
      </w:pPr>
    </w:lvl>
    <w:lvl w:ilvl="4" w:tplc="660A185E" w:tentative="1">
      <w:start w:val="1"/>
      <w:numFmt w:val="decimal"/>
      <w:lvlText w:val="%5."/>
      <w:lvlJc w:val="left"/>
      <w:pPr>
        <w:tabs>
          <w:tab w:val="num" w:pos="3600"/>
        </w:tabs>
        <w:ind w:left="3600" w:hanging="360"/>
      </w:pPr>
    </w:lvl>
    <w:lvl w:ilvl="5" w:tplc="3DB6FA98" w:tentative="1">
      <w:start w:val="1"/>
      <w:numFmt w:val="decimal"/>
      <w:lvlText w:val="%6."/>
      <w:lvlJc w:val="left"/>
      <w:pPr>
        <w:tabs>
          <w:tab w:val="num" w:pos="4320"/>
        </w:tabs>
        <w:ind w:left="4320" w:hanging="360"/>
      </w:pPr>
    </w:lvl>
    <w:lvl w:ilvl="6" w:tplc="25601D2C" w:tentative="1">
      <w:start w:val="1"/>
      <w:numFmt w:val="decimal"/>
      <w:lvlText w:val="%7."/>
      <w:lvlJc w:val="left"/>
      <w:pPr>
        <w:tabs>
          <w:tab w:val="num" w:pos="5040"/>
        </w:tabs>
        <w:ind w:left="5040" w:hanging="360"/>
      </w:pPr>
    </w:lvl>
    <w:lvl w:ilvl="7" w:tplc="67C8BD90" w:tentative="1">
      <w:start w:val="1"/>
      <w:numFmt w:val="decimal"/>
      <w:lvlText w:val="%8."/>
      <w:lvlJc w:val="left"/>
      <w:pPr>
        <w:tabs>
          <w:tab w:val="num" w:pos="5760"/>
        </w:tabs>
        <w:ind w:left="5760" w:hanging="360"/>
      </w:pPr>
    </w:lvl>
    <w:lvl w:ilvl="8" w:tplc="BE9E578C" w:tentative="1">
      <w:start w:val="1"/>
      <w:numFmt w:val="decimal"/>
      <w:lvlText w:val="%9."/>
      <w:lvlJc w:val="left"/>
      <w:pPr>
        <w:tabs>
          <w:tab w:val="num" w:pos="6480"/>
        </w:tabs>
        <w:ind w:left="6480" w:hanging="360"/>
      </w:pPr>
    </w:lvl>
  </w:abstractNum>
  <w:abstractNum w:abstractNumId="69" w15:restartNumberingAfterBreak="0">
    <w:nsid w:val="68221CEB"/>
    <w:multiLevelType w:val="hybridMultilevel"/>
    <w:tmpl w:val="1070F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83C096A"/>
    <w:multiLevelType w:val="hybridMultilevel"/>
    <w:tmpl w:val="A66E5F8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6999719D"/>
    <w:multiLevelType w:val="hybridMultilevel"/>
    <w:tmpl w:val="7DFEE0AC"/>
    <w:lvl w:ilvl="0" w:tplc="C0A2998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9A40406"/>
    <w:multiLevelType w:val="hybridMultilevel"/>
    <w:tmpl w:val="F1C0D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E24283F"/>
    <w:multiLevelType w:val="hybridMultilevel"/>
    <w:tmpl w:val="09C87CB8"/>
    <w:lvl w:ilvl="0" w:tplc="5C268DF2">
      <w:start w:val="1"/>
      <w:numFmt w:val="bullet"/>
      <w:pStyle w:val="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75" w15:restartNumberingAfterBreak="0">
    <w:nsid w:val="6FC05617"/>
    <w:multiLevelType w:val="hybridMultilevel"/>
    <w:tmpl w:val="0C58ECCC"/>
    <w:lvl w:ilvl="0" w:tplc="A4EC679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03A2D55"/>
    <w:multiLevelType w:val="hybridMultilevel"/>
    <w:tmpl w:val="9D7AFCD4"/>
    <w:lvl w:ilvl="0" w:tplc="FD2879AE">
      <w:start w:val="1"/>
      <w:numFmt w:val="decimal"/>
      <w:lvlText w:val="%1."/>
      <w:lvlJc w:val="left"/>
      <w:pPr>
        <w:ind w:left="1209" w:hanging="360"/>
      </w:pPr>
      <w:rPr>
        <w:color w:val="auto"/>
      </w:rPr>
    </w:lvl>
    <w:lvl w:ilvl="1" w:tplc="04090019" w:tentative="1">
      <w:start w:val="1"/>
      <w:numFmt w:val="lowerLetter"/>
      <w:lvlText w:val="%2."/>
      <w:lvlJc w:val="left"/>
      <w:pPr>
        <w:ind w:left="1929" w:hanging="360"/>
      </w:pPr>
    </w:lvl>
    <w:lvl w:ilvl="2" w:tplc="0409001B" w:tentative="1">
      <w:start w:val="1"/>
      <w:numFmt w:val="lowerRoman"/>
      <w:lvlText w:val="%3."/>
      <w:lvlJc w:val="right"/>
      <w:pPr>
        <w:ind w:left="2649" w:hanging="180"/>
      </w:pPr>
    </w:lvl>
    <w:lvl w:ilvl="3" w:tplc="0409000F" w:tentative="1">
      <w:start w:val="1"/>
      <w:numFmt w:val="decimal"/>
      <w:lvlText w:val="%4."/>
      <w:lvlJc w:val="left"/>
      <w:pPr>
        <w:ind w:left="3369" w:hanging="360"/>
      </w:pPr>
    </w:lvl>
    <w:lvl w:ilvl="4" w:tplc="04090019" w:tentative="1">
      <w:start w:val="1"/>
      <w:numFmt w:val="lowerLetter"/>
      <w:lvlText w:val="%5."/>
      <w:lvlJc w:val="left"/>
      <w:pPr>
        <w:ind w:left="4089" w:hanging="360"/>
      </w:pPr>
    </w:lvl>
    <w:lvl w:ilvl="5" w:tplc="0409001B" w:tentative="1">
      <w:start w:val="1"/>
      <w:numFmt w:val="lowerRoman"/>
      <w:lvlText w:val="%6."/>
      <w:lvlJc w:val="right"/>
      <w:pPr>
        <w:ind w:left="4809" w:hanging="180"/>
      </w:pPr>
    </w:lvl>
    <w:lvl w:ilvl="6" w:tplc="0409000F" w:tentative="1">
      <w:start w:val="1"/>
      <w:numFmt w:val="decimal"/>
      <w:lvlText w:val="%7."/>
      <w:lvlJc w:val="left"/>
      <w:pPr>
        <w:ind w:left="5529" w:hanging="360"/>
      </w:pPr>
    </w:lvl>
    <w:lvl w:ilvl="7" w:tplc="04090019" w:tentative="1">
      <w:start w:val="1"/>
      <w:numFmt w:val="lowerLetter"/>
      <w:lvlText w:val="%8."/>
      <w:lvlJc w:val="left"/>
      <w:pPr>
        <w:ind w:left="6249" w:hanging="360"/>
      </w:pPr>
    </w:lvl>
    <w:lvl w:ilvl="8" w:tplc="0409001B" w:tentative="1">
      <w:start w:val="1"/>
      <w:numFmt w:val="lowerRoman"/>
      <w:lvlText w:val="%9."/>
      <w:lvlJc w:val="right"/>
      <w:pPr>
        <w:ind w:left="6969" w:hanging="180"/>
      </w:pPr>
    </w:lvl>
  </w:abstractNum>
  <w:abstractNum w:abstractNumId="78" w15:restartNumberingAfterBreak="0">
    <w:nsid w:val="70A2468B"/>
    <w:multiLevelType w:val="hybridMultilevel"/>
    <w:tmpl w:val="F08262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15:restartNumberingAfterBreak="0">
    <w:nsid w:val="71922CCC"/>
    <w:multiLevelType w:val="hybridMultilevel"/>
    <w:tmpl w:val="9740110A"/>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0" w15:restartNumberingAfterBreak="0">
    <w:nsid w:val="72253C83"/>
    <w:multiLevelType w:val="hybridMultilevel"/>
    <w:tmpl w:val="6A8C0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5B56F86"/>
    <w:multiLevelType w:val="hybridMultilevel"/>
    <w:tmpl w:val="70A4D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AD63DA6"/>
    <w:multiLevelType w:val="singleLevel"/>
    <w:tmpl w:val="A60EFBF8"/>
    <w:lvl w:ilvl="0">
      <w:start w:val="1"/>
      <w:numFmt w:val="bullet"/>
      <w:pStyle w:val="Bullets"/>
      <w:lvlText w:val=""/>
      <w:lvlJc w:val="left"/>
      <w:pPr>
        <w:ind w:left="360" w:hanging="360"/>
      </w:pPr>
      <w:rPr>
        <w:rFonts w:ascii="Symbol" w:hAnsi="Symbol" w:hint="default"/>
        <w:color w:val="auto"/>
        <w:sz w:val="22"/>
      </w:rPr>
    </w:lvl>
  </w:abstractNum>
  <w:abstractNum w:abstractNumId="85"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6" w15:restartNumberingAfterBreak="0">
    <w:nsid w:val="7C896128"/>
    <w:multiLevelType w:val="hybridMultilevel"/>
    <w:tmpl w:val="A29CAE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15:restartNumberingAfterBreak="0">
    <w:nsid w:val="7CE351DA"/>
    <w:multiLevelType w:val="hybridMultilevel"/>
    <w:tmpl w:val="15F26E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6"/>
  </w:num>
  <w:num w:numId="2">
    <w:abstractNumId w:val="51"/>
  </w:num>
  <w:num w:numId="3">
    <w:abstractNumId w:val="83"/>
  </w:num>
  <w:num w:numId="4">
    <w:abstractNumId w:val="19"/>
  </w:num>
  <w:num w:numId="5">
    <w:abstractNumId w:val="81"/>
  </w:num>
  <w:num w:numId="6">
    <w:abstractNumId w:val="65"/>
  </w:num>
  <w:num w:numId="7">
    <w:abstractNumId w:val="50"/>
  </w:num>
  <w:num w:numId="8">
    <w:abstractNumId w:val="31"/>
  </w:num>
  <w:num w:numId="9">
    <w:abstractNumId w:val="50"/>
  </w:num>
  <w:num w:numId="10">
    <w:abstractNumId w:val="21"/>
  </w:num>
  <w:num w:numId="11">
    <w:abstractNumId w:val="75"/>
  </w:num>
  <w:num w:numId="12">
    <w:abstractNumId w:val="28"/>
  </w:num>
  <w:num w:numId="13">
    <w:abstractNumId w:val="33"/>
  </w:num>
  <w:num w:numId="14">
    <w:abstractNumId w:val="35"/>
  </w:num>
  <w:num w:numId="15">
    <w:abstractNumId w:val="39"/>
  </w:num>
  <w:num w:numId="16">
    <w:abstractNumId w:val="56"/>
  </w:num>
  <w:num w:numId="17">
    <w:abstractNumId w:val="25"/>
  </w:num>
  <w:num w:numId="18">
    <w:abstractNumId w:val="36"/>
  </w:num>
  <w:num w:numId="19">
    <w:abstractNumId w:val="85"/>
  </w:num>
  <w:num w:numId="20">
    <w:abstractNumId w:val="0"/>
  </w:num>
  <w:num w:numId="21">
    <w:abstractNumId w:val="32"/>
  </w:num>
  <w:num w:numId="22">
    <w:abstractNumId w:val="54"/>
  </w:num>
  <w:num w:numId="23">
    <w:abstractNumId w:val="15"/>
  </w:num>
  <w:num w:numId="24">
    <w:abstractNumId w:val="57"/>
  </w:num>
  <w:num w:numId="25">
    <w:abstractNumId w:val="6"/>
  </w:num>
  <w:num w:numId="26">
    <w:abstractNumId w:val="44"/>
  </w:num>
  <w:num w:numId="27">
    <w:abstractNumId w:val="74"/>
  </w:num>
  <w:num w:numId="28">
    <w:abstractNumId w:val="16"/>
  </w:num>
  <w:num w:numId="29">
    <w:abstractNumId w:val="4"/>
  </w:num>
  <w:num w:numId="30">
    <w:abstractNumId w:val="22"/>
  </w:num>
  <w:num w:numId="31">
    <w:abstractNumId w:val="47"/>
  </w:num>
  <w:num w:numId="32">
    <w:abstractNumId w:val="67"/>
  </w:num>
  <w:num w:numId="33">
    <w:abstractNumId w:val="60"/>
  </w:num>
  <w:num w:numId="34">
    <w:abstractNumId w:val="8"/>
  </w:num>
  <w:num w:numId="35">
    <w:abstractNumId w:val="50"/>
    <w:lvlOverride w:ilvl="0">
      <w:startOverride w:val="1"/>
    </w:lvlOverride>
  </w:num>
  <w:num w:numId="36">
    <w:abstractNumId w:val="50"/>
    <w:lvlOverride w:ilvl="0">
      <w:startOverride w:val="1"/>
    </w:lvlOverride>
  </w:num>
  <w:num w:numId="37">
    <w:abstractNumId w:val="50"/>
    <w:lvlOverride w:ilvl="0">
      <w:startOverride w:val="1"/>
    </w:lvlOverride>
  </w:num>
  <w:num w:numId="38">
    <w:abstractNumId w:val="50"/>
    <w:lvlOverride w:ilvl="0">
      <w:startOverride w:val="1"/>
    </w:lvlOverride>
  </w:num>
  <w:num w:numId="39">
    <w:abstractNumId w:val="50"/>
    <w:lvlOverride w:ilvl="0">
      <w:startOverride w:val="1"/>
    </w:lvlOverride>
  </w:num>
  <w:num w:numId="40">
    <w:abstractNumId w:val="76"/>
  </w:num>
  <w:num w:numId="41">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num>
  <w:num w:numId="43">
    <w:abstractNumId w:val="70"/>
  </w:num>
  <w:num w:numId="44">
    <w:abstractNumId w:val="3"/>
  </w:num>
  <w:num w:numId="45">
    <w:abstractNumId w:val="63"/>
  </w:num>
  <w:num w:numId="46">
    <w:abstractNumId w:val="50"/>
    <w:lvlOverride w:ilvl="0">
      <w:startOverride w:val="1"/>
    </w:lvlOverride>
  </w:num>
  <w:num w:numId="47">
    <w:abstractNumId w:val="19"/>
  </w:num>
  <w:num w:numId="48">
    <w:abstractNumId w:val="45"/>
  </w:num>
  <w:num w:numId="49">
    <w:abstractNumId w:val="79"/>
  </w:num>
  <w:num w:numId="50">
    <w:abstractNumId w:val="1"/>
  </w:num>
  <w:num w:numId="51">
    <w:abstractNumId w:val="23"/>
  </w:num>
  <w:num w:numId="52">
    <w:abstractNumId w:val="11"/>
  </w:num>
  <w:num w:numId="53">
    <w:abstractNumId w:val="5"/>
  </w:num>
  <w:num w:numId="54">
    <w:abstractNumId w:val="49"/>
  </w:num>
  <w:num w:numId="55">
    <w:abstractNumId w:val="53"/>
  </w:num>
  <w:num w:numId="56">
    <w:abstractNumId w:val="14"/>
  </w:num>
  <w:num w:numId="57">
    <w:abstractNumId w:val="41"/>
  </w:num>
  <w:num w:numId="58">
    <w:abstractNumId w:val="38"/>
  </w:num>
  <w:num w:numId="59">
    <w:abstractNumId w:val="40"/>
  </w:num>
  <w:num w:numId="60">
    <w:abstractNumId w:val="82"/>
  </w:num>
  <w:num w:numId="61">
    <w:abstractNumId w:val="72"/>
  </w:num>
  <w:num w:numId="62">
    <w:abstractNumId w:val="59"/>
  </w:num>
  <w:num w:numId="63">
    <w:abstractNumId w:val="61"/>
  </w:num>
  <w:num w:numId="64">
    <w:abstractNumId w:val="50"/>
    <w:lvlOverride w:ilvl="0">
      <w:startOverride w:val="1"/>
    </w:lvlOverride>
  </w:num>
  <w:num w:numId="65">
    <w:abstractNumId w:val="46"/>
  </w:num>
  <w:num w:numId="66">
    <w:abstractNumId w:val="12"/>
  </w:num>
  <w:num w:numId="67">
    <w:abstractNumId w:val="42"/>
  </w:num>
  <w:num w:numId="68">
    <w:abstractNumId w:val="50"/>
    <w:lvlOverride w:ilvl="0">
      <w:startOverride w:val="1"/>
    </w:lvlOverride>
  </w:num>
  <w:num w:numId="69">
    <w:abstractNumId w:val="50"/>
    <w:lvlOverride w:ilvl="0">
      <w:startOverride w:val="1"/>
    </w:lvlOverride>
  </w:num>
  <w:num w:numId="70">
    <w:abstractNumId w:val="71"/>
  </w:num>
  <w:num w:numId="71">
    <w:abstractNumId w:val="87"/>
  </w:num>
  <w:num w:numId="72">
    <w:abstractNumId w:val="27"/>
  </w:num>
  <w:num w:numId="73">
    <w:abstractNumId w:val="73"/>
  </w:num>
  <w:num w:numId="74">
    <w:abstractNumId w:val="77"/>
  </w:num>
  <w:num w:numId="75">
    <w:abstractNumId w:val="84"/>
  </w:num>
  <w:num w:numId="76">
    <w:abstractNumId w:val="80"/>
  </w:num>
  <w:num w:numId="77">
    <w:abstractNumId w:val="37"/>
  </w:num>
  <w:num w:numId="78">
    <w:abstractNumId w:val="26"/>
  </w:num>
  <w:num w:numId="79">
    <w:abstractNumId w:val="62"/>
  </w:num>
  <w:num w:numId="80">
    <w:abstractNumId w:val="10"/>
  </w:num>
  <w:num w:numId="81">
    <w:abstractNumId w:val="58"/>
  </w:num>
  <w:num w:numId="82">
    <w:abstractNumId w:val="78"/>
  </w:num>
  <w:num w:numId="83">
    <w:abstractNumId w:val="30"/>
  </w:num>
  <w:num w:numId="84">
    <w:abstractNumId w:val="43"/>
  </w:num>
  <w:num w:numId="85">
    <w:abstractNumId w:val="69"/>
  </w:num>
  <w:num w:numId="86">
    <w:abstractNumId w:val="34"/>
  </w:num>
  <w:num w:numId="87">
    <w:abstractNumId w:val="20"/>
  </w:num>
  <w:num w:numId="88">
    <w:abstractNumId w:val="2"/>
  </w:num>
  <w:num w:numId="89">
    <w:abstractNumId w:val="68"/>
  </w:num>
  <w:num w:numId="90">
    <w:abstractNumId w:val="17"/>
  </w:num>
  <w:num w:numId="91">
    <w:abstractNumId w:val="24"/>
  </w:num>
  <w:num w:numId="92">
    <w:abstractNumId w:val="52"/>
  </w:num>
  <w:num w:numId="93">
    <w:abstractNumId w:val="48"/>
  </w:num>
  <w:num w:numId="94">
    <w:abstractNumId w:val="29"/>
  </w:num>
  <w:num w:numId="95">
    <w:abstractNumId w:val="55"/>
  </w:num>
  <w:num w:numId="96">
    <w:abstractNumId w:val="64"/>
  </w:num>
  <w:num w:numId="97">
    <w:abstractNumId w:val="86"/>
  </w:num>
  <w:num w:numId="98">
    <w:abstractNumId w:val="9"/>
  </w:num>
  <w:num w:numId="99">
    <w:abstractNumId w:val="7"/>
  </w:num>
  <w:num w:numId="100">
    <w:abstractNumId w:val="66"/>
  </w:num>
  <w:num w:numId="101">
    <w:abstractNumId w:val="84"/>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linkStyle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characterSpacingControl w:val="doNotCompress"/>
  <w:hdrShapeDefaults>
    <o:shapedefaults v:ext="edit" spidmax="2056"/>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6AC"/>
    <w:rsid w:val="0000084F"/>
    <w:rsid w:val="000010B8"/>
    <w:rsid w:val="00002AEF"/>
    <w:rsid w:val="00002E8E"/>
    <w:rsid w:val="000030B1"/>
    <w:rsid w:val="00005980"/>
    <w:rsid w:val="000068AC"/>
    <w:rsid w:val="00010CEE"/>
    <w:rsid w:val="00011E73"/>
    <w:rsid w:val="0001384A"/>
    <w:rsid w:val="0001587F"/>
    <w:rsid w:val="000168F9"/>
    <w:rsid w:val="00017232"/>
    <w:rsid w:val="000174D2"/>
    <w:rsid w:val="0001764F"/>
    <w:rsid w:val="0001771D"/>
    <w:rsid w:val="00017BA2"/>
    <w:rsid w:val="00017D2E"/>
    <w:rsid w:val="00022455"/>
    <w:rsid w:val="0002322B"/>
    <w:rsid w:val="00023326"/>
    <w:rsid w:val="0002551A"/>
    <w:rsid w:val="00026393"/>
    <w:rsid w:val="0002754E"/>
    <w:rsid w:val="00027618"/>
    <w:rsid w:val="00027ADD"/>
    <w:rsid w:val="0003036C"/>
    <w:rsid w:val="000310DF"/>
    <w:rsid w:val="0003134A"/>
    <w:rsid w:val="000316D2"/>
    <w:rsid w:val="000321CE"/>
    <w:rsid w:val="0003265D"/>
    <w:rsid w:val="0003266C"/>
    <w:rsid w:val="00032D1F"/>
    <w:rsid w:val="0003454C"/>
    <w:rsid w:val="00034667"/>
    <w:rsid w:val="00035249"/>
    <w:rsid w:val="000360FF"/>
    <w:rsid w:val="000362E7"/>
    <w:rsid w:val="00036501"/>
    <w:rsid w:val="00037138"/>
    <w:rsid w:val="00040B2C"/>
    <w:rsid w:val="00040CF7"/>
    <w:rsid w:val="000413AA"/>
    <w:rsid w:val="000423BE"/>
    <w:rsid w:val="00042419"/>
    <w:rsid w:val="00042FA8"/>
    <w:rsid w:val="00043788"/>
    <w:rsid w:val="00043B27"/>
    <w:rsid w:val="000442CB"/>
    <w:rsid w:val="00044D94"/>
    <w:rsid w:val="00045134"/>
    <w:rsid w:val="00047BDD"/>
    <w:rsid w:val="00050154"/>
    <w:rsid w:val="00052C87"/>
    <w:rsid w:val="00053ACF"/>
    <w:rsid w:val="00053C71"/>
    <w:rsid w:val="00054847"/>
    <w:rsid w:val="00056BC1"/>
    <w:rsid w:val="00057172"/>
    <w:rsid w:val="000575D5"/>
    <w:rsid w:val="000578BB"/>
    <w:rsid w:val="00057F49"/>
    <w:rsid w:val="00060545"/>
    <w:rsid w:val="00060579"/>
    <w:rsid w:val="000619E5"/>
    <w:rsid w:val="0006281C"/>
    <w:rsid w:val="000633AA"/>
    <w:rsid w:val="00063D36"/>
    <w:rsid w:val="0006441D"/>
    <w:rsid w:val="00064A93"/>
    <w:rsid w:val="000652EF"/>
    <w:rsid w:val="000669FF"/>
    <w:rsid w:val="000671C3"/>
    <w:rsid w:val="000671DD"/>
    <w:rsid w:val="000677C0"/>
    <w:rsid w:val="0007041A"/>
    <w:rsid w:val="0007101B"/>
    <w:rsid w:val="000727AA"/>
    <w:rsid w:val="00072C37"/>
    <w:rsid w:val="00076E66"/>
    <w:rsid w:val="00077330"/>
    <w:rsid w:val="0007749B"/>
    <w:rsid w:val="00080478"/>
    <w:rsid w:val="0008247B"/>
    <w:rsid w:val="000855BD"/>
    <w:rsid w:val="00085786"/>
    <w:rsid w:val="00085FA3"/>
    <w:rsid w:val="00086066"/>
    <w:rsid w:val="00086226"/>
    <w:rsid w:val="00086817"/>
    <w:rsid w:val="00087620"/>
    <w:rsid w:val="000900C2"/>
    <w:rsid w:val="000902A2"/>
    <w:rsid w:val="0009143A"/>
    <w:rsid w:val="000915D8"/>
    <w:rsid w:val="00092363"/>
    <w:rsid w:val="000926DD"/>
    <w:rsid w:val="000926DF"/>
    <w:rsid w:val="00093199"/>
    <w:rsid w:val="000934CA"/>
    <w:rsid w:val="000940CF"/>
    <w:rsid w:val="00094F02"/>
    <w:rsid w:val="00097453"/>
    <w:rsid w:val="00097CDB"/>
    <w:rsid w:val="00097D7E"/>
    <w:rsid w:val="000A00B5"/>
    <w:rsid w:val="000A04A7"/>
    <w:rsid w:val="000A1D8E"/>
    <w:rsid w:val="000A2330"/>
    <w:rsid w:val="000A260E"/>
    <w:rsid w:val="000A2E41"/>
    <w:rsid w:val="000A38D8"/>
    <w:rsid w:val="000A5A8D"/>
    <w:rsid w:val="000A64EA"/>
    <w:rsid w:val="000A6591"/>
    <w:rsid w:val="000A6B2C"/>
    <w:rsid w:val="000B00D3"/>
    <w:rsid w:val="000B06CD"/>
    <w:rsid w:val="000B07B6"/>
    <w:rsid w:val="000B118D"/>
    <w:rsid w:val="000B2D6B"/>
    <w:rsid w:val="000B3931"/>
    <w:rsid w:val="000B3E0E"/>
    <w:rsid w:val="000B4AEB"/>
    <w:rsid w:val="000B4CDF"/>
    <w:rsid w:val="000B555A"/>
    <w:rsid w:val="000B5D0C"/>
    <w:rsid w:val="000B63DB"/>
    <w:rsid w:val="000B6858"/>
    <w:rsid w:val="000B764C"/>
    <w:rsid w:val="000C0C1C"/>
    <w:rsid w:val="000C28B2"/>
    <w:rsid w:val="000C2E3B"/>
    <w:rsid w:val="000C413E"/>
    <w:rsid w:val="000C43B8"/>
    <w:rsid w:val="000C6216"/>
    <w:rsid w:val="000C7383"/>
    <w:rsid w:val="000C763F"/>
    <w:rsid w:val="000C7D4D"/>
    <w:rsid w:val="000D27E2"/>
    <w:rsid w:val="000D30E1"/>
    <w:rsid w:val="000D36C9"/>
    <w:rsid w:val="000D3A29"/>
    <w:rsid w:val="000D3DEA"/>
    <w:rsid w:val="000D43F8"/>
    <w:rsid w:val="000D5B34"/>
    <w:rsid w:val="000D5E5E"/>
    <w:rsid w:val="000D60C3"/>
    <w:rsid w:val="000D63C1"/>
    <w:rsid w:val="000D6C3E"/>
    <w:rsid w:val="000D6D88"/>
    <w:rsid w:val="000D6D92"/>
    <w:rsid w:val="000D751A"/>
    <w:rsid w:val="000E0694"/>
    <w:rsid w:val="000E0A1B"/>
    <w:rsid w:val="000E1776"/>
    <w:rsid w:val="000E1C2B"/>
    <w:rsid w:val="000E2169"/>
    <w:rsid w:val="000E2C4D"/>
    <w:rsid w:val="000E3116"/>
    <w:rsid w:val="000E3F1A"/>
    <w:rsid w:val="000E49EC"/>
    <w:rsid w:val="000E5AF8"/>
    <w:rsid w:val="000E662E"/>
    <w:rsid w:val="000E6BCA"/>
    <w:rsid w:val="000E6C66"/>
    <w:rsid w:val="000E7952"/>
    <w:rsid w:val="000F14B0"/>
    <w:rsid w:val="000F16FD"/>
    <w:rsid w:val="000F25E2"/>
    <w:rsid w:val="000F2832"/>
    <w:rsid w:val="000F2E30"/>
    <w:rsid w:val="000F309D"/>
    <w:rsid w:val="000F349B"/>
    <w:rsid w:val="000F3A33"/>
    <w:rsid w:val="000F5A27"/>
    <w:rsid w:val="000F65A3"/>
    <w:rsid w:val="000F677B"/>
    <w:rsid w:val="000F6DB6"/>
    <w:rsid w:val="000F6F52"/>
    <w:rsid w:val="000F7129"/>
    <w:rsid w:val="000F7CFA"/>
    <w:rsid w:val="00100281"/>
    <w:rsid w:val="0010082D"/>
    <w:rsid w:val="00100C26"/>
    <w:rsid w:val="00101A31"/>
    <w:rsid w:val="00101D27"/>
    <w:rsid w:val="0010212C"/>
    <w:rsid w:val="0010233E"/>
    <w:rsid w:val="00104936"/>
    <w:rsid w:val="00104A13"/>
    <w:rsid w:val="0010517F"/>
    <w:rsid w:val="00105D07"/>
    <w:rsid w:val="0010722F"/>
    <w:rsid w:val="00111832"/>
    <w:rsid w:val="001119F8"/>
    <w:rsid w:val="00112182"/>
    <w:rsid w:val="001124C0"/>
    <w:rsid w:val="0011344E"/>
    <w:rsid w:val="00113ADD"/>
    <w:rsid w:val="00116AFC"/>
    <w:rsid w:val="0012077A"/>
    <w:rsid w:val="00120E60"/>
    <w:rsid w:val="00124B9E"/>
    <w:rsid w:val="001256D1"/>
    <w:rsid w:val="00125B6E"/>
    <w:rsid w:val="0012795D"/>
    <w:rsid w:val="00127E18"/>
    <w:rsid w:val="00130056"/>
    <w:rsid w:val="001307BB"/>
    <w:rsid w:val="00130C03"/>
    <w:rsid w:val="00130E88"/>
    <w:rsid w:val="00130E9F"/>
    <w:rsid w:val="0013184F"/>
    <w:rsid w:val="00131F00"/>
    <w:rsid w:val="00132CB7"/>
    <w:rsid w:val="00134BF1"/>
    <w:rsid w:val="00135A56"/>
    <w:rsid w:val="001365AE"/>
    <w:rsid w:val="001378D7"/>
    <w:rsid w:val="0014041C"/>
    <w:rsid w:val="00142780"/>
    <w:rsid w:val="001427BE"/>
    <w:rsid w:val="001434D1"/>
    <w:rsid w:val="00147515"/>
    <w:rsid w:val="00147A74"/>
    <w:rsid w:val="00150F00"/>
    <w:rsid w:val="001535D5"/>
    <w:rsid w:val="0015432E"/>
    <w:rsid w:val="00154DCC"/>
    <w:rsid w:val="00155612"/>
    <w:rsid w:val="00155E18"/>
    <w:rsid w:val="00156CC3"/>
    <w:rsid w:val="00157644"/>
    <w:rsid w:val="001577DD"/>
    <w:rsid w:val="001610FF"/>
    <w:rsid w:val="00162330"/>
    <w:rsid w:val="001635BC"/>
    <w:rsid w:val="00163B97"/>
    <w:rsid w:val="00163D09"/>
    <w:rsid w:val="0016415B"/>
    <w:rsid w:val="001649D5"/>
    <w:rsid w:val="00164BC2"/>
    <w:rsid w:val="00164E89"/>
    <w:rsid w:val="00165A9A"/>
    <w:rsid w:val="00166176"/>
    <w:rsid w:val="00167216"/>
    <w:rsid w:val="0016741F"/>
    <w:rsid w:val="00167536"/>
    <w:rsid w:val="001677FD"/>
    <w:rsid w:val="001702DB"/>
    <w:rsid w:val="00170DA5"/>
    <w:rsid w:val="0017126B"/>
    <w:rsid w:val="00171D94"/>
    <w:rsid w:val="001735B2"/>
    <w:rsid w:val="0017390D"/>
    <w:rsid w:val="001739F1"/>
    <w:rsid w:val="00173D53"/>
    <w:rsid w:val="00176180"/>
    <w:rsid w:val="0017698F"/>
    <w:rsid w:val="0017754F"/>
    <w:rsid w:val="00177D55"/>
    <w:rsid w:val="0018096D"/>
    <w:rsid w:val="001819E6"/>
    <w:rsid w:val="00181AC8"/>
    <w:rsid w:val="00182392"/>
    <w:rsid w:val="00182427"/>
    <w:rsid w:val="00182E0C"/>
    <w:rsid w:val="00183E8C"/>
    <w:rsid w:val="00184421"/>
    <w:rsid w:val="001849D4"/>
    <w:rsid w:val="00186083"/>
    <w:rsid w:val="001872C7"/>
    <w:rsid w:val="001876D1"/>
    <w:rsid w:val="00187F1E"/>
    <w:rsid w:val="00191313"/>
    <w:rsid w:val="00191FEE"/>
    <w:rsid w:val="001921A4"/>
    <w:rsid w:val="00192230"/>
    <w:rsid w:val="0019361A"/>
    <w:rsid w:val="00193672"/>
    <w:rsid w:val="001936B3"/>
    <w:rsid w:val="001944E9"/>
    <w:rsid w:val="00194A0E"/>
    <w:rsid w:val="00194BCF"/>
    <w:rsid w:val="00195AF7"/>
    <w:rsid w:val="001969F1"/>
    <w:rsid w:val="00196E5A"/>
    <w:rsid w:val="00197503"/>
    <w:rsid w:val="00197DFE"/>
    <w:rsid w:val="00197E0E"/>
    <w:rsid w:val="001A0494"/>
    <w:rsid w:val="001A121F"/>
    <w:rsid w:val="001A2EA2"/>
    <w:rsid w:val="001A3332"/>
    <w:rsid w:val="001A406C"/>
    <w:rsid w:val="001A4896"/>
    <w:rsid w:val="001A5240"/>
    <w:rsid w:val="001A7BDE"/>
    <w:rsid w:val="001B0244"/>
    <w:rsid w:val="001B107D"/>
    <w:rsid w:val="001B121F"/>
    <w:rsid w:val="001B148D"/>
    <w:rsid w:val="001B333D"/>
    <w:rsid w:val="001B33BF"/>
    <w:rsid w:val="001B3526"/>
    <w:rsid w:val="001B3F33"/>
    <w:rsid w:val="001B3F3C"/>
    <w:rsid w:val="001B3FC6"/>
    <w:rsid w:val="001B4D32"/>
    <w:rsid w:val="001B5335"/>
    <w:rsid w:val="001B5EDB"/>
    <w:rsid w:val="001B692C"/>
    <w:rsid w:val="001B6E2A"/>
    <w:rsid w:val="001B7DE0"/>
    <w:rsid w:val="001C04DB"/>
    <w:rsid w:val="001C0BA0"/>
    <w:rsid w:val="001C30D3"/>
    <w:rsid w:val="001C3C3F"/>
    <w:rsid w:val="001C473A"/>
    <w:rsid w:val="001C7FBE"/>
    <w:rsid w:val="001D1A8D"/>
    <w:rsid w:val="001D3014"/>
    <w:rsid w:val="001D3544"/>
    <w:rsid w:val="001D39AA"/>
    <w:rsid w:val="001D39EC"/>
    <w:rsid w:val="001D53CE"/>
    <w:rsid w:val="001D5A40"/>
    <w:rsid w:val="001D5B16"/>
    <w:rsid w:val="001D6AB8"/>
    <w:rsid w:val="001D72ED"/>
    <w:rsid w:val="001D78CB"/>
    <w:rsid w:val="001D7B65"/>
    <w:rsid w:val="001E030B"/>
    <w:rsid w:val="001E18DD"/>
    <w:rsid w:val="001E1C26"/>
    <w:rsid w:val="001E1ECD"/>
    <w:rsid w:val="001E2196"/>
    <w:rsid w:val="001E2E35"/>
    <w:rsid w:val="001E3859"/>
    <w:rsid w:val="001E4A0A"/>
    <w:rsid w:val="001E5CB6"/>
    <w:rsid w:val="001E6926"/>
    <w:rsid w:val="001E6C15"/>
    <w:rsid w:val="001E6CCD"/>
    <w:rsid w:val="001E6E31"/>
    <w:rsid w:val="001E6E5A"/>
    <w:rsid w:val="001E7EA5"/>
    <w:rsid w:val="001F0613"/>
    <w:rsid w:val="001F13AF"/>
    <w:rsid w:val="001F27B5"/>
    <w:rsid w:val="001F356B"/>
    <w:rsid w:val="001F3C2F"/>
    <w:rsid w:val="001F4003"/>
    <w:rsid w:val="001F4F65"/>
    <w:rsid w:val="001F57C8"/>
    <w:rsid w:val="001F6ECF"/>
    <w:rsid w:val="00200B6C"/>
    <w:rsid w:val="00201E7E"/>
    <w:rsid w:val="002023DF"/>
    <w:rsid w:val="00204AB9"/>
    <w:rsid w:val="00204B23"/>
    <w:rsid w:val="00204D07"/>
    <w:rsid w:val="00205929"/>
    <w:rsid w:val="00205EFC"/>
    <w:rsid w:val="00207152"/>
    <w:rsid w:val="002109B4"/>
    <w:rsid w:val="00211E1A"/>
    <w:rsid w:val="00212057"/>
    <w:rsid w:val="0021323E"/>
    <w:rsid w:val="002137D9"/>
    <w:rsid w:val="002141E9"/>
    <w:rsid w:val="00214A96"/>
    <w:rsid w:val="00214E0B"/>
    <w:rsid w:val="00215458"/>
    <w:rsid w:val="00215616"/>
    <w:rsid w:val="00215C5A"/>
    <w:rsid w:val="00215E4D"/>
    <w:rsid w:val="00216E84"/>
    <w:rsid w:val="00217B66"/>
    <w:rsid w:val="00217FA0"/>
    <w:rsid w:val="002203D5"/>
    <w:rsid w:val="0022257E"/>
    <w:rsid w:val="00225757"/>
    <w:rsid w:val="002257F8"/>
    <w:rsid w:val="00225954"/>
    <w:rsid w:val="00225F20"/>
    <w:rsid w:val="0022600D"/>
    <w:rsid w:val="0022714B"/>
    <w:rsid w:val="002272CB"/>
    <w:rsid w:val="00230169"/>
    <w:rsid w:val="00231607"/>
    <w:rsid w:val="002318CE"/>
    <w:rsid w:val="002322AA"/>
    <w:rsid w:val="00232928"/>
    <w:rsid w:val="00233118"/>
    <w:rsid w:val="002334B8"/>
    <w:rsid w:val="00234145"/>
    <w:rsid w:val="002355AD"/>
    <w:rsid w:val="002357CD"/>
    <w:rsid w:val="0023669A"/>
    <w:rsid w:val="00242463"/>
    <w:rsid w:val="00242603"/>
    <w:rsid w:val="0024268B"/>
    <w:rsid w:val="002429B4"/>
    <w:rsid w:val="00242D29"/>
    <w:rsid w:val="002435DD"/>
    <w:rsid w:val="002438AE"/>
    <w:rsid w:val="00243C0D"/>
    <w:rsid w:val="00243D39"/>
    <w:rsid w:val="00243E13"/>
    <w:rsid w:val="00243E49"/>
    <w:rsid w:val="00245241"/>
    <w:rsid w:val="002452C4"/>
    <w:rsid w:val="00247270"/>
    <w:rsid w:val="00247D1F"/>
    <w:rsid w:val="0025034D"/>
    <w:rsid w:val="00250F4E"/>
    <w:rsid w:val="00251B39"/>
    <w:rsid w:val="002525C2"/>
    <w:rsid w:val="002525EF"/>
    <w:rsid w:val="00252881"/>
    <w:rsid w:val="00253988"/>
    <w:rsid w:val="002540D2"/>
    <w:rsid w:val="00254C89"/>
    <w:rsid w:val="0025511C"/>
    <w:rsid w:val="00255BAE"/>
    <w:rsid w:val="0025629D"/>
    <w:rsid w:val="0025692F"/>
    <w:rsid w:val="00256D04"/>
    <w:rsid w:val="0025736C"/>
    <w:rsid w:val="0026025C"/>
    <w:rsid w:val="00260ADB"/>
    <w:rsid w:val="00260D48"/>
    <w:rsid w:val="002610E7"/>
    <w:rsid w:val="00261885"/>
    <w:rsid w:val="00261C2C"/>
    <w:rsid w:val="00261E77"/>
    <w:rsid w:val="00261ED8"/>
    <w:rsid w:val="0026252F"/>
    <w:rsid w:val="00262893"/>
    <w:rsid w:val="002631A2"/>
    <w:rsid w:val="00263A78"/>
    <w:rsid w:val="00263CBD"/>
    <w:rsid w:val="002646C9"/>
    <w:rsid w:val="0026526C"/>
    <w:rsid w:val="002655AE"/>
    <w:rsid w:val="00265A33"/>
    <w:rsid w:val="00265C32"/>
    <w:rsid w:val="00265C5C"/>
    <w:rsid w:val="00265CE2"/>
    <w:rsid w:val="00265F63"/>
    <w:rsid w:val="0026713B"/>
    <w:rsid w:val="00270943"/>
    <w:rsid w:val="00270B2A"/>
    <w:rsid w:val="00271C83"/>
    <w:rsid w:val="0027245E"/>
    <w:rsid w:val="0027247B"/>
    <w:rsid w:val="00272C5D"/>
    <w:rsid w:val="0027311E"/>
    <w:rsid w:val="002733A4"/>
    <w:rsid w:val="00274AF9"/>
    <w:rsid w:val="00274C64"/>
    <w:rsid w:val="0027728C"/>
    <w:rsid w:val="00280758"/>
    <w:rsid w:val="00280FE4"/>
    <w:rsid w:val="00281607"/>
    <w:rsid w:val="002819D7"/>
    <w:rsid w:val="00282468"/>
    <w:rsid w:val="002831F2"/>
    <w:rsid w:val="00283304"/>
    <w:rsid w:val="0028332F"/>
    <w:rsid w:val="0028360E"/>
    <w:rsid w:val="002838A9"/>
    <w:rsid w:val="00283D42"/>
    <w:rsid w:val="0029042C"/>
    <w:rsid w:val="00290895"/>
    <w:rsid w:val="00290BBC"/>
    <w:rsid w:val="00290D02"/>
    <w:rsid w:val="00292A7F"/>
    <w:rsid w:val="00293720"/>
    <w:rsid w:val="00293E08"/>
    <w:rsid w:val="00294006"/>
    <w:rsid w:val="0029433D"/>
    <w:rsid w:val="00294D2E"/>
    <w:rsid w:val="00294E3C"/>
    <w:rsid w:val="002950A7"/>
    <w:rsid w:val="00296A02"/>
    <w:rsid w:val="00297266"/>
    <w:rsid w:val="00297991"/>
    <w:rsid w:val="00297B4C"/>
    <w:rsid w:val="002A00E4"/>
    <w:rsid w:val="002A09C9"/>
    <w:rsid w:val="002A13D0"/>
    <w:rsid w:val="002A17D6"/>
    <w:rsid w:val="002A1CF9"/>
    <w:rsid w:val="002A2292"/>
    <w:rsid w:val="002A2808"/>
    <w:rsid w:val="002A3C60"/>
    <w:rsid w:val="002A47AD"/>
    <w:rsid w:val="002A4F27"/>
    <w:rsid w:val="002A50F8"/>
    <w:rsid w:val="002A5519"/>
    <w:rsid w:val="002A6552"/>
    <w:rsid w:val="002A6676"/>
    <w:rsid w:val="002A7CAB"/>
    <w:rsid w:val="002A7F07"/>
    <w:rsid w:val="002B06B0"/>
    <w:rsid w:val="002B0FB1"/>
    <w:rsid w:val="002B10F0"/>
    <w:rsid w:val="002B2506"/>
    <w:rsid w:val="002B2734"/>
    <w:rsid w:val="002B31FD"/>
    <w:rsid w:val="002B4F33"/>
    <w:rsid w:val="002B59B8"/>
    <w:rsid w:val="002B63A3"/>
    <w:rsid w:val="002B647D"/>
    <w:rsid w:val="002B666B"/>
    <w:rsid w:val="002B71CD"/>
    <w:rsid w:val="002B74E4"/>
    <w:rsid w:val="002B76AB"/>
    <w:rsid w:val="002B7C37"/>
    <w:rsid w:val="002C017D"/>
    <w:rsid w:val="002C069A"/>
    <w:rsid w:val="002C18B5"/>
    <w:rsid w:val="002C217F"/>
    <w:rsid w:val="002C281E"/>
    <w:rsid w:val="002C2E7E"/>
    <w:rsid w:val="002C3CA5"/>
    <w:rsid w:val="002C3E46"/>
    <w:rsid w:val="002C41DF"/>
    <w:rsid w:val="002C4B01"/>
    <w:rsid w:val="002C5162"/>
    <w:rsid w:val="002C5F35"/>
    <w:rsid w:val="002C61D2"/>
    <w:rsid w:val="002D2513"/>
    <w:rsid w:val="002D262A"/>
    <w:rsid w:val="002D288C"/>
    <w:rsid w:val="002D2F4F"/>
    <w:rsid w:val="002D556F"/>
    <w:rsid w:val="002D596D"/>
    <w:rsid w:val="002D7242"/>
    <w:rsid w:val="002E05EA"/>
    <w:rsid w:val="002E0664"/>
    <w:rsid w:val="002E06F1"/>
    <w:rsid w:val="002E3161"/>
    <w:rsid w:val="002E3E35"/>
    <w:rsid w:val="002E5024"/>
    <w:rsid w:val="002E65C2"/>
    <w:rsid w:val="002E6D0D"/>
    <w:rsid w:val="002E7C53"/>
    <w:rsid w:val="002F0B1A"/>
    <w:rsid w:val="002F1BF2"/>
    <w:rsid w:val="002F2591"/>
    <w:rsid w:val="002F274D"/>
    <w:rsid w:val="002F2BC6"/>
    <w:rsid w:val="002F2E17"/>
    <w:rsid w:val="002F3514"/>
    <w:rsid w:val="002F44E5"/>
    <w:rsid w:val="002F4780"/>
    <w:rsid w:val="002F61EB"/>
    <w:rsid w:val="002F6E35"/>
    <w:rsid w:val="002F7342"/>
    <w:rsid w:val="002F7C35"/>
    <w:rsid w:val="00300655"/>
    <w:rsid w:val="00300E6B"/>
    <w:rsid w:val="00301C16"/>
    <w:rsid w:val="0030242C"/>
    <w:rsid w:val="00302890"/>
    <w:rsid w:val="00302B4E"/>
    <w:rsid w:val="00302FA4"/>
    <w:rsid w:val="003031D7"/>
    <w:rsid w:val="00303A93"/>
    <w:rsid w:val="00303E39"/>
    <w:rsid w:val="00303EA9"/>
    <w:rsid w:val="00304257"/>
    <w:rsid w:val="00304FE9"/>
    <w:rsid w:val="00306355"/>
    <w:rsid w:val="0030677B"/>
    <w:rsid w:val="0030681E"/>
    <w:rsid w:val="0031022F"/>
    <w:rsid w:val="00310CBE"/>
    <w:rsid w:val="003113A8"/>
    <w:rsid w:val="003125A1"/>
    <w:rsid w:val="00312D81"/>
    <w:rsid w:val="00312EF7"/>
    <w:rsid w:val="0031329C"/>
    <w:rsid w:val="00313601"/>
    <w:rsid w:val="00314054"/>
    <w:rsid w:val="00314200"/>
    <w:rsid w:val="00314B55"/>
    <w:rsid w:val="00314F67"/>
    <w:rsid w:val="003150F5"/>
    <w:rsid w:val="0031511C"/>
    <w:rsid w:val="00315DEC"/>
    <w:rsid w:val="00316854"/>
    <w:rsid w:val="00316BA3"/>
    <w:rsid w:val="0031740A"/>
    <w:rsid w:val="00317FDB"/>
    <w:rsid w:val="00320D68"/>
    <w:rsid w:val="003236C9"/>
    <w:rsid w:val="00324D0C"/>
    <w:rsid w:val="00324D32"/>
    <w:rsid w:val="00325823"/>
    <w:rsid w:val="003259EF"/>
    <w:rsid w:val="00325A55"/>
    <w:rsid w:val="00325CCD"/>
    <w:rsid w:val="00325D5E"/>
    <w:rsid w:val="0033051C"/>
    <w:rsid w:val="003308C3"/>
    <w:rsid w:val="00331ADC"/>
    <w:rsid w:val="00335A9F"/>
    <w:rsid w:val="003400FA"/>
    <w:rsid w:val="00340181"/>
    <w:rsid w:val="00340E40"/>
    <w:rsid w:val="003415E1"/>
    <w:rsid w:val="00341682"/>
    <w:rsid w:val="003419BC"/>
    <w:rsid w:val="003430E1"/>
    <w:rsid w:val="00345556"/>
    <w:rsid w:val="00345E94"/>
    <w:rsid w:val="00346375"/>
    <w:rsid w:val="00346E5F"/>
    <w:rsid w:val="0034754D"/>
    <w:rsid w:val="0034780F"/>
    <w:rsid w:val="003500B1"/>
    <w:rsid w:val="00352EF0"/>
    <w:rsid w:val="00354AA0"/>
    <w:rsid w:val="003555C7"/>
    <w:rsid w:val="003568E8"/>
    <w:rsid w:val="00357691"/>
    <w:rsid w:val="00357B5C"/>
    <w:rsid w:val="00357D51"/>
    <w:rsid w:val="003601AF"/>
    <w:rsid w:val="00360607"/>
    <w:rsid w:val="00360A7C"/>
    <w:rsid w:val="00360E44"/>
    <w:rsid w:val="00361582"/>
    <w:rsid w:val="00362702"/>
    <w:rsid w:val="00362DD3"/>
    <w:rsid w:val="00362E92"/>
    <w:rsid w:val="00363410"/>
    <w:rsid w:val="00363464"/>
    <w:rsid w:val="00363A19"/>
    <w:rsid w:val="0036552B"/>
    <w:rsid w:val="003656C4"/>
    <w:rsid w:val="00366ADD"/>
    <w:rsid w:val="00366F93"/>
    <w:rsid w:val="00367221"/>
    <w:rsid w:val="003672F1"/>
    <w:rsid w:val="00370490"/>
    <w:rsid w:val="00370B9E"/>
    <w:rsid w:val="00370BC5"/>
    <w:rsid w:val="00370D5B"/>
    <w:rsid w:val="0037234A"/>
    <w:rsid w:val="00373D0B"/>
    <w:rsid w:val="00380368"/>
    <w:rsid w:val="003815F1"/>
    <w:rsid w:val="0038203F"/>
    <w:rsid w:val="00382A1A"/>
    <w:rsid w:val="0038377C"/>
    <w:rsid w:val="00383799"/>
    <w:rsid w:val="003844F4"/>
    <w:rsid w:val="0038468A"/>
    <w:rsid w:val="00384A00"/>
    <w:rsid w:val="00385280"/>
    <w:rsid w:val="00385C3B"/>
    <w:rsid w:val="00390403"/>
    <w:rsid w:val="003921CA"/>
    <w:rsid w:val="003944EE"/>
    <w:rsid w:val="0039518E"/>
    <w:rsid w:val="003969F2"/>
    <w:rsid w:val="00396FD7"/>
    <w:rsid w:val="003970D1"/>
    <w:rsid w:val="00397965"/>
    <w:rsid w:val="003A0E84"/>
    <w:rsid w:val="003A11A3"/>
    <w:rsid w:val="003A3E8B"/>
    <w:rsid w:val="003A46BB"/>
    <w:rsid w:val="003A501E"/>
    <w:rsid w:val="003A5DAF"/>
    <w:rsid w:val="003A5F71"/>
    <w:rsid w:val="003A61CA"/>
    <w:rsid w:val="003A63C1"/>
    <w:rsid w:val="003A6423"/>
    <w:rsid w:val="003A675E"/>
    <w:rsid w:val="003B086A"/>
    <w:rsid w:val="003B0961"/>
    <w:rsid w:val="003B0CA6"/>
    <w:rsid w:val="003B1F04"/>
    <w:rsid w:val="003B3E0E"/>
    <w:rsid w:val="003B4194"/>
    <w:rsid w:val="003B5674"/>
    <w:rsid w:val="003B5E76"/>
    <w:rsid w:val="003B6B09"/>
    <w:rsid w:val="003C0979"/>
    <w:rsid w:val="003C0C19"/>
    <w:rsid w:val="003C1635"/>
    <w:rsid w:val="003C1EB6"/>
    <w:rsid w:val="003C2360"/>
    <w:rsid w:val="003C3464"/>
    <w:rsid w:val="003C3D79"/>
    <w:rsid w:val="003C3D8B"/>
    <w:rsid w:val="003C3FFA"/>
    <w:rsid w:val="003C5475"/>
    <w:rsid w:val="003C5CBD"/>
    <w:rsid w:val="003C65DA"/>
    <w:rsid w:val="003C69EB"/>
    <w:rsid w:val="003C7228"/>
    <w:rsid w:val="003C779E"/>
    <w:rsid w:val="003D18D5"/>
    <w:rsid w:val="003D19C1"/>
    <w:rsid w:val="003D1C29"/>
    <w:rsid w:val="003D1E33"/>
    <w:rsid w:val="003D208A"/>
    <w:rsid w:val="003D22B6"/>
    <w:rsid w:val="003D2900"/>
    <w:rsid w:val="003D2B5F"/>
    <w:rsid w:val="003D48B7"/>
    <w:rsid w:val="003D4A43"/>
    <w:rsid w:val="003D6449"/>
    <w:rsid w:val="003D6901"/>
    <w:rsid w:val="003E0168"/>
    <w:rsid w:val="003E01FC"/>
    <w:rsid w:val="003E0ABC"/>
    <w:rsid w:val="003E1520"/>
    <w:rsid w:val="003E2266"/>
    <w:rsid w:val="003E3864"/>
    <w:rsid w:val="003E463E"/>
    <w:rsid w:val="003E5B66"/>
    <w:rsid w:val="003E5C22"/>
    <w:rsid w:val="003E694F"/>
    <w:rsid w:val="003E77FE"/>
    <w:rsid w:val="003E7979"/>
    <w:rsid w:val="003E7E63"/>
    <w:rsid w:val="003F0DC1"/>
    <w:rsid w:val="003F2540"/>
    <w:rsid w:val="003F415F"/>
    <w:rsid w:val="003F42E4"/>
    <w:rsid w:val="003F43B3"/>
    <w:rsid w:val="003F4985"/>
    <w:rsid w:val="003F5421"/>
    <w:rsid w:val="003F5925"/>
    <w:rsid w:val="003F5E8C"/>
    <w:rsid w:val="003F641F"/>
    <w:rsid w:val="003F6DF8"/>
    <w:rsid w:val="003F775A"/>
    <w:rsid w:val="003F7D6D"/>
    <w:rsid w:val="00401056"/>
    <w:rsid w:val="004037C8"/>
    <w:rsid w:val="00403E83"/>
    <w:rsid w:val="00405936"/>
    <w:rsid w:val="00405DCD"/>
    <w:rsid w:val="00406845"/>
    <w:rsid w:val="00407D81"/>
    <w:rsid w:val="00407D9A"/>
    <w:rsid w:val="00407F46"/>
    <w:rsid w:val="00411012"/>
    <w:rsid w:val="00411117"/>
    <w:rsid w:val="00411816"/>
    <w:rsid w:val="0041473B"/>
    <w:rsid w:val="0041674E"/>
    <w:rsid w:val="004168B2"/>
    <w:rsid w:val="00416A59"/>
    <w:rsid w:val="004174A7"/>
    <w:rsid w:val="00417656"/>
    <w:rsid w:val="00420804"/>
    <w:rsid w:val="00420995"/>
    <w:rsid w:val="0042182D"/>
    <w:rsid w:val="00421A5B"/>
    <w:rsid w:val="0042245C"/>
    <w:rsid w:val="00423DCC"/>
    <w:rsid w:val="004257EC"/>
    <w:rsid w:val="00425B61"/>
    <w:rsid w:val="004261ED"/>
    <w:rsid w:val="004276EC"/>
    <w:rsid w:val="004279A3"/>
    <w:rsid w:val="004309CE"/>
    <w:rsid w:val="00430A83"/>
    <w:rsid w:val="00431084"/>
    <w:rsid w:val="00431544"/>
    <w:rsid w:val="00433D46"/>
    <w:rsid w:val="0043400A"/>
    <w:rsid w:val="0043489C"/>
    <w:rsid w:val="004353DB"/>
    <w:rsid w:val="00435886"/>
    <w:rsid w:val="00435D5C"/>
    <w:rsid w:val="004369D1"/>
    <w:rsid w:val="00436BEA"/>
    <w:rsid w:val="0043702F"/>
    <w:rsid w:val="004371F9"/>
    <w:rsid w:val="00437868"/>
    <w:rsid w:val="00437D13"/>
    <w:rsid w:val="0044041B"/>
    <w:rsid w:val="004406E3"/>
    <w:rsid w:val="00441E0C"/>
    <w:rsid w:val="0044335E"/>
    <w:rsid w:val="00443439"/>
    <w:rsid w:val="00444399"/>
    <w:rsid w:val="0044592D"/>
    <w:rsid w:val="0044677E"/>
    <w:rsid w:val="00446AD2"/>
    <w:rsid w:val="00447F2C"/>
    <w:rsid w:val="00450088"/>
    <w:rsid w:val="00450F27"/>
    <w:rsid w:val="0045188F"/>
    <w:rsid w:val="00451EE0"/>
    <w:rsid w:val="0045254B"/>
    <w:rsid w:val="004533DB"/>
    <w:rsid w:val="0045405A"/>
    <w:rsid w:val="004551FC"/>
    <w:rsid w:val="00455B43"/>
    <w:rsid w:val="00455D47"/>
    <w:rsid w:val="00456AD5"/>
    <w:rsid w:val="0045784E"/>
    <w:rsid w:val="004579E4"/>
    <w:rsid w:val="004602E7"/>
    <w:rsid w:val="0046045A"/>
    <w:rsid w:val="00460826"/>
    <w:rsid w:val="0046190F"/>
    <w:rsid w:val="004620FF"/>
    <w:rsid w:val="00462212"/>
    <w:rsid w:val="0046375F"/>
    <w:rsid w:val="00464109"/>
    <w:rsid w:val="00464FB9"/>
    <w:rsid w:val="004655C1"/>
    <w:rsid w:val="00465777"/>
    <w:rsid w:val="00465789"/>
    <w:rsid w:val="004662C5"/>
    <w:rsid w:val="00466815"/>
    <w:rsid w:val="00466B62"/>
    <w:rsid w:val="00466CCA"/>
    <w:rsid w:val="0046780B"/>
    <w:rsid w:val="00470839"/>
    <w:rsid w:val="004726F0"/>
    <w:rsid w:val="00474DAC"/>
    <w:rsid w:val="004751F1"/>
    <w:rsid w:val="0047599E"/>
    <w:rsid w:val="00480667"/>
    <w:rsid w:val="00480779"/>
    <w:rsid w:val="00480BC8"/>
    <w:rsid w:val="00480C8D"/>
    <w:rsid w:val="00482358"/>
    <w:rsid w:val="00482D41"/>
    <w:rsid w:val="00482EB7"/>
    <w:rsid w:val="00484877"/>
    <w:rsid w:val="00484E89"/>
    <w:rsid w:val="0048524E"/>
    <w:rsid w:val="0048593A"/>
    <w:rsid w:val="00486243"/>
    <w:rsid w:val="00486735"/>
    <w:rsid w:val="004867C2"/>
    <w:rsid w:val="00486DEF"/>
    <w:rsid w:val="00487647"/>
    <w:rsid w:val="0049195D"/>
    <w:rsid w:val="00491AB9"/>
    <w:rsid w:val="004923F4"/>
    <w:rsid w:val="004930F6"/>
    <w:rsid w:val="00493351"/>
    <w:rsid w:val="00493445"/>
    <w:rsid w:val="004934BE"/>
    <w:rsid w:val="00493D63"/>
    <w:rsid w:val="0049498C"/>
    <w:rsid w:val="004949AE"/>
    <w:rsid w:val="00495599"/>
    <w:rsid w:val="00495A56"/>
    <w:rsid w:val="00495DE3"/>
    <w:rsid w:val="004966A9"/>
    <w:rsid w:val="004A02CE"/>
    <w:rsid w:val="004A2272"/>
    <w:rsid w:val="004A255C"/>
    <w:rsid w:val="004A3597"/>
    <w:rsid w:val="004A4935"/>
    <w:rsid w:val="004A50CB"/>
    <w:rsid w:val="004A5801"/>
    <w:rsid w:val="004A593A"/>
    <w:rsid w:val="004A6386"/>
    <w:rsid w:val="004A6D9F"/>
    <w:rsid w:val="004A7248"/>
    <w:rsid w:val="004B164F"/>
    <w:rsid w:val="004B315A"/>
    <w:rsid w:val="004B47D3"/>
    <w:rsid w:val="004B548E"/>
    <w:rsid w:val="004B590E"/>
    <w:rsid w:val="004B5B4B"/>
    <w:rsid w:val="004B6563"/>
    <w:rsid w:val="004B71C4"/>
    <w:rsid w:val="004B791B"/>
    <w:rsid w:val="004C1055"/>
    <w:rsid w:val="004C1657"/>
    <w:rsid w:val="004C1EDF"/>
    <w:rsid w:val="004C2288"/>
    <w:rsid w:val="004C2B9F"/>
    <w:rsid w:val="004C2FE1"/>
    <w:rsid w:val="004C3320"/>
    <w:rsid w:val="004C67B1"/>
    <w:rsid w:val="004C67C2"/>
    <w:rsid w:val="004C6B5B"/>
    <w:rsid w:val="004C767F"/>
    <w:rsid w:val="004C7CA1"/>
    <w:rsid w:val="004D00EE"/>
    <w:rsid w:val="004D0618"/>
    <w:rsid w:val="004D2C35"/>
    <w:rsid w:val="004D3075"/>
    <w:rsid w:val="004D3C32"/>
    <w:rsid w:val="004D50C0"/>
    <w:rsid w:val="004D6B97"/>
    <w:rsid w:val="004D6F72"/>
    <w:rsid w:val="004D7319"/>
    <w:rsid w:val="004D7576"/>
    <w:rsid w:val="004D7B54"/>
    <w:rsid w:val="004E0A78"/>
    <w:rsid w:val="004E196C"/>
    <w:rsid w:val="004E20D0"/>
    <w:rsid w:val="004E33B5"/>
    <w:rsid w:val="004E4122"/>
    <w:rsid w:val="004E502A"/>
    <w:rsid w:val="004E5987"/>
    <w:rsid w:val="004E5AB9"/>
    <w:rsid w:val="004E74D0"/>
    <w:rsid w:val="004E74D1"/>
    <w:rsid w:val="004E764E"/>
    <w:rsid w:val="004E7CBF"/>
    <w:rsid w:val="004F0E30"/>
    <w:rsid w:val="004F20C9"/>
    <w:rsid w:val="004F2890"/>
    <w:rsid w:val="004F32D3"/>
    <w:rsid w:val="004F33AF"/>
    <w:rsid w:val="004F3B74"/>
    <w:rsid w:val="004F5CDF"/>
    <w:rsid w:val="004F6256"/>
    <w:rsid w:val="004F65A4"/>
    <w:rsid w:val="004F665D"/>
    <w:rsid w:val="004F6DFB"/>
    <w:rsid w:val="004F7C7B"/>
    <w:rsid w:val="00500015"/>
    <w:rsid w:val="00500C52"/>
    <w:rsid w:val="0050135D"/>
    <w:rsid w:val="00501573"/>
    <w:rsid w:val="005025E1"/>
    <w:rsid w:val="00503369"/>
    <w:rsid w:val="00503EDD"/>
    <w:rsid w:val="005046D8"/>
    <w:rsid w:val="00506E09"/>
    <w:rsid w:val="00506F79"/>
    <w:rsid w:val="005075E7"/>
    <w:rsid w:val="005116B5"/>
    <w:rsid w:val="005120B4"/>
    <w:rsid w:val="005123E4"/>
    <w:rsid w:val="0051414C"/>
    <w:rsid w:val="00517D2C"/>
    <w:rsid w:val="00520B57"/>
    <w:rsid w:val="005214EA"/>
    <w:rsid w:val="00521B7C"/>
    <w:rsid w:val="00522280"/>
    <w:rsid w:val="00522AEF"/>
    <w:rsid w:val="00522CC4"/>
    <w:rsid w:val="005231D7"/>
    <w:rsid w:val="00523CDC"/>
    <w:rsid w:val="00523D34"/>
    <w:rsid w:val="0052455D"/>
    <w:rsid w:val="005245F4"/>
    <w:rsid w:val="00525181"/>
    <w:rsid w:val="005257EC"/>
    <w:rsid w:val="00525944"/>
    <w:rsid w:val="00525DD2"/>
    <w:rsid w:val="005263AF"/>
    <w:rsid w:val="0052645E"/>
    <w:rsid w:val="00526576"/>
    <w:rsid w:val="00526B30"/>
    <w:rsid w:val="00526D08"/>
    <w:rsid w:val="00527BBD"/>
    <w:rsid w:val="0053068D"/>
    <w:rsid w:val="0053444A"/>
    <w:rsid w:val="005351D9"/>
    <w:rsid w:val="00535221"/>
    <w:rsid w:val="00540352"/>
    <w:rsid w:val="005403E8"/>
    <w:rsid w:val="0054081D"/>
    <w:rsid w:val="005419DC"/>
    <w:rsid w:val="00542EC6"/>
    <w:rsid w:val="00543977"/>
    <w:rsid w:val="00544371"/>
    <w:rsid w:val="005445D1"/>
    <w:rsid w:val="00544B7C"/>
    <w:rsid w:val="005451BB"/>
    <w:rsid w:val="00545722"/>
    <w:rsid w:val="00546149"/>
    <w:rsid w:val="0054644F"/>
    <w:rsid w:val="005478E7"/>
    <w:rsid w:val="00550372"/>
    <w:rsid w:val="005505E3"/>
    <w:rsid w:val="005516BA"/>
    <w:rsid w:val="00551D48"/>
    <w:rsid w:val="00553599"/>
    <w:rsid w:val="00554075"/>
    <w:rsid w:val="005547CA"/>
    <w:rsid w:val="00555DAF"/>
    <w:rsid w:val="00555F68"/>
    <w:rsid w:val="0055611E"/>
    <w:rsid w:val="005613D5"/>
    <w:rsid w:val="00561B3F"/>
    <w:rsid w:val="00562368"/>
    <w:rsid w:val="00562AF6"/>
    <w:rsid w:val="00563C1A"/>
    <w:rsid w:val="00565F62"/>
    <w:rsid w:val="005662C2"/>
    <w:rsid w:val="005716F1"/>
    <w:rsid w:val="0057175B"/>
    <w:rsid w:val="00571E48"/>
    <w:rsid w:val="0057219F"/>
    <w:rsid w:val="0057258F"/>
    <w:rsid w:val="005725B9"/>
    <w:rsid w:val="00572F1C"/>
    <w:rsid w:val="00572F69"/>
    <w:rsid w:val="005738BB"/>
    <w:rsid w:val="00573C29"/>
    <w:rsid w:val="00573CD4"/>
    <w:rsid w:val="0057510A"/>
    <w:rsid w:val="00575648"/>
    <w:rsid w:val="00576104"/>
    <w:rsid w:val="00576446"/>
    <w:rsid w:val="005767DD"/>
    <w:rsid w:val="00576A64"/>
    <w:rsid w:val="0057717C"/>
    <w:rsid w:val="00580A6C"/>
    <w:rsid w:val="0058148D"/>
    <w:rsid w:val="00581E7D"/>
    <w:rsid w:val="00583050"/>
    <w:rsid w:val="00583F23"/>
    <w:rsid w:val="00584913"/>
    <w:rsid w:val="005856B2"/>
    <w:rsid w:val="00585F60"/>
    <w:rsid w:val="00587273"/>
    <w:rsid w:val="00590187"/>
    <w:rsid w:val="005903AC"/>
    <w:rsid w:val="00590EA7"/>
    <w:rsid w:val="00591803"/>
    <w:rsid w:val="00591E38"/>
    <w:rsid w:val="00592B88"/>
    <w:rsid w:val="00592CFB"/>
    <w:rsid w:val="005930B8"/>
    <w:rsid w:val="0059580A"/>
    <w:rsid w:val="00595B72"/>
    <w:rsid w:val="00596161"/>
    <w:rsid w:val="005965AE"/>
    <w:rsid w:val="005966B2"/>
    <w:rsid w:val="005968FF"/>
    <w:rsid w:val="00597378"/>
    <w:rsid w:val="005975FE"/>
    <w:rsid w:val="00597A21"/>
    <w:rsid w:val="005A04AA"/>
    <w:rsid w:val="005A138D"/>
    <w:rsid w:val="005A14E3"/>
    <w:rsid w:val="005A151B"/>
    <w:rsid w:val="005A1786"/>
    <w:rsid w:val="005A1AF8"/>
    <w:rsid w:val="005A33A4"/>
    <w:rsid w:val="005A6547"/>
    <w:rsid w:val="005A7236"/>
    <w:rsid w:val="005A7F69"/>
    <w:rsid w:val="005B2627"/>
    <w:rsid w:val="005B3155"/>
    <w:rsid w:val="005B3356"/>
    <w:rsid w:val="005B4944"/>
    <w:rsid w:val="005B4B69"/>
    <w:rsid w:val="005B6436"/>
    <w:rsid w:val="005B71AA"/>
    <w:rsid w:val="005B7A01"/>
    <w:rsid w:val="005C0132"/>
    <w:rsid w:val="005C01EC"/>
    <w:rsid w:val="005C08D2"/>
    <w:rsid w:val="005C0973"/>
    <w:rsid w:val="005C0CF9"/>
    <w:rsid w:val="005C1226"/>
    <w:rsid w:val="005C26A5"/>
    <w:rsid w:val="005C2794"/>
    <w:rsid w:val="005C2E96"/>
    <w:rsid w:val="005C3E42"/>
    <w:rsid w:val="005C40D5"/>
    <w:rsid w:val="005C53C6"/>
    <w:rsid w:val="005C66C1"/>
    <w:rsid w:val="005C6E43"/>
    <w:rsid w:val="005C770B"/>
    <w:rsid w:val="005C7AB2"/>
    <w:rsid w:val="005D020B"/>
    <w:rsid w:val="005D02A2"/>
    <w:rsid w:val="005D0E0D"/>
    <w:rsid w:val="005D19A1"/>
    <w:rsid w:val="005D1DEB"/>
    <w:rsid w:val="005D37FA"/>
    <w:rsid w:val="005D54BB"/>
    <w:rsid w:val="005D5D21"/>
    <w:rsid w:val="005D7B17"/>
    <w:rsid w:val="005D7FA8"/>
    <w:rsid w:val="005E0261"/>
    <w:rsid w:val="005E25BD"/>
    <w:rsid w:val="005E2951"/>
    <w:rsid w:val="005E2B24"/>
    <w:rsid w:val="005E2D84"/>
    <w:rsid w:val="005E4E3C"/>
    <w:rsid w:val="005E4E42"/>
    <w:rsid w:val="005E5614"/>
    <w:rsid w:val="005E58F2"/>
    <w:rsid w:val="005E5C51"/>
    <w:rsid w:val="005E5E3D"/>
    <w:rsid w:val="005E627B"/>
    <w:rsid w:val="005E65AB"/>
    <w:rsid w:val="005E77B7"/>
    <w:rsid w:val="005F1DEE"/>
    <w:rsid w:val="005F28ED"/>
    <w:rsid w:val="005F327D"/>
    <w:rsid w:val="005F330F"/>
    <w:rsid w:val="005F3F61"/>
    <w:rsid w:val="005F44C5"/>
    <w:rsid w:val="005F550C"/>
    <w:rsid w:val="005F55D8"/>
    <w:rsid w:val="005F6B0A"/>
    <w:rsid w:val="005F7ADD"/>
    <w:rsid w:val="005F7DE8"/>
    <w:rsid w:val="005F7FEA"/>
    <w:rsid w:val="00600144"/>
    <w:rsid w:val="0060036B"/>
    <w:rsid w:val="006039B8"/>
    <w:rsid w:val="00603CE3"/>
    <w:rsid w:val="00603D2B"/>
    <w:rsid w:val="006044B0"/>
    <w:rsid w:val="006044B6"/>
    <w:rsid w:val="00605C4E"/>
    <w:rsid w:val="0060681B"/>
    <w:rsid w:val="00606BCF"/>
    <w:rsid w:val="00606E13"/>
    <w:rsid w:val="006075CC"/>
    <w:rsid w:val="006075E8"/>
    <w:rsid w:val="00610372"/>
    <w:rsid w:val="00610F0D"/>
    <w:rsid w:val="0061244C"/>
    <w:rsid w:val="00612B89"/>
    <w:rsid w:val="0061417A"/>
    <w:rsid w:val="0061417D"/>
    <w:rsid w:val="0061469F"/>
    <w:rsid w:val="00615374"/>
    <w:rsid w:val="00615420"/>
    <w:rsid w:val="00616DA3"/>
    <w:rsid w:val="00616DE6"/>
    <w:rsid w:val="00617F1C"/>
    <w:rsid w:val="00617F35"/>
    <w:rsid w:val="00621419"/>
    <w:rsid w:val="00621980"/>
    <w:rsid w:val="0062229C"/>
    <w:rsid w:val="00622310"/>
    <w:rsid w:val="006230DE"/>
    <w:rsid w:val="00623683"/>
    <w:rsid w:val="00623704"/>
    <w:rsid w:val="00623E13"/>
    <w:rsid w:val="0062539E"/>
    <w:rsid w:val="00625826"/>
    <w:rsid w:val="00625B3B"/>
    <w:rsid w:val="00625DB4"/>
    <w:rsid w:val="00626447"/>
    <w:rsid w:val="006269B9"/>
    <w:rsid w:val="00627FF6"/>
    <w:rsid w:val="0063009F"/>
    <w:rsid w:val="006312F5"/>
    <w:rsid w:val="00634529"/>
    <w:rsid w:val="0063534D"/>
    <w:rsid w:val="0063644E"/>
    <w:rsid w:val="006369C6"/>
    <w:rsid w:val="00636D6D"/>
    <w:rsid w:val="006371A1"/>
    <w:rsid w:val="00637794"/>
    <w:rsid w:val="006404FF"/>
    <w:rsid w:val="0064052C"/>
    <w:rsid w:val="0064097D"/>
    <w:rsid w:val="0064120F"/>
    <w:rsid w:val="00642937"/>
    <w:rsid w:val="00642C46"/>
    <w:rsid w:val="00646150"/>
    <w:rsid w:val="0064782F"/>
    <w:rsid w:val="00647F3E"/>
    <w:rsid w:val="00650580"/>
    <w:rsid w:val="0065139E"/>
    <w:rsid w:val="00652041"/>
    <w:rsid w:val="00652CFE"/>
    <w:rsid w:val="0065334B"/>
    <w:rsid w:val="00653610"/>
    <w:rsid w:val="006538E3"/>
    <w:rsid w:val="00653A1E"/>
    <w:rsid w:val="00655AEF"/>
    <w:rsid w:val="00656212"/>
    <w:rsid w:val="006565E4"/>
    <w:rsid w:val="006567E3"/>
    <w:rsid w:val="00657044"/>
    <w:rsid w:val="0066062F"/>
    <w:rsid w:val="00660B4C"/>
    <w:rsid w:val="00661243"/>
    <w:rsid w:val="0066273C"/>
    <w:rsid w:val="0066276C"/>
    <w:rsid w:val="006637DD"/>
    <w:rsid w:val="006651AA"/>
    <w:rsid w:val="00665203"/>
    <w:rsid w:val="006659B3"/>
    <w:rsid w:val="00665C12"/>
    <w:rsid w:val="00665C1B"/>
    <w:rsid w:val="006675BA"/>
    <w:rsid w:val="00667B61"/>
    <w:rsid w:val="00667BE3"/>
    <w:rsid w:val="006704E7"/>
    <w:rsid w:val="00671099"/>
    <w:rsid w:val="00671660"/>
    <w:rsid w:val="00671AC3"/>
    <w:rsid w:val="00672987"/>
    <w:rsid w:val="0067317C"/>
    <w:rsid w:val="0067358F"/>
    <w:rsid w:val="0067395C"/>
    <w:rsid w:val="006739B6"/>
    <w:rsid w:val="00673F89"/>
    <w:rsid w:val="006741B4"/>
    <w:rsid w:val="006743FC"/>
    <w:rsid w:val="00674EA0"/>
    <w:rsid w:val="00675DE7"/>
    <w:rsid w:val="00676A56"/>
    <w:rsid w:val="006775DD"/>
    <w:rsid w:val="0067797F"/>
    <w:rsid w:val="00677BF3"/>
    <w:rsid w:val="00680087"/>
    <w:rsid w:val="00680555"/>
    <w:rsid w:val="00681EEE"/>
    <w:rsid w:val="00682073"/>
    <w:rsid w:val="00682235"/>
    <w:rsid w:val="0068230E"/>
    <w:rsid w:val="00682CFE"/>
    <w:rsid w:val="00684120"/>
    <w:rsid w:val="006847EF"/>
    <w:rsid w:val="0068496D"/>
    <w:rsid w:val="006849DF"/>
    <w:rsid w:val="00684A59"/>
    <w:rsid w:val="00684F52"/>
    <w:rsid w:val="00685343"/>
    <w:rsid w:val="00685A99"/>
    <w:rsid w:val="00686231"/>
    <w:rsid w:val="006873C4"/>
    <w:rsid w:val="00687491"/>
    <w:rsid w:val="00687845"/>
    <w:rsid w:val="00687BD0"/>
    <w:rsid w:val="0069200A"/>
    <w:rsid w:val="0069315A"/>
    <w:rsid w:val="00693E0D"/>
    <w:rsid w:val="0069442F"/>
    <w:rsid w:val="00694846"/>
    <w:rsid w:val="0069799C"/>
    <w:rsid w:val="00697D28"/>
    <w:rsid w:val="00697E5B"/>
    <w:rsid w:val="006A0766"/>
    <w:rsid w:val="006A0774"/>
    <w:rsid w:val="006A08AB"/>
    <w:rsid w:val="006A16D6"/>
    <w:rsid w:val="006A17C2"/>
    <w:rsid w:val="006A1CED"/>
    <w:rsid w:val="006A239B"/>
    <w:rsid w:val="006A2BFF"/>
    <w:rsid w:val="006A36D9"/>
    <w:rsid w:val="006A3A0D"/>
    <w:rsid w:val="006A43BC"/>
    <w:rsid w:val="006A465C"/>
    <w:rsid w:val="006A4E3D"/>
    <w:rsid w:val="006A4FFC"/>
    <w:rsid w:val="006A5A72"/>
    <w:rsid w:val="006A5BFD"/>
    <w:rsid w:val="006A70BA"/>
    <w:rsid w:val="006A767E"/>
    <w:rsid w:val="006B0588"/>
    <w:rsid w:val="006B0B1F"/>
    <w:rsid w:val="006B0BA6"/>
    <w:rsid w:val="006B1180"/>
    <w:rsid w:val="006B3122"/>
    <w:rsid w:val="006B35AB"/>
    <w:rsid w:val="006B3D7B"/>
    <w:rsid w:val="006B4617"/>
    <w:rsid w:val="006B4E3F"/>
    <w:rsid w:val="006B5465"/>
    <w:rsid w:val="006B54DE"/>
    <w:rsid w:val="006B5C3A"/>
    <w:rsid w:val="006B5F79"/>
    <w:rsid w:val="006B68BE"/>
    <w:rsid w:val="006B6D4A"/>
    <w:rsid w:val="006B726E"/>
    <w:rsid w:val="006C005E"/>
    <w:rsid w:val="006C072D"/>
    <w:rsid w:val="006C0B27"/>
    <w:rsid w:val="006C2620"/>
    <w:rsid w:val="006C2F4B"/>
    <w:rsid w:val="006C3304"/>
    <w:rsid w:val="006C5A49"/>
    <w:rsid w:val="006C6D1C"/>
    <w:rsid w:val="006C74B6"/>
    <w:rsid w:val="006C7956"/>
    <w:rsid w:val="006C7EE0"/>
    <w:rsid w:val="006D0309"/>
    <w:rsid w:val="006D03BB"/>
    <w:rsid w:val="006D1F84"/>
    <w:rsid w:val="006D21FF"/>
    <w:rsid w:val="006D2E54"/>
    <w:rsid w:val="006D3257"/>
    <w:rsid w:val="006D4AD7"/>
    <w:rsid w:val="006D4B8F"/>
    <w:rsid w:val="006D64BF"/>
    <w:rsid w:val="006D6C43"/>
    <w:rsid w:val="006D716E"/>
    <w:rsid w:val="006D7B38"/>
    <w:rsid w:val="006E0297"/>
    <w:rsid w:val="006E1D3F"/>
    <w:rsid w:val="006E413F"/>
    <w:rsid w:val="006E4164"/>
    <w:rsid w:val="006E4E93"/>
    <w:rsid w:val="006E5384"/>
    <w:rsid w:val="006E689B"/>
    <w:rsid w:val="006E690A"/>
    <w:rsid w:val="006E6D47"/>
    <w:rsid w:val="006E71CE"/>
    <w:rsid w:val="006E7275"/>
    <w:rsid w:val="006E77AC"/>
    <w:rsid w:val="006E7D6F"/>
    <w:rsid w:val="006F0944"/>
    <w:rsid w:val="006F186A"/>
    <w:rsid w:val="006F1A6F"/>
    <w:rsid w:val="006F265F"/>
    <w:rsid w:val="006F2C74"/>
    <w:rsid w:val="006F2D6F"/>
    <w:rsid w:val="006F36F8"/>
    <w:rsid w:val="006F3785"/>
    <w:rsid w:val="006F3880"/>
    <w:rsid w:val="006F4AFC"/>
    <w:rsid w:val="006F5684"/>
    <w:rsid w:val="006F595B"/>
    <w:rsid w:val="006F5AD6"/>
    <w:rsid w:val="006F730C"/>
    <w:rsid w:val="006F73F3"/>
    <w:rsid w:val="0070108D"/>
    <w:rsid w:val="00701A47"/>
    <w:rsid w:val="00702D74"/>
    <w:rsid w:val="00702EB1"/>
    <w:rsid w:val="007043FD"/>
    <w:rsid w:val="00705B50"/>
    <w:rsid w:val="007060E7"/>
    <w:rsid w:val="00707736"/>
    <w:rsid w:val="00707AEC"/>
    <w:rsid w:val="00710D0B"/>
    <w:rsid w:val="007110D6"/>
    <w:rsid w:val="00711496"/>
    <w:rsid w:val="00711B96"/>
    <w:rsid w:val="007126C1"/>
    <w:rsid w:val="00713518"/>
    <w:rsid w:val="007139D4"/>
    <w:rsid w:val="00713BB4"/>
    <w:rsid w:val="00714C86"/>
    <w:rsid w:val="00715149"/>
    <w:rsid w:val="007162C7"/>
    <w:rsid w:val="00716536"/>
    <w:rsid w:val="00720C3B"/>
    <w:rsid w:val="00720EE0"/>
    <w:rsid w:val="007222A0"/>
    <w:rsid w:val="0072281D"/>
    <w:rsid w:val="007238B9"/>
    <w:rsid w:val="00723D01"/>
    <w:rsid w:val="00725105"/>
    <w:rsid w:val="00725C69"/>
    <w:rsid w:val="0073028D"/>
    <w:rsid w:val="00730E7E"/>
    <w:rsid w:val="007312FD"/>
    <w:rsid w:val="00731BA1"/>
    <w:rsid w:val="00731C07"/>
    <w:rsid w:val="007325BC"/>
    <w:rsid w:val="00734F96"/>
    <w:rsid w:val="007352E3"/>
    <w:rsid w:val="00735DDF"/>
    <w:rsid w:val="007369F6"/>
    <w:rsid w:val="0074044E"/>
    <w:rsid w:val="007404E3"/>
    <w:rsid w:val="00740794"/>
    <w:rsid w:val="00741155"/>
    <w:rsid w:val="00743455"/>
    <w:rsid w:val="007440B7"/>
    <w:rsid w:val="007476D1"/>
    <w:rsid w:val="00747F7D"/>
    <w:rsid w:val="00750DA7"/>
    <w:rsid w:val="00751931"/>
    <w:rsid w:val="00752EAE"/>
    <w:rsid w:val="007546A8"/>
    <w:rsid w:val="0075488B"/>
    <w:rsid w:val="00755D62"/>
    <w:rsid w:val="007602D3"/>
    <w:rsid w:val="00760A51"/>
    <w:rsid w:val="00761378"/>
    <w:rsid w:val="00761451"/>
    <w:rsid w:val="007614D4"/>
    <w:rsid w:val="00761C9D"/>
    <w:rsid w:val="00761CAF"/>
    <w:rsid w:val="00762ECA"/>
    <w:rsid w:val="00763E4C"/>
    <w:rsid w:val="00765DAD"/>
    <w:rsid w:val="0077004E"/>
    <w:rsid w:val="007700B1"/>
    <w:rsid w:val="007701C0"/>
    <w:rsid w:val="00772DD6"/>
    <w:rsid w:val="00772E5C"/>
    <w:rsid w:val="007742A6"/>
    <w:rsid w:val="007742BE"/>
    <w:rsid w:val="00780A45"/>
    <w:rsid w:val="00780B38"/>
    <w:rsid w:val="0078124C"/>
    <w:rsid w:val="007812C6"/>
    <w:rsid w:val="00781F52"/>
    <w:rsid w:val="007825D9"/>
    <w:rsid w:val="00784313"/>
    <w:rsid w:val="0078442F"/>
    <w:rsid w:val="00785670"/>
    <w:rsid w:val="00785696"/>
    <w:rsid w:val="007863BC"/>
    <w:rsid w:val="00787680"/>
    <w:rsid w:val="00787762"/>
    <w:rsid w:val="007877E7"/>
    <w:rsid w:val="00787CE7"/>
    <w:rsid w:val="007902B4"/>
    <w:rsid w:val="00790BED"/>
    <w:rsid w:val="007910C9"/>
    <w:rsid w:val="00791121"/>
    <w:rsid w:val="00791175"/>
    <w:rsid w:val="00791810"/>
    <w:rsid w:val="00791F8E"/>
    <w:rsid w:val="00792223"/>
    <w:rsid w:val="00792339"/>
    <w:rsid w:val="00792660"/>
    <w:rsid w:val="0079393A"/>
    <w:rsid w:val="0079460C"/>
    <w:rsid w:val="00796C47"/>
    <w:rsid w:val="00796D55"/>
    <w:rsid w:val="007A00CF"/>
    <w:rsid w:val="007A02F5"/>
    <w:rsid w:val="007A03C6"/>
    <w:rsid w:val="007A0F70"/>
    <w:rsid w:val="007A1056"/>
    <w:rsid w:val="007A1493"/>
    <w:rsid w:val="007A1C07"/>
    <w:rsid w:val="007A27CF"/>
    <w:rsid w:val="007A28DE"/>
    <w:rsid w:val="007A2D95"/>
    <w:rsid w:val="007A3178"/>
    <w:rsid w:val="007A36A4"/>
    <w:rsid w:val="007A3F56"/>
    <w:rsid w:val="007A46F9"/>
    <w:rsid w:val="007A4FD7"/>
    <w:rsid w:val="007A52FA"/>
    <w:rsid w:val="007A53F6"/>
    <w:rsid w:val="007A5920"/>
    <w:rsid w:val="007A7AA0"/>
    <w:rsid w:val="007B0E70"/>
    <w:rsid w:val="007B1192"/>
    <w:rsid w:val="007B1305"/>
    <w:rsid w:val="007B192D"/>
    <w:rsid w:val="007B4688"/>
    <w:rsid w:val="007B4D24"/>
    <w:rsid w:val="007B52D2"/>
    <w:rsid w:val="007B632E"/>
    <w:rsid w:val="007B654E"/>
    <w:rsid w:val="007C0BD5"/>
    <w:rsid w:val="007C1629"/>
    <w:rsid w:val="007C28C9"/>
    <w:rsid w:val="007C2CF6"/>
    <w:rsid w:val="007C3536"/>
    <w:rsid w:val="007C3F27"/>
    <w:rsid w:val="007C6176"/>
    <w:rsid w:val="007C6B92"/>
    <w:rsid w:val="007C71CB"/>
    <w:rsid w:val="007C749C"/>
    <w:rsid w:val="007C7B13"/>
    <w:rsid w:val="007C7D4A"/>
    <w:rsid w:val="007D0892"/>
    <w:rsid w:val="007D0B21"/>
    <w:rsid w:val="007D0BD4"/>
    <w:rsid w:val="007D2553"/>
    <w:rsid w:val="007D2AD5"/>
    <w:rsid w:val="007D5D7D"/>
    <w:rsid w:val="007D64BA"/>
    <w:rsid w:val="007D6AE7"/>
    <w:rsid w:val="007D6CFB"/>
    <w:rsid w:val="007D6EDE"/>
    <w:rsid w:val="007D77B5"/>
    <w:rsid w:val="007E2012"/>
    <w:rsid w:val="007E3FE1"/>
    <w:rsid w:val="007E4893"/>
    <w:rsid w:val="007E5440"/>
    <w:rsid w:val="007E574B"/>
    <w:rsid w:val="007E5750"/>
    <w:rsid w:val="007E6923"/>
    <w:rsid w:val="007E7BB0"/>
    <w:rsid w:val="007F02BF"/>
    <w:rsid w:val="007F050E"/>
    <w:rsid w:val="007F072B"/>
    <w:rsid w:val="007F08F8"/>
    <w:rsid w:val="007F09E0"/>
    <w:rsid w:val="007F0E73"/>
    <w:rsid w:val="007F1613"/>
    <w:rsid w:val="007F1BF3"/>
    <w:rsid w:val="007F21F3"/>
    <w:rsid w:val="007F358F"/>
    <w:rsid w:val="007F3660"/>
    <w:rsid w:val="007F3B42"/>
    <w:rsid w:val="007F47DE"/>
    <w:rsid w:val="007F5740"/>
    <w:rsid w:val="007F7F2A"/>
    <w:rsid w:val="00800BA7"/>
    <w:rsid w:val="0080160C"/>
    <w:rsid w:val="0080167B"/>
    <w:rsid w:val="0080264C"/>
    <w:rsid w:val="00803692"/>
    <w:rsid w:val="008037E9"/>
    <w:rsid w:val="00804CA9"/>
    <w:rsid w:val="00805636"/>
    <w:rsid w:val="00805EF8"/>
    <w:rsid w:val="008064CB"/>
    <w:rsid w:val="00807B3C"/>
    <w:rsid w:val="00807C7A"/>
    <w:rsid w:val="008100B0"/>
    <w:rsid w:val="00811441"/>
    <w:rsid w:val="00811740"/>
    <w:rsid w:val="008127F7"/>
    <w:rsid w:val="00812B67"/>
    <w:rsid w:val="0081318E"/>
    <w:rsid w:val="0081426F"/>
    <w:rsid w:val="00815382"/>
    <w:rsid w:val="0081554A"/>
    <w:rsid w:val="008159B1"/>
    <w:rsid w:val="00816139"/>
    <w:rsid w:val="00816993"/>
    <w:rsid w:val="008171AA"/>
    <w:rsid w:val="00817313"/>
    <w:rsid w:val="0081734B"/>
    <w:rsid w:val="008178F3"/>
    <w:rsid w:val="00820156"/>
    <w:rsid w:val="008205DD"/>
    <w:rsid w:val="008206A7"/>
    <w:rsid w:val="00820AEC"/>
    <w:rsid w:val="00822159"/>
    <w:rsid w:val="0082471D"/>
    <w:rsid w:val="00824F21"/>
    <w:rsid w:val="00825948"/>
    <w:rsid w:val="00826205"/>
    <w:rsid w:val="0082620B"/>
    <w:rsid w:val="0082687E"/>
    <w:rsid w:val="00830296"/>
    <w:rsid w:val="00830468"/>
    <w:rsid w:val="00830BF1"/>
    <w:rsid w:val="0083155C"/>
    <w:rsid w:val="00831EA2"/>
    <w:rsid w:val="008321D0"/>
    <w:rsid w:val="00833171"/>
    <w:rsid w:val="0083470C"/>
    <w:rsid w:val="0083482B"/>
    <w:rsid w:val="008350E4"/>
    <w:rsid w:val="00835230"/>
    <w:rsid w:val="0083527A"/>
    <w:rsid w:val="008358A4"/>
    <w:rsid w:val="00836142"/>
    <w:rsid w:val="008361F7"/>
    <w:rsid w:val="008403DE"/>
    <w:rsid w:val="008403EE"/>
    <w:rsid w:val="008405D8"/>
    <w:rsid w:val="00840EA7"/>
    <w:rsid w:val="00841251"/>
    <w:rsid w:val="00841793"/>
    <w:rsid w:val="0084230D"/>
    <w:rsid w:val="00844C44"/>
    <w:rsid w:val="00845127"/>
    <w:rsid w:val="008462E9"/>
    <w:rsid w:val="00846BD0"/>
    <w:rsid w:val="008470B9"/>
    <w:rsid w:val="00847265"/>
    <w:rsid w:val="008522BA"/>
    <w:rsid w:val="00852D7A"/>
    <w:rsid w:val="00853416"/>
    <w:rsid w:val="00853FB4"/>
    <w:rsid w:val="008540D9"/>
    <w:rsid w:val="00854B26"/>
    <w:rsid w:val="00854C58"/>
    <w:rsid w:val="00854FD1"/>
    <w:rsid w:val="00856BB2"/>
    <w:rsid w:val="00861882"/>
    <w:rsid w:val="00861E10"/>
    <w:rsid w:val="0086263E"/>
    <w:rsid w:val="0086347F"/>
    <w:rsid w:val="008647A3"/>
    <w:rsid w:val="008659B3"/>
    <w:rsid w:val="00865AD4"/>
    <w:rsid w:val="00865DC3"/>
    <w:rsid w:val="008667BB"/>
    <w:rsid w:val="00866951"/>
    <w:rsid w:val="00867419"/>
    <w:rsid w:val="00870038"/>
    <w:rsid w:val="00870D1B"/>
    <w:rsid w:val="008712F7"/>
    <w:rsid w:val="008718FC"/>
    <w:rsid w:val="00872A9C"/>
    <w:rsid w:val="0087337A"/>
    <w:rsid w:val="00873906"/>
    <w:rsid w:val="0087558A"/>
    <w:rsid w:val="0087589A"/>
    <w:rsid w:val="008760D6"/>
    <w:rsid w:val="00876B09"/>
    <w:rsid w:val="008777A7"/>
    <w:rsid w:val="008779FA"/>
    <w:rsid w:val="00877B02"/>
    <w:rsid w:val="00877C22"/>
    <w:rsid w:val="008815FF"/>
    <w:rsid w:val="00881631"/>
    <w:rsid w:val="00881CA9"/>
    <w:rsid w:val="00881D7A"/>
    <w:rsid w:val="00883BE0"/>
    <w:rsid w:val="008844FA"/>
    <w:rsid w:val="008845D8"/>
    <w:rsid w:val="0088465C"/>
    <w:rsid w:val="0088498C"/>
    <w:rsid w:val="00885058"/>
    <w:rsid w:val="00886330"/>
    <w:rsid w:val="00886425"/>
    <w:rsid w:val="008868BD"/>
    <w:rsid w:val="00887168"/>
    <w:rsid w:val="00887626"/>
    <w:rsid w:val="00887654"/>
    <w:rsid w:val="00887999"/>
    <w:rsid w:val="00890590"/>
    <w:rsid w:val="00890CDC"/>
    <w:rsid w:val="00891FC8"/>
    <w:rsid w:val="00892DB2"/>
    <w:rsid w:val="00893C66"/>
    <w:rsid w:val="008949F3"/>
    <w:rsid w:val="0089611E"/>
    <w:rsid w:val="00896BEB"/>
    <w:rsid w:val="00896EC9"/>
    <w:rsid w:val="00897DD8"/>
    <w:rsid w:val="008A14A2"/>
    <w:rsid w:val="008A14E8"/>
    <w:rsid w:val="008A1FEE"/>
    <w:rsid w:val="008A2473"/>
    <w:rsid w:val="008A3938"/>
    <w:rsid w:val="008A63D8"/>
    <w:rsid w:val="008A6553"/>
    <w:rsid w:val="008A68BF"/>
    <w:rsid w:val="008A705A"/>
    <w:rsid w:val="008A71A5"/>
    <w:rsid w:val="008A7368"/>
    <w:rsid w:val="008B07B5"/>
    <w:rsid w:val="008B1DE7"/>
    <w:rsid w:val="008B1FC7"/>
    <w:rsid w:val="008B2BAC"/>
    <w:rsid w:val="008B35C9"/>
    <w:rsid w:val="008B4482"/>
    <w:rsid w:val="008B5ADA"/>
    <w:rsid w:val="008B663D"/>
    <w:rsid w:val="008B694E"/>
    <w:rsid w:val="008B7DFF"/>
    <w:rsid w:val="008C0044"/>
    <w:rsid w:val="008C16FA"/>
    <w:rsid w:val="008C1F7B"/>
    <w:rsid w:val="008C3538"/>
    <w:rsid w:val="008C39E1"/>
    <w:rsid w:val="008C42DA"/>
    <w:rsid w:val="008C4992"/>
    <w:rsid w:val="008C5795"/>
    <w:rsid w:val="008C5855"/>
    <w:rsid w:val="008C6497"/>
    <w:rsid w:val="008C66CF"/>
    <w:rsid w:val="008C792F"/>
    <w:rsid w:val="008D0292"/>
    <w:rsid w:val="008D0706"/>
    <w:rsid w:val="008D09A9"/>
    <w:rsid w:val="008D19C5"/>
    <w:rsid w:val="008D1E40"/>
    <w:rsid w:val="008D27A0"/>
    <w:rsid w:val="008D29E0"/>
    <w:rsid w:val="008D2BD1"/>
    <w:rsid w:val="008D4705"/>
    <w:rsid w:val="008D61C2"/>
    <w:rsid w:val="008D680C"/>
    <w:rsid w:val="008E0151"/>
    <w:rsid w:val="008E07AF"/>
    <w:rsid w:val="008E1327"/>
    <w:rsid w:val="008E17F3"/>
    <w:rsid w:val="008E2AEF"/>
    <w:rsid w:val="008E2DDC"/>
    <w:rsid w:val="008E3610"/>
    <w:rsid w:val="008E3FE3"/>
    <w:rsid w:val="008E4C62"/>
    <w:rsid w:val="008E5001"/>
    <w:rsid w:val="008E6384"/>
    <w:rsid w:val="008E725C"/>
    <w:rsid w:val="008E7C93"/>
    <w:rsid w:val="008E7CD2"/>
    <w:rsid w:val="008F0F9E"/>
    <w:rsid w:val="008F103C"/>
    <w:rsid w:val="008F2984"/>
    <w:rsid w:val="008F2D6A"/>
    <w:rsid w:val="008F35D9"/>
    <w:rsid w:val="008F3FBE"/>
    <w:rsid w:val="008F4230"/>
    <w:rsid w:val="008F44C3"/>
    <w:rsid w:val="008F6817"/>
    <w:rsid w:val="008F6B98"/>
    <w:rsid w:val="008F739D"/>
    <w:rsid w:val="00900374"/>
    <w:rsid w:val="00900796"/>
    <w:rsid w:val="0090083C"/>
    <w:rsid w:val="009013A3"/>
    <w:rsid w:val="0090163D"/>
    <w:rsid w:val="009026D3"/>
    <w:rsid w:val="00902A8B"/>
    <w:rsid w:val="00903C72"/>
    <w:rsid w:val="00903CD2"/>
    <w:rsid w:val="009054B0"/>
    <w:rsid w:val="009059B9"/>
    <w:rsid w:val="00907D39"/>
    <w:rsid w:val="009125BB"/>
    <w:rsid w:val="009128C3"/>
    <w:rsid w:val="009129C5"/>
    <w:rsid w:val="00912A29"/>
    <w:rsid w:val="00912B69"/>
    <w:rsid w:val="00914A39"/>
    <w:rsid w:val="00915E9F"/>
    <w:rsid w:val="00916721"/>
    <w:rsid w:val="00916B78"/>
    <w:rsid w:val="0091711A"/>
    <w:rsid w:val="00917280"/>
    <w:rsid w:val="0091728C"/>
    <w:rsid w:val="00917B00"/>
    <w:rsid w:val="00917E8C"/>
    <w:rsid w:val="00917F77"/>
    <w:rsid w:val="00920E71"/>
    <w:rsid w:val="00921267"/>
    <w:rsid w:val="0092157E"/>
    <w:rsid w:val="00921E34"/>
    <w:rsid w:val="00921FDA"/>
    <w:rsid w:val="009224FB"/>
    <w:rsid w:val="009226D1"/>
    <w:rsid w:val="0092292E"/>
    <w:rsid w:val="00923973"/>
    <w:rsid w:val="00923B49"/>
    <w:rsid w:val="009250C0"/>
    <w:rsid w:val="009250ED"/>
    <w:rsid w:val="00925317"/>
    <w:rsid w:val="009256D5"/>
    <w:rsid w:val="009259C2"/>
    <w:rsid w:val="009259FA"/>
    <w:rsid w:val="00925D0B"/>
    <w:rsid w:val="00926C0D"/>
    <w:rsid w:val="00926CD7"/>
    <w:rsid w:val="00926D7D"/>
    <w:rsid w:val="00931483"/>
    <w:rsid w:val="00931CF1"/>
    <w:rsid w:val="0093204A"/>
    <w:rsid w:val="0093239F"/>
    <w:rsid w:val="00932E4E"/>
    <w:rsid w:val="00933632"/>
    <w:rsid w:val="0093416C"/>
    <w:rsid w:val="00934841"/>
    <w:rsid w:val="00935E49"/>
    <w:rsid w:val="00935EB6"/>
    <w:rsid w:val="009371D1"/>
    <w:rsid w:val="009416E6"/>
    <w:rsid w:val="009417AF"/>
    <w:rsid w:val="00941B22"/>
    <w:rsid w:val="00941E26"/>
    <w:rsid w:val="00944530"/>
    <w:rsid w:val="009447C2"/>
    <w:rsid w:val="009448D5"/>
    <w:rsid w:val="00946001"/>
    <w:rsid w:val="00946FA7"/>
    <w:rsid w:val="00947194"/>
    <w:rsid w:val="009477D5"/>
    <w:rsid w:val="00950BD8"/>
    <w:rsid w:val="009523AA"/>
    <w:rsid w:val="00952809"/>
    <w:rsid w:val="009538B3"/>
    <w:rsid w:val="00954B89"/>
    <w:rsid w:val="009555B9"/>
    <w:rsid w:val="00956375"/>
    <w:rsid w:val="00956E5C"/>
    <w:rsid w:val="0095746F"/>
    <w:rsid w:val="00960313"/>
    <w:rsid w:val="00960557"/>
    <w:rsid w:val="00960E22"/>
    <w:rsid w:val="00961349"/>
    <w:rsid w:val="00962492"/>
    <w:rsid w:val="009625E7"/>
    <w:rsid w:val="00962CBC"/>
    <w:rsid w:val="00963607"/>
    <w:rsid w:val="009637C8"/>
    <w:rsid w:val="00964567"/>
    <w:rsid w:val="00966890"/>
    <w:rsid w:val="009676F4"/>
    <w:rsid w:val="009718B4"/>
    <w:rsid w:val="009722F3"/>
    <w:rsid w:val="00972460"/>
    <w:rsid w:val="009727E5"/>
    <w:rsid w:val="009735A4"/>
    <w:rsid w:val="0097375B"/>
    <w:rsid w:val="009754B1"/>
    <w:rsid w:val="009755E4"/>
    <w:rsid w:val="00975769"/>
    <w:rsid w:val="0097623B"/>
    <w:rsid w:val="009766F4"/>
    <w:rsid w:val="00976BF5"/>
    <w:rsid w:val="00977D69"/>
    <w:rsid w:val="009816CC"/>
    <w:rsid w:val="0098185C"/>
    <w:rsid w:val="00981FD9"/>
    <w:rsid w:val="00982052"/>
    <w:rsid w:val="0098236B"/>
    <w:rsid w:val="00982410"/>
    <w:rsid w:val="0098537D"/>
    <w:rsid w:val="00985BBB"/>
    <w:rsid w:val="00985E2C"/>
    <w:rsid w:val="00987C00"/>
    <w:rsid w:val="00991B6F"/>
    <w:rsid w:val="009920BA"/>
    <w:rsid w:val="009923E7"/>
    <w:rsid w:val="00993C95"/>
    <w:rsid w:val="00995AE5"/>
    <w:rsid w:val="009A0592"/>
    <w:rsid w:val="009A05B2"/>
    <w:rsid w:val="009A06ED"/>
    <w:rsid w:val="009A10EB"/>
    <w:rsid w:val="009A144A"/>
    <w:rsid w:val="009A1F7B"/>
    <w:rsid w:val="009A2640"/>
    <w:rsid w:val="009A310B"/>
    <w:rsid w:val="009A3339"/>
    <w:rsid w:val="009A3406"/>
    <w:rsid w:val="009A3B2F"/>
    <w:rsid w:val="009A5F5D"/>
    <w:rsid w:val="009A5FC8"/>
    <w:rsid w:val="009A7C66"/>
    <w:rsid w:val="009B15B3"/>
    <w:rsid w:val="009B2231"/>
    <w:rsid w:val="009B30D6"/>
    <w:rsid w:val="009B4881"/>
    <w:rsid w:val="009B5C34"/>
    <w:rsid w:val="009B69E2"/>
    <w:rsid w:val="009B7F02"/>
    <w:rsid w:val="009C1D24"/>
    <w:rsid w:val="009C24F6"/>
    <w:rsid w:val="009C29B1"/>
    <w:rsid w:val="009C31DB"/>
    <w:rsid w:val="009C3E1B"/>
    <w:rsid w:val="009C54FB"/>
    <w:rsid w:val="009C594C"/>
    <w:rsid w:val="009C6194"/>
    <w:rsid w:val="009D011F"/>
    <w:rsid w:val="009D13E2"/>
    <w:rsid w:val="009D1642"/>
    <w:rsid w:val="009D18C3"/>
    <w:rsid w:val="009D30E4"/>
    <w:rsid w:val="009D3199"/>
    <w:rsid w:val="009D3C8F"/>
    <w:rsid w:val="009D4ACC"/>
    <w:rsid w:val="009D4B11"/>
    <w:rsid w:val="009D5957"/>
    <w:rsid w:val="009E0D09"/>
    <w:rsid w:val="009E175E"/>
    <w:rsid w:val="009E2852"/>
    <w:rsid w:val="009E4D29"/>
    <w:rsid w:val="009E5BAA"/>
    <w:rsid w:val="009E658F"/>
    <w:rsid w:val="009E69BF"/>
    <w:rsid w:val="009E6C29"/>
    <w:rsid w:val="009E715C"/>
    <w:rsid w:val="009E759C"/>
    <w:rsid w:val="009E7A74"/>
    <w:rsid w:val="009E7C89"/>
    <w:rsid w:val="009F039E"/>
    <w:rsid w:val="009F24F1"/>
    <w:rsid w:val="009F33C2"/>
    <w:rsid w:val="009F3746"/>
    <w:rsid w:val="009F4358"/>
    <w:rsid w:val="009F5488"/>
    <w:rsid w:val="009F71BE"/>
    <w:rsid w:val="009F7557"/>
    <w:rsid w:val="009F7A6F"/>
    <w:rsid w:val="00A005F2"/>
    <w:rsid w:val="00A037C4"/>
    <w:rsid w:val="00A03BDF"/>
    <w:rsid w:val="00A0629F"/>
    <w:rsid w:val="00A064A6"/>
    <w:rsid w:val="00A075E4"/>
    <w:rsid w:val="00A10C1B"/>
    <w:rsid w:val="00A11B0D"/>
    <w:rsid w:val="00A125A0"/>
    <w:rsid w:val="00A12B4E"/>
    <w:rsid w:val="00A12D22"/>
    <w:rsid w:val="00A131C6"/>
    <w:rsid w:val="00A132EE"/>
    <w:rsid w:val="00A13451"/>
    <w:rsid w:val="00A13539"/>
    <w:rsid w:val="00A135E0"/>
    <w:rsid w:val="00A153FD"/>
    <w:rsid w:val="00A16137"/>
    <w:rsid w:val="00A16E10"/>
    <w:rsid w:val="00A172A4"/>
    <w:rsid w:val="00A20B92"/>
    <w:rsid w:val="00A219A4"/>
    <w:rsid w:val="00A23411"/>
    <w:rsid w:val="00A23BA0"/>
    <w:rsid w:val="00A2410C"/>
    <w:rsid w:val="00A24D9F"/>
    <w:rsid w:val="00A25330"/>
    <w:rsid w:val="00A25844"/>
    <w:rsid w:val="00A2625F"/>
    <w:rsid w:val="00A26E0C"/>
    <w:rsid w:val="00A275E3"/>
    <w:rsid w:val="00A311D6"/>
    <w:rsid w:val="00A32DF2"/>
    <w:rsid w:val="00A34D65"/>
    <w:rsid w:val="00A3715B"/>
    <w:rsid w:val="00A402BD"/>
    <w:rsid w:val="00A40C02"/>
    <w:rsid w:val="00A40FBE"/>
    <w:rsid w:val="00A420B1"/>
    <w:rsid w:val="00A4221B"/>
    <w:rsid w:val="00A4488D"/>
    <w:rsid w:val="00A44F50"/>
    <w:rsid w:val="00A456DE"/>
    <w:rsid w:val="00A46404"/>
    <w:rsid w:val="00A46729"/>
    <w:rsid w:val="00A469D3"/>
    <w:rsid w:val="00A46AB1"/>
    <w:rsid w:val="00A50727"/>
    <w:rsid w:val="00A50C8B"/>
    <w:rsid w:val="00A521E8"/>
    <w:rsid w:val="00A5389F"/>
    <w:rsid w:val="00A546DC"/>
    <w:rsid w:val="00A562E9"/>
    <w:rsid w:val="00A56322"/>
    <w:rsid w:val="00A56DD6"/>
    <w:rsid w:val="00A57DB9"/>
    <w:rsid w:val="00A57FE2"/>
    <w:rsid w:val="00A606CF"/>
    <w:rsid w:val="00A6098F"/>
    <w:rsid w:val="00A61B6D"/>
    <w:rsid w:val="00A62DCF"/>
    <w:rsid w:val="00A6309F"/>
    <w:rsid w:val="00A637DE"/>
    <w:rsid w:val="00A63BB5"/>
    <w:rsid w:val="00A63C50"/>
    <w:rsid w:val="00A643FE"/>
    <w:rsid w:val="00A65C3B"/>
    <w:rsid w:val="00A660EA"/>
    <w:rsid w:val="00A66515"/>
    <w:rsid w:val="00A66A4E"/>
    <w:rsid w:val="00A670DA"/>
    <w:rsid w:val="00A70291"/>
    <w:rsid w:val="00A70C89"/>
    <w:rsid w:val="00A70E86"/>
    <w:rsid w:val="00A713BF"/>
    <w:rsid w:val="00A723EA"/>
    <w:rsid w:val="00A72FAB"/>
    <w:rsid w:val="00A73552"/>
    <w:rsid w:val="00A737F9"/>
    <w:rsid w:val="00A74A0E"/>
    <w:rsid w:val="00A74AF0"/>
    <w:rsid w:val="00A74F22"/>
    <w:rsid w:val="00A75916"/>
    <w:rsid w:val="00A75FA9"/>
    <w:rsid w:val="00A762E8"/>
    <w:rsid w:val="00A808AF"/>
    <w:rsid w:val="00A81432"/>
    <w:rsid w:val="00A82BFE"/>
    <w:rsid w:val="00A82F34"/>
    <w:rsid w:val="00A85BE9"/>
    <w:rsid w:val="00A866E4"/>
    <w:rsid w:val="00A86F15"/>
    <w:rsid w:val="00A900BC"/>
    <w:rsid w:val="00A92B9F"/>
    <w:rsid w:val="00A92CB1"/>
    <w:rsid w:val="00A92D6A"/>
    <w:rsid w:val="00A92E2F"/>
    <w:rsid w:val="00A93165"/>
    <w:rsid w:val="00A95234"/>
    <w:rsid w:val="00A96CD2"/>
    <w:rsid w:val="00AA09B6"/>
    <w:rsid w:val="00AA0CA6"/>
    <w:rsid w:val="00AA1231"/>
    <w:rsid w:val="00AA3966"/>
    <w:rsid w:val="00AA3B46"/>
    <w:rsid w:val="00AA40C7"/>
    <w:rsid w:val="00AA563A"/>
    <w:rsid w:val="00AA7990"/>
    <w:rsid w:val="00AB084E"/>
    <w:rsid w:val="00AB1E54"/>
    <w:rsid w:val="00AB37A6"/>
    <w:rsid w:val="00AB3F60"/>
    <w:rsid w:val="00AB4B54"/>
    <w:rsid w:val="00AB56F4"/>
    <w:rsid w:val="00AB637E"/>
    <w:rsid w:val="00AB76E4"/>
    <w:rsid w:val="00AB7AB9"/>
    <w:rsid w:val="00AB7DAD"/>
    <w:rsid w:val="00AC04D1"/>
    <w:rsid w:val="00AC22DB"/>
    <w:rsid w:val="00AC2FF0"/>
    <w:rsid w:val="00AC4D9C"/>
    <w:rsid w:val="00AC55BF"/>
    <w:rsid w:val="00AC5885"/>
    <w:rsid w:val="00AC6012"/>
    <w:rsid w:val="00AC603E"/>
    <w:rsid w:val="00AC73ED"/>
    <w:rsid w:val="00AD082D"/>
    <w:rsid w:val="00AD08DC"/>
    <w:rsid w:val="00AD1563"/>
    <w:rsid w:val="00AD15BE"/>
    <w:rsid w:val="00AD2206"/>
    <w:rsid w:val="00AD24F3"/>
    <w:rsid w:val="00AD41C1"/>
    <w:rsid w:val="00AD5399"/>
    <w:rsid w:val="00AD53E9"/>
    <w:rsid w:val="00AD572C"/>
    <w:rsid w:val="00AD677D"/>
    <w:rsid w:val="00AD6CD4"/>
    <w:rsid w:val="00AD7385"/>
    <w:rsid w:val="00AD7B94"/>
    <w:rsid w:val="00AE2E1D"/>
    <w:rsid w:val="00AE2E9B"/>
    <w:rsid w:val="00AE3177"/>
    <w:rsid w:val="00AE3DBB"/>
    <w:rsid w:val="00AE4557"/>
    <w:rsid w:val="00AE46F8"/>
    <w:rsid w:val="00AE47B4"/>
    <w:rsid w:val="00AE625B"/>
    <w:rsid w:val="00AF025F"/>
    <w:rsid w:val="00AF0545"/>
    <w:rsid w:val="00AF0FF0"/>
    <w:rsid w:val="00AF12CD"/>
    <w:rsid w:val="00AF1BAE"/>
    <w:rsid w:val="00AF22DA"/>
    <w:rsid w:val="00AF38CD"/>
    <w:rsid w:val="00AF5FEC"/>
    <w:rsid w:val="00AF6158"/>
    <w:rsid w:val="00AF7045"/>
    <w:rsid w:val="00AF7743"/>
    <w:rsid w:val="00B0032D"/>
    <w:rsid w:val="00B004F3"/>
    <w:rsid w:val="00B00728"/>
    <w:rsid w:val="00B009BC"/>
    <w:rsid w:val="00B01515"/>
    <w:rsid w:val="00B01BC4"/>
    <w:rsid w:val="00B01CA0"/>
    <w:rsid w:val="00B01CB5"/>
    <w:rsid w:val="00B02237"/>
    <w:rsid w:val="00B023D9"/>
    <w:rsid w:val="00B0283E"/>
    <w:rsid w:val="00B02C9E"/>
    <w:rsid w:val="00B0329A"/>
    <w:rsid w:val="00B03617"/>
    <w:rsid w:val="00B03D26"/>
    <w:rsid w:val="00B03FC6"/>
    <w:rsid w:val="00B03FDC"/>
    <w:rsid w:val="00B04DDB"/>
    <w:rsid w:val="00B05251"/>
    <w:rsid w:val="00B053A4"/>
    <w:rsid w:val="00B0787E"/>
    <w:rsid w:val="00B07A4D"/>
    <w:rsid w:val="00B07B7B"/>
    <w:rsid w:val="00B1024F"/>
    <w:rsid w:val="00B106CA"/>
    <w:rsid w:val="00B11C13"/>
    <w:rsid w:val="00B11F80"/>
    <w:rsid w:val="00B1267A"/>
    <w:rsid w:val="00B1268E"/>
    <w:rsid w:val="00B12BBC"/>
    <w:rsid w:val="00B1378A"/>
    <w:rsid w:val="00B1487D"/>
    <w:rsid w:val="00B159A3"/>
    <w:rsid w:val="00B176FD"/>
    <w:rsid w:val="00B1775C"/>
    <w:rsid w:val="00B208F2"/>
    <w:rsid w:val="00B20FA8"/>
    <w:rsid w:val="00B2196D"/>
    <w:rsid w:val="00B22A60"/>
    <w:rsid w:val="00B242FC"/>
    <w:rsid w:val="00B24E3E"/>
    <w:rsid w:val="00B25ED0"/>
    <w:rsid w:val="00B263C5"/>
    <w:rsid w:val="00B272D0"/>
    <w:rsid w:val="00B27ADB"/>
    <w:rsid w:val="00B27C00"/>
    <w:rsid w:val="00B27C46"/>
    <w:rsid w:val="00B30B03"/>
    <w:rsid w:val="00B30B9D"/>
    <w:rsid w:val="00B31244"/>
    <w:rsid w:val="00B32204"/>
    <w:rsid w:val="00B331F4"/>
    <w:rsid w:val="00B33BD4"/>
    <w:rsid w:val="00B34358"/>
    <w:rsid w:val="00B344B8"/>
    <w:rsid w:val="00B34527"/>
    <w:rsid w:val="00B3462A"/>
    <w:rsid w:val="00B372AF"/>
    <w:rsid w:val="00B377DD"/>
    <w:rsid w:val="00B37D9B"/>
    <w:rsid w:val="00B40E27"/>
    <w:rsid w:val="00B41781"/>
    <w:rsid w:val="00B4226A"/>
    <w:rsid w:val="00B42423"/>
    <w:rsid w:val="00B42567"/>
    <w:rsid w:val="00B42C5E"/>
    <w:rsid w:val="00B4475A"/>
    <w:rsid w:val="00B44F07"/>
    <w:rsid w:val="00B45148"/>
    <w:rsid w:val="00B45B86"/>
    <w:rsid w:val="00B46042"/>
    <w:rsid w:val="00B465AB"/>
    <w:rsid w:val="00B46FFB"/>
    <w:rsid w:val="00B47BD5"/>
    <w:rsid w:val="00B50D9E"/>
    <w:rsid w:val="00B50DE0"/>
    <w:rsid w:val="00B50FEC"/>
    <w:rsid w:val="00B518EB"/>
    <w:rsid w:val="00B5221B"/>
    <w:rsid w:val="00B53007"/>
    <w:rsid w:val="00B538E3"/>
    <w:rsid w:val="00B54F00"/>
    <w:rsid w:val="00B56156"/>
    <w:rsid w:val="00B567C9"/>
    <w:rsid w:val="00B57854"/>
    <w:rsid w:val="00B57DCF"/>
    <w:rsid w:val="00B57F63"/>
    <w:rsid w:val="00B60EF6"/>
    <w:rsid w:val="00B613ED"/>
    <w:rsid w:val="00B61704"/>
    <w:rsid w:val="00B617A9"/>
    <w:rsid w:val="00B61AEE"/>
    <w:rsid w:val="00B61EED"/>
    <w:rsid w:val="00B62626"/>
    <w:rsid w:val="00B645EC"/>
    <w:rsid w:val="00B64A8A"/>
    <w:rsid w:val="00B6539D"/>
    <w:rsid w:val="00B702B5"/>
    <w:rsid w:val="00B702EA"/>
    <w:rsid w:val="00B70AEB"/>
    <w:rsid w:val="00B710CE"/>
    <w:rsid w:val="00B72C2C"/>
    <w:rsid w:val="00B73A68"/>
    <w:rsid w:val="00B73D4C"/>
    <w:rsid w:val="00B7412A"/>
    <w:rsid w:val="00B756DC"/>
    <w:rsid w:val="00B76C2B"/>
    <w:rsid w:val="00B7715B"/>
    <w:rsid w:val="00B80570"/>
    <w:rsid w:val="00B805D5"/>
    <w:rsid w:val="00B823B4"/>
    <w:rsid w:val="00B82F0D"/>
    <w:rsid w:val="00B83B64"/>
    <w:rsid w:val="00B85318"/>
    <w:rsid w:val="00B8643D"/>
    <w:rsid w:val="00B86797"/>
    <w:rsid w:val="00B86B9B"/>
    <w:rsid w:val="00B86E7E"/>
    <w:rsid w:val="00B901E0"/>
    <w:rsid w:val="00B9069A"/>
    <w:rsid w:val="00B90783"/>
    <w:rsid w:val="00B90E0F"/>
    <w:rsid w:val="00B9120D"/>
    <w:rsid w:val="00B91C9E"/>
    <w:rsid w:val="00B91D6D"/>
    <w:rsid w:val="00B91FC4"/>
    <w:rsid w:val="00B9203F"/>
    <w:rsid w:val="00B92898"/>
    <w:rsid w:val="00B92ED0"/>
    <w:rsid w:val="00B93859"/>
    <w:rsid w:val="00B94605"/>
    <w:rsid w:val="00B946E0"/>
    <w:rsid w:val="00B949A7"/>
    <w:rsid w:val="00B95CC1"/>
    <w:rsid w:val="00B96317"/>
    <w:rsid w:val="00B967FD"/>
    <w:rsid w:val="00B96CB5"/>
    <w:rsid w:val="00B973C9"/>
    <w:rsid w:val="00B97D3A"/>
    <w:rsid w:val="00BA0343"/>
    <w:rsid w:val="00BA03AB"/>
    <w:rsid w:val="00BA18E9"/>
    <w:rsid w:val="00BA221A"/>
    <w:rsid w:val="00BA3FC4"/>
    <w:rsid w:val="00BA554F"/>
    <w:rsid w:val="00BA59E4"/>
    <w:rsid w:val="00BA72A9"/>
    <w:rsid w:val="00BA78C2"/>
    <w:rsid w:val="00BA79D9"/>
    <w:rsid w:val="00BA7E3B"/>
    <w:rsid w:val="00BB000E"/>
    <w:rsid w:val="00BB05B4"/>
    <w:rsid w:val="00BB0E58"/>
    <w:rsid w:val="00BB11E8"/>
    <w:rsid w:val="00BB15BD"/>
    <w:rsid w:val="00BB1961"/>
    <w:rsid w:val="00BB24AD"/>
    <w:rsid w:val="00BB26A5"/>
    <w:rsid w:val="00BB32B2"/>
    <w:rsid w:val="00BB4727"/>
    <w:rsid w:val="00BB48A2"/>
    <w:rsid w:val="00BB4F8E"/>
    <w:rsid w:val="00BB5573"/>
    <w:rsid w:val="00BB55A6"/>
    <w:rsid w:val="00BB5649"/>
    <w:rsid w:val="00BB6AEF"/>
    <w:rsid w:val="00BB707D"/>
    <w:rsid w:val="00BC0170"/>
    <w:rsid w:val="00BC018B"/>
    <w:rsid w:val="00BC049E"/>
    <w:rsid w:val="00BC05BB"/>
    <w:rsid w:val="00BC161B"/>
    <w:rsid w:val="00BC2562"/>
    <w:rsid w:val="00BC3468"/>
    <w:rsid w:val="00BC539A"/>
    <w:rsid w:val="00BC56DE"/>
    <w:rsid w:val="00BC591F"/>
    <w:rsid w:val="00BC7096"/>
    <w:rsid w:val="00BC748D"/>
    <w:rsid w:val="00BD026C"/>
    <w:rsid w:val="00BD1C8D"/>
    <w:rsid w:val="00BD3142"/>
    <w:rsid w:val="00BD3BB4"/>
    <w:rsid w:val="00BD48FF"/>
    <w:rsid w:val="00BD4FC3"/>
    <w:rsid w:val="00BD5D2A"/>
    <w:rsid w:val="00BD6763"/>
    <w:rsid w:val="00BD6963"/>
    <w:rsid w:val="00BE0B3A"/>
    <w:rsid w:val="00BE0CDF"/>
    <w:rsid w:val="00BE18C8"/>
    <w:rsid w:val="00BE28E4"/>
    <w:rsid w:val="00BE2BB8"/>
    <w:rsid w:val="00BE33C8"/>
    <w:rsid w:val="00BE4344"/>
    <w:rsid w:val="00BE5C80"/>
    <w:rsid w:val="00BE662F"/>
    <w:rsid w:val="00BE67EE"/>
    <w:rsid w:val="00BE6894"/>
    <w:rsid w:val="00BF14C6"/>
    <w:rsid w:val="00BF1539"/>
    <w:rsid w:val="00BF1C70"/>
    <w:rsid w:val="00BF1CE7"/>
    <w:rsid w:val="00BF3017"/>
    <w:rsid w:val="00BF39D4"/>
    <w:rsid w:val="00BF3F4E"/>
    <w:rsid w:val="00BF42D7"/>
    <w:rsid w:val="00BF4C51"/>
    <w:rsid w:val="00BF4D3B"/>
    <w:rsid w:val="00BF4E18"/>
    <w:rsid w:val="00BF706E"/>
    <w:rsid w:val="00BF7228"/>
    <w:rsid w:val="00BF7326"/>
    <w:rsid w:val="00BF7865"/>
    <w:rsid w:val="00BF788C"/>
    <w:rsid w:val="00C005FB"/>
    <w:rsid w:val="00C00F4D"/>
    <w:rsid w:val="00C01251"/>
    <w:rsid w:val="00C0183A"/>
    <w:rsid w:val="00C042B3"/>
    <w:rsid w:val="00C046AC"/>
    <w:rsid w:val="00C04E79"/>
    <w:rsid w:val="00C06ACB"/>
    <w:rsid w:val="00C10398"/>
    <w:rsid w:val="00C107AE"/>
    <w:rsid w:val="00C11EE1"/>
    <w:rsid w:val="00C12273"/>
    <w:rsid w:val="00C133AB"/>
    <w:rsid w:val="00C14552"/>
    <w:rsid w:val="00C14871"/>
    <w:rsid w:val="00C15B81"/>
    <w:rsid w:val="00C15E17"/>
    <w:rsid w:val="00C16415"/>
    <w:rsid w:val="00C164E5"/>
    <w:rsid w:val="00C207F4"/>
    <w:rsid w:val="00C2170E"/>
    <w:rsid w:val="00C21903"/>
    <w:rsid w:val="00C2289F"/>
    <w:rsid w:val="00C23779"/>
    <w:rsid w:val="00C23907"/>
    <w:rsid w:val="00C23E6B"/>
    <w:rsid w:val="00C247F2"/>
    <w:rsid w:val="00C25CF7"/>
    <w:rsid w:val="00C26282"/>
    <w:rsid w:val="00C263B7"/>
    <w:rsid w:val="00C2750B"/>
    <w:rsid w:val="00C2769F"/>
    <w:rsid w:val="00C2798C"/>
    <w:rsid w:val="00C3221C"/>
    <w:rsid w:val="00C3231E"/>
    <w:rsid w:val="00C3246B"/>
    <w:rsid w:val="00C32549"/>
    <w:rsid w:val="00C33108"/>
    <w:rsid w:val="00C33392"/>
    <w:rsid w:val="00C34273"/>
    <w:rsid w:val="00C35023"/>
    <w:rsid w:val="00C35275"/>
    <w:rsid w:val="00C356E9"/>
    <w:rsid w:val="00C408E5"/>
    <w:rsid w:val="00C4142C"/>
    <w:rsid w:val="00C41BCD"/>
    <w:rsid w:val="00C4249E"/>
    <w:rsid w:val="00C4286F"/>
    <w:rsid w:val="00C428A8"/>
    <w:rsid w:val="00C42C50"/>
    <w:rsid w:val="00C43EA2"/>
    <w:rsid w:val="00C441EA"/>
    <w:rsid w:val="00C44D41"/>
    <w:rsid w:val="00C44FF8"/>
    <w:rsid w:val="00C45486"/>
    <w:rsid w:val="00C455D6"/>
    <w:rsid w:val="00C45A45"/>
    <w:rsid w:val="00C45D90"/>
    <w:rsid w:val="00C45ECB"/>
    <w:rsid w:val="00C46252"/>
    <w:rsid w:val="00C47597"/>
    <w:rsid w:val="00C47A9D"/>
    <w:rsid w:val="00C512EA"/>
    <w:rsid w:val="00C51B04"/>
    <w:rsid w:val="00C51BAA"/>
    <w:rsid w:val="00C5247B"/>
    <w:rsid w:val="00C52B12"/>
    <w:rsid w:val="00C52D09"/>
    <w:rsid w:val="00C536C6"/>
    <w:rsid w:val="00C545FE"/>
    <w:rsid w:val="00C5572E"/>
    <w:rsid w:val="00C5662D"/>
    <w:rsid w:val="00C57DF8"/>
    <w:rsid w:val="00C609AF"/>
    <w:rsid w:val="00C61706"/>
    <w:rsid w:val="00C62485"/>
    <w:rsid w:val="00C62AC9"/>
    <w:rsid w:val="00C62CD7"/>
    <w:rsid w:val="00C63BA6"/>
    <w:rsid w:val="00C6450B"/>
    <w:rsid w:val="00C64F99"/>
    <w:rsid w:val="00C659F9"/>
    <w:rsid w:val="00C65B37"/>
    <w:rsid w:val="00C672F2"/>
    <w:rsid w:val="00C70258"/>
    <w:rsid w:val="00C70CAD"/>
    <w:rsid w:val="00C71889"/>
    <w:rsid w:val="00C72328"/>
    <w:rsid w:val="00C72577"/>
    <w:rsid w:val="00C73A77"/>
    <w:rsid w:val="00C753D8"/>
    <w:rsid w:val="00C762E6"/>
    <w:rsid w:val="00C7691F"/>
    <w:rsid w:val="00C8061D"/>
    <w:rsid w:val="00C80BCC"/>
    <w:rsid w:val="00C80CAF"/>
    <w:rsid w:val="00C80F82"/>
    <w:rsid w:val="00C81C15"/>
    <w:rsid w:val="00C83353"/>
    <w:rsid w:val="00C8361A"/>
    <w:rsid w:val="00C8523F"/>
    <w:rsid w:val="00C85860"/>
    <w:rsid w:val="00C8771E"/>
    <w:rsid w:val="00C90FA2"/>
    <w:rsid w:val="00C92247"/>
    <w:rsid w:val="00C93637"/>
    <w:rsid w:val="00C94176"/>
    <w:rsid w:val="00C94B60"/>
    <w:rsid w:val="00C95148"/>
    <w:rsid w:val="00C95A39"/>
    <w:rsid w:val="00C96238"/>
    <w:rsid w:val="00C971DE"/>
    <w:rsid w:val="00C974B9"/>
    <w:rsid w:val="00CA0FD5"/>
    <w:rsid w:val="00CA1FFC"/>
    <w:rsid w:val="00CA3B5B"/>
    <w:rsid w:val="00CA5AE0"/>
    <w:rsid w:val="00CA5EAF"/>
    <w:rsid w:val="00CA6373"/>
    <w:rsid w:val="00CA6471"/>
    <w:rsid w:val="00CA6993"/>
    <w:rsid w:val="00CA6E23"/>
    <w:rsid w:val="00CA7F45"/>
    <w:rsid w:val="00CB0CAD"/>
    <w:rsid w:val="00CB2B17"/>
    <w:rsid w:val="00CB3552"/>
    <w:rsid w:val="00CB4AFD"/>
    <w:rsid w:val="00CB5272"/>
    <w:rsid w:val="00CB5665"/>
    <w:rsid w:val="00CB5B4D"/>
    <w:rsid w:val="00CB77C1"/>
    <w:rsid w:val="00CC2B56"/>
    <w:rsid w:val="00CC3359"/>
    <w:rsid w:val="00CC3CE6"/>
    <w:rsid w:val="00CC4127"/>
    <w:rsid w:val="00CC42F9"/>
    <w:rsid w:val="00CC6062"/>
    <w:rsid w:val="00CC6DFC"/>
    <w:rsid w:val="00CC7C78"/>
    <w:rsid w:val="00CC7F6A"/>
    <w:rsid w:val="00CD05BD"/>
    <w:rsid w:val="00CD0C9D"/>
    <w:rsid w:val="00CD0D49"/>
    <w:rsid w:val="00CD0FC7"/>
    <w:rsid w:val="00CD118D"/>
    <w:rsid w:val="00CD148B"/>
    <w:rsid w:val="00CD19DD"/>
    <w:rsid w:val="00CD1A26"/>
    <w:rsid w:val="00CD2449"/>
    <w:rsid w:val="00CD250C"/>
    <w:rsid w:val="00CD3013"/>
    <w:rsid w:val="00CD3867"/>
    <w:rsid w:val="00CD5652"/>
    <w:rsid w:val="00CD59D6"/>
    <w:rsid w:val="00CD764B"/>
    <w:rsid w:val="00CE3341"/>
    <w:rsid w:val="00CE347E"/>
    <w:rsid w:val="00CE3F2F"/>
    <w:rsid w:val="00CE4B7D"/>
    <w:rsid w:val="00CE56BB"/>
    <w:rsid w:val="00CE614C"/>
    <w:rsid w:val="00CE6920"/>
    <w:rsid w:val="00CF1A6F"/>
    <w:rsid w:val="00CF1E18"/>
    <w:rsid w:val="00CF3BBB"/>
    <w:rsid w:val="00CF4E24"/>
    <w:rsid w:val="00CF5A8A"/>
    <w:rsid w:val="00CF6E72"/>
    <w:rsid w:val="00CF719A"/>
    <w:rsid w:val="00CF773F"/>
    <w:rsid w:val="00CF77F2"/>
    <w:rsid w:val="00CF7F2C"/>
    <w:rsid w:val="00D01C38"/>
    <w:rsid w:val="00D024EB"/>
    <w:rsid w:val="00D02661"/>
    <w:rsid w:val="00D02E2B"/>
    <w:rsid w:val="00D02F9D"/>
    <w:rsid w:val="00D03F62"/>
    <w:rsid w:val="00D04B30"/>
    <w:rsid w:val="00D04B5A"/>
    <w:rsid w:val="00D04CDE"/>
    <w:rsid w:val="00D05004"/>
    <w:rsid w:val="00D0592B"/>
    <w:rsid w:val="00D05BD4"/>
    <w:rsid w:val="00D1014A"/>
    <w:rsid w:val="00D11878"/>
    <w:rsid w:val="00D1203F"/>
    <w:rsid w:val="00D12DF2"/>
    <w:rsid w:val="00D13A18"/>
    <w:rsid w:val="00D14FA8"/>
    <w:rsid w:val="00D154AE"/>
    <w:rsid w:val="00D16186"/>
    <w:rsid w:val="00D16546"/>
    <w:rsid w:val="00D16B43"/>
    <w:rsid w:val="00D16F9A"/>
    <w:rsid w:val="00D17EF7"/>
    <w:rsid w:val="00D20063"/>
    <w:rsid w:val="00D206F1"/>
    <w:rsid w:val="00D20B46"/>
    <w:rsid w:val="00D2185D"/>
    <w:rsid w:val="00D248B1"/>
    <w:rsid w:val="00D2552E"/>
    <w:rsid w:val="00D26118"/>
    <w:rsid w:val="00D2636D"/>
    <w:rsid w:val="00D26A34"/>
    <w:rsid w:val="00D26ADE"/>
    <w:rsid w:val="00D3011C"/>
    <w:rsid w:val="00D31E25"/>
    <w:rsid w:val="00D3206B"/>
    <w:rsid w:val="00D32D01"/>
    <w:rsid w:val="00D332D9"/>
    <w:rsid w:val="00D33E1A"/>
    <w:rsid w:val="00D3465F"/>
    <w:rsid w:val="00D347CE"/>
    <w:rsid w:val="00D34870"/>
    <w:rsid w:val="00D362D4"/>
    <w:rsid w:val="00D376B0"/>
    <w:rsid w:val="00D37823"/>
    <w:rsid w:val="00D426AD"/>
    <w:rsid w:val="00D4393A"/>
    <w:rsid w:val="00D44594"/>
    <w:rsid w:val="00D44EB0"/>
    <w:rsid w:val="00D45D7C"/>
    <w:rsid w:val="00D46CC5"/>
    <w:rsid w:val="00D47192"/>
    <w:rsid w:val="00D523F6"/>
    <w:rsid w:val="00D53C49"/>
    <w:rsid w:val="00D541E7"/>
    <w:rsid w:val="00D54343"/>
    <w:rsid w:val="00D57837"/>
    <w:rsid w:val="00D6101E"/>
    <w:rsid w:val="00D611B3"/>
    <w:rsid w:val="00D61496"/>
    <w:rsid w:val="00D6258D"/>
    <w:rsid w:val="00D6292C"/>
    <w:rsid w:val="00D62F14"/>
    <w:rsid w:val="00D63144"/>
    <w:rsid w:val="00D63180"/>
    <w:rsid w:val="00D634E4"/>
    <w:rsid w:val="00D6548C"/>
    <w:rsid w:val="00D65701"/>
    <w:rsid w:val="00D66FC6"/>
    <w:rsid w:val="00D67BF5"/>
    <w:rsid w:val="00D7021E"/>
    <w:rsid w:val="00D70500"/>
    <w:rsid w:val="00D70627"/>
    <w:rsid w:val="00D71B98"/>
    <w:rsid w:val="00D71CB4"/>
    <w:rsid w:val="00D71FF9"/>
    <w:rsid w:val="00D72022"/>
    <w:rsid w:val="00D73E46"/>
    <w:rsid w:val="00D74302"/>
    <w:rsid w:val="00D7540A"/>
    <w:rsid w:val="00D7573A"/>
    <w:rsid w:val="00D768F7"/>
    <w:rsid w:val="00D76F64"/>
    <w:rsid w:val="00D7731F"/>
    <w:rsid w:val="00D83218"/>
    <w:rsid w:val="00D83A62"/>
    <w:rsid w:val="00D83CDB"/>
    <w:rsid w:val="00D841A9"/>
    <w:rsid w:val="00D854D7"/>
    <w:rsid w:val="00D859B6"/>
    <w:rsid w:val="00D862D2"/>
    <w:rsid w:val="00D8659F"/>
    <w:rsid w:val="00D914BE"/>
    <w:rsid w:val="00D915C5"/>
    <w:rsid w:val="00D93433"/>
    <w:rsid w:val="00D93D6B"/>
    <w:rsid w:val="00D94389"/>
    <w:rsid w:val="00D9439C"/>
    <w:rsid w:val="00D95344"/>
    <w:rsid w:val="00D96403"/>
    <w:rsid w:val="00D96495"/>
    <w:rsid w:val="00D97DC4"/>
    <w:rsid w:val="00DA1272"/>
    <w:rsid w:val="00DA2A98"/>
    <w:rsid w:val="00DA2B68"/>
    <w:rsid w:val="00DA2F26"/>
    <w:rsid w:val="00DA48FD"/>
    <w:rsid w:val="00DA4E74"/>
    <w:rsid w:val="00DA5BBE"/>
    <w:rsid w:val="00DA5CE0"/>
    <w:rsid w:val="00DA5D33"/>
    <w:rsid w:val="00DA7560"/>
    <w:rsid w:val="00DB0385"/>
    <w:rsid w:val="00DB04FB"/>
    <w:rsid w:val="00DB2324"/>
    <w:rsid w:val="00DB33DE"/>
    <w:rsid w:val="00DB345B"/>
    <w:rsid w:val="00DB3760"/>
    <w:rsid w:val="00DB4121"/>
    <w:rsid w:val="00DB4497"/>
    <w:rsid w:val="00DB533E"/>
    <w:rsid w:val="00DB634C"/>
    <w:rsid w:val="00DB7CC0"/>
    <w:rsid w:val="00DC00A3"/>
    <w:rsid w:val="00DC02C5"/>
    <w:rsid w:val="00DC0518"/>
    <w:rsid w:val="00DC161C"/>
    <w:rsid w:val="00DC1E62"/>
    <w:rsid w:val="00DC1F96"/>
    <w:rsid w:val="00DC2044"/>
    <w:rsid w:val="00DC3ABF"/>
    <w:rsid w:val="00DC47FC"/>
    <w:rsid w:val="00DC4D08"/>
    <w:rsid w:val="00DC5153"/>
    <w:rsid w:val="00DC6B15"/>
    <w:rsid w:val="00DC721D"/>
    <w:rsid w:val="00DC73D1"/>
    <w:rsid w:val="00DD0AD7"/>
    <w:rsid w:val="00DD148A"/>
    <w:rsid w:val="00DD285A"/>
    <w:rsid w:val="00DD2927"/>
    <w:rsid w:val="00DD2ADB"/>
    <w:rsid w:val="00DD3D1A"/>
    <w:rsid w:val="00DD3D71"/>
    <w:rsid w:val="00DD4109"/>
    <w:rsid w:val="00DD490A"/>
    <w:rsid w:val="00DD524C"/>
    <w:rsid w:val="00DD66B3"/>
    <w:rsid w:val="00DD6CAC"/>
    <w:rsid w:val="00DD6E7D"/>
    <w:rsid w:val="00DD7075"/>
    <w:rsid w:val="00DD78E8"/>
    <w:rsid w:val="00DE0BE9"/>
    <w:rsid w:val="00DE20A7"/>
    <w:rsid w:val="00DE222B"/>
    <w:rsid w:val="00DE3928"/>
    <w:rsid w:val="00DE5507"/>
    <w:rsid w:val="00DF0383"/>
    <w:rsid w:val="00DF088C"/>
    <w:rsid w:val="00DF1C35"/>
    <w:rsid w:val="00DF202C"/>
    <w:rsid w:val="00DF232B"/>
    <w:rsid w:val="00DF3111"/>
    <w:rsid w:val="00DF35CA"/>
    <w:rsid w:val="00DF4330"/>
    <w:rsid w:val="00DF4F75"/>
    <w:rsid w:val="00DF5A62"/>
    <w:rsid w:val="00DF5E32"/>
    <w:rsid w:val="00DF636D"/>
    <w:rsid w:val="00DF65C4"/>
    <w:rsid w:val="00DF7006"/>
    <w:rsid w:val="00DF70F4"/>
    <w:rsid w:val="00DF7962"/>
    <w:rsid w:val="00E00372"/>
    <w:rsid w:val="00E0149C"/>
    <w:rsid w:val="00E01E6F"/>
    <w:rsid w:val="00E02B88"/>
    <w:rsid w:val="00E03063"/>
    <w:rsid w:val="00E038E5"/>
    <w:rsid w:val="00E03DB4"/>
    <w:rsid w:val="00E04E3C"/>
    <w:rsid w:val="00E06171"/>
    <w:rsid w:val="00E07280"/>
    <w:rsid w:val="00E10170"/>
    <w:rsid w:val="00E112CD"/>
    <w:rsid w:val="00E12658"/>
    <w:rsid w:val="00E127E7"/>
    <w:rsid w:val="00E12ED6"/>
    <w:rsid w:val="00E13F84"/>
    <w:rsid w:val="00E141D5"/>
    <w:rsid w:val="00E14BF9"/>
    <w:rsid w:val="00E14FE0"/>
    <w:rsid w:val="00E15A4E"/>
    <w:rsid w:val="00E15AD4"/>
    <w:rsid w:val="00E16443"/>
    <w:rsid w:val="00E16770"/>
    <w:rsid w:val="00E1690D"/>
    <w:rsid w:val="00E175D2"/>
    <w:rsid w:val="00E2006E"/>
    <w:rsid w:val="00E2007D"/>
    <w:rsid w:val="00E2017F"/>
    <w:rsid w:val="00E202FA"/>
    <w:rsid w:val="00E218CA"/>
    <w:rsid w:val="00E2320F"/>
    <w:rsid w:val="00E2458E"/>
    <w:rsid w:val="00E25044"/>
    <w:rsid w:val="00E253D5"/>
    <w:rsid w:val="00E2551A"/>
    <w:rsid w:val="00E25645"/>
    <w:rsid w:val="00E25937"/>
    <w:rsid w:val="00E30938"/>
    <w:rsid w:val="00E309BA"/>
    <w:rsid w:val="00E30B16"/>
    <w:rsid w:val="00E3427F"/>
    <w:rsid w:val="00E35184"/>
    <w:rsid w:val="00E37A3D"/>
    <w:rsid w:val="00E37F7D"/>
    <w:rsid w:val="00E4054A"/>
    <w:rsid w:val="00E4096D"/>
    <w:rsid w:val="00E40D08"/>
    <w:rsid w:val="00E411F4"/>
    <w:rsid w:val="00E41A21"/>
    <w:rsid w:val="00E41D08"/>
    <w:rsid w:val="00E41FF2"/>
    <w:rsid w:val="00E42570"/>
    <w:rsid w:val="00E43BCF"/>
    <w:rsid w:val="00E43BD1"/>
    <w:rsid w:val="00E4410F"/>
    <w:rsid w:val="00E4482D"/>
    <w:rsid w:val="00E44971"/>
    <w:rsid w:val="00E44F5C"/>
    <w:rsid w:val="00E45518"/>
    <w:rsid w:val="00E4573A"/>
    <w:rsid w:val="00E4587F"/>
    <w:rsid w:val="00E458CA"/>
    <w:rsid w:val="00E463E3"/>
    <w:rsid w:val="00E465E9"/>
    <w:rsid w:val="00E4754C"/>
    <w:rsid w:val="00E51604"/>
    <w:rsid w:val="00E5279F"/>
    <w:rsid w:val="00E55240"/>
    <w:rsid w:val="00E55441"/>
    <w:rsid w:val="00E569F7"/>
    <w:rsid w:val="00E56E8F"/>
    <w:rsid w:val="00E5726E"/>
    <w:rsid w:val="00E57389"/>
    <w:rsid w:val="00E57A14"/>
    <w:rsid w:val="00E57C1D"/>
    <w:rsid w:val="00E57F8A"/>
    <w:rsid w:val="00E6337E"/>
    <w:rsid w:val="00E63B1C"/>
    <w:rsid w:val="00E63FF7"/>
    <w:rsid w:val="00E64130"/>
    <w:rsid w:val="00E64671"/>
    <w:rsid w:val="00E652C6"/>
    <w:rsid w:val="00E656E9"/>
    <w:rsid w:val="00E65753"/>
    <w:rsid w:val="00E65D21"/>
    <w:rsid w:val="00E667AF"/>
    <w:rsid w:val="00E67AF9"/>
    <w:rsid w:val="00E70F61"/>
    <w:rsid w:val="00E71EDC"/>
    <w:rsid w:val="00E72E64"/>
    <w:rsid w:val="00E73300"/>
    <w:rsid w:val="00E7347F"/>
    <w:rsid w:val="00E749E1"/>
    <w:rsid w:val="00E753E9"/>
    <w:rsid w:val="00E757DE"/>
    <w:rsid w:val="00E77B38"/>
    <w:rsid w:val="00E77EEF"/>
    <w:rsid w:val="00E81DAA"/>
    <w:rsid w:val="00E82171"/>
    <w:rsid w:val="00E82A5A"/>
    <w:rsid w:val="00E82F05"/>
    <w:rsid w:val="00E82F21"/>
    <w:rsid w:val="00E83187"/>
    <w:rsid w:val="00E83942"/>
    <w:rsid w:val="00E843E6"/>
    <w:rsid w:val="00E851A6"/>
    <w:rsid w:val="00E854CF"/>
    <w:rsid w:val="00E8568A"/>
    <w:rsid w:val="00E85F06"/>
    <w:rsid w:val="00E86690"/>
    <w:rsid w:val="00E8710E"/>
    <w:rsid w:val="00E877DB"/>
    <w:rsid w:val="00E87C86"/>
    <w:rsid w:val="00E90401"/>
    <w:rsid w:val="00E904C1"/>
    <w:rsid w:val="00E907A2"/>
    <w:rsid w:val="00E91265"/>
    <w:rsid w:val="00E91A0B"/>
    <w:rsid w:val="00E939B5"/>
    <w:rsid w:val="00E95D6E"/>
    <w:rsid w:val="00E966D2"/>
    <w:rsid w:val="00EA023C"/>
    <w:rsid w:val="00EA14A4"/>
    <w:rsid w:val="00EA1F82"/>
    <w:rsid w:val="00EA25A1"/>
    <w:rsid w:val="00EA2FE4"/>
    <w:rsid w:val="00EA3CED"/>
    <w:rsid w:val="00EA6090"/>
    <w:rsid w:val="00EA6293"/>
    <w:rsid w:val="00EA7190"/>
    <w:rsid w:val="00EA75D8"/>
    <w:rsid w:val="00EA7D03"/>
    <w:rsid w:val="00EA7D5A"/>
    <w:rsid w:val="00EB171B"/>
    <w:rsid w:val="00EB2311"/>
    <w:rsid w:val="00EB3A10"/>
    <w:rsid w:val="00EB69F2"/>
    <w:rsid w:val="00EB6DF1"/>
    <w:rsid w:val="00EB7B14"/>
    <w:rsid w:val="00EC04FC"/>
    <w:rsid w:val="00EC37A9"/>
    <w:rsid w:val="00EC4A25"/>
    <w:rsid w:val="00EC4AF7"/>
    <w:rsid w:val="00EC7026"/>
    <w:rsid w:val="00ED00F2"/>
    <w:rsid w:val="00ED02C5"/>
    <w:rsid w:val="00ED15F2"/>
    <w:rsid w:val="00ED2147"/>
    <w:rsid w:val="00ED2F53"/>
    <w:rsid w:val="00ED4910"/>
    <w:rsid w:val="00ED4FBD"/>
    <w:rsid w:val="00ED66A0"/>
    <w:rsid w:val="00ED74DD"/>
    <w:rsid w:val="00ED7698"/>
    <w:rsid w:val="00ED7ABB"/>
    <w:rsid w:val="00EE044B"/>
    <w:rsid w:val="00EE11F8"/>
    <w:rsid w:val="00EE1A29"/>
    <w:rsid w:val="00EE38BC"/>
    <w:rsid w:val="00EE3C1D"/>
    <w:rsid w:val="00EE575F"/>
    <w:rsid w:val="00EE5799"/>
    <w:rsid w:val="00EE59EE"/>
    <w:rsid w:val="00EE5EF0"/>
    <w:rsid w:val="00EF0012"/>
    <w:rsid w:val="00EF0FDB"/>
    <w:rsid w:val="00EF14AC"/>
    <w:rsid w:val="00EF1990"/>
    <w:rsid w:val="00EF2082"/>
    <w:rsid w:val="00EF270C"/>
    <w:rsid w:val="00EF2DEB"/>
    <w:rsid w:val="00EF3350"/>
    <w:rsid w:val="00EF388D"/>
    <w:rsid w:val="00EF4C8C"/>
    <w:rsid w:val="00EF5468"/>
    <w:rsid w:val="00EF5D92"/>
    <w:rsid w:val="00EF5EDC"/>
    <w:rsid w:val="00EF6BC5"/>
    <w:rsid w:val="00EF6CE6"/>
    <w:rsid w:val="00EF7463"/>
    <w:rsid w:val="00EF772E"/>
    <w:rsid w:val="00EF7D4F"/>
    <w:rsid w:val="00EF7E1E"/>
    <w:rsid w:val="00EF7FA9"/>
    <w:rsid w:val="00F0029B"/>
    <w:rsid w:val="00F0063B"/>
    <w:rsid w:val="00F02367"/>
    <w:rsid w:val="00F0238C"/>
    <w:rsid w:val="00F0334D"/>
    <w:rsid w:val="00F0442C"/>
    <w:rsid w:val="00F04524"/>
    <w:rsid w:val="00F0490D"/>
    <w:rsid w:val="00F07599"/>
    <w:rsid w:val="00F07951"/>
    <w:rsid w:val="00F1029B"/>
    <w:rsid w:val="00F1152C"/>
    <w:rsid w:val="00F11CD7"/>
    <w:rsid w:val="00F12172"/>
    <w:rsid w:val="00F12A1E"/>
    <w:rsid w:val="00F1356F"/>
    <w:rsid w:val="00F14FDC"/>
    <w:rsid w:val="00F17F9B"/>
    <w:rsid w:val="00F220AC"/>
    <w:rsid w:val="00F22835"/>
    <w:rsid w:val="00F2315C"/>
    <w:rsid w:val="00F244A8"/>
    <w:rsid w:val="00F24C39"/>
    <w:rsid w:val="00F24FA6"/>
    <w:rsid w:val="00F25846"/>
    <w:rsid w:val="00F25F6C"/>
    <w:rsid w:val="00F30174"/>
    <w:rsid w:val="00F30842"/>
    <w:rsid w:val="00F318F6"/>
    <w:rsid w:val="00F326A0"/>
    <w:rsid w:val="00F329AE"/>
    <w:rsid w:val="00F33342"/>
    <w:rsid w:val="00F33363"/>
    <w:rsid w:val="00F339D3"/>
    <w:rsid w:val="00F33A50"/>
    <w:rsid w:val="00F340D8"/>
    <w:rsid w:val="00F348D5"/>
    <w:rsid w:val="00F34B21"/>
    <w:rsid w:val="00F34FDC"/>
    <w:rsid w:val="00F36B8C"/>
    <w:rsid w:val="00F37101"/>
    <w:rsid w:val="00F376F8"/>
    <w:rsid w:val="00F379CB"/>
    <w:rsid w:val="00F40B05"/>
    <w:rsid w:val="00F42209"/>
    <w:rsid w:val="00F43593"/>
    <w:rsid w:val="00F43F18"/>
    <w:rsid w:val="00F44272"/>
    <w:rsid w:val="00F45F6B"/>
    <w:rsid w:val="00F46241"/>
    <w:rsid w:val="00F462D3"/>
    <w:rsid w:val="00F4654B"/>
    <w:rsid w:val="00F4763F"/>
    <w:rsid w:val="00F526EB"/>
    <w:rsid w:val="00F53EA1"/>
    <w:rsid w:val="00F541C6"/>
    <w:rsid w:val="00F54ED3"/>
    <w:rsid w:val="00F551B6"/>
    <w:rsid w:val="00F551E1"/>
    <w:rsid w:val="00F553C3"/>
    <w:rsid w:val="00F567E2"/>
    <w:rsid w:val="00F56A65"/>
    <w:rsid w:val="00F579BD"/>
    <w:rsid w:val="00F6098F"/>
    <w:rsid w:val="00F609A0"/>
    <w:rsid w:val="00F6168D"/>
    <w:rsid w:val="00F616A2"/>
    <w:rsid w:val="00F61A8C"/>
    <w:rsid w:val="00F626E9"/>
    <w:rsid w:val="00F6274E"/>
    <w:rsid w:val="00F6311F"/>
    <w:rsid w:val="00F64243"/>
    <w:rsid w:val="00F6521D"/>
    <w:rsid w:val="00F65B1D"/>
    <w:rsid w:val="00F65F1A"/>
    <w:rsid w:val="00F66071"/>
    <w:rsid w:val="00F661C5"/>
    <w:rsid w:val="00F66FE3"/>
    <w:rsid w:val="00F67C7E"/>
    <w:rsid w:val="00F67D3D"/>
    <w:rsid w:val="00F70118"/>
    <w:rsid w:val="00F702B4"/>
    <w:rsid w:val="00F7059A"/>
    <w:rsid w:val="00F7092F"/>
    <w:rsid w:val="00F7122D"/>
    <w:rsid w:val="00F71B73"/>
    <w:rsid w:val="00F71C6A"/>
    <w:rsid w:val="00F72400"/>
    <w:rsid w:val="00F73ABB"/>
    <w:rsid w:val="00F73CA5"/>
    <w:rsid w:val="00F756C3"/>
    <w:rsid w:val="00F75BFA"/>
    <w:rsid w:val="00F75FAA"/>
    <w:rsid w:val="00F7637D"/>
    <w:rsid w:val="00F766D1"/>
    <w:rsid w:val="00F76D6E"/>
    <w:rsid w:val="00F76FE9"/>
    <w:rsid w:val="00F770B2"/>
    <w:rsid w:val="00F7710B"/>
    <w:rsid w:val="00F774FD"/>
    <w:rsid w:val="00F779FB"/>
    <w:rsid w:val="00F81126"/>
    <w:rsid w:val="00F81A68"/>
    <w:rsid w:val="00F81C42"/>
    <w:rsid w:val="00F81E0F"/>
    <w:rsid w:val="00F83687"/>
    <w:rsid w:val="00F83BCA"/>
    <w:rsid w:val="00F83EF1"/>
    <w:rsid w:val="00F85145"/>
    <w:rsid w:val="00F85583"/>
    <w:rsid w:val="00F855F2"/>
    <w:rsid w:val="00F87E4B"/>
    <w:rsid w:val="00F907C2"/>
    <w:rsid w:val="00F90C99"/>
    <w:rsid w:val="00F9109B"/>
    <w:rsid w:val="00F9193F"/>
    <w:rsid w:val="00F92064"/>
    <w:rsid w:val="00F9218C"/>
    <w:rsid w:val="00F92391"/>
    <w:rsid w:val="00F933D6"/>
    <w:rsid w:val="00F93B6F"/>
    <w:rsid w:val="00F94689"/>
    <w:rsid w:val="00F94AFB"/>
    <w:rsid w:val="00F95B2B"/>
    <w:rsid w:val="00F95D4C"/>
    <w:rsid w:val="00F95E68"/>
    <w:rsid w:val="00F96183"/>
    <w:rsid w:val="00F96927"/>
    <w:rsid w:val="00F96972"/>
    <w:rsid w:val="00F96C25"/>
    <w:rsid w:val="00F976F5"/>
    <w:rsid w:val="00F97F0A"/>
    <w:rsid w:val="00FA0B0D"/>
    <w:rsid w:val="00FA2565"/>
    <w:rsid w:val="00FA2C53"/>
    <w:rsid w:val="00FA2CD5"/>
    <w:rsid w:val="00FA3CDB"/>
    <w:rsid w:val="00FA53A3"/>
    <w:rsid w:val="00FA57BD"/>
    <w:rsid w:val="00FA5B97"/>
    <w:rsid w:val="00FA6F95"/>
    <w:rsid w:val="00FA71DF"/>
    <w:rsid w:val="00FA74BA"/>
    <w:rsid w:val="00FA78C0"/>
    <w:rsid w:val="00FA7B9D"/>
    <w:rsid w:val="00FB0524"/>
    <w:rsid w:val="00FB1EB1"/>
    <w:rsid w:val="00FB1F10"/>
    <w:rsid w:val="00FB2F36"/>
    <w:rsid w:val="00FB30D6"/>
    <w:rsid w:val="00FB44D2"/>
    <w:rsid w:val="00FB4C7A"/>
    <w:rsid w:val="00FB523A"/>
    <w:rsid w:val="00FB55B1"/>
    <w:rsid w:val="00FB663C"/>
    <w:rsid w:val="00FB66DC"/>
    <w:rsid w:val="00FB6957"/>
    <w:rsid w:val="00FB701D"/>
    <w:rsid w:val="00FC1055"/>
    <w:rsid w:val="00FC1E5E"/>
    <w:rsid w:val="00FC2A45"/>
    <w:rsid w:val="00FC2AB0"/>
    <w:rsid w:val="00FC421F"/>
    <w:rsid w:val="00FC51B4"/>
    <w:rsid w:val="00FC6324"/>
    <w:rsid w:val="00FC635B"/>
    <w:rsid w:val="00FC7B0A"/>
    <w:rsid w:val="00FC7F31"/>
    <w:rsid w:val="00FD0B7F"/>
    <w:rsid w:val="00FD0C72"/>
    <w:rsid w:val="00FD253E"/>
    <w:rsid w:val="00FD327B"/>
    <w:rsid w:val="00FD336A"/>
    <w:rsid w:val="00FD3D8C"/>
    <w:rsid w:val="00FD5848"/>
    <w:rsid w:val="00FD7577"/>
    <w:rsid w:val="00FD7585"/>
    <w:rsid w:val="00FE1900"/>
    <w:rsid w:val="00FE2857"/>
    <w:rsid w:val="00FE2D3E"/>
    <w:rsid w:val="00FE3270"/>
    <w:rsid w:val="00FE4247"/>
    <w:rsid w:val="00FE5257"/>
    <w:rsid w:val="00FE5E54"/>
    <w:rsid w:val="00FE5EA3"/>
    <w:rsid w:val="00FF00DD"/>
    <w:rsid w:val="00FF052A"/>
    <w:rsid w:val="00FF230D"/>
    <w:rsid w:val="00FF2404"/>
    <w:rsid w:val="00FF2FAD"/>
    <w:rsid w:val="00FF4446"/>
    <w:rsid w:val="00FF53C9"/>
    <w:rsid w:val="00FF5881"/>
    <w:rsid w:val="00FF6CF3"/>
    <w:rsid w:val="00FF79E4"/>
    <w:rsid w:val="00FF7E2A"/>
    <w:rsid w:val="13AC18A4"/>
    <w:rsid w:val="4C8D4150"/>
    <w:rsid w:val="6A6C0E34"/>
  </w:rsids>
  <m:mathPr>
    <m:mathFont m:val="Cambria Math"/>
    <m:brkBin m:val="before"/>
    <m:brkBinSub m:val="--"/>
    <m:smallFrac m:val="0"/>
    <m:dispDef/>
    <m:lMargin m:val="0"/>
    <m:rMargin m:val="0"/>
    <m:defJc m:val="centerGroup"/>
    <m:wrapIndent m:val="1440"/>
    <m:intLim m:val="subSup"/>
    <m:naryLim m:val="undOvr"/>
  </m:mathPr>
  <w:themeFontLang w:val="en-US" w:eastAsia="ko-KR" w:bidi="hi-IN"/>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48E10C00"/>
  <w15:docId w15:val="{D1729AE9-14A3-43C7-8A59-B1C705EA8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locked="1"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03134A"/>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03134A"/>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03134A"/>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03134A"/>
    <w:pPr>
      <w:keepNext/>
      <w:tabs>
        <w:tab w:val="left" w:pos="432"/>
      </w:tabs>
      <w:spacing w:after="120" w:line="240" w:lineRule="auto"/>
      <w:ind w:left="432" w:hanging="432"/>
      <w:outlineLvl w:val="2"/>
    </w:pPr>
    <w:rPr>
      <w:rFonts w:ascii="Arial Black" w:hAnsi="Arial Black"/>
      <w:sz w:val="22"/>
    </w:rPr>
  </w:style>
  <w:style w:type="paragraph" w:styleId="Heading4">
    <w:name w:val="heading 4"/>
    <w:aliases w:val="Heading 4 (business proposal only)"/>
    <w:basedOn w:val="Normal"/>
    <w:next w:val="NormalSS"/>
    <w:link w:val="Heading4Char"/>
    <w:qFormat/>
    <w:rsid w:val="0003134A"/>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qFormat/>
    <w:rsid w:val="0003134A"/>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qFormat/>
    <w:rsid w:val="0003134A"/>
    <w:pPr>
      <w:keepNext/>
      <w:numPr>
        <w:ilvl w:val="5"/>
        <w:numId w:val="8"/>
      </w:numPr>
      <w:spacing w:after="120" w:line="240" w:lineRule="auto"/>
      <w:outlineLvl w:val="5"/>
    </w:pPr>
  </w:style>
  <w:style w:type="paragraph" w:styleId="Heading7">
    <w:name w:val="heading 7"/>
    <w:aliases w:val="Heading 7 (business proposal only)"/>
    <w:basedOn w:val="Normal"/>
    <w:next w:val="Normal"/>
    <w:link w:val="Heading7Char"/>
    <w:qFormat/>
    <w:rsid w:val="0003134A"/>
    <w:pPr>
      <w:keepNext/>
      <w:numPr>
        <w:ilvl w:val="6"/>
        <w:numId w:val="8"/>
      </w:numPr>
      <w:spacing w:after="120" w:line="240" w:lineRule="auto"/>
      <w:outlineLvl w:val="6"/>
    </w:pPr>
  </w:style>
  <w:style w:type="paragraph" w:styleId="Heading8">
    <w:name w:val="heading 8"/>
    <w:aliases w:val="Heading 8 (business proposal only)"/>
    <w:basedOn w:val="Normal"/>
    <w:next w:val="Normal"/>
    <w:link w:val="Heading8Char"/>
    <w:qFormat/>
    <w:rsid w:val="0003134A"/>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qFormat/>
    <w:rsid w:val="0003134A"/>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03134A"/>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03134A"/>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03134A"/>
    <w:rPr>
      <w:rFonts w:ascii="Tahoma" w:eastAsia="Times New Roman" w:hAnsi="Tahoma" w:cs="Tahoma"/>
      <w:sz w:val="16"/>
      <w:szCs w:val="16"/>
    </w:rPr>
  </w:style>
  <w:style w:type="paragraph" w:customStyle="1" w:styleId="Bullet">
    <w:name w:val="Bullet"/>
    <w:basedOn w:val="Normal"/>
    <w:qFormat/>
    <w:rsid w:val="0003134A"/>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03134A"/>
    <w:pPr>
      <w:numPr>
        <w:numId w:val="2"/>
      </w:numPr>
      <w:spacing w:after="240"/>
      <w:ind w:left="432" w:hanging="432"/>
    </w:pPr>
  </w:style>
  <w:style w:type="paragraph" w:customStyle="1" w:styleId="BulletLastDS">
    <w:name w:val="Bullet (Last DS)"/>
    <w:basedOn w:val="Bullet"/>
    <w:next w:val="Normal"/>
    <w:qFormat/>
    <w:rsid w:val="0003134A"/>
    <w:pPr>
      <w:numPr>
        <w:numId w:val="3"/>
      </w:numPr>
      <w:spacing w:after="320"/>
      <w:ind w:left="432" w:hanging="432"/>
    </w:pPr>
  </w:style>
  <w:style w:type="paragraph" w:customStyle="1" w:styleId="Center">
    <w:name w:val="Center"/>
    <w:basedOn w:val="Normal"/>
    <w:unhideWhenUsed/>
    <w:rsid w:val="0003134A"/>
    <w:pPr>
      <w:ind w:firstLine="0"/>
      <w:jc w:val="center"/>
    </w:pPr>
  </w:style>
  <w:style w:type="paragraph" w:customStyle="1" w:styleId="Dash">
    <w:name w:val="Dash"/>
    <w:basedOn w:val="Normal"/>
    <w:qFormat/>
    <w:rsid w:val="0003134A"/>
    <w:pPr>
      <w:numPr>
        <w:numId w:val="4"/>
      </w:numPr>
      <w:tabs>
        <w:tab w:val="left" w:pos="288"/>
      </w:tabs>
      <w:spacing w:after="120" w:line="240" w:lineRule="auto"/>
    </w:pPr>
  </w:style>
  <w:style w:type="paragraph" w:customStyle="1" w:styleId="DashLASTSS">
    <w:name w:val="Dash (LAST SS)"/>
    <w:basedOn w:val="Dash"/>
    <w:next w:val="NormalSS"/>
    <w:qFormat/>
    <w:rsid w:val="0003134A"/>
    <w:pPr>
      <w:numPr>
        <w:numId w:val="5"/>
      </w:numPr>
      <w:spacing w:after="240"/>
    </w:pPr>
  </w:style>
  <w:style w:type="paragraph" w:customStyle="1" w:styleId="DashLASTDS">
    <w:name w:val="Dash (LAST DS)"/>
    <w:basedOn w:val="Dash"/>
    <w:next w:val="Normal"/>
    <w:qFormat/>
    <w:rsid w:val="0003134A"/>
    <w:pPr>
      <w:spacing w:after="320"/>
    </w:pPr>
    <w:rPr>
      <w:szCs w:val="24"/>
    </w:rPr>
  </w:style>
  <w:style w:type="paragraph" w:styleId="Footer">
    <w:name w:val="footer"/>
    <w:basedOn w:val="Normal"/>
    <w:link w:val="FooterChar"/>
    <w:uiPriority w:val="99"/>
    <w:qFormat/>
    <w:rsid w:val="0003134A"/>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03134A"/>
    <w:rPr>
      <w:rFonts w:ascii="Arial" w:eastAsia="Times New Roman" w:hAnsi="Arial" w:cs="Times New Roman"/>
      <w:sz w:val="20"/>
      <w:szCs w:val="20"/>
    </w:rPr>
  </w:style>
  <w:style w:type="paragraph" w:styleId="DocumentMap">
    <w:name w:val="Document Map"/>
    <w:basedOn w:val="Normal"/>
    <w:link w:val="DocumentMapChar"/>
    <w:semiHidden/>
    <w:unhideWhenUsed/>
    <w:rsid w:val="0003134A"/>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03134A"/>
    <w:rPr>
      <w:rFonts w:asciiTheme="majorHAnsi" w:eastAsia="Times New Roman" w:hAnsiTheme="majorHAnsi" w:cs="Times New Roman"/>
      <w:szCs w:val="20"/>
    </w:rPr>
  </w:style>
  <w:style w:type="character" w:styleId="FootnoteReference">
    <w:name w:val="footnote reference"/>
    <w:basedOn w:val="DefaultParagraphFont"/>
    <w:qFormat/>
    <w:rsid w:val="0003134A"/>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03134A"/>
    <w:pPr>
      <w:spacing w:after="120" w:line="240" w:lineRule="auto"/>
      <w:ind w:firstLine="0"/>
    </w:pPr>
    <w:rPr>
      <w:sz w:val="20"/>
    </w:rPr>
  </w:style>
  <w:style w:type="character" w:customStyle="1" w:styleId="FootnoteTextChar">
    <w:name w:val="Footnote Text Char"/>
    <w:basedOn w:val="DefaultParagraphFont"/>
    <w:link w:val="FootnoteText"/>
    <w:rsid w:val="0003134A"/>
    <w:rPr>
      <w:rFonts w:eastAsia="Times New Roman" w:cs="Times New Roman"/>
      <w:sz w:val="20"/>
      <w:szCs w:val="20"/>
    </w:rPr>
  </w:style>
  <w:style w:type="paragraph" w:styleId="Header">
    <w:name w:val="header"/>
    <w:basedOn w:val="Normal"/>
    <w:link w:val="HeaderChar"/>
    <w:uiPriority w:val="99"/>
    <w:qFormat/>
    <w:rsid w:val="0003134A"/>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03134A"/>
    <w:rPr>
      <w:rFonts w:ascii="Arial" w:eastAsia="Times New Roman" w:hAnsi="Arial" w:cs="Times New Roman"/>
      <w:caps/>
      <w:sz w:val="16"/>
      <w:szCs w:val="20"/>
    </w:rPr>
  </w:style>
  <w:style w:type="character" w:customStyle="1" w:styleId="Heading1Char">
    <w:name w:val="Heading 1 Char"/>
    <w:basedOn w:val="DefaultParagraphFont"/>
    <w:link w:val="Heading1"/>
    <w:rsid w:val="0003134A"/>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03134A"/>
    <w:rPr>
      <w:rFonts w:ascii="Arial Black" w:eastAsia="Times New Roman" w:hAnsi="Arial Black" w:cs="Times New Roman"/>
      <w:caps/>
      <w:sz w:val="22"/>
      <w:szCs w:val="20"/>
    </w:rPr>
  </w:style>
  <w:style w:type="paragraph" w:customStyle="1" w:styleId="Heading2NoTOC">
    <w:name w:val="Heading 2_No TOC"/>
    <w:basedOn w:val="Normal"/>
    <w:next w:val="NormalSS"/>
    <w:qFormat/>
    <w:rsid w:val="00682073"/>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03134A"/>
    <w:rPr>
      <w:rFonts w:ascii="Arial Black" w:eastAsia="Times New Roman" w:hAnsi="Arial Black" w:cs="Times New Roman"/>
      <w:sz w:val="22"/>
      <w:szCs w:val="20"/>
    </w:rPr>
  </w:style>
  <w:style w:type="paragraph" w:customStyle="1" w:styleId="Heading3NoTOC">
    <w:name w:val="Heading 3_No TOC"/>
    <w:basedOn w:val="Normal"/>
    <w:next w:val="NormalSS"/>
    <w:qFormat/>
    <w:rsid w:val="0003134A"/>
    <w:pPr>
      <w:keepNext/>
      <w:spacing w:after="120" w:line="240" w:lineRule="auto"/>
      <w:ind w:left="432" w:hanging="432"/>
    </w:pPr>
    <w:rPr>
      <w:rFonts w:ascii="Arial Black" w:hAnsi="Arial Black"/>
      <w:sz w:val="22"/>
    </w:rPr>
  </w:style>
  <w:style w:type="character" w:customStyle="1" w:styleId="Heading4Char">
    <w:name w:val="Heading 4 Char"/>
    <w:aliases w:val="Heading 4 (business proposal only) Char"/>
    <w:basedOn w:val="DefaultParagraphFont"/>
    <w:link w:val="Heading4"/>
    <w:rsid w:val="0003134A"/>
    <w:rPr>
      <w:rFonts w:eastAsia="Times New Roman" w:cs="Times New Roman"/>
      <w:b/>
      <w:szCs w:val="20"/>
    </w:rPr>
  </w:style>
  <w:style w:type="character" w:customStyle="1" w:styleId="Heading5Char">
    <w:name w:val="Heading 5 Char"/>
    <w:aliases w:val="Heading 5 (business proposal only) Char"/>
    <w:basedOn w:val="DefaultParagraphFont"/>
    <w:link w:val="Heading5"/>
    <w:semiHidden/>
    <w:rsid w:val="0003134A"/>
    <w:rPr>
      <w:rFonts w:eastAsia="Times New Roman" w:cs="Times New Roman"/>
      <w:b/>
      <w:szCs w:val="20"/>
    </w:rPr>
  </w:style>
  <w:style w:type="character" w:customStyle="1" w:styleId="Heading6Char">
    <w:name w:val="Heading 6 Char"/>
    <w:aliases w:val="Heading 6 (business proposal only) Char"/>
    <w:basedOn w:val="DefaultParagraphFont"/>
    <w:link w:val="Heading6"/>
    <w:semiHidden/>
    <w:rsid w:val="0003134A"/>
    <w:rPr>
      <w:rFonts w:eastAsia="Times New Roman" w:cs="Times New Roman"/>
      <w:szCs w:val="20"/>
    </w:rPr>
  </w:style>
  <w:style w:type="character" w:customStyle="1" w:styleId="Heading7Char">
    <w:name w:val="Heading 7 Char"/>
    <w:aliases w:val="Heading 7 (business proposal only) Char"/>
    <w:basedOn w:val="DefaultParagraphFont"/>
    <w:link w:val="Heading7"/>
    <w:semiHidden/>
    <w:rsid w:val="0003134A"/>
    <w:rPr>
      <w:rFonts w:eastAsia="Times New Roman" w:cs="Times New Roman"/>
      <w:szCs w:val="20"/>
    </w:rPr>
  </w:style>
  <w:style w:type="character" w:customStyle="1" w:styleId="Heading8Char">
    <w:name w:val="Heading 8 Char"/>
    <w:aliases w:val="Heading 8 (business proposal only) Char"/>
    <w:basedOn w:val="DefaultParagraphFont"/>
    <w:link w:val="Heading8"/>
    <w:semiHidden/>
    <w:rsid w:val="0003134A"/>
    <w:rPr>
      <w:rFonts w:eastAsia="Times New Roman" w:cs="Times New Roman"/>
      <w:szCs w:val="20"/>
    </w:rPr>
  </w:style>
  <w:style w:type="character" w:customStyle="1" w:styleId="Heading9Char">
    <w:name w:val="Heading 9 Char"/>
    <w:aliases w:val="Heading 9 (business proposal only) Char"/>
    <w:basedOn w:val="DefaultParagraphFont"/>
    <w:link w:val="Heading9"/>
    <w:rsid w:val="0003134A"/>
    <w:rPr>
      <w:rFonts w:eastAsia="Times New Roman" w:cs="Times New Roman"/>
      <w:szCs w:val="20"/>
    </w:rPr>
  </w:style>
  <w:style w:type="paragraph" w:customStyle="1" w:styleId="MarkforAppendixHeading">
    <w:name w:val="Mark for Appendix Heading"/>
    <w:basedOn w:val="Normal"/>
    <w:next w:val="Normal"/>
    <w:qFormat/>
    <w:rsid w:val="00B805D5"/>
    <w:pPr>
      <w:spacing w:before="2640" w:after="240" w:line="240" w:lineRule="auto"/>
      <w:ind w:firstLine="0"/>
      <w:jc w:val="center"/>
      <w:outlineLvl w:val="0"/>
    </w:pPr>
    <w:rPr>
      <w:rFonts w:ascii="Arial Black" w:hAnsi="Arial Black"/>
      <w:caps/>
      <w:sz w:val="22"/>
    </w:rPr>
  </w:style>
  <w:style w:type="paragraph" w:customStyle="1" w:styleId="MarkforAttachmentHeading">
    <w:name w:val="Mark for Attachment Heading"/>
    <w:basedOn w:val="Normal"/>
    <w:next w:val="Normal"/>
    <w:qFormat/>
    <w:rsid w:val="00B805D5"/>
    <w:pPr>
      <w:spacing w:before="2640" w:after="240" w:line="240" w:lineRule="auto"/>
      <w:ind w:firstLine="0"/>
      <w:jc w:val="center"/>
      <w:outlineLvl w:val="0"/>
    </w:pPr>
    <w:rPr>
      <w:rFonts w:ascii="Arial Black" w:hAnsi="Arial Black"/>
      <w:caps/>
      <w:sz w:val="22"/>
    </w:rPr>
  </w:style>
  <w:style w:type="paragraph" w:customStyle="1" w:styleId="MarkforExhibitHeading">
    <w:name w:val="Mark for Exhibit Heading"/>
    <w:basedOn w:val="MarkforTableHeading"/>
    <w:next w:val="NormalSS"/>
    <w:qFormat/>
    <w:rsid w:val="00B805D5"/>
  </w:style>
  <w:style w:type="paragraph" w:customStyle="1" w:styleId="MarkforTableHeading">
    <w:name w:val="Mark for Table Heading"/>
    <w:basedOn w:val="Normal"/>
    <w:next w:val="NormalSS"/>
    <w:qFormat/>
    <w:rsid w:val="00B805D5"/>
    <w:pPr>
      <w:keepNext/>
      <w:spacing w:after="60" w:line="240" w:lineRule="auto"/>
      <w:ind w:firstLine="0"/>
    </w:pPr>
    <w:rPr>
      <w:rFonts w:ascii="Arial Black" w:hAnsi="Arial Black"/>
      <w:sz w:val="22"/>
    </w:rPr>
  </w:style>
  <w:style w:type="paragraph" w:customStyle="1" w:styleId="MarkforFigureHeading">
    <w:name w:val="Mark for Figure Heading"/>
    <w:basedOn w:val="MarkforTableHeading"/>
    <w:next w:val="NormalSS"/>
    <w:qFormat/>
    <w:rsid w:val="00B805D5"/>
  </w:style>
  <w:style w:type="numbering" w:customStyle="1" w:styleId="MPROutline">
    <w:name w:val="MPROutline"/>
    <w:uiPriority w:val="99"/>
    <w:locked/>
    <w:rsid w:val="0003134A"/>
    <w:pPr>
      <w:numPr>
        <w:numId w:val="6"/>
      </w:numPr>
    </w:pPr>
  </w:style>
  <w:style w:type="character" w:customStyle="1" w:styleId="MTEquationSection">
    <w:name w:val="MTEquationSection"/>
    <w:basedOn w:val="DefaultParagraphFont"/>
    <w:rsid w:val="0003134A"/>
    <w:rPr>
      <w:rFonts w:ascii="Arial" w:hAnsi="Arial"/>
      <w:vanish/>
      <w:color w:val="auto"/>
      <w:sz w:val="18"/>
    </w:rPr>
  </w:style>
  <w:style w:type="table" w:customStyle="1" w:styleId="Table">
    <w:name w:val="Table"/>
    <w:basedOn w:val="TableNormal"/>
    <w:uiPriority w:val="99"/>
    <w:qFormat/>
    <w:locked/>
    <w:rsid w:val="00B805D5"/>
    <w:pPr>
      <w:spacing w:after="0"/>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Tahoma" w:hAnsi="Tahoma"/>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paragraph" w:customStyle="1" w:styleId="Normalcontinued">
    <w:name w:val="Normal (continued)"/>
    <w:basedOn w:val="Normal"/>
    <w:next w:val="Normal"/>
    <w:qFormat/>
    <w:rsid w:val="0003134A"/>
    <w:pPr>
      <w:ind w:firstLine="0"/>
    </w:pPr>
  </w:style>
  <w:style w:type="paragraph" w:customStyle="1" w:styleId="NormalSS">
    <w:name w:val="NormalSS"/>
    <w:basedOn w:val="Normal"/>
    <w:link w:val="NormalSSChar"/>
    <w:qFormat/>
    <w:rsid w:val="0003134A"/>
    <w:pPr>
      <w:spacing w:after="240" w:line="240" w:lineRule="auto"/>
    </w:pPr>
  </w:style>
  <w:style w:type="paragraph" w:customStyle="1" w:styleId="NormalSScontinued">
    <w:name w:val="NormalSS (continued)"/>
    <w:basedOn w:val="NormalSS"/>
    <w:next w:val="NormalSS"/>
    <w:qFormat/>
    <w:rsid w:val="0003134A"/>
    <w:pPr>
      <w:ind w:firstLine="0"/>
    </w:pPr>
  </w:style>
  <w:style w:type="paragraph" w:customStyle="1" w:styleId="NumberedBullet">
    <w:name w:val="Numbered Bullet"/>
    <w:basedOn w:val="Normal"/>
    <w:link w:val="NumberedBulletChar"/>
    <w:qFormat/>
    <w:rsid w:val="0003134A"/>
    <w:pPr>
      <w:numPr>
        <w:numId w:val="35"/>
      </w:numPr>
      <w:tabs>
        <w:tab w:val="clear" w:pos="792"/>
        <w:tab w:val="left" w:pos="432"/>
      </w:tabs>
      <w:spacing w:after="120" w:line="240" w:lineRule="auto"/>
      <w:ind w:left="432" w:hanging="432"/>
    </w:pPr>
  </w:style>
  <w:style w:type="paragraph" w:customStyle="1" w:styleId="Outline">
    <w:name w:val="Outline"/>
    <w:basedOn w:val="Normal"/>
    <w:unhideWhenUsed/>
    <w:qFormat/>
    <w:rsid w:val="0003134A"/>
    <w:pPr>
      <w:spacing w:after="240" w:line="240" w:lineRule="auto"/>
      <w:ind w:left="720" w:hanging="720"/>
    </w:pPr>
  </w:style>
  <w:style w:type="character" w:styleId="PageNumber">
    <w:name w:val="page number"/>
    <w:basedOn w:val="DefaultParagraphFont"/>
    <w:semiHidden/>
    <w:qFormat/>
    <w:rsid w:val="0003134A"/>
    <w:rPr>
      <w:rFonts w:ascii="Arial" w:hAnsi="Arial"/>
      <w:color w:val="auto"/>
      <w:sz w:val="20"/>
      <w:bdr w:val="none" w:sz="0" w:space="0" w:color="auto"/>
    </w:rPr>
  </w:style>
  <w:style w:type="paragraph" w:customStyle="1" w:styleId="References">
    <w:name w:val="References"/>
    <w:basedOn w:val="Normal"/>
    <w:qFormat/>
    <w:rsid w:val="0003134A"/>
    <w:pPr>
      <w:keepLines/>
      <w:spacing w:after="240" w:line="240" w:lineRule="auto"/>
      <w:ind w:left="432" w:hanging="432"/>
    </w:pPr>
  </w:style>
  <w:style w:type="paragraph" w:customStyle="1" w:styleId="TableFootnoteCaption">
    <w:name w:val="Table Footnote_Caption"/>
    <w:qFormat/>
    <w:rsid w:val="0003134A"/>
    <w:pPr>
      <w:tabs>
        <w:tab w:val="left" w:pos="1080"/>
      </w:tabs>
      <w:spacing w:before="60" w:after="0"/>
    </w:pPr>
    <w:rPr>
      <w:rFonts w:ascii="Arial" w:eastAsia="Times New Roman" w:hAnsi="Arial" w:cs="Times New Roman"/>
      <w:sz w:val="18"/>
      <w:szCs w:val="20"/>
    </w:rPr>
  </w:style>
  <w:style w:type="table" w:styleId="TableGrid">
    <w:name w:val="Table Grid"/>
    <w:basedOn w:val="TableNormal"/>
    <w:uiPriority w:val="59"/>
    <w:rsid w:val="000313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Left">
    <w:name w:val="Table Header Left"/>
    <w:basedOn w:val="TableText"/>
    <w:next w:val="TableText"/>
    <w:qFormat/>
    <w:rsid w:val="0003134A"/>
    <w:pPr>
      <w:spacing w:before="120" w:after="60"/>
    </w:pPr>
    <w:rPr>
      <w:b/>
      <w:color w:val="FFFFFF" w:themeColor="background1"/>
    </w:rPr>
  </w:style>
  <w:style w:type="paragraph" w:customStyle="1" w:styleId="TableHeaderCenter">
    <w:name w:val="Table Header Center"/>
    <w:basedOn w:val="TableHeaderLeft"/>
    <w:qFormat/>
    <w:rsid w:val="0003134A"/>
    <w:pPr>
      <w:jc w:val="center"/>
    </w:pPr>
  </w:style>
  <w:style w:type="paragraph" w:styleId="TableofFigures">
    <w:name w:val="table of figures"/>
    <w:basedOn w:val="Normal"/>
    <w:next w:val="Normal"/>
    <w:locked/>
    <w:rsid w:val="0003134A"/>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03134A"/>
    <w:pPr>
      <w:spacing w:line="240" w:lineRule="auto"/>
      <w:ind w:firstLine="0"/>
    </w:pPr>
    <w:rPr>
      <w:rFonts w:ascii="Arial" w:hAnsi="Arial"/>
      <w:sz w:val="18"/>
    </w:rPr>
  </w:style>
  <w:style w:type="paragraph" w:customStyle="1" w:styleId="TableSourceCaption">
    <w:name w:val="Table Source_Caption"/>
    <w:qFormat/>
    <w:rsid w:val="0003134A"/>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03134A"/>
  </w:style>
  <w:style w:type="paragraph" w:customStyle="1" w:styleId="Tabletext8">
    <w:name w:val="Table text 8"/>
    <w:basedOn w:val="TableText"/>
    <w:qFormat/>
    <w:rsid w:val="0003134A"/>
    <w:rPr>
      <w:snapToGrid w:val="0"/>
      <w:sz w:val="16"/>
      <w:szCs w:val="16"/>
    </w:rPr>
  </w:style>
  <w:style w:type="paragraph" w:customStyle="1" w:styleId="TableSpace">
    <w:name w:val="TableSpace"/>
    <w:basedOn w:val="TableSourceCaption"/>
    <w:next w:val="TableFootnoteCaption"/>
    <w:semiHidden/>
    <w:qFormat/>
    <w:rsid w:val="0003134A"/>
  </w:style>
  <w:style w:type="paragraph" w:styleId="Title">
    <w:name w:val="Title"/>
    <w:basedOn w:val="Normal"/>
    <w:next w:val="Normal"/>
    <w:link w:val="TitleChar"/>
    <w:qFormat/>
    <w:rsid w:val="0003134A"/>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03134A"/>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03134A"/>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03134A"/>
    <w:pPr>
      <w:spacing w:before="0" w:after="160"/>
    </w:pPr>
  </w:style>
  <w:style w:type="paragraph" w:customStyle="1" w:styleId="TitleofDocumentNoPhoto">
    <w:name w:val="Title of Document No Photo"/>
    <w:basedOn w:val="TitleofDocumentHorizontal"/>
    <w:semiHidden/>
    <w:qFormat/>
    <w:rsid w:val="0003134A"/>
  </w:style>
  <w:style w:type="paragraph" w:styleId="TOC1">
    <w:name w:val="toc 1"/>
    <w:next w:val="Normalcontinued"/>
    <w:autoRedefine/>
    <w:qFormat/>
    <w:rsid w:val="0003134A"/>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qFormat/>
    <w:rsid w:val="0003134A"/>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03134A"/>
    <w:pPr>
      <w:tabs>
        <w:tab w:val="clear" w:pos="1080"/>
        <w:tab w:val="left" w:pos="1440"/>
      </w:tabs>
      <w:spacing w:after="120"/>
      <w:ind w:left="1440"/>
    </w:pPr>
  </w:style>
  <w:style w:type="paragraph" w:styleId="TOC4">
    <w:name w:val="toc 4"/>
    <w:next w:val="Normal"/>
    <w:autoRedefine/>
    <w:qFormat/>
    <w:rsid w:val="0003134A"/>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03134A"/>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hitesidebar">
    <w:name w:val="white sidebar"/>
    <w:basedOn w:val="Normal"/>
    <w:qFormat/>
    <w:rsid w:val="00B805D5"/>
    <w:pPr>
      <w:spacing w:after="400" w:line="240" w:lineRule="auto"/>
      <w:ind w:firstLine="0"/>
    </w:pPr>
    <w:rPr>
      <w:rFonts w:ascii="Arial Bold" w:hAnsi="Arial Bold" w:cstheme="minorHAnsi"/>
      <w:color w:val="FFFFFF" w:themeColor="background1"/>
    </w:rPr>
  </w:style>
  <w:style w:type="paragraph" w:customStyle="1" w:styleId="wwwmathematica-mprcom">
    <w:name w:val="www.mathematica-mpr.com"/>
    <w:qFormat/>
    <w:rsid w:val="0003134A"/>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03134A"/>
    <w:rPr>
      <w:rFonts w:eastAsia="Times New Roman" w:cs="Times New Roman"/>
      <w:szCs w:val="20"/>
    </w:rPr>
  </w:style>
  <w:style w:type="paragraph" w:customStyle="1" w:styleId="NumberedBulletLastDS">
    <w:name w:val="Numbered Bullet (Last DS)"/>
    <w:basedOn w:val="NumberedBullet"/>
    <w:next w:val="Normal"/>
    <w:qFormat/>
    <w:rsid w:val="0003134A"/>
    <w:pPr>
      <w:spacing w:after="320"/>
    </w:pPr>
  </w:style>
  <w:style w:type="paragraph" w:customStyle="1" w:styleId="NumberedBulletLastSS">
    <w:name w:val="Numbered Bullet (Last SS)"/>
    <w:basedOn w:val="NumberedBulletLastDS"/>
    <w:next w:val="NormalSS"/>
    <w:qFormat/>
    <w:rsid w:val="0003134A"/>
    <w:pPr>
      <w:spacing w:after="240"/>
    </w:pPr>
  </w:style>
  <w:style w:type="paragraph" w:customStyle="1" w:styleId="Heading1Black">
    <w:name w:val="Heading 1_Black"/>
    <w:basedOn w:val="Normal"/>
    <w:next w:val="Normal"/>
    <w:qFormat/>
    <w:rsid w:val="000310DF"/>
    <w:pPr>
      <w:tabs>
        <w:tab w:val="left" w:pos="432"/>
      </w:tabs>
      <w:spacing w:before="240" w:after="240" w:line="240" w:lineRule="auto"/>
      <w:ind w:firstLine="0"/>
      <w:jc w:val="center"/>
      <w:outlineLvl w:val="0"/>
    </w:pPr>
    <w:rPr>
      <w:rFonts w:ascii="Arial" w:hAnsi="Arial"/>
      <w:b/>
      <w:caps/>
      <w:szCs w:val="24"/>
    </w:rPr>
  </w:style>
  <w:style w:type="paragraph" w:styleId="ListParagraph">
    <w:name w:val="List Paragraph"/>
    <w:basedOn w:val="Normal"/>
    <w:uiPriority w:val="34"/>
    <w:qFormat/>
    <w:rsid w:val="0003134A"/>
    <w:pPr>
      <w:ind w:left="720"/>
      <w:contextualSpacing/>
    </w:pPr>
  </w:style>
  <w:style w:type="paragraph" w:customStyle="1" w:styleId="Heading2Black">
    <w:name w:val="Heading 2_Black"/>
    <w:basedOn w:val="Normal"/>
    <w:next w:val="Normal"/>
    <w:qFormat/>
    <w:rsid w:val="000310DF"/>
    <w:pPr>
      <w:keepNext/>
      <w:tabs>
        <w:tab w:val="left" w:pos="432"/>
      </w:tabs>
      <w:spacing w:after="240" w:line="240" w:lineRule="auto"/>
      <w:ind w:left="432" w:hanging="432"/>
      <w:jc w:val="both"/>
      <w:outlineLvl w:val="1"/>
    </w:pPr>
    <w:rPr>
      <w:rFonts w:ascii="Arial" w:hAnsi="Arial"/>
      <w:b/>
      <w:szCs w:val="24"/>
    </w:rPr>
  </w:style>
  <w:style w:type="character" w:styleId="CommentReference">
    <w:name w:val="annotation reference"/>
    <w:basedOn w:val="DefaultParagraphFont"/>
    <w:unhideWhenUsed/>
    <w:rsid w:val="000310DF"/>
    <w:rPr>
      <w:sz w:val="16"/>
      <w:szCs w:val="16"/>
    </w:rPr>
  </w:style>
  <w:style w:type="paragraph" w:styleId="CommentText">
    <w:name w:val="annotation text"/>
    <w:basedOn w:val="Normal"/>
    <w:link w:val="CommentTextChar"/>
    <w:uiPriority w:val="99"/>
    <w:unhideWhenUsed/>
    <w:rsid w:val="000310DF"/>
    <w:pPr>
      <w:tabs>
        <w:tab w:val="left" w:pos="432"/>
      </w:tabs>
      <w:spacing w:line="240" w:lineRule="auto"/>
      <w:jc w:val="both"/>
    </w:pPr>
    <w:rPr>
      <w:rFonts w:ascii="Garamond" w:hAnsi="Garamond"/>
      <w:sz w:val="20"/>
    </w:rPr>
  </w:style>
  <w:style w:type="character" w:customStyle="1" w:styleId="CommentTextChar">
    <w:name w:val="Comment Text Char"/>
    <w:basedOn w:val="DefaultParagraphFont"/>
    <w:link w:val="CommentText"/>
    <w:uiPriority w:val="99"/>
    <w:rsid w:val="000310DF"/>
    <w:rPr>
      <w:rFonts w:ascii="Garamond" w:eastAsia="Times New Roman" w:hAnsi="Garamond" w:cs="Times New Roman"/>
      <w:sz w:val="20"/>
      <w:szCs w:val="20"/>
    </w:rPr>
  </w:style>
  <w:style w:type="character" w:customStyle="1" w:styleId="NormalSSChar">
    <w:name w:val="NormalSS Char"/>
    <w:basedOn w:val="DefaultParagraphFont"/>
    <w:link w:val="NormalSS"/>
    <w:rsid w:val="000310DF"/>
    <w:rPr>
      <w:rFonts w:eastAsia="Times New Roman" w:cs="Times New Roman"/>
      <w:szCs w:val="20"/>
    </w:rPr>
  </w:style>
  <w:style w:type="paragraph" w:customStyle="1" w:styleId="BulletBlack">
    <w:name w:val="Bullet_Black"/>
    <w:basedOn w:val="Normal"/>
    <w:qFormat/>
    <w:rsid w:val="000310DF"/>
    <w:pPr>
      <w:numPr>
        <w:numId w:val="10"/>
      </w:numPr>
      <w:tabs>
        <w:tab w:val="left" w:pos="360"/>
      </w:tabs>
      <w:spacing w:after="120" w:line="240" w:lineRule="auto"/>
      <w:ind w:right="360"/>
      <w:jc w:val="both"/>
    </w:pPr>
    <w:rPr>
      <w:rFonts w:ascii="Garamond" w:hAnsi="Garamond"/>
      <w:szCs w:val="24"/>
    </w:rPr>
  </w:style>
  <w:style w:type="character" w:styleId="Emphasis">
    <w:name w:val="Emphasis"/>
    <w:basedOn w:val="DefaultParagraphFont"/>
    <w:uiPriority w:val="20"/>
    <w:qFormat/>
    <w:rsid w:val="00C046AC"/>
    <w:rPr>
      <w:i/>
      <w:iCs/>
    </w:rPr>
  </w:style>
  <w:style w:type="character" w:customStyle="1" w:styleId="apple-converted-space">
    <w:name w:val="apple-converted-space"/>
    <w:basedOn w:val="DefaultParagraphFont"/>
    <w:rsid w:val="00C046AC"/>
  </w:style>
  <w:style w:type="character" w:styleId="Strong">
    <w:name w:val="Strong"/>
    <w:basedOn w:val="DefaultParagraphFont"/>
    <w:uiPriority w:val="22"/>
    <w:qFormat/>
    <w:rsid w:val="00C046AC"/>
    <w:rPr>
      <w:b/>
      <w:bCs/>
    </w:rPr>
  </w:style>
  <w:style w:type="table" w:customStyle="1" w:styleId="SMPRTableBlue">
    <w:name w:val="SMPR_Table_Blue"/>
    <w:basedOn w:val="TableNormal"/>
    <w:uiPriority w:val="99"/>
    <w:rsid w:val="00C046AC"/>
    <w:pPr>
      <w:spacing w:after="0"/>
    </w:pPr>
    <w:rPr>
      <w:rFonts w:ascii="Arial" w:eastAsia="Times New Roman" w:hAnsi="Arial" w:cs="Times New Roman"/>
      <w:sz w:val="20"/>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TableNormal"/>
    <w:uiPriority w:val="99"/>
    <w:rsid w:val="00C046AC"/>
    <w:pPr>
      <w:spacing w:after="0"/>
    </w:pPr>
    <w:rPr>
      <w:rFonts w:ascii="Arial" w:eastAsia="Times New Roman" w:hAnsi="Arial" w:cs="Times New Roman"/>
      <w:sz w:val="20"/>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CommentSubject">
    <w:name w:val="annotation subject"/>
    <w:basedOn w:val="CommentText"/>
    <w:next w:val="CommentText"/>
    <w:link w:val="CommentSubjectChar"/>
    <w:uiPriority w:val="99"/>
    <w:semiHidden/>
    <w:unhideWhenUsed/>
    <w:rsid w:val="002819D7"/>
    <w:pPr>
      <w:tabs>
        <w:tab w:val="clear" w:pos="432"/>
      </w:tabs>
      <w:jc w:val="left"/>
    </w:pPr>
    <w:rPr>
      <w:rFonts w:ascii="Times New Roman" w:hAnsi="Times New Roman"/>
      <w:b/>
      <w:bCs/>
    </w:rPr>
  </w:style>
  <w:style w:type="character" w:customStyle="1" w:styleId="CommentSubjectChar">
    <w:name w:val="Comment Subject Char"/>
    <w:basedOn w:val="CommentTextChar"/>
    <w:link w:val="CommentSubject"/>
    <w:rsid w:val="002819D7"/>
    <w:rPr>
      <w:rFonts w:ascii="Garamond" w:eastAsia="Times New Roman" w:hAnsi="Garamond" w:cs="Times New Roman"/>
      <w:b/>
      <w:bCs/>
      <w:sz w:val="20"/>
      <w:szCs w:val="20"/>
    </w:rPr>
  </w:style>
  <w:style w:type="character" w:styleId="Hyperlink">
    <w:name w:val="Hyperlink"/>
    <w:basedOn w:val="DefaultParagraphFont"/>
    <w:uiPriority w:val="99"/>
    <w:rsid w:val="007C749C"/>
    <w:rPr>
      <w:color w:val="0000FF"/>
      <w:u w:val="single"/>
    </w:rPr>
  </w:style>
  <w:style w:type="paragraph" w:styleId="Revision">
    <w:name w:val="Revision"/>
    <w:hidden/>
    <w:uiPriority w:val="99"/>
    <w:semiHidden/>
    <w:rsid w:val="00B00728"/>
    <w:pPr>
      <w:spacing w:after="0"/>
    </w:pPr>
    <w:rPr>
      <w:rFonts w:eastAsia="Times New Roman" w:cs="Times New Roman"/>
      <w:szCs w:val="20"/>
    </w:rPr>
  </w:style>
  <w:style w:type="paragraph" w:customStyle="1" w:styleId="Heading2Blue">
    <w:name w:val="Heading 2_Blue"/>
    <w:basedOn w:val="Heading2Black"/>
    <w:next w:val="Normal"/>
    <w:qFormat/>
    <w:rsid w:val="00CA6993"/>
    <w:rPr>
      <w:color w:val="345294"/>
    </w:rPr>
  </w:style>
  <w:style w:type="table" w:styleId="LightShading-Accent2">
    <w:name w:val="Light Shading Accent 2"/>
    <w:basedOn w:val="TableNormal"/>
    <w:uiPriority w:val="60"/>
    <w:locked/>
    <w:rsid w:val="00685343"/>
    <w:pPr>
      <w:spacing w:after="0"/>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EndnoteReference">
    <w:name w:val="endnote reference"/>
    <w:basedOn w:val="DefaultParagraphFont"/>
    <w:semiHidden/>
    <w:rsid w:val="00525944"/>
    <w:rPr>
      <w:vertAlign w:val="superscript"/>
    </w:rPr>
  </w:style>
  <w:style w:type="paragraph" w:customStyle="1" w:styleId="MarkforAttachmentHeadingRed">
    <w:name w:val="Mark for Attachment Heading_Red"/>
    <w:basedOn w:val="Normal"/>
    <w:next w:val="Normal"/>
    <w:qFormat/>
    <w:rsid w:val="00525944"/>
    <w:pPr>
      <w:spacing w:after="200" w:line="276" w:lineRule="auto"/>
      <w:ind w:firstLine="0"/>
      <w:jc w:val="center"/>
      <w:outlineLvl w:val="0"/>
    </w:pPr>
    <w:rPr>
      <w:rFonts w:ascii="Arial" w:eastAsiaTheme="minorHAnsi" w:hAnsi="Arial" w:cstheme="minorBidi"/>
      <w:b/>
      <w:caps/>
      <w:color w:val="C00000"/>
      <w:sz w:val="22"/>
      <w:szCs w:val="22"/>
    </w:rPr>
  </w:style>
  <w:style w:type="paragraph" w:customStyle="1" w:styleId="MarkforAppendixTitle">
    <w:name w:val="Mark for Appendix Title"/>
    <w:basedOn w:val="Normal"/>
    <w:next w:val="Normal"/>
    <w:qFormat/>
    <w:rsid w:val="0003134A"/>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03134A"/>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3134A"/>
  </w:style>
  <w:style w:type="paragraph" w:customStyle="1" w:styleId="MarkforTableTitle">
    <w:name w:val="Mark for Table Title"/>
    <w:basedOn w:val="Normal"/>
    <w:next w:val="NormalSS"/>
    <w:qFormat/>
    <w:rsid w:val="0003134A"/>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03134A"/>
  </w:style>
  <w:style w:type="table" w:customStyle="1" w:styleId="LightList1">
    <w:name w:val="Light List1"/>
    <w:basedOn w:val="TableNormal"/>
    <w:uiPriority w:val="61"/>
    <w:locked/>
    <w:rsid w:val="00523CDC"/>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2">
    <w:name w:val="Light List2"/>
    <w:basedOn w:val="TableNormal"/>
    <w:uiPriority w:val="61"/>
    <w:locked/>
    <w:rsid w:val="00253988"/>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3">
    <w:name w:val="Light List3"/>
    <w:basedOn w:val="TableNormal"/>
    <w:uiPriority w:val="61"/>
    <w:locked/>
    <w:rsid w:val="00261ED8"/>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4">
    <w:name w:val="Light List4"/>
    <w:basedOn w:val="TableNormal"/>
    <w:uiPriority w:val="61"/>
    <w:locked/>
    <w:rsid w:val="00C609AF"/>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
    <w:name w:val="Light List"/>
    <w:basedOn w:val="TableNormal"/>
    <w:uiPriority w:val="61"/>
    <w:locked/>
    <w:rsid w:val="0003134A"/>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documentnumber">
    <w:name w:val="document_number"/>
    <w:basedOn w:val="DefaultParagraphFont"/>
    <w:rsid w:val="00E77B38"/>
  </w:style>
  <w:style w:type="paragraph" w:customStyle="1" w:styleId="covertitle">
    <w:name w:val="cover title"/>
    <w:basedOn w:val="Normal"/>
    <w:qFormat/>
    <w:rsid w:val="00615420"/>
    <w:pPr>
      <w:pBdr>
        <w:top w:val="single" w:sz="4" w:space="5" w:color="auto"/>
        <w:bottom w:val="single" w:sz="4" w:space="5" w:color="auto"/>
      </w:pBdr>
      <w:spacing w:after="184" w:line="440" w:lineRule="exact"/>
      <w:ind w:firstLine="0"/>
    </w:pPr>
    <w:rPr>
      <w:rFonts w:ascii="Arial Black" w:hAnsi="Arial Black"/>
      <w:noProof/>
      <w:color w:val="E70033"/>
      <w:sz w:val="37"/>
      <w:szCs w:val="26"/>
    </w:rPr>
  </w:style>
  <w:style w:type="paragraph" w:customStyle="1" w:styleId="coverdate">
    <w:name w:val="cover date"/>
    <w:qFormat/>
    <w:rsid w:val="00615420"/>
    <w:pPr>
      <w:spacing w:after="0" w:line="440" w:lineRule="exact"/>
    </w:pPr>
    <w:rPr>
      <w:rFonts w:ascii="Arial" w:eastAsia="Times New Roman" w:hAnsi="Arial" w:cs="Times New Roman"/>
      <w:sz w:val="34"/>
      <w:szCs w:val="26"/>
    </w:rPr>
  </w:style>
  <w:style w:type="paragraph" w:customStyle="1" w:styleId="covertext">
    <w:name w:val="cover text"/>
    <w:qFormat/>
    <w:rsid w:val="00615420"/>
    <w:pPr>
      <w:spacing w:after="100" w:line="260" w:lineRule="exact"/>
    </w:pPr>
    <w:rPr>
      <w:rFonts w:ascii="Arial" w:eastAsia="Times New Roman" w:hAnsi="Arial" w:cs="Times New Roman"/>
      <w:sz w:val="16"/>
      <w:szCs w:val="19"/>
    </w:rPr>
  </w:style>
  <w:style w:type="paragraph" w:customStyle="1" w:styleId="covertextnoline">
    <w:name w:val="cover text (no line)"/>
    <w:basedOn w:val="Normal"/>
    <w:qFormat/>
    <w:rsid w:val="00615420"/>
    <w:pPr>
      <w:spacing w:line="240" w:lineRule="auto"/>
      <w:ind w:firstLine="0"/>
    </w:pPr>
    <w:rPr>
      <w:rFonts w:ascii="Arial Black" w:hAnsi="Arial Black"/>
      <w:noProof/>
      <w:sz w:val="16"/>
      <w:szCs w:val="19"/>
    </w:rPr>
  </w:style>
  <w:style w:type="paragraph" w:customStyle="1" w:styleId="Heading4NoTOC">
    <w:name w:val="Heading 4_No TOC"/>
    <w:basedOn w:val="Heading4"/>
    <w:next w:val="NormalSS"/>
    <w:semiHidden/>
    <w:qFormat/>
    <w:rsid w:val="0003134A"/>
    <w:pPr>
      <w:outlineLvl w:val="9"/>
    </w:pPr>
  </w:style>
  <w:style w:type="table" w:customStyle="1" w:styleId="MPRBaseTable">
    <w:name w:val="MPR Base Table"/>
    <w:basedOn w:val="TableNormal"/>
    <w:uiPriority w:val="99"/>
    <w:rsid w:val="0003134A"/>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03134A"/>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03134A"/>
    <w:pPr>
      <w:ind w:left="432" w:hanging="432"/>
      <w:outlineLvl w:val="1"/>
    </w:pPr>
  </w:style>
  <w:style w:type="character" w:customStyle="1" w:styleId="H1TitleChar">
    <w:name w:val="H1_Title Char"/>
    <w:basedOn w:val="DefaultParagraphFont"/>
    <w:link w:val="H1Title"/>
    <w:rsid w:val="0003134A"/>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03134A"/>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03134A"/>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03134A"/>
    <w:pPr>
      <w:outlineLvl w:val="9"/>
    </w:pPr>
  </w:style>
  <w:style w:type="character" w:customStyle="1" w:styleId="H3AlphaChar">
    <w:name w:val="H3_Alpha Char"/>
    <w:basedOn w:val="Heading2Char"/>
    <w:link w:val="H3Alpha"/>
    <w:rsid w:val="0003134A"/>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03134A"/>
    <w:pPr>
      <w:outlineLvl w:val="3"/>
    </w:pPr>
    <w:rPr>
      <w:b/>
    </w:rPr>
  </w:style>
  <w:style w:type="character" w:customStyle="1" w:styleId="H3AlphaNoTOCChar">
    <w:name w:val="H3_Alpha_No TOC Char"/>
    <w:basedOn w:val="H3AlphaChar"/>
    <w:link w:val="H3AlphaNoTOC"/>
    <w:rsid w:val="0003134A"/>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03134A"/>
    <w:pPr>
      <w:outlineLvl w:val="9"/>
    </w:pPr>
  </w:style>
  <w:style w:type="character" w:customStyle="1" w:styleId="H4NumberChar">
    <w:name w:val="H4_Number Char"/>
    <w:basedOn w:val="Heading3Char"/>
    <w:link w:val="H4Number"/>
    <w:rsid w:val="0003134A"/>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03134A"/>
    <w:pPr>
      <w:outlineLvl w:val="4"/>
    </w:pPr>
  </w:style>
  <w:style w:type="character" w:customStyle="1" w:styleId="H4NumberNoTOCChar">
    <w:name w:val="H4_Number_No TOC Char"/>
    <w:basedOn w:val="H4NumberChar"/>
    <w:link w:val="H4NumberNoTOC"/>
    <w:rsid w:val="0003134A"/>
    <w:rPr>
      <w:rFonts w:ascii="Arial Black" w:eastAsia="Times New Roman" w:hAnsi="Arial Black" w:cs="Times New Roman"/>
      <w:b/>
      <w:sz w:val="22"/>
      <w:szCs w:val="20"/>
    </w:rPr>
  </w:style>
  <w:style w:type="character" w:customStyle="1" w:styleId="H5LowerChar">
    <w:name w:val="H5_Lower Char"/>
    <w:basedOn w:val="Heading4Char"/>
    <w:link w:val="H5Lower"/>
    <w:rsid w:val="0003134A"/>
    <w:rPr>
      <w:rFonts w:eastAsia="Times New Roman" w:cs="Times New Roman"/>
      <w:b/>
      <w:szCs w:val="20"/>
    </w:rPr>
  </w:style>
  <w:style w:type="character" w:styleId="FollowedHyperlink">
    <w:name w:val="FollowedHyperlink"/>
    <w:basedOn w:val="DefaultParagraphFont"/>
    <w:uiPriority w:val="99"/>
    <w:semiHidden/>
    <w:unhideWhenUsed/>
    <w:rsid w:val="0044677E"/>
    <w:rPr>
      <w:color w:val="800080" w:themeColor="followedHyperlink"/>
      <w:u w:val="single"/>
    </w:rPr>
  </w:style>
  <w:style w:type="paragraph" w:styleId="BodyText">
    <w:name w:val="Body Text"/>
    <w:basedOn w:val="Normal"/>
    <w:link w:val="BodyTextChar"/>
    <w:qFormat/>
    <w:rsid w:val="001E7EA5"/>
    <w:pPr>
      <w:spacing w:before="120" w:after="120" w:line="240" w:lineRule="auto"/>
      <w:ind w:firstLine="0"/>
    </w:pPr>
    <w:rPr>
      <w:rFonts w:asciiTheme="minorHAnsi" w:eastAsiaTheme="minorHAnsi" w:hAnsiTheme="minorHAnsi" w:cstheme="minorBidi"/>
      <w:szCs w:val="22"/>
    </w:rPr>
  </w:style>
  <w:style w:type="character" w:customStyle="1" w:styleId="BodyTextChar">
    <w:name w:val="Body Text Char"/>
    <w:basedOn w:val="DefaultParagraphFont"/>
    <w:link w:val="BodyText"/>
    <w:rsid w:val="001E7EA5"/>
    <w:rPr>
      <w:rFonts w:asciiTheme="minorHAnsi" w:eastAsiaTheme="minorHAnsi" w:hAnsiTheme="minorHAnsi"/>
      <w:szCs w:val="22"/>
    </w:rPr>
  </w:style>
  <w:style w:type="paragraph" w:customStyle="1" w:styleId="Bullet1">
    <w:name w:val="Bullet 1"/>
    <w:basedOn w:val="Normal"/>
    <w:uiPriority w:val="11"/>
    <w:qFormat/>
    <w:rsid w:val="001E7EA5"/>
    <w:pPr>
      <w:numPr>
        <w:numId w:val="73"/>
      </w:numPr>
      <w:spacing w:before="120" w:after="200" w:line="240" w:lineRule="auto"/>
    </w:pPr>
    <w:rPr>
      <w:rFonts w:asciiTheme="minorHAnsi" w:eastAsiaTheme="minorHAnsi" w:hAnsiTheme="minorHAnsi" w:cstheme="minorBidi"/>
      <w:szCs w:val="22"/>
    </w:rPr>
  </w:style>
  <w:style w:type="paragraph" w:customStyle="1" w:styleId="Bullets">
    <w:name w:val="Bullets"/>
    <w:basedOn w:val="BodyText"/>
    <w:link w:val="BulletsChar"/>
    <w:qFormat/>
    <w:rsid w:val="00AD15BE"/>
    <w:pPr>
      <w:numPr>
        <w:numId w:val="75"/>
      </w:numPr>
      <w:spacing w:before="0" w:line="264" w:lineRule="auto"/>
    </w:pPr>
    <w:rPr>
      <w:rFonts w:ascii="Times New Roman" w:eastAsia="Times New Roman" w:hAnsi="Times New Roman" w:cs="Times New Roman"/>
      <w:sz w:val="22"/>
      <w:szCs w:val="20"/>
    </w:rPr>
  </w:style>
  <w:style w:type="character" w:customStyle="1" w:styleId="BulletsChar">
    <w:name w:val="Bullets Char"/>
    <w:link w:val="Bullets"/>
    <w:locked/>
    <w:rsid w:val="00AD15BE"/>
    <w:rPr>
      <w:rFonts w:eastAsia="Times New Roman" w:cs="Times New Roman"/>
      <w:sz w:val="22"/>
      <w:szCs w:val="20"/>
    </w:rPr>
  </w:style>
  <w:style w:type="paragraph" w:customStyle="1" w:styleId="Default">
    <w:name w:val="Default"/>
    <w:rsid w:val="00856BB2"/>
    <w:pPr>
      <w:autoSpaceDE w:val="0"/>
      <w:autoSpaceDN w:val="0"/>
      <w:adjustRightInd w:val="0"/>
      <w:spacing w:after="0"/>
    </w:pPr>
    <w:rPr>
      <w:rFonts w:cs="Times New Roman"/>
      <w:color w:val="000000"/>
    </w:rPr>
  </w:style>
  <w:style w:type="table" w:styleId="GridTable4-Accent5">
    <w:name w:val="Grid Table 4 Accent 5"/>
    <w:basedOn w:val="TableNormal"/>
    <w:uiPriority w:val="49"/>
    <w:rsid w:val="00F96C25"/>
    <w:pPr>
      <w:spacing w:after="0"/>
    </w:pPr>
    <w:rPr>
      <w:rFonts w:asciiTheme="minorHAnsi" w:eastAsiaTheme="minorHAnsi" w:hAnsiTheme="minorHAnsi"/>
      <w:sz w:val="22"/>
      <w:szCs w:val="22"/>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BulletBlackLastSS">
    <w:name w:val="Bullet_Black (Last SS)"/>
    <w:basedOn w:val="BulletBlack"/>
    <w:next w:val="NormalSS"/>
    <w:qFormat/>
    <w:rsid w:val="00590187"/>
    <w:pPr>
      <w:numPr>
        <w:numId w:val="88"/>
      </w:numPr>
      <w:spacing w:after="240"/>
      <w:ind w:left="720" w:hanging="288"/>
    </w:pPr>
    <w:rPr>
      <w:rFonts w:ascii="Times New Roman" w:hAnsi="Times New Roman"/>
    </w:rPr>
  </w:style>
  <w:style w:type="paragraph" w:customStyle="1" w:styleId="BulletBlackLastDS">
    <w:name w:val="Bullet_Black (Last DS)"/>
    <w:basedOn w:val="BulletBlackLastSS"/>
    <w:next w:val="Normal"/>
    <w:qFormat/>
    <w:rsid w:val="00590187"/>
    <w:pPr>
      <w:spacing w:after="320"/>
    </w:pPr>
  </w:style>
  <w:style w:type="paragraph" w:customStyle="1" w:styleId="textwithline">
    <w:name w:val="text with line"/>
    <w:basedOn w:val="BodyTextIndent3"/>
    <w:link w:val="textwithlineChar"/>
    <w:qFormat/>
    <w:rsid w:val="002334B8"/>
    <w:pPr>
      <w:tabs>
        <w:tab w:val="left" w:leader="underscore" w:pos="10080"/>
      </w:tabs>
      <w:spacing w:before="360" w:after="240" w:line="240" w:lineRule="auto"/>
      <w:ind w:left="720" w:firstLine="0"/>
    </w:pPr>
    <w:rPr>
      <w:rFonts w:ascii="Arial" w:hAnsi="Arial" w:cs="Arial"/>
      <w:sz w:val="20"/>
      <w:szCs w:val="20"/>
    </w:rPr>
  </w:style>
  <w:style w:type="character" w:customStyle="1" w:styleId="textwithlineChar">
    <w:name w:val="text with line Char"/>
    <w:basedOn w:val="BodyTextIndent3Char"/>
    <w:link w:val="textwithline"/>
    <w:rsid w:val="002334B8"/>
    <w:rPr>
      <w:rFonts w:ascii="Arial" w:eastAsia="Times New Roman" w:hAnsi="Arial" w:cs="Arial"/>
      <w:sz w:val="20"/>
      <w:szCs w:val="20"/>
    </w:rPr>
  </w:style>
  <w:style w:type="paragraph" w:styleId="BodyTextIndent3">
    <w:name w:val="Body Text Indent 3"/>
    <w:basedOn w:val="Normal"/>
    <w:link w:val="BodyTextIndent3Char"/>
    <w:semiHidden/>
    <w:unhideWhenUsed/>
    <w:rsid w:val="002334B8"/>
    <w:pPr>
      <w:spacing w:after="120"/>
      <w:ind w:left="360"/>
    </w:pPr>
    <w:rPr>
      <w:sz w:val="16"/>
      <w:szCs w:val="16"/>
    </w:rPr>
  </w:style>
  <w:style w:type="character" w:customStyle="1" w:styleId="BodyTextIndent3Char">
    <w:name w:val="Body Text Indent 3 Char"/>
    <w:basedOn w:val="DefaultParagraphFont"/>
    <w:link w:val="BodyTextIndent3"/>
    <w:semiHidden/>
    <w:rsid w:val="002334B8"/>
    <w:rPr>
      <w:rFonts w:eastAsia="Times New Roman" w:cs="Times New Roman"/>
      <w:sz w:val="16"/>
      <w:szCs w:val="16"/>
    </w:rPr>
  </w:style>
  <w:style w:type="paragraph" w:customStyle="1" w:styleId="BulletLAST">
    <w:name w:val="Bullet (LAST)"/>
    <w:next w:val="Normal"/>
    <w:rsid w:val="00F46241"/>
    <w:pPr>
      <w:tabs>
        <w:tab w:val="num" w:pos="360"/>
      </w:tabs>
      <w:spacing w:after="480"/>
      <w:ind w:left="720" w:right="360" w:hanging="288"/>
      <w:jc w:val="both"/>
    </w:pPr>
    <w:rPr>
      <w:rFonts w:eastAsia="Times New Roman" w:cs="Times New Roman"/>
      <w:szCs w:val="20"/>
    </w:rPr>
  </w:style>
  <w:style w:type="paragraph" w:customStyle="1" w:styleId="ParagraphLAST">
    <w:name w:val="Paragraph (LAST)"/>
    <w:basedOn w:val="Normal"/>
    <w:next w:val="Normal"/>
    <w:rsid w:val="00F46241"/>
    <w:pPr>
      <w:tabs>
        <w:tab w:val="left" w:pos="432"/>
      </w:tabs>
      <w:spacing w:before="120" w:after="240" w:line="240" w:lineRule="auto"/>
      <w:jc w:val="both"/>
    </w:pPr>
  </w:style>
  <w:style w:type="paragraph" w:customStyle="1" w:styleId="DashLAST">
    <w:name w:val="Dash (LAST)"/>
    <w:next w:val="Normal"/>
    <w:rsid w:val="00F46241"/>
    <w:pPr>
      <w:tabs>
        <w:tab w:val="num" w:pos="1080"/>
      </w:tabs>
      <w:spacing w:after="480"/>
      <w:ind w:left="1080" w:right="720" w:hanging="360"/>
      <w:jc w:val="both"/>
    </w:pPr>
    <w:rPr>
      <w:rFonts w:eastAsia="Times New Roman" w:cs="Times New Roman"/>
      <w:szCs w:val="20"/>
    </w:rPr>
  </w:style>
  <w:style w:type="paragraph" w:styleId="EndnoteText">
    <w:name w:val="endnote text"/>
    <w:basedOn w:val="Normal"/>
    <w:link w:val="EndnoteTextChar"/>
    <w:semiHidden/>
    <w:rsid w:val="00F46241"/>
    <w:pPr>
      <w:tabs>
        <w:tab w:val="left" w:pos="432"/>
      </w:tabs>
      <w:spacing w:before="120" w:after="240" w:line="240" w:lineRule="auto"/>
      <w:jc w:val="both"/>
    </w:pPr>
  </w:style>
  <w:style w:type="character" w:customStyle="1" w:styleId="EndnoteTextChar">
    <w:name w:val="Endnote Text Char"/>
    <w:basedOn w:val="DefaultParagraphFont"/>
    <w:link w:val="EndnoteText"/>
    <w:semiHidden/>
    <w:rsid w:val="00F46241"/>
    <w:rPr>
      <w:rFonts w:eastAsia="Times New Roman" w:cs="Times New Roman"/>
      <w:szCs w:val="20"/>
    </w:rPr>
  </w:style>
  <w:style w:type="paragraph" w:customStyle="1" w:styleId="MarkforTable">
    <w:name w:val="Mark for Table"/>
    <w:next w:val="Normal"/>
    <w:rsid w:val="00F46241"/>
    <w:pPr>
      <w:spacing w:after="0" w:line="480" w:lineRule="auto"/>
      <w:jc w:val="center"/>
    </w:pPr>
    <w:rPr>
      <w:rFonts w:eastAsia="Times New Roman" w:cs="Times New Roman"/>
      <w:caps/>
      <w:szCs w:val="20"/>
    </w:rPr>
  </w:style>
  <w:style w:type="paragraph" w:customStyle="1" w:styleId="ParagraphSSLAST">
    <w:name w:val="ParagraphSS (LAST)"/>
    <w:basedOn w:val="NormalSS"/>
    <w:next w:val="Normal"/>
    <w:rsid w:val="00F46241"/>
    <w:pPr>
      <w:tabs>
        <w:tab w:val="left" w:pos="432"/>
      </w:tabs>
      <w:spacing w:before="120" w:after="480"/>
      <w:jc w:val="both"/>
    </w:pPr>
  </w:style>
  <w:style w:type="paragraph" w:customStyle="1" w:styleId="MarkforFigure">
    <w:name w:val="Mark for Figure"/>
    <w:basedOn w:val="Normal"/>
    <w:next w:val="Normal"/>
    <w:rsid w:val="00F46241"/>
    <w:pPr>
      <w:tabs>
        <w:tab w:val="left" w:pos="432"/>
      </w:tabs>
      <w:spacing w:before="120" w:after="120" w:line="240" w:lineRule="auto"/>
      <w:ind w:firstLine="0"/>
      <w:jc w:val="center"/>
    </w:pPr>
    <w:rPr>
      <w:caps/>
    </w:rPr>
  </w:style>
  <w:style w:type="paragraph" w:customStyle="1" w:styleId="MarkforExhibit">
    <w:name w:val="Mark for Exhibit"/>
    <w:basedOn w:val="Normal"/>
    <w:next w:val="Normal"/>
    <w:rsid w:val="00F46241"/>
    <w:pPr>
      <w:tabs>
        <w:tab w:val="left" w:pos="432"/>
      </w:tabs>
      <w:spacing w:before="120" w:after="120" w:line="240" w:lineRule="auto"/>
      <w:ind w:firstLine="0"/>
      <w:jc w:val="center"/>
    </w:pPr>
    <w:rPr>
      <w:caps/>
    </w:rPr>
  </w:style>
  <w:style w:type="paragraph" w:customStyle="1" w:styleId="MarkforAttachment">
    <w:name w:val="Mark for Attachment"/>
    <w:basedOn w:val="Normal"/>
    <w:next w:val="Normal"/>
    <w:rsid w:val="00F46241"/>
    <w:pPr>
      <w:tabs>
        <w:tab w:val="left" w:pos="432"/>
      </w:tabs>
      <w:spacing w:before="120" w:after="120" w:line="240" w:lineRule="auto"/>
      <w:ind w:firstLine="0"/>
      <w:jc w:val="center"/>
    </w:pPr>
    <w:rPr>
      <w:b/>
      <w:caps/>
    </w:rPr>
  </w:style>
  <w:style w:type="paragraph" w:styleId="BodyTextIndent">
    <w:name w:val="Body Text Indent"/>
    <w:basedOn w:val="Normal"/>
    <w:link w:val="BodyTextIndentChar"/>
    <w:semiHidden/>
    <w:rsid w:val="00F46241"/>
    <w:pPr>
      <w:tabs>
        <w:tab w:val="left" w:pos="576"/>
      </w:tabs>
      <w:spacing w:before="120" w:after="120" w:line="240" w:lineRule="auto"/>
      <w:ind w:left="576" w:hanging="576"/>
    </w:pPr>
    <w:rPr>
      <w:rFonts w:ascii="Arial" w:hAnsi="Arial"/>
      <w:b/>
      <w:bCs/>
      <w:sz w:val="20"/>
    </w:rPr>
  </w:style>
  <w:style w:type="character" w:customStyle="1" w:styleId="BodyTextIndentChar">
    <w:name w:val="Body Text Indent Char"/>
    <w:basedOn w:val="DefaultParagraphFont"/>
    <w:link w:val="BodyTextIndent"/>
    <w:semiHidden/>
    <w:rsid w:val="00F46241"/>
    <w:rPr>
      <w:rFonts w:ascii="Arial" w:eastAsia="Times New Roman" w:hAnsi="Arial" w:cs="Times New Roman"/>
      <w:b/>
      <w:bCs/>
      <w:sz w:val="20"/>
      <w:szCs w:val="20"/>
    </w:rPr>
  </w:style>
  <w:style w:type="paragraph" w:customStyle="1" w:styleId="MarkforAppendix">
    <w:name w:val="Mark for Appendix"/>
    <w:basedOn w:val="Normal"/>
    <w:rsid w:val="00F46241"/>
    <w:pPr>
      <w:tabs>
        <w:tab w:val="left" w:pos="432"/>
      </w:tabs>
      <w:spacing w:before="120" w:after="120" w:line="240" w:lineRule="auto"/>
      <w:ind w:firstLine="0"/>
      <w:jc w:val="center"/>
    </w:pPr>
    <w:rPr>
      <w:b/>
      <w:caps/>
    </w:rPr>
  </w:style>
  <w:style w:type="paragraph" w:styleId="BodyTextIndent2">
    <w:name w:val="Body Text Indent 2"/>
    <w:basedOn w:val="Normal"/>
    <w:link w:val="BodyTextIndent2Char"/>
    <w:semiHidden/>
    <w:rsid w:val="00F46241"/>
    <w:pPr>
      <w:tabs>
        <w:tab w:val="left" w:pos="576"/>
        <w:tab w:val="left" w:pos="880"/>
      </w:tabs>
      <w:spacing w:before="120" w:after="120" w:line="240" w:lineRule="auto"/>
      <w:ind w:left="878" w:hanging="878"/>
    </w:pPr>
    <w:rPr>
      <w:rFonts w:ascii="Arial" w:hAnsi="Arial" w:cs="Arial"/>
      <w:sz w:val="20"/>
    </w:rPr>
  </w:style>
  <w:style w:type="character" w:customStyle="1" w:styleId="BodyTextIndent2Char">
    <w:name w:val="Body Text Indent 2 Char"/>
    <w:basedOn w:val="DefaultParagraphFont"/>
    <w:link w:val="BodyTextIndent2"/>
    <w:semiHidden/>
    <w:rsid w:val="00F46241"/>
    <w:rPr>
      <w:rFonts w:ascii="Arial" w:eastAsia="Times New Roman" w:hAnsi="Arial" w:cs="Arial"/>
      <w:sz w:val="20"/>
      <w:szCs w:val="20"/>
    </w:rPr>
  </w:style>
  <w:style w:type="paragraph" w:styleId="BodyText2">
    <w:name w:val="Body Text 2"/>
    <w:basedOn w:val="Normal"/>
    <w:link w:val="BodyText2Char"/>
    <w:semiHidden/>
    <w:rsid w:val="00F46241"/>
    <w:pPr>
      <w:tabs>
        <w:tab w:val="left" w:pos="576"/>
        <w:tab w:val="left" w:pos="1045"/>
        <w:tab w:val="left" w:pos="1650"/>
      </w:tabs>
      <w:spacing w:before="120" w:after="120" w:line="240" w:lineRule="auto"/>
      <w:ind w:firstLine="0"/>
    </w:pPr>
    <w:rPr>
      <w:rFonts w:ascii="Arial" w:hAnsi="Arial" w:cs="Arial"/>
      <w:b/>
      <w:bCs/>
      <w:sz w:val="20"/>
    </w:rPr>
  </w:style>
  <w:style w:type="character" w:customStyle="1" w:styleId="BodyText2Char">
    <w:name w:val="Body Text 2 Char"/>
    <w:basedOn w:val="DefaultParagraphFont"/>
    <w:link w:val="BodyText2"/>
    <w:semiHidden/>
    <w:rsid w:val="00F46241"/>
    <w:rPr>
      <w:rFonts w:ascii="Arial" w:eastAsia="Times New Roman" w:hAnsi="Arial" w:cs="Arial"/>
      <w:b/>
      <w:bCs/>
      <w:sz w:val="20"/>
      <w:szCs w:val="20"/>
    </w:rPr>
  </w:style>
  <w:style w:type="paragraph" w:styleId="BodyText3">
    <w:name w:val="Body Text 3"/>
    <w:basedOn w:val="Normal"/>
    <w:link w:val="BodyText3Char"/>
    <w:semiHidden/>
    <w:rsid w:val="00F46241"/>
    <w:pPr>
      <w:tabs>
        <w:tab w:val="left" w:pos="432"/>
      </w:tabs>
      <w:spacing w:before="120" w:after="120" w:line="240" w:lineRule="auto"/>
      <w:ind w:firstLine="0"/>
      <w:jc w:val="center"/>
    </w:pPr>
    <w:rPr>
      <w:rFonts w:ascii="Arial" w:hAnsi="Arial" w:cs="Arial"/>
      <w:sz w:val="12"/>
    </w:rPr>
  </w:style>
  <w:style w:type="character" w:customStyle="1" w:styleId="BodyText3Char">
    <w:name w:val="Body Text 3 Char"/>
    <w:basedOn w:val="DefaultParagraphFont"/>
    <w:link w:val="BodyText3"/>
    <w:semiHidden/>
    <w:rsid w:val="00F46241"/>
    <w:rPr>
      <w:rFonts w:ascii="Arial" w:eastAsia="Times New Roman" w:hAnsi="Arial" w:cs="Arial"/>
      <w:sz w:val="12"/>
      <w:szCs w:val="20"/>
    </w:rPr>
  </w:style>
  <w:style w:type="paragraph" w:customStyle="1" w:styleId="QuestionChar">
    <w:name w:val="Question Char"/>
    <w:basedOn w:val="Normal"/>
    <w:rsid w:val="00F46241"/>
    <w:pPr>
      <w:numPr>
        <w:numId w:val="94"/>
      </w:numPr>
      <w:overflowPunct w:val="0"/>
      <w:autoSpaceDE w:val="0"/>
      <w:autoSpaceDN w:val="0"/>
      <w:adjustRightInd w:val="0"/>
      <w:spacing w:before="360" w:after="120" w:line="240" w:lineRule="auto"/>
      <w:textAlignment w:val="baseline"/>
    </w:pPr>
    <w:rPr>
      <w:rFonts w:ascii="Arial" w:hAnsi="Arial"/>
      <w:b/>
      <w:sz w:val="21"/>
    </w:rPr>
  </w:style>
  <w:style w:type="paragraph" w:customStyle="1" w:styleId="TableSubhead">
    <w:name w:val="Table Subhead"/>
    <w:basedOn w:val="Normal"/>
    <w:rsid w:val="00F46241"/>
    <w:pPr>
      <w:spacing w:before="40" w:after="40" w:line="240" w:lineRule="auto"/>
      <w:ind w:firstLine="0"/>
      <w:jc w:val="center"/>
    </w:pPr>
    <w:rPr>
      <w:rFonts w:ascii="Arial Narrow" w:hAnsi="Arial Narrow"/>
      <w:b/>
      <w:color w:val="FFFFFF"/>
      <w:sz w:val="18"/>
      <w:szCs w:val="18"/>
    </w:rPr>
  </w:style>
  <w:style w:type="paragraph" w:customStyle="1" w:styleId="TableTextLetter">
    <w:name w:val="Table Text Letter"/>
    <w:basedOn w:val="Normal"/>
    <w:rsid w:val="00F46241"/>
    <w:pPr>
      <w:spacing w:before="40" w:after="40" w:line="240" w:lineRule="auto"/>
      <w:ind w:firstLine="0"/>
    </w:pPr>
    <w:rPr>
      <w:rFonts w:ascii="Arial" w:hAnsi="Arial"/>
      <w:b/>
      <w:sz w:val="21"/>
    </w:rPr>
  </w:style>
  <w:style w:type="paragraph" w:customStyle="1" w:styleId="TableTextLeft">
    <w:name w:val="Table Text Left"/>
    <w:basedOn w:val="List"/>
    <w:rsid w:val="00F46241"/>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F46241"/>
    <w:pPr>
      <w:spacing w:before="40" w:after="40" w:line="240" w:lineRule="auto"/>
      <w:ind w:firstLine="0"/>
      <w:jc w:val="center"/>
    </w:pPr>
    <w:rPr>
      <w:rFonts w:ascii="Arial Narrow" w:hAnsi="Arial Narrow"/>
      <w:sz w:val="22"/>
    </w:rPr>
  </w:style>
  <w:style w:type="paragraph" w:styleId="List">
    <w:name w:val="List"/>
    <w:basedOn w:val="Normal"/>
    <w:semiHidden/>
    <w:rsid w:val="00F46241"/>
    <w:pPr>
      <w:tabs>
        <w:tab w:val="left" w:pos="432"/>
      </w:tabs>
      <w:spacing w:before="120" w:after="120" w:line="240" w:lineRule="auto"/>
      <w:ind w:left="360" w:hanging="360"/>
      <w:jc w:val="both"/>
    </w:pPr>
  </w:style>
  <w:style w:type="paragraph" w:customStyle="1" w:styleId="BoxText">
    <w:name w:val="Box Text"/>
    <w:basedOn w:val="Normal"/>
    <w:rsid w:val="00F46241"/>
    <w:pPr>
      <w:widowControl w:val="0"/>
      <w:pBdr>
        <w:top w:val="single" w:sz="8" w:space="1" w:color="auto" w:shadow="1"/>
        <w:left w:val="single" w:sz="8" w:space="4" w:color="auto" w:shadow="1"/>
        <w:bottom w:val="single" w:sz="8" w:space="1" w:color="auto" w:shadow="1"/>
        <w:right w:val="single" w:sz="8" w:space="4" w:color="auto" w:shadow="1"/>
      </w:pBdr>
      <w:shd w:val="clear" w:color="auto" w:fill="E6E6E6"/>
      <w:spacing w:before="120" w:after="120" w:line="240" w:lineRule="auto"/>
      <w:ind w:firstLine="0"/>
    </w:pPr>
    <w:rPr>
      <w:rFonts w:ascii="Arial" w:hAnsi="Arial"/>
      <w:i/>
      <w:sz w:val="22"/>
    </w:rPr>
  </w:style>
  <w:style w:type="paragraph" w:customStyle="1" w:styleId="Answer1">
    <w:name w:val="Answer 1"/>
    <w:rsid w:val="00F46241"/>
    <w:pPr>
      <w:tabs>
        <w:tab w:val="left" w:pos="1080"/>
        <w:tab w:val="left" w:pos="1368"/>
        <w:tab w:val="left" w:pos="4320"/>
        <w:tab w:val="left" w:pos="4680"/>
      </w:tabs>
      <w:spacing w:after="60"/>
      <w:ind w:left="936"/>
    </w:pPr>
    <w:rPr>
      <w:rFonts w:ascii="Arial Narrow" w:eastAsia="Times New Roman" w:hAnsi="Arial Narrow" w:cs="Times New Roman"/>
      <w:sz w:val="22"/>
      <w:szCs w:val="20"/>
    </w:rPr>
  </w:style>
  <w:style w:type="character" w:customStyle="1" w:styleId="NumberCharCharCharChar">
    <w:name w:val="Number Char Char Char Char"/>
    <w:rsid w:val="00F46241"/>
    <w:rPr>
      <w:rFonts w:ascii="Arial Narrow" w:hAnsi="Arial Narrow"/>
      <w:position w:val="4"/>
      <w:sz w:val="14"/>
      <w:szCs w:val="14"/>
      <w:lang w:val="en-US" w:eastAsia="en-US" w:bidi="ar-SA"/>
    </w:rPr>
  </w:style>
  <w:style w:type="character" w:customStyle="1" w:styleId="BoxCharCharCharCharChar">
    <w:name w:val="Box Char Char Char Char Char"/>
    <w:rsid w:val="00F46241"/>
    <w:rPr>
      <w:rFonts w:ascii="Arial Narrow" w:hAnsi="Arial Narrow"/>
      <w:sz w:val="28"/>
      <w:lang w:val="en-US" w:eastAsia="en-US" w:bidi="ar-SA"/>
    </w:rPr>
  </w:style>
  <w:style w:type="paragraph" w:customStyle="1" w:styleId="stquest">
    <w:name w:val="stquest"/>
    <w:basedOn w:val="Normal"/>
    <w:rsid w:val="00F46241"/>
    <w:pPr>
      <w:spacing w:before="60" w:after="60" w:line="240" w:lineRule="auto"/>
      <w:ind w:left="540" w:hanging="540"/>
    </w:pPr>
    <w:rPr>
      <w:rFonts w:ascii="Arial" w:hAnsi="Arial"/>
      <w:sz w:val="20"/>
    </w:rPr>
  </w:style>
  <w:style w:type="paragraph" w:customStyle="1" w:styleId="clarify">
    <w:name w:val="clarify"/>
    <w:basedOn w:val="Normal"/>
    <w:rsid w:val="00F46241"/>
    <w:pPr>
      <w:tabs>
        <w:tab w:val="left" w:pos="1800"/>
      </w:tabs>
      <w:spacing w:before="40" w:after="40" w:line="240" w:lineRule="auto"/>
      <w:ind w:left="1800" w:hanging="1800"/>
    </w:pPr>
    <w:rPr>
      <w:rFonts w:ascii="Arial" w:hAnsi="Arial"/>
      <w:b/>
      <w:smallCaps/>
      <w:sz w:val="20"/>
    </w:rPr>
  </w:style>
  <w:style w:type="paragraph" w:styleId="BlockText">
    <w:name w:val="Block Text"/>
    <w:basedOn w:val="Normal"/>
    <w:semiHidden/>
    <w:rsid w:val="00F46241"/>
    <w:pPr>
      <w:tabs>
        <w:tab w:val="left" w:pos="432"/>
      </w:tabs>
      <w:spacing w:before="120" w:after="120" w:line="240" w:lineRule="auto"/>
      <w:ind w:left="2880" w:right="2880" w:firstLine="0"/>
      <w:jc w:val="both"/>
    </w:pPr>
    <w:rPr>
      <w:b/>
      <w:sz w:val="32"/>
    </w:rPr>
  </w:style>
  <w:style w:type="paragraph" w:customStyle="1" w:styleId="ColorfulList-Accent11">
    <w:name w:val="Colorful List - Accent 11"/>
    <w:basedOn w:val="Normal"/>
    <w:next w:val="Normal"/>
    <w:qFormat/>
    <w:rsid w:val="00F46241"/>
    <w:pPr>
      <w:tabs>
        <w:tab w:val="left" w:pos="360"/>
      </w:tabs>
      <w:spacing w:before="120" w:after="180" w:line="240" w:lineRule="auto"/>
      <w:ind w:left="792" w:right="360" w:hanging="360"/>
      <w:contextualSpacing/>
      <w:jc w:val="both"/>
    </w:pPr>
    <w:rPr>
      <w:szCs w:val="24"/>
    </w:rPr>
  </w:style>
  <w:style w:type="paragraph" w:customStyle="1" w:styleId="Question">
    <w:name w:val="Question"/>
    <w:basedOn w:val="Normal"/>
    <w:rsid w:val="00F46241"/>
    <w:pPr>
      <w:spacing w:before="120" w:after="240" w:line="240" w:lineRule="auto"/>
      <w:ind w:left="720" w:hanging="720"/>
      <w:jc w:val="both"/>
    </w:pPr>
    <w:rPr>
      <w:rFonts w:ascii="Calibri" w:hAnsi="Calibri"/>
      <w:b/>
      <w:sz w:val="22"/>
      <w:szCs w:val="22"/>
    </w:rPr>
  </w:style>
  <w:style w:type="paragraph" w:customStyle="1" w:styleId="Choices">
    <w:name w:val="Choices"/>
    <w:basedOn w:val="Question"/>
    <w:rsid w:val="00F46241"/>
    <w:pPr>
      <w:spacing w:before="240" w:after="0"/>
      <w:ind w:left="1354" w:hanging="634"/>
    </w:pPr>
    <w:rPr>
      <w:rFonts w:cs="Arial"/>
      <w:b w:val="0"/>
      <w:bCs/>
    </w:rPr>
  </w:style>
  <w:style w:type="paragraph" w:customStyle="1" w:styleId="Questiontable">
    <w:name w:val="Question (table)"/>
    <w:basedOn w:val="Normal"/>
    <w:rsid w:val="00F46241"/>
    <w:pPr>
      <w:tabs>
        <w:tab w:val="left" w:leader="dot" w:pos="4014"/>
      </w:tabs>
      <w:spacing w:before="120" w:after="120" w:line="240" w:lineRule="auto"/>
      <w:ind w:left="360" w:hanging="360"/>
    </w:pPr>
    <w:rPr>
      <w:rFonts w:ascii="Calibri" w:hAnsi="Calibri" w:cs="Arial"/>
      <w:sz w:val="22"/>
      <w:szCs w:val="22"/>
    </w:rPr>
  </w:style>
  <w:style w:type="character" w:styleId="PlaceholderText">
    <w:name w:val="Placeholder Text"/>
    <w:basedOn w:val="DefaultParagraphFont"/>
    <w:uiPriority w:val="99"/>
    <w:semiHidden/>
    <w:rsid w:val="00F46241"/>
    <w:rPr>
      <w:color w:val="808080"/>
    </w:rPr>
  </w:style>
  <w:style w:type="paragraph" w:customStyle="1" w:styleId="QUESTIONTEXT">
    <w:name w:val="!QUESTION TEXT"/>
    <w:basedOn w:val="Normal"/>
    <w:link w:val="QUESTIONTEXTChar"/>
    <w:uiPriority w:val="99"/>
    <w:qFormat/>
    <w:rsid w:val="00F46241"/>
    <w:pPr>
      <w:tabs>
        <w:tab w:val="left" w:pos="720"/>
      </w:tabs>
      <w:spacing w:before="120" w:after="120" w:line="240" w:lineRule="auto"/>
      <w:ind w:left="720" w:right="360" w:hanging="720"/>
    </w:pPr>
    <w:rPr>
      <w:rFonts w:ascii="Arial" w:hAnsi="Arial" w:cs="Arial"/>
      <w:b/>
      <w:sz w:val="20"/>
    </w:rPr>
  </w:style>
  <w:style w:type="character" w:customStyle="1" w:styleId="QUESTIONTEXTChar">
    <w:name w:val="!QUESTION TEXT Char"/>
    <w:basedOn w:val="DefaultParagraphFont"/>
    <w:link w:val="QUESTIONTEXT"/>
    <w:uiPriority w:val="99"/>
    <w:rsid w:val="00F46241"/>
    <w:rPr>
      <w:rFonts w:ascii="Arial" w:eastAsia="Times New Roman" w:hAnsi="Arial" w:cs="Arial"/>
      <w:b/>
      <w:sz w:val="20"/>
      <w:szCs w:val="20"/>
    </w:rPr>
  </w:style>
  <w:style w:type="paragraph" w:styleId="Subtitle">
    <w:name w:val="Subtitle"/>
    <w:basedOn w:val="Normal"/>
    <w:link w:val="SubtitleChar"/>
    <w:qFormat/>
    <w:rsid w:val="00F46241"/>
    <w:pPr>
      <w:tabs>
        <w:tab w:val="left" w:pos="432"/>
      </w:tabs>
      <w:spacing w:before="120" w:after="120" w:line="240" w:lineRule="auto"/>
    </w:pPr>
    <w:rPr>
      <w:b/>
      <w:bCs/>
      <w:smallCaps/>
    </w:rPr>
  </w:style>
  <w:style w:type="character" w:customStyle="1" w:styleId="SubtitleChar">
    <w:name w:val="Subtitle Char"/>
    <w:basedOn w:val="DefaultParagraphFont"/>
    <w:link w:val="Subtitle"/>
    <w:rsid w:val="00F46241"/>
    <w:rPr>
      <w:rFonts w:eastAsia="Times New Roman" w:cs="Times New Roman"/>
      <w:b/>
      <w:bCs/>
      <w:smallCaps/>
      <w:szCs w:val="20"/>
    </w:rPr>
  </w:style>
  <w:style w:type="paragraph" w:styleId="PlainText">
    <w:name w:val="Plain Text"/>
    <w:basedOn w:val="Normal"/>
    <w:link w:val="PlainTextChar"/>
    <w:uiPriority w:val="99"/>
    <w:semiHidden/>
    <w:unhideWhenUsed/>
    <w:rsid w:val="00F46241"/>
    <w:pPr>
      <w:spacing w:before="120" w:after="120" w:line="240" w:lineRule="auto"/>
      <w:ind w:firstLine="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F46241"/>
    <w:rPr>
      <w:rFonts w:ascii="Consolas" w:eastAsiaTheme="minorHAnsi" w:hAnsi="Consolas"/>
      <w:sz w:val="21"/>
      <w:szCs w:val="21"/>
    </w:rPr>
  </w:style>
  <w:style w:type="paragraph" w:customStyle="1" w:styleId="Body">
    <w:name w:val="Body"/>
    <w:basedOn w:val="Question"/>
    <w:rsid w:val="00F46241"/>
    <w:rPr>
      <w:rFonts w:ascii="Arial" w:hAnsi="Arial" w:cs="Arial"/>
      <w:sz w:val="20"/>
      <w:szCs w:val="20"/>
    </w:rPr>
  </w:style>
  <w:style w:type="paragraph" w:customStyle="1" w:styleId="AnswerCategory">
    <w:name w:val="Answer Category"/>
    <w:basedOn w:val="Normal"/>
    <w:qFormat/>
    <w:rsid w:val="00F46241"/>
    <w:pPr>
      <w:tabs>
        <w:tab w:val="left" w:pos="1080"/>
        <w:tab w:val="left" w:pos="1440"/>
      </w:tabs>
      <w:spacing w:before="40" w:line="240" w:lineRule="auto"/>
      <w:ind w:left="1440" w:right="2880" w:hanging="630"/>
    </w:pPr>
    <w:rPr>
      <w:rFonts w:ascii="Arial" w:hAnsi="Arial" w:cs="Arial"/>
      <w:sz w:val="20"/>
    </w:rPr>
  </w:style>
  <w:style w:type="paragraph" w:customStyle="1" w:styleId="Numberfield">
    <w:name w:val="Number field"/>
    <w:basedOn w:val="Normal"/>
    <w:qFormat/>
    <w:rsid w:val="00F46241"/>
    <w:pPr>
      <w:tabs>
        <w:tab w:val="left" w:pos="1080"/>
      </w:tabs>
      <w:spacing w:before="240" w:after="120" w:line="240" w:lineRule="auto"/>
      <w:ind w:firstLine="0"/>
    </w:pPr>
    <w:rPr>
      <w:rFonts w:ascii="Arial" w:hAnsi="Arial" w:cs="Arial"/>
      <w:sz w:val="20"/>
    </w:rPr>
  </w:style>
  <w:style w:type="paragraph" w:customStyle="1" w:styleId="LINERESPONSE">
    <w:name w:val="LINE RESPONSE"/>
    <w:basedOn w:val="Normal"/>
    <w:link w:val="LINERESPONSEChar"/>
    <w:qFormat/>
    <w:rsid w:val="00F46241"/>
    <w:pPr>
      <w:tabs>
        <w:tab w:val="left" w:leader="dot" w:pos="6768"/>
        <w:tab w:val="left" w:pos="7200"/>
      </w:tabs>
      <w:spacing w:before="120" w:line="240" w:lineRule="auto"/>
      <w:ind w:left="1440" w:right="2880" w:firstLine="0"/>
    </w:pPr>
    <w:rPr>
      <w:rFonts w:ascii="Arial" w:hAnsi="Arial" w:cs="Arial"/>
      <w:caps/>
      <w:sz w:val="20"/>
    </w:rPr>
  </w:style>
  <w:style w:type="paragraph" w:customStyle="1" w:styleId="QCOVERPAGE">
    <w:name w:val="Q COVER PAGE"/>
    <w:basedOn w:val="Normal"/>
    <w:qFormat/>
    <w:rsid w:val="00F46241"/>
    <w:pPr>
      <w:tabs>
        <w:tab w:val="left" w:pos="432"/>
      </w:tabs>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qFormat/>
    <w:rsid w:val="00F46241"/>
    <w:pPr>
      <w:tabs>
        <w:tab w:val="left" w:pos="432"/>
      </w:tabs>
      <w:spacing w:after="480" w:line="240" w:lineRule="auto"/>
      <w:ind w:firstLine="0"/>
      <w:jc w:val="center"/>
    </w:pPr>
    <w:rPr>
      <w:rFonts w:ascii="Arial Black" w:hAnsi="Arial Black" w:cs="Arial"/>
      <w:sz w:val="36"/>
      <w:szCs w:val="28"/>
    </w:rPr>
  </w:style>
  <w:style w:type="paragraph" w:customStyle="1" w:styleId="QCoverDate">
    <w:name w:val="Q Cover Date"/>
    <w:basedOn w:val="Normal"/>
    <w:qFormat/>
    <w:rsid w:val="00F46241"/>
    <w:pPr>
      <w:tabs>
        <w:tab w:val="left" w:pos="432"/>
      </w:tabs>
      <w:spacing w:after="960" w:line="240" w:lineRule="auto"/>
      <w:ind w:firstLine="0"/>
      <w:jc w:val="center"/>
    </w:pPr>
    <w:rPr>
      <w:rFonts w:ascii="Arial" w:hAnsi="Arial" w:cs="Arial"/>
      <w:b/>
      <w:i/>
      <w:sz w:val="28"/>
      <w:szCs w:val="28"/>
    </w:rPr>
  </w:style>
  <w:style w:type="paragraph" w:customStyle="1" w:styleId="SELECTONEMARKALL">
    <w:name w:val="SELECT ONE/MARK ALL"/>
    <w:basedOn w:val="Normal"/>
    <w:link w:val="SELECTONEMARKALLChar"/>
    <w:qFormat/>
    <w:rsid w:val="00F46241"/>
    <w:pPr>
      <w:spacing w:before="60" w:after="60" w:line="240" w:lineRule="auto"/>
      <w:ind w:left="810" w:firstLine="0"/>
    </w:pPr>
    <w:rPr>
      <w:rFonts w:ascii="Arial" w:hAnsi="Arial" w:cs="Arial"/>
      <w:b/>
      <w:sz w:val="20"/>
    </w:rPr>
  </w:style>
  <w:style w:type="paragraph" w:customStyle="1" w:styleId="UNDERLINEResponse">
    <w:name w:val="UNDERLINE Response"/>
    <w:basedOn w:val="LINERESPONSE"/>
    <w:link w:val="UNDERLINEResponseChar"/>
    <w:qFormat/>
    <w:rsid w:val="00F46241"/>
    <w:pPr>
      <w:tabs>
        <w:tab w:val="clear" w:pos="6768"/>
        <w:tab w:val="clear" w:pos="7200"/>
        <w:tab w:val="left" w:leader="underscore" w:pos="9360"/>
      </w:tabs>
      <w:ind w:left="720" w:right="86"/>
    </w:pPr>
  </w:style>
  <w:style w:type="character" w:customStyle="1" w:styleId="LINERESPONSEChar">
    <w:name w:val="LINE RESPONSE Char"/>
    <w:basedOn w:val="DefaultParagraphFont"/>
    <w:link w:val="LINERESPONSE"/>
    <w:rsid w:val="00F46241"/>
    <w:rPr>
      <w:rFonts w:ascii="Arial" w:eastAsia="Times New Roman" w:hAnsi="Arial" w:cs="Arial"/>
      <w:caps/>
      <w:sz w:val="20"/>
      <w:szCs w:val="20"/>
    </w:rPr>
  </w:style>
  <w:style w:type="character" w:customStyle="1" w:styleId="UNDERLINEResponseChar">
    <w:name w:val="UNDERLINE Response Char"/>
    <w:basedOn w:val="LINERESPONSEChar"/>
    <w:link w:val="UNDERLINEResponse"/>
    <w:rsid w:val="00F46241"/>
    <w:rPr>
      <w:rFonts w:ascii="Arial" w:eastAsia="Times New Roman" w:hAnsi="Arial" w:cs="Arial"/>
      <w:caps/>
      <w:sz w:val="20"/>
      <w:szCs w:val="20"/>
    </w:rPr>
  </w:style>
  <w:style w:type="paragraph" w:customStyle="1" w:styleId="RESPONSE">
    <w:name w:val="RESPONSE"/>
    <w:basedOn w:val="Normal"/>
    <w:link w:val="RESPONSEChar"/>
    <w:qFormat/>
    <w:rsid w:val="00F46241"/>
    <w:pPr>
      <w:tabs>
        <w:tab w:val="left" w:leader="dot" w:pos="7200"/>
        <w:tab w:val="left" w:pos="7704"/>
      </w:tabs>
      <w:spacing w:before="120" w:line="240" w:lineRule="auto"/>
      <w:ind w:left="1080" w:right="2880" w:hanging="360"/>
    </w:pPr>
    <w:rPr>
      <w:rFonts w:ascii="Arial" w:hAnsi="Arial" w:cs="Arial"/>
      <w:sz w:val="20"/>
    </w:rPr>
  </w:style>
  <w:style w:type="character" w:customStyle="1" w:styleId="RESPONSEChar">
    <w:name w:val="RESPONSE Char"/>
    <w:basedOn w:val="DefaultParagraphFont"/>
    <w:link w:val="RESPONSE"/>
    <w:rsid w:val="00F46241"/>
    <w:rPr>
      <w:rFonts w:ascii="Arial" w:eastAsia="Times New Roman" w:hAnsi="Arial" w:cs="Arial"/>
      <w:sz w:val="20"/>
      <w:szCs w:val="20"/>
    </w:rPr>
  </w:style>
  <w:style w:type="paragraph" w:customStyle="1" w:styleId="NORESPONSE">
    <w:name w:val="NO RESPONSE"/>
    <w:basedOn w:val="Normal"/>
    <w:link w:val="NORESPONSEChar"/>
    <w:qFormat/>
    <w:rsid w:val="00F46241"/>
    <w:pPr>
      <w:tabs>
        <w:tab w:val="left" w:leader="dot" w:pos="7200"/>
        <w:tab w:val="left" w:pos="7704"/>
      </w:tabs>
      <w:spacing w:before="120" w:after="240" w:line="240" w:lineRule="auto"/>
      <w:ind w:left="1080" w:right="2880" w:firstLine="0"/>
    </w:pPr>
    <w:rPr>
      <w:rFonts w:ascii="Arial" w:hAnsi="Arial" w:cs="Arial"/>
      <w:sz w:val="20"/>
    </w:rPr>
  </w:style>
  <w:style w:type="character" w:customStyle="1" w:styleId="NORESPONSEChar">
    <w:name w:val="NO RESPONSE Char"/>
    <w:basedOn w:val="RESPONSEChar"/>
    <w:link w:val="NORESPONSE"/>
    <w:rsid w:val="00F46241"/>
    <w:rPr>
      <w:rFonts w:ascii="Arial" w:eastAsia="Times New Roman" w:hAnsi="Arial" w:cs="Arial"/>
      <w:sz w:val="20"/>
      <w:szCs w:val="20"/>
    </w:rPr>
  </w:style>
  <w:style w:type="paragraph" w:customStyle="1" w:styleId="UNDERLINERESPONSE0">
    <w:name w:val="UNDERLINE RESPONSE"/>
    <w:basedOn w:val="Normal"/>
    <w:qFormat/>
    <w:rsid w:val="00F46241"/>
    <w:pPr>
      <w:tabs>
        <w:tab w:val="left" w:leader="underscore" w:pos="6480"/>
        <w:tab w:val="left" w:pos="8190"/>
      </w:tabs>
      <w:spacing w:before="120" w:line="240" w:lineRule="auto"/>
      <w:ind w:left="720" w:right="-270" w:firstLine="0"/>
    </w:pPr>
    <w:rPr>
      <w:rFonts w:ascii="Arial" w:hAnsi="Arial" w:cs="Arial"/>
      <w:sz w:val="20"/>
    </w:rPr>
  </w:style>
  <w:style w:type="paragraph" w:customStyle="1" w:styleId="INDENTEDBODYTEXT">
    <w:name w:val="INDENTED BODY TEXT"/>
    <w:basedOn w:val="Normal"/>
    <w:link w:val="INDENTEDBODYTEXTChar"/>
    <w:qFormat/>
    <w:rsid w:val="00F46241"/>
    <w:pPr>
      <w:spacing w:line="240" w:lineRule="auto"/>
      <w:ind w:left="810" w:firstLine="0"/>
    </w:pPr>
    <w:rPr>
      <w:rFonts w:ascii="Arial" w:hAnsi="Arial" w:cs="Arial"/>
      <w:sz w:val="20"/>
    </w:rPr>
  </w:style>
  <w:style w:type="character" w:customStyle="1" w:styleId="INDENTEDBODYTEXTChar">
    <w:name w:val="INDENTED BODY TEXT Char"/>
    <w:basedOn w:val="DefaultParagraphFont"/>
    <w:link w:val="INDENTEDBODYTEXT"/>
    <w:rsid w:val="00F46241"/>
    <w:rPr>
      <w:rFonts w:ascii="Arial" w:eastAsia="Times New Roman" w:hAnsi="Arial" w:cs="Arial"/>
      <w:sz w:val="20"/>
      <w:szCs w:val="20"/>
    </w:rPr>
  </w:style>
  <w:style w:type="paragraph" w:customStyle="1" w:styleId="Q1-FirstLevelQuestion">
    <w:name w:val="Q1-First Level Question"/>
    <w:rsid w:val="00F46241"/>
    <w:pPr>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RESPONSELINE">
    <w:name w:val="RESPONSE LINE"/>
    <w:basedOn w:val="Normal"/>
    <w:link w:val="RESPONSELINEChar"/>
    <w:qFormat/>
    <w:rsid w:val="00F46241"/>
    <w:pPr>
      <w:tabs>
        <w:tab w:val="left" w:pos="720"/>
      </w:tabs>
      <w:spacing w:before="120" w:line="240" w:lineRule="auto"/>
      <w:ind w:firstLine="0"/>
    </w:pPr>
    <w:rPr>
      <w:rFonts w:ascii="Arial" w:hAnsi="Arial" w:cs="Arial"/>
      <w:sz w:val="20"/>
    </w:rPr>
  </w:style>
  <w:style w:type="character" w:customStyle="1" w:styleId="RESPONSELINEChar">
    <w:name w:val="RESPONSE LINE Char"/>
    <w:basedOn w:val="DefaultParagraphFont"/>
    <w:link w:val="RESPONSELINE"/>
    <w:rsid w:val="00F46241"/>
    <w:rPr>
      <w:rFonts w:ascii="Arial" w:eastAsia="Times New Roman" w:hAnsi="Arial" w:cs="Arial"/>
      <w:sz w:val="20"/>
      <w:szCs w:val="20"/>
    </w:rPr>
  </w:style>
  <w:style w:type="paragraph" w:customStyle="1" w:styleId="INTERVIEWER">
    <w:name w:val="!INTERVIEWER:"/>
    <w:basedOn w:val="Normal"/>
    <w:link w:val="INTERVIEWERChar"/>
    <w:qFormat/>
    <w:rsid w:val="00F46241"/>
    <w:pPr>
      <w:tabs>
        <w:tab w:val="left" w:pos="2520"/>
      </w:tabs>
      <w:spacing w:before="80" w:after="80" w:line="240" w:lineRule="auto"/>
      <w:ind w:left="2520" w:hanging="1800"/>
    </w:pPr>
    <w:rPr>
      <w:rFonts w:ascii="Arial" w:hAnsi="Arial" w:cs="Arial"/>
      <w:caps/>
      <w:sz w:val="20"/>
    </w:rPr>
  </w:style>
  <w:style w:type="character" w:customStyle="1" w:styleId="INTERVIEWERChar">
    <w:name w:val="!INTERVIEWER: Char"/>
    <w:basedOn w:val="DefaultParagraphFont"/>
    <w:link w:val="INTERVIEWER"/>
    <w:rsid w:val="00F46241"/>
    <w:rPr>
      <w:rFonts w:ascii="Arial" w:eastAsia="Times New Roman" w:hAnsi="Arial" w:cs="Arial"/>
      <w:caps/>
      <w:sz w:val="20"/>
      <w:szCs w:val="20"/>
    </w:rPr>
  </w:style>
  <w:style w:type="table" w:customStyle="1" w:styleId="TableGrid1">
    <w:name w:val="Table Grid1"/>
    <w:basedOn w:val="TableNormal"/>
    <w:next w:val="TableGrid"/>
    <w:uiPriority w:val="59"/>
    <w:rsid w:val="00F46241"/>
    <w:pPr>
      <w:spacing w:after="0"/>
    </w:pPr>
    <w:rPr>
      <w:rFonts w:eastAsia="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DEONECODEALL">
    <w:name w:val="CODE ONE CODE ALL"/>
    <w:basedOn w:val="Normal"/>
    <w:link w:val="CODEONECODEALLChar"/>
    <w:qFormat/>
    <w:rsid w:val="00F46241"/>
    <w:pPr>
      <w:tabs>
        <w:tab w:val="left" w:pos="7020"/>
      </w:tabs>
      <w:spacing w:line="240" w:lineRule="auto"/>
      <w:ind w:firstLine="0"/>
    </w:pPr>
    <w:rPr>
      <w:rFonts w:asciiTheme="minorBidi" w:hAnsiTheme="minorBidi" w:cstheme="minorBidi"/>
      <w:color w:val="000000"/>
      <w:sz w:val="20"/>
    </w:rPr>
  </w:style>
  <w:style w:type="character" w:customStyle="1" w:styleId="CODEONECODEALLChar">
    <w:name w:val="CODE ONE CODE ALL Char"/>
    <w:basedOn w:val="DefaultParagraphFont"/>
    <w:link w:val="CODEONECODEALL"/>
    <w:rsid w:val="00F46241"/>
    <w:rPr>
      <w:rFonts w:asciiTheme="minorBidi" w:eastAsia="Times New Roman" w:hAnsiTheme="minorBidi"/>
      <w:color w:val="000000"/>
      <w:sz w:val="20"/>
      <w:szCs w:val="20"/>
    </w:rPr>
  </w:style>
  <w:style w:type="paragraph" w:customStyle="1" w:styleId="QSpan">
    <w:name w:val="!QSpan"/>
    <w:basedOn w:val="Normal"/>
    <w:qFormat/>
    <w:rsid w:val="00F46241"/>
    <w:pPr>
      <w:tabs>
        <w:tab w:val="left" w:pos="720"/>
      </w:tabs>
      <w:spacing w:before="120" w:after="120" w:line="240" w:lineRule="auto"/>
      <w:ind w:left="720" w:right="-180" w:hanging="720"/>
    </w:pPr>
    <w:rPr>
      <w:rFonts w:ascii="Arial" w:hAnsi="Arial" w:cs="Arial"/>
      <w:b/>
      <w:i/>
      <w:sz w:val="20"/>
      <w:lang w:val="es-ES"/>
    </w:rPr>
  </w:style>
  <w:style w:type="paragraph" w:customStyle="1" w:styleId="Heading2bold">
    <w:name w:val="Heading 2 (bold)"/>
    <w:basedOn w:val="Bullet"/>
    <w:qFormat/>
    <w:rsid w:val="00F46241"/>
    <w:pPr>
      <w:keepNext/>
      <w:numPr>
        <w:numId w:val="0"/>
      </w:numPr>
      <w:spacing w:before="240" w:line="264" w:lineRule="auto"/>
    </w:pPr>
    <w:rPr>
      <w:rFonts w:ascii="Arial" w:hAnsi="Arial"/>
      <w:b/>
      <w:sz w:val="22"/>
    </w:rPr>
  </w:style>
  <w:style w:type="paragraph" w:customStyle="1" w:styleId="Text">
    <w:name w:val="Text"/>
    <w:basedOn w:val="Heading2bold"/>
    <w:qFormat/>
    <w:rsid w:val="00F46241"/>
    <w:pPr>
      <w:spacing w:before="120"/>
    </w:pPr>
    <w:rPr>
      <w:b w:val="0"/>
    </w:rPr>
  </w:style>
  <w:style w:type="table" w:customStyle="1" w:styleId="TableGrid2">
    <w:name w:val="Table Grid2"/>
    <w:basedOn w:val="TableNormal"/>
    <w:next w:val="TableGrid"/>
    <w:uiPriority w:val="59"/>
    <w:rsid w:val="00F46241"/>
    <w:pPr>
      <w:spacing w:after="0"/>
    </w:pPr>
    <w:rPr>
      <w:rFonts w:eastAsia="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FAQ">
    <w:name w:val="FAQ"/>
    <w:basedOn w:val="Normal"/>
    <w:next w:val="Question"/>
    <w:qFormat/>
    <w:rsid w:val="00F46241"/>
    <w:pPr>
      <w:spacing w:before="240" w:after="120" w:line="240" w:lineRule="auto"/>
      <w:ind w:firstLine="0"/>
    </w:pPr>
    <w:rPr>
      <w:rFonts w:ascii="Arial" w:hAnsi="Arial" w:cs="Arial"/>
      <w:b/>
      <w:sz w:val="20"/>
    </w:rPr>
  </w:style>
  <w:style w:type="paragraph" w:customStyle="1" w:styleId="BoxResponse">
    <w:name w:val="Box Response"/>
    <w:basedOn w:val="RESPONSE"/>
    <w:link w:val="BoxResponseChar"/>
    <w:qFormat/>
    <w:rsid w:val="00F46241"/>
    <w:pPr>
      <w:tabs>
        <w:tab w:val="left" w:pos="4680"/>
      </w:tabs>
      <w:ind w:right="0"/>
    </w:pPr>
  </w:style>
  <w:style w:type="paragraph" w:customStyle="1" w:styleId="Range">
    <w:name w:val="Range"/>
    <w:basedOn w:val="RESPONSE"/>
    <w:link w:val="RangeChar"/>
    <w:qFormat/>
    <w:rsid w:val="00F46241"/>
    <w:pPr>
      <w:tabs>
        <w:tab w:val="left" w:pos="4140"/>
      </w:tabs>
      <w:spacing w:before="60"/>
      <w:ind w:right="0"/>
    </w:pPr>
  </w:style>
  <w:style w:type="character" w:customStyle="1" w:styleId="BoxResponseChar">
    <w:name w:val="Box Response Char"/>
    <w:basedOn w:val="RESPONSEChar"/>
    <w:link w:val="BoxResponse"/>
    <w:rsid w:val="00F46241"/>
    <w:rPr>
      <w:rFonts w:ascii="Arial" w:eastAsia="Times New Roman" w:hAnsi="Arial" w:cs="Arial"/>
      <w:sz w:val="20"/>
      <w:szCs w:val="20"/>
    </w:rPr>
  </w:style>
  <w:style w:type="character" w:customStyle="1" w:styleId="RangeChar">
    <w:name w:val="Range Char"/>
    <w:basedOn w:val="RESPONSEChar"/>
    <w:link w:val="Range"/>
    <w:rsid w:val="00F46241"/>
    <w:rPr>
      <w:rFonts w:ascii="Arial" w:eastAsia="Times New Roman" w:hAnsi="Arial" w:cs="Arial"/>
      <w:sz w:val="20"/>
      <w:szCs w:val="20"/>
    </w:rPr>
  </w:style>
  <w:style w:type="paragraph" w:customStyle="1" w:styleId="MULTIBoxResponse">
    <w:name w:val="MULTI Box Response"/>
    <w:basedOn w:val="BoxResponse"/>
    <w:link w:val="MULTIBoxResponseChar"/>
    <w:qFormat/>
    <w:rsid w:val="00F46241"/>
    <w:pPr>
      <w:tabs>
        <w:tab w:val="clear" w:pos="4680"/>
        <w:tab w:val="left" w:pos="5940"/>
      </w:tabs>
      <w:spacing w:before="240" w:after="120"/>
    </w:pPr>
  </w:style>
  <w:style w:type="character" w:customStyle="1" w:styleId="MULTIBoxResponseChar">
    <w:name w:val="MULTI Box Response Char"/>
    <w:basedOn w:val="BoxResponseChar"/>
    <w:link w:val="MULTIBoxResponse"/>
    <w:rsid w:val="00F46241"/>
    <w:rPr>
      <w:rFonts w:ascii="Arial" w:eastAsia="Times New Roman" w:hAnsi="Arial" w:cs="Arial"/>
      <w:sz w:val="20"/>
      <w:szCs w:val="20"/>
    </w:rPr>
  </w:style>
  <w:style w:type="paragraph" w:customStyle="1" w:styleId="PHONERange">
    <w:name w:val="PHONE Range"/>
    <w:basedOn w:val="Normal"/>
    <w:link w:val="PHONERangeChar"/>
    <w:qFormat/>
    <w:rsid w:val="00F46241"/>
    <w:pPr>
      <w:tabs>
        <w:tab w:val="left" w:pos="4320"/>
        <w:tab w:val="left" w:pos="4950"/>
        <w:tab w:val="left" w:pos="5580"/>
        <w:tab w:val="left" w:pos="8550"/>
      </w:tabs>
      <w:spacing w:before="120" w:after="120" w:line="240" w:lineRule="auto"/>
      <w:ind w:left="1080" w:firstLine="0"/>
    </w:pPr>
    <w:rPr>
      <w:rFonts w:ascii="Arial" w:hAnsi="Arial" w:cs="Arial"/>
      <w:sz w:val="20"/>
    </w:rPr>
  </w:style>
  <w:style w:type="character" w:customStyle="1" w:styleId="PHONERangeChar">
    <w:name w:val="PHONE Range Char"/>
    <w:basedOn w:val="DefaultParagraphFont"/>
    <w:link w:val="PHONERange"/>
    <w:rsid w:val="00F46241"/>
    <w:rPr>
      <w:rFonts w:ascii="Arial" w:eastAsia="Times New Roman" w:hAnsi="Arial" w:cs="Arial"/>
      <w:sz w:val="20"/>
      <w:szCs w:val="20"/>
    </w:rPr>
  </w:style>
  <w:style w:type="character" w:customStyle="1" w:styleId="SELECTONEMARKALLChar">
    <w:name w:val="SELECT ONE/MARK ALL Char"/>
    <w:basedOn w:val="RESPONSEChar"/>
    <w:link w:val="SELECTONEMARKALL"/>
    <w:rsid w:val="00F46241"/>
    <w:rPr>
      <w:rFonts w:ascii="Arial" w:eastAsia="Times New Roman" w:hAnsi="Arial" w:cs="Arial"/>
      <w:b/>
      <w:sz w:val="20"/>
      <w:szCs w:val="20"/>
    </w:rPr>
  </w:style>
  <w:style w:type="paragraph" w:customStyle="1" w:styleId="PROGRAMMER">
    <w:name w:val="PROGRAMMER:"/>
    <w:basedOn w:val="QUESTIONTEXT"/>
    <w:link w:val="PROGRAMMERChar"/>
    <w:rsid w:val="00F46241"/>
    <w:pPr>
      <w:tabs>
        <w:tab w:val="clear" w:pos="720"/>
      </w:tabs>
      <w:ind w:left="2340" w:right="-540" w:hanging="1620"/>
    </w:pPr>
    <w:rPr>
      <w:b w:val="0"/>
      <w:noProof/>
    </w:rPr>
  </w:style>
  <w:style w:type="character" w:customStyle="1" w:styleId="PROGRAMMERChar">
    <w:name w:val="PROGRAMMER: Char"/>
    <w:basedOn w:val="QUESTIONTEXTChar"/>
    <w:link w:val="PROGRAMMER"/>
    <w:rsid w:val="00F46241"/>
    <w:rPr>
      <w:rFonts w:ascii="Arial" w:eastAsia="Times New Roman" w:hAnsi="Arial" w:cs="Arial"/>
      <w:b w:val="0"/>
      <w:noProof/>
      <w:sz w:val="20"/>
      <w:szCs w:val="20"/>
    </w:rPr>
  </w:style>
  <w:style w:type="paragraph" w:customStyle="1" w:styleId="TABLESELECT-MARK">
    <w:name w:val="TABLE SELECT-MARK"/>
    <w:basedOn w:val="SELECTONEMARKALL"/>
    <w:link w:val="TABLESELECT-MARKChar"/>
    <w:qFormat/>
    <w:rsid w:val="00F46241"/>
    <w:pPr>
      <w:spacing w:before="120" w:after="120"/>
      <w:ind w:left="6480"/>
    </w:pPr>
  </w:style>
  <w:style w:type="character" w:customStyle="1" w:styleId="TABLESELECT-MARKChar">
    <w:name w:val="TABLE SELECT-MARK Char"/>
    <w:basedOn w:val="SELECTONEMARKALLChar"/>
    <w:link w:val="TABLESELECT-MARK"/>
    <w:rsid w:val="00F46241"/>
    <w:rPr>
      <w:rFonts w:ascii="Arial" w:eastAsia="Times New Roman" w:hAnsi="Arial" w:cs="Arial"/>
      <w:b/>
      <w:sz w:val="20"/>
      <w:szCs w:val="20"/>
    </w:rPr>
  </w:style>
  <w:style w:type="paragraph" w:styleId="NormalWeb">
    <w:name w:val="Normal (Web)"/>
    <w:basedOn w:val="Normal"/>
    <w:uiPriority w:val="99"/>
    <w:semiHidden/>
    <w:unhideWhenUsed/>
    <w:rsid w:val="00F46241"/>
    <w:pPr>
      <w:spacing w:before="100" w:beforeAutospacing="1" w:after="100" w:afterAutospacing="1" w:line="240" w:lineRule="auto"/>
      <w:ind w:firstLine="0"/>
    </w:pPr>
    <w:rPr>
      <w:rFonts w:eastAsiaTheme="minorEastAsia"/>
      <w:szCs w:val="24"/>
    </w:rPr>
  </w:style>
  <w:style w:type="paragraph" w:customStyle="1" w:styleId="SECTIONHEADING">
    <w:name w:val="!SECTION HEADING"/>
    <w:basedOn w:val="Normal"/>
    <w:qFormat/>
    <w:rsid w:val="00F46241"/>
    <w:pPr>
      <w:pBdr>
        <w:top w:val="single" w:sz="4" w:space="6" w:color="auto"/>
        <w:left w:val="single" w:sz="4" w:space="4" w:color="auto"/>
        <w:bottom w:val="single" w:sz="4" w:space="6" w:color="auto"/>
        <w:right w:val="single" w:sz="4" w:space="4" w:color="auto"/>
      </w:pBdr>
      <w:shd w:val="clear" w:color="auto" w:fill="E8E8E8"/>
      <w:spacing w:after="360" w:line="240" w:lineRule="auto"/>
      <w:ind w:firstLine="0"/>
      <w:jc w:val="center"/>
      <w:outlineLvl w:val="0"/>
    </w:pPr>
    <w:rPr>
      <w:rFonts w:ascii="Arial" w:hAnsi="Arial" w:cs="Arial"/>
      <w:b/>
      <w:szCs w:val="24"/>
    </w:rPr>
  </w:style>
  <w:style w:type="paragraph" w:customStyle="1" w:styleId="PROBEBOLDTEXTHERE">
    <w:name w:val="!PROBE BOLD TEXT HERE"/>
    <w:basedOn w:val="Normal"/>
    <w:link w:val="PROBEBOLDTEXTHEREChar"/>
    <w:qFormat/>
    <w:rsid w:val="00F46241"/>
    <w:pPr>
      <w:tabs>
        <w:tab w:val="left" w:pos="1800"/>
      </w:tabs>
      <w:spacing w:before="120" w:after="120" w:line="240" w:lineRule="auto"/>
      <w:ind w:left="1800" w:hanging="1080"/>
    </w:pPr>
    <w:rPr>
      <w:rFonts w:ascii="Arial" w:hAnsi="Arial" w:cs="Arial"/>
      <w:bCs/>
      <w:sz w:val="20"/>
    </w:rPr>
  </w:style>
  <w:style w:type="character" w:customStyle="1" w:styleId="PROBEBOLDTEXTHEREChar">
    <w:name w:val="!PROBE BOLD TEXT HERE Char"/>
    <w:basedOn w:val="DefaultParagraphFont"/>
    <w:link w:val="PROBEBOLDTEXTHERE"/>
    <w:locked/>
    <w:rsid w:val="00F46241"/>
    <w:rPr>
      <w:rFonts w:ascii="Arial" w:eastAsia="Times New Roman" w:hAnsi="Arial" w:cs="Arial"/>
      <w:bCs/>
      <w:sz w:val="20"/>
      <w:szCs w:val="20"/>
    </w:rPr>
  </w:style>
  <w:style w:type="paragraph" w:customStyle="1" w:styleId="Underline">
    <w:name w:val="Underline"/>
    <w:basedOn w:val="QUESTIONTEXT"/>
    <w:link w:val="UnderlineChar"/>
    <w:qFormat/>
    <w:rsid w:val="00F46241"/>
    <w:pPr>
      <w:tabs>
        <w:tab w:val="clear" w:pos="720"/>
        <w:tab w:val="left" w:pos="1080"/>
        <w:tab w:val="left" w:leader="underscore" w:pos="6300"/>
        <w:tab w:val="left" w:pos="6660"/>
      </w:tabs>
      <w:ind w:left="1080" w:right="0" w:hanging="1080"/>
    </w:pPr>
    <w:rPr>
      <w:b w:val="0"/>
      <w:bCs/>
    </w:rPr>
  </w:style>
  <w:style w:type="character" w:customStyle="1" w:styleId="UnderlineChar">
    <w:name w:val="Underline Char"/>
    <w:basedOn w:val="QUESTIONTEXTChar"/>
    <w:link w:val="Underline"/>
    <w:rsid w:val="00F46241"/>
    <w:rPr>
      <w:rFonts w:ascii="Arial" w:eastAsia="Times New Roman" w:hAnsi="Arial" w:cs="Arial"/>
      <w:b w:val="0"/>
      <w:bCs/>
      <w:sz w:val="20"/>
      <w:szCs w:val="20"/>
    </w:rPr>
  </w:style>
  <w:style w:type="table" w:customStyle="1" w:styleId="TableGrid21">
    <w:name w:val="Table Grid21"/>
    <w:basedOn w:val="TableNormal"/>
    <w:next w:val="TableGrid"/>
    <w:uiPriority w:val="59"/>
    <w:rsid w:val="00F46241"/>
    <w:pPr>
      <w:spacing w:after="0"/>
    </w:pPr>
    <w:rPr>
      <w:rFonts w:eastAsia="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OtherSpecifyLine">
    <w:name w:val="Other Specify Line"/>
    <w:basedOn w:val="Normal"/>
    <w:link w:val="OtherSpecifyLineChar"/>
    <w:qFormat/>
    <w:rsid w:val="00F46241"/>
    <w:pPr>
      <w:tabs>
        <w:tab w:val="left" w:leader="underscore" w:pos="7110"/>
      </w:tabs>
      <w:spacing w:before="120" w:after="240" w:line="240" w:lineRule="auto"/>
      <w:ind w:left="720" w:hanging="720"/>
    </w:pPr>
    <w:rPr>
      <w:rFonts w:ascii="Arial" w:hAnsi="Arial" w:cs="Arial"/>
      <w:bCs/>
      <w:snapToGrid w:val="0"/>
      <w:sz w:val="20"/>
    </w:rPr>
  </w:style>
  <w:style w:type="character" w:customStyle="1" w:styleId="OtherSpecifyLineChar">
    <w:name w:val="Other Specify Line Char"/>
    <w:basedOn w:val="DefaultParagraphFont"/>
    <w:link w:val="OtherSpecifyLine"/>
    <w:rsid w:val="00F46241"/>
    <w:rPr>
      <w:rFonts w:ascii="Arial" w:eastAsia="Times New Roman" w:hAnsi="Arial" w:cs="Arial"/>
      <w:bCs/>
      <w:snapToGrid w:val="0"/>
      <w:sz w:val="20"/>
      <w:szCs w:val="20"/>
    </w:rPr>
  </w:style>
  <w:style w:type="paragraph" w:customStyle="1" w:styleId="INTRO">
    <w:name w:val="!INTRO"/>
    <w:qFormat/>
    <w:rsid w:val="00F46241"/>
    <w:pPr>
      <w:spacing w:before="240"/>
    </w:pPr>
    <w:rPr>
      <w:rFonts w:ascii="Arial" w:eastAsia="Times New Roman" w:hAnsi="Arial" w:cs="Arial"/>
      <w:b/>
      <w:sz w:val="20"/>
      <w:szCs w:val="20"/>
    </w:rPr>
  </w:style>
  <w:style w:type="character" w:customStyle="1" w:styleId="tgc">
    <w:name w:val="_tgc"/>
    <w:basedOn w:val="DefaultParagraphFont"/>
    <w:rsid w:val="00F46241"/>
  </w:style>
  <w:style w:type="table" w:customStyle="1" w:styleId="TableGrid7">
    <w:name w:val="Table Grid7"/>
    <w:basedOn w:val="TableNormal"/>
    <w:next w:val="TableGrid"/>
    <w:uiPriority w:val="59"/>
    <w:rsid w:val="00F46241"/>
    <w:pPr>
      <w:spacing w:after="0"/>
    </w:pPr>
    <w:rPr>
      <w:rFonts w:eastAsia="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sLast">
    <w:name w:val="BulletsLast"/>
    <w:basedOn w:val="Bullets"/>
    <w:rsid w:val="0058148D"/>
    <w:pPr>
      <w:numPr>
        <w:numId w:val="0"/>
      </w:numPr>
      <w:tabs>
        <w:tab w:val="num" w:pos="360"/>
      </w:tabs>
      <w:spacing w:after="1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47510">
      <w:bodyDiv w:val="1"/>
      <w:marLeft w:val="0"/>
      <w:marRight w:val="0"/>
      <w:marTop w:val="0"/>
      <w:marBottom w:val="0"/>
      <w:divBdr>
        <w:top w:val="none" w:sz="0" w:space="0" w:color="auto"/>
        <w:left w:val="none" w:sz="0" w:space="0" w:color="auto"/>
        <w:bottom w:val="none" w:sz="0" w:space="0" w:color="auto"/>
        <w:right w:val="none" w:sz="0" w:space="0" w:color="auto"/>
      </w:divBdr>
    </w:div>
    <w:div w:id="271474173">
      <w:bodyDiv w:val="1"/>
      <w:marLeft w:val="0"/>
      <w:marRight w:val="0"/>
      <w:marTop w:val="0"/>
      <w:marBottom w:val="0"/>
      <w:divBdr>
        <w:top w:val="none" w:sz="0" w:space="0" w:color="auto"/>
        <w:left w:val="none" w:sz="0" w:space="0" w:color="auto"/>
        <w:bottom w:val="none" w:sz="0" w:space="0" w:color="auto"/>
        <w:right w:val="none" w:sz="0" w:space="0" w:color="auto"/>
      </w:divBdr>
    </w:div>
    <w:div w:id="301691041">
      <w:bodyDiv w:val="1"/>
      <w:marLeft w:val="0"/>
      <w:marRight w:val="0"/>
      <w:marTop w:val="0"/>
      <w:marBottom w:val="0"/>
      <w:divBdr>
        <w:top w:val="none" w:sz="0" w:space="0" w:color="auto"/>
        <w:left w:val="none" w:sz="0" w:space="0" w:color="auto"/>
        <w:bottom w:val="none" w:sz="0" w:space="0" w:color="auto"/>
        <w:right w:val="none" w:sz="0" w:space="0" w:color="auto"/>
      </w:divBdr>
    </w:div>
    <w:div w:id="392431727">
      <w:bodyDiv w:val="1"/>
      <w:marLeft w:val="0"/>
      <w:marRight w:val="0"/>
      <w:marTop w:val="0"/>
      <w:marBottom w:val="0"/>
      <w:divBdr>
        <w:top w:val="none" w:sz="0" w:space="0" w:color="auto"/>
        <w:left w:val="none" w:sz="0" w:space="0" w:color="auto"/>
        <w:bottom w:val="none" w:sz="0" w:space="0" w:color="auto"/>
        <w:right w:val="none" w:sz="0" w:space="0" w:color="auto"/>
      </w:divBdr>
    </w:div>
    <w:div w:id="430129554">
      <w:bodyDiv w:val="1"/>
      <w:marLeft w:val="0"/>
      <w:marRight w:val="0"/>
      <w:marTop w:val="0"/>
      <w:marBottom w:val="0"/>
      <w:divBdr>
        <w:top w:val="none" w:sz="0" w:space="0" w:color="auto"/>
        <w:left w:val="none" w:sz="0" w:space="0" w:color="auto"/>
        <w:bottom w:val="none" w:sz="0" w:space="0" w:color="auto"/>
        <w:right w:val="none" w:sz="0" w:space="0" w:color="auto"/>
      </w:divBdr>
    </w:div>
    <w:div w:id="436604887">
      <w:bodyDiv w:val="1"/>
      <w:marLeft w:val="0"/>
      <w:marRight w:val="0"/>
      <w:marTop w:val="0"/>
      <w:marBottom w:val="0"/>
      <w:divBdr>
        <w:top w:val="none" w:sz="0" w:space="0" w:color="auto"/>
        <w:left w:val="none" w:sz="0" w:space="0" w:color="auto"/>
        <w:bottom w:val="none" w:sz="0" w:space="0" w:color="auto"/>
        <w:right w:val="none" w:sz="0" w:space="0" w:color="auto"/>
      </w:divBdr>
    </w:div>
    <w:div w:id="498547014">
      <w:bodyDiv w:val="1"/>
      <w:marLeft w:val="0"/>
      <w:marRight w:val="0"/>
      <w:marTop w:val="0"/>
      <w:marBottom w:val="0"/>
      <w:divBdr>
        <w:top w:val="none" w:sz="0" w:space="0" w:color="auto"/>
        <w:left w:val="none" w:sz="0" w:space="0" w:color="auto"/>
        <w:bottom w:val="none" w:sz="0" w:space="0" w:color="auto"/>
        <w:right w:val="none" w:sz="0" w:space="0" w:color="auto"/>
      </w:divBdr>
    </w:div>
    <w:div w:id="506331141">
      <w:bodyDiv w:val="1"/>
      <w:marLeft w:val="0"/>
      <w:marRight w:val="0"/>
      <w:marTop w:val="0"/>
      <w:marBottom w:val="0"/>
      <w:divBdr>
        <w:top w:val="none" w:sz="0" w:space="0" w:color="auto"/>
        <w:left w:val="none" w:sz="0" w:space="0" w:color="auto"/>
        <w:bottom w:val="none" w:sz="0" w:space="0" w:color="auto"/>
        <w:right w:val="none" w:sz="0" w:space="0" w:color="auto"/>
      </w:divBdr>
    </w:div>
    <w:div w:id="605501436">
      <w:bodyDiv w:val="1"/>
      <w:marLeft w:val="0"/>
      <w:marRight w:val="0"/>
      <w:marTop w:val="0"/>
      <w:marBottom w:val="0"/>
      <w:divBdr>
        <w:top w:val="none" w:sz="0" w:space="0" w:color="auto"/>
        <w:left w:val="none" w:sz="0" w:space="0" w:color="auto"/>
        <w:bottom w:val="none" w:sz="0" w:space="0" w:color="auto"/>
        <w:right w:val="none" w:sz="0" w:space="0" w:color="auto"/>
      </w:divBdr>
    </w:div>
    <w:div w:id="617030381">
      <w:bodyDiv w:val="1"/>
      <w:marLeft w:val="0"/>
      <w:marRight w:val="0"/>
      <w:marTop w:val="0"/>
      <w:marBottom w:val="0"/>
      <w:divBdr>
        <w:top w:val="none" w:sz="0" w:space="0" w:color="auto"/>
        <w:left w:val="none" w:sz="0" w:space="0" w:color="auto"/>
        <w:bottom w:val="none" w:sz="0" w:space="0" w:color="auto"/>
        <w:right w:val="none" w:sz="0" w:space="0" w:color="auto"/>
      </w:divBdr>
    </w:div>
    <w:div w:id="743840301">
      <w:bodyDiv w:val="1"/>
      <w:marLeft w:val="0"/>
      <w:marRight w:val="0"/>
      <w:marTop w:val="0"/>
      <w:marBottom w:val="0"/>
      <w:divBdr>
        <w:top w:val="none" w:sz="0" w:space="0" w:color="auto"/>
        <w:left w:val="none" w:sz="0" w:space="0" w:color="auto"/>
        <w:bottom w:val="none" w:sz="0" w:space="0" w:color="auto"/>
        <w:right w:val="none" w:sz="0" w:space="0" w:color="auto"/>
      </w:divBdr>
      <w:divsChild>
        <w:div w:id="1588419975">
          <w:marLeft w:val="720"/>
          <w:marRight w:val="0"/>
          <w:marTop w:val="60"/>
          <w:marBottom w:val="60"/>
          <w:divBdr>
            <w:top w:val="none" w:sz="0" w:space="0" w:color="auto"/>
            <w:left w:val="none" w:sz="0" w:space="0" w:color="auto"/>
            <w:bottom w:val="none" w:sz="0" w:space="0" w:color="auto"/>
            <w:right w:val="none" w:sz="0" w:space="0" w:color="auto"/>
          </w:divBdr>
        </w:div>
      </w:divsChild>
    </w:div>
    <w:div w:id="800458113">
      <w:bodyDiv w:val="1"/>
      <w:marLeft w:val="0"/>
      <w:marRight w:val="0"/>
      <w:marTop w:val="0"/>
      <w:marBottom w:val="0"/>
      <w:divBdr>
        <w:top w:val="none" w:sz="0" w:space="0" w:color="auto"/>
        <w:left w:val="none" w:sz="0" w:space="0" w:color="auto"/>
        <w:bottom w:val="none" w:sz="0" w:space="0" w:color="auto"/>
        <w:right w:val="none" w:sz="0" w:space="0" w:color="auto"/>
      </w:divBdr>
    </w:div>
    <w:div w:id="812989782">
      <w:bodyDiv w:val="1"/>
      <w:marLeft w:val="0"/>
      <w:marRight w:val="0"/>
      <w:marTop w:val="0"/>
      <w:marBottom w:val="0"/>
      <w:divBdr>
        <w:top w:val="none" w:sz="0" w:space="0" w:color="auto"/>
        <w:left w:val="none" w:sz="0" w:space="0" w:color="auto"/>
        <w:bottom w:val="none" w:sz="0" w:space="0" w:color="auto"/>
        <w:right w:val="none" w:sz="0" w:space="0" w:color="auto"/>
      </w:divBdr>
    </w:div>
    <w:div w:id="840001466">
      <w:bodyDiv w:val="1"/>
      <w:marLeft w:val="0"/>
      <w:marRight w:val="0"/>
      <w:marTop w:val="0"/>
      <w:marBottom w:val="0"/>
      <w:divBdr>
        <w:top w:val="none" w:sz="0" w:space="0" w:color="auto"/>
        <w:left w:val="none" w:sz="0" w:space="0" w:color="auto"/>
        <w:bottom w:val="none" w:sz="0" w:space="0" w:color="auto"/>
        <w:right w:val="none" w:sz="0" w:space="0" w:color="auto"/>
      </w:divBdr>
    </w:div>
    <w:div w:id="1019507602">
      <w:bodyDiv w:val="1"/>
      <w:marLeft w:val="0"/>
      <w:marRight w:val="0"/>
      <w:marTop w:val="0"/>
      <w:marBottom w:val="0"/>
      <w:divBdr>
        <w:top w:val="none" w:sz="0" w:space="0" w:color="auto"/>
        <w:left w:val="none" w:sz="0" w:space="0" w:color="auto"/>
        <w:bottom w:val="none" w:sz="0" w:space="0" w:color="auto"/>
        <w:right w:val="none" w:sz="0" w:space="0" w:color="auto"/>
      </w:divBdr>
    </w:div>
    <w:div w:id="1084953355">
      <w:bodyDiv w:val="1"/>
      <w:marLeft w:val="0"/>
      <w:marRight w:val="0"/>
      <w:marTop w:val="0"/>
      <w:marBottom w:val="0"/>
      <w:divBdr>
        <w:top w:val="none" w:sz="0" w:space="0" w:color="auto"/>
        <w:left w:val="none" w:sz="0" w:space="0" w:color="auto"/>
        <w:bottom w:val="none" w:sz="0" w:space="0" w:color="auto"/>
        <w:right w:val="none" w:sz="0" w:space="0" w:color="auto"/>
      </w:divBdr>
    </w:div>
    <w:div w:id="1135216444">
      <w:bodyDiv w:val="1"/>
      <w:marLeft w:val="0"/>
      <w:marRight w:val="0"/>
      <w:marTop w:val="0"/>
      <w:marBottom w:val="0"/>
      <w:divBdr>
        <w:top w:val="none" w:sz="0" w:space="0" w:color="auto"/>
        <w:left w:val="none" w:sz="0" w:space="0" w:color="auto"/>
        <w:bottom w:val="none" w:sz="0" w:space="0" w:color="auto"/>
        <w:right w:val="none" w:sz="0" w:space="0" w:color="auto"/>
      </w:divBdr>
    </w:div>
    <w:div w:id="1203177505">
      <w:bodyDiv w:val="1"/>
      <w:marLeft w:val="0"/>
      <w:marRight w:val="0"/>
      <w:marTop w:val="0"/>
      <w:marBottom w:val="0"/>
      <w:divBdr>
        <w:top w:val="none" w:sz="0" w:space="0" w:color="auto"/>
        <w:left w:val="none" w:sz="0" w:space="0" w:color="auto"/>
        <w:bottom w:val="none" w:sz="0" w:space="0" w:color="auto"/>
        <w:right w:val="none" w:sz="0" w:space="0" w:color="auto"/>
      </w:divBdr>
    </w:div>
    <w:div w:id="1275286212">
      <w:bodyDiv w:val="1"/>
      <w:marLeft w:val="0"/>
      <w:marRight w:val="0"/>
      <w:marTop w:val="0"/>
      <w:marBottom w:val="0"/>
      <w:divBdr>
        <w:top w:val="none" w:sz="0" w:space="0" w:color="auto"/>
        <w:left w:val="none" w:sz="0" w:space="0" w:color="auto"/>
        <w:bottom w:val="none" w:sz="0" w:space="0" w:color="auto"/>
        <w:right w:val="none" w:sz="0" w:space="0" w:color="auto"/>
      </w:divBdr>
    </w:div>
    <w:div w:id="1369407452">
      <w:bodyDiv w:val="1"/>
      <w:marLeft w:val="0"/>
      <w:marRight w:val="0"/>
      <w:marTop w:val="0"/>
      <w:marBottom w:val="0"/>
      <w:divBdr>
        <w:top w:val="none" w:sz="0" w:space="0" w:color="auto"/>
        <w:left w:val="none" w:sz="0" w:space="0" w:color="auto"/>
        <w:bottom w:val="none" w:sz="0" w:space="0" w:color="auto"/>
        <w:right w:val="none" w:sz="0" w:space="0" w:color="auto"/>
      </w:divBdr>
    </w:div>
    <w:div w:id="1385131342">
      <w:bodyDiv w:val="1"/>
      <w:marLeft w:val="0"/>
      <w:marRight w:val="0"/>
      <w:marTop w:val="0"/>
      <w:marBottom w:val="0"/>
      <w:divBdr>
        <w:top w:val="none" w:sz="0" w:space="0" w:color="auto"/>
        <w:left w:val="none" w:sz="0" w:space="0" w:color="auto"/>
        <w:bottom w:val="none" w:sz="0" w:space="0" w:color="auto"/>
        <w:right w:val="none" w:sz="0" w:space="0" w:color="auto"/>
      </w:divBdr>
    </w:div>
    <w:div w:id="1481575572">
      <w:bodyDiv w:val="1"/>
      <w:marLeft w:val="0"/>
      <w:marRight w:val="0"/>
      <w:marTop w:val="0"/>
      <w:marBottom w:val="0"/>
      <w:divBdr>
        <w:top w:val="none" w:sz="0" w:space="0" w:color="auto"/>
        <w:left w:val="none" w:sz="0" w:space="0" w:color="auto"/>
        <w:bottom w:val="none" w:sz="0" w:space="0" w:color="auto"/>
        <w:right w:val="none" w:sz="0" w:space="0" w:color="auto"/>
      </w:divBdr>
    </w:div>
    <w:div w:id="1525317024">
      <w:bodyDiv w:val="1"/>
      <w:marLeft w:val="0"/>
      <w:marRight w:val="0"/>
      <w:marTop w:val="0"/>
      <w:marBottom w:val="0"/>
      <w:divBdr>
        <w:top w:val="none" w:sz="0" w:space="0" w:color="auto"/>
        <w:left w:val="none" w:sz="0" w:space="0" w:color="auto"/>
        <w:bottom w:val="none" w:sz="0" w:space="0" w:color="auto"/>
        <w:right w:val="none" w:sz="0" w:space="0" w:color="auto"/>
      </w:divBdr>
    </w:div>
    <w:div w:id="1536233604">
      <w:bodyDiv w:val="1"/>
      <w:marLeft w:val="0"/>
      <w:marRight w:val="0"/>
      <w:marTop w:val="0"/>
      <w:marBottom w:val="0"/>
      <w:divBdr>
        <w:top w:val="none" w:sz="0" w:space="0" w:color="auto"/>
        <w:left w:val="none" w:sz="0" w:space="0" w:color="auto"/>
        <w:bottom w:val="none" w:sz="0" w:space="0" w:color="auto"/>
        <w:right w:val="none" w:sz="0" w:space="0" w:color="auto"/>
      </w:divBdr>
    </w:div>
    <w:div w:id="1613778475">
      <w:bodyDiv w:val="1"/>
      <w:marLeft w:val="0"/>
      <w:marRight w:val="0"/>
      <w:marTop w:val="0"/>
      <w:marBottom w:val="0"/>
      <w:divBdr>
        <w:top w:val="none" w:sz="0" w:space="0" w:color="auto"/>
        <w:left w:val="none" w:sz="0" w:space="0" w:color="auto"/>
        <w:bottom w:val="none" w:sz="0" w:space="0" w:color="auto"/>
        <w:right w:val="none" w:sz="0" w:space="0" w:color="auto"/>
      </w:divBdr>
    </w:div>
    <w:div w:id="1667392217">
      <w:bodyDiv w:val="1"/>
      <w:marLeft w:val="0"/>
      <w:marRight w:val="0"/>
      <w:marTop w:val="0"/>
      <w:marBottom w:val="0"/>
      <w:divBdr>
        <w:top w:val="none" w:sz="0" w:space="0" w:color="auto"/>
        <w:left w:val="none" w:sz="0" w:space="0" w:color="auto"/>
        <w:bottom w:val="none" w:sz="0" w:space="0" w:color="auto"/>
        <w:right w:val="none" w:sz="0" w:space="0" w:color="auto"/>
      </w:divBdr>
    </w:div>
    <w:div w:id="1746761388">
      <w:bodyDiv w:val="1"/>
      <w:marLeft w:val="0"/>
      <w:marRight w:val="0"/>
      <w:marTop w:val="0"/>
      <w:marBottom w:val="0"/>
      <w:divBdr>
        <w:top w:val="none" w:sz="0" w:space="0" w:color="auto"/>
        <w:left w:val="none" w:sz="0" w:space="0" w:color="auto"/>
        <w:bottom w:val="none" w:sz="0" w:space="0" w:color="auto"/>
        <w:right w:val="none" w:sz="0" w:space="0" w:color="auto"/>
      </w:divBdr>
    </w:div>
    <w:div w:id="1747460895">
      <w:bodyDiv w:val="1"/>
      <w:marLeft w:val="0"/>
      <w:marRight w:val="0"/>
      <w:marTop w:val="0"/>
      <w:marBottom w:val="0"/>
      <w:divBdr>
        <w:top w:val="none" w:sz="0" w:space="0" w:color="auto"/>
        <w:left w:val="none" w:sz="0" w:space="0" w:color="auto"/>
        <w:bottom w:val="none" w:sz="0" w:space="0" w:color="auto"/>
        <w:right w:val="none" w:sz="0" w:space="0" w:color="auto"/>
      </w:divBdr>
    </w:div>
    <w:div w:id="1803957236">
      <w:bodyDiv w:val="1"/>
      <w:marLeft w:val="0"/>
      <w:marRight w:val="0"/>
      <w:marTop w:val="0"/>
      <w:marBottom w:val="0"/>
      <w:divBdr>
        <w:top w:val="none" w:sz="0" w:space="0" w:color="auto"/>
        <w:left w:val="none" w:sz="0" w:space="0" w:color="auto"/>
        <w:bottom w:val="none" w:sz="0" w:space="0" w:color="auto"/>
        <w:right w:val="none" w:sz="0" w:space="0" w:color="auto"/>
      </w:divBdr>
    </w:div>
    <w:div w:id="1832139643">
      <w:bodyDiv w:val="1"/>
      <w:marLeft w:val="0"/>
      <w:marRight w:val="0"/>
      <w:marTop w:val="0"/>
      <w:marBottom w:val="0"/>
      <w:divBdr>
        <w:top w:val="none" w:sz="0" w:space="0" w:color="auto"/>
        <w:left w:val="none" w:sz="0" w:space="0" w:color="auto"/>
        <w:bottom w:val="none" w:sz="0" w:space="0" w:color="auto"/>
        <w:right w:val="none" w:sz="0" w:space="0" w:color="auto"/>
      </w:divBdr>
    </w:div>
    <w:div w:id="2005476270">
      <w:bodyDiv w:val="1"/>
      <w:marLeft w:val="0"/>
      <w:marRight w:val="0"/>
      <w:marTop w:val="0"/>
      <w:marBottom w:val="0"/>
      <w:divBdr>
        <w:top w:val="none" w:sz="0" w:space="0" w:color="auto"/>
        <w:left w:val="none" w:sz="0" w:space="0" w:color="auto"/>
        <w:bottom w:val="none" w:sz="0" w:space="0" w:color="auto"/>
        <w:right w:val="none" w:sz="0" w:space="0" w:color="auto"/>
      </w:divBdr>
    </w:div>
    <w:div w:id="212272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header" Target="header2.xml"/><Relationship Id="rId21" Type="http://schemas.openxmlformats.org/officeDocument/2006/relationships/oleObject" Target="embeddings/oleObject5.bin"/><Relationship Id="rId34" Type="http://schemas.openxmlformats.org/officeDocument/2006/relationships/image" Target="media/image12.wmf"/><Relationship Id="rId42" Type="http://schemas.openxmlformats.org/officeDocument/2006/relationships/theme" Target="theme/theme1.xml"/><Relationship Id="rId50" Type="http://schemas.microsoft.com/office/2016/09/relationships/commentsIds" Target="commentsIds.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oleObject" Target="embeddings/oleObject9.bin"/><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ct-yes.com" TargetMode="Externa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oleObject" Target="embeddings/oleObject14.bin"/><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9.wmf"/><Relationship Id="rId36" Type="http://schemas.openxmlformats.org/officeDocument/2006/relationships/oleObject" Target="embeddings/oleObject13.bin"/><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oleObject" Target="embeddings/oleObject10.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oleObject" Target="embeddings/oleObject8.bin"/><Relationship Id="rId30" Type="http://schemas.openxmlformats.org/officeDocument/2006/relationships/image" Target="media/image10.wmf"/><Relationship Id="rId35" Type="http://schemas.openxmlformats.org/officeDocument/2006/relationships/oleObject" Target="embeddings/oleObject12.bin"/><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9FC248-A9F5-451F-86FA-963E8E77807D}">
  <ds:schemaRefs>
    <ds:schemaRef ds:uri="http://schemas.microsoft.com/sharepoint/v3/contenttype/forms"/>
  </ds:schemaRefs>
</ds:datastoreItem>
</file>

<file path=customXml/itemProps2.xml><?xml version="1.0" encoding="utf-8"?>
<ds:datastoreItem xmlns:ds="http://schemas.openxmlformats.org/officeDocument/2006/customXml" ds:itemID="{5911B2E0-B88B-471B-8552-0D82DC6BE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AC6C81E-1251-4426-B77F-564D34B9D27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8A1608-B3F6-4FE8-9551-B96F3CBA6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44</TotalTime>
  <Pages>15</Pages>
  <Words>6615</Words>
  <Characters>37708</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44235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Mathematica Staff</dc:creator>
  <cp:lastModifiedBy>Butrica, Barbara</cp:lastModifiedBy>
  <cp:revision>11</cp:revision>
  <cp:lastPrinted>2018-10-03T20:01:00Z</cp:lastPrinted>
  <dcterms:created xsi:type="dcterms:W3CDTF">2020-06-12T17:47:00Z</dcterms:created>
  <dcterms:modified xsi:type="dcterms:W3CDTF">2020-07-24T15:42:00Z</dcterms:modified>
</cp:coreProperties>
</file>