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8480E" w:rsidR="001551C6" w:rsidP="2337C34A" w:rsidRDefault="001551C6" w14:paraId="703566E8" w14:textId="5496C3EB">
      <w:pPr>
        <w:spacing w:beforeAutospacing="1" w:after="360"/>
        <w:jc w:val="center"/>
        <w:rPr>
          <w:b/>
          <w:bCs/>
          <w:i/>
          <w:iCs/>
          <w:color w:val="000000" w:themeColor="text1"/>
          <w:sz w:val="32"/>
          <w:szCs w:val="32"/>
        </w:rPr>
      </w:pPr>
      <w:r w:rsidRPr="0088480E">
        <w:rPr>
          <w:b/>
          <w:bCs/>
          <w:sz w:val="32"/>
          <w:szCs w:val="32"/>
        </w:rPr>
        <w:t xml:space="preserve">SUPPORTING STATEMENT FOR </w:t>
      </w:r>
      <w:r w:rsidRPr="0088480E">
        <w:br/>
      </w:r>
      <w:r w:rsidRPr="0088480E">
        <w:rPr>
          <w:b/>
          <w:bCs/>
          <w:sz w:val="32"/>
          <w:szCs w:val="32"/>
        </w:rPr>
        <w:t>PAPERWORK REDUCTION ACT SUBMISSION</w:t>
      </w:r>
      <w:r w:rsidRPr="0088480E">
        <w:br/>
      </w:r>
      <w:r w:rsidRPr="0088480E">
        <w:br/>
      </w:r>
      <w:r w:rsidRPr="0088480E" w:rsidR="221D538F">
        <w:rPr>
          <w:b/>
          <w:bCs/>
          <w:i/>
          <w:iCs/>
          <w:color w:val="000000" w:themeColor="text1"/>
          <w:sz w:val="32"/>
          <w:szCs w:val="32"/>
        </w:rPr>
        <w:t>Monitoring Data for ECA Framework</w:t>
      </w:r>
      <w:r w:rsidRPr="0088480E">
        <w:br/>
      </w:r>
      <w:r w:rsidRPr="0088480E">
        <w:rPr>
          <w:b/>
          <w:bCs/>
          <w:color w:val="000000" w:themeColor="text1"/>
          <w:sz w:val="32"/>
          <w:szCs w:val="32"/>
        </w:rPr>
        <w:t>OMB Number 1405-</w:t>
      </w:r>
      <w:r w:rsidRPr="0088480E" w:rsidR="00377BC9">
        <w:rPr>
          <w:b/>
          <w:bCs/>
          <w:color w:val="000000" w:themeColor="text1"/>
          <w:sz w:val="32"/>
          <w:szCs w:val="32"/>
        </w:rPr>
        <w:t>XXXX</w:t>
      </w:r>
      <w:r w:rsidRPr="0088480E">
        <w:br/>
      </w:r>
    </w:p>
    <w:p w:rsidRPr="0088480E" w:rsidR="001551C6" w:rsidP="2337C34A" w:rsidRDefault="001551C6" w14:paraId="0D409DDB" w14:textId="77777777">
      <w:pPr>
        <w:pStyle w:val="Heading1"/>
        <w:spacing w:before="100" w:beforeAutospacing="1"/>
      </w:pPr>
      <w:r w:rsidRPr="0088480E">
        <w:t>A.</w:t>
      </w:r>
      <w:r w:rsidRPr="0088480E">
        <w:tab/>
        <w:t>JUSTIFICATION</w:t>
      </w:r>
    </w:p>
    <w:p w:rsidRPr="0088480E" w:rsidR="001551C6" w:rsidP="2337C34A" w:rsidRDefault="001551C6" w14:paraId="02F49EAC" w14:textId="77777777">
      <w:pPr>
        <w:numPr>
          <w:ilvl w:val="0"/>
          <w:numId w:val="7"/>
        </w:numPr>
        <w:spacing w:before="100" w:beforeAutospacing="1"/>
        <w:rPr>
          <w:i/>
          <w:iCs/>
          <w:color w:val="000000" w:themeColor="text1"/>
          <w:sz w:val="28"/>
          <w:szCs w:val="28"/>
        </w:rPr>
      </w:pPr>
      <w:r w:rsidRPr="0088480E">
        <w:rPr>
          <w:i/>
          <w:iCs/>
          <w:color w:val="000000" w:themeColor="text1"/>
          <w:sz w:val="28"/>
          <w:szCs w:val="28"/>
        </w:rPr>
        <w:t>Why is this collection necessary and what are the legal statutes that allow this?</w:t>
      </w:r>
    </w:p>
    <w:p w:rsidRPr="0088480E" w:rsidR="001C7D50" w:rsidP="3100BDC4" w:rsidRDefault="001C7D50" w14:paraId="3BC9EA7D" w14:textId="6B2F701E">
      <w:r w:rsidRPr="0088480E">
        <w:t>The Department of State’s Bureau of Educational and Cultural Affairs (ECA) regularly monitors</w:t>
      </w:r>
      <w:r w:rsidRPr="0088480E" w:rsidR="005D5629">
        <w:t xml:space="preserve"> and evaluates</w:t>
      </w:r>
      <w:r w:rsidRPr="0088480E">
        <w:t xml:space="preserve"> its programs through the collection of data about program accomplishments in order to enable program staff to assess the </w:t>
      </w:r>
      <w:r w:rsidRPr="0088480E" w:rsidR="00F32829">
        <w:t>results</w:t>
      </w:r>
      <w:r w:rsidRPr="0088480E">
        <w:t xml:space="preserve"> of its programs, where improvements may be necessary, and to modify/plan future programs.</w:t>
      </w:r>
      <w:r w:rsidRPr="0088480E" w:rsidR="005D5629">
        <w:t xml:space="preserve">  </w:t>
      </w:r>
      <w:r w:rsidRPr="0088480E" w:rsidR="2E411D9F">
        <w:t>In order to</w:t>
      </w:r>
      <w:r w:rsidRPr="0088480E" w:rsidR="3F0BF6FD">
        <w:t xml:space="preserve"> more systematically</w:t>
      </w:r>
      <w:r w:rsidRPr="0088480E" w:rsidR="2E411D9F">
        <w:t xml:space="preserve"> assess the efficacy and impact</w:t>
      </w:r>
      <w:r w:rsidR="000F4FE3">
        <w:t xml:space="preserve"> </w:t>
      </w:r>
      <w:r w:rsidRPr="0088480E" w:rsidR="00C1316B">
        <w:t>of</w:t>
      </w:r>
      <w:r w:rsidRPr="0088480E" w:rsidR="2E411D9F">
        <w:t xml:space="preserve"> ECA funded programs</w:t>
      </w:r>
      <w:r w:rsidRPr="0088480E" w:rsidR="2D97F08F">
        <w:t xml:space="preserve"> and to address the requirements</w:t>
      </w:r>
      <w:r w:rsidRPr="0088480E" w:rsidR="182809A2">
        <w:t xml:space="preserve"> of the Foreign Aid Transparency and Accountability Act (FATAA) and the Department of State’s updated monitoring and evaluation guidance (18 FAM 300)</w:t>
      </w:r>
      <w:r w:rsidRPr="0088480E" w:rsidR="2E411D9F">
        <w:t xml:space="preserve">, </w:t>
      </w:r>
      <w:r w:rsidRPr="0088480E" w:rsidR="48F4C4C7">
        <w:t>ECA’s</w:t>
      </w:r>
      <w:r w:rsidRPr="0088480E" w:rsidR="520CFCFD">
        <w:t xml:space="preserve"> </w:t>
      </w:r>
      <w:r w:rsidRPr="0088480E" w:rsidR="48F4C4C7">
        <w:t xml:space="preserve">Evaluation Division </w:t>
      </w:r>
      <w:r w:rsidRPr="0088480E" w:rsidR="5A25CA10">
        <w:t xml:space="preserve">has </w:t>
      </w:r>
      <w:r w:rsidRPr="0088480E" w:rsidR="39CC60C0">
        <w:t>create</w:t>
      </w:r>
      <w:r w:rsidRPr="0088480E" w:rsidR="6BAE51A5">
        <w:t>d</w:t>
      </w:r>
      <w:r w:rsidRPr="0088480E" w:rsidR="39CC60C0">
        <w:t xml:space="preserve"> a robust performance monitoring </w:t>
      </w:r>
      <w:r w:rsidRPr="0088480E" w:rsidR="2DB12DA9">
        <w:t xml:space="preserve">framework </w:t>
      </w:r>
      <w:r w:rsidRPr="0088480E" w:rsidR="39CC60C0">
        <w:t xml:space="preserve">that </w:t>
      </w:r>
      <w:r w:rsidRPr="0088480E" w:rsidR="67C2C75F">
        <w:t xml:space="preserve">is </w:t>
      </w:r>
      <w:r w:rsidRPr="0088480E" w:rsidR="39CC60C0">
        <w:t>responsive to</w:t>
      </w:r>
      <w:r w:rsidRPr="0088480E" w:rsidR="073201B2">
        <w:t xml:space="preserve"> </w:t>
      </w:r>
      <w:r w:rsidRPr="0088480E" w:rsidR="39CC60C0">
        <w:t>these directives</w:t>
      </w:r>
      <w:r w:rsidRPr="0088480E" w:rsidR="144153B4">
        <w:t>, measures programmatic goals and objectives and provides a comprehensive view of overall Bureau activities.</w:t>
      </w:r>
      <w:r w:rsidRPr="0088480E" w:rsidR="4590FCC4">
        <w:t xml:space="preserve"> </w:t>
      </w:r>
      <w:r w:rsidRPr="0088480E" w:rsidR="7D40561B">
        <w:t xml:space="preserve">The </w:t>
      </w:r>
      <w:r w:rsidRPr="0088480E" w:rsidR="7D40561B">
        <w:rPr>
          <w:b/>
          <w:bCs/>
        </w:rPr>
        <w:t>Monitoring Data for ECA (MODE) Framework</w:t>
      </w:r>
      <w:r w:rsidRPr="0088480E" w:rsidR="7D40561B">
        <w:t xml:space="preserve"> </w:t>
      </w:r>
      <w:r w:rsidRPr="0088480E" w:rsidR="003E0A4B">
        <w:t>(</w:t>
      </w:r>
      <w:hyperlink r:id="rId11">
        <w:r w:rsidRPr="0088480E" w:rsidR="003E0A4B">
          <w:rPr>
            <w:rStyle w:val="Hyperlink"/>
          </w:rPr>
          <w:t>https://eca.state.gov/impact/eca-evaluation-division/monitoring-data-eca-mode-framework</w:t>
        </w:r>
      </w:hyperlink>
      <w:r w:rsidRPr="0088480E" w:rsidR="003E0A4B">
        <w:t xml:space="preserve">) </w:t>
      </w:r>
      <w:r w:rsidRPr="0088480E" w:rsidR="7D40561B">
        <w:t>includes a results framework with indicators</w:t>
      </w:r>
      <w:r w:rsidR="003D52A3">
        <w:rPr>
          <w:rStyle w:val="FootnoteReference"/>
        </w:rPr>
        <w:footnoteReference w:id="2"/>
      </w:r>
      <w:r w:rsidRPr="0088480E" w:rsidR="7D40561B">
        <w:t xml:space="preserve"> designed to track program performance and the direction, pace, and magnitude of change of ECA programs, leading to strengthened feedback mechanisms resulting in more effective</w:t>
      </w:r>
      <w:r w:rsidRPr="0088480E" w:rsidR="6D8DD12F">
        <w:t xml:space="preserve"> </w:t>
      </w:r>
      <w:r w:rsidRPr="0088480E" w:rsidR="7D40561B">
        <w:t xml:space="preserve">programs. </w:t>
      </w:r>
      <w:r w:rsidRPr="0088480E" w:rsidR="421CC253">
        <w:t>E</w:t>
      </w:r>
      <w:r w:rsidRPr="0088480E" w:rsidR="31339A61">
        <w:t xml:space="preserve">ach </w:t>
      </w:r>
      <w:r w:rsidRPr="0088480E" w:rsidR="3295ACDF">
        <w:t xml:space="preserve">of these </w:t>
      </w:r>
      <w:r w:rsidRPr="0088480E" w:rsidR="31339A61">
        <w:t>indicators ha</w:t>
      </w:r>
      <w:r w:rsidRPr="0088480E" w:rsidR="15B9E76D">
        <w:t>s</w:t>
      </w:r>
      <w:r w:rsidRPr="0088480E" w:rsidR="31339A61">
        <w:t xml:space="preserve"> corresponding data collection questions defined</w:t>
      </w:r>
      <w:r w:rsidRPr="0088480E" w:rsidR="0D81DEAC">
        <w:t xml:space="preserve"> </w:t>
      </w:r>
      <w:r w:rsidRPr="0088480E" w:rsidR="31339A61">
        <w:t xml:space="preserve">so data will be collected uniformly whether by the program office, the Evaluation Division, or an </w:t>
      </w:r>
      <w:r w:rsidRPr="0088480E" w:rsidR="55166635">
        <w:t>award recipient</w:t>
      </w:r>
      <w:r w:rsidRPr="0088480E" w:rsidR="057AB633">
        <w:t xml:space="preserve">. </w:t>
      </w:r>
      <w:r w:rsidRPr="0088480E" w:rsidR="728E7908">
        <w:t xml:space="preserve">Implementation of the MODE Framework will enable ECA to standardize and utilize its data in the following ways: </w:t>
      </w:r>
    </w:p>
    <w:p w:rsidRPr="0088480E" w:rsidR="728E7908" w:rsidP="3100BDC4" w:rsidRDefault="728E7908" w14:paraId="1475E236" w14:textId="130CB856">
      <w:pPr>
        <w:pStyle w:val="ListParagraph"/>
        <w:numPr>
          <w:ilvl w:val="0"/>
          <w:numId w:val="3"/>
        </w:numPr>
        <w:rPr>
          <w:szCs w:val="24"/>
        </w:rPr>
      </w:pPr>
      <w:r w:rsidRPr="0088480E">
        <w:rPr>
          <w:szCs w:val="24"/>
        </w:rPr>
        <w:t>Assess data and performance metrics to enhance program performance</w:t>
      </w:r>
    </w:p>
    <w:p w:rsidRPr="0088480E" w:rsidR="728E7908" w:rsidP="3100BDC4" w:rsidRDefault="728E7908" w14:paraId="6DB13948" w14:textId="44F1DF04">
      <w:pPr>
        <w:pStyle w:val="ListParagraph"/>
        <w:numPr>
          <w:ilvl w:val="0"/>
          <w:numId w:val="3"/>
        </w:numPr>
        <w:rPr>
          <w:szCs w:val="24"/>
        </w:rPr>
      </w:pPr>
      <w:r w:rsidRPr="0088480E">
        <w:rPr>
          <w:szCs w:val="24"/>
        </w:rPr>
        <w:t>Inform strategic planning activities at the Bureau, division, and individual exchange program levels</w:t>
      </w:r>
    </w:p>
    <w:p w:rsidRPr="0088480E" w:rsidR="728E7908" w:rsidP="3100BDC4" w:rsidRDefault="728E7908" w14:paraId="55E53643" w14:textId="5971E535">
      <w:pPr>
        <w:pStyle w:val="ListParagraph"/>
        <w:numPr>
          <w:ilvl w:val="0"/>
          <w:numId w:val="3"/>
        </w:numPr>
        <w:rPr>
          <w:szCs w:val="24"/>
        </w:rPr>
      </w:pPr>
      <w:r w:rsidRPr="0088480E">
        <w:rPr>
          <w:szCs w:val="24"/>
        </w:rPr>
        <w:t>Supplement the information ECA program officers receive from their award recipients and exchange participants to provide a comprehensive view of programmatic activities</w:t>
      </w:r>
    </w:p>
    <w:p w:rsidRPr="0088480E" w:rsidR="728E7908" w:rsidP="3100BDC4" w:rsidRDefault="728E7908" w14:paraId="3FEB61FF" w14:textId="6CF77F2D">
      <w:pPr>
        <w:pStyle w:val="ListParagraph"/>
        <w:numPr>
          <w:ilvl w:val="0"/>
          <w:numId w:val="3"/>
        </w:numPr>
        <w:rPr>
          <w:szCs w:val="24"/>
        </w:rPr>
      </w:pPr>
      <w:r w:rsidRPr="0088480E">
        <w:rPr>
          <w:szCs w:val="24"/>
        </w:rPr>
        <w:t>Respond</w:t>
      </w:r>
      <w:r w:rsidRPr="0088480E" w:rsidR="32AA0E78">
        <w:rPr>
          <w:szCs w:val="24"/>
        </w:rPr>
        <w:t xml:space="preserve"> </w:t>
      </w:r>
      <w:r w:rsidRPr="0088480E">
        <w:rPr>
          <w:szCs w:val="24"/>
        </w:rPr>
        <w:t>quickly and reliably to ad-hoc</w:t>
      </w:r>
      <w:r w:rsidRPr="0088480E" w:rsidR="7F08C4B9">
        <w:rPr>
          <w:szCs w:val="24"/>
        </w:rPr>
        <w:t xml:space="preserve"> </w:t>
      </w:r>
      <w:r w:rsidRPr="0088480E">
        <w:rPr>
          <w:szCs w:val="24"/>
        </w:rPr>
        <w:t>requests from Congress, the Office of Management and Budget (OMB), and internal Department of State stakeholders</w:t>
      </w:r>
    </w:p>
    <w:p w:rsidRPr="0088480E" w:rsidR="2E411D9F" w:rsidP="00F32829" w:rsidRDefault="5B661E47" w14:paraId="7166D86F" w14:textId="55C4FE18">
      <w:proofErr w:type="gramStart"/>
      <w:r w:rsidRPr="0088480E">
        <w:t>In order to</w:t>
      </w:r>
      <w:proofErr w:type="gramEnd"/>
      <w:r w:rsidRPr="0088480E">
        <w:t xml:space="preserve"> collect data for the MODE Framework, </w:t>
      </w:r>
      <w:r w:rsidRPr="0088480E" w:rsidR="2E411D9F">
        <w:t>ECA Evaluation Division intends to conduct ongoing surveys of program participants, alumni, and participant host and home communities to monitor program performance, assess impact, and identify issues for further evaluation.</w:t>
      </w:r>
      <w:r w:rsidRPr="0088480E" w:rsidR="00F32829">
        <w:t xml:space="preserve"> S</w:t>
      </w:r>
      <w:r w:rsidRPr="0088480E" w:rsidR="2E411D9F">
        <w:t>pecific</w:t>
      </w:r>
      <w:r w:rsidRPr="0088480E" w:rsidR="00F32829">
        <w:t>ally</w:t>
      </w:r>
      <w:r w:rsidRPr="0088480E" w:rsidR="2E411D9F">
        <w:t xml:space="preserve">, ECA will coordinate with </w:t>
      </w:r>
      <w:r w:rsidRPr="0088480E" w:rsidR="181C128E">
        <w:t>award recipient</w:t>
      </w:r>
      <w:r w:rsidRPr="0088480E" w:rsidR="47D5E4ED">
        <w:t xml:space="preserve">s </w:t>
      </w:r>
      <w:r w:rsidRPr="0088480E" w:rsidR="2E411D9F">
        <w:t xml:space="preserve">to provide standard survey questions for </w:t>
      </w:r>
      <w:r w:rsidRPr="0088480E" w:rsidR="2E411D9F">
        <w:lastRenderedPageBreak/>
        <w:t>both foreign national and U.S. citizen exchange participants immediately after completing the exchange (“Participant Post-Program Survey”). ECA</w:t>
      </w:r>
      <w:r w:rsidRPr="0088480E" w:rsidR="1C12F8BE">
        <w:t>’s Evaluation Division</w:t>
      </w:r>
      <w:r w:rsidRPr="0088480E" w:rsidR="2E411D9F">
        <w:t xml:space="preserve"> also intends to administer standard surveys to foreign national and U.S. citizen exchange alumni</w:t>
      </w:r>
      <w:r w:rsidRPr="0088480E" w:rsidR="2E411D9F">
        <w:rPr>
          <w:vertAlign w:val="superscript"/>
        </w:rPr>
        <w:t>1</w:t>
      </w:r>
      <w:r w:rsidRPr="0088480E" w:rsidR="2E411D9F">
        <w:t xml:space="preserve"> roughly one</w:t>
      </w:r>
      <w:r w:rsidRPr="0088480E" w:rsidR="00F32829">
        <w:t xml:space="preserve"> </w:t>
      </w:r>
      <w:r w:rsidRPr="0088480E" w:rsidR="2E411D9F">
        <w:t>year</w:t>
      </w:r>
      <w:r w:rsidRPr="0088480E" w:rsidR="3C60C556">
        <w:t>, three</w:t>
      </w:r>
      <w:r w:rsidRPr="0088480E" w:rsidR="00F32829">
        <w:t xml:space="preserve"> </w:t>
      </w:r>
      <w:r w:rsidRPr="0088480E" w:rsidR="3C60C556">
        <w:t>years</w:t>
      </w:r>
      <w:r w:rsidRPr="0088480E" w:rsidR="2E411D9F">
        <w:t xml:space="preserve"> and five</w:t>
      </w:r>
      <w:r w:rsidRPr="0088480E" w:rsidR="00F32829">
        <w:t xml:space="preserve"> </w:t>
      </w:r>
      <w:r w:rsidRPr="0088480E" w:rsidR="2E411D9F">
        <w:t xml:space="preserve">years after completing their exchange experience. Conducting post-program surveys, particularly after </w:t>
      </w:r>
      <w:r w:rsidRPr="0088480E" w:rsidR="0A9D2258">
        <w:t xml:space="preserve">three and </w:t>
      </w:r>
      <w:r w:rsidRPr="0088480E" w:rsidR="2E411D9F">
        <w:t xml:space="preserve">five years, will provide information on the impact of ECA programs and insight into the achievements of participants. To examine exchange multiplier effects on foreign and U.S. communities and institutions that sponsor, support, or provide exchange programs support or services, ECA intends to administer standard surveys to foreign and U.S. host community members (individuals or institutions). </w:t>
      </w:r>
    </w:p>
    <w:p w:rsidRPr="0088480E" w:rsidR="2E411D9F" w:rsidP="435BCE3A" w:rsidRDefault="2E411D9F" w14:paraId="094FDBEA" w14:textId="2A9EA33D">
      <w:pPr>
        <w:spacing w:beforeAutospacing="1"/>
      </w:pPr>
      <w:r w:rsidRPr="0088480E">
        <w:t xml:space="preserve">The Department seeks OMB multi-year clearance on all these exchange survey questions to facilitate the ongoing </w:t>
      </w:r>
      <w:r w:rsidRPr="0088480E" w:rsidR="00F32829">
        <w:t xml:space="preserve">data collection </w:t>
      </w:r>
      <w:r w:rsidRPr="0088480E" w:rsidR="5A6F12DD">
        <w:t xml:space="preserve">from </w:t>
      </w:r>
      <w:r w:rsidRPr="0088480E">
        <w:t>all exchange participants, foreign national and U.S. citizen</w:t>
      </w:r>
      <w:r w:rsidRPr="0088480E" w:rsidR="03A086EC">
        <w:t>s</w:t>
      </w:r>
      <w:r w:rsidRPr="0088480E">
        <w:t>, that are involved in ECA exchange programming.</w:t>
      </w:r>
    </w:p>
    <w:p w:rsidRPr="0088480E" w:rsidR="00C918FF" w:rsidP="00F32829" w:rsidRDefault="00C918FF" w14:paraId="4D83ADCB" w14:textId="77777777">
      <w:pPr>
        <w:spacing w:before="100" w:beforeAutospacing="1"/>
      </w:pPr>
      <w:r w:rsidRPr="0088480E">
        <w:t xml:space="preserve">Legal authorities and administrative requirements that necessitate the collection of these data can be found below:  </w:t>
      </w:r>
    </w:p>
    <w:p w:rsidRPr="0088480E" w:rsidR="001C7D50" w:rsidP="2337C34A" w:rsidRDefault="001C7D50" w14:paraId="4FAF1F55" w14:textId="3A13FDEE">
      <w:pPr>
        <w:numPr>
          <w:ilvl w:val="0"/>
          <w:numId w:val="13"/>
        </w:numPr>
        <w:spacing w:before="100" w:beforeAutospacing="1" w:after="0"/>
      </w:pPr>
      <w:r w:rsidRPr="0088480E">
        <w:t>Government Performance</w:t>
      </w:r>
      <w:r w:rsidRPr="0088480E" w:rsidR="00243589">
        <w:t xml:space="preserve"> and Results Act of 1993 (GPRA)</w:t>
      </w:r>
      <w:r w:rsidRPr="0088480E">
        <w:t xml:space="preserve">    </w:t>
      </w:r>
    </w:p>
    <w:p w:rsidRPr="0088480E" w:rsidR="001C7D50" w:rsidP="2337C34A" w:rsidRDefault="001C7D50" w14:paraId="0C51F0E0" w14:textId="5D4F3545">
      <w:pPr>
        <w:numPr>
          <w:ilvl w:val="0"/>
          <w:numId w:val="13"/>
        </w:numPr>
        <w:spacing w:before="100" w:beforeAutospacing="1" w:after="0"/>
      </w:pPr>
      <w:r w:rsidRPr="0088480E">
        <w:t>Government Performance and Results Mod</w:t>
      </w:r>
      <w:r w:rsidRPr="0088480E" w:rsidR="00243589">
        <w:t>ernization Act of 2010 (GPRAMA)</w:t>
      </w:r>
      <w:r w:rsidRPr="0088480E">
        <w:t xml:space="preserve"> </w:t>
      </w:r>
    </w:p>
    <w:p w:rsidRPr="0088480E" w:rsidR="435BCE3A" w:rsidP="007A20E9" w:rsidRDefault="001C7D50" w14:paraId="7FD143F7" w14:textId="77AAB527">
      <w:pPr>
        <w:numPr>
          <w:ilvl w:val="0"/>
          <w:numId w:val="13"/>
        </w:numPr>
        <w:spacing w:before="100" w:beforeAutospacing="1" w:after="0"/>
      </w:pPr>
      <w:r w:rsidRPr="0088480E">
        <w:t xml:space="preserve">Mutual Educational and Cultural Exchange Act of 1961, as amended, 22 U.S.C. 2451 </w:t>
      </w:r>
      <w:r w:rsidRPr="0088480E">
        <w:rPr>
          <w:i/>
          <w:iCs/>
        </w:rPr>
        <w:t xml:space="preserve">et seq </w:t>
      </w:r>
      <w:r w:rsidRPr="0088480E">
        <w:t>(also known as the Fulbright-Hays Act</w:t>
      </w:r>
      <w:r w:rsidRPr="0088480E" w:rsidR="00AB54AE">
        <w:t>)</w:t>
      </w:r>
    </w:p>
    <w:p w:rsidRPr="0088480E" w:rsidR="001551C6" w:rsidP="2337C34A" w:rsidRDefault="001551C6" w14:paraId="70E40AEF" w14:textId="0D62BC4E">
      <w:pPr>
        <w:numPr>
          <w:ilvl w:val="0"/>
          <w:numId w:val="7"/>
        </w:numPr>
        <w:spacing w:before="100" w:beforeAutospacing="1" w:after="0"/>
        <w:rPr>
          <w:i/>
          <w:iCs/>
          <w:color w:val="000000" w:themeColor="text1"/>
          <w:sz w:val="28"/>
          <w:szCs w:val="28"/>
        </w:rPr>
      </w:pPr>
      <w:r w:rsidRPr="0088480E">
        <w:rPr>
          <w:i/>
          <w:iCs/>
          <w:color w:val="000000" w:themeColor="text1"/>
          <w:sz w:val="28"/>
          <w:szCs w:val="28"/>
        </w:rPr>
        <w:t>What business purpose is the information gathered going to be used for?</w:t>
      </w:r>
    </w:p>
    <w:p w:rsidRPr="0088480E" w:rsidR="00736EA0" w:rsidP="4B6D1BBD" w:rsidRDefault="00736EA0" w14:paraId="344B335C" w14:textId="6018384A">
      <w:r w:rsidRPr="0088480E">
        <w:t xml:space="preserve">The primary users of the collected data will be ECA’s </w:t>
      </w:r>
      <w:r w:rsidRPr="0088480E" w:rsidR="00F32829">
        <w:t>E</w:t>
      </w:r>
      <w:r w:rsidRPr="0088480E">
        <w:t>valuation</w:t>
      </w:r>
      <w:r w:rsidRPr="0088480E" w:rsidR="00F32829">
        <w:t xml:space="preserve"> Division</w:t>
      </w:r>
      <w:r w:rsidRPr="0088480E" w:rsidR="297EB99A">
        <w:t xml:space="preserve">, </w:t>
      </w:r>
      <w:r w:rsidRPr="0088480E">
        <w:t>program staff</w:t>
      </w:r>
      <w:r w:rsidRPr="0088480E" w:rsidR="00F9E3D6">
        <w:t xml:space="preserve"> and leadership</w:t>
      </w:r>
      <w:r w:rsidRPr="0088480E" w:rsidR="00F32829">
        <w:t xml:space="preserve">, as well as ECA’s </w:t>
      </w:r>
      <w:r w:rsidRPr="0088480E" w:rsidR="680E74C7">
        <w:t>award recipient</w:t>
      </w:r>
      <w:r w:rsidRPr="0088480E">
        <w:t xml:space="preserve">s.  The information collected </w:t>
      </w:r>
      <w:r w:rsidRPr="0088480E" w:rsidR="357E337D">
        <w:t xml:space="preserve">through the MODE Framework will enable ECA to standardize and utilize its data in the following ways: </w:t>
      </w:r>
    </w:p>
    <w:p w:rsidRPr="0088480E" w:rsidR="357E337D" w:rsidP="4B6D1BBD" w:rsidRDefault="357E337D" w14:paraId="5CD4D925" w14:textId="130CB856">
      <w:pPr>
        <w:pStyle w:val="ListParagraph"/>
        <w:numPr>
          <w:ilvl w:val="0"/>
          <w:numId w:val="3"/>
        </w:numPr>
        <w:rPr>
          <w:szCs w:val="24"/>
        </w:rPr>
      </w:pPr>
      <w:r w:rsidRPr="0088480E">
        <w:rPr>
          <w:szCs w:val="24"/>
        </w:rPr>
        <w:t>Assess data and performance metrics to enhance program performance</w:t>
      </w:r>
    </w:p>
    <w:p w:rsidRPr="0088480E" w:rsidR="357E337D" w:rsidP="4B6D1BBD" w:rsidRDefault="357E337D" w14:paraId="7EFCDC72" w14:textId="44F1DF04">
      <w:pPr>
        <w:pStyle w:val="ListParagraph"/>
        <w:numPr>
          <w:ilvl w:val="0"/>
          <w:numId w:val="3"/>
        </w:numPr>
        <w:rPr>
          <w:szCs w:val="24"/>
        </w:rPr>
      </w:pPr>
      <w:r w:rsidRPr="0088480E">
        <w:rPr>
          <w:szCs w:val="24"/>
        </w:rPr>
        <w:t>Inform strategic planning activities at the Bureau, division, and individual exchange program levels</w:t>
      </w:r>
    </w:p>
    <w:p w:rsidRPr="0088480E" w:rsidR="357E337D" w:rsidP="4B6D1BBD" w:rsidRDefault="357E337D" w14:paraId="060E65E2" w14:textId="5971E535">
      <w:pPr>
        <w:pStyle w:val="ListParagraph"/>
        <w:numPr>
          <w:ilvl w:val="0"/>
          <w:numId w:val="3"/>
        </w:numPr>
        <w:rPr>
          <w:szCs w:val="24"/>
        </w:rPr>
      </w:pPr>
      <w:r w:rsidRPr="0088480E">
        <w:rPr>
          <w:szCs w:val="24"/>
        </w:rPr>
        <w:t>Supplement the information ECA program officers receive from their award recipients and exchange participants to provide a comprehensive view of programmatic activities</w:t>
      </w:r>
    </w:p>
    <w:p w:rsidRPr="0088480E" w:rsidR="357E337D" w:rsidP="4B6D1BBD" w:rsidRDefault="357E337D" w14:paraId="76BD36BF" w14:textId="6CF77F2D">
      <w:pPr>
        <w:pStyle w:val="ListParagraph"/>
        <w:numPr>
          <w:ilvl w:val="0"/>
          <w:numId w:val="3"/>
        </w:numPr>
        <w:rPr>
          <w:szCs w:val="24"/>
        </w:rPr>
      </w:pPr>
      <w:r w:rsidRPr="0088480E">
        <w:rPr>
          <w:szCs w:val="24"/>
        </w:rPr>
        <w:t>Respond quickly and reliably to ad-hoc requests from Congress, the Office of Management and Budget (OMB), and internal Department of State stakeholders</w:t>
      </w:r>
    </w:p>
    <w:p w:rsidRPr="0088480E" w:rsidR="001551C6" w:rsidP="2337C34A" w:rsidRDefault="001551C6" w14:paraId="0CC56AB0" w14:textId="77777777">
      <w:pPr>
        <w:numPr>
          <w:ilvl w:val="0"/>
          <w:numId w:val="7"/>
        </w:numPr>
        <w:spacing w:before="100" w:beforeAutospacing="1"/>
        <w:rPr>
          <w:i/>
          <w:iCs/>
          <w:color w:val="000000" w:themeColor="text1"/>
          <w:sz w:val="28"/>
          <w:szCs w:val="28"/>
        </w:rPr>
      </w:pPr>
      <w:r w:rsidRPr="0088480E">
        <w:rPr>
          <w:i/>
          <w:iCs/>
          <w:color w:val="000000" w:themeColor="text1"/>
          <w:sz w:val="28"/>
          <w:szCs w:val="28"/>
        </w:rPr>
        <w:t>Is this collection able to be completed electronically (e.g. through a website or application)?</w:t>
      </w:r>
    </w:p>
    <w:p w:rsidRPr="0088480E" w:rsidR="5A0516B9" w:rsidP="4B6D1BBD" w:rsidRDefault="5A0516B9" w14:paraId="5107650F" w14:textId="1DAB4F2A">
      <w:pPr>
        <w:spacing w:beforeAutospacing="1"/>
        <w:rPr>
          <w:szCs w:val="24"/>
        </w:rPr>
      </w:pPr>
      <w:r w:rsidRPr="0088480E">
        <w:rPr>
          <w:szCs w:val="24"/>
        </w:rPr>
        <w:t xml:space="preserve">Participant Post-Program surveys will be administered and managed by ECA </w:t>
      </w:r>
      <w:r w:rsidRPr="0088480E" w:rsidR="680E74C7">
        <w:rPr>
          <w:szCs w:val="24"/>
        </w:rPr>
        <w:t>award recipient</w:t>
      </w:r>
      <w:r w:rsidRPr="0088480E" w:rsidR="76F27B68">
        <w:rPr>
          <w:szCs w:val="24"/>
        </w:rPr>
        <w:t>s</w:t>
      </w:r>
      <w:r w:rsidRPr="0088480E" w:rsidR="5EAB5C72">
        <w:rPr>
          <w:szCs w:val="24"/>
        </w:rPr>
        <w:t xml:space="preserve"> on their ele</w:t>
      </w:r>
      <w:r w:rsidRPr="0088480E" w:rsidR="5B08092C">
        <w:rPr>
          <w:szCs w:val="24"/>
        </w:rPr>
        <w:t>c</w:t>
      </w:r>
      <w:r w:rsidRPr="0088480E" w:rsidR="5EAB5C72">
        <w:rPr>
          <w:szCs w:val="24"/>
        </w:rPr>
        <w:t>tronic survey platforms.</w:t>
      </w:r>
    </w:p>
    <w:p w:rsidRPr="0088480E" w:rsidR="003C45B5" w:rsidP="4B6D1BBD" w:rsidRDefault="09AB008F" w14:paraId="0C9A9A70" w14:textId="296A7090">
      <w:pPr>
        <w:spacing w:before="100" w:beforeAutospacing="1"/>
      </w:pPr>
      <w:r w:rsidRPr="0088480E">
        <w:t xml:space="preserve">Alumni and Host Communities </w:t>
      </w:r>
      <w:r w:rsidRPr="0088480E" w:rsidR="003C45B5">
        <w:t>survey</w:t>
      </w:r>
      <w:r w:rsidRPr="0088480E" w:rsidR="2914EFC4">
        <w:t>s</w:t>
      </w:r>
      <w:r w:rsidRPr="0088480E" w:rsidR="003C45B5">
        <w:t xml:space="preserve"> will be managed by </w:t>
      </w:r>
      <w:r w:rsidRPr="0088480E" w:rsidR="3E9776F6">
        <w:t xml:space="preserve">the ECA Evaluation Division </w:t>
      </w:r>
      <w:r w:rsidRPr="0088480E" w:rsidR="003C45B5">
        <w:t>on a single survey platform,</w:t>
      </w:r>
      <w:r w:rsidRPr="0088480E" w:rsidR="0D083C3F">
        <w:t xml:space="preserve"> Qualtrics</w:t>
      </w:r>
      <w:r w:rsidRPr="0088480E" w:rsidR="003C45B5">
        <w:t xml:space="preserve">. </w:t>
      </w:r>
      <w:r w:rsidRPr="0088480E" w:rsidR="2CF8BDB0">
        <w:t xml:space="preserve">Qualtrics </w:t>
      </w:r>
      <w:r w:rsidRPr="0088480E" w:rsidR="003C45B5">
        <w:t xml:space="preserve">provides functionality that will minimize time required to both administer and </w:t>
      </w:r>
      <w:r w:rsidRPr="0088480E" w:rsidR="00D22C31">
        <w:t>respond to the survey</w:t>
      </w:r>
      <w:r w:rsidRPr="0088480E" w:rsidR="003C45B5">
        <w:t>, including:</w:t>
      </w:r>
    </w:p>
    <w:p w:rsidRPr="0088480E" w:rsidR="003C45B5" w:rsidP="4B6D1BBD" w:rsidRDefault="3FCECBA2" w14:paraId="067AEDC3" w14:textId="03B8183B">
      <w:pPr>
        <w:pStyle w:val="ListParagraph"/>
        <w:numPr>
          <w:ilvl w:val="0"/>
          <w:numId w:val="6"/>
        </w:numPr>
        <w:spacing w:before="100" w:beforeAutospacing="1" w:after="160"/>
        <w:rPr>
          <w:szCs w:val="24"/>
        </w:rPr>
      </w:pPr>
      <w:r w:rsidRPr="0088480E">
        <w:t xml:space="preserve">Strong validation measures to reduce errors and generate cleaner raw </w:t>
      </w:r>
      <w:proofErr w:type="gramStart"/>
      <w:r w:rsidRPr="0088480E">
        <w:t>data;</w:t>
      </w:r>
      <w:proofErr w:type="gramEnd"/>
    </w:p>
    <w:p w:rsidRPr="0088480E" w:rsidR="003C45B5" w:rsidP="4B6D1BBD" w:rsidRDefault="3FCECBA2" w14:paraId="6C1B6D0F" w14:textId="3A4B46EB">
      <w:pPr>
        <w:pStyle w:val="ListParagraph"/>
        <w:numPr>
          <w:ilvl w:val="0"/>
          <w:numId w:val="6"/>
        </w:numPr>
        <w:spacing w:before="100" w:beforeAutospacing="1"/>
        <w:rPr>
          <w:szCs w:val="24"/>
        </w:rPr>
      </w:pPr>
      <w:r w:rsidRPr="0088480E">
        <w:lastRenderedPageBreak/>
        <w:t>Quick access dashboards for initial results; and</w:t>
      </w:r>
    </w:p>
    <w:p w:rsidRPr="0088480E" w:rsidR="003C45B5" w:rsidP="4B6D1BBD" w:rsidRDefault="3FCECBA2" w14:paraId="59CA3B93" w14:textId="1D29873C">
      <w:pPr>
        <w:pStyle w:val="ListParagraph"/>
        <w:numPr>
          <w:ilvl w:val="0"/>
          <w:numId w:val="6"/>
        </w:numPr>
        <w:spacing w:before="100" w:beforeAutospacing="1"/>
        <w:rPr>
          <w:szCs w:val="24"/>
        </w:rPr>
      </w:pPr>
      <w:r w:rsidRPr="0088480E">
        <w:t xml:space="preserve">Security certifications including ISO 27001 certified and </w:t>
      </w:r>
      <w:proofErr w:type="spellStart"/>
      <w:r w:rsidRPr="0088480E">
        <w:t>FedRamp</w:t>
      </w:r>
      <w:proofErr w:type="spellEnd"/>
      <w:r w:rsidRPr="0088480E">
        <w:t xml:space="preserve"> Authorized.</w:t>
      </w:r>
    </w:p>
    <w:p w:rsidRPr="0088480E" w:rsidR="003C45B5" w:rsidP="4B6D1BBD" w:rsidRDefault="3FCECBA2" w14:paraId="41DC4308" w14:textId="6BEA69CC">
      <w:pPr>
        <w:spacing w:before="100" w:beforeAutospacing="1"/>
      </w:pPr>
      <w:r w:rsidRPr="0088480E">
        <w:t xml:space="preserve">Qualtrics allows survey design to be tested on mobile platforms to ensure correct display of questions. </w:t>
      </w:r>
    </w:p>
    <w:p w:rsidRPr="0088480E" w:rsidR="003C45B5" w:rsidP="4B6D1BBD" w:rsidRDefault="3FCECBA2" w14:paraId="717E508A" w14:textId="66FADBCF">
      <w:pPr>
        <w:spacing w:before="100" w:beforeAutospacing="1"/>
      </w:pPr>
      <w:r w:rsidRPr="0088480E">
        <w:t>We expect that all survey submissions</w:t>
      </w:r>
      <w:r w:rsidRPr="0088480E" w:rsidR="3AA12DDB">
        <w:t>, including Participant Post-Program surveys</w:t>
      </w:r>
      <w:r w:rsidRPr="0088480E">
        <w:t xml:space="preserve"> will be collected electronically.</w:t>
      </w:r>
    </w:p>
    <w:p w:rsidRPr="0088480E" w:rsidR="001551C6" w:rsidP="2337C34A" w:rsidRDefault="001551C6" w14:paraId="15E4BD70" w14:textId="77777777">
      <w:pPr>
        <w:numPr>
          <w:ilvl w:val="0"/>
          <w:numId w:val="7"/>
        </w:numPr>
        <w:spacing w:before="100" w:beforeAutospacing="1"/>
        <w:rPr>
          <w:i/>
          <w:iCs/>
          <w:color w:val="000000" w:themeColor="text1"/>
          <w:sz w:val="28"/>
          <w:szCs w:val="28"/>
        </w:rPr>
      </w:pPr>
      <w:r w:rsidRPr="0088480E">
        <w:rPr>
          <w:i/>
          <w:iCs/>
          <w:color w:val="000000" w:themeColor="text1"/>
          <w:sz w:val="28"/>
          <w:szCs w:val="28"/>
        </w:rPr>
        <w:t>Does this collection duplicate any other collection of information?</w:t>
      </w:r>
    </w:p>
    <w:p w:rsidRPr="0088480E" w:rsidR="0026413B" w:rsidP="435BCE3A" w:rsidRDefault="003C45B5" w14:paraId="6CF3EF4E" w14:textId="403EBC23">
      <w:pPr>
        <w:spacing w:before="100" w:beforeAutospacing="1"/>
      </w:pPr>
      <w:r w:rsidRPr="0088480E">
        <w:t xml:space="preserve">This will not be a duplication of effort.  </w:t>
      </w:r>
      <w:r w:rsidRPr="0088480E" w:rsidR="008C6B47">
        <w:t xml:space="preserve">The purpose of the data collection, and therefore the focus of the questions asked, is to understand the </w:t>
      </w:r>
      <w:r w:rsidRPr="0088480E" w:rsidR="6DA7680E">
        <w:t xml:space="preserve">short-, mid- and </w:t>
      </w:r>
      <w:r w:rsidRPr="0088480E" w:rsidR="008C6B47">
        <w:t xml:space="preserve">longer-term impacts on personal, academic, and career development, as well as contributions to U.S. global competitiveness.  </w:t>
      </w:r>
      <w:r w:rsidRPr="0088480E" w:rsidR="1785F802">
        <w:t xml:space="preserve">Currently, ECA award recipients administer post-program surveys to their participants as part of their internal program monitoring data collection approach. ECA intends to leverage this ongoing survey process by providing program awardees standard indicators </w:t>
      </w:r>
      <w:r w:rsidRPr="0088480E" w:rsidR="00B50059">
        <w:t xml:space="preserve">(we estimate anywhere from 10-15 for each award) </w:t>
      </w:r>
      <w:r w:rsidRPr="0088480E" w:rsidR="1785F802">
        <w:t xml:space="preserve">and corresponding data collection questions, depending on the program orientation.  In many instances, these standard indicators and questions will supplant existing awardee defined comparable indicators and questions with ECA defined uniform data requirements. This will ensure the data ECA gathers are valid and reliable across the range of exchange programs. </w:t>
      </w:r>
    </w:p>
    <w:p w:rsidRPr="0088480E" w:rsidR="0026413B" w:rsidP="435BCE3A" w:rsidRDefault="00884733" w14:paraId="6BD36594" w14:textId="153C9870">
      <w:pPr>
        <w:spacing w:before="100" w:beforeAutospacing="1"/>
      </w:pPr>
      <w:r w:rsidRPr="0088480E">
        <w:t xml:space="preserve">In previous years, the ECA Evaluation Division surveyed </w:t>
      </w:r>
      <w:r w:rsidRPr="0088480E" w:rsidR="3376CC5A">
        <w:t xml:space="preserve">foreign </w:t>
      </w:r>
      <w:r w:rsidRPr="0088480E">
        <w:t>alumni from a sample of 10 ECA programs. Th</w:t>
      </w:r>
      <w:r w:rsidRPr="0088480E" w:rsidR="2FF69484">
        <w:t>e</w:t>
      </w:r>
      <w:r w:rsidRPr="0088480E" w:rsidR="00B50059">
        <w:t xml:space="preserve"> MODE Framework</w:t>
      </w:r>
      <w:r w:rsidRPr="0088480E">
        <w:t xml:space="preserve"> data collection</w:t>
      </w:r>
      <w:r w:rsidRPr="0088480E" w:rsidR="7454E09E">
        <w:t>s</w:t>
      </w:r>
      <w:r w:rsidRPr="0088480E">
        <w:t xml:space="preserve"> represent an expansion</w:t>
      </w:r>
      <w:r w:rsidRPr="0088480E" w:rsidR="3D0D67BE">
        <w:t xml:space="preserve"> to include American participants</w:t>
      </w:r>
      <w:r w:rsidRPr="0088480E">
        <w:t xml:space="preserve"> and standardization of </w:t>
      </w:r>
      <w:r w:rsidRPr="0088480E" w:rsidR="6736C390">
        <w:t>th</w:t>
      </w:r>
      <w:r w:rsidRPr="0088480E" w:rsidR="4099BEF4">
        <w:t>e data collection tools</w:t>
      </w:r>
      <w:r w:rsidRPr="0088480E" w:rsidR="6736C390">
        <w:t xml:space="preserve">. </w:t>
      </w:r>
      <w:r w:rsidRPr="0088480E" w:rsidR="00F33A2D">
        <w:t>A</w:t>
      </w:r>
      <w:r w:rsidRPr="0088480E" w:rsidR="6736C390">
        <w:t>dditionally, ECA</w:t>
      </w:r>
      <w:r w:rsidRPr="0088480E" w:rsidR="00F33A2D">
        <w:t xml:space="preserve"> has not collected these data</w:t>
      </w:r>
      <w:r w:rsidRPr="0088480E" w:rsidR="17F2DC3C">
        <w:t xml:space="preserve"> in a systematic manner</w:t>
      </w:r>
      <w:r w:rsidRPr="0088480E" w:rsidR="00F33A2D">
        <w:t xml:space="preserve"> from </w:t>
      </w:r>
      <w:r w:rsidRPr="0088480E" w:rsidR="2E2145C2">
        <w:t>U.S. and foreign host community members</w:t>
      </w:r>
      <w:r w:rsidRPr="0088480E" w:rsidR="00F33A2D">
        <w:t xml:space="preserve"> in the past.</w:t>
      </w:r>
    </w:p>
    <w:p w:rsidRPr="0088480E" w:rsidR="001551C6" w:rsidP="2337C34A" w:rsidRDefault="001551C6" w14:paraId="27ECCABE" w14:textId="77777777">
      <w:pPr>
        <w:numPr>
          <w:ilvl w:val="0"/>
          <w:numId w:val="7"/>
        </w:numPr>
        <w:spacing w:before="100" w:beforeAutospacing="1"/>
        <w:rPr>
          <w:i/>
          <w:iCs/>
          <w:color w:val="000000" w:themeColor="text1"/>
          <w:sz w:val="28"/>
          <w:szCs w:val="28"/>
        </w:rPr>
      </w:pPr>
      <w:r w:rsidRPr="0088480E">
        <w:rPr>
          <w:i/>
          <w:iCs/>
          <w:color w:val="000000" w:themeColor="text1"/>
          <w:sz w:val="28"/>
          <w:szCs w:val="28"/>
        </w:rPr>
        <w:t>Describe any impacts on small business.</w:t>
      </w:r>
    </w:p>
    <w:p w:rsidRPr="0088480E" w:rsidR="32F951D7" w:rsidP="00B50059" w:rsidRDefault="32F951D7" w14:paraId="4316DE17" w14:textId="05B594A8">
      <w:pPr>
        <w:spacing w:beforeAutospacing="1"/>
        <w:rPr>
          <w:szCs w:val="24"/>
        </w:rPr>
      </w:pPr>
      <w:r w:rsidRPr="0088480E">
        <w:rPr>
          <w:szCs w:val="24"/>
        </w:rPr>
        <w:t>Representatives from small businesses may be surveyed as part of the Host Community Survey, but we expect the time burden to be minimal.</w:t>
      </w:r>
    </w:p>
    <w:p w:rsidRPr="0088480E" w:rsidR="001551C6" w:rsidP="2337C34A" w:rsidRDefault="001551C6" w14:paraId="565BBC21" w14:textId="77777777">
      <w:pPr>
        <w:numPr>
          <w:ilvl w:val="0"/>
          <w:numId w:val="7"/>
        </w:numPr>
        <w:spacing w:before="100" w:beforeAutospacing="1"/>
        <w:rPr>
          <w:i/>
          <w:iCs/>
          <w:color w:val="000000" w:themeColor="text1"/>
          <w:sz w:val="28"/>
          <w:szCs w:val="28"/>
        </w:rPr>
      </w:pPr>
      <w:r w:rsidRPr="0088480E">
        <w:rPr>
          <w:i/>
          <w:iCs/>
          <w:color w:val="000000" w:themeColor="text1"/>
          <w:sz w:val="28"/>
          <w:szCs w:val="28"/>
        </w:rPr>
        <w:t>What are consequences if this collection is not done?</w:t>
      </w:r>
    </w:p>
    <w:p w:rsidRPr="0088480E" w:rsidR="00C17636" w:rsidP="00B50059" w:rsidRDefault="008C6B47" w14:paraId="62FF1603" w14:textId="179B005E">
      <w:pPr>
        <w:spacing w:before="100" w:beforeAutospacing="1" w:after="0"/>
        <w:rPr>
          <w:szCs w:val="24"/>
        </w:rPr>
      </w:pPr>
      <w:r w:rsidRPr="0088480E">
        <w:rPr>
          <w:szCs w:val="24"/>
        </w:rPr>
        <w:t xml:space="preserve">Approval is being sought for </w:t>
      </w:r>
      <w:r w:rsidRPr="0088480E" w:rsidR="1D42C93E">
        <w:rPr>
          <w:szCs w:val="24"/>
        </w:rPr>
        <w:t>multiple information</w:t>
      </w:r>
      <w:r w:rsidRPr="0088480E">
        <w:rPr>
          <w:szCs w:val="24"/>
        </w:rPr>
        <w:t xml:space="preserve"> collection</w:t>
      </w:r>
      <w:r w:rsidRPr="0088480E" w:rsidR="0574DD81">
        <w:rPr>
          <w:szCs w:val="24"/>
        </w:rPr>
        <w:t>s</w:t>
      </w:r>
      <w:r w:rsidRPr="0088480E">
        <w:rPr>
          <w:szCs w:val="24"/>
        </w:rPr>
        <w:t xml:space="preserve">.  </w:t>
      </w:r>
      <w:r w:rsidRPr="0088480E" w:rsidR="414CC6C4">
        <w:rPr>
          <w:szCs w:val="24"/>
        </w:rPr>
        <w:t>Historically, the Evaluation Division has only collected reliable performance monitoring for 10 ECA exchange programs.</w:t>
      </w:r>
      <w:r w:rsidRPr="0088480E">
        <w:rPr>
          <w:szCs w:val="24"/>
        </w:rPr>
        <w:t xml:space="preserve">  Absent th</w:t>
      </w:r>
      <w:r w:rsidRPr="0088480E" w:rsidR="451E2F75">
        <w:rPr>
          <w:szCs w:val="24"/>
        </w:rPr>
        <w:t>ese</w:t>
      </w:r>
      <w:r w:rsidRPr="0088480E">
        <w:rPr>
          <w:szCs w:val="24"/>
        </w:rPr>
        <w:t xml:space="preserve"> data collection</w:t>
      </w:r>
      <w:r w:rsidRPr="0088480E" w:rsidR="35477181">
        <w:rPr>
          <w:szCs w:val="24"/>
        </w:rPr>
        <w:t>s</w:t>
      </w:r>
      <w:r w:rsidRPr="0088480E">
        <w:rPr>
          <w:szCs w:val="24"/>
        </w:rPr>
        <w:t xml:space="preserve">, ECA </w:t>
      </w:r>
      <w:r w:rsidRPr="0088480E" w:rsidR="50525239">
        <w:rPr>
          <w:szCs w:val="24"/>
        </w:rPr>
        <w:t xml:space="preserve">will have limited ability to monitor and evaluate the outcomes and impacts of </w:t>
      </w:r>
      <w:r w:rsidRPr="0088480E" w:rsidR="37FCAC12">
        <w:rPr>
          <w:szCs w:val="24"/>
        </w:rPr>
        <w:t xml:space="preserve">its </w:t>
      </w:r>
      <w:r w:rsidRPr="0088480E" w:rsidR="50525239">
        <w:rPr>
          <w:szCs w:val="24"/>
        </w:rPr>
        <w:t>programming rigorously</w:t>
      </w:r>
      <w:r w:rsidRPr="0088480E">
        <w:rPr>
          <w:szCs w:val="24"/>
        </w:rPr>
        <w:t xml:space="preserve">. </w:t>
      </w:r>
    </w:p>
    <w:p w:rsidRPr="0088480E" w:rsidR="001551C6" w:rsidP="2337C34A" w:rsidRDefault="001551C6" w14:paraId="6EFC4AED" w14:textId="77777777">
      <w:pPr>
        <w:numPr>
          <w:ilvl w:val="0"/>
          <w:numId w:val="7"/>
        </w:numPr>
        <w:spacing w:before="100" w:beforeAutospacing="1"/>
        <w:rPr>
          <w:i/>
          <w:iCs/>
          <w:color w:val="000000" w:themeColor="text1"/>
          <w:sz w:val="28"/>
          <w:szCs w:val="28"/>
        </w:rPr>
      </w:pPr>
      <w:r w:rsidRPr="0088480E">
        <w:rPr>
          <w:i/>
          <w:iCs/>
          <w:color w:val="000000" w:themeColor="text1"/>
          <w:sz w:val="28"/>
          <w:szCs w:val="28"/>
        </w:rPr>
        <w:t>Are there any special collection circumstances?</w:t>
      </w:r>
    </w:p>
    <w:p w:rsidRPr="0088480E" w:rsidR="435BCE3A" w:rsidP="005F4880" w:rsidRDefault="008C6B47" w14:paraId="7CB906BD" w14:textId="0A7665A6">
      <w:pPr>
        <w:spacing w:before="100" w:beforeAutospacing="1" w:after="0"/>
      </w:pPr>
      <w:r w:rsidRPr="0088480E">
        <w:t>Th</w:t>
      </w:r>
      <w:r w:rsidRPr="0088480E" w:rsidR="0D07217B">
        <w:t xml:space="preserve">ese </w:t>
      </w:r>
      <w:r w:rsidRPr="0088480E">
        <w:t>data collection</w:t>
      </w:r>
      <w:r w:rsidRPr="0088480E" w:rsidR="50C9AE3A">
        <w:t>s</w:t>
      </w:r>
      <w:r w:rsidRPr="0088480E">
        <w:t xml:space="preserve"> involve no special circumstances.</w:t>
      </w:r>
    </w:p>
    <w:p w:rsidRPr="0088480E" w:rsidR="001551C6" w:rsidP="2337C34A" w:rsidRDefault="001551C6" w14:paraId="05D461FE" w14:textId="77777777">
      <w:pPr>
        <w:numPr>
          <w:ilvl w:val="0"/>
          <w:numId w:val="7"/>
        </w:numPr>
        <w:spacing w:before="100" w:beforeAutospacing="1"/>
        <w:rPr>
          <w:i/>
          <w:iCs/>
          <w:color w:val="000000" w:themeColor="text1"/>
          <w:sz w:val="28"/>
          <w:szCs w:val="28"/>
        </w:rPr>
      </w:pPr>
      <w:r w:rsidRPr="0088480E">
        <w:rPr>
          <w:i/>
          <w:iCs/>
          <w:color w:val="000000" w:themeColor="text1"/>
          <w:sz w:val="28"/>
          <w:szCs w:val="28"/>
        </w:rPr>
        <w:lastRenderedPageBreak/>
        <w:t>Document publication (or intent to publish) a request for public comments in the Federal Register</w:t>
      </w:r>
    </w:p>
    <w:p w:rsidRPr="00DB0BCE" w:rsidR="00DB0BCE" w:rsidP="00DB0BCE" w:rsidRDefault="00DB0BCE" w14:paraId="6769A72E" w14:textId="11244BE5">
      <w:pPr>
        <w:pStyle w:val="ListParagraph"/>
        <w:spacing w:before="100" w:beforeAutospacing="1"/>
        <w:ind w:left="360"/>
        <w:rPr>
          <w:color w:val="000000" w:themeColor="text1"/>
          <w:szCs w:val="24"/>
        </w:rPr>
      </w:pPr>
      <w:r w:rsidRPr="00DB0BCE">
        <w:rPr>
          <w:color w:val="000000" w:themeColor="text1"/>
          <w:szCs w:val="24"/>
        </w:rPr>
        <w:t xml:space="preserve">The 60-day Federal Register Notice was published on </w:t>
      </w:r>
      <w:r>
        <w:rPr>
          <w:color w:val="000000" w:themeColor="text1"/>
          <w:szCs w:val="24"/>
        </w:rPr>
        <w:t>June</w:t>
      </w:r>
      <w:r w:rsidRPr="00DB0BCE">
        <w:rPr>
          <w:color w:val="000000" w:themeColor="text1"/>
          <w:szCs w:val="24"/>
        </w:rPr>
        <w:t xml:space="preserve"> </w:t>
      </w:r>
      <w:r>
        <w:rPr>
          <w:color w:val="000000" w:themeColor="text1"/>
          <w:szCs w:val="24"/>
        </w:rPr>
        <w:t>4, 2020</w:t>
      </w:r>
      <w:r w:rsidRPr="00DB0BCE">
        <w:rPr>
          <w:color w:val="000000" w:themeColor="text1"/>
          <w:szCs w:val="24"/>
        </w:rPr>
        <w:t xml:space="preserve"> </w:t>
      </w:r>
      <w:r w:rsidRPr="008E4A17">
        <w:rPr>
          <w:color w:val="000000" w:themeColor="text1"/>
          <w:szCs w:val="24"/>
        </w:rPr>
        <w:t>(</w:t>
      </w:r>
      <w:r w:rsidRPr="008E4A17">
        <w:rPr>
          <w:color w:val="333333"/>
          <w:szCs w:val="24"/>
          <w:shd w:val="clear" w:color="auto" w:fill="D8D8D8"/>
        </w:rPr>
        <w:t>85 FR 34481</w:t>
      </w:r>
      <w:r w:rsidRPr="008E4A17">
        <w:rPr>
          <w:color w:val="000000" w:themeColor="text1"/>
          <w:szCs w:val="24"/>
        </w:rPr>
        <w:t>).  One</w:t>
      </w:r>
      <w:r w:rsidRPr="00DB0BCE">
        <w:rPr>
          <w:color w:val="000000" w:themeColor="text1"/>
          <w:szCs w:val="24"/>
        </w:rPr>
        <w:t xml:space="preserve"> comment was received but did not provide feedback on the evaluation data collection tools and was not deemed relevant.  The Department will publish a notice in the Federal Register soliciting public comments for a period of 30 days.</w:t>
      </w:r>
    </w:p>
    <w:p w:rsidRPr="0088480E" w:rsidR="001551C6" w:rsidP="2337C34A" w:rsidRDefault="001551C6" w14:paraId="223F683A" w14:textId="77777777">
      <w:pPr>
        <w:numPr>
          <w:ilvl w:val="0"/>
          <w:numId w:val="7"/>
        </w:numPr>
        <w:spacing w:before="100" w:beforeAutospacing="1"/>
        <w:rPr>
          <w:i/>
          <w:iCs/>
          <w:color w:val="000000" w:themeColor="text1"/>
          <w:sz w:val="28"/>
          <w:szCs w:val="28"/>
        </w:rPr>
      </w:pPr>
      <w:r w:rsidRPr="0088480E">
        <w:rPr>
          <w:i/>
          <w:iCs/>
          <w:color w:val="000000" w:themeColor="text1"/>
          <w:sz w:val="28"/>
          <w:szCs w:val="28"/>
        </w:rPr>
        <w:t>Are payments or gifts given to the respondents?</w:t>
      </w:r>
    </w:p>
    <w:p w:rsidRPr="0088480E" w:rsidR="008C6B47" w:rsidP="00B50059" w:rsidRDefault="00032A5E" w14:paraId="6ED63469" w14:textId="3DEADC2D">
      <w:pPr>
        <w:spacing w:before="100" w:beforeAutospacing="1"/>
      </w:pPr>
      <w:r w:rsidRPr="0088480E">
        <w:t>N</w:t>
      </w:r>
      <w:r w:rsidRPr="0088480E" w:rsidR="008C6B47">
        <w:t xml:space="preserve">o payments or gifts are proposed for respondents.  </w:t>
      </w:r>
    </w:p>
    <w:p w:rsidRPr="0088480E" w:rsidR="001551C6" w:rsidP="2337C34A" w:rsidRDefault="001551C6" w14:paraId="2AA594CF" w14:textId="77777777">
      <w:pPr>
        <w:numPr>
          <w:ilvl w:val="0"/>
          <w:numId w:val="7"/>
        </w:numPr>
        <w:spacing w:before="100" w:beforeAutospacing="1"/>
        <w:rPr>
          <w:i/>
          <w:iCs/>
          <w:sz w:val="28"/>
          <w:szCs w:val="28"/>
        </w:rPr>
      </w:pPr>
      <w:r w:rsidRPr="0088480E">
        <w:rPr>
          <w:i/>
          <w:iCs/>
          <w:sz w:val="28"/>
          <w:szCs w:val="28"/>
        </w:rPr>
        <w:t xml:space="preserve"> Describe assurances of privacy/confidentiality</w:t>
      </w:r>
    </w:p>
    <w:p w:rsidRPr="0088480E" w:rsidR="00EA4CC0" w:rsidP="00B50059" w:rsidRDefault="00C17636" w14:paraId="345D8D2B" w14:textId="204F1C5E">
      <w:pPr>
        <w:pStyle w:val="Footer"/>
        <w:spacing w:before="100" w:beforeAutospacing="1"/>
      </w:pPr>
      <w:r w:rsidRPr="0088480E">
        <w:t xml:space="preserve">ECA and its </w:t>
      </w:r>
      <w:r w:rsidRPr="0088480E" w:rsidR="07CD316F">
        <w:t>award recipient</w:t>
      </w:r>
      <w:r w:rsidRPr="0088480E" w:rsidR="0CDDF004">
        <w:t xml:space="preserve">s </w:t>
      </w:r>
      <w:r w:rsidRPr="0088480E">
        <w:t xml:space="preserve">follow all procedures and policies stipulated under the Privacy Act of 1974 to guarantee the privacy of the respondents.  </w:t>
      </w:r>
    </w:p>
    <w:p w:rsidRPr="0088480E" w:rsidR="00EA4CC0" w:rsidP="00B50059" w:rsidRDefault="58A2E02F" w14:paraId="0AA0B11C" w14:textId="3C361455">
      <w:pPr>
        <w:spacing w:beforeAutospacing="1"/>
        <w:rPr>
          <w:szCs w:val="24"/>
        </w:rPr>
      </w:pPr>
      <w:r w:rsidRPr="0088480E">
        <w:rPr>
          <w:szCs w:val="24"/>
        </w:rPr>
        <w:t xml:space="preserve">Post-Program Participant surveys administered by </w:t>
      </w:r>
      <w:r w:rsidRPr="0088480E" w:rsidR="185B6DD9">
        <w:rPr>
          <w:szCs w:val="24"/>
        </w:rPr>
        <w:t>Award recipient</w:t>
      </w:r>
      <w:r w:rsidRPr="0088480E">
        <w:rPr>
          <w:szCs w:val="24"/>
        </w:rPr>
        <w:t>s include consent statements, which meet the following guidelines:</w:t>
      </w:r>
    </w:p>
    <w:p w:rsidRPr="0088480E" w:rsidR="00EA4CC0" w:rsidP="636132E1" w:rsidRDefault="58A2E02F" w14:paraId="7391F371" w14:textId="66DF538A">
      <w:pPr>
        <w:pStyle w:val="ListParagraph"/>
        <w:numPr>
          <w:ilvl w:val="0"/>
          <w:numId w:val="4"/>
        </w:numPr>
        <w:spacing w:before="100" w:beforeAutospacing="1" w:after="160" w:line="259" w:lineRule="auto"/>
        <w:rPr>
          <w:szCs w:val="24"/>
        </w:rPr>
      </w:pPr>
      <w:r w:rsidRPr="0088480E">
        <w:rPr>
          <w:szCs w:val="24"/>
        </w:rPr>
        <w:t>State how long the data collection is expected to take</w:t>
      </w:r>
    </w:p>
    <w:p w:rsidRPr="0088480E" w:rsidR="00EA4CC0" w:rsidP="636132E1" w:rsidRDefault="58A2E02F" w14:paraId="3D88344E" w14:textId="1D70C788">
      <w:pPr>
        <w:pStyle w:val="ListParagraph"/>
        <w:numPr>
          <w:ilvl w:val="0"/>
          <w:numId w:val="4"/>
        </w:numPr>
        <w:spacing w:before="100" w:beforeAutospacing="1" w:after="160" w:line="259" w:lineRule="auto"/>
        <w:rPr>
          <w:szCs w:val="24"/>
        </w:rPr>
      </w:pPr>
      <w:r w:rsidRPr="0088480E">
        <w:rPr>
          <w:szCs w:val="24"/>
        </w:rPr>
        <w:t>Explain the purpose of the data collection</w:t>
      </w:r>
    </w:p>
    <w:p w:rsidRPr="0088480E" w:rsidR="00EA4CC0" w:rsidP="636132E1" w:rsidRDefault="58A2E02F" w14:paraId="43212583" w14:textId="2D4011FD">
      <w:pPr>
        <w:pStyle w:val="ListParagraph"/>
        <w:numPr>
          <w:ilvl w:val="0"/>
          <w:numId w:val="4"/>
        </w:numPr>
        <w:spacing w:before="100" w:beforeAutospacing="1" w:after="160" w:line="259" w:lineRule="auto"/>
        <w:rPr>
          <w:szCs w:val="24"/>
        </w:rPr>
      </w:pPr>
      <w:r w:rsidRPr="0088480E">
        <w:rPr>
          <w:szCs w:val="24"/>
        </w:rPr>
        <w:t>Explain how data will be used, shared, and stored</w:t>
      </w:r>
    </w:p>
    <w:p w:rsidRPr="0088480E" w:rsidR="00EA4CC0" w:rsidP="636132E1" w:rsidRDefault="58A2E02F" w14:paraId="293E9238" w14:textId="59C9C187">
      <w:pPr>
        <w:pStyle w:val="ListParagraph"/>
        <w:numPr>
          <w:ilvl w:val="0"/>
          <w:numId w:val="4"/>
        </w:numPr>
        <w:spacing w:before="100" w:beforeAutospacing="1" w:after="160" w:line="259" w:lineRule="auto"/>
        <w:rPr>
          <w:szCs w:val="24"/>
        </w:rPr>
      </w:pPr>
      <w:r w:rsidRPr="0088480E">
        <w:rPr>
          <w:szCs w:val="24"/>
        </w:rPr>
        <w:t>Specify that participation in data collection is voluntary and will have no consequences to the respondent</w:t>
      </w:r>
    </w:p>
    <w:p w:rsidRPr="0088480E" w:rsidR="00EA4CC0" w:rsidP="636132E1" w:rsidRDefault="58A2E02F" w14:paraId="5A4EE221" w14:textId="2B128FB3">
      <w:pPr>
        <w:pStyle w:val="ListParagraph"/>
        <w:numPr>
          <w:ilvl w:val="0"/>
          <w:numId w:val="4"/>
        </w:numPr>
        <w:spacing w:before="100" w:beforeAutospacing="1" w:after="160" w:line="259" w:lineRule="auto"/>
        <w:rPr>
          <w:szCs w:val="24"/>
        </w:rPr>
      </w:pPr>
      <w:r w:rsidRPr="0088480E">
        <w:rPr>
          <w:szCs w:val="24"/>
        </w:rPr>
        <w:t>Provide contact information for questions or technical support</w:t>
      </w:r>
    </w:p>
    <w:p w:rsidRPr="0088480E" w:rsidR="00EA4CC0" w:rsidP="00B50059" w:rsidRDefault="00C17636" w14:paraId="224F5477" w14:textId="07C76BB5">
      <w:pPr>
        <w:pStyle w:val="Footer"/>
        <w:spacing w:before="100" w:beforeAutospacing="1"/>
      </w:pPr>
      <w:r w:rsidRPr="0088480E">
        <w:t xml:space="preserve">In addition, </w:t>
      </w:r>
      <w:r w:rsidRPr="0088480E" w:rsidR="3B0470B1">
        <w:t xml:space="preserve">Alumni and Host Community </w:t>
      </w:r>
      <w:r w:rsidRPr="0088480E" w:rsidR="00EA4CC0">
        <w:t>survey</w:t>
      </w:r>
      <w:r w:rsidRPr="0088480E" w:rsidR="6B3F55A7">
        <w:t>s</w:t>
      </w:r>
      <w:r w:rsidRPr="0088480E" w:rsidR="167C957E">
        <w:t xml:space="preserve"> administered by the ECA Evaluation Division</w:t>
      </w:r>
      <w:r w:rsidRPr="0088480E" w:rsidR="00EA4CC0">
        <w:t xml:space="preserve"> </w:t>
      </w:r>
      <w:r w:rsidRPr="0088480E" w:rsidR="5F6068E9">
        <w:t xml:space="preserve">will </w:t>
      </w:r>
      <w:r w:rsidRPr="0088480E" w:rsidR="00EA4CC0">
        <w:t>include the following</w:t>
      </w:r>
      <w:r w:rsidRPr="0088480E" w:rsidR="738E4F8B">
        <w:t xml:space="preserve"> </w:t>
      </w:r>
      <w:r w:rsidR="005F4880">
        <w:t>Privacy Act Statement</w:t>
      </w:r>
      <w:r w:rsidRPr="0088480E" w:rsidR="00EA4CC0">
        <w:t xml:space="preserve">: </w:t>
      </w:r>
    </w:p>
    <w:p w:rsidRPr="0088480E" w:rsidR="00B50059" w:rsidP="2337C34A" w:rsidRDefault="00B50059" w14:paraId="1A02AFD5" w14:textId="77777777">
      <w:pPr>
        <w:ind w:left="360"/>
        <w:rPr>
          <w:szCs w:val="24"/>
        </w:rPr>
      </w:pPr>
    </w:p>
    <w:p w:rsidRPr="00E11DA5" w:rsidR="00E11DA5" w:rsidP="00E11DA5" w:rsidRDefault="00E11DA5" w14:paraId="347D5E76" w14:textId="77777777">
      <w:pPr>
        <w:rPr>
          <w:i/>
          <w:sz w:val="22"/>
          <w:szCs w:val="22"/>
        </w:rPr>
      </w:pPr>
      <w:r w:rsidRPr="00E11DA5">
        <w:rPr>
          <w:i/>
          <w:sz w:val="22"/>
          <w:szCs w:val="22"/>
        </w:rPr>
        <w:t xml:space="preserve">The Evaluation Division of the U.S. State Department’s Bureau of Educational and Cultural Affairs (ECA) would like to ask you a few questions about your knowledge, attitudes, and </w:t>
      </w:r>
      <w:proofErr w:type="gramStart"/>
      <w:r w:rsidRPr="00E11DA5">
        <w:rPr>
          <w:i/>
          <w:sz w:val="22"/>
          <w:szCs w:val="22"/>
        </w:rPr>
        <w:t>future plans</w:t>
      </w:r>
      <w:proofErr w:type="gramEnd"/>
      <w:r w:rsidRPr="00E11DA5">
        <w:rPr>
          <w:i/>
          <w:sz w:val="22"/>
          <w:szCs w:val="22"/>
        </w:rPr>
        <w:t xml:space="preserve"> following your program experience. [SPECIFIC PROGRAM LANGUAGE TO BE TAILORED AS NEEDED]</w:t>
      </w:r>
    </w:p>
    <w:p w:rsidRPr="00E11DA5" w:rsidR="00E11DA5" w:rsidP="00E11DA5" w:rsidRDefault="00E11DA5" w14:paraId="489D93BB" w14:textId="77777777">
      <w:pPr>
        <w:pStyle w:val="Heading1"/>
        <w:jc w:val="center"/>
        <w:rPr>
          <w:i/>
          <w:sz w:val="22"/>
          <w:szCs w:val="22"/>
        </w:rPr>
      </w:pPr>
      <w:r w:rsidRPr="00E11DA5">
        <w:rPr>
          <w:i/>
          <w:sz w:val="22"/>
          <w:szCs w:val="22"/>
        </w:rPr>
        <w:t>Privacy Act Statement</w:t>
      </w:r>
    </w:p>
    <w:p w:rsidRPr="00E11DA5" w:rsidR="00E11DA5" w:rsidP="00E11DA5" w:rsidRDefault="00E11DA5" w14:paraId="603955FB" w14:textId="77777777">
      <w:pPr>
        <w:autoSpaceDE w:val="0"/>
        <w:autoSpaceDN w:val="0"/>
        <w:adjustRightInd w:val="0"/>
        <w:contextualSpacing/>
        <w:rPr>
          <w:i/>
          <w:sz w:val="22"/>
          <w:szCs w:val="22"/>
        </w:rPr>
      </w:pPr>
      <w:r w:rsidRPr="00E11DA5">
        <w:rPr>
          <w:b/>
          <w:bCs/>
          <w:i/>
          <w:sz w:val="22"/>
          <w:szCs w:val="22"/>
        </w:rPr>
        <w:t>AUTHORITY</w:t>
      </w:r>
      <w:r w:rsidRPr="00E11DA5">
        <w:rPr>
          <w:i/>
          <w:sz w:val="22"/>
          <w:szCs w:val="22"/>
        </w:rPr>
        <w:t xml:space="preserve">: The information on this form is requested under the authority of 22 U.S.C. 2451 </w:t>
      </w:r>
      <w:r w:rsidRPr="00E11DA5">
        <w:rPr>
          <w:i/>
          <w:iCs/>
          <w:sz w:val="22"/>
          <w:szCs w:val="22"/>
        </w:rPr>
        <w:t xml:space="preserve">et seq </w:t>
      </w:r>
      <w:r w:rsidRPr="00E11DA5">
        <w:rPr>
          <w:i/>
          <w:sz w:val="22"/>
          <w:szCs w:val="22"/>
        </w:rPr>
        <w:t>(Mutual Educational and Cultural Exchange Act of 1961)</w:t>
      </w:r>
      <w:r w:rsidRPr="00E11DA5">
        <w:rPr>
          <w:i/>
          <w:iCs/>
          <w:sz w:val="22"/>
          <w:szCs w:val="22"/>
        </w:rPr>
        <w:t xml:space="preserve">, </w:t>
      </w:r>
      <w:r w:rsidRPr="00E11DA5">
        <w:rPr>
          <w:i/>
          <w:sz w:val="22"/>
          <w:szCs w:val="22"/>
          <w:shd w:val="clear" w:color="auto" w:fill="FFFFFF"/>
        </w:rPr>
        <w:t>P.L. 103-62 (</w:t>
      </w:r>
      <w:r w:rsidRPr="00E11DA5">
        <w:rPr>
          <w:i/>
          <w:sz w:val="22"/>
          <w:szCs w:val="22"/>
        </w:rPr>
        <w:t>Government Performance and Results Act of 1993)</w:t>
      </w:r>
      <w:r w:rsidRPr="00E11DA5">
        <w:rPr>
          <w:i/>
          <w:sz w:val="22"/>
          <w:szCs w:val="22"/>
          <w:shd w:val="clear" w:color="auto" w:fill="FFFFFF"/>
        </w:rPr>
        <w:t>, and P.L. 111-352 (</w:t>
      </w:r>
      <w:r w:rsidRPr="00E11DA5">
        <w:rPr>
          <w:i/>
          <w:sz w:val="22"/>
          <w:szCs w:val="22"/>
        </w:rPr>
        <w:t>Government Performance and Results Modernization Act of 2010).</w:t>
      </w:r>
    </w:p>
    <w:p w:rsidRPr="00E11DA5" w:rsidR="00E11DA5" w:rsidP="00E11DA5" w:rsidRDefault="00E11DA5" w14:paraId="12A4715A" w14:textId="77777777">
      <w:pPr>
        <w:autoSpaceDE w:val="0"/>
        <w:autoSpaceDN w:val="0"/>
        <w:adjustRightInd w:val="0"/>
        <w:contextualSpacing/>
        <w:rPr>
          <w:bCs/>
          <w:i/>
          <w:sz w:val="22"/>
          <w:szCs w:val="22"/>
        </w:rPr>
      </w:pPr>
      <w:r w:rsidRPr="00E11DA5">
        <w:rPr>
          <w:bCs/>
          <w:i/>
          <w:sz w:val="22"/>
          <w:szCs w:val="22"/>
        </w:rPr>
        <w:t xml:space="preserve"> </w:t>
      </w:r>
    </w:p>
    <w:p w:rsidRPr="00E11DA5" w:rsidR="00E11DA5" w:rsidP="00E11DA5" w:rsidRDefault="00E11DA5" w14:paraId="499D4424" w14:textId="77777777">
      <w:pPr>
        <w:autoSpaceDE w:val="0"/>
        <w:autoSpaceDN w:val="0"/>
        <w:adjustRightInd w:val="0"/>
        <w:contextualSpacing/>
        <w:rPr>
          <w:i/>
          <w:sz w:val="22"/>
          <w:szCs w:val="22"/>
        </w:rPr>
      </w:pPr>
      <w:r w:rsidRPr="00E11DA5">
        <w:rPr>
          <w:b/>
          <w:bCs/>
          <w:i/>
          <w:sz w:val="22"/>
          <w:szCs w:val="22"/>
        </w:rPr>
        <w:t>PURPOSE</w:t>
      </w:r>
      <w:r w:rsidRPr="00E11DA5">
        <w:rPr>
          <w:i/>
          <w:sz w:val="22"/>
          <w:szCs w:val="22"/>
        </w:rPr>
        <w:t xml:space="preserve">: The purpose of gathering this information is to </w:t>
      </w:r>
      <w:r w:rsidRPr="00E11DA5">
        <w:rPr>
          <w:i/>
          <w:sz w:val="22"/>
          <w:szCs w:val="22"/>
          <w:shd w:val="clear" w:color="auto" w:fill="FFFFFF"/>
        </w:rPr>
        <w:t>track program performance and the direction, pace, and magnitude of change for ECA programs</w:t>
      </w:r>
      <w:r w:rsidRPr="00E11DA5">
        <w:rPr>
          <w:i/>
          <w:sz w:val="22"/>
          <w:szCs w:val="22"/>
        </w:rPr>
        <w:t xml:space="preserve">. </w:t>
      </w:r>
    </w:p>
    <w:p w:rsidRPr="00E11DA5" w:rsidR="00E11DA5" w:rsidP="00E11DA5" w:rsidRDefault="00E11DA5" w14:paraId="314BE6A1" w14:textId="77777777">
      <w:pPr>
        <w:autoSpaceDE w:val="0"/>
        <w:autoSpaceDN w:val="0"/>
        <w:adjustRightInd w:val="0"/>
        <w:contextualSpacing/>
        <w:rPr>
          <w:bCs/>
          <w:i/>
          <w:sz w:val="22"/>
          <w:szCs w:val="22"/>
        </w:rPr>
      </w:pPr>
    </w:p>
    <w:p w:rsidRPr="00E11DA5" w:rsidR="00E11DA5" w:rsidP="00E11DA5" w:rsidRDefault="00E11DA5" w14:paraId="47DB8841" w14:textId="77777777">
      <w:pPr>
        <w:rPr>
          <w:i/>
          <w:sz w:val="22"/>
          <w:szCs w:val="22"/>
        </w:rPr>
      </w:pPr>
      <w:r w:rsidRPr="00E11DA5">
        <w:rPr>
          <w:b/>
          <w:bCs/>
          <w:i/>
          <w:sz w:val="22"/>
          <w:szCs w:val="22"/>
        </w:rPr>
        <w:t>ROUTINE USES</w:t>
      </w:r>
      <w:r w:rsidRPr="00E11DA5">
        <w:rPr>
          <w:i/>
          <w:sz w:val="22"/>
          <w:szCs w:val="22"/>
        </w:rPr>
        <w:t xml:space="preserve">: The information on this form may be shared with members of Congress, and the Office of Management and Budget (OMB). De-identified data files may be shared (without Personally Identifiable Information such as names or contact information) with ECA implementing partners and </w:t>
      </w:r>
      <w:r w:rsidRPr="00E11DA5">
        <w:rPr>
          <w:i/>
          <w:sz w:val="22"/>
          <w:szCs w:val="22"/>
        </w:rPr>
        <w:lastRenderedPageBreak/>
        <w:t>external researchers who are assisting ECA in measuring its impact. More information on the Routine Uses for the system can be found in the System of Records Notice State-08, Educational and Cultural Exchange Program Records.</w:t>
      </w:r>
    </w:p>
    <w:p w:rsidRPr="00E11DA5" w:rsidR="00E11DA5" w:rsidP="00E11DA5" w:rsidRDefault="00E11DA5" w14:paraId="4C06F051" w14:textId="77777777">
      <w:pPr>
        <w:rPr>
          <w:i/>
          <w:sz w:val="22"/>
          <w:szCs w:val="22"/>
        </w:rPr>
      </w:pPr>
      <w:r w:rsidRPr="00E11DA5">
        <w:rPr>
          <w:b/>
          <w:bCs/>
          <w:i/>
          <w:sz w:val="22"/>
          <w:szCs w:val="22"/>
        </w:rPr>
        <w:t>DISCLOSURE</w:t>
      </w:r>
      <w:r w:rsidRPr="00E11DA5">
        <w:rPr>
          <w:bCs/>
          <w:i/>
          <w:sz w:val="22"/>
          <w:szCs w:val="22"/>
        </w:rPr>
        <w:t xml:space="preserve">: Responding to this survey is </w:t>
      </w:r>
      <w:r w:rsidRPr="00E11DA5">
        <w:rPr>
          <w:b/>
          <w:bCs/>
          <w:i/>
          <w:sz w:val="22"/>
          <w:szCs w:val="22"/>
        </w:rPr>
        <w:t>voluntary</w:t>
      </w:r>
      <w:r w:rsidRPr="00E11DA5">
        <w:rPr>
          <w:bCs/>
          <w:i/>
          <w:sz w:val="22"/>
          <w:szCs w:val="22"/>
        </w:rPr>
        <w:t xml:space="preserve">. </w:t>
      </w:r>
      <w:r w:rsidRPr="00E11DA5">
        <w:rPr>
          <w:i/>
          <w:sz w:val="22"/>
          <w:szCs w:val="22"/>
        </w:rPr>
        <w:t>The answers you provide on the survey will have no bearing on your participation in alumni activities or any future applications you may submit for U.S. State Department programs.</w:t>
      </w:r>
    </w:p>
    <w:p w:rsidRPr="00E11DA5" w:rsidR="00E11DA5" w:rsidP="00E11DA5" w:rsidRDefault="00E11DA5" w14:paraId="413E30F0" w14:textId="77777777">
      <w:pPr>
        <w:rPr>
          <w:i/>
          <w:sz w:val="22"/>
          <w:szCs w:val="22"/>
        </w:rPr>
      </w:pPr>
      <w:r w:rsidRPr="00E11DA5">
        <w:rPr>
          <w:b/>
          <w:bCs/>
          <w:i/>
          <w:sz w:val="22"/>
          <w:szCs w:val="22"/>
        </w:rPr>
        <w:t>By clicking “Consent and Enter Survey” button below, you are consenting to the above terms.</w:t>
      </w:r>
    </w:p>
    <w:p w:rsidRPr="00E11DA5" w:rsidR="00E11DA5" w:rsidP="00E11DA5" w:rsidRDefault="00E11DA5" w14:paraId="09E8350B" w14:textId="77777777">
      <w:pPr>
        <w:rPr>
          <w:i/>
          <w:sz w:val="22"/>
          <w:szCs w:val="22"/>
        </w:rPr>
      </w:pPr>
      <w:r w:rsidRPr="00E11DA5">
        <w:rPr>
          <w:i/>
          <w:sz w:val="22"/>
          <w:szCs w:val="22"/>
        </w:rPr>
        <w:t>You can read ECA’s full data sharing and storage policy here: [LINK TO DATA POLICY]</w:t>
      </w:r>
    </w:p>
    <w:p w:rsidRPr="00E11DA5" w:rsidR="00E11DA5" w:rsidP="00E11DA5" w:rsidRDefault="00E11DA5" w14:paraId="2C478FE9" w14:textId="77777777">
      <w:pPr>
        <w:rPr>
          <w:i/>
          <w:sz w:val="22"/>
          <w:szCs w:val="22"/>
        </w:rPr>
      </w:pPr>
      <w:r w:rsidRPr="00E11DA5">
        <w:rPr>
          <w:i/>
          <w:sz w:val="22"/>
          <w:szCs w:val="22"/>
        </w:rPr>
        <w:t>Please complete this survey by [DEADLINE]. The survey has [NUMBER OF QUESTIONS] questions and will take approximately [TIME ESTIMATE] minutes to complete.</w:t>
      </w:r>
    </w:p>
    <w:p w:rsidRPr="00E11DA5" w:rsidR="00E11DA5" w:rsidP="00E11DA5" w:rsidRDefault="00E11DA5" w14:paraId="506897DD" w14:textId="77777777">
      <w:pPr>
        <w:rPr>
          <w:i/>
          <w:sz w:val="22"/>
          <w:szCs w:val="22"/>
        </w:rPr>
      </w:pPr>
      <w:r w:rsidRPr="00E11DA5">
        <w:rPr>
          <w:i/>
          <w:sz w:val="22"/>
          <w:szCs w:val="22"/>
        </w:rPr>
        <w:t>Thank you in advance for your time and participation!</w:t>
      </w:r>
    </w:p>
    <w:p w:rsidRPr="00E11DA5" w:rsidR="00E11DA5" w:rsidP="00E11DA5" w:rsidRDefault="00E11DA5" w14:paraId="5796D84B" w14:textId="77777777">
      <w:pPr>
        <w:rPr>
          <w:i/>
          <w:sz w:val="22"/>
          <w:szCs w:val="22"/>
        </w:rPr>
      </w:pPr>
      <w:r w:rsidRPr="00E11DA5">
        <w:rPr>
          <w:b/>
          <w:bCs/>
          <w:i/>
          <w:sz w:val="22"/>
          <w:szCs w:val="22"/>
        </w:rPr>
        <w:t>[CONSENT AND ENTER SURVEY BUTTON]</w:t>
      </w:r>
    </w:p>
    <w:p w:rsidR="008C6B47" w:rsidP="435BCE3A" w:rsidRDefault="008C6B47" w14:paraId="0EAE7C38" w14:textId="7D6C26D8">
      <w:pPr>
        <w:spacing w:before="100" w:beforeAutospacing="1"/>
      </w:pPr>
      <w:r w:rsidRPr="0088480E">
        <w:t xml:space="preserve">In line with ECA policy, individual names will not be reported, but responses will be used in the aggregated analysis, and may be disaggregated by variables of interest, such as country of study, </w:t>
      </w:r>
      <w:r w:rsidRPr="0088480E" w:rsidR="6F786B97">
        <w:t xml:space="preserve">age group (youth vs. non-youth), </w:t>
      </w:r>
      <w:r w:rsidRPr="0088480E">
        <w:t>program, sex, etc.  As noted above, however, the consent statement for t</w:t>
      </w:r>
      <w:r w:rsidRPr="0088480E" w:rsidR="01E34E8E">
        <w:t xml:space="preserve">hese data collections </w:t>
      </w:r>
      <w:r w:rsidRPr="0088480E">
        <w:t xml:space="preserve">include broad consent, which will allow ECA to reanalyze the data </w:t>
      </w:r>
      <w:proofErr w:type="gramStart"/>
      <w:r w:rsidRPr="0088480E">
        <w:t>at a later time</w:t>
      </w:r>
      <w:proofErr w:type="gramEnd"/>
      <w:r w:rsidRPr="0088480E">
        <w:t xml:space="preserve"> if deemed useful. </w:t>
      </w:r>
      <w:r w:rsidRPr="0088480E" w:rsidR="081AFC19">
        <w:t xml:space="preserve"> </w:t>
      </w:r>
      <w:r w:rsidRPr="0088480E" w:rsidR="749B2223">
        <w:t>Award recipient</w:t>
      </w:r>
      <w:r w:rsidRPr="0088480E" w:rsidR="081AFC19">
        <w:t xml:space="preserve">s will </w:t>
      </w:r>
      <w:r w:rsidRPr="0088480E" w:rsidR="4FBE0503">
        <w:t xml:space="preserve">report response rates as well as </w:t>
      </w:r>
      <w:r w:rsidRPr="0088480E" w:rsidR="081AFC19">
        <w:t>share</w:t>
      </w:r>
      <w:r w:rsidRPr="0088480E">
        <w:t xml:space="preserve"> </w:t>
      </w:r>
      <w:r w:rsidRPr="0088480E" w:rsidR="1A0A6EF0">
        <w:t>raw</w:t>
      </w:r>
      <w:r w:rsidRPr="0088480E">
        <w:t xml:space="preserve"> data files with ECA for this purpose a</w:t>
      </w:r>
      <w:r w:rsidRPr="0088480E" w:rsidR="32D0AC71">
        <w:t>s part of their reporting requirements</w:t>
      </w:r>
      <w:r w:rsidRPr="0088480E">
        <w:t>.</w:t>
      </w:r>
    </w:p>
    <w:p w:rsidRPr="0088480E" w:rsidR="001551C6" w:rsidP="2337C34A" w:rsidRDefault="00EA4CC0" w14:paraId="56E02C5C" w14:textId="77777777">
      <w:pPr>
        <w:numPr>
          <w:ilvl w:val="0"/>
          <w:numId w:val="7"/>
        </w:numPr>
        <w:spacing w:before="100" w:beforeAutospacing="1"/>
        <w:rPr>
          <w:i/>
          <w:iCs/>
          <w:color w:val="000000" w:themeColor="text1"/>
          <w:sz w:val="28"/>
          <w:szCs w:val="28"/>
        </w:rPr>
      </w:pPr>
      <w:r w:rsidRPr="0088480E">
        <w:rPr>
          <w:i/>
          <w:iCs/>
          <w:color w:val="000000" w:themeColor="text1"/>
          <w:sz w:val="28"/>
          <w:szCs w:val="28"/>
        </w:rPr>
        <w:t xml:space="preserve"> </w:t>
      </w:r>
      <w:r w:rsidRPr="0088480E" w:rsidR="001551C6">
        <w:rPr>
          <w:i/>
          <w:iCs/>
          <w:color w:val="000000" w:themeColor="text1"/>
          <w:sz w:val="28"/>
          <w:szCs w:val="28"/>
        </w:rPr>
        <w:t>Are any questions of a sensitive nature asked?</w:t>
      </w:r>
    </w:p>
    <w:p w:rsidRPr="0088480E" w:rsidR="686FE259" w:rsidP="435BCE3A" w:rsidRDefault="686FE259" w14:paraId="3291BECE" w14:textId="391266FA">
      <w:pPr>
        <w:rPr>
          <w:color w:val="201F1E"/>
        </w:rPr>
      </w:pPr>
      <w:r w:rsidRPr="0088480E">
        <w:rPr>
          <w:color w:val="201F1E"/>
        </w:rPr>
        <w:t>There are two questions that have been deemed to be of a sensitive nature on the</w:t>
      </w:r>
      <w:r w:rsidR="00B714F3">
        <w:rPr>
          <w:color w:val="201F1E"/>
        </w:rPr>
        <w:t xml:space="preserve"> post-program and</w:t>
      </w:r>
      <w:r w:rsidRPr="0088480E">
        <w:rPr>
          <w:color w:val="201F1E"/>
        </w:rPr>
        <w:t xml:space="preserve"> alumni survey</w:t>
      </w:r>
      <w:r w:rsidRPr="0088480E" w:rsidR="449BC655">
        <w:rPr>
          <w:color w:val="201F1E"/>
        </w:rPr>
        <w:t>s</w:t>
      </w:r>
      <w:r w:rsidRPr="0088480E">
        <w:rPr>
          <w:color w:val="201F1E"/>
        </w:rPr>
        <w:t xml:space="preserve">: sex and race/ethnicity of the respondents.  </w:t>
      </w:r>
      <w:proofErr w:type="gramStart"/>
      <w:r w:rsidRPr="0088480E">
        <w:rPr>
          <w:color w:val="201F1E"/>
        </w:rPr>
        <w:t>Both of these</w:t>
      </w:r>
      <w:proofErr w:type="gramEnd"/>
      <w:r w:rsidRPr="0088480E">
        <w:rPr>
          <w:color w:val="201F1E"/>
        </w:rPr>
        <w:t xml:space="preserve"> questions have been included because</w:t>
      </w:r>
      <w:r w:rsidRPr="0088480E" w:rsidR="59A8B2D4">
        <w:rPr>
          <w:color w:val="201F1E"/>
        </w:rPr>
        <w:t xml:space="preserve"> previous </w:t>
      </w:r>
      <w:r w:rsidRPr="0088480E" w:rsidR="00B50059">
        <w:rPr>
          <w:color w:val="201F1E"/>
        </w:rPr>
        <w:t xml:space="preserve">evaluations </w:t>
      </w:r>
      <w:r w:rsidRPr="0088480E" w:rsidR="59A8B2D4">
        <w:rPr>
          <w:color w:val="201F1E"/>
        </w:rPr>
        <w:t xml:space="preserve">of a sample of </w:t>
      </w:r>
      <w:r w:rsidRPr="0088480E" w:rsidR="4C4223C3">
        <w:rPr>
          <w:color w:val="201F1E"/>
        </w:rPr>
        <w:t>ECA programs ha</w:t>
      </w:r>
      <w:r w:rsidRPr="0088480E" w:rsidR="5C569A71">
        <w:rPr>
          <w:color w:val="201F1E"/>
        </w:rPr>
        <w:t>ve</w:t>
      </w:r>
      <w:r w:rsidRPr="0088480E" w:rsidR="4C4223C3">
        <w:rPr>
          <w:color w:val="201F1E"/>
        </w:rPr>
        <w:t xml:space="preserve"> </w:t>
      </w:r>
      <w:r w:rsidRPr="0088480E">
        <w:rPr>
          <w:color w:val="201F1E"/>
        </w:rPr>
        <w:t>indicate</w:t>
      </w:r>
      <w:r w:rsidRPr="0088480E" w:rsidR="17F9E862">
        <w:rPr>
          <w:color w:val="201F1E"/>
        </w:rPr>
        <w:t>d</w:t>
      </w:r>
      <w:r w:rsidRPr="0088480E">
        <w:rPr>
          <w:color w:val="201F1E"/>
        </w:rPr>
        <w:t xml:space="preserve"> that </w:t>
      </w:r>
      <w:r w:rsidRPr="0088480E" w:rsidR="49327924">
        <w:rPr>
          <w:color w:val="201F1E"/>
        </w:rPr>
        <w:t xml:space="preserve">there may be important differences in the experience of </w:t>
      </w:r>
      <w:r w:rsidRPr="0088480E">
        <w:rPr>
          <w:color w:val="201F1E"/>
        </w:rPr>
        <w:t xml:space="preserve">non-white participants and, in some countries, female participants. ECA therefore needs to be able to examine the differences in experiences and outcomes between white and non-white participants and between male and female participants, as well recommendations they may have for improving </w:t>
      </w:r>
      <w:r w:rsidRPr="0088480E" w:rsidR="55F9073A">
        <w:rPr>
          <w:color w:val="201F1E"/>
        </w:rPr>
        <w:t xml:space="preserve">ECA </w:t>
      </w:r>
      <w:r w:rsidRPr="0088480E">
        <w:rPr>
          <w:color w:val="201F1E"/>
        </w:rPr>
        <w:t>program</w:t>
      </w:r>
      <w:r w:rsidRPr="0088480E" w:rsidR="01ADB683">
        <w:rPr>
          <w:color w:val="201F1E"/>
        </w:rPr>
        <w:t>s</w:t>
      </w:r>
      <w:r w:rsidRPr="0088480E">
        <w:rPr>
          <w:color w:val="201F1E"/>
        </w:rPr>
        <w:t>.</w:t>
      </w:r>
    </w:p>
    <w:p w:rsidRPr="0088480E" w:rsidR="686FE259" w:rsidP="43634458" w:rsidRDefault="686FE259" w14:paraId="5E0CB68A" w14:textId="2A422EF7">
      <w:pPr>
        <w:rPr>
          <w:color w:val="201F1E"/>
          <w:szCs w:val="24"/>
        </w:rPr>
      </w:pPr>
      <w:r w:rsidRPr="0088480E">
        <w:rPr>
          <w:color w:val="201F1E"/>
          <w:szCs w:val="24"/>
        </w:rPr>
        <w:t xml:space="preserve">There </w:t>
      </w:r>
      <w:r w:rsidRPr="0088480E" w:rsidR="0A535E02">
        <w:rPr>
          <w:color w:val="201F1E"/>
          <w:szCs w:val="24"/>
        </w:rPr>
        <w:t xml:space="preserve">are two </w:t>
      </w:r>
      <w:r w:rsidRPr="0088480E">
        <w:rPr>
          <w:color w:val="201F1E"/>
          <w:szCs w:val="24"/>
        </w:rPr>
        <w:t>question</w:t>
      </w:r>
      <w:r w:rsidRPr="0088480E" w:rsidR="6F7AA094">
        <w:rPr>
          <w:color w:val="201F1E"/>
          <w:szCs w:val="24"/>
        </w:rPr>
        <w:t>s</w:t>
      </w:r>
      <w:r w:rsidRPr="0088480E">
        <w:rPr>
          <w:color w:val="201F1E"/>
          <w:szCs w:val="24"/>
        </w:rPr>
        <w:t xml:space="preserve"> of a sensitive nature on the </w:t>
      </w:r>
      <w:r w:rsidRPr="0088480E" w:rsidR="22621EC3">
        <w:rPr>
          <w:color w:val="201F1E"/>
          <w:szCs w:val="24"/>
        </w:rPr>
        <w:t>Hos</w:t>
      </w:r>
      <w:r w:rsidRPr="0088480E">
        <w:rPr>
          <w:color w:val="201F1E"/>
          <w:szCs w:val="24"/>
        </w:rPr>
        <w:t xml:space="preserve">t </w:t>
      </w:r>
      <w:r w:rsidRPr="0088480E" w:rsidR="22621EC3">
        <w:rPr>
          <w:color w:val="201F1E"/>
          <w:szCs w:val="24"/>
        </w:rPr>
        <w:t xml:space="preserve">Community </w:t>
      </w:r>
      <w:r w:rsidRPr="0088480E">
        <w:rPr>
          <w:color w:val="201F1E"/>
          <w:szCs w:val="24"/>
        </w:rPr>
        <w:t>survey: sex</w:t>
      </w:r>
      <w:r w:rsidRPr="0088480E" w:rsidR="2246E9EE">
        <w:rPr>
          <w:color w:val="201F1E"/>
          <w:szCs w:val="24"/>
        </w:rPr>
        <w:t xml:space="preserve"> and race/ethnicity</w:t>
      </w:r>
      <w:r w:rsidRPr="0088480E">
        <w:rPr>
          <w:color w:val="201F1E"/>
          <w:szCs w:val="24"/>
        </w:rPr>
        <w:t xml:space="preserve">.  </w:t>
      </w:r>
      <w:r w:rsidRPr="0088480E" w:rsidR="242DF6CB">
        <w:rPr>
          <w:color w:val="201F1E"/>
          <w:szCs w:val="24"/>
        </w:rPr>
        <w:t>T</w:t>
      </w:r>
      <w:r w:rsidRPr="0088480E">
        <w:rPr>
          <w:color w:val="201F1E"/>
          <w:szCs w:val="24"/>
        </w:rPr>
        <w:t xml:space="preserve">here may be important differences in perceptions among </w:t>
      </w:r>
      <w:r w:rsidRPr="0088480E" w:rsidR="49DE7B34">
        <w:rPr>
          <w:color w:val="201F1E"/>
          <w:szCs w:val="24"/>
        </w:rPr>
        <w:t xml:space="preserve">host community members </w:t>
      </w:r>
      <w:r w:rsidRPr="0088480E">
        <w:rPr>
          <w:color w:val="201F1E"/>
          <w:szCs w:val="24"/>
        </w:rPr>
        <w:t>by sex</w:t>
      </w:r>
      <w:r w:rsidRPr="0088480E" w:rsidR="33633904">
        <w:rPr>
          <w:color w:val="201F1E"/>
          <w:szCs w:val="24"/>
        </w:rPr>
        <w:t xml:space="preserve"> and race/ethnicity</w:t>
      </w:r>
      <w:r w:rsidRPr="0088480E">
        <w:rPr>
          <w:color w:val="201F1E"/>
          <w:szCs w:val="24"/>
        </w:rPr>
        <w:t xml:space="preserve">, and </w:t>
      </w:r>
      <w:r w:rsidRPr="0088480E" w:rsidR="280BB09A">
        <w:rPr>
          <w:color w:val="201F1E"/>
          <w:szCs w:val="24"/>
        </w:rPr>
        <w:t>ECA</w:t>
      </w:r>
      <w:r w:rsidRPr="0088480E">
        <w:rPr>
          <w:color w:val="201F1E"/>
          <w:szCs w:val="24"/>
        </w:rPr>
        <w:t xml:space="preserve"> would like </w:t>
      </w:r>
      <w:r w:rsidRPr="0088480E" w:rsidR="0951A590">
        <w:rPr>
          <w:szCs w:val="24"/>
        </w:rPr>
        <w:t>to be able to analyze for those differences to strengthen communication with, and program components for those stakeholders in the future.</w:t>
      </w:r>
    </w:p>
    <w:p w:rsidRPr="0088480E" w:rsidR="001551C6" w:rsidP="2337C34A" w:rsidRDefault="001551C6" w14:paraId="7A9BB5E4" w14:textId="680567EA">
      <w:pPr>
        <w:numPr>
          <w:ilvl w:val="0"/>
          <w:numId w:val="7"/>
        </w:numPr>
        <w:spacing w:before="100" w:beforeAutospacing="1"/>
        <w:rPr>
          <w:i/>
          <w:iCs/>
          <w:color w:val="000000" w:themeColor="text1"/>
          <w:sz w:val="28"/>
          <w:szCs w:val="28"/>
        </w:rPr>
      </w:pPr>
      <w:r w:rsidRPr="0088480E">
        <w:rPr>
          <w:i/>
          <w:iCs/>
          <w:color w:val="000000" w:themeColor="text1"/>
          <w:sz w:val="28"/>
          <w:szCs w:val="28"/>
        </w:rPr>
        <w:t>Describe the hour time burden and the hour cost burden on the respondent needed to complete this collection</w:t>
      </w:r>
    </w:p>
    <w:p w:rsidRPr="0088480E" w:rsidR="008C6B47" w:rsidP="435BCE3A" w:rsidRDefault="008C6B47" w14:paraId="429DD328" w14:textId="79A8589B">
      <w:pPr>
        <w:spacing w:before="100" w:beforeAutospacing="1" w:after="0"/>
      </w:pPr>
      <w:r w:rsidRPr="0088480E">
        <w:t xml:space="preserve">The total estimated hour burden for this data collection is </w:t>
      </w:r>
      <w:r w:rsidRPr="0088480E" w:rsidR="00AE4679">
        <w:t>9</w:t>
      </w:r>
      <w:r w:rsidRPr="0088480E" w:rsidR="6EE10259">
        <w:t>,</w:t>
      </w:r>
      <w:r w:rsidRPr="0088480E" w:rsidR="00AE4679">
        <w:t>93</w:t>
      </w:r>
      <w:r w:rsidRPr="0088480E" w:rsidR="008E04BF">
        <w:t>7</w:t>
      </w:r>
      <w:r w:rsidRPr="0088480E" w:rsidR="3651BA0C">
        <w:t xml:space="preserve"> </w:t>
      </w:r>
      <w:r w:rsidRPr="0088480E">
        <w:t>hours, broken down as follows</w:t>
      </w:r>
      <w:r w:rsidRPr="0088480E" w:rsidR="00830835">
        <w:t xml:space="preserve"> in Table 1. </w:t>
      </w:r>
    </w:p>
    <w:p w:rsidRPr="0088480E" w:rsidR="00830835" w:rsidP="2337C34A" w:rsidRDefault="00830835" w14:paraId="1D0683FB" w14:textId="18099220">
      <w:pPr>
        <w:spacing w:before="100" w:beforeAutospacing="1" w:after="0"/>
      </w:pPr>
      <w:r w:rsidRPr="0088480E">
        <w:t xml:space="preserve">Table 1. </w:t>
      </w:r>
      <w:r w:rsidRPr="0088480E" w:rsidR="456A357A">
        <w:t xml:space="preserve">Annual </w:t>
      </w:r>
      <w:r w:rsidRPr="0088480E">
        <w:t>Hour Time Burden for Respondents</w:t>
      </w:r>
      <w:r w:rsidRPr="0088480E" w:rsidR="6F58D906">
        <w:t xml:space="preserve"> to MODE surveys</w:t>
      </w:r>
      <w:r w:rsidRPr="0088480E" w:rsidR="7149AF94">
        <w:t xml:space="preserve"> </w:t>
      </w:r>
    </w:p>
    <w:tbl>
      <w:tblPr>
        <w:tblStyle w:val="TableGrid"/>
        <w:tblW w:w="0" w:type="auto"/>
        <w:tblLayout w:type="fixed"/>
        <w:tblLook w:val="06A0" w:firstRow="1" w:lastRow="0" w:firstColumn="1" w:lastColumn="0" w:noHBand="1" w:noVBand="1"/>
      </w:tblPr>
      <w:tblGrid>
        <w:gridCol w:w="2340"/>
        <w:gridCol w:w="2340"/>
        <w:gridCol w:w="2340"/>
        <w:gridCol w:w="2340"/>
      </w:tblGrid>
      <w:tr w:rsidRPr="0088480E" w:rsidR="2337C34A" w:rsidTr="435BCE3A" w14:paraId="1A9B9E76" w14:textId="77777777">
        <w:tc>
          <w:tcPr>
            <w:tcW w:w="2340" w:type="dxa"/>
          </w:tcPr>
          <w:p w:rsidRPr="0088480E" w:rsidR="2337C34A" w:rsidP="2337C34A" w:rsidRDefault="2337C34A" w14:paraId="3F40F4B6" w14:textId="3DB38A83">
            <w:pPr>
              <w:rPr>
                <w:b/>
                <w:bCs/>
                <w:sz w:val="20"/>
              </w:rPr>
            </w:pPr>
            <w:r w:rsidRPr="0088480E">
              <w:rPr>
                <w:b/>
                <w:bCs/>
                <w:sz w:val="20"/>
              </w:rPr>
              <w:t>Respondent Instrument</w:t>
            </w:r>
          </w:p>
        </w:tc>
        <w:tc>
          <w:tcPr>
            <w:tcW w:w="2340" w:type="dxa"/>
          </w:tcPr>
          <w:p w:rsidRPr="0088480E" w:rsidR="2337C34A" w:rsidP="2337C34A" w:rsidRDefault="2337C34A" w14:paraId="3E3C67DA" w14:textId="20767322">
            <w:pPr>
              <w:rPr>
                <w:sz w:val="20"/>
              </w:rPr>
            </w:pPr>
            <w:r w:rsidRPr="0088480E">
              <w:rPr>
                <w:b/>
                <w:bCs/>
                <w:sz w:val="20"/>
              </w:rPr>
              <w:t>Estimated Number of Respondents</w:t>
            </w:r>
            <w:r w:rsidRPr="0088480E">
              <w:rPr>
                <w:sz w:val="20"/>
              </w:rPr>
              <w:t xml:space="preserve"> </w:t>
            </w:r>
          </w:p>
        </w:tc>
        <w:tc>
          <w:tcPr>
            <w:tcW w:w="2340" w:type="dxa"/>
          </w:tcPr>
          <w:p w:rsidRPr="0088480E" w:rsidR="2337C34A" w:rsidP="2337C34A" w:rsidRDefault="2337C34A" w14:paraId="4A20C19F" w14:textId="39361DD6">
            <w:pPr>
              <w:rPr>
                <w:sz w:val="20"/>
              </w:rPr>
            </w:pPr>
            <w:r w:rsidRPr="0088480E">
              <w:rPr>
                <w:b/>
                <w:bCs/>
                <w:sz w:val="20"/>
              </w:rPr>
              <w:t>Average Time per Response</w:t>
            </w:r>
            <w:r w:rsidRPr="0088480E">
              <w:rPr>
                <w:sz w:val="20"/>
              </w:rPr>
              <w:t xml:space="preserve"> </w:t>
            </w:r>
          </w:p>
        </w:tc>
        <w:tc>
          <w:tcPr>
            <w:tcW w:w="2340" w:type="dxa"/>
          </w:tcPr>
          <w:p w:rsidRPr="0088480E" w:rsidR="2337C34A" w:rsidP="2337C34A" w:rsidRDefault="2337C34A" w14:paraId="44480E2C" w14:textId="0BD51AB1">
            <w:pPr>
              <w:rPr>
                <w:sz w:val="20"/>
              </w:rPr>
            </w:pPr>
            <w:r w:rsidRPr="0088480E">
              <w:rPr>
                <w:b/>
                <w:bCs/>
                <w:sz w:val="20"/>
              </w:rPr>
              <w:t>Total Estimated Burden Time</w:t>
            </w:r>
            <w:r w:rsidRPr="0088480E">
              <w:rPr>
                <w:sz w:val="20"/>
              </w:rPr>
              <w:t xml:space="preserve"> </w:t>
            </w:r>
          </w:p>
        </w:tc>
      </w:tr>
      <w:tr w:rsidRPr="0088480E" w:rsidR="2337C34A" w:rsidTr="435BCE3A" w14:paraId="7E8EA2C9" w14:textId="77777777">
        <w:tc>
          <w:tcPr>
            <w:tcW w:w="2340" w:type="dxa"/>
          </w:tcPr>
          <w:p w:rsidRPr="0088480E" w:rsidR="2337C34A" w:rsidP="2337C34A" w:rsidRDefault="2337C34A" w14:paraId="65891E3D" w14:textId="0AE4052E">
            <w:pPr>
              <w:rPr>
                <w:b/>
                <w:bCs/>
                <w:sz w:val="20"/>
              </w:rPr>
            </w:pPr>
            <w:r w:rsidRPr="0088480E">
              <w:rPr>
                <w:b/>
                <w:bCs/>
                <w:sz w:val="20"/>
              </w:rPr>
              <w:lastRenderedPageBreak/>
              <w:t xml:space="preserve">Post-Program Survey(s) </w:t>
            </w:r>
          </w:p>
        </w:tc>
        <w:tc>
          <w:tcPr>
            <w:tcW w:w="2340" w:type="dxa"/>
          </w:tcPr>
          <w:p w:rsidRPr="0088480E" w:rsidR="2337C34A" w:rsidP="435BCE3A" w:rsidRDefault="14F2F231" w14:paraId="0EDEB710" w14:textId="6C0FC87C">
            <w:pPr>
              <w:jc w:val="center"/>
              <w:rPr>
                <w:b/>
                <w:bCs/>
                <w:sz w:val="20"/>
              </w:rPr>
            </w:pPr>
            <w:r w:rsidRPr="0088480E">
              <w:rPr>
                <w:b/>
                <w:bCs/>
                <w:sz w:val="20"/>
              </w:rPr>
              <w:t>50,532</w:t>
            </w:r>
          </w:p>
          <w:p w:rsidRPr="0088480E" w:rsidR="4182A2AE" w:rsidP="2337C34A" w:rsidRDefault="2158D58F" w14:paraId="284A4BF7" w14:textId="51128022">
            <w:pPr>
              <w:jc w:val="center"/>
              <w:rPr>
                <w:sz w:val="20"/>
              </w:rPr>
            </w:pPr>
            <w:r w:rsidRPr="0088480E">
              <w:rPr>
                <w:b/>
                <w:bCs/>
                <w:sz w:val="20"/>
              </w:rPr>
              <w:t>(</w:t>
            </w:r>
            <w:r w:rsidRPr="0088480E">
              <w:rPr>
                <w:sz w:val="20"/>
              </w:rPr>
              <w:t>75.77% represents ECA's historic</w:t>
            </w:r>
            <w:r w:rsidRPr="0088480E" w:rsidR="2FC0C7BC">
              <w:rPr>
                <w:sz w:val="20"/>
              </w:rPr>
              <w:t xml:space="preserve"> average</w:t>
            </w:r>
            <w:r w:rsidRPr="0088480E">
              <w:rPr>
                <w:sz w:val="20"/>
              </w:rPr>
              <w:t xml:space="preserve"> response rates for post-program surveys)</w:t>
            </w:r>
          </w:p>
        </w:tc>
        <w:tc>
          <w:tcPr>
            <w:tcW w:w="2340" w:type="dxa"/>
          </w:tcPr>
          <w:p w:rsidRPr="0088480E" w:rsidR="2337C34A" w:rsidP="435BCE3A" w:rsidRDefault="4A052A8A" w14:paraId="63D6AB69" w14:textId="4D3776D6">
            <w:pPr>
              <w:jc w:val="center"/>
              <w:rPr>
                <w:b/>
                <w:bCs/>
                <w:sz w:val="20"/>
              </w:rPr>
            </w:pPr>
            <w:r w:rsidRPr="0088480E">
              <w:rPr>
                <w:sz w:val="20"/>
              </w:rPr>
              <w:t>8 min</w:t>
            </w:r>
          </w:p>
        </w:tc>
        <w:tc>
          <w:tcPr>
            <w:tcW w:w="2340" w:type="dxa"/>
          </w:tcPr>
          <w:p w:rsidRPr="0088480E" w:rsidR="2337C34A" w:rsidP="435BCE3A" w:rsidRDefault="14F2F231" w14:paraId="5B9BA187" w14:textId="6EC79B3F">
            <w:pPr>
              <w:jc w:val="center"/>
              <w:rPr>
                <w:sz w:val="20"/>
              </w:rPr>
            </w:pPr>
            <w:r w:rsidRPr="0088480E">
              <w:rPr>
                <w:sz w:val="20"/>
              </w:rPr>
              <w:t xml:space="preserve"> </w:t>
            </w:r>
            <w:r w:rsidRPr="0088480E" w:rsidR="6A5264FA">
              <w:rPr>
                <w:sz w:val="20"/>
              </w:rPr>
              <w:t>6,738 hours</w:t>
            </w:r>
          </w:p>
        </w:tc>
      </w:tr>
      <w:tr w:rsidRPr="0088480E" w:rsidR="2337C34A" w:rsidTr="435BCE3A" w14:paraId="15E36BC7" w14:textId="77777777">
        <w:tc>
          <w:tcPr>
            <w:tcW w:w="2340" w:type="dxa"/>
          </w:tcPr>
          <w:p w:rsidRPr="0088480E" w:rsidR="2337C34A" w:rsidP="2337C34A" w:rsidRDefault="2337C34A" w14:paraId="4DE2F514" w14:textId="0D5D2837">
            <w:pPr>
              <w:rPr>
                <w:b/>
                <w:bCs/>
                <w:sz w:val="20"/>
              </w:rPr>
            </w:pPr>
            <w:r w:rsidRPr="0088480E">
              <w:rPr>
                <w:b/>
                <w:bCs/>
                <w:sz w:val="20"/>
              </w:rPr>
              <w:t xml:space="preserve">Alumni Survey(s) </w:t>
            </w:r>
          </w:p>
        </w:tc>
        <w:tc>
          <w:tcPr>
            <w:tcW w:w="2340" w:type="dxa"/>
          </w:tcPr>
          <w:p w:rsidRPr="0088480E" w:rsidR="2337C34A" w:rsidP="435BCE3A" w:rsidRDefault="14F2F231" w14:paraId="3B67931F" w14:textId="352D54E3">
            <w:pPr>
              <w:jc w:val="center"/>
              <w:rPr>
                <w:sz w:val="20"/>
              </w:rPr>
            </w:pPr>
            <w:r w:rsidRPr="0088480E">
              <w:rPr>
                <w:sz w:val="20"/>
              </w:rPr>
              <w:t>6,063</w:t>
            </w:r>
          </w:p>
          <w:p w:rsidRPr="0088480E" w:rsidR="31198584" w:rsidP="2337C34A" w:rsidRDefault="467F89A3" w14:paraId="51FEBA6B" w14:textId="4F9E536B">
            <w:pPr>
              <w:jc w:val="center"/>
              <w:rPr>
                <w:sz w:val="20"/>
              </w:rPr>
            </w:pPr>
            <w:r w:rsidRPr="0088480E">
              <w:rPr>
                <w:sz w:val="20"/>
              </w:rPr>
              <w:t xml:space="preserve">(44.61% represents ECA's historic </w:t>
            </w:r>
            <w:r w:rsidRPr="0088480E" w:rsidR="565D192F">
              <w:rPr>
                <w:sz w:val="20"/>
              </w:rPr>
              <w:t xml:space="preserve">average </w:t>
            </w:r>
            <w:r w:rsidRPr="0088480E">
              <w:rPr>
                <w:sz w:val="20"/>
              </w:rPr>
              <w:t>response rates for alumni surveys)</w:t>
            </w:r>
          </w:p>
        </w:tc>
        <w:tc>
          <w:tcPr>
            <w:tcW w:w="2340" w:type="dxa"/>
          </w:tcPr>
          <w:p w:rsidRPr="0088480E" w:rsidR="2337C34A" w:rsidP="2337C34A" w:rsidRDefault="2337C34A" w14:paraId="6E654048" w14:textId="393EBC47">
            <w:pPr>
              <w:jc w:val="center"/>
              <w:rPr>
                <w:sz w:val="20"/>
              </w:rPr>
            </w:pPr>
            <w:r w:rsidRPr="0088480E">
              <w:rPr>
                <w:sz w:val="20"/>
              </w:rPr>
              <w:t>30 min</w:t>
            </w:r>
          </w:p>
        </w:tc>
        <w:tc>
          <w:tcPr>
            <w:tcW w:w="2340" w:type="dxa"/>
          </w:tcPr>
          <w:p w:rsidRPr="0088480E" w:rsidR="2337C34A" w:rsidP="2337C34A" w:rsidRDefault="2337C34A" w14:paraId="680DF304" w14:textId="17CEF2B3">
            <w:pPr>
              <w:jc w:val="center"/>
              <w:rPr>
                <w:sz w:val="20"/>
              </w:rPr>
            </w:pPr>
            <w:r w:rsidRPr="0088480E">
              <w:rPr>
                <w:sz w:val="20"/>
              </w:rPr>
              <w:t xml:space="preserve"> </w:t>
            </w:r>
            <w:r w:rsidRPr="0088480E" w:rsidR="00AE4679">
              <w:rPr>
                <w:sz w:val="20"/>
              </w:rPr>
              <w:t>3,032</w:t>
            </w:r>
            <w:r w:rsidRPr="0088480E">
              <w:rPr>
                <w:sz w:val="20"/>
              </w:rPr>
              <w:t xml:space="preserve"> hours</w:t>
            </w:r>
          </w:p>
        </w:tc>
      </w:tr>
      <w:tr w:rsidRPr="0088480E" w:rsidR="2337C34A" w:rsidTr="435BCE3A" w14:paraId="2A2E9A4A" w14:textId="77777777">
        <w:tc>
          <w:tcPr>
            <w:tcW w:w="2340" w:type="dxa"/>
          </w:tcPr>
          <w:p w:rsidRPr="0088480E" w:rsidR="2337C34A" w:rsidP="2337C34A" w:rsidRDefault="2337C34A" w14:paraId="3B7AE0BC" w14:textId="3004DEEB">
            <w:pPr>
              <w:rPr>
                <w:b/>
                <w:bCs/>
                <w:sz w:val="20"/>
              </w:rPr>
            </w:pPr>
            <w:r w:rsidRPr="0088480E">
              <w:rPr>
                <w:b/>
                <w:bCs/>
                <w:sz w:val="20"/>
              </w:rPr>
              <w:t xml:space="preserve">Host Community Member Survey(s) </w:t>
            </w:r>
          </w:p>
        </w:tc>
        <w:tc>
          <w:tcPr>
            <w:tcW w:w="2340" w:type="dxa"/>
          </w:tcPr>
          <w:p w:rsidRPr="0088480E" w:rsidR="2337C34A" w:rsidP="1511A3AB" w:rsidRDefault="23C2A2AA" w14:paraId="5CCA71FB" w14:textId="25DA750D">
            <w:pPr>
              <w:jc w:val="center"/>
              <w:rPr>
                <w:sz w:val="20"/>
              </w:rPr>
            </w:pPr>
            <w:r w:rsidRPr="0088480E">
              <w:rPr>
                <w:sz w:val="20"/>
              </w:rPr>
              <w:t>500</w:t>
            </w:r>
            <w:r w:rsidRPr="0088480E" w:rsidR="2337C34A">
              <w:rPr>
                <w:rStyle w:val="FootnoteReference"/>
                <w:sz w:val="20"/>
              </w:rPr>
              <w:footnoteReference w:id="3"/>
            </w:r>
          </w:p>
        </w:tc>
        <w:tc>
          <w:tcPr>
            <w:tcW w:w="2340" w:type="dxa"/>
          </w:tcPr>
          <w:p w:rsidRPr="0088480E" w:rsidR="2337C34A" w:rsidP="2337C34A" w:rsidRDefault="2337C34A" w14:paraId="4EF9AE05" w14:textId="4978051D">
            <w:pPr>
              <w:jc w:val="center"/>
              <w:rPr>
                <w:sz w:val="20"/>
              </w:rPr>
            </w:pPr>
            <w:r w:rsidRPr="0088480E">
              <w:rPr>
                <w:sz w:val="20"/>
              </w:rPr>
              <w:t>20 min</w:t>
            </w:r>
          </w:p>
        </w:tc>
        <w:tc>
          <w:tcPr>
            <w:tcW w:w="2340" w:type="dxa"/>
          </w:tcPr>
          <w:p w:rsidRPr="0088480E" w:rsidR="2337C34A" w:rsidP="2337C34A" w:rsidRDefault="6FDADCB0" w14:paraId="3C121A84" w14:textId="3C6C234F">
            <w:pPr>
              <w:jc w:val="center"/>
              <w:rPr>
                <w:sz w:val="20"/>
              </w:rPr>
            </w:pPr>
            <w:r w:rsidRPr="0088480E">
              <w:rPr>
                <w:sz w:val="20"/>
              </w:rPr>
              <w:t>167</w:t>
            </w:r>
          </w:p>
        </w:tc>
      </w:tr>
      <w:tr w:rsidRPr="0088480E" w:rsidR="2337C34A" w:rsidTr="435BCE3A" w14:paraId="668894AF" w14:textId="77777777">
        <w:tc>
          <w:tcPr>
            <w:tcW w:w="2340" w:type="dxa"/>
          </w:tcPr>
          <w:p w:rsidRPr="0088480E" w:rsidR="2337C34A" w:rsidP="435BCE3A" w:rsidRDefault="14F2F231" w14:paraId="036D67FC" w14:textId="45B09BD5">
            <w:pPr>
              <w:rPr>
                <w:b/>
                <w:bCs/>
                <w:sz w:val="20"/>
              </w:rPr>
            </w:pPr>
            <w:r w:rsidRPr="0088480E">
              <w:rPr>
                <w:b/>
                <w:bCs/>
                <w:sz w:val="20"/>
              </w:rPr>
              <w:t>Total Estimated Burden Time</w:t>
            </w:r>
          </w:p>
        </w:tc>
        <w:tc>
          <w:tcPr>
            <w:tcW w:w="2340" w:type="dxa"/>
          </w:tcPr>
          <w:p w:rsidRPr="0088480E" w:rsidR="2337C34A" w:rsidP="2337C34A" w:rsidRDefault="007A20E9" w14:paraId="6168C5FC" w14:textId="01C894B3">
            <w:pPr>
              <w:jc w:val="center"/>
              <w:rPr>
                <w:b/>
                <w:bCs/>
                <w:sz w:val="20"/>
              </w:rPr>
            </w:pPr>
            <w:r>
              <w:rPr>
                <w:b/>
                <w:bCs/>
                <w:sz w:val="20"/>
              </w:rPr>
              <w:t>57,0</w:t>
            </w:r>
            <w:r w:rsidRPr="0088480E" w:rsidR="2337C34A">
              <w:rPr>
                <w:b/>
                <w:bCs/>
                <w:sz w:val="20"/>
              </w:rPr>
              <w:t>95</w:t>
            </w:r>
          </w:p>
        </w:tc>
        <w:tc>
          <w:tcPr>
            <w:tcW w:w="2340" w:type="dxa"/>
          </w:tcPr>
          <w:p w:rsidRPr="0088480E" w:rsidR="2337C34A" w:rsidP="2337C34A" w:rsidRDefault="2337C34A" w14:paraId="5EECA486" w14:textId="171B51D3">
            <w:pPr>
              <w:jc w:val="center"/>
              <w:rPr>
                <w:b/>
                <w:bCs/>
                <w:sz w:val="20"/>
              </w:rPr>
            </w:pPr>
          </w:p>
        </w:tc>
        <w:tc>
          <w:tcPr>
            <w:tcW w:w="2340" w:type="dxa"/>
          </w:tcPr>
          <w:p w:rsidRPr="0088480E" w:rsidR="2337C34A" w:rsidP="00AE4679" w:rsidRDefault="14F2F231" w14:paraId="4357A97F" w14:textId="4C4D2ACF">
            <w:pPr>
              <w:jc w:val="center"/>
              <w:rPr>
                <w:b/>
                <w:bCs/>
                <w:sz w:val="20"/>
              </w:rPr>
            </w:pPr>
            <w:r w:rsidRPr="0088480E">
              <w:rPr>
                <w:b/>
                <w:bCs/>
                <w:sz w:val="20"/>
              </w:rPr>
              <w:t xml:space="preserve"> </w:t>
            </w:r>
            <w:r w:rsidRPr="0088480E" w:rsidR="00AE4679">
              <w:rPr>
                <w:b/>
                <w:bCs/>
                <w:sz w:val="20"/>
              </w:rPr>
              <w:t>9</w:t>
            </w:r>
            <w:r w:rsidRPr="0088480E">
              <w:rPr>
                <w:b/>
                <w:bCs/>
                <w:sz w:val="20"/>
              </w:rPr>
              <w:t>,</w:t>
            </w:r>
            <w:r w:rsidRPr="0088480E" w:rsidR="008E04BF">
              <w:rPr>
                <w:b/>
                <w:bCs/>
                <w:sz w:val="20"/>
              </w:rPr>
              <w:t>937</w:t>
            </w:r>
            <w:r w:rsidRPr="0088480E" w:rsidR="2903F15A">
              <w:rPr>
                <w:b/>
                <w:bCs/>
                <w:sz w:val="20"/>
              </w:rPr>
              <w:t xml:space="preserve"> hours</w:t>
            </w:r>
          </w:p>
        </w:tc>
      </w:tr>
    </w:tbl>
    <w:p w:rsidRPr="0088480E" w:rsidR="7BC762D3" w:rsidP="00AB54AE" w:rsidRDefault="338B4729" w14:paraId="43A2ECC5" w14:textId="7A30F9E1">
      <w:pPr>
        <w:spacing w:before="100" w:beforeAutospacing="1" w:after="0"/>
      </w:pPr>
      <w:r w:rsidRPr="0088480E">
        <w:t>The average times were calculated based on estimated times from similar survey question lengths.</w:t>
      </w:r>
      <w:r w:rsidRPr="0088480E" w:rsidR="778CE899">
        <w:t xml:space="preserve"> </w:t>
      </w:r>
      <w:r w:rsidRPr="0088480E">
        <w:rPr>
          <w:rStyle w:val="FootnoteReference"/>
        </w:rPr>
        <w:footnoteReference w:id="4"/>
      </w:r>
      <w:r w:rsidRPr="0088480E" w:rsidR="008C6B47">
        <w:t xml:space="preserve">  </w:t>
      </w:r>
    </w:p>
    <w:p w:rsidRPr="0088480E" w:rsidR="008C6B47" w:rsidP="2337C34A" w:rsidRDefault="008C6B47" w14:paraId="47AE7606" w14:textId="77777777">
      <w:pPr>
        <w:pStyle w:val="Heading3"/>
        <w:spacing w:before="100" w:beforeAutospacing="1"/>
        <w:rPr>
          <w:rFonts w:ascii="Times New Roman" w:hAnsi="Times New Roman" w:eastAsia="Times New Roman" w:cs="Times New Roman"/>
          <w:color w:val="auto"/>
        </w:rPr>
      </w:pPr>
      <w:bookmarkStart w:name="_Toc535591061" w:id="0"/>
      <w:bookmarkStart w:name="_Toc535592804" w:id="1"/>
      <w:bookmarkStart w:name="_Toc535593086" w:id="2"/>
      <w:r w:rsidRPr="0088480E">
        <w:rPr>
          <w:rFonts w:ascii="Times New Roman" w:hAnsi="Times New Roman" w:eastAsia="Times New Roman" w:cs="Times New Roman"/>
          <w:b/>
          <w:bCs/>
          <w:color w:val="auto"/>
        </w:rPr>
        <w:t>Time Cost to Respondents</w:t>
      </w:r>
      <w:r w:rsidRPr="0088480E">
        <w:rPr>
          <w:rFonts w:ascii="Times New Roman" w:hAnsi="Times New Roman" w:eastAsia="Times New Roman" w:cs="Times New Roman"/>
          <w:color w:val="auto"/>
        </w:rPr>
        <w:t xml:space="preserve"> </w:t>
      </w:r>
      <w:bookmarkEnd w:id="0"/>
      <w:bookmarkEnd w:id="1"/>
      <w:bookmarkEnd w:id="2"/>
    </w:p>
    <w:p w:rsidRPr="0088480E" w:rsidR="435BCE3A" w:rsidP="00AB54AE" w:rsidRDefault="008C6B47" w14:paraId="5DBB090F" w14:textId="38803D99">
      <w:pPr>
        <w:spacing w:before="100" w:beforeAutospacing="1" w:after="0"/>
      </w:pPr>
      <w:r w:rsidRPr="0088480E">
        <w:t>Most respondents (alumni and</w:t>
      </w:r>
      <w:r w:rsidRPr="0088480E" w:rsidR="2D8C5489">
        <w:t xml:space="preserve"> host community members</w:t>
      </w:r>
      <w:r w:rsidRPr="0088480E">
        <w:t>) will respond as individuals, and the cost to them is the opportunity cost if they were to undertake paid work for the time that they spend responding to surveys.  Therefore, the cost estimate for these groups is based on the Bureau of Labor Statistics May 201</w:t>
      </w:r>
      <w:r w:rsidRPr="0088480E" w:rsidR="2400F2BB">
        <w:t>9</w:t>
      </w:r>
      <w:r w:rsidRPr="0088480E">
        <w:t xml:space="preserve"> National Occupational Employment and Wage Estimates</w:t>
      </w:r>
      <w:r w:rsidRPr="0088480E">
        <w:rPr>
          <w:rStyle w:val="FootnoteReference"/>
        </w:rPr>
        <w:footnoteReference w:id="5"/>
      </w:r>
      <w:r w:rsidRPr="0088480E">
        <w:t xml:space="preserve"> national wages (as alumni and </w:t>
      </w:r>
      <w:r w:rsidRPr="0088480E" w:rsidR="7EC93195">
        <w:t xml:space="preserve">host community members </w:t>
      </w:r>
      <w:r w:rsidRPr="0088480E">
        <w:t xml:space="preserve">are spread across the country), with the </w:t>
      </w:r>
      <w:r w:rsidRPr="0088480E" w:rsidR="40D496C9">
        <w:t xml:space="preserve">participants and/or </w:t>
      </w:r>
      <w:r w:rsidRPr="0088480E">
        <w:t>alumni (as students or entry-level professionals in most cases and therefore using the “Life, Physical, and Social Scientist Technicians” category) rate of $</w:t>
      </w:r>
      <w:r w:rsidRPr="0088480E" w:rsidR="123FC7E6">
        <w:t>38</w:t>
      </w:r>
      <w:r w:rsidRPr="0088480E">
        <w:t>.4</w:t>
      </w:r>
      <w:r w:rsidRPr="0088480E" w:rsidR="1C4ADB74">
        <w:t>0</w:t>
      </w:r>
      <w:r w:rsidRPr="0088480E">
        <w:t xml:space="preserve"> (201</w:t>
      </w:r>
      <w:r w:rsidRPr="0088480E" w:rsidR="52A01061">
        <w:t>9</w:t>
      </w:r>
      <w:r w:rsidRPr="0088480E">
        <w:t xml:space="preserve"> mean hourly wage of $</w:t>
      </w:r>
      <w:r w:rsidRPr="0088480E" w:rsidR="3DAB80EF">
        <w:t>37.28</w:t>
      </w:r>
      <w:r w:rsidRPr="0088480E">
        <w:t xml:space="preserve"> inflated by 3% for 20</w:t>
      </w:r>
      <w:r w:rsidRPr="0088480E" w:rsidR="3093AD53">
        <w:t>20</w:t>
      </w:r>
      <w:r w:rsidRPr="0088480E">
        <w:t xml:space="preserve"> and 20</w:t>
      </w:r>
      <w:r w:rsidRPr="0088480E" w:rsidR="5C7BAAEC">
        <w:t>2</w:t>
      </w:r>
      <w:r w:rsidRPr="0088480E" w:rsidR="7886F9DC">
        <w:t>1</w:t>
      </w:r>
      <w:r w:rsidRPr="0088480E">
        <w:t>).</w:t>
      </w:r>
      <w:r w:rsidRPr="0088480E">
        <w:rPr>
          <w:rStyle w:val="FootnoteReference"/>
        </w:rPr>
        <w:footnoteReference w:id="6"/>
      </w:r>
      <w:r w:rsidRPr="0088480E">
        <w:t xml:space="preserve"> </w:t>
      </w:r>
      <w:r w:rsidRPr="0088480E" w:rsidR="6375EDB5">
        <w:t xml:space="preserve"> Given the diverse sectors and career levels within each of the </w:t>
      </w:r>
      <w:r w:rsidRPr="0088480E" w:rsidR="57CACB0D">
        <w:t xml:space="preserve">host community member </w:t>
      </w:r>
      <w:r w:rsidRPr="0088480E" w:rsidR="6375EDB5">
        <w:t>respondent group, a variety of representative occupations were selected from the Bureau of Labor Statistics’ data as proxies to represent potential respondent careers and sectors. Compensation estimates for proxies were then averaged</w:t>
      </w:r>
      <w:r w:rsidRPr="0088480E" w:rsidR="4F3E9193">
        <w:t xml:space="preserve"> </w:t>
      </w:r>
      <w:r w:rsidRPr="0088480E" w:rsidR="6101E90F">
        <w:t xml:space="preserve">for an hourly wage of $50.38 </w:t>
      </w:r>
      <w:r w:rsidRPr="0088480E" w:rsidR="4F3E9193">
        <w:t>and inflated by 3%</w:t>
      </w:r>
      <w:r w:rsidRPr="0088480E" w:rsidR="41F969EE">
        <w:t xml:space="preserve"> </w:t>
      </w:r>
      <w:r w:rsidRPr="0088480E" w:rsidR="015164D8">
        <w:t>to $51.89</w:t>
      </w:r>
      <w:r w:rsidRPr="0088480E" w:rsidR="6375EDB5">
        <w:rPr>
          <w:szCs w:val="24"/>
        </w:rPr>
        <w:t>.</w:t>
      </w:r>
      <w:r w:rsidRPr="0088480E" w:rsidR="601DF199">
        <w:t xml:space="preserve"> Table 2 highlights the estimate of overall respondent group hour and cost burden. Table 3 highlights the occupation proxies selected for this analysis.</w:t>
      </w:r>
    </w:p>
    <w:p w:rsidRPr="0088480E" w:rsidR="008C6B47" w:rsidP="435BCE3A" w:rsidRDefault="008C6B47" w14:paraId="0BB17167" w14:textId="1F56EEF5">
      <w:pPr>
        <w:spacing w:beforeAutospacing="1" w:after="0"/>
      </w:pPr>
      <w:r w:rsidRPr="0088480E">
        <w:t xml:space="preserve">Table </w:t>
      </w:r>
      <w:r w:rsidRPr="0088480E" w:rsidR="55A402FE">
        <w:t>2</w:t>
      </w:r>
      <w:r w:rsidRPr="0088480E">
        <w:t xml:space="preserve">. Estimate of </w:t>
      </w:r>
      <w:r w:rsidRPr="0088480E" w:rsidR="3EC23510">
        <w:t xml:space="preserve">Annual </w:t>
      </w:r>
      <w:r w:rsidRPr="0088480E">
        <w:t>Respondent Hour and Cost Burden</w:t>
      </w:r>
    </w:p>
    <w:tbl>
      <w:tblPr>
        <w:tblStyle w:val="TableGrid"/>
        <w:tblW w:w="0" w:type="auto"/>
        <w:tblLayout w:type="fixed"/>
        <w:tblLook w:val="06A0" w:firstRow="1" w:lastRow="0" w:firstColumn="1" w:lastColumn="0" w:noHBand="1" w:noVBand="1"/>
      </w:tblPr>
      <w:tblGrid>
        <w:gridCol w:w="2340"/>
        <w:gridCol w:w="2340"/>
        <w:gridCol w:w="2340"/>
        <w:gridCol w:w="2340"/>
      </w:tblGrid>
      <w:tr w:rsidRPr="0088480E" w:rsidR="2337C34A" w:rsidTr="435BCE3A" w14:paraId="709C6EC1" w14:textId="77777777">
        <w:tc>
          <w:tcPr>
            <w:tcW w:w="2340" w:type="dxa"/>
          </w:tcPr>
          <w:p w:rsidRPr="0088480E" w:rsidR="2337C34A" w:rsidP="2337C34A" w:rsidRDefault="2337C34A" w14:paraId="19BD75F4" w14:textId="514F08EE">
            <w:pPr>
              <w:rPr>
                <w:sz w:val="20"/>
              </w:rPr>
            </w:pPr>
            <w:r w:rsidRPr="0088480E">
              <w:rPr>
                <w:b/>
                <w:bCs/>
                <w:sz w:val="20"/>
              </w:rPr>
              <w:t>Respondent Group</w:t>
            </w:r>
            <w:r w:rsidRPr="0088480E">
              <w:rPr>
                <w:sz w:val="20"/>
              </w:rPr>
              <w:t xml:space="preserve"> </w:t>
            </w:r>
          </w:p>
        </w:tc>
        <w:tc>
          <w:tcPr>
            <w:tcW w:w="2340" w:type="dxa"/>
          </w:tcPr>
          <w:p w:rsidRPr="0088480E" w:rsidR="2337C34A" w:rsidP="2337C34A" w:rsidRDefault="2337C34A" w14:paraId="3F5AE7AE" w14:textId="0B4EBC99">
            <w:pPr>
              <w:rPr>
                <w:sz w:val="20"/>
              </w:rPr>
            </w:pPr>
            <w:r w:rsidRPr="0088480E">
              <w:rPr>
                <w:b/>
                <w:bCs/>
                <w:sz w:val="20"/>
              </w:rPr>
              <w:t>Total Estimated Hours</w:t>
            </w:r>
            <w:r w:rsidRPr="0088480E">
              <w:rPr>
                <w:sz w:val="20"/>
              </w:rPr>
              <w:t xml:space="preserve"> </w:t>
            </w:r>
          </w:p>
        </w:tc>
        <w:tc>
          <w:tcPr>
            <w:tcW w:w="2340" w:type="dxa"/>
          </w:tcPr>
          <w:p w:rsidRPr="0088480E" w:rsidR="2337C34A" w:rsidP="2337C34A" w:rsidRDefault="2337C34A" w14:paraId="6E07E383" w14:textId="29E72B00">
            <w:pPr>
              <w:rPr>
                <w:sz w:val="20"/>
              </w:rPr>
            </w:pPr>
            <w:r w:rsidRPr="0088480E">
              <w:rPr>
                <w:b/>
                <w:bCs/>
                <w:sz w:val="20"/>
              </w:rPr>
              <w:t>Hourly Cost Rate</w:t>
            </w:r>
            <w:r w:rsidRPr="0088480E">
              <w:rPr>
                <w:sz w:val="20"/>
              </w:rPr>
              <w:t xml:space="preserve"> </w:t>
            </w:r>
          </w:p>
        </w:tc>
        <w:tc>
          <w:tcPr>
            <w:tcW w:w="2340" w:type="dxa"/>
          </w:tcPr>
          <w:p w:rsidRPr="0088480E" w:rsidR="2337C34A" w:rsidP="2337C34A" w:rsidRDefault="2337C34A" w14:paraId="43C1E970" w14:textId="437855B3">
            <w:pPr>
              <w:rPr>
                <w:sz w:val="20"/>
              </w:rPr>
            </w:pPr>
            <w:r w:rsidRPr="0088480E">
              <w:rPr>
                <w:b/>
                <w:bCs/>
                <w:sz w:val="20"/>
              </w:rPr>
              <w:t>Total Cost Burden</w:t>
            </w:r>
            <w:r w:rsidRPr="0088480E">
              <w:rPr>
                <w:sz w:val="20"/>
              </w:rPr>
              <w:t xml:space="preserve"> </w:t>
            </w:r>
          </w:p>
        </w:tc>
      </w:tr>
      <w:tr w:rsidRPr="0088480E" w:rsidR="2337C34A" w:rsidTr="435BCE3A" w14:paraId="31FFAFD9" w14:textId="77777777">
        <w:tc>
          <w:tcPr>
            <w:tcW w:w="2340" w:type="dxa"/>
          </w:tcPr>
          <w:p w:rsidRPr="0088480E" w:rsidR="2337C34A" w:rsidP="2337C34A" w:rsidRDefault="2337C34A" w14:paraId="011C9EB8" w14:textId="01B857B4">
            <w:pPr>
              <w:rPr>
                <w:sz w:val="20"/>
              </w:rPr>
            </w:pPr>
            <w:r w:rsidRPr="0088480E">
              <w:rPr>
                <w:sz w:val="20"/>
              </w:rPr>
              <w:t>Post-Program Participants</w:t>
            </w:r>
          </w:p>
        </w:tc>
        <w:tc>
          <w:tcPr>
            <w:tcW w:w="2340" w:type="dxa"/>
          </w:tcPr>
          <w:p w:rsidRPr="0088480E" w:rsidR="2337C34A" w:rsidP="435BCE3A" w:rsidRDefault="4986A3C0" w14:paraId="76AE7C28" w14:textId="53ACDDD3">
            <w:r w:rsidRPr="0088480E">
              <w:rPr>
                <w:sz w:val="20"/>
              </w:rPr>
              <w:t>6,738</w:t>
            </w:r>
          </w:p>
        </w:tc>
        <w:tc>
          <w:tcPr>
            <w:tcW w:w="2340" w:type="dxa"/>
          </w:tcPr>
          <w:p w:rsidRPr="0088480E" w:rsidR="2337C34A" w:rsidP="2337C34A" w:rsidRDefault="2337C34A" w14:paraId="6BBDE19B" w14:textId="415C02D3">
            <w:pPr>
              <w:rPr>
                <w:sz w:val="20"/>
              </w:rPr>
            </w:pPr>
            <w:r w:rsidRPr="0088480E">
              <w:rPr>
                <w:sz w:val="20"/>
              </w:rPr>
              <w:t xml:space="preserve">$38.40 </w:t>
            </w:r>
          </w:p>
        </w:tc>
        <w:tc>
          <w:tcPr>
            <w:tcW w:w="2340" w:type="dxa"/>
          </w:tcPr>
          <w:p w:rsidRPr="0088480E" w:rsidR="2337C34A" w:rsidP="435BCE3A" w:rsidRDefault="14F2F231" w14:paraId="69FF6EE6" w14:textId="7F387313">
            <w:pPr>
              <w:rPr>
                <w:sz w:val="20"/>
              </w:rPr>
            </w:pPr>
            <w:r w:rsidRPr="0088480E">
              <w:rPr>
                <w:sz w:val="20"/>
              </w:rPr>
              <w:t xml:space="preserve"> </w:t>
            </w:r>
            <w:r w:rsidRPr="0088480E" w:rsidR="71192218">
              <w:rPr>
                <w:sz w:val="20"/>
              </w:rPr>
              <w:t>$</w:t>
            </w:r>
            <w:r w:rsidRPr="0088480E">
              <w:rPr>
                <w:sz w:val="20"/>
              </w:rPr>
              <w:t>2</w:t>
            </w:r>
            <w:r w:rsidRPr="0088480E" w:rsidR="2C50A83B">
              <w:rPr>
                <w:sz w:val="20"/>
              </w:rPr>
              <w:t>58</w:t>
            </w:r>
            <w:r w:rsidRPr="0088480E">
              <w:rPr>
                <w:sz w:val="20"/>
              </w:rPr>
              <w:t>,</w:t>
            </w:r>
            <w:r w:rsidRPr="0088480E" w:rsidR="0A87EF67">
              <w:rPr>
                <w:sz w:val="20"/>
              </w:rPr>
              <w:t>722</w:t>
            </w:r>
            <w:r w:rsidRPr="0088480E">
              <w:rPr>
                <w:sz w:val="20"/>
              </w:rPr>
              <w:t>.</w:t>
            </w:r>
            <w:r w:rsidRPr="0088480E" w:rsidR="3711B0BF">
              <w:rPr>
                <w:sz w:val="20"/>
              </w:rPr>
              <w:t>67</w:t>
            </w:r>
            <w:r w:rsidRPr="0088480E">
              <w:rPr>
                <w:sz w:val="20"/>
              </w:rPr>
              <w:t xml:space="preserve"> </w:t>
            </w:r>
          </w:p>
        </w:tc>
      </w:tr>
      <w:tr w:rsidRPr="0088480E" w:rsidR="2337C34A" w:rsidTr="435BCE3A" w14:paraId="04B16A7F" w14:textId="77777777">
        <w:tc>
          <w:tcPr>
            <w:tcW w:w="2340" w:type="dxa"/>
          </w:tcPr>
          <w:p w:rsidRPr="0088480E" w:rsidR="2337C34A" w:rsidP="2337C34A" w:rsidRDefault="2337C34A" w14:paraId="421C1F2A" w14:textId="0FE8DABF">
            <w:pPr>
              <w:rPr>
                <w:sz w:val="20"/>
              </w:rPr>
            </w:pPr>
            <w:r w:rsidRPr="0088480E">
              <w:rPr>
                <w:sz w:val="20"/>
              </w:rPr>
              <w:lastRenderedPageBreak/>
              <w:t>Alumni</w:t>
            </w:r>
          </w:p>
        </w:tc>
        <w:tc>
          <w:tcPr>
            <w:tcW w:w="2340" w:type="dxa"/>
          </w:tcPr>
          <w:p w:rsidRPr="0088480E" w:rsidR="2337C34A" w:rsidP="2337C34A" w:rsidRDefault="00AB54AE" w14:paraId="7C9F3DEA" w14:textId="0188891C">
            <w:pPr>
              <w:rPr>
                <w:sz w:val="20"/>
              </w:rPr>
            </w:pPr>
            <w:r w:rsidRPr="0088480E">
              <w:rPr>
                <w:sz w:val="20"/>
              </w:rPr>
              <w:t xml:space="preserve">3,032 </w:t>
            </w:r>
          </w:p>
        </w:tc>
        <w:tc>
          <w:tcPr>
            <w:tcW w:w="2340" w:type="dxa"/>
          </w:tcPr>
          <w:p w:rsidRPr="0088480E" w:rsidR="2337C34A" w:rsidP="2337C34A" w:rsidRDefault="2337C34A" w14:paraId="2D975DA7" w14:textId="5F8146E4">
            <w:pPr>
              <w:rPr>
                <w:sz w:val="20"/>
              </w:rPr>
            </w:pPr>
            <w:r w:rsidRPr="0088480E">
              <w:rPr>
                <w:sz w:val="20"/>
              </w:rPr>
              <w:t xml:space="preserve">$38.40 </w:t>
            </w:r>
          </w:p>
        </w:tc>
        <w:tc>
          <w:tcPr>
            <w:tcW w:w="2340" w:type="dxa"/>
          </w:tcPr>
          <w:p w:rsidRPr="0088480E" w:rsidR="2337C34A" w:rsidP="00781FE7" w:rsidRDefault="2337C34A" w14:paraId="03277654" w14:textId="14A27B7B">
            <w:pPr>
              <w:rPr>
                <w:sz w:val="20"/>
              </w:rPr>
            </w:pPr>
            <w:r w:rsidRPr="0088480E">
              <w:rPr>
                <w:sz w:val="20"/>
              </w:rPr>
              <w:t xml:space="preserve"> </w:t>
            </w:r>
            <w:r w:rsidRPr="0088480E" w:rsidR="461618B6">
              <w:rPr>
                <w:sz w:val="20"/>
              </w:rPr>
              <w:t>$</w:t>
            </w:r>
            <w:r w:rsidRPr="0088480E" w:rsidR="00783C44">
              <w:rPr>
                <w:sz w:val="20"/>
              </w:rPr>
              <w:t>116,428.80</w:t>
            </w:r>
          </w:p>
        </w:tc>
      </w:tr>
      <w:tr w:rsidRPr="0088480E" w:rsidR="2337C34A" w:rsidTr="435BCE3A" w14:paraId="73A1E88D" w14:textId="77777777">
        <w:tc>
          <w:tcPr>
            <w:tcW w:w="2340" w:type="dxa"/>
          </w:tcPr>
          <w:p w:rsidRPr="0088480E" w:rsidR="2337C34A" w:rsidP="2337C34A" w:rsidRDefault="2337C34A" w14:paraId="5F23FBBA" w14:textId="0CD3A891">
            <w:pPr>
              <w:rPr>
                <w:sz w:val="20"/>
              </w:rPr>
            </w:pPr>
            <w:r w:rsidRPr="0088480E">
              <w:rPr>
                <w:sz w:val="20"/>
              </w:rPr>
              <w:t>Host Community Members</w:t>
            </w:r>
          </w:p>
        </w:tc>
        <w:tc>
          <w:tcPr>
            <w:tcW w:w="2340" w:type="dxa"/>
          </w:tcPr>
          <w:p w:rsidRPr="0088480E" w:rsidR="2337C34A" w:rsidP="1511A3AB" w:rsidRDefault="5E213473" w14:paraId="687CD5B4" w14:textId="00B72ADB">
            <w:r w:rsidRPr="0088480E">
              <w:rPr>
                <w:sz w:val="20"/>
              </w:rPr>
              <w:t>167</w:t>
            </w:r>
          </w:p>
        </w:tc>
        <w:tc>
          <w:tcPr>
            <w:tcW w:w="2340" w:type="dxa"/>
          </w:tcPr>
          <w:p w:rsidRPr="0088480E" w:rsidR="1C396D06" w:rsidP="435BCE3A" w:rsidRDefault="1C5F026B" w14:paraId="60A2A314" w14:textId="6D7BD68E">
            <w:pPr>
              <w:rPr>
                <w:sz w:val="20"/>
              </w:rPr>
            </w:pPr>
            <w:r w:rsidRPr="0088480E">
              <w:rPr>
                <w:sz w:val="20"/>
              </w:rPr>
              <w:t>$</w:t>
            </w:r>
            <w:r w:rsidRPr="0088480E" w:rsidR="14F2F231">
              <w:rPr>
                <w:sz w:val="20"/>
              </w:rPr>
              <w:t>51.89</w:t>
            </w:r>
          </w:p>
        </w:tc>
        <w:tc>
          <w:tcPr>
            <w:tcW w:w="2340" w:type="dxa"/>
          </w:tcPr>
          <w:p w:rsidRPr="0088480E" w:rsidR="2337C34A" w:rsidP="2337C34A" w:rsidRDefault="2337C34A" w14:paraId="2A509531" w14:textId="57620EED">
            <w:pPr>
              <w:rPr>
                <w:sz w:val="20"/>
              </w:rPr>
            </w:pPr>
            <w:r w:rsidRPr="0088480E">
              <w:rPr>
                <w:sz w:val="20"/>
              </w:rPr>
              <w:t xml:space="preserve"> </w:t>
            </w:r>
            <w:r w:rsidRPr="0088480E" w:rsidR="285086A1">
              <w:rPr>
                <w:sz w:val="20"/>
              </w:rPr>
              <w:t>$</w:t>
            </w:r>
            <w:r w:rsidRPr="0088480E" w:rsidR="422FE955">
              <w:rPr>
                <w:sz w:val="20"/>
              </w:rPr>
              <w:t>8,648</w:t>
            </w:r>
            <w:r w:rsidRPr="0088480E">
              <w:rPr>
                <w:sz w:val="20"/>
              </w:rPr>
              <w:t>.</w:t>
            </w:r>
            <w:r w:rsidRPr="0088480E" w:rsidR="63A102D8">
              <w:rPr>
                <w:sz w:val="20"/>
              </w:rPr>
              <w:t>91</w:t>
            </w:r>
            <w:r w:rsidRPr="0088480E">
              <w:rPr>
                <w:sz w:val="20"/>
              </w:rPr>
              <w:t xml:space="preserve"> </w:t>
            </w:r>
          </w:p>
        </w:tc>
      </w:tr>
      <w:tr w:rsidRPr="0088480E" w:rsidR="2337C34A" w:rsidTr="435BCE3A" w14:paraId="55E1A046" w14:textId="77777777">
        <w:tc>
          <w:tcPr>
            <w:tcW w:w="2340" w:type="dxa"/>
          </w:tcPr>
          <w:p w:rsidRPr="0088480E" w:rsidR="2337C34A" w:rsidP="2337C34A" w:rsidRDefault="2337C34A" w14:paraId="415A80D9" w14:textId="0B316FD3">
            <w:pPr>
              <w:rPr>
                <w:sz w:val="20"/>
              </w:rPr>
            </w:pPr>
            <w:r w:rsidRPr="0088480E">
              <w:rPr>
                <w:b/>
                <w:bCs/>
                <w:sz w:val="20"/>
              </w:rPr>
              <w:t xml:space="preserve">Total </w:t>
            </w:r>
            <w:r w:rsidRPr="0088480E">
              <w:rPr>
                <w:sz w:val="20"/>
              </w:rPr>
              <w:t xml:space="preserve"> </w:t>
            </w:r>
          </w:p>
        </w:tc>
        <w:tc>
          <w:tcPr>
            <w:tcW w:w="2340" w:type="dxa"/>
          </w:tcPr>
          <w:p w:rsidRPr="0088480E" w:rsidR="2337C34A" w:rsidP="435BCE3A" w:rsidRDefault="00781FE7" w14:paraId="5D052275" w14:textId="792FA4AE">
            <w:pPr>
              <w:rPr>
                <w:sz w:val="20"/>
              </w:rPr>
            </w:pPr>
            <w:r w:rsidRPr="0088480E">
              <w:rPr>
                <w:sz w:val="20"/>
              </w:rPr>
              <w:t>9,937</w:t>
            </w:r>
          </w:p>
        </w:tc>
        <w:tc>
          <w:tcPr>
            <w:tcW w:w="2340" w:type="dxa"/>
          </w:tcPr>
          <w:p w:rsidRPr="0088480E" w:rsidR="2337C34A" w:rsidP="2337C34A" w:rsidRDefault="2337C34A" w14:paraId="35EF0ADB" w14:textId="29347FB4">
            <w:pPr>
              <w:rPr>
                <w:sz w:val="20"/>
              </w:rPr>
            </w:pPr>
            <w:r w:rsidRPr="0088480E">
              <w:rPr>
                <w:sz w:val="20"/>
              </w:rPr>
              <w:t xml:space="preserve"> </w:t>
            </w:r>
          </w:p>
        </w:tc>
        <w:tc>
          <w:tcPr>
            <w:tcW w:w="2340" w:type="dxa"/>
          </w:tcPr>
          <w:p w:rsidRPr="0088480E" w:rsidR="2337C34A" w:rsidP="435BCE3A" w:rsidRDefault="14F2F231" w14:paraId="3154C4E5" w14:textId="326C1521">
            <w:pPr>
              <w:rPr>
                <w:sz w:val="20"/>
              </w:rPr>
            </w:pPr>
            <w:r w:rsidRPr="0088480E">
              <w:rPr>
                <w:sz w:val="20"/>
              </w:rPr>
              <w:t xml:space="preserve"> </w:t>
            </w:r>
            <w:r w:rsidRPr="0088480E" w:rsidR="6CC163F0">
              <w:rPr>
                <w:sz w:val="20"/>
              </w:rPr>
              <w:t>$</w:t>
            </w:r>
            <w:r w:rsidRPr="0088480E" w:rsidR="00783C44">
              <w:rPr>
                <w:sz w:val="20"/>
              </w:rPr>
              <w:t>383,800.38</w:t>
            </w:r>
          </w:p>
        </w:tc>
      </w:tr>
    </w:tbl>
    <w:p w:rsidRPr="0088480E" w:rsidR="435BCE3A" w:rsidP="435BCE3A" w:rsidRDefault="435BCE3A" w14:paraId="4A7B877F" w14:textId="1E04CCB1">
      <w:pPr>
        <w:spacing w:beforeAutospacing="1"/>
        <w:rPr>
          <w:color w:val="000000" w:themeColor="text1"/>
        </w:rPr>
      </w:pPr>
    </w:p>
    <w:p w:rsidRPr="0088480E" w:rsidR="008C6B47" w:rsidP="2337C34A" w:rsidRDefault="21672FEF" w14:paraId="616DBF3E" w14:textId="1CA7BA12">
      <w:pPr>
        <w:spacing w:before="100" w:beforeAutospacing="1"/>
        <w:rPr>
          <w:color w:val="000000" w:themeColor="text1"/>
          <w:szCs w:val="24"/>
        </w:rPr>
      </w:pPr>
      <w:r w:rsidRPr="0088480E">
        <w:rPr>
          <w:color w:val="000000" w:themeColor="text1"/>
          <w:szCs w:val="24"/>
        </w:rPr>
        <w:t>Table 3</w:t>
      </w:r>
      <w:r w:rsidRPr="0088480E" w:rsidR="1897E47D">
        <w:rPr>
          <w:color w:val="000000" w:themeColor="text1"/>
          <w:szCs w:val="24"/>
        </w:rPr>
        <w:t xml:space="preserve">. </w:t>
      </w:r>
      <w:r w:rsidRPr="0088480E" w:rsidR="1897E47D">
        <w:rPr>
          <w:szCs w:val="24"/>
        </w:rPr>
        <w:t>Wage Estimate Proxies</w:t>
      </w:r>
      <w:r w:rsidRPr="0088480E" w:rsidR="001551C6">
        <w:rPr>
          <w:color w:val="000000" w:themeColor="text1"/>
          <w:szCs w:val="24"/>
        </w:rPr>
        <w:t xml:space="preserve"> </w:t>
      </w:r>
    </w:p>
    <w:tbl>
      <w:tblPr>
        <w:tblStyle w:val="TableGrid"/>
        <w:tblW w:w="0" w:type="auto"/>
        <w:tblLayout w:type="fixed"/>
        <w:tblLook w:val="06A0" w:firstRow="1" w:lastRow="0" w:firstColumn="1" w:lastColumn="0" w:noHBand="1" w:noVBand="1"/>
      </w:tblPr>
      <w:tblGrid>
        <w:gridCol w:w="2340"/>
        <w:gridCol w:w="2340"/>
        <w:gridCol w:w="2340"/>
        <w:gridCol w:w="2340"/>
      </w:tblGrid>
      <w:tr w:rsidRPr="0088480E" w:rsidR="2337C34A" w:rsidTr="435BCE3A" w14:paraId="03F91C99" w14:textId="77777777">
        <w:trPr>
          <w:tblHeader/>
        </w:trPr>
        <w:tc>
          <w:tcPr>
            <w:tcW w:w="2340" w:type="dxa"/>
          </w:tcPr>
          <w:p w:rsidRPr="0088480E" w:rsidR="2337C34A" w:rsidP="2337C34A" w:rsidRDefault="2337C34A" w14:paraId="4A4EF85C" w14:textId="354AD6EA">
            <w:pPr>
              <w:rPr>
                <w:b/>
                <w:bCs/>
                <w:sz w:val="20"/>
              </w:rPr>
            </w:pPr>
            <w:r w:rsidRPr="0088480E">
              <w:rPr>
                <w:b/>
                <w:bCs/>
                <w:sz w:val="20"/>
              </w:rPr>
              <w:t xml:space="preserve">Respondent Group </w:t>
            </w:r>
          </w:p>
        </w:tc>
        <w:tc>
          <w:tcPr>
            <w:tcW w:w="2340" w:type="dxa"/>
          </w:tcPr>
          <w:p w:rsidRPr="0088480E" w:rsidR="2337C34A" w:rsidP="2337C34A" w:rsidRDefault="2337C34A" w14:paraId="57A5B704" w14:textId="3CC3A623">
            <w:pPr>
              <w:rPr>
                <w:b/>
                <w:bCs/>
                <w:sz w:val="20"/>
              </w:rPr>
            </w:pPr>
            <w:r w:rsidRPr="0088480E">
              <w:rPr>
                <w:b/>
                <w:bCs/>
                <w:sz w:val="20"/>
              </w:rPr>
              <w:t xml:space="preserve">Occupation Proxies </w:t>
            </w:r>
          </w:p>
        </w:tc>
        <w:tc>
          <w:tcPr>
            <w:tcW w:w="2340" w:type="dxa"/>
          </w:tcPr>
          <w:p w:rsidRPr="0088480E" w:rsidR="2337C34A" w:rsidP="2337C34A" w:rsidRDefault="2337C34A" w14:paraId="3389D6A7" w14:textId="2D1ED93F">
            <w:pPr>
              <w:rPr>
                <w:b/>
                <w:bCs/>
                <w:sz w:val="20"/>
              </w:rPr>
            </w:pPr>
            <w:r w:rsidRPr="0088480E">
              <w:rPr>
                <w:b/>
                <w:bCs/>
                <w:sz w:val="20"/>
              </w:rPr>
              <w:t xml:space="preserve">Hourly Compensation (includes costs for wages, salaries, and benefits) </w:t>
            </w:r>
          </w:p>
        </w:tc>
        <w:tc>
          <w:tcPr>
            <w:tcW w:w="2340" w:type="dxa"/>
          </w:tcPr>
          <w:p w:rsidRPr="0088480E" w:rsidR="2337C34A" w:rsidP="2337C34A" w:rsidRDefault="2337C34A" w14:paraId="28547AC3" w14:textId="30164369">
            <w:pPr>
              <w:rPr>
                <w:b/>
                <w:bCs/>
                <w:sz w:val="20"/>
              </w:rPr>
            </w:pPr>
            <w:r w:rsidRPr="0088480E">
              <w:rPr>
                <w:b/>
                <w:bCs/>
                <w:sz w:val="20"/>
              </w:rPr>
              <w:t>Total Average Hourly Compensation</w:t>
            </w:r>
          </w:p>
        </w:tc>
      </w:tr>
      <w:tr w:rsidRPr="0088480E" w:rsidR="2337C34A" w:rsidTr="435BCE3A" w14:paraId="437D5BD4" w14:textId="77777777">
        <w:tc>
          <w:tcPr>
            <w:tcW w:w="2340" w:type="dxa"/>
            <w:vMerge w:val="restart"/>
          </w:tcPr>
          <w:p w:rsidRPr="0088480E" w:rsidR="2337C34A" w:rsidP="2337C34A" w:rsidRDefault="2337C34A" w14:paraId="5CD99CC6" w14:textId="014D9B97">
            <w:pPr>
              <w:jc w:val="center"/>
            </w:pPr>
            <w:r w:rsidRPr="0088480E">
              <w:rPr>
                <w:sz w:val="20"/>
              </w:rPr>
              <w:t>U.S. Community Members</w:t>
            </w:r>
          </w:p>
        </w:tc>
        <w:tc>
          <w:tcPr>
            <w:tcW w:w="2340" w:type="dxa"/>
          </w:tcPr>
          <w:p w:rsidRPr="0088480E" w:rsidR="2337C34A" w:rsidRDefault="2337C34A" w14:paraId="1A160EC0" w14:textId="1D6A4A48">
            <w:r w:rsidRPr="0088480E">
              <w:rPr>
                <w:sz w:val="20"/>
              </w:rPr>
              <w:t>Employer Cost: Junior colleges, colleges, and universities (state and local government)</w:t>
            </w:r>
          </w:p>
        </w:tc>
        <w:tc>
          <w:tcPr>
            <w:tcW w:w="2340" w:type="dxa"/>
          </w:tcPr>
          <w:p w:rsidRPr="0088480E" w:rsidR="2337C34A" w:rsidP="2337C34A" w:rsidRDefault="2337C34A" w14:paraId="3DC34B4A" w14:textId="674B26C4">
            <w:pPr>
              <w:jc w:val="center"/>
            </w:pPr>
            <w:r w:rsidRPr="0088480E">
              <w:rPr>
                <w:sz w:val="20"/>
              </w:rPr>
              <w:t xml:space="preserve">$58.83 </w:t>
            </w:r>
          </w:p>
        </w:tc>
        <w:tc>
          <w:tcPr>
            <w:tcW w:w="2340" w:type="dxa"/>
            <w:vMerge w:val="restart"/>
          </w:tcPr>
          <w:p w:rsidRPr="0088480E" w:rsidR="2D139178" w:rsidP="2337C34A" w:rsidRDefault="0DCB97C9" w14:paraId="22617759" w14:textId="37464B2D">
            <w:pPr>
              <w:jc w:val="center"/>
            </w:pPr>
            <w:r w:rsidRPr="0088480E">
              <w:rPr>
                <w:sz w:val="20"/>
              </w:rPr>
              <w:t>$</w:t>
            </w:r>
            <w:r w:rsidRPr="0088480E" w:rsidR="14F2F231">
              <w:rPr>
                <w:sz w:val="20"/>
              </w:rPr>
              <w:t>50.38</w:t>
            </w:r>
          </w:p>
        </w:tc>
      </w:tr>
      <w:tr w:rsidRPr="0088480E" w:rsidR="2337C34A" w:rsidTr="435BCE3A" w14:paraId="5B84FA36" w14:textId="77777777">
        <w:tc>
          <w:tcPr>
            <w:tcW w:w="2340" w:type="dxa"/>
            <w:vMerge/>
          </w:tcPr>
          <w:p w:rsidRPr="0088480E" w:rsidR="009A294B" w:rsidRDefault="009A294B" w14:paraId="6ABCD46B" w14:textId="77777777"/>
        </w:tc>
        <w:tc>
          <w:tcPr>
            <w:tcW w:w="2340" w:type="dxa"/>
          </w:tcPr>
          <w:p w:rsidRPr="0088480E" w:rsidR="2337C34A" w:rsidRDefault="2337C34A" w14:paraId="0E6447EA" w14:textId="0291A0B3">
            <w:r w:rsidRPr="0088480E">
              <w:rPr>
                <w:sz w:val="20"/>
              </w:rPr>
              <w:t>Employer Cost: Professional and business services (Private industry)</w:t>
            </w:r>
          </w:p>
        </w:tc>
        <w:tc>
          <w:tcPr>
            <w:tcW w:w="2340" w:type="dxa"/>
          </w:tcPr>
          <w:p w:rsidRPr="0088480E" w:rsidR="2337C34A" w:rsidP="2337C34A" w:rsidRDefault="2337C34A" w14:paraId="270A9D2D" w14:textId="27F4967E">
            <w:pPr>
              <w:jc w:val="center"/>
            </w:pPr>
            <w:r w:rsidRPr="0088480E">
              <w:rPr>
                <w:sz w:val="20"/>
              </w:rPr>
              <w:t xml:space="preserve">$42.21 </w:t>
            </w:r>
          </w:p>
        </w:tc>
        <w:tc>
          <w:tcPr>
            <w:tcW w:w="2340" w:type="dxa"/>
            <w:vMerge/>
          </w:tcPr>
          <w:p w:rsidRPr="0088480E" w:rsidR="009A294B" w:rsidRDefault="009A294B" w14:paraId="77D92714" w14:textId="77777777"/>
        </w:tc>
      </w:tr>
      <w:tr w:rsidRPr="0088480E" w:rsidR="2337C34A" w:rsidTr="435BCE3A" w14:paraId="72CDB3D4" w14:textId="77777777">
        <w:tc>
          <w:tcPr>
            <w:tcW w:w="2340" w:type="dxa"/>
            <w:vMerge/>
          </w:tcPr>
          <w:p w:rsidRPr="0088480E" w:rsidR="009A294B" w:rsidRDefault="009A294B" w14:paraId="3E2ED0D4" w14:textId="77777777"/>
        </w:tc>
        <w:tc>
          <w:tcPr>
            <w:tcW w:w="2340" w:type="dxa"/>
          </w:tcPr>
          <w:p w:rsidRPr="0088480E" w:rsidR="2337C34A" w:rsidRDefault="2337C34A" w14:paraId="71C28CCF" w14:textId="5BDF70A7">
            <w:r w:rsidRPr="0088480E">
              <w:rPr>
                <w:sz w:val="20"/>
              </w:rPr>
              <w:t>Employer Cost: Management, business and financial (Private industry)</w:t>
            </w:r>
          </w:p>
        </w:tc>
        <w:tc>
          <w:tcPr>
            <w:tcW w:w="2340" w:type="dxa"/>
          </w:tcPr>
          <w:p w:rsidRPr="0088480E" w:rsidR="2337C34A" w:rsidP="2337C34A" w:rsidRDefault="2337C34A" w14:paraId="35A3DA5D" w14:textId="5A7B8A4D">
            <w:pPr>
              <w:jc w:val="center"/>
            </w:pPr>
            <w:r w:rsidRPr="0088480E">
              <w:rPr>
                <w:sz w:val="20"/>
              </w:rPr>
              <w:t xml:space="preserve">$69.26 </w:t>
            </w:r>
          </w:p>
        </w:tc>
        <w:tc>
          <w:tcPr>
            <w:tcW w:w="2340" w:type="dxa"/>
            <w:vMerge/>
          </w:tcPr>
          <w:p w:rsidRPr="0088480E" w:rsidR="009A294B" w:rsidRDefault="009A294B" w14:paraId="37C6664E" w14:textId="77777777"/>
        </w:tc>
      </w:tr>
      <w:tr w:rsidRPr="0088480E" w:rsidR="2337C34A" w:rsidTr="435BCE3A" w14:paraId="4DE1DEC9" w14:textId="77777777">
        <w:tc>
          <w:tcPr>
            <w:tcW w:w="2340" w:type="dxa"/>
            <w:vMerge/>
          </w:tcPr>
          <w:p w:rsidRPr="0088480E" w:rsidR="009A294B" w:rsidRDefault="009A294B" w14:paraId="72BBC612" w14:textId="77777777"/>
        </w:tc>
        <w:tc>
          <w:tcPr>
            <w:tcW w:w="2340" w:type="dxa"/>
          </w:tcPr>
          <w:p w:rsidRPr="0088480E" w:rsidR="2337C34A" w:rsidRDefault="2337C34A" w14:paraId="146CBBAB" w14:textId="07564E9C">
            <w:r w:rsidRPr="0088480E">
              <w:rPr>
                <w:sz w:val="20"/>
              </w:rPr>
              <w:t>Employer Cost: Educational Services (Private industry)</w:t>
            </w:r>
          </w:p>
        </w:tc>
        <w:tc>
          <w:tcPr>
            <w:tcW w:w="2340" w:type="dxa"/>
          </w:tcPr>
          <w:p w:rsidRPr="0088480E" w:rsidR="2337C34A" w:rsidP="2337C34A" w:rsidRDefault="2337C34A" w14:paraId="21F0E5DF" w14:textId="70C9F7C4">
            <w:pPr>
              <w:jc w:val="center"/>
            </w:pPr>
            <w:r w:rsidRPr="0088480E">
              <w:rPr>
                <w:sz w:val="20"/>
              </w:rPr>
              <w:t xml:space="preserve">$46.30 </w:t>
            </w:r>
          </w:p>
        </w:tc>
        <w:tc>
          <w:tcPr>
            <w:tcW w:w="2340" w:type="dxa"/>
            <w:vMerge/>
          </w:tcPr>
          <w:p w:rsidRPr="0088480E" w:rsidR="009A294B" w:rsidRDefault="009A294B" w14:paraId="0075533C" w14:textId="77777777"/>
        </w:tc>
      </w:tr>
      <w:tr w:rsidRPr="0088480E" w:rsidR="2337C34A" w:rsidTr="435BCE3A" w14:paraId="772D5290" w14:textId="77777777">
        <w:tc>
          <w:tcPr>
            <w:tcW w:w="2340" w:type="dxa"/>
            <w:vMerge/>
          </w:tcPr>
          <w:p w:rsidRPr="0088480E" w:rsidR="009A294B" w:rsidRDefault="009A294B" w14:paraId="19332464" w14:textId="77777777"/>
        </w:tc>
        <w:tc>
          <w:tcPr>
            <w:tcW w:w="2340" w:type="dxa"/>
          </w:tcPr>
          <w:p w:rsidRPr="0088480E" w:rsidR="2337C34A" w:rsidRDefault="2337C34A" w14:paraId="0BB70EBA" w14:textId="7ADDA7EF">
            <w:r w:rsidRPr="0088480E">
              <w:rPr>
                <w:sz w:val="20"/>
              </w:rPr>
              <w:t>Employer Cost: Health care and social assistance</w:t>
            </w:r>
          </w:p>
        </w:tc>
        <w:tc>
          <w:tcPr>
            <w:tcW w:w="2340" w:type="dxa"/>
          </w:tcPr>
          <w:p w:rsidRPr="0088480E" w:rsidR="2337C34A" w:rsidP="2337C34A" w:rsidRDefault="2337C34A" w14:paraId="06D66277" w14:textId="7A3F2FF5">
            <w:pPr>
              <w:jc w:val="center"/>
            </w:pPr>
            <w:r w:rsidRPr="0088480E">
              <w:rPr>
                <w:sz w:val="20"/>
              </w:rPr>
              <w:t xml:space="preserve">$35.31 </w:t>
            </w:r>
          </w:p>
        </w:tc>
        <w:tc>
          <w:tcPr>
            <w:tcW w:w="2340" w:type="dxa"/>
            <w:vMerge/>
          </w:tcPr>
          <w:p w:rsidRPr="0088480E" w:rsidR="009A294B" w:rsidRDefault="009A294B" w14:paraId="4EA48F0A" w14:textId="77777777"/>
        </w:tc>
      </w:tr>
    </w:tbl>
    <w:p w:rsidRPr="0088480E" w:rsidR="001551C6" w:rsidP="2337C34A" w:rsidRDefault="001551C6" w14:paraId="4A4E95AC" w14:textId="77777777">
      <w:pPr>
        <w:numPr>
          <w:ilvl w:val="0"/>
          <w:numId w:val="7"/>
        </w:numPr>
        <w:spacing w:before="100" w:beforeAutospacing="1"/>
        <w:rPr>
          <w:i/>
          <w:iCs/>
          <w:color w:val="000000" w:themeColor="text1"/>
          <w:sz w:val="28"/>
          <w:szCs w:val="28"/>
        </w:rPr>
      </w:pPr>
      <w:r w:rsidRPr="0088480E">
        <w:rPr>
          <w:i/>
          <w:iCs/>
          <w:color w:val="000000" w:themeColor="text1"/>
          <w:sz w:val="28"/>
          <w:szCs w:val="28"/>
        </w:rPr>
        <w:t>Describe the monetary burden to respondents (out of pocket costs) needed to complete this collection.</w:t>
      </w:r>
    </w:p>
    <w:p w:rsidRPr="0088480E" w:rsidR="00060225" w:rsidP="00F1002B" w:rsidRDefault="00C17636" w14:paraId="43D0D3C1" w14:textId="1DB393D0">
      <w:pPr>
        <w:spacing w:before="100" w:beforeAutospacing="1" w:after="100" w:afterAutospacing="1"/>
        <w:rPr>
          <w:i/>
          <w:iCs/>
          <w:color w:val="000000" w:themeColor="text1"/>
        </w:rPr>
      </w:pPr>
      <w:r w:rsidRPr="0088480E">
        <w:t>There are n</w:t>
      </w:r>
      <w:r w:rsidRPr="0088480E" w:rsidR="008C6B47">
        <w:t>o costs incurred by respondents that will not be covered</w:t>
      </w:r>
      <w:r w:rsidR="00382B60">
        <w:t>.</w:t>
      </w:r>
    </w:p>
    <w:p w:rsidRPr="0088480E" w:rsidR="001551C6" w:rsidP="2337C34A" w:rsidRDefault="001551C6" w14:paraId="3D587F03" w14:textId="77777777">
      <w:pPr>
        <w:numPr>
          <w:ilvl w:val="0"/>
          <w:numId w:val="7"/>
        </w:numPr>
        <w:spacing w:before="100" w:beforeAutospacing="1"/>
        <w:rPr>
          <w:i/>
          <w:iCs/>
          <w:color w:val="000000" w:themeColor="text1"/>
          <w:sz w:val="28"/>
          <w:szCs w:val="28"/>
        </w:rPr>
      </w:pPr>
      <w:r w:rsidRPr="0088480E">
        <w:rPr>
          <w:i/>
          <w:iCs/>
          <w:color w:val="000000" w:themeColor="text1"/>
          <w:sz w:val="28"/>
          <w:szCs w:val="28"/>
        </w:rPr>
        <w:t>Describe the cost incurred by the Federal Government to complete this collection.</w:t>
      </w:r>
    </w:p>
    <w:p w:rsidRPr="0088480E" w:rsidR="238B8A36" w:rsidP="00AB54AE" w:rsidRDefault="00996395" w14:paraId="6448CAA6" w14:textId="4A105E97">
      <w:pPr>
        <w:spacing w:before="100" w:beforeAutospacing="1"/>
        <w:rPr>
          <w:rFonts w:ascii="Calibri" w:hAnsi="Calibri" w:eastAsia="Calibri" w:cs="Calibri"/>
          <w:vertAlign w:val="superscript"/>
        </w:rPr>
      </w:pPr>
      <w:r w:rsidRPr="0088480E">
        <w:t xml:space="preserve">The estimated annual cost to the USG for the Monitoring Data for ECA as related to this collection is </w:t>
      </w:r>
      <w:r w:rsidRPr="0088480E">
        <w:rPr>
          <w:szCs w:val="24"/>
        </w:rPr>
        <w:t>$416,373.60</w:t>
      </w:r>
      <w:r w:rsidRPr="0088480E">
        <w:t xml:space="preserve">.  This estimate includes all direct and indirect costs of the design, data collection, and analysis activities.  </w:t>
      </w:r>
      <w:r w:rsidRPr="0088480E">
        <w:rPr>
          <w:szCs w:val="24"/>
        </w:rPr>
        <w:t xml:space="preserve">The wage rates of Federal employees at DOS were estimated using Steps 1 for Grades 13 ($58.13/hour at 120 hours) and 14 ($49.19 at 480 hours) of the General Schedule in the Washington-Baltimore-Arlington, DC-MD-VA-WV-PA locality area. </w:t>
      </w:r>
      <w:r w:rsidRPr="0088480E">
        <w:rPr>
          <w:rStyle w:val="FootnoteReference"/>
          <w:szCs w:val="24"/>
        </w:rPr>
        <w:footnoteReference w:id="7"/>
      </w:r>
      <w:r w:rsidRPr="0088480E">
        <w:rPr>
          <w:szCs w:val="24"/>
        </w:rPr>
        <w:t xml:space="preserve"> </w:t>
      </w:r>
      <w:r w:rsidRPr="0088480E">
        <w:rPr>
          <w:szCs w:val="24"/>
        </w:rPr>
        <w:lastRenderedPageBreak/>
        <w:t>The Department multiplied the hourly wage rate by 2 to account for a fringe benefits rate of 69 percent</w:t>
      </w:r>
      <w:r w:rsidRPr="0088480E">
        <w:rPr>
          <w:rFonts w:ascii="Calibri" w:hAnsi="Calibri" w:eastAsia="Calibri" w:cs="Calibri"/>
          <w:szCs w:val="24"/>
          <w:vertAlign w:val="superscript"/>
        </w:rPr>
        <w:t>4</w:t>
      </w:r>
      <w:r w:rsidRPr="0088480E">
        <w:rPr>
          <w:szCs w:val="24"/>
        </w:rPr>
        <w:t xml:space="preserve"> and an overhead rate of 31 percent. </w:t>
      </w:r>
    </w:p>
    <w:p w:rsidRPr="0088480E" w:rsidR="001551C6" w:rsidP="2337C34A" w:rsidRDefault="001551C6" w14:paraId="0523E144" w14:textId="77777777">
      <w:pPr>
        <w:numPr>
          <w:ilvl w:val="0"/>
          <w:numId w:val="7"/>
        </w:numPr>
        <w:spacing w:before="100" w:beforeAutospacing="1"/>
        <w:rPr>
          <w:i/>
          <w:iCs/>
          <w:color w:val="000000" w:themeColor="text1"/>
          <w:sz w:val="28"/>
          <w:szCs w:val="28"/>
        </w:rPr>
      </w:pPr>
      <w:r w:rsidRPr="0088480E">
        <w:rPr>
          <w:i/>
          <w:iCs/>
          <w:color w:val="000000" w:themeColor="text1"/>
          <w:sz w:val="28"/>
          <w:szCs w:val="28"/>
        </w:rPr>
        <w:t>Explain any changes/adjustments to this collection since the previous submission</w:t>
      </w:r>
    </w:p>
    <w:p w:rsidRPr="0088480E" w:rsidR="00060225" w:rsidP="00F1002B" w:rsidRDefault="00D22C31" w14:paraId="401D3582" w14:textId="70D0782B">
      <w:pPr>
        <w:spacing w:before="100" w:beforeAutospacing="1"/>
      </w:pPr>
      <w:r w:rsidRPr="0088480E">
        <w:t>This is a new collection</w:t>
      </w:r>
      <w:r w:rsidR="00382B60">
        <w:t>.</w:t>
      </w:r>
      <w:r w:rsidRPr="0088480E">
        <w:t xml:space="preserve"> </w:t>
      </w:r>
    </w:p>
    <w:p w:rsidRPr="0088480E" w:rsidR="001551C6" w:rsidP="2337C34A" w:rsidRDefault="001551C6" w14:paraId="3B9A9CBC" w14:textId="77777777">
      <w:pPr>
        <w:numPr>
          <w:ilvl w:val="0"/>
          <w:numId w:val="7"/>
        </w:numPr>
        <w:spacing w:before="100" w:beforeAutospacing="1"/>
        <w:rPr>
          <w:i/>
          <w:iCs/>
          <w:color w:val="000000" w:themeColor="text1"/>
          <w:sz w:val="28"/>
          <w:szCs w:val="28"/>
        </w:rPr>
      </w:pPr>
      <w:r w:rsidRPr="0088480E">
        <w:rPr>
          <w:i/>
          <w:iCs/>
          <w:color w:val="000000" w:themeColor="text1"/>
          <w:sz w:val="28"/>
          <w:szCs w:val="28"/>
        </w:rPr>
        <w:t>Specify if the data gathered by this collection will be published.</w:t>
      </w:r>
    </w:p>
    <w:p w:rsidRPr="0088480E" w:rsidR="00AD5D2E" w:rsidP="00F1002B" w:rsidRDefault="00AD5D2E" w14:paraId="6528BD7D" w14:textId="5C6E574D">
      <w:pPr>
        <w:spacing w:before="100" w:beforeAutospacing="1"/>
      </w:pPr>
      <w:r w:rsidRPr="0088480E">
        <w:t xml:space="preserve">Once data have been collected and analyzed, the </w:t>
      </w:r>
      <w:r w:rsidRPr="0088480E" w:rsidR="4F04DF8C">
        <w:t>Evaluation Division wil</w:t>
      </w:r>
      <w:r w:rsidRPr="0088480E">
        <w:t xml:space="preserve">l </w:t>
      </w:r>
      <w:r w:rsidRPr="0088480E" w:rsidR="49116087">
        <w:t xml:space="preserve">produce an annual </w:t>
      </w:r>
      <w:r w:rsidRPr="0088480E">
        <w:t>report</w:t>
      </w:r>
      <w:r w:rsidRPr="0088480E" w:rsidR="6AC07364">
        <w:t xml:space="preserve"> for internal use</w:t>
      </w:r>
      <w:r w:rsidRPr="0088480E" w:rsidR="2E770AB0">
        <w:t>. Aggregate figures may be</w:t>
      </w:r>
      <w:r w:rsidRPr="0088480E" w:rsidR="37CABE38">
        <w:t xml:space="preserve"> used in media and in public-facing reports to demonstrate the impact of ECA programs to stakeholders</w:t>
      </w:r>
      <w:r w:rsidRPr="0088480E">
        <w:t xml:space="preserve">.  However, the raw data </w:t>
      </w:r>
      <w:r w:rsidRPr="0088480E" w:rsidR="00BF259B">
        <w:t xml:space="preserve">or those of individual respondents </w:t>
      </w:r>
      <w:r w:rsidRPr="0088480E">
        <w:t>will not be published in any way</w:t>
      </w:r>
      <w:r w:rsidRPr="0088480E" w:rsidR="00BF259B">
        <w:t xml:space="preserve"> with attribution.</w:t>
      </w:r>
    </w:p>
    <w:p w:rsidRPr="0088480E" w:rsidR="001551C6" w:rsidP="2337C34A" w:rsidRDefault="001551C6" w14:paraId="66FA53FA" w14:textId="77777777">
      <w:pPr>
        <w:numPr>
          <w:ilvl w:val="0"/>
          <w:numId w:val="7"/>
        </w:numPr>
        <w:spacing w:before="100" w:beforeAutospacing="1"/>
        <w:rPr>
          <w:i/>
          <w:iCs/>
          <w:color w:val="000000" w:themeColor="text1"/>
          <w:sz w:val="28"/>
          <w:szCs w:val="28"/>
        </w:rPr>
      </w:pPr>
      <w:r w:rsidRPr="0088480E">
        <w:rPr>
          <w:i/>
          <w:iCs/>
          <w:color w:val="000000" w:themeColor="text1"/>
          <w:sz w:val="28"/>
          <w:szCs w:val="28"/>
        </w:rPr>
        <w:t>If applicable, explain the reason(s) for seeking approval to not display the OMB expiration date.  Otherwise, write “The Department will display the OMB expiration date.”</w:t>
      </w:r>
    </w:p>
    <w:p w:rsidRPr="0088480E" w:rsidR="001472AE" w:rsidP="00F1002B" w:rsidRDefault="001472AE" w14:paraId="0DC8A16B" w14:textId="2E2BDC6E">
      <w:pPr>
        <w:spacing w:before="100" w:beforeAutospacing="1"/>
      </w:pPr>
      <w:r w:rsidRPr="0088480E">
        <w:t xml:space="preserve">The Department will display the OMB expiration date. </w:t>
      </w:r>
    </w:p>
    <w:p w:rsidRPr="0088480E" w:rsidR="001551C6" w:rsidP="2337C34A" w:rsidRDefault="001551C6" w14:paraId="64E54DA7" w14:textId="77777777">
      <w:pPr>
        <w:numPr>
          <w:ilvl w:val="0"/>
          <w:numId w:val="7"/>
        </w:numPr>
        <w:spacing w:before="100" w:beforeAutospacing="1"/>
        <w:rPr>
          <w:i/>
          <w:iCs/>
          <w:color w:val="000000" w:themeColor="text1"/>
          <w:sz w:val="28"/>
          <w:szCs w:val="28"/>
        </w:rPr>
      </w:pPr>
      <w:r w:rsidRPr="0088480E">
        <w:rPr>
          <w:i/>
          <w:iCs/>
          <w:color w:val="000000" w:themeColor="text1"/>
          <w:sz w:val="28"/>
          <w:szCs w:val="28"/>
        </w:rPr>
        <w:t>Explain any exceptions to the OMB certification statement below.  If there are no exceptions, write “The Department is not seeking exceptions to the certification statement”.</w:t>
      </w:r>
    </w:p>
    <w:p w:rsidRPr="0088480E" w:rsidR="001472AE" w:rsidP="00F1002B" w:rsidRDefault="001472AE" w14:paraId="0C166120" w14:textId="79B2FC1D">
      <w:pPr>
        <w:spacing w:before="100" w:beforeAutospacing="1"/>
      </w:pPr>
      <w:r w:rsidRPr="0088480E">
        <w:t xml:space="preserve">The Department is not seeking exceptions to the certification statement. </w:t>
      </w:r>
    </w:p>
    <w:p w:rsidRPr="0088480E" w:rsidR="001551C6" w:rsidP="2337C34A" w:rsidRDefault="001551C6" w14:paraId="5198C94A" w14:textId="77777777">
      <w:pPr>
        <w:pStyle w:val="Heading1"/>
        <w:spacing w:before="100" w:beforeAutospacing="1"/>
      </w:pPr>
      <w:r w:rsidRPr="0088480E">
        <w:t>B.</w:t>
      </w:r>
      <w:r w:rsidRPr="0088480E">
        <w:tab/>
        <w:t>COLLECTION OF INFORMATION EMPLOYING STATISTICAL METHODS</w:t>
      </w:r>
    </w:p>
    <w:p w:rsidRPr="0088480E" w:rsidR="00625B32" w:rsidP="2337C34A" w:rsidRDefault="001551C6" w14:paraId="6FE86C4C" w14:textId="627BC171">
      <w:pPr>
        <w:spacing w:before="100" w:beforeAutospacing="1"/>
      </w:pPr>
      <w:r w:rsidRPr="0088480E">
        <w:t xml:space="preserve">This collection </w:t>
      </w:r>
      <w:r w:rsidRPr="0088480E" w:rsidR="00625B32">
        <w:t>will employ statistical methods for the alumni survey and the parent survey.  Additional information is provided below</w:t>
      </w:r>
    </w:p>
    <w:p w:rsidRPr="0088480E" w:rsidR="00625B32" w:rsidP="2337C34A" w:rsidRDefault="00625B32" w14:paraId="432AFC6E" w14:textId="2AC7F345">
      <w:pPr>
        <w:spacing w:before="100" w:beforeAutospacing="1"/>
        <w:rPr>
          <w:b/>
          <w:bCs/>
        </w:rPr>
      </w:pPr>
      <w:r w:rsidRPr="0088480E">
        <w:rPr>
          <w:b/>
          <w:bCs/>
        </w:rPr>
        <w:t>1.</w:t>
      </w:r>
      <w:r w:rsidRPr="0088480E">
        <w:tab/>
      </w:r>
      <w:r w:rsidRPr="0088480E">
        <w:rPr>
          <w:b/>
          <w:bCs/>
        </w:rPr>
        <w:t xml:space="preserve">Potential Respondent Universe and Respondent Selection Methods </w:t>
      </w:r>
    </w:p>
    <w:p w:rsidRPr="0088480E" w:rsidR="2337C34A" w:rsidP="0088480E" w:rsidRDefault="00FA282D" w14:paraId="52FFCAA4" w14:textId="0D3A5314">
      <w:pPr>
        <w:spacing w:before="100" w:beforeAutospacing="1" w:after="0"/>
      </w:pPr>
      <w:r w:rsidRPr="0088480E">
        <w:t xml:space="preserve">The respondent universe for this evaluation includes the </w:t>
      </w:r>
      <w:r w:rsidRPr="0088480E" w:rsidR="46172FC6">
        <w:t>approximate</w:t>
      </w:r>
      <w:r w:rsidRPr="0088480E">
        <w:t xml:space="preserve"> </w:t>
      </w:r>
      <w:r w:rsidRPr="0088480E" w:rsidR="41E704A7">
        <w:t>66,000</w:t>
      </w:r>
      <w:r w:rsidRPr="0088480E">
        <w:rPr>
          <w:rStyle w:val="FootnoteReference"/>
        </w:rPr>
        <w:footnoteReference w:id="8"/>
      </w:r>
      <w:r w:rsidRPr="0088480E">
        <w:t xml:space="preserve"> unique individuals who participated in </w:t>
      </w:r>
      <w:r w:rsidRPr="0088480E" w:rsidR="3BE99F3A">
        <w:t>ECA</w:t>
      </w:r>
      <w:r w:rsidRPr="0088480E">
        <w:t xml:space="preserve"> </w:t>
      </w:r>
      <w:r w:rsidRPr="0088480E" w:rsidR="28F0C6E0">
        <w:t xml:space="preserve">sponsored exchange programs </w:t>
      </w:r>
      <w:r w:rsidRPr="0088480E" w:rsidR="3720630B">
        <w:t>annually</w:t>
      </w:r>
      <w:r w:rsidRPr="0088480E">
        <w:t xml:space="preserve"> and </w:t>
      </w:r>
      <w:r w:rsidRPr="0088480E" w:rsidR="6368DEDE">
        <w:t xml:space="preserve">U.S. </w:t>
      </w:r>
      <w:r w:rsidRPr="0088480E" w:rsidR="2ED58E53">
        <w:t xml:space="preserve">host </w:t>
      </w:r>
      <w:r w:rsidRPr="0088480E" w:rsidR="6368DEDE">
        <w:t xml:space="preserve">community members who have interacted with </w:t>
      </w:r>
      <w:r w:rsidRPr="0088480E" w:rsidR="2D7DE700">
        <w:t xml:space="preserve">ECA program participants </w:t>
      </w:r>
      <w:r w:rsidRPr="0088480E" w:rsidR="6368DEDE">
        <w:t>as home stay hosts, peer collaborators/professional mentors, and site visit and/or community service organizations.</w:t>
      </w:r>
      <w:r w:rsidRPr="0088480E">
        <w:t xml:space="preserve"> Each of these groups is discussed in its own section below. </w:t>
      </w:r>
    </w:p>
    <w:p w:rsidRPr="0088480E" w:rsidR="62CEC9A5" w:rsidP="2337C34A" w:rsidRDefault="62CEC9A5" w14:paraId="6556EAA3" w14:textId="6347A609">
      <w:pPr>
        <w:spacing w:beforeAutospacing="1" w:after="0"/>
        <w:rPr>
          <w:b/>
          <w:bCs/>
        </w:rPr>
      </w:pPr>
      <w:r w:rsidRPr="0088480E">
        <w:rPr>
          <w:b/>
          <w:bCs/>
        </w:rPr>
        <w:t>Current ECA Participants (Post-Program Surveys)</w:t>
      </w:r>
    </w:p>
    <w:p w:rsidRPr="0088480E" w:rsidR="384C4493" w:rsidP="384C4493" w:rsidRDefault="357DEE4C" w14:paraId="73ADBD89" w14:textId="5017F772">
      <w:pPr>
        <w:spacing w:beforeAutospacing="1" w:after="0"/>
      </w:pPr>
      <w:r w:rsidRPr="0088480E">
        <w:lastRenderedPageBreak/>
        <w:t xml:space="preserve">The potential respondent universe of </w:t>
      </w:r>
      <w:r w:rsidRPr="0088480E" w:rsidR="000C59BB">
        <w:t xml:space="preserve">program participants </w:t>
      </w:r>
      <w:r w:rsidRPr="0088480E">
        <w:t xml:space="preserve">includes all individuals who have participated in ECA sponsored exchange programs.  While ECA’s historic average response rate for post-program surveys is 75.77%, response rates ranged </w:t>
      </w:r>
      <w:r w:rsidRPr="0088480E" w:rsidR="34FF37C0">
        <w:t>from 3</w:t>
      </w:r>
      <w:r w:rsidRPr="0088480E" w:rsidR="6E08B50E">
        <w:t>1.8</w:t>
      </w:r>
      <w:r w:rsidRPr="0088480E" w:rsidR="34FF37C0">
        <w:t xml:space="preserve">% to </w:t>
      </w:r>
      <w:r w:rsidRPr="0088480E" w:rsidR="40E06739">
        <w:t>100</w:t>
      </w:r>
      <w:r w:rsidRPr="0088480E" w:rsidR="34FF37C0">
        <w:t>%, varying by program and year. As a result, it was determined that a census was the most effective way to achieve a reasonable sample size to allow the analy</w:t>
      </w:r>
      <w:r w:rsidRPr="0088480E" w:rsidR="300B868C">
        <w:t>ses by program,</w:t>
      </w:r>
      <w:r w:rsidRPr="0088480E" w:rsidR="01EBA1D1">
        <w:t xml:space="preserve"> (host)</w:t>
      </w:r>
      <w:r w:rsidRPr="0088480E" w:rsidR="300B868C">
        <w:t xml:space="preserve"> country, and other dis</w:t>
      </w:r>
      <w:r w:rsidRPr="0088480E" w:rsidR="32C352C5">
        <w:t xml:space="preserve">aggregation categories such as gender, </w:t>
      </w:r>
      <w:r w:rsidRPr="0088480E" w:rsidR="5A55FDD2">
        <w:t xml:space="preserve">and </w:t>
      </w:r>
      <w:r w:rsidRPr="0088480E" w:rsidR="32C352C5">
        <w:t xml:space="preserve">age, </w:t>
      </w:r>
      <w:r w:rsidRPr="0088480E" w:rsidR="4FFAE124">
        <w:t>that</w:t>
      </w:r>
      <w:r w:rsidRPr="0088480E" w:rsidR="3B212A47">
        <w:t xml:space="preserve"> will help ECA understand the impacts of its programs. </w:t>
      </w:r>
    </w:p>
    <w:p w:rsidRPr="0088480E" w:rsidR="00FA282D" w:rsidP="435BCE3A" w:rsidRDefault="73F760F3" w14:paraId="096D3657" w14:textId="6D06AB8A">
      <w:pPr>
        <w:pStyle w:val="Heading3"/>
        <w:spacing w:before="100" w:beforeAutospacing="1"/>
        <w:rPr>
          <w:rFonts w:ascii="Times New Roman" w:hAnsi="Times New Roman" w:eastAsia="Times New Roman" w:cs="Times New Roman"/>
          <w:b/>
          <w:bCs/>
          <w:color w:val="auto"/>
        </w:rPr>
      </w:pPr>
      <w:r w:rsidRPr="0088480E">
        <w:rPr>
          <w:rFonts w:ascii="Times New Roman" w:hAnsi="Times New Roman" w:eastAsia="Times New Roman" w:cs="Times New Roman"/>
          <w:b/>
          <w:bCs/>
          <w:color w:val="auto"/>
        </w:rPr>
        <w:t xml:space="preserve">ECA </w:t>
      </w:r>
      <w:r w:rsidRPr="0088480E" w:rsidR="00FA282D">
        <w:rPr>
          <w:rFonts w:ascii="Times New Roman" w:hAnsi="Times New Roman" w:eastAsia="Times New Roman" w:cs="Times New Roman"/>
          <w:b/>
          <w:bCs/>
          <w:color w:val="auto"/>
        </w:rPr>
        <w:t>Alumni</w:t>
      </w:r>
      <w:r w:rsidRPr="0088480E" w:rsidR="13E76139">
        <w:rPr>
          <w:rFonts w:ascii="Times New Roman" w:hAnsi="Times New Roman" w:eastAsia="Times New Roman" w:cs="Times New Roman"/>
          <w:b/>
          <w:bCs/>
          <w:color w:val="auto"/>
        </w:rPr>
        <w:t xml:space="preserve"> (1-year, 3-year and 5-year surveys)</w:t>
      </w:r>
    </w:p>
    <w:p w:rsidRPr="0088480E" w:rsidR="384C4493" w:rsidP="0088480E" w:rsidRDefault="6BC3E33B" w14:paraId="30219F86" w14:textId="1D68C952">
      <w:pPr>
        <w:spacing w:before="100" w:beforeAutospacing="1" w:after="0"/>
      </w:pPr>
      <w:r w:rsidRPr="0088480E">
        <w:t xml:space="preserve">The potential respondent universe of alumni includes all </w:t>
      </w:r>
      <w:r w:rsidR="009274CF">
        <w:t xml:space="preserve">U.S. citizens </w:t>
      </w:r>
      <w:r w:rsidRPr="0088480E">
        <w:t xml:space="preserve">who have participated in ECA sponsored exchange programs.  While ECA’s historic average response rate for post-program surveys is </w:t>
      </w:r>
      <w:r w:rsidRPr="0088480E" w:rsidR="18CD0459">
        <w:t>44.61%</w:t>
      </w:r>
      <w:r w:rsidRPr="0088480E">
        <w:t xml:space="preserve">%, response rates ranged from </w:t>
      </w:r>
      <w:r w:rsidRPr="0088480E" w:rsidR="1558FD62">
        <w:t>2</w:t>
      </w:r>
      <w:r w:rsidRPr="0088480E">
        <w:t>2</w:t>
      </w:r>
      <w:r w:rsidRPr="0088480E" w:rsidR="1558FD62">
        <w:t>.22</w:t>
      </w:r>
      <w:r w:rsidRPr="0088480E">
        <w:t xml:space="preserve">% to </w:t>
      </w:r>
      <w:r w:rsidRPr="0088480E" w:rsidR="19A322B1">
        <w:t>70.37</w:t>
      </w:r>
      <w:r w:rsidRPr="0088480E">
        <w:t>%, varying by program and year. As a result, it was determined that a census was the most effective way to achieve a reasonable sample size to allow the analyses by program, (host) country, and other disaggregation categories such as gender, and age, that will help ECA understand the impacts of its programs.</w:t>
      </w:r>
    </w:p>
    <w:p w:rsidRPr="0088480E" w:rsidR="21B9D8CE" w:rsidP="000C59BB" w:rsidRDefault="21B9D8CE" w14:paraId="2240D3F6" w14:textId="6989E170">
      <w:pPr>
        <w:spacing w:before="100" w:beforeAutospacing="1" w:after="0"/>
        <w:rPr>
          <w:b/>
          <w:bCs/>
        </w:rPr>
      </w:pPr>
      <w:r w:rsidRPr="0088480E">
        <w:rPr>
          <w:b/>
          <w:bCs/>
        </w:rPr>
        <w:t>U.S. Host Community Members Surveys</w:t>
      </w:r>
    </w:p>
    <w:p w:rsidRPr="0088480E" w:rsidR="435BCE3A" w:rsidP="435BCE3A" w:rsidRDefault="21B9D8CE" w14:paraId="1D243908" w14:textId="3ACE72CC">
      <w:pPr>
        <w:spacing w:beforeAutospacing="1" w:after="0"/>
      </w:pPr>
      <w:r w:rsidRPr="0088480E">
        <w:t xml:space="preserve">U.S. host community members include individuals who have interacted with </w:t>
      </w:r>
      <w:r w:rsidRPr="0088480E" w:rsidR="67CE470E">
        <w:t xml:space="preserve">ECA program participants </w:t>
      </w:r>
      <w:r w:rsidRPr="0088480E">
        <w:t>as home stay hosts, peer collaborators/professional mentors, and site visit and/or community service organizations</w:t>
      </w:r>
      <w:r w:rsidRPr="0088480E" w:rsidR="29512EFF">
        <w:t xml:space="preserve">. </w:t>
      </w:r>
      <w:r w:rsidRPr="0088480E" w:rsidR="44151E6C">
        <w:t>We propose a census of U.S. host community members as i</w:t>
      </w:r>
      <w:r w:rsidRPr="0088480E" w:rsidR="68DF9DCF">
        <w:t>t is anticipated that the response rate to surveys will be low</w:t>
      </w:r>
      <w:r w:rsidRPr="0088480E" w:rsidR="000E67DF">
        <w:t xml:space="preserve"> </w:t>
      </w:r>
      <w:r w:rsidRPr="0088480E" w:rsidR="3883EF0E">
        <w:t>as the U.S. host community members may have less investment in the program than the alumni</w:t>
      </w:r>
      <w:r w:rsidRPr="0088480E" w:rsidR="68DF9DCF">
        <w:t>. Th</w:t>
      </w:r>
      <w:r w:rsidRPr="0088480E" w:rsidR="123A3E8F">
        <w:t>is is also</w:t>
      </w:r>
      <w:r w:rsidRPr="0088480E" w:rsidR="68DF9DCF">
        <w:t xml:space="preserve"> based on two recent program evaluations, which incorporated surveys of U.S. community members</w:t>
      </w:r>
      <w:r w:rsidRPr="0088480E" w:rsidR="5FEFFB5A">
        <w:t xml:space="preserve"> and experienced low survey response rates</w:t>
      </w:r>
      <w:r w:rsidRPr="0088480E" w:rsidR="68DF9DCF">
        <w:t xml:space="preserve">. </w:t>
      </w:r>
    </w:p>
    <w:p w:rsidRPr="0088480E" w:rsidR="00625B32" w:rsidP="2337C34A" w:rsidRDefault="00625B32" w14:paraId="3FC338A0" w14:textId="77777777">
      <w:pPr>
        <w:spacing w:before="100" w:beforeAutospacing="1"/>
        <w:rPr>
          <w:b/>
          <w:bCs/>
        </w:rPr>
      </w:pPr>
      <w:r w:rsidRPr="0088480E">
        <w:rPr>
          <w:b/>
          <w:bCs/>
        </w:rPr>
        <w:t>2.</w:t>
      </w:r>
      <w:r w:rsidRPr="0088480E">
        <w:tab/>
      </w:r>
      <w:r w:rsidRPr="0088480E">
        <w:rPr>
          <w:b/>
          <w:bCs/>
        </w:rPr>
        <w:t>Procedures for the Collection of Information</w:t>
      </w:r>
    </w:p>
    <w:p w:rsidRPr="0088480E" w:rsidR="0C607285" w:rsidP="435BCE3A" w:rsidRDefault="0C607285" w14:paraId="6E1E8CDB" w14:textId="014824BF">
      <w:pPr>
        <w:spacing w:beforeAutospacing="1"/>
      </w:pPr>
      <w:r w:rsidRPr="0088480E">
        <w:t>For post-program surveys, ECA survey questions will be administered by award recipients a</w:t>
      </w:r>
      <w:r w:rsidRPr="0088480E" w:rsidR="0D229DC8">
        <w:t xml:space="preserve">nd incorporated into </w:t>
      </w:r>
      <w:r w:rsidRPr="0088480E">
        <w:t>larger feedback surveys</w:t>
      </w:r>
      <w:r w:rsidRPr="0088480E" w:rsidR="5063BA0F">
        <w:t xml:space="preserve"> and </w:t>
      </w:r>
      <w:proofErr w:type="gramStart"/>
      <w:r w:rsidRPr="0088480E" w:rsidR="5063BA0F">
        <w:t>will thus will</w:t>
      </w:r>
      <w:proofErr w:type="gramEnd"/>
      <w:r w:rsidRPr="0088480E" w:rsidR="5063BA0F">
        <w:t xml:space="preserve"> be administered as a census.</w:t>
      </w:r>
      <w:r w:rsidRPr="0088480E" w:rsidR="5DA5591E">
        <w:t xml:space="preserve"> To assist with standardized data collection, each indicator comes with a performance indicator reference sheet, which is used to define indicators and is key to ensuring indicator data quality and consistency.</w:t>
      </w:r>
      <w:r w:rsidRPr="0088480E" w:rsidR="5063BA0F">
        <w:t xml:space="preserve"> In addition, ECA programs have a wide range of participant sizes; and for many programs, while they may have had large numbers of participants, the participant groups are fairly small – most participants are in cohorts of 15 to 30, and experiences will have differed by cohort.  Thus, to obtain information reflective of the range of experiences, a census is the most practical approach.</w:t>
      </w:r>
    </w:p>
    <w:p w:rsidRPr="0088480E" w:rsidR="63E58C96" w:rsidP="4B6D1BBD" w:rsidRDefault="63E58C96" w14:paraId="4694F885" w14:textId="2CF70560">
      <w:pPr>
        <w:spacing w:beforeAutospacing="1"/>
      </w:pPr>
      <w:r w:rsidRPr="0088480E">
        <w:t xml:space="preserve">For the alumni </w:t>
      </w:r>
      <w:r w:rsidRPr="0088480E" w:rsidR="00625B32">
        <w:t xml:space="preserve">surveys, a census will be taken, as we anticipate that a significant portion of the existing contact data may be out of date, and it may not be possible to update it prior to data collection.  </w:t>
      </w:r>
      <w:r w:rsidRPr="0088480E" w:rsidR="259E415C">
        <w:t xml:space="preserve">In addition, ECA programs have a wide range of participant sizes; and for many programs, while </w:t>
      </w:r>
      <w:r w:rsidRPr="0088480E" w:rsidR="5D59F59C">
        <w:t>they may</w:t>
      </w:r>
      <w:r w:rsidRPr="0088480E" w:rsidR="00625B32">
        <w:t xml:space="preserve"> have had large numbers of participants, the participant groups are fairly small – most participants </w:t>
      </w:r>
      <w:r w:rsidRPr="0088480E" w:rsidR="7892FC69">
        <w:t xml:space="preserve">are </w:t>
      </w:r>
      <w:r w:rsidRPr="0088480E" w:rsidR="00625B32">
        <w:t xml:space="preserve">in cohorts of 15 to 30, and experiences will have differed by </w:t>
      </w:r>
      <w:r w:rsidRPr="0088480E" w:rsidR="00625B32">
        <w:lastRenderedPageBreak/>
        <w:t xml:space="preserve">cohort.  Thus, to obtain information reflective of the range of experiences, a census is the most practical approach.  </w:t>
      </w:r>
    </w:p>
    <w:p w:rsidRPr="0088480E" w:rsidR="126C9FCA" w:rsidP="435BCE3A" w:rsidRDefault="126C9FCA" w14:paraId="18FC0F57" w14:textId="22F5244E">
      <w:pPr>
        <w:spacing w:beforeAutospacing="1"/>
      </w:pPr>
      <w:r w:rsidRPr="0088480E">
        <w:t>For the U.S. host</w:t>
      </w:r>
      <w:r w:rsidRPr="0088480E" w:rsidR="000C59BB">
        <w:t>/home</w:t>
      </w:r>
      <w:r w:rsidRPr="0088480E">
        <w:t xml:space="preserve"> community surveys, the data collection will rely </w:t>
      </w:r>
      <w:r w:rsidRPr="0088480E" w:rsidR="5C2DDFA5">
        <w:t>on a snowball sampling approach: surveys will be shared with award recipient staff, with a request that these be shared either directly with their point</w:t>
      </w:r>
      <w:r w:rsidRPr="0088480E" w:rsidR="000C59BB">
        <w:t>s</w:t>
      </w:r>
      <w:r w:rsidRPr="0088480E" w:rsidR="5C2DDFA5">
        <w:t xml:space="preserve"> of contact within the community, in which the U.S. host community members are located as well as via any relevant social media platforms. Thus, it is likely that the distribution of responses will be uneven.</w:t>
      </w:r>
    </w:p>
    <w:p w:rsidRPr="0088480E" w:rsidR="044101CB" w:rsidP="2337C34A" w:rsidRDefault="044101CB" w14:paraId="4106A581" w14:textId="69214370">
      <w:pPr>
        <w:rPr>
          <w:szCs w:val="24"/>
        </w:rPr>
      </w:pPr>
      <w:r w:rsidRPr="0088480E">
        <w:rPr>
          <w:b/>
          <w:bCs/>
          <w:i/>
          <w:iCs/>
          <w:szCs w:val="24"/>
        </w:rPr>
        <w:t>Online Surveys</w:t>
      </w:r>
    </w:p>
    <w:p w:rsidRPr="0088480E" w:rsidR="044101CB" w:rsidP="2337C34A" w:rsidRDefault="044101CB" w14:paraId="2713BFE2" w14:textId="2EEDEE10">
      <w:pPr>
        <w:spacing w:line="259" w:lineRule="auto"/>
        <w:rPr>
          <w:szCs w:val="24"/>
        </w:rPr>
      </w:pPr>
      <w:r w:rsidRPr="0088480E">
        <w:rPr>
          <w:szCs w:val="24"/>
        </w:rPr>
        <w:t xml:space="preserve">The </w:t>
      </w:r>
      <w:r w:rsidRPr="0088480E" w:rsidR="002517EA">
        <w:rPr>
          <w:szCs w:val="24"/>
        </w:rPr>
        <w:t>ECA Evaluation Division</w:t>
      </w:r>
      <w:r w:rsidRPr="0088480E">
        <w:rPr>
          <w:szCs w:val="24"/>
        </w:rPr>
        <w:t xml:space="preserve"> will utilize surveys as a means for data collection using the Qualtrics survey tool. The evaluation team will customize electronic surveys for each key stakeholder groups. Wherever possible, questions and scales were designed for simplicity and parsimoniousness.  As much as possible, response categories were limited to multiple choice and no more than five-point scale options to reduce the time required to respond to the questions.  </w:t>
      </w:r>
    </w:p>
    <w:p w:rsidRPr="0088480E" w:rsidR="044101CB" w:rsidP="2337C34A" w:rsidRDefault="044101CB" w14:paraId="62DA684F" w14:textId="510C2B62">
      <w:pPr>
        <w:spacing w:line="259" w:lineRule="auto"/>
        <w:rPr>
          <w:szCs w:val="24"/>
        </w:rPr>
      </w:pPr>
      <w:r w:rsidRPr="0088480E">
        <w:rPr>
          <w:szCs w:val="24"/>
        </w:rPr>
        <w:t xml:space="preserve">The invitation to complete the survey will include an estimated completion time, which should encourage participation.  </w:t>
      </w:r>
    </w:p>
    <w:p w:rsidRPr="0088480E" w:rsidR="044101CB" w:rsidP="2337C34A" w:rsidRDefault="044101CB" w14:paraId="16BEE746" w14:textId="6FF626E4">
      <w:pPr>
        <w:spacing w:line="259" w:lineRule="auto"/>
      </w:pPr>
      <w:r w:rsidRPr="0088480E">
        <w:t>The surveys will be developed in Qualtrics, a sophisticated electronic survey tool. Each target key group will have its own survey structure that follows a logic based on the key group and sub-group. Each survey will be open for a period of 4 – 6 weeks.</w:t>
      </w:r>
      <w:r w:rsidRPr="0088480E" w:rsidR="003A470A">
        <w:t xml:space="preserve">  The ECA Evaluation Division will track diagnostics </w:t>
      </w:r>
      <w:r w:rsidRPr="0088480E" w:rsidR="00B314DB">
        <w:t xml:space="preserve">and response rates </w:t>
      </w:r>
      <w:r w:rsidRPr="0088480E" w:rsidR="003A470A">
        <w:t>through our Qualtrics tool to confirm adequate survey coverage of key groups (e.g., at least 30% response for each survey stakeholder group). After the initial invitation, anyone who has not completed the survey will receive email reminders at two weeks, one week, four days, and one day to the survey closing to encourage additional responses.  Those who have completed the surveys will not receive the reminders.</w:t>
      </w:r>
    </w:p>
    <w:p w:rsidRPr="0088480E" w:rsidR="00625B32" w:rsidP="2337C34A" w:rsidRDefault="00625B32" w14:paraId="576F4F27" w14:textId="77777777">
      <w:pPr>
        <w:spacing w:before="100" w:beforeAutospacing="1"/>
        <w:rPr>
          <w:b/>
          <w:bCs/>
        </w:rPr>
      </w:pPr>
      <w:r w:rsidRPr="0088480E">
        <w:rPr>
          <w:b/>
          <w:bCs/>
        </w:rPr>
        <w:t>3.</w:t>
      </w:r>
      <w:r w:rsidRPr="0088480E">
        <w:tab/>
      </w:r>
      <w:r w:rsidRPr="0088480E">
        <w:rPr>
          <w:b/>
          <w:bCs/>
        </w:rPr>
        <w:t>Maximization of Response Rates and Nonresponse</w:t>
      </w:r>
    </w:p>
    <w:p w:rsidRPr="0088480E" w:rsidR="00625B32" w:rsidP="2337C34A" w:rsidRDefault="00625B32" w14:paraId="643C6F92" w14:textId="77777777">
      <w:pPr>
        <w:spacing w:before="100" w:beforeAutospacing="1"/>
      </w:pPr>
      <w:r w:rsidRPr="0088480E">
        <w:t xml:space="preserve">Expected response rates and nonresponse will vary by data collection instrument.  Each is discussed in a separate section below.  </w:t>
      </w:r>
    </w:p>
    <w:p w:rsidRPr="0088480E" w:rsidR="6E18F479" w:rsidP="2337C34A" w:rsidRDefault="6E18F479" w14:paraId="153F183C" w14:textId="4658E62E">
      <w:pPr>
        <w:spacing w:beforeAutospacing="1"/>
        <w:rPr>
          <w:b/>
          <w:bCs/>
        </w:rPr>
      </w:pPr>
      <w:r w:rsidRPr="0088480E">
        <w:rPr>
          <w:b/>
          <w:bCs/>
        </w:rPr>
        <w:t xml:space="preserve">Post-Program Participant Survey </w:t>
      </w:r>
    </w:p>
    <w:p w:rsidRPr="0088480E" w:rsidR="2517D881" w:rsidP="435BCE3A" w:rsidRDefault="2517D881" w14:paraId="78E8E814" w14:textId="40C5C3B8">
      <w:pPr>
        <w:spacing w:beforeAutospacing="1"/>
      </w:pPr>
      <w:r w:rsidRPr="0088480E">
        <w:t>ECA considers nonresponse to be a risk. For post-program surveys, ECA survey questions will be administered by award recipients as part of larger feedback surveys. Reminders</w:t>
      </w:r>
      <w:r w:rsidRPr="0088480E" w:rsidR="697F8C7B">
        <w:t xml:space="preserve"> will similarly be administered by award recipients and will be dependent on each award recipients’ practices. </w:t>
      </w:r>
    </w:p>
    <w:p w:rsidRPr="0088480E" w:rsidR="00625B32" w:rsidP="2337C34A" w:rsidRDefault="00625B32" w14:paraId="4318A807" w14:textId="77777777">
      <w:pPr>
        <w:spacing w:before="100" w:beforeAutospacing="1"/>
        <w:rPr>
          <w:b/>
          <w:bCs/>
        </w:rPr>
      </w:pPr>
      <w:r w:rsidRPr="0088480E">
        <w:rPr>
          <w:b/>
          <w:bCs/>
        </w:rPr>
        <w:t xml:space="preserve">Alumni Survey </w:t>
      </w:r>
    </w:p>
    <w:p w:rsidRPr="0088480E" w:rsidR="00625B32" w:rsidP="435BCE3A" w:rsidRDefault="00625B32" w14:paraId="3ACB198E" w14:textId="0F2DED99">
      <w:pPr>
        <w:spacing w:before="100" w:beforeAutospacing="1"/>
      </w:pPr>
      <w:r w:rsidRPr="0088480E">
        <w:t xml:space="preserve">ECA considers nonresponse to be a risk. As noted earlier, the surveys will be designed to be viewed on mobile devices, which may also increase willingness to complete the survey.  Wherever possible, questions and scales were selected for parsimoniousness.  As much as possible, response categories were limited to yes/no and no more than four-point scale options to reduce the time required to respond to the questions.   </w:t>
      </w:r>
    </w:p>
    <w:p w:rsidRPr="0088480E" w:rsidR="00625B32" w:rsidP="2337C34A" w:rsidRDefault="00625B32" w14:paraId="48800ED7" w14:textId="621E1A26">
      <w:pPr>
        <w:spacing w:before="100" w:beforeAutospacing="1"/>
      </w:pPr>
      <w:r w:rsidRPr="0088480E">
        <w:lastRenderedPageBreak/>
        <w:t xml:space="preserve">Although the </w:t>
      </w:r>
      <w:r w:rsidRPr="0088480E" w:rsidR="5F9AB3FC">
        <w:t xml:space="preserve">alumni </w:t>
      </w:r>
      <w:r w:rsidRPr="0088480E">
        <w:t>survey</w:t>
      </w:r>
      <w:r w:rsidRPr="0088480E" w:rsidR="368E3DDF">
        <w:t>s</w:t>
      </w:r>
      <w:r w:rsidRPr="0088480E">
        <w:t xml:space="preserve"> will be sent as a census, it is </w:t>
      </w:r>
      <w:r w:rsidRPr="0088480E" w:rsidR="6C990482">
        <w:t xml:space="preserve">possible </w:t>
      </w:r>
      <w:r w:rsidRPr="0088480E">
        <w:t>that responses will be most forthcoming from the most recent alumni</w:t>
      </w:r>
      <w:r w:rsidRPr="0088480E" w:rsidR="289E6A88">
        <w:t xml:space="preserve"> (e.g. one-year surveys)</w:t>
      </w:r>
      <w:r w:rsidRPr="0088480E" w:rsidR="78D7F034">
        <w:t xml:space="preserve"> and may vary by program, and country</w:t>
      </w:r>
      <w:r w:rsidRPr="0088480E">
        <w:t>.</w:t>
      </w:r>
      <w:r w:rsidRPr="0088480E" w:rsidR="1A5B7F13">
        <w:t xml:space="preserve"> For </w:t>
      </w:r>
      <w:r w:rsidRPr="0088480E" w:rsidR="19131A53">
        <w:t xml:space="preserve">all alumni </w:t>
      </w:r>
      <w:r w:rsidRPr="0088480E" w:rsidR="1A5B7F13">
        <w:t>surveys,</w:t>
      </w:r>
      <w:r w:rsidRPr="0088480E">
        <w:t xml:space="preserve"> </w:t>
      </w:r>
      <w:r w:rsidRPr="0088480E" w:rsidR="71FF766D">
        <w:t>ECA</w:t>
      </w:r>
      <w:r w:rsidRPr="0088480E" w:rsidR="549B0D38">
        <w:t xml:space="preserve"> </w:t>
      </w:r>
      <w:r w:rsidRPr="0088480E">
        <w:t xml:space="preserve">will conduct a nonresponse analysis during the data analysis phase to determine the extent to which the respondents represent the universe of </w:t>
      </w:r>
      <w:r w:rsidRPr="0088480E" w:rsidR="1AADC8BF">
        <w:t xml:space="preserve">ECA </w:t>
      </w:r>
      <w:r w:rsidRPr="0088480E">
        <w:t>program participants.  If necessary, responses may be weighted in the data analysis phase to adjust for nonresponse, and any adjustments to the analysis will be discussed in the methodology section of the</w:t>
      </w:r>
      <w:r w:rsidRPr="0088480E" w:rsidR="5E299213">
        <w:t xml:space="preserve"> internal</w:t>
      </w:r>
      <w:r w:rsidRPr="0088480E">
        <w:t xml:space="preserve"> report. </w:t>
      </w:r>
    </w:p>
    <w:p w:rsidRPr="0088480E" w:rsidR="65E59612" w:rsidP="2337C34A" w:rsidRDefault="65E59612" w14:paraId="4BF3B1D4" w14:textId="11702E37">
      <w:pPr>
        <w:spacing w:beforeAutospacing="1"/>
      </w:pPr>
      <w:r w:rsidRPr="0088480E">
        <w:rPr>
          <w:b/>
          <w:bCs/>
        </w:rPr>
        <w:t>U.S. Host Community Member Survey</w:t>
      </w:r>
    </w:p>
    <w:p w:rsidRPr="0088480E" w:rsidR="19DD0BD1" w:rsidP="435BCE3A" w:rsidRDefault="5E09424F" w14:paraId="21E976DB" w14:textId="09293559">
      <w:pPr>
        <w:spacing w:beforeAutospacing="1"/>
      </w:pPr>
      <w:r w:rsidRPr="0088480E">
        <w:t xml:space="preserve">ECA considers nonresponse to be a risk as </w:t>
      </w:r>
      <w:r w:rsidRPr="0088480E" w:rsidR="19DD0BD1">
        <w:t xml:space="preserve">ECA has not historically surveyed this stakeholder groups. </w:t>
      </w:r>
      <w:r w:rsidRPr="0088480E" w:rsidR="467D1F8D">
        <w:t xml:space="preserve">The survey </w:t>
      </w:r>
      <w:r w:rsidRPr="0088480E" w:rsidR="71F70CBD">
        <w:t>of U.S. host community members</w:t>
      </w:r>
      <w:r w:rsidRPr="0088480E" w:rsidR="550D9E8A">
        <w:t xml:space="preserve"> will rely on a snowball sampling approach</w:t>
      </w:r>
      <w:r w:rsidRPr="0088480E" w:rsidR="43F06773">
        <w:t>: surveys will be shared with award recipients staff, with a request that these be shared either directly with their point of contacts within the community, in which the U.S. host community members are located as well as via any relevant social media platforms.</w:t>
      </w:r>
      <w:r w:rsidRPr="0088480E" w:rsidR="71F70CBD">
        <w:t xml:space="preserve"> </w:t>
      </w:r>
      <w:r w:rsidRPr="0088480E" w:rsidR="334603A8">
        <w:t>Thus, it is likely that the distribution of responses will be uneven. I</w:t>
      </w:r>
      <w:r w:rsidRPr="0088480E" w:rsidR="71F70CBD">
        <w:t xml:space="preserve">t is anticipated that the response rate to surveys will be low, as the U.S. host community members may have less investment in the program than the alumni.  </w:t>
      </w:r>
      <w:r w:rsidRPr="0088480E" w:rsidR="19DD0BD1">
        <w:t xml:space="preserve">Based on </w:t>
      </w:r>
      <w:proofErr w:type="gramStart"/>
      <w:r w:rsidRPr="0088480E" w:rsidR="19DD0BD1">
        <w:t>past experience</w:t>
      </w:r>
      <w:proofErr w:type="gramEnd"/>
      <w:r w:rsidRPr="0088480E" w:rsidR="19DD0BD1">
        <w:t xml:space="preserve"> with two evaluations that incorporate</w:t>
      </w:r>
      <w:r w:rsidRPr="0088480E" w:rsidR="57FCFF24">
        <w:t xml:space="preserve">d data collections from this group, we anticipate the response rate to be low. </w:t>
      </w:r>
      <w:r w:rsidRPr="0088480E" w:rsidR="19DD0BD1">
        <w:t xml:space="preserve"> </w:t>
      </w:r>
    </w:p>
    <w:p w:rsidRPr="0088480E" w:rsidR="00625B32" w:rsidP="2337C34A" w:rsidRDefault="00625B32" w14:paraId="710E012E" w14:textId="15A5B721">
      <w:pPr>
        <w:spacing w:before="100" w:beforeAutospacing="1"/>
        <w:rPr>
          <w:b/>
          <w:bCs/>
        </w:rPr>
      </w:pPr>
      <w:r w:rsidRPr="0088480E">
        <w:rPr>
          <w:b/>
          <w:bCs/>
        </w:rPr>
        <w:t>4.</w:t>
      </w:r>
      <w:r w:rsidRPr="0088480E">
        <w:tab/>
      </w:r>
      <w:r w:rsidRPr="0088480E" w:rsidR="2C86A4E2">
        <w:rPr>
          <w:b/>
          <w:bCs/>
        </w:rPr>
        <w:t xml:space="preserve">Data Analysis and </w:t>
      </w:r>
      <w:r w:rsidRPr="0088480E" w:rsidR="6707DD36">
        <w:rPr>
          <w:b/>
          <w:bCs/>
        </w:rPr>
        <w:t>Reporting</w:t>
      </w:r>
    </w:p>
    <w:p w:rsidRPr="0088480E" w:rsidR="03ADF787" w:rsidP="1511A3AB" w:rsidRDefault="03ADF787" w14:paraId="2C3D3232" w14:textId="2B3F76A6">
      <w:pPr>
        <w:spacing w:beforeAutospacing="1"/>
      </w:pPr>
      <w:r w:rsidRPr="0088480E">
        <w:t xml:space="preserve">Once data have been collected and analyzed, the Evaluation Division will produce an annual report for internal use. </w:t>
      </w:r>
      <w:r w:rsidRPr="0088480E" w:rsidR="3BABF3F9">
        <w:t xml:space="preserve">Quantitative data will undergo </w:t>
      </w:r>
      <w:proofErr w:type="gramStart"/>
      <w:r w:rsidRPr="0088480E" w:rsidR="3BABF3F9">
        <w:t>fairly simple</w:t>
      </w:r>
      <w:proofErr w:type="gramEnd"/>
      <w:r w:rsidRPr="0088480E" w:rsidR="3BABF3F9">
        <w:t xml:space="preserve"> analyses to generate sums or averages. </w:t>
      </w:r>
      <w:r w:rsidRPr="0088480E">
        <w:t>Survey res</w:t>
      </w:r>
      <w:r w:rsidRPr="0088480E" w:rsidR="10C0BB2A">
        <w:t>ults w</w:t>
      </w:r>
      <w:r w:rsidRPr="0088480E">
        <w:t>i</w:t>
      </w:r>
      <w:r w:rsidRPr="0088480E" w:rsidR="10C0BB2A">
        <w:t>ll primarily</w:t>
      </w:r>
      <w:r w:rsidRPr="0088480E" w:rsidR="1469322B">
        <w:t xml:space="preserve"> be presented in the aggregate, with survey questions tabulated and reported under the</w:t>
      </w:r>
      <w:r w:rsidRPr="0088480E" w:rsidR="07A30BE5">
        <w:t>ir</w:t>
      </w:r>
      <w:r w:rsidRPr="0088480E" w:rsidR="1469322B">
        <w:t xml:space="preserve"> corresponding indicator</w:t>
      </w:r>
      <w:r w:rsidRPr="0088480E" w:rsidR="19FE3620">
        <w:t>s</w:t>
      </w:r>
      <w:r w:rsidRPr="0088480E" w:rsidR="1469322B">
        <w:t xml:space="preserve">. For example, the survey question: </w:t>
      </w:r>
      <w:r w:rsidRPr="0088480E" w:rsidR="27C135A0">
        <w:t>“</w:t>
      </w:r>
      <w:r w:rsidRPr="0088480E" w:rsidR="27C135A0">
        <w:rPr>
          <w:i/>
          <w:iCs/>
          <w:szCs w:val="24"/>
        </w:rPr>
        <w:t xml:space="preserve">Do you consider yourself an </w:t>
      </w:r>
      <w:proofErr w:type="gramStart"/>
      <w:r w:rsidRPr="0088480E" w:rsidR="27C135A0">
        <w:rPr>
          <w:i/>
          <w:iCs/>
          <w:szCs w:val="24"/>
        </w:rPr>
        <w:t>alumni of a U.S. Department of State program</w:t>
      </w:r>
      <w:proofErr w:type="gramEnd"/>
      <w:r w:rsidRPr="0088480E" w:rsidR="27C135A0">
        <w:rPr>
          <w:i/>
          <w:iCs/>
          <w:szCs w:val="24"/>
        </w:rPr>
        <w:t xml:space="preserve">?” </w:t>
      </w:r>
      <w:r w:rsidRPr="0088480E" w:rsidR="27C135A0">
        <w:rPr>
          <w:szCs w:val="24"/>
        </w:rPr>
        <w:t xml:space="preserve">will be reported under the corresponding indicator </w:t>
      </w:r>
      <w:r w:rsidRPr="00B9428D" w:rsidR="27C135A0">
        <w:rPr>
          <w:i/>
          <w:szCs w:val="24"/>
        </w:rPr>
        <w:t>P</w:t>
      </w:r>
      <w:r w:rsidRPr="0088480E" w:rsidR="27C135A0">
        <w:rPr>
          <w:i/>
          <w:iCs/>
          <w:szCs w:val="24"/>
        </w:rPr>
        <w:t>ercent of participants who identify as a Department of State program alumni</w:t>
      </w:r>
      <w:r w:rsidRPr="0088480E" w:rsidR="27C135A0">
        <w:rPr>
          <w:szCs w:val="24"/>
        </w:rPr>
        <w:t>.</w:t>
      </w:r>
      <w:r w:rsidRPr="0088480E" w:rsidR="5926C067">
        <w:rPr>
          <w:szCs w:val="24"/>
        </w:rPr>
        <w:t xml:space="preserve"> Indi</w:t>
      </w:r>
      <w:r w:rsidRPr="0088480E" w:rsidR="0104150F">
        <w:rPr>
          <w:szCs w:val="24"/>
        </w:rPr>
        <w:t xml:space="preserve">cator analysis </w:t>
      </w:r>
      <w:r w:rsidRPr="0088480E" w:rsidR="5926C067">
        <w:rPr>
          <w:szCs w:val="24"/>
        </w:rPr>
        <w:t xml:space="preserve">may </w:t>
      </w:r>
      <w:r w:rsidRPr="0088480E" w:rsidR="5C90CC46">
        <w:rPr>
          <w:szCs w:val="24"/>
        </w:rPr>
        <w:t>include</w:t>
      </w:r>
      <w:r w:rsidRPr="0088480E" w:rsidR="5926C067">
        <w:rPr>
          <w:szCs w:val="24"/>
        </w:rPr>
        <w:t xml:space="preserve"> disaggregat</w:t>
      </w:r>
      <w:r w:rsidRPr="0088480E" w:rsidR="2A3708F2">
        <w:rPr>
          <w:szCs w:val="24"/>
        </w:rPr>
        <w:t>ion</w:t>
      </w:r>
      <w:r w:rsidRPr="0088480E" w:rsidR="5926C067">
        <w:rPr>
          <w:szCs w:val="24"/>
        </w:rPr>
        <w:t xml:space="preserve"> </w:t>
      </w:r>
      <w:r w:rsidRPr="0088480E" w:rsidR="35B2E611">
        <w:t>by variables of interest, such as country of study, program,</w:t>
      </w:r>
      <w:r w:rsidRPr="0088480E" w:rsidR="75D78922">
        <w:t xml:space="preserve"> age group</w:t>
      </w:r>
      <w:r w:rsidRPr="0088480E" w:rsidR="4BF001CF">
        <w:t xml:space="preserve"> (youth vs. non-youth),</w:t>
      </w:r>
      <w:r w:rsidRPr="0088480E" w:rsidR="35B2E611">
        <w:t xml:space="preserve"> sex, etc.</w:t>
      </w:r>
    </w:p>
    <w:p w:rsidRPr="0088480E" w:rsidR="1D1815A9" w:rsidP="435BCE3A" w:rsidRDefault="1D1815A9" w14:paraId="052075DE" w14:textId="69306BAA">
      <w:pPr>
        <w:spacing w:beforeAutospacing="1"/>
      </w:pPr>
      <w:r w:rsidRPr="0088480E">
        <w:t>Although both the post-</w:t>
      </w:r>
      <w:r w:rsidRPr="0088480E" w:rsidR="00B314DB">
        <w:t xml:space="preserve">program </w:t>
      </w:r>
      <w:r w:rsidRPr="0088480E">
        <w:t xml:space="preserve">and alumni surveys will be sent as a census, it is possible that responses will vary by program and country. For </w:t>
      </w:r>
      <w:r w:rsidRPr="0088480E" w:rsidR="67C6BE7F">
        <w:t xml:space="preserve">both </w:t>
      </w:r>
      <w:r w:rsidRPr="0088480E">
        <w:t>surveys, ECA will conduct a nonresponse analysis during the data analysis phase to determine the extent to which the respondents represent the universe of ECA program participants</w:t>
      </w:r>
      <w:r w:rsidRPr="0088480E" w:rsidR="7B6EAD54">
        <w:t xml:space="preserve"> and alumni</w:t>
      </w:r>
      <w:r w:rsidRPr="0088480E">
        <w:t xml:space="preserve">. </w:t>
      </w:r>
      <w:r w:rsidRPr="0088480E" w:rsidR="08E80A1F">
        <w:t xml:space="preserve">Award recipients will </w:t>
      </w:r>
      <w:r w:rsidRPr="007A20E9" w:rsidR="65EE59E9">
        <w:t xml:space="preserve">report response rates as well as </w:t>
      </w:r>
      <w:r w:rsidRPr="005E6247" w:rsidR="08E80A1F">
        <w:t>share raw data files with ECA for this purpose as part of their reporting requirements</w:t>
      </w:r>
      <w:r w:rsidRPr="005E6247" w:rsidR="6FC16F01">
        <w:t xml:space="preserve">.  </w:t>
      </w:r>
      <w:r w:rsidRPr="005E6247">
        <w:t>If necessary, responses may be weighted in the data analysis phase to adjust for nonresponse, and any adjustments to the analysis will be discussed in the methodology section of the internal report.</w:t>
      </w:r>
      <w:r w:rsidRPr="005E6247" w:rsidR="18BA83C5">
        <w:t xml:space="preserve"> Survey responses will be aggregated </w:t>
      </w:r>
    </w:p>
    <w:p w:rsidRPr="0088480E" w:rsidR="00625B32" w:rsidP="4B6D1BBD" w:rsidRDefault="00625B32" w14:paraId="05C381B4" w14:textId="77777777">
      <w:pPr>
        <w:spacing w:before="100" w:beforeAutospacing="1"/>
        <w:rPr>
          <w:b/>
          <w:bCs/>
        </w:rPr>
      </w:pPr>
      <w:r w:rsidRPr="0088480E">
        <w:rPr>
          <w:b/>
          <w:bCs/>
        </w:rPr>
        <w:t>5.</w:t>
      </w:r>
      <w:r w:rsidRPr="0088480E">
        <w:tab/>
      </w:r>
      <w:r w:rsidRPr="0088480E">
        <w:rPr>
          <w:b/>
          <w:bCs/>
        </w:rPr>
        <w:t xml:space="preserve">Relevant Contacts </w:t>
      </w:r>
    </w:p>
    <w:p w:rsidRPr="00F31406" w:rsidR="001551C6" w:rsidP="435BCE3A" w:rsidRDefault="00625B32" w14:paraId="6D6EEC5A" w14:textId="2DF98492">
      <w:pPr>
        <w:spacing w:before="100" w:beforeAutospacing="1"/>
        <w:rPr>
          <w:color w:val="000000" w:themeColor="text1"/>
        </w:rPr>
      </w:pPr>
      <w:proofErr w:type="gramStart"/>
      <w:r w:rsidRPr="0088480E">
        <w:t>A number of</w:t>
      </w:r>
      <w:proofErr w:type="gramEnd"/>
      <w:r w:rsidRPr="0088480E">
        <w:t xml:space="preserve"> ECA staff reviewed and approved the proposed methodology: Natalie Donahue, Chief of Evaluation (</w:t>
      </w:r>
      <w:r w:rsidRPr="0088480E" w:rsidR="000C59BB">
        <w:t>ECAEvaluation@state.gov</w:t>
      </w:r>
      <w:r w:rsidRPr="0088480E">
        <w:t xml:space="preserve">).  </w:t>
      </w:r>
      <w:r w:rsidRPr="0088480E" w:rsidR="5338864F">
        <w:t>ECA</w:t>
      </w:r>
      <w:r w:rsidRPr="0088480E">
        <w:t>’</w:t>
      </w:r>
      <w:r w:rsidRPr="0088480E" w:rsidR="6459165F">
        <w:t>s</w:t>
      </w:r>
      <w:r w:rsidRPr="0088480E">
        <w:t xml:space="preserve"> </w:t>
      </w:r>
      <w:r w:rsidRPr="0088480E" w:rsidR="7FE2DEA7">
        <w:t xml:space="preserve">Evaluation Division </w:t>
      </w:r>
      <w:r w:rsidRPr="0088480E">
        <w:t>will collect and analyze the data on behalf of ECA.</w:t>
      </w:r>
      <w:r>
        <w:t xml:space="preserve">  </w:t>
      </w:r>
    </w:p>
    <w:p w:rsidR="00C32EFD" w:rsidP="2337C34A" w:rsidRDefault="00C32EFD" w14:paraId="536E3C0B" w14:textId="77777777">
      <w:pPr>
        <w:spacing w:before="100" w:beforeAutospacing="1"/>
      </w:pPr>
    </w:p>
    <w:sectPr w:rsidR="00C32EF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50DBCE" w14:textId="77777777" w:rsidR="00AE4679" w:rsidRDefault="00AE4679" w:rsidP="008C6B47">
      <w:pPr>
        <w:spacing w:after="0"/>
      </w:pPr>
      <w:r>
        <w:separator/>
      </w:r>
    </w:p>
  </w:endnote>
  <w:endnote w:type="continuationSeparator" w:id="0">
    <w:p w14:paraId="59838985" w14:textId="77777777" w:rsidR="00AE4679" w:rsidRDefault="00AE4679" w:rsidP="008C6B47">
      <w:pPr>
        <w:spacing w:after="0"/>
      </w:pPr>
      <w:r>
        <w:continuationSeparator/>
      </w:r>
    </w:p>
  </w:endnote>
  <w:endnote w:type="continuationNotice" w:id="1">
    <w:p w14:paraId="5E15E116" w14:textId="77777777" w:rsidR="00AE4679" w:rsidRDefault="00AE46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5207079"/>
      <w:docPartObj>
        <w:docPartGallery w:val="Page Numbers (Bottom of Page)"/>
        <w:docPartUnique/>
      </w:docPartObj>
    </w:sdtPr>
    <w:sdtEndPr>
      <w:rPr>
        <w:noProof/>
      </w:rPr>
    </w:sdtEndPr>
    <w:sdtContent>
      <w:p w14:paraId="2D732154" w14:textId="25205281" w:rsidR="00FA282D" w:rsidRDefault="00FA282D" w:rsidP="00FA282D">
        <w:pPr>
          <w:pStyle w:val="Footer"/>
          <w:jc w:val="center"/>
        </w:pPr>
        <w:r>
          <w:fldChar w:fldCharType="begin"/>
        </w:r>
        <w:r>
          <w:instrText xml:space="preserve"> PAGE   \* MERGEFORMAT </w:instrText>
        </w:r>
        <w:r>
          <w:fldChar w:fldCharType="separate"/>
        </w:r>
        <w:r w:rsidR="00DB0BC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C7B28B" w14:textId="77777777" w:rsidR="00AE4679" w:rsidRDefault="00AE4679" w:rsidP="008C6B47">
      <w:pPr>
        <w:spacing w:after="0"/>
      </w:pPr>
      <w:r>
        <w:separator/>
      </w:r>
    </w:p>
  </w:footnote>
  <w:footnote w:type="continuationSeparator" w:id="0">
    <w:p w14:paraId="43F75D14" w14:textId="77777777" w:rsidR="00AE4679" w:rsidRDefault="00AE4679" w:rsidP="008C6B47">
      <w:pPr>
        <w:spacing w:after="0"/>
      </w:pPr>
      <w:r>
        <w:continuationSeparator/>
      </w:r>
    </w:p>
  </w:footnote>
  <w:footnote w:type="continuationNotice" w:id="1">
    <w:p w14:paraId="328087F8" w14:textId="77777777" w:rsidR="00AE4679" w:rsidRDefault="00AE4679">
      <w:pPr>
        <w:spacing w:after="0"/>
      </w:pPr>
    </w:p>
  </w:footnote>
  <w:footnote w:id="2">
    <w:p w14:paraId="15ED1C99" w14:textId="37BEE666" w:rsidR="003D52A3" w:rsidRDefault="003D52A3" w:rsidP="003D52A3">
      <w:pPr>
        <w:pStyle w:val="Default"/>
      </w:pPr>
      <w:r>
        <w:rPr>
          <w:rStyle w:val="FootnoteReference"/>
        </w:rPr>
        <w:footnoteRef/>
      </w:r>
      <w:r>
        <w:t xml:space="preserve"> </w:t>
      </w:r>
      <w:r w:rsidRPr="003D52A3">
        <w:rPr>
          <w:rFonts w:ascii="Times New Roman" w:hAnsi="Times New Roman" w:cs="Times New Roman"/>
          <w:sz w:val="20"/>
          <w:szCs w:val="20"/>
        </w:rPr>
        <w:t xml:space="preserve">An indicator is a marker of accomplishment/progress. It is a specific, observable, and measurable accomplishment or change that shows the progress made toward achieving a specific output or outcome. MODE Framework indicators will track program the performance and the direction, pace, and magnitude of change of ECA programs. Common examples of indicators </w:t>
      </w:r>
      <w:proofErr w:type="gramStart"/>
      <w:r w:rsidRPr="003D52A3">
        <w:rPr>
          <w:rFonts w:ascii="Times New Roman" w:hAnsi="Times New Roman" w:cs="Times New Roman"/>
          <w:sz w:val="20"/>
          <w:szCs w:val="20"/>
        </w:rPr>
        <w:t>include:</w:t>
      </w:r>
      <w:proofErr w:type="gramEnd"/>
      <w:r w:rsidRPr="003D52A3">
        <w:rPr>
          <w:rFonts w:ascii="Times New Roman" w:hAnsi="Times New Roman" w:cs="Times New Roman"/>
          <w:sz w:val="20"/>
          <w:szCs w:val="20"/>
        </w:rPr>
        <w:t xml:space="preserve"> participation rates,</w:t>
      </w:r>
      <w:r w:rsidR="00F51B37">
        <w:rPr>
          <w:rFonts w:ascii="Times New Roman" w:hAnsi="Times New Roman" w:cs="Times New Roman"/>
          <w:sz w:val="20"/>
          <w:szCs w:val="20"/>
        </w:rPr>
        <w:t xml:space="preserve"> changes in attitudes and </w:t>
      </w:r>
      <w:r w:rsidRPr="003D52A3">
        <w:rPr>
          <w:rFonts w:ascii="Times New Roman" w:hAnsi="Times New Roman" w:cs="Times New Roman"/>
          <w:sz w:val="20"/>
          <w:szCs w:val="20"/>
        </w:rPr>
        <w:t>individual behavior</w:t>
      </w:r>
      <w:r w:rsidR="00F51B37">
        <w:rPr>
          <w:rFonts w:ascii="Times New Roman" w:hAnsi="Times New Roman" w:cs="Times New Roman"/>
          <w:sz w:val="20"/>
          <w:szCs w:val="20"/>
        </w:rPr>
        <w:t>s</w:t>
      </w:r>
      <w:r w:rsidRPr="003D52A3">
        <w:rPr>
          <w:rFonts w:ascii="Times New Roman" w:hAnsi="Times New Roman" w:cs="Times New Roman"/>
          <w:sz w:val="20"/>
          <w:szCs w:val="20"/>
        </w:rPr>
        <w:t>.</w:t>
      </w:r>
      <w:r>
        <w:rPr>
          <w:sz w:val="23"/>
          <w:szCs w:val="23"/>
        </w:rPr>
        <w:t xml:space="preserve"> </w:t>
      </w:r>
    </w:p>
  </w:footnote>
  <w:footnote w:id="3">
    <w:p w14:paraId="36EE2E68" w14:textId="79E5F8DA" w:rsidR="2337C34A" w:rsidRPr="005E6247" w:rsidRDefault="2337C34A" w:rsidP="2337C34A">
      <w:pPr>
        <w:pStyle w:val="FootnoteText"/>
        <w:rPr>
          <w:rFonts w:ascii="Times New Roman" w:hAnsi="Times New Roman" w:cs="Times New Roman"/>
        </w:rPr>
      </w:pPr>
      <w:r w:rsidRPr="005E6247">
        <w:rPr>
          <w:rStyle w:val="FootnoteReference"/>
          <w:rFonts w:ascii="Times New Roman" w:hAnsi="Times New Roman" w:cs="Times New Roman"/>
        </w:rPr>
        <w:footnoteRef/>
      </w:r>
      <w:r w:rsidRPr="005E6247">
        <w:rPr>
          <w:rFonts w:ascii="Times New Roman" w:hAnsi="Times New Roman" w:cs="Times New Roman"/>
        </w:rPr>
        <w:t xml:space="preserve"> Note: This is the first time ECA will be surveying this group. Ad-hoc collections that were part of evaluations relied predominantly on snowball sampling and has historically yielded a very low response rate. </w:t>
      </w:r>
    </w:p>
  </w:footnote>
  <w:footnote w:id="4">
    <w:p w14:paraId="5924ECAB" w14:textId="16B0AB6E" w:rsidR="435BCE3A" w:rsidRDefault="435BCE3A" w:rsidP="435BCE3A">
      <w:pPr>
        <w:pStyle w:val="FootnoteText"/>
      </w:pPr>
      <w:r w:rsidRPr="005E6247">
        <w:rPr>
          <w:rStyle w:val="FootnoteReference"/>
          <w:rFonts w:ascii="Times New Roman" w:hAnsi="Times New Roman" w:cs="Times New Roman"/>
        </w:rPr>
        <w:footnoteRef/>
      </w:r>
      <w:r w:rsidRPr="005E6247">
        <w:rPr>
          <w:rFonts w:ascii="Times New Roman" w:hAnsi="Times New Roman" w:cs="Times New Roman"/>
        </w:rPr>
        <w:t xml:space="preserve"> Research has shown that respondents can complete approximately five close-ended questions per minute and two open-ended questions per minute. URL: https://www.surveygizmo.com/resources/blog/survey-response-rates/</w:t>
      </w:r>
    </w:p>
  </w:footnote>
  <w:footnote w:id="5">
    <w:p w14:paraId="04C6C501" w14:textId="65ADD96B" w:rsidR="00FA282D" w:rsidRPr="00FA282D" w:rsidRDefault="00FA282D" w:rsidP="008C6B47">
      <w:pPr>
        <w:pStyle w:val="FootnoteText"/>
        <w:rPr>
          <w:rFonts w:ascii="Times New Roman" w:hAnsi="Times New Roman" w:cs="Times New Roman"/>
        </w:rPr>
      </w:pPr>
      <w:r w:rsidRPr="00FA282D">
        <w:rPr>
          <w:rStyle w:val="FootnoteReference"/>
          <w:rFonts w:ascii="Times New Roman" w:hAnsi="Times New Roman" w:cs="Times New Roman"/>
        </w:rPr>
        <w:footnoteRef/>
      </w:r>
      <w:r w:rsidR="42C6E073" w:rsidRPr="00FA282D">
        <w:rPr>
          <w:rFonts w:ascii="Times New Roman" w:hAnsi="Times New Roman" w:cs="Times New Roman"/>
        </w:rPr>
        <w:t xml:space="preserve"> USDOL Bureau of Labor Statistics, May 2019 National Occupational Employment and Wage Estimates, </w:t>
      </w:r>
      <w:hyperlink r:id="rId1" w:anchor="25-0000" w:history="1">
        <w:r w:rsidR="42C6E073" w:rsidRPr="00FA282D">
          <w:rPr>
            <w:rStyle w:val="Hyperlink"/>
            <w:rFonts w:ascii="Times New Roman" w:hAnsi="Times New Roman" w:cs="Times New Roman"/>
          </w:rPr>
          <w:t>https://www.bls.gov/oes/current/oes_nat.htm#25-0000</w:t>
        </w:r>
      </w:hyperlink>
      <w:r w:rsidR="42C6E073" w:rsidRPr="00FA282D">
        <w:rPr>
          <w:rFonts w:ascii="Times New Roman" w:hAnsi="Times New Roman" w:cs="Times New Roman"/>
        </w:rPr>
        <w:t xml:space="preserve">, last updated March 31, 2020, accessed April 9, 2020. </w:t>
      </w:r>
    </w:p>
  </w:footnote>
  <w:footnote w:id="6">
    <w:p w14:paraId="5880599B" w14:textId="77777777" w:rsidR="00FA282D" w:rsidRPr="00FA282D" w:rsidRDefault="00FA282D" w:rsidP="008C6B47">
      <w:pPr>
        <w:pStyle w:val="FootnoteText"/>
        <w:rPr>
          <w:rFonts w:ascii="Times New Roman" w:hAnsi="Times New Roman" w:cs="Times New Roman"/>
        </w:rPr>
      </w:pPr>
      <w:r w:rsidRPr="00FA282D">
        <w:rPr>
          <w:rStyle w:val="FootnoteReference"/>
          <w:rFonts w:ascii="Times New Roman" w:hAnsi="Times New Roman" w:cs="Times New Roman"/>
        </w:rPr>
        <w:footnoteRef/>
      </w:r>
      <w:r w:rsidRPr="00FA282D">
        <w:rPr>
          <w:rFonts w:ascii="Times New Roman" w:hAnsi="Times New Roman" w:cs="Times New Roman"/>
        </w:rPr>
        <w:t xml:space="preserve"> These rates likely overstate the actual cost, as many of the alumni are full-time students and may not be employed, and many of the parents may have lower pay rates than our estimate, but these seemed reasonable proxies. </w:t>
      </w:r>
    </w:p>
  </w:footnote>
  <w:footnote w:id="7">
    <w:p w14:paraId="710998F9" w14:textId="77777777" w:rsidR="00996395" w:rsidRDefault="00996395" w:rsidP="00996395">
      <w:pPr>
        <w:pStyle w:val="FootnoteText"/>
        <w:rPr>
          <w:rFonts w:ascii="Times New Roman" w:eastAsia="Times New Roman" w:hAnsi="Times New Roman" w:cs="Times New Roman"/>
          <w:color w:val="0000FF"/>
          <w:u w:val="single"/>
        </w:rPr>
      </w:pPr>
      <w:r w:rsidRPr="2337C34A">
        <w:rPr>
          <w:rStyle w:val="FootnoteReference"/>
        </w:rPr>
        <w:footnoteRef/>
      </w:r>
      <w:r>
        <w:t xml:space="preserve"> </w:t>
      </w:r>
      <w:r w:rsidRPr="2337C34A">
        <w:rPr>
          <w:rFonts w:ascii="Times New Roman" w:eastAsia="Times New Roman" w:hAnsi="Times New Roman" w:cs="Times New Roman"/>
        </w:rPr>
        <w:t xml:space="preserve">Source: Office of Personnel Management, “2020 General Schedule (GS) Locality Pay Tables,” </w:t>
      </w:r>
      <w:hyperlink r:id="rId2">
        <w:r w:rsidRPr="2337C34A">
          <w:rPr>
            <w:rStyle w:val="Hyperlink"/>
          </w:rPr>
          <w:t>https://www.opm.gov/policy-data-oversight/pay-leave/salaries-wages/2020/general-schedule/</w:t>
        </w:r>
      </w:hyperlink>
    </w:p>
  </w:footnote>
  <w:footnote w:id="8">
    <w:p w14:paraId="34E717B2" w14:textId="494715AE" w:rsidR="4B6D1BBD" w:rsidRPr="000E67DF" w:rsidRDefault="4B6D1BBD" w:rsidP="4B6D1BBD">
      <w:pPr>
        <w:pStyle w:val="FootnoteText"/>
        <w:rPr>
          <w:rFonts w:ascii="Times New Roman" w:hAnsi="Times New Roman" w:cs="Times New Roman"/>
          <w:sz w:val="18"/>
          <w:szCs w:val="18"/>
        </w:rPr>
      </w:pPr>
      <w:r w:rsidRPr="000E67DF">
        <w:rPr>
          <w:rStyle w:val="FootnoteReference"/>
          <w:rFonts w:ascii="Times New Roman" w:hAnsi="Times New Roman" w:cs="Times New Roman"/>
          <w:sz w:val="18"/>
          <w:szCs w:val="18"/>
        </w:rPr>
        <w:footnoteRef/>
      </w:r>
      <w:r w:rsidRPr="000E67DF">
        <w:rPr>
          <w:rFonts w:ascii="Times New Roman" w:hAnsi="Times New Roman" w:cs="Times New Roman"/>
          <w:sz w:val="18"/>
          <w:szCs w:val="18"/>
        </w:rPr>
        <w:t xml:space="preserve"> </w:t>
      </w:r>
      <w:r w:rsidRPr="000E67DF">
        <w:rPr>
          <w:rFonts w:ascii="Times New Roman" w:eastAsia="Calibri" w:hAnsi="Times New Roman" w:cs="Times New Roman"/>
          <w:sz w:val="18"/>
          <w:szCs w:val="18"/>
        </w:rPr>
        <w:t>66,691 represents the 2016 number of ECA exchange participants.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EE04D" w14:textId="77777777" w:rsidR="00FA282D" w:rsidRDefault="00FA282D">
    <w:pPr>
      <w:pStyle w:val="Header"/>
      <w:jc w:val="right"/>
    </w:pPr>
  </w:p>
  <w:p w14:paraId="3C4FEB60" w14:textId="77777777" w:rsidR="00FA282D" w:rsidRDefault="00FA28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14AD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90E2050"/>
    <w:multiLevelType w:val="hybridMultilevel"/>
    <w:tmpl w:val="98DCC172"/>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2F1257"/>
    <w:multiLevelType w:val="multilevel"/>
    <w:tmpl w:val="6FFC93A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27632EEE"/>
    <w:multiLevelType w:val="hybridMultilevel"/>
    <w:tmpl w:val="5B0EBBA4"/>
    <w:lvl w:ilvl="0" w:tplc="0E563F12">
      <w:start w:val="1"/>
      <w:numFmt w:val="bullet"/>
      <w:lvlText w:val=""/>
      <w:lvlJc w:val="left"/>
      <w:pPr>
        <w:ind w:left="720" w:hanging="360"/>
      </w:pPr>
      <w:rPr>
        <w:rFonts w:ascii="Symbol" w:hAnsi="Symbol" w:hint="default"/>
      </w:rPr>
    </w:lvl>
    <w:lvl w:ilvl="1" w:tplc="EDE27CE8">
      <w:start w:val="1"/>
      <w:numFmt w:val="bullet"/>
      <w:lvlText w:val="o"/>
      <w:lvlJc w:val="left"/>
      <w:pPr>
        <w:ind w:left="1440" w:hanging="360"/>
      </w:pPr>
      <w:rPr>
        <w:rFonts w:ascii="Courier New" w:hAnsi="Courier New" w:hint="default"/>
      </w:rPr>
    </w:lvl>
    <w:lvl w:ilvl="2" w:tplc="2F3A1DD4">
      <w:start w:val="1"/>
      <w:numFmt w:val="bullet"/>
      <w:lvlText w:val=""/>
      <w:lvlJc w:val="left"/>
      <w:pPr>
        <w:ind w:left="2160" w:hanging="360"/>
      </w:pPr>
      <w:rPr>
        <w:rFonts w:ascii="Wingdings" w:hAnsi="Wingdings" w:hint="default"/>
      </w:rPr>
    </w:lvl>
    <w:lvl w:ilvl="3" w:tplc="C20A74F2">
      <w:start w:val="1"/>
      <w:numFmt w:val="bullet"/>
      <w:lvlText w:val=""/>
      <w:lvlJc w:val="left"/>
      <w:pPr>
        <w:ind w:left="2880" w:hanging="360"/>
      </w:pPr>
      <w:rPr>
        <w:rFonts w:ascii="Symbol" w:hAnsi="Symbol" w:hint="default"/>
      </w:rPr>
    </w:lvl>
    <w:lvl w:ilvl="4" w:tplc="EFDE9E9A">
      <w:start w:val="1"/>
      <w:numFmt w:val="bullet"/>
      <w:lvlText w:val="o"/>
      <w:lvlJc w:val="left"/>
      <w:pPr>
        <w:ind w:left="3600" w:hanging="360"/>
      </w:pPr>
      <w:rPr>
        <w:rFonts w:ascii="Courier New" w:hAnsi="Courier New" w:hint="default"/>
      </w:rPr>
    </w:lvl>
    <w:lvl w:ilvl="5" w:tplc="264694F6">
      <w:start w:val="1"/>
      <w:numFmt w:val="bullet"/>
      <w:lvlText w:val=""/>
      <w:lvlJc w:val="left"/>
      <w:pPr>
        <w:ind w:left="4320" w:hanging="360"/>
      </w:pPr>
      <w:rPr>
        <w:rFonts w:ascii="Wingdings" w:hAnsi="Wingdings" w:hint="default"/>
      </w:rPr>
    </w:lvl>
    <w:lvl w:ilvl="6" w:tplc="32A69794">
      <w:start w:val="1"/>
      <w:numFmt w:val="bullet"/>
      <w:lvlText w:val=""/>
      <w:lvlJc w:val="left"/>
      <w:pPr>
        <w:ind w:left="5040" w:hanging="360"/>
      </w:pPr>
      <w:rPr>
        <w:rFonts w:ascii="Symbol" w:hAnsi="Symbol" w:hint="default"/>
      </w:rPr>
    </w:lvl>
    <w:lvl w:ilvl="7" w:tplc="7D0A8CB4">
      <w:start w:val="1"/>
      <w:numFmt w:val="bullet"/>
      <w:lvlText w:val="o"/>
      <w:lvlJc w:val="left"/>
      <w:pPr>
        <w:ind w:left="5760" w:hanging="360"/>
      </w:pPr>
      <w:rPr>
        <w:rFonts w:ascii="Courier New" w:hAnsi="Courier New" w:hint="default"/>
      </w:rPr>
    </w:lvl>
    <w:lvl w:ilvl="8" w:tplc="3EC21956">
      <w:start w:val="1"/>
      <w:numFmt w:val="bullet"/>
      <w:lvlText w:val=""/>
      <w:lvlJc w:val="left"/>
      <w:pPr>
        <w:ind w:left="6480" w:hanging="360"/>
      </w:pPr>
      <w:rPr>
        <w:rFonts w:ascii="Wingdings" w:hAnsi="Wingdings" w:hint="default"/>
      </w:rPr>
    </w:lvl>
  </w:abstractNum>
  <w:abstractNum w:abstractNumId="4" w15:restartNumberingAfterBreak="0">
    <w:nsid w:val="32047A89"/>
    <w:multiLevelType w:val="hybridMultilevel"/>
    <w:tmpl w:val="74A2E398"/>
    <w:lvl w:ilvl="0" w:tplc="CEF07CD2">
      <w:start w:val="1"/>
      <w:numFmt w:val="bullet"/>
      <w:lvlText w:val=""/>
      <w:lvlJc w:val="left"/>
      <w:pPr>
        <w:ind w:left="720" w:hanging="360"/>
      </w:pPr>
      <w:rPr>
        <w:rFonts w:ascii="Symbol" w:hAnsi="Symbol" w:hint="default"/>
      </w:rPr>
    </w:lvl>
    <w:lvl w:ilvl="1" w:tplc="286AF182">
      <w:start w:val="1"/>
      <w:numFmt w:val="bullet"/>
      <w:lvlText w:val="o"/>
      <w:lvlJc w:val="left"/>
      <w:pPr>
        <w:ind w:left="1440" w:hanging="360"/>
      </w:pPr>
      <w:rPr>
        <w:rFonts w:ascii="Courier New" w:hAnsi="Courier New" w:hint="default"/>
      </w:rPr>
    </w:lvl>
    <w:lvl w:ilvl="2" w:tplc="C2BAEBF4">
      <w:start w:val="1"/>
      <w:numFmt w:val="bullet"/>
      <w:lvlText w:val=""/>
      <w:lvlJc w:val="left"/>
      <w:pPr>
        <w:ind w:left="2160" w:hanging="360"/>
      </w:pPr>
      <w:rPr>
        <w:rFonts w:ascii="Wingdings" w:hAnsi="Wingdings" w:hint="default"/>
      </w:rPr>
    </w:lvl>
    <w:lvl w:ilvl="3" w:tplc="701AF0A0">
      <w:start w:val="1"/>
      <w:numFmt w:val="bullet"/>
      <w:lvlText w:val=""/>
      <w:lvlJc w:val="left"/>
      <w:pPr>
        <w:ind w:left="2880" w:hanging="360"/>
      </w:pPr>
      <w:rPr>
        <w:rFonts w:ascii="Symbol" w:hAnsi="Symbol" w:hint="default"/>
      </w:rPr>
    </w:lvl>
    <w:lvl w:ilvl="4" w:tplc="CA28EF52">
      <w:start w:val="1"/>
      <w:numFmt w:val="bullet"/>
      <w:lvlText w:val="o"/>
      <w:lvlJc w:val="left"/>
      <w:pPr>
        <w:ind w:left="3600" w:hanging="360"/>
      </w:pPr>
      <w:rPr>
        <w:rFonts w:ascii="Courier New" w:hAnsi="Courier New" w:hint="default"/>
      </w:rPr>
    </w:lvl>
    <w:lvl w:ilvl="5" w:tplc="9D847528">
      <w:start w:val="1"/>
      <w:numFmt w:val="bullet"/>
      <w:lvlText w:val=""/>
      <w:lvlJc w:val="left"/>
      <w:pPr>
        <w:ind w:left="4320" w:hanging="360"/>
      </w:pPr>
      <w:rPr>
        <w:rFonts w:ascii="Wingdings" w:hAnsi="Wingdings" w:hint="default"/>
      </w:rPr>
    </w:lvl>
    <w:lvl w:ilvl="6" w:tplc="06846C98">
      <w:start w:val="1"/>
      <w:numFmt w:val="bullet"/>
      <w:lvlText w:val=""/>
      <w:lvlJc w:val="left"/>
      <w:pPr>
        <w:ind w:left="5040" w:hanging="360"/>
      </w:pPr>
      <w:rPr>
        <w:rFonts w:ascii="Symbol" w:hAnsi="Symbol" w:hint="default"/>
      </w:rPr>
    </w:lvl>
    <w:lvl w:ilvl="7" w:tplc="8A5E9BB0">
      <w:start w:val="1"/>
      <w:numFmt w:val="bullet"/>
      <w:lvlText w:val="o"/>
      <w:lvlJc w:val="left"/>
      <w:pPr>
        <w:ind w:left="5760" w:hanging="360"/>
      </w:pPr>
      <w:rPr>
        <w:rFonts w:ascii="Courier New" w:hAnsi="Courier New" w:hint="default"/>
      </w:rPr>
    </w:lvl>
    <w:lvl w:ilvl="8" w:tplc="37E6F438">
      <w:start w:val="1"/>
      <w:numFmt w:val="bullet"/>
      <w:lvlText w:val=""/>
      <w:lvlJc w:val="left"/>
      <w:pPr>
        <w:ind w:left="6480" w:hanging="360"/>
      </w:pPr>
      <w:rPr>
        <w:rFonts w:ascii="Wingdings" w:hAnsi="Wingdings" w:hint="default"/>
      </w:rPr>
    </w:lvl>
  </w:abstractNum>
  <w:abstractNum w:abstractNumId="5" w15:restartNumberingAfterBreak="0">
    <w:nsid w:val="397326D8"/>
    <w:multiLevelType w:val="hybridMultilevel"/>
    <w:tmpl w:val="F2A4149E"/>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7152E1D"/>
    <w:multiLevelType w:val="hybridMultilevel"/>
    <w:tmpl w:val="84F6782A"/>
    <w:lvl w:ilvl="0" w:tplc="6AA47F9C">
      <w:start w:val="1"/>
      <w:numFmt w:val="bullet"/>
      <w:lvlText w:val=""/>
      <w:lvlJc w:val="left"/>
      <w:pPr>
        <w:ind w:left="720" w:hanging="360"/>
      </w:pPr>
      <w:rPr>
        <w:rFonts w:ascii="Symbol" w:hAnsi="Symbol" w:hint="default"/>
      </w:rPr>
    </w:lvl>
    <w:lvl w:ilvl="1" w:tplc="EEA61AE8">
      <w:start w:val="1"/>
      <w:numFmt w:val="bullet"/>
      <w:lvlText w:val="o"/>
      <w:lvlJc w:val="left"/>
      <w:pPr>
        <w:ind w:left="1440" w:hanging="360"/>
      </w:pPr>
      <w:rPr>
        <w:rFonts w:ascii="Courier New" w:hAnsi="Courier New" w:hint="default"/>
      </w:rPr>
    </w:lvl>
    <w:lvl w:ilvl="2" w:tplc="75A83A68">
      <w:start w:val="1"/>
      <w:numFmt w:val="bullet"/>
      <w:lvlText w:val=""/>
      <w:lvlJc w:val="left"/>
      <w:pPr>
        <w:ind w:left="2160" w:hanging="360"/>
      </w:pPr>
      <w:rPr>
        <w:rFonts w:ascii="Wingdings" w:hAnsi="Wingdings" w:hint="default"/>
      </w:rPr>
    </w:lvl>
    <w:lvl w:ilvl="3" w:tplc="24203B6C">
      <w:start w:val="1"/>
      <w:numFmt w:val="bullet"/>
      <w:lvlText w:val=""/>
      <w:lvlJc w:val="left"/>
      <w:pPr>
        <w:ind w:left="2880" w:hanging="360"/>
      </w:pPr>
      <w:rPr>
        <w:rFonts w:ascii="Symbol" w:hAnsi="Symbol" w:hint="default"/>
      </w:rPr>
    </w:lvl>
    <w:lvl w:ilvl="4" w:tplc="2808FEA2">
      <w:start w:val="1"/>
      <w:numFmt w:val="bullet"/>
      <w:lvlText w:val="o"/>
      <w:lvlJc w:val="left"/>
      <w:pPr>
        <w:ind w:left="3600" w:hanging="360"/>
      </w:pPr>
      <w:rPr>
        <w:rFonts w:ascii="Courier New" w:hAnsi="Courier New" w:hint="default"/>
      </w:rPr>
    </w:lvl>
    <w:lvl w:ilvl="5" w:tplc="206E785A">
      <w:start w:val="1"/>
      <w:numFmt w:val="bullet"/>
      <w:lvlText w:val=""/>
      <w:lvlJc w:val="left"/>
      <w:pPr>
        <w:ind w:left="4320" w:hanging="360"/>
      </w:pPr>
      <w:rPr>
        <w:rFonts w:ascii="Wingdings" w:hAnsi="Wingdings" w:hint="default"/>
      </w:rPr>
    </w:lvl>
    <w:lvl w:ilvl="6" w:tplc="BB64A5E8">
      <w:start w:val="1"/>
      <w:numFmt w:val="bullet"/>
      <w:lvlText w:val=""/>
      <w:lvlJc w:val="left"/>
      <w:pPr>
        <w:ind w:left="5040" w:hanging="360"/>
      </w:pPr>
      <w:rPr>
        <w:rFonts w:ascii="Symbol" w:hAnsi="Symbol" w:hint="default"/>
      </w:rPr>
    </w:lvl>
    <w:lvl w:ilvl="7" w:tplc="35462DEA">
      <w:start w:val="1"/>
      <w:numFmt w:val="bullet"/>
      <w:lvlText w:val="o"/>
      <w:lvlJc w:val="left"/>
      <w:pPr>
        <w:ind w:left="5760" w:hanging="360"/>
      </w:pPr>
      <w:rPr>
        <w:rFonts w:ascii="Courier New" w:hAnsi="Courier New" w:hint="default"/>
      </w:rPr>
    </w:lvl>
    <w:lvl w:ilvl="8" w:tplc="EB887B44">
      <w:start w:val="1"/>
      <w:numFmt w:val="bullet"/>
      <w:lvlText w:val=""/>
      <w:lvlJc w:val="left"/>
      <w:pPr>
        <w:ind w:left="6480" w:hanging="360"/>
      </w:pPr>
      <w:rPr>
        <w:rFonts w:ascii="Wingdings" w:hAnsi="Wingdings" w:hint="default"/>
      </w:rPr>
    </w:lvl>
  </w:abstractNum>
  <w:abstractNum w:abstractNumId="7" w15:restartNumberingAfterBreak="0">
    <w:nsid w:val="4DBE49BF"/>
    <w:multiLevelType w:val="hybridMultilevel"/>
    <w:tmpl w:val="D5F49A68"/>
    <w:lvl w:ilvl="0" w:tplc="F4B208F0">
      <w:start w:val="1"/>
      <w:numFmt w:val="bullet"/>
      <w:lvlText w:val=""/>
      <w:lvlJc w:val="left"/>
      <w:pPr>
        <w:ind w:left="720" w:hanging="360"/>
      </w:pPr>
      <w:rPr>
        <w:rFonts w:ascii="Symbol" w:hAnsi="Symbol" w:hint="default"/>
      </w:rPr>
    </w:lvl>
    <w:lvl w:ilvl="1" w:tplc="30405800">
      <w:start w:val="1"/>
      <w:numFmt w:val="bullet"/>
      <w:lvlText w:val="o"/>
      <w:lvlJc w:val="left"/>
      <w:pPr>
        <w:ind w:left="1440" w:hanging="360"/>
      </w:pPr>
      <w:rPr>
        <w:rFonts w:ascii="Courier New" w:hAnsi="Courier New" w:hint="default"/>
      </w:rPr>
    </w:lvl>
    <w:lvl w:ilvl="2" w:tplc="5C662A8C">
      <w:start w:val="1"/>
      <w:numFmt w:val="bullet"/>
      <w:lvlText w:val=""/>
      <w:lvlJc w:val="left"/>
      <w:pPr>
        <w:ind w:left="2160" w:hanging="360"/>
      </w:pPr>
      <w:rPr>
        <w:rFonts w:ascii="Wingdings" w:hAnsi="Wingdings" w:hint="default"/>
      </w:rPr>
    </w:lvl>
    <w:lvl w:ilvl="3" w:tplc="A7C82C1E">
      <w:start w:val="1"/>
      <w:numFmt w:val="bullet"/>
      <w:lvlText w:val=""/>
      <w:lvlJc w:val="left"/>
      <w:pPr>
        <w:ind w:left="2880" w:hanging="360"/>
      </w:pPr>
      <w:rPr>
        <w:rFonts w:ascii="Symbol" w:hAnsi="Symbol" w:hint="default"/>
      </w:rPr>
    </w:lvl>
    <w:lvl w:ilvl="4" w:tplc="EECE1D12">
      <w:start w:val="1"/>
      <w:numFmt w:val="bullet"/>
      <w:lvlText w:val="o"/>
      <w:lvlJc w:val="left"/>
      <w:pPr>
        <w:ind w:left="3600" w:hanging="360"/>
      </w:pPr>
      <w:rPr>
        <w:rFonts w:ascii="Courier New" w:hAnsi="Courier New" w:hint="default"/>
      </w:rPr>
    </w:lvl>
    <w:lvl w:ilvl="5" w:tplc="8304CE76">
      <w:start w:val="1"/>
      <w:numFmt w:val="bullet"/>
      <w:lvlText w:val=""/>
      <w:lvlJc w:val="left"/>
      <w:pPr>
        <w:ind w:left="4320" w:hanging="360"/>
      </w:pPr>
      <w:rPr>
        <w:rFonts w:ascii="Wingdings" w:hAnsi="Wingdings" w:hint="default"/>
      </w:rPr>
    </w:lvl>
    <w:lvl w:ilvl="6" w:tplc="3A74DABE">
      <w:start w:val="1"/>
      <w:numFmt w:val="bullet"/>
      <w:lvlText w:val=""/>
      <w:lvlJc w:val="left"/>
      <w:pPr>
        <w:ind w:left="5040" w:hanging="360"/>
      </w:pPr>
      <w:rPr>
        <w:rFonts w:ascii="Symbol" w:hAnsi="Symbol" w:hint="default"/>
      </w:rPr>
    </w:lvl>
    <w:lvl w:ilvl="7" w:tplc="52AE362C">
      <w:start w:val="1"/>
      <w:numFmt w:val="bullet"/>
      <w:lvlText w:val="o"/>
      <w:lvlJc w:val="left"/>
      <w:pPr>
        <w:ind w:left="5760" w:hanging="360"/>
      </w:pPr>
      <w:rPr>
        <w:rFonts w:ascii="Courier New" w:hAnsi="Courier New" w:hint="default"/>
      </w:rPr>
    </w:lvl>
    <w:lvl w:ilvl="8" w:tplc="B7CCB7B4">
      <w:start w:val="1"/>
      <w:numFmt w:val="bullet"/>
      <w:lvlText w:val=""/>
      <w:lvlJc w:val="left"/>
      <w:pPr>
        <w:ind w:left="6480" w:hanging="360"/>
      </w:pPr>
      <w:rPr>
        <w:rFonts w:ascii="Wingdings" w:hAnsi="Wingdings" w:hint="default"/>
      </w:rPr>
    </w:lvl>
  </w:abstractNum>
  <w:abstractNum w:abstractNumId="8" w15:restartNumberingAfterBreak="0">
    <w:nsid w:val="55892D94"/>
    <w:multiLevelType w:val="hybridMultilevel"/>
    <w:tmpl w:val="E45070C2"/>
    <w:lvl w:ilvl="0" w:tplc="3EAA78FC">
      <w:start w:val="1"/>
      <w:numFmt w:val="decimal"/>
      <w:lvlText w:val="%1."/>
      <w:lvlJc w:val="left"/>
      <w:pPr>
        <w:ind w:left="576" w:hanging="360"/>
      </w:pPr>
      <w:rPr>
        <w:rFonts w:hint="default"/>
      </w:rPr>
    </w:lvl>
    <w:lvl w:ilvl="1" w:tplc="04090019">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9" w15:restartNumberingAfterBreak="0">
    <w:nsid w:val="629A7453"/>
    <w:multiLevelType w:val="hybridMultilevel"/>
    <w:tmpl w:val="CF36E724"/>
    <w:lvl w:ilvl="0" w:tplc="E8FC9562">
      <w:start w:val="1"/>
      <w:numFmt w:val="bullet"/>
      <w:lvlText w:val=""/>
      <w:lvlJc w:val="left"/>
      <w:pPr>
        <w:ind w:left="720" w:hanging="360"/>
      </w:pPr>
      <w:rPr>
        <w:rFonts w:ascii="Symbol" w:hAnsi="Symbol" w:hint="default"/>
      </w:rPr>
    </w:lvl>
    <w:lvl w:ilvl="1" w:tplc="62249BDA">
      <w:start w:val="1"/>
      <w:numFmt w:val="bullet"/>
      <w:lvlText w:val="o"/>
      <w:lvlJc w:val="left"/>
      <w:pPr>
        <w:ind w:left="1440" w:hanging="360"/>
      </w:pPr>
      <w:rPr>
        <w:rFonts w:ascii="Courier New" w:hAnsi="Courier New" w:hint="default"/>
      </w:rPr>
    </w:lvl>
    <w:lvl w:ilvl="2" w:tplc="6A223C56">
      <w:start w:val="1"/>
      <w:numFmt w:val="bullet"/>
      <w:lvlText w:val=""/>
      <w:lvlJc w:val="left"/>
      <w:pPr>
        <w:ind w:left="2160" w:hanging="360"/>
      </w:pPr>
      <w:rPr>
        <w:rFonts w:ascii="Wingdings" w:hAnsi="Wingdings" w:hint="default"/>
      </w:rPr>
    </w:lvl>
    <w:lvl w:ilvl="3" w:tplc="29D2C768">
      <w:start w:val="1"/>
      <w:numFmt w:val="bullet"/>
      <w:lvlText w:val=""/>
      <w:lvlJc w:val="left"/>
      <w:pPr>
        <w:ind w:left="2880" w:hanging="360"/>
      </w:pPr>
      <w:rPr>
        <w:rFonts w:ascii="Symbol" w:hAnsi="Symbol" w:hint="default"/>
      </w:rPr>
    </w:lvl>
    <w:lvl w:ilvl="4" w:tplc="6ACA3126">
      <w:start w:val="1"/>
      <w:numFmt w:val="bullet"/>
      <w:lvlText w:val="o"/>
      <w:lvlJc w:val="left"/>
      <w:pPr>
        <w:ind w:left="3600" w:hanging="360"/>
      </w:pPr>
      <w:rPr>
        <w:rFonts w:ascii="Courier New" w:hAnsi="Courier New" w:hint="default"/>
      </w:rPr>
    </w:lvl>
    <w:lvl w:ilvl="5" w:tplc="0276B116">
      <w:start w:val="1"/>
      <w:numFmt w:val="bullet"/>
      <w:lvlText w:val=""/>
      <w:lvlJc w:val="left"/>
      <w:pPr>
        <w:ind w:left="4320" w:hanging="360"/>
      </w:pPr>
      <w:rPr>
        <w:rFonts w:ascii="Wingdings" w:hAnsi="Wingdings" w:hint="default"/>
      </w:rPr>
    </w:lvl>
    <w:lvl w:ilvl="6" w:tplc="089CC0CE">
      <w:start w:val="1"/>
      <w:numFmt w:val="bullet"/>
      <w:lvlText w:val=""/>
      <w:lvlJc w:val="left"/>
      <w:pPr>
        <w:ind w:left="5040" w:hanging="360"/>
      </w:pPr>
      <w:rPr>
        <w:rFonts w:ascii="Symbol" w:hAnsi="Symbol" w:hint="default"/>
      </w:rPr>
    </w:lvl>
    <w:lvl w:ilvl="7" w:tplc="531CAEE2">
      <w:start w:val="1"/>
      <w:numFmt w:val="bullet"/>
      <w:lvlText w:val="o"/>
      <w:lvlJc w:val="left"/>
      <w:pPr>
        <w:ind w:left="5760" w:hanging="360"/>
      </w:pPr>
      <w:rPr>
        <w:rFonts w:ascii="Courier New" w:hAnsi="Courier New" w:hint="default"/>
      </w:rPr>
    </w:lvl>
    <w:lvl w:ilvl="8" w:tplc="B99E76D0">
      <w:start w:val="1"/>
      <w:numFmt w:val="bullet"/>
      <w:lvlText w:val=""/>
      <w:lvlJc w:val="left"/>
      <w:pPr>
        <w:ind w:left="6480" w:hanging="360"/>
      </w:pPr>
      <w:rPr>
        <w:rFonts w:ascii="Wingdings" w:hAnsi="Wingdings" w:hint="default"/>
      </w:rPr>
    </w:lvl>
  </w:abstractNum>
  <w:abstractNum w:abstractNumId="10" w15:restartNumberingAfterBreak="0">
    <w:nsid w:val="67BE2D75"/>
    <w:multiLevelType w:val="hybridMultilevel"/>
    <w:tmpl w:val="2142631E"/>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9B814C1"/>
    <w:multiLevelType w:val="hybridMultilevel"/>
    <w:tmpl w:val="DDD0387C"/>
    <w:lvl w:ilvl="0" w:tplc="61B27336">
      <w:start w:val="1"/>
      <w:numFmt w:val="bullet"/>
      <w:lvlText w:val=""/>
      <w:lvlJc w:val="left"/>
      <w:pPr>
        <w:tabs>
          <w:tab w:val="num" w:pos="720"/>
        </w:tabs>
        <w:ind w:left="720" w:hanging="360"/>
      </w:pPr>
      <w:rPr>
        <w:rFonts w:ascii="Symbol" w:hAnsi="Symbol" w:hint="default"/>
        <w:sz w:val="20"/>
      </w:rPr>
    </w:lvl>
    <w:lvl w:ilvl="1" w:tplc="816EFD3E" w:tentative="1">
      <w:start w:val="1"/>
      <w:numFmt w:val="bullet"/>
      <w:lvlText w:val="o"/>
      <w:lvlJc w:val="left"/>
      <w:pPr>
        <w:tabs>
          <w:tab w:val="num" w:pos="1440"/>
        </w:tabs>
        <w:ind w:left="1440" w:hanging="360"/>
      </w:pPr>
      <w:rPr>
        <w:rFonts w:ascii="Courier New" w:hAnsi="Courier New" w:hint="default"/>
        <w:sz w:val="20"/>
      </w:rPr>
    </w:lvl>
    <w:lvl w:ilvl="2" w:tplc="E8EC482E" w:tentative="1">
      <w:start w:val="1"/>
      <w:numFmt w:val="bullet"/>
      <w:lvlText w:val=""/>
      <w:lvlJc w:val="left"/>
      <w:pPr>
        <w:tabs>
          <w:tab w:val="num" w:pos="2160"/>
        </w:tabs>
        <w:ind w:left="2160" w:hanging="360"/>
      </w:pPr>
      <w:rPr>
        <w:rFonts w:ascii="Wingdings" w:hAnsi="Wingdings" w:hint="default"/>
        <w:sz w:val="20"/>
      </w:rPr>
    </w:lvl>
    <w:lvl w:ilvl="3" w:tplc="5A749548" w:tentative="1">
      <w:start w:val="1"/>
      <w:numFmt w:val="bullet"/>
      <w:lvlText w:val=""/>
      <w:lvlJc w:val="left"/>
      <w:pPr>
        <w:tabs>
          <w:tab w:val="num" w:pos="2880"/>
        </w:tabs>
        <w:ind w:left="2880" w:hanging="360"/>
      </w:pPr>
      <w:rPr>
        <w:rFonts w:ascii="Wingdings" w:hAnsi="Wingdings" w:hint="default"/>
        <w:sz w:val="20"/>
      </w:rPr>
    </w:lvl>
    <w:lvl w:ilvl="4" w:tplc="99280B46" w:tentative="1">
      <w:start w:val="1"/>
      <w:numFmt w:val="bullet"/>
      <w:lvlText w:val=""/>
      <w:lvlJc w:val="left"/>
      <w:pPr>
        <w:tabs>
          <w:tab w:val="num" w:pos="3600"/>
        </w:tabs>
        <w:ind w:left="3600" w:hanging="360"/>
      </w:pPr>
      <w:rPr>
        <w:rFonts w:ascii="Wingdings" w:hAnsi="Wingdings" w:hint="default"/>
        <w:sz w:val="20"/>
      </w:rPr>
    </w:lvl>
    <w:lvl w:ilvl="5" w:tplc="DBA62BAC" w:tentative="1">
      <w:start w:val="1"/>
      <w:numFmt w:val="bullet"/>
      <w:lvlText w:val=""/>
      <w:lvlJc w:val="left"/>
      <w:pPr>
        <w:tabs>
          <w:tab w:val="num" w:pos="4320"/>
        </w:tabs>
        <w:ind w:left="4320" w:hanging="360"/>
      </w:pPr>
      <w:rPr>
        <w:rFonts w:ascii="Wingdings" w:hAnsi="Wingdings" w:hint="default"/>
        <w:sz w:val="20"/>
      </w:rPr>
    </w:lvl>
    <w:lvl w:ilvl="6" w:tplc="CFAED18A" w:tentative="1">
      <w:start w:val="1"/>
      <w:numFmt w:val="bullet"/>
      <w:lvlText w:val=""/>
      <w:lvlJc w:val="left"/>
      <w:pPr>
        <w:tabs>
          <w:tab w:val="num" w:pos="5040"/>
        </w:tabs>
        <w:ind w:left="5040" w:hanging="360"/>
      </w:pPr>
      <w:rPr>
        <w:rFonts w:ascii="Wingdings" w:hAnsi="Wingdings" w:hint="default"/>
        <w:sz w:val="20"/>
      </w:rPr>
    </w:lvl>
    <w:lvl w:ilvl="7" w:tplc="31CE164C" w:tentative="1">
      <w:start w:val="1"/>
      <w:numFmt w:val="bullet"/>
      <w:lvlText w:val=""/>
      <w:lvlJc w:val="left"/>
      <w:pPr>
        <w:tabs>
          <w:tab w:val="num" w:pos="5760"/>
        </w:tabs>
        <w:ind w:left="5760" w:hanging="360"/>
      </w:pPr>
      <w:rPr>
        <w:rFonts w:ascii="Wingdings" w:hAnsi="Wingdings" w:hint="default"/>
        <w:sz w:val="20"/>
      </w:rPr>
    </w:lvl>
    <w:lvl w:ilvl="8" w:tplc="CA18B5D2"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056B7B"/>
    <w:multiLevelType w:val="multilevel"/>
    <w:tmpl w:val="1B72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FE3102"/>
    <w:multiLevelType w:val="hybridMultilevel"/>
    <w:tmpl w:val="BE681A3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063F90"/>
    <w:multiLevelType w:val="hybridMultilevel"/>
    <w:tmpl w:val="6D667138"/>
    <w:lvl w:ilvl="0" w:tplc="EC8C79DC">
      <w:start w:val="1"/>
      <w:numFmt w:val="bullet"/>
      <w:lvlText w:val=""/>
      <w:lvlJc w:val="left"/>
      <w:pPr>
        <w:tabs>
          <w:tab w:val="num" w:pos="720"/>
        </w:tabs>
        <w:ind w:left="720" w:hanging="360"/>
      </w:pPr>
      <w:rPr>
        <w:rFonts w:ascii="Symbol" w:hAnsi="Symbol" w:hint="default"/>
        <w:sz w:val="20"/>
      </w:rPr>
    </w:lvl>
    <w:lvl w:ilvl="1" w:tplc="840AF4E6" w:tentative="1">
      <w:start w:val="1"/>
      <w:numFmt w:val="bullet"/>
      <w:lvlText w:val="o"/>
      <w:lvlJc w:val="left"/>
      <w:pPr>
        <w:tabs>
          <w:tab w:val="num" w:pos="1440"/>
        </w:tabs>
        <w:ind w:left="1440" w:hanging="360"/>
      </w:pPr>
      <w:rPr>
        <w:rFonts w:ascii="Courier New" w:hAnsi="Courier New" w:hint="default"/>
        <w:sz w:val="20"/>
      </w:rPr>
    </w:lvl>
    <w:lvl w:ilvl="2" w:tplc="C5A8339C" w:tentative="1">
      <w:start w:val="1"/>
      <w:numFmt w:val="bullet"/>
      <w:lvlText w:val=""/>
      <w:lvlJc w:val="left"/>
      <w:pPr>
        <w:tabs>
          <w:tab w:val="num" w:pos="2160"/>
        </w:tabs>
        <w:ind w:left="2160" w:hanging="360"/>
      </w:pPr>
      <w:rPr>
        <w:rFonts w:ascii="Wingdings" w:hAnsi="Wingdings" w:hint="default"/>
        <w:sz w:val="20"/>
      </w:rPr>
    </w:lvl>
    <w:lvl w:ilvl="3" w:tplc="3924793C" w:tentative="1">
      <w:start w:val="1"/>
      <w:numFmt w:val="bullet"/>
      <w:lvlText w:val=""/>
      <w:lvlJc w:val="left"/>
      <w:pPr>
        <w:tabs>
          <w:tab w:val="num" w:pos="2880"/>
        </w:tabs>
        <w:ind w:left="2880" w:hanging="360"/>
      </w:pPr>
      <w:rPr>
        <w:rFonts w:ascii="Wingdings" w:hAnsi="Wingdings" w:hint="default"/>
        <w:sz w:val="20"/>
      </w:rPr>
    </w:lvl>
    <w:lvl w:ilvl="4" w:tplc="94807BFA" w:tentative="1">
      <w:start w:val="1"/>
      <w:numFmt w:val="bullet"/>
      <w:lvlText w:val=""/>
      <w:lvlJc w:val="left"/>
      <w:pPr>
        <w:tabs>
          <w:tab w:val="num" w:pos="3600"/>
        </w:tabs>
        <w:ind w:left="3600" w:hanging="360"/>
      </w:pPr>
      <w:rPr>
        <w:rFonts w:ascii="Wingdings" w:hAnsi="Wingdings" w:hint="default"/>
        <w:sz w:val="20"/>
      </w:rPr>
    </w:lvl>
    <w:lvl w:ilvl="5" w:tplc="BA2E19C8" w:tentative="1">
      <w:start w:val="1"/>
      <w:numFmt w:val="bullet"/>
      <w:lvlText w:val=""/>
      <w:lvlJc w:val="left"/>
      <w:pPr>
        <w:tabs>
          <w:tab w:val="num" w:pos="4320"/>
        </w:tabs>
        <w:ind w:left="4320" w:hanging="360"/>
      </w:pPr>
      <w:rPr>
        <w:rFonts w:ascii="Wingdings" w:hAnsi="Wingdings" w:hint="default"/>
        <w:sz w:val="20"/>
      </w:rPr>
    </w:lvl>
    <w:lvl w:ilvl="6" w:tplc="62ACF54C" w:tentative="1">
      <w:start w:val="1"/>
      <w:numFmt w:val="bullet"/>
      <w:lvlText w:val=""/>
      <w:lvlJc w:val="left"/>
      <w:pPr>
        <w:tabs>
          <w:tab w:val="num" w:pos="5040"/>
        </w:tabs>
        <w:ind w:left="5040" w:hanging="360"/>
      </w:pPr>
      <w:rPr>
        <w:rFonts w:ascii="Wingdings" w:hAnsi="Wingdings" w:hint="default"/>
        <w:sz w:val="20"/>
      </w:rPr>
    </w:lvl>
    <w:lvl w:ilvl="7" w:tplc="2828DE5C" w:tentative="1">
      <w:start w:val="1"/>
      <w:numFmt w:val="bullet"/>
      <w:lvlText w:val=""/>
      <w:lvlJc w:val="left"/>
      <w:pPr>
        <w:tabs>
          <w:tab w:val="num" w:pos="5760"/>
        </w:tabs>
        <w:ind w:left="5760" w:hanging="360"/>
      </w:pPr>
      <w:rPr>
        <w:rFonts w:ascii="Wingdings" w:hAnsi="Wingdings" w:hint="default"/>
        <w:sz w:val="20"/>
      </w:rPr>
    </w:lvl>
    <w:lvl w:ilvl="8" w:tplc="1F08E62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B34D1F"/>
    <w:multiLevelType w:val="multilevel"/>
    <w:tmpl w:val="14FC563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791EE6"/>
    <w:multiLevelType w:val="hybridMultilevel"/>
    <w:tmpl w:val="46360360"/>
    <w:lvl w:ilvl="0" w:tplc="BD2832F6">
      <w:start w:val="1"/>
      <w:numFmt w:val="bullet"/>
      <w:lvlText w:val=""/>
      <w:lvlJc w:val="left"/>
      <w:pPr>
        <w:ind w:left="720" w:hanging="360"/>
      </w:pPr>
      <w:rPr>
        <w:rFonts w:ascii="Symbol" w:hAnsi="Symbol" w:hint="default"/>
      </w:rPr>
    </w:lvl>
    <w:lvl w:ilvl="1" w:tplc="7258FB98">
      <w:start w:val="1"/>
      <w:numFmt w:val="bullet"/>
      <w:lvlText w:val=""/>
      <w:lvlJc w:val="left"/>
      <w:pPr>
        <w:ind w:left="1440" w:hanging="360"/>
      </w:pPr>
      <w:rPr>
        <w:rFonts w:ascii="Symbol" w:hAnsi="Symbol" w:hint="default"/>
      </w:rPr>
    </w:lvl>
    <w:lvl w:ilvl="2" w:tplc="8A184F70">
      <w:start w:val="1"/>
      <w:numFmt w:val="bullet"/>
      <w:lvlText w:val=""/>
      <w:lvlJc w:val="left"/>
      <w:pPr>
        <w:ind w:left="2160" w:hanging="360"/>
      </w:pPr>
      <w:rPr>
        <w:rFonts w:ascii="Wingdings" w:hAnsi="Wingdings" w:hint="default"/>
      </w:rPr>
    </w:lvl>
    <w:lvl w:ilvl="3" w:tplc="10BA2E64">
      <w:start w:val="1"/>
      <w:numFmt w:val="bullet"/>
      <w:lvlText w:val=""/>
      <w:lvlJc w:val="left"/>
      <w:pPr>
        <w:ind w:left="2880" w:hanging="360"/>
      </w:pPr>
      <w:rPr>
        <w:rFonts w:ascii="Symbol" w:hAnsi="Symbol" w:hint="default"/>
      </w:rPr>
    </w:lvl>
    <w:lvl w:ilvl="4" w:tplc="FFF86488">
      <w:start w:val="1"/>
      <w:numFmt w:val="bullet"/>
      <w:lvlText w:val="o"/>
      <w:lvlJc w:val="left"/>
      <w:pPr>
        <w:ind w:left="3600" w:hanging="360"/>
      </w:pPr>
      <w:rPr>
        <w:rFonts w:ascii="Courier New" w:hAnsi="Courier New" w:hint="default"/>
      </w:rPr>
    </w:lvl>
    <w:lvl w:ilvl="5" w:tplc="54F0DCB0">
      <w:start w:val="1"/>
      <w:numFmt w:val="bullet"/>
      <w:lvlText w:val=""/>
      <w:lvlJc w:val="left"/>
      <w:pPr>
        <w:ind w:left="4320" w:hanging="360"/>
      </w:pPr>
      <w:rPr>
        <w:rFonts w:ascii="Wingdings" w:hAnsi="Wingdings" w:hint="default"/>
      </w:rPr>
    </w:lvl>
    <w:lvl w:ilvl="6" w:tplc="E80C9A2C">
      <w:start w:val="1"/>
      <w:numFmt w:val="bullet"/>
      <w:lvlText w:val=""/>
      <w:lvlJc w:val="left"/>
      <w:pPr>
        <w:ind w:left="5040" w:hanging="360"/>
      </w:pPr>
      <w:rPr>
        <w:rFonts w:ascii="Symbol" w:hAnsi="Symbol" w:hint="default"/>
      </w:rPr>
    </w:lvl>
    <w:lvl w:ilvl="7" w:tplc="1FEAA70C">
      <w:start w:val="1"/>
      <w:numFmt w:val="bullet"/>
      <w:lvlText w:val="o"/>
      <w:lvlJc w:val="left"/>
      <w:pPr>
        <w:ind w:left="5760" w:hanging="360"/>
      </w:pPr>
      <w:rPr>
        <w:rFonts w:ascii="Courier New" w:hAnsi="Courier New" w:hint="default"/>
      </w:rPr>
    </w:lvl>
    <w:lvl w:ilvl="8" w:tplc="DF92A238">
      <w:start w:val="1"/>
      <w:numFmt w:val="bullet"/>
      <w:lvlText w:val=""/>
      <w:lvlJc w:val="left"/>
      <w:pPr>
        <w:ind w:left="6480" w:hanging="360"/>
      </w:pPr>
      <w:rPr>
        <w:rFonts w:ascii="Wingdings" w:hAnsi="Wingdings" w:hint="default"/>
      </w:rPr>
    </w:lvl>
  </w:abstractNum>
  <w:abstractNum w:abstractNumId="17" w15:restartNumberingAfterBreak="0">
    <w:nsid w:val="7FB22B92"/>
    <w:multiLevelType w:val="hybridMultilevel"/>
    <w:tmpl w:val="58C28E0A"/>
    <w:lvl w:ilvl="0" w:tplc="73E20508">
      <w:start w:val="1"/>
      <w:numFmt w:val="bullet"/>
      <w:lvlText w:val=""/>
      <w:lvlJc w:val="left"/>
      <w:pPr>
        <w:ind w:left="360" w:hanging="360"/>
      </w:pPr>
      <w:rPr>
        <w:rFonts w:ascii="Symbol" w:hAnsi="Symbol" w:hint="default"/>
        <w:b w:val="0"/>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3"/>
  </w:num>
  <w:num w:numId="3">
    <w:abstractNumId w:val="4"/>
  </w:num>
  <w:num w:numId="4">
    <w:abstractNumId w:val="9"/>
  </w:num>
  <w:num w:numId="5">
    <w:abstractNumId w:val="7"/>
  </w:num>
  <w:num w:numId="6">
    <w:abstractNumId w:val="16"/>
  </w:num>
  <w:num w:numId="7">
    <w:abstractNumId w:val="0"/>
  </w:num>
  <w:num w:numId="8">
    <w:abstractNumId w:val="11"/>
  </w:num>
  <w:num w:numId="9">
    <w:abstractNumId w:val="14"/>
  </w:num>
  <w:num w:numId="10">
    <w:abstractNumId w:val="5"/>
  </w:num>
  <w:num w:numId="11">
    <w:abstractNumId w:val="1"/>
  </w:num>
  <w:num w:numId="12">
    <w:abstractNumId w:val="17"/>
  </w:num>
  <w:num w:numId="13">
    <w:abstractNumId w:val="8"/>
  </w:num>
  <w:num w:numId="14">
    <w:abstractNumId w:val="10"/>
  </w:num>
  <w:num w:numId="15">
    <w:abstractNumId w:val="15"/>
  </w:num>
  <w:num w:numId="16">
    <w:abstractNumId w:val="2"/>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1C6"/>
    <w:rsid w:val="00025D0E"/>
    <w:rsid w:val="00032A5E"/>
    <w:rsid w:val="00060225"/>
    <w:rsid w:val="00061089"/>
    <w:rsid w:val="00092AF5"/>
    <w:rsid w:val="00096FC0"/>
    <w:rsid w:val="000B781D"/>
    <w:rsid w:val="000C59BB"/>
    <w:rsid w:val="000E67DF"/>
    <w:rsid w:val="000F4FE3"/>
    <w:rsid w:val="001177BD"/>
    <w:rsid w:val="00117F55"/>
    <w:rsid w:val="00133DF5"/>
    <w:rsid w:val="001472AE"/>
    <w:rsid w:val="00150E2D"/>
    <w:rsid w:val="001551C6"/>
    <w:rsid w:val="001A1BB5"/>
    <w:rsid w:val="001A6A78"/>
    <w:rsid w:val="001C7D50"/>
    <w:rsid w:val="001E33F5"/>
    <w:rsid w:val="0021113A"/>
    <w:rsid w:val="00224096"/>
    <w:rsid w:val="00235DDB"/>
    <w:rsid w:val="00243589"/>
    <w:rsid w:val="002462F8"/>
    <w:rsid w:val="002517EA"/>
    <w:rsid w:val="0026413B"/>
    <w:rsid w:val="002B62BC"/>
    <w:rsid w:val="002C4A43"/>
    <w:rsid w:val="002C5FC5"/>
    <w:rsid w:val="002D88ED"/>
    <w:rsid w:val="00331981"/>
    <w:rsid w:val="00337293"/>
    <w:rsid w:val="003774AE"/>
    <w:rsid w:val="00377BC9"/>
    <w:rsid w:val="00382B60"/>
    <w:rsid w:val="00390104"/>
    <w:rsid w:val="003A470A"/>
    <w:rsid w:val="003C45B5"/>
    <w:rsid w:val="003D3E09"/>
    <w:rsid w:val="003D52A3"/>
    <w:rsid w:val="003E0A4B"/>
    <w:rsid w:val="004140CB"/>
    <w:rsid w:val="00432B73"/>
    <w:rsid w:val="00434008"/>
    <w:rsid w:val="00456938"/>
    <w:rsid w:val="00469CD0"/>
    <w:rsid w:val="004814F4"/>
    <w:rsid w:val="00486801"/>
    <w:rsid w:val="004873D3"/>
    <w:rsid w:val="00493701"/>
    <w:rsid w:val="004F59F8"/>
    <w:rsid w:val="004F6862"/>
    <w:rsid w:val="00535A49"/>
    <w:rsid w:val="00576486"/>
    <w:rsid w:val="005921BC"/>
    <w:rsid w:val="005D5629"/>
    <w:rsid w:val="005E55D1"/>
    <w:rsid w:val="005E6247"/>
    <w:rsid w:val="005E7FBA"/>
    <w:rsid w:val="005F2E95"/>
    <w:rsid w:val="005F4880"/>
    <w:rsid w:val="00625B32"/>
    <w:rsid w:val="00647583"/>
    <w:rsid w:val="00736EA0"/>
    <w:rsid w:val="00738483"/>
    <w:rsid w:val="00750E5E"/>
    <w:rsid w:val="007513A1"/>
    <w:rsid w:val="00781FE7"/>
    <w:rsid w:val="00783C44"/>
    <w:rsid w:val="00785FE0"/>
    <w:rsid w:val="00787305"/>
    <w:rsid w:val="00796916"/>
    <w:rsid w:val="007A20E9"/>
    <w:rsid w:val="007B2135"/>
    <w:rsid w:val="007E1C6F"/>
    <w:rsid w:val="00830835"/>
    <w:rsid w:val="00833B6D"/>
    <w:rsid w:val="00846815"/>
    <w:rsid w:val="00864CC9"/>
    <w:rsid w:val="008817C0"/>
    <w:rsid w:val="00884733"/>
    <w:rsid w:val="0088480E"/>
    <w:rsid w:val="008C6B47"/>
    <w:rsid w:val="008D062C"/>
    <w:rsid w:val="008E04BF"/>
    <w:rsid w:val="008E4A17"/>
    <w:rsid w:val="00914428"/>
    <w:rsid w:val="009269C8"/>
    <w:rsid w:val="009274CF"/>
    <w:rsid w:val="00971FBF"/>
    <w:rsid w:val="00987792"/>
    <w:rsid w:val="00996395"/>
    <w:rsid w:val="009A294B"/>
    <w:rsid w:val="009B7BA8"/>
    <w:rsid w:val="009F50B1"/>
    <w:rsid w:val="00A00BEA"/>
    <w:rsid w:val="00A20FFC"/>
    <w:rsid w:val="00AB1B05"/>
    <w:rsid w:val="00AB54AE"/>
    <w:rsid w:val="00AC4D01"/>
    <w:rsid w:val="00AD5D2E"/>
    <w:rsid w:val="00AD5D9F"/>
    <w:rsid w:val="00AE4679"/>
    <w:rsid w:val="00B13FAA"/>
    <w:rsid w:val="00B314DB"/>
    <w:rsid w:val="00B50059"/>
    <w:rsid w:val="00B613D4"/>
    <w:rsid w:val="00B714F3"/>
    <w:rsid w:val="00B9428D"/>
    <w:rsid w:val="00BC02CF"/>
    <w:rsid w:val="00BF259B"/>
    <w:rsid w:val="00C1316B"/>
    <w:rsid w:val="00C17636"/>
    <w:rsid w:val="00C32EFD"/>
    <w:rsid w:val="00C73404"/>
    <w:rsid w:val="00C7781D"/>
    <w:rsid w:val="00C918FF"/>
    <w:rsid w:val="00CC5EDD"/>
    <w:rsid w:val="00CF095B"/>
    <w:rsid w:val="00D22C31"/>
    <w:rsid w:val="00D26206"/>
    <w:rsid w:val="00D43DDC"/>
    <w:rsid w:val="00D61207"/>
    <w:rsid w:val="00D7580B"/>
    <w:rsid w:val="00D97743"/>
    <w:rsid w:val="00DB0BCE"/>
    <w:rsid w:val="00E11DA5"/>
    <w:rsid w:val="00E41DAA"/>
    <w:rsid w:val="00E67DBB"/>
    <w:rsid w:val="00EA4CC0"/>
    <w:rsid w:val="00EB7E11"/>
    <w:rsid w:val="00EC0819"/>
    <w:rsid w:val="00F01952"/>
    <w:rsid w:val="00F043F9"/>
    <w:rsid w:val="00F1002B"/>
    <w:rsid w:val="00F25889"/>
    <w:rsid w:val="00F32829"/>
    <w:rsid w:val="00F33A2D"/>
    <w:rsid w:val="00F41F21"/>
    <w:rsid w:val="00F4332D"/>
    <w:rsid w:val="00F51B37"/>
    <w:rsid w:val="00F55E2F"/>
    <w:rsid w:val="00F769EB"/>
    <w:rsid w:val="00F96B6E"/>
    <w:rsid w:val="00F9E3D6"/>
    <w:rsid w:val="00FA282D"/>
    <w:rsid w:val="00FC6FF6"/>
    <w:rsid w:val="0104150F"/>
    <w:rsid w:val="010B785E"/>
    <w:rsid w:val="015164D8"/>
    <w:rsid w:val="017FB8FB"/>
    <w:rsid w:val="01ADB683"/>
    <w:rsid w:val="01C07146"/>
    <w:rsid w:val="01C9A818"/>
    <w:rsid w:val="01E34E8E"/>
    <w:rsid w:val="01EBA1D1"/>
    <w:rsid w:val="01F8D675"/>
    <w:rsid w:val="02049EA4"/>
    <w:rsid w:val="029678CA"/>
    <w:rsid w:val="02CA607D"/>
    <w:rsid w:val="0347A348"/>
    <w:rsid w:val="0390166F"/>
    <w:rsid w:val="03A086EC"/>
    <w:rsid w:val="03A48EE5"/>
    <w:rsid w:val="03ADF787"/>
    <w:rsid w:val="044101CB"/>
    <w:rsid w:val="04572119"/>
    <w:rsid w:val="046B9BFB"/>
    <w:rsid w:val="0520D684"/>
    <w:rsid w:val="0574DD81"/>
    <w:rsid w:val="057AB633"/>
    <w:rsid w:val="05A83156"/>
    <w:rsid w:val="06414041"/>
    <w:rsid w:val="072A8ECE"/>
    <w:rsid w:val="073201B2"/>
    <w:rsid w:val="07980EE9"/>
    <w:rsid w:val="07A30BE5"/>
    <w:rsid w:val="07CD316F"/>
    <w:rsid w:val="07D6068A"/>
    <w:rsid w:val="07EEE969"/>
    <w:rsid w:val="081AFC19"/>
    <w:rsid w:val="086D6E5C"/>
    <w:rsid w:val="08810C44"/>
    <w:rsid w:val="0893AF4C"/>
    <w:rsid w:val="08955B1F"/>
    <w:rsid w:val="08C2D777"/>
    <w:rsid w:val="08C60602"/>
    <w:rsid w:val="08E80A1F"/>
    <w:rsid w:val="0951A590"/>
    <w:rsid w:val="09AB008F"/>
    <w:rsid w:val="0A46C761"/>
    <w:rsid w:val="0A535E02"/>
    <w:rsid w:val="0A87EF67"/>
    <w:rsid w:val="0A9D2258"/>
    <w:rsid w:val="0ABFFD07"/>
    <w:rsid w:val="0AC9849E"/>
    <w:rsid w:val="0BE73CBB"/>
    <w:rsid w:val="0C1713E5"/>
    <w:rsid w:val="0C1E32F3"/>
    <w:rsid w:val="0C607285"/>
    <w:rsid w:val="0CDDF004"/>
    <w:rsid w:val="0D07217B"/>
    <w:rsid w:val="0D083C3F"/>
    <w:rsid w:val="0D229DC8"/>
    <w:rsid w:val="0D760989"/>
    <w:rsid w:val="0D7C4322"/>
    <w:rsid w:val="0D81DEAC"/>
    <w:rsid w:val="0DC6FAF6"/>
    <w:rsid w:val="0DCB97C9"/>
    <w:rsid w:val="0DCBDDE4"/>
    <w:rsid w:val="0E3E35A4"/>
    <w:rsid w:val="0E72416E"/>
    <w:rsid w:val="0EC1FE90"/>
    <w:rsid w:val="0EEE0796"/>
    <w:rsid w:val="0EF14AC4"/>
    <w:rsid w:val="0F63CACA"/>
    <w:rsid w:val="0FA4247C"/>
    <w:rsid w:val="0FAD50AD"/>
    <w:rsid w:val="0FBA1BBB"/>
    <w:rsid w:val="0FDC8C59"/>
    <w:rsid w:val="0FECAC9B"/>
    <w:rsid w:val="0FEE3A78"/>
    <w:rsid w:val="0FF71305"/>
    <w:rsid w:val="108CA67E"/>
    <w:rsid w:val="10C0BB2A"/>
    <w:rsid w:val="1117CDF5"/>
    <w:rsid w:val="111AA72D"/>
    <w:rsid w:val="11949D1E"/>
    <w:rsid w:val="11F6C662"/>
    <w:rsid w:val="122D32C0"/>
    <w:rsid w:val="123A3E8F"/>
    <w:rsid w:val="123FC7E6"/>
    <w:rsid w:val="124FC815"/>
    <w:rsid w:val="126C9FCA"/>
    <w:rsid w:val="126F1731"/>
    <w:rsid w:val="1282295B"/>
    <w:rsid w:val="132CE72A"/>
    <w:rsid w:val="133CE971"/>
    <w:rsid w:val="138F8267"/>
    <w:rsid w:val="13A748AF"/>
    <w:rsid w:val="13A7667F"/>
    <w:rsid w:val="13C89D3E"/>
    <w:rsid w:val="13D8EEBB"/>
    <w:rsid w:val="13D9BBCF"/>
    <w:rsid w:val="13E76139"/>
    <w:rsid w:val="140B01DA"/>
    <w:rsid w:val="142A9091"/>
    <w:rsid w:val="144153B4"/>
    <w:rsid w:val="1469322B"/>
    <w:rsid w:val="14B82A9A"/>
    <w:rsid w:val="14BD212B"/>
    <w:rsid w:val="14CB042A"/>
    <w:rsid w:val="14F2F231"/>
    <w:rsid w:val="1511A3AB"/>
    <w:rsid w:val="1558FD62"/>
    <w:rsid w:val="1593F36D"/>
    <w:rsid w:val="15B9E76D"/>
    <w:rsid w:val="16163FB8"/>
    <w:rsid w:val="163CA199"/>
    <w:rsid w:val="16766B7D"/>
    <w:rsid w:val="167C957E"/>
    <w:rsid w:val="16B79B30"/>
    <w:rsid w:val="170BDDBE"/>
    <w:rsid w:val="17170C12"/>
    <w:rsid w:val="177B4626"/>
    <w:rsid w:val="1785F802"/>
    <w:rsid w:val="17BA6F1F"/>
    <w:rsid w:val="17D529DF"/>
    <w:rsid w:val="17F2DC3C"/>
    <w:rsid w:val="17F9E862"/>
    <w:rsid w:val="181C128E"/>
    <w:rsid w:val="182809A2"/>
    <w:rsid w:val="183684BD"/>
    <w:rsid w:val="185B6DD9"/>
    <w:rsid w:val="186F557A"/>
    <w:rsid w:val="187DB315"/>
    <w:rsid w:val="1897E47D"/>
    <w:rsid w:val="18B871BA"/>
    <w:rsid w:val="18BA83C5"/>
    <w:rsid w:val="18CD0459"/>
    <w:rsid w:val="19131A53"/>
    <w:rsid w:val="1960B957"/>
    <w:rsid w:val="19A322B1"/>
    <w:rsid w:val="19DD0BD1"/>
    <w:rsid w:val="19FE3620"/>
    <w:rsid w:val="1A0A6EF0"/>
    <w:rsid w:val="1A1B0EFD"/>
    <w:rsid w:val="1A4998EF"/>
    <w:rsid w:val="1A5B7F13"/>
    <w:rsid w:val="1A894576"/>
    <w:rsid w:val="1A8B4139"/>
    <w:rsid w:val="1A8EB203"/>
    <w:rsid w:val="1AADC8BF"/>
    <w:rsid w:val="1B0005C9"/>
    <w:rsid w:val="1B7C1690"/>
    <w:rsid w:val="1BA446FC"/>
    <w:rsid w:val="1BC15AA9"/>
    <w:rsid w:val="1BE58DB9"/>
    <w:rsid w:val="1BEE2D92"/>
    <w:rsid w:val="1C12F8BE"/>
    <w:rsid w:val="1C1A96FA"/>
    <w:rsid w:val="1C396D06"/>
    <w:rsid w:val="1C4ADB74"/>
    <w:rsid w:val="1C5F026B"/>
    <w:rsid w:val="1C8F3608"/>
    <w:rsid w:val="1C9712CF"/>
    <w:rsid w:val="1CD09849"/>
    <w:rsid w:val="1D1815A9"/>
    <w:rsid w:val="1D42C93E"/>
    <w:rsid w:val="1DF7A460"/>
    <w:rsid w:val="1E095968"/>
    <w:rsid w:val="1E0FFC3A"/>
    <w:rsid w:val="1E1509CD"/>
    <w:rsid w:val="1E289773"/>
    <w:rsid w:val="1E6358BD"/>
    <w:rsid w:val="1EB27346"/>
    <w:rsid w:val="1EF1FFCB"/>
    <w:rsid w:val="1F62E7BA"/>
    <w:rsid w:val="1F64C725"/>
    <w:rsid w:val="1F81492C"/>
    <w:rsid w:val="1FBBD6BE"/>
    <w:rsid w:val="2038CABD"/>
    <w:rsid w:val="20397601"/>
    <w:rsid w:val="20745F5F"/>
    <w:rsid w:val="20B214EE"/>
    <w:rsid w:val="20DB43AD"/>
    <w:rsid w:val="2126A436"/>
    <w:rsid w:val="213B390C"/>
    <w:rsid w:val="2158D58F"/>
    <w:rsid w:val="21672FEF"/>
    <w:rsid w:val="21B6EA3C"/>
    <w:rsid w:val="21B9D8CE"/>
    <w:rsid w:val="221CA0BD"/>
    <w:rsid w:val="221D538F"/>
    <w:rsid w:val="2246E9EE"/>
    <w:rsid w:val="2254A575"/>
    <w:rsid w:val="22621EC3"/>
    <w:rsid w:val="2264A2A7"/>
    <w:rsid w:val="22DED009"/>
    <w:rsid w:val="2337C34A"/>
    <w:rsid w:val="233B32D2"/>
    <w:rsid w:val="2348C9FE"/>
    <w:rsid w:val="238B8A36"/>
    <w:rsid w:val="23C2A2AA"/>
    <w:rsid w:val="23DC7D63"/>
    <w:rsid w:val="2400F2BB"/>
    <w:rsid w:val="242DF6CB"/>
    <w:rsid w:val="243F007A"/>
    <w:rsid w:val="24B2EC6D"/>
    <w:rsid w:val="24F6AE20"/>
    <w:rsid w:val="2517D881"/>
    <w:rsid w:val="25347E4F"/>
    <w:rsid w:val="2568FA99"/>
    <w:rsid w:val="259E415C"/>
    <w:rsid w:val="26471060"/>
    <w:rsid w:val="264A9B47"/>
    <w:rsid w:val="2665236D"/>
    <w:rsid w:val="26AF0400"/>
    <w:rsid w:val="26CB7EE8"/>
    <w:rsid w:val="26F668D5"/>
    <w:rsid w:val="278A40A5"/>
    <w:rsid w:val="27A67E25"/>
    <w:rsid w:val="27C135A0"/>
    <w:rsid w:val="27E7D5B2"/>
    <w:rsid w:val="280BB09A"/>
    <w:rsid w:val="285086A1"/>
    <w:rsid w:val="285DAAF7"/>
    <w:rsid w:val="288D369A"/>
    <w:rsid w:val="289E6A88"/>
    <w:rsid w:val="28B2C2A9"/>
    <w:rsid w:val="28B9CDCA"/>
    <w:rsid w:val="28C31839"/>
    <w:rsid w:val="28DDBBA4"/>
    <w:rsid w:val="28F0C6E0"/>
    <w:rsid w:val="2902DCA5"/>
    <w:rsid w:val="2903F15A"/>
    <w:rsid w:val="2914EFC4"/>
    <w:rsid w:val="29334929"/>
    <w:rsid w:val="29512EFF"/>
    <w:rsid w:val="2956938B"/>
    <w:rsid w:val="29786108"/>
    <w:rsid w:val="297EB99A"/>
    <w:rsid w:val="298C3F0B"/>
    <w:rsid w:val="298C5735"/>
    <w:rsid w:val="2A3708F2"/>
    <w:rsid w:val="2A4A0FBE"/>
    <w:rsid w:val="2A5EE47D"/>
    <w:rsid w:val="2A6C991B"/>
    <w:rsid w:val="2A6D63A4"/>
    <w:rsid w:val="2A771D6D"/>
    <w:rsid w:val="2AA496BB"/>
    <w:rsid w:val="2AAA0417"/>
    <w:rsid w:val="2AB296D7"/>
    <w:rsid w:val="2AC4C603"/>
    <w:rsid w:val="2AEBCB46"/>
    <w:rsid w:val="2B128426"/>
    <w:rsid w:val="2B6CF4A9"/>
    <w:rsid w:val="2B747A9C"/>
    <w:rsid w:val="2B851211"/>
    <w:rsid w:val="2B9CA16B"/>
    <w:rsid w:val="2BCA86A0"/>
    <w:rsid w:val="2C13A7B0"/>
    <w:rsid w:val="2C1938D5"/>
    <w:rsid w:val="2C4145F7"/>
    <w:rsid w:val="2C48E49D"/>
    <w:rsid w:val="2C50A83B"/>
    <w:rsid w:val="2C5DD746"/>
    <w:rsid w:val="2C86A4E2"/>
    <w:rsid w:val="2CC402B1"/>
    <w:rsid w:val="2CF8BDB0"/>
    <w:rsid w:val="2D139178"/>
    <w:rsid w:val="2D4A0C1E"/>
    <w:rsid w:val="2D7DE700"/>
    <w:rsid w:val="2D8C5489"/>
    <w:rsid w:val="2D97F08F"/>
    <w:rsid w:val="2DAFC825"/>
    <w:rsid w:val="2DB12DA9"/>
    <w:rsid w:val="2DB6DBE1"/>
    <w:rsid w:val="2E136D2F"/>
    <w:rsid w:val="2E2145C2"/>
    <w:rsid w:val="2E411D9F"/>
    <w:rsid w:val="2E5B3567"/>
    <w:rsid w:val="2E5BE8F2"/>
    <w:rsid w:val="2E5FEC2F"/>
    <w:rsid w:val="2E6E6300"/>
    <w:rsid w:val="2E770AB0"/>
    <w:rsid w:val="2E8D4D35"/>
    <w:rsid w:val="2ED58E53"/>
    <w:rsid w:val="2F4181B5"/>
    <w:rsid w:val="2F7FBC85"/>
    <w:rsid w:val="2FC0C7BC"/>
    <w:rsid w:val="2FCE60E2"/>
    <w:rsid w:val="2FF69484"/>
    <w:rsid w:val="300B868C"/>
    <w:rsid w:val="3093AD53"/>
    <w:rsid w:val="30FF3097"/>
    <w:rsid w:val="30FF4EA0"/>
    <w:rsid w:val="310030D0"/>
    <w:rsid w:val="3100BDC4"/>
    <w:rsid w:val="31104210"/>
    <w:rsid w:val="31198584"/>
    <w:rsid w:val="31339A61"/>
    <w:rsid w:val="3161161F"/>
    <w:rsid w:val="3163A9C2"/>
    <w:rsid w:val="317A4CF8"/>
    <w:rsid w:val="318960BF"/>
    <w:rsid w:val="31CE5FD4"/>
    <w:rsid w:val="3208658C"/>
    <w:rsid w:val="323CBBE7"/>
    <w:rsid w:val="32416346"/>
    <w:rsid w:val="3295ACDF"/>
    <w:rsid w:val="32A56713"/>
    <w:rsid w:val="32AA0E78"/>
    <w:rsid w:val="32BD3531"/>
    <w:rsid w:val="32C352C5"/>
    <w:rsid w:val="32C4320F"/>
    <w:rsid w:val="32C6BD92"/>
    <w:rsid w:val="32D0AC71"/>
    <w:rsid w:val="32F951D7"/>
    <w:rsid w:val="33329C3B"/>
    <w:rsid w:val="3337394E"/>
    <w:rsid w:val="334603A8"/>
    <w:rsid w:val="33633904"/>
    <w:rsid w:val="3376CC5A"/>
    <w:rsid w:val="338B4729"/>
    <w:rsid w:val="33A1AEBA"/>
    <w:rsid w:val="34168190"/>
    <w:rsid w:val="341CC9B8"/>
    <w:rsid w:val="3475D340"/>
    <w:rsid w:val="34FF37C0"/>
    <w:rsid w:val="35050454"/>
    <w:rsid w:val="35477181"/>
    <w:rsid w:val="357DEE4C"/>
    <w:rsid w:val="357E337D"/>
    <w:rsid w:val="358C47B5"/>
    <w:rsid w:val="358E973A"/>
    <w:rsid w:val="35AB0B0F"/>
    <w:rsid w:val="35B2E611"/>
    <w:rsid w:val="35B31E5F"/>
    <w:rsid w:val="35BD8947"/>
    <w:rsid w:val="35D5151E"/>
    <w:rsid w:val="35E4A64D"/>
    <w:rsid w:val="35E565DB"/>
    <w:rsid w:val="3607508A"/>
    <w:rsid w:val="3651BA0C"/>
    <w:rsid w:val="368E3DDF"/>
    <w:rsid w:val="36FA3E68"/>
    <w:rsid w:val="36FCEB94"/>
    <w:rsid w:val="36FFE629"/>
    <w:rsid w:val="3711B0BF"/>
    <w:rsid w:val="3720630B"/>
    <w:rsid w:val="3749BF57"/>
    <w:rsid w:val="375BCE0D"/>
    <w:rsid w:val="37B2F185"/>
    <w:rsid w:val="37CABE38"/>
    <w:rsid w:val="37FCAC12"/>
    <w:rsid w:val="384A91F9"/>
    <w:rsid w:val="384C4493"/>
    <w:rsid w:val="386FD8E7"/>
    <w:rsid w:val="3883EF0E"/>
    <w:rsid w:val="38997611"/>
    <w:rsid w:val="38A414E7"/>
    <w:rsid w:val="38C17EF3"/>
    <w:rsid w:val="38DBB524"/>
    <w:rsid w:val="395AF6A5"/>
    <w:rsid w:val="39AD3115"/>
    <w:rsid w:val="39C91AFE"/>
    <w:rsid w:val="39CC60C0"/>
    <w:rsid w:val="39EC5AF5"/>
    <w:rsid w:val="3A485878"/>
    <w:rsid w:val="3A817EE4"/>
    <w:rsid w:val="3AA12DDB"/>
    <w:rsid w:val="3B0470B1"/>
    <w:rsid w:val="3B198B46"/>
    <w:rsid w:val="3B212A47"/>
    <w:rsid w:val="3B558251"/>
    <w:rsid w:val="3B9C3D21"/>
    <w:rsid w:val="3BABF3F9"/>
    <w:rsid w:val="3BE99F3A"/>
    <w:rsid w:val="3BF70459"/>
    <w:rsid w:val="3C1AEB1C"/>
    <w:rsid w:val="3C30F227"/>
    <w:rsid w:val="3C60C556"/>
    <w:rsid w:val="3C91C3B6"/>
    <w:rsid w:val="3CFF1D64"/>
    <w:rsid w:val="3D0D67BE"/>
    <w:rsid w:val="3D146ACF"/>
    <w:rsid w:val="3D3D24DD"/>
    <w:rsid w:val="3D480DB7"/>
    <w:rsid w:val="3D53CDD1"/>
    <w:rsid w:val="3D7AC710"/>
    <w:rsid w:val="3DAB80EF"/>
    <w:rsid w:val="3E9776F6"/>
    <w:rsid w:val="3E9C4EB8"/>
    <w:rsid w:val="3EAA097A"/>
    <w:rsid w:val="3EB79978"/>
    <w:rsid w:val="3EC1C9DD"/>
    <w:rsid w:val="3EC23510"/>
    <w:rsid w:val="3ECF08A6"/>
    <w:rsid w:val="3EE0CBB4"/>
    <w:rsid w:val="3F082CB4"/>
    <w:rsid w:val="3F0BF6FD"/>
    <w:rsid w:val="3F226C14"/>
    <w:rsid w:val="3F67D23F"/>
    <w:rsid w:val="3F8DE54A"/>
    <w:rsid w:val="3F94327E"/>
    <w:rsid w:val="3FCECBA2"/>
    <w:rsid w:val="3FF82289"/>
    <w:rsid w:val="3FF9E79F"/>
    <w:rsid w:val="40647FCB"/>
    <w:rsid w:val="40786BBF"/>
    <w:rsid w:val="4099BEF4"/>
    <w:rsid w:val="40D496C9"/>
    <w:rsid w:val="40E06739"/>
    <w:rsid w:val="40E4C4E5"/>
    <w:rsid w:val="414599E2"/>
    <w:rsid w:val="414CC6C4"/>
    <w:rsid w:val="4182A2AE"/>
    <w:rsid w:val="419AF0EB"/>
    <w:rsid w:val="41BF51A1"/>
    <w:rsid w:val="41E704A7"/>
    <w:rsid w:val="41F969EE"/>
    <w:rsid w:val="420196D9"/>
    <w:rsid w:val="421CC253"/>
    <w:rsid w:val="422FE955"/>
    <w:rsid w:val="424F3AE2"/>
    <w:rsid w:val="4250C439"/>
    <w:rsid w:val="4289DEBB"/>
    <w:rsid w:val="42C6E073"/>
    <w:rsid w:val="435BCE3A"/>
    <w:rsid w:val="43634458"/>
    <w:rsid w:val="437A7DC0"/>
    <w:rsid w:val="43F06773"/>
    <w:rsid w:val="44151E6C"/>
    <w:rsid w:val="444CCE2C"/>
    <w:rsid w:val="4475E488"/>
    <w:rsid w:val="449BC655"/>
    <w:rsid w:val="44E82314"/>
    <w:rsid w:val="451E2F75"/>
    <w:rsid w:val="454D2FE3"/>
    <w:rsid w:val="456A357A"/>
    <w:rsid w:val="4573D540"/>
    <w:rsid w:val="4587BD7C"/>
    <w:rsid w:val="4590FCC4"/>
    <w:rsid w:val="45D1BE08"/>
    <w:rsid w:val="45FB2F2F"/>
    <w:rsid w:val="461618B6"/>
    <w:rsid w:val="46172FC6"/>
    <w:rsid w:val="462F808E"/>
    <w:rsid w:val="467D1F8D"/>
    <w:rsid w:val="467F89A3"/>
    <w:rsid w:val="46C252B6"/>
    <w:rsid w:val="47819A11"/>
    <w:rsid w:val="47D5E4ED"/>
    <w:rsid w:val="482DA498"/>
    <w:rsid w:val="48B391D8"/>
    <w:rsid w:val="48F4C4C7"/>
    <w:rsid w:val="49116087"/>
    <w:rsid w:val="49327924"/>
    <w:rsid w:val="494E4B9C"/>
    <w:rsid w:val="4986A3C0"/>
    <w:rsid w:val="49BB9F50"/>
    <w:rsid w:val="49C24E52"/>
    <w:rsid w:val="49C9E844"/>
    <w:rsid w:val="49DE7B34"/>
    <w:rsid w:val="4A052A8A"/>
    <w:rsid w:val="4A1DF1C9"/>
    <w:rsid w:val="4A23F368"/>
    <w:rsid w:val="4A2CF573"/>
    <w:rsid w:val="4A603869"/>
    <w:rsid w:val="4A892C5D"/>
    <w:rsid w:val="4A953EAF"/>
    <w:rsid w:val="4AA1F5C9"/>
    <w:rsid w:val="4AD32873"/>
    <w:rsid w:val="4AEBDCBC"/>
    <w:rsid w:val="4AFCD1FD"/>
    <w:rsid w:val="4B045624"/>
    <w:rsid w:val="4B58B975"/>
    <w:rsid w:val="4B64DE2E"/>
    <w:rsid w:val="4B6D1BBD"/>
    <w:rsid w:val="4BCA1ED5"/>
    <w:rsid w:val="4BD0D438"/>
    <w:rsid w:val="4BF001CF"/>
    <w:rsid w:val="4C23760C"/>
    <w:rsid w:val="4C29811E"/>
    <w:rsid w:val="4C31BC9A"/>
    <w:rsid w:val="4C4223C3"/>
    <w:rsid w:val="4C4AEEC3"/>
    <w:rsid w:val="4C976C47"/>
    <w:rsid w:val="4CE3A3E0"/>
    <w:rsid w:val="4E0C80DA"/>
    <w:rsid w:val="4E81FF13"/>
    <w:rsid w:val="4E8C7079"/>
    <w:rsid w:val="4EE0077C"/>
    <w:rsid w:val="4F04DF8C"/>
    <w:rsid w:val="4F1AA75D"/>
    <w:rsid w:val="4F2DF2A8"/>
    <w:rsid w:val="4F3E9193"/>
    <w:rsid w:val="4FBE0503"/>
    <w:rsid w:val="4FD19F60"/>
    <w:rsid w:val="4FFAE124"/>
    <w:rsid w:val="50525239"/>
    <w:rsid w:val="5063BA0F"/>
    <w:rsid w:val="50916B5D"/>
    <w:rsid w:val="50A6C4B5"/>
    <w:rsid w:val="50C9AE3A"/>
    <w:rsid w:val="510B35F0"/>
    <w:rsid w:val="510D8867"/>
    <w:rsid w:val="51A01A5B"/>
    <w:rsid w:val="520CFCFD"/>
    <w:rsid w:val="5222C78A"/>
    <w:rsid w:val="529E6066"/>
    <w:rsid w:val="52A01061"/>
    <w:rsid w:val="52DE0204"/>
    <w:rsid w:val="5338864F"/>
    <w:rsid w:val="533D05EB"/>
    <w:rsid w:val="53BD68FB"/>
    <w:rsid w:val="54098FB0"/>
    <w:rsid w:val="540AA80C"/>
    <w:rsid w:val="5415AC0D"/>
    <w:rsid w:val="541EF963"/>
    <w:rsid w:val="543F787A"/>
    <w:rsid w:val="549B0D38"/>
    <w:rsid w:val="54AC6A6B"/>
    <w:rsid w:val="55054245"/>
    <w:rsid w:val="550D9E8A"/>
    <w:rsid w:val="55166635"/>
    <w:rsid w:val="556AE2FF"/>
    <w:rsid w:val="557828E2"/>
    <w:rsid w:val="559231BE"/>
    <w:rsid w:val="55A402FE"/>
    <w:rsid w:val="55E1D202"/>
    <w:rsid w:val="55F9073A"/>
    <w:rsid w:val="563D3AF1"/>
    <w:rsid w:val="565D192F"/>
    <w:rsid w:val="566D36AF"/>
    <w:rsid w:val="5692494D"/>
    <w:rsid w:val="5692FC11"/>
    <w:rsid w:val="5716D11B"/>
    <w:rsid w:val="57202559"/>
    <w:rsid w:val="572A309C"/>
    <w:rsid w:val="57CACB0D"/>
    <w:rsid w:val="57E785A9"/>
    <w:rsid w:val="57FCFF24"/>
    <w:rsid w:val="5883BCC9"/>
    <w:rsid w:val="58A2E02F"/>
    <w:rsid w:val="58FDE076"/>
    <w:rsid w:val="59141AEE"/>
    <w:rsid w:val="5926C067"/>
    <w:rsid w:val="597E093F"/>
    <w:rsid w:val="599B4DCF"/>
    <w:rsid w:val="59A8B2D4"/>
    <w:rsid w:val="59EDF579"/>
    <w:rsid w:val="5A0516B9"/>
    <w:rsid w:val="5A0674F2"/>
    <w:rsid w:val="5A15DD0A"/>
    <w:rsid w:val="5A25CA10"/>
    <w:rsid w:val="5A3BF9FA"/>
    <w:rsid w:val="5A55FDD2"/>
    <w:rsid w:val="5A6F12DD"/>
    <w:rsid w:val="5AF3EF6F"/>
    <w:rsid w:val="5B08092C"/>
    <w:rsid w:val="5B0949AF"/>
    <w:rsid w:val="5B0E300F"/>
    <w:rsid w:val="5B661E47"/>
    <w:rsid w:val="5B8E9DB8"/>
    <w:rsid w:val="5BD20503"/>
    <w:rsid w:val="5BD3CB68"/>
    <w:rsid w:val="5C0BC8D9"/>
    <w:rsid w:val="5C2DDFA5"/>
    <w:rsid w:val="5C2E705F"/>
    <w:rsid w:val="5C569A71"/>
    <w:rsid w:val="5C597077"/>
    <w:rsid w:val="5C72EFB1"/>
    <w:rsid w:val="5C7BAAEC"/>
    <w:rsid w:val="5C83742E"/>
    <w:rsid w:val="5C90CC46"/>
    <w:rsid w:val="5CACBB30"/>
    <w:rsid w:val="5CCC352B"/>
    <w:rsid w:val="5CDADE83"/>
    <w:rsid w:val="5D275413"/>
    <w:rsid w:val="5D59F59C"/>
    <w:rsid w:val="5D7030E6"/>
    <w:rsid w:val="5D723BB6"/>
    <w:rsid w:val="5D880700"/>
    <w:rsid w:val="5DA5591E"/>
    <w:rsid w:val="5DC6C93E"/>
    <w:rsid w:val="5DDB0D7B"/>
    <w:rsid w:val="5E09424F"/>
    <w:rsid w:val="5E0F6E7B"/>
    <w:rsid w:val="5E213473"/>
    <w:rsid w:val="5E299213"/>
    <w:rsid w:val="5E399B35"/>
    <w:rsid w:val="5E6D3B17"/>
    <w:rsid w:val="5EAB5C72"/>
    <w:rsid w:val="5EE4A36F"/>
    <w:rsid w:val="5F0028B1"/>
    <w:rsid w:val="5F0111FD"/>
    <w:rsid w:val="5F606651"/>
    <w:rsid w:val="5F6068E9"/>
    <w:rsid w:val="5F6F4BA0"/>
    <w:rsid w:val="5F9AB3FC"/>
    <w:rsid w:val="5FECC559"/>
    <w:rsid w:val="5FEFFB5A"/>
    <w:rsid w:val="601DF199"/>
    <w:rsid w:val="60F6B9FC"/>
    <w:rsid w:val="6101E90F"/>
    <w:rsid w:val="610277F1"/>
    <w:rsid w:val="615FA666"/>
    <w:rsid w:val="61DF7B6C"/>
    <w:rsid w:val="61E85389"/>
    <w:rsid w:val="6252A349"/>
    <w:rsid w:val="6290CA73"/>
    <w:rsid w:val="62961C54"/>
    <w:rsid w:val="6296484E"/>
    <w:rsid w:val="62A195AA"/>
    <w:rsid w:val="62B0F3C4"/>
    <w:rsid w:val="62CEC9A5"/>
    <w:rsid w:val="62E2EBD4"/>
    <w:rsid w:val="62F1C067"/>
    <w:rsid w:val="6310B537"/>
    <w:rsid w:val="632F6B30"/>
    <w:rsid w:val="634E11D0"/>
    <w:rsid w:val="6353EDE1"/>
    <w:rsid w:val="636132E1"/>
    <w:rsid w:val="6368DEDE"/>
    <w:rsid w:val="6375EDB5"/>
    <w:rsid w:val="6384059B"/>
    <w:rsid w:val="63A102D8"/>
    <w:rsid w:val="63E58C96"/>
    <w:rsid w:val="63EC3169"/>
    <w:rsid w:val="64087E48"/>
    <w:rsid w:val="6459165F"/>
    <w:rsid w:val="647AA3F8"/>
    <w:rsid w:val="649820C2"/>
    <w:rsid w:val="64B0680F"/>
    <w:rsid w:val="64BA1CB0"/>
    <w:rsid w:val="64E88173"/>
    <w:rsid w:val="6578452A"/>
    <w:rsid w:val="65986A2C"/>
    <w:rsid w:val="65E59612"/>
    <w:rsid w:val="65EE59E9"/>
    <w:rsid w:val="660527B4"/>
    <w:rsid w:val="6667CA94"/>
    <w:rsid w:val="66694840"/>
    <w:rsid w:val="666B74CE"/>
    <w:rsid w:val="6672116C"/>
    <w:rsid w:val="66FAA2DB"/>
    <w:rsid w:val="6707DD36"/>
    <w:rsid w:val="6709835B"/>
    <w:rsid w:val="6723C679"/>
    <w:rsid w:val="6736C390"/>
    <w:rsid w:val="67C2C75F"/>
    <w:rsid w:val="67C6BE7F"/>
    <w:rsid w:val="67CE470E"/>
    <w:rsid w:val="680E74C7"/>
    <w:rsid w:val="68266E33"/>
    <w:rsid w:val="686FE259"/>
    <w:rsid w:val="68DF9DCF"/>
    <w:rsid w:val="68F67FB2"/>
    <w:rsid w:val="69048E52"/>
    <w:rsid w:val="697F8C7B"/>
    <w:rsid w:val="69DE969C"/>
    <w:rsid w:val="6A26960E"/>
    <w:rsid w:val="6A5264FA"/>
    <w:rsid w:val="6A6DE8C0"/>
    <w:rsid w:val="6AC07364"/>
    <w:rsid w:val="6AD9142D"/>
    <w:rsid w:val="6AE2EEFF"/>
    <w:rsid w:val="6AE46E6D"/>
    <w:rsid w:val="6AECA21F"/>
    <w:rsid w:val="6B1823B1"/>
    <w:rsid w:val="6B3F55A7"/>
    <w:rsid w:val="6BAE51A5"/>
    <w:rsid w:val="6BC3E33B"/>
    <w:rsid w:val="6C45B7E5"/>
    <w:rsid w:val="6C4A38D5"/>
    <w:rsid w:val="6C696A4F"/>
    <w:rsid w:val="6C990482"/>
    <w:rsid w:val="6CC163F0"/>
    <w:rsid w:val="6D10809C"/>
    <w:rsid w:val="6D8DD12F"/>
    <w:rsid w:val="6D940AF6"/>
    <w:rsid w:val="6DA39B34"/>
    <w:rsid w:val="6DA7680E"/>
    <w:rsid w:val="6E05FC3A"/>
    <w:rsid w:val="6E08B50E"/>
    <w:rsid w:val="6E18F479"/>
    <w:rsid w:val="6E289C00"/>
    <w:rsid w:val="6E423A2C"/>
    <w:rsid w:val="6E7AE0F1"/>
    <w:rsid w:val="6EC9C099"/>
    <w:rsid w:val="6EE10259"/>
    <w:rsid w:val="6F2CDFC4"/>
    <w:rsid w:val="6F4A5FFE"/>
    <w:rsid w:val="6F58D906"/>
    <w:rsid w:val="6F6BEBE8"/>
    <w:rsid w:val="6F786B97"/>
    <w:rsid w:val="6F7AA094"/>
    <w:rsid w:val="6F9DD769"/>
    <w:rsid w:val="6FC16F01"/>
    <w:rsid w:val="6FD49535"/>
    <w:rsid w:val="6FD5B910"/>
    <w:rsid w:val="6FDADCB0"/>
    <w:rsid w:val="7082E0AE"/>
    <w:rsid w:val="70A7CD05"/>
    <w:rsid w:val="70AABABA"/>
    <w:rsid w:val="70D0EB1E"/>
    <w:rsid w:val="70E229EA"/>
    <w:rsid w:val="71041601"/>
    <w:rsid w:val="71192218"/>
    <w:rsid w:val="7126EC34"/>
    <w:rsid w:val="71272EEF"/>
    <w:rsid w:val="7130BCC3"/>
    <w:rsid w:val="713E9C2F"/>
    <w:rsid w:val="7149AF94"/>
    <w:rsid w:val="71520321"/>
    <w:rsid w:val="71EDBCBA"/>
    <w:rsid w:val="71F70CBD"/>
    <w:rsid w:val="71FF766D"/>
    <w:rsid w:val="72576B5D"/>
    <w:rsid w:val="728E7908"/>
    <w:rsid w:val="72C828A8"/>
    <w:rsid w:val="72F25C2C"/>
    <w:rsid w:val="7356DFB9"/>
    <w:rsid w:val="738E4F8B"/>
    <w:rsid w:val="7391E99D"/>
    <w:rsid w:val="73A30D36"/>
    <w:rsid w:val="73F760F3"/>
    <w:rsid w:val="7454E09E"/>
    <w:rsid w:val="74718ECB"/>
    <w:rsid w:val="749B2223"/>
    <w:rsid w:val="74CF550A"/>
    <w:rsid w:val="74D6C6B7"/>
    <w:rsid w:val="7534D28D"/>
    <w:rsid w:val="7553233F"/>
    <w:rsid w:val="756173E1"/>
    <w:rsid w:val="757B5546"/>
    <w:rsid w:val="75D78922"/>
    <w:rsid w:val="75F148F0"/>
    <w:rsid w:val="7631CA18"/>
    <w:rsid w:val="76414202"/>
    <w:rsid w:val="76602BC9"/>
    <w:rsid w:val="76D0EC63"/>
    <w:rsid w:val="76EE6C5C"/>
    <w:rsid w:val="76F27B68"/>
    <w:rsid w:val="778CE899"/>
    <w:rsid w:val="77D196BD"/>
    <w:rsid w:val="77F2A012"/>
    <w:rsid w:val="7823B113"/>
    <w:rsid w:val="7886F9DC"/>
    <w:rsid w:val="78878BD7"/>
    <w:rsid w:val="7892FC69"/>
    <w:rsid w:val="78D7F034"/>
    <w:rsid w:val="799C2081"/>
    <w:rsid w:val="79B8B4F9"/>
    <w:rsid w:val="7A06D637"/>
    <w:rsid w:val="7A19BC49"/>
    <w:rsid w:val="7A5EF4C1"/>
    <w:rsid w:val="7A75818F"/>
    <w:rsid w:val="7AACDDFC"/>
    <w:rsid w:val="7AD9C80D"/>
    <w:rsid w:val="7AF2969D"/>
    <w:rsid w:val="7AFE90F9"/>
    <w:rsid w:val="7B358C8A"/>
    <w:rsid w:val="7B362BA3"/>
    <w:rsid w:val="7B62515C"/>
    <w:rsid w:val="7B6EAD54"/>
    <w:rsid w:val="7BA0C94F"/>
    <w:rsid w:val="7BAED717"/>
    <w:rsid w:val="7BC762D3"/>
    <w:rsid w:val="7C4911A1"/>
    <w:rsid w:val="7CB37CA0"/>
    <w:rsid w:val="7CD7B938"/>
    <w:rsid w:val="7CF203ED"/>
    <w:rsid w:val="7D40561B"/>
    <w:rsid w:val="7D701F3C"/>
    <w:rsid w:val="7DC4E665"/>
    <w:rsid w:val="7DED2532"/>
    <w:rsid w:val="7E0CA313"/>
    <w:rsid w:val="7E0F32B2"/>
    <w:rsid w:val="7E45210D"/>
    <w:rsid w:val="7EC93195"/>
    <w:rsid w:val="7ED89701"/>
    <w:rsid w:val="7F08C4B9"/>
    <w:rsid w:val="7F317099"/>
    <w:rsid w:val="7FAA7907"/>
    <w:rsid w:val="7FC2702C"/>
    <w:rsid w:val="7FE24217"/>
    <w:rsid w:val="7FE2DE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7434BD1"/>
  <w15:docId w15:val="{CDF79863-FAED-425E-9B14-7172134AC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paragraph" w:styleId="Heading3">
    <w:name w:val="heading 3"/>
    <w:basedOn w:val="Normal"/>
    <w:next w:val="Normal"/>
    <w:link w:val="Heading3Char"/>
    <w:uiPriority w:val="9"/>
    <w:unhideWhenUsed/>
    <w:qFormat/>
    <w:rsid w:val="008C6B47"/>
    <w:pPr>
      <w:keepNext/>
      <w:keepLines/>
      <w:spacing w:before="40" w:after="0" w:line="259" w:lineRule="auto"/>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character" w:styleId="Hyperlink">
    <w:name w:val="Hyperlink"/>
    <w:rsid w:val="001C7D50"/>
    <w:rPr>
      <w:color w:val="0000FF"/>
      <w:u w:val="single"/>
    </w:rPr>
  </w:style>
  <w:style w:type="paragraph" w:customStyle="1" w:styleId="paragraph">
    <w:name w:val="paragraph"/>
    <w:basedOn w:val="Normal"/>
    <w:rsid w:val="00EA4CC0"/>
    <w:pPr>
      <w:spacing w:before="100" w:beforeAutospacing="1" w:after="100" w:afterAutospacing="1"/>
    </w:pPr>
    <w:rPr>
      <w:szCs w:val="24"/>
    </w:rPr>
  </w:style>
  <w:style w:type="character" w:customStyle="1" w:styleId="normaltextrun">
    <w:name w:val="normaltextrun"/>
    <w:basedOn w:val="DefaultParagraphFont"/>
    <w:rsid w:val="00EA4CC0"/>
  </w:style>
  <w:style w:type="character" w:customStyle="1" w:styleId="eop">
    <w:name w:val="eop"/>
    <w:basedOn w:val="DefaultParagraphFont"/>
    <w:rsid w:val="00EA4CC0"/>
  </w:style>
  <w:style w:type="character" w:customStyle="1" w:styleId="advancedproofingissue">
    <w:name w:val="advancedproofingissue"/>
    <w:basedOn w:val="DefaultParagraphFont"/>
    <w:rsid w:val="00EA4CC0"/>
  </w:style>
  <w:style w:type="paragraph" w:styleId="Footer">
    <w:name w:val="footer"/>
    <w:basedOn w:val="Normal"/>
    <w:link w:val="FooterChar"/>
    <w:uiPriority w:val="99"/>
    <w:rsid w:val="00C17636"/>
    <w:pPr>
      <w:tabs>
        <w:tab w:val="center" w:pos="4320"/>
        <w:tab w:val="right" w:pos="8640"/>
      </w:tabs>
      <w:spacing w:after="0"/>
    </w:pPr>
    <w:rPr>
      <w:szCs w:val="24"/>
    </w:rPr>
  </w:style>
  <w:style w:type="character" w:customStyle="1" w:styleId="FooterChar">
    <w:name w:val="Footer Char"/>
    <w:basedOn w:val="DefaultParagraphFont"/>
    <w:link w:val="Footer"/>
    <w:uiPriority w:val="99"/>
    <w:rsid w:val="00C1763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C6B47"/>
    <w:rPr>
      <w:sz w:val="16"/>
      <w:szCs w:val="16"/>
    </w:rPr>
  </w:style>
  <w:style w:type="paragraph" w:styleId="CommentText">
    <w:name w:val="annotation text"/>
    <w:basedOn w:val="Normal"/>
    <w:link w:val="CommentTextChar"/>
    <w:uiPriority w:val="99"/>
    <w:semiHidden/>
    <w:unhideWhenUsed/>
    <w:rsid w:val="008C6B47"/>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8C6B47"/>
    <w:rPr>
      <w:sz w:val="20"/>
      <w:szCs w:val="20"/>
    </w:rPr>
  </w:style>
  <w:style w:type="paragraph" w:styleId="BalloonText">
    <w:name w:val="Balloon Text"/>
    <w:basedOn w:val="Normal"/>
    <w:link w:val="BalloonTextChar"/>
    <w:uiPriority w:val="99"/>
    <w:semiHidden/>
    <w:unhideWhenUsed/>
    <w:rsid w:val="008C6B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B47"/>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8C6B47"/>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8C6B47"/>
    <w:rPr>
      <w:i/>
      <w:iCs/>
    </w:rPr>
  </w:style>
  <w:style w:type="paragraph" w:customStyle="1" w:styleId="single-line">
    <w:name w:val="single-line"/>
    <w:basedOn w:val="Normal"/>
    <w:rsid w:val="008C6B47"/>
    <w:pPr>
      <w:spacing w:before="100" w:beforeAutospacing="1" w:after="100" w:afterAutospacing="1"/>
    </w:pPr>
    <w:rPr>
      <w:szCs w:val="24"/>
    </w:rPr>
  </w:style>
  <w:style w:type="table" w:styleId="TableGrid">
    <w:name w:val="Table Grid"/>
    <w:basedOn w:val="TableNormal"/>
    <w:uiPriority w:val="39"/>
    <w:rsid w:val="008C6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C6B47"/>
    <w:pPr>
      <w:spacing w:after="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8C6B47"/>
    <w:rPr>
      <w:sz w:val="20"/>
      <w:szCs w:val="20"/>
    </w:rPr>
  </w:style>
  <w:style w:type="character" w:styleId="FootnoteReference">
    <w:name w:val="footnote reference"/>
    <w:basedOn w:val="DefaultParagraphFont"/>
    <w:uiPriority w:val="99"/>
    <w:semiHidden/>
    <w:unhideWhenUsed/>
    <w:rsid w:val="008C6B47"/>
    <w:rPr>
      <w:vertAlign w:val="superscript"/>
    </w:rPr>
  </w:style>
  <w:style w:type="paragraph" w:styleId="CommentSubject">
    <w:name w:val="annotation subject"/>
    <w:basedOn w:val="CommentText"/>
    <w:next w:val="CommentText"/>
    <w:link w:val="CommentSubjectChar"/>
    <w:uiPriority w:val="99"/>
    <w:semiHidden/>
    <w:unhideWhenUsed/>
    <w:rsid w:val="001A6A78"/>
    <w:pPr>
      <w:spacing w:after="12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1A6A7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A282D"/>
    <w:pPr>
      <w:tabs>
        <w:tab w:val="center" w:pos="4680"/>
        <w:tab w:val="right" w:pos="9360"/>
      </w:tabs>
      <w:spacing w:after="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A282D"/>
  </w:style>
  <w:style w:type="paragraph" w:styleId="NormalWeb">
    <w:name w:val="Normal (Web)"/>
    <w:basedOn w:val="Normal"/>
    <w:uiPriority w:val="99"/>
    <w:semiHidden/>
    <w:unhideWhenUsed/>
    <w:rsid w:val="00833B6D"/>
    <w:pPr>
      <w:spacing w:before="100" w:beforeAutospacing="1" w:after="100" w:afterAutospacing="1"/>
    </w:pPr>
    <w:rPr>
      <w:szCs w:val="24"/>
    </w:rPr>
  </w:style>
  <w:style w:type="paragraph" w:customStyle="1" w:styleId="Default">
    <w:name w:val="Default"/>
    <w:rsid w:val="003D52A3"/>
    <w:pPr>
      <w:autoSpaceDE w:val="0"/>
      <w:autoSpaceDN w:val="0"/>
      <w:adjustRightInd w:val="0"/>
      <w:spacing w:after="0" w:line="240" w:lineRule="auto"/>
    </w:pPr>
    <w:rPr>
      <w:rFonts w:ascii="Adobe Garamond Pro" w:hAnsi="Adobe Garamond Pro" w:cs="Adobe Garamon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000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a.state.gov/impact/eca-evaluation-division/monitoring-data-eca-mode-framewor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opm.gov/policy-data-oversight/pay-leave/salaries-wages/2020/general-schedule/" TargetMode="External"/><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4C3BCD7BC99746BE3AE8A6CF364DF0" ma:contentTypeVersion="7" ma:contentTypeDescription="Create a new document." ma:contentTypeScope="" ma:versionID="86d985a17c2c19173c794072449e7a3c">
  <xsd:schema xmlns:xsd="http://www.w3.org/2001/XMLSchema" xmlns:xs="http://www.w3.org/2001/XMLSchema" xmlns:p="http://schemas.microsoft.com/office/2006/metadata/properties" xmlns:ns2="4f942f20-5914-402f-bd1a-0ff5eee0383b" xmlns:ns3="0825b11f-626b-4a50-8b70-70a7024748e6" targetNamespace="http://schemas.microsoft.com/office/2006/metadata/properties" ma:root="true" ma:fieldsID="3cef5203a6e7df55b175a66b19bb1b23" ns2:_="" ns3:_="">
    <xsd:import namespace="4f942f20-5914-402f-bd1a-0ff5eee0383b"/>
    <xsd:import namespace="0825b11f-626b-4a50-8b70-70a7024748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42f20-5914-402f-bd1a-0ff5eee03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25b11f-626b-4a50-8b70-70a7024748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8A8919-C4E5-45D3-A32C-BE4A9D7FF828}">
  <ds:schemaRefs>
    <ds:schemaRef ds:uri="http://schemas.openxmlformats.org/officeDocument/2006/bibliography"/>
  </ds:schemaRefs>
</ds:datastoreItem>
</file>

<file path=customXml/itemProps2.xml><?xml version="1.0" encoding="utf-8"?>
<ds:datastoreItem xmlns:ds="http://schemas.openxmlformats.org/officeDocument/2006/customXml" ds:itemID="{901751B5-F984-4619-A8EE-D4E3C5953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42f20-5914-402f-bd1a-0ff5eee0383b"/>
    <ds:schemaRef ds:uri="0825b11f-626b-4a50-8b70-70a702474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31EE0F-CE06-42F1-81A3-F30A98D4B208}">
  <ds:schemaRefs>
    <ds:schemaRef ds:uri="4f942f20-5914-402f-bd1a-0ff5eee0383b"/>
    <ds:schemaRef ds:uri="http://purl.org/dc/elements/1.1/"/>
    <ds:schemaRef ds:uri="http://schemas.microsoft.com/office/infopath/2007/PartnerControls"/>
    <ds:schemaRef ds:uri="http://schemas.microsoft.com/office/2006/metadata/properties"/>
    <ds:schemaRef ds:uri="http://purl.org/dc/terms/"/>
    <ds:schemaRef ds:uri="http://schemas.openxmlformats.org/package/2006/metadata/core-properties"/>
    <ds:schemaRef ds:uri="http://schemas.microsoft.com/office/2006/documentManagement/types"/>
    <ds:schemaRef ds:uri="0825b11f-626b-4a50-8b70-70a7024748e6"/>
    <ds:schemaRef ds:uri="http://www.w3.org/XML/1998/namespace"/>
    <ds:schemaRef ds:uri="http://purl.org/dc/dcmitype/"/>
  </ds:schemaRefs>
</ds:datastoreItem>
</file>

<file path=customXml/itemProps4.xml><?xml version="1.0" encoding="utf-8"?>
<ds:datastoreItem xmlns:ds="http://schemas.openxmlformats.org/officeDocument/2006/customXml" ds:itemID="{77DBF0B7-4735-4445-B3AA-0E5AD8A517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4096</Words>
  <Characters>23349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27391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Watkins, Pamela K</cp:lastModifiedBy>
  <cp:revision>2</cp:revision>
  <cp:lastPrinted>2020-05-08T11:42:00Z</cp:lastPrinted>
  <dcterms:created xsi:type="dcterms:W3CDTF">2020-08-25T15:13:00Z</dcterms:created>
  <dcterms:modified xsi:type="dcterms:W3CDTF">2020-08-25T15:13:00Z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0x010100AE4C3BCD7BC99746BE3AE8A6CF364DF0</vt:lpwstr>
  </property>
  <property fmtid="{D5CDD505-2E9C-101B-9397-08002B2CF9AE}" pid="3" name="_dlc_DocIdItemGuid">
    <vt:lpwstr>a89d8601-f103-42f5-bd87-f32a0f44c4f1</vt:lpwstr>
  </property>
  <property fmtid="{D5CDD505-2E9C-101B-9397-08002B2CF9AE}" pid="4" name="MSIP_Label_1665d9ee-429a-4d5f-97cc-cfb56e044a6e_Enabled">
    <vt:lpwstr>True</vt:lpwstr>
  </property>
  <property fmtid="{D5CDD505-2E9C-101B-9397-08002B2CF9AE}" pid="5" name="MSIP_Label_1665d9ee-429a-4d5f-97cc-cfb56e044a6e_SiteId">
    <vt:lpwstr>66cf5074-5afe-48d1-a691-a12b2121f44b</vt:lpwstr>
  </property>
  <property fmtid="{D5CDD505-2E9C-101B-9397-08002B2CF9AE}" pid="6" name="MSIP_Label_1665d9ee-429a-4d5f-97cc-cfb56e044a6e_Owner">
    <vt:lpwstr>WatkinsPK@state.gov</vt:lpwstr>
  </property>
  <property fmtid="{D5CDD505-2E9C-101B-9397-08002B2CF9AE}" pid="7" name="MSIP_Label_1665d9ee-429a-4d5f-97cc-cfb56e044a6e_SetDate">
    <vt:lpwstr>2020-04-29T17:03:07.2692699Z</vt:lpwstr>
  </property>
  <property fmtid="{D5CDD505-2E9C-101B-9397-08002B2CF9AE}" pid="8" name="MSIP_Label_1665d9ee-429a-4d5f-97cc-cfb56e044a6e_Name">
    <vt:lpwstr>Unclassified</vt:lpwstr>
  </property>
  <property fmtid="{D5CDD505-2E9C-101B-9397-08002B2CF9AE}" pid="9" name="MSIP_Label_1665d9ee-429a-4d5f-97cc-cfb56e044a6e_Application">
    <vt:lpwstr>Microsoft Azure Information Protection</vt:lpwstr>
  </property>
  <property fmtid="{D5CDD505-2E9C-101B-9397-08002B2CF9AE}" pid="10" name="MSIP_Label_1665d9ee-429a-4d5f-97cc-cfb56e044a6e_ActionId">
    <vt:lpwstr>36f341f1-dd48-4e1f-bdf1-6dcee46dc99d</vt:lpwstr>
  </property>
  <property fmtid="{D5CDD505-2E9C-101B-9397-08002B2CF9AE}" pid="11" name="MSIP_Label_1665d9ee-429a-4d5f-97cc-cfb56e044a6e_Extended_MSFT_Method">
    <vt:lpwstr>Manual</vt:lpwstr>
  </property>
  <property fmtid="{D5CDD505-2E9C-101B-9397-08002B2CF9AE}" pid="12" name="Sensitivity">
    <vt:lpwstr>Unclassified</vt:lpwstr>
  </property>
</Properties>
</file>