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41B" w:rsidRDefault="0024541B" w14:paraId="28A4A1A2" w14:textId="77777777">
      <w:pPr>
        <w:jc w:val="center"/>
        <w:rPr>
          <w:rFonts w:cs="Arial"/>
          <w:sz w:val="22"/>
          <w:szCs w:val="22"/>
        </w:rPr>
      </w:pPr>
      <w:r w:rsidRPr="00EC15A7">
        <w:rPr>
          <w:rFonts w:cs="Arial"/>
          <w:sz w:val="22"/>
          <w:szCs w:val="22"/>
        </w:rPr>
        <w:t>SUPPORTING STATEMENT</w:t>
      </w:r>
    </w:p>
    <w:p w:rsidRPr="00EC15A7" w:rsidR="002C069B" w:rsidRDefault="002C069B" w14:paraId="4ED99021" w14:textId="77777777">
      <w:pPr>
        <w:jc w:val="center"/>
        <w:rPr>
          <w:rFonts w:cs="Arial"/>
          <w:sz w:val="22"/>
          <w:szCs w:val="22"/>
        </w:rPr>
      </w:pPr>
      <w:r>
        <w:rPr>
          <w:rFonts w:cs="Arial"/>
          <w:sz w:val="22"/>
          <w:szCs w:val="22"/>
        </w:rPr>
        <w:t>Internal Revenue Service</w:t>
      </w:r>
    </w:p>
    <w:p w:rsidRPr="00EC15A7" w:rsidR="00D96C91" w:rsidRDefault="0024541B" w14:paraId="0B7B1862" w14:textId="77777777">
      <w:pPr>
        <w:jc w:val="center"/>
        <w:rPr>
          <w:rFonts w:cs="Arial"/>
          <w:b/>
          <w:sz w:val="22"/>
          <w:szCs w:val="22"/>
        </w:rPr>
      </w:pPr>
      <w:r w:rsidRPr="00EC15A7">
        <w:rPr>
          <w:rFonts w:cs="Arial"/>
          <w:b/>
          <w:sz w:val="22"/>
          <w:szCs w:val="22"/>
        </w:rPr>
        <w:t>Notice 2005-04</w:t>
      </w:r>
      <w:r w:rsidR="00B31E5A">
        <w:rPr>
          <w:rFonts w:cs="Arial"/>
          <w:b/>
          <w:sz w:val="22"/>
          <w:szCs w:val="22"/>
        </w:rPr>
        <w:t xml:space="preserve"> </w:t>
      </w:r>
      <w:r w:rsidR="00B31E5A">
        <w:rPr>
          <w:rFonts w:ascii="Verdana" w:hAnsi="Verdana"/>
          <w:color w:val="333333"/>
          <w:sz w:val="20"/>
          <w:szCs w:val="20"/>
        </w:rPr>
        <w:t>Fuel Tax Guidance</w:t>
      </w:r>
    </w:p>
    <w:p w:rsidRPr="00EC15A7" w:rsidR="0024541B" w:rsidRDefault="00EC15A7" w14:paraId="0C632BA4" w14:textId="77777777">
      <w:pPr>
        <w:jc w:val="center"/>
        <w:rPr>
          <w:rFonts w:cs="Arial"/>
          <w:sz w:val="22"/>
          <w:szCs w:val="22"/>
        </w:rPr>
      </w:pPr>
      <w:r w:rsidRPr="00EC15A7">
        <w:rPr>
          <w:rFonts w:cs="Arial"/>
          <w:sz w:val="22"/>
          <w:szCs w:val="22"/>
        </w:rPr>
        <w:t>(</w:t>
      </w:r>
      <w:r w:rsidRPr="00EC15A7" w:rsidR="0024541B">
        <w:rPr>
          <w:rFonts w:cs="Arial"/>
          <w:sz w:val="22"/>
          <w:szCs w:val="22"/>
        </w:rPr>
        <w:t xml:space="preserve">as </w:t>
      </w:r>
      <w:r w:rsidRPr="00EC15A7">
        <w:rPr>
          <w:rFonts w:cs="Arial"/>
          <w:sz w:val="22"/>
          <w:szCs w:val="22"/>
        </w:rPr>
        <w:t>m</w:t>
      </w:r>
      <w:r w:rsidRPr="00EC15A7" w:rsidR="0024541B">
        <w:rPr>
          <w:rFonts w:cs="Arial"/>
          <w:sz w:val="22"/>
          <w:szCs w:val="22"/>
        </w:rPr>
        <w:t>odified by Notices 2005-24, 2005-62, and 2005-80)</w:t>
      </w:r>
    </w:p>
    <w:p w:rsidRPr="00EC15A7" w:rsidR="00D96C91" w:rsidRDefault="00D96C91" w14:paraId="538DE35B" w14:textId="77777777">
      <w:pPr>
        <w:jc w:val="center"/>
        <w:rPr>
          <w:rFonts w:cs="Arial"/>
          <w:b/>
          <w:sz w:val="22"/>
          <w:szCs w:val="22"/>
        </w:rPr>
      </w:pPr>
      <w:r w:rsidRPr="00EC15A7">
        <w:rPr>
          <w:rFonts w:cs="Arial"/>
          <w:b/>
          <w:sz w:val="22"/>
          <w:szCs w:val="22"/>
        </w:rPr>
        <w:t>OMB No. 1545-1915</w:t>
      </w:r>
    </w:p>
    <w:p w:rsidR="0024541B" w:rsidRDefault="0024541B" w14:paraId="0557FD6B" w14:textId="77777777">
      <w:pPr>
        <w:rPr>
          <w:rFonts w:cs="Arial"/>
        </w:rPr>
      </w:pPr>
    </w:p>
    <w:p w:rsidR="00DA739E" w:rsidRDefault="00DA739E" w14:paraId="1BA19FCE" w14:textId="77777777">
      <w:pPr>
        <w:rPr>
          <w:rFonts w:cs="Arial"/>
        </w:rPr>
      </w:pPr>
    </w:p>
    <w:p w:rsidR="0024541B" w:rsidRDefault="0024541B" w14:paraId="227C6293" w14:textId="77777777">
      <w:pPr>
        <w:ind w:left="720" w:hanging="720"/>
        <w:rPr>
          <w:rFonts w:cs="Arial"/>
        </w:rPr>
      </w:pPr>
      <w:r>
        <w:rPr>
          <w:rFonts w:cs="Arial"/>
          <w:b/>
        </w:rPr>
        <w:t>1.</w:t>
      </w:r>
      <w:r>
        <w:rPr>
          <w:rFonts w:cs="Arial"/>
        </w:rPr>
        <w:tab/>
      </w:r>
      <w:r>
        <w:rPr>
          <w:rFonts w:cs="Arial"/>
          <w:b/>
          <w:u w:val="single"/>
        </w:rPr>
        <w:t>CIRCUMSTANCES NECESSITATING COLLECTION OF INFORMATION</w:t>
      </w:r>
    </w:p>
    <w:p w:rsidRPr="00DA739E" w:rsidR="00DA739E" w:rsidP="00DA739E" w:rsidRDefault="00DA739E" w14:paraId="18DE78D9" w14:textId="77777777">
      <w:pPr>
        <w:autoSpaceDE w:val="0"/>
        <w:autoSpaceDN w:val="0"/>
        <w:adjustRightInd w:val="0"/>
        <w:rPr>
          <w:rFonts w:cs="Arial"/>
          <w:sz w:val="22"/>
          <w:szCs w:val="22"/>
        </w:rPr>
      </w:pPr>
    </w:p>
    <w:p w:rsidR="00DA739E" w:rsidP="00DA739E" w:rsidRDefault="00DA739E" w14:paraId="29CECF56" w14:textId="77777777">
      <w:pPr>
        <w:rPr>
          <w:rFonts w:cs="Arial"/>
          <w:b/>
        </w:rPr>
      </w:pPr>
    </w:p>
    <w:p w:rsidRPr="00573387" w:rsidR="00DA739E" w:rsidP="00DA739E" w:rsidRDefault="00D96C91" w14:paraId="7DF4DA0D" w14:textId="77777777">
      <w:pPr>
        <w:tabs>
          <w:tab w:val="left" w:pos="720"/>
        </w:tabs>
        <w:autoSpaceDE w:val="0"/>
        <w:autoSpaceDN w:val="0"/>
        <w:adjustRightInd w:val="0"/>
        <w:ind w:left="720"/>
        <w:rPr>
          <w:rFonts w:cs="Arial"/>
          <w:sz w:val="22"/>
          <w:szCs w:val="22"/>
        </w:rPr>
      </w:pPr>
      <w:r>
        <w:rPr>
          <w:rFonts w:cs="Arial"/>
          <w:sz w:val="22"/>
          <w:szCs w:val="22"/>
        </w:rPr>
        <w:t xml:space="preserve">Notice 2005-4 </w:t>
      </w:r>
      <w:r w:rsidRPr="0068369B" w:rsidR="00DA739E">
        <w:rPr>
          <w:rFonts w:cs="Arial"/>
          <w:sz w:val="22"/>
          <w:szCs w:val="22"/>
        </w:rPr>
        <w:t>provides guidance on certain excise tax provisions in the Internal Revenue Code that were added or affected</w:t>
      </w:r>
      <w:r w:rsidRPr="00936EE1" w:rsidR="00DA739E">
        <w:rPr>
          <w:rFonts w:cs="Arial"/>
          <w:sz w:val="22"/>
          <w:szCs w:val="22"/>
        </w:rPr>
        <w:t xml:space="preserve"> by the American Jobs Creation Act of 2004 (Pub. L 108–357) (Act).  These provisions relate to: alcohol and biodiesel fuels; the definition of off-highway vehicles; aviation-grade kerosene; claims related to diesel fuel used in certain bus</w:t>
      </w:r>
      <w:r w:rsidRPr="00570CC8" w:rsidR="00DA739E">
        <w:rPr>
          <w:rFonts w:cs="Arial"/>
          <w:sz w:val="22"/>
          <w:szCs w:val="22"/>
        </w:rPr>
        <w:t xml:space="preserve">es; the display of registration on certain vessels; claims related to sales of gasoline to state and local governments and nonprofit educational organizations; two party exchanges of taxable fuel; and the classification of transmix and certain diesel fuel </w:t>
      </w:r>
      <w:r w:rsidRPr="00573387" w:rsidR="00DA739E">
        <w:rPr>
          <w:rFonts w:cs="Arial"/>
          <w:sz w:val="22"/>
          <w:szCs w:val="22"/>
        </w:rPr>
        <w:t xml:space="preserve">blendstocks as diesel fuel.  </w:t>
      </w:r>
    </w:p>
    <w:p w:rsidRPr="00573387" w:rsidR="001C173F" w:rsidP="00DA739E" w:rsidRDefault="001C173F" w14:paraId="355E0D53" w14:textId="77777777">
      <w:pPr>
        <w:tabs>
          <w:tab w:val="left" w:pos="720"/>
        </w:tabs>
        <w:autoSpaceDE w:val="0"/>
        <w:autoSpaceDN w:val="0"/>
        <w:adjustRightInd w:val="0"/>
        <w:ind w:left="720"/>
        <w:rPr>
          <w:rFonts w:cs="Arial"/>
          <w:sz w:val="22"/>
          <w:szCs w:val="22"/>
        </w:rPr>
      </w:pPr>
    </w:p>
    <w:p w:rsidRPr="0068369B" w:rsidR="0068369B" w:rsidP="00E657B9" w:rsidRDefault="0068369B" w14:paraId="7431F281" w14:textId="77777777">
      <w:pPr>
        <w:numPr>
          <w:ilvl w:val="0"/>
          <w:numId w:val="1"/>
        </w:numPr>
        <w:autoSpaceDE w:val="0"/>
        <w:autoSpaceDN w:val="0"/>
        <w:adjustRightInd w:val="0"/>
        <w:rPr>
          <w:rFonts w:eastAsia="Calibri" w:cs="Arial"/>
          <w:sz w:val="22"/>
          <w:szCs w:val="22"/>
        </w:rPr>
      </w:pPr>
      <w:r w:rsidRPr="0068369B">
        <w:rPr>
          <w:rFonts w:eastAsia="Calibri" w:cs="Arial"/>
          <w:sz w:val="22"/>
          <w:szCs w:val="22"/>
        </w:rPr>
        <w:t xml:space="preserve">Under §§ 6426(c), 6427(e), and 40A, the producer of biodiesel must give a certificate to the claimant of a biodiesel mixture credit or biodiesel credit. </w:t>
      </w:r>
    </w:p>
    <w:p w:rsidRPr="0068369B" w:rsidR="0068369B" w:rsidP="0068369B" w:rsidRDefault="0068369B" w14:paraId="3B313866" w14:textId="77777777">
      <w:pPr>
        <w:autoSpaceDE w:val="0"/>
        <w:autoSpaceDN w:val="0"/>
        <w:adjustRightInd w:val="0"/>
        <w:ind w:left="720"/>
        <w:rPr>
          <w:rFonts w:eastAsia="Calibri" w:cs="Arial"/>
          <w:sz w:val="22"/>
          <w:szCs w:val="22"/>
        </w:rPr>
      </w:pPr>
    </w:p>
    <w:p w:rsidRPr="0068369B" w:rsidR="0068369B" w:rsidP="00E657B9" w:rsidRDefault="0068369B" w14:paraId="6A4D6C81" w14:textId="77777777">
      <w:pPr>
        <w:numPr>
          <w:ilvl w:val="0"/>
          <w:numId w:val="1"/>
        </w:numPr>
        <w:autoSpaceDE w:val="0"/>
        <w:autoSpaceDN w:val="0"/>
        <w:adjustRightInd w:val="0"/>
        <w:rPr>
          <w:rFonts w:eastAsia="Calibri" w:cs="Arial"/>
          <w:sz w:val="22"/>
          <w:szCs w:val="22"/>
        </w:rPr>
      </w:pPr>
      <w:r w:rsidRPr="0068369B">
        <w:rPr>
          <w:rFonts w:eastAsia="Calibri" w:cs="Arial"/>
          <w:sz w:val="22"/>
          <w:szCs w:val="22"/>
        </w:rPr>
        <w:t>Section 4081(a)(3)(C) describes the recordkeeping requirements of certain terminal operators of aviati</w:t>
      </w:r>
      <w:bookmarkStart w:name="_GoBack" w:id="0"/>
      <w:bookmarkEnd w:id="0"/>
      <w:r w:rsidRPr="0068369B">
        <w:rPr>
          <w:rFonts w:eastAsia="Calibri" w:cs="Arial"/>
          <w:sz w:val="22"/>
          <w:szCs w:val="22"/>
        </w:rPr>
        <w:t xml:space="preserve">on-grade kerosene. </w:t>
      </w:r>
    </w:p>
    <w:p w:rsidRPr="0068369B" w:rsidR="0068369B" w:rsidP="0068369B" w:rsidRDefault="0068369B" w14:paraId="37488DB2" w14:textId="77777777">
      <w:pPr>
        <w:autoSpaceDE w:val="0"/>
        <w:autoSpaceDN w:val="0"/>
        <w:adjustRightInd w:val="0"/>
        <w:ind w:left="720"/>
        <w:rPr>
          <w:rFonts w:eastAsia="Calibri" w:cs="Arial"/>
          <w:sz w:val="22"/>
          <w:szCs w:val="22"/>
        </w:rPr>
      </w:pPr>
    </w:p>
    <w:p w:rsidRPr="0068369B" w:rsidR="00F6610B" w:rsidP="00F6610B" w:rsidRDefault="00F6610B" w14:paraId="254699D8" w14:textId="77777777">
      <w:pPr>
        <w:numPr>
          <w:ilvl w:val="0"/>
          <w:numId w:val="1"/>
        </w:numPr>
        <w:autoSpaceDE w:val="0"/>
        <w:autoSpaceDN w:val="0"/>
        <w:adjustRightInd w:val="0"/>
        <w:rPr>
          <w:rFonts w:eastAsia="Calibri" w:cs="Arial"/>
          <w:sz w:val="22"/>
          <w:szCs w:val="22"/>
        </w:rPr>
      </w:pPr>
      <w:bookmarkStart w:name="_Hlk47434847" w:id="1"/>
      <w:r w:rsidRPr="0068369B">
        <w:rPr>
          <w:rFonts w:eastAsia="Calibri" w:cs="Arial"/>
          <w:sz w:val="22"/>
          <w:szCs w:val="22"/>
        </w:rPr>
        <w:t xml:space="preserve">The </w:t>
      </w:r>
      <w:r>
        <w:rPr>
          <w:rFonts w:eastAsia="Calibri" w:cs="Arial"/>
          <w:sz w:val="22"/>
          <w:szCs w:val="22"/>
        </w:rPr>
        <w:t xml:space="preserve">operator of an aircraft that </w:t>
      </w:r>
      <w:r w:rsidRPr="0068369B">
        <w:rPr>
          <w:rFonts w:eastAsia="Calibri" w:cs="Arial"/>
          <w:sz w:val="22"/>
          <w:szCs w:val="22"/>
        </w:rPr>
        <w:t>buy</w:t>
      </w:r>
      <w:r>
        <w:rPr>
          <w:rFonts w:eastAsia="Calibri" w:cs="Arial"/>
          <w:sz w:val="22"/>
          <w:szCs w:val="22"/>
        </w:rPr>
        <w:t>s</w:t>
      </w:r>
      <w:r w:rsidRPr="0068369B">
        <w:rPr>
          <w:rFonts w:eastAsia="Calibri" w:cs="Arial"/>
          <w:sz w:val="22"/>
          <w:szCs w:val="22"/>
        </w:rPr>
        <w:t xml:space="preserve"> aviation-grade kerosene must give </w:t>
      </w:r>
      <w:r>
        <w:rPr>
          <w:rFonts w:eastAsia="Calibri" w:cs="Arial"/>
          <w:sz w:val="22"/>
          <w:szCs w:val="22"/>
        </w:rPr>
        <w:t xml:space="preserve">a certificate </w:t>
      </w:r>
      <w:r w:rsidRPr="0068369B">
        <w:rPr>
          <w:rFonts w:eastAsia="Calibri" w:cs="Arial"/>
          <w:sz w:val="22"/>
          <w:szCs w:val="22"/>
        </w:rPr>
        <w:t xml:space="preserve">to the </w:t>
      </w:r>
      <w:r>
        <w:rPr>
          <w:rFonts w:eastAsia="Calibri" w:cs="Arial"/>
          <w:sz w:val="22"/>
          <w:szCs w:val="22"/>
        </w:rPr>
        <w:t xml:space="preserve">position holder </w:t>
      </w:r>
      <w:r w:rsidRPr="0068369B">
        <w:rPr>
          <w:rFonts w:eastAsia="Calibri" w:cs="Arial"/>
          <w:sz w:val="22"/>
          <w:szCs w:val="22"/>
        </w:rPr>
        <w:t xml:space="preserve">in order to support removals of aviation-grade kerosene directly into the fuel tank of an aircraft in commercial aviation pursuant to § 4081 or to support a tax rate of zero pursuant to §§ 4041 and 4082. </w:t>
      </w:r>
    </w:p>
    <w:bookmarkEnd w:id="1"/>
    <w:p w:rsidRPr="0068369B" w:rsidR="0068369B" w:rsidP="0068369B" w:rsidRDefault="0068369B" w14:paraId="7F366323" w14:textId="77777777">
      <w:pPr>
        <w:autoSpaceDE w:val="0"/>
        <w:autoSpaceDN w:val="0"/>
        <w:adjustRightInd w:val="0"/>
        <w:ind w:left="720"/>
        <w:rPr>
          <w:rFonts w:eastAsia="Calibri" w:cs="Arial"/>
          <w:sz w:val="22"/>
          <w:szCs w:val="22"/>
        </w:rPr>
      </w:pPr>
    </w:p>
    <w:p w:rsidRPr="0068369B" w:rsidR="00F6610B" w:rsidP="00F6610B" w:rsidRDefault="00F6610B" w14:paraId="6C0D5D74" w14:textId="77777777">
      <w:pPr>
        <w:numPr>
          <w:ilvl w:val="0"/>
          <w:numId w:val="1"/>
        </w:numPr>
        <w:autoSpaceDE w:val="0"/>
        <w:autoSpaceDN w:val="0"/>
        <w:adjustRightInd w:val="0"/>
        <w:rPr>
          <w:rFonts w:eastAsia="Calibri" w:cs="Arial"/>
          <w:sz w:val="22"/>
          <w:szCs w:val="22"/>
        </w:rPr>
      </w:pPr>
      <w:r w:rsidRPr="0068369B">
        <w:rPr>
          <w:rFonts w:eastAsia="Calibri" w:cs="Arial"/>
          <w:sz w:val="22"/>
          <w:szCs w:val="22"/>
        </w:rPr>
        <w:t xml:space="preserve">For the purposes of § 6427(1)(4)(B), the ultimate purchaser of aviation-grade kerosene must give </w:t>
      </w:r>
      <w:r>
        <w:rPr>
          <w:rFonts w:eastAsia="Calibri" w:cs="Arial"/>
          <w:sz w:val="22"/>
          <w:szCs w:val="22"/>
        </w:rPr>
        <w:t xml:space="preserve">a waiver to </w:t>
      </w:r>
      <w:r w:rsidRPr="0068369B">
        <w:rPr>
          <w:rFonts w:eastAsia="Calibri" w:cs="Arial"/>
          <w:sz w:val="22"/>
          <w:szCs w:val="22"/>
        </w:rPr>
        <w:t xml:space="preserve">the registered ultimate vendor in order to waive its right to an income tax credit or payment and assign such rights to the registered ultimate vendor. </w:t>
      </w:r>
    </w:p>
    <w:p w:rsidRPr="0068369B" w:rsidR="0068369B" w:rsidP="0068369B" w:rsidRDefault="0068369B" w14:paraId="0D4AB90D" w14:textId="77777777">
      <w:pPr>
        <w:autoSpaceDE w:val="0"/>
        <w:autoSpaceDN w:val="0"/>
        <w:adjustRightInd w:val="0"/>
        <w:ind w:left="720"/>
        <w:rPr>
          <w:rFonts w:eastAsia="Calibri" w:cs="Arial"/>
          <w:sz w:val="22"/>
          <w:szCs w:val="22"/>
        </w:rPr>
      </w:pPr>
    </w:p>
    <w:p w:rsidRPr="0068369B" w:rsidR="00F6610B" w:rsidP="00F6610B" w:rsidRDefault="00F6610B" w14:paraId="06CE3938" w14:textId="77777777">
      <w:pPr>
        <w:numPr>
          <w:ilvl w:val="0"/>
          <w:numId w:val="1"/>
        </w:numPr>
        <w:autoSpaceDE w:val="0"/>
        <w:autoSpaceDN w:val="0"/>
        <w:adjustRightInd w:val="0"/>
        <w:rPr>
          <w:rFonts w:eastAsia="Calibri" w:cs="Arial"/>
          <w:sz w:val="22"/>
          <w:szCs w:val="22"/>
        </w:rPr>
      </w:pPr>
      <w:r w:rsidRPr="0068369B">
        <w:rPr>
          <w:rFonts w:eastAsia="Calibri" w:cs="Arial"/>
          <w:sz w:val="22"/>
          <w:szCs w:val="22"/>
        </w:rPr>
        <w:t xml:space="preserve">For the purposes of § 6427(b)(4), the ultimate purchaser of diesel fuel or kerosene for use in an intercity bus must give </w:t>
      </w:r>
      <w:r>
        <w:rPr>
          <w:rFonts w:eastAsia="Calibri" w:cs="Arial"/>
          <w:sz w:val="22"/>
          <w:szCs w:val="22"/>
        </w:rPr>
        <w:t xml:space="preserve">a waiver </w:t>
      </w:r>
      <w:r w:rsidRPr="0068369B">
        <w:rPr>
          <w:rFonts w:eastAsia="Calibri" w:cs="Arial"/>
          <w:sz w:val="22"/>
          <w:szCs w:val="22"/>
        </w:rPr>
        <w:t xml:space="preserve">to the registered ultimate vendor in order to waive its rights to an income tax credit or payment and assign such rights to the registered ultimate vendor. </w:t>
      </w:r>
    </w:p>
    <w:p w:rsidRPr="0068369B" w:rsidR="0068369B" w:rsidP="0068369B" w:rsidRDefault="0068369B" w14:paraId="3D3CA5D9" w14:textId="77777777">
      <w:pPr>
        <w:autoSpaceDE w:val="0"/>
        <w:autoSpaceDN w:val="0"/>
        <w:adjustRightInd w:val="0"/>
        <w:ind w:left="720"/>
        <w:rPr>
          <w:rFonts w:eastAsia="Calibri" w:cs="Arial"/>
          <w:sz w:val="22"/>
          <w:szCs w:val="22"/>
        </w:rPr>
      </w:pPr>
    </w:p>
    <w:p w:rsidRPr="0068369B" w:rsidR="00F6610B" w:rsidP="00F6610B" w:rsidRDefault="00F6610B" w14:paraId="681217A4" w14:textId="77777777">
      <w:pPr>
        <w:numPr>
          <w:ilvl w:val="0"/>
          <w:numId w:val="1"/>
        </w:numPr>
        <w:autoSpaceDE w:val="0"/>
        <w:autoSpaceDN w:val="0"/>
        <w:adjustRightInd w:val="0"/>
        <w:rPr>
          <w:rFonts w:eastAsia="Calibri" w:cs="Arial"/>
          <w:sz w:val="22"/>
          <w:szCs w:val="22"/>
        </w:rPr>
      </w:pPr>
      <w:r w:rsidRPr="0068369B">
        <w:rPr>
          <w:rFonts w:eastAsia="Calibri" w:cs="Arial"/>
          <w:sz w:val="22"/>
          <w:szCs w:val="22"/>
        </w:rPr>
        <w:t>To support ultimate vendor’s claim for a credit or refund under § 6416(a)(4), the ultimate purchaser of gasoline for the exclusive use of the state or the exclusive use of a nonprofit educational organization must give</w:t>
      </w:r>
      <w:r>
        <w:rPr>
          <w:rFonts w:eastAsia="Calibri" w:cs="Arial"/>
          <w:sz w:val="22"/>
          <w:szCs w:val="22"/>
        </w:rPr>
        <w:t xml:space="preserve"> a certificate</w:t>
      </w:r>
      <w:r w:rsidRPr="0068369B">
        <w:rPr>
          <w:rFonts w:eastAsia="Calibri" w:cs="Arial"/>
          <w:sz w:val="22"/>
          <w:szCs w:val="22"/>
        </w:rPr>
        <w:t xml:space="preserve"> to the registered ultimate vendor in order for the registered ultimate vendor to be treated as the taxpayer.</w:t>
      </w:r>
    </w:p>
    <w:p w:rsidRPr="0068369B" w:rsidR="0068369B" w:rsidP="0068369B" w:rsidRDefault="0068369B" w14:paraId="2949CA96" w14:textId="77777777">
      <w:pPr>
        <w:autoSpaceDE w:val="0"/>
        <w:autoSpaceDN w:val="0"/>
        <w:adjustRightInd w:val="0"/>
        <w:ind w:left="720"/>
        <w:rPr>
          <w:rFonts w:eastAsia="Calibri" w:cs="Arial"/>
          <w:sz w:val="22"/>
          <w:szCs w:val="22"/>
        </w:rPr>
      </w:pPr>
    </w:p>
    <w:p w:rsidR="0068369B" w:rsidP="00E657B9" w:rsidRDefault="0068369B" w14:paraId="0EED937E" w14:textId="77777777">
      <w:pPr>
        <w:numPr>
          <w:ilvl w:val="0"/>
          <w:numId w:val="1"/>
        </w:numPr>
        <w:autoSpaceDE w:val="0"/>
        <w:autoSpaceDN w:val="0"/>
        <w:adjustRightInd w:val="0"/>
        <w:rPr>
          <w:rFonts w:eastAsia="Calibri" w:cs="Arial"/>
          <w:sz w:val="22"/>
          <w:szCs w:val="22"/>
        </w:rPr>
      </w:pPr>
      <w:r w:rsidRPr="0068369B">
        <w:rPr>
          <w:rFonts w:eastAsia="Calibri" w:cs="Arial"/>
          <w:sz w:val="22"/>
          <w:szCs w:val="22"/>
        </w:rPr>
        <w:t xml:space="preserve">A delivering person may treat a receiving person as a taxable fuel registrant if at the time of exchange, the delivering person has an unexpired notification certificate that the delivering person may receive in order to treat the receiving person as a taxable fuel registrant. </w:t>
      </w:r>
    </w:p>
    <w:p w:rsidR="00522F6B" w:rsidP="00522F6B" w:rsidRDefault="00522F6B" w14:paraId="4B4008B0" w14:textId="77777777">
      <w:pPr>
        <w:pStyle w:val="ListParagraph"/>
        <w:rPr>
          <w:rFonts w:eastAsia="Calibri" w:cs="Arial"/>
          <w:sz w:val="22"/>
          <w:szCs w:val="22"/>
        </w:rPr>
      </w:pPr>
    </w:p>
    <w:p w:rsidRPr="0068369B" w:rsidR="00522F6B" w:rsidP="00522F6B" w:rsidRDefault="00522F6B" w14:paraId="729A1F73" w14:textId="77777777">
      <w:pPr>
        <w:autoSpaceDE w:val="0"/>
        <w:autoSpaceDN w:val="0"/>
        <w:adjustRightInd w:val="0"/>
        <w:ind w:left="1440"/>
        <w:rPr>
          <w:rFonts w:eastAsia="Calibri" w:cs="Arial"/>
          <w:sz w:val="22"/>
          <w:szCs w:val="22"/>
        </w:rPr>
      </w:pPr>
    </w:p>
    <w:p w:rsidR="00D96C91" w:rsidP="00D96C91" w:rsidRDefault="00D96C91" w14:paraId="1DB584FA" w14:textId="78B782BD">
      <w:pPr>
        <w:ind w:left="720"/>
        <w:rPr>
          <w:rFonts w:cs="Arial"/>
          <w:sz w:val="22"/>
          <w:szCs w:val="22"/>
        </w:rPr>
      </w:pPr>
      <w:r>
        <w:rPr>
          <w:rFonts w:cs="Arial"/>
          <w:sz w:val="22"/>
          <w:szCs w:val="22"/>
        </w:rPr>
        <w:t>Subsequent modifications were made to Notice 2005-4, by Notice 2005-24 and 2005-62 to make corrections and provide additional guidance.  Notice 2005-80 modifies 2005-4 to provide guidance on certain excise tax provisions added or affected by the Energy Policy Act of 2005 (Pub. L 109-58) and the Safe, Accountable, Flexible, Efficient Transportation Equity Act (Pub. L 109-59).</w:t>
      </w:r>
      <w:r w:rsidR="00A05F0A">
        <w:rPr>
          <w:rFonts w:cs="Arial"/>
          <w:sz w:val="22"/>
          <w:szCs w:val="22"/>
        </w:rPr>
        <w:t xml:space="preserve">  Applicable United State Codes to this collection are: 26 USC 6246, 26 USC 40, and 26 USC 4041.</w:t>
      </w:r>
    </w:p>
    <w:p w:rsidRPr="00DA739E" w:rsidR="00D96C91" w:rsidRDefault="00D96C91" w14:paraId="57BB2A95" w14:textId="77777777">
      <w:pPr>
        <w:ind w:left="720"/>
        <w:rPr>
          <w:rFonts w:cs="Arial"/>
          <w:sz w:val="22"/>
          <w:szCs w:val="22"/>
        </w:rPr>
      </w:pPr>
    </w:p>
    <w:p w:rsidRPr="00DA739E" w:rsidR="0024541B" w:rsidRDefault="0024541B" w14:paraId="425D8612" w14:textId="77777777">
      <w:pPr>
        <w:ind w:left="720"/>
        <w:rPr>
          <w:rFonts w:cs="Arial"/>
          <w:sz w:val="22"/>
          <w:szCs w:val="22"/>
        </w:rPr>
      </w:pPr>
    </w:p>
    <w:p w:rsidRPr="00DA739E" w:rsidR="0024541B" w:rsidRDefault="0024541B" w14:paraId="18ED489E" w14:textId="77777777">
      <w:pPr>
        <w:rPr>
          <w:rFonts w:cs="Arial"/>
          <w:b/>
          <w:sz w:val="22"/>
          <w:szCs w:val="22"/>
        </w:rPr>
      </w:pPr>
      <w:r w:rsidRPr="00DA739E">
        <w:rPr>
          <w:rFonts w:cs="Arial"/>
          <w:b/>
          <w:sz w:val="22"/>
          <w:szCs w:val="22"/>
        </w:rPr>
        <w:t>2.</w:t>
      </w:r>
      <w:r w:rsidRPr="00DA739E">
        <w:rPr>
          <w:rFonts w:cs="Arial"/>
          <w:b/>
          <w:sz w:val="22"/>
          <w:szCs w:val="22"/>
        </w:rPr>
        <w:tab/>
      </w:r>
      <w:r w:rsidRPr="00DA739E">
        <w:rPr>
          <w:rFonts w:cs="Arial"/>
          <w:b/>
          <w:sz w:val="22"/>
          <w:szCs w:val="22"/>
          <w:u w:val="single"/>
        </w:rPr>
        <w:t>USE OF DATA</w:t>
      </w:r>
    </w:p>
    <w:p w:rsidRPr="00DA739E" w:rsidR="0024541B" w:rsidRDefault="0024541B" w14:paraId="62079456" w14:textId="77777777">
      <w:pPr>
        <w:rPr>
          <w:rFonts w:cs="Arial"/>
          <w:sz w:val="22"/>
          <w:szCs w:val="22"/>
        </w:rPr>
      </w:pPr>
    </w:p>
    <w:p w:rsidRPr="00DA739E" w:rsidR="0024541B" w:rsidRDefault="0024541B" w14:paraId="57D29742" w14:textId="205DD1E0">
      <w:pPr>
        <w:ind w:left="720"/>
        <w:rPr>
          <w:rFonts w:cs="Arial"/>
          <w:sz w:val="22"/>
          <w:szCs w:val="22"/>
        </w:rPr>
      </w:pPr>
      <w:r w:rsidRPr="00DA739E">
        <w:rPr>
          <w:rFonts w:cs="Arial"/>
          <w:sz w:val="22"/>
          <w:szCs w:val="22"/>
        </w:rPr>
        <w:t xml:space="preserve">The information will be used by the IRS to verify that the proper amount of tax </w:t>
      </w:r>
      <w:r w:rsidRPr="00DA739E" w:rsidR="00492A06">
        <w:rPr>
          <w:rFonts w:cs="Arial"/>
          <w:sz w:val="22"/>
          <w:szCs w:val="22"/>
        </w:rPr>
        <w:t xml:space="preserve">is </w:t>
      </w:r>
      <w:r w:rsidR="00492A06">
        <w:rPr>
          <w:rFonts w:cs="Arial"/>
          <w:sz w:val="22"/>
          <w:szCs w:val="22"/>
        </w:rPr>
        <w:t>reported</w:t>
      </w:r>
      <w:r w:rsidRPr="00DA739E">
        <w:rPr>
          <w:rFonts w:cs="Arial"/>
          <w:sz w:val="22"/>
          <w:szCs w:val="22"/>
        </w:rPr>
        <w:t xml:space="preserve">, excluded, refunded, or credited. </w:t>
      </w:r>
    </w:p>
    <w:p w:rsidRPr="00DA739E" w:rsidR="0024541B" w:rsidRDefault="0024541B" w14:paraId="4501AE05" w14:textId="77777777">
      <w:pPr>
        <w:rPr>
          <w:rFonts w:cs="Arial"/>
          <w:sz w:val="22"/>
          <w:szCs w:val="22"/>
        </w:rPr>
      </w:pPr>
    </w:p>
    <w:p w:rsidRPr="00DA739E" w:rsidR="0024541B" w:rsidRDefault="0024541B" w14:paraId="6C7DD6FF" w14:textId="77777777">
      <w:pPr>
        <w:rPr>
          <w:rFonts w:cs="Arial"/>
          <w:b/>
          <w:sz w:val="22"/>
          <w:szCs w:val="22"/>
        </w:rPr>
      </w:pPr>
      <w:r w:rsidRPr="00DA739E">
        <w:rPr>
          <w:rFonts w:cs="Arial"/>
          <w:b/>
          <w:sz w:val="22"/>
          <w:szCs w:val="22"/>
        </w:rPr>
        <w:t>3.</w:t>
      </w:r>
      <w:r w:rsidRPr="00DA739E">
        <w:rPr>
          <w:rFonts w:cs="Arial"/>
          <w:b/>
          <w:sz w:val="22"/>
          <w:szCs w:val="22"/>
        </w:rPr>
        <w:tab/>
      </w:r>
      <w:r w:rsidRPr="00DA739E">
        <w:rPr>
          <w:rFonts w:cs="Arial"/>
          <w:b/>
          <w:sz w:val="22"/>
          <w:szCs w:val="22"/>
          <w:u w:val="single"/>
        </w:rPr>
        <w:t>USE OF IMPROVED INFORMATION TECHNOLOGY TO REDUCE BURDEN</w:t>
      </w:r>
    </w:p>
    <w:p w:rsidRPr="00DA739E" w:rsidR="0024541B" w:rsidRDefault="0024541B" w14:paraId="32ADE508" w14:textId="77777777">
      <w:pPr>
        <w:rPr>
          <w:rFonts w:cs="Arial"/>
          <w:sz w:val="22"/>
          <w:szCs w:val="22"/>
        </w:rPr>
      </w:pPr>
    </w:p>
    <w:p w:rsidRPr="00DA739E" w:rsidR="0024541B" w:rsidRDefault="00492A06" w14:paraId="54382910" w14:textId="0F8885A8">
      <w:pPr>
        <w:ind w:left="720"/>
        <w:rPr>
          <w:rFonts w:cs="Arial"/>
          <w:sz w:val="22"/>
          <w:szCs w:val="22"/>
        </w:rPr>
      </w:pPr>
      <w:r>
        <w:rPr>
          <w:rFonts w:cs="Arial"/>
          <w:bCs/>
          <w:sz w:val="22"/>
          <w:szCs w:val="22"/>
        </w:rPr>
        <w:t xml:space="preserve">The </w:t>
      </w:r>
      <w:r w:rsidRPr="00B31E5A" w:rsidR="00B31E5A">
        <w:rPr>
          <w:rFonts w:cs="Arial"/>
          <w:bCs/>
          <w:sz w:val="22"/>
          <w:szCs w:val="22"/>
        </w:rPr>
        <w:t xml:space="preserve">IRS has no plans </w:t>
      </w:r>
      <w:proofErr w:type="gramStart"/>
      <w:r w:rsidRPr="00B31E5A" w:rsidR="00B31E5A">
        <w:rPr>
          <w:rFonts w:cs="Arial"/>
          <w:bCs/>
          <w:sz w:val="22"/>
          <w:szCs w:val="22"/>
        </w:rPr>
        <w:t>at this time</w:t>
      </w:r>
      <w:proofErr w:type="gramEnd"/>
      <w:r w:rsidRPr="00B31E5A" w:rsidR="00B31E5A">
        <w:rPr>
          <w:rFonts w:cs="Arial"/>
          <w:bCs/>
          <w:sz w:val="22"/>
          <w:szCs w:val="22"/>
        </w:rPr>
        <w:t xml:space="preserve"> to offer electronic filing </w:t>
      </w:r>
      <w:r>
        <w:rPr>
          <w:rFonts w:cs="Arial"/>
          <w:bCs/>
          <w:sz w:val="22"/>
          <w:szCs w:val="22"/>
        </w:rPr>
        <w:t>due to the low</w:t>
      </w:r>
      <w:r w:rsidRPr="00B31E5A" w:rsidR="00B31E5A">
        <w:rPr>
          <w:rFonts w:cs="Arial"/>
          <w:bCs/>
          <w:sz w:val="22"/>
          <w:szCs w:val="22"/>
        </w:rPr>
        <w:t xml:space="preserve"> volume </w:t>
      </w:r>
      <w:r>
        <w:rPr>
          <w:rFonts w:cs="Arial"/>
          <w:bCs/>
          <w:sz w:val="22"/>
          <w:szCs w:val="22"/>
        </w:rPr>
        <w:t>of filers.</w:t>
      </w:r>
    </w:p>
    <w:p w:rsidRPr="00DA739E" w:rsidR="0024541B" w:rsidRDefault="0024541B" w14:paraId="098C3DC2" w14:textId="77777777">
      <w:pPr>
        <w:rPr>
          <w:rFonts w:cs="Arial"/>
          <w:sz w:val="22"/>
          <w:szCs w:val="22"/>
        </w:rPr>
      </w:pPr>
    </w:p>
    <w:p w:rsidRPr="00DA739E" w:rsidR="0024541B" w:rsidRDefault="0024541B" w14:paraId="6429E104" w14:textId="77777777">
      <w:pPr>
        <w:rPr>
          <w:rFonts w:cs="Arial"/>
          <w:b/>
          <w:sz w:val="22"/>
          <w:szCs w:val="22"/>
        </w:rPr>
      </w:pPr>
      <w:r w:rsidRPr="00DA739E">
        <w:rPr>
          <w:rFonts w:cs="Arial"/>
          <w:b/>
          <w:sz w:val="22"/>
          <w:szCs w:val="22"/>
        </w:rPr>
        <w:t>4.</w:t>
      </w:r>
      <w:r w:rsidRPr="00DA739E">
        <w:rPr>
          <w:rFonts w:cs="Arial"/>
          <w:b/>
          <w:sz w:val="22"/>
          <w:szCs w:val="22"/>
        </w:rPr>
        <w:tab/>
      </w:r>
      <w:r w:rsidRPr="00DA739E">
        <w:rPr>
          <w:rFonts w:cs="Arial"/>
          <w:b/>
          <w:sz w:val="22"/>
          <w:szCs w:val="22"/>
          <w:u w:val="single"/>
        </w:rPr>
        <w:t>EFFORTS TO IDENTIFY DUPLICATION</w:t>
      </w:r>
    </w:p>
    <w:p w:rsidRPr="00DA739E" w:rsidR="0024541B" w:rsidRDefault="0024541B" w14:paraId="35AA305E" w14:textId="77777777">
      <w:pPr>
        <w:rPr>
          <w:rFonts w:cs="Arial"/>
          <w:sz w:val="22"/>
          <w:szCs w:val="22"/>
        </w:rPr>
      </w:pPr>
    </w:p>
    <w:p w:rsidRPr="00B31E5A" w:rsidR="00B31E5A" w:rsidP="00B31E5A" w:rsidRDefault="00B31E5A" w14:paraId="5D0E5ECA" w14:textId="77777777">
      <w:pPr>
        <w:ind w:left="720"/>
        <w:rPr>
          <w:rFonts w:cs="Arial"/>
          <w:iCs/>
          <w:sz w:val="22"/>
          <w:szCs w:val="22"/>
        </w:rPr>
      </w:pPr>
      <w:r w:rsidRPr="00B31E5A">
        <w:rPr>
          <w:rFonts w:cs="Arial"/>
          <w:iCs/>
          <w:sz w:val="22"/>
          <w:szCs w:val="22"/>
        </w:rPr>
        <w:t>The information obtained through this collection is unique and is not already available for use or adaptation from another source.</w:t>
      </w:r>
    </w:p>
    <w:p w:rsidRPr="00DA739E" w:rsidR="0024541B" w:rsidRDefault="0024541B" w14:paraId="0B5740A8" w14:textId="77777777">
      <w:pPr>
        <w:ind w:left="720"/>
        <w:rPr>
          <w:rFonts w:cs="Arial"/>
          <w:sz w:val="22"/>
          <w:szCs w:val="22"/>
        </w:rPr>
      </w:pPr>
    </w:p>
    <w:p w:rsidRPr="00DA739E" w:rsidR="0024541B" w:rsidRDefault="0024541B" w14:paraId="2D581545" w14:textId="77777777">
      <w:pPr>
        <w:rPr>
          <w:rFonts w:cs="Arial"/>
          <w:sz w:val="22"/>
          <w:szCs w:val="22"/>
        </w:rPr>
      </w:pPr>
    </w:p>
    <w:p w:rsidRPr="00DA739E" w:rsidR="0024541B" w:rsidRDefault="0024541B" w14:paraId="2734C04D" w14:textId="77777777">
      <w:pPr>
        <w:ind w:left="720" w:hanging="720"/>
        <w:rPr>
          <w:rFonts w:cs="Arial"/>
          <w:b/>
          <w:sz w:val="22"/>
          <w:szCs w:val="22"/>
        </w:rPr>
      </w:pPr>
      <w:r w:rsidRPr="00DA739E">
        <w:rPr>
          <w:rFonts w:cs="Arial"/>
          <w:b/>
          <w:sz w:val="22"/>
          <w:szCs w:val="22"/>
        </w:rPr>
        <w:t>5.</w:t>
      </w:r>
      <w:r w:rsidRPr="00DA739E">
        <w:rPr>
          <w:rFonts w:cs="Arial"/>
          <w:b/>
          <w:sz w:val="22"/>
          <w:szCs w:val="22"/>
        </w:rPr>
        <w:tab/>
      </w:r>
      <w:r w:rsidRPr="00DA739E">
        <w:rPr>
          <w:rFonts w:cs="Arial"/>
          <w:b/>
          <w:sz w:val="22"/>
          <w:szCs w:val="22"/>
          <w:u w:val="single"/>
        </w:rPr>
        <w:t>METHODS TO MINIMIZE BURDEN ON SMALL BUSINESSES OR OTHER SMALL ENTITIES</w:t>
      </w:r>
      <w:r w:rsidRPr="00DA739E">
        <w:rPr>
          <w:rFonts w:cs="Arial"/>
          <w:b/>
          <w:sz w:val="22"/>
          <w:szCs w:val="22"/>
        </w:rPr>
        <w:t xml:space="preserve"> </w:t>
      </w:r>
    </w:p>
    <w:p w:rsidRPr="00DA739E" w:rsidR="0024541B" w:rsidRDefault="0024541B" w14:paraId="2DC20159" w14:textId="77777777">
      <w:pPr>
        <w:ind w:left="720" w:hanging="720"/>
        <w:rPr>
          <w:rFonts w:cs="Arial"/>
          <w:sz w:val="22"/>
          <w:szCs w:val="22"/>
        </w:rPr>
      </w:pPr>
    </w:p>
    <w:p w:rsidRPr="00DA739E" w:rsidR="0024541B" w:rsidRDefault="00CF4C1F" w14:paraId="06BA6FBA" w14:textId="77777777">
      <w:pPr>
        <w:ind w:left="720" w:hanging="720"/>
        <w:rPr>
          <w:rFonts w:cs="Arial"/>
          <w:sz w:val="22"/>
          <w:szCs w:val="22"/>
        </w:rPr>
      </w:pPr>
      <w:r>
        <w:rPr>
          <w:rFonts w:cs="Arial"/>
          <w:sz w:val="22"/>
          <w:szCs w:val="22"/>
        </w:rPr>
        <w:tab/>
      </w:r>
      <w:r w:rsidRPr="00B31E5A" w:rsidR="00B31E5A">
        <w:rPr>
          <w:rFonts w:cs="Arial"/>
          <w:sz w:val="22"/>
          <w:szCs w:val="22"/>
        </w:rPr>
        <w:t xml:space="preserve">There is no flexibility to reduce burden on small businesses or other small entities because the statutes apply to small businesses and small entities.  </w:t>
      </w:r>
    </w:p>
    <w:p w:rsidRPr="00DA739E" w:rsidR="0024541B" w:rsidRDefault="0024541B" w14:paraId="395CF57B" w14:textId="77777777">
      <w:pPr>
        <w:ind w:left="720" w:hanging="720"/>
        <w:rPr>
          <w:rFonts w:cs="Arial"/>
          <w:sz w:val="22"/>
          <w:szCs w:val="22"/>
        </w:rPr>
      </w:pPr>
    </w:p>
    <w:p w:rsidRPr="00DA739E" w:rsidR="0024541B" w:rsidRDefault="0024541B" w14:paraId="3E425164" w14:textId="77777777">
      <w:pPr>
        <w:ind w:left="720" w:hanging="720"/>
        <w:rPr>
          <w:rFonts w:cs="Arial"/>
          <w:b/>
          <w:sz w:val="22"/>
          <w:szCs w:val="22"/>
        </w:rPr>
      </w:pPr>
      <w:r w:rsidRPr="00DA739E">
        <w:rPr>
          <w:rFonts w:cs="Arial"/>
          <w:b/>
          <w:sz w:val="22"/>
          <w:szCs w:val="22"/>
        </w:rPr>
        <w:t>6.</w:t>
      </w:r>
      <w:r w:rsidRPr="00DA739E">
        <w:rPr>
          <w:rFonts w:cs="Arial"/>
          <w:b/>
          <w:sz w:val="22"/>
          <w:szCs w:val="22"/>
        </w:rPr>
        <w:tab/>
      </w:r>
      <w:r w:rsidRPr="00DA739E">
        <w:rPr>
          <w:rFonts w:cs="Arial"/>
          <w:b/>
          <w:sz w:val="22"/>
          <w:szCs w:val="22"/>
          <w:u w:val="single"/>
        </w:rPr>
        <w:t>CONSEQUENCES OF LESS FREQUENT COLLECTION ON FEDERAL PROGRAMS OR POLICY ACTIVITIES</w:t>
      </w:r>
    </w:p>
    <w:p w:rsidRPr="00DA739E" w:rsidR="0024541B" w:rsidRDefault="0024541B" w14:paraId="11393DC7" w14:textId="77777777">
      <w:pPr>
        <w:ind w:left="720" w:hanging="720"/>
        <w:rPr>
          <w:rFonts w:cs="Arial"/>
          <w:sz w:val="22"/>
          <w:szCs w:val="22"/>
        </w:rPr>
      </w:pPr>
    </w:p>
    <w:p w:rsidRPr="00DA739E" w:rsidR="0024541B" w:rsidRDefault="0024541B" w14:paraId="5C03A39A" w14:textId="77777777">
      <w:pPr>
        <w:ind w:left="720" w:hanging="720"/>
        <w:rPr>
          <w:rFonts w:cs="Arial"/>
          <w:sz w:val="22"/>
          <w:szCs w:val="22"/>
        </w:rPr>
      </w:pPr>
      <w:r w:rsidRPr="00DA739E">
        <w:rPr>
          <w:rFonts w:cs="Arial"/>
          <w:sz w:val="22"/>
          <w:szCs w:val="22"/>
        </w:rPr>
        <w:tab/>
      </w:r>
      <w:r w:rsidR="00CF4C1F">
        <w:rPr>
          <w:rFonts w:cs="Arial"/>
          <w:sz w:val="22"/>
          <w:szCs w:val="22"/>
        </w:rPr>
        <w:t>A less frequent collection would prevent timely reporting of information on</w:t>
      </w:r>
      <w:r w:rsidRPr="0068369B" w:rsidR="00CF4C1F">
        <w:rPr>
          <w:rFonts w:cs="Arial"/>
          <w:sz w:val="22"/>
          <w:szCs w:val="22"/>
        </w:rPr>
        <w:t xml:space="preserve"> certain excise tax provisions that were added or affected</w:t>
      </w:r>
      <w:r w:rsidRPr="00936EE1" w:rsidR="00CF4C1F">
        <w:rPr>
          <w:rFonts w:cs="Arial"/>
          <w:sz w:val="22"/>
          <w:szCs w:val="22"/>
        </w:rPr>
        <w:t xml:space="preserve"> by the American Jobs Creation Act of 2004 (Pub. L 108–357) (Act).  </w:t>
      </w:r>
    </w:p>
    <w:p w:rsidRPr="00DA739E" w:rsidR="0024541B" w:rsidRDefault="0024541B" w14:paraId="12A84083" w14:textId="77777777">
      <w:pPr>
        <w:ind w:left="720" w:hanging="720"/>
        <w:rPr>
          <w:rFonts w:cs="Arial"/>
          <w:sz w:val="22"/>
          <w:szCs w:val="22"/>
        </w:rPr>
      </w:pPr>
    </w:p>
    <w:p w:rsidRPr="00DA739E" w:rsidR="0024541B" w:rsidRDefault="0024541B" w14:paraId="5BBF94D7" w14:textId="77777777">
      <w:pPr>
        <w:ind w:left="720" w:hanging="720"/>
        <w:rPr>
          <w:rFonts w:cs="Arial"/>
          <w:b/>
          <w:sz w:val="22"/>
          <w:szCs w:val="22"/>
        </w:rPr>
      </w:pPr>
      <w:r w:rsidRPr="00DA739E">
        <w:rPr>
          <w:rFonts w:cs="Arial"/>
          <w:b/>
          <w:sz w:val="22"/>
          <w:szCs w:val="22"/>
        </w:rPr>
        <w:t>7.</w:t>
      </w:r>
      <w:r w:rsidRPr="00DA739E">
        <w:rPr>
          <w:rFonts w:cs="Arial"/>
          <w:b/>
          <w:sz w:val="22"/>
          <w:szCs w:val="22"/>
        </w:rPr>
        <w:tab/>
      </w:r>
      <w:r w:rsidRPr="00DA739E">
        <w:rPr>
          <w:rFonts w:cs="Arial"/>
          <w:b/>
          <w:sz w:val="22"/>
          <w:szCs w:val="22"/>
          <w:u w:val="single"/>
        </w:rPr>
        <w:t>SPECIAL CIRCUMSTANCES REQUIRING DATA COLLECTION TO BE INCONSISTENT WITH GUIDELINES IN 5 CFR 1320.5(d)(2)</w:t>
      </w:r>
    </w:p>
    <w:p w:rsidRPr="00DA739E" w:rsidR="0024541B" w:rsidRDefault="0024541B" w14:paraId="5FBDDF3C" w14:textId="77777777">
      <w:pPr>
        <w:ind w:left="720" w:hanging="720"/>
        <w:rPr>
          <w:rFonts w:cs="Arial"/>
          <w:sz w:val="22"/>
          <w:szCs w:val="22"/>
        </w:rPr>
      </w:pPr>
    </w:p>
    <w:p w:rsidR="0024541B" w:rsidRDefault="00CF4C1F" w14:paraId="1229E68D" w14:textId="037C285F">
      <w:pPr>
        <w:ind w:left="720" w:hanging="720"/>
        <w:rPr>
          <w:rFonts w:cs="Arial"/>
          <w:sz w:val="22"/>
          <w:szCs w:val="22"/>
        </w:rPr>
      </w:pPr>
      <w:r>
        <w:rPr>
          <w:rFonts w:cs="Arial"/>
          <w:sz w:val="22"/>
          <w:szCs w:val="22"/>
        </w:rPr>
        <w:tab/>
        <w:t>There are no special circumstances</w:t>
      </w:r>
      <w:r w:rsidRPr="001D2145" w:rsidR="00B31E5A">
        <w:rPr>
          <w:rFonts w:ascii="Calibri" w:hAnsi="Calibri"/>
          <w:sz w:val="22"/>
          <w:szCs w:val="22"/>
        </w:rPr>
        <w:t xml:space="preserve"> </w:t>
      </w:r>
      <w:r w:rsidRPr="00B31E5A" w:rsidR="00B31E5A">
        <w:rPr>
          <w:rFonts w:cs="Arial"/>
          <w:sz w:val="22"/>
          <w:szCs w:val="22"/>
        </w:rPr>
        <w:t>requiring data collection to be inconsistent with Guidelines in 5 CFR 1320.5(d)(2)</w:t>
      </w:r>
      <w:r>
        <w:rPr>
          <w:rFonts w:cs="Arial"/>
          <w:sz w:val="22"/>
          <w:szCs w:val="22"/>
        </w:rPr>
        <w:t xml:space="preserve">. </w:t>
      </w:r>
    </w:p>
    <w:p w:rsidR="00492A06" w:rsidRDefault="00492A06" w14:paraId="4D2569AD" w14:textId="2F53EF49">
      <w:pPr>
        <w:ind w:left="720" w:hanging="720"/>
        <w:rPr>
          <w:rFonts w:cs="Arial"/>
          <w:sz w:val="22"/>
          <w:szCs w:val="22"/>
        </w:rPr>
      </w:pPr>
    </w:p>
    <w:p w:rsidR="00492A06" w:rsidRDefault="00492A06" w14:paraId="420F8A67" w14:textId="693D64D0">
      <w:pPr>
        <w:ind w:left="720" w:hanging="720"/>
        <w:rPr>
          <w:rFonts w:cs="Arial"/>
          <w:sz w:val="22"/>
          <w:szCs w:val="22"/>
        </w:rPr>
      </w:pPr>
    </w:p>
    <w:p w:rsidR="00492A06" w:rsidRDefault="00492A06" w14:paraId="73515FC5" w14:textId="13D3EB1A">
      <w:pPr>
        <w:ind w:left="720" w:hanging="720"/>
        <w:rPr>
          <w:rFonts w:cs="Arial"/>
          <w:sz w:val="22"/>
          <w:szCs w:val="22"/>
        </w:rPr>
      </w:pPr>
    </w:p>
    <w:p w:rsidR="00492A06" w:rsidRDefault="00492A06" w14:paraId="43EEF287" w14:textId="40DAF3B8">
      <w:pPr>
        <w:ind w:left="720" w:hanging="720"/>
        <w:rPr>
          <w:rFonts w:cs="Arial"/>
          <w:sz w:val="22"/>
          <w:szCs w:val="22"/>
        </w:rPr>
      </w:pPr>
    </w:p>
    <w:p w:rsidRPr="00DA739E" w:rsidR="00492A06" w:rsidRDefault="00492A06" w14:paraId="2AC4A90B" w14:textId="77777777">
      <w:pPr>
        <w:ind w:left="720" w:hanging="720"/>
        <w:rPr>
          <w:rFonts w:cs="Arial"/>
          <w:sz w:val="22"/>
          <w:szCs w:val="22"/>
        </w:rPr>
      </w:pPr>
    </w:p>
    <w:p w:rsidRPr="00DA739E" w:rsidR="0024541B" w:rsidRDefault="0024541B" w14:paraId="6C7E7C52" w14:textId="77777777">
      <w:pPr>
        <w:ind w:left="720" w:hanging="720"/>
        <w:rPr>
          <w:rFonts w:cs="Arial"/>
          <w:sz w:val="22"/>
          <w:szCs w:val="22"/>
        </w:rPr>
      </w:pPr>
    </w:p>
    <w:p w:rsidRPr="00DA739E" w:rsidR="0024541B" w:rsidRDefault="0024541B" w14:paraId="4B745278" w14:textId="77777777">
      <w:pPr>
        <w:ind w:left="720" w:hanging="720"/>
        <w:rPr>
          <w:rFonts w:cs="Arial"/>
          <w:b/>
          <w:sz w:val="22"/>
          <w:szCs w:val="22"/>
          <w:u w:val="single"/>
        </w:rPr>
      </w:pPr>
      <w:r w:rsidRPr="00DA739E">
        <w:rPr>
          <w:rFonts w:cs="Arial"/>
          <w:b/>
          <w:sz w:val="22"/>
          <w:szCs w:val="22"/>
        </w:rPr>
        <w:lastRenderedPageBreak/>
        <w:t>8.</w:t>
      </w:r>
      <w:r w:rsidRPr="00DA739E">
        <w:rPr>
          <w:rFonts w:cs="Arial"/>
          <w:b/>
          <w:sz w:val="22"/>
          <w:szCs w:val="22"/>
        </w:rPr>
        <w:tab/>
      </w:r>
      <w:r w:rsidRPr="00DA739E">
        <w:rPr>
          <w:rFonts w:cs="Arial"/>
          <w:b/>
          <w:sz w:val="22"/>
          <w:szCs w:val="22"/>
          <w:u w:val="single"/>
        </w:rPr>
        <w:t>CONSULTATION WITH INDIVIDUALS OUTSIDE OF THE AGENCY ON AVAILABILITY OF DATA, FREQUENCY OF COLLECTION, CLARITY OF INSTRUCTION AND FORMS, AND DATA ELEMENTS</w:t>
      </w:r>
    </w:p>
    <w:p w:rsidRPr="00DA739E" w:rsidR="0024541B" w:rsidRDefault="0024541B" w14:paraId="488CA906" w14:textId="77777777">
      <w:pPr>
        <w:ind w:left="720" w:hanging="720"/>
        <w:rPr>
          <w:rFonts w:cs="Arial"/>
          <w:sz w:val="22"/>
          <w:szCs w:val="22"/>
        </w:rPr>
      </w:pPr>
    </w:p>
    <w:p w:rsidRPr="00D96C91" w:rsidR="0024541B" w:rsidP="004B6A52" w:rsidRDefault="0024541B" w14:paraId="573D2671" w14:textId="77777777">
      <w:pPr>
        <w:ind w:left="720"/>
        <w:rPr>
          <w:rFonts w:cs="Arial"/>
          <w:sz w:val="22"/>
          <w:szCs w:val="22"/>
        </w:rPr>
      </w:pPr>
      <w:r w:rsidRPr="00D96C91">
        <w:rPr>
          <w:rFonts w:cs="Arial"/>
          <w:sz w:val="22"/>
          <w:szCs w:val="22"/>
        </w:rPr>
        <w:t xml:space="preserve">Notice </w:t>
      </w:r>
      <w:r w:rsidRPr="00D96C91">
        <w:rPr>
          <w:rFonts w:cs="Arial"/>
          <w:sz w:val="22"/>
          <w:szCs w:val="22"/>
          <w:lang w:val="en-CA"/>
        </w:rPr>
        <w:fldChar w:fldCharType="begin"/>
      </w:r>
      <w:r w:rsidRPr="00D96C91">
        <w:rPr>
          <w:rFonts w:cs="Arial"/>
          <w:sz w:val="22"/>
          <w:szCs w:val="22"/>
          <w:lang w:val="en-CA"/>
        </w:rPr>
        <w:instrText xml:space="preserve"> SEQ CHAPTER \h \r 1</w:instrText>
      </w:r>
      <w:r w:rsidRPr="00D96C91">
        <w:rPr>
          <w:rFonts w:cs="Arial"/>
          <w:sz w:val="22"/>
          <w:szCs w:val="22"/>
          <w:lang w:val="en-CA"/>
        </w:rPr>
        <w:fldChar w:fldCharType="end"/>
      </w:r>
      <w:r w:rsidRPr="00D96C91">
        <w:rPr>
          <w:rFonts w:cs="Arial"/>
          <w:sz w:val="22"/>
          <w:szCs w:val="22"/>
          <w:lang w:val="en-CA"/>
        </w:rPr>
        <w:t>2</w:t>
      </w:r>
      <w:r w:rsidRPr="00D96C91">
        <w:rPr>
          <w:rFonts w:cs="Arial"/>
          <w:sz w:val="22"/>
          <w:szCs w:val="22"/>
        </w:rPr>
        <w:t xml:space="preserve">005-4 was published in the </w:t>
      </w:r>
      <w:r w:rsidRPr="00D96C91">
        <w:rPr>
          <w:rFonts w:cs="Arial"/>
          <w:bCs/>
          <w:sz w:val="22"/>
          <w:szCs w:val="22"/>
        </w:rPr>
        <w:t>Internal Revenue Bulletin (IRB)</w:t>
      </w:r>
      <w:r w:rsidRPr="00D96C91">
        <w:rPr>
          <w:rFonts w:cs="Arial"/>
          <w:sz w:val="22"/>
          <w:szCs w:val="22"/>
        </w:rPr>
        <w:t xml:space="preserve"> on January 10, 2005 (2005-2 IRB 289).  </w:t>
      </w:r>
      <w:r w:rsidRPr="00D96C91" w:rsidR="00D96C91">
        <w:rPr>
          <w:rFonts w:cs="Arial"/>
          <w:sz w:val="22"/>
          <w:szCs w:val="22"/>
        </w:rPr>
        <w:t xml:space="preserve">Subsequent modifications were made by </w:t>
      </w:r>
      <w:r w:rsidRPr="00D96C91">
        <w:rPr>
          <w:rFonts w:cs="Arial"/>
          <w:sz w:val="22"/>
          <w:szCs w:val="22"/>
        </w:rPr>
        <w:t xml:space="preserve">Notice 2005-24 (2005-12 IRB 757), Notice 2005-62 (2005-35 IRB 443), and Notice 2005-80 (2005-46 IRB 953). </w:t>
      </w:r>
    </w:p>
    <w:p w:rsidRPr="00DA739E" w:rsidR="0024541B" w:rsidP="004B6A52" w:rsidRDefault="0024541B" w14:paraId="5FF8A008" w14:textId="77777777">
      <w:pPr>
        <w:rPr>
          <w:rFonts w:cs="Arial"/>
          <w:sz w:val="22"/>
          <w:szCs w:val="22"/>
        </w:rPr>
      </w:pPr>
    </w:p>
    <w:p w:rsidRPr="00D96C91" w:rsidR="0024541B" w:rsidRDefault="00522F6B" w14:paraId="60202AB8" w14:textId="432946A9">
      <w:pPr>
        <w:ind w:left="720"/>
        <w:rPr>
          <w:rFonts w:cs="Arial"/>
          <w:sz w:val="22"/>
          <w:szCs w:val="22"/>
        </w:rPr>
      </w:pPr>
      <w:r>
        <w:rPr>
          <w:rFonts w:cs="Arial"/>
          <w:sz w:val="22"/>
          <w:szCs w:val="22"/>
        </w:rPr>
        <w:t>In</w:t>
      </w:r>
      <w:r w:rsidRPr="00D96C91" w:rsidR="0024541B">
        <w:rPr>
          <w:rFonts w:cs="Arial"/>
          <w:sz w:val="22"/>
          <w:szCs w:val="22"/>
        </w:rPr>
        <w:t xml:space="preserve"> response to the </w:t>
      </w:r>
      <w:r w:rsidRPr="002B6B15" w:rsidR="0024541B">
        <w:rPr>
          <w:rFonts w:cs="Arial"/>
          <w:bCs/>
          <w:i/>
          <w:sz w:val="22"/>
          <w:szCs w:val="22"/>
        </w:rPr>
        <w:t>Federal Register</w:t>
      </w:r>
      <w:r w:rsidRPr="002B6B15" w:rsidR="0024541B">
        <w:rPr>
          <w:rFonts w:cs="Arial"/>
          <w:i/>
          <w:sz w:val="22"/>
          <w:szCs w:val="22"/>
        </w:rPr>
        <w:t xml:space="preserve"> </w:t>
      </w:r>
      <w:r w:rsidR="00D96C91">
        <w:rPr>
          <w:rFonts w:cs="Arial"/>
          <w:sz w:val="22"/>
          <w:szCs w:val="22"/>
        </w:rPr>
        <w:t>n</w:t>
      </w:r>
      <w:r w:rsidRPr="00D96C91" w:rsidR="0024541B">
        <w:rPr>
          <w:rFonts w:cs="Arial"/>
          <w:sz w:val="22"/>
          <w:szCs w:val="22"/>
        </w:rPr>
        <w:t xml:space="preserve">otice dated </w:t>
      </w:r>
      <w:r w:rsidR="00F6610B">
        <w:rPr>
          <w:rFonts w:cs="Arial"/>
          <w:sz w:val="22"/>
          <w:szCs w:val="22"/>
        </w:rPr>
        <w:t>July 17, 2020,</w:t>
      </w:r>
      <w:r w:rsidR="00CF4C1F">
        <w:rPr>
          <w:rFonts w:cs="Arial"/>
          <w:sz w:val="22"/>
          <w:szCs w:val="22"/>
        </w:rPr>
        <w:t xml:space="preserve"> (8</w:t>
      </w:r>
      <w:r w:rsidR="00F6610B">
        <w:rPr>
          <w:rFonts w:cs="Arial"/>
          <w:sz w:val="22"/>
          <w:szCs w:val="22"/>
        </w:rPr>
        <w:t>5</w:t>
      </w:r>
      <w:r w:rsidRPr="00D96C91" w:rsidR="0024541B">
        <w:rPr>
          <w:rFonts w:cs="Arial"/>
          <w:sz w:val="22"/>
          <w:szCs w:val="22"/>
        </w:rPr>
        <w:t xml:space="preserve"> FR </w:t>
      </w:r>
      <w:r w:rsidR="00F6610B">
        <w:rPr>
          <w:rFonts w:cs="Arial"/>
          <w:sz w:val="22"/>
          <w:szCs w:val="22"/>
        </w:rPr>
        <w:t>43649</w:t>
      </w:r>
      <w:r w:rsidRPr="00D96C91" w:rsidR="0024541B">
        <w:rPr>
          <w:rFonts w:cs="Arial"/>
          <w:sz w:val="22"/>
          <w:szCs w:val="22"/>
        </w:rPr>
        <w:t xml:space="preserve">), </w:t>
      </w:r>
      <w:r w:rsidRPr="00D96C91" w:rsidR="0024541B">
        <w:rPr>
          <w:rFonts w:cs="Arial"/>
          <w:sz w:val="22"/>
          <w:szCs w:val="22"/>
          <w:lang w:val="en-CA"/>
        </w:rPr>
        <w:fldChar w:fldCharType="begin"/>
      </w:r>
      <w:r w:rsidRPr="00D96C91" w:rsidR="0024541B">
        <w:rPr>
          <w:rFonts w:cs="Arial"/>
          <w:sz w:val="22"/>
          <w:szCs w:val="22"/>
          <w:lang w:val="en-CA"/>
        </w:rPr>
        <w:instrText xml:space="preserve"> SEQ CHAPTER \h \r 1</w:instrText>
      </w:r>
      <w:r w:rsidRPr="00D96C91" w:rsidR="0024541B">
        <w:rPr>
          <w:rFonts w:cs="Arial"/>
          <w:sz w:val="22"/>
          <w:szCs w:val="22"/>
          <w:lang w:val="en-CA"/>
        </w:rPr>
        <w:fldChar w:fldCharType="end"/>
      </w:r>
      <w:r w:rsidRPr="00D96C91" w:rsidR="0024541B">
        <w:rPr>
          <w:rFonts w:cs="Arial"/>
          <w:sz w:val="22"/>
          <w:szCs w:val="22"/>
          <w:lang w:val="en-CA"/>
        </w:rPr>
        <w:t>w</w:t>
      </w:r>
      <w:proofErr w:type="spellStart"/>
      <w:r w:rsidRPr="00D96C91" w:rsidR="0024541B">
        <w:rPr>
          <w:rFonts w:cs="Arial"/>
          <w:sz w:val="22"/>
          <w:szCs w:val="22"/>
        </w:rPr>
        <w:t>e</w:t>
      </w:r>
      <w:proofErr w:type="spellEnd"/>
      <w:r w:rsidRPr="00D96C91" w:rsidR="0024541B">
        <w:rPr>
          <w:rFonts w:cs="Arial"/>
          <w:sz w:val="22"/>
          <w:szCs w:val="22"/>
        </w:rPr>
        <w:t xml:space="preserve"> received no comments during the comment period regarding Notice 2005-4, as modified by Notice</w:t>
      </w:r>
      <w:r w:rsidR="00D96C91">
        <w:rPr>
          <w:rFonts w:cs="Arial"/>
          <w:sz w:val="22"/>
          <w:szCs w:val="22"/>
        </w:rPr>
        <w:t>s</w:t>
      </w:r>
      <w:r w:rsidRPr="00D96C91" w:rsidR="0024541B">
        <w:rPr>
          <w:rFonts w:cs="Arial"/>
          <w:sz w:val="22"/>
          <w:szCs w:val="22"/>
        </w:rPr>
        <w:t xml:space="preserve"> 2005-24</w:t>
      </w:r>
      <w:r w:rsidR="00D96C91">
        <w:rPr>
          <w:rFonts w:cs="Arial"/>
          <w:sz w:val="22"/>
          <w:szCs w:val="22"/>
        </w:rPr>
        <w:t>,</w:t>
      </w:r>
      <w:r w:rsidRPr="00D96C91" w:rsidR="0024541B">
        <w:rPr>
          <w:rFonts w:cs="Arial"/>
          <w:sz w:val="22"/>
          <w:szCs w:val="22"/>
        </w:rPr>
        <w:t xml:space="preserve"> 2005-62</w:t>
      </w:r>
      <w:r w:rsidR="00D96C91">
        <w:rPr>
          <w:rFonts w:cs="Arial"/>
          <w:sz w:val="22"/>
          <w:szCs w:val="22"/>
        </w:rPr>
        <w:t>, and 2005-80.</w:t>
      </w:r>
    </w:p>
    <w:p w:rsidR="0024541B" w:rsidRDefault="0024541B" w14:paraId="4D13D08D" w14:textId="5595E49C">
      <w:pPr>
        <w:ind w:left="720" w:hanging="720"/>
        <w:rPr>
          <w:rFonts w:cs="Arial"/>
          <w:sz w:val="22"/>
          <w:szCs w:val="22"/>
        </w:rPr>
      </w:pPr>
    </w:p>
    <w:p w:rsidRPr="00DA739E" w:rsidR="0024541B" w:rsidRDefault="0024541B" w14:paraId="0C3486CB" w14:textId="514DF939">
      <w:pPr>
        <w:ind w:left="720" w:hanging="720"/>
        <w:rPr>
          <w:rFonts w:cs="Arial"/>
          <w:b/>
          <w:sz w:val="22"/>
          <w:szCs w:val="22"/>
        </w:rPr>
      </w:pPr>
      <w:r w:rsidRPr="00DA739E">
        <w:rPr>
          <w:rFonts w:cs="Arial"/>
          <w:b/>
          <w:sz w:val="22"/>
          <w:szCs w:val="22"/>
        </w:rPr>
        <w:t>9.</w:t>
      </w:r>
      <w:r w:rsidRPr="00DA739E">
        <w:rPr>
          <w:rFonts w:cs="Arial"/>
          <w:b/>
          <w:sz w:val="22"/>
          <w:szCs w:val="22"/>
        </w:rPr>
        <w:tab/>
      </w:r>
      <w:r w:rsidRPr="00DA739E">
        <w:rPr>
          <w:rFonts w:cs="Arial"/>
          <w:b/>
          <w:sz w:val="22"/>
          <w:szCs w:val="22"/>
          <w:u w:val="single"/>
        </w:rPr>
        <w:t>EXPLANATION OF DECISION TO PROVIDE ANY PAYMENT OR GIFT TO RESPONDENTS</w:t>
      </w:r>
    </w:p>
    <w:p w:rsidRPr="00DA739E" w:rsidR="0024541B" w:rsidRDefault="0024541B" w14:paraId="5623DDDB" w14:textId="77777777">
      <w:pPr>
        <w:ind w:left="720" w:hanging="720"/>
        <w:rPr>
          <w:rFonts w:cs="Arial"/>
          <w:sz w:val="22"/>
          <w:szCs w:val="22"/>
        </w:rPr>
      </w:pPr>
    </w:p>
    <w:p w:rsidRPr="00DA739E" w:rsidR="0024541B" w:rsidRDefault="0024541B" w14:paraId="3902F8AB" w14:textId="77777777">
      <w:pPr>
        <w:ind w:left="720" w:hanging="720"/>
        <w:rPr>
          <w:rFonts w:cs="Arial"/>
          <w:sz w:val="22"/>
          <w:szCs w:val="22"/>
        </w:rPr>
      </w:pPr>
      <w:r w:rsidRPr="00DA739E">
        <w:rPr>
          <w:rFonts w:cs="Arial"/>
          <w:sz w:val="22"/>
          <w:szCs w:val="22"/>
        </w:rPr>
        <w:tab/>
      </w:r>
      <w:r w:rsidR="00CF4C1F">
        <w:rPr>
          <w:rFonts w:cs="Arial"/>
          <w:sz w:val="22"/>
          <w:szCs w:val="22"/>
        </w:rPr>
        <w:t>No gifts or payments are being provided</w:t>
      </w:r>
      <w:r w:rsidRPr="001D2145" w:rsidR="00B31E5A">
        <w:rPr>
          <w:rFonts w:ascii="Calibri" w:hAnsi="Calibri"/>
          <w:sz w:val="22"/>
          <w:szCs w:val="22"/>
        </w:rPr>
        <w:t xml:space="preserve"> </w:t>
      </w:r>
      <w:r w:rsidRPr="00B31E5A" w:rsidR="00B31E5A">
        <w:rPr>
          <w:rFonts w:cs="Arial"/>
          <w:sz w:val="22"/>
          <w:szCs w:val="22"/>
        </w:rPr>
        <w:t>to any respondents</w:t>
      </w:r>
      <w:r w:rsidR="00CF4C1F">
        <w:rPr>
          <w:rFonts w:cs="Arial"/>
          <w:sz w:val="22"/>
          <w:szCs w:val="22"/>
        </w:rPr>
        <w:t xml:space="preserve">. </w:t>
      </w:r>
    </w:p>
    <w:p w:rsidRPr="00DA739E" w:rsidR="0024541B" w:rsidRDefault="0024541B" w14:paraId="420A975B" w14:textId="77777777">
      <w:pPr>
        <w:ind w:left="720" w:hanging="720"/>
        <w:rPr>
          <w:rFonts w:cs="Arial"/>
          <w:sz w:val="22"/>
          <w:szCs w:val="22"/>
        </w:rPr>
      </w:pPr>
    </w:p>
    <w:p w:rsidRPr="00DA739E" w:rsidR="0024541B" w:rsidRDefault="0024541B" w14:paraId="2B5D52BB" w14:textId="77777777">
      <w:pPr>
        <w:ind w:left="720" w:hanging="720"/>
        <w:rPr>
          <w:rFonts w:cs="Arial"/>
          <w:b/>
          <w:sz w:val="22"/>
          <w:szCs w:val="22"/>
        </w:rPr>
      </w:pPr>
      <w:r w:rsidRPr="00DA739E">
        <w:rPr>
          <w:rFonts w:cs="Arial"/>
          <w:b/>
          <w:sz w:val="22"/>
          <w:szCs w:val="22"/>
        </w:rPr>
        <w:t>10.</w:t>
      </w:r>
      <w:r w:rsidRPr="00DA739E">
        <w:rPr>
          <w:rFonts w:cs="Arial"/>
          <w:b/>
          <w:sz w:val="22"/>
          <w:szCs w:val="22"/>
        </w:rPr>
        <w:tab/>
      </w:r>
      <w:r w:rsidRPr="00DA739E">
        <w:rPr>
          <w:rFonts w:cs="Arial"/>
          <w:b/>
          <w:sz w:val="22"/>
          <w:szCs w:val="22"/>
          <w:u w:val="single"/>
        </w:rPr>
        <w:t>ASSURANCE OF CONFIDENTIALITY OF RESPONSES</w:t>
      </w:r>
    </w:p>
    <w:p w:rsidRPr="00DA739E" w:rsidR="0024541B" w:rsidRDefault="0024541B" w14:paraId="363B8D27" w14:textId="77777777">
      <w:pPr>
        <w:ind w:left="720" w:hanging="720"/>
        <w:rPr>
          <w:rFonts w:cs="Arial"/>
          <w:sz w:val="22"/>
          <w:szCs w:val="22"/>
        </w:rPr>
      </w:pPr>
    </w:p>
    <w:p w:rsidRPr="00DA739E" w:rsidR="0024541B" w:rsidRDefault="0024541B" w14:paraId="25A2D402" w14:textId="77777777">
      <w:pPr>
        <w:ind w:left="720" w:hanging="720"/>
        <w:rPr>
          <w:rFonts w:cs="Arial"/>
          <w:sz w:val="22"/>
          <w:szCs w:val="22"/>
        </w:rPr>
      </w:pPr>
      <w:r w:rsidRPr="00DA739E">
        <w:rPr>
          <w:rFonts w:cs="Arial"/>
          <w:sz w:val="22"/>
          <w:szCs w:val="22"/>
        </w:rPr>
        <w:tab/>
        <w:t>Generally, tax returns and tax return information are confidential as required by 26 USC 6103.</w:t>
      </w:r>
    </w:p>
    <w:p w:rsidRPr="00DA739E" w:rsidR="0024541B" w:rsidRDefault="0024541B" w14:paraId="72AC0519" w14:textId="77777777">
      <w:pPr>
        <w:ind w:left="720" w:hanging="720"/>
        <w:rPr>
          <w:rFonts w:cs="Arial"/>
          <w:sz w:val="22"/>
          <w:szCs w:val="22"/>
        </w:rPr>
      </w:pPr>
    </w:p>
    <w:p w:rsidRPr="00DA739E" w:rsidR="0024541B" w:rsidRDefault="0024541B" w14:paraId="4C4C8F03" w14:textId="77777777">
      <w:pPr>
        <w:ind w:left="720" w:hanging="720"/>
        <w:rPr>
          <w:rFonts w:cs="Arial"/>
          <w:b/>
          <w:sz w:val="22"/>
          <w:szCs w:val="22"/>
        </w:rPr>
      </w:pPr>
      <w:r w:rsidRPr="00DA739E">
        <w:rPr>
          <w:rFonts w:cs="Arial"/>
          <w:b/>
          <w:sz w:val="22"/>
          <w:szCs w:val="22"/>
        </w:rPr>
        <w:t>11.</w:t>
      </w:r>
      <w:r w:rsidRPr="00DA739E">
        <w:rPr>
          <w:rFonts w:cs="Arial"/>
          <w:b/>
          <w:sz w:val="22"/>
          <w:szCs w:val="22"/>
        </w:rPr>
        <w:tab/>
      </w:r>
      <w:r w:rsidRPr="00DA739E">
        <w:rPr>
          <w:rFonts w:cs="Arial"/>
          <w:b/>
          <w:sz w:val="22"/>
          <w:szCs w:val="22"/>
          <w:u w:val="single"/>
        </w:rPr>
        <w:t>JUSTIFICATION OF SENSITIVE QUESTIONS</w:t>
      </w:r>
    </w:p>
    <w:p w:rsidRPr="00DA739E" w:rsidR="0024541B" w:rsidRDefault="0024541B" w14:paraId="3017348B" w14:textId="77777777">
      <w:pPr>
        <w:ind w:left="720" w:hanging="720"/>
        <w:rPr>
          <w:rFonts w:cs="Arial"/>
          <w:sz w:val="22"/>
          <w:szCs w:val="22"/>
        </w:rPr>
      </w:pPr>
    </w:p>
    <w:p w:rsidRPr="00DA739E" w:rsidR="0024541B" w:rsidRDefault="0024541B" w14:paraId="054772CB" w14:textId="77777777">
      <w:pPr>
        <w:ind w:left="720" w:hanging="720"/>
        <w:rPr>
          <w:rFonts w:cs="Arial"/>
          <w:sz w:val="22"/>
          <w:szCs w:val="22"/>
        </w:rPr>
      </w:pPr>
      <w:r w:rsidRPr="00DA739E">
        <w:rPr>
          <w:rFonts w:cs="Arial"/>
          <w:sz w:val="22"/>
          <w:szCs w:val="22"/>
        </w:rPr>
        <w:tab/>
      </w:r>
      <w:r w:rsidR="00341692">
        <w:rPr>
          <w:rFonts w:cs="Arial"/>
          <w:sz w:val="22"/>
          <w:szCs w:val="22"/>
        </w:rPr>
        <w:t xml:space="preserve">No </w:t>
      </w:r>
      <w:r w:rsidR="002C069B">
        <w:rPr>
          <w:rFonts w:cs="Arial"/>
          <w:sz w:val="22"/>
          <w:szCs w:val="22"/>
        </w:rPr>
        <w:t xml:space="preserve">sensitive </w:t>
      </w:r>
      <w:r w:rsidR="00341692">
        <w:rPr>
          <w:rFonts w:cs="Arial"/>
          <w:sz w:val="22"/>
          <w:szCs w:val="22"/>
        </w:rPr>
        <w:t xml:space="preserve">personally identifiable information (PII) is collected. </w:t>
      </w:r>
    </w:p>
    <w:p w:rsidRPr="00DA739E" w:rsidR="0024541B" w:rsidRDefault="0024541B" w14:paraId="210B955D" w14:textId="77777777">
      <w:pPr>
        <w:ind w:left="720" w:hanging="720"/>
        <w:rPr>
          <w:rFonts w:cs="Arial"/>
          <w:sz w:val="22"/>
          <w:szCs w:val="22"/>
        </w:rPr>
      </w:pPr>
    </w:p>
    <w:p w:rsidRPr="00DA739E" w:rsidR="0024541B" w:rsidRDefault="0024541B" w14:paraId="546DCC6D" w14:textId="77777777">
      <w:pPr>
        <w:ind w:left="720" w:hanging="720"/>
        <w:rPr>
          <w:rFonts w:cs="Arial"/>
          <w:b/>
          <w:sz w:val="22"/>
          <w:szCs w:val="22"/>
        </w:rPr>
      </w:pPr>
      <w:r w:rsidRPr="00DA739E">
        <w:rPr>
          <w:rFonts w:cs="Arial"/>
          <w:b/>
          <w:sz w:val="22"/>
          <w:szCs w:val="22"/>
        </w:rPr>
        <w:t>12.</w:t>
      </w:r>
      <w:r w:rsidRPr="00DA739E">
        <w:rPr>
          <w:rFonts w:cs="Arial"/>
          <w:b/>
          <w:sz w:val="22"/>
          <w:szCs w:val="22"/>
        </w:rPr>
        <w:tab/>
      </w:r>
      <w:r w:rsidRPr="00DA739E">
        <w:rPr>
          <w:rFonts w:cs="Arial"/>
          <w:b/>
          <w:sz w:val="22"/>
          <w:szCs w:val="22"/>
          <w:u w:val="single"/>
        </w:rPr>
        <w:t>ESTIMATED BURDEN OF INFORMATION COLLECTION</w:t>
      </w:r>
    </w:p>
    <w:p w:rsidRPr="0066221D" w:rsidR="008E25DD" w:rsidP="008E25DD" w:rsidRDefault="008E25DD" w14:paraId="134861EB" w14:textId="77777777">
      <w:pPr>
        <w:ind w:left="720" w:hanging="720"/>
        <w:rPr>
          <w:rFonts w:ascii="Times New Roman" w:hAnsi="Times New Roman"/>
        </w:rPr>
      </w:pPr>
    </w:p>
    <w:p w:rsidRPr="00DA739E" w:rsidR="0024541B" w:rsidRDefault="0024541B" w14:paraId="5AE1328F" w14:textId="77777777">
      <w:pPr>
        <w:ind w:left="720" w:hanging="720"/>
        <w:rPr>
          <w:rFonts w:cs="Arial"/>
          <w:sz w:val="22"/>
          <w:szCs w:val="22"/>
        </w:rPr>
      </w:pPr>
      <w:r w:rsidRPr="00DA739E">
        <w:rPr>
          <w:rFonts w:cs="Arial"/>
          <w:sz w:val="22"/>
          <w:szCs w:val="22"/>
        </w:rPr>
        <w:tab/>
        <w:t xml:space="preserve">We estimate 157,963 responses for this notice.  We estimate that the number of hours attributed to recordkeeping is 38,095, and that the number of hours attributed to reporting is also 38,095.  The total burden hours are estimated as 76,190.   </w:t>
      </w:r>
    </w:p>
    <w:p w:rsidRPr="00DA739E" w:rsidR="0024541B" w:rsidRDefault="0024541B" w14:paraId="0C5D8F04" w14:textId="77777777">
      <w:pPr>
        <w:ind w:left="720" w:hanging="720"/>
        <w:rPr>
          <w:rFonts w:cs="Arial"/>
          <w:sz w:val="22"/>
          <w:szCs w:val="22"/>
        </w:rPr>
      </w:pPr>
    </w:p>
    <w:p w:rsidR="0024541B" w:rsidRDefault="0024541B" w14:paraId="5F3057D5" w14:textId="77777777">
      <w:pPr>
        <w:ind w:left="720" w:hanging="720"/>
        <w:rPr>
          <w:rFonts w:cs="Arial"/>
          <w:b/>
          <w:sz w:val="22"/>
          <w:szCs w:val="22"/>
        </w:rPr>
      </w:pPr>
    </w:p>
    <w:p w:rsidR="00F6610B" w:rsidP="00F6610B" w:rsidRDefault="00F6610B" w14:paraId="0D103DA1" w14:textId="77777777">
      <w:pPr>
        <w:ind w:left="720" w:hanging="720"/>
        <w:rPr>
          <w:rFonts w:cs="Arial"/>
          <w:b/>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00F6610B" w:rsidTr="00F6610B" w14:paraId="5DFFC6A9"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4318F146" w14:textId="77777777">
            <w:pPr>
              <w:keepNext/>
              <w:keepLines/>
              <w:numPr>
                <w:ilvl w:val="12"/>
                <w:numId w:val="0"/>
              </w:numPr>
              <w:jc w:val="center"/>
              <w:rPr>
                <w:rFonts w:ascii="Arial Narrow" w:hAnsi="Arial Narrow"/>
                <w:b/>
                <w:sz w:val="18"/>
                <w:szCs w:val="18"/>
              </w:rPr>
            </w:pPr>
            <w:r>
              <w:rPr>
                <w:rFonts w:ascii="Arial Narrow" w:hAnsi="Arial Narrow"/>
                <w:b/>
                <w:sz w:val="18"/>
                <w:szCs w:val="18"/>
              </w:rPr>
              <w:t>Authority</w:t>
            </w:r>
          </w:p>
        </w:tc>
        <w:tc>
          <w:tcPr>
            <w:tcW w:w="1916"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2EECF594" w14:textId="77777777">
            <w:pPr>
              <w:keepNext/>
              <w:keepLines/>
              <w:numPr>
                <w:ilvl w:val="12"/>
                <w:numId w:val="0"/>
              </w:numPr>
              <w:jc w:val="center"/>
              <w:rPr>
                <w:rFonts w:ascii="Arial Narrow" w:hAnsi="Arial Narrow"/>
                <w:b/>
                <w:sz w:val="18"/>
                <w:szCs w:val="18"/>
              </w:rPr>
            </w:pPr>
            <w:r>
              <w:rPr>
                <w:rFonts w:ascii="Arial Narrow" w:hAnsi="Arial Narrow"/>
                <w:b/>
                <w:sz w:val="18"/>
                <w:szCs w:val="18"/>
              </w:rPr>
              <w:t>Description</w:t>
            </w:r>
          </w:p>
        </w:tc>
        <w:tc>
          <w:tcPr>
            <w:tcW w:w="1170"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5395FEDD" w14:textId="77777777">
            <w:pPr>
              <w:keepNext/>
              <w:keepLines/>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3C5F44CB" w14:textId="77777777">
            <w:pPr>
              <w:keepNext/>
              <w:keepLines/>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2DDEF7CA" w14:textId="77777777">
            <w:pPr>
              <w:keepNext/>
              <w:keepLines/>
              <w:numPr>
                <w:ilvl w:val="12"/>
                <w:numId w:val="0"/>
              </w:numPr>
              <w:jc w:val="center"/>
              <w:rPr>
                <w:rFonts w:ascii="Arial Narrow" w:hAnsi="Arial Narrow"/>
                <w:b/>
                <w:sz w:val="18"/>
                <w:szCs w:val="18"/>
              </w:rPr>
            </w:pPr>
            <w:r>
              <w:rPr>
                <w:rFonts w:ascii="Arial Narrow" w:hAnsi="Arial Narrow"/>
                <w:b/>
                <w:sz w:val="18"/>
                <w:szCs w:val="18"/>
              </w:rPr>
              <w:t>Annual Responses</w:t>
            </w:r>
          </w:p>
        </w:tc>
        <w:tc>
          <w:tcPr>
            <w:tcW w:w="1170"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5DD4C444" w14:textId="77777777">
            <w:pPr>
              <w:keepNext/>
              <w:keepLines/>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467A5445" w14:textId="77777777">
            <w:pPr>
              <w:keepNext/>
              <w:keepLines/>
              <w:numPr>
                <w:ilvl w:val="12"/>
                <w:numId w:val="0"/>
              </w:numPr>
              <w:jc w:val="center"/>
              <w:rPr>
                <w:rFonts w:ascii="Arial Narrow" w:hAnsi="Arial Narrow"/>
                <w:b/>
                <w:sz w:val="18"/>
                <w:szCs w:val="18"/>
              </w:rPr>
            </w:pPr>
            <w:r>
              <w:rPr>
                <w:rFonts w:ascii="Arial Narrow" w:hAnsi="Arial Narrow"/>
                <w:b/>
                <w:sz w:val="18"/>
                <w:szCs w:val="18"/>
              </w:rPr>
              <w:t>Total Burden</w:t>
            </w:r>
          </w:p>
        </w:tc>
      </w:tr>
      <w:tr w:rsidR="00F6610B" w:rsidTr="00F6610B" w14:paraId="5728087D"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38753B4E" w14:textId="77777777">
            <w:pPr>
              <w:keepNext/>
              <w:keepLines/>
              <w:numPr>
                <w:ilvl w:val="12"/>
                <w:numId w:val="0"/>
              </w:numPr>
              <w:jc w:val="center"/>
              <w:rPr>
                <w:rFonts w:ascii="Arial Narrow" w:hAnsi="Arial Narrow"/>
                <w:sz w:val="18"/>
                <w:szCs w:val="18"/>
              </w:rPr>
            </w:pPr>
            <w:r>
              <w:rPr>
                <w:rFonts w:ascii="Arial Narrow" w:hAnsi="Arial Narrow"/>
                <w:sz w:val="18"/>
                <w:szCs w:val="18"/>
              </w:rPr>
              <w:t>2005-4</w:t>
            </w:r>
          </w:p>
        </w:tc>
        <w:tc>
          <w:tcPr>
            <w:tcW w:w="1916"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0470E71F" w14:textId="77777777">
            <w:pPr>
              <w:keepNext/>
              <w:keepLines/>
              <w:numPr>
                <w:ilvl w:val="12"/>
                <w:numId w:val="0"/>
              </w:numPr>
              <w:jc w:val="center"/>
              <w:rPr>
                <w:rFonts w:ascii="Arial Narrow" w:hAnsi="Arial Narrow"/>
                <w:sz w:val="18"/>
                <w:szCs w:val="18"/>
              </w:rPr>
            </w:pPr>
            <w:r>
              <w:rPr>
                <w:rFonts w:ascii="Arial Narrow" w:hAnsi="Arial Narrow"/>
                <w:sz w:val="18"/>
                <w:szCs w:val="18"/>
              </w:rPr>
              <w:t>recordkeeping</w:t>
            </w:r>
          </w:p>
        </w:tc>
        <w:tc>
          <w:tcPr>
            <w:tcW w:w="1170"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7A5F442F" w14:textId="77777777">
            <w:pPr>
              <w:keepNext/>
              <w:keepLines/>
              <w:numPr>
                <w:ilvl w:val="12"/>
                <w:numId w:val="0"/>
              </w:numPr>
              <w:jc w:val="center"/>
              <w:rPr>
                <w:rFonts w:ascii="Arial Narrow" w:hAnsi="Arial Narrow"/>
                <w:sz w:val="18"/>
                <w:szCs w:val="18"/>
              </w:rPr>
            </w:pPr>
            <w:r>
              <w:rPr>
                <w:rFonts w:ascii="Arial Narrow" w:hAnsi="Arial Narrow"/>
                <w:sz w:val="18"/>
                <w:szCs w:val="18"/>
              </w:rPr>
              <w:t>157,963</w:t>
            </w:r>
          </w:p>
        </w:tc>
        <w:tc>
          <w:tcPr>
            <w:tcW w:w="1170"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33C7BA8F"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104CC09E" w14:textId="77777777">
            <w:pPr>
              <w:keepNext/>
              <w:keepLines/>
              <w:numPr>
                <w:ilvl w:val="12"/>
                <w:numId w:val="0"/>
              </w:numPr>
              <w:jc w:val="center"/>
              <w:rPr>
                <w:rFonts w:ascii="Arial Narrow" w:hAnsi="Arial Narrow"/>
                <w:sz w:val="18"/>
                <w:szCs w:val="18"/>
              </w:rPr>
            </w:pPr>
            <w:r>
              <w:rPr>
                <w:rFonts w:ascii="Arial Narrow" w:hAnsi="Arial Narrow"/>
                <w:sz w:val="18"/>
                <w:szCs w:val="18"/>
              </w:rPr>
              <w:t>157,963</w:t>
            </w:r>
          </w:p>
        </w:tc>
        <w:tc>
          <w:tcPr>
            <w:tcW w:w="1170"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6B861781" w14:textId="77777777">
            <w:pPr>
              <w:keepNext/>
              <w:keepLines/>
              <w:numPr>
                <w:ilvl w:val="12"/>
                <w:numId w:val="0"/>
              </w:numPr>
              <w:jc w:val="center"/>
              <w:rPr>
                <w:rFonts w:ascii="Arial Narrow" w:hAnsi="Arial Narrow"/>
                <w:sz w:val="18"/>
                <w:szCs w:val="18"/>
              </w:rPr>
            </w:pPr>
            <w:r>
              <w:rPr>
                <w:rFonts w:ascii="Arial Narrow" w:hAnsi="Arial Narrow"/>
                <w:sz w:val="18"/>
                <w:szCs w:val="18"/>
              </w:rPr>
              <w:t>.24</w:t>
            </w:r>
          </w:p>
        </w:tc>
        <w:tc>
          <w:tcPr>
            <w:tcW w:w="1170"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1240B337" w14:textId="77777777">
            <w:pPr>
              <w:keepNext/>
              <w:keepLines/>
              <w:numPr>
                <w:ilvl w:val="12"/>
                <w:numId w:val="0"/>
              </w:numPr>
              <w:jc w:val="center"/>
              <w:rPr>
                <w:rFonts w:ascii="Arial Narrow" w:hAnsi="Arial Narrow"/>
                <w:sz w:val="18"/>
                <w:szCs w:val="18"/>
              </w:rPr>
            </w:pPr>
            <w:r>
              <w:rPr>
                <w:rFonts w:ascii="Arial Narrow" w:hAnsi="Arial Narrow"/>
                <w:sz w:val="18"/>
                <w:szCs w:val="18"/>
              </w:rPr>
              <w:t>38,095</w:t>
            </w:r>
          </w:p>
        </w:tc>
      </w:tr>
      <w:tr w:rsidR="00F6610B" w:rsidTr="00F6610B" w14:paraId="6125EDBE"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35DA9680" w14:textId="77777777">
            <w:pPr>
              <w:keepNext/>
              <w:keepLines/>
              <w:numPr>
                <w:ilvl w:val="12"/>
                <w:numId w:val="0"/>
              </w:numPr>
              <w:jc w:val="center"/>
              <w:rPr>
                <w:rFonts w:ascii="Arial Narrow" w:hAnsi="Arial Narrow"/>
                <w:sz w:val="18"/>
                <w:szCs w:val="18"/>
              </w:rPr>
            </w:pPr>
            <w:r>
              <w:rPr>
                <w:rFonts w:ascii="Arial Narrow" w:hAnsi="Arial Narrow"/>
                <w:sz w:val="18"/>
                <w:szCs w:val="18"/>
              </w:rPr>
              <w:t>2005-4</w:t>
            </w:r>
          </w:p>
        </w:tc>
        <w:tc>
          <w:tcPr>
            <w:tcW w:w="1916"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1DCC8657" w14:textId="77777777">
            <w:pPr>
              <w:keepNext/>
              <w:keepLines/>
              <w:numPr>
                <w:ilvl w:val="12"/>
                <w:numId w:val="0"/>
              </w:numPr>
              <w:jc w:val="center"/>
              <w:rPr>
                <w:rFonts w:ascii="Arial Narrow" w:hAnsi="Arial Narrow"/>
                <w:sz w:val="18"/>
                <w:szCs w:val="18"/>
              </w:rPr>
            </w:pPr>
            <w:r>
              <w:rPr>
                <w:rFonts w:ascii="Arial Narrow" w:hAnsi="Arial Narrow"/>
                <w:sz w:val="18"/>
                <w:szCs w:val="18"/>
              </w:rPr>
              <w:t>reporting</w:t>
            </w:r>
          </w:p>
        </w:tc>
        <w:tc>
          <w:tcPr>
            <w:tcW w:w="1170"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4A4A8947" w14:textId="77777777">
            <w:pPr>
              <w:keepNext/>
              <w:keepLines/>
              <w:numPr>
                <w:ilvl w:val="12"/>
                <w:numId w:val="0"/>
              </w:numPr>
              <w:jc w:val="center"/>
              <w:rPr>
                <w:rFonts w:ascii="Arial Narrow" w:hAnsi="Arial Narrow"/>
                <w:sz w:val="18"/>
                <w:szCs w:val="18"/>
              </w:rPr>
            </w:pPr>
            <w:r>
              <w:rPr>
                <w:rFonts w:ascii="Arial Narrow" w:hAnsi="Arial Narrow"/>
                <w:sz w:val="18"/>
                <w:szCs w:val="18"/>
              </w:rPr>
              <w:t>157,963</w:t>
            </w:r>
          </w:p>
        </w:tc>
        <w:tc>
          <w:tcPr>
            <w:tcW w:w="1170"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2881422F"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01D4D34E" w14:textId="77777777">
            <w:pPr>
              <w:keepNext/>
              <w:keepLines/>
              <w:numPr>
                <w:ilvl w:val="12"/>
                <w:numId w:val="0"/>
              </w:numPr>
              <w:jc w:val="center"/>
              <w:rPr>
                <w:rFonts w:ascii="Arial Narrow" w:hAnsi="Arial Narrow"/>
                <w:sz w:val="18"/>
                <w:szCs w:val="18"/>
              </w:rPr>
            </w:pPr>
            <w:r>
              <w:rPr>
                <w:rFonts w:ascii="Arial Narrow" w:hAnsi="Arial Narrow"/>
                <w:sz w:val="18"/>
                <w:szCs w:val="18"/>
              </w:rPr>
              <w:t>157,963</w:t>
            </w:r>
          </w:p>
        </w:tc>
        <w:tc>
          <w:tcPr>
            <w:tcW w:w="1170"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5CBAFCB9" w14:textId="77777777">
            <w:pPr>
              <w:keepNext/>
              <w:keepLines/>
              <w:numPr>
                <w:ilvl w:val="12"/>
                <w:numId w:val="0"/>
              </w:numPr>
              <w:jc w:val="center"/>
              <w:rPr>
                <w:rFonts w:ascii="Arial Narrow" w:hAnsi="Arial Narrow"/>
                <w:sz w:val="18"/>
                <w:szCs w:val="18"/>
              </w:rPr>
            </w:pPr>
            <w:r>
              <w:rPr>
                <w:rFonts w:ascii="Arial Narrow" w:hAnsi="Arial Narrow"/>
                <w:sz w:val="18"/>
                <w:szCs w:val="18"/>
              </w:rPr>
              <w:t>.24</w:t>
            </w:r>
          </w:p>
        </w:tc>
        <w:tc>
          <w:tcPr>
            <w:tcW w:w="1170"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0C7E378E" w14:textId="77777777">
            <w:pPr>
              <w:keepNext/>
              <w:keepLines/>
              <w:numPr>
                <w:ilvl w:val="12"/>
                <w:numId w:val="0"/>
              </w:numPr>
              <w:jc w:val="center"/>
              <w:rPr>
                <w:rFonts w:ascii="Arial Narrow" w:hAnsi="Arial Narrow"/>
                <w:sz w:val="18"/>
                <w:szCs w:val="18"/>
              </w:rPr>
            </w:pPr>
            <w:r>
              <w:rPr>
                <w:rFonts w:ascii="Arial Narrow" w:hAnsi="Arial Narrow"/>
                <w:sz w:val="18"/>
                <w:szCs w:val="18"/>
              </w:rPr>
              <w:t>38,095</w:t>
            </w:r>
          </w:p>
        </w:tc>
      </w:tr>
      <w:tr w:rsidR="00F6610B" w:rsidTr="00F6610B" w14:paraId="79D060ED" w14:textId="77777777">
        <w:tc>
          <w:tcPr>
            <w:tcW w:w="1258"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071E83D8" w14:textId="77777777">
            <w:pPr>
              <w:keepNext/>
              <w:keepLines/>
              <w:numPr>
                <w:ilvl w:val="12"/>
                <w:numId w:val="0"/>
              </w:numPr>
              <w:jc w:val="center"/>
              <w:rPr>
                <w:rFonts w:ascii="Arial Narrow" w:hAnsi="Arial Narrow"/>
                <w:sz w:val="18"/>
                <w:szCs w:val="18"/>
              </w:rPr>
            </w:pPr>
            <w:r>
              <w:rPr>
                <w:rFonts w:ascii="Arial Narrow" w:hAnsi="Arial Narrow"/>
                <w:sz w:val="18"/>
                <w:szCs w:val="18"/>
              </w:rPr>
              <w:t>Totals</w:t>
            </w:r>
          </w:p>
        </w:tc>
        <w:tc>
          <w:tcPr>
            <w:tcW w:w="1916" w:type="dxa"/>
            <w:tcBorders>
              <w:top w:val="single" w:color="auto" w:sz="4" w:space="0"/>
              <w:left w:val="single" w:color="auto" w:sz="4" w:space="0"/>
              <w:bottom w:val="single" w:color="auto" w:sz="4" w:space="0"/>
              <w:right w:val="single" w:color="auto" w:sz="4" w:space="0"/>
            </w:tcBorders>
            <w:vAlign w:val="bottom"/>
          </w:tcPr>
          <w:p w:rsidR="00F6610B" w:rsidRDefault="00F6610B" w14:paraId="38B4A593" w14:textId="77777777">
            <w:pPr>
              <w:keepNext/>
              <w:keepLines/>
              <w:numPr>
                <w:ilvl w:val="12"/>
                <w:numId w:val="0"/>
              </w:numPr>
              <w:jc w:val="center"/>
              <w:rPr>
                <w:rFonts w:ascii="Arial Narrow" w:hAnsi="Arial Narrow"/>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00F6610B" w:rsidRDefault="00F6610B" w14:paraId="0540C369" w14:textId="77777777">
            <w:pPr>
              <w:keepNext/>
              <w:keepLines/>
              <w:numPr>
                <w:ilvl w:val="12"/>
                <w:numId w:val="0"/>
              </w:numPr>
              <w:jc w:val="center"/>
              <w:rPr>
                <w:rFonts w:ascii="Arial Narrow" w:hAnsi="Arial Narrow"/>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tcPr>
          <w:p w:rsidR="00F6610B" w:rsidRDefault="00F6610B" w14:paraId="20953FCE" w14:textId="77777777">
            <w:pPr>
              <w:keepNext/>
              <w:keepLines/>
              <w:numPr>
                <w:ilvl w:val="12"/>
                <w:numId w:val="0"/>
              </w:numPr>
              <w:jc w:val="center"/>
              <w:rPr>
                <w:rFonts w:ascii="Arial Narrow" w:hAnsi="Arial Narrow"/>
                <w:sz w:val="18"/>
                <w:szCs w:val="18"/>
              </w:rPr>
            </w:pPr>
          </w:p>
        </w:tc>
        <w:tc>
          <w:tcPr>
            <w:tcW w:w="1080"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18BD7F34" w14:textId="77777777">
            <w:pPr>
              <w:keepNext/>
              <w:keepLines/>
              <w:numPr>
                <w:ilvl w:val="12"/>
                <w:numId w:val="0"/>
              </w:numPr>
              <w:jc w:val="center"/>
              <w:rPr>
                <w:rFonts w:ascii="Arial Narrow" w:hAnsi="Arial Narrow"/>
                <w:sz w:val="18"/>
                <w:szCs w:val="18"/>
              </w:rPr>
            </w:pPr>
            <w:r>
              <w:rPr>
                <w:rFonts w:ascii="Arial Narrow" w:hAnsi="Arial Narrow"/>
                <w:sz w:val="18"/>
                <w:szCs w:val="18"/>
              </w:rPr>
              <w:t>157,963</w:t>
            </w:r>
          </w:p>
        </w:tc>
        <w:tc>
          <w:tcPr>
            <w:tcW w:w="1170" w:type="dxa"/>
            <w:tcBorders>
              <w:top w:val="single" w:color="auto" w:sz="4" w:space="0"/>
              <w:left w:val="single" w:color="auto" w:sz="4" w:space="0"/>
              <w:bottom w:val="single" w:color="auto" w:sz="4" w:space="0"/>
              <w:right w:val="single" w:color="auto" w:sz="4" w:space="0"/>
            </w:tcBorders>
            <w:vAlign w:val="bottom"/>
          </w:tcPr>
          <w:p w:rsidR="00F6610B" w:rsidRDefault="00F6610B" w14:paraId="38C5BEAA" w14:textId="77777777">
            <w:pPr>
              <w:keepNext/>
              <w:keepLines/>
              <w:numPr>
                <w:ilvl w:val="12"/>
                <w:numId w:val="0"/>
              </w:numPr>
              <w:jc w:val="center"/>
              <w:rPr>
                <w:rFonts w:ascii="Arial Narrow" w:hAnsi="Arial Narrow"/>
                <w:sz w:val="18"/>
                <w:szCs w:val="18"/>
              </w:rPr>
            </w:pPr>
          </w:p>
        </w:tc>
        <w:tc>
          <w:tcPr>
            <w:tcW w:w="1170" w:type="dxa"/>
            <w:tcBorders>
              <w:top w:val="single" w:color="auto" w:sz="4" w:space="0"/>
              <w:left w:val="single" w:color="auto" w:sz="4" w:space="0"/>
              <w:bottom w:val="single" w:color="auto" w:sz="4" w:space="0"/>
              <w:right w:val="single" w:color="auto" w:sz="4" w:space="0"/>
            </w:tcBorders>
            <w:vAlign w:val="bottom"/>
            <w:hideMark/>
          </w:tcPr>
          <w:p w:rsidR="00F6610B" w:rsidRDefault="00F6610B" w14:paraId="15305242" w14:textId="77777777">
            <w:pPr>
              <w:keepNext/>
              <w:keepLines/>
              <w:numPr>
                <w:ilvl w:val="12"/>
                <w:numId w:val="0"/>
              </w:numPr>
              <w:jc w:val="center"/>
              <w:rPr>
                <w:rFonts w:ascii="Arial Narrow" w:hAnsi="Arial Narrow"/>
                <w:sz w:val="18"/>
                <w:szCs w:val="18"/>
              </w:rPr>
            </w:pPr>
            <w:r>
              <w:rPr>
                <w:rFonts w:ascii="Arial Narrow" w:hAnsi="Arial Narrow"/>
                <w:sz w:val="18"/>
                <w:szCs w:val="18"/>
              </w:rPr>
              <w:t>76,190</w:t>
            </w:r>
          </w:p>
        </w:tc>
      </w:tr>
    </w:tbl>
    <w:p w:rsidR="00F6610B" w:rsidP="00F6610B" w:rsidRDefault="00F6610B" w14:paraId="4A2351B8" w14:textId="77777777">
      <w:pPr>
        <w:ind w:left="720" w:hanging="720"/>
        <w:rPr>
          <w:rFonts w:cs="Arial"/>
          <w:b/>
          <w:sz w:val="22"/>
          <w:szCs w:val="22"/>
        </w:rPr>
      </w:pPr>
    </w:p>
    <w:p w:rsidRPr="00C95EC1" w:rsidR="00C95EC1" w:rsidP="00C95EC1" w:rsidRDefault="00C95EC1" w14:paraId="51E0E715" w14:textId="71B45338">
      <w:pPr>
        <w:pStyle w:val="SupportingStatementSTANDARD"/>
        <w:tabs>
          <w:tab w:val="clear" w:pos="720"/>
        </w:tabs>
        <w:ind w:firstLine="0"/>
        <w:rPr>
          <w:rFonts w:ascii="Arial" w:hAnsi="Arial" w:cs="Arial"/>
          <w:sz w:val="22"/>
          <w:szCs w:val="22"/>
        </w:rPr>
      </w:pPr>
      <w:r w:rsidRPr="00C95EC1">
        <w:rPr>
          <w:rFonts w:ascii="Arial" w:hAnsi="Arial" w:cs="Arial"/>
          <w:sz w:val="22"/>
          <w:szCs w:val="22"/>
        </w:rPr>
        <w:t>Please continue to assign OMB number 1545-1</w:t>
      </w:r>
      <w:r>
        <w:rPr>
          <w:rFonts w:ascii="Arial" w:hAnsi="Arial" w:cs="Arial"/>
          <w:sz w:val="22"/>
          <w:szCs w:val="22"/>
        </w:rPr>
        <w:t>915</w:t>
      </w:r>
      <w:r w:rsidRPr="00C95EC1">
        <w:rPr>
          <w:rFonts w:ascii="Arial" w:hAnsi="Arial" w:cs="Arial"/>
          <w:sz w:val="22"/>
          <w:szCs w:val="22"/>
        </w:rPr>
        <w:t xml:space="preserve"> to this regulation.</w:t>
      </w:r>
    </w:p>
    <w:p w:rsidRPr="00C95EC1" w:rsidR="00C95EC1" w:rsidP="00C95EC1" w:rsidRDefault="00C95EC1" w14:paraId="3C0DF675" w14:textId="5AD60423">
      <w:pPr>
        <w:pStyle w:val="SupportingStatementSTANDARD"/>
        <w:tabs>
          <w:tab w:val="clear" w:pos="720"/>
        </w:tabs>
        <w:ind w:firstLine="0"/>
        <w:rPr>
          <w:rFonts w:ascii="Arial" w:hAnsi="Arial" w:cs="Arial"/>
          <w:sz w:val="22"/>
          <w:szCs w:val="22"/>
        </w:rPr>
      </w:pPr>
      <w:r w:rsidRPr="00C95EC1">
        <w:rPr>
          <w:rFonts w:ascii="Arial" w:hAnsi="Arial" w:cs="Arial"/>
          <w:sz w:val="22"/>
          <w:szCs w:val="22"/>
        </w:rPr>
        <w:t>48</w:t>
      </w:r>
      <w:r>
        <w:rPr>
          <w:rFonts w:ascii="Arial" w:hAnsi="Arial" w:cs="Arial"/>
          <w:sz w:val="22"/>
          <w:szCs w:val="22"/>
        </w:rPr>
        <w:t>-4061(a)</w:t>
      </w:r>
      <w:r w:rsidRPr="00C95EC1">
        <w:rPr>
          <w:rFonts w:ascii="Arial" w:hAnsi="Arial" w:cs="Arial"/>
          <w:sz w:val="22"/>
          <w:szCs w:val="22"/>
        </w:rPr>
        <w:t>-1</w:t>
      </w:r>
      <w:r>
        <w:rPr>
          <w:rFonts w:ascii="Arial" w:hAnsi="Arial" w:cs="Arial"/>
          <w:sz w:val="22"/>
          <w:szCs w:val="22"/>
        </w:rPr>
        <w:t>(d)(2)(ii)</w:t>
      </w:r>
    </w:p>
    <w:p w:rsidR="00D17017" w:rsidRDefault="00D17017" w14:paraId="3DF6A475" w14:textId="7EB4BA92">
      <w:pPr>
        <w:ind w:left="720" w:hanging="720"/>
        <w:rPr>
          <w:rFonts w:cs="Arial"/>
          <w:b/>
          <w:sz w:val="22"/>
          <w:szCs w:val="22"/>
        </w:rPr>
      </w:pPr>
    </w:p>
    <w:p w:rsidR="00D17017" w:rsidRDefault="00D17017" w14:paraId="3A0FF37F" w14:textId="77777777">
      <w:pPr>
        <w:ind w:left="720" w:hanging="720"/>
        <w:rPr>
          <w:rFonts w:cs="Arial"/>
          <w:b/>
          <w:sz w:val="22"/>
          <w:szCs w:val="22"/>
        </w:rPr>
      </w:pPr>
    </w:p>
    <w:p w:rsidRPr="00DA739E" w:rsidR="00121260" w:rsidRDefault="00121260" w14:paraId="10FD248F" w14:textId="77777777">
      <w:pPr>
        <w:ind w:left="720" w:hanging="720"/>
        <w:rPr>
          <w:rFonts w:cs="Arial"/>
          <w:b/>
          <w:sz w:val="22"/>
          <w:szCs w:val="22"/>
        </w:rPr>
      </w:pPr>
    </w:p>
    <w:p w:rsidRPr="00DA739E" w:rsidR="0024541B" w:rsidRDefault="0024541B" w14:paraId="5A70381F" w14:textId="77777777">
      <w:pPr>
        <w:ind w:left="720" w:hanging="720"/>
        <w:rPr>
          <w:rFonts w:cs="Arial"/>
          <w:b/>
          <w:sz w:val="22"/>
          <w:szCs w:val="22"/>
        </w:rPr>
      </w:pPr>
      <w:r w:rsidRPr="00DA739E">
        <w:rPr>
          <w:rFonts w:cs="Arial"/>
          <w:b/>
          <w:sz w:val="22"/>
          <w:szCs w:val="22"/>
        </w:rPr>
        <w:t>13.</w:t>
      </w:r>
      <w:r w:rsidRPr="00DA739E">
        <w:rPr>
          <w:rFonts w:cs="Arial"/>
          <w:b/>
          <w:sz w:val="22"/>
          <w:szCs w:val="22"/>
        </w:rPr>
        <w:tab/>
      </w:r>
      <w:r w:rsidRPr="00DA739E">
        <w:rPr>
          <w:rFonts w:cs="Arial"/>
          <w:b/>
          <w:sz w:val="22"/>
          <w:szCs w:val="22"/>
          <w:u w:val="single"/>
        </w:rPr>
        <w:t>ESTIMATED TOTAL ANNUAL COST BURDEN TO RESPONDENTS</w:t>
      </w:r>
    </w:p>
    <w:p w:rsidRPr="00DA739E" w:rsidR="0024541B" w:rsidRDefault="0024541B" w14:paraId="1E25E39E" w14:textId="77777777">
      <w:pPr>
        <w:ind w:left="720" w:hanging="720"/>
        <w:rPr>
          <w:rFonts w:cs="Arial"/>
          <w:sz w:val="22"/>
          <w:szCs w:val="22"/>
        </w:rPr>
      </w:pPr>
    </w:p>
    <w:p w:rsidRPr="00B31E5A" w:rsidR="00B31E5A" w:rsidP="00B31E5A" w:rsidRDefault="00B31E5A" w14:paraId="2E99DC85" w14:textId="77777777">
      <w:pPr>
        <w:ind w:left="720"/>
        <w:rPr>
          <w:rFonts w:cs="Arial"/>
          <w:sz w:val="22"/>
          <w:szCs w:val="22"/>
        </w:rPr>
      </w:pPr>
      <w:r w:rsidRPr="00B31E5A">
        <w:rPr>
          <w:rFonts w:cs="Arial"/>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DA739E" w:rsidR="0024541B" w:rsidRDefault="0024541B" w14:paraId="5FADB607" w14:textId="77777777">
      <w:pPr>
        <w:ind w:left="720" w:hanging="720"/>
        <w:rPr>
          <w:rFonts w:cs="Arial"/>
          <w:sz w:val="22"/>
          <w:szCs w:val="22"/>
        </w:rPr>
      </w:pPr>
    </w:p>
    <w:p w:rsidRPr="00DA739E" w:rsidR="0024541B" w:rsidRDefault="0024541B" w14:paraId="262D10F9" w14:textId="77777777">
      <w:pPr>
        <w:ind w:left="720" w:hanging="720"/>
        <w:rPr>
          <w:rFonts w:cs="Arial"/>
          <w:b/>
          <w:sz w:val="22"/>
          <w:szCs w:val="22"/>
        </w:rPr>
      </w:pPr>
      <w:r w:rsidRPr="00DA739E">
        <w:rPr>
          <w:rFonts w:cs="Arial"/>
          <w:b/>
          <w:sz w:val="22"/>
          <w:szCs w:val="22"/>
        </w:rPr>
        <w:t>14.</w:t>
      </w:r>
      <w:r w:rsidRPr="00DA739E">
        <w:rPr>
          <w:rFonts w:cs="Arial"/>
          <w:b/>
          <w:sz w:val="22"/>
          <w:szCs w:val="22"/>
        </w:rPr>
        <w:tab/>
      </w:r>
      <w:r w:rsidRPr="00DA739E">
        <w:rPr>
          <w:rFonts w:cs="Arial"/>
          <w:b/>
          <w:sz w:val="22"/>
          <w:szCs w:val="22"/>
          <w:u w:val="single"/>
        </w:rPr>
        <w:t>ESTIMATED ANNUALIZED COST TO THE FEDERAL GOVERNMENT</w:t>
      </w:r>
    </w:p>
    <w:p w:rsidRPr="00DA739E" w:rsidR="0024541B" w:rsidRDefault="0024541B" w14:paraId="29F0DF8C" w14:textId="77777777">
      <w:pPr>
        <w:ind w:left="720" w:hanging="720"/>
        <w:rPr>
          <w:rFonts w:cs="Arial"/>
          <w:sz w:val="22"/>
          <w:szCs w:val="22"/>
        </w:rPr>
      </w:pPr>
    </w:p>
    <w:p w:rsidRPr="0035790F" w:rsidR="0035790F" w:rsidP="0035790F" w:rsidRDefault="0035790F" w14:paraId="49DDA0D7" w14:textId="2D5C2804">
      <w:pPr>
        <w:ind w:firstLine="720"/>
        <w:rPr>
          <w:rFonts w:cs="Arial"/>
          <w:sz w:val="22"/>
          <w:szCs w:val="22"/>
        </w:rPr>
      </w:pPr>
      <w:r w:rsidRPr="0035790F">
        <w:rPr>
          <w:rFonts w:cs="Arial"/>
          <w:sz w:val="22"/>
          <w:szCs w:val="22"/>
        </w:rPr>
        <w:t>There are no known annualized costs to the federal government.</w:t>
      </w:r>
    </w:p>
    <w:p w:rsidRPr="0027079C" w:rsidR="0035790F" w:rsidP="0035790F" w:rsidRDefault="0035790F" w14:paraId="4377EDE1" w14:textId="77777777">
      <w:pPr>
        <w:ind w:firstLine="720"/>
        <w:rPr>
          <w:rFonts w:ascii="Times New Roman" w:hAnsi="Times New Roman"/>
        </w:rPr>
      </w:pPr>
    </w:p>
    <w:p w:rsidRPr="00B31E5A" w:rsidR="00B31E5A" w:rsidP="00B31E5A" w:rsidRDefault="00B31E5A" w14:paraId="18BCD574" w14:textId="77777777">
      <w:pPr>
        <w:ind w:left="720"/>
        <w:rPr>
          <w:rFonts w:cs="Arial"/>
          <w:sz w:val="22"/>
          <w:szCs w:val="22"/>
        </w:rPr>
      </w:pPr>
      <w:r w:rsidRPr="00B31E5A">
        <w:rPr>
          <w:rFonts w:cs="Arial"/>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DA739E" w:rsidR="0024541B" w:rsidRDefault="0024541B" w14:paraId="1F558395" w14:textId="77777777">
      <w:pPr>
        <w:ind w:left="720" w:hanging="720"/>
        <w:rPr>
          <w:rFonts w:cs="Arial"/>
          <w:sz w:val="22"/>
          <w:szCs w:val="22"/>
        </w:rPr>
      </w:pPr>
    </w:p>
    <w:p w:rsidRPr="00DA739E" w:rsidR="0024541B" w:rsidRDefault="0024541B" w14:paraId="2EA5A6B3" w14:textId="77777777">
      <w:pPr>
        <w:ind w:left="720" w:hanging="720"/>
        <w:rPr>
          <w:rFonts w:cs="Arial"/>
          <w:b/>
          <w:sz w:val="22"/>
          <w:szCs w:val="22"/>
        </w:rPr>
      </w:pPr>
      <w:r w:rsidRPr="00DA739E">
        <w:rPr>
          <w:rFonts w:cs="Arial"/>
          <w:b/>
          <w:sz w:val="22"/>
          <w:szCs w:val="22"/>
        </w:rPr>
        <w:t>15.</w:t>
      </w:r>
      <w:r w:rsidRPr="00DA739E">
        <w:rPr>
          <w:rFonts w:cs="Arial"/>
          <w:b/>
          <w:sz w:val="22"/>
          <w:szCs w:val="22"/>
        </w:rPr>
        <w:tab/>
      </w:r>
      <w:r w:rsidRPr="00DA739E">
        <w:rPr>
          <w:rFonts w:cs="Arial"/>
          <w:b/>
          <w:sz w:val="22"/>
          <w:szCs w:val="22"/>
          <w:u w:val="single"/>
        </w:rPr>
        <w:t>REASONS FOR CHANGE IN BURDEN</w:t>
      </w:r>
    </w:p>
    <w:p w:rsidRPr="00DA739E" w:rsidR="0024541B" w:rsidRDefault="0024541B" w14:paraId="23F8E404" w14:textId="77777777">
      <w:pPr>
        <w:ind w:left="720" w:hanging="720"/>
        <w:rPr>
          <w:rFonts w:cs="Arial"/>
          <w:sz w:val="22"/>
          <w:szCs w:val="22"/>
        </w:rPr>
      </w:pPr>
    </w:p>
    <w:p w:rsidRPr="00DA739E" w:rsidR="0024541B" w:rsidRDefault="0024541B" w14:paraId="1E502FC4" w14:textId="77777777">
      <w:pPr>
        <w:ind w:left="720"/>
        <w:rPr>
          <w:rFonts w:cs="Arial"/>
          <w:sz w:val="22"/>
          <w:szCs w:val="22"/>
        </w:rPr>
      </w:pPr>
      <w:r w:rsidRPr="00DA739E">
        <w:rPr>
          <w:rFonts w:cs="Arial"/>
          <w:sz w:val="22"/>
          <w:szCs w:val="22"/>
        </w:rPr>
        <w:t>There is no change in the paperwork burden previously approved by OMB.  We are making this submission to renew the OMB approval.</w:t>
      </w:r>
    </w:p>
    <w:p w:rsidRPr="00DA739E" w:rsidR="0024541B" w:rsidRDefault="0024541B" w14:paraId="05454288" w14:textId="77777777">
      <w:pPr>
        <w:ind w:left="720" w:hanging="720"/>
        <w:rPr>
          <w:rFonts w:cs="Arial"/>
          <w:sz w:val="22"/>
          <w:szCs w:val="22"/>
        </w:rPr>
      </w:pPr>
    </w:p>
    <w:p w:rsidRPr="00DA739E" w:rsidR="0024541B" w:rsidRDefault="0024541B" w14:paraId="4D160418" w14:textId="77777777">
      <w:pPr>
        <w:ind w:left="720" w:hanging="720"/>
        <w:rPr>
          <w:rFonts w:cs="Arial"/>
          <w:b/>
          <w:sz w:val="22"/>
          <w:szCs w:val="22"/>
        </w:rPr>
      </w:pPr>
      <w:r w:rsidRPr="00DA739E">
        <w:rPr>
          <w:rFonts w:cs="Arial"/>
          <w:b/>
          <w:sz w:val="22"/>
          <w:szCs w:val="22"/>
        </w:rPr>
        <w:t>16.</w:t>
      </w:r>
      <w:r w:rsidRPr="00DA739E">
        <w:rPr>
          <w:rFonts w:cs="Arial"/>
          <w:b/>
          <w:sz w:val="22"/>
          <w:szCs w:val="22"/>
        </w:rPr>
        <w:tab/>
      </w:r>
      <w:r w:rsidRPr="00DA739E">
        <w:rPr>
          <w:rFonts w:cs="Arial"/>
          <w:b/>
          <w:sz w:val="22"/>
          <w:szCs w:val="22"/>
          <w:u w:val="single"/>
        </w:rPr>
        <w:t>PLANS FOR TABULATION, STATISTICAL ANALYSIS AND PUBLICATION</w:t>
      </w:r>
    </w:p>
    <w:p w:rsidRPr="00DA739E" w:rsidR="0024541B" w:rsidRDefault="0024541B" w14:paraId="60A7D865" w14:textId="77777777">
      <w:pPr>
        <w:ind w:left="720" w:hanging="720"/>
        <w:rPr>
          <w:rFonts w:cs="Arial"/>
          <w:sz w:val="22"/>
          <w:szCs w:val="22"/>
        </w:rPr>
      </w:pPr>
    </w:p>
    <w:p w:rsidRPr="00DA739E" w:rsidR="0024541B" w:rsidRDefault="0024541B" w14:paraId="22258611" w14:textId="77777777">
      <w:pPr>
        <w:ind w:left="720" w:hanging="720"/>
        <w:rPr>
          <w:rFonts w:cs="Arial"/>
          <w:sz w:val="22"/>
          <w:szCs w:val="22"/>
        </w:rPr>
      </w:pPr>
      <w:r w:rsidRPr="00DA739E">
        <w:rPr>
          <w:rFonts w:cs="Arial"/>
          <w:sz w:val="22"/>
          <w:szCs w:val="22"/>
        </w:rPr>
        <w:tab/>
      </w:r>
      <w:r w:rsidR="00341692">
        <w:rPr>
          <w:rFonts w:cs="Arial"/>
          <w:sz w:val="22"/>
          <w:szCs w:val="22"/>
        </w:rPr>
        <w:t>There are no plans for tabulation</w:t>
      </w:r>
      <w:r w:rsidRPr="00B31E5A" w:rsidR="00B31E5A">
        <w:rPr>
          <w:rFonts w:cs="Arial"/>
          <w:sz w:val="22"/>
          <w:szCs w:val="22"/>
        </w:rPr>
        <w:t>, statistical analysis and publication</w:t>
      </w:r>
      <w:r w:rsidR="00341692">
        <w:rPr>
          <w:rFonts w:cs="Arial"/>
          <w:sz w:val="22"/>
          <w:szCs w:val="22"/>
        </w:rPr>
        <w:t xml:space="preserve">. </w:t>
      </w:r>
    </w:p>
    <w:p w:rsidRPr="00DA739E" w:rsidR="0024541B" w:rsidRDefault="0024541B" w14:paraId="1494F8D2" w14:textId="77777777">
      <w:pPr>
        <w:ind w:left="720" w:hanging="720"/>
        <w:rPr>
          <w:rFonts w:cs="Arial"/>
          <w:sz w:val="22"/>
          <w:szCs w:val="22"/>
        </w:rPr>
      </w:pPr>
    </w:p>
    <w:p w:rsidRPr="00DA739E" w:rsidR="0024541B" w:rsidRDefault="0024541B" w14:paraId="321A3E12" w14:textId="77777777">
      <w:pPr>
        <w:ind w:left="720" w:hanging="720"/>
        <w:rPr>
          <w:rFonts w:cs="Arial"/>
          <w:b/>
          <w:sz w:val="22"/>
          <w:szCs w:val="22"/>
        </w:rPr>
      </w:pPr>
      <w:r w:rsidRPr="00DA739E">
        <w:rPr>
          <w:rFonts w:cs="Arial"/>
          <w:b/>
          <w:sz w:val="22"/>
          <w:szCs w:val="22"/>
        </w:rPr>
        <w:t>17.</w:t>
      </w:r>
      <w:r w:rsidRPr="00DA739E">
        <w:rPr>
          <w:rFonts w:cs="Arial"/>
          <w:b/>
          <w:sz w:val="22"/>
          <w:szCs w:val="22"/>
        </w:rPr>
        <w:tab/>
      </w:r>
      <w:r w:rsidRPr="00DA739E">
        <w:rPr>
          <w:rFonts w:cs="Arial"/>
          <w:b/>
          <w:sz w:val="22"/>
          <w:szCs w:val="22"/>
          <w:u w:val="single"/>
        </w:rPr>
        <w:t>REASONS WHY DISPLAYING THE OMB EXPIRATION DATE IS INAPPROPRIATE</w:t>
      </w:r>
    </w:p>
    <w:p w:rsidRPr="00DA739E" w:rsidR="0024541B" w:rsidRDefault="0024541B" w14:paraId="33CC11B4" w14:textId="77777777">
      <w:pPr>
        <w:ind w:left="720" w:hanging="720"/>
        <w:rPr>
          <w:rFonts w:cs="Arial"/>
          <w:sz w:val="22"/>
          <w:szCs w:val="22"/>
        </w:rPr>
      </w:pPr>
    </w:p>
    <w:p w:rsidRPr="00DA739E" w:rsidR="0024541B" w:rsidRDefault="0024541B" w14:paraId="36D00613" w14:textId="5FB35DD2">
      <w:pPr>
        <w:ind w:left="720" w:hanging="720"/>
        <w:rPr>
          <w:rFonts w:cs="Arial"/>
          <w:sz w:val="22"/>
          <w:szCs w:val="22"/>
        </w:rPr>
      </w:pPr>
      <w:r w:rsidRPr="00DA739E">
        <w:rPr>
          <w:rFonts w:cs="Arial"/>
          <w:sz w:val="22"/>
          <w:szCs w:val="22"/>
        </w:rPr>
        <w:tab/>
      </w:r>
      <w:r w:rsidR="00F6610B">
        <w:rPr>
          <w:rFonts w:cs="Arial"/>
          <w:sz w:val="22"/>
          <w:szCs w:val="22"/>
        </w:rPr>
        <w:t>The IRS</w:t>
      </w:r>
      <w:r w:rsidRPr="00DA739E">
        <w:rPr>
          <w:rFonts w:cs="Arial"/>
          <w:sz w:val="22"/>
          <w:szCs w:val="22"/>
        </w:rPr>
        <w:t xml:space="preserve"> believe</w:t>
      </w:r>
      <w:r w:rsidR="00F6610B">
        <w:rPr>
          <w:rFonts w:cs="Arial"/>
          <w:sz w:val="22"/>
          <w:szCs w:val="22"/>
        </w:rPr>
        <w:t>s</w:t>
      </w:r>
      <w:r w:rsidRPr="00DA739E">
        <w:rPr>
          <w:rFonts w:cs="Arial"/>
          <w:sz w:val="22"/>
          <w:szCs w:val="22"/>
        </w:rPr>
        <w:t xml:space="preser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Pr="00DA739E" w:rsidR="0024541B" w:rsidRDefault="0024541B" w14:paraId="6585DF04" w14:textId="77777777">
      <w:pPr>
        <w:ind w:left="720" w:hanging="720"/>
        <w:rPr>
          <w:rFonts w:cs="Arial"/>
          <w:sz w:val="22"/>
          <w:szCs w:val="22"/>
        </w:rPr>
      </w:pPr>
    </w:p>
    <w:p w:rsidRPr="00DA739E" w:rsidR="0024541B" w:rsidRDefault="0024541B" w14:paraId="5BC98DAB" w14:textId="77777777">
      <w:pPr>
        <w:ind w:left="720" w:hanging="720"/>
        <w:rPr>
          <w:rFonts w:cs="Arial"/>
          <w:b/>
          <w:sz w:val="22"/>
          <w:szCs w:val="22"/>
        </w:rPr>
      </w:pPr>
      <w:r w:rsidRPr="00DA739E">
        <w:rPr>
          <w:rFonts w:cs="Arial"/>
          <w:b/>
          <w:sz w:val="22"/>
          <w:szCs w:val="22"/>
        </w:rPr>
        <w:t>18.</w:t>
      </w:r>
      <w:r w:rsidRPr="00DA739E">
        <w:rPr>
          <w:rFonts w:cs="Arial"/>
          <w:b/>
          <w:sz w:val="22"/>
          <w:szCs w:val="22"/>
        </w:rPr>
        <w:tab/>
      </w:r>
      <w:r w:rsidRPr="00DA739E">
        <w:rPr>
          <w:rFonts w:cs="Arial"/>
          <w:b/>
          <w:sz w:val="22"/>
          <w:szCs w:val="22"/>
          <w:u w:val="single"/>
        </w:rPr>
        <w:t>EXCEPTIONS TO THE CERTIFICATION STATEMENT</w:t>
      </w:r>
    </w:p>
    <w:p w:rsidRPr="00DA739E" w:rsidR="0024541B" w:rsidRDefault="0024541B" w14:paraId="5E4CC491" w14:textId="77777777">
      <w:pPr>
        <w:ind w:left="720" w:hanging="720"/>
        <w:rPr>
          <w:rFonts w:cs="Arial"/>
          <w:sz w:val="22"/>
          <w:szCs w:val="22"/>
        </w:rPr>
      </w:pPr>
    </w:p>
    <w:p w:rsidRPr="00DA739E" w:rsidR="0024541B" w:rsidRDefault="00341692" w14:paraId="421DDAA6" w14:textId="77777777">
      <w:pPr>
        <w:ind w:left="720" w:hanging="720"/>
        <w:rPr>
          <w:rFonts w:cs="Arial"/>
          <w:sz w:val="22"/>
          <w:szCs w:val="22"/>
        </w:rPr>
      </w:pPr>
      <w:r>
        <w:rPr>
          <w:rFonts w:cs="Arial"/>
          <w:sz w:val="22"/>
          <w:szCs w:val="22"/>
        </w:rPr>
        <w:tab/>
      </w:r>
      <w:r w:rsidRPr="00B31E5A" w:rsidR="00B31E5A">
        <w:rPr>
          <w:rFonts w:cs="Arial"/>
          <w:sz w:val="22"/>
          <w:szCs w:val="22"/>
        </w:rPr>
        <w:t>There are no exceptions to the certification statement.</w:t>
      </w:r>
    </w:p>
    <w:p w:rsidR="0024541B" w:rsidRDefault="0024541B" w14:paraId="0E59E255" w14:textId="77777777">
      <w:pPr>
        <w:ind w:left="720" w:hanging="720"/>
        <w:rPr>
          <w:rFonts w:cs="Arial"/>
          <w:sz w:val="22"/>
          <w:szCs w:val="22"/>
        </w:rPr>
      </w:pPr>
    </w:p>
    <w:p w:rsidR="00D96C91" w:rsidRDefault="00D96C91" w14:paraId="294C8A0F" w14:textId="77777777">
      <w:pPr>
        <w:ind w:left="720" w:hanging="720"/>
        <w:rPr>
          <w:rFonts w:cs="Arial"/>
          <w:sz w:val="22"/>
          <w:szCs w:val="22"/>
        </w:rPr>
      </w:pPr>
    </w:p>
    <w:p w:rsidR="00D96C91" w:rsidRDefault="00D96C91" w14:paraId="7859173F" w14:textId="77777777">
      <w:pPr>
        <w:ind w:left="720" w:hanging="720"/>
        <w:rPr>
          <w:rFonts w:cs="Arial"/>
          <w:sz w:val="22"/>
          <w:szCs w:val="22"/>
        </w:rPr>
      </w:pPr>
    </w:p>
    <w:p w:rsidRPr="00DA739E" w:rsidR="00D96C91" w:rsidRDefault="00D96C91" w14:paraId="0CDDB5C4" w14:textId="77777777">
      <w:pPr>
        <w:ind w:left="720" w:hanging="720"/>
        <w:rPr>
          <w:rFonts w:cs="Arial"/>
          <w:sz w:val="22"/>
          <w:szCs w:val="22"/>
        </w:rPr>
      </w:pPr>
    </w:p>
    <w:p w:rsidRPr="00DA739E" w:rsidR="0024541B" w:rsidRDefault="0024541B" w14:paraId="3092C6A5" w14:textId="77777777">
      <w:pPr>
        <w:ind w:left="720" w:hanging="720"/>
        <w:rPr>
          <w:rFonts w:cs="Arial"/>
          <w:sz w:val="22"/>
          <w:szCs w:val="22"/>
        </w:rPr>
      </w:pPr>
      <w:r w:rsidRPr="00DA739E">
        <w:rPr>
          <w:rFonts w:cs="Arial"/>
          <w:b/>
          <w:sz w:val="22"/>
          <w:szCs w:val="22"/>
          <w:u w:val="single"/>
        </w:rPr>
        <w:t>Note</w:t>
      </w:r>
      <w:r w:rsidRPr="00DA739E">
        <w:rPr>
          <w:rFonts w:cs="Arial"/>
          <w:b/>
          <w:sz w:val="22"/>
          <w:szCs w:val="22"/>
        </w:rPr>
        <w:t>:</w:t>
      </w:r>
      <w:r w:rsidRPr="00DA739E">
        <w:rPr>
          <w:rFonts w:cs="Arial"/>
          <w:sz w:val="22"/>
          <w:szCs w:val="22"/>
        </w:rPr>
        <w:t xml:space="preserve">  The following paragraph applies to all of the collections of information in this submission:</w:t>
      </w:r>
    </w:p>
    <w:p w:rsidRPr="00DA739E" w:rsidR="0024541B" w:rsidRDefault="0024541B" w14:paraId="09DB6264" w14:textId="77777777">
      <w:pPr>
        <w:ind w:left="720" w:hanging="720"/>
        <w:rPr>
          <w:rFonts w:cs="Arial"/>
          <w:sz w:val="22"/>
          <w:szCs w:val="22"/>
        </w:rPr>
      </w:pPr>
    </w:p>
    <w:p w:rsidRPr="00DA739E" w:rsidR="0024541B" w:rsidRDefault="0024541B" w14:paraId="405A3D84" w14:textId="77777777">
      <w:pPr>
        <w:ind w:left="720"/>
        <w:rPr>
          <w:rFonts w:cs="Arial"/>
          <w:sz w:val="22"/>
          <w:szCs w:val="22"/>
        </w:rPr>
      </w:pPr>
      <w:r w:rsidRPr="00DA739E">
        <w:rPr>
          <w:rFonts w:cs="Arial"/>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DA739E" w:rsidR="0024541B" w:rsidSect="00DA73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35EAB" w14:textId="77777777" w:rsidR="00761EF0" w:rsidRDefault="00761EF0">
      <w:r>
        <w:separator/>
      </w:r>
    </w:p>
  </w:endnote>
  <w:endnote w:type="continuationSeparator" w:id="0">
    <w:p w14:paraId="1D4387B6" w14:textId="77777777" w:rsidR="00761EF0" w:rsidRDefault="0076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AE279" w14:textId="77777777" w:rsidR="0024541B" w:rsidRDefault="00245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0324F" w14:textId="77777777" w:rsidR="0024541B" w:rsidRDefault="00245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0F3CC" w14:textId="77777777" w:rsidR="0024541B" w:rsidRDefault="00245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308FF" w14:textId="77777777" w:rsidR="00761EF0" w:rsidRDefault="00761EF0">
      <w:r>
        <w:separator/>
      </w:r>
    </w:p>
  </w:footnote>
  <w:footnote w:type="continuationSeparator" w:id="0">
    <w:p w14:paraId="06CAA0DE" w14:textId="77777777" w:rsidR="00761EF0" w:rsidRDefault="00761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6FC5E" w14:textId="77777777" w:rsidR="0024541B" w:rsidRDefault="002454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83C6091" w14:textId="77777777" w:rsidR="0024541B" w:rsidRDefault="00245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4B89" w14:textId="77777777" w:rsidR="0024541B" w:rsidRDefault="002454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2BFF">
      <w:rPr>
        <w:rStyle w:val="PageNumber"/>
        <w:noProof/>
      </w:rPr>
      <w:t>4</w:t>
    </w:r>
    <w:r>
      <w:rPr>
        <w:rStyle w:val="PageNumber"/>
      </w:rPr>
      <w:fldChar w:fldCharType="end"/>
    </w:r>
  </w:p>
  <w:p w14:paraId="36A5A554" w14:textId="77777777" w:rsidR="0024541B" w:rsidRDefault="00245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5C137" w14:textId="77777777" w:rsidR="0024541B" w:rsidRDefault="00245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A7A7E"/>
    <w:multiLevelType w:val="hybridMultilevel"/>
    <w:tmpl w:val="FBB26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3F"/>
    <w:rsid w:val="00002E3F"/>
    <w:rsid w:val="000432BA"/>
    <w:rsid w:val="00093F43"/>
    <w:rsid w:val="000B7EED"/>
    <w:rsid w:val="000F2057"/>
    <w:rsid w:val="00121260"/>
    <w:rsid w:val="001C173F"/>
    <w:rsid w:val="001C44DF"/>
    <w:rsid w:val="001D2145"/>
    <w:rsid w:val="0024541B"/>
    <w:rsid w:val="00296492"/>
    <w:rsid w:val="002B6B15"/>
    <w:rsid w:val="002C069B"/>
    <w:rsid w:val="00341692"/>
    <w:rsid w:val="0035790F"/>
    <w:rsid w:val="00361036"/>
    <w:rsid w:val="0038202A"/>
    <w:rsid w:val="0039187A"/>
    <w:rsid w:val="0041140C"/>
    <w:rsid w:val="00484A4A"/>
    <w:rsid w:val="00492A06"/>
    <w:rsid w:val="004B6A52"/>
    <w:rsid w:val="00515E9E"/>
    <w:rsid w:val="00522F6B"/>
    <w:rsid w:val="00570CC8"/>
    <w:rsid w:val="00573387"/>
    <w:rsid w:val="00682B52"/>
    <w:rsid w:val="0068369B"/>
    <w:rsid w:val="006937BE"/>
    <w:rsid w:val="006B47BF"/>
    <w:rsid w:val="00761EF0"/>
    <w:rsid w:val="007671AD"/>
    <w:rsid w:val="00774F2B"/>
    <w:rsid w:val="007E05AE"/>
    <w:rsid w:val="008E25DD"/>
    <w:rsid w:val="008E35D4"/>
    <w:rsid w:val="009010FC"/>
    <w:rsid w:val="0091435F"/>
    <w:rsid w:val="00936EE1"/>
    <w:rsid w:val="00982BFF"/>
    <w:rsid w:val="00A05F0A"/>
    <w:rsid w:val="00A61C9D"/>
    <w:rsid w:val="00A626B4"/>
    <w:rsid w:val="00B31E5A"/>
    <w:rsid w:val="00BB3B4E"/>
    <w:rsid w:val="00BD252F"/>
    <w:rsid w:val="00C1318B"/>
    <w:rsid w:val="00C95EC1"/>
    <w:rsid w:val="00CF4C1F"/>
    <w:rsid w:val="00D17017"/>
    <w:rsid w:val="00D53D5F"/>
    <w:rsid w:val="00D96C91"/>
    <w:rsid w:val="00DA739E"/>
    <w:rsid w:val="00E00AA3"/>
    <w:rsid w:val="00E657B9"/>
    <w:rsid w:val="00E85521"/>
    <w:rsid w:val="00EC15A7"/>
    <w:rsid w:val="00F60AD8"/>
    <w:rsid w:val="00F6610B"/>
    <w:rsid w:val="00FA3095"/>
    <w:rsid w:val="00FC6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7F1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Arial" w:hAnsi="Arial"/>
      <w:sz w:val="24"/>
      <w:szCs w:val="24"/>
    </w:rPr>
  </w:style>
  <w:style w:type="character" w:styleId="CommentReference">
    <w:name w:val="annotation reference"/>
    <w:rsid w:val="008E35D4"/>
    <w:rPr>
      <w:sz w:val="16"/>
      <w:szCs w:val="16"/>
    </w:rPr>
  </w:style>
  <w:style w:type="paragraph" w:styleId="CommentText">
    <w:name w:val="annotation text"/>
    <w:basedOn w:val="Normal"/>
    <w:link w:val="CommentTextChar"/>
    <w:rsid w:val="008E35D4"/>
    <w:rPr>
      <w:sz w:val="20"/>
      <w:szCs w:val="20"/>
    </w:rPr>
  </w:style>
  <w:style w:type="character" w:customStyle="1" w:styleId="CommentTextChar">
    <w:name w:val="Comment Text Char"/>
    <w:link w:val="CommentText"/>
    <w:rsid w:val="008E35D4"/>
    <w:rPr>
      <w:rFonts w:ascii="Arial" w:hAnsi="Arial"/>
    </w:rPr>
  </w:style>
  <w:style w:type="paragraph" w:styleId="CommentSubject">
    <w:name w:val="annotation subject"/>
    <w:basedOn w:val="CommentText"/>
    <w:next w:val="CommentText"/>
    <w:link w:val="CommentSubjectChar"/>
    <w:rsid w:val="008E35D4"/>
    <w:rPr>
      <w:b/>
      <w:bCs/>
    </w:rPr>
  </w:style>
  <w:style w:type="character" w:customStyle="1" w:styleId="CommentSubjectChar">
    <w:name w:val="Comment Subject Char"/>
    <w:link w:val="CommentSubject"/>
    <w:rsid w:val="008E35D4"/>
    <w:rPr>
      <w:rFonts w:ascii="Arial" w:hAnsi="Arial"/>
      <w:b/>
      <w:bCs/>
    </w:rPr>
  </w:style>
  <w:style w:type="paragraph" w:styleId="ListParagraph">
    <w:name w:val="List Paragraph"/>
    <w:basedOn w:val="Normal"/>
    <w:uiPriority w:val="34"/>
    <w:qFormat/>
    <w:rsid w:val="00522F6B"/>
    <w:pPr>
      <w:ind w:left="720"/>
    </w:pPr>
  </w:style>
  <w:style w:type="table" w:styleId="TableGrid">
    <w:name w:val="Table Grid"/>
    <w:basedOn w:val="TableNormal"/>
    <w:rsid w:val="00121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portingStatementSTANDARD">
    <w:name w:val="Supporting Statement STANDARD"/>
    <w:basedOn w:val="Normal"/>
    <w:link w:val="SupportingStatementSTANDARDChar"/>
    <w:qFormat/>
    <w:rsid w:val="00C95EC1"/>
    <w:pPr>
      <w:widowControl w:val="0"/>
      <w:tabs>
        <w:tab w:val="left" w:pos="720"/>
      </w:tabs>
      <w:autoSpaceDE w:val="0"/>
      <w:autoSpaceDN w:val="0"/>
      <w:adjustRightInd w:val="0"/>
      <w:ind w:left="720" w:hanging="720"/>
    </w:pPr>
    <w:rPr>
      <w:rFonts w:ascii="Times New Roman" w:hAnsi="Times New Roman"/>
    </w:rPr>
  </w:style>
  <w:style w:type="character" w:customStyle="1" w:styleId="SupportingStatementSTANDARDChar">
    <w:name w:val="Supporting Statement STANDARD Char"/>
    <w:link w:val="SupportingStatementSTANDARD"/>
    <w:rsid w:val="00C95E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493355">
      <w:bodyDiv w:val="1"/>
      <w:marLeft w:val="0"/>
      <w:marRight w:val="0"/>
      <w:marTop w:val="0"/>
      <w:marBottom w:val="0"/>
      <w:divBdr>
        <w:top w:val="none" w:sz="0" w:space="0" w:color="auto"/>
        <w:left w:val="none" w:sz="0" w:space="0" w:color="auto"/>
        <w:bottom w:val="none" w:sz="0" w:space="0" w:color="auto"/>
        <w:right w:val="none" w:sz="0" w:space="0" w:color="auto"/>
      </w:divBdr>
    </w:div>
    <w:div w:id="171241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2008-01-23T13:50:00Z</cp:lastPrinted>
  <dcterms:created xsi:type="dcterms:W3CDTF">2020-11-16T20:47:00Z</dcterms:created>
  <dcterms:modified xsi:type="dcterms:W3CDTF">2020-11-16T20:47:00Z</dcterms:modified>
</cp:coreProperties>
</file>