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7AAA" w:rsidR="001F14F7" w:rsidP="001F14F7" w:rsidRDefault="001F14F7" w14:paraId="161B709D" w14:textId="77777777">
      <w:pPr>
        <w:tabs>
          <w:tab w:val="center" w:pos="4680"/>
        </w:tabs>
        <w:jc w:val="center"/>
        <w:rPr>
          <w:rFonts w:asciiTheme="minorHAnsi" w:hAnsiTheme="minorHAnsi" w:cstheme="minorHAnsi"/>
          <w:b/>
          <w:bCs/>
          <w:u w:val="single"/>
        </w:rPr>
      </w:pPr>
      <w:r w:rsidRPr="00197AAA">
        <w:rPr>
          <w:rFonts w:asciiTheme="minorHAnsi" w:hAnsiTheme="minorHAnsi" w:cstheme="minorHAnsi"/>
          <w:b/>
          <w:bCs/>
          <w:u w:val="single"/>
        </w:rPr>
        <w:fldChar w:fldCharType="begin"/>
      </w:r>
      <w:r w:rsidRPr="00197AAA">
        <w:rPr>
          <w:rFonts w:asciiTheme="minorHAnsi" w:hAnsiTheme="minorHAnsi" w:cstheme="minorHAnsi"/>
          <w:b/>
          <w:bCs/>
          <w:u w:val="single"/>
        </w:rPr>
        <w:instrText xml:space="preserve"> SEQ CHAPTER \h \r 1</w:instrText>
      </w:r>
      <w:r w:rsidRPr="00197AAA">
        <w:rPr>
          <w:rFonts w:asciiTheme="minorHAnsi" w:hAnsiTheme="minorHAnsi" w:cstheme="minorHAnsi"/>
          <w:b/>
          <w:bCs/>
          <w:u w:val="single"/>
        </w:rPr>
        <w:fldChar w:fldCharType="end"/>
      </w:r>
      <w:r w:rsidRPr="00197AAA">
        <w:rPr>
          <w:rFonts w:asciiTheme="minorHAnsi" w:hAnsiTheme="minorHAnsi" w:cstheme="minorHAnsi"/>
          <w:b/>
          <w:bCs/>
          <w:u w:val="single"/>
        </w:rPr>
        <w:t>SUPPORTING STATEMENT</w:t>
      </w:r>
    </w:p>
    <w:p w:rsidRPr="00197AAA" w:rsidR="001F14F7" w:rsidP="001F14F7" w:rsidRDefault="001F14F7" w14:paraId="35BBF959" w14:textId="77777777">
      <w:pPr>
        <w:tabs>
          <w:tab w:val="center" w:pos="4680"/>
        </w:tabs>
        <w:jc w:val="center"/>
        <w:rPr>
          <w:rFonts w:asciiTheme="minorHAnsi" w:hAnsiTheme="minorHAnsi" w:cstheme="minorHAnsi"/>
          <w:b/>
          <w:bCs/>
        </w:rPr>
      </w:pPr>
      <w:r w:rsidRPr="00197AAA">
        <w:rPr>
          <w:rFonts w:asciiTheme="minorHAnsi" w:hAnsiTheme="minorHAnsi" w:cstheme="minorHAnsi"/>
          <w:b/>
          <w:bCs/>
        </w:rPr>
        <w:t>Internal Revenue Service</w:t>
      </w:r>
    </w:p>
    <w:p w:rsidRPr="00197AAA" w:rsidR="001F14F7" w:rsidP="001F14F7" w:rsidRDefault="001F14F7" w14:paraId="07599BA9" w14:textId="39ADCDAA">
      <w:pPr>
        <w:tabs>
          <w:tab w:val="center" w:pos="4680"/>
        </w:tabs>
        <w:jc w:val="center"/>
        <w:rPr>
          <w:rFonts w:asciiTheme="minorHAnsi" w:hAnsiTheme="minorHAnsi" w:cstheme="minorHAnsi"/>
          <w:b/>
          <w:bCs/>
        </w:rPr>
      </w:pPr>
      <w:r w:rsidRPr="00197AAA">
        <w:rPr>
          <w:rFonts w:asciiTheme="minorHAnsi" w:hAnsiTheme="minorHAnsi" w:cstheme="minorHAnsi"/>
          <w:b/>
          <w:bCs/>
        </w:rPr>
        <w:t xml:space="preserve">Form </w:t>
      </w:r>
      <w:r w:rsidRPr="00197AAA">
        <w:rPr>
          <w:rFonts w:asciiTheme="minorHAnsi" w:hAnsiTheme="minorHAnsi" w:cstheme="minorHAnsi"/>
          <w:b/>
          <w:bCs/>
        </w:rPr>
        <w:t>15597</w:t>
      </w:r>
    </w:p>
    <w:p w:rsidRPr="00197AAA" w:rsidR="001F14F7" w:rsidP="001F14F7" w:rsidRDefault="001F14F7" w14:paraId="2D0E304F" w14:textId="049FED6C">
      <w:pPr>
        <w:tabs>
          <w:tab w:val="center" w:pos="4680"/>
        </w:tabs>
        <w:jc w:val="center"/>
        <w:rPr>
          <w:rFonts w:asciiTheme="minorHAnsi" w:hAnsiTheme="minorHAnsi" w:cstheme="minorHAnsi"/>
          <w:b/>
          <w:bCs/>
        </w:rPr>
      </w:pPr>
      <w:r w:rsidRPr="00197AAA">
        <w:rPr>
          <w:rFonts w:asciiTheme="minorHAnsi" w:hAnsiTheme="minorHAnsi" w:cstheme="minorHAnsi"/>
          <w:b/>
          <w:bCs/>
        </w:rPr>
        <w:t>For</w:t>
      </w:r>
      <w:r w:rsidRPr="00197AAA">
        <w:rPr>
          <w:rFonts w:asciiTheme="minorHAnsi" w:hAnsiTheme="minorHAnsi" w:cstheme="minorHAnsi"/>
          <w:b/>
          <w:bCs/>
        </w:rPr>
        <w:t>eclosure</w:t>
      </w:r>
      <w:r w:rsidRPr="00197AAA">
        <w:rPr>
          <w:rFonts w:asciiTheme="minorHAnsi" w:hAnsiTheme="minorHAnsi" w:cstheme="minorHAnsi"/>
          <w:b/>
          <w:bCs/>
        </w:rPr>
        <w:t xml:space="preserve"> S</w:t>
      </w:r>
      <w:r w:rsidRPr="00197AAA">
        <w:rPr>
          <w:rFonts w:asciiTheme="minorHAnsi" w:hAnsiTheme="minorHAnsi" w:cstheme="minorHAnsi"/>
          <w:b/>
          <w:bCs/>
        </w:rPr>
        <w:t>ale</w:t>
      </w:r>
      <w:r w:rsidRPr="00197AAA">
        <w:rPr>
          <w:rFonts w:asciiTheme="minorHAnsi" w:hAnsiTheme="minorHAnsi" w:cstheme="minorHAnsi"/>
          <w:b/>
          <w:bCs/>
        </w:rPr>
        <w:t xml:space="preserve"> </w:t>
      </w:r>
      <w:r w:rsidRPr="00197AAA">
        <w:rPr>
          <w:rFonts w:asciiTheme="minorHAnsi" w:hAnsiTheme="minorHAnsi" w:cstheme="minorHAnsi"/>
          <w:b/>
          <w:bCs/>
        </w:rPr>
        <w:t>Purchaser Contact Information Request (Form 15597)</w:t>
      </w:r>
    </w:p>
    <w:p w:rsidRPr="00197AAA" w:rsidR="001F14F7" w:rsidP="001F14F7" w:rsidRDefault="001F14F7" w14:paraId="14600BB6" w14:textId="06CC17CE">
      <w:pPr>
        <w:tabs>
          <w:tab w:val="center" w:pos="4680"/>
        </w:tabs>
        <w:jc w:val="center"/>
        <w:rPr>
          <w:rFonts w:asciiTheme="minorHAnsi" w:hAnsiTheme="minorHAnsi" w:cstheme="minorHAnsi"/>
          <w:b/>
          <w:bCs/>
        </w:rPr>
      </w:pPr>
      <w:r w:rsidRPr="00197AAA">
        <w:rPr>
          <w:rFonts w:asciiTheme="minorHAnsi" w:hAnsiTheme="minorHAnsi" w:cstheme="minorHAnsi"/>
          <w:b/>
          <w:bCs/>
        </w:rPr>
        <w:t>O.M.B. Control No. 1545-</w:t>
      </w:r>
      <w:r w:rsidRPr="00197AAA">
        <w:rPr>
          <w:rFonts w:asciiTheme="minorHAnsi" w:hAnsiTheme="minorHAnsi" w:cstheme="minorHAnsi"/>
          <w:b/>
          <w:bCs/>
        </w:rPr>
        <w:t>2199</w:t>
      </w:r>
    </w:p>
    <w:p w:rsidRPr="00197AAA" w:rsidR="001F14F7" w:rsidP="001F14F7" w:rsidRDefault="001F14F7" w14:paraId="6A8F4A1F" w14:textId="77777777">
      <w:pPr>
        <w:tabs>
          <w:tab w:val="center" w:pos="4680"/>
        </w:tabs>
        <w:contextualSpacing/>
        <w:jc w:val="center"/>
        <w:rPr>
          <w:rFonts w:asciiTheme="minorHAnsi" w:hAnsiTheme="minorHAnsi" w:cstheme="minorHAnsi"/>
          <w:b/>
          <w:bCs/>
        </w:rPr>
      </w:pPr>
    </w:p>
    <w:p w:rsidRPr="00197AAA" w:rsidR="00F11A19" w:rsidRDefault="00F11A19" w14:paraId="21302E6F" w14:textId="77777777">
      <w:pPr>
        <w:rPr>
          <w:rFonts w:asciiTheme="minorHAnsi" w:hAnsiTheme="minorHAnsi" w:cstheme="minorHAnsi"/>
          <w:b/>
          <w:bCs/>
        </w:rPr>
      </w:pPr>
    </w:p>
    <w:p w:rsidRPr="00197AAA" w:rsidR="00F11A19" w:rsidP="00FE526C" w:rsidRDefault="00F11A19" w14:paraId="50721CE2" w14:textId="77777777">
      <w:pPr>
        <w:pStyle w:val="Level1"/>
        <w:numPr>
          <w:ilvl w:val="0"/>
          <w:numId w:val="1"/>
        </w:numPr>
        <w:rPr>
          <w:rFonts w:asciiTheme="minorHAnsi" w:hAnsiTheme="minorHAnsi" w:cstheme="minorHAnsi"/>
        </w:rPr>
      </w:pPr>
      <w:r w:rsidRPr="00197AAA">
        <w:rPr>
          <w:rFonts w:asciiTheme="minorHAnsi" w:hAnsiTheme="minorHAnsi" w:cstheme="minorHAnsi"/>
          <w:u w:val="single"/>
        </w:rPr>
        <w:t>CIRCUMSTANCES NECESSITATING COLLECTION OF INFORMATION</w:t>
      </w:r>
    </w:p>
    <w:p w:rsidRPr="00197AAA" w:rsidR="000543A9" w:rsidP="008E47AB" w:rsidRDefault="000543A9" w14:paraId="44CAEBA9" w14:textId="77777777">
      <w:pPr>
        <w:pStyle w:val="Level1"/>
        <w:numPr>
          <w:ilvl w:val="0"/>
          <w:numId w:val="0"/>
        </w:numPr>
        <w:tabs>
          <w:tab w:val="left" w:pos="-1440"/>
        </w:tabs>
        <w:rPr>
          <w:rFonts w:asciiTheme="minorHAnsi" w:hAnsiTheme="minorHAnsi" w:cstheme="minorHAnsi"/>
          <w:u w:val="single"/>
        </w:rPr>
      </w:pPr>
    </w:p>
    <w:p w:rsidRPr="00197AAA" w:rsidR="00D27D18" w:rsidP="007C64DA" w:rsidRDefault="00D27D18" w14:paraId="37BF78E7" w14:textId="4F994A86">
      <w:pPr>
        <w:pStyle w:val="Level1"/>
        <w:numPr>
          <w:ilvl w:val="0"/>
          <w:numId w:val="0"/>
        </w:numPr>
        <w:tabs>
          <w:tab w:val="left" w:pos="-1440"/>
        </w:tabs>
        <w:ind w:left="720"/>
        <w:rPr>
          <w:rFonts w:asciiTheme="minorHAnsi" w:hAnsiTheme="minorHAnsi" w:cstheme="minorHAnsi"/>
        </w:rPr>
      </w:pPr>
      <w:r w:rsidRPr="00197AAA">
        <w:rPr>
          <w:rFonts w:asciiTheme="minorHAnsi" w:hAnsiTheme="minorHAnsi" w:cstheme="minorHAnsi"/>
        </w:rPr>
        <w:t xml:space="preserve">Form 15597, Foreclosure Sale Purchaser Contact Information Request, is information requested of individuals or businesses that have purchased real property at a </w:t>
      </w:r>
      <w:r w:rsidRPr="00197AAA" w:rsidR="00197AAA">
        <w:rPr>
          <w:rFonts w:asciiTheme="minorHAnsi" w:hAnsiTheme="minorHAnsi" w:cstheme="minorHAnsi"/>
        </w:rPr>
        <w:t>third-party</w:t>
      </w:r>
      <w:r w:rsidRPr="00197AAA">
        <w:rPr>
          <w:rFonts w:asciiTheme="minorHAnsi" w:hAnsiTheme="minorHAnsi" w:cstheme="minorHAnsi"/>
        </w:rPr>
        <w:t xml:space="preserve"> foreclosure sale.  If the IRS has filed a "Notice of Federal Tax Lien" </w:t>
      </w:r>
      <w:r w:rsidRPr="00197AAA" w:rsidR="008E47AB">
        <w:rPr>
          <w:rFonts w:asciiTheme="minorHAnsi" w:hAnsiTheme="minorHAnsi" w:cstheme="minorHAnsi"/>
        </w:rPr>
        <w:t xml:space="preserve">publicly </w:t>
      </w:r>
      <w:r w:rsidRPr="00197AAA">
        <w:rPr>
          <w:rFonts w:asciiTheme="minorHAnsi" w:hAnsiTheme="minorHAnsi" w:cstheme="minorHAnsi"/>
        </w:rPr>
        <w:t>notifying a taxpayer's</w:t>
      </w:r>
      <w:r w:rsidRPr="00197AAA" w:rsidR="007C64DA">
        <w:rPr>
          <w:rFonts w:asciiTheme="minorHAnsi" w:hAnsiTheme="minorHAnsi" w:cstheme="minorHAnsi"/>
        </w:rPr>
        <w:t xml:space="preserve"> c</w:t>
      </w:r>
      <w:r w:rsidRPr="00197AAA">
        <w:rPr>
          <w:rFonts w:asciiTheme="minorHAnsi" w:hAnsiTheme="minorHAnsi" w:cstheme="minorHAnsi"/>
        </w:rPr>
        <w:t>reditors that the taxpayer owes the IRS a tax debt, AND a creditor senior to the IRS position later forecloses on their creditor note (such a</w:t>
      </w:r>
      <w:r w:rsidRPr="00197AAA" w:rsidR="008E47AB">
        <w:rPr>
          <w:rFonts w:asciiTheme="minorHAnsi" w:hAnsiTheme="minorHAnsi" w:cstheme="minorHAnsi"/>
        </w:rPr>
        <w:t xml:space="preserve">s the mortgage holder of a taxpayer's </w:t>
      </w:r>
      <w:r w:rsidRPr="00197AAA">
        <w:rPr>
          <w:rFonts w:asciiTheme="minorHAnsi" w:hAnsiTheme="minorHAnsi" w:cstheme="minorHAnsi"/>
        </w:rPr>
        <w:t>primary residence) THEN</w:t>
      </w:r>
      <w:r w:rsidRPr="00197AAA" w:rsidR="007C64DA">
        <w:rPr>
          <w:rFonts w:asciiTheme="minorHAnsi" w:hAnsiTheme="minorHAnsi" w:cstheme="minorHAnsi"/>
        </w:rPr>
        <w:t xml:space="preserve"> </w:t>
      </w:r>
      <w:r w:rsidRPr="00197AAA">
        <w:rPr>
          <w:rFonts w:asciiTheme="minorHAnsi" w:hAnsiTheme="minorHAnsi" w:cstheme="minorHAnsi"/>
        </w:rPr>
        <w:t>the IRS tax claim is discharged</w:t>
      </w:r>
      <w:r w:rsidRPr="00197AAA" w:rsidR="007C64DA">
        <w:rPr>
          <w:rFonts w:asciiTheme="minorHAnsi" w:hAnsiTheme="minorHAnsi" w:cstheme="minorHAnsi"/>
        </w:rPr>
        <w:t xml:space="preserve"> </w:t>
      </w:r>
      <w:r w:rsidRPr="00197AAA">
        <w:rPr>
          <w:rFonts w:asciiTheme="minorHAnsi" w:hAnsiTheme="minorHAnsi" w:cstheme="minorHAnsi"/>
        </w:rPr>
        <w:t>or removed from the property (if the appropriate foreclosure rules are followed) and the foreclosure sale purchaser buys the property free and</w:t>
      </w:r>
      <w:r w:rsidRPr="00197AAA" w:rsidR="008E47AB">
        <w:rPr>
          <w:rFonts w:asciiTheme="minorHAnsi" w:hAnsiTheme="minorHAnsi" w:cstheme="minorHAnsi"/>
        </w:rPr>
        <w:t xml:space="preserve"> clear of the IRS claim EXCEPT </w:t>
      </w:r>
      <w:r w:rsidRPr="00197AAA">
        <w:rPr>
          <w:rFonts w:asciiTheme="minorHAnsi" w:hAnsiTheme="minorHAnsi" w:cstheme="minorHAnsi"/>
        </w:rPr>
        <w:t xml:space="preserve">that the IRS retains the right to "redeem" or buy back the property from the foreclosure sale purchaser </w:t>
      </w:r>
      <w:r w:rsidRPr="00197AAA" w:rsidR="008E47AB">
        <w:rPr>
          <w:rFonts w:asciiTheme="minorHAnsi" w:hAnsiTheme="minorHAnsi" w:cstheme="minorHAnsi"/>
        </w:rPr>
        <w:t>within</w:t>
      </w:r>
      <w:r w:rsidRPr="00197AAA">
        <w:rPr>
          <w:rFonts w:asciiTheme="minorHAnsi" w:hAnsiTheme="minorHAnsi" w:cstheme="minorHAnsi"/>
        </w:rPr>
        <w:t xml:space="preserve"> 120 days after the foreclosure sale. Collection of this information is authorized by 28 USC 2410</w:t>
      </w:r>
      <w:r w:rsidR="00197AAA">
        <w:rPr>
          <w:rFonts w:asciiTheme="minorHAnsi" w:hAnsiTheme="minorHAnsi" w:cstheme="minorHAnsi"/>
        </w:rPr>
        <w:t xml:space="preserve"> (</w:t>
      </w:r>
      <w:r w:rsidRPr="00197AAA" w:rsidR="00197AAA">
        <w:rPr>
          <w:rFonts w:ascii="Calibri" w:hAnsi="Calibri" w:cs="Calibri"/>
        </w:rPr>
        <w:t>Actions affecting property on which United States has lien</w:t>
      </w:r>
      <w:r w:rsidR="00197AAA">
        <w:rPr>
          <w:rFonts w:ascii="Calibri" w:hAnsi="Calibri" w:cs="Calibri"/>
        </w:rPr>
        <w:t>)</w:t>
      </w:r>
      <w:r w:rsidRPr="00197AAA">
        <w:rPr>
          <w:rFonts w:asciiTheme="minorHAnsi" w:hAnsiTheme="minorHAnsi" w:cstheme="minorHAnsi"/>
        </w:rPr>
        <w:t xml:space="preserve"> and IRC 7425</w:t>
      </w:r>
      <w:r w:rsidR="00197AAA">
        <w:rPr>
          <w:rFonts w:asciiTheme="minorHAnsi" w:hAnsiTheme="minorHAnsi" w:cstheme="minorHAnsi"/>
        </w:rPr>
        <w:t xml:space="preserve"> (</w:t>
      </w:r>
      <w:r w:rsidRPr="00197AAA" w:rsidR="00197AAA">
        <w:rPr>
          <w:rFonts w:ascii="Calibri" w:hAnsi="Calibri" w:cs="Calibri"/>
        </w:rPr>
        <w:t>Discharge of Liens: Scope &amp; Application</w:t>
      </w:r>
      <w:r w:rsidR="00197AAA">
        <w:rPr>
          <w:rFonts w:ascii="Calibri" w:hAnsi="Calibri" w:cs="Calibri"/>
        </w:rPr>
        <w:t>)</w:t>
      </w:r>
      <w:r w:rsidRPr="00197AAA">
        <w:rPr>
          <w:rFonts w:asciiTheme="minorHAnsi" w:hAnsiTheme="minorHAnsi" w:cstheme="minorHAnsi"/>
        </w:rPr>
        <w:t>.</w:t>
      </w:r>
    </w:p>
    <w:p w:rsidRPr="00197AAA" w:rsidR="00D27D18" w:rsidP="008E47AB" w:rsidRDefault="00D27D18" w14:paraId="478E0CD6" w14:textId="77777777">
      <w:pPr>
        <w:pStyle w:val="Level1"/>
        <w:numPr>
          <w:ilvl w:val="0"/>
          <w:numId w:val="0"/>
        </w:numPr>
        <w:tabs>
          <w:tab w:val="left" w:pos="-1440"/>
        </w:tabs>
        <w:rPr>
          <w:rFonts w:asciiTheme="minorHAnsi" w:hAnsiTheme="minorHAnsi" w:cstheme="minorHAnsi"/>
        </w:rPr>
      </w:pPr>
    </w:p>
    <w:p w:rsidRPr="00197AAA" w:rsidR="00D27D18" w:rsidP="008E47AB" w:rsidRDefault="00D27D18" w14:paraId="2F8F3C32" w14:textId="77777777">
      <w:pPr>
        <w:pStyle w:val="Level1"/>
        <w:numPr>
          <w:ilvl w:val="0"/>
          <w:numId w:val="0"/>
        </w:numPr>
        <w:tabs>
          <w:tab w:val="left" w:pos="-1440"/>
        </w:tabs>
        <w:ind w:left="720"/>
        <w:rPr>
          <w:rFonts w:asciiTheme="minorHAnsi" w:hAnsiTheme="minorHAnsi" w:cstheme="minorHAnsi"/>
        </w:rPr>
      </w:pPr>
      <w:r w:rsidRPr="00197AAA">
        <w:rPr>
          <w:rFonts w:asciiTheme="minorHAnsi" w:hAnsiTheme="minorHAnsi" w:cstheme="minorHAnsi"/>
        </w:rPr>
        <w:t>The IRS only "redeems" if, after an investigation, the IRS determines that the mortgage that was sold left enough equity (and in today's depressed market) there is enough</w:t>
      </w:r>
      <w:r w:rsidRPr="00197AAA" w:rsidR="008E47AB">
        <w:rPr>
          <w:rFonts w:asciiTheme="minorHAnsi" w:hAnsiTheme="minorHAnsi" w:cstheme="minorHAnsi"/>
        </w:rPr>
        <w:t xml:space="preserve"> </w:t>
      </w:r>
      <w:r w:rsidRPr="00197AAA">
        <w:rPr>
          <w:rFonts w:asciiTheme="minorHAnsi" w:hAnsiTheme="minorHAnsi" w:cstheme="minorHAnsi"/>
        </w:rPr>
        <w:t xml:space="preserve">equity left in the property that if the IRS buys the property from the foreclosure sale purchaser and resells that property - that the IRS sale will reach that extra equity and the IRS then repays the revolving fund (a permanent fund the IRS has to make such purchases) and still has sufficient sale dollars to apply to the </w:t>
      </w:r>
      <w:r w:rsidRPr="00197AAA" w:rsidR="00FE526C">
        <w:rPr>
          <w:rFonts w:asciiTheme="minorHAnsi" w:hAnsiTheme="minorHAnsi" w:cstheme="minorHAnsi"/>
        </w:rPr>
        <w:t xml:space="preserve">taxpayer’s </w:t>
      </w:r>
      <w:r w:rsidRPr="00197AAA">
        <w:rPr>
          <w:rFonts w:asciiTheme="minorHAnsi" w:hAnsiTheme="minorHAnsi" w:cstheme="minorHAnsi"/>
        </w:rPr>
        <w:t xml:space="preserve">liability.  If there was enough in the sale fund received - and the taxpayer's liability is fully paid - and there are still sale funds available - then those funds can be claimed </w:t>
      </w:r>
      <w:r w:rsidRPr="00197AAA" w:rsidR="008E47AB">
        <w:rPr>
          <w:rFonts w:asciiTheme="minorHAnsi" w:hAnsiTheme="minorHAnsi" w:cstheme="minorHAnsi"/>
        </w:rPr>
        <w:t>by other creditors.</w:t>
      </w:r>
    </w:p>
    <w:p w:rsidRPr="00197AAA" w:rsidR="00D27D18" w:rsidP="00D27D18" w:rsidRDefault="00D27D18" w14:paraId="25050476" w14:textId="77777777">
      <w:pPr>
        <w:pStyle w:val="Level1"/>
        <w:numPr>
          <w:ilvl w:val="0"/>
          <w:numId w:val="0"/>
        </w:numPr>
        <w:tabs>
          <w:tab w:val="left" w:pos="-1440"/>
        </w:tabs>
        <w:rPr>
          <w:rFonts w:asciiTheme="minorHAnsi" w:hAnsiTheme="minorHAnsi" w:cstheme="minorHAnsi"/>
        </w:rPr>
      </w:pPr>
    </w:p>
    <w:p w:rsidRPr="00197AAA" w:rsidR="00D27D18" w:rsidP="002A42C4" w:rsidRDefault="00F11A19" w14:paraId="4C88E27B" w14:textId="77777777">
      <w:pPr>
        <w:pStyle w:val="Level1"/>
        <w:numPr>
          <w:ilvl w:val="0"/>
          <w:numId w:val="1"/>
        </w:numPr>
        <w:tabs>
          <w:tab w:val="left" w:pos="-1440"/>
        </w:tabs>
        <w:rPr>
          <w:rFonts w:asciiTheme="minorHAnsi" w:hAnsiTheme="minorHAnsi" w:cstheme="minorHAnsi"/>
        </w:rPr>
      </w:pPr>
      <w:r w:rsidRPr="00197AAA">
        <w:rPr>
          <w:rFonts w:asciiTheme="minorHAnsi" w:hAnsiTheme="minorHAnsi" w:cstheme="minorHAnsi"/>
          <w:u w:val="single"/>
        </w:rPr>
        <w:t>USE OF DATA</w:t>
      </w:r>
    </w:p>
    <w:p w:rsidRPr="00197AAA" w:rsidR="00D27D18" w:rsidP="00D27D18" w:rsidRDefault="00D27D18" w14:paraId="3A656AB1" w14:textId="77777777">
      <w:pPr>
        <w:pStyle w:val="Level1"/>
        <w:numPr>
          <w:ilvl w:val="0"/>
          <w:numId w:val="0"/>
        </w:numPr>
        <w:tabs>
          <w:tab w:val="left" w:pos="-1440"/>
        </w:tabs>
        <w:ind w:left="720" w:hanging="720"/>
        <w:rPr>
          <w:rFonts w:asciiTheme="minorHAnsi" w:hAnsiTheme="minorHAnsi" w:cstheme="minorHAnsi"/>
        </w:rPr>
      </w:pPr>
    </w:p>
    <w:p w:rsidRPr="00197AAA" w:rsidR="00F11A19" w:rsidP="007C64DA" w:rsidRDefault="00D27D18" w14:paraId="5FBAD241" w14:textId="77777777">
      <w:pPr>
        <w:pStyle w:val="Level1"/>
        <w:numPr>
          <w:ilvl w:val="0"/>
          <w:numId w:val="0"/>
        </w:numPr>
        <w:tabs>
          <w:tab w:val="left" w:pos="-1440"/>
        </w:tabs>
        <w:ind w:left="720"/>
        <w:rPr>
          <w:rFonts w:asciiTheme="minorHAnsi" w:hAnsiTheme="minorHAnsi" w:cstheme="minorHAnsi"/>
        </w:rPr>
      </w:pPr>
      <w:r w:rsidRPr="00197AAA">
        <w:rPr>
          <w:rFonts w:asciiTheme="minorHAnsi" w:hAnsiTheme="minorHAnsi" w:cstheme="minorHAnsi"/>
        </w:rPr>
        <w:t>The IRS needs to be able to be in touch with and deliver the "redemption" check to buy the property.  The form asks for</w:t>
      </w:r>
      <w:r w:rsidRPr="00197AAA" w:rsidR="00D65CEB">
        <w:rPr>
          <w:rFonts w:asciiTheme="minorHAnsi" w:hAnsiTheme="minorHAnsi" w:cstheme="minorHAnsi"/>
        </w:rPr>
        <w:t xml:space="preserve"> </w:t>
      </w:r>
      <w:r w:rsidRPr="00197AAA">
        <w:rPr>
          <w:rFonts w:asciiTheme="minorHAnsi" w:hAnsiTheme="minorHAnsi" w:cstheme="minorHAnsi"/>
        </w:rPr>
        <w:t>that information to be able to complete the sale.</w:t>
      </w:r>
      <w:r w:rsidRPr="00197AAA" w:rsidR="007C64DA">
        <w:rPr>
          <w:rFonts w:asciiTheme="minorHAnsi" w:hAnsiTheme="minorHAnsi" w:cstheme="minorHAnsi"/>
        </w:rPr>
        <w:t xml:space="preserve">  </w:t>
      </w:r>
      <w:r w:rsidRPr="00197AAA">
        <w:rPr>
          <w:rFonts w:asciiTheme="minorHAnsi" w:hAnsiTheme="minorHAnsi" w:cstheme="minorHAnsi"/>
        </w:rPr>
        <w:t>There have been situations where t</w:t>
      </w:r>
      <w:r w:rsidRPr="00197AAA" w:rsidR="008E47AB">
        <w:rPr>
          <w:rFonts w:asciiTheme="minorHAnsi" w:hAnsiTheme="minorHAnsi" w:cstheme="minorHAnsi"/>
        </w:rPr>
        <w:t xml:space="preserve">he foreclosure sale purchaser </w:t>
      </w:r>
      <w:r w:rsidRPr="00197AAA">
        <w:rPr>
          <w:rFonts w:asciiTheme="minorHAnsi" w:hAnsiTheme="minorHAnsi" w:cstheme="minorHAnsi"/>
        </w:rPr>
        <w:t>has "evaded" the IRS - in these cases Counsel has</w:t>
      </w:r>
      <w:r w:rsidRPr="00197AAA" w:rsidR="007C64DA">
        <w:rPr>
          <w:rFonts w:asciiTheme="minorHAnsi" w:hAnsiTheme="minorHAnsi" w:cstheme="minorHAnsi"/>
        </w:rPr>
        <w:t xml:space="preserve"> ac</w:t>
      </w:r>
      <w:r w:rsidRPr="00197AAA">
        <w:rPr>
          <w:rFonts w:asciiTheme="minorHAnsi" w:hAnsiTheme="minorHAnsi" w:cstheme="minorHAnsi"/>
        </w:rPr>
        <w:t>companied the advisor to redeem the property and proffer</w:t>
      </w:r>
      <w:r w:rsidRPr="00197AAA" w:rsidR="007C64DA">
        <w:rPr>
          <w:rFonts w:asciiTheme="minorHAnsi" w:hAnsiTheme="minorHAnsi" w:cstheme="minorHAnsi"/>
        </w:rPr>
        <w:t xml:space="preserve"> </w:t>
      </w:r>
      <w:r w:rsidRPr="00197AAA">
        <w:rPr>
          <w:rFonts w:asciiTheme="minorHAnsi" w:hAnsiTheme="minorHAnsi" w:cstheme="minorHAnsi"/>
        </w:rPr>
        <w:t>the check.</w:t>
      </w:r>
      <w:r w:rsidRPr="00197AAA" w:rsidR="008E47AB">
        <w:rPr>
          <w:rFonts w:asciiTheme="minorHAnsi" w:hAnsiTheme="minorHAnsi" w:cstheme="minorHAnsi"/>
        </w:rPr>
        <w:t xml:space="preserve"> </w:t>
      </w:r>
      <w:r w:rsidRPr="00197AAA" w:rsidR="00111AF5">
        <w:rPr>
          <w:rFonts w:asciiTheme="minorHAnsi" w:hAnsiTheme="minorHAnsi" w:cstheme="minorHAnsi"/>
        </w:rPr>
        <w:t xml:space="preserve"> </w:t>
      </w:r>
      <w:r w:rsidRPr="00197AAA">
        <w:rPr>
          <w:rFonts w:asciiTheme="minorHAnsi" w:hAnsiTheme="minorHAnsi" w:cstheme="minorHAnsi"/>
        </w:rPr>
        <w:t>The information is kept in the taxpayer case</w:t>
      </w:r>
      <w:r w:rsidRPr="00197AAA" w:rsidR="007C64DA">
        <w:rPr>
          <w:rFonts w:asciiTheme="minorHAnsi" w:hAnsiTheme="minorHAnsi" w:cstheme="minorHAnsi"/>
        </w:rPr>
        <w:t xml:space="preserve"> </w:t>
      </w:r>
      <w:r w:rsidRPr="00197AAA">
        <w:rPr>
          <w:rFonts w:asciiTheme="minorHAnsi" w:hAnsiTheme="minorHAnsi" w:cstheme="minorHAnsi"/>
        </w:rPr>
        <w:t>file.</w:t>
      </w:r>
      <w:r w:rsidRPr="00197AAA" w:rsidR="00111AF5">
        <w:rPr>
          <w:rFonts w:asciiTheme="minorHAnsi" w:hAnsiTheme="minorHAnsi" w:cstheme="minorHAnsi"/>
        </w:rPr>
        <w:t xml:space="preserve"> </w:t>
      </w:r>
      <w:r w:rsidRPr="00197AAA" w:rsidR="00DB7C28">
        <w:rPr>
          <w:rFonts w:asciiTheme="minorHAnsi" w:hAnsiTheme="minorHAnsi" w:cstheme="minorHAnsi"/>
        </w:rPr>
        <w:t xml:space="preserve"> </w:t>
      </w:r>
      <w:r w:rsidRPr="00197AAA">
        <w:rPr>
          <w:rFonts w:asciiTheme="minorHAnsi" w:hAnsiTheme="minorHAnsi" w:cstheme="minorHAnsi"/>
        </w:rPr>
        <w:t xml:space="preserve">There is </w:t>
      </w:r>
      <w:proofErr w:type="gramStart"/>
      <w:r w:rsidRPr="00197AAA" w:rsidR="007C64DA">
        <w:rPr>
          <w:rFonts w:asciiTheme="minorHAnsi" w:hAnsiTheme="minorHAnsi" w:cstheme="minorHAnsi"/>
        </w:rPr>
        <w:t>2</w:t>
      </w:r>
      <w:r w:rsidRPr="00197AAA">
        <w:rPr>
          <w:rFonts w:asciiTheme="minorHAnsi" w:hAnsiTheme="minorHAnsi" w:cstheme="minorHAnsi"/>
        </w:rPr>
        <w:t xml:space="preserve"> y</w:t>
      </w:r>
      <w:r w:rsidRPr="00197AAA" w:rsidR="00111AF5">
        <w:rPr>
          <w:rFonts w:asciiTheme="minorHAnsi" w:hAnsiTheme="minorHAnsi" w:cstheme="minorHAnsi"/>
        </w:rPr>
        <w:t>ea</w:t>
      </w:r>
      <w:r w:rsidRPr="00197AAA">
        <w:rPr>
          <w:rFonts w:asciiTheme="minorHAnsi" w:hAnsiTheme="minorHAnsi" w:cstheme="minorHAnsi"/>
        </w:rPr>
        <w:t>r</w:t>
      </w:r>
      <w:proofErr w:type="gramEnd"/>
      <w:r w:rsidRPr="00197AAA">
        <w:rPr>
          <w:rFonts w:asciiTheme="minorHAnsi" w:hAnsiTheme="minorHAnsi" w:cstheme="minorHAnsi"/>
        </w:rPr>
        <w:t xml:space="preserve"> retention on closed case files.  If</w:t>
      </w:r>
      <w:r w:rsidRPr="00197AAA" w:rsidR="007C64DA">
        <w:rPr>
          <w:rFonts w:asciiTheme="minorHAnsi" w:hAnsiTheme="minorHAnsi" w:cstheme="minorHAnsi"/>
        </w:rPr>
        <w:t xml:space="preserve"> </w:t>
      </w:r>
      <w:r w:rsidRPr="00197AAA">
        <w:rPr>
          <w:rFonts w:asciiTheme="minorHAnsi" w:hAnsiTheme="minorHAnsi" w:cstheme="minorHAnsi"/>
        </w:rPr>
        <w:t>the IRS</w:t>
      </w:r>
      <w:r w:rsidRPr="00197AAA" w:rsidR="00111AF5">
        <w:rPr>
          <w:rFonts w:asciiTheme="minorHAnsi" w:hAnsiTheme="minorHAnsi" w:cstheme="minorHAnsi"/>
        </w:rPr>
        <w:t xml:space="preserve"> </w:t>
      </w:r>
      <w:r w:rsidRPr="00197AAA">
        <w:rPr>
          <w:rFonts w:asciiTheme="minorHAnsi" w:hAnsiTheme="minorHAnsi" w:cstheme="minorHAnsi"/>
        </w:rPr>
        <w:t>purchases the property from the foreclosure sale</w:t>
      </w:r>
      <w:r w:rsidRPr="00197AAA" w:rsidR="00111AF5">
        <w:rPr>
          <w:rFonts w:asciiTheme="minorHAnsi" w:hAnsiTheme="minorHAnsi" w:cstheme="minorHAnsi"/>
        </w:rPr>
        <w:t xml:space="preserve"> </w:t>
      </w:r>
      <w:r w:rsidRPr="00197AAA">
        <w:rPr>
          <w:rFonts w:asciiTheme="minorHAnsi" w:hAnsiTheme="minorHAnsi" w:cstheme="minorHAnsi"/>
        </w:rPr>
        <w:t>purchaser,</w:t>
      </w:r>
      <w:r w:rsidRPr="00197AAA" w:rsidR="00111AF5">
        <w:rPr>
          <w:rFonts w:asciiTheme="minorHAnsi" w:hAnsiTheme="minorHAnsi" w:cstheme="minorHAnsi"/>
        </w:rPr>
        <w:t xml:space="preserve"> </w:t>
      </w:r>
      <w:r w:rsidRPr="00197AAA">
        <w:rPr>
          <w:rFonts w:asciiTheme="minorHAnsi" w:hAnsiTheme="minorHAnsi" w:cstheme="minorHAnsi"/>
        </w:rPr>
        <w:t>then there will be paperwork filed at the</w:t>
      </w:r>
      <w:r w:rsidRPr="00197AAA" w:rsidR="007C64DA">
        <w:rPr>
          <w:rFonts w:asciiTheme="minorHAnsi" w:hAnsiTheme="minorHAnsi" w:cstheme="minorHAnsi"/>
        </w:rPr>
        <w:t xml:space="preserve"> </w:t>
      </w:r>
      <w:r w:rsidRPr="00197AAA">
        <w:rPr>
          <w:rFonts w:asciiTheme="minorHAnsi" w:hAnsiTheme="minorHAnsi" w:cstheme="minorHAnsi"/>
        </w:rPr>
        <w:t>register of deeds</w:t>
      </w:r>
      <w:r w:rsidRPr="00197AAA" w:rsidR="00111AF5">
        <w:rPr>
          <w:rFonts w:asciiTheme="minorHAnsi" w:hAnsiTheme="minorHAnsi" w:cstheme="minorHAnsi"/>
        </w:rPr>
        <w:t xml:space="preserve"> </w:t>
      </w:r>
      <w:r w:rsidRPr="00197AAA">
        <w:rPr>
          <w:rFonts w:asciiTheme="minorHAnsi" w:hAnsiTheme="minorHAnsi" w:cstheme="minorHAnsi"/>
        </w:rPr>
        <w:t xml:space="preserve">(IRS can only redeem real estate </w:t>
      </w:r>
      <w:r w:rsidRPr="00197AAA" w:rsidR="007C64DA">
        <w:rPr>
          <w:rFonts w:asciiTheme="minorHAnsi" w:hAnsiTheme="minorHAnsi" w:cstheme="minorHAnsi"/>
        </w:rPr>
        <w:t>–</w:t>
      </w:r>
      <w:r w:rsidRPr="00197AAA">
        <w:rPr>
          <w:rFonts w:asciiTheme="minorHAnsi" w:hAnsiTheme="minorHAnsi" w:cstheme="minorHAnsi"/>
        </w:rPr>
        <w:t xml:space="preserve"> not</w:t>
      </w:r>
      <w:r w:rsidRPr="00197AAA" w:rsidR="007C64DA">
        <w:rPr>
          <w:rFonts w:asciiTheme="minorHAnsi" w:hAnsiTheme="minorHAnsi" w:cstheme="minorHAnsi"/>
        </w:rPr>
        <w:t xml:space="preserve"> </w:t>
      </w:r>
      <w:r w:rsidRPr="00197AAA">
        <w:rPr>
          <w:rFonts w:asciiTheme="minorHAnsi" w:hAnsiTheme="minorHAnsi" w:cstheme="minorHAnsi"/>
        </w:rPr>
        <w:t>personal property).</w:t>
      </w:r>
      <w:r w:rsidRPr="00197AAA" w:rsidR="00DB7C28">
        <w:rPr>
          <w:rFonts w:asciiTheme="minorHAnsi" w:hAnsiTheme="minorHAnsi" w:cstheme="minorHAnsi"/>
        </w:rPr>
        <w:t xml:space="preserve"> </w:t>
      </w:r>
      <w:r w:rsidRPr="00197AAA" w:rsidR="00111AF5">
        <w:rPr>
          <w:rFonts w:asciiTheme="minorHAnsi" w:hAnsiTheme="minorHAnsi" w:cstheme="minorHAnsi"/>
        </w:rPr>
        <w:t xml:space="preserve"> </w:t>
      </w:r>
      <w:r w:rsidRPr="00197AAA">
        <w:rPr>
          <w:rFonts w:asciiTheme="minorHAnsi" w:hAnsiTheme="minorHAnsi" w:cstheme="minorHAnsi"/>
        </w:rPr>
        <w:t>The paperwork filed at the</w:t>
      </w:r>
      <w:r w:rsidRPr="00197AAA" w:rsidR="00111AF5">
        <w:rPr>
          <w:rFonts w:asciiTheme="minorHAnsi" w:hAnsiTheme="minorHAnsi" w:cstheme="minorHAnsi"/>
        </w:rPr>
        <w:t xml:space="preserve"> </w:t>
      </w:r>
      <w:r w:rsidRPr="00197AAA">
        <w:rPr>
          <w:rFonts w:asciiTheme="minorHAnsi" w:hAnsiTheme="minorHAnsi" w:cstheme="minorHAnsi"/>
        </w:rPr>
        <w:t>register of</w:t>
      </w:r>
      <w:r w:rsidRPr="00197AAA" w:rsidR="007C64DA">
        <w:rPr>
          <w:rFonts w:asciiTheme="minorHAnsi" w:hAnsiTheme="minorHAnsi" w:cstheme="minorHAnsi"/>
        </w:rPr>
        <w:t xml:space="preserve"> </w:t>
      </w:r>
      <w:r w:rsidRPr="00197AAA">
        <w:rPr>
          <w:rFonts w:asciiTheme="minorHAnsi" w:hAnsiTheme="minorHAnsi" w:cstheme="minorHAnsi"/>
        </w:rPr>
        <w:t>deeds will show the</w:t>
      </w:r>
      <w:r w:rsidRPr="00197AAA" w:rsidR="00111AF5">
        <w:rPr>
          <w:rFonts w:asciiTheme="minorHAnsi" w:hAnsiTheme="minorHAnsi" w:cstheme="minorHAnsi"/>
        </w:rPr>
        <w:t xml:space="preserve"> </w:t>
      </w:r>
      <w:r w:rsidRPr="00197AAA">
        <w:rPr>
          <w:rFonts w:asciiTheme="minorHAnsi" w:hAnsiTheme="minorHAnsi" w:cstheme="minorHAnsi"/>
        </w:rPr>
        <w:t>IRS name and the</w:t>
      </w:r>
      <w:r w:rsidRPr="00197AAA" w:rsidR="00111AF5">
        <w:rPr>
          <w:rFonts w:asciiTheme="minorHAnsi" w:hAnsiTheme="minorHAnsi" w:cstheme="minorHAnsi"/>
        </w:rPr>
        <w:t xml:space="preserve"> </w:t>
      </w:r>
      <w:r w:rsidRPr="00197AAA">
        <w:rPr>
          <w:rFonts w:asciiTheme="minorHAnsi" w:hAnsiTheme="minorHAnsi" w:cstheme="minorHAnsi"/>
        </w:rPr>
        <w:t>foreclosure sale</w:t>
      </w:r>
      <w:r w:rsidRPr="00197AAA" w:rsidR="007C64DA">
        <w:rPr>
          <w:rFonts w:asciiTheme="minorHAnsi" w:hAnsiTheme="minorHAnsi" w:cstheme="minorHAnsi"/>
        </w:rPr>
        <w:t xml:space="preserve"> </w:t>
      </w:r>
      <w:r w:rsidRPr="00197AAA">
        <w:rPr>
          <w:rFonts w:asciiTheme="minorHAnsi" w:hAnsiTheme="minorHAnsi" w:cstheme="minorHAnsi"/>
        </w:rPr>
        <w:t>purchaser's name.</w:t>
      </w:r>
    </w:p>
    <w:p w:rsidRPr="00197AAA" w:rsidR="008E47AB" w:rsidP="008E47AB" w:rsidRDefault="008E47AB" w14:paraId="1D20EC2B" w14:textId="77777777">
      <w:pPr>
        <w:pStyle w:val="Level1"/>
        <w:numPr>
          <w:ilvl w:val="0"/>
          <w:numId w:val="0"/>
        </w:numPr>
        <w:tabs>
          <w:tab w:val="left" w:pos="-1440"/>
        </w:tabs>
        <w:rPr>
          <w:rFonts w:asciiTheme="minorHAnsi" w:hAnsiTheme="minorHAnsi" w:cstheme="minorHAnsi"/>
        </w:rPr>
      </w:pPr>
    </w:p>
    <w:p w:rsidRPr="00197AAA" w:rsidR="00F11A19" w:rsidP="002A42C4" w:rsidRDefault="00F11A19" w14:paraId="1310FE52" w14:textId="77777777">
      <w:pPr>
        <w:pStyle w:val="Level1"/>
        <w:numPr>
          <w:ilvl w:val="0"/>
          <w:numId w:val="1"/>
        </w:numPr>
        <w:tabs>
          <w:tab w:val="left" w:pos="-1440"/>
        </w:tabs>
        <w:rPr>
          <w:rFonts w:asciiTheme="minorHAnsi" w:hAnsiTheme="minorHAnsi" w:cstheme="minorHAnsi"/>
        </w:rPr>
      </w:pPr>
      <w:r w:rsidRPr="00197AAA">
        <w:rPr>
          <w:rFonts w:asciiTheme="minorHAnsi" w:hAnsiTheme="minorHAnsi" w:cstheme="minorHAnsi"/>
          <w:u w:val="single"/>
        </w:rPr>
        <w:t>USE OF IMPROVED INFORMATION TECHNOLOGY TO REDUCE BURDEN</w:t>
      </w:r>
    </w:p>
    <w:p w:rsidRPr="00197AAA" w:rsidR="00D27D18" w:rsidP="00D27D18" w:rsidRDefault="00D27D18" w14:paraId="0DF95B52" w14:textId="77777777">
      <w:pPr>
        <w:pStyle w:val="Level1"/>
        <w:numPr>
          <w:ilvl w:val="0"/>
          <w:numId w:val="0"/>
        </w:numPr>
        <w:tabs>
          <w:tab w:val="left" w:pos="-1440"/>
        </w:tabs>
        <w:ind w:left="720"/>
        <w:rPr>
          <w:rFonts w:asciiTheme="minorHAnsi" w:hAnsiTheme="minorHAnsi" w:cstheme="minorHAnsi"/>
          <w:u w:val="single"/>
        </w:rPr>
      </w:pPr>
    </w:p>
    <w:p w:rsidRPr="00197AAA" w:rsidR="00D27D18" w:rsidP="008E47AB" w:rsidRDefault="00111AF5" w14:paraId="32310FDD" w14:textId="233C2922">
      <w:pPr>
        <w:pStyle w:val="Level1"/>
        <w:numPr>
          <w:ilvl w:val="0"/>
          <w:numId w:val="0"/>
        </w:numPr>
        <w:tabs>
          <w:tab w:val="left" w:pos="-1440"/>
        </w:tabs>
        <w:ind w:left="720"/>
        <w:rPr>
          <w:rFonts w:asciiTheme="minorHAnsi" w:hAnsiTheme="minorHAnsi" w:cstheme="minorHAnsi"/>
        </w:rPr>
      </w:pPr>
      <w:r w:rsidRPr="00197AAA">
        <w:rPr>
          <w:rFonts w:asciiTheme="minorHAnsi" w:hAnsiTheme="minorHAnsi" w:cstheme="minorHAnsi"/>
        </w:rPr>
        <w:t>Form 15597 is only utilized whe</w:t>
      </w:r>
      <w:r w:rsidR="008C6934">
        <w:rPr>
          <w:rFonts w:asciiTheme="minorHAnsi" w:hAnsiTheme="minorHAnsi" w:cstheme="minorHAnsi"/>
        </w:rPr>
        <w:t>n</w:t>
      </w:r>
      <w:r w:rsidRPr="00197AAA">
        <w:rPr>
          <w:rFonts w:asciiTheme="minorHAnsi" w:hAnsiTheme="minorHAnsi" w:cstheme="minorHAnsi"/>
        </w:rPr>
        <w:t xml:space="preserve"> the IRS is contemplating </w:t>
      </w:r>
      <w:r w:rsidR="008C6934">
        <w:rPr>
          <w:rFonts w:asciiTheme="minorHAnsi" w:hAnsiTheme="minorHAnsi" w:cstheme="minorHAnsi"/>
        </w:rPr>
        <w:t xml:space="preserve">the </w:t>
      </w:r>
      <w:r w:rsidRPr="00197AAA">
        <w:rPr>
          <w:rFonts w:asciiTheme="minorHAnsi" w:hAnsiTheme="minorHAnsi" w:cstheme="minorHAnsi"/>
        </w:rPr>
        <w:t>redemption</w:t>
      </w:r>
      <w:r w:rsidR="00197AAA">
        <w:rPr>
          <w:rFonts w:asciiTheme="minorHAnsi" w:hAnsiTheme="minorHAnsi" w:cstheme="minorHAnsi"/>
        </w:rPr>
        <w:t xml:space="preserve"> of a property</w:t>
      </w:r>
      <w:r w:rsidRPr="00197AAA">
        <w:rPr>
          <w:rFonts w:asciiTheme="minorHAnsi" w:hAnsiTheme="minorHAnsi" w:cstheme="minorHAnsi"/>
        </w:rPr>
        <w:t>.</w:t>
      </w:r>
      <w:r w:rsidRPr="00197AAA" w:rsidR="00D27D18">
        <w:rPr>
          <w:rFonts w:asciiTheme="minorHAnsi" w:hAnsiTheme="minorHAnsi" w:cstheme="minorHAnsi"/>
        </w:rPr>
        <w:t xml:space="preserve"> </w:t>
      </w:r>
      <w:r w:rsidR="00197AAA">
        <w:rPr>
          <w:rFonts w:asciiTheme="minorHAnsi" w:hAnsiTheme="minorHAnsi" w:cstheme="minorHAnsi"/>
        </w:rPr>
        <w:t xml:space="preserve">The taxpayer is instructed to attach Form 15597 to Letter 5597 and return it to the </w:t>
      </w:r>
      <w:r w:rsidRPr="00197AAA" w:rsidR="00974396">
        <w:rPr>
          <w:rFonts w:asciiTheme="minorHAnsi" w:hAnsiTheme="minorHAnsi" w:cstheme="minorHAnsi"/>
        </w:rPr>
        <w:t>IRS</w:t>
      </w:r>
      <w:r w:rsidR="00197AAA">
        <w:rPr>
          <w:rFonts w:asciiTheme="minorHAnsi" w:hAnsiTheme="minorHAnsi" w:cstheme="minorHAnsi"/>
        </w:rPr>
        <w:t xml:space="preserve">; </w:t>
      </w:r>
      <w:r w:rsidRPr="00197AAA" w:rsidR="00974396">
        <w:rPr>
          <w:rFonts w:asciiTheme="minorHAnsi" w:hAnsiTheme="minorHAnsi" w:cstheme="minorHAnsi"/>
        </w:rPr>
        <w:t>in this case</w:t>
      </w:r>
      <w:r w:rsidR="00197AAA">
        <w:rPr>
          <w:rFonts w:asciiTheme="minorHAnsi" w:hAnsiTheme="minorHAnsi" w:cstheme="minorHAnsi"/>
        </w:rPr>
        <w:t xml:space="preserve"> electronic filing</w:t>
      </w:r>
      <w:r w:rsidRPr="00197AAA" w:rsidR="00974396">
        <w:rPr>
          <w:rFonts w:asciiTheme="minorHAnsi" w:hAnsiTheme="minorHAnsi" w:cstheme="minorHAnsi"/>
        </w:rPr>
        <w:t xml:space="preserve"> isn’t practicable because of the evaluative nature of the determination</w:t>
      </w:r>
      <w:r w:rsidR="00197AAA">
        <w:rPr>
          <w:rFonts w:asciiTheme="minorHAnsi" w:hAnsiTheme="minorHAnsi" w:cstheme="minorHAnsi"/>
        </w:rPr>
        <w:t xml:space="preserve"> and the low volume of filers</w:t>
      </w:r>
      <w:r w:rsidRPr="00197AAA" w:rsidR="00974396">
        <w:rPr>
          <w:rFonts w:asciiTheme="minorHAnsi" w:hAnsiTheme="minorHAnsi" w:cstheme="minorHAnsi"/>
        </w:rPr>
        <w:t>.</w:t>
      </w:r>
      <w:r w:rsidRPr="00197AAA" w:rsidR="00D27D18">
        <w:rPr>
          <w:rFonts w:asciiTheme="minorHAnsi" w:hAnsiTheme="minorHAnsi" w:cstheme="minorHAnsi"/>
        </w:rPr>
        <w:t xml:space="preserve"> </w:t>
      </w:r>
    </w:p>
    <w:p w:rsidRPr="00197AAA" w:rsidR="00F11A19" w:rsidRDefault="00F11A19" w14:paraId="1F3A582B" w14:textId="77777777">
      <w:pPr>
        <w:rPr>
          <w:rFonts w:asciiTheme="minorHAnsi" w:hAnsiTheme="minorHAnsi" w:cstheme="minorHAnsi"/>
        </w:rPr>
      </w:pPr>
    </w:p>
    <w:p w:rsidRPr="00197AAA" w:rsidR="00F11A19" w:rsidRDefault="00F11A19" w14:paraId="1C553D05" w14:textId="77777777">
      <w:pPr>
        <w:pStyle w:val="Level1"/>
        <w:numPr>
          <w:ilvl w:val="0"/>
          <w:numId w:val="1"/>
        </w:numPr>
        <w:tabs>
          <w:tab w:val="left" w:pos="-1440"/>
        </w:tabs>
        <w:rPr>
          <w:rFonts w:asciiTheme="minorHAnsi" w:hAnsiTheme="minorHAnsi" w:cstheme="minorHAnsi"/>
        </w:rPr>
      </w:pPr>
      <w:r w:rsidRPr="00197AAA">
        <w:rPr>
          <w:rFonts w:asciiTheme="minorHAnsi" w:hAnsiTheme="minorHAnsi" w:cstheme="minorHAnsi"/>
          <w:u w:val="single"/>
        </w:rPr>
        <w:t>EFFORTS TO IDENTIFY DUPLICATION</w:t>
      </w:r>
    </w:p>
    <w:p w:rsidRPr="00197AAA" w:rsidR="000543A9" w:rsidP="000543A9" w:rsidRDefault="000543A9" w14:paraId="0D12A2AA" w14:textId="77777777">
      <w:pPr>
        <w:pStyle w:val="Level1"/>
        <w:numPr>
          <w:ilvl w:val="0"/>
          <w:numId w:val="0"/>
        </w:numPr>
        <w:tabs>
          <w:tab w:val="left" w:pos="-1440"/>
        </w:tabs>
        <w:ind w:left="720" w:hanging="720"/>
        <w:rPr>
          <w:rFonts w:asciiTheme="minorHAnsi" w:hAnsiTheme="minorHAnsi" w:cstheme="minorHAnsi"/>
          <w:u w:val="single"/>
        </w:rPr>
      </w:pPr>
    </w:p>
    <w:p w:rsidRPr="00197AAA" w:rsidR="00974396" w:rsidP="00FC7CD3" w:rsidRDefault="00784450" w14:paraId="1EF70FED" w14:textId="77777777">
      <w:pPr>
        <w:pStyle w:val="Level1"/>
        <w:numPr>
          <w:ilvl w:val="0"/>
          <w:numId w:val="0"/>
        </w:numPr>
        <w:tabs>
          <w:tab w:val="left" w:pos="-1440"/>
        </w:tabs>
        <w:ind w:left="720" w:hanging="720"/>
        <w:rPr>
          <w:rFonts w:asciiTheme="minorHAnsi" w:hAnsiTheme="minorHAnsi" w:cstheme="minorHAnsi"/>
          <w:iCs/>
        </w:rPr>
      </w:pPr>
      <w:r w:rsidRPr="00197AAA">
        <w:rPr>
          <w:rFonts w:asciiTheme="minorHAnsi" w:hAnsiTheme="minorHAnsi" w:cstheme="minorHAnsi"/>
          <w:iCs/>
        </w:rPr>
        <w:tab/>
      </w:r>
      <w:r w:rsidRPr="00197AAA" w:rsidR="00974396">
        <w:rPr>
          <w:rFonts w:asciiTheme="minorHAnsi" w:hAnsiTheme="minorHAnsi" w:cstheme="minorHAnsi"/>
          <w:iCs/>
        </w:rPr>
        <w:t>The information obtained through this collection is unique and is not already available for use or adaptation from another source.</w:t>
      </w:r>
    </w:p>
    <w:p w:rsidRPr="00197AAA" w:rsidR="00F11A19" w:rsidRDefault="00F11A19" w14:paraId="072ACB79" w14:textId="77777777">
      <w:pPr>
        <w:rPr>
          <w:rFonts w:asciiTheme="minorHAnsi" w:hAnsiTheme="minorHAnsi" w:cstheme="minorHAnsi"/>
        </w:rPr>
      </w:pPr>
    </w:p>
    <w:p w:rsidRPr="00197AAA" w:rsidR="00F11A19" w:rsidRDefault="00F11A19" w14:paraId="0FCC824E" w14:textId="77777777">
      <w:pPr>
        <w:pStyle w:val="Level1"/>
        <w:numPr>
          <w:ilvl w:val="0"/>
          <w:numId w:val="1"/>
        </w:numPr>
        <w:tabs>
          <w:tab w:val="left" w:pos="-1440"/>
        </w:tabs>
        <w:rPr>
          <w:rFonts w:asciiTheme="minorHAnsi" w:hAnsiTheme="minorHAnsi" w:cstheme="minorHAnsi"/>
        </w:rPr>
      </w:pPr>
      <w:r w:rsidRPr="00197AAA">
        <w:rPr>
          <w:rFonts w:asciiTheme="minorHAnsi" w:hAnsiTheme="minorHAnsi" w:cstheme="minorHAnsi"/>
          <w:u w:val="single"/>
        </w:rPr>
        <w:t>METHODS TO MINIMIZE BURDEN ON SMALL BUSINESSES OR OTHER</w:t>
      </w:r>
      <w:r w:rsidRPr="00197AAA">
        <w:rPr>
          <w:rFonts w:asciiTheme="minorHAnsi" w:hAnsiTheme="minorHAnsi" w:cstheme="minorHAnsi"/>
        </w:rPr>
        <w:t xml:space="preserve">     </w:t>
      </w:r>
      <w:r w:rsidRPr="00197AAA">
        <w:rPr>
          <w:rFonts w:asciiTheme="minorHAnsi" w:hAnsiTheme="minorHAnsi" w:cstheme="minorHAnsi"/>
          <w:u w:val="single"/>
        </w:rPr>
        <w:t>SMALL ENTITIES</w:t>
      </w:r>
    </w:p>
    <w:p w:rsidRPr="00197AAA" w:rsidR="00C126F2" w:rsidRDefault="00C126F2" w14:paraId="33AF974B" w14:textId="77777777">
      <w:pPr>
        <w:ind w:left="720"/>
        <w:rPr>
          <w:rFonts w:asciiTheme="minorHAnsi" w:hAnsiTheme="minorHAnsi" w:cstheme="minorHAnsi"/>
        </w:rPr>
      </w:pPr>
    </w:p>
    <w:p w:rsidRPr="00197AAA" w:rsidR="00784450" w:rsidP="00784450" w:rsidRDefault="00784450" w14:paraId="724BF17C" w14:textId="77777777">
      <w:pPr>
        <w:ind w:left="720"/>
        <w:rPr>
          <w:rFonts w:asciiTheme="minorHAnsi" w:hAnsiTheme="minorHAnsi" w:cstheme="minorHAnsi"/>
        </w:rPr>
      </w:pPr>
      <w:r w:rsidRPr="00197AAA">
        <w:rPr>
          <w:rFonts w:asciiTheme="minorHAnsi" w:hAnsiTheme="minorHAnsi" w:cstheme="minorHAnsi"/>
        </w:rPr>
        <w:t xml:space="preserve">There is no burden on small businesses or entities by this collection due to the inapplicability of the authorizing statute to this type of entity.  </w:t>
      </w:r>
    </w:p>
    <w:p w:rsidRPr="00197AAA" w:rsidR="00784450" w:rsidP="00784450" w:rsidRDefault="00784450" w14:paraId="667C08B2" w14:textId="77777777">
      <w:pPr>
        <w:ind w:left="720"/>
        <w:rPr>
          <w:rFonts w:asciiTheme="minorHAnsi" w:hAnsiTheme="minorHAnsi" w:cstheme="minorHAnsi"/>
        </w:rPr>
      </w:pPr>
    </w:p>
    <w:p w:rsidRPr="00197AAA" w:rsidR="00F11A19" w:rsidRDefault="00F11A19" w14:paraId="3F668F2C" w14:textId="77777777">
      <w:pPr>
        <w:tabs>
          <w:tab w:val="left" w:pos="-1440"/>
        </w:tabs>
        <w:ind w:left="720" w:hanging="720"/>
        <w:rPr>
          <w:rFonts w:asciiTheme="minorHAnsi" w:hAnsiTheme="minorHAnsi" w:cstheme="minorHAnsi"/>
        </w:rPr>
      </w:pPr>
      <w:r w:rsidRPr="00197AAA">
        <w:rPr>
          <w:rFonts w:asciiTheme="minorHAnsi" w:hAnsiTheme="minorHAnsi" w:cstheme="minorHAnsi"/>
        </w:rPr>
        <w:t xml:space="preserve">6. </w:t>
      </w:r>
      <w:r w:rsidRPr="00197AAA">
        <w:rPr>
          <w:rFonts w:asciiTheme="minorHAnsi" w:hAnsiTheme="minorHAnsi" w:cstheme="minorHAnsi"/>
        </w:rPr>
        <w:tab/>
      </w:r>
      <w:r w:rsidRPr="00197AAA">
        <w:rPr>
          <w:rFonts w:asciiTheme="minorHAnsi" w:hAnsiTheme="minorHAnsi" w:cstheme="minorHAnsi"/>
          <w:u w:val="single"/>
        </w:rPr>
        <w:t>CONSEQUENCES OF LESS FREQUENT COLLECTION ON FEDERAL PROGRAMS OR POLICY ACTIVITIES</w:t>
      </w:r>
    </w:p>
    <w:p w:rsidRPr="00197AAA" w:rsidR="00F11A19" w:rsidRDefault="00F11A19" w14:paraId="5C8F6426" w14:textId="77777777">
      <w:pPr>
        <w:rPr>
          <w:rFonts w:asciiTheme="minorHAnsi" w:hAnsiTheme="minorHAnsi" w:cstheme="minorHAnsi"/>
        </w:rPr>
      </w:pPr>
    </w:p>
    <w:p w:rsidRPr="00197AAA" w:rsidR="00974396" w:rsidP="00974396" w:rsidRDefault="00974396" w14:paraId="0401E57E" w14:textId="77777777">
      <w:pPr>
        <w:ind w:left="720"/>
        <w:rPr>
          <w:rFonts w:asciiTheme="minorHAnsi" w:hAnsiTheme="minorHAnsi" w:cstheme="minorHAnsi"/>
        </w:rPr>
      </w:pPr>
      <w:r w:rsidRPr="00197AAA">
        <w:rPr>
          <w:rFonts w:asciiTheme="minorHAnsi" w:hAnsiTheme="minorHAnsi" w:cstheme="minorHAnsi"/>
        </w:rPr>
        <w:t>A less frequent collection will not enable the IRS to proceed in situations where the IRS is contemplating redemption in accordance with Title 28 USC 2410 and IRC 7425.</w:t>
      </w:r>
    </w:p>
    <w:p w:rsidRPr="00197AAA" w:rsidR="000A58FA" w:rsidP="008E47AB" w:rsidRDefault="000A58FA" w14:paraId="57CDC486" w14:textId="77777777">
      <w:pPr>
        <w:rPr>
          <w:rFonts w:asciiTheme="minorHAnsi" w:hAnsiTheme="minorHAnsi" w:cstheme="minorHAnsi"/>
        </w:rPr>
      </w:pPr>
    </w:p>
    <w:p w:rsidRPr="00197AAA" w:rsidR="00F11A19" w:rsidRDefault="00F11A19" w14:paraId="0BF939E6" w14:textId="77777777">
      <w:pPr>
        <w:pStyle w:val="Level1"/>
        <w:tabs>
          <w:tab w:val="left" w:pos="-1440"/>
          <w:tab w:val="num" w:pos="720"/>
        </w:tabs>
        <w:rPr>
          <w:rFonts w:asciiTheme="minorHAnsi" w:hAnsiTheme="minorHAnsi" w:cstheme="minorHAnsi"/>
        </w:rPr>
      </w:pPr>
      <w:r w:rsidRPr="00197AAA">
        <w:rPr>
          <w:rFonts w:asciiTheme="minorHAnsi" w:hAnsiTheme="minorHAnsi" w:cstheme="minorHAnsi"/>
          <w:u w:val="single"/>
        </w:rPr>
        <w:t>SPECIAL CIRCUMSTANCES REQUIRING DATA COLLECTION TO BE</w:t>
      </w:r>
      <w:r w:rsidRPr="00197AAA">
        <w:rPr>
          <w:rFonts w:asciiTheme="minorHAnsi" w:hAnsiTheme="minorHAnsi" w:cstheme="minorHAnsi"/>
        </w:rPr>
        <w:t xml:space="preserve">    </w:t>
      </w:r>
      <w:r w:rsidRPr="00197AAA">
        <w:rPr>
          <w:rFonts w:asciiTheme="minorHAnsi" w:hAnsiTheme="minorHAnsi" w:cstheme="minorHAnsi"/>
          <w:u w:val="single"/>
        </w:rPr>
        <w:t>INCONSISTENT WITH GUIDELINES IN 5 CFR 1320.5(d)(2)</w:t>
      </w:r>
    </w:p>
    <w:p w:rsidRPr="00197AAA" w:rsidR="00F11A19" w:rsidP="00111AF5" w:rsidRDefault="00F11A19" w14:paraId="732EF1A3" w14:textId="77777777">
      <w:pPr>
        <w:pStyle w:val="Level1"/>
        <w:numPr>
          <w:ilvl w:val="0"/>
          <w:numId w:val="0"/>
        </w:numPr>
        <w:tabs>
          <w:tab w:val="left" w:pos="-1440"/>
        </w:tabs>
        <w:ind w:left="720" w:hanging="720"/>
        <w:rPr>
          <w:rFonts w:asciiTheme="minorHAnsi" w:hAnsiTheme="minorHAnsi" w:cstheme="minorHAnsi"/>
        </w:rPr>
      </w:pPr>
    </w:p>
    <w:p w:rsidRPr="00197AAA" w:rsidR="000F395B" w:rsidP="00784450" w:rsidRDefault="000F395B" w14:paraId="6AF8E62F" w14:textId="77777777">
      <w:pPr>
        <w:pStyle w:val="Level1"/>
        <w:numPr>
          <w:ilvl w:val="0"/>
          <w:numId w:val="0"/>
        </w:numPr>
        <w:tabs>
          <w:tab w:val="left" w:pos="-1440"/>
        </w:tabs>
        <w:ind w:left="720"/>
        <w:rPr>
          <w:rFonts w:asciiTheme="minorHAnsi" w:hAnsiTheme="minorHAnsi" w:cstheme="minorHAnsi"/>
        </w:rPr>
      </w:pPr>
      <w:r w:rsidRPr="00197AAA">
        <w:rPr>
          <w:rFonts w:asciiTheme="minorHAnsi" w:hAnsiTheme="minorHAnsi" w:cstheme="minorHAnsi"/>
        </w:rPr>
        <w:t>There are no special circumstances requiring data collection to be inconsistent with Guidelines in 5 CFR 1320.5(d)(2).</w:t>
      </w:r>
    </w:p>
    <w:p w:rsidRPr="00197AAA" w:rsidR="008E47AB" w:rsidP="008E47AB" w:rsidRDefault="008E47AB" w14:paraId="69A38F89" w14:textId="77777777">
      <w:pPr>
        <w:pStyle w:val="Level1"/>
        <w:numPr>
          <w:ilvl w:val="0"/>
          <w:numId w:val="0"/>
        </w:numPr>
        <w:tabs>
          <w:tab w:val="left" w:pos="-1440"/>
        </w:tabs>
        <w:rPr>
          <w:rFonts w:asciiTheme="minorHAnsi" w:hAnsiTheme="minorHAnsi" w:cstheme="minorHAnsi"/>
        </w:rPr>
      </w:pPr>
    </w:p>
    <w:p w:rsidRPr="00197AAA" w:rsidR="00F11A19" w:rsidP="008E47AB" w:rsidRDefault="00D27D18" w14:paraId="42C65B5A" w14:textId="77777777">
      <w:pPr>
        <w:ind w:left="720" w:hanging="720"/>
        <w:rPr>
          <w:rFonts w:asciiTheme="minorHAnsi" w:hAnsiTheme="minorHAnsi" w:cstheme="minorHAnsi"/>
        </w:rPr>
      </w:pPr>
      <w:r w:rsidRPr="00197AAA">
        <w:rPr>
          <w:rFonts w:asciiTheme="minorHAnsi" w:hAnsiTheme="minorHAnsi" w:cstheme="minorHAnsi"/>
        </w:rPr>
        <w:t>8.</w:t>
      </w:r>
      <w:r w:rsidRPr="00197AAA" w:rsidR="008E47AB">
        <w:rPr>
          <w:rFonts w:asciiTheme="minorHAnsi" w:hAnsiTheme="minorHAnsi" w:cstheme="minorHAnsi"/>
        </w:rPr>
        <w:tab/>
      </w:r>
      <w:r w:rsidRPr="00197AAA" w:rsidR="00F11A19">
        <w:rPr>
          <w:rFonts w:asciiTheme="minorHAnsi" w:hAnsiTheme="minorHAnsi" w:cstheme="minorHAnsi"/>
          <w:u w:val="single"/>
        </w:rPr>
        <w:t>CONSULTATION WITH INDIVIDUALS OUTSIDE OF THE AGENCY ON</w:t>
      </w:r>
      <w:r w:rsidRPr="00197AAA">
        <w:rPr>
          <w:rFonts w:asciiTheme="minorHAnsi" w:hAnsiTheme="minorHAnsi" w:cstheme="minorHAnsi"/>
        </w:rPr>
        <w:t xml:space="preserve"> </w:t>
      </w:r>
      <w:r w:rsidRPr="00197AAA" w:rsidR="00F11A19">
        <w:rPr>
          <w:rFonts w:asciiTheme="minorHAnsi" w:hAnsiTheme="minorHAnsi" w:cstheme="minorHAnsi"/>
          <w:u w:val="single"/>
        </w:rPr>
        <w:t>AVAILABILITY OF DATA, FREQUENCY OF COLLECTION, CLARITY</w:t>
      </w:r>
      <w:r w:rsidRPr="00197AAA" w:rsidR="008E47AB">
        <w:rPr>
          <w:rFonts w:asciiTheme="minorHAnsi" w:hAnsiTheme="minorHAnsi" w:cstheme="minorHAnsi"/>
          <w:u w:val="single"/>
        </w:rPr>
        <w:t xml:space="preserve"> </w:t>
      </w:r>
      <w:r w:rsidRPr="00197AAA" w:rsidR="00F11A19">
        <w:rPr>
          <w:rFonts w:asciiTheme="minorHAnsi" w:hAnsiTheme="minorHAnsi" w:cstheme="minorHAnsi"/>
          <w:u w:val="single"/>
        </w:rPr>
        <w:t>INSTRUCTIONS AND FORMS, AND DATA ELEMENTS</w:t>
      </w:r>
    </w:p>
    <w:p w:rsidRPr="00197AAA" w:rsidR="00F11A19" w:rsidRDefault="00F11A19" w14:paraId="4EAB6AB4" w14:textId="77777777">
      <w:pPr>
        <w:rPr>
          <w:rFonts w:asciiTheme="minorHAnsi" w:hAnsiTheme="minorHAnsi" w:cstheme="minorHAnsi"/>
        </w:rPr>
      </w:pPr>
    </w:p>
    <w:p w:rsidRPr="00197AAA" w:rsidR="00111AF5" w:rsidP="008E47AB" w:rsidRDefault="00111AF5" w14:paraId="4B8EF4E5" w14:textId="77777777">
      <w:pPr>
        <w:ind w:left="720"/>
        <w:rPr>
          <w:rFonts w:asciiTheme="minorHAnsi" w:hAnsiTheme="minorHAnsi" w:cstheme="minorHAnsi"/>
        </w:rPr>
      </w:pPr>
      <w:r w:rsidRPr="00197AAA">
        <w:rPr>
          <w:rFonts w:asciiTheme="minorHAnsi" w:hAnsiTheme="minorHAnsi" w:cstheme="minorHAnsi"/>
        </w:rPr>
        <w:t>In response to the Federal Register</w:t>
      </w:r>
      <w:r w:rsidRPr="00197AAA" w:rsidR="00FE526C">
        <w:rPr>
          <w:rFonts w:asciiTheme="minorHAnsi" w:hAnsiTheme="minorHAnsi" w:cstheme="minorHAnsi"/>
        </w:rPr>
        <w:t xml:space="preserve"> n</w:t>
      </w:r>
      <w:r w:rsidRPr="00197AAA">
        <w:rPr>
          <w:rFonts w:asciiTheme="minorHAnsi" w:hAnsiTheme="minorHAnsi" w:cstheme="minorHAnsi"/>
        </w:rPr>
        <w:t>otice (</w:t>
      </w:r>
      <w:r w:rsidRPr="00197AAA" w:rsidR="000F395B">
        <w:rPr>
          <w:rFonts w:asciiTheme="minorHAnsi" w:hAnsiTheme="minorHAnsi" w:cstheme="minorHAnsi"/>
        </w:rPr>
        <w:t>8</w:t>
      </w:r>
      <w:r w:rsidRPr="00197AAA" w:rsidR="00270143">
        <w:rPr>
          <w:rFonts w:asciiTheme="minorHAnsi" w:hAnsiTheme="minorHAnsi" w:cstheme="minorHAnsi"/>
        </w:rPr>
        <w:t>5</w:t>
      </w:r>
      <w:r w:rsidRPr="00197AAA" w:rsidR="000F395B">
        <w:rPr>
          <w:rFonts w:asciiTheme="minorHAnsi" w:hAnsiTheme="minorHAnsi" w:cstheme="minorHAnsi"/>
        </w:rPr>
        <w:t xml:space="preserve"> </w:t>
      </w:r>
      <w:r w:rsidRPr="00197AAA">
        <w:rPr>
          <w:rFonts w:asciiTheme="minorHAnsi" w:hAnsiTheme="minorHAnsi" w:cstheme="minorHAnsi"/>
        </w:rPr>
        <w:t xml:space="preserve">FR </w:t>
      </w:r>
      <w:r w:rsidRPr="00197AAA" w:rsidR="00270143">
        <w:rPr>
          <w:rFonts w:asciiTheme="minorHAnsi" w:hAnsiTheme="minorHAnsi" w:cstheme="minorHAnsi"/>
        </w:rPr>
        <w:t>47291</w:t>
      </w:r>
      <w:r w:rsidRPr="00197AAA">
        <w:rPr>
          <w:rFonts w:asciiTheme="minorHAnsi" w:hAnsiTheme="minorHAnsi" w:cstheme="minorHAnsi"/>
        </w:rPr>
        <w:t>),</w:t>
      </w:r>
      <w:r w:rsidRPr="00197AAA" w:rsidR="008E47AB">
        <w:rPr>
          <w:rFonts w:asciiTheme="minorHAnsi" w:hAnsiTheme="minorHAnsi" w:cstheme="minorHAnsi"/>
        </w:rPr>
        <w:t xml:space="preserve"> </w:t>
      </w:r>
      <w:r w:rsidRPr="00197AAA">
        <w:rPr>
          <w:rFonts w:asciiTheme="minorHAnsi" w:hAnsiTheme="minorHAnsi" w:cstheme="minorHAnsi"/>
        </w:rPr>
        <w:t xml:space="preserve">dated </w:t>
      </w:r>
      <w:r w:rsidRPr="00197AAA" w:rsidR="00270143">
        <w:rPr>
          <w:rFonts w:asciiTheme="minorHAnsi" w:hAnsiTheme="minorHAnsi" w:cstheme="minorHAnsi"/>
        </w:rPr>
        <w:t>August 4, 2020</w:t>
      </w:r>
      <w:r w:rsidRPr="00197AAA">
        <w:rPr>
          <w:rFonts w:asciiTheme="minorHAnsi" w:hAnsiTheme="minorHAnsi" w:cstheme="minorHAnsi"/>
        </w:rPr>
        <w:t xml:space="preserve">, we received no comments during the comment period regarding </w:t>
      </w:r>
      <w:r w:rsidRPr="00197AAA" w:rsidR="008E47AB">
        <w:rPr>
          <w:rFonts w:asciiTheme="minorHAnsi" w:hAnsiTheme="minorHAnsi" w:cstheme="minorHAnsi"/>
        </w:rPr>
        <w:t>this form</w:t>
      </w:r>
      <w:r w:rsidRPr="00197AAA">
        <w:rPr>
          <w:rFonts w:asciiTheme="minorHAnsi" w:hAnsiTheme="minorHAnsi" w:cstheme="minorHAnsi"/>
        </w:rPr>
        <w:t>.</w:t>
      </w:r>
    </w:p>
    <w:p w:rsidRPr="00197AAA" w:rsidR="000543A9" w:rsidP="000543A9" w:rsidRDefault="000543A9" w14:paraId="4655DD44" w14:textId="77777777">
      <w:pPr>
        <w:rPr>
          <w:rFonts w:asciiTheme="minorHAnsi" w:hAnsiTheme="minorHAnsi" w:cstheme="minorHAnsi"/>
        </w:rPr>
      </w:pPr>
    </w:p>
    <w:p w:rsidRPr="00197AAA" w:rsidR="00F11A19" w:rsidP="008E47AB" w:rsidRDefault="008E47AB" w14:paraId="67165F01" w14:textId="77777777">
      <w:pPr>
        <w:pStyle w:val="Level1"/>
        <w:numPr>
          <w:ilvl w:val="0"/>
          <w:numId w:val="0"/>
        </w:numPr>
        <w:tabs>
          <w:tab w:val="left" w:pos="-1440"/>
        </w:tabs>
        <w:ind w:left="720" w:hanging="720"/>
        <w:rPr>
          <w:rFonts w:asciiTheme="minorHAnsi" w:hAnsiTheme="minorHAnsi" w:cstheme="minorHAnsi"/>
        </w:rPr>
      </w:pPr>
      <w:r w:rsidRPr="00197AAA">
        <w:rPr>
          <w:rFonts w:asciiTheme="minorHAnsi" w:hAnsiTheme="minorHAnsi" w:cstheme="minorHAnsi"/>
        </w:rPr>
        <w:t>9.</w:t>
      </w:r>
      <w:r w:rsidRPr="00197AAA">
        <w:rPr>
          <w:rFonts w:asciiTheme="minorHAnsi" w:hAnsiTheme="minorHAnsi" w:cstheme="minorHAnsi"/>
        </w:rPr>
        <w:tab/>
      </w:r>
      <w:r w:rsidRPr="00197AAA" w:rsidR="00F11A19">
        <w:rPr>
          <w:rFonts w:asciiTheme="minorHAnsi" w:hAnsiTheme="minorHAnsi" w:cstheme="minorHAnsi"/>
          <w:u w:val="single"/>
        </w:rPr>
        <w:t>EXPLANATION OF DECISION TO PROVIDE ANY PAYMENT OR GIFT TO</w:t>
      </w:r>
      <w:r w:rsidRPr="00197AAA" w:rsidR="009320C8">
        <w:rPr>
          <w:rFonts w:asciiTheme="minorHAnsi" w:hAnsiTheme="minorHAnsi" w:cstheme="minorHAnsi"/>
        </w:rPr>
        <w:t xml:space="preserve"> </w:t>
      </w:r>
      <w:r w:rsidRPr="00197AAA" w:rsidR="00F11A19">
        <w:rPr>
          <w:rFonts w:asciiTheme="minorHAnsi" w:hAnsiTheme="minorHAnsi" w:cstheme="minorHAnsi"/>
          <w:u w:val="single"/>
        </w:rPr>
        <w:t>RESPONDENTS</w:t>
      </w:r>
    </w:p>
    <w:p w:rsidRPr="00197AAA" w:rsidR="00F11A19" w:rsidRDefault="00F11A19" w14:paraId="60479961" w14:textId="77777777">
      <w:pPr>
        <w:rPr>
          <w:rFonts w:asciiTheme="minorHAnsi" w:hAnsiTheme="minorHAnsi" w:cstheme="minorHAnsi"/>
        </w:rPr>
      </w:pPr>
    </w:p>
    <w:p w:rsidRPr="00197AAA" w:rsidR="000F395B" w:rsidP="000F395B" w:rsidRDefault="000F395B" w14:paraId="35D40D48" w14:textId="77777777">
      <w:pPr>
        <w:ind w:left="720"/>
        <w:rPr>
          <w:rFonts w:asciiTheme="minorHAnsi" w:hAnsiTheme="minorHAnsi" w:cstheme="minorHAnsi"/>
        </w:rPr>
      </w:pPr>
      <w:r w:rsidRPr="00197AAA">
        <w:rPr>
          <w:rFonts w:asciiTheme="minorHAnsi" w:hAnsiTheme="minorHAnsi" w:cstheme="minorHAnsi"/>
        </w:rPr>
        <w:t>No payment or gift has been provided to any respondents.</w:t>
      </w:r>
    </w:p>
    <w:p w:rsidR="00627A26" w:rsidP="009320C8" w:rsidRDefault="00627A26" w14:paraId="230E6457" w14:textId="0303177D">
      <w:pPr>
        <w:pStyle w:val="Level1"/>
        <w:numPr>
          <w:ilvl w:val="0"/>
          <w:numId w:val="0"/>
        </w:numPr>
        <w:tabs>
          <w:tab w:val="left" w:pos="-1440"/>
        </w:tabs>
        <w:rPr>
          <w:rFonts w:asciiTheme="minorHAnsi" w:hAnsiTheme="minorHAnsi" w:cstheme="minorHAnsi"/>
        </w:rPr>
      </w:pPr>
    </w:p>
    <w:p w:rsidRPr="00197AAA" w:rsidR="004629FC" w:rsidP="009320C8" w:rsidRDefault="004629FC" w14:paraId="28A8D13B" w14:textId="77777777">
      <w:pPr>
        <w:pStyle w:val="Level1"/>
        <w:numPr>
          <w:ilvl w:val="0"/>
          <w:numId w:val="0"/>
        </w:numPr>
        <w:tabs>
          <w:tab w:val="left" w:pos="-1440"/>
        </w:tabs>
        <w:rPr>
          <w:rFonts w:asciiTheme="minorHAnsi" w:hAnsiTheme="minorHAnsi" w:cstheme="minorHAnsi"/>
        </w:rPr>
      </w:pPr>
    </w:p>
    <w:p w:rsidRPr="00197AAA" w:rsidR="00F11A19" w:rsidP="009320C8" w:rsidRDefault="009320C8" w14:paraId="7A2C27A2" w14:textId="77777777">
      <w:pPr>
        <w:pStyle w:val="Level1"/>
        <w:numPr>
          <w:ilvl w:val="0"/>
          <w:numId w:val="0"/>
        </w:numPr>
        <w:tabs>
          <w:tab w:val="left" w:pos="-1440"/>
        </w:tabs>
        <w:rPr>
          <w:rFonts w:asciiTheme="minorHAnsi" w:hAnsiTheme="minorHAnsi" w:cstheme="minorHAnsi"/>
        </w:rPr>
      </w:pPr>
      <w:r w:rsidRPr="00197AAA">
        <w:rPr>
          <w:rFonts w:asciiTheme="minorHAnsi" w:hAnsiTheme="minorHAnsi" w:cstheme="minorHAnsi"/>
        </w:rPr>
        <w:lastRenderedPageBreak/>
        <w:t>10.</w:t>
      </w:r>
      <w:r w:rsidRPr="00197AAA" w:rsidR="00B73E25">
        <w:rPr>
          <w:rFonts w:asciiTheme="minorHAnsi" w:hAnsiTheme="minorHAnsi" w:cstheme="minorHAnsi"/>
        </w:rPr>
        <w:tab/>
      </w:r>
      <w:r w:rsidRPr="00197AAA">
        <w:rPr>
          <w:rFonts w:asciiTheme="minorHAnsi" w:hAnsiTheme="minorHAnsi" w:cstheme="minorHAnsi"/>
          <w:u w:val="single"/>
        </w:rPr>
        <w:t>A</w:t>
      </w:r>
      <w:r w:rsidRPr="00197AAA" w:rsidR="00F11A19">
        <w:rPr>
          <w:rFonts w:asciiTheme="minorHAnsi" w:hAnsiTheme="minorHAnsi" w:cstheme="minorHAnsi"/>
          <w:u w:val="single"/>
        </w:rPr>
        <w:t>SSURANCE OF CONFIDENTIALITY OF RESPONSES</w:t>
      </w:r>
    </w:p>
    <w:p w:rsidRPr="00197AAA" w:rsidR="00F11A19" w:rsidRDefault="00F11A19" w14:paraId="0AF95D61" w14:textId="77777777">
      <w:pPr>
        <w:rPr>
          <w:rFonts w:asciiTheme="minorHAnsi" w:hAnsiTheme="minorHAnsi" w:cstheme="minorHAnsi"/>
        </w:rPr>
      </w:pPr>
    </w:p>
    <w:p w:rsidRPr="00197AAA" w:rsidR="00F11A19" w:rsidRDefault="00F11A19" w14:paraId="1B7FF887" w14:textId="77777777">
      <w:pPr>
        <w:ind w:left="720"/>
        <w:rPr>
          <w:rFonts w:asciiTheme="minorHAnsi" w:hAnsiTheme="minorHAnsi" w:cstheme="minorHAnsi"/>
        </w:rPr>
      </w:pPr>
      <w:r w:rsidRPr="00197AAA">
        <w:rPr>
          <w:rFonts w:asciiTheme="minorHAnsi" w:hAnsiTheme="minorHAnsi" w:cstheme="minorHAnsi"/>
        </w:rPr>
        <w:t>Generally, tax returns and tax return information are confidential as required by 26 USC 6103.</w:t>
      </w:r>
    </w:p>
    <w:p w:rsidRPr="00197AAA" w:rsidR="00111AF5" w:rsidRDefault="00111AF5" w14:paraId="176E25EB" w14:textId="77777777">
      <w:pPr>
        <w:ind w:left="720"/>
        <w:rPr>
          <w:rFonts w:asciiTheme="minorHAnsi" w:hAnsiTheme="minorHAnsi" w:cstheme="minorHAnsi"/>
        </w:rPr>
      </w:pPr>
      <w:r w:rsidRPr="00197AAA">
        <w:rPr>
          <w:rFonts w:asciiTheme="minorHAnsi" w:hAnsiTheme="minorHAnsi" w:cstheme="minorHAnsi"/>
        </w:rPr>
        <w:t xml:space="preserve">The IRS needs to be able to be in touch with and deliver the "redemption" check to buy the property.  The form asks for that information to be able to complete the sale.  If there is any problem - the check is put in an escrow fund and Counsel assists the IRS in crafting the redemption paperwork to be recorded with the appropriate registrar's office to complete the redemption. </w:t>
      </w:r>
      <w:r w:rsidRPr="00197AAA" w:rsidR="00FE526C">
        <w:rPr>
          <w:rFonts w:asciiTheme="minorHAnsi" w:hAnsiTheme="minorHAnsi" w:cstheme="minorHAnsi"/>
        </w:rPr>
        <w:t>Then the IRS sale moves forward</w:t>
      </w:r>
      <w:r w:rsidRPr="00197AAA">
        <w:rPr>
          <w:rFonts w:asciiTheme="minorHAnsi" w:hAnsiTheme="minorHAnsi" w:cstheme="minorHAnsi"/>
        </w:rPr>
        <w:t>.</w:t>
      </w:r>
    </w:p>
    <w:p w:rsidRPr="00197AAA" w:rsidR="00F11A19" w:rsidRDefault="00F11A19" w14:paraId="77B157CC" w14:textId="77777777">
      <w:pPr>
        <w:rPr>
          <w:rFonts w:asciiTheme="minorHAnsi" w:hAnsiTheme="minorHAnsi" w:cstheme="minorHAnsi"/>
        </w:rPr>
      </w:pPr>
    </w:p>
    <w:p w:rsidRPr="00197AAA" w:rsidR="00F11A19" w:rsidP="009320C8" w:rsidRDefault="009320C8" w14:paraId="69822C7C" w14:textId="77777777">
      <w:pPr>
        <w:pStyle w:val="Level1"/>
        <w:numPr>
          <w:ilvl w:val="0"/>
          <w:numId w:val="0"/>
        </w:numPr>
        <w:tabs>
          <w:tab w:val="left" w:pos="-1440"/>
        </w:tabs>
        <w:rPr>
          <w:rFonts w:asciiTheme="minorHAnsi" w:hAnsiTheme="minorHAnsi" w:cstheme="minorHAnsi"/>
          <w:u w:val="single"/>
        </w:rPr>
      </w:pPr>
      <w:r w:rsidRPr="00197AAA">
        <w:rPr>
          <w:rFonts w:asciiTheme="minorHAnsi" w:hAnsiTheme="minorHAnsi" w:cstheme="minorHAnsi"/>
        </w:rPr>
        <w:t>11.</w:t>
      </w:r>
      <w:r w:rsidRPr="00197AAA" w:rsidR="00B73E25">
        <w:rPr>
          <w:rFonts w:asciiTheme="minorHAnsi" w:hAnsiTheme="minorHAnsi" w:cstheme="minorHAnsi"/>
        </w:rPr>
        <w:tab/>
      </w:r>
      <w:r w:rsidRPr="00197AAA" w:rsidR="00F11A19">
        <w:rPr>
          <w:rFonts w:asciiTheme="minorHAnsi" w:hAnsiTheme="minorHAnsi" w:cstheme="minorHAnsi"/>
          <w:u w:val="single"/>
        </w:rPr>
        <w:t>JUSTIFICATION OF SENSITIVE QUESTIONS</w:t>
      </w:r>
    </w:p>
    <w:p w:rsidRPr="00197AAA" w:rsidR="00F11A19" w:rsidRDefault="00F11A19" w14:paraId="41F18928" w14:textId="77777777">
      <w:pPr>
        <w:rPr>
          <w:rFonts w:asciiTheme="minorHAnsi" w:hAnsiTheme="minorHAnsi" w:cstheme="minorHAnsi"/>
          <w:u w:val="single"/>
        </w:rPr>
      </w:pPr>
    </w:p>
    <w:p w:rsidRPr="00197AAA" w:rsidR="00F11A19" w:rsidP="00270143" w:rsidRDefault="00270143" w14:paraId="6A27A3E3" w14:textId="77777777">
      <w:pPr>
        <w:ind w:left="720"/>
        <w:rPr>
          <w:rFonts w:asciiTheme="minorHAnsi" w:hAnsiTheme="minorHAnsi" w:cstheme="minorHAnsi"/>
        </w:rPr>
      </w:pPr>
      <w:r w:rsidRPr="00197AAA">
        <w:rPr>
          <w:rFonts w:asciiTheme="minorHAnsi" w:hAnsiTheme="minorHAnsi" w:cstheme="minorHAnsi"/>
        </w:rPr>
        <w:t>There is no sensitive personally identifiable information (PII) in this collection.</w:t>
      </w:r>
    </w:p>
    <w:p w:rsidRPr="00197AAA" w:rsidR="00270143" w:rsidP="00270143" w:rsidRDefault="00270143" w14:paraId="0DC72BF0" w14:textId="77777777">
      <w:pPr>
        <w:ind w:left="720"/>
        <w:rPr>
          <w:rFonts w:asciiTheme="minorHAnsi" w:hAnsiTheme="minorHAnsi" w:cstheme="minorHAnsi"/>
        </w:rPr>
      </w:pPr>
    </w:p>
    <w:p w:rsidRPr="00197AAA" w:rsidR="00F11A19" w:rsidP="009320C8" w:rsidRDefault="009320C8" w14:paraId="2CED3BF4" w14:textId="77777777">
      <w:pPr>
        <w:pStyle w:val="Level1"/>
        <w:numPr>
          <w:ilvl w:val="0"/>
          <w:numId w:val="0"/>
        </w:numPr>
        <w:tabs>
          <w:tab w:val="left" w:pos="-1440"/>
        </w:tabs>
        <w:rPr>
          <w:rFonts w:asciiTheme="minorHAnsi" w:hAnsiTheme="minorHAnsi" w:cstheme="minorHAnsi"/>
          <w:u w:val="single"/>
        </w:rPr>
      </w:pPr>
      <w:r w:rsidRPr="00197AAA">
        <w:rPr>
          <w:rFonts w:asciiTheme="minorHAnsi" w:hAnsiTheme="minorHAnsi" w:cstheme="minorHAnsi"/>
        </w:rPr>
        <w:t>12.</w:t>
      </w:r>
      <w:r w:rsidRPr="00197AAA" w:rsidR="00B73E25">
        <w:rPr>
          <w:rFonts w:asciiTheme="minorHAnsi" w:hAnsiTheme="minorHAnsi" w:cstheme="minorHAnsi"/>
        </w:rPr>
        <w:tab/>
      </w:r>
      <w:r w:rsidRPr="00197AAA" w:rsidR="00F11A19">
        <w:rPr>
          <w:rFonts w:asciiTheme="minorHAnsi" w:hAnsiTheme="minorHAnsi" w:cstheme="minorHAnsi"/>
          <w:u w:val="single"/>
        </w:rPr>
        <w:t>ESTIMATED BURDEN OF INFORMATION COLLECTION</w:t>
      </w:r>
    </w:p>
    <w:p w:rsidRPr="00197AAA" w:rsidR="00F11A19" w:rsidRDefault="00F11A19" w14:paraId="2421C819" w14:textId="77777777">
      <w:pPr>
        <w:rPr>
          <w:rFonts w:asciiTheme="minorHAnsi" w:hAnsiTheme="minorHAnsi" w:cstheme="minorHAnsi"/>
          <w:u w:val="single"/>
        </w:rPr>
      </w:pPr>
    </w:p>
    <w:p w:rsidRPr="004629FC" w:rsidR="004629FC" w:rsidP="00E015C0" w:rsidRDefault="004629FC" w14:paraId="19FFFE0B" w14:textId="2D59143C">
      <w:pPr>
        <w:ind w:left="720"/>
        <w:rPr>
          <w:rFonts w:asciiTheme="minorHAnsi" w:hAnsiTheme="minorHAnsi" w:cstheme="minorHAnsi"/>
          <w:bCs/>
        </w:rPr>
      </w:pPr>
      <w:r w:rsidRPr="004629FC">
        <w:rPr>
          <w:rFonts w:asciiTheme="minorHAnsi" w:hAnsiTheme="minorHAnsi" w:cstheme="minorHAnsi"/>
          <w:bCs/>
        </w:rPr>
        <w:t xml:space="preserve">Form </w:t>
      </w:r>
      <w:r>
        <w:rPr>
          <w:rFonts w:asciiTheme="minorHAnsi" w:hAnsiTheme="minorHAnsi" w:cstheme="minorHAnsi"/>
          <w:bCs/>
        </w:rPr>
        <w:t>15597</w:t>
      </w:r>
      <w:r w:rsidRPr="004629FC">
        <w:rPr>
          <w:rFonts w:asciiTheme="minorHAnsi" w:hAnsiTheme="minorHAnsi" w:cstheme="minorHAnsi"/>
          <w:bCs/>
        </w:rPr>
        <w:t xml:space="preserve"> was created to </w:t>
      </w:r>
      <w:r>
        <w:rPr>
          <w:rFonts w:asciiTheme="minorHAnsi" w:hAnsiTheme="minorHAnsi" w:cstheme="minorHAnsi"/>
          <w:bCs/>
        </w:rPr>
        <w:t>request contact information from a foreclosure sale purchaser when the IRS is considering the redemption of a property.</w:t>
      </w:r>
    </w:p>
    <w:p w:rsidRPr="004629FC" w:rsidR="004629FC" w:rsidP="004629FC" w:rsidRDefault="004629FC" w14:paraId="0CC1997B" w14:textId="77777777">
      <w:pPr>
        <w:ind w:left="720"/>
        <w:rPr>
          <w:rFonts w:asciiTheme="minorHAnsi" w:hAnsiTheme="minorHAnsi" w:cstheme="minorHAnsi"/>
          <w:bCs/>
        </w:rPr>
      </w:pPr>
      <w:bookmarkStart w:name="_GoBack" w:id="0"/>
      <w:bookmarkEnd w:id="0"/>
    </w:p>
    <w:p w:rsidRPr="004629FC" w:rsidR="004629FC" w:rsidP="004629FC" w:rsidRDefault="004629FC" w14:paraId="7A29C0F9" w14:textId="77777777">
      <w:pPr>
        <w:ind w:left="720"/>
        <w:rPr>
          <w:rFonts w:asciiTheme="minorHAnsi" w:hAnsiTheme="minorHAnsi" w:cstheme="minorHAnsi"/>
          <w:bCs/>
        </w:rPr>
      </w:pPr>
      <w:r w:rsidRPr="004629FC">
        <w:rPr>
          <w:rFonts w:asciiTheme="minorHAnsi" w:hAnsiTheme="minorHAnsi" w:cstheme="minorHAnsi"/>
          <w:bCs/>
        </w:rPr>
        <w:t>The burden estimate is as follows:</w:t>
      </w:r>
    </w:p>
    <w:p w:rsidRPr="00197AAA" w:rsidR="000F395B" w:rsidP="00211707" w:rsidRDefault="000F395B" w14:paraId="3F06335C" w14:textId="77777777">
      <w:pPr>
        <w:tabs>
          <w:tab w:val="left" w:pos="3600"/>
          <w:tab w:val="left" w:pos="5760"/>
        </w:tabs>
        <w:ind w:left="720"/>
        <w:rPr>
          <w:rFonts w:asciiTheme="minorHAnsi" w:hAnsiTheme="minorHAnsi" w:cstheme="minorHAnsi"/>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6"/>
        <w:gridCol w:w="1908"/>
        <w:gridCol w:w="1188"/>
        <w:gridCol w:w="1169"/>
        <w:gridCol w:w="1079"/>
        <w:gridCol w:w="1168"/>
        <w:gridCol w:w="1166"/>
      </w:tblGrid>
      <w:tr w:rsidRPr="00197AAA" w:rsidR="000F395B" w:rsidTr="004629FC" w14:paraId="441E3F70" w14:textId="77777777">
        <w:tc>
          <w:tcPr>
            <w:tcW w:w="1256" w:type="dxa"/>
            <w:shd w:val="clear" w:color="auto" w:fill="auto"/>
            <w:vAlign w:val="bottom"/>
          </w:tcPr>
          <w:p w:rsidRPr="00197AAA" w:rsidR="000F395B" w:rsidP="000F395B" w:rsidRDefault="000F395B" w14:paraId="6BED26D0" w14:textId="77777777">
            <w:pPr>
              <w:keepNext/>
              <w:keepLines/>
              <w:numPr>
                <w:ilvl w:val="12"/>
                <w:numId w:val="0"/>
              </w:numPr>
              <w:jc w:val="center"/>
              <w:rPr>
                <w:rFonts w:asciiTheme="minorHAnsi" w:hAnsiTheme="minorHAnsi" w:cstheme="minorHAnsi"/>
                <w:b/>
                <w:sz w:val="18"/>
                <w:szCs w:val="18"/>
              </w:rPr>
            </w:pPr>
            <w:r w:rsidRPr="00197AAA">
              <w:rPr>
                <w:rFonts w:asciiTheme="minorHAnsi" w:hAnsiTheme="minorHAnsi" w:cstheme="minorHAnsi"/>
                <w:b/>
                <w:sz w:val="18"/>
                <w:szCs w:val="18"/>
              </w:rPr>
              <w:t>Authority</w:t>
            </w:r>
          </w:p>
        </w:tc>
        <w:tc>
          <w:tcPr>
            <w:tcW w:w="1908" w:type="dxa"/>
            <w:vAlign w:val="bottom"/>
          </w:tcPr>
          <w:p w:rsidRPr="00197AAA" w:rsidR="000F395B" w:rsidP="000F395B" w:rsidRDefault="000F395B" w14:paraId="03F6E3F7" w14:textId="77777777">
            <w:pPr>
              <w:keepNext/>
              <w:keepLines/>
              <w:numPr>
                <w:ilvl w:val="12"/>
                <w:numId w:val="0"/>
              </w:numPr>
              <w:jc w:val="center"/>
              <w:rPr>
                <w:rFonts w:asciiTheme="minorHAnsi" w:hAnsiTheme="minorHAnsi" w:cstheme="minorHAnsi"/>
                <w:b/>
                <w:sz w:val="18"/>
                <w:szCs w:val="18"/>
              </w:rPr>
            </w:pPr>
            <w:r w:rsidRPr="00197AAA">
              <w:rPr>
                <w:rFonts w:asciiTheme="minorHAnsi" w:hAnsiTheme="minorHAnsi" w:cstheme="minorHAnsi"/>
                <w:b/>
                <w:sz w:val="18"/>
                <w:szCs w:val="18"/>
              </w:rPr>
              <w:t>Description</w:t>
            </w:r>
          </w:p>
        </w:tc>
        <w:tc>
          <w:tcPr>
            <w:tcW w:w="1188" w:type="dxa"/>
            <w:vAlign w:val="bottom"/>
          </w:tcPr>
          <w:p w:rsidRPr="00197AAA" w:rsidR="000F395B" w:rsidP="000F395B" w:rsidRDefault="000F395B" w14:paraId="31942B83" w14:textId="77777777">
            <w:pPr>
              <w:keepNext/>
              <w:keepLines/>
              <w:numPr>
                <w:ilvl w:val="12"/>
                <w:numId w:val="0"/>
              </w:numPr>
              <w:jc w:val="center"/>
              <w:rPr>
                <w:rFonts w:asciiTheme="minorHAnsi" w:hAnsiTheme="minorHAnsi" w:cstheme="minorHAnsi"/>
                <w:b/>
                <w:sz w:val="18"/>
                <w:szCs w:val="18"/>
              </w:rPr>
            </w:pPr>
            <w:r w:rsidRPr="00197AAA">
              <w:rPr>
                <w:rFonts w:asciiTheme="minorHAnsi" w:hAnsiTheme="minorHAnsi" w:cstheme="minorHAnsi"/>
                <w:b/>
                <w:sz w:val="18"/>
                <w:szCs w:val="18"/>
              </w:rPr>
              <w:t># of Respondents</w:t>
            </w:r>
          </w:p>
        </w:tc>
        <w:tc>
          <w:tcPr>
            <w:tcW w:w="1169" w:type="dxa"/>
            <w:vAlign w:val="bottom"/>
          </w:tcPr>
          <w:p w:rsidRPr="00197AAA" w:rsidR="000F395B" w:rsidP="000F395B" w:rsidRDefault="000F395B" w14:paraId="1C55FD95" w14:textId="77777777">
            <w:pPr>
              <w:keepNext/>
              <w:keepLines/>
              <w:numPr>
                <w:ilvl w:val="12"/>
                <w:numId w:val="0"/>
              </w:numPr>
              <w:jc w:val="center"/>
              <w:rPr>
                <w:rFonts w:asciiTheme="minorHAnsi" w:hAnsiTheme="minorHAnsi" w:cstheme="minorHAnsi"/>
                <w:b/>
                <w:sz w:val="18"/>
                <w:szCs w:val="18"/>
              </w:rPr>
            </w:pPr>
            <w:r w:rsidRPr="00197AAA">
              <w:rPr>
                <w:rFonts w:asciiTheme="minorHAnsi" w:hAnsiTheme="minorHAnsi" w:cstheme="minorHAnsi"/>
                <w:b/>
                <w:sz w:val="18"/>
                <w:szCs w:val="18"/>
              </w:rPr>
              <w:t># Responses per Respondent</w:t>
            </w:r>
          </w:p>
        </w:tc>
        <w:tc>
          <w:tcPr>
            <w:tcW w:w="1079" w:type="dxa"/>
            <w:shd w:val="clear" w:color="auto" w:fill="auto"/>
            <w:vAlign w:val="bottom"/>
          </w:tcPr>
          <w:p w:rsidRPr="00197AAA" w:rsidR="000F395B" w:rsidP="000F395B" w:rsidRDefault="000F395B" w14:paraId="29EE116D" w14:textId="77777777">
            <w:pPr>
              <w:keepNext/>
              <w:keepLines/>
              <w:numPr>
                <w:ilvl w:val="12"/>
                <w:numId w:val="0"/>
              </w:numPr>
              <w:jc w:val="center"/>
              <w:rPr>
                <w:rFonts w:asciiTheme="minorHAnsi" w:hAnsiTheme="minorHAnsi" w:cstheme="minorHAnsi"/>
                <w:b/>
                <w:sz w:val="18"/>
                <w:szCs w:val="18"/>
              </w:rPr>
            </w:pPr>
            <w:r w:rsidRPr="00197AAA">
              <w:rPr>
                <w:rFonts w:asciiTheme="minorHAnsi" w:hAnsiTheme="minorHAnsi" w:cstheme="minorHAnsi"/>
                <w:b/>
                <w:sz w:val="18"/>
                <w:szCs w:val="18"/>
              </w:rPr>
              <w:t>Annual Responses</w:t>
            </w:r>
          </w:p>
        </w:tc>
        <w:tc>
          <w:tcPr>
            <w:tcW w:w="1168" w:type="dxa"/>
            <w:vAlign w:val="bottom"/>
          </w:tcPr>
          <w:p w:rsidRPr="00197AAA" w:rsidR="000F395B" w:rsidP="000F395B" w:rsidRDefault="000F395B" w14:paraId="2D1F4356" w14:textId="77777777">
            <w:pPr>
              <w:keepNext/>
              <w:keepLines/>
              <w:numPr>
                <w:ilvl w:val="12"/>
                <w:numId w:val="0"/>
              </w:numPr>
              <w:jc w:val="center"/>
              <w:rPr>
                <w:rFonts w:asciiTheme="minorHAnsi" w:hAnsiTheme="minorHAnsi" w:cstheme="minorHAnsi"/>
                <w:b/>
                <w:sz w:val="18"/>
                <w:szCs w:val="18"/>
              </w:rPr>
            </w:pPr>
            <w:r w:rsidRPr="00197AAA">
              <w:rPr>
                <w:rFonts w:asciiTheme="minorHAnsi" w:hAnsiTheme="minorHAnsi" w:cstheme="minorHAnsi"/>
                <w:b/>
                <w:sz w:val="18"/>
                <w:szCs w:val="18"/>
              </w:rPr>
              <w:t>Hours per Response</w:t>
            </w:r>
          </w:p>
        </w:tc>
        <w:tc>
          <w:tcPr>
            <w:tcW w:w="1166" w:type="dxa"/>
            <w:shd w:val="clear" w:color="auto" w:fill="auto"/>
            <w:vAlign w:val="bottom"/>
          </w:tcPr>
          <w:p w:rsidRPr="00197AAA" w:rsidR="000F395B" w:rsidP="000F395B" w:rsidRDefault="000F395B" w14:paraId="236711B0" w14:textId="77777777">
            <w:pPr>
              <w:keepNext/>
              <w:keepLines/>
              <w:numPr>
                <w:ilvl w:val="12"/>
                <w:numId w:val="0"/>
              </w:numPr>
              <w:jc w:val="center"/>
              <w:rPr>
                <w:rFonts w:asciiTheme="minorHAnsi" w:hAnsiTheme="minorHAnsi" w:cstheme="minorHAnsi"/>
                <w:b/>
                <w:sz w:val="18"/>
                <w:szCs w:val="18"/>
              </w:rPr>
            </w:pPr>
            <w:r w:rsidRPr="00197AAA">
              <w:rPr>
                <w:rFonts w:asciiTheme="minorHAnsi" w:hAnsiTheme="minorHAnsi" w:cstheme="minorHAnsi"/>
                <w:b/>
                <w:sz w:val="18"/>
                <w:szCs w:val="18"/>
              </w:rPr>
              <w:t>Total Burden</w:t>
            </w:r>
          </w:p>
        </w:tc>
      </w:tr>
      <w:tr w:rsidRPr="00197AAA" w:rsidR="000F395B" w:rsidTr="004629FC" w14:paraId="498D0BB7" w14:textId="77777777">
        <w:tc>
          <w:tcPr>
            <w:tcW w:w="1256" w:type="dxa"/>
            <w:shd w:val="clear" w:color="auto" w:fill="auto"/>
            <w:vAlign w:val="bottom"/>
          </w:tcPr>
          <w:p w:rsidRPr="00197AAA" w:rsidR="000F395B" w:rsidP="000F395B" w:rsidRDefault="000F395B" w14:paraId="577495DC"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Title 28 USC 2410 and IRC 7425</w:t>
            </w:r>
          </w:p>
        </w:tc>
        <w:tc>
          <w:tcPr>
            <w:tcW w:w="1908" w:type="dxa"/>
            <w:vAlign w:val="bottom"/>
          </w:tcPr>
          <w:p w:rsidRPr="00197AAA" w:rsidR="000F395B" w:rsidP="000F395B" w:rsidRDefault="000F395B" w14:paraId="2EA60186"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Form 15597</w:t>
            </w:r>
          </w:p>
        </w:tc>
        <w:tc>
          <w:tcPr>
            <w:tcW w:w="1188" w:type="dxa"/>
            <w:vAlign w:val="bottom"/>
          </w:tcPr>
          <w:p w:rsidRPr="00197AAA" w:rsidR="000F395B" w:rsidP="000F395B" w:rsidRDefault="000F395B" w14:paraId="31953B09"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150</w:t>
            </w:r>
          </w:p>
        </w:tc>
        <w:tc>
          <w:tcPr>
            <w:tcW w:w="1169" w:type="dxa"/>
            <w:vAlign w:val="bottom"/>
          </w:tcPr>
          <w:p w:rsidRPr="00197AAA" w:rsidR="000F395B" w:rsidP="000F395B" w:rsidRDefault="000F395B" w14:paraId="45069B71"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1</w:t>
            </w:r>
          </w:p>
        </w:tc>
        <w:tc>
          <w:tcPr>
            <w:tcW w:w="1079" w:type="dxa"/>
            <w:shd w:val="clear" w:color="auto" w:fill="auto"/>
            <w:vAlign w:val="bottom"/>
          </w:tcPr>
          <w:p w:rsidRPr="00197AAA" w:rsidR="000F395B" w:rsidP="000F395B" w:rsidRDefault="000F395B" w14:paraId="2986095B"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150</w:t>
            </w:r>
          </w:p>
        </w:tc>
        <w:tc>
          <w:tcPr>
            <w:tcW w:w="1168" w:type="dxa"/>
            <w:vAlign w:val="bottom"/>
          </w:tcPr>
          <w:p w:rsidRPr="00197AAA" w:rsidR="000F395B" w:rsidP="000F395B" w:rsidRDefault="000F395B" w14:paraId="1621B098"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4.086</w:t>
            </w:r>
          </w:p>
        </w:tc>
        <w:tc>
          <w:tcPr>
            <w:tcW w:w="1166" w:type="dxa"/>
            <w:shd w:val="clear" w:color="auto" w:fill="auto"/>
            <w:vAlign w:val="bottom"/>
          </w:tcPr>
          <w:p w:rsidRPr="00197AAA" w:rsidR="000F395B" w:rsidP="000F395B" w:rsidRDefault="000F395B" w14:paraId="2580641A"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613</w:t>
            </w:r>
          </w:p>
        </w:tc>
      </w:tr>
      <w:tr w:rsidRPr="00197AAA" w:rsidR="000F395B" w:rsidTr="004629FC" w14:paraId="0ED91D07" w14:textId="77777777">
        <w:tc>
          <w:tcPr>
            <w:tcW w:w="1256" w:type="dxa"/>
            <w:shd w:val="clear" w:color="auto" w:fill="auto"/>
            <w:vAlign w:val="bottom"/>
          </w:tcPr>
          <w:p w:rsidRPr="00197AAA" w:rsidR="000F395B" w:rsidP="000F395B" w:rsidRDefault="000F395B" w14:paraId="43075641" w14:textId="77777777">
            <w:pPr>
              <w:keepNext/>
              <w:keepLines/>
              <w:numPr>
                <w:ilvl w:val="12"/>
                <w:numId w:val="0"/>
              </w:numPr>
              <w:jc w:val="center"/>
              <w:rPr>
                <w:rFonts w:asciiTheme="minorHAnsi" w:hAnsiTheme="minorHAnsi" w:cstheme="minorHAnsi"/>
                <w:sz w:val="18"/>
                <w:szCs w:val="18"/>
              </w:rPr>
            </w:pPr>
            <w:r w:rsidRPr="00197AAA">
              <w:rPr>
                <w:rFonts w:asciiTheme="minorHAnsi" w:hAnsiTheme="minorHAnsi" w:cstheme="minorHAnsi"/>
                <w:sz w:val="18"/>
                <w:szCs w:val="18"/>
              </w:rPr>
              <w:t>Totals</w:t>
            </w:r>
          </w:p>
        </w:tc>
        <w:tc>
          <w:tcPr>
            <w:tcW w:w="1908" w:type="dxa"/>
            <w:vAlign w:val="bottom"/>
          </w:tcPr>
          <w:p w:rsidRPr="00197AAA" w:rsidR="000F395B" w:rsidP="000F395B" w:rsidRDefault="000F395B" w14:paraId="0B84CF3D" w14:textId="77777777">
            <w:pPr>
              <w:keepNext/>
              <w:keepLines/>
              <w:numPr>
                <w:ilvl w:val="12"/>
                <w:numId w:val="0"/>
              </w:numPr>
              <w:jc w:val="center"/>
              <w:rPr>
                <w:rFonts w:asciiTheme="minorHAnsi" w:hAnsiTheme="minorHAnsi" w:cstheme="minorHAnsi"/>
                <w:sz w:val="18"/>
                <w:szCs w:val="18"/>
              </w:rPr>
            </w:pPr>
          </w:p>
        </w:tc>
        <w:tc>
          <w:tcPr>
            <w:tcW w:w="1188" w:type="dxa"/>
            <w:vAlign w:val="bottom"/>
          </w:tcPr>
          <w:p w:rsidRPr="00197AAA" w:rsidR="000F395B" w:rsidP="000F395B" w:rsidRDefault="000F395B" w14:paraId="010EFF8D" w14:textId="77777777">
            <w:pPr>
              <w:keepNext/>
              <w:keepLines/>
              <w:numPr>
                <w:ilvl w:val="12"/>
                <w:numId w:val="0"/>
              </w:numPr>
              <w:jc w:val="center"/>
              <w:rPr>
                <w:rFonts w:asciiTheme="minorHAnsi" w:hAnsiTheme="minorHAnsi" w:cstheme="minorHAnsi"/>
                <w:sz w:val="18"/>
                <w:szCs w:val="18"/>
              </w:rPr>
            </w:pPr>
          </w:p>
        </w:tc>
        <w:tc>
          <w:tcPr>
            <w:tcW w:w="1169" w:type="dxa"/>
            <w:vAlign w:val="bottom"/>
          </w:tcPr>
          <w:p w:rsidRPr="00197AAA" w:rsidR="000F395B" w:rsidP="000F395B" w:rsidRDefault="000F395B" w14:paraId="376E7407" w14:textId="77777777">
            <w:pPr>
              <w:keepNext/>
              <w:keepLines/>
              <w:numPr>
                <w:ilvl w:val="12"/>
                <w:numId w:val="0"/>
              </w:numPr>
              <w:jc w:val="center"/>
              <w:rPr>
                <w:rFonts w:asciiTheme="minorHAnsi" w:hAnsiTheme="minorHAnsi" w:cstheme="minorHAnsi"/>
                <w:sz w:val="18"/>
                <w:szCs w:val="18"/>
              </w:rPr>
            </w:pPr>
          </w:p>
        </w:tc>
        <w:tc>
          <w:tcPr>
            <w:tcW w:w="1079" w:type="dxa"/>
            <w:shd w:val="clear" w:color="auto" w:fill="auto"/>
            <w:vAlign w:val="bottom"/>
          </w:tcPr>
          <w:p w:rsidRPr="00197AAA" w:rsidR="000F395B" w:rsidP="000F395B" w:rsidRDefault="000F395B" w14:paraId="2366060A" w14:textId="77777777">
            <w:pPr>
              <w:keepNext/>
              <w:keepLines/>
              <w:numPr>
                <w:ilvl w:val="12"/>
                <w:numId w:val="0"/>
              </w:numPr>
              <w:jc w:val="center"/>
              <w:rPr>
                <w:rFonts w:asciiTheme="minorHAnsi" w:hAnsiTheme="minorHAnsi" w:cstheme="minorHAnsi"/>
                <w:sz w:val="18"/>
                <w:szCs w:val="18"/>
              </w:rPr>
            </w:pPr>
          </w:p>
        </w:tc>
        <w:tc>
          <w:tcPr>
            <w:tcW w:w="1168" w:type="dxa"/>
            <w:vAlign w:val="bottom"/>
          </w:tcPr>
          <w:p w:rsidRPr="00197AAA" w:rsidR="000F395B" w:rsidP="000F395B" w:rsidRDefault="000F395B" w14:paraId="1C02763E" w14:textId="77777777">
            <w:pPr>
              <w:keepNext/>
              <w:keepLines/>
              <w:numPr>
                <w:ilvl w:val="12"/>
                <w:numId w:val="0"/>
              </w:numPr>
              <w:jc w:val="center"/>
              <w:rPr>
                <w:rFonts w:asciiTheme="minorHAnsi" w:hAnsiTheme="minorHAnsi" w:cstheme="minorHAnsi"/>
                <w:sz w:val="18"/>
                <w:szCs w:val="18"/>
              </w:rPr>
            </w:pPr>
          </w:p>
        </w:tc>
        <w:tc>
          <w:tcPr>
            <w:tcW w:w="1166" w:type="dxa"/>
            <w:shd w:val="clear" w:color="auto" w:fill="auto"/>
            <w:vAlign w:val="bottom"/>
          </w:tcPr>
          <w:p w:rsidRPr="00197AAA" w:rsidR="000F395B" w:rsidP="000F395B" w:rsidRDefault="000F395B" w14:paraId="257EDC60" w14:textId="77777777">
            <w:pPr>
              <w:keepNext/>
              <w:keepLines/>
              <w:numPr>
                <w:ilvl w:val="12"/>
                <w:numId w:val="0"/>
              </w:numPr>
              <w:jc w:val="center"/>
              <w:rPr>
                <w:rFonts w:asciiTheme="minorHAnsi" w:hAnsiTheme="minorHAnsi" w:cstheme="minorHAnsi"/>
                <w:sz w:val="18"/>
                <w:szCs w:val="18"/>
              </w:rPr>
            </w:pPr>
          </w:p>
        </w:tc>
      </w:tr>
    </w:tbl>
    <w:p w:rsidR="004629FC" w:rsidP="004629FC" w:rsidRDefault="004629FC" w14:paraId="0EE95648" w14:textId="77777777">
      <w:pPr>
        <w:ind w:left="720"/>
        <w:rPr>
          <w:rFonts w:ascii="Calibri" w:hAnsi="Calibri"/>
          <w:sz w:val="22"/>
          <w:szCs w:val="22"/>
        </w:rPr>
      </w:pPr>
    </w:p>
    <w:p w:rsidRPr="004629FC" w:rsidR="004629FC" w:rsidP="004629FC" w:rsidRDefault="004629FC" w14:paraId="52CACE3B" w14:textId="2DCF4126">
      <w:pPr>
        <w:ind w:left="720"/>
        <w:rPr>
          <w:rFonts w:ascii="Calibri" w:hAnsi="Calibri"/>
        </w:rPr>
      </w:pPr>
      <w:r w:rsidRPr="004629FC">
        <w:rPr>
          <w:rFonts w:ascii="Calibri" w:hAnsi="Calibri"/>
        </w:rPr>
        <w:t>The following regulations impose no additional burden. Please continue to assign OMB number 1545-</w:t>
      </w:r>
      <w:r>
        <w:rPr>
          <w:rFonts w:ascii="Calibri" w:hAnsi="Calibri"/>
        </w:rPr>
        <w:t>2199</w:t>
      </w:r>
      <w:r w:rsidRPr="004629FC">
        <w:rPr>
          <w:rFonts w:ascii="Calibri" w:hAnsi="Calibri"/>
        </w:rPr>
        <w:t xml:space="preserve"> to th</w:t>
      </w:r>
      <w:r>
        <w:rPr>
          <w:rFonts w:ascii="Calibri" w:hAnsi="Calibri"/>
        </w:rPr>
        <w:t>i</w:t>
      </w:r>
      <w:r w:rsidRPr="004629FC">
        <w:rPr>
          <w:rFonts w:ascii="Calibri" w:hAnsi="Calibri"/>
        </w:rPr>
        <w:t xml:space="preserve">s regulation. </w:t>
      </w:r>
    </w:p>
    <w:p w:rsidRPr="004629FC" w:rsidR="004629FC" w:rsidP="004629FC" w:rsidRDefault="004629FC" w14:paraId="495681E1" w14:textId="7C579119">
      <w:pPr>
        <w:ind w:left="720"/>
        <w:rPr>
          <w:rFonts w:ascii="Calibri" w:hAnsi="Calibri"/>
        </w:rPr>
      </w:pPr>
      <w:r>
        <w:rPr>
          <w:rFonts w:ascii="Calibri" w:hAnsi="Calibri"/>
        </w:rPr>
        <w:t>30</w:t>
      </w:r>
      <w:r w:rsidRPr="004629FC">
        <w:rPr>
          <w:rFonts w:ascii="Calibri" w:hAnsi="Calibri"/>
        </w:rPr>
        <w:t>1.</w:t>
      </w:r>
      <w:r>
        <w:rPr>
          <w:rFonts w:ascii="Calibri" w:hAnsi="Calibri"/>
        </w:rPr>
        <w:t>7</w:t>
      </w:r>
      <w:r w:rsidRPr="004629FC">
        <w:rPr>
          <w:rFonts w:ascii="Calibri" w:hAnsi="Calibri"/>
        </w:rPr>
        <w:t>4</w:t>
      </w:r>
      <w:r>
        <w:rPr>
          <w:rFonts w:ascii="Calibri" w:hAnsi="Calibri"/>
        </w:rPr>
        <w:t>2</w:t>
      </w:r>
      <w:r w:rsidRPr="004629FC">
        <w:rPr>
          <w:rFonts w:ascii="Calibri" w:hAnsi="Calibri"/>
        </w:rPr>
        <w:t>5-</w:t>
      </w:r>
      <w:r>
        <w:rPr>
          <w:rFonts w:ascii="Calibri" w:hAnsi="Calibri"/>
        </w:rPr>
        <w:t>4</w:t>
      </w:r>
    </w:p>
    <w:p w:rsidRPr="00197AAA" w:rsidR="000F395B" w:rsidP="00211707" w:rsidRDefault="000F395B" w14:paraId="3A3B5A54" w14:textId="77777777">
      <w:pPr>
        <w:tabs>
          <w:tab w:val="left" w:pos="3600"/>
          <w:tab w:val="left" w:pos="5760"/>
        </w:tabs>
        <w:ind w:left="720"/>
        <w:rPr>
          <w:rFonts w:asciiTheme="minorHAnsi" w:hAnsiTheme="minorHAnsi" w:cstheme="minorHAnsi"/>
        </w:rPr>
      </w:pPr>
    </w:p>
    <w:p w:rsidRPr="00197AAA" w:rsidR="00B16E7B" w:rsidRDefault="00B16E7B" w14:paraId="1205189E" w14:textId="77777777">
      <w:pPr>
        <w:rPr>
          <w:rFonts w:asciiTheme="minorHAnsi" w:hAnsiTheme="minorHAnsi" w:cstheme="minorHAnsi"/>
        </w:rPr>
      </w:pPr>
    </w:p>
    <w:p w:rsidRPr="00197AAA" w:rsidR="00F11A19" w:rsidP="009320C8" w:rsidRDefault="009320C8" w14:paraId="688E1F8A" w14:textId="77777777">
      <w:pPr>
        <w:pStyle w:val="Level1"/>
        <w:numPr>
          <w:ilvl w:val="0"/>
          <w:numId w:val="0"/>
        </w:numPr>
        <w:tabs>
          <w:tab w:val="left" w:pos="-1440"/>
        </w:tabs>
        <w:rPr>
          <w:rFonts w:asciiTheme="minorHAnsi" w:hAnsiTheme="minorHAnsi" w:cstheme="minorHAnsi"/>
        </w:rPr>
      </w:pPr>
      <w:r w:rsidRPr="00197AAA">
        <w:rPr>
          <w:rFonts w:asciiTheme="minorHAnsi" w:hAnsiTheme="minorHAnsi" w:cstheme="minorHAnsi"/>
        </w:rPr>
        <w:t>13.</w:t>
      </w:r>
      <w:r w:rsidRPr="00197AAA" w:rsidR="00B73E25">
        <w:rPr>
          <w:rFonts w:asciiTheme="minorHAnsi" w:hAnsiTheme="minorHAnsi" w:cstheme="minorHAnsi"/>
        </w:rPr>
        <w:tab/>
      </w:r>
      <w:r w:rsidRPr="00197AAA" w:rsidR="00F11A19">
        <w:rPr>
          <w:rFonts w:asciiTheme="minorHAnsi" w:hAnsiTheme="minorHAnsi" w:cstheme="minorHAnsi"/>
          <w:u w:val="single"/>
        </w:rPr>
        <w:t>ESTIMATED TOTAL ANNUAL COST BURDEN TO RESPONDENTS</w:t>
      </w:r>
    </w:p>
    <w:p w:rsidRPr="00197AAA" w:rsidR="00F11A19" w:rsidRDefault="00F11A19" w14:paraId="2F5CEF8A" w14:textId="77777777">
      <w:pPr>
        <w:rPr>
          <w:rFonts w:asciiTheme="minorHAnsi" w:hAnsiTheme="minorHAnsi" w:cstheme="minorHAnsi"/>
        </w:rPr>
      </w:pPr>
    </w:p>
    <w:p w:rsidRPr="00197AAA" w:rsidR="000F395B" w:rsidP="000F395B" w:rsidRDefault="000F395B" w14:paraId="1B5E4505" w14:textId="77777777">
      <w:pPr>
        <w:ind w:left="720"/>
        <w:rPr>
          <w:rFonts w:asciiTheme="minorHAnsi" w:hAnsiTheme="minorHAnsi" w:cstheme="minorHAnsi"/>
        </w:rPr>
      </w:pPr>
      <w:r w:rsidRPr="00197AAA">
        <w:rPr>
          <w:rFonts w:asciiTheme="minorHAnsi" w:hAnsiTheme="minorHAnsi" w:cs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197AAA" w:rsidR="001063D0" w:rsidP="008E47AB" w:rsidRDefault="001063D0" w14:paraId="0A8A9A06" w14:textId="77777777">
      <w:pPr>
        <w:rPr>
          <w:rFonts w:asciiTheme="minorHAnsi" w:hAnsiTheme="minorHAnsi" w:cstheme="minorHAnsi"/>
        </w:rPr>
      </w:pPr>
    </w:p>
    <w:p w:rsidRPr="00197AAA" w:rsidR="00F11A19" w:rsidP="009320C8" w:rsidRDefault="009320C8" w14:paraId="02439D6B" w14:textId="77777777">
      <w:pPr>
        <w:pStyle w:val="Level1"/>
        <w:numPr>
          <w:ilvl w:val="0"/>
          <w:numId w:val="0"/>
        </w:numPr>
        <w:tabs>
          <w:tab w:val="left" w:pos="-1440"/>
        </w:tabs>
        <w:rPr>
          <w:rFonts w:asciiTheme="minorHAnsi" w:hAnsiTheme="minorHAnsi" w:cstheme="minorHAnsi"/>
        </w:rPr>
      </w:pPr>
      <w:r w:rsidRPr="00197AAA">
        <w:rPr>
          <w:rFonts w:asciiTheme="minorHAnsi" w:hAnsiTheme="minorHAnsi" w:cstheme="minorHAnsi"/>
        </w:rPr>
        <w:t>14.</w:t>
      </w:r>
      <w:r w:rsidRPr="00197AAA" w:rsidR="00B73E25">
        <w:rPr>
          <w:rFonts w:asciiTheme="minorHAnsi" w:hAnsiTheme="minorHAnsi" w:cstheme="minorHAnsi"/>
        </w:rPr>
        <w:tab/>
      </w:r>
      <w:r w:rsidRPr="00197AAA">
        <w:rPr>
          <w:rFonts w:asciiTheme="minorHAnsi" w:hAnsiTheme="minorHAnsi" w:cstheme="minorHAnsi"/>
          <w:u w:val="single"/>
        </w:rPr>
        <w:t>E</w:t>
      </w:r>
      <w:r w:rsidRPr="00197AAA" w:rsidR="00F11A19">
        <w:rPr>
          <w:rFonts w:asciiTheme="minorHAnsi" w:hAnsiTheme="minorHAnsi" w:cstheme="minorHAnsi"/>
          <w:u w:val="single"/>
        </w:rPr>
        <w:t>STIMATED ANNUALIZED COST TO THE FEDERAL GOVERNMENT</w:t>
      </w:r>
    </w:p>
    <w:p w:rsidRPr="00197AAA" w:rsidR="00F11A19" w:rsidRDefault="00F11A19" w14:paraId="76FABF0D" w14:textId="77777777">
      <w:pPr>
        <w:rPr>
          <w:rFonts w:asciiTheme="minorHAnsi" w:hAnsiTheme="minorHAnsi" w:cstheme="minorHAnsi"/>
        </w:rPr>
      </w:pPr>
    </w:p>
    <w:p w:rsidRPr="00197AAA" w:rsidR="00F11A19" w:rsidP="008E47AB" w:rsidRDefault="00387A65" w14:paraId="0C8043E0" w14:textId="77777777">
      <w:pPr>
        <w:ind w:left="720"/>
        <w:rPr>
          <w:rFonts w:asciiTheme="minorHAnsi" w:hAnsiTheme="minorHAnsi" w:cstheme="minorHAnsi"/>
        </w:rPr>
      </w:pPr>
      <w:r w:rsidRPr="00197AAA">
        <w:rPr>
          <w:rFonts w:asciiTheme="minorHAnsi" w:hAnsiTheme="minorHAnsi" w:cstheme="minorHAnsi"/>
        </w:rPr>
        <w:t xml:space="preserve">The primary cost to the government consists of the cost of mailing Form 15597.  We </w:t>
      </w:r>
      <w:r w:rsidRPr="00197AAA">
        <w:rPr>
          <w:rFonts w:asciiTheme="minorHAnsi" w:hAnsiTheme="minorHAnsi" w:cstheme="minorHAnsi"/>
        </w:rPr>
        <w:lastRenderedPageBreak/>
        <w:t>estimate that the annual cost of mailing the form is $1</w:t>
      </w:r>
      <w:r w:rsidRPr="00197AAA" w:rsidR="00D05136">
        <w:rPr>
          <w:rFonts w:asciiTheme="minorHAnsi" w:hAnsiTheme="minorHAnsi" w:cstheme="minorHAnsi"/>
        </w:rPr>
        <w:t>,</w:t>
      </w:r>
      <w:r w:rsidRPr="00197AAA">
        <w:rPr>
          <w:rFonts w:asciiTheme="minorHAnsi" w:hAnsiTheme="minorHAnsi" w:cstheme="minorHAnsi"/>
        </w:rPr>
        <w:t>056.</w:t>
      </w:r>
    </w:p>
    <w:p w:rsidRPr="00197AAA" w:rsidR="00075CAE" w:rsidP="00075CAE" w:rsidRDefault="00075CAE" w14:paraId="2FB88D04" w14:textId="77777777">
      <w:pPr>
        <w:rPr>
          <w:rFonts w:asciiTheme="minorHAnsi" w:hAnsiTheme="minorHAnsi" w:cstheme="minorHAnsi"/>
        </w:rPr>
      </w:pPr>
    </w:p>
    <w:p w:rsidRPr="00197AAA" w:rsidR="00F11A19" w:rsidP="00B73E25" w:rsidRDefault="009320C8" w14:paraId="5606A579" w14:textId="77777777">
      <w:pPr>
        <w:pStyle w:val="Level1"/>
        <w:numPr>
          <w:ilvl w:val="0"/>
          <w:numId w:val="0"/>
        </w:numPr>
        <w:tabs>
          <w:tab w:val="left" w:pos="-1440"/>
        </w:tabs>
        <w:rPr>
          <w:rFonts w:asciiTheme="minorHAnsi" w:hAnsiTheme="minorHAnsi" w:cstheme="minorHAnsi"/>
        </w:rPr>
      </w:pPr>
      <w:r w:rsidRPr="00197AAA">
        <w:rPr>
          <w:rFonts w:asciiTheme="minorHAnsi" w:hAnsiTheme="minorHAnsi" w:cstheme="minorHAnsi"/>
        </w:rPr>
        <w:t>15.</w:t>
      </w:r>
      <w:r w:rsidRPr="00197AAA" w:rsidR="00B73E25">
        <w:rPr>
          <w:rFonts w:asciiTheme="minorHAnsi" w:hAnsiTheme="minorHAnsi" w:cstheme="minorHAnsi"/>
        </w:rPr>
        <w:tab/>
      </w:r>
      <w:r w:rsidRPr="00197AAA" w:rsidR="00F11A19">
        <w:rPr>
          <w:rFonts w:asciiTheme="minorHAnsi" w:hAnsiTheme="minorHAnsi" w:cstheme="minorHAnsi"/>
          <w:u w:val="single"/>
        </w:rPr>
        <w:t>REASONS FOR CHANGE IN BURDEN</w:t>
      </w:r>
    </w:p>
    <w:p w:rsidRPr="00197AAA" w:rsidR="00F11A19" w:rsidRDefault="00F11A19" w14:paraId="5806F6AF" w14:textId="77777777">
      <w:pPr>
        <w:rPr>
          <w:rFonts w:asciiTheme="minorHAnsi" w:hAnsiTheme="minorHAnsi" w:cstheme="minorHAnsi"/>
        </w:rPr>
      </w:pPr>
    </w:p>
    <w:p w:rsidRPr="00197AAA" w:rsidR="000F395B" w:rsidP="000F395B" w:rsidRDefault="000F395B" w14:paraId="1E328EB6" w14:textId="77777777">
      <w:pPr>
        <w:ind w:left="720"/>
        <w:rPr>
          <w:rFonts w:asciiTheme="minorHAnsi" w:hAnsiTheme="minorHAnsi" w:cstheme="minorHAnsi"/>
        </w:rPr>
      </w:pPr>
      <w:r w:rsidRPr="00197AAA">
        <w:rPr>
          <w:rFonts w:asciiTheme="minorHAnsi" w:hAnsiTheme="minorHAnsi" w:cstheme="minorHAnsi"/>
        </w:rPr>
        <w:t xml:space="preserve">There is no change in the paperwork burden previously approved by OMB.  We are making this submission to renew the OMB approval.  </w:t>
      </w:r>
    </w:p>
    <w:p w:rsidRPr="00197AAA" w:rsidR="002C2275" w:rsidP="00D471B7" w:rsidRDefault="00D05136" w14:paraId="1499AE9E" w14:textId="77777777">
      <w:pPr>
        <w:ind w:left="720"/>
        <w:rPr>
          <w:rFonts w:asciiTheme="minorHAnsi" w:hAnsiTheme="minorHAnsi" w:cstheme="minorHAnsi"/>
        </w:rPr>
      </w:pPr>
      <w:r w:rsidRPr="00197AAA">
        <w:rPr>
          <w:rFonts w:asciiTheme="minorHAnsi" w:hAnsiTheme="minorHAnsi" w:cstheme="minorHAnsi"/>
        </w:rPr>
        <w:t xml:space="preserve"> </w:t>
      </w:r>
    </w:p>
    <w:p w:rsidRPr="00197AAA" w:rsidR="00F11A19" w:rsidRDefault="00F11A19" w14:paraId="66CC9659" w14:textId="77777777">
      <w:pPr>
        <w:rPr>
          <w:rFonts w:asciiTheme="minorHAnsi" w:hAnsiTheme="minorHAnsi" w:cstheme="minorHAnsi"/>
        </w:rPr>
      </w:pPr>
    </w:p>
    <w:p w:rsidRPr="00197AAA" w:rsidR="00F11A19" w:rsidP="00B73E25" w:rsidRDefault="009320C8" w14:paraId="51B0C1F4" w14:textId="77777777">
      <w:pPr>
        <w:pStyle w:val="Level1"/>
        <w:numPr>
          <w:ilvl w:val="0"/>
          <w:numId w:val="0"/>
        </w:numPr>
        <w:tabs>
          <w:tab w:val="left" w:pos="-1440"/>
        </w:tabs>
        <w:rPr>
          <w:rFonts w:asciiTheme="minorHAnsi" w:hAnsiTheme="minorHAnsi" w:cstheme="minorHAnsi"/>
        </w:rPr>
      </w:pPr>
      <w:r w:rsidRPr="00197AAA">
        <w:rPr>
          <w:rFonts w:asciiTheme="minorHAnsi" w:hAnsiTheme="minorHAnsi" w:cstheme="minorHAnsi"/>
        </w:rPr>
        <w:t>16.</w:t>
      </w:r>
      <w:r w:rsidRPr="00197AAA" w:rsidR="00B73E25">
        <w:rPr>
          <w:rFonts w:asciiTheme="minorHAnsi" w:hAnsiTheme="minorHAnsi" w:cstheme="minorHAnsi"/>
        </w:rPr>
        <w:tab/>
      </w:r>
      <w:r w:rsidRPr="00197AAA" w:rsidR="00F11A19">
        <w:rPr>
          <w:rFonts w:asciiTheme="minorHAnsi" w:hAnsiTheme="minorHAnsi" w:cstheme="minorHAnsi"/>
          <w:u w:val="single"/>
        </w:rPr>
        <w:t>PLANS FOR TABULATION, STATISTICAL ANALYSIS AND PUBLICATION</w:t>
      </w:r>
    </w:p>
    <w:p w:rsidRPr="00197AAA" w:rsidR="00F11A19" w:rsidRDefault="00F11A19" w14:paraId="050D7D85" w14:textId="77777777">
      <w:pPr>
        <w:rPr>
          <w:rFonts w:asciiTheme="minorHAnsi" w:hAnsiTheme="minorHAnsi" w:cstheme="minorHAnsi"/>
        </w:rPr>
      </w:pPr>
    </w:p>
    <w:p w:rsidRPr="00197AAA" w:rsidR="000F395B" w:rsidP="000F395B" w:rsidRDefault="000F395B" w14:paraId="7194FC8E" w14:textId="77777777">
      <w:pPr>
        <w:ind w:left="720"/>
        <w:rPr>
          <w:rFonts w:asciiTheme="minorHAnsi" w:hAnsiTheme="minorHAnsi" w:cstheme="minorHAnsi"/>
        </w:rPr>
      </w:pPr>
      <w:r w:rsidRPr="00197AAA">
        <w:rPr>
          <w:rFonts w:asciiTheme="minorHAnsi" w:hAnsiTheme="minorHAnsi" w:cstheme="minorHAnsi"/>
        </w:rPr>
        <w:t>There are no plans for tabulation, statistical analysis and publication.</w:t>
      </w:r>
    </w:p>
    <w:p w:rsidRPr="00197AAA" w:rsidR="00F11A19" w:rsidRDefault="00F11A19" w14:paraId="7BA9B7FD" w14:textId="77777777">
      <w:pPr>
        <w:rPr>
          <w:rFonts w:asciiTheme="minorHAnsi" w:hAnsiTheme="minorHAnsi" w:cstheme="minorHAnsi"/>
        </w:rPr>
      </w:pPr>
    </w:p>
    <w:p w:rsidRPr="00197AAA" w:rsidR="00F11A19" w:rsidP="00B73E25" w:rsidRDefault="009320C8" w14:paraId="39044E09" w14:textId="77777777">
      <w:pPr>
        <w:pStyle w:val="Level1"/>
        <w:numPr>
          <w:ilvl w:val="0"/>
          <w:numId w:val="0"/>
        </w:numPr>
        <w:tabs>
          <w:tab w:val="left" w:pos="-1440"/>
        </w:tabs>
        <w:ind w:left="720" w:hanging="720"/>
        <w:rPr>
          <w:rFonts w:asciiTheme="minorHAnsi" w:hAnsiTheme="minorHAnsi" w:cstheme="minorHAnsi"/>
        </w:rPr>
      </w:pPr>
      <w:r w:rsidRPr="00197AAA">
        <w:rPr>
          <w:rFonts w:asciiTheme="minorHAnsi" w:hAnsiTheme="minorHAnsi" w:cstheme="minorHAnsi"/>
        </w:rPr>
        <w:t>17.</w:t>
      </w:r>
      <w:r w:rsidRPr="00197AAA" w:rsidR="00B73E25">
        <w:rPr>
          <w:rFonts w:asciiTheme="minorHAnsi" w:hAnsiTheme="minorHAnsi" w:cstheme="minorHAnsi"/>
        </w:rPr>
        <w:tab/>
      </w:r>
      <w:r w:rsidRPr="00197AAA" w:rsidR="00F11A19">
        <w:rPr>
          <w:rFonts w:asciiTheme="minorHAnsi" w:hAnsiTheme="minorHAnsi" w:cstheme="minorHAnsi"/>
          <w:u w:val="single"/>
        </w:rPr>
        <w:t>REASONS WHY DISPLAYING THE OMB EXPIRATION DATE IS</w:t>
      </w:r>
      <w:r w:rsidRPr="00197AAA" w:rsidR="00F11A19">
        <w:rPr>
          <w:rFonts w:asciiTheme="minorHAnsi" w:hAnsiTheme="minorHAnsi" w:cstheme="minorHAnsi"/>
        </w:rPr>
        <w:t xml:space="preserve"> </w:t>
      </w:r>
      <w:r w:rsidRPr="00197AAA" w:rsidR="00F11A19">
        <w:rPr>
          <w:rFonts w:asciiTheme="minorHAnsi" w:hAnsiTheme="minorHAnsi" w:cstheme="minorHAnsi"/>
          <w:u w:val="single"/>
        </w:rPr>
        <w:t>INAPPROPRIATE</w:t>
      </w:r>
    </w:p>
    <w:p w:rsidRPr="00197AAA" w:rsidR="00F11A19" w:rsidRDefault="00F11A19" w14:paraId="7532831D" w14:textId="77777777">
      <w:pPr>
        <w:rPr>
          <w:rFonts w:asciiTheme="minorHAnsi" w:hAnsiTheme="minorHAnsi" w:cstheme="minorHAnsi"/>
        </w:rPr>
      </w:pPr>
    </w:p>
    <w:p w:rsidRPr="00197AAA" w:rsidR="000F395B" w:rsidP="000F395B" w:rsidRDefault="000F395B" w14:paraId="2DDCD331" w14:textId="77777777">
      <w:pPr>
        <w:ind w:left="720"/>
        <w:rPr>
          <w:rFonts w:asciiTheme="minorHAnsi" w:hAnsiTheme="minorHAnsi" w:cstheme="minorHAnsi"/>
        </w:rPr>
      </w:pPr>
      <w:r w:rsidRPr="00197AAA">
        <w:rPr>
          <w:rFonts w:asciiTheme="minorHAnsi" w:hAnsiTheme="minorHAnsi" w:cstheme="minorHAnsi"/>
        </w:rPr>
        <w:t>We believe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197AAA" w:rsidR="008B0FC8" w:rsidP="008E47AB" w:rsidRDefault="008B0FC8" w14:paraId="0B9EC8C2" w14:textId="77777777">
      <w:pPr>
        <w:rPr>
          <w:rFonts w:asciiTheme="minorHAnsi" w:hAnsiTheme="minorHAnsi" w:cstheme="minorHAnsi"/>
        </w:rPr>
      </w:pPr>
    </w:p>
    <w:p w:rsidRPr="00197AAA" w:rsidR="00F11A19" w:rsidP="00B73E25" w:rsidRDefault="009320C8" w14:paraId="658878AA" w14:textId="77777777">
      <w:pPr>
        <w:pStyle w:val="Level1"/>
        <w:numPr>
          <w:ilvl w:val="0"/>
          <w:numId w:val="0"/>
        </w:numPr>
        <w:tabs>
          <w:tab w:val="left" w:pos="-1440"/>
        </w:tabs>
        <w:ind w:left="720" w:hanging="720"/>
        <w:rPr>
          <w:rFonts w:asciiTheme="minorHAnsi" w:hAnsiTheme="minorHAnsi" w:cstheme="minorHAnsi"/>
        </w:rPr>
      </w:pPr>
      <w:r w:rsidRPr="00197AAA">
        <w:rPr>
          <w:rFonts w:asciiTheme="minorHAnsi" w:hAnsiTheme="minorHAnsi" w:cstheme="minorHAnsi"/>
        </w:rPr>
        <w:t>18.</w:t>
      </w:r>
      <w:r w:rsidRPr="00197AAA" w:rsidR="00B73E25">
        <w:rPr>
          <w:rFonts w:asciiTheme="minorHAnsi" w:hAnsiTheme="minorHAnsi" w:cstheme="minorHAnsi"/>
        </w:rPr>
        <w:tab/>
      </w:r>
      <w:r w:rsidRPr="00197AAA" w:rsidR="00F11A19">
        <w:rPr>
          <w:rFonts w:asciiTheme="minorHAnsi" w:hAnsiTheme="minorHAnsi" w:cstheme="minorHAnsi"/>
          <w:u w:val="single"/>
        </w:rPr>
        <w:t xml:space="preserve">EXCEPTIONS TO THE CERTIFICATION STATEMENT </w:t>
      </w:r>
    </w:p>
    <w:p w:rsidRPr="00197AAA" w:rsidR="00F11A19" w:rsidRDefault="00F11A19" w14:paraId="3F8A08D2" w14:textId="77777777">
      <w:pPr>
        <w:rPr>
          <w:rFonts w:asciiTheme="minorHAnsi" w:hAnsiTheme="minorHAnsi" w:cstheme="minorHAnsi"/>
        </w:rPr>
      </w:pPr>
    </w:p>
    <w:p w:rsidRPr="00197AAA" w:rsidR="000F395B" w:rsidP="000F395B" w:rsidRDefault="000F395B" w14:paraId="2D812BD1" w14:textId="77777777">
      <w:pPr>
        <w:ind w:left="720"/>
        <w:rPr>
          <w:rFonts w:asciiTheme="minorHAnsi" w:hAnsiTheme="minorHAnsi" w:cstheme="minorHAnsi"/>
        </w:rPr>
      </w:pPr>
      <w:r w:rsidRPr="00197AAA">
        <w:rPr>
          <w:rFonts w:asciiTheme="minorHAnsi" w:hAnsiTheme="minorHAnsi" w:cstheme="minorHAnsi"/>
        </w:rPr>
        <w:t>There are no exceptions to the certification statement.</w:t>
      </w:r>
    </w:p>
    <w:p w:rsidRPr="00197AAA" w:rsidR="008E47AB" w:rsidP="008E47AB" w:rsidRDefault="008E47AB" w14:paraId="4F7ACE5C" w14:textId="77777777">
      <w:pPr>
        <w:rPr>
          <w:rFonts w:asciiTheme="minorHAnsi" w:hAnsiTheme="minorHAnsi" w:cstheme="minorHAnsi"/>
        </w:rPr>
      </w:pPr>
    </w:p>
    <w:p w:rsidRPr="00197AAA" w:rsidR="002C2275" w:rsidP="002C2275" w:rsidRDefault="002C2275" w14:paraId="354B8CAB" w14:textId="77777777">
      <w:pPr>
        <w:ind w:left="720"/>
        <w:rPr>
          <w:rFonts w:asciiTheme="minorHAnsi" w:hAnsiTheme="minorHAnsi" w:cstheme="minorHAnsi"/>
        </w:rPr>
      </w:pPr>
      <w:r w:rsidRPr="00197AAA">
        <w:rPr>
          <w:rFonts w:asciiTheme="minorHAnsi" w:hAnsiTheme="minorHAnsi" w:cstheme="minorHAnsi"/>
        </w:rPr>
        <w:t>Note: The following paragraph applies to all of the collections of information in this submission:</w:t>
      </w:r>
    </w:p>
    <w:p w:rsidRPr="00197AAA" w:rsidR="000F395B" w:rsidP="002C2275" w:rsidRDefault="000F395B" w14:paraId="2E604F85" w14:textId="77777777">
      <w:pPr>
        <w:ind w:left="720"/>
        <w:rPr>
          <w:rFonts w:asciiTheme="minorHAnsi" w:hAnsiTheme="minorHAnsi" w:cstheme="minorHAnsi"/>
        </w:rPr>
      </w:pPr>
    </w:p>
    <w:p w:rsidRPr="00197AAA" w:rsidR="00F11A19" w:rsidP="00FC7CD3" w:rsidRDefault="002C2275" w14:paraId="3FD75B29" w14:textId="77777777">
      <w:pPr>
        <w:ind w:left="720" w:firstLine="720"/>
        <w:rPr>
          <w:rFonts w:asciiTheme="minorHAnsi" w:hAnsiTheme="minorHAnsi" w:cstheme="minorHAnsi"/>
        </w:rPr>
      </w:pPr>
      <w:r w:rsidRPr="00197AAA">
        <w:rPr>
          <w:rFonts w:asciiTheme="minorHAnsi" w:hAnsiTheme="minorHAnsi" w:cstheme="minorHAns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197AAA" w:rsidR="003E1086" w:rsidP="002C2275" w:rsidRDefault="003E1086" w14:paraId="43D1166D" w14:textId="77777777">
      <w:pPr>
        <w:ind w:left="720"/>
        <w:rPr>
          <w:rFonts w:asciiTheme="minorHAnsi" w:hAnsiTheme="minorHAnsi" w:cstheme="minorHAnsi"/>
        </w:rPr>
      </w:pPr>
    </w:p>
    <w:p w:rsidRPr="00197AAA" w:rsidR="003E1086" w:rsidP="003E1086" w:rsidRDefault="003E1086" w14:paraId="475627F7" w14:textId="77777777">
      <w:pPr>
        <w:ind w:left="720"/>
        <w:jc w:val="center"/>
        <w:rPr>
          <w:rFonts w:asciiTheme="minorHAnsi" w:hAnsiTheme="minorHAnsi" w:cstheme="minorHAnsi"/>
        </w:rPr>
      </w:pPr>
    </w:p>
    <w:p w:rsidRPr="00197AAA" w:rsidR="003E1086" w:rsidP="003E1086" w:rsidRDefault="003E1086" w14:paraId="4F481CCD" w14:textId="77777777">
      <w:pPr>
        <w:ind w:left="720"/>
        <w:jc w:val="center"/>
        <w:rPr>
          <w:rFonts w:asciiTheme="minorHAnsi" w:hAnsiTheme="minorHAnsi" w:cstheme="minorHAnsi"/>
        </w:rPr>
      </w:pPr>
    </w:p>
    <w:p w:rsidRPr="00197AAA" w:rsidR="003E1086" w:rsidP="003E1086" w:rsidRDefault="003E1086" w14:paraId="1C85B7CC" w14:textId="77777777">
      <w:pPr>
        <w:ind w:left="720"/>
        <w:jc w:val="center"/>
        <w:rPr>
          <w:rFonts w:asciiTheme="minorHAnsi" w:hAnsiTheme="minorHAnsi" w:cstheme="minorHAnsi"/>
        </w:rPr>
      </w:pPr>
    </w:p>
    <w:p w:rsidRPr="00197AAA" w:rsidR="003E1086" w:rsidP="003E1086" w:rsidRDefault="003E1086" w14:paraId="50E8BFFC" w14:textId="77777777">
      <w:pPr>
        <w:ind w:left="720"/>
        <w:jc w:val="center"/>
        <w:rPr>
          <w:rFonts w:asciiTheme="minorHAnsi" w:hAnsiTheme="minorHAnsi" w:cstheme="minorHAnsi"/>
        </w:rPr>
      </w:pPr>
    </w:p>
    <w:p w:rsidRPr="00197AAA" w:rsidR="003E1086" w:rsidP="003E1086" w:rsidRDefault="003E1086" w14:paraId="0C1A0D34" w14:textId="77777777">
      <w:pPr>
        <w:rPr>
          <w:rFonts w:asciiTheme="minorHAnsi" w:hAnsiTheme="minorHAnsi" w:cstheme="minorHAnsi"/>
          <w:bCs/>
        </w:rPr>
      </w:pPr>
    </w:p>
    <w:sectPr w:rsidRPr="00197AAA" w:rsidR="003E1086" w:rsidSect="00F11A1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212BB" w14:textId="77777777" w:rsidR="0002049A" w:rsidRDefault="0002049A" w:rsidP="00EE526A">
      <w:r>
        <w:separator/>
      </w:r>
    </w:p>
  </w:endnote>
  <w:endnote w:type="continuationSeparator" w:id="0">
    <w:p w14:paraId="75E24448" w14:textId="77777777" w:rsidR="0002049A" w:rsidRDefault="0002049A" w:rsidP="00EE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38C9" w14:textId="77777777" w:rsidR="00EE526A" w:rsidRDefault="00EE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9F47F" w14:textId="77777777" w:rsidR="00EE526A" w:rsidRDefault="00EE5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0424" w14:textId="77777777" w:rsidR="00EE526A" w:rsidRDefault="00EE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82ACE" w14:textId="77777777" w:rsidR="0002049A" w:rsidRDefault="0002049A" w:rsidP="00EE526A">
      <w:r>
        <w:separator/>
      </w:r>
    </w:p>
  </w:footnote>
  <w:footnote w:type="continuationSeparator" w:id="0">
    <w:p w14:paraId="2860A019" w14:textId="77777777" w:rsidR="0002049A" w:rsidRDefault="0002049A" w:rsidP="00EE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9C67" w14:textId="77777777" w:rsidR="00EE526A" w:rsidRDefault="00EE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3631" w14:textId="77777777" w:rsidR="00EE526A" w:rsidRDefault="00EE5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85B8" w14:textId="77777777" w:rsidR="00EE526A" w:rsidRDefault="00EE5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BB80647"/>
    <w:multiLevelType w:val="hybridMultilevel"/>
    <w:tmpl w:val="E3641924"/>
    <w:lvl w:ilvl="0" w:tplc="84FE7EB8">
      <w:start w:val="16"/>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25677"/>
    <w:multiLevelType w:val="hybridMultilevel"/>
    <w:tmpl w:val="0E88CDC8"/>
    <w:lvl w:ilvl="0" w:tplc="7D3CE956">
      <w:start w:val="13"/>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9F74F3"/>
    <w:multiLevelType w:val="hybridMultilevel"/>
    <w:tmpl w:val="81F8AFCA"/>
    <w:lvl w:ilvl="0" w:tplc="6E4A93FA">
      <w:start w:val="14"/>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6F5E20"/>
    <w:multiLevelType w:val="hybridMultilevel"/>
    <w:tmpl w:val="3C4A3242"/>
    <w:lvl w:ilvl="0" w:tplc="D390E8BC">
      <w:start w:val="15"/>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2049A"/>
    <w:rsid w:val="0002351A"/>
    <w:rsid w:val="00037953"/>
    <w:rsid w:val="00037C43"/>
    <w:rsid w:val="000543A9"/>
    <w:rsid w:val="00075CAE"/>
    <w:rsid w:val="0009374D"/>
    <w:rsid w:val="000A58FA"/>
    <w:rsid w:val="000B7332"/>
    <w:rsid w:val="000E43F9"/>
    <w:rsid w:val="000F395B"/>
    <w:rsid w:val="001063D0"/>
    <w:rsid w:val="00111AF5"/>
    <w:rsid w:val="00137110"/>
    <w:rsid w:val="0014279F"/>
    <w:rsid w:val="00197AAA"/>
    <w:rsid w:val="001F14F7"/>
    <w:rsid w:val="00211707"/>
    <w:rsid w:val="002521A0"/>
    <w:rsid w:val="00270143"/>
    <w:rsid w:val="00271F5B"/>
    <w:rsid w:val="002A42C4"/>
    <w:rsid w:val="002C2275"/>
    <w:rsid w:val="002E789D"/>
    <w:rsid w:val="002F099B"/>
    <w:rsid w:val="003214D4"/>
    <w:rsid w:val="00335A66"/>
    <w:rsid w:val="00387584"/>
    <w:rsid w:val="00387A65"/>
    <w:rsid w:val="003E1086"/>
    <w:rsid w:val="003E7952"/>
    <w:rsid w:val="00404C1C"/>
    <w:rsid w:val="00406A8F"/>
    <w:rsid w:val="00434DF8"/>
    <w:rsid w:val="00435FC8"/>
    <w:rsid w:val="004629FC"/>
    <w:rsid w:val="004B68CD"/>
    <w:rsid w:val="004C6B4D"/>
    <w:rsid w:val="004D2FFB"/>
    <w:rsid w:val="006030F2"/>
    <w:rsid w:val="00627A26"/>
    <w:rsid w:val="006363F0"/>
    <w:rsid w:val="006B3F0F"/>
    <w:rsid w:val="006D351C"/>
    <w:rsid w:val="00711EED"/>
    <w:rsid w:val="007313F7"/>
    <w:rsid w:val="00784450"/>
    <w:rsid w:val="007C60D4"/>
    <w:rsid w:val="007C64DA"/>
    <w:rsid w:val="0084661B"/>
    <w:rsid w:val="00890FA6"/>
    <w:rsid w:val="008B0FC8"/>
    <w:rsid w:val="008C6934"/>
    <w:rsid w:val="008E47AB"/>
    <w:rsid w:val="009320C8"/>
    <w:rsid w:val="00974396"/>
    <w:rsid w:val="00A30C99"/>
    <w:rsid w:val="00A31071"/>
    <w:rsid w:val="00A33DE5"/>
    <w:rsid w:val="00A5066A"/>
    <w:rsid w:val="00A70FD8"/>
    <w:rsid w:val="00AB7B30"/>
    <w:rsid w:val="00AE38AC"/>
    <w:rsid w:val="00B16E7B"/>
    <w:rsid w:val="00B246B5"/>
    <w:rsid w:val="00B44E3E"/>
    <w:rsid w:val="00B73E25"/>
    <w:rsid w:val="00B85A8F"/>
    <w:rsid w:val="00BC5C2D"/>
    <w:rsid w:val="00C126F2"/>
    <w:rsid w:val="00C16485"/>
    <w:rsid w:val="00C341BC"/>
    <w:rsid w:val="00C532DE"/>
    <w:rsid w:val="00C62168"/>
    <w:rsid w:val="00D05136"/>
    <w:rsid w:val="00D27D18"/>
    <w:rsid w:val="00D32055"/>
    <w:rsid w:val="00D471B7"/>
    <w:rsid w:val="00D64CE5"/>
    <w:rsid w:val="00D65CEB"/>
    <w:rsid w:val="00DB7C28"/>
    <w:rsid w:val="00DC59FB"/>
    <w:rsid w:val="00E015C0"/>
    <w:rsid w:val="00E254AD"/>
    <w:rsid w:val="00E573B2"/>
    <w:rsid w:val="00EB5BC8"/>
    <w:rsid w:val="00EE526A"/>
    <w:rsid w:val="00F10EE7"/>
    <w:rsid w:val="00F11A19"/>
    <w:rsid w:val="00F73ADD"/>
    <w:rsid w:val="00F85C87"/>
    <w:rsid w:val="00FC5433"/>
    <w:rsid w:val="00FC7CD3"/>
    <w:rsid w:val="00FE3022"/>
    <w:rsid w:val="00F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C3E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link w:val="BalloonTextChar"/>
    <w:rsid w:val="007313F7"/>
    <w:rPr>
      <w:rFonts w:ascii="Tahoma" w:hAnsi="Tahoma" w:cs="Tahoma"/>
      <w:sz w:val="16"/>
      <w:szCs w:val="16"/>
    </w:rPr>
  </w:style>
  <w:style w:type="character" w:customStyle="1" w:styleId="BalloonTextChar">
    <w:name w:val="Balloon Text Char"/>
    <w:link w:val="BalloonText"/>
    <w:rsid w:val="007313F7"/>
    <w:rPr>
      <w:rFonts w:ascii="Tahoma" w:hAnsi="Tahoma" w:cs="Tahoma"/>
      <w:sz w:val="16"/>
      <w:szCs w:val="16"/>
    </w:rPr>
  </w:style>
  <w:style w:type="character" w:styleId="Hyperlink">
    <w:name w:val="Hyperlink"/>
    <w:uiPriority w:val="99"/>
    <w:unhideWhenUsed/>
    <w:rsid w:val="00EB5BC8"/>
    <w:rPr>
      <w:color w:val="0000FF"/>
      <w:u w:val="single"/>
    </w:rPr>
  </w:style>
  <w:style w:type="paragraph" w:styleId="ListParagraph">
    <w:name w:val="List Paragraph"/>
    <w:basedOn w:val="Normal"/>
    <w:uiPriority w:val="34"/>
    <w:qFormat/>
    <w:rsid w:val="00EB5BC8"/>
    <w:pPr>
      <w:widowControl/>
      <w:autoSpaceDE/>
      <w:autoSpaceDN/>
      <w:adjustRightInd/>
      <w:ind w:left="720"/>
    </w:pPr>
    <w:rPr>
      <w:rFonts w:ascii="Times New Roman" w:eastAsia="Calibri" w:hAnsi="Times New Roman"/>
    </w:rPr>
  </w:style>
  <w:style w:type="character" w:styleId="CommentReference">
    <w:name w:val="annotation reference"/>
    <w:rsid w:val="00A5066A"/>
    <w:rPr>
      <w:sz w:val="16"/>
      <w:szCs w:val="16"/>
    </w:rPr>
  </w:style>
  <w:style w:type="paragraph" w:styleId="CommentText">
    <w:name w:val="annotation text"/>
    <w:basedOn w:val="Normal"/>
    <w:link w:val="CommentTextChar"/>
    <w:rsid w:val="00A5066A"/>
    <w:rPr>
      <w:sz w:val="20"/>
      <w:szCs w:val="20"/>
    </w:rPr>
  </w:style>
  <w:style w:type="character" w:customStyle="1" w:styleId="CommentTextChar">
    <w:name w:val="Comment Text Char"/>
    <w:link w:val="CommentText"/>
    <w:rsid w:val="00A5066A"/>
    <w:rPr>
      <w:rFonts w:ascii="Courier" w:hAnsi="Courier"/>
    </w:rPr>
  </w:style>
  <w:style w:type="paragraph" w:styleId="CommentSubject">
    <w:name w:val="annotation subject"/>
    <w:basedOn w:val="CommentText"/>
    <w:next w:val="CommentText"/>
    <w:link w:val="CommentSubjectChar"/>
    <w:rsid w:val="00A5066A"/>
    <w:rPr>
      <w:b/>
      <w:bCs/>
    </w:rPr>
  </w:style>
  <w:style w:type="character" w:customStyle="1" w:styleId="CommentSubjectChar">
    <w:name w:val="Comment Subject Char"/>
    <w:link w:val="CommentSubject"/>
    <w:rsid w:val="00A5066A"/>
    <w:rPr>
      <w:rFonts w:ascii="Courier" w:hAnsi="Courier"/>
      <w:b/>
      <w:bCs/>
    </w:rPr>
  </w:style>
  <w:style w:type="paragraph" w:styleId="Header">
    <w:name w:val="header"/>
    <w:basedOn w:val="Normal"/>
    <w:link w:val="HeaderChar"/>
    <w:rsid w:val="00EE526A"/>
    <w:pPr>
      <w:tabs>
        <w:tab w:val="center" w:pos="4680"/>
        <w:tab w:val="right" w:pos="9360"/>
      </w:tabs>
    </w:pPr>
  </w:style>
  <w:style w:type="character" w:customStyle="1" w:styleId="HeaderChar">
    <w:name w:val="Header Char"/>
    <w:link w:val="Header"/>
    <w:rsid w:val="00EE526A"/>
    <w:rPr>
      <w:rFonts w:ascii="Courier" w:hAnsi="Courier"/>
      <w:sz w:val="24"/>
      <w:szCs w:val="24"/>
    </w:rPr>
  </w:style>
  <w:style w:type="paragraph" w:styleId="Footer">
    <w:name w:val="footer"/>
    <w:basedOn w:val="Normal"/>
    <w:link w:val="FooterChar"/>
    <w:rsid w:val="00EE526A"/>
    <w:pPr>
      <w:tabs>
        <w:tab w:val="center" w:pos="4680"/>
        <w:tab w:val="right" w:pos="9360"/>
      </w:tabs>
    </w:pPr>
  </w:style>
  <w:style w:type="character" w:customStyle="1" w:styleId="FooterChar">
    <w:name w:val="Footer Char"/>
    <w:link w:val="Footer"/>
    <w:rsid w:val="00EE526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883619">
      <w:bodyDiv w:val="1"/>
      <w:marLeft w:val="0"/>
      <w:marRight w:val="0"/>
      <w:marTop w:val="0"/>
      <w:marBottom w:val="0"/>
      <w:divBdr>
        <w:top w:val="none" w:sz="0" w:space="0" w:color="auto"/>
        <w:left w:val="none" w:sz="0" w:space="0" w:color="auto"/>
        <w:bottom w:val="none" w:sz="0" w:space="0" w:color="auto"/>
        <w:right w:val="none" w:sz="0" w:space="0" w:color="auto"/>
      </w:divBdr>
    </w:div>
    <w:div w:id="14811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2020-11-17T02:41:00Z</dcterms:created>
  <dcterms:modified xsi:type="dcterms:W3CDTF">2020-11-17T02:41:00Z</dcterms:modified>
</cp:coreProperties>
</file>