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147" w:rsidP="00F359EF" w:rsidRDefault="00F359EF">
      <w:pPr>
        <w:jc w:val="center"/>
        <w:rPr>
          <w:b/>
        </w:rPr>
      </w:pPr>
      <w:r>
        <w:rPr>
          <w:b/>
        </w:rPr>
        <w:t>Justification for Non-Material Change</w:t>
      </w:r>
    </w:p>
    <w:p w:rsidR="00F359EF" w:rsidP="00F359EF" w:rsidRDefault="00F359EF">
      <w:pPr>
        <w:jc w:val="center"/>
        <w:rPr>
          <w:b/>
        </w:rPr>
      </w:pPr>
    </w:p>
    <w:p w:rsidR="00F359EF" w:rsidP="00F359EF" w:rsidRDefault="00F359EF">
      <w:pPr>
        <w:jc w:val="center"/>
        <w:rPr>
          <w:b/>
        </w:rPr>
      </w:pPr>
    </w:p>
    <w:p w:rsidRPr="00F359EF" w:rsidR="00F359EF" w:rsidP="00F359EF" w:rsidRDefault="00F359EF">
      <w:r>
        <w:tab/>
        <w:t>The OCC has set out the qualifying activities from the CRA regulation into the form that was discussed in the regulation’s supporting statement and approved under OMB Control No. 1557-0160.  The burden for the form was</w:t>
      </w:r>
      <w:bookmarkStart w:name="_GoBack" w:id="0"/>
      <w:bookmarkEnd w:id="0"/>
      <w:r>
        <w:t xml:space="preserve"> also approved under this control number.  This form is attached as an instrument in this ICR.</w:t>
      </w:r>
    </w:p>
    <w:sectPr w:rsidRPr="00F359EF" w:rsidR="00F359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EF"/>
    <w:rsid w:val="00297C5C"/>
    <w:rsid w:val="00305D0E"/>
    <w:rsid w:val="003C7DA5"/>
    <w:rsid w:val="0043786B"/>
    <w:rsid w:val="009E7F5B"/>
    <w:rsid w:val="00A20147"/>
    <w:rsid w:val="00CB3B53"/>
    <w:rsid w:val="00F3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3C636"/>
  <w15:chartTrackingRefBased/>
  <w15:docId w15:val="{ECC79F19-E64C-4369-8FCD-2591ADF2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Comptroller of the Currency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Gottlieb, Mary</dc:creator>
  <cp:keywords/>
  <dc:description/>
  <cp:lastModifiedBy>Gottlieb, Mary</cp:lastModifiedBy>
  <cp:revision>1</cp:revision>
  <dcterms:created xsi:type="dcterms:W3CDTF">2020-08-27T12:56:00Z</dcterms:created>
  <dcterms:modified xsi:type="dcterms:W3CDTF">2020-08-27T13:02:00Z</dcterms:modified>
</cp:coreProperties>
</file>