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F63" w:rsidP="006917DF" w:rsidRDefault="00C46F63" w14:paraId="1E3E683A" w14:textId="37AEF3DF">
      <w:r w:rsidRPr="00C46F63">
        <w:rPr>
          <w:b/>
          <w:bCs/>
        </w:rPr>
        <w:t xml:space="preserve">The statutory authority </w:t>
      </w:r>
      <w:r w:rsidRPr="00C253BC">
        <w:t xml:space="preserve">for this collection of information is the Immigration and Nationality Act, sections 101(a)(15) and 214(c)(1) and corresponding sections 8 U.S.C. 1101(a)(15) and 1184(c)(1) of the United States Code. </w:t>
      </w:r>
    </w:p>
    <w:p w:rsidR="00C56B8C" w:rsidP="006917DF" w:rsidRDefault="00C56B8C" w14:paraId="5B314ABE" w14:textId="65EAA648"/>
    <w:p w:rsidR="00C46F63" w:rsidP="00C46F63" w:rsidRDefault="00C46F63" w14:paraId="5752AC96" w14:textId="121E9E8E">
      <w:r>
        <w:t>101(a)(15)(</w:t>
      </w:r>
      <w:r>
        <w:t>L</w:t>
      </w:r>
      <w:r>
        <w:t>)</w:t>
      </w:r>
    </w:p>
    <w:p w:rsidRPr="006544AC" w:rsidR="00C46F63" w:rsidP="00C46F63" w:rsidRDefault="00C46F63" w14:paraId="639ED7FD" w14:textId="77777777">
      <w:pPr>
        <w:spacing w:before="150" w:after="45"/>
        <w:ind w:hanging="480"/>
        <w:outlineLvl w:val="2"/>
        <w:rPr>
          <w:rFonts w:ascii="Arial" w:hAnsi="Arial" w:cs="Arial"/>
          <w:b/>
          <w:bCs/>
          <w:color w:val="32434F"/>
          <w:sz w:val="27"/>
          <w:szCs w:val="27"/>
        </w:rPr>
      </w:pPr>
      <w:r w:rsidRPr="006544AC">
        <w:rPr>
          <w:rFonts w:ascii="Arial" w:hAnsi="Arial" w:cs="Arial"/>
          <w:b/>
          <w:bCs/>
          <w:color w:val="32434F"/>
          <w:sz w:val="27"/>
          <w:szCs w:val="27"/>
        </w:rPr>
        <w:t>§1101. Definitions</w:t>
      </w:r>
    </w:p>
    <w:p w:rsidR="00C46F63" w:rsidP="00C46F63" w:rsidRDefault="00C46F63" w14:paraId="5FD0F886" w14:textId="77777777">
      <w:pPr>
        <w:ind w:firstLine="240"/>
        <w:rPr>
          <w:rFonts w:ascii="Arial" w:hAnsi="Arial" w:cs="Arial"/>
          <w:color w:val="000000"/>
          <w:sz w:val="22"/>
          <w:szCs w:val="22"/>
        </w:rPr>
      </w:pPr>
      <w:bookmarkStart w:name="substructure-location_a" w:id="0"/>
      <w:bookmarkEnd w:id="0"/>
      <w:r w:rsidRPr="006544AC">
        <w:rPr>
          <w:rFonts w:ascii="Arial" w:hAnsi="Arial" w:cs="Arial"/>
          <w:color w:val="000000"/>
          <w:sz w:val="22"/>
          <w:szCs w:val="22"/>
        </w:rPr>
        <w:t>(a) As used in this chapter-</w:t>
      </w:r>
    </w:p>
    <w:p w:rsidR="00C46F63" w:rsidP="00C46F63" w:rsidRDefault="00C46F63" w14:paraId="6EDB10EE" w14:textId="77777777">
      <w:pPr>
        <w:ind w:firstLine="240"/>
        <w:rPr>
          <w:rFonts w:ascii="Arial" w:hAnsi="Arial" w:cs="Arial"/>
          <w:color w:val="000000"/>
          <w:sz w:val="22"/>
          <w:szCs w:val="22"/>
        </w:rPr>
      </w:pPr>
      <w:r>
        <w:rPr>
          <w:rFonts w:ascii="Arial" w:hAnsi="Arial" w:cs="Arial"/>
          <w:color w:val="000000"/>
          <w:sz w:val="22"/>
          <w:szCs w:val="22"/>
        </w:rPr>
        <w:t>(15) The term "immigrant" means every alien except an alien who is within one of the following classes of nonimmigrant aliens-</w:t>
      </w:r>
    </w:p>
    <w:p w:rsidR="00C46F63" w:rsidP="006917DF" w:rsidRDefault="00C46F63" w14:paraId="75FA095F" w14:textId="080C9C20">
      <w:r>
        <w:rPr>
          <w:rFonts w:ascii="Arial" w:hAnsi="Arial" w:cs="Arial"/>
          <w:color w:val="000000"/>
          <w:sz w:val="22"/>
          <w:szCs w:val="22"/>
        </w:rPr>
        <w:t>(L) subject to </w:t>
      </w:r>
      <w:r>
        <w:rPr>
          <w:rStyle w:val="stdref"/>
          <w:rFonts w:ascii="Arial" w:hAnsi="Arial" w:cs="Arial"/>
          <w:color w:val="0F0D61"/>
          <w:sz w:val="22"/>
          <w:szCs w:val="22"/>
        </w:rPr>
        <w:t>section 1184(c)(2) of this title</w:t>
      </w:r>
      <w:r>
        <w:rPr>
          <w:rFonts w:ascii="Arial" w:hAnsi="Arial" w:cs="Arial"/>
          <w:color w:val="000000"/>
          <w:sz w:val="22"/>
          <w:szCs w:val="22"/>
        </w:rPr>
        <w:t>, an alien who, within 3 years preceding the time of his application for admission into the United States, has been employed continuously for one year by a firm or corporation or other legal entity or an affiliate or subsidiary thereof and who seeks to enter the United States temporarily in order to continue to render his services to the same employer or a subsidiary or affiliate thereof in a capacity that is managerial, executive, or involves specialized knowledge, and the alien spouse and minor children of any such alien if accompanying him or following to join him;</w:t>
      </w:r>
    </w:p>
    <w:p w:rsidR="00C46F63" w:rsidP="006917DF" w:rsidRDefault="00C46F63" w14:paraId="6CCEDF1F" w14:textId="2CDA0727">
      <w:pPr>
        <w:pBdr>
          <w:bottom w:val="single" w:color="auto" w:sz="6" w:space="1"/>
        </w:pBdr>
      </w:pPr>
    </w:p>
    <w:p w:rsidR="00C46F63" w:rsidP="006917DF" w:rsidRDefault="00C46F63" w14:paraId="084067AF" w14:textId="29D65A39"/>
    <w:p w:rsidR="00C46F63" w:rsidP="006917DF" w:rsidRDefault="00C46F63" w14:paraId="1F5018A5" w14:textId="2A8331BC">
      <w:r w:rsidRPr="00C253BC">
        <w:t>214(c)(1)</w:t>
      </w:r>
    </w:p>
    <w:p w:rsidR="00C46F63" w:rsidP="006917DF" w:rsidRDefault="00C46F63" w14:paraId="0617D204" w14:textId="5AE09953"/>
    <w:p w:rsidRPr="00E778AE" w:rsidR="00C46F63" w:rsidP="00C46F63" w:rsidRDefault="00C46F63" w14:paraId="7DED7AA1" w14:textId="77777777">
      <w:pPr>
        <w:spacing w:before="150" w:after="45"/>
        <w:ind w:hanging="480"/>
        <w:outlineLvl w:val="2"/>
        <w:rPr>
          <w:rFonts w:ascii="Arial" w:hAnsi="Arial" w:cs="Arial"/>
          <w:b/>
          <w:bCs/>
          <w:color w:val="32434F"/>
          <w:sz w:val="27"/>
          <w:szCs w:val="27"/>
        </w:rPr>
      </w:pPr>
      <w:r w:rsidRPr="00E778AE">
        <w:rPr>
          <w:rFonts w:ascii="Arial" w:hAnsi="Arial" w:cs="Arial"/>
          <w:b/>
          <w:bCs/>
          <w:color w:val="32434F"/>
          <w:sz w:val="27"/>
          <w:szCs w:val="27"/>
        </w:rPr>
        <w:t>§1184. Admission of nonimmigrants</w:t>
      </w:r>
    </w:p>
    <w:p w:rsidR="00C46F63" w:rsidP="00C46F63" w:rsidRDefault="00C46F63" w14:paraId="1A8675FD" w14:textId="77777777">
      <w:pPr>
        <w:pStyle w:val="Heading4"/>
        <w:spacing w:before="105" w:after="45"/>
        <w:ind w:hanging="240"/>
        <w:rPr>
          <w:rFonts w:ascii="Arial" w:hAnsi="Arial" w:cs="Arial"/>
          <w:color w:val="000000"/>
          <w:sz w:val="22"/>
          <w:szCs w:val="22"/>
        </w:rPr>
      </w:pPr>
      <w:r>
        <w:rPr>
          <w:rFonts w:ascii="Arial" w:hAnsi="Arial" w:cs="Arial"/>
          <w:color w:val="000000"/>
          <w:sz w:val="22"/>
          <w:szCs w:val="22"/>
        </w:rPr>
        <w:t>(c) Petition of importing employer</w:t>
      </w:r>
    </w:p>
    <w:p w:rsidR="00C46F63" w:rsidP="00C46F63" w:rsidRDefault="00C46F63" w14:paraId="33693C5C" w14:textId="77777777">
      <w:pPr>
        <w:pStyle w:val="statutory-body"/>
        <w:spacing w:before="0" w:beforeAutospacing="0" w:after="0" w:afterAutospacing="0"/>
        <w:ind w:firstLine="240"/>
        <w:rPr>
          <w:rFonts w:ascii="Arial" w:hAnsi="Arial" w:cs="Arial"/>
          <w:color w:val="000000"/>
          <w:sz w:val="22"/>
          <w:szCs w:val="22"/>
        </w:rPr>
      </w:pPr>
      <w:bookmarkStart w:name="substructure-location_c_1" w:id="1"/>
      <w:bookmarkEnd w:id="1"/>
      <w:r>
        <w:rPr>
          <w:rFonts w:ascii="Arial" w:hAnsi="Arial" w:cs="Arial"/>
          <w:color w:val="000000"/>
          <w:sz w:val="22"/>
          <w:szCs w:val="22"/>
        </w:rPr>
        <w:t>(1) The question of importing any alien as a nonimmigrant under subparagraph (H), (L), (O), or (P)(i) of </w:t>
      </w:r>
      <w:r>
        <w:rPr>
          <w:rStyle w:val="stdref"/>
          <w:rFonts w:ascii="Arial" w:hAnsi="Arial" w:cs="Arial"/>
          <w:color w:val="0F0D61"/>
          <w:sz w:val="22"/>
          <w:szCs w:val="22"/>
        </w:rPr>
        <w:t>section 1101(a)(15) of this title</w:t>
      </w:r>
      <w:r>
        <w:rPr>
          <w:rFonts w:ascii="Arial" w:hAnsi="Arial" w:cs="Arial"/>
          <w:color w:val="000000"/>
          <w:sz w:val="22"/>
          <w:szCs w:val="22"/>
        </w:rPr>
        <w:t> (excluding nonimmigrants under </w:t>
      </w:r>
      <w:r>
        <w:rPr>
          <w:rStyle w:val="stdref"/>
          <w:rFonts w:ascii="Arial" w:hAnsi="Arial" w:cs="Arial"/>
          <w:color w:val="0F0D61"/>
          <w:sz w:val="22"/>
          <w:szCs w:val="22"/>
        </w:rPr>
        <w:t>section 1101(a)(15)(H)(i)(b1) of this title</w:t>
      </w:r>
      <w:r>
        <w:rPr>
          <w:rFonts w:ascii="Arial" w:hAnsi="Arial" w:cs="Arial"/>
          <w:color w:val="000000"/>
          <w:sz w:val="22"/>
          <w:szCs w:val="22"/>
        </w:rPr>
        <w:t>) in any specific case or specific cases shall be determined by the Attorney General, after consultation with appropriate agencies of the Government, upon petition of the importing employer. Such petition, shall be made and approved before the visa is granted. The petition shall be in such form and contain such information as the Attorney General shall prescribe. The approval of such a petition shall not, of itself, be construed as establishing that the alien is a nonimmigrant. For purposes of this subsection with respect to nonimmigrants described in </w:t>
      </w:r>
      <w:r>
        <w:rPr>
          <w:rStyle w:val="stdref"/>
          <w:rFonts w:ascii="Arial" w:hAnsi="Arial" w:cs="Arial"/>
          <w:color w:val="0F0D61"/>
          <w:sz w:val="22"/>
          <w:szCs w:val="22"/>
        </w:rPr>
        <w:t>section 1101(a)(15)(H)(ii)(a) of this title</w:t>
      </w:r>
      <w:r>
        <w:rPr>
          <w:rFonts w:ascii="Arial" w:hAnsi="Arial" w:cs="Arial"/>
          <w:color w:val="000000"/>
          <w:sz w:val="22"/>
          <w:szCs w:val="22"/>
        </w:rPr>
        <w:t>, the term "appropriate agencies of Government" means the Department of Labor and includes the Department of Agriculture. The provisions of </w:t>
      </w:r>
      <w:r>
        <w:rPr>
          <w:rStyle w:val="stdref"/>
          <w:rFonts w:ascii="Arial" w:hAnsi="Arial" w:cs="Arial"/>
          <w:color w:val="0F0D61"/>
          <w:sz w:val="22"/>
          <w:szCs w:val="22"/>
        </w:rPr>
        <w:t>section 1188 of this title</w:t>
      </w:r>
      <w:r>
        <w:rPr>
          <w:rFonts w:ascii="Arial" w:hAnsi="Arial" w:cs="Arial"/>
          <w:color w:val="000000"/>
          <w:sz w:val="22"/>
          <w:szCs w:val="22"/>
        </w:rPr>
        <w:t> shall apply to the question of importing any alien as a nonimmigrant under </w:t>
      </w:r>
      <w:r>
        <w:rPr>
          <w:rStyle w:val="stdref"/>
          <w:rFonts w:ascii="Arial" w:hAnsi="Arial" w:cs="Arial"/>
          <w:color w:val="0F0D61"/>
          <w:sz w:val="22"/>
          <w:szCs w:val="22"/>
        </w:rPr>
        <w:t>section 1101(a)(15)(H)(ii)(a) of this title</w:t>
      </w:r>
      <w:r>
        <w:rPr>
          <w:rFonts w:ascii="Arial" w:hAnsi="Arial" w:cs="Arial"/>
          <w:color w:val="000000"/>
          <w:sz w:val="22"/>
          <w:szCs w:val="22"/>
        </w:rPr>
        <w:t>.</w:t>
      </w:r>
    </w:p>
    <w:p w:rsidR="00C46F63" w:rsidP="006917DF" w:rsidRDefault="00C46F63" w14:paraId="7566F5FE" w14:textId="4DCE7CA4">
      <w:pPr>
        <w:pBdr>
          <w:bottom w:val="single" w:color="auto" w:sz="6" w:space="1"/>
        </w:pBdr>
      </w:pPr>
    </w:p>
    <w:p w:rsidR="00C46F63" w:rsidP="006917DF" w:rsidRDefault="00C46F63" w14:paraId="4A9BCCE6" w14:textId="56106F91"/>
    <w:p w:rsidR="00C46F63" w:rsidP="006917DF" w:rsidRDefault="00C46F63" w14:paraId="4F94E99D" w14:textId="1FDA5C75">
      <w:r w:rsidRPr="00C46F63">
        <w:rPr>
          <w:b/>
          <w:bCs/>
        </w:rPr>
        <w:t xml:space="preserve">The regulatory authority </w:t>
      </w:r>
      <w:r w:rsidRPr="00C253BC">
        <w:t>is 8 CFR 214.</w:t>
      </w:r>
      <w:r>
        <w:t>2</w:t>
      </w:r>
      <w:r w:rsidRPr="00131E44">
        <w:t>(l).</w:t>
      </w:r>
    </w:p>
    <w:p w:rsidRPr="006917DF" w:rsidR="00C46F63" w:rsidP="006917DF" w:rsidRDefault="00C46F63" w14:paraId="1719A6DC" w14:textId="77777777"/>
    <w:p w:rsidRPr="00C46F63" w:rsidR="00C56B8C" w:rsidP="006917DF" w:rsidRDefault="00C56B8C" w14:paraId="4EA094BB" w14:textId="4E22FBCB">
      <w:pPr>
        <w:rPr>
          <w:b/>
        </w:rPr>
      </w:pPr>
      <w:r w:rsidRPr="006917DF">
        <w:rPr>
          <w:b/>
        </w:rPr>
        <w:t>Sec 214.2(l)</w:t>
      </w:r>
    </w:p>
    <w:p w:rsidRPr="006917DF" w:rsidR="00C56B8C" w:rsidP="006917DF" w:rsidRDefault="00C56B8C" w14:paraId="0176BC0E" w14:textId="77777777"/>
    <w:p w:rsidRPr="006917DF" w:rsidR="00C56B8C" w:rsidP="006917DF" w:rsidRDefault="00C46F63" w14:paraId="5F1D0D1D" w14:textId="6866372C">
      <w:r>
        <w:rPr>
          <w:rStyle w:val="enumxml"/>
          <w:rFonts w:ascii="Verdana" w:hAnsi="Verdana"/>
          <w:b/>
          <w:bCs/>
          <w:color w:val="333333"/>
          <w:shd w:val="clear" w:color="auto" w:fill="FFFFFF"/>
        </w:rPr>
        <w:t>(l)</w:t>
      </w:r>
      <w:r>
        <w:rPr>
          <w:rFonts w:ascii="Verdana" w:hAnsi="Verdana"/>
          <w:color w:val="333333"/>
          <w:shd w:val="clear" w:color="auto" w:fill="FFFFFF"/>
        </w:rPr>
        <w:t> </w:t>
      </w:r>
      <w:r>
        <w:rPr>
          <w:rStyle w:val="et03"/>
          <w:rFonts w:ascii="Verdana" w:hAnsi="Verdana"/>
          <w:b/>
          <w:bCs/>
          <w:i/>
          <w:iCs/>
          <w:color w:val="333333"/>
          <w:shd w:val="clear" w:color="auto" w:fill="FFFFFF"/>
        </w:rPr>
        <w:t>Intracompany transferees</w:t>
      </w:r>
      <w:r>
        <w:rPr>
          <w:rFonts w:ascii="Verdana" w:hAnsi="Verdana"/>
          <w:color w:val="333333"/>
          <w:shd w:val="clear" w:color="auto" w:fill="FFFFFF"/>
        </w:rPr>
        <w:t> -</w:t>
      </w:r>
      <w:bookmarkStart w:name="_GoBack" w:id="2"/>
      <w:bookmarkEnd w:id="2"/>
    </w:p>
    <w:p w:rsidRPr="006917DF" w:rsidR="00C56B8C" w:rsidP="006917DF" w:rsidRDefault="00C56B8C" w14:paraId="788CF244" w14:textId="77777777"/>
    <w:sectPr w:rsidRPr="006917DF" w:rsidR="00C56B8C">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7CA2A" w14:textId="77777777" w:rsidR="00BF611E" w:rsidRDefault="00BF611E">
      <w:r>
        <w:separator/>
      </w:r>
    </w:p>
  </w:endnote>
  <w:endnote w:type="continuationSeparator" w:id="0">
    <w:p w14:paraId="7AB7BE01" w14:textId="77777777" w:rsidR="00BF611E" w:rsidRDefault="00BF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75CD" w14:textId="77777777" w:rsidR="00C56B8C" w:rsidRDefault="00C56B8C" w:rsidP="00FA2D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7507EB" w14:textId="77777777" w:rsidR="00C56B8C" w:rsidRDefault="00C56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E775" w14:textId="77777777" w:rsidR="00C56B8C" w:rsidRDefault="00C56B8C" w:rsidP="00FA2D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5E1E">
      <w:rPr>
        <w:rStyle w:val="PageNumber"/>
        <w:noProof/>
      </w:rPr>
      <w:t>1</w:t>
    </w:r>
    <w:r>
      <w:rPr>
        <w:rStyle w:val="PageNumber"/>
      </w:rPr>
      <w:fldChar w:fldCharType="end"/>
    </w:r>
  </w:p>
  <w:p w14:paraId="58333D15" w14:textId="77777777" w:rsidR="00C56B8C" w:rsidRDefault="00C56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E158F" w14:textId="77777777" w:rsidR="00BF611E" w:rsidRDefault="00BF611E">
      <w:r>
        <w:separator/>
      </w:r>
    </w:p>
  </w:footnote>
  <w:footnote w:type="continuationSeparator" w:id="0">
    <w:p w14:paraId="38F06155" w14:textId="77777777" w:rsidR="00BF611E" w:rsidRDefault="00BF61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8C"/>
    <w:rsid w:val="006917DF"/>
    <w:rsid w:val="00BB5E1E"/>
    <w:rsid w:val="00BF611E"/>
    <w:rsid w:val="00C46F63"/>
    <w:rsid w:val="00C56B8C"/>
    <w:rsid w:val="00E045F8"/>
    <w:rsid w:val="00FA2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EFE4C78"/>
  <w15:chartTrackingRefBased/>
  <w15:docId w15:val="{BDE04460-23B2-4294-AB65-A951BF21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semiHidden/>
    <w:unhideWhenUsed/>
    <w:qFormat/>
    <w:rsid w:val="00C46F6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C56B8C"/>
    <w:pPr>
      <w:tabs>
        <w:tab w:val="center" w:pos="4320"/>
        <w:tab w:val="right" w:pos="8640"/>
      </w:tabs>
    </w:pPr>
  </w:style>
  <w:style w:type="character" w:styleId="PageNumber">
    <w:name w:val="page number"/>
    <w:basedOn w:val="DefaultParagraphFont"/>
    <w:rsid w:val="00C56B8C"/>
  </w:style>
  <w:style w:type="character" w:customStyle="1" w:styleId="stdref">
    <w:name w:val="stdref"/>
    <w:basedOn w:val="DefaultParagraphFont"/>
    <w:rsid w:val="00C46F63"/>
  </w:style>
  <w:style w:type="character" w:customStyle="1" w:styleId="Heading4Char">
    <w:name w:val="Heading 4 Char"/>
    <w:basedOn w:val="DefaultParagraphFont"/>
    <w:link w:val="Heading4"/>
    <w:semiHidden/>
    <w:rsid w:val="00C46F63"/>
    <w:rPr>
      <w:rFonts w:asciiTheme="majorHAnsi" w:eastAsiaTheme="majorEastAsia" w:hAnsiTheme="majorHAnsi" w:cstheme="majorBidi"/>
      <w:i/>
      <w:iCs/>
      <w:color w:val="2F5496" w:themeColor="accent1" w:themeShade="BF"/>
      <w:sz w:val="24"/>
      <w:szCs w:val="24"/>
    </w:rPr>
  </w:style>
  <w:style w:type="paragraph" w:customStyle="1" w:styleId="statutory-body">
    <w:name w:val="statutory-body"/>
    <w:basedOn w:val="Normal"/>
    <w:rsid w:val="00C46F63"/>
    <w:pPr>
      <w:spacing w:before="100" w:beforeAutospacing="1" w:after="100" w:afterAutospacing="1"/>
    </w:pPr>
  </w:style>
  <w:style w:type="character" w:customStyle="1" w:styleId="enumxml">
    <w:name w:val="enumxml"/>
    <w:basedOn w:val="DefaultParagraphFont"/>
    <w:rsid w:val="00C46F63"/>
  </w:style>
  <w:style w:type="character" w:customStyle="1" w:styleId="et03">
    <w:name w:val="et03"/>
    <w:basedOn w:val="DefaultParagraphFont"/>
    <w:rsid w:val="00C46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282967">
      <w:bodyDiv w:val="1"/>
      <w:marLeft w:val="0"/>
      <w:marRight w:val="0"/>
      <w:marTop w:val="30"/>
      <w:marBottom w:val="750"/>
      <w:divBdr>
        <w:top w:val="none" w:sz="0" w:space="0" w:color="auto"/>
        <w:left w:val="none" w:sz="0" w:space="0" w:color="auto"/>
        <w:bottom w:val="none" w:sz="0" w:space="0" w:color="auto"/>
        <w:right w:val="none" w:sz="0" w:space="0" w:color="auto"/>
      </w:divBdr>
      <w:divsChild>
        <w:div w:id="34501529">
          <w:marLeft w:val="0"/>
          <w:marRight w:val="0"/>
          <w:marTop w:val="0"/>
          <w:marBottom w:val="0"/>
          <w:divBdr>
            <w:top w:val="none" w:sz="0" w:space="0" w:color="auto"/>
            <w:left w:val="none" w:sz="0" w:space="0" w:color="auto"/>
            <w:bottom w:val="none" w:sz="0" w:space="0" w:color="auto"/>
            <w:right w:val="none" w:sz="0" w:space="0" w:color="auto"/>
          </w:divBdr>
          <w:divsChild>
            <w:div w:id="118962750">
              <w:marLeft w:val="0"/>
              <w:marRight w:val="0"/>
              <w:marTop w:val="0"/>
              <w:marBottom w:val="0"/>
              <w:divBdr>
                <w:top w:val="none" w:sz="0" w:space="0" w:color="auto"/>
                <w:left w:val="none" w:sz="0" w:space="0" w:color="auto"/>
                <w:bottom w:val="none" w:sz="0" w:space="0" w:color="auto"/>
                <w:right w:val="none" w:sz="0" w:space="0" w:color="auto"/>
              </w:divBdr>
            </w:div>
            <w:div w:id="193420872">
              <w:marLeft w:val="0"/>
              <w:marRight w:val="0"/>
              <w:marTop w:val="0"/>
              <w:marBottom w:val="0"/>
              <w:divBdr>
                <w:top w:val="none" w:sz="0" w:space="0" w:color="auto"/>
                <w:left w:val="none" w:sz="0" w:space="0" w:color="auto"/>
                <w:bottom w:val="none" w:sz="0" w:space="0" w:color="auto"/>
                <w:right w:val="none" w:sz="0" w:space="0" w:color="auto"/>
              </w:divBdr>
            </w:div>
            <w:div w:id="394474418">
              <w:marLeft w:val="0"/>
              <w:marRight w:val="0"/>
              <w:marTop w:val="0"/>
              <w:marBottom w:val="0"/>
              <w:divBdr>
                <w:top w:val="none" w:sz="0" w:space="0" w:color="auto"/>
                <w:left w:val="none" w:sz="0" w:space="0" w:color="auto"/>
                <w:bottom w:val="none" w:sz="0" w:space="0" w:color="auto"/>
                <w:right w:val="none" w:sz="0" w:space="0" w:color="auto"/>
              </w:divBdr>
            </w:div>
            <w:div w:id="1061489945">
              <w:marLeft w:val="0"/>
              <w:marRight w:val="0"/>
              <w:marTop w:val="0"/>
              <w:marBottom w:val="0"/>
              <w:divBdr>
                <w:top w:val="none" w:sz="0" w:space="0" w:color="auto"/>
                <w:left w:val="none" w:sz="0" w:space="0" w:color="auto"/>
                <w:bottom w:val="none" w:sz="0" w:space="0" w:color="auto"/>
                <w:right w:val="none" w:sz="0" w:space="0" w:color="auto"/>
              </w:divBdr>
            </w:div>
            <w:div w:id="1646619449">
              <w:marLeft w:val="0"/>
              <w:marRight w:val="0"/>
              <w:marTop w:val="0"/>
              <w:marBottom w:val="0"/>
              <w:divBdr>
                <w:top w:val="none" w:sz="0" w:space="0" w:color="auto"/>
                <w:left w:val="none" w:sz="0" w:space="0" w:color="auto"/>
                <w:bottom w:val="none" w:sz="0" w:space="0" w:color="auto"/>
                <w:right w:val="none" w:sz="0" w:space="0" w:color="auto"/>
              </w:divBdr>
            </w:div>
            <w:div w:id="1923566441">
              <w:marLeft w:val="0"/>
              <w:marRight w:val="0"/>
              <w:marTop w:val="0"/>
              <w:marBottom w:val="0"/>
              <w:divBdr>
                <w:top w:val="none" w:sz="0" w:space="0" w:color="auto"/>
                <w:left w:val="none" w:sz="0" w:space="0" w:color="auto"/>
                <w:bottom w:val="none" w:sz="0" w:space="0" w:color="auto"/>
                <w:right w:val="none" w:sz="0" w:space="0" w:color="auto"/>
              </w:divBdr>
            </w:div>
            <w:div w:id="2031564319">
              <w:marLeft w:val="0"/>
              <w:marRight w:val="0"/>
              <w:marTop w:val="0"/>
              <w:marBottom w:val="0"/>
              <w:divBdr>
                <w:top w:val="none" w:sz="0" w:space="0" w:color="auto"/>
                <w:left w:val="none" w:sz="0" w:space="0" w:color="auto"/>
                <w:bottom w:val="none" w:sz="0" w:space="0" w:color="auto"/>
                <w:right w:val="none" w:sz="0" w:space="0" w:color="auto"/>
              </w:divBdr>
            </w:div>
          </w:divsChild>
        </w:div>
        <w:div w:id="1120685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vt:lpstr>
    </vt:vector>
  </TitlesOfParts>
  <Company>USCIS</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subject/>
  <dc:creator>S. Tarragon</dc:creator>
  <cp:keywords/>
  <dc:description/>
  <cp:lastModifiedBy>Jager, Kerstin A</cp:lastModifiedBy>
  <cp:revision>2</cp:revision>
  <dcterms:created xsi:type="dcterms:W3CDTF">2020-07-27T19:46:00Z</dcterms:created>
  <dcterms:modified xsi:type="dcterms:W3CDTF">2020-07-27T19:46:00Z</dcterms:modified>
</cp:coreProperties>
</file>