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1F1" w:rsidP="00DB31F1" w:rsidRDefault="00DB31F1" w14:paraId="17B446A9" w14:textId="77777777">
      <w:pPr>
        <w:jc w:val="center"/>
        <w:rPr>
          <w:rFonts w:ascii="Times New Roman" w:hAnsi="Times New Roman"/>
          <w:b/>
          <w:bCs/>
        </w:rPr>
      </w:pPr>
      <w:r>
        <w:rPr>
          <w:rFonts w:ascii="Times New Roman" w:hAnsi="Times New Roman"/>
          <w:b/>
          <w:bCs/>
        </w:rPr>
        <w:t xml:space="preserve">SUPPORTING STATEMENT FOR </w:t>
      </w:r>
    </w:p>
    <w:p w:rsidR="00DB31F1" w:rsidP="00DB31F1" w:rsidRDefault="00DB31F1" w14:paraId="7A077325" w14:textId="77777777">
      <w:pPr>
        <w:jc w:val="center"/>
        <w:rPr>
          <w:rFonts w:ascii="Times New Roman" w:hAnsi="Times New Roman"/>
          <w:b/>
        </w:rPr>
      </w:pPr>
      <w:r>
        <w:rPr>
          <w:rFonts w:ascii="Times New Roman" w:hAnsi="Times New Roman"/>
          <w:b/>
        </w:rPr>
        <w:t>Petition for Nonimmigrant Worker</w:t>
      </w:r>
    </w:p>
    <w:p w:rsidR="00DB31F1" w:rsidP="00DB31F1" w:rsidRDefault="00DB31F1" w14:paraId="0AD943A9" w14:textId="77777777">
      <w:pPr>
        <w:jc w:val="center"/>
        <w:rPr>
          <w:rFonts w:ascii="Times New Roman" w:hAnsi="Times New Roman"/>
          <w:b/>
          <w:bCs/>
          <w:color w:val="FF0000"/>
        </w:rPr>
      </w:pPr>
      <w:r>
        <w:rPr>
          <w:rFonts w:ascii="Times New Roman" w:hAnsi="Times New Roman"/>
          <w:b/>
          <w:bCs/>
        </w:rPr>
        <w:t>OMB Control No.: 1615-0009</w:t>
      </w:r>
    </w:p>
    <w:p w:rsidR="00DB31F1" w:rsidP="00DB31F1" w:rsidRDefault="00DB31F1" w14:paraId="4C056F8E"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B31F1" w:rsidP="00DB31F1" w:rsidRDefault="00DB31F1" w14:paraId="4EE1E5D9"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xml:space="preserve">) is (are) eligible for the nonimmigrant classification.  The statutory authority is section 101(a)(15) and 214(c)(1); 8 U.S.C. 1101(a)(15) and 1184(c)(1) of the Immigration and Nationality Act (Act) and the regulatory authority is 8 CFR 214.2 (h)(2)(i)(A), (l)(2)(i), (o)(2)(i), (p)(2)(i), (q)(3)(i), and (r)(3).  A U.S. employer, or agent in some instances, may file a petition for nonimmigrant worker to employ foreign nationals under the following nonimmigrant classifications:  H-1B, H-2A, H-2B, H-3, L-1, O-1, O-2, P-1, P-2, P-3, P-1S, P-2S, P-3S, Q-1, or R-1 nonimmigrant worker.  </w:t>
      </w:r>
    </w:p>
    <w:p w:rsidR="00DB31F1" w:rsidP="00DB31F1" w:rsidRDefault="00DB31F1" w14:paraId="4B3B881A" w14:textId="77777777">
      <w:pPr>
        <w:ind w:left="720"/>
        <w:rPr>
          <w:rFonts w:ascii="Times New Roman" w:hAnsi="Times New Roman"/>
        </w:rPr>
      </w:pPr>
    </w:p>
    <w:p w:rsidR="00DB31F1" w:rsidP="00DB31F1" w:rsidRDefault="00DB31F1" w14:paraId="45E13838"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DB31F1" w:rsidP="00DB31F1" w:rsidRDefault="00DB31F1" w14:paraId="6C368FF6"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DB31F1" w:rsidP="00DB31F1" w:rsidRDefault="00DB31F1" w14:paraId="7E7B0480" w14:textId="65E464C8">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DB31F1" w:rsidP="00DB31F1" w:rsidRDefault="00DB31F1" w14:paraId="50689690" w14:textId="77777777">
      <w:pPr>
        <w:tabs>
          <w:tab w:val="left" w:pos="-1440"/>
        </w:tabs>
        <w:ind w:left="720"/>
        <w:rPr>
          <w:rFonts w:ascii="Times New Roman" w:hAnsi="Times New Roman"/>
        </w:rPr>
      </w:pPr>
      <w:r>
        <w:rPr>
          <w:rFonts w:ascii="Times New Roman" w:hAnsi="Times New Roman"/>
          <w:b/>
        </w:rPr>
        <w:lastRenderedPageBreak/>
        <w:t>Authority</w:t>
      </w:r>
      <w:r>
        <w:rPr>
          <w:rFonts w:ascii="Times New Roman" w:hAnsi="Times New Roman"/>
        </w:rPr>
        <w:t>: See section 214 of the Act and 8 CFR 214.2, especially 8 CFR and 8 CFR 214.2(h)(19)(iii)(B).  Also see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B31F1" w:rsidP="00DB31F1" w:rsidRDefault="00DB31F1" w14:paraId="074A1287" w14:textId="49F0E678">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B31F1" w:rsidP="00DB31F1" w:rsidRDefault="00DB31F1" w14:paraId="23C8A2D1" w14:textId="77777777">
      <w:pPr>
        <w:tabs>
          <w:tab w:val="left" w:pos="-1440"/>
        </w:tabs>
        <w:ind w:left="720"/>
        <w:rPr>
          <w:rFonts w:ascii="Times New Roman" w:hAnsi="Times New Roman"/>
          <w:color w:val="FF0000"/>
        </w:rPr>
      </w:pPr>
      <w:r>
        <w:rPr>
          <w:rFonts w:ascii="Times New Roman" w:hAnsi="Times New Roman"/>
        </w:rPr>
        <w:t xml:space="preserve">The use of the Form I-129 provides the most efficient means for collecting and processing the required data.  This form and its instructions reside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must be printed out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B31F1" w:rsidP="00DB31F1" w:rsidRDefault="00DB31F1" w14:paraId="3E1ECE90"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B31F1" w:rsidP="00DB31F1" w:rsidRDefault="00DB31F1" w14:paraId="4EC00961"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DB31F1" w:rsidP="00DB31F1" w:rsidRDefault="00DB31F1" w14:paraId="0455A1B9" w14:textId="77777777">
      <w:pPr>
        <w:tabs>
          <w:tab w:val="left" w:pos="-1440"/>
        </w:tabs>
        <w:ind w:left="720"/>
        <w:rPr>
          <w:rFonts w:ascii="Times New Roman" w:hAnsi="Times New Roman"/>
          <w:color w:val="FF0000"/>
        </w:rPr>
      </w:pPr>
      <w:r>
        <w:rPr>
          <w:rFonts w:ascii="Times New Roman" w:hAnsi="Times New Roman"/>
        </w:rPr>
        <w:t>The form is only submitted, collected, and used on an as-needed basis.  Employers submit petitions for a foreign national to be classified as a nonimmigrant worker under sections 101 and 214 of the Act, when they have the need for the employee.  This form asks questions necessary to determine eligibility.  The technical and legal obstacles to reducing the burden are that no unnecessary information is obtained or questions asked that can be removed.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lastRenderedPageBreak/>
        <w:t>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bookmarkStart w:name="_GoBack" w:id="0"/>
      <w:proofErr w:type="gramStart"/>
      <w:r w:rsidRPr="00AF45F2">
        <w:rPr>
          <w:rFonts w:ascii="Times New Roman" w:hAnsi="Times New Roman"/>
          <w:b/>
        </w:rPr>
        <w:t>public</w:t>
      </w:r>
      <w:bookmarkEnd w:id="0"/>
      <w:r w:rsidRPr="00AF45F2">
        <w:rPr>
          <w:rFonts w:ascii="Times New Roman" w:hAnsi="Times New Roman"/>
          <w:b/>
        </w:rPr>
        <w:t>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DB31F1" w:rsidR="00DB31F1" w:rsidP="00914A5D" w:rsidRDefault="00DB31F1" w14:paraId="2D6FB7FD" w14:textId="2E8CB9F0">
      <w:pPr>
        <w:tabs>
          <w:tab w:val="left" w:pos="-1440"/>
        </w:tabs>
        <w:ind w:left="720"/>
        <w:rPr>
          <w:rFonts w:ascii="Times New Roman" w:hAnsi="Times New Roman"/>
        </w:rPr>
      </w:pPr>
      <w:r>
        <w:rPr>
          <w:rFonts w:ascii="Times New Roman" w:hAnsi="Times New Roman"/>
        </w:rPr>
        <w:t>USCIS did not publish a notice in the Federal Register. This s</w:t>
      </w:r>
      <w:r w:rsidRPr="00DB31F1">
        <w:rPr>
          <w:rFonts w:ascii="Times New Roman" w:hAnsi="Times New Roman"/>
        </w:rPr>
        <w:t xml:space="preserve">ubmission </w:t>
      </w:r>
      <w:r>
        <w:rPr>
          <w:rFonts w:ascii="Times New Roman" w:hAnsi="Times New Roman"/>
        </w:rPr>
        <w:t xml:space="preserve">is </w:t>
      </w:r>
      <w:r w:rsidRPr="00DB31F1">
        <w:rPr>
          <w:rFonts w:ascii="Times New Roman" w:hAnsi="Times New Roman"/>
        </w:rPr>
        <w:t>made under 5 CFR 1320.13</w:t>
      </w:r>
      <w:r>
        <w:rPr>
          <w:rFonts w:ascii="Times New Roman" w:hAnsi="Times New Roman"/>
        </w:rPr>
        <w:t>.</w:t>
      </w:r>
    </w:p>
    <w:p w:rsidRPr="00914A5D" w:rsidR="00B27061" w:rsidP="00914A5D" w:rsidRDefault="007312F9" w14:paraId="3F044073" w14:textId="4340F124">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DB31F1" w:rsidP="00DB31F1" w:rsidRDefault="00DB31F1" w14:paraId="47CB8F1C"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DB31F1" w:rsidP="00DB31F1" w:rsidRDefault="00DB31F1" w14:paraId="673E07A0"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DB31F1" w:rsidP="00DB31F1" w:rsidRDefault="00DB31F1" w14:paraId="51B778E3" w14:textId="77777777">
      <w:pPr>
        <w:pStyle w:val="ListParagraph"/>
        <w:numPr>
          <w:ilvl w:val="0"/>
          <w:numId w:val="9"/>
        </w:numPr>
        <w:tabs>
          <w:tab w:val="left" w:pos="-1440"/>
        </w:tabs>
        <w:rPr>
          <w:rFonts w:ascii="Times New Roman" w:hAnsi="Times New Roman"/>
        </w:rPr>
      </w:pPr>
      <w:r>
        <w:rPr>
          <w:rFonts w:ascii="Times New Roman" w:hAnsi="Times New Roman"/>
        </w:rPr>
        <w:lastRenderedPageBreak/>
        <w:t>DHS/USCIS/PIA 016(a) Computer Linked Application Information Management System (CLAIMS 3) and Associated Systems.</w:t>
      </w:r>
    </w:p>
    <w:p w:rsidR="00DB31F1" w:rsidP="00DB31F1" w:rsidRDefault="00DB31F1" w14:paraId="06A58EA9" w14:textId="77777777">
      <w:pPr>
        <w:tabs>
          <w:tab w:val="left" w:pos="-1440"/>
        </w:tabs>
        <w:ind w:left="720"/>
        <w:rPr>
          <w:rFonts w:ascii="Times New Roman" w:hAnsi="Times New Roman"/>
        </w:rPr>
      </w:pPr>
    </w:p>
    <w:p w:rsidR="00DB31F1" w:rsidP="00DB31F1" w:rsidRDefault="00DB31F1" w14:paraId="185E95F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DB31F1" w:rsidP="00DB31F1" w:rsidRDefault="00DB31F1" w14:paraId="7FAC7494"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DB31F1" w:rsidP="00DB31F1" w:rsidRDefault="00DB31F1" w14:paraId="16014D07"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Pr="00DB31F1" w:rsidR="00EC5F60" w:rsidP="00DB31F1" w:rsidRDefault="00DB31F1" w14:paraId="5E3A935B" w14:textId="45FF07B6">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B31F1" w:rsidP="00DB31F1" w:rsidRDefault="00DB31F1" w14:paraId="40E7E681" w14:textId="77777777">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70" w:type="dxa"/>
        <w:tblInd w:w="-252" w:type="dxa"/>
        <w:tblLayout w:type="fixed"/>
        <w:tblLook w:val="04A0" w:firstRow="1" w:lastRow="0" w:firstColumn="1" w:lastColumn="0" w:noHBand="0" w:noVBand="1"/>
      </w:tblPr>
      <w:tblGrid>
        <w:gridCol w:w="1343"/>
        <w:gridCol w:w="1460"/>
        <w:gridCol w:w="1350"/>
        <w:gridCol w:w="1170"/>
        <w:gridCol w:w="1080"/>
        <w:gridCol w:w="1080"/>
        <w:gridCol w:w="1127"/>
        <w:gridCol w:w="900"/>
        <w:gridCol w:w="1260"/>
      </w:tblGrid>
      <w:tr w:rsidR="00DB31F1" w:rsidTr="00DB31F1" w14:paraId="719DE86B" w14:textId="77777777">
        <w:trPr>
          <w:trHeight w:val="315"/>
        </w:trPr>
        <w:tc>
          <w:tcPr>
            <w:tcW w:w="1344" w:type="dxa"/>
            <w:tcBorders>
              <w:top w:val="single" w:color="auto" w:sz="8" w:space="0"/>
              <w:left w:val="single" w:color="auto" w:sz="8" w:space="0"/>
              <w:bottom w:val="single" w:color="auto" w:sz="8" w:space="0"/>
              <w:right w:val="single" w:color="auto" w:sz="8" w:space="0"/>
            </w:tcBorders>
            <w:noWrap/>
            <w:vAlign w:val="center"/>
            <w:hideMark/>
          </w:tcPr>
          <w:p w:rsidR="00DB31F1" w:rsidRDefault="00DB31F1" w14:paraId="3DB1CFDC" w14:textId="77777777">
            <w:pPr>
              <w:widowControl/>
              <w:autoSpaceDE/>
              <w:autoSpaceDN/>
              <w:adjustRightInd/>
              <w:rPr>
                <w:rFonts w:ascii="Times New Roman" w:hAnsi="Times New Roman"/>
                <w:sz w:val="20"/>
                <w:szCs w:val="20"/>
              </w:rPr>
            </w:pPr>
          </w:p>
        </w:tc>
        <w:tc>
          <w:tcPr>
            <w:tcW w:w="1461" w:type="dxa"/>
            <w:tcBorders>
              <w:top w:val="single" w:color="auto" w:sz="8" w:space="0"/>
              <w:left w:val="nil"/>
              <w:bottom w:val="single" w:color="auto" w:sz="8" w:space="0"/>
              <w:right w:val="single" w:color="auto" w:sz="8" w:space="0"/>
            </w:tcBorders>
            <w:noWrap/>
            <w:vAlign w:val="center"/>
            <w:hideMark/>
          </w:tcPr>
          <w:p w:rsidR="00DB31F1" w:rsidRDefault="00DB31F1" w14:paraId="69800AC1" w14:textId="77777777">
            <w:pPr>
              <w:widowControl/>
              <w:autoSpaceDE/>
              <w:autoSpaceDN/>
              <w:adjustRightInd/>
              <w:rPr>
                <w:rFonts w:ascii="Times New Roman" w:hAnsi="Times New Roman"/>
                <w:sz w:val="20"/>
                <w:szCs w:val="20"/>
              </w:rPr>
            </w:pPr>
          </w:p>
        </w:tc>
        <w:tc>
          <w:tcPr>
            <w:tcW w:w="1350" w:type="dxa"/>
            <w:tcBorders>
              <w:top w:val="single" w:color="auto" w:sz="8" w:space="0"/>
              <w:left w:val="nil"/>
              <w:bottom w:val="single" w:color="auto" w:sz="8" w:space="0"/>
              <w:right w:val="single" w:color="auto" w:sz="8" w:space="0"/>
            </w:tcBorders>
            <w:noWrap/>
            <w:vAlign w:val="center"/>
            <w:hideMark/>
          </w:tcPr>
          <w:p w:rsidR="00DB31F1" w:rsidRDefault="00DB31F1" w14:paraId="7029742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noWrap/>
            <w:vAlign w:val="center"/>
            <w:hideMark/>
          </w:tcPr>
          <w:p w:rsidR="00DB31F1" w:rsidRDefault="00DB31F1" w14:paraId="015A58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noWrap/>
            <w:vAlign w:val="center"/>
            <w:hideMark/>
          </w:tcPr>
          <w:p w:rsidR="00DB31F1" w:rsidRDefault="00DB31F1" w14:paraId="01F7BBB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noWrap/>
            <w:vAlign w:val="center"/>
            <w:hideMark/>
          </w:tcPr>
          <w:p w:rsidR="00DB31F1" w:rsidRDefault="00DB31F1" w14:paraId="17E8D44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noWrap/>
            <w:vAlign w:val="center"/>
            <w:hideMark/>
          </w:tcPr>
          <w:p w:rsidR="00DB31F1" w:rsidRDefault="00DB31F1" w14:paraId="5A24EF7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noWrap/>
            <w:vAlign w:val="center"/>
            <w:hideMark/>
          </w:tcPr>
          <w:p w:rsidR="00DB31F1" w:rsidRDefault="00DB31F1" w14:paraId="560270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noWrap/>
            <w:vAlign w:val="center"/>
            <w:hideMark/>
          </w:tcPr>
          <w:p w:rsidR="00DB31F1" w:rsidRDefault="00DB31F1" w14:paraId="36B5A59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DB31F1" w:rsidTr="00DB31F1" w14:paraId="4C64E976" w14:textId="77777777">
        <w:trPr>
          <w:trHeight w:val="1290"/>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51EA3FE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61" w:type="dxa"/>
            <w:tcBorders>
              <w:top w:val="nil"/>
              <w:left w:val="nil"/>
              <w:bottom w:val="single" w:color="auto" w:sz="8" w:space="0"/>
              <w:right w:val="single" w:color="auto" w:sz="8" w:space="0"/>
            </w:tcBorders>
            <w:vAlign w:val="center"/>
            <w:hideMark/>
          </w:tcPr>
          <w:p w:rsidR="00DB31F1" w:rsidRDefault="00DB31F1" w14:paraId="22A2D55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vAlign w:val="center"/>
            <w:hideMark/>
          </w:tcPr>
          <w:p w:rsidR="00DB31F1" w:rsidRDefault="00DB31F1" w14:paraId="5BDF42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vAlign w:val="center"/>
            <w:hideMark/>
          </w:tcPr>
          <w:p w:rsidR="00DB31F1" w:rsidRDefault="00DB31F1" w14:paraId="1F09BE5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vAlign w:val="center"/>
            <w:hideMark/>
          </w:tcPr>
          <w:p w:rsidR="00DB31F1" w:rsidRDefault="00DB31F1" w14:paraId="53D71D1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vAlign w:val="center"/>
            <w:hideMark/>
          </w:tcPr>
          <w:p w:rsidR="00DB31F1" w:rsidRDefault="00DB31F1" w14:paraId="7E84CCC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vAlign w:val="center"/>
            <w:hideMark/>
          </w:tcPr>
          <w:p w:rsidR="00DB31F1" w:rsidRDefault="00DB31F1" w14:paraId="47B0058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vAlign w:val="center"/>
            <w:hideMark/>
          </w:tcPr>
          <w:p w:rsidR="00DB31F1" w:rsidRDefault="00DB31F1" w14:paraId="46D182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vAlign w:val="center"/>
            <w:hideMark/>
          </w:tcPr>
          <w:p w:rsidR="00DB31F1" w:rsidRDefault="00DB31F1" w14:paraId="6E76534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DB31F1" w:rsidTr="00DB31F1" w14:paraId="5C9AE26A"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565D2FA7"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4FFA0710"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vAlign w:val="center"/>
            <w:hideMark/>
          </w:tcPr>
          <w:p w:rsidR="00DB31F1" w:rsidRDefault="00DB31F1" w14:paraId="45EDD22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vAlign w:val="center"/>
            <w:hideMark/>
          </w:tcPr>
          <w:p w:rsidR="00DB31F1" w:rsidRDefault="00DB31F1" w14:paraId="4FA3AD6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5540520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vAlign w:val="center"/>
            <w:hideMark/>
          </w:tcPr>
          <w:p w:rsidR="00DB31F1" w:rsidRDefault="00DB31F1" w14:paraId="1F98FD24"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DB31F1" w:rsidRDefault="00DB31F1" w14:paraId="4B3412F0"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689,717.34</w:t>
            </w:r>
          </w:p>
        </w:tc>
        <w:tc>
          <w:tcPr>
            <w:tcW w:w="900" w:type="dxa"/>
            <w:tcBorders>
              <w:top w:val="nil"/>
              <w:left w:val="nil"/>
              <w:bottom w:val="single" w:color="auto" w:sz="8" w:space="0"/>
              <w:right w:val="single" w:color="auto" w:sz="8" w:space="0"/>
            </w:tcBorders>
            <w:vAlign w:val="center"/>
            <w:hideMark/>
          </w:tcPr>
          <w:p w:rsidR="00DB31F1" w:rsidRDefault="00DB31F1" w14:paraId="27C75842"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25919200"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$25,153,991</w:t>
            </w:r>
          </w:p>
        </w:tc>
      </w:tr>
      <w:tr w:rsidR="00DB31F1" w:rsidTr="00DB31F1" w14:paraId="74E0D84E"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3CECE33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66D64FC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vAlign w:val="center"/>
            <w:hideMark/>
          </w:tcPr>
          <w:p w:rsidR="00DB31F1" w:rsidRDefault="00DB31F1" w14:paraId="46BEB2F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vAlign w:val="center"/>
            <w:hideMark/>
          </w:tcPr>
          <w:p w:rsidR="00DB31F1" w:rsidRDefault="00DB31F1" w14:paraId="1CE3D63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6B9DCFD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vAlign w:val="center"/>
            <w:hideMark/>
          </w:tcPr>
          <w:p w:rsidR="00DB31F1" w:rsidRDefault="00DB31F1" w14:paraId="203AB5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DB31F1" w:rsidRDefault="00DB31F1" w14:paraId="074A61A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3,189.20</w:t>
            </w:r>
          </w:p>
        </w:tc>
        <w:tc>
          <w:tcPr>
            <w:tcW w:w="900" w:type="dxa"/>
            <w:tcBorders>
              <w:top w:val="nil"/>
              <w:left w:val="nil"/>
              <w:bottom w:val="single" w:color="auto" w:sz="8" w:space="0"/>
              <w:right w:val="single" w:color="auto" w:sz="8" w:space="0"/>
            </w:tcBorders>
            <w:vAlign w:val="center"/>
            <w:hideMark/>
          </w:tcPr>
          <w:p w:rsidR="00DB31F1" w:rsidRDefault="00DB31F1" w14:paraId="4B912839"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1AC0E368"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$116,310</w:t>
            </w:r>
          </w:p>
        </w:tc>
      </w:tr>
      <w:tr w:rsidR="00DB31F1" w:rsidTr="00DB31F1" w14:paraId="0355B958"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70D72C2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09C501A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vAlign w:val="center"/>
            <w:hideMark/>
          </w:tcPr>
          <w:p w:rsidR="00DB31F1" w:rsidRDefault="00DB31F1" w14:paraId="65DDFDE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vAlign w:val="center"/>
            <w:hideMark/>
          </w:tcPr>
          <w:p w:rsidR="00DB31F1" w:rsidRDefault="00DB31F1" w14:paraId="106329C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4747092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vAlign w:val="center"/>
            <w:hideMark/>
          </w:tcPr>
          <w:p w:rsidR="00DB31F1" w:rsidRDefault="00DB31F1" w14:paraId="0B3787D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DB31F1" w:rsidRDefault="00DB31F1" w14:paraId="6C633F69"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2,048.19</w:t>
            </w:r>
          </w:p>
        </w:tc>
        <w:tc>
          <w:tcPr>
            <w:tcW w:w="900" w:type="dxa"/>
            <w:tcBorders>
              <w:top w:val="nil"/>
              <w:left w:val="nil"/>
              <w:bottom w:val="single" w:color="auto" w:sz="8" w:space="0"/>
              <w:right w:val="single" w:color="auto" w:sz="8" w:space="0"/>
            </w:tcBorders>
            <w:vAlign w:val="center"/>
            <w:hideMark/>
          </w:tcPr>
          <w:p w:rsidR="00DB31F1" w:rsidRDefault="00DB31F1" w14:paraId="36848619"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151936B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$74,697</w:t>
            </w:r>
          </w:p>
        </w:tc>
      </w:tr>
      <w:tr w:rsidR="00DB31F1" w:rsidTr="00DB31F1" w14:paraId="5BBD1273"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0AB41FC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3B34526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vAlign w:val="center"/>
            <w:hideMark/>
          </w:tcPr>
          <w:p w:rsidR="00DB31F1" w:rsidRDefault="00DB31F1" w14:paraId="614A71A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vAlign w:val="center"/>
            <w:hideMark/>
          </w:tcPr>
          <w:p w:rsidR="00DB31F1" w:rsidRDefault="00DB31F1" w14:paraId="7FF779B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540493E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DB31F1" w:rsidRDefault="00DB31F1" w14:paraId="4EABEB7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vAlign w:val="center"/>
            <w:hideMark/>
          </w:tcPr>
          <w:p w:rsidR="00DB31F1" w:rsidRDefault="00DB31F1" w14:paraId="34747A6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192,582.00</w:t>
            </w:r>
          </w:p>
        </w:tc>
        <w:tc>
          <w:tcPr>
            <w:tcW w:w="900" w:type="dxa"/>
            <w:tcBorders>
              <w:top w:val="nil"/>
              <w:left w:val="nil"/>
              <w:bottom w:val="single" w:color="auto" w:sz="8" w:space="0"/>
              <w:right w:val="single" w:color="auto" w:sz="8" w:space="0"/>
            </w:tcBorders>
            <w:vAlign w:val="center"/>
            <w:hideMark/>
          </w:tcPr>
          <w:p w:rsidR="00DB31F1" w:rsidRDefault="00DB31F1" w14:paraId="7387F91C"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426C9C83"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$7,023,466</w:t>
            </w:r>
          </w:p>
        </w:tc>
      </w:tr>
      <w:tr w:rsidR="00DB31F1" w:rsidTr="00DB31F1" w14:paraId="435CF709"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7F799CD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w:t>
            </w:r>
            <w:r>
              <w:rPr>
                <w:rFonts w:ascii="Times New Roman" w:hAnsi="Times New Roman"/>
                <w:bCs/>
                <w:color w:val="000000"/>
                <w:sz w:val="20"/>
                <w:szCs w:val="20"/>
              </w:rPr>
              <w:lastRenderedPageBreak/>
              <w: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7782E6D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 xml:space="preserve">H-1B and H-1B1 Data Collection and Filing Fee </w:t>
            </w:r>
            <w:r>
              <w:rPr>
                <w:rFonts w:ascii="Times New Roman" w:hAnsi="Times New Roman"/>
                <w:bCs/>
                <w:color w:val="000000"/>
                <w:sz w:val="20"/>
                <w:szCs w:val="20"/>
              </w:rPr>
              <w:lastRenderedPageBreak/>
              <w:t>Exemption Supplement</w:t>
            </w:r>
            <w:r>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vAlign w:val="center"/>
            <w:hideMark/>
          </w:tcPr>
          <w:p w:rsidR="00DB31F1" w:rsidRDefault="00DB31F1" w14:paraId="73DF380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vAlign w:val="center"/>
            <w:hideMark/>
          </w:tcPr>
          <w:p w:rsidR="00DB31F1" w:rsidRDefault="00DB31F1" w14:paraId="5576122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2DA259E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DB31F1" w:rsidRDefault="00DB31F1" w14:paraId="485EB0B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DB31F1" w:rsidRDefault="00DB31F1" w14:paraId="73ADCA6C"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96,291.00</w:t>
            </w:r>
          </w:p>
        </w:tc>
        <w:tc>
          <w:tcPr>
            <w:tcW w:w="900" w:type="dxa"/>
            <w:tcBorders>
              <w:top w:val="nil"/>
              <w:left w:val="nil"/>
              <w:bottom w:val="single" w:color="auto" w:sz="8" w:space="0"/>
              <w:right w:val="single" w:color="auto" w:sz="8" w:space="0"/>
            </w:tcBorders>
            <w:vAlign w:val="center"/>
            <w:hideMark/>
          </w:tcPr>
          <w:p w:rsidR="00DB31F1" w:rsidRDefault="00DB31F1" w14:paraId="6D3B73B0"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1CD21ADB"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$3,511,733</w:t>
            </w:r>
          </w:p>
        </w:tc>
      </w:tr>
      <w:tr w:rsidR="00DB31F1" w:rsidTr="00DB31F1" w14:paraId="589A2887"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607DE5F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58EB27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vAlign w:val="center"/>
            <w:hideMark/>
          </w:tcPr>
          <w:p w:rsidR="00DB31F1" w:rsidRDefault="00DB31F1" w14:paraId="506816C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vAlign w:val="center"/>
            <w:hideMark/>
          </w:tcPr>
          <w:p w:rsidR="00DB31F1" w:rsidRDefault="00DB31F1" w14:paraId="443E9C0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30F5445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vAlign w:val="center"/>
            <w:hideMark/>
          </w:tcPr>
          <w:p w:rsidR="00DB31F1" w:rsidRDefault="00DB31F1" w14:paraId="4C4B782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vAlign w:val="center"/>
            <w:hideMark/>
          </w:tcPr>
          <w:p w:rsidR="00DB31F1" w:rsidRDefault="00DB31F1" w14:paraId="064C3826"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50,693.54</w:t>
            </w:r>
          </w:p>
        </w:tc>
        <w:tc>
          <w:tcPr>
            <w:tcW w:w="900" w:type="dxa"/>
            <w:tcBorders>
              <w:top w:val="nil"/>
              <w:left w:val="nil"/>
              <w:bottom w:val="single" w:color="auto" w:sz="8" w:space="0"/>
              <w:right w:val="single" w:color="auto" w:sz="8" w:space="0"/>
            </w:tcBorders>
            <w:vAlign w:val="center"/>
            <w:hideMark/>
          </w:tcPr>
          <w:p w:rsidR="00DB31F1" w:rsidRDefault="00DB31F1" w14:paraId="3512B916"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2A534C12"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$1,848,793</w:t>
            </w:r>
          </w:p>
        </w:tc>
      </w:tr>
      <w:tr w:rsidR="00DB31F1" w:rsidTr="00DB31F1" w14:paraId="2730AB23"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2D11A2A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1899B1D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vAlign w:val="center"/>
            <w:hideMark/>
          </w:tcPr>
          <w:p w:rsidR="00DB31F1" w:rsidRDefault="00DB31F1" w14:paraId="5B476DE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vAlign w:val="center"/>
            <w:hideMark/>
          </w:tcPr>
          <w:p w:rsidR="00DB31F1" w:rsidRDefault="00DB31F1" w14:paraId="5E4FFBA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3D75189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vAlign w:val="center"/>
            <w:hideMark/>
          </w:tcPr>
          <w:p w:rsidR="00DB31F1" w:rsidRDefault="00DB31F1" w14:paraId="503E4A0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DB31F1" w:rsidRDefault="00DB31F1" w14:paraId="00AAC637"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22,710.00</w:t>
            </w:r>
          </w:p>
        </w:tc>
        <w:tc>
          <w:tcPr>
            <w:tcW w:w="900" w:type="dxa"/>
            <w:tcBorders>
              <w:top w:val="nil"/>
              <w:left w:val="nil"/>
              <w:bottom w:val="single" w:color="auto" w:sz="8" w:space="0"/>
              <w:right w:val="single" w:color="auto" w:sz="8" w:space="0"/>
            </w:tcBorders>
            <w:vAlign w:val="center"/>
            <w:hideMark/>
          </w:tcPr>
          <w:p w:rsidR="00DB31F1" w:rsidRDefault="00DB31F1" w14:paraId="3282CD06"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5F003CF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$828,234</w:t>
            </w:r>
          </w:p>
        </w:tc>
      </w:tr>
      <w:tr w:rsidR="00DB31F1" w:rsidTr="00DB31F1" w14:paraId="6D76C6DB"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11222B3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66DFC99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vAlign w:val="center"/>
            <w:hideMark/>
          </w:tcPr>
          <w:p w:rsidR="00DB31F1" w:rsidRDefault="00DB31F1" w14:paraId="3245C16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vAlign w:val="center"/>
            <w:hideMark/>
          </w:tcPr>
          <w:p w:rsidR="00DB31F1" w:rsidRDefault="00DB31F1" w14:paraId="39198F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24B2FBB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vAlign w:val="center"/>
            <w:hideMark/>
          </w:tcPr>
          <w:p w:rsidR="00DB31F1" w:rsidRDefault="00DB31F1" w14:paraId="01708BE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vAlign w:val="center"/>
            <w:hideMark/>
          </w:tcPr>
          <w:p w:rsidR="00DB31F1" w:rsidRDefault="00DB31F1" w14:paraId="55B3FBA0"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52.70</w:t>
            </w:r>
          </w:p>
        </w:tc>
        <w:tc>
          <w:tcPr>
            <w:tcW w:w="900" w:type="dxa"/>
            <w:tcBorders>
              <w:top w:val="nil"/>
              <w:left w:val="nil"/>
              <w:bottom w:val="single" w:color="auto" w:sz="8" w:space="0"/>
              <w:right w:val="single" w:color="auto" w:sz="8" w:space="0"/>
            </w:tcBorders>
            <w:vAlign w:val="center"/>
            <w:hideMark/>
          </w:tcPr>
          <w:p w:rsidR="00DB31F1" w:rsidRDefault="00DB31F1" w14:paraId="74C919BE"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61ED738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$1,922</w:t>
            </w:r>
          </w:p>
        </w:tc>
      </w:tr>
      <w:tr w:rsidR="00DB31F1" w:rsidTr="00DB31F1" w14:paraId="14C2788E"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00B7A93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vAlign w:val="center"/>
            <w:hideMark/>
          </w:tcPr>
          <w:p w:rsidR="00DB31F1" w:rsidRDefault="00DB31F1" w14:paraId="20E3349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vAlign w:val="center"/>
            <w:hideMark/>
          </w:tcPr>
          <w:p w:rsidR="00DB31F1" w:rsidRDefault="00DB31F1" w14:paraId="476552A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vAlign w:val="center"/>
            <w:hideMark/>
          </w:tcPr>
          <w:p w:rsidR="00DB31F1" w:rsidRDefault="00DB31F1" w14:paraId="151FE4A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DB31F1" w:rsidRDefault="00DB31F1" w14:paraId="0393F46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vAlign w:val="center"/>
            <w:hideMark/>
          </w:tcPr>
          <w:p w:rsidR="00DB31F1" w:rsidRDefault="00DB31F1" w14:paraId="5E14A29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DB31F1" w:rsidRDefault="00DB31F1" w14:paraId="58AE15AE"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15,525.90</w:t>
            </w:r>
          </w:p>
        </w:tc>
        <w:tc>
          <w:tcPr>
            <w:tcW w:w="900" w:type="dxa"/>
            <w:tcBorders>
              <w:top w:val="nil"/>
              <w:left w:val="nil"/>
              <w:bottom w:val="single" w:color="auto" w:sz="8" w:space="0"/>
              <w:right w:val="single" w:color="auto" w:sz="8" w:space="0"/>
            </w:tcBorders>
            <w:vAlign w:val="center"/>
            <w:hideMark/>
          </w:tcPr>
          <w:p w:rsidR="00DB31F1" w:rsidRDefault="00DB31F1" w14:paraId="29828F1A" w14:textId="77777777">
            <w:pPr>
              <w:widowControl/>
              <w:autoSpaceDE/>
              <w:adjustRightInd/>
              <w:jc w:val="center"/>
              <w:rPr>
                <w:rFonts w:ascii="Times New Roman" w:hAnsi="Times New Roman"/>
                <w:sz w:val="20"/>
                <w:szCs w:val="20"/>
              </w:rPr>
            </w:pPr>
            <w:r>
              <w:rPr>
                <w:rFonts w:ascii="Times New Roman" w:hAnsi="Times New Roman"/>
                <w:sz w:val="20"/>
                <w:szCs w:val="20"/>
              </w:rPr>
              <w:t>$36.47</w:t>
            </w:r>
          </w:p>
        </w:tc>
        <w:tc>
          <w:tcPr>
            <w:tcW w:w="1260" w:type="dxa"/>
            <w:tcBorders>
              <w:top w:val="nil"/>
              <w:left w:val="nil"/>
              <w:bottom w:val="single" w:color="auto" w:sz="8" w:space="0"/>
              <w:right w:val="single" w:color="auto" w:sz="8" w:space="0"/>
            </w:tcBorders>
            <w:vAlign w:val="center"/>
            <w:hideMark/>
          </w:tcPr>
          <w:p w:rsidR="00DB31F1" w:rsidRDefault="00DB31F1" w14:paraId="10B89896"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$566,230</w:t>
            </w:r>
          </w:p>
        </w:tc>
      </w:tr>
      <w:tr w:rsidR="00DB31F1" w:rsidTr="00DB31F1" w14:paraId="6AD46BE0" w14:textId="77777777">
        <w:trPr>
          <w:trHeight w:val="315"/>
        </w:trPr>
        <w:tc>
          <w:tcPr>
            <w:tcW w:w="1344" w:type="dxa"/>
            <w:tcBorders>
              <w:top w:val="nil"/>
              <w:left w:val="single" w:color="auto" w:sz="8" w:space="0"/>
              <w:bottom w:val="single" w:color="auto" w:sz="8" w:space="0"/>
              <w:right w:val="single" w:color="auto" w:sz="8" w:space="0"/>
            </w:tcBorders>
            <w:vAlign w:val="center"/>
            <w:hideMark/>
          </w:tcPr>
          <w:p w:rsidR="00DB31F1" w:rsidRDefault="00DB31F1" w14:paraId="03978CB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461" w:type="dxa"/>
            <w:tcBorders>
              <w:top w:val="nil"/>
              <w:left w:val="nil"/>
              <w:bottom w:val="single" w:color="auto" w:sz="8" w:space="0"/>
              <w:right w:val="single" w:color="auto" w:sz="8" w:space="0"/>
            </w:tcBorders>
            <w:shd w:val="clear" w:color="auto" w:fill="000000"/>
            <w:vAlign w:val="center"/>
            <w:hideMark/>
          </w:tcPr>
          <w:p w:rsidR="00DB31F1" w:rsidRDefault="00DB31F1" w14:paraId="67FD497A" w14:textId="77777777">
            <w:pP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000000" w:themeFill="text1"/>
            <w:vAlign w:val="center"/>
          </w:tcPr>
          <w:p w:rsidR="00DB31F1" w:rsidRDefault="00DB31F1" w14:paraId="7AF8ABBA" w14:textId="77777777">
            <w:pPr>
              <w:widowControl/>
              <w:autoSpaceDE/>
              <w:adjustRightInd/>
              <w:jc w:val="center"/>
              <w:rPr>
                <w:rFonts w:ascii="Times New Roman" w:hAnsi="Times New Roman"/>
                <w:b/>
                <w:color w:val="FF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00DB31F1" w:rsidRDefault="00DB31F1" w14:paraId="30E0F9AE" w14:textId="77777777">
            <w:pPr>
              <w:widowControl/>
              <w:autoSpaceDE/>
              <w:adjustRightInd/>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vAlign w:val="center"/>
            <w:hideMark/>
          </w:tcPr>
          <w:p w:rsidR="00DB31F1" w:rsidRDefault="00DB31F1" w14:paraId="41D74C79" w14:textId="77777777">
            <w:pPr>
              <w:widowControl/>
              <w:autoSpaceDE/>
              <w:adjustRightInd/>
              <w:jc w:val="center"/>
              <w:rPr>
                <w:rFonts w:ascii="Times New Roman" w:hAnsi="Times New Roman"/>
                <w:b/>
                <w:color w:val="000000"/>
                <w:sz w:val="20"/>
                <w:szCs w:val="20"/>
              </w:rPr>
            </w:pPr>
            <w:r>
              <w:rPr>
                <w:rFonts w:ascii="Times New Roman" w:hAnsi="Times New Roman"/>
                <w:sz w:val="20"/>
                <w:szCs w:val="20"/>
              </w:rPr>
              <w:t>562,481</w:t>
            </w:r>
          </w:p>
        </w:tc>
        <w:tc>
          <w:tcPr>
            <w:tcW w:w="1080" w:type="dxa"/>
            <w:tcBorders>
              <w:top w:val="nil"/>
              <w:left w:val="nil"/>
              <w:bottom w:val="single" w:color="auto" w:sz="8" w:space="0"/>
              <w:right w:val="single" w:color="auto" w:sz="8" w:space="0"/>
            </w:tcBorders>
            <w:shd w:val="clear" w:color="auto" w:fill="000000"/>
            <w:vAlign w:val="center"/>
          </w:tcPr>
          <w:p w:rsidR="00DB31F1" w:rsidRDefault="00DB31F1" w14:paraId="7B9D83A3" w14:textId="77777777">
            <w:pPr>
              <w:widowControl/>
              <w:autoSpaceDE/>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vAlign w:val="center"/>
            <w:hideMark/>
          </w:tcPr>
          <w:p w:rsidR="00DB31F1" w:rsidRDefault="00DB31F1" w14:paraId="64D00191" w14:textId="77777777">
            <w:pPr>
              <w:widowControl/>
              <w:autoSpaceDE/>
              <w:adjustRightInd/>
              <w:jc w:val="center"/>
              <w:rPr>
                <w:rFonts w:ascii="Times New Roman" w:hAnsi="Times New Roman"/>
                <w:b/>
                <w:color w:val="000000"/>
                <w:sz w:val="20"/>
                <w:szCs w:val="20"/>
              </w:rPr>
            </w:pPr>
            <w:r>
              <w:rPr>
                <w:rFonts w:ascii="Times New Roman" w:hAnsi="Times New Roman"/>
                <w:b/>
                <w:color w:val="000000"/>
                <w:sz w:val="20"/>
                <w:szCs w:val="20"/>
              </w:rPr>
              <w:t>1,072,810</w:t>
            </w:r>
          </w:p>
        </w:tc>
        <w:tc>
          <w:tcPr>
            <w:tcW w:w="900" w:type="dxa"/>
            <w:tcBorders>
              <w:top w:val="nil"/>
              <w:left w:val="nil"/>
              <w:bottom w:val="single" w:color="auto" w:sz="8" w:space="0"/>
              <w:right w:val="single" w:color="auto" w:sz="8" w:space="0"/>
            </w:tcBorders>
            <w:shd w:val="clear" w:color="auto" w:fill="000000"/>
            <w:vAlign w:val="center"/>
          </w:tcPr>
          <w:p w:rsidR="00DB31F1" w:rsidRDefault="00DB31F1" w14:paraId="1AD91389" w14:textId="77777777">
            <w:pPr>
              <w:widowControl/>
              <w:autoSpaceDE/>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vAlign w:val="center"/>
            <w:hideMark/>
          </w:tcPr>
          <w:p w:rsidR="00DB31F1" w:rsidRDefault="00DB31F1" w14:paraId="14CF2BEA" w14:textId="77777777">
            <w:pPr>
              <w:widowControl/>
              <w:autoSpaceDE/>
              <w:adjustRightInd/>
              <w:jc w:val="center"/>
              <w:rPr>
                <w:rFonts w:ascii="Times New Roman" w:hAnsi="Times New Roman"/>
                <w:b/>
                <w:color w:val="000000"/>
                <w:sz w:val="20"/>
                <w:szCs w:val="20"/>
              </w:rPr>
            </w:pPr>
            <w:r>
              <w:rPr>
                <w:rFonts w:ascii="Times New Roman" w:hAnsi="Times New Roman"/>
                <w:sz w:val="20"/>
                <w:szCs w:val="20"/>
              </w:rPr>
              <w:t>39,125,376</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DB31F1" w:rsidP="00DB31F1" w:rsidRDefault="00DB31F1" w14:paraId="1731049F" w14:textId="77777777">
      <w:pPr>
        <w:ind w:left="720"/>
        <w:jc w:val="both"/>
        <w:rPr>
          <w:sz w:val="20"/>
          <w:szCs w:val="20"/>
          <w:u w:val="single"/>
        </w:rPr>
      </w:pPr>
      <w:r>
        <w:rPr>
          <w:i/>
          <w:iCs/>
          <w:sz w:val="20"/>
          <w:szCs w:val="20"/>
        </w:rPr>
        <w:t xml:space="preserve">*  </w:t>
      </w:r>
      <w:r>
        <w:rPr>
          <w:rFonts w:ascii="Times New Roman" w:hAnsi="Times New Roman"/>
          <w:i/>
          <w:iCs/>
          <w:sz w:val="20"/>
          <w:szCs w:val="20"/>
        </w:rPr>
        <w:t>The above Average Hourly Wage Rate is the May 2018 Bureau of Labor Statistics average wage for All Occupations of $24.98 times the wage rate benefit multiplier of 1.46 (to account for benefits provided) equaling $36.47.  The selection of “All Occupations” was 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B31F1" w:rsidP="00DB31F1" w:rsidRDefault="00DB31F1" w14:paraId="1FE08EA0"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DB31F1" w:rsidP="00DB31F1" w:rsidRDefault="00DB31F1" w14:paraId="04CC5BBB" w14:textId="77777777">
      <w:pPr>
        <w:ind w:left="1440" w:hanging="720"/>
        <w:rPr>
          <w:rFonts w:ascii="Times New Roman" w:hAnsi="Times New Roman"/>
        </w:rPr>
      </w:pPr>
    </w:p>
    <w:p w:rsidR="00DB31F1" w:rsidP="00DB31F1" w:rsidRDefault="00DB31F1" w14:paraId="2EE7D2FA" w14:textId="77777777">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DB31F1" w:rsidP="00DB31F1" w:rsidRDefault="00DB31F1" w14:paraId="2004890F"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w:t>
      </w:r>
      <w:r>
        <w:rPr>
          <w:rFonts w:ascii="Times New Roman" w:hAnsi="Times New Roman"/>
        </w:rPr>
        <w:lastRenderedPageBreak/>
        <w:t>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DB31F1" w:rsidP="00DB31F1" w:rsidRDefault="00DB31F1" w14:paraId="690AC303" w14:textId="77777777">
      <w:pPr>
        <w:tabs>
          <w:tab w:val="left" w:pos="-1440"/>
        </w:tabs>
        <w:ind w:left="720"/>
        <w:rPr>
          <w:rFonts w:ascii="Times New Roman" w:hAnsi="Times New Roman"/>
        </w:rPr>
      </w:pPr>
    </w:p>
    <w:p w:rsidR="00DB31F1" w:rsidP="00DB31F1" w:rsidRDefault="00DB31F1" w14:paraId="5CE83DA1"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DB31F1" w:rsidP="00DB31F1" w:rsidRDefault="00DB31F1" w14:paraId="549126C6" w14:textId="77777777">
      <w:pPr>
        <w:tabs>
          <w:tab w:val="left" w:pos="-1440"/>
        </w:tabs>
        <w:ind w:left="720"/>
        <w:rPr>
          <w:rFonts w:ascii="Times New Roman" w:hAnsi="Times New Roman"/>
        </w:rPr>
      </w:pPr>
    </w:p>
    <w:p w:rsidR="00DB31F1" w:rsidP="00DB31F1" w:rsidRDefault="00DB31F1" w14:paraId="5F89593D"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Pr="00DB31F1" w:rsidR="005B6129" w:rsidP="00914A5D" w:rsidRDefault="00DB31F1" w14:paraId="53CADA21" w14:textId="31F11413">
      <w:pPr>
        <w:ind w:left="720"/>
        <w:rPr>
          <w:rFonts w:ascii="Times New Roman" w:hAnsi="Times New Roman"/>
        </w:rPr>
      </w:pPr>
      <w:r>
        <w:rPr>
          <w:rFonts w:ascii="Times New Roman" w:hAnsi="Times New Roman"/>
        </w:rPr>
        <w:t xml:space="preserve">No changes </w:t>
      </w:r>
      <w:proofErr w:type="gramStart"/>
      <w:r>
        <w:rPr>
          <w:rFonts w:ascii="Times New Roman" w:hAnsi="Times New Roman"/>
        </w:rPr>
        <w:t>were  made</w:t>
      </w:r>
      <w:proofErr w:type="gramEnd"/>
      <w:r>
        <w:rPr>
          <w:rFonts w:ascii="Times New Roman" w:hAnsi="Times New Roman"/>
        </w:rPr>
        <w:t xml:space="preserve"> to the number of respondents, estimated annual hour burden, or estimated annual cost burden.</w:t>
      </w:r>
    </w:p>
    <w:p w:rsidRPr="0029577A" w:rsidR="00DB31F1" w:rsidP="00914A5D" w:rsidRDefault="00DB31F1" w14:paraId="27EE445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723B4F3B"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685B8923"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1AA8E38D"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4">
    <w:p w14:paraId="5C2E57E9"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5">
    <w:p w14:paraId="78EF6E9E"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14738F99" w14:textId="77777777" w:rsidR="00DB31F1" w:rsidRDefault="00DB31F1" w:rsidP="00DB31F1">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7">
    <w:p w14:paraId="30589F26"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8">
    <w:p w14:paraId="52DE41FB"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33961778"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200F35E8" w14:textId="77777777" w:rsidR="00DB31F1" w:rsidRDefault="00DB31F1" w:rsidP="00DB31F1">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1">
    <w:p w14:paraId="0E958396" w14:textId="77777777" w:rsidR="00DB31F1" w:rsidRDefault="00DB31F1" w:rsidP="00DB31F1">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B31F1"/>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DB31F1"/>
    <w:rPr>
      <w:sz w:val="20"/>
      <w:szCs w:val="20"/>
    </w:rPr>
  </w:style>
  <w:style w:type="character" w:customStyle="1" w:styleId="FootnoteTextChar">
    <w:name w:val="Footnote Text Char"/>
    <w:basedOn w:val="DefaultParagraphFont"/>
    <w:link w:val="FootnoteText"/>
    <w:semiHidden/>
    <w:rsid w:val="00DB31F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1642">
      <w:bodyDiv w:val="1"/>
      <w:marLeft w:val="0"/>
      <w:marRight w:val="0"/>
      <w:marTop w:val="0"/>
      <w:marBottom w:val="0"/>
      <w:divBdr>
        <w:top w:val="none" w:sz="0" w:space="0" w:color="auto"/>
        <w:left w:val="none" w:sz="0" w:space="0" w:color="auto"/>
        <w:bottom w:val="none" w:sz="0" w:space="0" w:color="auto"/>
        <w:right w:val="none" w:sz="0" w:space="0" w:color="auto"/>
      </w:divBdr>
    </w:div>
    <w:div w:id="390815178">
      <w:bodyDiv w:val="1"/>
      <w:marLeft w:val="0"/>
      <w:marRight w:val="0"/>
      <w:marTop w:val="0"/>
      <w:marBottom w:val="0"/>
      <w:divBdr>
        <w:top w:val="none" w:sz="0" w:space="0" w:color="auto"/>
        <w:left w:val="none" w:sz="0" w:space="0" w:color="auto"/>
        <w:bottom w:val="none" w:sz="0" w:space="0" w:color="auto"/>
        <w:right w:val="none" w:sz="0" w:space="0" w:color="auto"/>
      </w:divBdr>
    </w:div>
    <w:div w:id="40384507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2376550">
      <w:bodyDiv w:val="1"/>
      <w:marLeft w:val="0"/>
      <w:marRight w:val="0"/>
      <w:marTop w:val="0"/>
      <w:marBottom w:val="0"/>
      <w:divBdr>
        <w:top w:val="none" w:sz="0" w:space="0" w:color="auto"/>
        <w:left w:val="none" w:sz="0" w:space="0" w:color="auto"/>
        <w:bottom w:val="none" w:sz="0" w:space="0" w:color="auto"/>
        <w:right w:val="none" w:sz="0" w:space="0" w:color="auto"/>
      </w:divBdr>
    </w:div>
    <w:div w:id="592472229">
      <w:bodyDiv w:val="1"/>
      <w:marLeft w:val="0"/>
      <w:marRight w:val="0"/>
      <w:marTop w:val="0"/>
      <w:marBottom w:val="0"/>
      <w:divBdr>
        <w:top w:val="none" w:sz="0" w:space="0" w:color="auto"/>
        <w:left w:val="none" w:sz="0" w:space="0" w:color="auto"/>
        <w:bottom w:val="none" w:sz="0" w:space="0" w:color="auto"/>
        <w:right w:val="none" w:sz="0" w:space="0" w:color="auto"/>
      </w:divBdr>
    </w:div>
    <w:div w:id="675616497">
      <w:bodyDiv w:val="1"/>
      <w:marLeft w:val="0"/>
      <w:marRight w:val="0"/>
      <w:marTop w:val="0"/>
      <w:marBottom w:val="0"/>
      <w:divBdr>
        <w:top w:val="none" w:sz="0" w:space="0" w:color="auto"/>
        <w:left w:val="none" w:sz="0" w:space="0" w:color="auto"/>
        <w:bottom w:val="none" w:sz="0" w:space="0" w:color="auto"/>
        <w:right w:val="none" w:sz="0" w:space="0" w:color="auto"/>
      </w:divBdr>
    </w:div>
    <w:div w:id="81363854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78277032">
      <w:bodyDiv w:val="1"/>
      <w:marLeft w:val="0"/>
      <w:marRight w:val="0"/>
      <w:marTop w:val="0"/>
      <w:marBottom w:val="0"/>
      <w:divBdr>
        <w:top w:val="none" w:sz="0" w:space="0" w:color="auto"/>
        <w:left w:val="none" w:sz="0" w:space="0" w:color="auto"/>
        <w:bottom w:val="none" w:sz="0" w:space="0" w:color="auto"/>
        <w:right w:val="none" w:sz="0" w:space="0" w:color="auto"/>
      </w:divBdr>
    </w:div>
    <w:div w:id="122960806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4135725">
      <w:bodyDiv w:val="1"/>
      <w:marLeft w:val="0"/>
      <w:marRight w:val="0"/>
      <w:marTop w:val="0"/>
      <w:marBottom w:val="0"/>
      <w:divBdr>
        <w:top w:val="none" w:sz="0" w:space="0" w:color="auto"/>
        <w:left w:val="none" w:sz="0" w:space="0" w:color="auto"/>
        <w:bottom w:val="none" w:sz="0" w:space="0" w:color="auto"/>
        <w:right w:val="none" w:sz="0" w:space="0" w:color="auto"/>
      </w:divBdr>
    </w:div>
    <w:div w:id="178056445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4128245">
      <w:bodyDiv w:val="1"/>
      <w:marLeft w:val="0"/>
      <w:marRight w:val="0"/>
      <w:marTop w:val="0"/>
      <w:marBottom w:val="0"/>
      <w:divBdr>
        <w:top w:val="none" w:sz="0" w:space="0" w:color="auto"/>
        <w:left w:val="none" w:sz="0" w:space="0" w:color="auto"/>
        <w:bottom w:val="none" w:sz="0" w:space="0" w:color="auto"/>
        <w:right w:val="none" w:sz="0" w:space="0" w:color="auto"/>
      </w:divBdr>
    </w:div>
    <w:div w:id="1948196857">
      <w:bodyDiv w:val="1"/>
      <w:marLeft w:val="0"/>
      <w:marRight w:val="0"/>
      <w:marTop w:val="0"/>
      <w:marBottom w:val="0"/>
      <w:divBdr>
        <w:top w:val="none" w:sz="0" w:space="0" w:color="auto"/>
        <w:left w:val="none" w:sz="0" w:space="0" w:color="auto"/>
        <w:bottom w:val="none" w:sz="0" w:space="0" w:color="auto"/>
        <w:right w:val="none" w:sz="0" w:space="0" w:color="auto"/>
      </w:divBdr>
    </w:div>
    <w:div w:id="195601777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25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openxmlformats.org/package/2006/metadata/core-properties"/>
    <ds:schemaRef ds:uri="http://purl.org/dc/terms/"/>
    <ds:schemaRef ds:uri="http://www.w3.org/XML/1998/namespace"/>
    <ds:schemaRef ds:uri="2589310c-5316-40b3-b68d-4735ac72f265"/>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bf094c2b-8036-49e0-a2b2-a973ea273ca5"/>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3197</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21288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13</cp:revision>
  <cp:lastPrinted>2010-05-14T16:20:00Z</cp:lastPrinted>
  <dcterms:created xsi:type="dcterms:W3CDTF">2019-04-03T17:26:00Z</dcterms:created>
  <dcterms:modified xsi:type="dcterms:W3CDTF">2020-07-31T19:43:00Z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