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3108E" w:rsidR="00BC24B2" w:rsidRDefault="00BC24B2" w14:paraId="2005275A" w14:textId="77777777">
      <w:pPr>
        <w:pStyle w:val="Title"/>
        <w:rPr>
          <w:rFonts w:ascii="Arial" w:hAnsi="Arial" w:cs="Arial"/>
        </w:rPr>
      </w:pPr>
      <w:r w:rsidRPr="00F3108E">
        <w:rPr>
          <w:rFonts w:ascii="Arial" w:hAnsi="Arial" w:cs="Arial"/>
        </w:rPr>
        <w:t>Supporting Statement</w:t>
      </w:r>
    </w:p>
    <w:p w:rsidRPr="00F3108E" w:rsidR="00BC24B2" w:rsidRDefault="00BC24B2" w14:paraId="00C36930" w14:textId="77777777">
      <w:pPr>
        <w:jc w:val="center"/>
        <w:rPr>
          <w:rFonts w:ascii="Arial" w:hAnsi="Arial" w:cs="Arial"/>
          <w:sz w:val="24"/>
        </w:rPr>
      </w:pPr>
      <w:r w:rsidRPr="00F3108E">
        <w:rPr>
          <w:rFonts w:ascii="Arial" w:hAnsi="Arial" w:cs="Arial"/>
          <w:b/>
          <w:sz w:val="24"/>
        </w:rPr>
        <w:t>for</w:t>
      </w:r>
      <w:r w:rsidRPr="00F3108E">
        <w:rPr>
          <w:rFonts w:ascii="Arial" w:hAnsi="Arial" w:cs="Arial"/>
          <w:sz w:val="24"/>
        </w:rPr>
        <w:t xml:space="preserve"> </w:t>
      </w:r>
    </w:p>
    <w:p w:rsidRPr="00026D89" w:rsidR="00BC24B2" w:rsidP="00026D89" w:rsidRDefault="00BC24B2" w14:paraId="63A70078" w14:textId="64891E1C">
      <w:pPr>
        <w:jc w:val="center"/>
        <w:rPr>
          <w:rFonts w:ascii="Arial" w:hAnsi="Arial" w:cs="Arial"/>
          <w:b/>
          <w:sz w:val="24"/>
          <w:szCs w:val="24"/>
        </w:rPr>
      </w:pPr>
      <w:r w:rsidRPr="00026D89">
        <w:rPr>
          <w:rFonts w:ascii="Arial" w:hAnsi="Arial" w:cs="Arial"/>
          <w:b/>
          <w:sz w:val="24"/>
          <w:szCs w:val="24"/>
        </w:rPr>
        <w:t>Carriage of Bulk Solids Requiring Special Handling</w:t>
      </w:r>
      <w:r w:rsidRPr="00026D89" w:rsidR="00930EC3">
        <w:rPr>
          <w:rFonts w:ascii="Arial" w:hAnsi="Arial" w:cs="Arial"/>
          <w:b/>
          <w:sz w:val="24"/>
          <w:szCs w:val="24"/>
        </w:rPr>
        <w:t xml:space="preserve"> </w:t>
      </w:r>
      <w:r w:rsidR="001321DD">
        <w:rPr>
          <w:rFonts w:ascii="Arial" w:hAnsi="Arial" w:cs="Arial"/>
          <w:b/>
          <w:sz w:val="24"/>
          <w:szCs w:val="24"/>
        </w:rPr>
        <w:t>–</w:t>
      </w:r>
      <w:r w:rsidRPr="00026D89">
        <w:rPr>
          <w:rFonts w:ascii="Arial" w:hAnsi="Arial" w:cs="Arial"/>
          <w:b/>
          <w:sz w:val="24"/>
          <w:szCs w:val="24"/>
        </w:rPr>
        <w:t xml:space="preserve"> 46 CFR Part 148</w:t>
      </w:r>
    </w:p>
    <w:p w:rsidRPr="00026D89" w:rsidR="00F3108E" w:rsidP="00F3108E" w:rsidRDefault="00F3108E" w14:paraId="18C9F7FB" w14:textId="77777777">
      <w:pPr>
        <w:jc w:val="center"/>
        <w:rPr>
          <w:rFonts w:ascii="Arial" w:hAnsi="Arial" w:cs="Arial"/>
        </w:rPr>
      </w:pPr>
    </w:p>
    <w:p w:rsidRPr="00026D89" w:rsidR="00F3108E" w:rsidP="00F3108E" w:rsidRDefault="00F3108E" w14:paraId="173B04D8" w14:textId="77777777">
      <w:pPr>
        <w:jc w:val="center"/>
        <w:rPr>
          <w:rFonts w:ascii="Arial" w:hAnsi="Arial" w:cs="Arial"/>
        </w:rPr>
      </w:pPr>
      <w:r w:rsidRPr="00026D89">
        <w:rPr>
          <w:rFonts w:ascii="Arial" w:hAnsi="Arial" w:cs="Arial"/>
        </w:rPr>
        <w:t xml:space="preserve">OMB No.: </w:t>
      </w:r>
      <w:r w:rsidRPr="00026D89" w:rsidR="00026D89">
        <w:rPr>
          <w:rFonts w:ascii="Arial" w:hAnsi="Arial" w:cs="Arial"/>
        </w:rPr>
        <w:t xml:space="preserve"> </w:t>
      </w:r>
      <w:r w:rsidRPr="00026D89">
        <w:rPr>
          <w:rFonts w:ascii="Arial" w:hAnsi="Arial" w:cs="Arial"/>
        </w:rPr>
        <w:t>1625-002</w:t>
      </w:r>
      <w:r w:rsidRPr="00026D89" w:rsidR="00D20529">
        <w:rPr>
          <w:rFonts w:ascii="Arial" w:hAnsi="Arial" w:cs="Arial"/>
        </w:rPr>
        <w:t>5</w:t>
      </w:r>
      <w:r w:rsidR="00026D89">
        <w:rPr>
          <w:rFonts w:ascii="Arial" w:hAnsi="Arial" w:cs="Arial"/>
        </w:rPr>
        <w:t xml:space="preserve"> </w:t>
      </w:r>
    </w:p>
    <w:p w:rsidRPr="00026D89" w:rsidR="00F3108E" w:rsidP="00F3108E" w:rsidRDefault="00F3108E" w14:paraId="4E358FD6" w14:textId="77777777">
      <w:pPr>
        <w:jc w:val="center"/>
        <w:rPr>
          <w:rFonts w:ascii="Arial" w:hAnsi="Arial" w:cs="Arial"/>
        </w:rPr>
      </w:pPr>
      <w:r w:rsidRPr="00026D89">
        <w:rPr>
          <w:rFonts w:ascii="Arial" w:hAnsi="Arial" w:cs="Arial"/>
        </w:rPr>
        <w:t xml:space="preserve">COLLECTION INSTRUMENTS: </w:t>
      </w:r>
      <w:r w:rsidRPr="00026D89" w:rsidR="00026D89">
        <w:rPr>
          <w:rFonts w:ascii="Arial" w:hAnsi="Arial" w:cs="Arial"/>
        </w:rPr>
        <w:t xml:space="preserve"> Instruction</w:t>
      </w:r>
      <w:r w:rsidR="00026D89">
        <w:rPr>
          <w:rFonts w:ascii="Arial" w:hAnsi="Arial" w:cs="Arial"/>
        </w:rPr>
        <w:t xml:space="preserve"> </w:t>
      </w:r>
    </w:p>
    <w:p w:rsidRPr="00026D89" w:rsidR="00BC24B2" w:rsidP="00026D89" w:rsidRDefault="00BC24B2" w14:paraId="77DBD583" w14:textId="77777777">
      <w:pPr>
        <w:jc w:val="center"/>
        <w:rPr>
          <w:rFonts w:ascii="Arial" w:hAnsi="Arial" w:cs="Arial"/>
        </w:rPr>
      </w:pPr>
    </w:p>
    <w:p w:rsidRPr="00026D89" w:rsidR="00BC24B2" w:rsidP="00026D89" w:rsidRDefault="00BC24B2" w14:paraId="479AFB73" w14:textId="77777777">
      <w:pPr>
        <w:rPr>
          <w:rFonts w:ascii="Arial" w:hAnsi="Arial" w:cs="Arial"/>
          <w:b/>
        </w:rPr>
      </w:pPr>
      <w:r w:rsidRPr="00026D89">
        <w:rPr>
          <w:rFonts w:ascii="Arial" w:hAnsi="Arial" w:cs="Arial"/>
          <w:b/>
        </w:rPr>
        <w:t>A.  J</w:t>
      </w:r>
      <w:r w:rsidRPr="00026D89" w:rsidR="00026D89">
        <w:rPr>
          <w:rFonts w:ascii="Arial" w:hAnsi="Arial" w:cs="Arial"/>
          <w:b/>
        </w:rPr>
        <w:t>ustification</w:t>
      </w:r>
      <w:r w:rsidR="00026D89">
        <w:rPr>
          <w:rFonts w:ascii="Arial" w:hAnsi="Arial" w:cs="Arial"/>
          <w:b/>
        </w:rPr>
        <w:t xml:space="preserve">  </w:t>
      </w:r>
    </w:p>
    <w:p w:rsidRPr="00F3108E" w:rsidR="00BC24B2" w:rsidRDefault="00BC24B2" w14:paraId="1FAD442B" w14:textId="77777777">
      <w:pPr>
        <w:rPr>
          <w:rFonts w:ascii="Arial" w:hAnsi="Arial" w:cs="Arial"/>
        </w:rPr>
      </w:pPr>
    </w:p>
    <w:p w:rsidRPr="00F3108E" w:rsidR="00BC24B2" w:rsidRDefault="00BC24B2" w14:paraId="551CF3D8" w14:textId="77777777">
      <w:pPr>
        <w:rPr>
          <w:rFonts w:ascii="Arial" w:hAnsi="Arial" w:cs="Arial"/>
          <w:u w:val="single"/>
        </w:rPr>
      </w:pPr>
      <w:r w:rsidRPr="00F3108E">
        <w:rPr>
          <w:rFonts w:ascii="Arial" w:hAnsi="Arial" w:cs="Arial"/>
        </w:rPr>
        <w:t xml:space="preserve">1.  </w:t>
      </w:r>
      <w:r w:rsidRPr="00F3108E">
        <w:rPr>
          <w:rFonts w:ascii="Arial" w:hAnsi="Arial" w:cs="Arial"/>
          <w:u w:val="single"/>
        </w:rPr>
        <w:t>Circumstances that make the collection necessary</w:t>
      </w:r>
      <w:r w:rsidRPr="00F3108E">
        <w:rPr>
          <w:rFonts w:ascii="Arial" w:hAnsi="Arial" w:cs="Arial"/>
        </w:rPr>
        <w:t>.</w:t>
      </w:r>
      <w:r w:rsidRPr="00F3108E">
        <w:rPr>
          <w:rFonts w:ascii="Arial" w:hAnsi="Arial" w:cs="Arial"/>
          <w:u w:val="single"/>
        </w:rPr>
        <w:t xml:space="preserve"> </w:t>
      </w:r>
      <w:r w:rsidR="00026D89">
        <w:rPr>
          <w:rFonts w:ascii="Arial" w:hAnsi="Arial" w:cs="Arial"/>
          <w:u w:val="single"/>
        </w:rPr>
        <w:t xml:space="preserve"> </w:t>
      </w:r>
    </w:p>
    <w:p w:rsidRPr="00F3108E" w:rsidR="00BC24B2" w:rsidRDefault="00BC24B2" w14:paraId="52C39795" w14:textId="77777777">
      <w:pPr>
        <w:rPr>
          <w:rFonts w:ascii="Arial" w:hAnsi="Arial" w:cs="Arial"/>
        </w:rPr>
      </w:pPr>
    </w:p>
    <w:p w:rsidR="00BC24B2" w:rsidP="00F3108E" w:rsidRDefault="00BC24B2" w14:paraId="349B2178" w14:textId="77777777">
      <w:pPr>
        <w:pStyle w:val="BodyTextIndent2"/>
        <w:ind w:left="0" w:firstLine="0"/>
        <w:rPr>
          <w:rFonts w:ascii="Arial" w:hAnsi="Arial" w:cs="Arial"/>
          <w:sz w:val="20"/>
        </w:rPr>
      </w:pPr>
      <w:r w:rsidRPr="00F3108E">
        <w:rPr>
          <w:rFonts w:ascii="Arial" w:hAnsi="Arial" w:cs="Arial"/>
          <w:sz w:val="20"/>
        </w:rPr>
        <w:t>The U.S. Coast Guard administers and enforces the laws, regulations and international conventions for the safe transportation and stowage of hazardous materials, including bulk solids.  The International Convention for the Safety of Life at Sea, 1974</w:t>
      </w:r>
      <w:r w:rsidRPr="00F3108E" w:rsidR="00377B5B">
        <w:rPr>
          <w:rFonts w:ascii="Arial" w:hAnsi="Arial" w:cs="Arial"/>
          <w:sz w:val="20"/>
        </w:rPr>
        <w:t>,</w:t>
      </w:r>
      <w:r w:rsidRPr="00F3108E">
        <w:rPr>
          <w:rFonts w:ascii="Arial" w:hAnsi="Arial" w:cs="Arial"/>
          <w:sz w:val="20"/>
        </w:rPr>
        <w:t xml:space="preserve"> as amended (SOLAS 74/83) contains, in Chapter VII Regulation </w:t>
      </w:r>
      <w:r w:rsidR="00C36D08">
        <w:rPr>
          <w:rFonts w:ascii="Arial" w:hAnsi="Arial" w:cs="Arial"/>
          <w:sz w:val="20"/>
        </w:rPr>
        <w:t>7-2</w:t>
      </w:r>
      <w:r w:rsidRPr="00F3108E">
        <w:rPr>
          <w:rFonts w:ascii="Arial" w:hAnsi="Arial" w:cs="Arial"/>
          <w:sz w:val="20"/>
        </w:rPr>
        <w:t xml:space="preserve">, a requirement that </w:t>
      </w:r>
      <w:r w:rsidRPr="00F3108E" w:rsidR="00BB2982">
        <w:rPr>
          <w:rFonts w:ascii="Arial" w:hAnsi="Arial" w:cs="Arial"/>
          <w:sz w:val="20"/>
        </w:rPr>
        <w:t>Shipping Papers</w:t>
      </w:r>
      <w:r w:rsidRPr="00F3108E">
        <w:rPr>
          <w:rFonts w:ascii="Arial" w:hAnsi="Arial" w:cs="Arial"/>
          <w:sz w:val="20"/>
        </w:rPr>
        <w:t xml:space="preserve"> and a </w:t>
      </w:r>
      <w:r w:rsidRPr="00F3108E" w:rsidR="00BB2982">
        <w:rPr>
          <w:rFonts w:ascii="Arial" w:hAnsi="Arial" w:cs="Arial"/>
          <w:sz w:val="20"/>
        </w:rPr>
        <w:t>Dangerous Cargo Manifest</w:t>
      </w:r>
      <w:r w:rsidRPr="00F3108E">
        <w:rPr>
          <w:rFonts w:ascii="Arial" w:hAnsi="Arial" w:cs="Arial"/>
          <w:sz w:val="20"/>
        </w:rPr>
        <w:t xml:space="preserve"> accompany all shipments of hazardous materials in bulk solid form.  This international requirement is translated into U.S. regulation in 46 CFR Part 148.</w:t>
      </w:r>
    </w:p>
    <w:p w:rsidRPr="00F3108E" w:rsidR="00F3108E" w:rsidP="00F3108E" w:rsidRDefault="00F3108E" w14:paraId="3E5FD97A" w14:textId="77777777">
      <w:pPr>
        <w:pStyle w:val="BodyTextIndent2"/>
        <w:ind w:left="0" w:firstLine="0"/>
        <w:rPr>
          <w:rFonts w:ascii="Arial" w:hAnsi="Arial" w:cs="Arial"/>
          <w:sz w:val="20"/>
        </w:rPr>
      </w:pPr>
    </w:p>
    <w:p w:rsidRPr="00F3108E" w:rsidR="00BC24B2" w:rsidP="00F3108E" w:rsidRDefault="00791106" w14:paraId="7E26F1D6" w14:textId="7023374A">
      <w:pPr>
        <w:rPr>
          <w:rFonts w:ascii="Arial" w:hAnsi="Arial" w:cs="Arial"/>
        </w:rPr>
      </w:pPr>
      <w:r w:rsidRPr="00F3108E">
        <w:rPr>
          <w:rFonts w:ascii="Arial" w:hAnsi="Arial" w:cs="Arial"/>
        </w:rPr>
        <w:t>T</w:t>
      </w:r>
      <w:r w:rsidRPr="00F3108E" w:rsidR="00BC24B2">
        <w:rPr>
          <w:rFonts w:ascii="Arial" w:hAnsi="Arial" w:cs="Arial"/>
        </w:rPr>
        <w:t xml:space="preserve">he Coast Guard </w:t>
      </w:r>
      <w:r w:rsidRPr="00F3108E" w:rsidR="00377B5B">
        <w:rPr>
          <w:rFonts w:ascii="Arial" w:hAnsi="Arial" w:cs="Arial"/>
        </w:rPr>
        <w:t xml:space="preserve">issues Special Permits </w:t>
      </w:r>
      <w:r w:rsidRPr="00F3108E" w:rsidR="00BC24B2">
        <w:rPr>
          <w:rFonts w:ascii="Arial" w:hAnsi="Arial" w:cs="Arial"/>
        </w:rPr>
        <w:t xml:space="preserve">as part of its mission to ensure maritime safety and facilitate U.S. commerce.  These </w:t>
      </w:r>
      <w:r w:rsidRPr="00F3108E" w:rsidR="00BB2982">
        <w:rPr>
          <w:rFonts w:ascii="Arial" w:hAnsi="Arial" w:cs="Arial"/>
        </w:rPr>
        <w:t>Special Permit</w:t>
      </w:r>
      <w:r w:rsidRPr="00F3108E" w:rsidR="00BC24B2">
        <w:rPr>
          <w:rFonts w:ascii="Arial" w:hAnsi="Arial" w:cs="Arial"/>
        </w:rPr>
        <w:t xml:space="preserve">s are issued to allow the carriage of hazardous bulk solid materials that are not addressed in 46 CFR Part 148. </w:t>
      </w:r>
      <w:r w:rsidR="00026D89">
        <w:rPr>
          <w:rFonts w:ascii="Arial" w:hAnsi="Arial" w:cs="Arial"/>
        </w:rPr>
        <w:t xml:space="preserve"> The authority for the above requirements is found in 33 U.S.C. 1602</w:t>
      </w:r>
      <w:r w:rsidR="001321DD">
        <w:rPr>
          <w:rFonts w:ascii="Arial" w:hAnsi="Arial" w:cs="Arial"/>
        </w:rPr>
        <w:t>, 46 U.S.C. 3306</w:t>
      </w:r>
      <w:r w:rsidR="00026D89">
        <w:rPr>
          <w:rFonts w:ascii="Arial" w:hAnsi="Arial" w:cs="Arial"/>
        </w:rPr>
        <w:t xml:space="preserve"> and 49 U.S.C. 5103.  </w:t>
      </w:r>
    </w:p>
    <w:p w:rsidRPr="00F3108E" w:rsidR="00BC24B2" w:rsidRDefault="00BC24B2" w14:paraId="51F5DE7D" w14:textId="77777777">
      <w:pPr>
        <w:rPr>
          <w:rFonts w:ascii="Arial" w:hAnsi="Arial" w:cs="Arial"/>
        </w:rPr>
      </w:pPr>
    </w:p>
    <w:p w:rsidRPr="00F3108E" w:rsidR="00BC24B2" w:rsidRDefault="00BC24B2" w14:paraId="606546C9" w14:textId="77777777">
      <w:pPr>
        <w:rPr>
          <w:rFonts w:ascii="Arial" w:hAnsi="Arial" w:cs="Arial"/>
        </w:rPr>
      </w:pPr>
      <w:r w:rsidRPr="00F3108E">
        <w:rPr>
          <w:rFonts w:ascii="Arial" w:hAnsi="Arial" w:cs="Arial"/>
        </w:rPr>
        <w:t xml:space="preserve">2.  </w:t>
      </w:r>
      <w:r w:rsidR="00026D89">
        <w:rPr>
          <w:rFonts w:ascii="Arial" w:hAnsi="Arial" w:cs="Arial"/>
          <w:u w:val="single"/>
        </w:rPr>
        <w:t>P</w:t>
      </w:r>
      <w:r w:rsidRPr="00F3108E">
        <w:rPr>
          <w:rFonts w:ascii="Arial" w:hAnsi="Arial" w:cs="Arial"/>
          <w:u w:val="single"/>
        </w:rPr>
        <w:t>urpose</w:t>
      </w:r>
      <w:r w:rsidR="00026D89">
        <w:rPr>
          <w:rFonts w:ascii="Arial" w:hAnsi="Arial" w:cs="Arial"/>
          <w:u w:val="single"/>
        </w:rPr>
        <w:t xml:space="preserve"> of </w:t>
      </w:r>
      <w:r w:rsidRPr="00F3108E">
        <w:rPr>
          <w:rFonts w:ascii="Arial" w:hAnsi="Arial" w:cs="Arial"/>
          <w:u w:val="single"/>
        </w:rPr>
        <w:t xml:space="preserve">the information </w:t>
      </w:r>
      <w:r w:rsidR="00026D89">
        <w:rPr>
          <w:rFonts w:ascii="Arial" w:hAnsi="Arial" w:cs="Arial"/>
          <w:u w:val="single"/>
        </w:rPr>
        <w:t>collection</w:t>
      </w:r>
      <w:r w:rsidRPr="00F3108E">
        <w:rPr>
          <w:rFonts w:ascii="Arial" w:hAnsi="Arial" w:cs="Arial"/>
        </w:rPr>
        <w:t xml:space="preserve">. </w:t>
      </w:r>
      <w:r w:rsidR="00026D89">
        <w:rPr>
          <w:rFonts w:ascii="Arial" w:hAnsi="Arial" w:cs="Arial"/>
        </w:rPr>
        <w:t xml:space="preserve"> </w:t>
      </w:r>
    </w:p>
    <w:p w:rsidRPr="00F3108E" w:rsidR="00BC24B2" w:rsidRDefault="00BC24B2" w14:paraId="28598402" w14:textId="77777777">
      <w:pPr>
        <w:rPr>
          <w:rFonts w:ascii="Arial" w:hAnsi="Arial" w:cs="Arial"/>
        </w:rPr>
      </w:pPr>
    </w:p>
    <w:p w:rsidRPr="00F3108E" w:rsidR="00BC24B2" w:rsidP="00F3108E" w:rsidRDefault="00BC24B2" w14:paraId="0D2A054A" w14:textId="77777777">
      <w:pPr>
        <w:pStyle w:val="BodyTextIndent2"/>
        <w:ind w:left="0" w:firstLine="0"/>
        <w:rPr>
          <w:rFonts w:ascii="Arial" w:hAnsi="Arial" w:cs="Arial"/>
          <w:sz w:val="20"/>
        </w:rPr>
      </w:pPr>
      <w:r w:rsidRPr="00F3108E">
        <w:rPr>
          <w:rFonts w:ascii="Arial" w:hAnsi="Arial" w:cs="Arial"/>
          <w:sz w:val="20"/>
        </w:rPr>
        <w:t xml:space="preserve">The Special Permits allow the Coast Guard to control the conditions under which shipments of hazardous materials </w:t>
      </w:r>
      <w:r w:rsidRPr="00F3108E">
        <w:rPr>
          <w:rFonts w:ascii="Arial" w:hAnsi="Arial" w:cs="Arial"/>
          <w:sz w:val="20"/>
        </w:rPr>
        <w:lastRenderedPageBreak/>
        <w:t xml:space="preserve">can be made, and at the same time allow the shipping industry a greater amount of flexibility than would </w:t>
      </w:r>
      <w:r w:rsidRPr="00F3108E" w:rsidR="00377B5B">
        <w:rPr>
          <w:rFonts w:ascii="Arial" w:hAnsi="Arial" w:cs="Arial"/>
          <w:sz w:val="20"/>
        </w:rPr>
        <w:t xml:space="preserve">otherwise </w:t>
      </w:r>
      <w:r w:rsidRPr="00F3108E">
        <w:rPr>
          <w:rFonts w:ascii="Arial" w:hAnsi="Arial" w:cs="Arial"/>
          <w:sz w:val="20"/>
        </w:rPr>
        <w:t xml:space="preserve">be afforded without the Special Permit provision.  The information </w:t>
      </w:r>
      <w:r w:rsidRPr="00F3108E" w:rsidR="00377B5B">
        <w:rPr>
          <w:rFonts w:ascii="Arial" w:hAnsi="Arial" w:cs="Arial"/>
          <w:sz w:val="20"/>
        </w:rPr>
        <w:t>that must</w:t>
      </w:r>
      <w:r w:rsidRPr="00F3108E">
        <w:rPr>
          <w:rFonts w:ascii="Arial" w:hAnsi="Arial" w:cs="Arial"/>
          <w:sz w:val="20"/>
        </w:rPr>
        <w:t xml:space="preserve"> be submitted when applying for a Special Permit allows the Coast Guard to make a well-informed determination as to the severity of the hazard posed by the material in question</w:t>
      </w:r>
      <w:r w:rsidRPr="00F3108E" w:rsidR="00377B5B">
        <w:rPr>
          <w:rFonts w:ascii="Arial" w:hAnsi="Arial" w:cs="Arial"/>
          <w:sz w:val="20"/>
        </w:rPr>
        <w:t>,</w:t>
      </w:r>
      <w:r w:rsidRPr="00F3108E">
        <w:rPr>
          <w:rFonts w:ascii="Arial" w:hAnsi="Arial" w:cs="Arial"/>
          <w:sz w:val="20"/>
        </w:rPr>
        <w:t xml:space="preserve"> and allows them to set specific guidelines for safe carriage or, if it is determined that a material presents too great a hazard, to deny permission for shipping the material.  If the required information were not submitted, the Coast Guard would be unable to issue Special Permits with adequate precautions for shipping the cargo, and thus could not permit shipment.</w:t>
      </w:r>
    </w:p>
    <w:p w:rsidRPr="00F3108E" w:rsidR="00BC24B2" w:rsidP="00F3108E" w:rsidRDefault="00BC24B2" w14:paraId="2019A314" w14:textId="77777777">
      <w:pPr>
        <w:rPr>
          <w:rFonts w:ascii="Arial" w:hAnsi="Arial" w:cs="Arial"/>
        </w:rPr>
      </w:pPr>
    </w:p>
    <w:p w:rsidRPr="00F3108E" w:rsidR="00BC24B2" w:rsidP="00F3108E" w:rsidRDefault="00BB2982" w14:paraId="1291FCC7" w14:textId="77777777">
      <w:pPr>
        <w:rPr>
          <w:rFonts w:ascii="Arial" w:hAnsi="Arial" w:cs="Arial"/>
        </w:rPr>
      </w:pPr>
      <w:r w:rsidRPr="00F3108E">
        <w:rPr>
          <w:rFonts w:ascii="Arial" w:hAnsi="Arial" w:cs="Arial"/>
        </w:rPr>
        <w:t>Shipping Papers</w:t>
      </w:r>
      <w:r w:rsidRPr="00F3108E" w:rsidR="0056331E">
        <w:rPr>
          <w:rFonts w:ascii="Arial" w:hAnsi="Arial" w:cs="Arial"/>
        </w:rPr>
        <w:t xml:space="preserve"> and </w:t>
      </w:r>
      <w:r w:rsidRPr="00F3108E">
        <w:rPr>
          <w:rFonts w:ascii="Arial" w:hAnsi="Arial" w:cs="Arial"/>
        </w:rPr>
        <w:t>Dangerous Cargo Manifest</w:t>
      </w:r>
      <w:r w:rsidRPr="00F3108E" w:rsidR="00BC24B2">
        <w:rPr>
          <w:rFonts w:ascii="Arial" w:hAnsi="Arial" w:cs="Arial"/>
        </w:rPr>
        <w:t xml:space="preserve">s are not required to be submitted to the Coast Guard and are not required to be retained on board the vessel once the cargo has been off-loaded.  However, the information contained in these documents may be </w:t>
      </w:r>
      <w:r w:rsidRPr="00F3108E" w:rsidR="00377B5B">
        <w:rPr>
          <w:rFonts w:ascii="Arial" w:hAnsi="Arial" w:cs="Arial"/>
        </w:rPr>
        <w:t xml:space="preserve">used </w:t>
      </w:r>
      <w:r w:rsidRPr="00F3108E" w:rsidR="00BC24B2">
        <w:rPr>
          <w:rFonts w:ascii="Arial" w:hAnsi="Arial" w:cs="Arial"/>
        </w:rPr>
        <w:t>in an emergency situation, which is why they are required to be in a readily retrievable location.  If an emergency such as a fire occurs on board the vessel, the required documents will provide the master with</w:t>
      </w:r>
      <w:r w:rsidR="00C36D08">
        <w:rPr>
          <w:rFonts w:ascii="Arial" w:hAnsi="Arial" w:cs="Arial"/>
        </w:rPr>
        <w:t>:</w:t>
      </w:r>
      <w:r w:rsidRPr="00F3108E" w:rsidR="00BC24B2">
        <w:rPr>
          <w:rFonts w:ascii="Arial" w:hAnsi="Arial" w:cs="Arial"/>
        </w:rPr>
        <w:t xml:space="preserve"> (1) the identity of the cargo</w:t>
      </w:r>
      <w:r w:rsidRPr="00F3108E" w:rsidR="00CC2F00">
        <w:rPr>
          <w:rFonts w:ascii="Arial" w:hAnsi="Arial" w:cs="Arial"/>
        </w:rPr>
        <w:t xml:space="preserve"> and</w:t>
      </w:r>
      <w:r w:rsidRPr="00F3108E" w:rsidR="00BC24B2">
        <w:rPr>
          <w:rFonts w:ascii="Arial" w:hAnsi="Arial" w:cs="Arial"/>
        </w:rPr>
        <w:t xml:space="preserve"> its hazard</w:t>
      </w:r>
      <w:r w:rsidRPr="00F3108E" w:rsidR="0056331E">
        <w:rPr>
          <w:rFonts w:ascii="Arial" w:hAnsi="Arial" w:cs="Arial"/>
        </w:rPr>
        <w:t>s</w:t>
      </w:r>
      <w:r w:rsidRPr="00F3108E" w:rsidR="00CC2F00">
        <w:rPr>
          <w:rFonts w:ascii="Arial" w:hAnsi="Arial" w:cs="Arial"/>
        </w:rPr>
        <w:t xml:space="preserve">, </w:t>
      </w:r>
      <w:r w:rsidRPr="00F3108E" w:rsidR="00BC24B2">
        <w:rPr>
          <w:rFonts w:ascii="Arial" w:hAnsi="Arial" w:cs="Arial"/>
        </w:rPr>
        <w:t xml:space="preserve">and a point of contact for additional information about the cargo (the shipping paper); </w:t>
      </w:r>
      <w:r w:rsidRPr="00F3108E" w:rsidR="00CC2F00">
        <w:rPr>
          <w:rFonts w:ascii="Arial" w:hAnsi="Arial" w:cs="Arial"/>
        </w:rPr>
        <w:t xml:space="preserve">and </w:t>
      </w:r>
      <w:r w:rsidRPr="00F3108E" w:rsidR="00BC24B2">
        <w:rPr>
          <w:rFonts w:ascii="Arial" w:hAnsi="Arial" w:cs="Arial"/>
        </w:rPr>
        <w:t>(2) the quantity and location of the material on board the vessel (</w:t>
      </w:r>
      <w:r w:rsidRPr="00F3108E">
        <w:rPr>
          <w:rFonts w:ascii="Arial" w:hAnsi="Arial" w:cs="Arial"/>
        </w:rPr>
        <w:t>Dangerous Cargo Manifest</w:t>
      </w:r>
      <w:r w:rsidRPr="00F3108E" w:rsidR="00BC24B2">
        <w:rPr>
          <w:rFonts w:ascii="Arial" w:hAnsi="Arial" w:cs="Arial"/>
        </w:rPr>
        <w:t>)</w:t>
      </w:r>
      <w:r w:rsidRPr="00F3108E" w:rsidR="0056331E">
        <w:rPr>
          <w:rFonts w:ascii="Arial" w:hAnsi="Arial" w:cs="Arial"/>
        </w:rPr>
        <w:t>.</w:t>
      </w:r>
    </w:p>
    <w:p w:rsidRPr="00F3108E" w:rsidR="00BC24B2" w:rsidP="00F3108E" w:rsidRDefault="00BC24B2" w14:paraId="059B0EDA" w14:textId="77777777">
      <w:pPr>
        <w:rPr>
          <w:rFonts w:ascii="Arial" w:hAnsi="Arial" w:cs="Arial"/>
        </w:rPr>
      </w:pPr>
    </w:p>
    <w:p w:rsidRPr="00F3108E" w:rsidR="00BC24B2" w:rsidRDefault="00BC24B2" w14:paraId="28956949" w14:textId="77777777">
      <w:pPr>
        <w:rPr>
          <w:rFonts w:ascii="Arial" w:hAnsi="Arial" w:cs="Arial"/>
          <w:u w:val="single"/>
        </w:rPr>
      </w:pPr>
      <w:r w:rsidRPr="00F3108E">
        <w:rPr>
          <w:rFonts w:ascii="Arial" w:hAnsi="Arial" w:cs="Arial"/>
        </w:rPr>
        <w:t xml:space="preserve">3.  </w:t>
      </w:r>
      <w:r w:rsidRPr="00F3108E">
        <w:rPr>
          <w:rFonts w:ascii="Arial" w:hAnsi="Arial" w:cs="Arial"/>
          <w:u w:val="single"/>
        </w:rPr>
        <w:t xml:space="preserve">Consideration of </w:t>
      </w:r>
      <w:r w:rsidR="00026D89">
        <w:rPr>
          <w:rFonts w:ascii="Arial" w:hAnsi="Arial" w:cs="Arial"/>
          <w:u w:val="single"/>
        </w:rPr>
        <w:t>the use of improved</w:t>
      </w:r>
      <w:r w:rsidRPr="00F3108E" w:rsidR="00026D89">
        <w:rPr>
          <w:rFonts w:ascii="Arial" w:hAnsi="Arial" w:cs="Arial"/>
          <w:u w:val="single"/>
        </w:rPr>
        <w:t xml:space="preserve"> </w:t>
      </w:r>
      <w:r w:rsidRPr="00F3108E">
        <w:rPr>
          <w:rFonts w:ascii="Arial" w:hAnsi="Arial" w:cs="Arial"/>
          <w:u w:val="single"/>
        </w:rPr>
        <w:t>technology</w:t>
      </w:r>
      <w:r w:rsidRPr="00F3108E">
        <w:rPr>
          <w:rFonts w:ascii="Arial" w:hAnsi="Arial" w:cs="Arial"/>
        </w:rPr>
        <w:t>.</w:t>
      </w:r>
      <w:r w:rsidR="00026D89">
        <w:rPr>
          <w:rFonts w:ascii="Arial" w:hAnsi="Arial" w:cs="Arial"/>
        </w:rPr>
        <w:t xml:space="preserve">  </w:t>
      </w:r>
    </w:p>
    <w:p w:rsidRPr="00F3108E" w:rsidR="00BC24B2" w:rsidRDefault="00BC24B2" w14:paraId="06F4CFD1" w14:textId="77777777">
      <w:pPr>
        <w:rPr>
          <w:rFonts w:ascii="Arial" w:hAnsi="Arial" w:cs="Arial"/>
        </w:rPr>
      </w:pPr>
    </w:p>
    <w:p w:rsidRPr="00F3108E" w:rsidR="00BC24B2" w:rsidP="00F3108E" w:rsidRDefault="00BC24B2" w14:paraId="78D54489" w14:textId="3D11C5C5">
      <w:pPr>
        <w:pStyle w:val="BodyTextIndent2"/>
        <w:ind w:left="0" w:firstLine="0"/>
        <w:rPr>
          <w:rFonts w:ascii="Arial" w:hAnsi="Arial" w:cs="Arial"/>
          <w:sz w:val="20"/>
        </w:rPr>
      </w:pPr>
      <w:r w:rsidRPr="00F3108E">
        <w:rPr>
          <w:rFonts w:ascii="Arial" w:hAnsi="Arial" w:cs="Arial"/>
          <w:sz w:val="20"/>
        </w:rPr>
        <w:t xml:space="preserve">The required information for Special Permits may be submitted to the Coast Guard </w:t>
      </w:r>
      <w:r w:rsidRPr="00F3108E" w:rsidR="00CC2F00">
        <w:rPr>
          <w:rFonts w:ascii="Arial" w:hAnsi="Arial" w:cs="Arial"/>
          <w:sz w:val="20"/>
        </w:rPr>
        <w:t xml:space="preserve">by </w:t>
      </w:r>
      <w:r w:rsidRPr="00F3108E">
        <w:rPr>
          <w:rFonts w:ascii="Arial" w:hAnsi="Arial" w:cs="Arial"/>
          <w:sz w:val="20"/>
        </w:rPr>
        <w:t xml:space="preserve">email, fax, or regular mail, depending on </w:t>
      </w:r>
      <w:r w:rsidRPr="00F3108E" w:rsidR="00CC2F00">
        <w:rPr>
          <w:rFonts w:ascii="Arial" w:hAnsi="Arial" w:cs="Arial"/>
          <w:sz w:val="20"/>
        </w:rPr>
        <w:t xml:space="preserve">the </w:t>
      </w:r>
      <w:r w:rsidRPr="00F3108E">
        <w:rPr>
          <w:rFonts w:ascii="Arial" w:hAnsi="Arial" w:cs="Arial"/>
          <w:sz w:val="20"/>
        </w:rPr>
        <w:t xml:space="preserve">vessel owners’ preferences.  </w:t>
      </w:r>
      <w:r w:rsidRPr="00F3108E" w:rsidR="00BB2982">
        <w:rPr>
          <w:rFonts w:ascii="Arial" w:hAnsi="Arial" w:cs="Arial"/>
          <w:sz w:val="20"/>
        </w:rPr>
        <w:t>Shipping Papers</w:t>
      </w:r>
      <w:r w:rsidRPr="00F3108E" w:rsidR="000F0AB7">
        <w:rPr>
          <w:rFonts w:ascii="Arial" w:hAnsi="Arial" w:cs="Arial"/>
          <w:sz w:val="20"/>
        </w:rPr>
        <w:t xml:space="preserve"> and</w:t>
      </w:r>
      <w:r w:rsidRPr="00F3108E">
        <w:rPr>
          <w:rFonts w:ascii="Arial" w:hAnsi="Arial" w:cs="Arial"/>
          <w:sz w:val="20"/>
        </w:rPr>
        <w:t xml:space="preserve"> </w:t>
      </w:r>
      <w:r w:rsidRPr="00F3108E" w:rsidR="00BB2982">
        <w:rPr>
          <w:rFonts w:ascii="Arial" w:hAnsi="Arial" w:cs="Arial"/>
          <w:sz w:val="20"/>
        </w:rPr>
        <w:t>Dangerous Cargo Manifest</w:t>
      </w:r>
      <w:r w:rsidRPr="00F3108E">
        <w:rPr>
          <w:rFonts w:ascii="Arial" w:hAnsi="Arial" w:cs="Arial"/>
          <w:sz w:val="20"/>
        </w:rPr>
        <w:t>s are not submitted to the Coast Guard</w:t>
      </w:r>
      <w:r w:rsidRPr="00F3108E" w:rsidR="00F53840">
        <w:rPr>
          <w:rFonts w:ascii="Arial" w:hAnsi="Arial" w:cs="Arial"/>
          <w:sz w:val="20"/>
        </w:rPr>
        <w:t xml:space="preserve">, but are instead </w:t>
      </w:r>
      <w:r w:rsidRPr="00F3108E">
        <w:rPr>
          <w:rFonts w:ascii="Arial" w:hAnsi="Arial" w:cs="Arial"/>
          <w:sz w:val="20"/>
        </w:rPr>
        <w:t xml:space="preserve">retained </w:t>
      </w:r>
      <w:r w:rsidRPr="00F3108E" w:rsidR="00F53840">
        <w:rPr>
          <w:rFonts w:ascii="Arial" w:hAnsi="Arial" w:cs="Arial"/>
          <w:sz w:val="20"/>
        </w:rPr>
        <w:t xml:space="preserve">as records </w:t>
      </w:r>
      <w:r w:rsidRPr="00F3108E">
        <w:rPr>
          <w:rFonts w:ascii="Arial" w:hAnsi="Arial" w:cs="Arial"/>
          <w:sz w:val="20"/>
        </w:rPr>
        <w:t xml:space="preserve">on the </w:t>
      </w:r>
      <w:r w:rsidRPr="00F3108E">
        <w:rPr>
          <w:rFonts w:ascii="Arial" w:hAnsi="Arial" w:cs="Arial"/>
          <w:sz w:val="20"/>
        </w:rPr>
        <w:lastRenderedPageBreak/>
        <w:t>vessel</w:t>
      </w:r>
      <w:r w:rsidRPr="00F3108E" w:rsidR="000F0AB7">
        <w:rPr>
          <w:rFonts w:ascii="Arial" w:hAnsi="Arial" w:cs="Arial"/>
          <w:sz w:val="20"/>
        </w:rPr>
        <w:t xml:space="preserve"> in any format</w:t>
      </w:r>
      <w:r w:rsidRPr="00F3108E">
        <w:rPr>
          <w:rFonts w:ascii="Arial" w:hAnsi="Arial" w:cs="Arial"/>
          <w:sz w:val="20"/>
        </w:rPr>
        <w:t>.</w:t>
      </w:r>
      <w:r w:rsidR="00DD7EE4">
        <w:rPr>
          <w:rFonts w:ascii="Arial" w:hAnsi="Arial" w:cs="Arial"/>
          <w:sz w:val="20"/>
        </w:rPr>
        <w:t xml:space="preserve">  </w:t>
      </w:r>
      <w:r w:rsidRPr="00F3108E">
        <w:rPr>
          <w:rFonts w:ascii="Arial" w:hAnsi="Arial" w:cs="Arial"/>
          <w:sz w:val="20"/>
        </w:rPr>
        <w:t xml:space="preserve">We estimate that 100% of this collection’s reporting requirements can be done electronically.  At this time, we estimate that </w:t>
      </w:r>
      <w:r w:rsidR="00711484">
        <w:rPr>
          <w:rFonts w:ascii="Arial" w:hAnsi="Arial" w:cs="Arial"/>
          <w:sz w:val="20"/>
        </w:rPr>
        <w:t>5</w:t>
      </w:r>
      <w:r w:rsidRPr="00F3108E" w:rsidR="00711484">
        <w:rPr>
          <w:rFonts w:ascii="Arial" w:hAnsi="Arial" w:cs="Arial"/>
          <w:sz w:val="20"/>
        </w:rPr>
        <w:t>0</w:t>
      </w:r>
      <w:r w:rsidRPr="00F3108E">
        <w:rPr>
          <w:rFonts w:ascii="Arial" w:hAnsi="Arial" w:cs="Arial"/>
          <w:sz w:val="20"/>
        </w:rPr>
        <w:t xml:space="preserve">% </w:t>
      </w:r>
      <w:r w:rsidR="001321DD">
        <w:rPr>
          <w:rFonts w:ascii="Arial" w:hAnsi="Arial" w:cs="Arial"/>
          <w:sz w:val="20"/>
        </w:rPr>
        <w:t>are</w:t>
      </w:r>
      <w:r w:rsidRPr="00F3108E">
        <w:rPr>
          <w:rFonts w:ascii="Arial" w:hAnsi="Arial" w:cs="Arial"/>
          <w:sz w:val="20"/>
        </w:rPr>
        <w:t xml:space="preserve"> done electronically.</w:t>
      </w:r>
    </w:p>
    <w:p w:rsidRPr="00F3108E" w:rsidR="00BC24B2" w:rsidRDefault="00BC24B2" w14:paraId="28B34424" w14:textId="77777777">
      <w:pPr>
        <w:rPr>
          <w:rFonts w:ascii="Arial" w:hAnsi="Arial" w:cs="Arial"/>
        </w:rPr>
      </w:pPr>
    </w:p>
    <w:p w:rsidRPr="00F3108E" w:rsidR="00BC24B2" w:rsidRDefault="00BC24B2" w14:paraId="0049E309" w14:textId="77777777">
      <w:pPr>
        <w:rPr>
          <w:rFonts w:ascii="Arial" w:hAnsi="Arial" w:cs="Arial"/>
          <w:u w:val="single"/>
        </w:rPr>
      </w:pPr>
      <w:r w:rsidRPr="00F3108E">
        <w:rPr>
          <w:rFonts w:ascii="Arial" w:hAnsi="Arial" w:cs="Arial"/>
        </w:rPr>
        <w:t xml:space="preserve">4.  </w:t>
      </w:r>
      <w:r w:rsidRPr="00F3108E">
        <w:rPr>
          <w:rFonts w:ascii="Arial" w:hAnsi="Arial" w:cs="Arial"/>
          <w:u w:val="single"/>
        </w:rPr>
        <w:t>Efforts to identify duplication</w:t>
      </w:r>
      <w:r w:rsidRPr="00F3108E">
        <w:rPr>
          <w:rFonts w:ascii="Arial" w:hAnsi="Arial" w:cs="Arial"/>
        </w:rPr>
        <w:t>.</w:t>
      </w:r>
      <w:r w:rsidRPr="00F3108E">
        <w:rPr>
          <w:rFonts w:ascii="Arial" w:hAnsi="Arial" w:cs="Arial"/>
          <w:u w:val="single"/>
        </w:rPr>
        <w:t xml:space="preserve"> </w:t>
      </w:r>
    </w:p>
    <w:p w:rsidRPr="00F3108E" w:rsidR="00BC24B2" w:rsidRDefault="00BC24B2" w14:paraId="2D978E76" w14:textId="77777777">
      <w:pPr>
        <w:rPr>
          <w:rFonts w:ascii="Arial" w:hAnsi="Arial" w:cs="Arial"/>
        </w:rPr>
      </w:pPr>
    </w:p>
    <w:p w:rsidRPr="00F3108E" w:rsidR="00BC24B2" w:rsidP="00F3108E" w:rsidRDefault="00222338" w14:paraId="2A411591" w14:textId="77777777">
      <w:pPr>
        <w:pStyle w:val="BodyTextIndent2"/>
        <w:ind w:left="0" w:firstLine="0"/>
        <w:rPr>
          <w:rFonts w:ascii="Arial" w:hAnsi="Arial" w:cs="Arial"/>
          <w:sz w:val="20"/>
        </w:rPr>
      </w:pPr>
      <w:r>
        <w:rPr>
          <w:rFonts w:ascii="Arial" w:hAnsi="Arial" w:cs="Arial"/>
          <w:sz w:val="20"/>
        </w:rPr>
        <w:t xml:space="preserve">The Coast Guard </w:t>
      </w:r>
      <w:r w:rsidRPr="00F3108E" w:rsidR="00F53840">
        <w:rPr>
          <w:rFonts w:ascii="Arial" w:hAnsi="Arial" w:cs="Arial"/>
          <w:sz w:val="20"/>
        </w:rPr>
        <w:t>have made a</w:t>
      </w:r>
      <w:r w:rsidRPr="00F3108E" w:rsidR="00BC24B2">
        <w:rPr>
          <w:rFonts w:ascii="Arial" w:hAnsi="Arial" w:cs="Arial"/>
          <w:sz w:val="20"/>
        </w:rPr>
        <w:t>n effort in the regulations to eliminate the duplicate submission of information when requesting a Special Permit.  Previously, each individual desiring to ship a cargo not listed in Part 148 was required to submit detailed information concerning the material and the proposed method of transport.  The regulations require that the first person to request the permit submit detailed information on the proposed method and on the cargo to be carried.  This cargo information may be submitted in the form of a Material Safety Data Sheet (MSDS).  The MSDS is required by the Occupational Safety and Health Administration (OSHA) for all hazardous materials handled in land</w:t>
      </w:r>
      <w:r w:rsidRPr="00F3108E" w:rsidR="00F53840">
        <w:rPr>
          <w:rFonts w:ascii="Arial" w:hAnsi="Arial" w:cs="Arial"/>
          <w:sz w:val="20"/>
        </w:rPr>
        <w:t>-</w:t>
      </w:r>
      <w:r w:rsidRPr="00F3108E" w:rsidR="00BC24B2">
        <w:rPr>
          <w:rFonts w:ascii="Arial" w:hAnsi="Arial" w:cs="Arial"/>
          <w:sz w:val="20"/>
        </w:rPr>
        <w:t xml:space="preserve">based operations, and thus should be readily available, reducing the need to develop duplicate information for submission to the Coast Guard. </w:t>
      </w:r>
    </w:p>
    <w:p w:rsidRPr="00F3108E" w:rsidR="0056331E" w:rsidP="00F3108E" w:rsidRDefault="0056331E" w14:paraId="1DE53598" w14:textId="77777777">
      <w:pPr>
        <w:pStyle w:val="BodyTextIndent2"/>
        <w:ind w:left="0" w:firstLine="0"/>
        <w:rPr>
          <w:rFonts w:ascii="Arial" w:hAnsi="Arial" w:cs="Arial"/>
          <w:sz w:val="20"/>
        </w:rPr>
      </w:pPr>
    </w:p>
    <w:p w:rsidRPr="00F3108E" w:rsidR="00BC24B2" w:rsidP="003C139E" w:rsidRDefault="00BC24B2" w14:paraId="7D45BA7E" w14:textId="77777777">
      <w:pPr>
        <w:rPr>
          <w:rFonts w:ascii="Arial" w:hAnsi="Arial" w:cs="Arial"/>
        </w:rPr>
      </w:pPr>
      <w:r w:rsidRPr="00F3108E">
        <w:rPr>
          <w:rFonts w:ascii="Arial" w:hAnsi="Arial" w:cs="Arial"/>
        </w:rPr>
        <w:t xml:space="preserve">5.  </w:t>
      </w:r>
      <w:r w:rsidR="00026D89">
        <w:rPr>
          <w:rFonts w:ascii="Arial" w:hAnsi="Arial" w:cs="Arial"/>
          <w:u w:val="single"/>
        </w:rPr>
        <w:t>Methods used to minimize the b</w:t>
      </w:r>
      <w:r w:rsidRPr="00F3108E">
        <w:rPr>
          <w:rFonts w:ascii="Arial" w:hAnsi="Arial" w:cs="Arial"/>
          <w:u w:val="single"/>
        </w:rPr>
        <w:t>urden on small businesses</w:t>
      </w:r>
      <w:r w:rsidR="00026D89">
        <w:rPr>
          <w:rFonts w:ascii="Arial" w:hAnsi="Arial" w:cs="Arial"/>
          <w:u w:val="single"/>
        </w:rPr>
        <w:t xml:space="preserve"> if involved</w:t>
      </w:r>
      <w:r w:rsidRPr="00F3108E">
        <w:rPr>
          <w:rFonts w:ascii="Arial" w:hAnsi="Arial" w:cs="Arial"/>
        </w:rPr>
        <w:t>.</w:t>
      </w:r>
      <w:r w:rsidRPr="00F3108E">
        <w:rPr>
          <w:rFonts w:ascii="Arial" w:hAnsi="Arial" w:cs="Arial"/>
          <w:u w:val="single"/>
        </w:rPr>
        <w:t xml:space="preserve"> </w:t>
      </w:r>
      <w:r w:rsidR="00026D89">
        <w:rPr>
          <w:rFonts w:ascii="Arial" w:hAnsi="Arial" w:cs="Arial"/>
          <w:u w:val="single"/>
        </w:rPr>
        <w:t xml:space="preserve"> </w:t>
      </w:r>
    </w:p>
    <w:p w:rsidRPr="00F3108E" w:rsidR="00BC24B2" w:rsidP="00F3108E" w:rsidRDefault="00BC24B2" w14:paraId="77106F67" w14:textId="77777777">
      <w:pPr>
        <w:rPr>
          <w:rFonts w:ascii="Arial" w:hAnsi="Arial" w:cs="Arial"/>
        </w:rPr>
      </w:pPr>
    </w:p>
    <w:p w:rsidRPr="00F3108E" w:rsidR="00BC24B2" w:rsidP="00F3108E" w:rsidRDefault="00BB2982" w14:paraId="4C8EB788" w14:textId="77777777">
      <w:pPr>
        <w:pStyle w:val="BodyTextIndent3"/>
        <w:ind w:left="0"/>
        <w:rPr>
          <w:rFonts w:ascii="Arial" w:hAnsi="Arial" w:cs="Arial"/>
          <w:sz w:val="20"/>
        </w:rPr>
      </w:pPr>
      <w:r w:rsidRPr="00F3108E">
        <w:rPr>
          <w:rFonts w:ascii="Arial" w:hAnsi="Arial" w:cs="Arial"/>
          <w:sz w:val="20"/>
        </w:rPr>
        <w:t>Special Permit</w:t>
      </w:r>
      <w:r w:rsidRPr="00F3108E" w:rsidR="00BC24B2">
        <w:rPr>
          <w:rFonts w:ascii="Arial" w:hAnsi="Arial" w:cs="Arial"/>
          <w:sz w:val="20"/>
        </w:rPr>
        <w:t>s are necessary for the safety of the vessel and its personnel.  The required submissions are the minimum consistent with this objective.  The respondent’s size is not relevant to safety.  However, since the shipping industry is comprised mainly of large corporations</w:t>
      </w:r>
      <w:r w:rsidRPr="00F3108E" w:rsidR="00F53840">
        <w:rPr>
          <w:rFonts w:ascii="Arial" w:hAnsi="Arial" w:cs="Arial"/>
          <w:sz w:val="20"/>
        </w:rPr>
        <w:t>,</w:t>
      </w:r>
      <w:r w:rsidRPr="00F3108E" w:rsidR="00BC24B2">
        <w:rPr>
          <w:rFonts w:ascii="Arial" w:hAnsi="Arial" w:cs="Arial"/>
          <w:sz w:val="20"/>
        </w:rPr>
        <w:t xml:space="preserve"> it is anticipated that few, if any, small businesses will be affected. </w:t>
      </w:r>
    </w:p>
    <w:p w:rsidRPr="00F3108E" w:rsidR="00BC24B2" w:rsidRDefault="00BC24B2" w14:paraId="1A23B2A7" w14:textId="77777777">
      <w:pPr>
        <w:rPr>
          <w:rFonts w:ascii="Arial" w:hAnsi="Arial" w:cs="Arial"/>
        </w:rPr>
      </w:pPr>
    </w:p>
    <w:p w:rsidRPr="00F3108E" w:rsidR="00BC24B2" w:rsidRDefault="00BC24B2" w14:paraId="668966C4" w14:textId="77777777">
      <w:pPr>
        <w:rPr>
          <w:rFonts w:ascii="Arial" w:hAnsi="Arial" w:cs="Arial"/>
          <w:u w:val="single"/>
        </w:rPr>
      </w:pPr>
      <w:r w:rsidRPr="00F3108E">
        <w:rPr>
          <w:rFonts w:ascii="Arial" w:hAnsi="Arial" w:cs="Arial"/>
        </w:rPr>
        <w:t xml:space="preserve">6.  </w:t>
      </w:r>
      <w:r w:rsidRPr="00F3108E">
        <w:rPr>
          <w:rFonts w:ascii="Arial" w:hAnsi="Arial" w:cs="Arial"/>
          <w:u w:val="single"/>
        </w:rPr>
        <w:t xml:space="preserve">Consequences </w:t>
      </w:r>
      <w:r w:rsidR="00026D89">
        <w:rPr>
          <w:rFonts w:ascii="Arial" w:hAnsi="Arial" w:cs="Arial"/>
          <w:u w:val="single"/>
        </w:rPr>
        <w:t xml:space="preserve">to the Federal program if collection were conducted </w:t>
      </w:r>
      <w:r w:rsidRPr="00F3108E">
        <w:rPr>
          <w:rFonts w:ascii="Arial" w:hAnsi="Arial" w:cs="Arial"/>
          <w:u w:val="single"/>
        </w:rPr>
        <w:t>less frequent</w:t>
      </w:r>
      <w:r w:rsidR="00026D89">
        <w:rPr>
          <w:rFonts w:ascii="Arial" w:hAnsi="Arial" w:cs="Arial"/>
          <w:u w:val="single"/>
        </w:rPr>
        <w:t>ly</w:t>
      </w:r>
      <w:r w:rsidRPr="00F3108E">
        <w:rPr>
          <w:rFonts w:ascii="Arial" w:hAnsi="Arial" w:cs="Arial"/>
        </w:rPr>
        <w:t>.</w:t>
      </w:r>
      <w:r w:rsidR="00306FA5">
        <w:rPr>
          <w:rFonts w:ascii="Arial" w:hAnsi="Arial" w:cs="Arial"/>
        </w:rPr>
        <w:t xml:space="preserve">  </w:t>
      </w:r>
    </w:p>
    <w:p w:rsidRPr="00F3108E" w:rsidR="00BC24B2" w:rsidRDefault="00BC24B2" w14:paraId="40384C96" w14:textId="77777777">
      <w:pPr>
        <w:rPr>
          <w:rFonts w:ascii="Arial" w:hAnsi="Arial" w:cs="Arial"/>
        </w:rPr>
      </w:pPr>
    </w:p>
    <w:p w:rsidRPr="00F3108E" w:rsidR="00BC24B2" w:rsidP="00F3108E" w:rsidRDefault="00BC24B2" w14:paraId="4ADEF919" w14:textId="77777777">
      <w:pPr>
        <w:pStyle w:val="BodyTextIndent"/>
        <w:ind w:left="0"/>
        <w:rPr>
          <w:rFonts w:ascii="Arial" w:hAnsi="Arial" w:cs="Arial"/>
        </w:rPr>
      </w:pPr>
      <w:r w:rsidRPr="00F3108E">
        <w:rPr>
          <w:rFonts w:ascii="Arial" w:hAnsi="Arial" w:cs="Arial"/>
        </w:rPr>
        <w:lastRenderedPageBreak/>
        <w:t xml:space="preserve">The only information submitted to the Coast Guard is the Special Permit.  The original submission is required when a Special Permit is requested.  By law, any exemption issued under the rules promulgated by the Secretary must be issued for a period not to exceed </w:t>
      </w:r>
      <w:r w:rsidRPr="00F3108E" w:rsidR="00F53840">
        <w:rPr>
          <w:rFonts w:ascii="Arial" w:hAnsi="Arial" w:cs="Arial"/>
        </w:rPr>
        <w:t xml:space="preserve">4 </w:t>
      </w:r>
      <w:r w:rsidRPr="00F3108E">
        <w:rPr>
          <w:rFonts w:ascii="Arial" w:hAnsi="Arial" w:cs="Arial"/>
        </w:rPr>
        <w:t xml:space="preserve">years.  Therefore, permit holders </w:t>
      </w:r>
      <w:r w:rsidRPr="00F3108E" w:rsidR="00F53840">
        <w:rPr>
          <w:rFonts w:ascii="Arial" w:hAnsi="Arial" w:cs="Arial"/>
        </w:rPr>
        <w:t>must</w:t>
      </w:r>
      <w:r w:rsidRPr="00F3108E">
        <w:rPr>
          <w:rFonts w:ascii="Arial" w:hAnsi="Arial" w:cs="Arial"/>
        </w:rPr>
        <w:t xml:space="preserve"> renew their Special Permit every 4 years. </w:t>
      </w:r>
      <w:r w:rsidR="00DD7EE4">
        <w:rPr>
          <w:rFonts w:ascii="Arial" w:hAnsi="Arial" w:cs="Arial"/>
        </w:rPr>
        <w:t xml:space="preserve"> </w:t>
      </w:r>
      <w:r w:rsidRPr="00F3108E" w:rsidR="00F53840">
        <w:rPr>
          <w:rFonts w:ascii="Arial" w:hAnsi="Arial" w:cs="Arial"/>
        </w:rPr>
        <w:t>T</w:t>
      </w:r>
      <w:r w:rsidRPr="00F3108E">
        <w:rPr>
          <w:rFonts w:ascii="Arial" w:hAnsi="Arial" w:cs="Arial"/>
        </w:rPr>
        <w:t xml:space="preserve">o ensure that the carriage requirements imposed by the Special Permit are sufficient and that the permit holder is complying with the terms of the permit, it is necessary to require the submission of information concerning the history of shipments made under the terms of the Special Permit. </w:t>
      </w:r>
    </w:p>
    <w:p w:rsidRPr="00F3108E" w:rsidR="00BC24B2" w:rsidRDefault="00BC24B2" w14:paraId="67070F6B" w14:textId="77777777">
      <w:pPr>
        <w:rPr>
          <w:rFonts w:ascii="Arial" w:hAnsi="Arial" w:cs="Arial"/>
        </w:rPr>
      </w:pPr>
    </w:p>
    <w:p w:rsidRPr="00F3108E" w:rsidR="00BC24B2" w:rsidRDefault="00BC24B2" w14:paraId="14E765D3" w14:textId="77777777">
      <w:pPr>
        <w:rPr>
          <w:rFonts w:ascii="Arial" w:hAnsi="Arial" w:cs="Arial"/>
          <w:u w:val="single"/>
        </w:rPr>
      </w:pPr>
      <w:r w:rsidRPr="00F3108E">
        <w:rPr>
          <w:rFonts w:ascii="Arial" w:hAnsi="Arial" w:cs="Arial"/>
        </w:rPr>
        <w:t xml:space="preserve">7.  </w:t>
      </w:r>
      <w:r w:rsidRPr="00F3108E">
        <w:rPr>
          <w:rFonts w:ascii="Arial" w:hAnsi="Arial" w:cs="Arial"/>
          <w:u w:val="single"/>
        </w:rPr>
        <w:t>Special collection circumstances</w:t>
      </w:r>
      <w:r w:rsidRPr="00F3108E">
        <w:rPr>
          <w:rFonts w:ascii="Arial" w:hAnsi="Arial" w:cs="Arial"/>
        </w:rPr>
        <w:t>.</w:t>
      </w:r>
    </w:p>
    <w:p w:rsidRPr="00F3108E" w:rsidR="00BC24B2" w:rsidRDefault="00BC24B2" w14:paraId="0C39FCFD" w14:textId="77777777">
      <w:pPr>
        <w:rPr>
          <w:rFonts w:ascii="Arial" w:hAnsi="Arial" w:cs="Arial"/>
        </w:rPr>
      </w:pPr>
    </w:p>
    <w:p w:rsidRPr="00F3108E" w:rsidR="00BC24B2" w:rsidP="00F3108E" w:rsidRDefault="00216639" w14:paraId="27AB2544" w14:textId="77777777">
      <w:pPr>
        <w:pStyle w:val="BodyTextIndent3"/>
        <w:ind w:left="0"/>
        <w:rPr>
          <w:rFonts w:ascii="Arial" w:hAnsi="Arial" w:cs="Arial"/>
          <w:sz w:val="20"/>
        </w:rPr>
      </w:pPr>
      <w:r w:rsidRPr="00F3108E">
        <w:rPr>
          <w:rFonts w:ascii="Arial" w:hAnsi="Arial" w:cs="Arial"/>
          <w:sz w:val="20"/>
        </w:rPr>
        <w:t xml:space="preserve">This information collection is conducted in </w:t>
      </w:r>
      <w:r w:rsidRPr="00F3108E" w:rsidR="00F53840">
        <w:rPr>
          <w:rFonts w:ascii="Arial" w:hAnsi="Arial" w:cs="Arial"/>
          <w:sz w:val="20"/>
        </w:rPr>
        <w:t xml:space="preserve">a </w:t>
      </w:r>
      <w:r w:rsidRPr="00F3108E">
        <w:rPr>
          <w:rFonts w:ascii="Arial" w:hAnsi="Arial" w:cs="Arial"/>
          <w:sz w:val="20"/>
        </w:rPr>
        <w:t xml:space="preserve">manner consistent with the guidelines in 5 CFR 1320.5(d)(2). </w:t>
      </w:r>
      <w:r w:rsidRPr="00F3108E" w:rsidR="00BC24B2">
        <w:rPr>
          <w:rFonts w:ascii="Arial" w:hAnsi="Arial" w:cs="Arial"/>
          <w:sz w:val="20"/>
        </w:rPr>
        <w:t xml:space="preserve"> </w:t>
      </w:r>
    </w:p>
    <w:p w:rsidRPr="00F3108E" w:rsidR="00BC24B2" w:rsidP="00DD7EE4" w:rsidRDefault="00BC24B2" w14:paraId="6BC173BF" w14:textId="77777777">
      <w:pPr>
        <w:rPr>
          <w:rFonts w:ascii="Arial" w:hAnsi="Arial" w:cs="Arial"/>
        </w:rPr>
      </w:pPr>
    </w:p>
    <w:p w:rsidRPr="00F3108E" w:rsidR="00BC24B2" w:rsidRDefault="00BC24B2" w14:paraId="7782629D" w14:textId="77777777">
      <w:pPr>
        <w:rPr>
          <w:rFonts w:ascii="Arial" w:hAnsi="Arial" w:cs="Arial"/>
          <w:u w:val="single"/>
        </w:rPr>
      </w:pPr>
      <w:r w:rsidRPr="00F3108E">
        <w:rPr>
          <w:rFonts w:ascii="Arial" w:hAnsi="Arial" w:cs="Arial"/>
        </w:rPr>
        <w:t xml:space="preserve">8.  </w:t>
      </w:r>
      <w:r w:rsidRPr="00F3108E">
        <w:rPr>
          <w:rFonts w:ascii="Arial" w:hAnsi="Arial" w:cs="Arial"/>
          <w:u w:val="single"/>
        </w:rPr>
        <w:t>Consultation</w:t>
      </w:r>
      <w:r w:rsidRPr="00F3108E">
        <w:rPr>
          <w:rFonts w:ascii="Arial" w:hAnsi="Arial" w:cs="Arial"/>
        </w:rPr>
        <w:t>.</w:t>
      </w:r>
      <w:r w:rsidRPr="00F3108E">
        <w:rPr>
          <w:rFonts w:ascii="Arial" w:hAnsi="Arial" w:cs="Arial"/>
          <w:u w:val="single"/>
        </w:rPr>
        <w:t xml:space="preserve"> </w:t>
      </w:r>
    </w:p>
    <w:p w:rsidR="00BC24B2" w:rsidRDefault="00BC24B2" w14:paraId="600E2788" w14:textId="77777777">
      <w:pPr>
        <w:rPr>
          <w:rFonts w:ascii="Arial" w:hAnsi="Arial" w:cs="Arial"/>
        </w:rPr>
      </w:pPr>
    </w:p>
    <w:p w:rsidRPr="00A25943" w:rsidR="00CD0050" w:rsidP="00CD0050" w:rsidRDefault="005C1F26" w14:paraId="1A0F680C" w14:textId="3CA40592">
      <w:pPr>
        <w:rPr>
          <w:rFonts w:ascii="Arial" w:hAnsi="Arial" w:cs="Arial"/>
        </w:rPr>
      </w:pPr>
      <w:r>
        <w:rPr>
          <w:rFonts w:ascii="Arial" w:hAnsi="Arial" w:cs="Arial"/>
        </w:rPr>
        <w:t>A 60-</w:t>
      </w:r>
      <w:r w:rsidR="00DD2E20">
        <w:rPr>
          <w:rFonts w:ascii="Arial" w:hAnsi="Arial" w:cs="Arial"/>
        </w:rPr>
        <w:t xml:space="preserve">day </w:t>
      </w:r>
      <w:r>
        <w:rPr>
          <w:rFonts w:ascii="Arial" w:hAnsi="Arial" w:cs="Arial"/>
        </w:rPr>
        <w:t>Notice</w:t>
      </w:r>
      <w:r w:rsidR="00926FC5">
        <w:rPr>
          <w:rFonts w:ascii="Arial" w:hAnsi="Arial" w:cs="Arial"/>
        </w:rPr>
        <w:t xml:space="preserve"> (See [USCG-2020-0183], April 29, 2020, 85 FR 23838) and 30-Day Notice (July 16, 2020, 85 FR 43250 were </w:t>
      </w:r>
      <w:bookmarkStart w:name="_GoBack" w:id="0"/>
      <w:bookmarkEnd w:id="0"/>
      <w:r>
        <w:rPr>
          <w:rFonts w:ascii="Arial" w:hAnsi="Arial" w:cs="Arial"/>
        </w:rPr>
        <w:t xml:space="preserve">published in the </w:t>
      </w:r>
      <w:r w:rsidRPr="007247F7">
        <w:rPr>
          <w:rFonts w:ascii="Arial" w:hAnsi="Arial" w:cs="Arial"/>
          <w:i/>
        </w:rPr>
        <w:t>Federal Register</w:t>
      </w:r>
      <w:r>
        <w:rPr>
          <w:rFonts w:ascii="Arial" w:hAnsi="Arial" w:cs="Arial"/>
        </w:rPr>
        <w:t xml:space="preserve"> to obtain public comment on this collection.  </w:t>
      </w:r>
    </w:p>
    <w:p w:rsidRPr="004322DA" w:rsidR="00CD0050" w:rsidP="00CD0050" w:rsidRDefault="00CD0050" w14:paraId="5C174D74" w14:textId="77777777">
      <w:pPr>
        <w:rPr>
          <w:rFonts w:ascii="Arial" w:hAnsi="Arial" w:cs="Arial"/>
        </w:rPr>
      </w:pPr>
    </w:p>
    <w:p w:rsidRPr="00F3108E" w:rsidR="00BC24B2" w:rsidRDefault="00BC24B2" w14:paraId="050344B8" w14:textId="77777777">
      <w:pPr>
        <w:rPr>
          <w:rFonts w:ascii="Arial" w:hAnsi="Arial" w:cs="Arial"/>
          <w:u w:val="single"/>
        </w:rPr>
      </w:pPr>
      <w:r w:rsidRPr="00F3108E">
        <w:rPr>
          <w:rFonts w:ascii="Arial" w:hAnsi="Arial" w:cs="Arial"/>
        </w:rPr>
        <w:t xml:space="preserve">9.  </w:t>
      </w:r>
      <w:r w:rsidRPr="00F3108E">
        <w:rPr>
          <w:rFonts w:ascii="Arial" w:hAnsi="Arial" w:cs="Arial"/>
          <w:u w:val="single"/>
        </w:rPr>
        <w:t>Decisions to provide payment or gift to respondents</w:t>
      </w:r>
      <w:r w:rsidRPr="00F3108E">
        <w:rPr>
          <w:rFonts w:ascii="Arial" w:hAnsi="Arial" w:cs="Arial"/>
        </w:rPr>
        <w:t>.</w:t>
      </w:r>
      <w:r w:rsidRPr="00F3108E">
        <w:rPr>
          <w:rFonts w:ascii="Arial" w:hAnsi="Arial" w:cs="Arial"/>
          <w:u w:val="single"/>
        </w:rPr>
        <w:t xml:space="preserve"> </w:t>
      </w:r>
    </w:p>
    <w:p w:rsidRPr="00F3108E" w:rsidR="00BC24B2" w:rsidP="00CD0050" w:rsidRDefault="00BC24B2" w14:paraId="696FF7B2" w14:textId="77777777">
      <w:pPr>
        <w:rPr>
          <w:rFonts w:ascii="Arial" w:hAnsi="Arial" w:cs="Arial"/>
        </w:rPr>
      </w:pPr>
    </w:p>
    <w:p w:rsidRPr="00F3108E" w:rsidR="00BC24B2" w:rsidP="00F229D3" w:rsidRDefault="00CF2243" w14:paraId="077E51FE" w14:textId="77777777">
      <w:pPr>
        <w:rPr>
          <w:rFonts w:ascii="Arial" w:hAnsi="Arial" w:cs="Arial"/>
        </w:rPr>
      </w:pPr>
      <w:r w:rsidRPr="00F3108E">
        <w:rPr>
          <w:rFonts w:ascii="Arial" w:hAnsi="Arial" w:cs="Arial"/>
        </w:rPr>
        <w:t>There is no offer of monetary or material value for this information collection</w:t>
      </w:r>
      <w:r w:rsidRPr="00F3108E" w:rsidR="00BC24B2">
        <w:rPr>
          <w:rFonts w:ascii="Arial" w:hAnsi="Arial" w:cs="Arial"/>
        </w:rPr>
        <w:t xml:space="preserve">. </w:t>
      </w:r>
    </w:p>
    <w:p w:rsidRPr="00F3108E" w:rsidR="00BC24B2" w:rsidP="00CD0050" w:rsidRDefault="00BC24B2" w14:paraId="141C2716" w14:textId="77777777">
      <w:pPr>
        <w:rPr>
          <w:rFonts w:ascii="Arial" w:hAnsi="Arial" w:cs="Arial"/>
        </w:rPr>
      </w:pPr>
    </w:p>
    <w:p w:rsidRPr="00F3108E" w:rsidR="00BC24B2" w:rsidRDefault="00BC24B2" w14:paraId="1714381C" w14:textId="77777777">
      <w:pPr>
        <w:rPr>
          <w:rFonts w:ascii="Arial" w:hAnsi="Arial" w:cs="Arial"/>
          <w:u w:val="single"/>
        </w:rPr>
      </w:pPr>
      <w:r w:rsidRPr="00F3108E">
        <w:rPr>
          <w:rFonts w:ascii="Arial" w:hAnsi="Arial" w:cs="Arial"/>
        </w:rPr>
        <w:t xml:space="preserve">10.  </w:t>
      </w:r>
      <w:r w:rsidRPr="00F3108E">
        <w:rPr>
          <w:rFonts w:ascii="Arial" w:hAnsi="Arial" w:cs="Arial"/>
          <w:u w:val="single"/>
        </w:rPr>
        <w:t>Assurance of confidentiality provided to respondents</w:t>
      </w:r>
      <w:r w:rsidRPr="00F3108E">
        <w:rPr>
          <w:rFonts w:ascii="Arial" w:hAnsi="Arial" w:cs="Arial"/>
        </w:rPr>
        <w:t>.</w:t>
      </w:r>
      <w:r w:rsidRPr="00F3108E">
        <w:rPr>
          <w:rFonts w:ascii="Arial" w:hAnsi="Arial" w:cs="Arial"/>
          <w:u w:val="single"/>
        </w:rPr>
        <w:t xml:space="preserve"> </w:t>
      </w:r>
    </w:p>
    <w:p w:rsidRPr="00F3108E" w:rsidR="00BC24B2" w:rsidRDefault="00BC24B2" w14:paraId="7DB937BA" w14:textId="77777777">
      <w:pPr>
        <w:rPr>
          <w:rFonts w:ascii="Arial" w:hAnsi="Arial" w:cs="Arial"/>
        </w:rPr>
      </w:pPr>
    </w:p>
    <w:p w:rsidRPr="00EC655E" w:rsidR="00306FA5" w:rsidP="00C36D08" w:rsidRDefault="00CF2243" w14:paraId="459BC531" w14:textId="77777777">
      <w:pPr>
        <w:pStyle w:val="BodyText"/>
        <w:widowControl w:val="0"/>
        <w:spacing w:after="0"/>
        <w:rPr>
          <w:rFonts w:ascii="Arial" w:hAnsi="Arial" w:cs="Arial"/>
        </w:rPr>
      </w:pPr>
      <w:r w:rsidRPr="00F3108E">
        <w:rPr>
          <w:rFonts w:ascii="Arial" w:hAnsi="Arial" w:cs="Arial"/>
        </w:rPr>
        <w:t>There are no assurances of confidentiality provided to the respondents for this information collection</w:t>
      </w:r>
      <w:r w:rsidRPr="00F3108E" w:rsidR="00BC24B2">
        <w:rPr>
          <w:rFonts w:ascii="Arial" w:hAnsi="Arial" w:cs="Arial"/>
        </w:rPr>
        <w:t xml:space="preserve">. </w:t>
      </w:r>
      <w:r w:rsidR="00306FA5">
        <w:rPr>
          <w:rFonts w:ascii="Arial" w:hAnsi="Arial" w:cs="Arial"/>
        </w:rPr>
        <w:t xml:space="preserve"> </w:t>
      </w:r>
      <w:r w:rsidRPr="00EC655E" w:rsidR="00306FA5">
        <w:rPr>
          <w:rFonts w:ascii="Arial" w:hAnsi="Arial" w:cs="Arial"/>
        </w:rPr>
        <w:t>This information collection request is covered by the Marine Information for Safety and Law Enforcement (MISLE) Privacy Impact Assessment (PIA) and System of Records Notice (SORN).  Links to the MISLE PIA and SORN are provided below:</w:t>
      </w:r>
    </w:p>
    <w:p w:rsidRPr="00EC655E" w:rsidR="00306FA5" w:rsidP="00306FA5" w:rsidRDefault="00926FC5" w14:paraId="03E8D4ED" w14:textId="77777777">
      <w:pPr>
        <w:pStyle w:val="BodyText"/>
        <w:widowControl w:val="0"/>
        <w:numPr>
          <w:ilvl w:val="0"/>
          <w:numId w:val="16"/>
        </w:numPr>
        <w:spacing w:after="0"/>
        <w:rPr>
          <w:rFonts w:ascii="Arial" w:hAnsi="Arial" w:cs="Arial"/>
        </w:rPr>
      </w:pPr>
      <w:hyperlink w:history="1" r:id="rId8">
        <w:r w:rsidRPr="002B4902" w:rsidR="00306FA5">
          <w:rPr>
            <w:rStyle w:val="Hyperlink"/>
            <w:rFonts w:ascii="Arial" w:hAnsi="Arial" w:cs="Arial"/>
          </w:rPr>
          <w:t>https://www.dhs.gov/sites/default/files/publications/privacy_pia_uscg_misle.pdf</w:t>
        </w:r>
      </w:hyperlink>
      <w:r w:rsidR="00306FA5">
        <w:rPr>
          <w:rFonts w:ascii="Arial" w:hAnsi="Arial" w:cs="Arial"/>
        </w:rPr>
        <w:t xml:space="preserve"> </w:t>
      </w:r>
      <w:r w:rsidRPr="00EC655E" w:rsidR="00306FA5">
        <w:rPr>
          <w:rFonts w:ascii="Arial" w:hAnsi="Arial" w:cs="Arial"/>
        </w:rPr>
        <w:t xml:space="preserve"> </w:t>
      </w:r>
    </w:p>
    <w:p w:rsidRPr="00DC5D05" w:rsidR="00306FA5" w:rsidP="00306FA5" w:rsidRDefault="00926FC5" w14:paraId="163D3FB3" w14:textId="77777777">
      <w:pPr>
        <w:pStyle w:val="BodyText"/>
        <w:widowControl w:val="0"/>
        <w:numPr>
          <w:ilvl w:val="0"/>
          <w:numId w:val="16"/>
        </w:numPr>
        <w:spacing w:after="0"/>
        <w:rPr>
          <w:rFonts w:ascii="Arial" w:hAnsi="Arial" w:cs="Arial"/>
        </w:rPr>
      </w:pPr>
      <w:hyperlink w:history="1" r:id="rId9">
        <w:r w:rsidRPr="002B4902" w:rsidR="00306FA5">
          <w:rPr>
            <w:rStyle w:val="Hyperlink"/>
            <w:rFonts w:ascii="Arial" w:hAnsi="Arial" w:cs="Arial"/>
          </w:rPr>
          <w:t>https://www.gpo.gov/fdsys/pkg/FR-2009-06-25/html/E9-14906.htm</w:t>
        </w:r>
      </w:hyperlink>
      <w:r w:rsidR="00306FA5">
        <w:rPr>
          <w:rFonts w:ascii="Arial" w:hAnsi="Arial" w:cs="Arial"/>
        </w:rPr>
        <w:t xml:space="preserve"> </w:t>
      </w:r>
      <w:r w:rsidRPr="00EC655E" w:rsidR="00306FA5">
        <w:rPr>
          <w:rFonts w:ascii="Arial" w:hAnsi="Arial" w:cs="Arial"/>
        </w:rPr>
        <w:t xml:space="preserve">  </w:t>
      </w:r>
    </w:p>
    <w:p w:rsidRPr="00F3108E" w:rsidR="00BC24B2" w:rsidP="00CD0050" w:rsidRDefault="00BC24B2" w14:paraId="46C160F6" w14:textId="77777777">
      <w:pPr>
        <w:rPr>
          <w:rFonts w:ascii="Arial" w:hAnsi="Arial" w:cs="Arial"/>
        </w:rPr>
      </w:pPr>
    </w:p>
    <w:p w:rsidRPr="00F3108E" w:rsidR="00BC24B2" w:rsidRDefault="00BC24B2" w14:paraId="03B19A48" w14:textId="77777777">
      <w:pPr>
        <w:rPr>
          <w:rFonts w:ascii="Arial" w:hAnsi="Arial" w:cs="Arial"/>
          <w:u w:val="single"/>
        </w:rPr>
      </w:pPr>
      <w:r w:rsidRPr="00F3108E">
        <w:rPr>
          <w:rFonts w:ascii="Arial" w:hAnsi="Arial" w:cs="Arial"/>
        </w:rPr>
        <w:t xml:space="preserve">11.  </w:t>
      </w:r>
      <w:r w:rsidRPr="00F3108E">
        <w:rPr>
          <w:rFonts w:ascii="Arial" w:hAnsi="Arial" w:cs="Arial"/>
          <w:u w:val="single"/>
        </w:rPr>
        <w:t>Additional justification for questions of a sensitive nature</w:t>
      </w:r>
      <w:r w:rsidRPr="00F3108E">
        <w:rPr>
          <w:rFonts w:ascii="Arial" w:hAnsi="Arial" w:cs="Arial"/>
        </w:rPr>
        <w:t>.</w:t>
      </w:r>
      <w:r w:rsidRPr="00F3108E">
        <w:rPr>
          <w:rFonts w:ascii="Arial" w:hAnsi="Arial" w:cs="Arial"/>
          <w:u w:val="single"/>
        </w:rPr>
        <w:t xml:space="preserve"> </w:t>
      </w:r>
    </w:p>
    <w:p w:rsidRPr="00F3108E" w:rsidR="00BC24B2" w:rsidP="00F229D3" w:rsidRDefault="00BC24B2" w14:paraId="4F78789F" w14:textId="77777777">
      <w:pPr>
        <w:rPr>
          <w:rFonts w:ascii="Arial" w:hAnsi="Arial" w:cs="Arial"/>
        </w:rPr>
      </w:pPr>
    </w:p>
    <w:p w:rsidRPr="00F3108E" w:rsidR="00BC24B2" w:rsidP="00F229D3" w:rsidRDefault="00CF2243" w14:paraId="5BB85C01" w14:textId="77777777">
      <w:pPr>
        <w:rPr>
          <w:rFonts w:ascii="Arial" w:hAnsi="Arial" w:cs="Arial"/>
        </w:rPr>
      </w:pPr>
      <w:r w:rsidRPr="00F3108E">
        <w:rPr>
          <w:rFonts w:ascii="Arial" w:hAnsi="Arial" w:cs="Arial"/>
        </w:rPr>
        <w:t>There are no questions of sensitive language</w:t>
      </w:r>
      <w:r w:rsidRPr="00F3108E" w:rsidR="00BC24B2">
        <w:rPr>
          <w:rFonts w:ascii="Arial" w:hAnsi="Arial" w:cs="Arial"/>
        </w:rPr>
        <w:t xml:space="preserve">. </w:t>
      </w:r>
    </w:p>
    <w:p w:rsidRPr="00F3108E" w:rsidR="00BC24B2" w:rsidP="00F229D3" w:rsidRDefault="00BC24B2" w14:paraId="4AAE6FF3" w14:textId="77777777">
      <w:pPr>
        <w:rPr>
          <w:rFonts w:ascii="Arial" w:hAnsi="Arial" w:cs="Arial"/>
        </w:rPr>
      </w:pPr>
    </w:p>
    <w:p w:rsidRPr="00F3108E" w:rsidR="00BC24B2" w:rsidRDefault="00BC24B2" w14:paraId="21099219" w14:textId="77777777">
      <w:pPr>
        <w:rPr>
          <w:rFonts w:ascii="Arial" w:hAnsi="Arial" w:cs="Arial"/>
          <w:u w:val="single"/>
        </w:rPr>
      </w:pPr>
      <w:r w:rsidRPr="00F3108E">
        <w:rPr>
          <w:rFonts w:ascii="Arial" w:hAnsi="Arial" w:cs="Arial"/>
        </w:rPr>
        <w:t xml:space="preserve">12.  </w:t>
      </w:r>
      <w:r w:rsidRPr="00F3108E">
        <w:rPr>
          <w:rFonts w:ascii="Arial" w:hAnsi="Arial" w:cs="Arial"/>
          <w:u w:val="single"/>
        </w:rPr>
        <w:t>Estimate of the hour and cost burdens</w:t>
      </w:r>
      <w:r w:rsidRPr="00F3108E">
        <w:rPr>
          <w:rFonts w:ascii="Arial" w:hAnsi="Arial" w:cs="Arial"/>
        </w:rPr>
        <w:t>.</w:t>
      </w:r>
      <w:r w:rsidRPr="00F3108E">
        <w:rPr>
          <w:rFonts w:ascii="Arial" w:hAnsi="Arial" w:cs="Arial"/>
          <w:u w:val="single"/>
        </w:rPr>
        <w:t xml:space="preserve"> </w:t>
      </w:r>
    </w:p>
    <w:p w:rsidRPr="00F3108E" w:rsidR="00BC24B2" w:rsidRDefault="00BC24B2" w14:paraId="0736943D" w14:textId="77777777">
      <w:pPr>
        <w:rPr>
          <w:rFonts w:ascii="Arial" w:hAnsi="Arial" w:cs="Arial"/>
        </w:rPr>
      </w:pPr>
    </w:p>
    <w:p w:rsidRPr="00C36D08" w:rsidR="00930EC3" w:rsidP="00930EC3" w:rsidRDefault="00930EC3" w14:paraId="53E1A2C1" w14:textId="7E5B7BE9">
      <w:pPr>
        <w:pStyle w:val="p10"/>
        <w:numPr>
          <w:ilvl w:val="0"/>
          <w:numId w:val="15"/>
        </w:numPr>
        <w:rPr>
          <w:rFonts w:ascii="Arial" w:hAnsi="Arial" w:cs="Arial"/>
          <w:sz w:val="20"/>
        </w:rPr>
      </w:pPr>
      <w:r w:rsidRPr="00C36D08">
        <w:rPr>
          <w:rFonts w:ascii="Arial" w:hAnsi="Arial" w:cs="Arial"/>
          <w:sz w:val="20"/>
        </w:rPr>
        <w:t xml:space="preserve">The estimated </w:t>
      </w:r>
      <w:r w:rsidRPr="00C36D08" w:rsidR="00C36D08">
        <w:rPr>
          <w:rFonts w:ascii="Arial" w:hAnsi="Arial" w:cs="Arial"/>
          <w:sz w:val="20"/>
        </w:rPr>
        <w:t xml:space="preserve">annual </w:t>
      </w:r>
      <w:r w:rsidRPr="00C36D08">
        <w:rPr>
          <w:rFonts w:ascii="Arial" w:hAnsi="Arial" w:cs="Arial"/>
          <w:sz w:val="20"/>
        </w:rPr>
        <w:t xml:space="preserve">number of respondents is </w:t>
      </w:r>
      <w:r w:rsidRPr="00C36D08" w:rsidR="00C36D08">
        <w:rPr>
          <w:rFonts w:ascii="Arial" w:hAnsi="Arial" w:cs="Arial"/>
          <w:sz w:val="20"/>
        </w:rPr>
        <w:t>58</w:t>
      </w:r>
      <w:r w:rsidR="001321DD">
        <w:rPr>
          <w:rFonts w:ascii="Arial" w:hAnsi="Arial" w:cs="Arial"/>
          <w:sz w:val="20"/>
        </w:rPr>
        <w:t>5</w:t>
      </w:r>
      <w:r w:rsidRPr="00C36D08">
        <w:rPr>
          <w:rFonts w:ascii="Arial" w:hAnsi="Arial" w:cs="Arial"/>
          <w:sz w:val="20"/>
        </w:rPr>
        <w:t xml:space="preserve">.  </w:t>
      </w:r>
    </w:p>
    <w:p w:rsidRPr="00C36D08" w:rsidR="00930EC3" w:rsidP="00930EC3" w:rsidRDefault="00930EC3" w14:paraId="122DA19B" w14:textId="16AD9F2B">
      <w:pPr>
        <w:pStyle w:val="p10"/>
        <w:numPr>
          <w:ilvl w:val="0"/>
          <w:numId w:val="15"/>
        </w:numPr>
        <w:rPr>
          <w:rFonts w:ascii="Arial" w:hAnsi="Arial" w:cs="Arial"/>
          <w:sz w:val="20"/>
        </w:rPr>
      </w:pPr>
      <w:r w:rsidRPr="00C36D08">
        <w:rPr>
          <w:rFonts w:ascii="Arial" w:hAnsi="Arial" w:cs="Arial"/>
          <w:sz w:val="20"/>
        </w:rPr>
        <w:t xml:space="preserve">The estimated </w:t>
      </w:r>
      <w:r w:rsidRPr="00C36D08" w:rsidR="00C36D08">
        <w:rPr>
          <w:rFonts w:ascii="Arial" w:hAnsi="Arial" w:cs="Arial"/>
          <w:sz w:val="20"/>
        </w:rPr>
        <w:t xml:space="preserve">annual </w:t>
      </w:r>
      <w:r w:rsidRPr="00C36D08">
        <w:rPr>
          <w:rFonts w:ascii="Arial" w:hAnsi="Arial" w:cs="Arial"/>
          <w:sz w:val="20"/>
        </w:rPr>
        <w:t xml:space="preserve">number of responses is </w:t>
      </w:r>
      <w:r w:rsidRPr="00C36D08" w:rsidR="00C36D08">
        <w:rPr>
          <w:rFonts w:ascii="Arial" w:hAnsi="Arial" w:cs="Arial"/>
          <w:sz w:val="20"/>
        </w:rPr>
        <w:t>7</w:t>
      </w:r>
      <w:r w:rsidR="001321DD">
        <w:rPr>
          <w:rFonts w:ascii="Arial" w:hAnsi="Arial" w:cs="Arial"/>
          <w:sz w:val="20"/>
        </w:rPr>
        <w:t>72</w:t>
      </w:r>
      <w:r w:rsidRPr="00C36D08">
        <w:rPr>
          <w:rFonts w:ascii="Arial" w:hAnsi="Arial" w:cs="Arial"/>
          <w:sz w:val="20"/>
        </w:rPr>
        <w:t xml:space="preserve">.  </w:t>
      </w:r>
    </w:p>
    <w:p w:rsidRPr="00C36D08" w:rsidR="00930EC3" w:rsidP="00930EC3" w:rsidRDefault="00930EC3" w14:paraId="7B9D6277" w14:textId="1DC00279">
      <w:pPr>
        <w:pStyle w:val="p10"/>
        <w:numPr>
          <w:ilvl w:val="0"/>
          <w:numId w:val="15"/>
        </w:numPr>
        <w:rPr>
          <w:rFonts w:ascii="Arial" w:hAnsi="Arial" w:cs="Arial"/>
          <w:sz w:val="20"/>
        </w:rPr>
      </w:pPr>
      <w:r w:rsidRPr="00C36D08">
        <w:rPr>
          <w:rFonts w:ascii="Arial" w:hAnsi="Arial" w:cs="Arial"/>
          <w:sz w:val="20"/>
        </w:rPr>
        <w:t xml:space="preserve">The estimated </w:t>
      </w:r>
      <w:r w:rsidRPr="00C36D08" w:rsidR="00C36D08">
        <w:rPr>
          <w:rFonts w:ascii="Arial" w:hAnsi="Arial" w:cs="Arial"/>
          <w:sz w:val="20"/>
        </w:rPr>
        <w:t xml:space="preserve">annual </w:t>
      </w:r>
      <w:r w:rsidRPr="00C36D08">
        <w:rPr>
          <w:rFonts w:ascii="Arial" w:hAnsi="Arial" w:cs="Arial"/>
          <w:sz w:val="20"/>
        </w:rPr>
        <w:t xml:space="preserve">hour burden is </w:t>
      </w:r>
      <w:r w:rsidR="001321DD">
        <w:rPr>
          <w:rFonts w:ascii="Arial" w:hAnsi="Arial" w:cs="Arial"/>
          <w:sz w:val="20"/>
        </w:rPr>
        <w:t>910</w:t>
      </w:r>
      <w:r w:rsidRPr="00C36D08">
        <w:rPr>
          <w:rFonts w:ascii="Arial" w:hAnsi="Arial" w:cs="Arial"/>
          <w:sz w:val="20"/>
        </w:rPr>
        <w:t xml:space="preserve">.  </w:t>
      </w:r>
    </w:p>
    <w:p w:rsidRPr="00C36D08" w:rsidR="00930EC3" w:rsidP="00930EC3" w:rsidRDefault="00930EC3" w14:paraId="5FD7610C" w14:textId="6A2BAB3B">
      <w:pPr>
        <w:pStyle w:val="p10"/>
        <w:numPr>
          <w:ilvl w:val="0"/>
          <w:numId w:val="15"/>
        </w:numPr>
        <w:rPr>
          <w:rFonts w:ascii="Arial" w:hAnsi="Arial" w:cs="Arial"/>
          <w:sz w:val="20"/>
        </w:rPr>
      </w:pPr>
      <w:r w:rsidRPr="00C36D08">
        <w:rPr>
          <w:rFonts w:ascii="Arial" w:hAnsi="Arial" w:cs="Arial"/>
          <w:sz w:val="20"/>
        </w:rPr>
        <w:t xml:space="preserve">The estimated </w:t>
      </w:r>
      <w:r w:rsidRPr="00C36D08" w:rsidR="00C36D08">
        <w:rPr>
          <w:rFonts w:ascii="Arial" w:hAnsi="Arial" w:cs="Arial"/>
          <w:sz w:val="20"/>
        </w:rPr>
        <w:t xml:space="preserve">annual </w:t>
      </w:r>
      <w:r w:rsidRPr="00C36D08">
        <w:rPr>
          <w:rFonts w:ascii="Arial" w:hAnsi="Arial" w:cs="Arial"/>
          <w:sz w:val="20"/>
        </w:rPr>
        <w:t>cost burden is $</w:t>
      </w:r>
      <w:r w:rsidR="001321DD">
        <w:rPr>
          <w:rFonts w:ascii="Arial" w:hAnsi="Arial" w:cs="Arial"/>
          <w:sz w:val="20"/>
        </w:rPr>
        <w:t>52,000</w:t>
      </w:r>
      <w:r w:rsidRPr="00C36D08">
        <w:rPr>
          <w:rFonts w:ascii="Arial" w:hAnsi="Arial" w:cs="Arial"/>
          <w:sz w:val="20"/>
        </w:rPr>
        <w:t xml:space="preserve">.  </w:t>
      </w:r>
    </w:p>
    <w:p w:rsidRPr="00F3108E" w:rsidR="00930EC3" w:rsidRDefault="00930EC3" w14:paraId="64B2DFE6" w14:textId="77777777">
      <w:pPr>
        <w:rPr>
          <w:rFonts w:ascii="Arial" w:hAnsi="Arial" w:cs="Arial"/>
        </w:rPr>
      </w:pPr>
    </w:p>
    <w:p w:rsidR="00C36D08" w:rsidP="00306FA5" w:rsidRDefault="00306FA5" w14:paraId="3D4472E4" w14:textId="77777777">
      <w:pPr>
        <w:widowControl w:val="0"/>
        <w:rPr>
          <w:rFonts w:ascii="Arial" w:hAnsi="Arial" w:cs="Arial"/>
        </w:rPr>
      </w:pPr>
      <w:r>
        <w:rPr>
          <w:rFonts w:ascii="Arial" w:hAnsi="Arial" w:cs="Arial"/>
        </w:rPr>
        <w:t xml:space="preserve">The burden to respondents is provided in Appendix A.  </w:t>
      </w:r>
      <w:r w:rsidRPr="00C36D08" w:rsidR="00C36D08">
        <w:rPr>
          <w:rFonts w:ascii="Arial" w:hAnsi="Arial" w:cs="Arial"/>
        </w:rPr>
        <w:t xml:space="preserve">The wage rates used are in accordance with the current edition of COMDTINST 7310.1(series) for “Out-Government” personnel.  </w:t>
      </w:r>
    </w:p>
    <w:p w:rsidR="00C36D08" w:rsidP="00306FA5" w:rsidRDefault="00C36D08" w14:paraId="05F863BB" w14:textId="77777777">
      <w:pPr>
        <w:widowControl w:val="0"/>
        <w:rPr>
          <w:rFonts w:ascii="Arial" w:hAnsi="Arial" w:cs="Arial"/>
        </w:rPr>
      </w:pPr>
    </w:p>
    <w:p w:rsidRPr="00DC5D05" w:rsidR="00306FA5" w:rsidP="00306FA5" w:rsidRDefault="00306FA5" w14:paraId="2516BAAD" w14:textId="77777777">
      <w:pPr>
        <w:widowControl w:val="0"/>
        <w:rPr>
          <w:rFonts w:ascii="Arial" w:hAnsi="Arial" w:cs="Arial"/>
        </w:rPr>
      </w:pPr>
      <w:r>
        <w:rPr>
          <w:rFonts w:ascii="Arial" w:hAnsi="Arial" w:cs="Arial"/>
        </w:rPr>
        <w:t xml:space="preserve">We estimate that </w:t>
      </w:r>
      <w:r w:rsidR="00C36D08">
        <w:rPr>
          <w:rFonts w:ascii="Arial" w:hAnsi="Arial" w:cs="Arial"/>
        </w:rPr>
        <w:t>a chemical manufacturing specialist</w:t>
      </w:r>
      <w:r w:rsidRPr="00DC5D05" w:rsidR="00C36D08">
        <w:rPr>
          <w:rFonts w:ascii="Arial" w:hAnsi="Arial" w:cs="Arial"/>
        </w:rPr>
        <w:t xml:space="preserve"> </w:t>
      </w:r>
      <w:r w:rsidR="00C36D08">
        <w:rPr>
          <w:rFonts w:ascii="Arial" w:hAnsi="Arial" w:cs="Arial"/>
        </w:rPr>
        <w:t xml:space="preserve">will </w:t>
      </w:r>
      <w:r>
        <w:rPr>
          <w:rFonts w:ascii="Arial" w:hAnsi="Arial" w:cs="Arial"/>
        </w:rPr>
        <w:t xml:space="preserve">take about </w:t>
      </w:r>
      <w:r w:rsidR="00C36D08">
        <w:rPr>
          <w:rFonts w:ascii="Arial" w:hAnsi="Arial" w:cs="Arial"/>
        </w:rPr>
        <w:t>15</w:t>
      </w:r>
      <w:r>
        <w:rPr>
          <w:rFonts w:ascii="Arial" w:hAnsi="Arial" w:cs="Arial"/>
        </w:rPr>
        <w:t xml:space="preserve"> </w:t>
      </w:r>
      <w:r w:rsidRPr="00DC5D05">
        <w:rPr>
          <w:rFonts w:ascii="Arial" w:hAnsi="Arial" w:cs="Arial"/>
        </w:rPr>
        <w:t xml:space="preserve">hours complete and submit </w:t>
      </w:r>
      <w:r w:rsidR="00C36D08">
        <w:rPr>
          <w:rFonts w:ascii="Arial" w:hAnsi="Arial" w:cs="Arial"/>
        </w:rPr>
        <w:t xml:space="preserve">a Special Permit </w:t>
      </w:r>
      <w:r w:rsidR="007D478D">
        <w:rPr>
          <w:rFonts w:ascii="Arial" w:hAnsi="Arial" w:cs="Arial"/>
        </w:rPr>
        <w:t>petition</w:t>
      </w:r>
      <w:r w:rsidR="00C36D08">
        <w:rPr>
          <w:rFonts w:ascii="Arial" w:hAnsi="Arial" w:cs="Arial"/>
        </w:rPr>
        <w:t xml:space="preserve">.  </w:t>
      </w:r>
      <w:r w:rsidRPr="00C36D08" w:rsidR="00C36D08">
        <w:rPr>
          <w:rFonts w:ascii="Arial" w:hAnsi="Arial" w:cs="Arial"/>
        </w:rPr>
        <w:t>The</w:t>
      </w:r>
      <w:r w:rsidR="00C36D08">
        <w:rPr>
          <w:rFonts w:ascii="Arial" w:hAnsi="Arial" w:cs="Arial"/>
        </w:rPr>
        <w:t xml:space="preserve"> position of a chemical manufacturing specialist</w:t>
      </w:r>
      <w:r w:rsidRPr="00DC5D05" w:rsidR="00C36D08">
        <w:rPr>
          <w:rFonts w:ascii="Arial" w:hAnsi="Arial" w:cs="Arial"/>
        </w:rPr>
        <w:t xml:space="preserve"> </w:t>
      </w:r>
      <w:r>
        <w:rPr>
          <w:rFonts w:ascii="Arial" w:hAnsi="Arial" w:cs="Arial"/>
        </w:rPr>
        <w:t>is analogous to a GS-1</w:t>
      </w:r>
      <w:r w:rsidR="00C36D08">
        <w:rPr>
          <w:rFonts w:ascii="Arial" w:hAnsi="Arial" w:cs="Arial"/>
        </w:rPr>
        <w:t>2</w:t>
      </w:r>
      <w:r>
        <w:rPr>
          <w:rFonts w:ascii="Arial" w:hAnsi="Arial" w:cs="Arial"/>
        </w:rPr>
        <w:t xml:space="preserve">.  </w:t>
      </w:r>
    </w:p>
    <w:p w:rsidRPr="00306FA5" w:rsidR="0056331E" w:rsidRDefault="0056331E" w14:paraId="74044C19" w14:textId="77777777">
      <w:pPr>
        <w:rPr>
          <w:rFonts w:ascii="Arial" w:hAnsi="Arial" w:cs="Arial"/>
          <w:highlight w:val="yellow"/>
        </w:rPr>
      </w:pPr>
    </w:p>
    <w:p w:rsidRPr="005E2DFC" w:rsidR="0056331E" w:rsidRDefault="00222338" w14:paraId="63E83F56" w14:textId="2854D705">
      <w:pPr>
        <w:rPr>
          <w:rFonts w:ascii="Arial" w:hAnsi="Arial" w:cs="Arial"/>
        </w:rPr>
      </w:pPr>
      <w:r>
        <w:rPr>
          <w:rFonts w:ascii="Arial" w:hAnsi="Arial" w:cs="Arial"/>
        </w:rPr>
        <w:t xml:space="preserve">The Coast Guard </w:t>
      </w:r>
      <w:r w:rsidRPr="005E2DFC" w:rsidR="00C36D08">
        <w:rPr>
          <w:rFonts w:ascii="Arial" w:hAnsi="Arial" w:cs="Arial"/>
        </w:rPr>
        <w:t>estimate that a crew member or shore side technical specialist will take about 30 minutes (0.5 hours</w:t>
      </w:r>
      <w:r w:rsidR="004C4D31">
        <w:rPr>
          <w:rFonts w:ascii="Arial" w:hAnsi="Arial" w:cs="Arial"/>
        </w:rPr>
        <w:t>)</w:t>
      </w:r>
      <w:r w:rsidRPr="005E2DFC" w:rsidR="00C36D08">
        <w:rPr>
          <w:rFonts w:ascii="Arial" w:hAnsi="Arial" w:cs="Arial"/>
        </w:rPr>
        <w:t xml:space="preserve"> to prepare a Dangerous </w:t>
      </w:r>
      <w:r w:rsidRPr="005E2DFC" w:rsidR="005E2DFC">
        <w:rPr>
          <w:rFonts w:ascii="Arial" w:hAnsi="Arial" w:cs="Arial"/>
        </w:rPr>
        <w:t>C</w:t>
      </w:r>
      <w:r w:rsidRPr="005E2DFC" w:rsidR="00C36D08">
        <w:rPr>
          <w:rFonts w:ascii="Arial" w:hAnsi="Arial" w:cs="Arial"/>
        </w:rPr>
        <w:t>argo Manifest</w:t>
      </w:r>
      <w:r w:rsidRPr="005E2DFC" w:rsidR="005E2DFC">
        <w:rPr>
          <w:rStyle w:val="FootnoteReference"/>
          <w:rFonts w:ascii="Arial" w:hAnsi="Arial" w:cs="Arial"/>
        </w:rPr>
        <w:footnoteReference w:id="1"/>
      </w:r>
      <w:r w:rsidRPr="005E2DFC" w:rsidR="00C36D08">
        <w:rPr>
          <w:rFonts w:ascii="Arial" w:hAnsi="Arial" w:cs="Arial"/>
        </w:rPr>
        <w:t xml:space="preserve"> and 1 hour to prepare </w:t>
      </w:r>
      <w:r w:rsidRPr="005E2DFC" w:rsidR="00C36D08">
        <w:rPr>
          <w:rFonts w:ascii="Arial" w:hAnsi="Arial" w:cs="Arial"/>
        </w:rPr>
        <w:lastRenderedPageBreak/>
        <w:t>a vessel’s Shipping Papers.</w:t>
      </w:r>
      <w:r w:rsidRPr="005E2DFC" w:rsidR="005E2DFC">
        <w:rPr>
          <w:rStyle w:val="FootnoteReference"/>
          <w:rFonts w:ascii="Arial" w:hAnsi="Arial" w:cs="Arial"/>
        </w:rPr>
        <w:footnoteReference w:id="2"/>
      </w:r>
      <w:r w:rsidRPr="005E2DFC" w:rsidR="00C36D08">
        <w:rPr>
          <w:rFonts w:ascii="Arial" w:hAnsi="Arial" w:cs="Arial"/>
        </w:rPr>
        <w:t xml:space="preserve">  </w:t>
      </w:r>
      <w:r w:rsidRPr="005E2DFC" w:rsidR="005E2DFC">
        <w:rPr>
          <w:rFonts w:ascii="Arial" w:hAnsi="Arial" w:cs="Arial"/>
        </w:rPr>
        <w:t xml:space="preserve">The position of a crew member or shore side technical specialist is </w:t>
      </w:r>
      <w:r w:rsidRPr="005E2DFC" w:rsidR="0056331E">
        <w:rPr>
          <w:rFonts w:ascii="Arial" w:hAnsi="Arial" w:cs="Arial"/>
        </w:rPr>
        <w:t xml:space="preserve">equivalent to a GS-9.  </w:t>
      </w:r>
    </w:p>
    <w:p w:rsidRPr="00306FA5" w:rsidR="00F81B17" w:rsidRDefault="00F81B17" w14:paraId="5FD2A194" w14:textId="77777777">
      <w:pPr>
        <w:rPr>
          <w:rFonts w:ascii="Arial" w:hAnsi="Arial" w:cs="Arial"/>
          <w:highlight w:val="yellow"/>
        </w:rPr>
      </w:pPr>
    </w:p>
    <w:p w:rsidRPr="00F3108E" w:rsidR="00BC24B2" w:rsidRDefault="00BC24B2" w14:paraId="2E8D94B7" w14:textId="77777777">
      <w:pPr>
        <w:rPr>
          <w:rFonts w:ascii="Arial" w:hAnsi="Arial" w:cs="Arial"/>
          <w:u w:val="single"/>
        </w:rPr>
      </w:pPr>
      <w:r w:rsidRPr="00F3108E">
        <w:rPr>
          <w:rFonts w:ascii="Arial" w:hAnsi="Arial" w:cs="Arial"/>
        </w:rPr>
        <w:t xml:space="preserve">13.  </w:t>
      </w:r>
      <w:r w:rsidRPr="00F3108E">
        <w:rPr>
          <w:rFonts w:ascii="Arial" w:hAnsi="Arial" w:cs="Arial"/>
          <w:u w:val="single"/>
        </w:rPr>
        <w:t>Total annualized capital and start-up costs</w:t>
      </w:r>
      <w:r w:rsidRPr="00F3108E">
        <w:rPr>
          <w:rFonts w:ascii="Arial" w:hAnsi="Arial" w:cs="Arial"/>
        </w:rPr>
        <w:t>.</w:t>
      </w:r>
    </w:p>
    <w:p w:rsidRPr="00F3108E" w:rsidR="00BC24B2" w:rsidP="00F229D3" w:rsidRDefault="00BC24B2" w14:paraId="088F042E" w14:textId="77777777">
      <w:pPr>
        <w:rPr>
          <w:rFonts w:ascii="Arial" w:hAnsi="Arial" w:cs="Arial"/>
        </w:rPr>
      </w:pPr>
    </w:p>
    <w:p w:rsidRPr="00F3108E" w:rsidR="00BC24B2" w:rsidP="00F229D3" w:rsidRDefault="00CF2243" w14:paraId="71A00810" w14:textId="77777777">
      <w:pPr>
        <w:rPr>
          <w:rFonts w:ascii="Arial" w:hAnsi="Arial" w:cs="Arial"/>
        </w:rPr>
      </w:pPr>
      <w:r w:rsidRPr="00F3108E">
        <w:rPr>
          <w:rFonts w:ascii="Arial" w:hAnsi="Arial" w:cs="Arial"/>
        </w:rPr>
        <w:t>There are no recordkeeping, capital, start-up</w:t>
      </w:r>
      <w:r w:rsidRPr="00F3108E" w:rsidR="001C2CDB">
        <w:rPr>
          <w:rFonts w:ascii="Arial" w:hAnsi="Arial" w:cs="Arial"/>
        </w:rPr>
        <w:t>,</w:t>
      </w:r>
      <w:r w:rsidRPr="00F3108E">
        <w:rPr>
          <w:rFonts w:ascii="Arial" w:hAnsi="Arial" w:cs="Arial"/>
        </w:rPr>
        <w:t xml:space="preserve"> or maintenance costs associated with this information collection</w:t>
      </w:r>
      <w:r w:rsidRPr="00F3108E" w:rsidR="00BC24B2">
        <w:rPr>
          <w:rFonts w:ascii="Arial" w:hAnsi="Arial" w:cs="Arial"/>
        </w:rPr>
        <w:t>.</w:t>
      </w:r>
      <w:r w:rsidRPr="00F3108E">
        <w:rPr>
          <w:rFonts w:ascii="Arial" w:hAnsi="Arial" w:cs="Arial"/>
        </w:rPr>
        <w:t xml:space="preserve">  </w:t>
      </w:r>
    </w:p>
    <w:p w:rsidRPr="00F3108E" w:rsidR="00BC24B2" w:rsidP="00F229D3" w:rsidRDefault="00BC24B2" w14:paraId="23624639" w14:textId="77777777">
      <w:pPr>
        <w:rPr>
          <w:rFonts w:ascii="Arial" w:hAnsi="Arial" w:cs="Arial"/>
        </w:rPr>
      </w:pPr>
    </w:p>
    <w:p w:rsidRPr="00F3108E" w:rsidR="00BC24B2" w:rsidRDefault="00BC24B2" w14:paraId="0C2CCEA7" w14:textId="77777777">
      <w:pPr>
        <w:rPr>
          <w:rFonts w:ascii="Arial" w:hAnsi="Arial" w:cs="Arial"/>
          <w:u w:val="single"/>
        </w:rPr>
      </w:pPr>
      <w:r w:rsidRPr="00F3108E">
        <w:rPr>
          <w:rFonts w:ascii="Arial" w:hAnsi="Arial" w:cs="Arial"/>
        </w:rPr>
        <w:t xml:space="preserve">14.  </w:t>
      </w:r>
      <w:r w:rsidRPr="00F3108E">
        <w:rPr>
          <w:rFonts w:ascii="Arial" w:hAnsi="Arial" w:cs="Arial"/>
          <w:u w:val="single"/>
        </w:rPr>
        <w:t>Estimates of annualized cost to the Federal Government</w:t>
      </w:r>
      <w:r w:rsidRPr="00F3108E">
        <w:rPr>
          <w:rFonts w:ascii="Arial" w:hAnsi="Arial" w:cs="Arial"/>
        </w:rPr>
        <w:t>.</w:t>
      </w:r>
    </w:p>
    <w:p w:rsidRPr="00F3108E" w:rsidR="00BC24B2" w:rsidRDefault="00BC24B2" w14:paraId="2E009D42" w14:textId="77777777">
      <w:pPr>
        <w:rPr>
          <w:rFonts w:ascii="Arial" w:hAnsi="Arial" w:cs="Arial"/>
        </w:rPr>
      </w:pPr>
    </w:p>
    <w:p w:rsidRPr="00306FA5" w:rsidR="00306FA5" w:rsidP="00F229D3" w:rsidRDefault="0056331E" w14:paraId="689DB67B" w14:textId="3D6A7A94">
      <w:pPr>
        <w:rPr>
          <w:rFonts w:ascii="Arial" w:hAnsi="Arial" w:cs="Arial"/>
          <w:highlight w:val="yellow"/>
        </w:rPr>
      </w:pPr>
      <w:r w:rsidRPr="00F3108E">
        <w:rPr>
          <w:rFonts w:ascii="Arial" w:hAnsi="Arial" w:cs="Arial"/>
        </w:rPr>
        <w:t xml:space="preserve">The </w:t>
      </w:r>
      <w:r w:rsidR="00DD7EE4">
        <w:rPr>
          <w:rFonts w:ascii="Arial" w:hAnsi="Arial" w:cs="Arial"/>
        </w:rPr>
        <w:t>estimated annual Federal Government cost is $</w:t>
      </w:r>
      <w:r w:rsidR="001321DD">
        <w:rPr>
          <w:rFonts w:ascii="Arial" w:hAnsi="Arial" w:cs="Arial"/>
        </w:rPr>
        <w:t>13,500</w:t>
      </w:r>
      <w:r w:rsidR="00DD7EE4">
        <w:rPr>
          <w:rFonts w:ascii="Arial" w:hAnsi="Arial" w:cs="Arial"/>
        </w:rPr>
        <w:t xml:space="preserve"> (see Appendix B)</w:t>
      </w:r>
      <w:r w:rsidR="004F3C67">
        <w:rPr>
          <w:rFonts w:ascii="Arial" w:hAnsi="Arial" w:cs="Arial"/>
        </w:rPr>
        <w:t xml:space="preserve">.  </w:t>
      </w:r>
      <w:r w:rsidR="00222338">
        <w:rPr>
          <w:rFonts w:ascii="Arial" w:hAnsi="Arial" w:cs="Arial"/>
        </w:rPr>
        <w:t>The Coast Guard</w:t>
      </w:r>
      <w:r w:rsidRPr="007D478D" w:rsidR="00306FA5">
        <w:rPr>
          <w:rFonts w:ascii="Arial" w:hAnsi="Arial" w:cs="Arial"/>
        </w:rPr>
        <w:t xml:space="preserve"> estimate that it take</w:t>
      </w:r>
      <w:r w:rsidRPr="007D478D" w:rsidR="005E2DFC">
        <w:rPr>
          <w:rFonts w:ascii="Arial" w:hAnsi="Arial" w:cs="Arial"/>
        </w:rPr>
        <w:t>s a</w:t>
      </w:r>
      <w:r w:rsidRPr="007D478D" w:rsidR="00306FA5">
        <w:rPr>
          <w:rFonts w:ascii="Arial" w:hAnsi="Arial" w:cs="Arial"/>
        </w:rPr>
        <w:t xml:space="preserve"> GS-1</w:t>
      </w:r>
      <w:r w:rsidRPr="007D478D" w:rsidR="005E2DFC">
        <w:rPr>
          <w:rFonts w:ascii="Arial" w:hAnsi="Arial" w:cs="Arial"/>
        </w:rPr>
        <w:t>2 about 15 hours</w:t>
      </w:r>
      <w:r w:rsidRPr="007D478D" w:rsidR="00306FA5">
        <w:rPr>
          <w:rFonts w:ascii="Arial" w:hAnsi="Arial" w:cs="Arial"/>
        </w:rPr>
        <w:t xml:space="preserve"> to review and process each </w:t>
      </w:r>
      <w:r w:rsidRPr="007D478D" w:rsidR="005E2DFC">
        <w:rPr>
          <w:rFonts w:ascii="Arial" w:hAnsi="Arial" w:cs="Arial"/>
        </w:rPr>
        <w:t>Special Permit petition</w:t>
      </w:r>
      <w:r w:rsidRPr="007D478D" w:rsidR="00306FA5">
        <w:rPr>
          <w:rFonts w:ascii="Arial" w:hAnsi="Arial" w:cs="Arial"/>
        </w:rPr>
        <w:t xml:space="preserve">.  The wage rate shown is in accordance with the current edition of COMDTINST 7310.1(series) for “In-Government” personnel.  </w:t>
      </w:r>
    </w:p>
    <w:p w:rsidRPr="00306FA5" w:rsidR="00306FA5" w:rsidP="00F229D3" w:rsidRDefault="00306FA5" w14:paraId="056E6DCB" w14:textId="77777777">
      <w:pPr>
        <w:rPr>
          <w:rFonts w:ascii="Arial" w:hAnsi="Arial" w:cs="Arial"/>
          <w:highlight w:val="yellow"/>
        </w:rPr>
      </w:pPr>
    </w:p>
    <w:p w:rsidRPr="00F3108E" w:rsidR="00BC24B2" w:rsidRDefault="00BC24B2" w14:paraId="7876C7CE" w14:textId="77777777">
      <w:pPr>
        <w:rPr>
          <w:rFonts w:ascii="Arial" w:hAnsi="Arial" w:cs="Arial"/>
          <w:u w:val="single"/>
        </w:rPr>
      </w:pPr>
      <w:r w:rsidRPr="00F3108E">
        <w:rPr>
          <w:rFonts w:ascii="Arial" w:hAnsi="Arial" w:cs="Arial"/>
        </w:rPr>
        <w:t xml:space="preserve">15.  </w:t>
      </w:r>
      <w:r w:rsidRPr="00F3108E">
        <w:rPr>
          <w:rFonts w:ascii="Arial" w:hAnsi="Arial" w:cs="Arial"/>
          <w:u w:val="single"/>
        </w:rPr>
        <w:t>Reasons for the change in burden</w:t>
      </w:r>
      <w:r w:rsidRPr="00F3108E">
        <w:rPr>
          <w:rFonts w:ascii="Arial" w:hAnsi="Arial" w:cs="Arial"/>
        </w:rPr>
        <w:t>.</w:t>
      </w:r>
    </w:p>
    <w:p w:rsidRPr="00F3108E" w:rsidR="00BC24B2" w:rsidRDefault="00BC24B2" w14:paraId="7FDC197A" w14:textId="77777777">
      <w:pPr>
        <w:rPr>
          <w:rFonts w:ascii="Arial" w:hAnsi="Arial" w:cs="Arial"/>
        </w:rPr>
      </w:pPr>
    </w:p>
    <w:p w:rsidRPr="00F3108E" w:rsidR="00667FEA" w:rsidP="00F229D3" w:rsidRDefault="00BB2982" w14:paraId="39CA5009" w14:textId="38ED6598">
      <w:pPr>
        <w:pStyle w:val="BodyTextIndent2"/>
        <w:ind w:left="0" w:firstLine="0"/>
        <w:rPr>
          <w:rFonts w:ascii="Arial" w:hAnsi="Arial" w:cs="Arial"/>
          <w:sz w:val="20"/>
        </w:rPr>
      </w:pPr>
      <w:r w:rsidRPr="00F3108E">
        <w:rPr>
          <w:rFonts w:ascii="Arial" w:hAnsi="Arial" w:cs="Arial"/>
          <w:sz w:val="20"/>
        </w:rPr>
        <w:t xml:space="preserve">The change in burden is </w:t>
      </w:r>
      <w:r w:rsidR="00737D83">
        <w:rPr>
          <w:rFonts w:ascii="Arial" w:hAnsi="Arial" w:cs="Arial"/>
          <w:sz w:val="20"/>
        </w:rPr>
        <w:t xml:space="preserve">an </w:t>
      </w:r>
      <w:r w:rsidR="00DD7EE4">
        <w:rPr>
          <w:rFonts w:ascii="Arial" w:hAnsi="Arial" w:cs="Arial"/>
          <w:sz w:val="20"/>
        </w:rPr>
        <w:t>ADJUSTMENT</w:t>
      </w:r>
      <w:r w:rsidR="00737D83">
        <w:rPr>
          <w:rFonts w:ascii="Arial" w:hAnsi="Arial" w:cs="Arial"/>
          <w:sz w:val="20"/>
        </w:rPr>
        <w:t xml:space="preserve"> </w:t>
      </w:r>
      <w:r w:rsidRPr="00737D83" w:rsidR="00737D83">
        <w:rPr>
          <w:rFonts w:ascii="Arial" w:hAnsi="Arial" w:cs="Arial"/>
          <w:sz w:val="20"/>
        </w:rPr>
        <w:t>due to a</w:t>
      </w:r>
      <w:r w:rsidR="005E2DFC">
        <w:rPr>
          <w:rFonts w:ascii="Arial" w:hAnsi="Arial" w:cs="Arial"/>
          <w:sz w:val="20"/>
        </w:rPr>
        <w:t xml:space="preserve"> change (i.e., </w:t>
      </w:r>
      <w:r w:rsidR="001321DD">
        <w:rPr>
          <w:rFonts w:ascii="Arial" w:hAnsi="Arial" w:cs="Arial"/>
          <w:sz w:val="20"/>
        </w:rPr>
        <w:t>increase</w:t>
      </w:r>
      <w:r w:rsidR="005E2DFC">
        <w:rPr>
          <w:rFonts w:ascii="Arial" w:hAnsi="Arial" w:cs="Arial"/>
          <w:sz w:val="20"/>
        </w:rPr>
        <w:t>)</w:t>
      </w:r>
      <w:r w:rsidRPr="00737D83" w:rsidR="00737D83">
        <w:rPr>
          <w:rFonts w:ascii="Arial" w:hAnsi="Arial" w:cs="Arial"/>
          <w:sz w:val="20"/>
        </w:rPr>
        <w:t xml:space="preserve"> </w:t>
      </w:r>
      <w:r w:rsidR="007D478D">
        <w:rPr>
          <w:rFonts w:ascii="Arial" w:hAnsi="Arial" w:cs="Arial"/>
          <w:sz w:val="20"/>
        </w:rPr>
        <w:t>in the</w:t>
      </w:r>
      <w:r w:rsidRPr="00737D83" w:rsidR="00737D83">
        <w:rPr>
          <w:rFonts w:ascii="Arial" w:hAnsi="Arial" w:cs="Arial"/>
          <w:sz w:val="20"/>
        </w:rPr>
        <w:t xml:space="preserve"> estimated annual number of special permit</w:t>
      </w:r>
      <w:r w:rsidR="007D478D">
        <w:rPr>
          <w:rFonts w:ascii="Arial" w:hAnsi="Arial" w:cs="Arial"/>
          <w:sz w:val="20"/>
        </w:rPr>
        <w:t xml:space="preserve"> petitions</w:t>
      </w:r>
      <w:r w:rsidR="00DD7EE4">
        <w:rPr>
          <w:rFonts w:ascii="Arial" w:hAnsi="Arial" w:cs="Arial"/>
          <w:sz w:val="20"/>
        </w:rPr>
        <w:t xml:space="preserve">.  </w:t>
      </w:r>
      <w:r w:rsidR="00306FA5">
        <w:rPr>
          <w:rFonts w:ascii="Arial" w:hAnsi="Arial" w:cs="Arial"/>
          <w:sz w:val="20"/>
        </w:rPr>
        <w:t xml:space="preserve">The reporting and recordkeeping requirements, and the methodology for calculating burden, remain unchanged.  </w:t>
      </w:r>
    </w:p>
    <w:p w:rsidRPr="00F3108E" w:rsidR="00FA0753" w:rsidP="00F229D3" w:rsidRDefault="00FA0753" w14:paraId="216D46B5" w14:textId="77777777">
      <w:pPr>
        <w:pStyle w:val="BodyTextIndent2"/>
        <w:ind w:left="0" w:firstLine="0"/>
        <w:rPr>
          <w:rFonts w:ascii="Arial" w:hAnsi="Arial" w:cs="Arial"/>
          <w:sz w:val="20"/>
        </w:rPr>
      </w:pPr>
    </w:p>
    <w:p w:rsidRPr="00F3108E" w:rsidR="00BC24B2" w:rsidRDefault="00BC24B2" w14:paraId="783E54A2" w14:textId="77777777">
      <w:pPr>
        <w:rPr>
          <w:rFonts w:ascii="Arial" w:hAnsi="Arial" w:cs="Arial"/>
          <w:u w:val="single"/>
        </w:rPr>
      </w:pPr>
      <w:r w:rsidRPr="00F3108E">
        <w:rPr>
          <w:rFonts w:ascii="Arial" w:hAnsi="Arial" w:cs="Arial"/>
        </w:rPr>
        <w:t xml:space="preserve">16.  </w:t>
      </w:r>
      <w:r w:rsidRPr="00F3108E">
        <w:rPr>
          <w:rFonts w:ascii="Arial" w:hAnsi="Arial" w:cs="Arial"/>
          <w:u w:val="single"/>
        </w:rPr>
        <w:t>Plans for tabulation, statistical analysis, and publication</w:t>
      </w:r>
      <w:r w:rsidRPr="00F3108E">
        <w:rPr>
          <w:rFonts w:ascii="Arial" w:hAnsi="Arial" w:cs="Arial"/>
        </w:rPr>
        <w:t>.</w:t>
      </w:r>
      <w:r w:rsidRPr="00F3108E">
        <w:rPr>
          <w:rFonts w:ascii="Arial" w:hAnsi="Arial" w:cs="Arial"/>
          <w:u w:val="single"/>
        </w:rPr>
        <w:t xml:space="preserve"> </w:t>
      </w:r>
      <w:r w:rsidR="00306FA5">
        <w:rPr>
          <w:rFonts w:ascii="Arial" w:hAnsi="Arial" w:cs="Arial"/>
          <w:u w:val="single"/>
        </w:rPr>
        <w:t xml:space="preserve"> </w:t>
      </w:r>
    </w:p>
    <w:p w:rsidRPr="00F3108E" w:rsidR="00CF2243" w:rsidP="00CF2243" w:rsidRDefault="00CF2243" w14:paraId="0A41C49D" w14:textId="77777777">
      <w:pPr>
        <w:rPr>
          <w:rFonts w:ascii="Arial" w:hAnsi="Arial" w:cs="Arial"/>
        </w:rPr>
      </w:pPr>
    </w:p>
    <w:p w:rsidRPr="00F3108E" w:rsidR="00BC24B2" w:rsidP="00F229D3" w:rsidRDefault="00CF2243" w14:paraId="182074F5" w14:textId="77777777">
      <w:pPr>
        <w:rPr>
          <w:rFonts w:ascii="Arial" w:hAnsi="Arial" w:cs="Arial"/>
        </w:rPr>
      </w:pPr>
      <w:r w:rsidRPr="00F3108E">
        <w:rPr>
          <w:rFonts w:ascii="Arial" w:hAnsi="Arial" w:cs="Arial"/>
        </w:rPr>
        <w:t>This information collection will not be published for statistical purposes</w:t>
      </w:r>
      <w:r w:rsidRPr="00F3108E" w:rsidR="00BC24B2">
        <w:rPr>
          <w:rFonts w:ascii="Arial" w:hAnsi="Arial" w:cs="Arial"/>
        </w:rPr>
        <w:t>.</w:t>
      </w:r>
      <w:r w:rsidR="00306FA5">
        <w:rPr>
          <w:rFonts w:ascii="Arial" w:hAnsi="Arial" w:cs="Arial"/>
        </w:rPr>
        <w:t xml:space="preserve">  </w:t>
      </w:r>
    </w:p>
    <w:p w:rsidRPr="00F3108E" w:rsidR="00BC24B2" w:rsidP="00F229D3" w:rsidRDefault="00BC24B2" w14:paraId="30339E24" w14:textId="77777777">
      <w:pPr>
        <w:rPr>
          <w:rFonts w:ascii="Arial" w:hAnsi="Arial" w:cs="Arial"/>
        </w:rPr>
      </w:pPr>
    </w:p>
    <w:p w:rsidRPr="00F3108E" w:rsidR="00BC24B2" w:rsidRDefault="00BC24B2" w14:paraId="47469B54" w14:textId="77777777">
      <w:pPr>
        <w:rPr>
          <w:rFonts w:ascii="Arial" w:hAnsi="Arial" w:cs="Arial"/>
          <w:u w:val="single"/>
        </w:rPr>
      </w:pPr>
      <w:r w:rsidRPr="00F3108E">
        <w:rPr>
          <w:rFonts w:ascii="Arial" w:hAnsi="Arial" w:cs="Arial"/>
        </w:rPr>
        <w:t xml:space="preserve">17.  </w:t>
      </w:r>
      <w:r w:rsidRPr="00F3108E">
        <w:rPr>
          <w:rFonts w:ascii="Arial" w:hAnsi="Arial" w:cs="Arial"/>
          <w:u w:val="single"/>
        </w:rPr>
        <w:t>Approval for not explaining the expiration date for OMB approval</w:t>
      </w:r>
      <w:r w:rsidRPr="00F3108E">
        <w:rPr>
          <w:rFonts w:ascii="Arial" w:hAnsi="Arial" w:cs="Arial"/>
        </w:rPr>
        <w:t>.</w:t>
      </w:r>
      <w:r w:rsidRPr="00F3108E">
        <w:rPr>
          <w:rFonts w:ascii="Arial" w:hAnsi="Arial" w:cs="Arial"/>
          <w:u w:val="single"/>
        </w:rPr>
        <w:t xml:space="preserve"> </w:t>
      </w:r>
      <w:r w:rsidR="00306FA5">
        <w:rPr>
          <w:rFonts w:ascii="Arial" w:hAnsi="Arial" w:cs="Arial"/>
          <w:u w:val="single"/>
        </w:rPr>
        <w:t xml:space="preserve"> </w:t>
      </w:r>
    </w:p>
    <w:p w:rsidRPr="00F3108E" w:rsidR="00BC24B2" w:rsidRDefault="00BC24B2" w14:paraId="7AC1AD98" w14:textId="77777777">
      <w:pPr>
        <w:rPr>
          <w:rFonts w:ascii="Arial" w:hAnsi="Arial" w:cs="Arial"/>
        </w:rPr>
      </w:pPr>
    </w:p>
    <w:p w:rsidRPr="00F3108E" w:rsidR="00BC24B2" w:rsidP="00F229D3" w:rsidRDefault="00CF2243" w14:paraId="732D9661" w14:textId="77777777">
      <w:pPr>
        <w:rPr>
          <w:rFonts w:ascii="Arial" w:hAnsi="Arial" w:cs="Arial"/>
        </w:rPr>
      </w:pPr>
      <w:r w:rsidRPr="00F3108E">
        <w:rPr>
          <w:rFonts w:ascii="Arial" w:hAnsi="Arial" w:cs="Arial"/>
        </w:rPr>
        <w:lastRenderedPageBreak/>
        <w:t>The Coast Guard will display the expiration date for OMB approval of this information collection</w:t>
      </w:r>
      <w:r w:rsidRPr="00F3108E" w:rsidR="00FA0753">
        <w:rPr>
          <w:rFonts w:ascii="Arial" w:hAnsi="Arial" w:cs="Arial"/>
        </w:rPr>
        <w:t>.</w:t>
      </w:r>
      <w:r w:rsidR="00306FA5">
        <w:rPr>
          <w:rFonts w:ascii="Arial" w:hAnsi="Arial" w:cs="Arial"/>
        </w:rPr>
        <w:t xml:space="preserve">  </w:t>
      </w:r>
    </w:p>
    <w:p w:rsidRPr="00F3108E" w:rsidR="00BC24B2" w:rsidP="00F229D3" w:rsidRDefault="00BC24B2" w14:paraId="36EEF250" w14:textId="77777777">
      <w:pPr>
        <w:rPr>
          <w:rFonts w:ascii="Arial" w:hAnsi="Arial" w:cs="Arial"/>
        </w:rPr>
      </w:pPr>
    </w:p>
    <w:p w:rsidRPr="00F3108E" w:rsidR="00BC24B2" w:rsidRDefault="00BC24B2" w14:paraId="07D2B045" w14:textId="77777777">
      <w:pPr>
        <w:rPr>
          <w:rFonts w:ascii="Arial" w:hAnsi="Arial" w:cs="Arial"/>
          <w:u w:val="single"/>
        </w:rPr>
      </w:pPr>
      <w:r w:rsidRPr="00F3108E">
        <w:rPr>
          <w:rFonts w:ascii="Arial" w:hAnsi="Arial" w:cs="Arial"/>
        </w:rPr>
        <w:t xml:space="preserve">18.  </w:t>
      </w:r>
      <w:r w:rsidRPr="00F3108E">
        <w:rPr>
          <w:rFonts w:ascii="Arial" w:hAnsi="Arial" w:cs="Arial"/>
          <w:u w:val="single"/>
        </w:rPr>
        <w:t>Exception to the certification certificate</w:t>
      </w:r>
      <w:r w:rsidRPr="00F3108E">
        <w:rPr>
          <w:rFonts w:ascii="Arial" w:hAnsi="Arial" w:cs="Arial"/>
        </w:rPr>
        <w:t xml:space="preserve">. </w:t>
      </w:r>
      <w:r w:rsidR="00306FA5">
        <w:rPr>
          <w:rFonts w:ascii="Arial" w:hAnsi="Arial" w:cs="Arial"/>
        </w:rPr>
        <w:t xml:space="preserve"> </w:t>
      </w:r>
    </w:p>
    <w:p w:rsidRPr="00F3108E" w:rsidR="00BC24B2" w:rsidRDefault="00BC24B2" w14:paraId="38C10C4D" w14:textId="77777777">
      <w:pPr>
        <w:rPr>
          <w:rFonts w:ascii="Arial" w:hAnsi="Arial" w:cs="Arial"/>
        </w:rPr>
      </w:pPr>
    </w:p>
    <w:p w:rsidRPr="00F3108E" w:rsidR="00BC24B2" w:rsidP="00F229D3" w:rsidRDefault="00CF2243" w14:paraId="6101B984" w14:textId="77777777">
      <w:pPr>
        <w:rPr>
          <w:rFonts w:ascii="Arial" w:hAnsi="Arial" w:cs="Arial"/>
        </w:rPr>
      </w:pPr>
      <w:r w:rsidRPr="00F3108E">
        <w:rPr>
          <w:rFonts w:ascii="Arial" w:hAnsi="Arial" w:cs="Arial"/>
        </w:rPr>
        <w:t>The Coast Guard does not request an exception to the certification of this information collection</w:t>
      </w:r>
      <w:r w:rsidRPr="00F3108E" w:rsidR="00BC24B2">
        <w:rPr>
          <w:rFonts w:ascii="Arial" w:hAnsi="Arial" w:cs="Arial"/>
        </w:rPr>
        <w:t xml:space="preserve">. </w:t>
      </w:r>
      <w:r w:rsidR="00306FA5">
        <w:rPr>
          <w:rFonts w:ascii="Arial" w:hAnsi="Arial" w:cs="Arial"/>
        </w:rPr>
        <w:t xml:space="preserve"> </w:t>
      </w:r>
    </w:p>
    <w:p w:rsidR="00BC24B2" w:rsidRDefault="00BC24B2" w14:paraId="1A36EB1A" w14:textId="77777777">
      <w:pPr>
        <w:rPr>
          <w:rFonts w:ascii="Arial" w:hAnsi="Arial" w:cs="Arial"/>
        </w:rPr>
      </w:pPr>
    </w:p>
    <w:p w:rsidRPr="00306FA5" w:rsidR="00F229D3" w:rsidRDefault="00F229D3" w14:paraId="47E5F85F" w14:textId="77777777">
      <w:pPr>
        <w:rPr>
          <w:rFonts w:ascii="Arial" w:hAnsi="Arial" w:cs="Arial"/>
          <w:b/>
        </w:rPr>
      </w:pPr>
    </w:p>
    <w:p w:rsidRPr="00306FA5" w:rsidR="00BC24B2" w:rsidP="00306FA5" w:rsidRDefault="00BC24B2" w14:paraId="5C7629A1" w14:textId="77777777">
      <w:pPr>
        <w:rPr>
          <w:rFonts w:ascii="Arial" w:hAnsi="Arial" w:cs="Arial"/>
          <w:b/>
        </w:rPr>
      </w:pPr>
      <w:r w:rsidRPr="00306FA5">
        <w:rPr>
          <w:rFonts w:ascii="Arial" w:hAnsi="Arial" w:cs="Arial"/>
          <w:b/>
        </w:rPr>
        <w:t>B.  C</w:t>
      </w:r>
      <w:r w:rsidR="00306FA5">
        <w:rPr>
          <w:rFonts w:ascii="Arial" w:hAnsi="Arial" w:cs="Arial"/>
          <w:b/>
        </w:rPr>
        <w:t xml:space="preserve">ollection of Information Employing Statistical Methods  </w:t>
      </w:r>
    </w:p>
    <w:p w:rsidRPr="00F3108E" w:rsidR="00BC24B2" w:rsidRDefault="00BC24B2" w14:paraId="3C27EC84" w14:textId="77777777">
      <w:pPr>
        <w:rPr>
          <w:rFonts w:ascii="Arial" w:hAnsi="Arial" w:cs="Arial"/>
        </w:rPr>
      </w:pPr>
    </w:p>
    <w:p w:rsidR="00BC24B2" w:rsidP="00F229D3" w:rsidRDefault="00FA0753" w14:paraId="62A9546D" w14:textId="77777777">
      <w:pPr>
        <w:rPr>
          <w:rFonts w:ascii="Arial" w:hAnsi="Arial" w:cs="Arial"/>
        </w:rPr>
      </w:pPr>
      <w:r w:rsidRPr="00F3108E">
        <w:rPr>
          <w:rFonts w:ascii="Arial" w:hAnsi="Arial" w:cs="Arial"/>
        </w:rPr>
        <w:t>This information collection does not employ statistical methods</w:t>
      </w:r>
      <w:r w:rsidRPr="00F3108E" w:rsidR="00BC24B2">
        <w:rPr>
          <w:rFonts w:ascii="Arial" w:hAnsi="Arial" w:cs="Arial"/>
        </w:rPr>
        <w:t>.</w:t>
      </w:r>
      <w:r w:rsidR="00306FA5">
        <w:rPr>
          <w:rFonts w:ascii="Arial" w:hAnsi="Arial" w:cs="Arial"/>
        </w:rPr>
        <w:t xml:space="preserve">  </w:t>
      </w:r>
    </w:p>
    <w:p w:rsidRPr="00F3108E" w:rsidR="00306FA5" w:rsidP="00F229D3" w:rsidRDefault="00306FA5" w14:paraId="1518B696" w14:textId="77777777">
      <w:pPr>
        <w:rPr>
          <w:rFonts w:ascii="Arial" w:hAnsi="Arial" w:cs="Arial"/>
        </w:rPr>
      </w:pPr>
    </w:p>
    <w:sectPr w:rsidRPr="00F3108E" w:rsidR="00306FA5" w:rsidSect="00F3108E">
      <w:headerReference w:type="default" r:id="rId10"/>
      <w:footerReference w:type="default" r:id="rId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EC736A" w14:textId="77777777" w:rsidR="0064592D" w:rsidRDefault="0064592D">
      <w:r>
        <w:separator/>
      </w:r>
    </w:p>
  </w:endnote>
  <w:endnote w:type="continuationSeparator" w:id="0">
    <w:p w14:paraId="79F97CBB" w14:textId="77777777" w:rsidR="0064592D" w:rsidRDefault="00645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E042" w14:textId="68CFD0B4" w:rsidR="00222338" w:rsidRPr="00F3108E" w:rsidRDefault="00222338">
    <w:pPr>
      <w:pStyle w:val="Footer"/>
      <w:jc w:val="center"/>
      <w:rPr>
        <w:rFonts w:ascii="Arial" w:hAnsi="Arial" w:cs="Arial"/>
      </w:rPr>
    </w:pPr>
    <w:r w:rsidRPr="00F3108E">
      <w:rPr>
        <w:rStyle w:val="PageNumber"/>
        <w:rFonts w:ascii="Arial" w:hAnsi="Arial" w:cs="Arial"/>
      </w:rPr>
      <w:fldChar w:fldCharType="begin"/>
    </w:r>
    <w:r w:rsidRPr="00F3108E">
      <w:rPr>
        <w:rStyle w:val="PageNumber"/>
        <w:rFonts w:ascii="Arial" w:hAnsi="Arial" w:cs="Arial"/>
      </w:rPr>
      <w:instrText xml:space="preserve"> PAGE </w:instrText>
    </w:r>
    <w:r w:rsidRPr="00F3108E">
      <w:rPr>
        <w:rStyle w:val="PageNumber"/>
        <w:rFonts w:ascii="Arial" w:hAnsi="Arial" w:cs="Arial"/>
      </w:rPr>
      <w:fldChar w:fldCharType="separate"/>
    </w:r>
    <w:r w:rsidR="00926FC5">
      <w:rPr>
        <w:rStyle w:val="PageNumber"/>
        <w:rFonts w:ascii="Arial" w:hAnsi="Arial" w:cs="Arial"/>
        <w:noProof/>
      </w:rPr>
      <w:t>3</w:t>
    </w:r>
    <w:r w:rsidRPr="00F3108E">
      <w:rPr>
        <w:rStyle w:val="PageNumber"/>
        <w:rFonts w:ascii="Arial" w:hAnsi="Arial" w:cs="Arial"/>
      </w:rPr>
      <w:fldChar w:fldCharType="end"/>
    </w:r>
    <w:r w:rsidRPr="00F3108E">
      <w:rPr>
        <w:rStyle w:val="PageNumber"/>
        <w:rFonts w:ascii="Arial" w:hAnsi="Arial" w:cs="Arial"/>
      </w:rPr>
      <w:t xml:space="preserve"> of </w:t>
    </w:r>
    <w:r w:rsidRPr="00F3108E">
      <w:rPr>
        <w:rStyle w:val="PageNumber"/>
        <w:rFonts w:ascii="Arial" w:hAnsi="Arial" w:cs="Arial"/>
      </w:rPr>
      <w:fldChar w:fldCharType="begin"/>
    </w:r>
    <w:r w:rsidRPr="00F3108E">
      <w:rPr>
        <w:rStyle w:val="PageNumber"/>
        <w:rFonts w:ascii="Arial" w:hAnsi="Arial" w:cs="Arial"/>
      </w:rPr>
      <w:instrText xml:space="preserve"> NUMPAGES </w:instrText>
    </w:r>
    <w:r w:rsidRPr="00F3108E">
      <w:rPr>
        <w:rStyle w:val="PageNumber"/>
        <w:rFonts w:ascii="Arial" w:hAnsi="Arial" w:cs="Arial"/>
      </w:rPr>
      <w:fldChar w:fldCharType="separate"/>
    </w:r>
    <w:r w:rsidR="00926FC5">
      <w:rPr>
        <w:rStyle w:val="PageNumber"/>
        <w:rFonts w:ascii="Arial" w:hAnsi="Arial" w:cs="Arial"/>
        <w:noProof/>
      </w:rPr>
      <w:t>3</w:t>
    </w:r>
    <w:r w:rsidRPr="00F3108E">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D7B781" w14:textId="77777777" w:rsidR="0064592D" w:rsidRDefault="0064592D">
      <w:r>
        <w:separator/>
      </w:r>
    </w:p>
  </w:footnote>
  <w:footnote w:type="continuationSeparator" w:id="0">
    <w:p w14:paraId="6E015445" w14:textId="77777777" w:rsidR="0064592D" w:rsidRDefault="0064592D">
      <w:r>
        <w:continuationSeparator/>
      </w:r>
    </w:p>
  </w:footnote>
  <w:footnote w:id="1">
    <w:p w14:paraId="074CB502" w14:textId="77777777" w:rsidR="00222338" w:rsidRPr="005E2DFC" w:rsidRDefault="00222338">
      <w:pPr>
        <w:pStyle w:val="FootnoteText"/>
        <w:rPr>
          <w:rFonts w:ascii="Arial" w:hAnsi="Arial" w:cs="Arial"/>
          <w:sz w:val="18"/>
          <w:szCs w:val="18"/>
        </w:rPr>
      </w:pPr>
      <w:r w:rsidRPr="005E2DFC">
        <w:rPr>
          <w:rStyle w:val="FootnoteReference"/>
          <w:rFonts w:ascii="Arial" w:hAnsi="Arial" w:cs="Arial"/>
          <w:sz w:val="18"/>
          <w:szCs w:val="18"/>
        </w:rPr>
        <w:footnoteRef/>
      </w:r>
      <w:r w:rsidRPr="005E2DFC">
        <w:rPr>
          <w:rFonts w:ascii="Arial" w:hAnsi="Arial" w:cs="Arial"/>
          <w:sz w:val="18"/>
          <w:szCs w:val="18"/>
        </w:rPr>
        <w:t xml:space="preserve">  Dangerous Cargo Manifests are not required when the cargo otherwise regulated by 46 CFR 148 is carried on an unmanned barge.</w:t>
      </w:r>
    </w:p>
  </w:footnote>
  <w:footnote w:id="2">
    <w:p w14:paraId="24C8BC56" w14:textId="77777777" w:rsidR="00222338" w:rsidRPr="005E2DFC" w:rsidRDefault="00222338">
      <w:pPr>
        <w:pStyle w:val="FootnoteText"/>
        <w:rPr>
          <w:rFonts w:ascii="Arial" w:hAnsi="Arial" w:cs="Arial"/>
          <w:sz w:val="18"/>
          <w:szCs w:val="18"/>
        </w:rPr>
      </w:pPr>
      <w:r w:rsidRPr="005E2DFC">
        <w:rPr>
          <w:rStyle w:val="FootnoteReference"/>
          <w:rFonts w:ascii="Arial" w:hAnsi="Arial" w:cs="Arial"/>
          <w:sz w:val="18"/>
          <w:szCs w:val="18"/>
        </w:rPr>
        <w:footnoteRef/>
      </w:r>
      <w:r w:rsidRPr="005E2DFC">
        <w:rPr>
          <w:rFonts w:ascii="Arial" w:hAnsi="Arial" w:cs="Arial"/>
          <w:sz w:val="18"/>
          <w:szCs w:val="18"/>
        </w:rPr>
        <w:t xml:space="preserve">  All shippers of cargos regulated by 46 CFR 148 are required to develop Shipping Papers.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B5A3A" w14:textId="77777777" w:rsidR="00222338" w:rsidRPr="00F3108E" w:rsidRDefault="00222338">
    <w:pPr>
      <w:pStyle w:val="Header"/>
      <w:rPr>
        <w:rFonts w:ascii="Arial" w:hAnsi="Arial" w:cs="Arial"/>
      </w:rPr>
    </w:pPr>
    <w:r w:rsidRPr="00F3108E">
      <w:rPr>
        <w:rFonts w:ascii="Arial" w:hAnsi="Arial" w:cs="Arial"/>
      </w:rPr>
      <w:t>1625-0025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5CD9"/>
    <w:multiLevelType w:val="hybridMultilevel"/>
    <w:tmpl w:val="3F087B86"/>
    <w:lvl w:ilvl="0" w:tplc="D2B4DE42">
      <w:numFmt w:val="bullet"/>
      <w:lvlText w:val="•"/>
      <w:lvlJc w:val="left"/>
      <w:pPr>
        <w:ind w:left="975" w:hanging="61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F70C39"/>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18232F5E"/>
    <w:multiLevelType w:val="hybridMultilevel"/>
    <w:tmpl w:val="4D3EBB0A"/>
    <w:lvl w:ilvl="0" w:tplc="98686BF0">
      <w:start w:val="1"/>
      <w:numFmt w:val="bullet"/>
      <w:lvlText w:val=""/>
      <w:lvlJc w:val="left"/>
      <w:pPr>
        <w:tabs>
          <w:tab w:val="num" w:pos="1728"/>
        </w:tabs>
        <w:ind w:left="1728" w:hanging="504"/>
      </w:pPr>
      <w:rPr>
        <w:rFonts w:ascii="Symbol" w:hAnsi="Symbol" w:hint="default"/>
      </w:rPr>
    </w:lvl>
    <w:lvl w:ilvl="1" w:tplc="04090003" w:tentative="1">
      <w:start w:val="1"/>
      <w:numFmt w:val="bullet"/>
      <w:lvlText w:val="o"/>
      <w:lvlJc w:val="left"/>
      <w:pPr>
        <w:tabs>
          <w:tab w:val="num" w:pos="2358"/>
        </w:tabs>
        <w:ind w:left="2358" w:hanging="360"/>
      </w:pPr>
      <w:rPr>
        <w:rFonts w:ascii="Courier New" w:hAnsi="Courier New"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3" w15:restartNumberingAfterBreak="0">
    <w:nsid w:val="1DE874A8"/>
    <w:multiLevelType w:val="singleLevel"/>
    <w:tmpl w:val="4EFEC686"/>
    <w:lvl w:ilvl="0">
      <w:start w:val="1"/>
      <w:numFmt w:val="lowerLetter"/>
      <w:lvlText w:val="(%1)"/>
      <w:lvlJc w:val="left"/>
      <w:pPr>
        <w:tabs>
          <w:tab w:val="num" w:pos="1800"/>
        </w:tabs>
        <w:ind w:left="1800" w:hanging="360"/>
      </w:pPr>
      <w:rPr>
        <w:rFonts w:hint="default"/>
      </w:rPr>
    </w:lvl>
  </w:abstractNum>
  <w:abstractNum w:abstractNumId="4" w15:restartNumberingAfterBreak="0">
    <w:nsid w:val="20DD7FD8"/>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5" w15:restartNumberingAfterBreak="0">
    <w:nsid w:val="33185B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675D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6A26C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F442264"/>
    <w:multiLevelType w:val="hybridMultilevel"/>
    <w:tmpl w:val="0776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C00ABC"/>
    <w:multiLevelType w:val="hybridMultilevel"/>
    <w:tmpl w:val="F476DC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EE2945"/>
    <w:multiLevelType w:val="singleLevel"/>
    <w:tmpl w:val="D65E8FAC"/>
    <w:lvl w:ilvl="0">
      <w:start w:val="1"/>
      <w:numFmt w:val="decimal"/>
      <w:lvlText w:val="%1."/>
      <w:lvlJc w:val="left"/>
      <w:pPr>
        <w:tabs>
          <w:tab w:val="num" w:pos="2520"/>
        </w:tabs>
        <w:ind w:left="2520" w:hanging="360"/>
      </w:pPr>
      <w:rPr>
        <w:rFonts w:hint="default"/>
      </w:rPr>
    </w:lvl>
  </w:abstractNum>
  <w:abstractNum w:abstractNumId="11" w15:restartNumberingAfterBreak="0">
    <w:nsid w:val="61387F9F"/>
    <w:multiLevelType w:val="hybridMultilevel"/>
    <w:tmpl w:val="49301A92"/>
    <w:lvl w:ilvl="0" w:tplc="00564B94">
      <w:start w:val="1"/>
      <w:numFmt w:val="bullet"/>
      <w:lvlText w:val=""/>
      <w:lvlJc w:val="left"/>
      <w:pPr>
        <w:tabs>
          <w:tab w:val="num" w:pos="1728"/>
        </w:tabs>
        <w:ind w:left="1728" w:hanging="504"/>
      </w:pPr>
      <w:rPr>
        <w:rFonts w:ascii="Symbol" w:hAnsi="Symbol" w:hint="default"/>
      </w:rPr>
    </w:lvl>
    <w:lvl w:ilvl="1" w:tplc="98686BF0">
      <w:start w:val="1"/>
      <w:numFmt w:val="bullet"/>
      <w:lvlText w:val=""/>
      <w:lvlJc w:val="left"/>
      <w:pPr>
        <w:tabs>
          <w:tab w:val="num" w:pos="2502"/>
        </w:tabs>
        <w:ind w:left="2502" w:hanging="504"/>
      </w:pPr>
      <w:rPr>
        <w:rFonts w:ascii="Symbol" w:hAnsi="Symbol" w:hint="default"/>
      </w:rPr>
    </w:lvl>
    <w:lvl w:ilvl="2" w:tplc="04090005" w:tentative="1">
      <w:start w:val="1"/>
      <w:numFmt w:val="bullet"/>
      <w:lvlText w:val=""/>
      <w:lvlJc w:val="left"/>
      <w:pPr>
        <w:tabs>
          <w:tab w:val="num" w:pos="3078"/>
        </w:tabs>
        <w:ind w:left="3078" w:hanging="360"/>
      </w:pPr>
      <w:rPr>
        <w:rFonts w:ascii="Wingdings" w:hAnsi="Wingdings" w:hint="default"/>
      </w:rPr>
    </w:lvl>
    <w:lvl w:ilvl="3" w:tplc="04090001" w:tentative="1">
      <w:start w:val="1"/>
      <w:numFmt w:val="bullet"/>
      <w:lvlText w:val=""/>
      <w:lvlJc w:val="left"/>
      <w:pPr>
        <w:tabs>
          <w:tab w:val="num" w:pos="3798"/>
        </w:tabs>
        <w:ind w:left="3798" w:hanging="360"/>
      </w:pPr>
      <w:rPr>
        <w:rFonts w:ascii="Symbol" w:hAnsi="Symbol" w:hint="default"/>
      </w:rPr>
    </w:lvl>
    <w:lvl w:ilvl="4" w:tplc="04090003" w:tentative="1">
      <w:start w:val="1"/>
      <w:numFmt w:val="bullet"/>
      <w:lvlText w:val="o"/>
      <w:lvlJc w:val="left"/>
      <w:pPr>
        <w:tabs>
          <w:tab w:val="num" w:pos="4518"/>
        </w:tabs>
        <w:ind w:left="4518" w:hanging="360"/>
      </w:pPr>
      <w:rPr>
        <w:rFonts w:ascii="Courier New" w:hAnsi="Courier New" w:hint="default"/>
      </w:rPr>
    </w:lvl>
    <w:lvl w:ilvl="5" w:tplc="04090005" w:tentative="1">
      <w:start w:val="1"/>
      <w:numFmt w:val="bullet"/>
      <w:lvlText w:val=""/>
      <w:lvlJc w:val="left"/>
      <w:pPr>
        <w:tabs>
          <w:tab w:val="num" w:pos="5238"/>
        </w:tabs>
        <w:ind w:left="5238" w:hanging="360"/>
      </w:pPr>
      <w:rPr>
        <w:rFonts w:ascii="Wingdings" w:hAnsi="Wingdings" w:hint="default"/>
      </w:rPr>
    </w:lvl>
    <w:lvl w:ilvl="6" w:tplc="04090001" w:tentative="1">
      <w:start w:val="1"/>
      <w:numFmt w:val="bullet"/>
      <w:lvlText w:val=""/>
      <w:lvlJc w:val="left"/>
      <w:pPr>
        <w:tabs>
          <w:tab w:val="num" w:pos="5958"/>
        </w:tabs>
        <w:ind w:left="5958" w:hanging="360"/>
      </w:pPr>
      <w:rPr>
        <w:rFonts w:ascii="Symbol" w:hAnsi="Symbol" w:hint="default"/>
      </w:rPr>
    </w:lvl>
    <w:lvl w:ilvl="7" w:tplc="04090003" w:tentative="1">
      <w:start w:val="1"/>
      <w:numFmt w:val="bullet"/>
      <w:lvlText w:val="o"/>
      <w:lvlJc w:val="left"/>
      <w:pPr>
        <w:tabs>
          <w:tab w:val="num" w:pos="6678"/>
        </w:tabs>
        <w:ind w:left="6678" w:hanging="360"/>
      </w:pPr>
      <w:rPr>
        <w:rFonts w:ascii="Courier New" w:hAnsi="Courier New" w:hint="default"/>
      </w:rPr>
    </w:lvl>
    <w:lvl w:ilvl="8" w:tplc="04090005" w:tentative="1">
      <w:start w:val="1"/>
      <w:numFmt w:val="bullet"/>
      <w:lvlText w:val=""/>
      <w:lvlJc w:val="left"/>
      <w:pPr>
        <w:tabs>
          <w:tab w:val="num" w:pos="7398"/>
        </w:tabs>
        <w:ind w:left="7398" w:hanging="360"/>
      </w:pPr>
      <w:rPr>
        <w:rFonts w:ascii="Wingdings" w:hAnsi="Wingdings" w:hint="default"/>
      </w:rPr>
    </w:lvl>
  </w:abstractNum>
  <w:abstractNum w:abstractNumId="12" w15:restartNumberingAfterBreak="0">
    <w:nsid w:val="639758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5DB4BA7"/>
    <w:multiLevelType w:val="singleLevel"/>
    <w:tmpl w:val="6AD840F4"/>
    <w:lvl w:ilvl="0">
      <w:start w:val="1"/>
      <w:numFmt w:val="upperLetter"/>
      <w:pStyle w:val="Heading6"/>
      <w:lvlText w:val="%1."/>
      <w:lvlJc w:val="left"/>
      <w:pPr>
        <w:tabs>
          <w:tab w:val="num" w:pos="360"/>
        </w:tabs>
        <w:ind w:left="360" w:hanging="360"/>
      </w:pPr>
      <w:rPr>
        <w:rFonts w:hint="default"/>
      </w:rPr>
    </w:lvl>
  </w:abstractNum>
  <w:abstractNum w:abstractNumId="14" w15:restartNumberingAfterBreak="0">
    <w:nsid w:val="70716D3C"/>
    <w:multiLevelType w:val="hybridMultilevel"/>
    <w:tmpl w:val="7A4C1D00"/>
    <w:lvl w:ilvl="0" w:tplc="84A88B1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414B56"/>
    <w:multiLevelType w:val="singleLevel"/>
    <w:tmpl w:val="F002FEB6"/>
    <w:lvl w:ilvl="0">
      <w:start w:val="1"/>
      <w:numFmt w:val="lowerLetter"/>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3"/>
  </w:num>
  <w:num w:numId="5">
    <w:abstractNumId w:val="10"/>
  </w:num>
  <w:num w:numId="6">
    <w:abstractNumId w:val="15"/>
  </w:num>
  <w:num w:numId="7">
    <w:abstractNumId w:val="6"/>
  </w:num>
  <w:num w:numId="8">
    <w:abstractNumId w:val="7"/>
  </w:num>
  <w:num w:numId="9">
    <w:abstractNumId w:val="5"/>
  </w:num>
  <w:num w:numId="10">
    <w:abstractNumId w:val="12"/>
  </w:num>
  <w:num w:numId="11">
    <w:abstractNumId w:val="9"/>
  </w:num>
  <w:num w:numId="12">
    <w:abstractNumId w:val="11"/>
  </w:num>
  <w:num w:numId="13">
    <w:abstractNumId w:val="2"/>
  </w:num>
  <w:num w:numId="14">
    <w:abstractNumId w:val="0"/>
  </w:num>
  <w:num w:numId="15">
    <w:abstractNumId w:val="8"/>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39E"/>
    <w:rsid w:val="0000206B"/>
    <w:rsid w:val="00026D89"/>
    <w:rsid w:val="000365DB"/>
    <w:rsid w:val="000A067F"/>
    <w:rsid w:val="000A1FA5"/>
    <w:rsid w:val="000B32F4"/>
    <w:rsid w:val="000F0AB7"/>
    <w:rsid w:val="001176F7"/>
    <w:rsid w:val="001321DD"/>
    <w:rsid w:val="00185656"/>
    <w:rsid w:val="001903F0"/>
    <w:rsid w:val="0019597D"/>
    <w:rsid w:val="001C2CDB"/>
    <w:rsid w:val="001F1DC8"/>
    <w:rsid w:val="00200AC5"/>
    <w:rsid w:val="00216639"/>
    <w:rsid w:val="00222338"/>
    <w:rsid w:val="002506C1"/>
    <w:rsid w:val="0027014D"/>
    <w:rsid w:val="00284217"/>
    <w:rsid w:val="002847B9"/>
    <w:rsid w:val="0029011F"/>
    <w:rsid w:val="002A5CAA"/>
    <w:rsid w:val="002C527C"/>
    <w:rsid w:val="002D1550"/>
    <w:rsid w:val="002D368E"/>
    <w:rsid w:val="002E7ABC"/>
    <w:rsid w:val="002F2004"/>
    <w:rsid w:val="00306FA5"/>
    <w:rsid w:val="003203E7"/>
    <w:rsid w:val="00354040"/>
    <w:rsid w:val="00360F62"/>
    <w:rsid w:val="00376B8A"/>
    <w:rsid w:val="00377B5B"/>
    <w:rsid w:val="003A0097"/>
    <w:rsid w:val="003A5737"/>
    <w:rsid w:val="003C139E"/>
    <w:rsid w:val="003D0D3A"/>
    <w:rsid w:val="003D323D"/>
    <w:rsid w:val="003F7557"/>
    <w:rsid w:val="00485C33"/>
    <w:rsid w:val="00497FAC"/>
    <w:rsid w:val="004B0D25"/>
    <w:rsid w:val="004B67FC"/>
    <w:rsid w:val="004C192E"/>
    <w:rsid w:val="004C263A"/>
    <w:rsid w:val="004C4D31"/>
    <w:rsid w:val="004C6C49"/>
    <w:rsid w:val="004D5B36"/>
    <w:rsid w:val="004F2878"/>
    <w:rsid w:val="004F3C67"/>
    <w:rsid w:val="004F40A2"/>
    <w:rsid w:val="00504450"/>
    <w:rsid w:val="00540A4B"/>
    <w:rsid w:val="00546102"/>
    <w:rsid w:val="00553CD8"/>
    <w:rsid w:val="0056331E"/>
    <w:rsid w:val="005649A7"/>
    <w:rsid w:val="00574FBD"/>
    <w:rsid w:val="005A6612"/>
    <w:rsid w:val="005B018D"/>
    <w:rsid w:val="005C1F26"/>
    <w:rsid w:val="005D056F"/>
    <w:rsid w:val="005D0D86"/>
    <w:rsid w:val="005E2DFC"/>
    <w:rsid w:val="0060441A"/>
    <w:rsid w:val="00606C8C"/>
    <w:rsid w:val="0061579B"/>
    <w:rsid w:val="006158B7"/>
    <w:rsid w:val="00635F03"/>
    <w:rsid w:val="0064592D"/>
    <w:rsid w:val="00645ED7"/>
    <w:rsid w:val="00657484"/>
    <w:rsid w:val="00667FEA"/>
    <w:rsid w:val="0069325C"/>
    <w:rsid w:val="00693AFA"/>
    <w:rsid w:val="006C74A9"/>
    <w:rsid w:val="00711484"/>
    <w:rsid w:val="00713304"/>
    <w:rsid w:val="00720544"/>
    <w:rsid w:val="007247F7"/>
    <w:rsid w:val="00734FF0"/>
    <w:rsid w:val="00737D83"/>
    <w:rsid w:val="0075148B"/>
    <w:rsid w:val="00751693"/>
    <w:rsid w:val="00791106"/>
    <w:rsid w:val="007A28F8"/>
    <w:rsid w:val="007D478D"/>
    <w:rsid w:val="00817F9B"/>
    <w:rsid w:val="0083258B"/>
    <w:rsid w:val="00846B57"/>
    <w:rsid w:val="0085730B"/>
    <w:rsid w:val="008B3358"/>
    <w:rsid w:val="0091613C"/>
    <w:rsid w:val="00926FC5"/>
    <w:rsid w:val="00930EC3"/>
    <w:rsid w:val="009329E4"/>
    <w:rsid w:val="00970068"/>
    <w:rsid w:val="00980610"/>
    <w:rsid w:val="009C459E"/>
    <w:rsid w:val="009C7D10"/>
    <w:rsid w:val="009F233E"/>
    <w:rsid w:val="009F5D40"/>
    <w:rsid w:val="00A12429"/>
    <w:rsid w:val="00A93DA6"/>
    <w:rsid w:val="00AE2BD2"/>
    <w:rsid w:val="00AF2D31"/>
    <w:rsid w:val="00B163E1"/>
    <w:rsid w:val="00B308F5"/>
    <w:rsid w:val="00B36855"/>
    <w:rsid w:val="00BB2982"/>
    <w:rsid w:val="00BC24B2"/>
    <w:rsid w:val="00BE5EDF"/>
    <w:rsid w:val="00BF4C4E"/>
    <w:rsid w:val="00C22249"/>
    <w:rsid w:val="00C26E2A"/>
    <w:rsid w:val="00C36D08"/>
    <w:rsid w:val="00C447E2"/>
    <w:rsid w:val="00C51FBD"/>
    <w:rsid w:val="00C62582"/>
    <w:rsid w:val="00C72438"/>
    <w:rsid w:val="00C801BD"/>
    <w:rsid w:val="00CA36CF"/>
    <w:rsid w:val="00CB065A"/>
    <w:rsid w:val="00CC2F00"/>
    <w:rsid w:val="00CD0050"/>
    <w:rsid w:val="00CE0A4D"/>
    <w:rsid w:val="00CF2243"/>
    <w:rsid w:val="00CF259B"/>
    <w:rsid w:val="00D20529"/>
    <w:rsid w:val="00D34247"/>
    <w:rsid w:val="00D80476"/>
    <w:rsid w:val="00DA4452"/>
    <w:rsid w:val="00DC02A7"/>
    <w:rsid w:val="00DD2E20"/>
    <w:rsid w:val="00DD753E"/>
    <w:rsid w:val="00DD7EE4"/>
    <w:rsid w:val="00DE1B72"/>
    <w:rsid w:val="00DE5BBF"/>
    <w:rsid w:val="00E02DAB"/>
    <w:rsid w:val="00E115A8"/>
    <w:rsid w:val="00E24FA7"/>
    <w:rsid w:val="00E329FC"/>
    <w:rsid w:val="00E42757"/>
    <w:rsid w:val="00E52A4D"/>
    <w:rsid w:val="00E52F80"/>
    <w:rsid w:val="00E92376"/>
    <w:rsid w:val="00E96C9E"/>
    <w:rsid w:val="00EA30F6"/>
    <w:rsid w:val="00EB051E"/>
    <w:rsid w:val="00EB4EF6"/>
    <w:rsid w:val="00EF5973"/>
    <w:rsid w:val="00F016CA"/>
    <w:rsid w:val="00F229D3"/>
    <w:rsid w:val="00F27263"/>
    <w:rsid w:val="00F3108E"/>
    <w:rsid w:val="00F46690"/>
    <w:rsid w:val="00F523D0"/>
    <w:rsid w:val="00F53840"/>
    <w:rsid w:val="00F81B17"/>
    <w:rsid w:val="00F90F1C"/>
    <w:rsid w:val="00FA0753"/>
    <w:rsid w:val="00FA635B"/>
    <w:rsid w:val="00FB3D85"/>
    <w:rsid w:val="00FE0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2DCF94"/>
  <w15:chartTrackingRefBased/>
  <w15:docId w15:val="{9E81E7C1-239B-4C14-B194-03DB12CE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102"/>
  </w:style>
  <w:style w:type="paragraph" w:styleId="Heading1">
    <w:name w:val="heading 1"/>
    <w:basedOn w:val="Normal"/>
    <w:next w:val="Normal"/>
    <w:qFormat/>
    <w:rsid w:val="00546102"/>
    <w:pPr>
      <w:keepNext/>
      <w:ind w:left="720"/>
      <w:outlineLvl w:val="0"/>
    </w:pPr>
    <w:rPr>
      <w:u w:val="single"/>
    </w:rPr>
  </w:style>
  <w:style w:type="paragraph" w:styleId="Heading2">
    <w:name w:val="heading 2"/>
    <w:basedOn w:val="Normal"/>
    <w:next w:val="Normal"/>
    <w:qFormat/>
    <w:rsid w:val="00546102"/>
    <w:pPr>
      <w:keepNext/>
      <w:tabs>
        <w:tab w:val="left" w:pos="1080"/>
        <w:tab w:val="right" w:pos="7560"/>
      </w:tabs>
      <w:ind w:left="720"/>
      <w:outlineLvl w:val="1"/>
    </w:pPr>
    <w:rPr>
      <w:sz w:val="24"/>
    </w:rPr>
  </w:style>
  <w:style w:type="paragraph" w:styleId="Heading3">
    <w:name w:val="heading 3"/>
    <w:basedOn w:val="Normal"/>
    <w:next w:val="Normal"/>
    <w:qFormat/>
    <w:rsid w:val="00546102"/>
    <w:pPr>
      <w:keepNext/>
      <w:ind w:left="720"/>
      <w:outlineLvl w:val="2"/>
    </w:pPr>
    <w:rPr>
      <w:b/>
      <w:sz w:val="24"/>
    </w:rPr>
  </w:style>
  <w:style w:type="paragraph" w:styleId="Heading4">
    <w:name w:val="heading 4"/>
    <w:basedOn w:val="Normal"/>
    <w:next w:val="Normal"/>
    <w:qFormat/>
    <w:rsid w:val="00546102"/>
    <w:pPr>
      <w:keepNext/>
      <w:tabs>
        <w:tab w:val="left" w:pos="1152"/>
      </w:tabs>
      <w:outlineLvl w:val="3"/>
    </w:pPr>
    <w:rPr>
      <w:b/>
      <w:sz w:val="24"/>
    </w:rPr>
  </w:style>
  <w:style w:type="paragraph" w:styleId="Heading5">
    <w:name w:val="heading 5"/>
    <w:basedOn w:val="Normal"/>
    <w:next w:val="Normal"/>
    <w:qFormat/>
    <w:rsid w:val="00546102"/>
    <w:pPr>
      <w:keepNext/>
      <w:jc w:val="center"/>
      <w:outlineLvl w:val="4"/>
    </w:pPr>
    <w:rPr>
      <w:b/>
      <w:sz w:val="24"/>
    </w:rPr>
  </w:style>
  <w:style w:type="paragraph" w:styleId="Heading6">
    <w:name w:val="heading 6"/>
    <w:basedOn w:val="Normal"/>
    <w:next w:val="Normal"/>
    <w:qFormat/>
    <w:rsid w:val="00546102"/>
    <w:pPr>
      <w:keepNext/>
      <w:numPr>
        <w:numId w:val="1"/>
      </w:numPr>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6102"/>
    <w:pPr>
      <w:tabs>
        <w:tab w:val="center" w:pos="4320"/>
        <w:tab w:val="right" w:pos="8640"/>
      </w:tabs>
    </w:pPr>
  </w:style>
  <w:style w:type="paragraph" w:styleId="Footer">
    <w:name w:val="footer"/>
    <w:basedOn w:val="Normal"/>
    <w:rsid w:val="00546102"/>
    <w:pPr>
      <w:tabs>
        <w:tab w:val="center" w:pos="4320"/>
        <w:tab w:val="right" w:pos="8640"/>
      </w:tabs>
    </w:pPr>
  </w:style>
  <w:style w:type="character" w:styleId="PageNumber">
    <w:name w:val="page number"/>
    <w:basedOn w:val="DefaultParagraphFont"/>
    <w:rsid w:val="00546102"/>
  </w:style>
  <w:style w:type="paragraph" w:styleId="BodyTextIndent">
    <w:name w:val="Body Text Indent"/>
    <w:basedOn w:val="Normal"/>
    <w:rsid w:val="00546102"/>
    <w:pPr>
      <w:ind w:left="720"/>
    </w:pPr>
  </w:style>
  <w:style w:type="paragraph" w:styleId="BodyTextIndent2">
    <w:name w:val="Body Text Indent 2"/>
    <w:basedOn w:val="Normal"/>
    <w:rsid w:val="00546102"/>
    <w:pPr>
      <w:ind w:left="360" w:firstLine="360"/>
    </w:pPr>
    <w:rPr>
      <w:sz w:val="24"/>
    </w:rPr>
  </w:style>
  <w:style w:type="paragraph" w:styleId="BodyTextIndent3">
    <w:name w:val="Body Text Indent 3"/>
    <w:basedOn w:val="Normal"/>
    <w:rsid w:val="00546102"/>
    <w:pPr>
      <w:ind w:left="720"/>
    </w:pPr>
    <w:rPr>
      <w:sz w:val="24"/>
    </w:rPr>
  </w:style>
  <w:style w:type="paragraph" w:styleId="FootnoteText">
    <w:name w:val="footnote text"/>
    <w:basedOn w:val="Normal"/>
    <w:semiHidden/>
    <w:rsid w:val="00546102"/>
  </w:style>
  <w:style w:type="character" w:styleId="FootnoteReference">
    <w:name w:val="footnote reference"/>
    <w:semiHidden/>
    <w:rsid w:val="00546102"/>
    <w:rPr>
      <w:vertAlign w:val="superscript"/>
    </w:rPr>
  </w:style>
  <w:style w:type="paragraph" w:styleId="Title">
    <w:name w:val="Title"/>
    <w:basedOn w:val="Normal"/>
    <w:qFormat/>
    <w:rsid w:val="00546102"/>
    <w:pPr>
      <w:jc w:val="center"/>
    </w:pPr>
    <w:rPr>
      <w:b/>
      <w:sz w:val="24"/>
    </w:rPr>
  </w:style>
  <w:style w:type="paragraph" w:customStyle="1" w:styleId="TxBrp5">
    <w:name w:val="TxBr_p5"/>
    <w:basedOn w:val="Normal"/>
    <w:rsid w:val="003C139E"/>
    <w:pPr>
      <w:widowControl w:val="0"/>
      <w:tabs>
        <w:tab w:val="left" w:pos="663"/>
        <w:tab w:val="left" w:pos="1286"/>
      </w:tabs>
      <w:spacing w:line="238" w:lineRule="atLeast"/>
      <w:ind w:left="828"/>
    </w:pPr>
    <w:rPr>
      <w:sz w:val="24"/>
    </w:rPr>
  </w:style>
  <w:style w:type="paragraph" w:customStyle="1" w:styleId="TxBrp6">
    <w:name w:val="TxBr_p6"/>
    <w:basedOn w:val="Normal"/>
    <w:rsid w:val="003C139E"/>
    <w:pPr>
      <w:widowControl w:val="0"/>
      <w:spacing w:line="238" w:lineRule="atLeast"/>
      <w:ind w:left="828"/>
    </w:pPr>
    <w:rPr>
      <w:sz w:val="24"/>
    </w:rPr>
  </w:style>
  <w:style w:type="paragraph" w:styleId="BalloonText">
    <w:name w:val="Balloon Text"/>
    <w:basedOn w:val="Normal"/>
    <w:semiHidden/>
    <w:rsid w:val="004B67FC"/>
    <w:rPr>
      <w:rFonts w:ascii="Tahoma" w:hAnsi="Tahoma" w:cs="Tahoma"/>
      <w:sz w:val="16"/>
      <w:szCs w:val="16"/>
    </w:rPr>
  </w:style>
  <w:style w:type="character" w:styleId="CommentReference">
    <w:name w:val="annotation reference"/>
    <w:rsid w:val="00CB065A"/>
    <w:rPr>
      <w:sz w:val="16"/>
      <w:szCs w:val="16"/>
    </w:rPr>
  </w:style>
  <w:style w:type="paragraph" w:styleId="CommentText">
    <w:name w:val="annotation text"/>
    <w:basedOn w:val="Normal"/>
    <w:link w:val="CommentTextChar"/>
    <w:rsid w:val="00CB065A"/>
  </w:style>
  <w:style w:type="character" w:customStyle="1" w:styleId="CommentTextChar">
    <w:name w:val="Comment Text Char"/>
    <w:basedOn w:val="DefaultParagraphFont"/>
    <w:link w:val="CommentText"/>
    <w:rsid w:val="00CB065A"/>
  </w:style>
  <w:style w:type="paragraph" w:styleId="CommentSubject">
    <w:name w:val="annotation subject"/>
    <w:basedOn w:val="CommentText"/>
    <w:next w:val="CommentText"/>
    <w:link w:val="CommentSubjectChar"/>
    <w:rsid w:val="00CB065A"/>
    <w:rPr>
      <w:b/>
      <w:bCs/>
      <w:lang w:val="x-none" w:eastAsia="x-none"/>
    </w:rPr>
  </w:style>
  <w:style w:type="character" w:customStyle="1" w:styleId="CommentSubjectChar">
    <w:name w:val="Comment Subject Char"/>
    <w:link w:val="CommentSubject"/>
    <w:rsid w:val="00CB065A"/>
    <w:rPr>
      <w:b/>
      <w:bCs/>
    </w:rPr>
  </w:style>
  <w:style w:type="paragraph" w:styleId="Revision">
    <w:name w:val="Revision"/>
    <w:hidden/>
    <w:uiPriority w:val="99"/>
    <w:semiHidden/>
    <w:rsid w:val="00CB065A"/>
  </w:style>
  <w:style w:type="paragraph" w:customStyle="1" w:styleId="p2">
    <w:name w:val="p2"/>
    <w:basedOn w:val="Normal"/>
    <w:rsid w:val="00CB065A"/>
    <w:pPr>
      <w:widowControl w:val="0"/>
      <w:tabs>
        <w:tab w:val="left" w:pos="620"/>
      </w:tabs>
      <w:spacing w:line="240" w:lineRule="atLeast"/>
    </w:pPr>
    <w:rPr>
      <w:rFonts w:ascii="Times" w:hAnsi="Times"/>
      <w:sz w:val="24"/>
    </w:rPr>
  </w:style>
  <w:style w:type="paragraph" w:customStyle="1" w:styleId="p10">
    <w:name w:val="p10"/>
    <w:basedOn w:val="Normal"/>
    <w:rsid w:val="00930EC3"/>
    <w:pPr>
      <w:widowControl w:val="0"/>
      <w:tabs>
        <w:tab w:val="left" w:pos="760"/>
      </w:tabs>
      <w:spacing w:line="240" w:lineRule="atLeast"/>
    </w:pPr>
    <w:rPr>
      <w:rFonts w:ascii="Times" w:hAnsi="Times"/>
      <w:sz w:val="24"/>
    </w:rPr>
  </w:style>
  <w:style w:type="paragraph" w:styleId="BodyText">
    <w:name w:val="Body Text"/>
    <w:basedOn w:val="Normal"/>
    <w:link w:val="BodyTextChar"/>
    <w:rsid w:val="00306FA5"/>
    <w:pPr>
      <w:spacing w:after="120"/>
    </w:pPr>
  </w:style>
  <w:style w:type="character" w:customStyle="1" w:styleId="BodyTextChar">
    <w:name w:val="Body Text Char"/>
    <w:basedOn w:val="DefaultParagraphFont"/>
    <w:link w:val="BodyText"/>
    <w:rsid w:val="00306FA5"/>
  </w:style>
  <w:style w:type="character" w:styleId="Hyperlink">
    <w:name w:val="Hyperlink"/>
    <w:unhideWhenUsed/>
    <w:rsid w:val="00306FA5"/>
    <w:rPr>
      <w:color w:val="0000FF"/>
      <w:u w:val="single"/>
    </w:rPr>
  </w:style>
  <w:style w:type="character" w:styleId="FollowedHyperlink">
    <w:name w:val="FollowedHyperlink"/>
    <w:rsid w:val="009161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755528">
      <w:bodyDiv w:val="1"/>
      <w:marLeft w:val="0"/>
      <w:marRight w:val="0"/>
      <w:marTop w:val="0"/>
      <w:marBottom w:val="0"/>
      <w:divBdr>
        <w:top w:val="none" w:sz="0" w:space="0" w:color="auto"/>
        <w:left w:val="none" w:sz="0" w:space="0" w:color="auto"/>
        <w:bottom w:val="none" w:sz="0" w:space="0" w:color="auto"/>
        <w:right w:val="none" w:sz="0" w:space="0" w:color="auto"/>
      </w:divBdr>
    </w:div>
    <w:div w:id="302319207">
      <w:bodyDiv w:val="1"/>
      <w:marLeft w:val="0"/>
      <w:marRight w:val="0"/>
      <w:marTop w:val="0"/>
      <w:marBottom w:val="0"/>
      <w:divBdr>
        <w:top w:val="none" w:sz="0" w:space="0" w:color="auto"/>
        <w:left w:val="none" w:sz="0" w:space="0" w:color="auto"/>
        <w:bottom w:val="none" w:sz="0" w:space="0" w:color="auto"/>
        <w:right w:val="none" w:sz="0" w:space="0" w:color="auto"/>
      </w:divBdr>
    </w:div>
    <w:div w:id="393243072">
      <w:bodyDiv w:val="1"/>
      <w:marLeft w:val="0"/>
      <w:marRight w:val="0"/>
      <w:marTop w:val="0"/>
      <w:marBottom w:val="0"/>
      <w:divBdr>
        <w:top w:val="none" w:sz="0" w:space="0" w:color="auto"/>
        <w:left w:val="none" w:sz="0" w:space="0" w:color="auto"/>
        <w:bottom w:val="none" w:sz="0" w:space="0" w:color="auto"/>
        <w:right w:val="none" w:sz="0" w:space="0" w:color="auto"/>
      </w:divBdr>
    </w:div>
    <w:div w:id="531192659">
      <w:bodyDiv w:val="1"/>
      <w:marLeft w:val="0"/>
      <w:marRight w:val="0"/>
      <w:marTop w:val="0"/>
      <w:marBottom w:val="0"/>
      <w:divBdr>
        <w:top w:val="none" w:sz="0" w:space="0" w:color="auto"/>
        <w:left w:val="none" w:sz="0" w:space="0" w:color="auto"/>
        <w:bottom w:val="none" w:sz="0" w:space="0" w:color="auto"/>
        <w:right w:val="none" w:sz="0" w:space="0" w:color="auto"/>
      </w:divBdr>
    </w:div>
    <w:div w:id="658264443">
      <w:bodyDiv w:val="1"/>
      <w:marLeft w:val="0"/>
      <w:marRight w:val="0"/>
      <w:marTop w:val="0"/>
      <w:marBottom w:val="0"/>
      <w:divBdr>
        <w:top w:val="none" w:sz="0" w:space="0" w:color="auto"/>
        <w:left w:val="none" w:sz="0" w:space="0" w:color="auto"/>
        <w:bottom w:val="none" w:sz="0" w:space="0" w:color="auto"/>
        <w:right w:val="none" w:sz="0" w:space="0" w:color="auto"/>
      </w:divBdr>
    </w:div>
    <w:div w:id="1058552903">
      <w:bodyDiv w:val="1"/>
      <w:marLeft w:val="0"/>
      <w:marRight w:val="0"/>
      <w:marTop w:val="0"/>
      <w:marBottom w:val="0"/>
      <w:divBdr>
        <w:top w:val="none" w:sz="0" w:space="0" w:color="auto"/>
        <w:left w:val="none" w:sz="0" w:space="0" w:color="auto"/>
        <w:bottom w:val="none" w:sz="0" w:space="0" w:color="auto"/>
        <w:right w:val="none" w:sz="0" w:space="0" w:color="auto"/>
      </w:divBdr>
    </w:div>
    <w:div w:id="1462579129">
      <w:bodyDiv w:val="1"/>
      <w:marLeft w:val="0"/>
      <w:marRight w:val="0"/>
      <w:marTop w:val="0"/>
      <w:marBottom w:val="0"/>
      <w:divBdr>
        <w:top w:val="none" w:sz="0" w:space="0" w:color="auto"/>
        <w:left w:val="none" w:sz="0" w:space="0" w:color="auto"/>
        <w:bottom w:val="none" w:sz="0" w:space="0" w:color="auto"/>
        <w:right w:val="none" w:sz="0" w:space="0" w:color="auto"/>
      </w:divBdr>
    </w:div>
    <w:div w:id="165414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hs.gov/sites/default/files/publications/privacy_pia_uscg_mis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po.gov/fdsys/pkg/FR-2009-06-25/html/E9-149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E2CF-55BF-4D05-BD63-38359E2C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7666</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United States Coast Guard</Company>
  <LinksUpToDate>false</LinksUpToDate>
  <CharactersWithSpaces>8993</CharactersWithSpaces>
  <SharedDoc>false</SharedDoc>
  <HLinks>
    <vt:vector size="12" baseType="variant">
      <vt:variant>
        <vt:i4>5767175</vt:i4>
      </vt:variant>
      <vt:variant>
        <vt:i4>3</vt:i4>
      </vt:variant>
      <vt:variant>
        <vt:i4>0</vt:i4>
      </vt:variant>
      <vt:variant>
        <vt:i4>5</vt:i4>
      </vt:variant>
      <vt:variant>
        <vt:lpwstr>https://www.gpo.gov/fdsys/pkg/FR-2009-06-25/html/E9-14906.htm</vt:lpwstr>
      </vt:variant>
      <vt:variant>
        <vt:lpwstr/>
      </vt:variant>
      <vt:variant>
        <vt:i4>852075</vt:i4>
      </vt:variant>
      <vt:variant>
        <vt:i4>0</vt:i4>
      </vt:variant>
      <vt:variant>
        <vt:i4>0</vt:i4>
      </vt:variant>
      <vt:variant>
        <vt:i4>5</vt:i4>
      </vt:variant>
      <vt:variant>
        <vt:lpwstr>https://www.dhs.gov/sites/default/files/publications/privacy_pia_uscg_misle.pdf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LHopkins</dc:creator>
  <cp:keywords/>
  <cp:lastModifiedBy>Craig, Albert L CIV</cp:lastModifiedBy>
  <cp:revision>2</cp:revision>
  <cp:lastPrinted>2017-04-21T17:18:00Z</cp:lastPrinted>
  <dcterms:created xsi:type="dcterms:W3CDTF">2020-08-28T16:55:00Z</dcterms:created>
  <dcterms:modified xsi:type="dcterms:W3CDTF">2020-08-28T16:55:00Z</dcterms:modified>
</cp:coreProperties>
</file>