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5FD58917">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1840-NEW</w:t>
      </w:r>
    </w:p>
    <w:p w:rsidRPr="00196A81" w:rsidR="00EA1767" w:rsidP="00BF1380" w:rsidRDefault="00EA1767" w14:paraId="56DDEF03" w14:textId="50406042">
      <w:pPr>
        <w:pStyle w:val="Header"/>
        <w:rPr>
          <w:rFonts w:ascii="Times New Roman" w:hAnsi="Times New Roman"/>
          <w:szCs w:val="24"/>
        </w:rPr>
      </w:pPr>
      <w:r w:rsidRPr="00196A81">
        <w:rPr>
          <w:rFonts w:ascii="Times New Roman" w:hAnsi="Times New Roman"/>
          <w:szCs w:val="24"/>
        </w:rPr>
        <w:t xml:space="preserve">Revised: </w:t>
      </w:r>
      <w:r w:rsidR="000558CD">
        <w:rPr>
          <w:rFonts w:ascii="Times New Roman" w:hAnsi="Times New Roman"/>
          <w:szCs w:val="24"/>
        </w:rPr>
        <w:t>8/1</w:t>
      </w:r>
      <w:r w:rsidR="00C662C4">
        <w:rPr>
          <w:rFonts w:ascii="Times New Roman" w:hAnsi="Times New Roman"/>
          <w:szCs w:val="24"/>
        </w:rPr>
        <w:t>4</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8C35D1" w:rsidR="0014781D" w:rsidP="00BF1380" w:rsidRDefault="0014781D" w14:paraId="756FF568" w14:textId="77777777">
      <w:pPr>
        <w:rPr>
          <w:rFonts w:ascii="Times New Roman" w:hAnsi="Times New Roman"/>
          <w:szCs w:val="24"/>
        </w:rPr>
      </w:pPr>
    </w:p>
    <w:p w:rsidRPr="008C35D1" w:rsidR="008C35D1" w:rsidP="008C35D1" w:rsidRDefault="008C35D1" w14:paraId="57F6BB97" w14:textId="7CA3CA01">
      <w:pPr>
        <w:rPr>
          <w:rFonts w:ascii="Times New Roman" w:hAnsi="Times New Roman"/>
        </w:rPr>
      </w:pPr>
      <w:r w:rsidRPr="008C35D1">
        <w:rPr>
          <w:rFonts w:ascii="Times New Roman" w:hAnsi="Times New Roman"/>
        </w:rPr>
        <w:t xml:space="preserve">Section 18004(a)(3) of the CARES Act authorizes the Secretary to allocate funds for part B of Title VII of the Higher Education Act of 1965, as amended, for institutions of higher education that the Secretary determines have the greatest unmet needs related to coronavirus.  This collection includes </w:t>
      </w:r>
      <w:r w:rsidRPr="00941FBD" w:rsidR="00941FBD">
        <w:rPr>
          <w:rFonts w:ascii="Times New Roman" w:hAnsi="Times New Roman"/>
        </w:rPr>
        <w:t>application materials that will be used by institutions competing for discretionary grant funding under this section.</w:t>
      </w:r>
    </w:p>
    <w:p w:rsidRPr="008C35D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C16769" w14:paraId="78B0B0D4" w14:textId="263F42DF">
      <w:pPr>
        <w:rPr>
          <w:rFonts w:ascii="Times New Roman" w:hAnsi="Times New Roman"/>
          <w:szCs w:val="24"/>
        </w:rPr>
      </w:pPr>
      <w:r>
        <w:rPr>
          <w:rFonts w:ascii="Times New Roman" w:hAnsi="Times New Roman"/>
          <w:szCs w:val="24"/>
        </w:rPr>
        <w:t xml:space="preserve">This information will be used to </w:t>
      </w:r>
      <w:r w:rsidR="0049050B">
        <w:rPr>
          <w:rFonts w:ascii="Times New Roman" w:hAnsi="Times New Roman"/>
          <w:szCs w:val="24"/>
        </w:rPr>
        <w:t>select</w:t>
      </w:r>
      <w:r>
        <w:rPr>
          <w:rFonts w:ascii="Times New Roman" w:hAnsi="Times New Roman"/>
          <w:szCs w:val="24"/>
        </w:rPr>
        <w:t xml:space="preserve"> </w:t>
      </w:r>
      <w:r w:rsidR="00C6739F">
        <w:rPr>
          <w:rFonts w:ascii="Times New Roman" w:hAnsi="Times New Roman"/>
          <w:szCs w:val="24"/>
        </w:rPr>
        <w:t>recipients of discretionary grant funding</w:t>
      </w:r>
      <w:r w:rsidR="009570E7">
        <w:rPr>
          <w:rFonts w:ascii="Times New Roman" w:hAnsi="Times New Roman"/>
          <w:szCs w:val="24"/>
        </w:rPr>
        <w:t xml:space="preserve"> under section 18004(a)(3)</w:t>
      </w:r>
      <w:r>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w:t>
      </w:r>
      <w:proofErr w:type="gramStart"/>
      <w:r w:rsidRPr="00196A81" w:rsidR="00A23F26">
        <w:rPr>
          <w:rFonts w:ascii="Times New Roman" w:hAnsi="Times New Roman"/>
          <w:b/>
          <w:szCs w:val="24"/>
        </w:rPr>
        <w:t>system</w:t>
      </w:r>
      <w:proofErr w:type="gramEnd"/>
      <w:r w:rsidRPr="00196A81" w:rsidR="00A23F26">
        <w:rPr>
          <w:rFonts w:ascii="Times New Roman" w:hAnsi="Times New Roman"/>
          <w:b/>
          <w:szCs w:val="24"/>
        </w:rPr>
        <w:t xml:space="preserve">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3C6E33FF">
      <w:pPr>
        <w:tabs>
          <w:tab w:val="left" w:pos="-720"/>
        </w:tabs>
        <w:suppressAutoHyphens/>
        <w:rPr>
          <w:rFonts w:ascii="Times New Roman" w:hAnsi="Times New Roman"/>
          <w:szCs w:val="24"/>
        </w:rPr>
      </w:pPr>
      <w:r w:rsidRPr="00196A81">
        <w:rPr>
          <w:rFonts w:ascii="Times New Roman" w:hAnsi="Times New Roman"/>
          <w:szCs w:val="24"/>
        </w:rPr>
        <w:t>If this collection is not allowed to proceed, the Department will not be able to fulfill the mandates of the CARES Act</w:t>
      </w:r>
      <w:r w:rsidR="00794567">
        <w:rPr>
          <w:rFonts w:ascii="Times New Roman" w:hAnsi="Times New Roman"/>
          <w:szCs w:val="24"/>
        </w:rPr>
        <w:t>,</w:t>
      </w:r>
      <w:r w:rsidRPr="00196A81">
        <w:rPr>
          <w:rFonts w:ascii="Times New Roman" w:hAnsi="Times New Roman"/>
          <w:szCs w:val="24"/>
        </w:rPr>
        <w:t xml:space="preserve"> and institutions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prepare a written response to a collection of information in fewer than 30 days after receipt of </w:t>
      </w:r>
      <w:proofErr w:type="gramStart"/>
      <w:r w:rsidRPr="00196A81">
        <w:rPr>
          <w:rFonts w:ascii="Times New Roman" w:hAnsi="Times New Roman"/>
          <w:b/>
          <w:szCs w:val="24"/>
        </w:rPr>
        <w:t>it;</w:t>
      </w:r>
      <w:proofErr w:type="gramEnd"/>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submit more than an original and two copies of any </w:t>
      </w:r>
      <w:proofErr w:type="gramStart"/>
      <w:r w:rsidRPr="00196A81">
        <w:rPr>
          <w:rFonts w:ascii="Times New Roman" w:hAnsi="Times New Roman"/>
          <w:b/>
          <w:szCs w:val="24"/>
        </w:rPr>
        <w:t>document;</w:t>
      </w:r>
      <w:proofErr w:type="gramEnd"/>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retain records, other than health, medical, government contract, grant-in-aid, or tax records for more than three </w:t>
      </w:r>
      <w:proofErr w:type="gramStart"/>
      <w:r w:rsidRPr="00196A81">
        <w:rPr>
          <w:rFonts w:ascii="Times New Roman" w:hAnsi="Times New Roman"/>
          <w:b/>
          <w:szCs w:val="24"/>
        </w:rPr>
        <w:t>years;</w:t>
      </w:r>
      <w:proofErr w:type="gramEnd"/>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the use of a statistical data classification that has not been reviewed and approved by </w:t>
      </w:r>
      <w:proofErr w:type="gramStart"/>
      <w:r w:rsidRPr="00196A81">
        <w:rPr>
          <w:rFonts w:ascii="Times New Roman" w:hAnsi="Times New Roman"/>
          <w:b/>
          <w:szCs w:val="24"/>
        </w:rPr>
        <w:t>OMB;</w:t>
      </w:r>
      <w:proofErr w:type="gramEnd"/>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 xml:space="preserve">Include a citation for the </w:t>
      </w:r>
      <w:proofErr w:type="gramStart"/>
      <w:r w:rsidRPr="00196A81">
        <w:rPr>
          <w:rFonts w:ascii="Times New Roman" w:hAnsi="Times New Roman"/>
          <w:b/>
          <w:szCs w:val="24"/>
        </w:rPr>
        <w:t>60 day</w:t>
      </w:r>
      <w:proofErr w:type="gramEnd"/>
      <w:r w:rsidRPr="00196A81">
        <w:rPr>
          <w:rFonts w:ascii="Times New Roman" w:hAnsi="Times New Roman"/>
          <w:b/>
          <w:szCs w:val="24"/>
        </w:rPr>
        <w:t xml:space="preserve">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 xml:space="preserve">the </w:t>
      </w:r>
      <w:proofErr w:type="gramStart"/>
      <w:r w:rsidRPr="00196A81">
        <w:rPr>
          <w:rFonts w:ascii="Times New Roman" w:hAnsi="Times New Roman"/>
          <w:b/>
          <w:szCs w:val="24"/>
        </w:rPr>
        <w:t>60 day</w:t>
      </w:r>
      <w:proofErr w:type="gramEnd"/>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 xml:space="preserve">For the </w:t>
      </w:r>
      <w:proofErr w:type="gramStart"/>
      <w:r w:rsidRPr="00196A81">
        <w:rPr>
          <w:rFonts w:ascii="Times New Roman" w:hAnsi="Times New Roman"/>
          <w:b/>
          <w:szCs w:val="24"/>
        </w:rPr>
        <w:t>30 day</w:t>
      </w:r>
      <w:proofErr w:type="gramEnd"/>
      <w:r w:rsidRPr="00196A81">
        <w:rPr>
          <w:rFonts w:ascii="Times New Roman" w:hAnsi="Times New Roman"/>
          <w:b/>
          <w:szCs w:val="24"/>
        </w:rPr>
        <w:t xml:space="preserve">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E66550" w:rsidP="00BF1380" w:rsidRDefault="006856D2" w14:paraId="56DDEF32" w14:textId="7C8A70D2">
      <w:pPr>
        <w:tabs>
          <w:tab w:val="left" w:pos="-720"/>
          <w:tab w:val="left" w:pos="0"/>
        </w:tabs>
        <w:suppressAutoHyphens/>
        <w:rPr>
          <w:rFonts w:ascii="Times New Roman" w:hAnsi="Times New Roman"/>
        </w:rPr>
      </w:pPr>
      <w:r w:rsidRPr="006856D2">
        <w:rPr>
          <w:rFonts w:ascii="Times New Roman" w:hAnsi="Times New Roman"/>
        </w:rPr>
        <w:t xml:space="preserve">The Department is requesting an emergency clearance from OMB by </w:t>
      </w:r>
      <w:r w:rsidRPr="00CB2F2E" w:rsidR="00D642C8">
        <w:rPr>
          <w:rFonts w:ascii="Times New Roman" w:hAnsi="Times New Roman"/>
        </w:rPr>
        <w:t>August</w:t>
      </w:r>
      <w:r w:rsidRPr="00CB2F2E">
        <w:rPr>
          <w:rFonts w:ascii="Times New Roman" w:hAnsi="Times New Roman"/>
        </w:rPr>
        <w:t xml:space="preserve"> 1</w:t>
      </w:r>
      <w:r w:rsidRPr="00CB2F2E" w:rsidR="00CB2F2E">
        <w:rPr>
          <w:rFonts w:ascii="Times New Roman" w:hAnsi="Times New Roman"/>
        </w:rPr>
        <w:t>8</w:t>
      </w:r>
      <w:r w:rsidRPr="006856D2">
        <w:rPr>
          <w:rFonts w:ascii="Times New Roman" w:hAnsi="Times New Roman"/>
        </w:rPr>
        <w:t xml:space="preserve"> and will publish an emergency notice with a </w:t>
      </w:r>
      <w:proofErr w:type="gramStart"/>
      <w:r w:rsidR="00D642C8">
        <w:rPr>
          <w:rFonts w:ascii="Times New Roman" w:hAnsi="Times New Roman"/>
        </w:rPr>
        <w:t>3</w:t>
      </w:r>
      <w:r w:rsidRPr="006856D2">
        <w:rPr>
          <w:rFonts w:ascii="Times New Roman" w:hAnsi="Times New Roman"/>
        </w:rPr>
        <w:t>0 day</w:t>
      </w:r>
      <w:proofErr w:type="gramEnd"/>
      <w:r w:rsidRPr="006856D2">
        <w:rPr>
          <w:rFonts w:ascii="Times New Roman" w:hAnsi="Times New Roman"/>
        </w:rPr>
        <w:t xml:space="preserve"> comment period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Provide an explanation of how the burden was estimated, including identification of burden type: recordkeeping, reporting or </w:t>
      </w:r>
      <w:proofErr w:type="gramStart"/>
      <w:r w:rsidRPr="00196A81">
        <w:rPr>
          <w:rStyle w:val="a"/>
          <w:rFonts w:ascii="Times New Roman" w:hAnsi="Times New Roman"/>
          <w:b/>
          <w:szCs w:val="24"/>
        </w:rPr>
        <w:t>third party</w:t>
      </w:r>
      <w:proofErr w:type="gramEnd"/>
      <w:r w:rsidRPr="00196A81">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w:t>
      </w:r>
      <w:proofErr w:type="gramStart"/>
      <w:r w:rsidRPr="00196A81">
        <w:rPr>
          <w:rStyle w:val="a"/>
          <w:rFonts w:ascii="Times New Roman" w:hAnsi="Times New Roman"/>
          <w:b/>
          <w:szCs w:val="24"/>
        </w:rPr>
        <w:t>form</w:t>
      </w:r>
      <w:proofErr w:type="gramEnd"/>
      <w:r w:rsidRPr="00196A81">
        <w:rPr>
          <w:rStyle w:val="a"/>
          <w:rFonts w:ascii="Times New Roman" w:hAnsi="Times New Roman"/>
          <w:b/>
          <w:szCs w:val="24"/>
        </w:rPr>
        <w:t xml:space="preserve">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193C1F" w:rsidTr="00AB7E31" w14:paraId="56DDEF68" w14:textId="77777777">
        <w:tc>
          <w:tcPr>
            <w:tcW w:w="1345" w:type="dxa"/>
          </w:tcPr>
          <w:p w:rsidRPr="00196A81" w:rsidR="00193C1F" w:rsidP="00193C1F" w:rsidRDefault="00193C1F"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193C1F" w:rsidP="00193C1F" w:rsidRDefault="00193C1F"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193C1F" w:rsidP="00193C1F" w:rsidRDefault="00A916C2" w14:paraId="56DDEF62" w14:textId="1122D036">
            <w:pPr>
              <w:tabs>
                <w:tab w:val="left" w:pos="0"/>
              </w:tabs>
              <w:rPr>
                <w:rFonts w:ascii="Times New Roman" w:hAnsi="Times New Roman"/>
                <w:szCs w:val="24"/>
              </w:rPr>
            </w:pPr>
            <w:r>
              <w:rPr>
                <w:rFonts w:ascii="Times New Roman" w:hAnsi="Times New Roman"/>
                <w:szCs w:val="24"/>
              </w:rPr>
              <w:t>150</w:t>
            </w:r>
          </w:p>
        </w:tc>
        <w:tc>
          <w:tcPr>
            <w:tcW w:w="1249" w:type="dxa"/>
          </w:tcPr>
          <w:p w:rsidRPr="00AD4FB0" w:rsidR="00193C1F" w:rsidP="00193C1F" w:rsidRDefault="002C4CC6" w14:paraId="56DDEF63" w14:textId="79E89566">
            <w:pPr>
              <w:tabs>
                <w:tab w:val="left" w:pos="0"/>
              </w:tabs>
              <w:rPr>
                <w:rFonts w:ascii="Times New Roman" w:hAnsi="Times New Roman"/>
                <w:szCs w:val="24"/>
              </w:rPr>
            </w:pPr>
            <w:r>
              <w:rPr>
                <w:rFonts w:ascii="Times New Roman" w:hAnsi="Times New Roman"/>
                <w:szCs w:val="24"/>
              </w:rPr>
              <w:t>150</w:t>
            </w:r>
          </w:p>
        </w:tc>
        <w:tc>
          <w:tcPr>
            <w:tcW w:w="1248" w:type="dxa"/>
          </w:tcPr>
          <w:p w:rsidRPr="00196A81" w:rsidR="00193C1F" w:rsidP="00193C1F" w:rsidRDefault="002C4CC6" w14:paraId="56DDEF64" w14:textId="4F7AC8F5">
            <w:pPr>
              <w:tabs>
                <w:tab w:val="left" w:pos="0"/>
              </w:tabs>
              <w:rPr>
                <w:rFonts w:ascii="Times New Roman" w:hAnsi="Times New Roman"/>
                <w:szCs w:val="24"/>
              </w:rPr>
            </w:pPr>
            <w:r>
              <w:rPr>
                <w:rFonts w:ascii="Times New Roman" w:hAnsi="Times New Roman"/>
                <w:szCs w:val="24"/>
              </w:rPr>
              <w:t>75</w:t>
            </w:r>
          </w:p>
        </w:tc>
        <w:tc>
          <w:tcPr>
            <w:tcW w:w="1249" w:type="dxa"/>
          </w:tcPr>
          <w:p w:rsidRPr="001704BC" w:rsidR="00193C1F" w:rsidP="00193C1F" w:rsidRDefault="00BF49CC" w14:paraId="56DDEF65" w14:textId="763BE4DF">
            <w:pPr>
              <w:tabs>
                <w:tab w:val="left" w:pos="0"/>
              </w:tabs>
              <w:rPr>
                <w:rFonts w:ascii="Times New Roman" w:hAnsi="Times New Roman"/>
                <w:szCs w:val="24"/>
              </w:rPr>
            </w:pPr>
            <w:r>
              <w:rPr>
                <w:rFonts w:ascii="Times New Roman" w:hAnsi="Times New Roman"/>
                <w:szCs w:val="24"/>
              </w:rPr>
              <w:t>11,250</w:t>
            </w:r>
          </w:p>
        </w:tc>
        <w:tc>
          <w:tcPr>
            <w:tcW w:w="1249" w:type="dxa"/>
          </w:tcPr>
          <w:p w:rsidRPr="00196A81" w:rsidR="00193C1F" w:rsidP="00193C1F" w:rsidRDefault="00193C1F"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193C1F" w:rsidP="00193C1F" w:rsidRDefault="000F4EF9" w14:paraId="56DDEF67" w14:textId="6C923ECD">
            <w:pPr>
              <w:tabs>
                <w:tab w:val="left" w:pos="0"/>
              </w:tabs>
              <w:rPr>
                <w:rFonts w:ascii="Times New Roman" w:hAnsi="Times New Roman"/>
                <w:szCs w:val="24"/>
              </w:rPr>
            </w:pPr>
            <w:r>
              <w:rPr>
                <w:rFonts w:ascii="Times New Roman" w:hAnsi="Times New Roman"/>
                <w:szCs w:val="24"/>
              </w:rPr>
              <w:t>$510,300</w:t>
            </w:r>
          </w:p>
        </w:tc>
      </w:tr>
      <w:tr w:rsidRPr="00196A81" w:rsidR="002C4CC6" w:rsidTr="00AB7E31" w14:paraId="56DDEF72" w14:textId="77777777">
        <w:tc>
          <w:tcPr>
            <w:tcW w:w="1345" w:type="dxa"/>
          </w:tcPr>
          <w:p w:rsidRPr="00196A81" w:rsidR="002C4CC6" w:rsidP="002C4CC6" w:rsidRDefault="002C4CC6"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2C4CC6" w:rsidP="002C4CC6" w:rsidRDefault="002C4CC6"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2C4CC6" w:rsidP="002C4CC6" w:rsidRDefault="002C4CC6"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2C4CC6" w:rsidP="002C4CC6" w:rsidRDefault="002C4CC6" w14:paraId="56DDEF6C" w14:textId="7246CF8C">
            <w:pPr>
              <w:tabs>
                <w:tab w:val="left" w:pos="0"/>
              </w:tabs>
              <w:rPr>
                <w:rFonts w:ascii="Times New Roman" w:hAnsi="Times New Roman"/>
                <w:szCs w:val="24"/>
              </w:rPr>
            </w:pPr>
            <w:r>
              <w:rPr>
                <w:rFonts w:ascii="Times New Roman" w:hAnsi="Times New Roman"/>
                <w:szCs w:val="24"/>
              </w:rPr>
              <w:t>100</w:t>
            </w:r>
          </w:p>
        </w:tc>
        <w:tc>
          <w:tcPr>
            <w:tcW w:w="1249" w:type="dxa"/>
          </w:tcPr>
          <w:p w:rsidRPr="00AD4FB0" w:rsidR="002C4CC6" w:rsidP="002C4CC6" w:rsidRDefault="002C4CC6" w14:paraId="56DDEF6D" w14:textId="515FC4AE">
            <w:pPr>
              <w:tabs>
                <w:tab w:val="left" w:pos="0"/>
              </w:tabs>
              <w:rPr>
                <w:rFonts w:ascii="Times New Roman" w:hAnsi="Times New Roman"/>
                <w:szCs w:val="24"/>
              </w:rPr>
            </w:pPr>
            <w:r>
              <w:rPr>
                <w:rFonts w:ascii="Times New Roman" w:hAnsi="Times New Roman"/>
                <w:szCs w:val="24"/>
              </w:rPr>
              <w:t>100</w:t>
            </w:r>
          </w:p>
        </w:tc>
        <w:tc>
          <w:tcPr>
            <w:tcW w:w="1248" w:type="dxa"/>
          </w:tcPr>
          <w:p w:rsidRPr="00196A81" w:rsidR="002C4CC6" w:rsidP="002C4CC6" w:rsidRDefault="002C4CC6" w14:paraId="56DDEF6E" w14:textId="1CA347E2">
            <w:pPr>
              <w:tabs>
                <w:tab w:val="left" w:pos="0"/>
              </w:tabs>
              <w:rPr>
                <w:rFonts w:ascii="Times New Roman" w:hAnsi="Times New Roman"/>
                <w:szCs w:val="24"/>
              </w:rPr>
            </w:pPr>
            <w:r>
              <w:rPr>
                <w:rFonts w:ascii="Times New Roman" w:hAnsi="Times New Roman"/>
                <w:szCs w:val="24"/>
              </w:rPr>
              <w:t>75</w:t>
            </w:r>
          </w:p>
        </w:tc>
        <w:tc>
          <w:tcPr>
            <w:tcW w:w="1249" w:type="dxa"/>
          </w:tcPr>
          <w:p w:rsidRPr="001704BC" w:rsidR="002C4CC6" w:rsidP="002C4CC6" w:rsidRDefault="00BF49CC" w14:paraId="56DDEF6F" w14:textId="5FE776DE">
            <w:pPr>
              <w:pStyle w:val="EndnoteText"/>
              <w:tabs>
                <w:tab w:val="clear" w:pos="-720"/>
                <w:tab w:val="left" w:pos="0"/>
              </w:tabs>
              <w:suppressAutoHyphens w:val="0"/>
              <w:rPr>
                <w:rFonts w:ascii="Times New Roman" w:hAnsi="Times New Roman"/>
                <w:szCs w:val="24"/>
              </w:rPr>
            </w:pPr>
            <w:r>
              <w:rPr>
                <w:rFonts w:ascii="Times New Roman" w:hAnsi="Times New Roman"/>
                <w:szCs w:val="24"/>
              </w:rPr>
              <w:t>7,500</w:t>
            </w:r>
          </w:p>
        </w:tc>
        <w:tc>
          <w:tcPr>
            <w:tcW w:w="1249" w:type="dxa"/>
          </w:tcPr>
          <w:p w:rsidRPr="00196A81" w:rsidR="002C4CC6" w:rsidP="002C4CC6" w:rsidRDefault="002C4CC6"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2C4CC6" w:rsidP="002C4CC6" w:rsidRDefault="000F4EF9" w14:paraId="56DDEF71" w14:textId="06AD2107">
            <w:pPr>
              <w:tabs>
                <w:tab w:val="left" w:pos="0"/>
              </w:tabs>
              <w:rPr>
                <w:rFonts w:ascii="Times New Roman" w:hAnsi="Times New Roman"/>
                <w:szCs w:val="24"/>
              </w:rPr>
            </w:pPr>
            <w:r>
              <w:rPr>
                <w:rFonts w:ascii="Times New Roman" w:hAnsi="Times New Roman"/>
                <w:szCs w:val="24"/>
              </w:rPr>
              <w:t>$340,200</w:t>
            </w:r>
          </w:p>
        </w:tc>
      </w:tr>
      <w:tr w:rsidRPr="00196A81" w:rsidR="002C4CC6" w:rsidTr="00AB7E31" w14:paraId="56DDEF90" w14:textId="77777777">
        <w:tc>
          <w:tcPr>
            <w:tcW w:w="1345" w:type="dxa"/>
          </w:tcPr>
          <w:p w:rsidRPr="00196A81" w:rsidR="002C4CC6" w:rsidP="002C4CC6" w:rsidRDefault="002C4CC6" w14:paraId="56DDEF87" w14:textId="77777777">
            <w:pPr>
              <w:tabs>
                <w:tab w:val="left" w:pos="0"/>
              </w:tabs>
              <w:jc w:val="center"/>
              <w:rPr>
                <w:rFonts w:ascii="Times New Roman" w:hAnsi="Times New Roman"/>
                <w:szCs w:val="24"/>
              </w:rPr>
            </w:pPr>
            <w:r w:rsidRPr="00196A81">
              <w:rPr>
                <w:rFonts w:ascii="Times New Roman" w:hAnsi="Times New Roman"/>
                <w:szCs w:val="24"/>
              </w:rPr>
              <w:t>Annualized Totals</w:t>
            </w:r>
          </w:p>
        </w:tc>
        <w:tc>
          <w:tcPr>
            <w:tcW w:w="1248" w:type="dxa"/>
          </w:tcPr>
          <w:p w:rsidRPr="00196A81" w:rsidR="002C4CC6" w:rsidP="002C4CC6" w:rsidRDefault="002C4CC6"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2C4CC6" w:rsidP="002C4CC6" w:rsidRDefault="002C4CC6"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2C4CC6" w:rsidP="002C4CC6" w:rsidRDefault="002C4CC6" w14:paraId="56DDEF8A" w14:textId="14BFF93A">
            <w:pPr>
              <w:tabs>
                <w:tab w:val="left" w:pos="0"/>
              </w:tabs>
              <w:rPr>
                <w:rFonts w:ascii="Times New Roman" w:hAnsi="Times New Roman"/>
                <w:szCs w:val="24"/>
              </w:rPr>
            </w:pPr>
            <w:r>
              <w:rPr>
                <w:rFonts w:ascii="Times New Roman" w:hAnsi="Times New Roman"/>
                <w:szCs w:val="24"/>
              </w:rPr>
              <w:t>250</w:t>
            </w:r>
          </w:p>
        </w:tc>
        <w:tc>
          <w:tcPr>
            <w:tcW w:w="1249" w:type="dxa"/>
          </w:tcPr>
          <w:p w:rsidRPr="00AD4FB0" w:rsidR="002C4CC6" w:rsidP="002C4CC6" w:rsidRDefault="002C4CC6" w14:paraId="56DDEF8B" w14:textId="62091A74">
            <w:pPr>
              <w:tabs>
                <w:tab w:val="left" w:pos="0"/>
              </w:tabs>
              <w:rPr>
                <w:rFonts w:ascii="Times New Roman" w:hAnsi="Times New Roman"/>
                <w:szCs w:val="24"/>
              </w:rPr>
            </w:pPr>
            <w:r>
              <w:rPr>
                <w:rFonts w:ascii="Times New Roman" w:hAnsi="Times New Roman"/>
                <w:szCs w:val="24"/>
              </w:rPr>
              <w:t>250</w:t>
            </w:r>
          </w:p>
        </w:tc>
        <w:tc>
          <w:tcPr>
            <w:tcW w:w="1248" w:type="dxa"/>
          </w:tcPr>
          <w:p w:rsidRPr="00196A81" w:rsidR="002C4CC6" w:rsidP="002C4CC6" w:rsidRDefault="002C4CC6"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704BC" w:rsidR="002C4CC6" w:rsidP="002C4CC6" w:rsidRDefault="00BF49CC" w14:paraId="56DDEF8D" w14:textId="273AE648">
            <w:pPr>
              <w:tabs>
                <w:tab w:val="left" w:pos="0"/>
              </w:tabs>
              <w:rPr>
                <w:rFonts w:ascii="Times New Roman" w:hAnsi="Times New Roman"/>
                <w:szCs w:val="24"/>
              </w:rPr>
            </w:pPr>
            <w:r>
              <w:rPr>
                <w:rFonts w:ascii="Times New Roman" w:hAnsi="Times New Roman"/>
                <w:szCs w:val="24"/>
              </w:rPr>
              <w:t>18,750</w:t>
            </w:r>
          </w:p>
        </w:tc>
        <w:tc>
          <w:tcPr>
            <w:tcW w:w="1249" w:type="dxa"/>
          </w:tcPr>
          <w:p w:rsidRPr="00196A81" w:rsidR="002C4CC6" w:rsidP="002C4CC6" w:rsidRDefault="002C4CC6"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Pr="00AB7E31" w:rsidR="002C4CC6" w:rsidP="002C4CC6" w:rsidRDefault="00AE16F6" w14:paraId="56DDEF8F" w14:textId="4787F446">
            <w:pPr>
              <w:tabs>
                <w:tab w:val="left" w:pos="0"/>
              </w:tabs>
              <w:rPr>
                <w:rFonts w:ascii="Times New Roman" w:hAnsi="Times New Roman"/>
                <w:szCs w:val="24"/>
              </w:rPr>
            </w:pPr>
            <w:r>
              <w:rPr>
                <w:rFonts w:ascii="Times New Roman" w:hAnsi="Times New Roman"/>
                <w:szCs w:val="24"/>
              </w:rPr>
              <w:t>$850,500</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 xml:space="preserve">Please ensure the annual total burden, </w:t>
      </w:r>
      <w:proofErr w:type="gramStart"/>
      <w:r w:rsidRPr="00196A81">
        <w:rPr>
          <w:rStyle w:val="a"/>
          <w:rFonts w:ascii="Times New Roman" w:hAnsi="Times New Roman"/>
          <w:b/>
          <w:bCs/>
          <w:i/>
          <w:iCs/>
          <w:sz w:val="22"/>
          <w:szCs w:val="22"/>
        </w:rPr>
        <w:t>respondents</w:t>
      </w:r>
      <w:proofErr w:type="gramEnd"/>
      <w:r w:rsidRPr="00196A81">
        <w:rPr>
          <w:rStyle w:val="a"/>
          <w:rFonts w:ascii="Times New Roman" w:hAnsi="Times New Roman"/>
          <w:b/>
          <w:bCs/>
          <w:i/>
          <w:iCs/>
          <w:sz w:val="22"/>
          <w:szCs w:val="22"/>
        </w:rPr>
        <w:t xml:space="preserve">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6ACC059D">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take </w:t>
      </w:r>
      <w:r w:rsidR="00AE16F6">
        <w:rPr>
          <w:rFonts w:ascii="Times New Roman" w:hAnsi="Times New Roman"/>
          <w:iCs/>
          <w:szCs w:val="24"/>
        </w:rPr>
        <w:t>250</w:t>
      </w:r>
      <w:r w:rsidR="00925B95">
        <w:rPr>
          <w:rFonts w:ascii="Times New Roman" w:hAnsi="Times New Roman"/>
          <w:iCs/>
          <w:szCs w:val="24"/>
        </w:rPr>
        <w:t xml:space="preserve"> respondents </w:t>
      </w:r>
      <w:r w:rsidR="00AE16F6">
        <w:rPr>
          <w:rFonts w:ascii="Times New Roman" w:hAnsi="Times New Roman"/>
          <w:iCs/>
          <w:szCs w:val="24"/>
        </w:rPr>
        <w:t>18,750</w:t>
      </w:r>
      <w:r w:rsidR="00925B95">
        <w:rPr>
          <w:rFonts w:ascii="Times New Roman" w:hAnsi="Times New Roman"/>
          <w:iCs/>
          <w:szCs w:val="24"/>
        </w:rPr>
        <w:t xml:space="preserve"> total hours to complete and submit the required forms.</w:t>
      </w:r>
      <w:r w:rsidR="00893D99">
        <w:rPr>
          <w:rFonts w:ascii="Times New Roman" w:hAnsi="Times New Roman"/>
          <w:iCs/>
          <w:szCs w:val="24"/>
        </w:rPr>
        <w:t xml:space="preserve"> </w:t>
      </w:r>
      <w:r w:rsidRPr="00203371" w:rsidR="00893D99">
        <w:rPr>
          <w:rFonts w:ascii="Times New Roman" w:hAnsi="Times New Roman"/>
        </w:rPr>
        <w:t>T</w:t>
      </w:r>
      <w:r w:rsidRPr="00203371" w:rsidR="00893D99">
        <w:rPr>
          <w:rFonts w:ascii="Times New Roman" w:hAnsi="Times New Roman"/>
          <w:szCs w:val="24"/>
        </w:rPr>
        <w:t xml:space="preserve">he application includes one absolute priority, three competitive priorities and three selection criteria that have three or more factors that applicants must address as such we have included five hours for each priority and each selection criterion and five hours for standard forms and budget narrative. </w:t>
      </w:r>
      <w:r w:rsidRPr="00203371" w:rsidR="00203371">
        <w:rPr>
          <w:rFonts w:ascii="Times New Roman" w:hAnsi="Times New Roman"/>
          <w:szCs w:val="24"/>
        </w:rPr>
        <w:t xml:space="preserve"> </w:t>
      </w:r>
      <w:r w:rsidRPr="00203371" w:rsidR="00203371">
        <w:rPr>
          <w:rFonts w:ascii="Times New Roman" w:hAnsi="Times New Roman"/>
          <w:szCs w:val="24"/>
        </w:rPr>
        <w:t xml:space="preserve">The 250 respondents </w:t>
      </w:r>
      <w:r w:rsidR="00203371">
        <w:rPr>
          <w:rFonts w:ascii="Times New Roman" w:hAnsi="Times New Roman"/>
          <w:szCs w:val="24"/>
        </w:rPr>
        <w:t>are</w:t>
      </w:r>
      <w:r w:rsidRPr="00203371" w:rsidR="00203371">
        <w:rPr>
          <w:rFonts w:ascii="Times New Roman" w:hAnsi="Times New Roman"/>
          <w:szCs w:val="24"/>
        </w:rPr>
        <w:t xml:space="preserve"> the estimate</w:t>
      </w:r>
      <w:r w:rsidR="00203371">
        <w:rPr>
          <w:rFonts w:ascii="Times New Roman" w:hAnsi="Times New Roman"/>
          <w:szCs w:val="24"/>
        </w:rPr>
        <w:t>d number</w:t>
      </w:r>
      <w:r w:rsidRPr="00203371" w:rsidR="00203371">
        <w:rPr>
          <w:rFonts w:ascii="Times New Roman" w:hAnsi="Times New Roman"/>
          <w:szCs w:val="24"/>
        </w:rPr>
        <w:t xml:space="preserve"> of institutions of higher education that we expect will apply for additional funding under this CARES program.  This estimate is based on a portion of the schools that was eligible for the various CARES funding that may continue to have unmet need.  Additionally, since we expect to make such few awards, prior competitions’ history had shown that when limited number of awards to be made there is a decrease in applications received. </w:t>
      </w:r>
      <w:r w:rsidRPr="00203371" w:rsidR="00203371">
        <w:t xml:space="preserve"> </w:t>
      </w:r>
      <w:r w:rsidDel="00893D99" w:rsidR="00893D99">
        <w:rPr>
          <w:rStyle w:val="CommentReference"/>
        </w:rPr>
        <w:t xml:space="preserve"> </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96A81">
        <w:rPr>
          <w:rFonts w:ascii="Times New Roman" w:hAnsi="Times New Roman"/>
          <w:b/>
          <w:szCs w:val="24"/>
        </w:rPr>
        <w:t>take into account</w:t>
      </w:r>
      <w:proofErr w:type="gramEnd"/>
      <w:r w:rsidRPr="00196A81">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196A81">
        <w:rPr>
          <w:rFonts w:ascii="Times New Roman" w:hAnsi="Times New Roman"/>
          <w:b/>
          <w:szCs w:val="24"/>
        </w:rPr>
        <w:t>time period</w:t>
      </w:r>
      <w:proofErr w:type="gramEnd"/>
      <w:r w:rsidRPr="00196A81">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196A81">
        <w:rPr>
          <w:rFonts w:ascii="Times New Roman" w:hAnsi="Times New Roman"/>
          <w:b/>
          <w:szCs w:val="24"/>
        </w:rPr>
        <w:t>drilling</w:t>
      </w:r>
      <w:proofErr w:type="gramEnd"/>
      <w:r w:rsidRPr="00196A81">
        <w:rPr>
          <w:rFonts w:ascii="Times New Roman" w:hAnsi="Times New Roman"/>
          <w:b/>
          <w:szCs w:val="24"/>
        </w:rPr>
        <w:t xml:space="preserve">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proofErr w:type="gramStart"/>
      <w:r w:rsidRPr="00196A81" w:rsidR="009243F3">
        <w:rPr>
          <w:rFonts w:ascii="Times New Roman" w:hAnsi="Times New Roman"/>
          <w:b/>
          <w:szCs w:val="24"/>
        </w:rPr>
        <w:tab/>
      </w:r>
      <w:r w:rsidRPr="00196A81">
        <w:rPr>
          <w:rFonts w:ascii="Times New Roman" w:hAnsi="Times New Roman"/>
          <w:b/>
          <w:szCs w:val="24"/>
        </w:rPr>
        <w:t>:_</w:t>
      </w:r>
      <w:proofErr w:type="gramEnd"/>
      <w:r w:rsidRPr="00196A81">
        <w:rPr>
          <w:rFonts w:ascii="Times New Roman" w:hAnsi="Times New Roman"/>
          <w:b/>
          <w:szCs w:val="24"/>
        </w:rPr>
        <w:t>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82421C" w14:paraId="56DDEFAE" w14:textId="0C83704D">
            <w:pPr>
              <w:tabs>
                <w:tab w:val="left" w:pos="-720"/>
                <w:tab w:val="left" w:pos="0"/>
              </w:tabs>
              <w:suppressAutoHyphens/>
              <w:rPr>
                <w:rFonts w:ascii="Times New Roman" w:hAnsi="Times New Roman"/>
                <w:bCs/>
                <w:szCs w:val="24"/>
                <w:highlight w:val="yellow"/>
              </w:rPr>
            </w:pPr>
            <w:r>
              <w:rPr>
                <w:rFonts w:ascii="Times New Roman" w:hAnsi="Times New Roman"/>
                <w:iCs/>
                <w:szCs w:val="24"/>
              </w:rPr>
              <w:t>18,750</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82421C" w:rsidR="0052073E" w:rsidP="00BF1380" w:rsidRDefault="0082421C" w14:paraId="56DDEFB3" w14:textId="0B5D7136">
            <w:pPr>
              <w:tabs>
                <w:tab w:val="left" w:pos="-720"/>
                <w:tab w:val="left" w:pos="0"/>
              </w:tabs>
              <w:suppressAutoHyphens/>
              <w:rPr>
                <w:rFonts w:ascii="Times New Roman" w:hAnsi="Times New Roman"/>
                <w:bCs/>
                <w:szCs w:val="24"/>
              </w:rPr>
            </w:pPr>
            <w:r w:rsidRPr="0082421C">
              <w:rPr>
                <w:rFonts w:ascii="Times New Roman" w:hAnsi="Times New Roman"/>
                <w:bCs/>
                <w:szCs w:val="24"/>
              </w:rPr>
              <w:t>250</w:t>
            </w: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9D48E2" w:rsidRDefault="004C2350" w14:paraId="7BCE9FE1" w14:textId="1CA88EC0">
      <w:pPr>
        <w:tabs>
          <w:tab w:val="left" w:pos="-720"/>
          <w:tab w:val="left" w:pos="0"/>
        </w:tabs>
        <w:suppressAutoHyphens/>
        <w:spacing w:after="120"/>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E06D6" w14:textId="77777777" w:rsidR="00723962" w:rsidRDefault="00723962" w:rsidP="00043C32">
      <w:r>
        <w:separator/>
      </w:r>
    </w:p>
  </w:endnote>
  <w:endnote w:type="continuationSeparator" w:id="0">
    <w:p w14:paraId="58DE18A8" w14:textId="77777777" w:rsidR="00723962" w:rsidRDefault="007239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723962">
    <w:pPr>
      <w:spacing w:before="140" w:line="100" w:lineRule="exact"/>
      <w:rPr>
        <w:sz w:val="10"/>
      </w:rPr>
    </w:pPr>
  </w:p>
  <w:p w14:paraId="56DDEFC9" w14:textId="77777777" w:rsidR="00386054" w:rsidRDefault="00723962">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BBA67" w14:textId="77777777" w:rsidR="00723962" w:rsidRDefault="00723962" w:rsidP="00043C32">
      <w:r>
        <w:separator/>
      </w:r>
    </w:p>
  </w:footnote>
  <w:footnote w:type="continuationSeparator" w:id="0">
    <w:p w14:paraId="20A5F5CB" w14:textId="77777777" w:rsidR="00723962" w:rsidRDefault="00723962"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B5BBA"/>
    <w:rsid w:val="000C2793"/>
    <w:rsid w:val="000F2750"/>
    <w:rsid w:val="000F4EF9"/>
    <w:rsid w:val="00140FC1"/>
    <w:rsid w:val="0014781D"/>
    <w:rsid w:val="0015687E"/>
    <w:rsid w:val="001616E7"/>
    <w:rsid w:val="001634C5"/>
    <w:rsid w:val="001704BC"/>
    <w:rsid w:val="001824F3"/>
    <w:rsid w:val="00193C1F"/>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69D4"/>
    <w:rsid w:val="0025791C"/>
    <w:rsid w:val="00262A69"/>
    <w:rsid w:val="00270AF7"/>
    <w:rsid w:val="002A0084"/>
    <w:rsid w:val="002A3221"/>
    <w:rsid w:val="002C3520"/>
    <w:rsid w:val="002C4CC6"/>
    <w:rsid w:val="002C7846"/>
    <w:rsid w:val="002E14E0"/>
    <w:rsid w:val="002F0981"/>
    <w:rsid w:val="002F55E5"/>
    <w:rsid w:val="002F67A4"/>
    <w:rsid w:val="003114C0"/>
    <w:rsid w:val="0032078A"/>
    <w:rsid w:val="0032539E"/>
    <w:rsid w:val="00335670"/>
    <w:rsid w:val="00337880"/>
    <w:rsid w:val="0035262A"/>
    <w:rsid w:val="003658B8"/>
    <w:rsid w:val="00382E93"/>
    <w:rsid w:val="003860E4"/>
    <w:rsid w:val="003B1545"/>
    <w:rsid w:val="003C61E2"/>
    <w:rsid w:val="003F3EA6"/>
    <w:rsid w:val="00400F78"/>
    <w:rsid w:val="00412915"/>
    <w:rsid w:val="004237B8"/>
    <w:rsid w:val="00442E07"/>
    <w:rsid w:val="0049050B"/>
    <w:rsid w:val="004B1AEE"/>
    <w:rsid w:val="004C1696"/>
    <w:rsid w:val="004C227C"/>
    <w:rsid w:val="004C2350"/>
    <w:rsid w:val="004D4096"/>
    <w:rsid w:val="0052073E"/>
    <w:rsid w:val="00534B4A"/>
    <w:rsid w:val="00575DDA"/>
    <w:rsid w:val="00581C11"/>
    <w:rsid w:val="005C1165"/>
    <w:rsid w:val="005E181A"/>
    <w:rsid w:val="00616F79"/>
    <w:rsid w:val="00665232"/>
    <w:rsid w:val="0068567A"/>
    <w:rsid w:val="006856D2"/>
    <w:rsid w:val="006A292A"/>
    <w:rsid w:val="006A38F7"/>
    <w:rsid w:val="006A4EBB"/>
    <w:rsid w:val="006B4172"/>
    <w:rsid w:val="006D32B9"/>
    <w:rsid w:val="007118A4"/>
    <w:rsid w:val="00713B69"/>
    <w:rsid w:val="00723962"/>
    <w:rsid w:val="00727FC2"/>
    <w:rsid w:val="00755D99"/>
    <w:rsid w:val="00756FD3"/>
    <w:rsid w:val="00765392"/>
    <w:rsid w:val="00790E3E"/>
    <w:rsid w:val="00793F2A"/>
    <w:rsid w:val="00794567"/>
    <w:rsid w:val="007A7678"/>
    <w:rsid w:val="007C0A4C"/>
    <w:rsid w:val="007C3424"/>
    <w:rsid w:val="007E465E"/>
    <w:rsid w:val="007F6104"/>
    <w:rsid w:val="007F77DD"/>
    <w:rsid w:val="00800D30"/>
    <w:rsid w:val="00807D1A"/>
    <w:rsid w:val="00815683"/>
    <w:rsid w:val="00816B96"/>
    <w:rsid w:val="0082421C"/>
    <w:rsid w:val="00860E11"/>
    <w:rsid w:val="00874EFE"/>
    <w:rsid w:val="00882126"/>
    <w:rsid w:val="008933F1"/>
    <w:rsid w:val="00893D99"/>
    <w:rsid w:val="008A1394"/>
    <w:rsid w:val="008C35D1"/>
    <w:rsid w:val="008C47F8"/>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767AF"/>
    <w:rsid w:val="00981F58"/>
    <w:rsid w:val="00986D0A"/>
    <w:rsid w:val="009B26BD"/>
    <w:rsid w:val="009B7EE0"/>
    <w:rsid w:val="009C23D7"/>
    <w:rsid w:val="009D48E2"/>
    <w:rsid w:val="009E3E86"/>
    <w:rsid w:val="00A118A2"/>
    <w:rsid w:val="00A23F26"/>
    <w:rsid w:val="00A4001C"/>
    <w:rsid w:val="00A40AAB"/>
    <w:rsid w:val="00A46D01"/>
    <w:rsid w:val="00A6459A"/>
    <w:rsid w:val="00A70816"/>
    <w:rsid w:val="00A73590"/>
    <w:rsid w:val="00A7636D"/>
    <w:rsid w:val="00A76C3D"/>
    <w:rsid w:val="00A9138E"/>
    <w:rsid w:val="00A916C2"/>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265D8"/>
    <w:rsid w:val="00B326A3"/>
    <w:rsid w:val="00B5339C"/>
    <w:rsid w:val="00B54167"/>
    <w:rsid w:val="00B60D84"/>
    <w:rsid w:val="00B623A1"/>
    <w:rsid w:val="00B62E06"/>
    <w:rsid w:val="00B64B1D"/>
    <w:rsid w:val="00B9671B"/>
    <w:rsid w:val="00BA1D31"/>
    <w:rsid w:val="00BA218A"/>
    <w:rsid w:val="00BA4301"/>
    <w:rsid w:val="00BF1380"/>
    <w:rsid w:val="00BF49CC"/>
    <w:rsid w:val="00C07FC2"/>
    <w:rsid w:val="00C164D3"/>
    <w:rsid w:val="00C16769"/>
    <w:rsid w:val="00C20670"/>
    <w:rsid w:val="00C224FD"/>
    <w:rsid w:val="00C41664"/>
    <w:rsid w:val="00C61504"/>
    <w:rsid w:val="00C662C4"/>
    <w:rsid w:val="00C6739F"/>
    <w:rsid w:val="00C86713"/>
    <w:rsid w:val="00C875E8"/>
    <w:rsid w:val="00C92035"/>
    <w:rsid w:val="00C95DBB"/>
    <w:rsid w:val="00CB2F2E"/>
    <w:rsid w:val="00CB44DA"/>
    <w:rsid w:val="00CC2A72"/>
    <w:rsid w:val="00CC3FB5"/>
    <w:rsid w:val="00CD2067"/>
    <w:rsid w:val="00CD47BC"/>
    <w:rsid w:val="00CE13BB"/>
    <w:rsid w:val="00D1677E"/>
    <w:rsid w:val="00D34984"/>
    <w:rsid w:val="00D36C35"/>
    <w:rsid w:val="00D642C8"/>
    <w:rsid w:val="00D66A30"/>
    <w:rsid w:val="00D67E1A"/>
    <w:rsid w:val="00D75313"/>
    <w:rsid w:val="00D80B60"/>
    <w:rsid w:val="00D90557"/>
    <w:rsid w:val="00D97E48"/>
    <w:rsid w:val="00DB47C5"/>
    <w:rsid w:val="00DC3A4D"/>
    <w:rsid w:val="00DD1696"/>
    <w:rsid w:val="00DD2C0A"/>
    <w:rsid w:val="00DE1035"/>
    <w:rsid w:val="00DF11C8"/>
    <w:rsid w:val="00E131DD"/>
    <w:rsid w:val="00E16ACD"/>
    <w:rsid w:val="00E17134"/>
    <w:rsid w:val="00E22868"/>
    <w:rsid w:val="00E25EBC"/>
    <w:rsid w:val="00E3375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30E5"/>
    <w:rsid w:val="00F0414F"/>
    <w:rsid w:val="00F070F3"/>
    <w:rsid w:val="00F27525"/>
    <w:rsid w:val="00F27AAF"/>
    <w:rsid w:val="00F31941"/>
    <w:rsid w:val="00F31BEC"/>
    <w:rsid w:val="00F3452B"/>
    <w:rsid w:val="00F5782B"/>
    <w:rsid w:val="00F73131"/>
    <w:rsid w:val="00F75432"/>
    <w:rsid w:val="00F87D86"/>
    <w:rsid w:val="00FC669D"/>
    <w:rsid w:val="00FD4F0B"/>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Abate, Lindsay M. EOP/OMB</cp:lastModifiedBy>
  <cp:revision>2</cp:revision>
  <dcterms:created xsi:type="dcterms:W3CDTF">2020-08-17T18:48:00Z</dcterms:created>
  <dcterms:modified xsi:type="dcterms:W3CDTF">2020-08-17T18:48:00Z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