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3F25" w:rsidR="00F576FF" w:rsidP="009925D6" w:rsidRDefault="00FB0DC2" w14:paraId="14E12F31" w14:textId="244F7B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Effective Educator Development (EED) Applicant/</w:t>
      </w:r>
      <w:r w:rsidRPr="00C73F25" w:rsidR="00BC2038">
        <w:rPr>
          <w:b/>
          <w:bCs/>
          <w:sz w:val="24"/>
          <w:szCs w:val="24"/>
        </w:rPr>
        <w:t xml:space="preserve">Grantee </w:t>
      </w:r>
      <w:bookmarkStart w:name="_GoBack" w:id="0"/>
      <w:r w:rsidRPr="00C73F25" w:rsidR="00867439">
        <w:rPr>
          <w:b/>
          <w:bCs/>
          <w:sz w:val="24"/>
          <w:szCs w:val="24"/>
        </w:rPr>
        <w:t>Budget Worksheet</w:t>
      </w:r>
      <w:r w:rsidRPr="00C73F25" w:rsidR="00F576FF">
        <w:rPr>
          <w:b/>
          <w:bCs/>
          <w:sz w:val="24"/>
          <w:szCs w:val="24"/>
        </w:rPr>
        <w:t xml:space="preserve"> Instructions</w:t>
      </w:r>
    </w:p>
    <w:bookmarkEnd w:id="0"/>
    <w:p w:rsidR="009E0005" w:rsidP="006D76FA" w:rsidRDefault="00FB0DC2" w14:paraId="451E5332" w14:textId="6F1777F7">
      <w:pPr>
        <w:rPr>
          <w:sz w:val="24"/>
          <w:szCs w:val="24"/>
        </w:rPr>
      </w:pPr>
      <w:r w:rsidRPr="009E0005">
        <w:rPr>
          <w:sz w:val="24"/>
          <w:szCs w:val="24"/>
        </w:rPr>
        <w:t>EED</w:t>
      </w:r>
      <w:r>
        <w:rPr>
          <w:i/>
          <w:iCs/>
          <w:sz w:val="24"/>
          <w:szCs w:val="24"/>
        </w:rPr>
        <w:t xml:space="preserve"> </w:t>
      </w:r>
      <w:r w:rsidRPr="00C73F25" w:rsidR="004415AC">
        <w:rPr>
          <w:sz w:val="24"/>
          <w:szCs w:val="24"/>
        </w:rPr>
        <w:t>applicants</w:t>
      </w:r>
      <w:r w:rsidRPr="00C73F25" w:rsidR="00E41343">
        <w:rPr>
          <w:sz w:val="24"/>
          <w:szCs w:val="24"/>
        </w:rPr>
        <w:t xml:space="preserve"> </w:t>
      </w:r>
      <w:r w:rsidRPr="00397C53" w:rsidR="004415AC">
        <w:rPr>
          <w:b/>
          <w:bCs/>
          <w:sz w:val="24"/>
          <w:szCs w:val="24"/>
        </w:rPr>
        <w:t>must</w:t>
      </w:r>
      <w:r w:rsidRPr="00C73F25" w:rsidR="004415AC">
        <w:rPr>
          <w:sz w:val="24"/>
          <w:szCs w:val="24"/>
        </w:rPr>
        <w:t xml:space="preserve"> </w:t>
      </w:r>
      <w:r w:rsidRPr="00C73F25" w:rsidR="008733D9">
        <w:rPr>
          <w:sz w:val="24"/>
          <w:szCs w:val="24"/>
        </w:rPr>
        <w:t>complete the</w:t>
      </w:r>
      <w:r w:rsidRPr="009E0005" w:rsidR="00E73DBF">
        <w:rPr>
          <w:i/>
          <w:iCs/>
          <w:sz w:val="24"/>
          <w:szCs w:val="24"/>
        </w:rPr>
        <w:t xml:space="preserve"> </w:t>
      </w:r>
      <w:r w:rsidRPr="009E0005">
        <w:rPr>
          <w:i/>
          <w:iCs/>
          <w:sz w:val="24"/>
          <w:szCs w:val="24"/>
        </w:rPr>
        <w:t xml:space="preserve">EED </w:t>
      </w:r>
      <w:proofErr w:type="spellStart"/>
      <w:r w:rsidRPr="00552C6D">
        <w:rPr>
          <w:i/>
          <w:iCs/>
          <w:sz w:val="24"/>
          <w:szCs w:val="24"/>
        </w:rPr>
        <w:t>Applicant</w:t>
      </w:r>
      <w:r w:rsidR="0021092F">
        <w:rPr>
          <w:sz w:val="24"/>
          <w:szCs w:val="24"/>
        </w:rPr>
        <w:t>_</w:t>
      </w:r>
      <w:r w:rsidRPr="00C73F25" w:rsidR="008733D9">
        <w:rPr>
          <w:i/>
          <w:iCs/>
          <w:sz w:val="24"/>
          <w:szCs w:val="24"/>
        </w:rPr>
        <w:t>Grantee</w:t>
      </w:r>
      <w:proofErr w:type="spellEnd"/>
      <w:r w:rsidRPr="00C73F25" w:rsidR="008733D9">
        <w:rPr>
          <w:i/>
          <w:iCs/>
          <w:sz w:val="24"/>
          <w:szCs w:val="24"/>
        </w:rPr>
        <w:t xml:space="preserve"> Budget Worksheet</w:t>
      </w:r>
      <w:r w:rsidRPr="009E0005">
        <w:rPr>
          <w:sz w:val="24"/>
          <w:szCs w:val="24"/>
        </w:rPr>
        <w:t xml:space="preserve"> at the time of application</w:t>
      </w:r>
      <w:r w:rsidRPr="009E0005" w:rsidR="008733D9">
        <w:rPr>
          <w:sz w:val="24"/>
          <w:szCs w:val="24"/>
        </w:rPr>
        <w:t xml:space="preserve"> to demonstrate the</w:t>
      </w:r>
      <w:r w:rsidRPr="009E0005" w:rsidR="00B83BD6">
        <w:rPr>
          <w:sz w:val="24"/>
          <w:szCs w:val="24"/>
        </w:rPr>
        <w:t xml:space="preserve"> </w:t>
      </w:r>
      <w:r w:rsidRPr="009E0005" w:rsidR="008733D9">
        <w:rPr>
          <w:sz w:val="24"/>
          <w:szCs w:val="24"/>
        </w:rPr>
        <w:t xml:space="preserve">proposed project </w:t>
      </w:r>
      <w:r w:rsidRPr="009E0005" w:rsidR="00B83BD6">
        <w:rPr>
          <w:sz w:val="24"/>
          <w:szCs w:val="24"/>
        </w:rPr>
        <w:t>cost</w:t>
      </w:r>
      <w:r w:rsidRPr="009E0005" w:rsidR="004415AC">
        <w:rPr>
          <w:sz w:val="24"/>
          <w:szCs w:val="24"/>
        </w:rPr>
        <w:t>s</w:t>
      </w:r>
      <w:r w:rsidRPr="009E0005" w:rsidR="00782052">
        <w:rPr>
          <w:sz w:val="24"/>
          <w:szCs w:val="24"/>
        </w:rPr>
        <w:t xml:space="preserve"> </w:t>
      </w:r>
      <w:r w:rsidRPr="009E0005" w:rsidR="008733D9">
        <w:rPr>
          <w:sz w:val="24"/>
          <w:szCs w:val="24"/>
        </w:rPr>
        <w:t>for all years of the</w:t>
      </w:r>
      <w:r w:rsidRPr="00C73F25" w:rsidR="008733D9">
        <w:rPr>
          <w:sz w:val="24"/>
          <w:szCs w:val="24"/>
        </w:rPr>
        <w:t xml:space="preserve"> </w:t>
      </w:r>
      <w:r w:rsidR="006E016C">
        <w:rPr>
          <w:sz w:val="24"/>
          <w:szCs w:val="24"/>
        </w:rPr>
        <w:t>proposed project period</w:t>
      </w:r>
      <w:r w:rsidR="00B77E5B">
        <w:rPr>
          <w:sz w:val="24"/>
          <w:szCs w:val="24"/>
        </w:rPr>
        <w:t>.</w:t>
      </w:r>
      <w:r w:rsidRPr="00C73F25" w:rsidR="00414168">
        <w:rPr>
          <w:sz w:val="24"/>
          <w:szCs w:val="24"/>
        </w:rPr>
        <w:t xml:space="preserve"> This </w:t>
      </w:r>
      <w:r>
        <w:rPr>
          <w:sz w:val="24"/>
          <w:szCs w:val="24"/>
        </w:rPr>
        <w:t xml:space="preserve">budget </w:t>
      </w:r>
      <w:r w:rsidRPr="00C73F25" w:rsidR="00414168">
        <w:rPr>
          <w:sz w:val="24"/>
          <w:szCs w:val="24"/>
        </w:rPr>
        <w:t>worksheet will replace the ED 524</w:t>
      </w:r>
      <w:r>
        <w:rPr>
          <w:sz w:val="24"/>
          <w:szCs w:val="24"/>
        </w:rPr>
        <w:t xml:space="preserve"> Summary budget worksheet</w:t>
      </w:r>
      <w:r w:rsidR="001F5A72">
        <w:rPr>
          <w:sz w:val="24"/>
          <w:szCs w:val="24"/>
        </w:rPr>
        <w:t xml:space="preserve">. </w:t>
      </w:r>
      <w:r w:rsidRPr="00C73F25" w:rsidR="00414168">
        <w:rPr>
          <w:sz w:val="24"/>
          <w:szCs w:val="24"/>
        </w:rPr>
        <w:t xml:space="preserve"> </w:t>
      </w:r>
    </w:p>
    <w:p w:rsidR="00B77E5B" w:rsidP="00B77E5B" w:rsidRDefault="00B77E5B" w14:paraId="52E16CE2" w14:textId="14053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SEED </w:t>
      </w:r>
      <w:proofErr w:type="gramStart"/>
      <w:r>
        <w:rPr>
          <w:sz w:val="24"/>
          <w:szCs w:val="24"/>
        </w:rPr>
        <w:t>-  3</w:t>
      </w:r>
      <w:proofErr w:type="gramEnd"/>
      <w:r>
        <w:rPr>
          <w:sz w:val="24"/>
          <w:szCs w:val="24"/>
        </w:rPr>
        <w:t>-year award;</w:t>
      </w:r>
    </w:p>
    <w:p w:rsidR="00B77E5B" w:rsidP="00B77E5B" w:rsidRDefault="00B77E5B" w14:paraId="69B7B63B" w14:textId="070A54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TSL - 3-year </w:t>
      </w:r>
      <w:proofErr w:type="gramStart"/>
      <w:r>
        <w:rPr>
          <w:sz w:val="24"/>
          <w:szCs w:val="24"/>
        </w:rPr>
        <w:t>award;</w:t>
      </w:r>
      <w:proofErr w:type="gramEnd"/>
    </w:p>
    <w:p w:rsidRPr="00B77E5B" w:rsidR="00B77E5B" w:rsidP="00B77E5B" w:rsidRDefault="00B77E5B" w14:paraId="53FFDAB7" w14:textId="7AE41C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TQP - 5-year award</w:t>
      </w:r>
    </w:p>
    <w:p w:rsidR="00402E5B" w:rsidP="006D76FA" w:rsidRDefault="00402E5B" w14:paraId="75E73A72" w14:textId="7CC9B8FB">
      <w:pPr>
        <w:rPr>
          <w:sz w:val="24"/>
          <w:szCs w:val="24"/>
        </w:rPr>
      </w:pPr>
      <w:r w:rsidRPr="00402E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Section </w:t>
      </w:r>
      <w:r w:rsidR="00FC5F15">
        <w:rPr>
          <w:sz w:val="24"/>
          <w:szCs w:val="24"/>
        </w:rPr>
        <w:t xml:space="preserve">tabs </w:t>
      </w:r>
      <w:r>
        <w:rPr>
          <w:sz w:val="24"/>
          <w:szCs w:val="24"/>
        </w:rPr>
        <w:t>A-</w:t>
      </w:r>
      <w:r w:rsidR="00397C53">
        <w:rPr>
          <w:sz w:val="24"/>
          <w:szCs w:val="24"/>
        </w:rPr>
        <w:t>E</w:t>
      </w:r>
      <w:r w:rsidRPr="00402E5B">
        <w:rPr>
          <w:sz w:val="24"/>
          <w:szCs w:val="24"/>
        </w:rPr>
        <w:t xml:space="preserve"> of the worksheet </w:t>
      </w:r>
      <w:r w:rsidR="00A67416">
        <w:rPr>
          <w:sz w:val="24"/>
          <w:szCs w:val="24"/>
        </w:rPr>
        <w:t xml:space="preserve">are required for the reporting of </w:t>
      </w:r>
      <w:r w:rsidRPr="00402E5B">
        <w:rPr>
          <w:sz w:val="24"/>
          <w:szCs w:val="24"/>
        </w:rPr>
        <w:t xml:space="preserve"> </w:t>
      </w:r>
      <w:r w:rsidR="00397C53">
        <w:rPr>
          <w:sz w:val="24"/>
          <w:szCs w:val="24"/>
        </w:rPr>
        <w:t>budget</w:t>
      </w:r>
      <w:r w:rsidRPr="00402E5B">
        <w:rPr>
          <w:sz w:val="24"/>
          <w:szCs w:val="24"/>
        </w:rPr>
        <w:t xml:space="preserve"> information</w:t>
      </w:r>
      <w:r w:rsidR="00397C53">
        <w:rPr>
          <w:sz w:val="24"/>
          <w:szCs w:val="24"/>
        </w:rPr>
        <w:t xml:space="preserve"> for </w:t>
      </w:r>
      <w:r w:rsidR="006E016C">
        <w:rPr>
          <w:sz w:val="24"/>
          <w:szCs w:val="24"/>
        </w:rPr>
        <w:t xml:space="preserve">both </w:t>
      </w:r>
      <w:r w:rsidR="00397C53">
        <w:rPr>
          <w:sz w:val="24"/>
          <w:szCs w:val="24"/>
        </w:rPr>
        <w:t>federal and nonfederal funds</w:t>
      </w:r>
      <w:r w:rsidRPr="00402E5B">
        <w:rPr>
          <w:sz w:val="24"/>
          <w:szCs w:val="24"/>
        </w:rPr>
        <w:t>.  The worksheet contains prepopulated formulas for your convenience.</w:t>
      </w:r>
    </w:p>
    <w:p w:rsidR="009E0005" w:rsidP="006D76FA" w:rsidRDefault="009E0005" w14:paraId="6A416E65" w14:textId="56CBFE4F">
      <w:pPr>
        <w:rPr>
          <w:sz w:val="24"/>
          <w:szCs w:val="24"/>
        </w:rPr>
      </w:pPr>
      <w:r w:rsidRPr="00EA685E">
        <w:rPr>
          <w:b/>
          <w:bCs/>
          <w:sz w:val="24"/>
          <w:szCs w:val="24"/>
        </w:rPr>
        <w:t>SECTION A:</w:t>
      </w:r>
      <w:r w:rsidR="007F5414">
        <w:rPr>
          <w:sz w:val="24"/>
          <w:szCs w:val="24"/>
        </w:rPr>
        <w:t xml:space="preserve"> </w:t>
      </w:r>
      <w:r w:rsidR="001B63D2">
        <w:rPr>
          <w:sz w:val="24"/>
          <w:szCs w:val="24"/>
        </w:rPr>
        <w:t>A</w:t>
      </w:r>
      <w:r w:rsidR="00FC5F15">
        <w:rPr>
          <w:sz w:val="24"/>
          <w:szCs w:val="24"/>
        </w:rPr>
        <w:t xml:space="preserve">pplicants </w:t>
      </w:r>
      <w:r w:rsidR="001B63D2">
        <w:rPr>
          <w:sz w:val="24"/>
          <w:szCs w:val="24"/>
        </w:rPr>
        <w:t>must</w:t>
      </w:r>
      <w:r w:rsidR="00FC5F15">
        <w:rPr>
          <w:sz w:val="24"/>
          <w:szCs w:val="24"/>
        </w:rPr>
        <w:t xml:space="preserve"> provide</w:t>
      </w:r>
      <w:r w:rsidRPr="00C73F25" w:rsidR="006936D8">
        <w:rPr>
          <w:sz w:val="24"/>
          <w:szCs w:val="24"/>
        </w:rPr>
        <w:t xml:space="preserve"> a summary of</w:t>
      </w:r>
      <w:r w:rsidRPr="00C73F25" w:rsidR="00B76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requested federal funds for each line item </w:t>
      </w:r>
      <w:bookmarkStart w:name="_Hlk36056444" w:id="1"/>
      <w:r>
        <w:rPr>
          <w:sz w:val="24"/>
          <w:szCs w:val="24"/>
        </w:rPr>
        <w:t>category</w:t>
      </w:r>
      <w:r w:rsidR="00FC5F15">
        <w:rPr>
          <w:sz w:val="24"/>
          <w:szCs w:val="24"/>
        </w:rPr>
        <w:t xml:space="preserve"> included on the worksheet</w:t>
      </w:r>
      <w:r>
        <w:rPr>
          <w:sz w:val="24"/>
          <w:szCs w:val="24"/>
        </w:rPr>
        <w:t xml:space="preserve">.  </w:t>
      </w:r>
      <w:bookmarkStart w:name="_Hlk36053107" w:id="2"/>
      <w:bookmarkEnd w:id="1"/>
      <w:r w:rsidR="00EA685E">
        <w:rPr>
          <w:sz w:val="24"/>
          <w:szCs w:val="24"/>
        </w:rPr>
        <w:t xml:space="preserve">Applicants should provide dollar amounts for all </w:t>
      </w:r>
      <w:r w:rsidR="00402E5B">
        <w:rPr>
          <w:sz w:val="24"/>
          <w:szCs w:val="24"/>
        </w:rPr>
        <w:t xml:space="preserve">requested </w:t>
      </w:r>
      <w:r w:rsidR="00EA685E">
        <w:rPr>
          <w:sz w:val="24"/>
          <w:szCs w:val="24"/>
        </w:rPr>
        <w:t xml:space="preserve">years of the </w:t>
      </w:r>
      <w:r w:rsidR="00FC5F15">
        <w:rPr>
          <w:sz w:val="24"/>
          <w:szCs w:val="24"/>
        </w:rPr>
        <w:t>desired grant</w:t>
      </w:r>
      <w:r w:rsidR="00EA685E">
        <w:rPr>
          <w:sz w:val="24"/>
          <w:szCs w:val="24"/>
        </w:rPr>
        <w:t xml:space="preserve"> award.</w:t>
      </w:r>
    </w:p>
    <w:p w:rsidR="00397C53" w:rsidP="00397C53" w:rsidRDefault="00397C53" w14:paraId="718E317C" w14:textId="2E31B81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397C53">
        <w:rPr>
          <w:sz w:val="24"/>
          <w:szCs w:val="24"/>
        </w:rPr>
        <w:t xml:space="preserve">Applicants should populate the </w:t>
      </w:r>
      <w:r w:rsidRPr="00397C53">
        <w:rPr>
          <w:i/>
          <w:iCs/>
          <w:sz w:val="24"/>
          <w:szCs w:val="24"/>
        </w:rPr>
        <w:t>Name of Institution/Organization: and</w:t>
      </w:r>
      <w:r w:rsidR="00552C6D">
        <w:rPr>
          <w:i/>
          <w:iCs/>
          <w:sz w:val="24"/>
          <w:szCs w:val="24"/>
        </w:rPr>
        <w:t xml:space="preserve"> </w:t>
      </w:r>
      <w:r w:rsidR="007F5414">
        <w:rPr>
          <w:i/>
          <w:iCs/>
          <w:sz w:val="24"/>
          <w:szCs w:val="24"/>
        </w:rPr>
        <w:t xml:space="preserve">use the dropdown to select </w:t>
      </w:r>
      <w:r w:rsidRPr="00397C53">
        <w:rPr>
          <w:i/>
          <w:iCs/>
          <w:sz w:val="24"/>
          <w:szCs w:val="24"/>
        </w:rPr>
        <w:t>the appropriate EED program (SEED, TSL, or TQP)</w:t>
      </w:r>
      <w:r w:rsidR="00FC5F15">
        <w:rPr>
          <w:i/>
          <w:iCs/>
          <w:sz w:val="24"/>
          <w:szCs w:val="24"/>
        </w:rPr>
        <w:t xml:space="preserve"> at the top of the Section A tab</w:t>
      </w:r>
      <w:r w:rsidRPr="00397C53">
        <w:rPr>
          <w:i/>
          <w:iCs/>
          <w:sz w:val="24"/>
          <w:szCs w:val="24"/>
        </w:rPr>
        <w:t xml:space="preserve">.  </w:t>
      </w:r>
    </w:p>
    <w:p w:rsidRPr="00A31B23" w:rsidR="00A31B23" w:rsidP="00A31B23" w:rsidRDefault="00A31B23" w14:paraId="2B1C8B20" w14:textId="77777777">
      <w:pPr>
        <w:numPr>
          <w:ilvl w:val="0"/>
          <w:numId w:val="4"/>
        </w:numPr>
        <w:spacing w:after="0" w:line="252" w:lineRule="auto"/>
        <w:contextualSpacing/>
        <w:rPr>
          <w:rFonts w:ascii="Calibri" w:hAnsi="Calibri" w:eastAsia="Times New Roman" w:cs="Calibri"/>
          <w:sz w:val="24"/>
          <w:szCs w:val="24"/>
        </w:rPr>
      </w:pPr>
      <w:bookmarkStart w:name="_Hlk37259891" w:id="3"/>
      <w:r w:rsidRPr="00A31B23">
        <w:rPr>
          <w:rFonts w:ascii="Calibri" w:hAnsi="Calibri" w:eastAsia="Times New Roman" w:cs="Calibri"/>
          <w:i/>
          <w:iCs/>
          <w:sz w:val="24"/>
          <w:szCs w:val="24"/>
        </w:rPr>
        <w:t xml:space="preserve">Performance Based Compensation is only applicable for Teacher and School Leader Incentive program (TSL) applicants and grantees. Costs associated with performance </w:t>
      </w:r>
      <w:r w:rsidRPr="00A31B23">
        <w:rPr>
          <w:rFonts w:ascii="Calibri" w:hAnsi="Calibri" w:eastAsia="Times New Roman" w:cs="Calibri"/>
          <w:i/>
          <w:iCs/>
          <w:sz w:val="24"/>
          <w:szCs w:val="24"/>
        </w:rPr>
        <w:t>payments for educators should be reflected in this line item, only.  </w:t>
      </w:r>
    </w:p>
    <w:bookmarkEnd w:id="2"/>
    <w:bookmarkEnd w:id="3"/>
    <w:p w:rsidRPr="00D07ED6" w:rsidR="0097649C" w:rsidP="00D07ED6" w:rsidRDefault="0097649C" w14:paraId="5147446C" w14:textId="77777777">
      <w:pPr>
        <w:pStyle w:val="ListParagraph"/>
        <w:rPr>
          <w:sz w:val="24"/>
          <w:szCs w:val="24"/>
        </w:rPr>
      </w:pPr>
    </w:p>
    <w:p w:rsidRPr="00D07ED6" w:rsidR="00D07ED6" w:rsidP="00D72814" w:rsidRDefault="00D07ED6" w14:paraId="26F9EEF2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Indirect Cost Rates:  </w:t>
      </w:r>
    </w:p>
    <w:p w:rsidRPr="00D07ED6" w:rsidR="00D07ED6" w:rsidP="001E1273" w:rsidRDefault="00D07ED6" w14:paraId="7460DEC6" w14:textId="6B7F758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SEED and TSL programs are Supplement Not Supplant grants and </w:t>
      </w:r>
      <w:r w:rsidR="006E016C">
        <w:rPr>
          <w:i/>
          <w:iCs/>
          <w:sz w:val="24"/>
          <w:szCs w:val="24"/>
        </w:rPr>
        <w:t xml:space="preserve">applicants </w:t>
      </w:r>
      <w:r>
        <w:rPr>
          <w:i/>
          <w:iCs/>
          <w:sz w:val="24"/>
          <w:szCs w:val="24"/>
        </w:rPr>
        <w:t xml:space="preserve">must </w:t>
      </w:r>
      <w:r w:rsidR="00552C6D">
        <w:rPr>
          <w:i/>
          <w:iCs/>
          <w:sz w:val="24"/>
          <w:szCs w:val="24"/>
        </w:rPr>
        <w:t>u</w:t>
      </w:r>
      <w:r w:rsidR="006E016C">
        <w:rPr>
          <w:i/>
          <w:iCs/>
          <w:sz w:val="24"/>
          <w:szCs w:val="24"/>
        </w:rPr>
        <w:t xml:space="preserve">se </w:t>
      </w:r>
      <w:r>
        <w:rPr>
          <w:i/>
          <w:iCs/>
          <w:sz w:val="24"/>
          <w:szCs w:val="24"/>
        </w:rPr>
        <w:t xml:space="preserve">a restricted indirect cost rate not to exceed 8 percent.  </w:t>
      </w:r>
    </w:p>
    <w:p w:rsidRPr="00552C6D" w:rsidR="00D07ED6" w:rsidP="001E1273" w:rsidRDefault="00D07ED6" w14:paraId="6E613EA5" w14:textId="167C854C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>
        <w:rPr>
          <w:i/>
          <w:iCs/>
          <w:sz w:val="24"/>
          <w:szCs w:val="24"/>
        </w:rPr>
        <w:t>The TQP program is considered a training grant</w:t>
      </w:r>
      <w:r w:rsidR="006E016C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which </w:t>
      </w:r>
      <w:r w:rsidR="006E016C">
        <w:rPr>
          <w:i/>
          <w:iCs/>
          <w:sz w:val="24"/>
          <w:szCs w:val="24"/>
        </w:rPr>
        <w:t xml:space="preserve">limits the indirect cost </w:t>
      </w:r>
      <w:r>
        <w:rPr>
          <w:i/>
          <w:iCs/>
          <w:sz w:val="24"/>
          <w:szCs w:val="24"/>
        </w:rPr>
        <w:t xml:space="preserve">rate </w:t>
      </w:r>
      <w:r w:rsidR="006E016C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 xml:space="preserve">8 percent. In addition, TQP has a 2% administrative cost cap which </w:t>
      </w:r>
      <w:r w:rsidR="006E016C">
        <w:rPr>
          <w:i/>
          <w:iCs/>
          <w:sz w:val="24"/>
          <w:szCs w:val="24"/>
        </w:rPr>
        <w:t xml:space="preserve">may </w:t>
      </w:r>
      <w:r>
        <w:rPr>
          <w:i/>
          <w:iCs/>
          <w:sz w:val="24"/>
          <w:szCs w:val="24"/>
        </w:rPr>
        <w:t>supersede the 8 percent training rate.  Applicants should review the</w:t>
      </w:r>
      <w:r w:rsidR="007F5414">
        <w:rPr>
          <w:i/>
          <w:iCs/>
          <w:sz w:val="24"/>
          <w:szCs w:val="24"/>
        </w:rPr>
        <w:t>ir</w:t>
      </w:r>
      <w:r>
        <w:rPr>
          <w:i/>
          <w:iCs/>
          <w:sz w:val="24"/>
          <w:szCs w:val="24"/>
        </w:rPr>
        <w:t xml:space="preserve"> individual indirect cost rate agreements to determine what rate the</w:t>
      </w:r>
      <w:r w:rsidR="006E016C">
        <w:rPr>
          <w:i/>
          <w:iCs/>
          <w:sz w:val="24"/>
          <w:szCs w:val="24"/>
        </w:rPr>
        <w:t>y</w:t>
      </w:r>
      <w:r>
        <w:rPr>
          <w:i/>
          <w:iCs/>
          <w:sz w:val="24"/>
          <w:szCs w:val="24"/>
        </w:rPr>
        <w:t xml:space="preserve"> may use for the propose TQP grant award.</w:t>
      </w:r>
    </w:p>
    <w:p w:rsidRPr="00D07ED6" w:rsidR="006E016C" w:rsidP="001E1273" w:rsidRDefault="00A67416" w14:paraId="0217B42D" w14:textId="03296721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bookmarkStart w:name="_Hlk37260844" w:id="4"/>
      <w:r>
        <w:rPr>
          <w:i/>
          <w:iCs/>
          <w:sz w:val="24"/>
          <w:szCs w:val="24"/>
        </w:rPr>
        <w:t>Applicant</w:t>
      </w:r>
      <w:r w:rsidR="007F5414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who appl</w:t>
      </w:r>
      <w:r w:rsidR="007F5414">
        <w:rPr>
          <w:i/>
          <w:iCs/>
          <w:sz w:val="24"/>
          <w:szCs w:val="24"/>
        </w:rPr>
        <w:t>y an</w:t>
      </w:r>
      <w:r>
        <w:rPr>
          <w:i/>
          <w:iCs/>
          <w:sz w:val="24"/>
          <w:szCs w:val="24"/>
        </w:rPr>
        <w:t xml:space="preserve"> incorrect indirect cost</w:t>
      </w:r>
      <w:r w:rsidR="007F5414">
        <w:rPr>
          <w:i/>
          <w:iCs/>
          <w:sz w:val="24"/>
          <w:szCs w:val="24"/>
        </w:rPr>
        <w:t xml:space="preserve"> rate to</w:t>
      </w:r>
      <w:r>
        <w:rPr>
          <w:i/>
          <w:iCs/>
          <w:sz w:val="24"/>
          <w:szCs w:val="24"/>
        </w:rPr>
        <w:t xml:space="preserve"> their proposed budgets </w:t>
      </w:r>
      <w:r w:rsidR="006E016C">
        <w:rPr>
          <w:i/>
          <w:iCs/>
          <w:sz w:val="24"/>
          <w:szCs w:val="24"/>
        </w:rPr>
        <w:t xml:space="preserve">will </w:t>
      </w:r>
      <w:r>
        <w:rPr>
          <w:i/>
          <w:iCs/>
          <w:sz w:val="24"/>
          <w:szCs w:val="24"/>
        </w:rPr>
        <w:t xml:space="preserve">be required to </w:t>
      </w:r>
      <w:r w:rsidR="007F5414">
        <w:rPr>
          <w:i/>
          <w:iCs/>
          <w:sz w:val="24"/>
          <w:szCs w:val="24"/>
        </w:rPr>
        <w:t>apply</w:t>
      </w:r>
      <w:r>
        <w:rPr>
          <w:i/>
          <w:iCs/>
          <w:sz w:val="24"/>
          <w:szCs w:val="24"/>
        </w:rPr>
        <w:t xml:space="preserve"> </w:t>
      </w:r>
      <w:r w:rsidR="006E016C">
        <w:rPr>
          <w:i/>
          <w:iCs/>
          <w:sz w:val="24"/>
          <w:szCs w:val="24"/>
        </w:rPr>
        <w:t xml:space="preserve">the correct indirect cost rate </w:t>
      </w:r>
      <w:r>
        <w:rPr>
          <w:i/>
          <w:iCs/>
          <w:sz w:val="24"/>
          <w:szCs w:val="24"/>
        </w:rPr>
        <w:t xml:space="preserve">if </w:t>
      </w:r>
      <w:r w:rsidR="007F5414">
        <w:rPr>
          <w:i/>
          <w:iCs/>
          <w:sz w:val="24"/>
          <w:szCs w:val="24"/>
        </w:rPr>
        <w:t xml:space="preserve">their application is </w:t>
      </w:r>
      <w:r>
        <w:rPr>
          <w:i/>
          <w:iCs/>
          <w:sz w:val="24"/>
          <w:szCs w:val="24"/>
        </w:rPr>
        <w:t xml:space="preserve">proposed for funding </w:t>
      </w:r>
      <w:r w:rsidR="006E016C">
        <w:rPr>
          <w:i/>
          <w:iCs/>
          <w:sz w:val="24"/>
          <w:szCs w:val="24"/>
        </w:rPr>
        <w:t>prior to the start of their project period.</w:t>
      </w:r>
    </w:p>
    <w:p w:rsidRPr="00B77E5B" w:rsidR="00D07ED6" w:rsidP="001E1273" w:rsidRDefault="00D07ED6" w14:paraId="5B6C8197" w14:textId="3DFE8774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bookmarkStart w:name="_Hlk36060393" w:id="5"/>
      <w:bookmarkEnd w:id="4"/>
      <w:r>
        <w:rPr>
          <w:sz w:val="24"/>
          <w:szCs w:val="24"/>
        </w:rPr>
        <w:t>All applicants should review the Budget and Match</w:t>
      </w:r>
      <w:r w:rsidR="007F5414">
        <w:rPr>
          <w:sz w:val="24"/>
          <w:szCs w:val="24"/>
        </w:rPr>
        <w:t>/Cost Share</w:t>
      </w:r>
      <w:r>
        <w:rPr>
          <w:sz w:val="24"/>
          <w:szCs w:val="24"/>
        </w:rPr>
        <w:t xml:space="preserve"> webinars </w:t>
      </w:r>
      <w:r w:rsidR="0097649C">
        <w:rPr>
          <w:sz w:val="24"/>
          <w:szCs w:val="24"/>
        </w:rPr>
        <w:t xml:space="preserve"> and Match/Cost Share FAQs </w:t>
      </w:r>
      <w:r>
        <w:rPr>
          <w:sz w:val="24"/>
          <w:szCs w:val="24"/>
        </w:rPr>
        <w:t xml:space="preserve">found on each program webpage for additional information on indirect cost rates. </w:t>
      </w:r>
    </w:p>
    <w:bookmarkEnd w:id="5"/>
    <w:p w:rsidR="003059E7" w:rsidP="00B77E5B" w:rsidRDefault="009E0005" w14:paraId="53CFBBC2" w14:textId="138257A0">
      <w:pPr>
        <w:rPr>
          <w:sz w:val="24"/>
          <w:szCs w:val="24"/>
        </w:rPr>
      </w:pPr>
      <w:r w:rsidRPr="00B77E5B">
        <w:rPr>
          <w:b/>
          <w:bCs/>
          <w:sz w:val="24"/>
          <w:szCs w:val="24"/>
        </w:rPr>
        <w:t>SECTION B:</w:t>
      </w:r>
      <w:r w:rsidRPr="00B77E5B">
        <w:rPr>
          <w:sz w:val="24"/>
          <w:szCs w:val="24"/>
        </w:rPr>
        <w:t xml:space="preserve">  </w:t>
      </w:r>
      <w:r w:rsidRPr="00B77E5B" w:rsidR="00423F51">
        <w:rPr>
          <w:sz w:val="24"/>
          <w:szCs w:val="24"/>
        </w:rPr>
        <w:t xml:space="preserve"> </w:t>
      </w:r>
      <w:r w:rsidR="001B63D2">
        <w:rPr>
          <w:sz w:val="24"/>
          <w:szCs w:val="24"/>
        </w:rPr>
        <w:t>A</w:t>
      </w:r>
      <w:r w:rsidRPr="00B77E5B" w:rsidR="00423F51">
        <w:rPr>
          <w:sz w:val="24"/>
          <w:szCs w:val="24"/>
        </w:rPr>
        <w:t xml:space="preserve">pplicants </w:t>
      </w:r>
      <w:r w:rsidR="001B63D2">
        <w:rPr>
          <w:sz w:val="24"/>
          <w:szCs w:val="24"/>
        </w:rPr>
        <w:t>must</w:t>
      </w:r>
      <w:r w:rsidRPr="00B77E5B" w:rsidR="00423F51">
        <w:rPr>
          <w:sz w:val="24"/>
          <w:szCs w:val="24"/>
        </w:rPr>
        <w:t xml:space="preserve"> provide</w:t>
      </w:r>
      <w:r w:rsidRPr="00B77E5B">
        <w:rPr>
          <w:sz w:val="24"/>
          <w:szCs w:val="24"/>
        </w:rPr>
        <w:t xml:space="preserve"> a summary of s</w:t>
      </w:r>
      <w:r w:rsidRPr="00B77E5B" w:rsidR="00631749">
        <w:rPr>
          <w:sz w:val="24"/>
          <w:szCs w:val="24"/>
        </w:rPr>
        <w:t xml:space="preserve">ecured </w:t>
      </w:r>
      <w:r w:rsidRPr="00B77E5B" w:rsidR="00B76158">
        <w:rPr>
          <w:sz w:val="24"/>
          <w:szCs w:val="24"/>
        </w:rPr>
        <w:t xml:space="preserve">nonfederal </w:t>
      </w:r>
      <w:r w:rsidRPr="00B77E5B" w:rsidR="001A2291">
        <w:rPr>
          <w:sz w:val="24"/>
          <w:szCs w:val="24"/>
        </w:rPr>
        <w:t>funds</w:t>
      </w:r>
      <w:r w:rsidRPr="00B77E5B" w:rsidR="00423F51">
        <w:rPr>
          <w:sz w:val="24"/>
          <w:szCs w:val="24"/>
        </w:rPr>
        <w:t xml:space="preserve"> for each line i</w:t>
      </w:r>
      <w:r w:rsidRPr="00B77E5B" w:rsidR="003059E7">
        <w:rPr>
          <w:sz w:val="24"/>
          <w:szCs w:val="24"/>
        </w:rPr>
        <w:t>t</w:t>
      </w:r>
      <w:r w:rsidRPr="00B77E5B" w:rsidR="00423F51">
        <w:rPr>
          <w:sz w:val="24"/>
          <w:szCs w:val="24"/>
        </w:rPr>
        <w:t>em</w:t>
      </w:r>
      <w:r w:rsidRPr="003059E7" w:rsidR="003059E7">
        <w:t xml:space="preserve"> </w:t>
      </w:r>
      <w:r w:rsidRPr="00B77E5B" w:rsidR="003059E7">
        <w:rPr>
          <w:sz w:val="24"/>
          <w:szCs w:val="24"/>
        </w:rPr>
        <w:t>category included on the worksheet</w:t>
      </w:r>
      <w:r w:rsidRPr="00B77E5B">
        <w:rPr>
          <w:sz w:val="24"/>
          <w:szCs w:val="24"/>
        </w:rPr>
        <w:t xml:space="preserve">.  </w:t>
      </w:r>
      <w:r w:rsidRPr="00B77E5B" w:rsidR="00D72CE9">
        <w:rPr>
          <w:sz w:val="24"/>
          <w:szCs w:val="24"/>
        </w:rPr>
        <w:t>Reporting</w:t>
      </w:r>
      <w:r w:rsidRPr="00B77E5B">
        <w:rPr>
          <w:sz w:val="24"/>
          <w:szCs w:val="24"/>
        </w:rPr>
        <w:t xml:space="preserve"> dollar amounts on this </w:t>
      </w:r>
      <w:r w:rsidRPr="00B77E5B" w:rsidR="00FC5F15">
        <w:rPr>
          <w:sz w:val="24"/>
          <w:szCs w:val="24"/>
        </w:rPr>
        <w:t>tab</w:t>
      </w:r>
      <w:r w:rsidRPr="00B77E5B">
        <w:rPr>
          <w:sz w:val="24"/>
          <w:szCs w:val="24"/>
        </w:rPr>
        <w:t xml:space="preserve"> confirm that the</w:t>
      </w:r>
      <w:r w:rsidRPr="00B77E5B" w:rsidR="003059E7">
        <w:rPr>
          <w:sz w:val="24"/>
          <w:szCs w:val="24"/>
        </w:rPr>
        <w:t xml:space="preserve"> applicant has already</w:t>
      </w:r>
      <w:r w:rsidRPr="00B77E5B" w:rsidR="00D72CE9">
        <w:rPr>
          <w:sz w:val="24"/>
          <w:szCs w:val="24"/>
        </w:rPr>
        <w:t xml:space="preserve"> properly</w:t>
      </w:r>
      <w:r w:rsidRPr="00B77E5B" w:rsidR="003059E7">
        <w:rPr>
          <w:sz w:val="24"/>
          <w:szCs w:val="24"/>
        </w:rPr>
        <w:t xml:space="preserve"> secured these</w:t>
      </w:r>
      <w:r w:rsidRPr="00B77E5B">
        <w:rPr>
          <w:sz w:val="24"/>
          <w:szCs w:val="24"/>
        </w:rPr>
        <w:t xml:space="preserve"> funds and</w:t>
      </w:r>
      <w:r w:rsidRPr="00B77E5B" w:rsidR="003059E7">
        <w:rPr>
          <w:sz w:val="24"/>
          <w:szCs w:val="24"/>
        </w:rPr>
        <w:t xml:space="preserve"> </w:t>
      </w:r>
      <w:r w:rsidRPr="00B77E5B" w:rsidR="003059E7">
        <w:rPr>
          <w:sz w:val="24"/>
          <w:szCs w:val="24"/>
        </w:rPr>
        <w:lastRenderedPageBreak/>
        <w:t>the funds</w:t>
      </w:r>
      <w:r w:rsidRPr="00B77E5B">
        <w:rPr>
          <w:sz w:val="24"/>
          <w:szCs w:val="24"/>
        </w:rPr>
        <w:t xml:space="preserve"> will be available for use if the applicant is successful in receiving a new EED award. </w:t>
      </w:r>
      <w:r w:rsidRPr="00B77E5B" w:rsidR="00D72CE9">
        <w:rPr>
          <w:sz w:val="24"/>
          <w:szCs w:val="24"/>
        </w:rPr>
        <w:t xml:space="preserve"> No additional documentation will be needed at the time of application to confirm cost share and match</w:t>
      </w:r>
      <w:r w:rsidR="002C6AE2">
        <w:rPr>
          <w:sz w:val="24"/>
          <w:szCs w:val="24"/>
        </w:rPr>
        <w:t>ing</w:t>
      </w:r>
      <w:r w:rsidRPr="00B77E5B" w:rsidR="00D72CE9">
        <w:rPr>
          <w:sz w:val="24"/>
          <w:szCs w:val="24"/>
        </w:rPr>
        <w:t xml:space="preserve"> funds</w:t>
      </w:r>
      <w:r w:rsidRPr="00B77E5B" w:rsidR="00B77E5B">
        <w:rPr>
          <w:sz w:val="24"/>
          <w:szCs w:val="24"/>
        </w:rPr>
        <w:t xml:space="preserve"> requirements have been met</w:t>
      </w:r>
      <w:r w:rsidRPr="00B77E5B" w:rsidR="00D72CE9">
        <w:rPr>
          <w:sz w:val="24"/>
          <w:szCs w:val="24"/>
        </w:rPr>
        <w:t>.</w:t>
      </w:r>
      <w:r w:rsidRPr="00B77E5B" w:rsidR="001A2291">
        <w:rPr>
          <w:sz w:val="24"/>
          <w:szCs w:val="24"/>
        </w:rPr>
        <w:t xml:space="preserve"> </w:t>
      </w:r>
      <w:r w:rsidRPr="00B77E5B" w:rsidR="00402E5B">
        <w:rPr>
          <w:sz w:val="24"/>
          <w:szCs w:val="24"/>
        </w:rPr>
        <w:t xml:space="preserve">Applicants </w:t>
      </w:r>
      <w:r w:rsidR="001B63D2">
        <w:rPr>
          <w:sz w:val="24"/>
          <w:szCs w:val="24"/>
        </w:rPr>
        <w:t>must</w:t>
      </w:r>
      <w:r w:rsidRPr="00B77E5B" w:rsidR="00402E5B">
        <w:rPr>
          <w:sz w:val="24"/>
          <w:szCs w:val="24"/>
        </w:rPr>
        <w:t xml:space="preserve"> provide nonfederal dollar amounts </w:t>
      </w:r>
      <w:r w:rsidRPr="00B77E5B" w:rsidR="003059E7">
        <w:rPr>
          <w:sz w:val="24"/>
          <w:szCs w:val="24"/>
        </w:rPr>
        <w:t xml:space="preserve">appropriate for the desired grant program </w:t>
      </w:r>
      <w:r w:rsidRPr="00B77E5B" w:rsidR="00402E5B">
        <w:rPr>
          <w:sz w:val="24"/>
          <w:szCs w:val="24"/>
        </w:rPr>
        <w:t xml:space="preserve">for all requested years of the </w:t>
      </w:r>
      <w:r w:rsidRPr="00B77E5B" w:rsidR="00FC5F15">
        <w:rPr>
          <w:sz w:val="24"/>
          <w:szCs w:val="24"/>
        </w:rPr>
        <w:t xml:space="preserve">desired </w:t>
      </w:r>
      <w:r w:rsidRPr="00B77E5B" w:rsidR="003059E7">
        <w:rPr>
          <w:sz w:val="24"/>
          <w:szCs w:val="24"/>
        </w:rPr>
        <w:t xml:space="preserve">grant </w:t>
      </w:r>
      <w:r w:rsidRPr="00B77E5B" w:rsidR="00FC5F15">
        <w:rPr>
          <w:sz w:val="24"/>
          <w:szCs w:val="24"/>
        </w:rPr>
        <w:t>program</w:t>
      </w:r>
      <w:r w:rsidRPr="00B77E5B" w:rsidR="003059E7">
        <w:rPr>
          <w:sz w:val="24"/>
          <w:szCs w:val="24"/>
        </w:rPr>
        <w:t xml:space="preserve">. </w:t>
      </w:r>
    </w:p>
    <w:p w:rsidR="003059E7" w:rsidP="003059E7" w:rsidRDefault="003059E7" w14:paraId="1F5DAC35" w14:textId="5B0870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59E7">
        <w:rPr>
          <w:sz w:val="24"/>
          <w:szCs w:val="24"/>
        </w:rPr>
        <w:t>SEED</w:t>
      </w:r>
      <w:r w:rsidR="00B77E5B">
        <w:rPr>
          <w:sz w:val="24"/>
          <w:szCs w:val="24"/>
        </w:rPr>
        <w:t xml:space="preserve"> -</w:t>
      </w:r>
      <w:r w:rsidRPr="003059E7">
        <w:rPr>
          <w:sz w:val="24"/>
          <w:szCs w:val="24"/>
        </w:rPr>
        <w:t xml:space="preserve"> 25% </w:t>
      </w:r>
      <w:r w:rsidR="00552C6D">
        <w:rPr>
          <w:sz w:val="24"/>
          <w:szCs w:val="24"/>
        </w:rPr>
        <w:t xml:space="preserve">nonfederal </w:t>
      </w:r>
      <w:r w:rsidRPr="003059E7">
        <w:rPr>
          <w:sz w:val="24"/>
          <w:szCs w:val="24"/>
        </w:rPr>
        <w:t xml:space="preserve">cost share and </w:t>
      </w:r>
      <w:proofErr w:type="gramStart"/>
      <w:r w:rsidRPr="003059E7">
        <w:rPr>
          <w:sz w:val="24"/>
          <w:szCs w:val="24"/>
        </w:rPr>
        <w:t>match;</w:t>
      </w:r>
      <w:proofErr w:type="gramEnd"/>
    </w:p>
    <w:p w:rsidR="003059E7" w:rsidP="003059E7" w:rsidRDefault="003059E7" w14:paraId="2311C35C" w14:textId="4F1711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59E7">
        <w:rPr>
          <w:sz w:val="24"/>
          <w:szCs w:val="24"/>
        </w:rPr>
        <w:t>TSL</w:t>
      </w:r>
      <w:r w:rsidR="00B77E5B">
        <w:rPr>
          <w:sz w:val="24"/>
          <w:szCs w:val="24"/>
        </w:rPr>
        <w:t xml:space="preserve"> - </w:t>
      </w:r>
      <w:r w:rsidRPr="003059E7">
        <w:rPr>
          <w:sz w:val="24"/>
          <w:szCs w:val="24"/>
        </w:rPr>
        <w:t xml:space="preserve">50% nonfederal cost share and match; and </w:t>
      </w:r>
    </w:p>
    <w:p w:rsidR="009E0005" w:rsidP="003059E7" w:rsidRDefault="003059E7" w14:paraId="2E9A5D40" w14:textId="3BCD4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59E7">
        <w:rPr>
          <w:sz w:val="24"/>
          <w:szCs w:val="24"/>
        </w:rPr>
        <w:t>TQP</w:t>
      </w:r>
      <w:r w:rsidR="00B77E5B">
        <w:rPr>
          <w:sz w:val="24"/>
          <w:szCs w:val="24"/>
        </w:rPr>
        <w:t xml:space="preserve"> - </w:t>
      </w:r>
      <w:r w:rsidRPr="003059E7">
        <w:rPr>
          <w:sz w:val="24"/>
          <w:szCs w:val="24"/>
        </w:rPr>
        <w:t xml:space="preserve">100% </w:t>
      </w:r>
      <w:r w:rsidR="00E56C53">
        <w:rPr>
          <w:sz w:val="24"/>
          <w:szCs w:val="24"/>
        </w:rPr>
        <w:t xml:space="preserve">nonfederal </w:t>
      </w:r>
      <w:r w:rsidRPr="003059E7">
        <w:rPr>
          <w:sz w:val="24"/>
          <w:szCs w:val="24"/>
        </w:rPr>
        <w:t>cost share and match</w:t>
      </w:r>
    </w:p>
    <w:p w:rsidR="002C6AE2" w:rsidP="00E56C53" w:rsidRDefault="001E1273" w14:paraId="7B33DEB1" w14:textId="1349AAE4">
      <w:pPr>
        <w:rPr>
          <w:sz w:val="24"/>
          <w:szCs w:val="24"/>
        </w:rPr>
      </w:pPr>
      <w:r w:rsidRPr="00552C6D">
        <w:rPr>
          <w:sz w:val="24"/>
          <w:szCs w:val="24"/>
        </w:rPr>
        <w:t>All applicants should review the Budget and Match webinars</w:t>
      </w:r>
      <w:r w:rsidR="00E56C53">
        <w:rPr>
          <w:sz w:val="24"/>
          <w:szCs w:val="24"/>
        </w:rPr>
        <w:t xml:space="preserve"> and Budget and Match FAQs</w:t>
      </w:r>
      <w:r w:rsidRPr="00552C6D">
        <w:rPr>
          <w:sz w:val="24"/>
          <w:szCs w:val="24"/>
        </w:rPr>
        <w:t xml:space="preserve"> found on each program webpage for additional information on meeting program match requirements. </w:t>
      </w:r>
    </w:p>
    <w:p w:rsidRPr="00552C6D" w:rsidR="002C6AE2" w:rsidP="00552C6D" w:rsidRDefault="002C6AE2" w14:paraId="3A5FE0D8" w14:textId="0DFE2A78">
      <w:pPr>
        <w:rPr>
          <w:sz w:val="24"/>
          <w:szCs w:val="24"/>
        </w:rPr>
      </w:pPr>
      <w:r>
        <w:rPr>
          <w:sz w:val="24"/>
          <w:szCs w:val="24"/>
        </w:rPr>
        <w:t>Section B includes a “MATCHING FUNDS CHECK” section, which will identify whether the funds described in Section B meet the cost share or matching requirement for the selected program.</w:t>
      </w:r>
    </w:p>
    <w:p w:rsidR="0097649C" w:rsidP="0088319C" w:rsidRDefault="009E0005" w14:paraId="60218109" w14:textId="30A45E61">
      <w:pPr>
        <w:rPr>
          <w:sz w:val="24"/>
          <w:szCs w:val="24"/>
        </w:rPr>
      </w:pPr>
      <w:r w:rsidRPr="00EA685E">
        <w:rPr>
          <w:b/>
          <w:bCs/>
          <w:sz w:val="24"/>
          <w:szCs w:val="24"/>
        </w:rPr>
        <w:t>SECTION C</w:t>
      </w:r>
      <w:r>
        <w:rPr>
          <w:sz w:val="24"/>
          <w:szCs w:val="24"/>
        </w:rPr>
        <w:t xml:space="preserve">:  </w:t>
      </w:r>
      <w:r w:rsidR="001B63D2">
        <w:rPr>
          <w:sz w:val="24"/>
          <w:szCs w:val="24"/>
        </w:rPr>
        <w:t>A</w:t>
      </w:r>
      <w:r w:rsidR="00DB1127">
        <w:rPr>
          <w:sz w:val="24"/>
          <w:szCs w:val="24"/>
        </w:rPr>
        <w:t>pplicants</w:t>
      </w:r>
      <w:r w:rsidR="001B63D2">
        <w:rPr>
          <w:sz w:val="24"/>
          <w:szCs w:val="24"/>
        </w:rPr>
        <w:t xml:space="preserve"> must</w:t>
      </w:r>
      <w:r w:rsidR="00DB1127">
        <w:rPr>
          <w:sz w:val="24"/>
          <w:szCs w:val="24"/>
        </w:rPr>
        <w:t xml:space="preserve"> </w:t>
      </w:r>
      <w:r w:rsidR="0097649C">
        <w:rPr>
          <w:sz w:val="24"/>
          <w:szCs w:val="24"/>
        </w:rPr>
        <w:t xml:space="preserve">itemize </w:t>
      </w:r>
      <w:r w:rsidR="00EA68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nonfederal </w:t>
      </w:r>
      <w:r w:rsidR="00B77E5B">
        <w:rPr>
          <w:sz w:val="24"/>
          <w:szCs w:val="24"/>
        </w:rPr>
        <w:t xml:space="preserve">cost share and match </w:t>
      </w:r>
      <w:r w:rsidR="00E56C53">
        <w:rPr>
          <w:sz w:val="24"/>
          <w:szCs w:val="24"/>
        </w:rPr>
        <w:t xml:space="preserve">funds </w:t>
      </w:r>
      <w:r w:rsidR="00EA685E">
        <w:rPr>
          <w:sz w:val="24"/>
          <w:szCs w:val="24"/>
        </w:rPr>
        <w:t xml:space="preserve">according to the appropriate funding source.  These nonfederal funds will be </w:t>
      </w:r>
      <w:r w:rsidR="00EA685E">
        <w:rPr>
          <w:sz w:val="24"/>
          <w:szCs w:val="24"/>
        </w:rPr>
        <w:t xml:space="preserve">used to meet the </w:t>
      </w:r>
      <w:r w:rsidR="0097649C">
        <w:rPr>
          <w:sz w:val="24"/>
          <w:szCs w:val="24"/>
        </w:rPr>
        <w:t xml:space="preserve">required </w:t>
      </w:r>
      <w:r w:rsidR="00EA685E">
        <w:rPr>
          <w:sz w:val="24"/>
          <w:szCs w:val="24"/>
        </w:rPr>
        <w:t xml:space="preserve">cost share and matching requirement for </w:t>
      </w:r>
      <w:r w:rsidR="00DB1127">
        <w:rPr>
          <w:sz w:val="24"/>
          <w:szCs w:val="24"/>
        </w:rPr>
        <w:t xml:space="preserve">the </w:t>
      </w:r>
      <w:r w:rsidR="0097649C">
        <w:rPr>
          <w:sz w:val="24"/>
          <w:szCs w:val="24"/>
        </w:rPr>
        <w:t>proposed project</w:t>
      </w:r>
      <w:r w:rsidR="00DB1127">
        <w:rPr>
          <w:sz w:val="24"/>
          <w:szCs w:val="24"/>
        </w:rPr>
        <w:t xml:space="preserve"> </w:t>
      </w:r>
      <w:r w:rsidR="00D72CE9">
        <w:rPr>
          <w:sz w:val="24"/>
          <w:szCs w:val="24"/>
        </w:rPr>
        <w:t xml:space="preserve">award. </w:t>
      </w:r>
      <w:r w:rsidR="00EA685E">
        <w:rPr>
          <w:sz w:val="24"/>
          <w:szCs w:val="24"/>
        </w:rPr>
        <w:t xml:space="preserve"> </w:t>
      </w:r>
      <w:r w:rsidRPr="00402E5B" w:rsidR="00402E5B">
        <w:rPr>
          <w:sz w:val="24"/>
          <w:szCs w:val="24"/>
        </w:rPr>
        <w:t xml:space="preserve">Applicants </w:t>
      </w:r>
      <w:r w:rsidR="001B63D2">
        <w:rPr>
          <w:sz w:val="24"/>
          <w:szCs w:val="24"/>
        </w:rPr>
        <w:t>must</w:t>
      </w:r>
      <w:r w:rsidRPr="00402E5B" w:rsidR="00402E5B">
        <w:rPr>
          <w:sz w:val="24"/>
          <w:szCs w:val="24"/>
        </w:rPr>
        <w:t xml:space="preserve"> provide dollar amounts for all </w:t>
      </w:r>
      <w:r w:rsidR="00402E5B">
        <w:rPr>
          <w:sz w:val="24"/>
          <w:szCs w:val="24"/>
        </w:rPr>
        <w:t xml:space="preserve">requested </w:t>
      </w:r>
      <w:r w:rsidRPr="00402E5B" w:rsidR="00402E5B">
        <w:rPr>
          <w:sz w:val="24"/>
          <w:szCs w:val="24"/>
        </w:rPr>
        <w:t>years of the</w:t>
      </w:r>
      <w:r w:rsidR="00DB1127">
        <w:rPr>
          <w:sz w:val="24"/>
          <w:szCs w:val="24"/>
        </w:rPr>
        <w:t xml:space="preserve"> </w:t>
      </w:r>
      <w:r w:rsidR="00E56C53">
        <w:rPr>
          <w:sz w:val="24"/>
          <w:szCs w:val="24"/>
        </w:rPr>
        <w:t>proposed project</w:t>
      </w:r>
      <w:r w:rsidR="00DB1127">
        <w:rPr>
          <w:sz w:val="24"/>
          <w:szCs w:val="24"/>
        </w:rPr>
        <w:t>.</w:t>
      </w:r>
      <w:r w:rsidR="002C6AE2">
        <w:rPr>
          <w:sz w:val="24"/>
          <w:szCs w:val="24"/>
        </w:rPr>
        <w:t xml:space="preserve">  All funds described in Section B should also be included in Section C.  Section C includes a </w:t>
      </w:r>
      <w:r w:rsidR="0097649C">
        <w:rPr>
          <w:sz w:val="24"/>
          <w:szCs w:val="24"/>
        </w:rPr>
        <w:t xml:space="preserve">CHECK to determine </w:t>
      </w:r>
      <w:r w:rsidR="002C6AE2">
        <w:rPr>
          <w:sz w:val="24"/>
          <w:szCs w:val="24"/>
        </w:rPr>
        <w:t>whether the funds in Section B match</w:t>
      </w:r>
      <w:r w:rsidR="0097649C">
        <w:rPr>
          <w:sz w:val="24"/>
          <w:szCs w:val="24"/>
        </w:rPr>
        <w:t xml:space="preserve"> the funds in Section C</w:t>
      </w:r>
      <w:r w:rsidR="002C6AE2">
        <w:rPr>
          <w:sz w:val="24"/>
          <w:szCs w:val="24"/>
        </w:rPr>
        <w:t>.</w:t>
      </w:r>
    </w:p>
    <w:p w:rsidRPr="00B77E5B" w:rsidR="00C372A6" w:rsidP="0088319C" w:rsidRDefault="0097649C" w14:paraId="457BFEF7" w14:textId="3E4B0C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A685E" w:rsidR="00EA685E">
        <w:rPr>
          <w:b/>
          <w:bCs/>
          <w:sz w:val="24"/>
          <w:szCs w:val="24"/>
        </w:rPr>
        <w:t>ECTION</w:t>
      </w:r>
      <w:r w:rsidR="001E1273">
        <w:rPr>
          <w:b/>
          <w:bCs/>
          <w:sz w:val="24"/>
          <w:szCs w:val="24"/>
        </w:rPr>
        <w:t>S</w:t>
      </w:r>
      <w:r w:rsidRPr="00EA685E" w:rsidR="00EA685E">
        <w:rPr>
          <w:b/>
          <w:bCs/>
          <w:sz w:val="24"/>
          <w:szCs w:val="24"/>
        </w:rPr>
        <w:t xml:space="preserve"> D and E:</w:t>
      </w:r>
      <w:r w:rsidR="00EA685E">
        <w:rPr>
          <w:sz w:val="24"/>
          <w:szCs w:val="24"/>
        </w:rPr>
        <w:t xml:space="preserve"> </w:t>
      </w:r>
      <w:r w:rsidR="00D72CE9">
        <w:rPr>
          <w:sz w:val="24"/>
          <w:szCs w:val="24"/>
        </w:rPr>
        <w:t xml:space="preserve"> </w:t>
      </w:r>
      <w:r w:rsidR="001B63D2">
        <w:rPr>
          <w:sz w:val="24"/>
          <w:szCs w:val="24"/>
        </w:rPr>
        <w:t>A</w:t>
      </w:r>
      <w:r w:rsidR="00D72CE9">
        <w:rPr>
          <w:sz w:val="24"/>
          <w:szCs w:val="24"/>
        </w:rPr>
        <w:t xml:space="preserve">pplicants </w:t>
      </w:r>
      <w:r w:rsidR="001B63D2">
        <w:rPr>
          <w:sz w:val="24"/>
          <w:szCs w:val="24"/>
        </w:rPr>
        <w:t>must</w:t>
      </w:r>
      <w:r w:rsidR="00EA685E">
        <w:rPr>
          <w:sz w:val="24"/>
          <w:szCs w:val="24"/>
        </w:rPr>
        <w:t xml:space="preserve"> provide </w:t>
      </w:r>
      <w:r w:rsidR="001B63D2">
        <w:rPr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 w:rsidR="00EA685E">
        <w:rPr>
          <w:sz w:val="24"/>
          <w:szCs w:val="24"/>
        </w:rPr>
        <w:t>dget narrative information</w:t>
      </w:r>
      <w:r w:rsidR="00D72CE9">
        <w:rPr>
          <w:sz w:val="24"/>
          <w:szCs w:val="24"/>
        </w:rPr>
        <w:t xml:space="preserve"> to justify all proposed project costs. </w:t>
      </w:r>
      <w:r w:rsidR="00EA685E">
        <w:rPr>
          <w:sz w:val="24"/>
          <w:szCs w:val="24"/>
        </w:rPr>
        <w:t xml:space="preserve"> Applicants </w:t>
      </w:r>
      <w:r w:rsidR="001B63D2">
        <w:rPr>
          <w:sz w:val="24"/>
          <w:szCs w:val="24"/>
        </w:rPr>
        <w:t>must</w:t>
      </w:r>
      <w:r w:rsidR="00EA685E">
        <w:rPr>
          <w:sz w:val="24"/>
          <w:szCs w:val="24"/>
        </w:rPr>
        <w:t xml:space="preserve"> justify the need for each expense and explain how each cost is necessary to </w:t>
      </w:r>
      <w:r w:rsidR="00D72CE9">
        <w:rPr>
          <w:sz w:val="24"/>
          <w:szCs w:val="24"/>
        </w:rPr>
        <w:t>the implementation of</w:t>
      </w:r>
      <w:r w:rsidR="00EA685E">
        <w:rPr>
          <w:sz w:val="24"/>
          <w:szCs w:val="24"/>
        </w:rPr>
        <w:t xml:space="preserve"> the </w:t>
      </w:r>
      <w:r>
        <w:rPr>
          <w:sz w:val="24"/>
          <w:szCs w:val="24"/>
        </w:rPr>
        <w:t>proposed project</w:t>
      </w:r>
      <w:r w:rsidR="00D72CE9">
        <w:rPr>
          <w:sz w:val="24"/>
          <w:szCs w:val="24"/>
        </w:rPr>
        <w:t>.</w:t>
      </w:r>
      <w:r w:rsidR="00EA685E">
        <w:rPr>
          <w:sz w:val="24"/>
          <w:szCs w:val="24"/>
        </w:rPr>
        <w:t xml:space="preserve"> </w:t>
      </w:r>
      <w:r w:rsidR="002C6AE2">
        <w:rPr>
          <w:sz w:val="24"/>
          <w:szCs w:val="24"/>
        </w:rPr>
        <w:t xml:space="preserve">  All funds included in Sections A and B should be </w:t>
      </w:r>
      <w:r w:rsidR="00E56C53">
        <w:rPr>
          <w:sz w:val="24"/>
          <w:szCs w:val="24"/>
        </w:rPr>
        <w:t xml:space="preserve">itemized </w:t>
      </w:r>
      <w:r w:rsidR="002C6AE2">
        <w:rPr>
          <w:sz w:val="24"/>
          <w:szCs w:val="24"/>
        </w:rPr>
        <w:t>in Section D.  Section D includes checks to verify that all funds have been described.</w:t>
      </w:r>
      <w:r w:rsidR="00E56C53">
        <w:rPr>
          <w:sz w:val="24"/>
          <w:szCs w:val="24"/>
        </w:rPr>
        <w:t xml:space="preserve"> </w:t>
      </w:r>
      <w:r w:rsidRPr="0097649C" w:rsidR="00E56C53">
        <w:rPr>
          <w:b/>
          <w:bCs/>
          <w:sz w:val="24"/>
          <w:szCs w:val="24"/>
        </w:rPr>
        <w:t xml:space="preserve">Section E </w:t>
      </w:r>
      <w:r w:rsidRPr="0097649C" w:rsidR="001B63D2">
        <w:rPr>
          <w:sz w:val="24"/>
          <w:szCs w:val="24"/>
        </w:rPr>
        <w:t xml:space="preserve">requires </w:t>
      </w:r>
      <w:r w:rsidRPr="0097649C" w:rsidR="00E56C53">
        <w:rPr>
          <w:sz w:val="24"/>
          <w:szCs w:val="24"/>
        </w:rPr>
        <w:t xml:space="preserve"> </w:t>
      </w:r>
      <w:r w:rsidR="00E56C53">
        <w:rPr>
          <w:sz w:val="24"/>
          <w:szCs w:val="24"/>
        </w:rPr>
        <w:t>applicants to provide written justification to support project cost for each line item. Project cost should be linked back to proposed project objectives</w:t>
      </w:r>
      <w:r w:rsidR="009F751E">
        <w:rPr>
          <w:sz w:val="24"/>
          <w:szCs w:val="24"/>
        </w:rPr>
        <w:t xml:space="preserve"> and applicant</w:t>
      </w:r>
      <w:r w:rsidR="001B63D2">
        <w:rPr>
          <w:sz w:val="24"/>
          <w:szCs w:val="24"/>
        </w:rPr>
        <w:t>s</w:t>
      </w:r>
      <w:r w:rsidR="009F751E">
        <w:rPr>
          <w:sz w:val="24"/>
          <w:szCs w:val="24"/>
        </w:rPr>
        <w:t xml:space="preserve"> should explain why each cost is necessary for implementation of the proposed project.</w:t>
      </w:r>
    </w:p>
    <w:p w:rsidR="00FB17C1" w:rsidP="00E832AB" w:rsidRDefault="00FB17C1" w14:paraId="66A2320E" w14:textId="77777777">
      <w:pPr>
        <w:spacing w:after="0"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  <w:bookmarkStart w:name="_Hlk32249349" w:id="6"/>
    </w:p>
    <w:bookmarkEnd w:id="6"/>
    <w:p w:rsidRPr="001E1273" w:rsidR="00D831DF" w:rsidP="001E1273" w:rsidRDefault="00D831DF" w14:paraId="4E227373" w14:textId="40A4434A">
      <w:pPr>
        <w:spacing w:after="0"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</w:p>
    <w:p w:rsidRPr="00C73F25" w:rsidR="00FB17C1" w:rsidP="00FB17C1" w:rsidRDefault="00FB17C1" w14:paraId="794CA6D6" w14:textId="3BF4CEA4">
      <w:pPr>
        <w:rPr>
          <w:color w:val="000000" w:themeColor="text1"/>
          <w:sz w:val="24"/>
          <w:szCs w:val="24"/>
        </w:rPr>
      </w:pPr>
      <w:bookmarkStart w:name="_Hlk32590260" w:id="7"/>
    </w:p>
    <w:bookmarkEnd w:id="7"/>
    <w:p w:rsidRPr="00C73F25" w:rsidR="00DE647A" w:rsidP="001E1273" w:rsidRDefault="00310857" w14:paraId="41814095" w14:textId="796E9228">
      <w:pPr>
        <w:rPr>
          <w:b/>
          <w:bCs/>
          <w:color w:val="000000" w:themeColor="text1"/>
          <w:sz w:val="24"/>
          <w:szCs w:val="24"/>
        </w:rPr>
        <w:sectPr w:rsidRPr="00C73F25" w:rsidR="00DE647A" w:rsidSect="009925D6">
          <w:head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docGrid w:linePitch="360"/>
        </w:sectPr>
      </w:pPr>
      <w:r w:rsidRPr="00C73F25">
        <w:rPr>
          <w:b/>
          <w:bCs/>
          <w:color w:val="000000" w:themeColor="text1"/>
          <w:sz w:val="24"/>
          <w:szCs w:val="24"/>
        </w:rPr>
        <w:t xml:space="preserve"> </w:t>
      </w:r>
    </w:p>
    <w:p w:rsidRPr="00C73F25" w:rsidR="00F576FF" w:rsidP="00782052" w:rsidRDefault="00F576FF" w14:paraId="41C8072D" w14:textId="77777777">
      <w:pPr>
        <w:rPr>
          <w:color w:val="000000" w:themeColor="text1"/>
          <w:sz w:val="24"/>
          <w:szCs w:val="24"/>
        </w:rPr>
      </w:pPr>
    </w:p>
    <w:p w:rsidRPr="00C73F25" w:rsidR="00782052" w:rsidP="00782052" w:rsidRDefault="00782052" w14:paraId="7A5F0799" w14:textId="040B379C">
      <w:pPr>
        <w:rPr>
          <w:b/>
          <w:bCs/>
          <w:sz w:val="24"/>
          <w:szCs w:val="24"/>
        </w:rPr>
      </w:pPr>
    </w:p>
    <w:sectPr w:rsidRPr="00C73F25" w:rsidR="00782052" w:rsidSect="009925D6">
      <w:type w:val="continuous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9A03B" w14:textId="77777777" w:rsidR="00A16AC8" w:rsidRDefault="00A16AC8" w:rsidP="007E60EB">
      <w:pPr>
        <w:spacing w:after="0" w:line="240" w:lineRule="auto"/>
      </w:pPr>
      <w:r>
        <w:separator/>
      </w:r>
    </w:p>
  </w:endnote>
  <w:endnote w:type="continuationSeparator" w:id="0">
    <w:p w14:paraId="7ADB7A58" w14:textId="77777777" w:rsidR="00A16AC8" w:rsidRDefault="00A16AC8" w:rsidP="007E60EB">
      <w:pPr>
        <w:spacing w:after="0" w:line="240" w:lineRule="auto"/>
      </w:pPr>
      <w:r>
        <w:continuationSeparator/>
      </w:r>
    </w:p>
  </w:endnote>
  <w:endnote w:type="continuationNotice" w:id="1">
    <w:p w14:paraId="5BD3C70A" w14:textId="77777777" w:rsidR="00A16AC8" w:rsidRDefault="00A16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D2FBE" w14:textId="77777777" w:rsidR="00A16AC8" w:rsidRDefault="00A16AC8" w:rsidP="007E60EB">
      <w:pPr>
        <w:spacing w:after="0" w:line="240" w:lineRule="auto"/>
      </w:pPr>
      <w:r>
        <w:separator/>
      </w:r>
    </w:p>
  </w:footnote>
  <w:footnote w:type="continuationSeparator" w:id="0">
    <w:p w14:paraId="3A0C65DF" w14:textId="77777777" w:rsidR="00A16AC8" w:rsidRDefault="00A16AC8" w:rsidP="007E60EB">
      <w:pPr>
        <w:spacing w:after="0" w:line="240" w:lineRule="auto"/>
      </w:pPr>
      <w:r>
        <w:continuationSeparator/>
      </w:r>
    </w:p>
  </w:footnote>
  <w:footnote w:type="continuationNotice" w:id="1">
    <w:p w14:paraId="6EC7F935" w14:textId="77777777" w:rsidR="00A16AC8" w:rsidRDefault="00A16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965C" w14:textId="74F6B1E1" w:rsidR="009925D6" w:rsidRDefault="009925D6">
    <w:pPr>
      <w:pStyle w:val="Header"/>
    </w:pPr>
    <w:r>
      <w:rPr>
        <w:noProof/>
      </w:rPr>
      <w:drawing>
        <wp:inline distT="0" distB="0" distL="0" distR="0" wp14:anchorId="641B616F" wp14:editId="7CAFA808">
          <wp:extent cx="742950" cy="638175"/>
          <wp:effectExtent l="0" t="0" r="0" b="9525"/>
          <wp:docPr id="2" name="Picture 2" descr="Seal of the US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7CD2"/>
    <w:multiLevelType w:val="hybridMultilevel"/>
    <w:tmpl w:val="CFD4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640A"/>
    <w:multiLevelType w:val="hybridMultilevel"/>
    <w:tmpl w:val="4C68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545A"/>
    <w:multiLevelType w:val="hybridMultilevel"/>
    <w:tmpl w:val="AA84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FA"/>
    <w:rsid w:val="00025260"/>
    <w:rsid w:val="00026F79"/>
    <w:rsid w:val="00056CD2"/>
    <w:rsid w:val="00061B8F"/>
    <w:rsid w:val="00073609"/>
    <w:rsid w:val="00073955"/>
    <w:rsid w:val="00074540"/>
    <w:rsid w:val="00074C60"/>
    <w:rsid w:val="0008030D"/>
    <w:rsid w:val="00092D4F"/>
    <w:rsid w:val="00096E7E"/>
    <w:rsid w:val="000E7609"/>
    <w:rsid w:val="00107AE7"/>
    <w:rsid w:val="00145699"/>
    <w:rsid w:val="00171DB0"/>
    <w:rsid w:val="001838DB"/>
    <w:rsid w:val="001A2291"/>
    <w:rsid w:val="001B1032"/>
    <w:rsid w:val="001B63D2"/>
    <w:rsid w:val="001D3FD3"/>
    <w:rsid w:val="001E1273"/>
    <w:rsid w:val="001E6F1D"/>
    <w:rsid w:val="001F28CD"/>
    <w:rsid w:val="001F5463"/>
    <w:rsid w:val="001F5A72"/>
    <w:rsid w:val="00200CA7"/>
    <w:rsid w:val="0021092F"/>
    <w:rsid w:val="0022182C"/>
    <w:rsid w:val="00241763"/>
    <w:rsid w:val="00246E47"/>
    <w:rsid w:val="00250FD0"/>
    <w:rsid w:val="00253A66"/>
    <w:rsid w:val="0027002D"/>
    <w:rsid w:val="002728A2"/>
    <w:rsid w:val="00273B27"/>
    <w:rsid w:val="00281132"/>
    <w:rsid w:val="00293551"/>
    <w:rsid w:val="002A0B21"/>
    <w:rsid w:val="002A4243"/>
    <w:rsid w:val="002A61CB"/>
    <w:rsid w:val="002C329E"/>
    <w:rsid w:val="002C6AE2"/>
    <w:rsid w:val="002D099D"/>
    <w:rsid w:val="002F5620"/>
    <w:rsid w:val="003059E7"/>
    <w:rsid w:val="00310857"/>
    <w:rsid w:val="00314265"/>
    <w:rsid w:val="00323CCE"/>
    <w:rsid w:val="003243B2"/>
    <w:rsid w:val="0033210D"/>
    <w:rsid w:val="0033752F"/>
    <w:rsid w:val="00373EE9"/>
    <w:rsid w:val="0037512A"/>
    <w:rsid w:val="003864F4"/>
    <w:rsid w:val="00387981"/>
    <w:rsid w:val="00397006"/>
    <w:rsid w:val="00397C53"/>
    <w:rsid w:val="003C3716"/>
    <w:rsid w:val="003C7035"/>
    <w:rsid w:val="003D01BD"/>
    <w:rsid w:val="003D6D8F"/>
    <w:rsid w:val="003D72F0"/>
    <w:rsid w:val="003F1EA8"/>
    <w:rsid w:val="004023D2"/>
    <w:rsid w:val="00402E5B"/>
    <w:rsid w:val="00414168"/>
    <w:rsid w:val="00423F51"/>
    <w:rsid w:val="00431A60"/>
    <w:rsid w:val="004415AC"/>
    <w:rsid w:val="00445AE7"/>
    <w:rsid w:val="004472BE"/>
    <w:rsid w:val="00464657"/>
    <w:rsid w:val="00470E9B"/>
    <w:rsid w:val="00476173"/>
    <w:rsid w:val="00486D9A"/>
    <w:rsid w:val="004A09B7"/>
    <w:rsid w:val="004B11E6"/>
    <w:rsid w:val="004C2238"/>
    <w:rsid w:val="004C2868"/>
    <w:rsid w:val="004C35DC"/>
    <w:rsid w:val="00515DEB"/>
    <w:rsid w:val="00552C6D"/>
    <w:rsid w:val="005541F7"/>
    <w:rsid w:val="00555BE6"/>
    <w:rsid w:val="00581A40"/>
    <w:rsid w:val="0059321A"/>
    <w:rsid w:val="005C23FC"/>
    <w:rsid w:val="005D0B09"/>
    <w:rsid w:val="005E5E4A"/>
    <w:rsid w:val="005F4201"/>
    <w:rsid w:val="005F76F4"/>
    <w:rsid w:val="00602297"/>
    <w:rsid w:val="00606D91"/>
    <w:rsid w:val="00621F04"/>
    <w:rsid w:val="00631749"/>
    <w:rsid w:val="006361EF"/>
    <w:rsid w:val="00637376"/>
    <w:rsid w:val="00664547"/>
    <w:rsid w:val="00674A5A"/>
    <w:rsid w:val="00686483"/>
    <w:rsid w:val="006936D8"/>
    <w:rsid w:val="006B3009"/>
    <w:rsid w:val="006D76FA"/>
    <w:rsid w:val="006E016C"/>
    <w:rsid w:val="006E246B"/>
    <w:rsid w:val="006E35AE"/>
    <w:rsid w:val="0071343C"/>
    <w:rsid w:val="00734F09"/>
    <w:rsid w:val="00737CF6"/>
    <w:rsid w:val="00744DE2"/>
    <w:rsid w:val="00752DA9"/>
    <w:rsid w:val="00755DD3"/>
    <w:rsid w:val="00781927"/>
    <w:rsid w:val="00782052"/>
    <w:rsid w:val="00794414"/>
    <w:rsid w:val="007D4AE5"/>
    <w:rsid w:val="007E60EB"/>
    <w:rsid w:val="007F5414"/>
    <w:rsid w:val="00805C44"/>
    <w:rsid w:val="00867439"/>
    <w:rsid w:val="008733D9"/>
    <w:rsid w:val="008762E1"/>
    <w:rsid w:val="0088319C"/>
    <w:rsid w:val="00890C41"/>
    <w:rsid w:val="008A22DD"/>
    <w:rsid w:val="008A71EA"/>
    <w:rsid w:val="008C61C5"/>
    <w:rsid w:val="008D757B"/>
    <w:rsid w:val="008F2A5D"/>
    <w:rsid w:val="008F5E6A"/>
    <w:rsid w:val="00904C46"/>
    <w:rsid w:val="00905F4A"/>
    <w:rsid w:val="00913871"/>
    <w:rsid w:val="009256CC"/>
    <w:rsid w:val="00940B32"/>
    <w:rsid w:val="00953CFC"/>
    <w:rsid w:val="00955787"/>
    <w:rsid w:val="0096122F"/>
    <w:rsid w:val="00967C0A"/>
    <w:rsid w:val="0097649C"/>
    <w:rsid w:val="009900B3"/>
    <w:rsid w:val="009925D6"/>
    <w:rsid w:val="009C6DCB"/>
    <w:rsid w:val="009D1734"/>
    <w:rsid w:val="009D7989"/>
    <w:rsid w:val="009E0005"/>
    <w:rsid w:val="009F751E"/>
    <w:rsid w:val="00A006CD"/>
    <w:rsid w:val="00A05DB9"/>
    <w:rsid w:val="00A10C74"/>
    <w:rsid w:val="00A16AC8"/>
    <w:rsid w:val="00A21D15"/>
    <w:rsid w:val="00A3165C"/>
    <w:rsid w:val="00A31B23"/>
    <w:rsid w:val="00A416F5"/>
    <w:rsid w:val="00A44397"/>
    <w:rsid w:val="00A64AB2"/>
    <w:rsid w:val="00A67416"/>
    <w:rsid w:val="00A8020E"/>
    <w:rsid w:val="00A8412B"/>
    <w:rsid w:val="00A84C86"/>
    <w:rsid w:val="00A9317E"/>
    <w:rsid w:val="00A94E08"/>
    <w:rsid w:val="00AA0C27"/>
    <w:rsid w:val="00AB4A67"/>
    <w:rsid w:val="00AE5BBA"/>
    <w:rsid w:val="00AF46FF"/>
    <w:rsid w:val="00B12C26"/>
    <w:rsid w:val="00B12C59"/>
    <w:rsid w:val="00B22835"/>
    <w:rsid w:val="00B60473"/>
    <w:rsid w:val="00B607DE"/>
    <w:rsid w:val="00B76158"/>
    <w:rsid w:val="00B77E5B"/>
    <w:rsid w:val="00B83BD6"/>
    <w:rsid w:val="00BA56B6"/>
    <w:rsid w:val="00BC0843"/>
    <w:rsid w:val="00BC2038"/>
    <w:rsid w:val="00BC3FF7"/>
    <w:rsid w:val="00BD2E31"/>
    <w:rsid w:val="00BF412B"/>
    <w:rsid w:val="00BF5921"/>
    <w:rsid w:val="00C04A85"/>
    <w:rsid w:val="00C11691"/>
    <w:rsid w:val="00C26718"/>
    <w:rsid w:val="00C333BE"/>
    <w:rsid w:val="00C372A6"/>
    <w:rsid w:val="00C52636"/>
    <w:rsid w:val="00C63524"/>
    <w:rsid w:val="00C73F25"/>
    <w:rsid w:val="00C754ED"/>
    <w:rsid w:val="00C93FA2"/>
    <w:rsid w:val="00CB44B0"/>
    <w:rsid w:val="00CD1F85"/>
    <w:rsid w:val="00CF358F"/>
    <w:rsid w:val="00CF5960"/>
    <w:rsid w:val="00D07ED6"/>
    <w:rsid w:val="00D24CCD"/>
    <w:rsid w:val="00D32B63"/>
    <w:rsid w:val="00D72CE9"/>
    <w:rsid w:val="00D75C88"/>
    <w:rsid w:val="00D831DF"/>
    <w:rsid w:val="00D85B0F"/>
    <w:rsid w:val="00DB1127"/>
    <w:rsid w:val="00DB2166"/>
    <w:rsid w:val="00DC1AE8"/>
    <w:rsid w:val="00DC708F"/>
    <w:rsid w:val="00DE647A"/>
    <w:rsid w:val="00E06484"/>
    <w:rsid w:val="00E1569C"/>
    <w:rsid w:val="00E16CF7"/>
    <w:rsid w:val="00E41343"/>
    <w:rsid w:val="00E56C53"/>
    <w:rsid w:val="00E73DBF"/>
    <w:rsid w:val="00E769A9"/>
    <w:rsid w:val="00E832AB"/>
    <w:rsid w:val="00E8688B"/>
    <w:rsid w:val="00E92554"/>
    <w:rsid w:val="00E944F5"/>
    <w:rsid w:val="00EA685E"/>
    <w:rsid w:val="00EA6C22"/>
    <w:rsid w:val="00EB059B"/>
    <w:rsid w:val="00ED71D4"/>
    <w:rsid w:val="00EF2B0B"/>
    <w:rsid w:val="00EF2EC0"/>
    <w:rsid w:val="00F01197"/>
    <w:rsid w:val="00F36972"/>
    <w:rsid w:val="00F41558"/>
    <w:rsid w:val="00F43CC3"/>
    <w:rsid w:val="00F5498E"/>
    <w:rsid w:val="00F576FF"/>
    <w:rsid w:val="00F64E92"/>
    <w:rsid w:val="00FB0DC2"/>
    <w:rsid w:val="00FB17C1"/>
    <w:rsid w:val="00FC5F15"/>
    <w:rsid w:val="00FE36B9"/>
    <w:rsid w:val="00FE5F4D"/>
    <w:rsid w:val="00FE725A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70132"/>
  <w15:chartTrackingRefBased/>
  <w15:docId w15:val="{D2A96176-BD28-4465-AD5A-83330F1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5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5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EB"/>
  </w:style>
  <w:style w:type="paragraph" w:styleId="Footer">
    <w:name w:val="footer"/>
    <w:basedOn w:val="Normal"/>
    <w:link w:val="FooterChar"/>
    <w:uiPriority w:val="99"/>
    <w:unhideWhenUsed/>
    <w:rsid w:val="007E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EB"/>
  </w:style>
  <w:style w:type="character" w:styleId="FollowedHyperlink">
    <w:name w:val="FollowedHyperlink"/>
    <w:basedOn w:val="DefaultParagraphFont"/>
    <w:uiPriority w:val="99"/>
    <w:semiHidden/>
    <w:unhideWhenUsed/>
    <w:rsid w:val="00BF59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A8836-CAEA-4EDA-AA93-031E4C9E5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C8BC6-B6F4-4615-AAAB-3A6196E92FAE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2e41e38-1731-4866-b09a-6257d8bc047f"/>
    <ds:schemaRef ds:uri="f87c7b8b-c0e7-4b77-a067-2c707fd1239f"/>
  </ds:schemaRefs>
</ds:datastoreItem>
</file>

<file path=customXml/itemProps3.xml><?xml version="1.0" encoding="utf-8"?>
<ds:datastoreItem xmlns:ds="http://schemas.openxmlformats.org/officeDocument/2006/customXml" ds:itemID="{B6EBE1A0-C65C-451D-8544-94504BB1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Howerton, Mia</dc:creator>
  <cp:keywords/>
  <dc:description/>
  <cp:lastModifiedBy>Mullan, Kate</cp:lastModifiedBy>
  <cp:revision>2</cp:revision>
  <cp:lastPrinted>2020-02-14T17:49:00Z</cp:lastPrinted>
  <dcterms:created xsi:type="dcterms:W3CDTF">2020-04-22T12:58:00Z</dcterms:created>
  <dcterms:modified xsi:type="dcterms:W3CDTF">2020-04-22T12:58:00Z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