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3B5E" w:rsidR="00C5463C" w:rsidP="00C5463C" w:rsidRDefault="00C5463C" w14:paraId="28029147" w14:textId="77777777">
      <w:pPr>
        <w:spacing w:after="0" w:line="240" w:lineRule="auto"/>
        <w:jc w:val="center"/>
        <w:rPr>
          <w:rFonts w:ascii="Times New Roman" w:hAnsi="Times New Roman" w:cs="Times New Roman"/>
          <w:sz w:val="26"/>
          <w:szCs w:val="26"/>
        </w:rPr>
      </w:pPr>
      <w:bookmarkStart w:name="_GoBack" w:id="0"/>
      <w:bookmarkEnd w:id="0"/>
      <w:r w:rsidRPr="00D73B5E">
        <w:rPr>
          <w:rFonts w:ascii="Times New Roman" w:hAnsi="Times New Roman" w:cs="Times New Roman"/>
          <w:sz w:val="26"/>
          <w:szCs w:val="26"/>
        </w:rPr>
        <w:t>UNITED STATES OF AMERICA</w:t>
      </w:r>
    </w:p>
    <w:p w:rsidRPr="00D73B5E" w:rsidR="00C5463C" w:rsidP="00C5463C" w:rsidRDefault="00C5463C" w14:paraId="058C08FE" w14:textId="77777777">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FEDERAL ENERGY REGULATORY COMMISSION</w:t>
      </w:r>
    </w:p>
    <w:p w:rsidRPr="00D73B5E" w:rsidR="00C5463C" w:rsidP="00C5463C" w:rsidRDefault="00C5463C" w14:paraId="6841B497" w14:textId="77777777">
      <w:pPr>
        <w:spacing w:after="0" w:line="240" w:lineRule="auto"/>
        <w:rPr>
          <w:rFonts w:ascii="Times New Roman" w:hAnsi="Times New Roman" w:cs="Times New Roman"/>
          <w:sz w:val="26"/>
          <w:szCs w:val="26"/>
        </w:rPr>
      </w:pPr>
    </w:p>
    <w:p w:rsidRPr="00D73B5E" w:rsidR="00C5463C" w:rsidP="00C5463C" w:rsidRDefault="00C5463C" w14:paraId="3BB9E729" w14:textId="5CB54F18">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 xml:space="preserve">[Docket No. </w:t>
      </w:r>
      <w:r w:rsidRPr="00647C42" w:rsidR="00647C42">
        <w:rPr>
          <w:rFonts w:ascii="Times New Roman" w:hAnsi="Times New Roman" w:eastAsia="Calibri" w:cs="Times New Roman"/>
          <w:sz w:val="24"/>
          <w:szCs w:val="24"/>
        </w:rPr>
        <w:t>IC20-</w:t>
      </w:r>
      <w:r w:rsidR="00C95EBB">
        <w:rPr>
          <w:rFonts w:ascii="Times New Roman" w:hAnsi="Times New Roman" w:eastAsia="Calibri" w:cs="Times New Roman"/>
          <w:sz w:val="24"/>
          <w:szCs w:val="24"/>
        </w:rPr>
        <w:t>25</w:t>
      </w:r>
      <w:r w:rsidRPr="00647C42" w:rsidR="00647C42">
        <w:rPr>
          <w:rFonts w:ascii="Times New Roman" w:hAnsi="Times New Roman" w:eastAsia="Calibri" w:cs="Times New Roman"/>
          <w:sz w:val="24"/>
          <w:szCs w:val="24"/>
        </w:rPr>
        <w:t>-000</w:t>
      </w:r>
      <w:r w:rsidRPr="00D73B5E">
        <w:rPr>
          <w:rFonts w:ascii="Times New Roman" w:hAnsi="Times New Roman" w:cs="Times New Roman"/>
          <w:sz w:val="26"/>
          <w:szCs w:val="26"/>
        </w:rPr>
        <w:t>]</w:t>
      </w:r>
    </w:p>
    <w:p w:rsidRPr="00D73B5E" w:rsidR="00C5463C" w:rsidP="00C5463C" w:rsidRDefault="00C5463C" w14:paraId="65E5F5B8" w14:textId="77777777">
      <w:pPr>
        <w:spacing w:after="0" w:line="240" w:lineRule="auto"/>
        <w:rPr>
          <w:rFonts w:ascii="Times New Roman" w:hAnsi="Times New Roman" w:cs="Times New Roman"/>
          <w:sz w:val="26"/>
          <w:szCs w:val="26"/>
        </w:rPr>
      </w:pPr>
    </w:p>
    <w:p w:rsidR="00575E5B" w:rsidP="00C5463C" w:rsidRDefault="00C5463C" w14:paraId="253525AD" w14:textId="5BE37336">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COMMISSION INFORMATION COLLECTION ACTIVITIES (FERC-7</w:t>
      </w:r>
      <w:r w:rsidR="002F1962">
        <w:rPr>
          <w:rFonts w:ascii="Times New Roman" w:hAnsi="Times New Roman" w:cs="Times New Roman"/>
          <w:sz w:val="26"/>
          <w:szCs w:val="26"/>
        </w:rPr>
        <w:t>17)</w:t>
      </w:r>
      <w:r w:rsidRPr="00D73B5E">
        <w:rPr>
          <w:rFonts w:ascii="Times New Roman" w:hAnsi="Times New Roman" w:cs="Times New Roman"/>
          <w:sz w:val="26"/>
          <w:szCs w:val="26"/>
        </w:rPr>
        <w:t>;</w:t>
      </w:r>
    </w:p>
    <w:p w:rsidRPr="00D73B5E" w:rsidR="00C5463C" w:rsidP="00C5463C" w:rsidRDefault="00C5463C" w14:paraId="102F0BFE" w14:textId="42BF0E68">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COMMENT REQUEST;</w:t>
      </w:r>
      <w:r w:rsidR="00C75A8E">
        <w:rPr>
          <w:rFonts w:ascii="Times New Roman" w:hAnsi="Times New Roman" w:cs="Times New Roman"/>
          <w:sz w:val="26"/>
          <w:szCs w:val="26"/>
        </w:rPr>
        <w:t xml:space="preserve"> EXTENSION</w:t>
      </w:r>
    </w:p>
    <w:p w:rsidRPr="00D73B5E" w:rsidR="00C5463C" w:rsidP="00C5463C" w:rsidRDefault="00C5463C" w14:paraId="77EBCCB6" w14:textId="0DD7644D">
      <w:pPr>
        <w:spacing w:after="0" w:line="240" w:lineRule="auto"/>
        <w:jc w:val="center"/>
        <w:rPr>
          <w:rFonts w:ascii="Times New Roman" w:hAnsi="Times New Roman" w:cs="Times New Roman"/>
          <w:sz w:val="26"/>
          <w:szCs w:val="26"/>
        </w:rPr>
      </w:pPr>
    </w:p>
    <w:p w:rsidR="00EE3A75" w:rsidP="006A648E" w:rsidRDefault="006A648E" w14:paraId="7DCD9B83" w14:textId="56C53899">
      <w:pPr>
        <w:spacing w:after="0" w:line="240" w:lineRule="auto"/>
        <w:jc w:val="center"/>
        <w:rPr>
          <w:rFonts w:ascii="Times New Roman" w:hAnsi="Times New Roman" w:cs="Times New Roman"/>
          <w:sz w:val="26"/>
          <w:szCs w:val="26"/>
        </w:rPr>
      </w:pPr>
      <w:r w:rsidRPr="006A648E">
        <w:rPr>
          <w:rFonts w:ascii="Times New Roman" w:hAnsi="Times New Roman" w:cs="Times New Roman"/>
          <w:sz w:val="26"/>
          <w:szCs w:val="26"/>
        </w:rPr>
        <w:t>(September 8, 2020)</w:t>
      </w:r>
    </w:p>
    <w:p w:rsidRPr="006A648E" w:rsidR="006A648E" w:rsidP="006A648E" w:rsidRDefault="006A648E" w14:paraId="67191F0B" w14:textId="77777777">
      <w:pPr>
        <w:spacing w:after="0" w:line="240" w:lineRule="auto"/>
        <w:rPr>
          <w:rFonts w:ascii="Times New Roman" w:hAnsi="Times New Roman" w:cs="Times New Roman"/>
          <w:sz w:val="26"/>
          <w:szCs w:val="26"/>
        </w:rPr>
      </w:pPr>
    </w:p>
    <w:p w:rsidRPr="00994191" w:rsidR="00C5463C" w:rsidP="00994191" w:rsidRDefault="00C5463C" w14:paraId="18D69431" w14:textId="77777777">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AGENCY:</w:t>
      </w:r>
      <w:r w:rsidRPr="00994191">
        <w:rPr>
          <w:rFonts w:ascii="Times New Roman" w:hAnsi="Times New Roman" w:cs="Times New Roman"/>
          <w:sz w:val="26"/>
          <w:szCs w:val="26"/>
        </w:rPr>
        <w:t xml:space="preserve">  Federal Energy Regulatory Commission.</w:t>
      </w:r>
    </w:p>
    <w:p w:rsidRPr="00994191" w:rsidR="00C5463C" w:rsidP="00994191" w:rsidRDefault="00C5463C" w14:paraId="7AFFDB69" w14:textId="67571DA1">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ACTION:</w:t>
      </w:r>
      <w:r w:rsidRPr="00994191">
        <w:rPr>
          <w:rFonts w:ascii="Times New Roman" w:hAnsi="Times New Roman" w:cs="Times New Roman"/>
          <w:sz w:val="26"/>
          <w:szCs w:val="26"/>
        </w:rPr>
        <w:t xml:space="preserve">  Notice of </w:t>
      </w:r>
      <w:r w:rsidR="00C75A8E">
        <w:rPr>
          <w:rFonts w:ascii="Times New Roman" w:hAnsi="Times New Roman" w:cs="Times New Roman"/>
          <w:sz w:val="26"/>
          <w:szCs w:val="26"/>
        </w:rPr>
        <w:t>extension</w:t>
      </w:r>
      <w:r w:rsidRPr="00994191" w:rsidR="00C75A8E">
        <w:rPr>
          <w:rFonts w:ascii="Times New Roman" w:hAnsi="Times New Roman" w:cs="Times New Roman"/>
          <w:sz w:val="26"/>
          <w:szCs w:val="26"/>
        </w:rPr>
        <w:t xml:space="preserve"> </w:t>
      </w:r>
      <w:r w:rsidRPr="00994191">
        <w:rPr>
          <w:rFonts w:ascii="Times New Roman" w:hAnsi="Times New Roman" w:cs="Times New Roman"/>
          <w:sz w:val="26"/>
          <w:szCs w:val="26"/>
        </w:rPr>
        <w:t>information collection and request for comments.</w:t>
      </w:r>
    </w:p>
    <w:p w:rsidRPr="00994191" w:rsidR="00C5463C" w:rsidP="00994191" w:rsidRDefault="00C5463C" w14:paraId="44915384" w14:textId="66FEA7A2">
      <w:pPr>
        <w:spacing w:line="480" w:lineRule="auto"/>
        <w:rPr>
          <w:rFonts w:ascii="Times New Roman" w:hAnsi="Times New Roman" w:cs="Times New Roman"/>
          <w:sz w:val="26"/>
          <w:szCs w:val="26"/>
        </w:rPr>
      </w:pPr>
      <w:r w:rsidRPr="00994191">
        <w:rPr>
          <w:rFonts w:ascii="Times New Roman" w:hAnsi="Times New Roman" w:cs="Times New Roman"/>
          <w:b/>
          <w:sz w:val="26"/>
          <w:szCs w:val="26"/>
        </w:rPr>
        <w:t>SUMMARY:</w:t>
      </w:r>
      <w:r w:rsidRPr="00994191">
        <w:rPr>
          <w:rFonts w:ascii="Times New Roman" w:hAnsi="Times New Roman" w:cs="Times New Roman"/>
          <w:sz w:val="26"/>
          <w:szCs w:val="26"/>
        </w:rPr>
        <w:t xml:space="preserve">  In compliance with the requirements of the Paperwork Reduction Act of 1995, 44 USC 3506(c)(2)(A), the Federal Energy Regulatory Commission (</w:t>
      </w:r>
      <w:r w:rsidR="00BB357F">
        <w:rPr>
          <w:rFonts w:ascii="Times New Roman" w:hAnsi="Times New Roman" w:cs="Times New Roman"/>
          <w:sz w:val="26"/>
          <w:szCs w:val="26"/>
        </w:rPr>
        <w:t>“</w:t>
      </w:r>
      <w:r w:rsidRPr="00994191">
        <w:rPr>
          <w:rFonts w:ascii="Times New Roman" w:hAnsi="Times New Roman" w:cs="Times New Roman"/>
          <w:sz w:val="26"/>
          <w:szCs w:val="26"/>
        </w:rPr>
        <w:t>Commission</w:t>
      </w:r>
      <w:r w:rsidR="00BB357F">
        <w:rPr>
          <w:rFonts w:ascii="Times New Roman" w:hAnsi="Times New Roman" w:cs="Times New Roman"/>
          <w:sz w:val="26"/>
          <w:szCs w:val="26"/>
        </w:rPr>
        <w:t>”</w:t>
      </w:r>
      <w:r w:rsidR="009C63CA">
        <w:rPr>
          <w:rFonts w:ascii="Times New Roman" w:hAnsi="Times New Roman" w:cs="Times New Roman"/>
          <w:sz w:val="26"/>
          <w:szCs w:val="26"/>
        </w:rPr>
        <w:t xml:space="preserve"> or “FERC”</w:t>
      </w:r>
      <w:r w:rsidRPr="00994191">
        <w:rPr>
          <w:rFonts w:ascii="Times New Roman" w:hAnsi="Times New Roman" w:cs="Times New Roman"/>
          <w:sz w:val="26"/>
          <w:szCs w:val="26"/>
        </w:rPr>
        <w:t xml:space="preserve"> ) is soliciting public comment on </w:t>
      </w:r>
      <w:r w:rsidR="00675B59">
        <w:rPr>
          <w:rFonts w:ascii="Times New Roman" w:hAnsi="Times New Roman" w:cs="Times New Roman"/>
          <w:sz w:val="26"/>
          <w:szCs w:val="26"/>
        </w:rPr>
        <w:t>the extension</w:t>
      </w:r>
      <w:r w:rsidRPr="00994191" w:rsidR="00675B59">
        <w:rPr>
          <w:rFonts w:ascii="Times New Roman" w:hAnsi="Times New Roman" w:cs="Times New Roman"/>
          <w:sz w:val="26"/>
          <w:szCs w:val="26"/>
        </w:rPr>
        <w:t xml:space="preserve"> </w:t>
      </w:r>
      <w:r w:rsidRPr="00994191">
        <w:rPr>
          <w:rFonts w:ascii="Times New Roman" w:hAnsi="Times New Roman" w:cs="Times New Roman"/>
          <w:sz w:val="26"/>
          <w:szCs w:val="26"/>
        </w:rPr>
        <w:t xml:space="preserve">to the information collection, </w:t>
      </w:r>
      <w:bookmarkStart w:name="_Hlk48237397" w:id="1"/>
      <w:r w:rsidRPr="00994191" w:rsidR="00994191">
        <w:rPr>
          <w:rFonts w:ascii="Times New Roman" w:hAnsi="Times New Roman" w:cs="Times New Roman"/>
          <w:sz w:val="26"/>
          <w:szCs w:val="26"/>
        </w:rPr>
        <w:t>FERC-</w:t>
      </w:r>
      <w:r w:rsidR="00C5564A">
        <w:rPr>
          <w:rFonts w:ascii="Times New Roman" w:hAnsi="Times New Roman" w:cs="Times New Roman"/>
          <w:sz w:val="26"/>
          <w:szCs w:val="26"/>
        </w:rPr>
        <w:t>717</w:t>
      </w:r>
      <w:r w:rsidRPr="00994191" w:rsidR="00994191">
        <w:rPr>
          <w:rFonts w:ascii="Times New Roman" w:hAnsi="Times New Roman" w:cs="Times New Roman"/>
          <w:sz w:val="26"/>
          <w:szCs w:val="26"/>
        </w:rPr>
        <w:t xml:space="preserve"> (</w:t>
      </w:r>
      <w:bookmarkEnd w:id="1"/>
      <w:r w:rsidRPr="00023E5C" w:rsidR="00023E5C">
        <w:rPr>
          <w:rFonts w:ascii="Times New Roman" w:hAnsi="Times New Roman" w:cs="Times New Roman"/>
          <w:sz w:val="26"/>
          <w:szCs w:val="26"/>
        </w:rPr>
        <w:t>Standards for Business Practices and Communication Protocols for Public Utilities</w:t>
      </w:r>
      <w:r w:rsidR="005B4DCE">
        <w:rPr>
          <w:rFonts w:ascii="Times New Roman" w:hAnsi="Times New Roman" w:cs="Times New Roman"/>
          <w:sz w:val="26"/>
          <w:szCs w:val="26"/>
        </w:rPr>
        <w:t xml:space="preserve"> </w:t>
      </w:r>
      <w:r w:rsidR="00DA432D">
        <w:rPr>
          <w:rFonts w:ascii="Times New Roman" w:hAnsi="Times New Roman" w:cs="Times New Roman"/>
          <w:sz w:val="26"/>
          <w:szCs w:val="26"/>
        </w:rPr>
        <w:t>) which</w:t>
      </w:r>
      <w:r w:rsidRPr="00994191">
        <w:rPr>
          <w:rFonts w:ascii="Times New Roman" w:hAnsi="Times New Roman" w:cs="Times New Roman"/>
          <w:sz w:val="26"/>
          <w:szCs w:val="26"/>
        </w:rPr>
        <w:t xml:space="preserve"> will be submitted to the Office of Management and Budget (OMB) for a review of the information collection requirements. </w:t>
      </w:r>
    </w:p>
    <w:p w:rsidRPr="00994191" w:rsidR="00C5463C" w:rsidP="00994191" w:rsidRDefault="00C5463C" w14:paraId="163DB8E9" w14:textId="5D1214F6">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DATES:</w:t>
      </w:r>
      <w:r w:rsidRPr="00994191">
        <w:rPr>
          <w:rFonts w:ascii="Times New Roman" w:hAnsi="Times New Roman" w:cs="Times New Roman"/>
          <w:sz w:val="26"/>
          <w:szCs w:val="26"/>
        </w:rPr>
        <w:t xml:space="preserve">  Comments on the collection of information are due</w:t>
      </w:r>
      <w:r w:rsidRPr="00994191">
        <w:rPr>
          <w:rFonts w:ascii="Times New Roman" w:hAnsi="Times New Roman" w:cs="Times New Roman"/>
          <w:b/>
          <w:sz w:val="26"/>
          <w:szCs w:val="26"/>
        </w:rPr>
        <w:t xml:space="preserve"> [</w:t>
      </w:r>
      <w:r w:rsidRPr="00AF415E" w:rsidR="006A648E">
        <w:rPr>
          <w:rFonts w:ascii="Times New Roman" w:hAnsi="Times New Roman" w:cs="Times New Roman"/>
          <w:b/>
          <w:sz w:val="26"/>
          <w:szCs w:val="26"/>
        </w:rPr>
        <w:t xml:space="preserve">Insert Date 60 </w:t>
      </w:r>
      <w:r w:rsidR="006A648E">
        <w:rPr>
          <w:rFonts w:ascii="Times New Roman" w:hAnsi="Times New Roman" w:cs="Times New Roman"/>
          <w:b/>
          <w:sz w:val="26"/>
          <w:szCs w:val="26"/>
        </w:rPr>
        <w:t>d</w:t>
      </w:r>
      <w:r w:rsidRPr="00AF415E" w:rsidR="006A648E">
        <w:rPr>
          <w:rFonts w:ascii="Times New Roman" w:hAnsi="Times New Roman" w:cs="Times New Roman"/>
          <w:b/>
          <w:sz w:val="26"/>
          <w:szCs w:val="26"/>
        </w:rPr>
        <w:t xml:space="preserve">ays </w:t>
      </w:r>
      <w:r w:rsidR="006A648E">
        <w:rPr>
          <w:rFonts w:ascii="Times New Roman" w:hAnsi="Times New Roman" w:cs="Times New Roman"/>
          <w:b/>
          <w:sz w:val="26"/>
          <w:szCs w:val="26"/>
        </w:rPr>
        <w:t>a</w:t>
      </w:r>
      <w:r w:rsidRPr="00AF415E" w:rsidR="006A648E">
        <w:rPr>
          <w:rFonts w:ascii="Times New Roman" w:hAnsi="Times New Roman" w:cs="Times New Roman"/>
          <w:b/>
          <w:sz w:val="26"/>
          <w:szCs w:val="26"/>
        </w:rPr>
        <w:t xml:space="preserve">fter </w:t>
      </w:r>
      <w:r w:rsidR="006A648E">
        <w:rPr>
          <w:rFonts w:ascii="Times New Roman" w:hAnsi="Times New Roman" w:cs="Times New Roman"/>
          <w:b/>
          <w:sz w:val="26"/>
          <w:szCs w:val="26"/>
        </w:rPr>
        <w:t>d</w:t>
      </w:r>
      <w:r w:rsidRPr="00AF415E" w:rsidR="006A648E">
        <w:rPr>
          <w:rFonts w:ascii="Times New Roman" w:hAnsi="Times New Roman" w:cs="Times New Roman"/>
          <w:b/>
          <w:sz w:val="26"/>
          <w:szCs w:val="26"/>
        </w:rPr>
        <w:t xml:space="preserve">ate </w:t>
      </w:r>
      <w:r w:rsidR="006A648E">
        <w:rPr>
          <w:rFonts w:ascii="Times New Roman" w:hAnsi="Times New Roman" w:cs="Times New Roman"/>
          <w:b/>
          <w:sz w:val="26"/>
          <w:szCs w:val="26"/>
        </w:rPr>
        <w:t>o</w:t>
      </w:r>
      <w:r w:rsidRPr="00AF415E" w:rsidR="006A648E">
        <w:rPr>
          <w:rFonts w:ascii="Times New Roman" w:hAnsi="Times New Roman" w:cs="Times New Roman"/>
          <w:b/>
          <w:sz w:val="26"/>
          <w:szCs w:val="26"/>
        </w:rPr>
        <w:t xml:space="preserve">f </w:t>
      </w:r>
      <w:r w:rsidR="006A648E">
        <w:rPr>
          <w:rFonts w:ascii="Times New Roman" w:hAnsi="Times New Roman" w:cs="Times New Roman"/>
          <w:b/>
          <w:sz w:val="26"/>
          <w:szCs w:val="26"/>
        </w:rPr>
        <w:t>p</w:t>
      </w:r>
      <w:r w:rsidRPr="00AF415E" w:rsidR="006A648E">
        <w:rPr>
          <w:rFonts w:ascii="Times New Roman" w:hAnsi="Times New Roman" w:cs="Times New Roman"/>
          <w:b/>
          <w:sz w:val="26"/>
          <w:szCs w:val="26"/>
        </w:rPr>
        <w:t xml:space="preserve">ublication </w:t>
      </w:r>
      <w:r w:rsidR="006A648E">
        <w:rPr>
          <w:rFonts w:ascii="Times New Roman" w:hAnsi="Times New Roman" w:cs="Times New Roman"/>
          <w:b/>
          <w:sz w:val="26"/>
          <w:szCs w:val="26"/>
        </w:rPr>
        <w:t>i</w:t>
      </w:r>
      <w:r w:rsidRPr="00AF415E" w:rsidR="006A648E">
        <w:rPr>
          <w:rFonts w:ascii="Times New Roman" w:hAnsi="Times New Roman" w:cs="Times New Roman"/>
          <w:b/>
          <w:sz w:val="26"/>
          <w:szCs w:val="26"/>
        </w:rPr>
        <w:t xml:space="preserve">n </w:t>
      </w:r>
      <w:r w:rsidR="006A648E">
        <w:rPr>
          <w:rFonts w:ascii="Times New Roman" w:hAnsi="Times New Roman" w:cs="Times New Roman"/>
          <w:b/>
          <w:sz w:val="26"/>
          <w:szCs w:val="26"/>
        </w:rPr>
        <w:t>t</w:t>
      </w:r>
      <w:r w:rsidRPr="00AF415E" w:rsidR="006A648E">
        <w:rPr>
          <w:rFonts w:ascii="Times New Roman" w:hAnsi="Times New Roman" w:cs="Times New Roman"/>
          <w:b/>
          <w:sz w:val="26"/>
          <w:szCs w:val="26"/>
        </w:rPr>
        <w:t>he Federal Register</w:t>
      </w:r>
      <w:r w:rsidRPr="00994191">
        <w:rPr>
          <w:rFonts w:ascii="Times New Roman" w:hAnsi="Times New Roman" w:cs="Times New Roman"/>
          <w:b/>
          <w:sz w:val="26"/>
          <w:szCs w:val="26"/>
        </w:rPr>
        <w:t>].</w:t>
      </w:r>
      <w:r w:rsidRPr="00994191">
        <w:rPr>
          <w:rFonts w:ascii="Times New Roman" w:hAnsi="Times New Roman" w:cs="Times New Roman"/>
          <w:sz w:val="26"/>
          <w:szCs w:val="26"/>
        </w:rPr>
        <w:t xml:space="preserve"> </w:t>
      </w:r>
    </w:p>
    <w:p w:rsidRPr="00DA432D" w:rsidR="00DA432D" w:rsidP="00DA432D" w:rsidRDefault="00DA432D" w14:paraId="51C5D49D" w14:textId="774041EF">
      <w:pPr>
        <w:spacing w:after="0" w:line="480" w:lineRule="auto"/>
        <w:rPr>
          <w:rFonts w:ascii="Times New Roman" w:hAnsi="Times New Roman" w:eastAsia="Times New Roman" w:cs="Times New Roman"/>
          <w:sz w:val="26"/>
          <w:szCs w:val="24"/>
        </w:rPr>
      </w:pPr>
      <w:bookmarkStart w:name="OLE_LINK1" w:id="2"/>
      <w:r w:rsidRPr="00DA432D">
        <w:rPr>
          <w:rFonts w:ascii="Times New Roman" w:hAnsi="Times New Roman" w:eastAsia="Times New Roman" w:cs="Times New Roman"/>
          <w:b/>
          <w:sz w:val="26"/>
          <w:szCs w:val="24"/>
        </w:rPr>
        <w:t>ADDRESSES:</w:t>
      </w:r>
      <w:r w:rsidRPr="00DA432D">
        <w:rPr>
          <w:rFonts w:ascii="Times New Roman" w:hAnsi="Times New Roman" w:eastAsia="Times New Roman" w:cs="Times New Roman"/>
          <w:sz w:val="26"/>
          <w:szCs w:val="24"/>
        </w:rPr>
        <w:t xml:space="preserve">  </w:t>
      </w:r>
    </w:p>
    <w:p w:rsidRPr="00DA432D" w:rsidR="00DA432D" w:rsidP="00DA432D" w:rsidRDefault="00DA432D" w14:paraId="2D7A78CE" w14:textId="5271D714">
      <w:pPr>
        <w:spacing w:after="0" w:line="480" w:lineRule="auto"/>
        <w:rPr>
          <w:rFonts w:ascii="Times New Roman" w:hAnsi="Times New Roman" w:eastAsia="Times New Roman" w:cs="Times New Roman"/>
          <w:sz w:val="26"/>
          <w:szCs w:val="24"/>
        </w:rPr>
      </w:pPr>
      <w:r w:rsidRPr="00DA432D">
        <w:rPr>
          <w:rFonts w:ascii="Times New Roman" w:hAnsi="Times New Roman" w:eastAsia="Times New Roman" w:cs="Times New Roman"/>
          <w:sz w:val="26"/>
          <w:szCs w:val="24"/>
        </w:rPr>
        <w:t xml:space="preserve">Please submit </w:t>
      </w:r>
      <w:r w:rsidR="00AF415E">
        <w:rPr>
          <w:rFonts w:ascii="Times New Roman" w:hAnsi="Times New Roman" w:eastAsia="Times New Roman" w:cs="Times New Roman"/>
          <w:sz w:val="26"/>
          <w:szCs w:val="24"/>
        </w:rPr>
        <w:t xml:space="preserve">a </w:t>
      </w:r>
      <w:r w:rsidRPr="00DA432D">
        <w:rPr>
          <w:rFonts w:ascii="Times New Roman" w:hAnsi="Times New Roman" w:eastAsia="Times New Roman" w:cs="Times New Roman"/>
          <w:sz w:val="26"/>
          <w:szCs w:val="24"/>
        </w:rPr>
        <w:t>cop</w:t>
      </w:r>
      <w:r w:rsidR="00AF415E">
        <w:rPr>
          <w:rFonts w:ascii="Times New Roman" w:hAnsi="Times New Roman" w:eastAsia="Times New Roman" w:cs="Times New Roman"/>
          <w:sz w:val="26"/>
          <w:szCs w:val="24"/>
        </w:rPr>
        <w:t>y</w:t>
      </w:r>
      <w:r w:rsidRPr="00DA432D">
        <w:rPr>
          <w:rFonts w:ascii="Times New Roman" w:hAnsi="Times New Roman" w:eastAsia="Times New Roman" w:cs="Times New Roman"/>
          <w:sz w:val="26"/>
          <w:szCs w:val="24"/>
        </w:rPr>
        <w:t xml:space="preserve"> of your comments to the Commission (identified by Docket No. </w:t>
      </w:r>
      <w:r w:rsidRPr="0059269D" w:rsidR="00647C42">
        <w:rPr>
          <w:rFonts w:ascii="Times New Roman" w:hAnsi="Times New Roman" w:eastAsia="Times New Roman" w:cs="Times New Roman"/>
          <w:sz w:val="26"/>
          <w:szCs w:val="24"/>
        </w:rPr>
        <w:t>IC20-</w:t>
      </w:r>
      <w:r w:rsidR="00C95EBB">
        <w:rPr>
          <w:rFonts w:ascii="Times New Roman" w:hAnsi="Times New Roman" w:eastAsia="Times New Roman" w:cs="Times New Roman"/>
          <w:sz w:val="26"/>
          <w:szCs w:val="24"/>
        </w:rPr>
        <w:t>25</w:t>
      </w:r>
      <w:r w:rsidRPr="0059269D" w:rsidR="00647C42">
        <w:rPr>
          <w:rFonts w:ascii="Times New Roman" w:hAnsi="Times New Roman" w:eastAsia="Times New Roman" w:cs="Times New Roman"/>
          <w:sz w:val="26"/>
          <w:szCs w:val="24"/>
        </w:rPr>
        <w:t>-000</w:t>
      </w:r>
      <w:r w:rsidRPr="00370E30">
        <w:rPr>
          <w:rFonts w:ascii="Times New Roman" w:hAnsi="Times New Roman" w:eastAsia="Times New Roman" w:cs="Times New Roman"/>
          <w:sz w:val="26"/>
          <w:szCs w:val="24"/>
        </w:rPr>
        <w:t xml:space="preserve">) by </w:t>
      </w:r>
      <w:r w:rsidR="00AF415E">
        <w:rPr>
          <w:rFonts w:ascii="Times New Roman" w:hAnsi="Times New Roman" w:eastAsia="Times New Roman" w:cs="Times New Roman"/>
          <w:sz w:val="26"/>
          <w:szCs w:val="24"/>
        </w:rPr>
        <w:t xml:space="preserve">one </w:t>
      </w:r>
      <w:r w:rsidRPr="00370E30">
        <w:rPr>
          <w:rFonts w:ascii="Times New Roman" w:hAnsi="Times New Roman" w:eastAsia="Times New Roman" w:cs="Times New Roman"/>
          <w:sz w:val="26"/>
          <w:szCs w:val="24"/>
        </w:rPr>
        <w:t>of the following methods:</w:t>
      </w:r>
    </w:p>
    <w:p w:rsidRPr="00DA432D" w:rsidR="00DA432D" w:rsidP="00DA432D" w:rsidRDefault="00DA432D" w14:paraId="4E7954A5" w14:textId="07D4E284">
      <w:pPr>
        <w:spacing w:after="0" w:line="480" w:lineRule="auto"/>
        <w:rPr>
          <w:rFonts w:ascii="Times New Roman" w:hAnsi="Times New Roman" w:eastAsia="Times New Roman" w:cs="Times New Roman"/>
          <w:sz w:val="26"/>
          <w:szCs w:val="24"/>
        </w:rPr>
      </w:pPr>
      <w:r w:rsidRPr="00DA432D">
        <w:rPr>
          <w:rFonts w:ascii="Times New Roman" w:hAnsi="Times New Roman" w:eastAsia="Times New Roman" w:cs="Times New Roman"/>
          <w:sz w:val="26"/>
          <w:szCs w:val="24"/>
        </w:rPr>
        <w:t>•</w:t>
      </w:r>
      <w:r w:rsidRPr="00DA432D">
        <w:rPr>
          <w:rFonts w:ascii="Times New Roman" w:hAnsi="Times New Roman" w:eastAsia="Times New Roman" w:cs="Times New Roman"/>
          <w:sz w:val="26"/>
          <w:szCs w:val="24"/>
        </w:rPr>
        <w:tab/>
        <w:t xml:space="preserve">eFiling at Commission’s Web Site: </w:t>
      </w:r>
      <w:hyperlink w:history="1" r:id="rId12">
        <w:r w:rsidRPr="00866C85" w:rsidR="00BA7D8B">
          <w:rPr>
            <w:rStyle w:val="Hyperlink"/>
            <w:rFonts w:ascii="Times New Roman" w:hAnsi="Times New Roman" w:eastAsia="Times New Roman" w:cs="Times New Roman"/>
            <w:sz w:val="26"/>
            <w:szCs w:val="24"/>
          </w:rPr>
          <w:t>http://www.ferc.gov/docs-filing/efiling.asp</w:t>
        </w:r>
      </w:hyperlink>
      <w:r w:rsidR="00BA7D8B">
        <w:rPr>
          <w:rFonts w:ascii="Times New Roman" w:hAnsi="Times New Roman" w:eastAsia="Times New Roman" w:cs="Times New Roman"/>
          <w:sz w:val="26"/>
          <w:szCs w:val="24"/>
        </w:rPr>
        <w:t xml:space="preserve"> </w:t>
      </w:r>
      <w:r w:rsidR="00B34DD7">
        <w:rPr>
          <w:rFonts w:ascii="Times New Roman" w:hAnsi="Times New Roman" w:eastAsia="Times New Roman" w:cs="Times New Roman"/>
          <w:sz w:val="26"/>
          <w:szCs w:val="24"/>
        </w:rPr>
        <w:t xml:space="preserve"> </w:t>
      </w:r>
    </w:p>
    <w:p w:rsidRPr="00AF415E" w:rsidR="00AF415E" w:rsidP="00AF415E" w:rsidRDefault="00AF415E" w14:paraId="20213093" w14:textId="5579B729">
      <w:pPr>
        <w:spacing w:after="0" w:line="480" w:lineRule="auto"/>
        <w:rPr>
          <w:rFonts w:ascii="Times New Roman" w:hAnsi="Times New Roman" w:eastAsia="Times New Roman" w:cs="Times New Roman"/>
          <w:sz w:val="26"/>
          <w:szCs w:val="24"/>
        </w:rPr>
      </w:pPr>
    </w:p>
    <w:p w:rsidRPr="00AF415E" w:rsidR="00AF415E" w:rsidP="00AF415E" w:rsidRDefault="00AF415E" w14:paraId="755167A5" w14:textId="77777777">
      <w:pPr>
        <w:spacing w:after="0" w:line="480" w:lineRule="auto"/>
        <w:rPr>
          <w:rFonts w:ascii="Times New Roman" w:hAnsi="Times New Roman" w:eastAsia="Times New Roman" w:cs="Times New Roman"/>
          <w:sz w:val="26"/>
          <w:szCs w:val="24"/>
        </w:rPr>
      </w:pPr>
      <w:r w:rsidRPr="00AF415E">
        <w:rPr>
          <w:rFonts w:ascii="Times New Roman" w:hAnsi="Times New Roman" w:eastAsia="Times New Roman" w:cs="Times New Roman"/>
          <w:sz w:val="26"/>
          <w:szCs w:val="24"/>
        </w:rPr>
        <w:lastRenderedPageBreak/>
        <w:t>•</w:t>
      </w:r>
      <w:r w:rsidRPr="00AF415E">
        <w:rPr>
          <w:rFonts w:ascii="Times New Roman" w:hAnsi="Times New Roman" w:eastAsia="Times New Roman" w:cs="Times New Roman"/>
          <w:sz w:val="26"/>
          <w:szCs w:val="24"/>
        </w:rPr>
        <w:tab/>
        <w:t xml:space="preserve">U.S. Postal Service Mail: Persons unable to file electronically may mail similar pleadings to the Federal Energy Regulatory Commission, 888 First Street, NE, Washington, DC 20426. </w:t>
      </w:r>
    </w:p>
    <w:p w:rsidRPr="00DA432D" w:rsidR="00FA628C" w:rsidP="00AF415E" w:rsidRDefault="00AF415E" w14:paraId="4CE5D5D6" w14:textId="66745AA6">
      <w:pPr>
        <w:spacing w:line="480" w:lineRule="auto"/>
        <w:rPr>
          <w:rFonts w:ascii="Times New Roman" w:hAnsi="Times New Roman" w:eastAsia="Times New Roman" w:cs="Times New Roman"/>
          <w:sz w:val="26"/>
          <w:szCs w:val="24"/>
        </w:rPr>
      </w:pPr>
      <w:r w:rsidRPr="00AF415E">
        <w:rPr>
          <w:rFonts w:ascii="Times New Roman" w:hAnsi="Times New Roman" w:eastAsia="Times New Roman" w:cs="Times New Roman"/>
          <w:sz w:val="26"/>
          <w:szCs w:val="24"/>
        </w:rPr>
        <w:t>•</w:t>
      </w:r>
      <w:r w:rsidRPr="00AF415E">
        <w:rPr>
          <w:rFonts w:ascii="Times New Roman" w:hAnsi="Times New Roman" w:eastAsia="Times New Roman" w:cs="Times New Roman"/>
          <w:sz w:val="26"/>
          <w:szCs w:val="24"/>
        </w:rPr>
        <w:tab/>
        <w:t>Effective 7/1/2020, delivery of filings other than by eFiling or the U.S. Postal Service should be delivered to Health and Human Services, 12225 Wilkins Avenue, Rockville, Maryland 20852.</w:t>
      </w:r>
    </w:p>
    <w:p w:rsidRPr="00994191" w:rsidR="00C5463C" w:rsidP="00AF415E" w:rsidRDefault="00C5463C" w14:paraId="2E3C8F34" w14:textId="3A06ED6D">
      <w:pPr>
        <w:spacing w:after="0" w:line="480" w:lineRule="auto"/>
        <w:rPr>
          <w:rFonts w:ascii="Times New Roman" w:hAnsi="Times New Roman" w:cs="Times New Roman"/>
          <w:sz w:val="26"/>
          <w:szCs w:val="26"/>
        </w:rPr>
      </w:pPr>
      <w:r w:rsidRPr="00994191">
        <w:rPr>
          <w:rFonts w:ascii="Times New Roman" w:hAnsi="Times New Roman" w:cs="Times New Roman"/>
          <w:i/>
          <w:sz w:val="26"/>
          <w:szCs w:val="26"/>
        </w:rPr>
        <w:t xml:space="preserve">Instructions: </w:t>
      </w:r>
      <w:r w:rsidRPr="00994191">
        <w:rPr>
          <w:rFonts w:ascii="Times New Roman" w:hAnsi="Times New Roman" w:cs="Times New Roman"/>
          <w:sz w:val="26"/>
          <w:szCs w:val="26"/>
        </w:rPr>
        <w:t>All submissions must be formatted and filed in accordance with submission guidelines at:</w:t>
      </w:r>
      <w:r w:rsidR="00AF415E">
        <w:rPr>
          <w:rFonts w:ascii="Times New Roman" w:hAnsi="Times New Roman" w:cs="Times New Roman"/>
          <w:sz w:val="26"/>
          <w:szCs w:val="26"/>
        </w:rPr>
        <w:t xml:space="preserve"> </w:t>
      </w:r>
      <w:hyperlink w:history="1" r:id="rId13">
        <w:r w:rsidRPr="00866C85" w:rsidR="00F65E33">
          <w:rPr>
            <w:rStyle w:val="Hyperlink"/>
            <w:rFonts w:ascii="Times New Roman" w:hAnsi="Times New Roman" w:cs="Times New Roman"/>
            <w:sz w:val="26"/>
            <w:szCs w:val="26"/>
          </w:rPr>
          <w:t>http://www.ferc.gov</w:t>
        </w:r>
      </w:hyperlink>
      <w:r w:rsidRPr="00994191">
        <w:rPr>
          <w:rFonts w:ascii="Times New Roman" w:hAnsi="Times New Roman" w:cs="Times New Roman"/>
          <w:sz w:val="26"/>
          <w:szCs w:val="26"/>
        </w:rPr>
        <w:t xml:space="preserve">.  For user assistance contact FERC Online Support by e-mail at </w:t>
      </w:r>
      <w:hyperlink w:history="1" r:id="rId14">
        <w:r w:rsidRPr="00866C85" w:rsidR="00F65E33">
          <w:rPr>
            <w:rStyle w:val="Hyperlink"/>
            <w:rFonts w:ascii="Times New Roman" w:hAnsi="Times New Roman" w:cs="Times New Roman"/>
            <w:sz w:val="26"/>
            <w:szCs w:val="26"/>
          </w:rPr>
          <w:t>ferconlinesupport@ferc.gov</w:t>
        </w:r>
      </w:hyperlink>
      <w:r w:rsidRPr="00994191">
        <w:rPr>
          <w:rFonts w:ascii="Times New Roman" w:hAnsi="Times New Roman" w:cs="Times New Roman"/>
          <w:sz w:val="26"/>
          <w:szCs w:val="26"/>
        </w:rPr>
        <w:t>, or by phone at:  (866) 208-3676 (toll-free), or (202) 502-8659 for TTY.</w:t>
      </w:r>
    </w:p>
    <w:p w:rsidRPr="00994191" w:rsidR="00C5463C" w:rsidP="00994191" w:rsidRDefault="00C5463C" w14:paraId="644E84C5" w14:textId="77777777">
      <w:pPr>
        <w:spacing w:line="480" w:lineRule="auto"/>
        <w:rPr>
          <w:rFonts w:ascii="Times New Roman" w:hAnsi="Times New Roman" w:cs="Times New Roman"/>
          <w:sz w:val="26"/>
          <w:szCs w:val="26"/>
        </w:rPr>
      </w:pPr>
      <w:r w:rsidRPr="00994191">
        <w:rPr>
          <w:rFonts w:ascii="Times New Roman" w:hAnsi="Times New Roman" w:cs="Times New Roman"/>
          <w:i/>
          <w:sz w:val="26"/>
          <w:szCs w:val="26"/>
        </w:rPr>
        <w:t>Docket:</w:t>
      </w:r>
      <w:r w:rsidRPr="00994191">
        <w:rPr>
          <w:rFonts w:ascii="Times New Roman" w:hAnsi="Times New Roman" w:cs="Times New Roman"/>
          <w:sz w:val="26"/>
          <w:szCs w:val="26"/>
        </w:rPr>
        <w:t xml:space="preserve"> Users interested in receiving automatic notification of activity in this docket or in viewing/downloading comments and issuances in this docket may do so at </w:t>
      </w:r>
      <w:hyperlink w:history="1" r:id="rId15">
        <w:r w:rsidRPr="00994191">
          <w:rPr>
            <w:rStyle w:val="Hyperlink"/>
            <w:rFonts w:ascii="Times New Roman" w:hAnsi="Times New Roman" w:cs="Times New Roman"/>
            <w:sz w:val="26"/>
            <w:szCs w:val="26"/>
          </w:rPr>
          <w:t>http://www.ferc.gov/docs-filing/docs-filing.asp</w:t>
        </w:r>
      </w:hyperlink>
      <w:r w:rsidRPr="00994191">
        <w:rPr>
          <w:rFonts w:ascii="Times New Roman" w:hAnsi="Times New Roman" w:cs="Times New Roman"/>
          <w:sz w:val="26"/>
          <w:szCs w:val="26"/>
        </w:rPr>
        <w:t xml:space="preserve">. </w:t>
      </w:r>
    </w:p>
    <w:bookmarkEnd w:id="2"/>
    <w:p w:rsidRPr="00994191" w:rsidR="00C5463C" w:rsidP="00994191" w:rsidRDefault="00C5463C" w14:paraId="33487353" w14:textId="3FDF5903">
      <w:pPr>
        <w:spacing w:line="480" w:lineRule="auto"/>
        <w:rPr>
          <w:rFonts w:ascii="Times New Roman" w:hAnsi="Times New Roman" w:cs="Times New Roman"/>
          <w:sz w:val="26"/>
          <w:szCs w:val="26"/>
        </w:rPr>
      </w:pPr>
      <w:r w:rsidRPr="00994191">
        <w:rPr>
          <w:rFonts w:ascii="Times New Roman" w:hAnsi="Times New Roman" w:cs="Times New Roman"/>
          <w:b/>
          <w:sz w:val="26"/>
          <w:szCs w:val="26"/>
        </w:rPr>
        <w:t>FOR FURTHER INFORMATION:</w:t>
      </w:r>
      <w:r w:rsidRPr="00994191">
        <w:rPr>
          <w:rFonts w:ascii="Times New Roman" w:hAnsi="Times New Roman" w:cs="Times New Roman"/>
          <w:sz w:val="26"/>
          <w:szCs w:val="26"/>
        </w:rPr>
        <w:t xml:space="preserve">  Ellen Brown may be reached by e-mail at </w:t>
      </w:r>
      <w:hyperlink w:history="1" r:id="rId16">
        <w:r w:rsidRPr="00994191">
          <w:rPr>
            <w:rStyle w:val="Hyperlink"/>
            <w:rFonts w:ascii="Times New Roman" w:hAnsi="Times New Roman" w:cs="Times New Roman"/>
            <w:sz w:val="26"/>
            <w:szCs w:val="26"/>
          </w:rPr>
          <w:t>DataClearance@FERC.gov</w:t>
        </w:r>
      </w:hyperlink>
      <w:r w:rsidRPr="00994191">
        <w:rPr>
          <w:rFonts w:ascii="Times New Roman" w:hAnsi="Times New Roman" w:cs="Times New Roman"/>
          <w:sz w:val="26"/>
          <w:szCs w:val="26"/>
        </w:rPr>
        <w:t>, telephone at (202) 502-8663</w:t>
      </w:r>
      <w:r w:rsidR="00DA432D">
        <w:rPr>
          <w:rFonts w:ascii="Times New Roman" w:hAnsi="Times New Roman" w:cs="Times New Roman"/>
          <w:sz w:val="26"/>
          <w:szCs w:val="26"/>
        </w:rPr>
        <w:t>.</w:t>
      </w:r>
    </w:p>
    <w:p w:rsidRPr="0040433B" w:rsidR="0040433B" w:rsidP="0040433B" w:rsidRDefault="0040433B" w14:paraId="2E751CE9" w14:textId="77777777">
      <w:pPr>
        <w:spacing w:after="0" w:line="480" w:lineRule="auto"/>
        <w:rPr>
          <w:rFonts w:ascii="Times New Roman" w:hAnsi="Times New Roman" w:eastAsia="Times New Roman" w:cs="Times New Roman"/>
          <w:sz w:val="26"/>
          <w:szCs w:val="26"/>
        </w:rPr>
      </w:pPr>
      <w:r w:rsidRPr="0040433B">
        <w:rPr>
          <w:rFonts w:ascii="Times New Roman" w:hAnsi="Times New Roman" w:eastAsia="Times New Roman" w:cs="Times New Roman"/>
          <w:b/>
          <w:sz w:val="26"/>
          <w:szCs w:val="26"/>
        </w:rPr>
        <w:t>SUPPLEMENTARY INFORMATION:</w:t>
      </w:r>
      <w:r w:rsidRPr="0040433B">
        <w:rPr>
          <w:rFonts w:ascii="Times New Roman" w:hAnsi="Times New Roman" w:eastAsia="Times New Roman" w:cs="Times New Roman"/>
          <w:sz w:val="26"/>
          <w:szCs w:val="26"/>
        </w:rPr>
        <w:t xml:space="preserve">  </w:t>
      </w:r>
    </w:p>
    <w:p w:rsidRPr="0040433B" w:rsidR="0040433B" w:rsidP="0040433B" w:rsidRDefault="0040433B" w14:paraId="5DE2F2E1" w14:textId="0E52913D">
      <w:pPr>
        <w:spacing w:after="0" w:line="480" w:lineRule="auto"/>
        <w:rPr>
          <w:rFonts w:ascii="Times New Roman" w:hAnsi="Times New Roman" w:eastAsia="Times New Roman" w:cs="Times New Roman"/>
          <w:color w:val="000000"/>
          <w:sz w:val="26"/>
          <w:szCs w:val="26"/>
        </w:rPr>
      </w:pPr>
      <w:r w:rsidRPr="0040433B">
        <w:rPr>
          <w:rFonts w:ascii="Times New Roman" w:hAnsi="Times New Roman" w:eastAsia="Times New Roman" w:cs="Times New Roman"/>
          <w:i/>
          <w:sz w:val="26"/>
          <w:szCs w:val="26"/>
        </w:rPr>
        <w:t xml:space="preserve">Title: </w:t>
      </w:r>
      <w:r w:rsidRPr="0040433B">
        <w:rPr>
          <w:rFonts w:ascii="Times New Roman" w:hAnsi="Times New Roman" w:eastAsia="Times New Roman" w:cs="Times New Roman"/>
          <w:sz w:val="26"/>
          <w:szCs w:val="26"/>
        </w:rPr>
        <w:t>FERC-717</w:t>
      </w:r>
      <w:bookmarkStart w:name="_Hlk49424857" w:id="3"/>
      <w:r w:rsidRPr="0040433B">
        <w:rPr>
          <w:rFonts w:ascii="Times New Roman" w:hAnsi="Times New Roman" w:eastAsia="Times New Roman" w:cs="Times New Roman"/>
          <w:sz w:val="26"/>
          <w:szCs w:val="26"/>
        </w:rPr>
        <w:t xml:space="preserve">, </w:t>
      </w:r>
      <w:r w:rsidRPr="00023E5C" w:rsidR="00742BE9">
        <w:rPr>
          <w:rFonts w:ascii="Times New Roman" w:hAnsi="Times New Roman" w:cs="Times New Roman"/>
          <w:sz w:val="26"/>
          <w:szCs w:val="26"/>
        </w:rPr>
        <w:t>Standards for Business Practices and Communication Protocols for Public Utilities</w:t>
      </w:r>
      <w:r w:rsidRPr="0040433B">
        <w:rPr>
          <w:rFonts w:ascii="Times New Roman" w:hAnsi="Times New Roman" w:eastAsia="Times New Roman" w:cs="Times New Roman"/>
          <w:sz w:val="26"/>
          <w:szCs w:val="26"/>
        </w:rPr>
        <w:t xml:space="preserve"> </w:t>
      </w:r>
      <w:bookmarkEnd w:id="3"/>
    </w:p>
    <w:p w:rsidRPr="0040433B" w:rsidR="0040433B" w:rsidP="0040433B" w:rsidRDefault="0040433B" w14:paraId="668C9294" w14:textId="77777777">
      <w:pPr>
        <w:spacing w:after="0" w:line="480" w:lineRule="auto"/>
        <w:rPr>
          <w:rFonts w:ascii="Times New Roman" w:hAnsi="Times New Roman" w:eastAsia="Times New Roman" w:cs="Times New Roman"/>
          <w:sz w:val="26"/>
          <w:szCs w:val="26"/>
        </w:rPr>
      </w:pPr>
      <w:r w:rsidRPr="0040433B">
        <w:rPr>
          <w:rFonts w:ascii="Times New Roman" w:hAnsi="Times New Roman" w:eastAsia="Times New Roman" w:cs="Times New Roman"/>
          <w:i/>
          <w:sz w:val="26"/>
          <w:szCs w:val="26"/>
        </w:rPr>
        <w:t>OMB Control No.:</w:t>
      </w:r>
      <w:r w:rsidRPr="0040433B">
        <w:rPr>
          <w:rFonts w:ascii="Times New Roman" w:hAnsi="Times New Roman" w:eastAsia="Times New Roman" w:cs="Times New Roman"/>
          <w:sz w:val="26"/>
          <w:szCs w:val="26"/>
        </w:rPr>
        <w:t xml:space="preserve"> 1902-0173</w:t>
      </w:r>
    </w:p>
    <w:p w:rsidRPr="0040433B" w:rsidR="0040433B" w:rsidP="0040433B" w:rsidRDefault="0040433B" w14:paraId="39E026BC" w14:textId="1466C0D8">
      <w:pPr>
        <w:spacing w:after="0" w:line="480" w:lineRule="auto"/>
        <w:rPr>
          <w:rFonts w:ascii="Times New Roman" w:hAnsi="Times New Roman" w:eastAsia="Times New Roman" w:cs="Times New Roman"/>
          <w:sz w:val="26"/>
          <w:szCs w:val="26"/>
        </w:rPr>
      </w:pPr>
      <w:r w:rsidRPr="0040433B">
        <w:rPr>
          <w:rFonts w:ascii="Times New Roman" w:hAnsi="Times New Roman" w:eastAsia="Times New Roman" w:cs="Times New Roman"/>
          <w:i/>
          <w:sz w:val="26"/>
          <w:szCs w:val="26"/>
        </w:rPr>
        <w:lastRenderedPageBreak/>
        <w:t>Type of Request:</w:t>
      </w:r>
      <w:r w:rsidRPr="0040433B">
        <w:rPr>
          <w:rFonts w:ascii="Times New Roman" w:hAnsi="Times New Roman" w:eastAsia="Times New Roman" w:cs="Times New Roman"/>
          <w:sz w:val="26"/>
          <w:szCs w:val="26"/>
        </w:rPr>
        <w:t xml:space="preserve"> Three-year approval of the FERC-717 information collection requirements with no changes to the current reporting requirements.</w:t>
      </w:r>
      <w:r w:rsidR="00882D32">
        <w:rPr>
          <w:rStyle w:val="FootnoteReference"/>
          <w:rFonts w:eastAsia="Times New Roman" w:cs="Times New Roman"/>
        </w:rPr>
        <w:footnoteReference w:id="2"/>
      </w:r>
    </w:p>
    <w:p w:rsidRPr="0040433B" w:rsidR="0040433B" w:rsidP="0040433B" w:rsidRDefault="0040433B" w14:paraId="673AD482" w14:textId="77777777">
      <w:pPr>
        <w:spacing w:after="0" w:line="480" w:lineRule="auto"/>
        <w:rPr>
          <w:rFonts w:ascii="Times New Roman" w:hAnsi="Times New Roman" w:eastAsia="Times New Roman" w:cs="Times New Roman"/>
          <w:sz w:val="26"/>
          <w:szCs w:val="26"/>
          <w:highlight w:val="yellow"/>
        </w:rPr>
      </w:pPr>
      <w:r w:rsidRPr="0040433B">
        <w:rPr>
          <w:rFonts w:ascii="Times New Roman" w:hAnsi="Times New Roman" w:eastAsia="Times New Roman" w:cs="Times New Roman"/>
          <w:i/>
          <w:sz w:val="26"/>
          <w:szCs w:val="26"/>
        </w:rPr>
        <w:t xml:space="preserve">Abstract: </w:t>
      </w:r>
      <w:r w:rsidRPr="0040433B">
        <w:rPr>
          <w:rFonts w:ascii="Times New Roman" w:hAnsi="Times New Roman" w:eastAsia="Times New Roman" w:cs="Times New Roman"/>
          <w:sz w:val="26"/>
          <w:szCs w:val="26"/>
        </w:rPr>
        <w:t>The Commission directs all public utilities that own, control or operate facilities for transmitting energy in interstate commerce to provide certain types of information regarding their transmission operations on an Open Access Same-time Information System (OASIS).  The Commission does not believe that open-access nondiscriminatory transmission services can be completely realized until it removes real-world obstacles that prevent transmission customers from competing effectively with the Transmission Provider.  One of the obstacles is unequal access to transmission information.  The Commission believes that transmission customers must have simultaneous access to the same information available to the Transmission Provider if truly nondiscriminatory transmission services are to be a reality.</w:t>
      </w:r>
    </w:p>
    <w:p w:rsidRPr="0040433B" w:rsidR="0040433B" w:rsidP="0040433B" w:rsidRDefault="0040433B" w14:paraId="56F773BD" w14:textId="77777777">
      <w:pPr>
        <w:spacing w:after="0" w:line="480" w:lineRule="auto"/>
        <w:ind w:firstLine="720"/>
        <w:rPr>
          <w:rFonts w:ascii="Times New Roman" w:hAnsi="Times New Roman" w:eastAsia="Times New Roman" w:cs="Times New Roman"/>
          <w:i/>
          <w:sz w:val="26"/>
          <w:szCs w:val="26"/>
        </w:rPr>
      </w:pPr>
      <w:r w:rsidRPr="0040433B">
        <w:rPr>
          <w:rFonts w:ascii="Times New Roman" w:hAnsi="Times New Roman" w:eastAsia="Times New Roman" w:cs="Times New Roman"/>
          <w:sz w:val="26"/>
          <w:szCs w:val="26"/>
        </w:rPr>
        <w:t xml:space="preserve">The Commission also established Standards of Conduct requiring that personnel engaged in transmission system operations function independently from personnel engaged in marketing functions. The Standards of Conduct were designed to prevent employees of a public utility (or any of its affiliates) engaged in marketing functions from preferential access to OASIS-related information or from engaging in unduly discriminatory business practices.  Companies were required to separate their transmission operations/reliability functions from their marketing/merchant functions and prevent system operators from providing merchant employees and employees of affiliates with transmission-related information not available to all customers at the same time through public posting on the OASIS. </w:t>
      </w:r>
    </w:p>
    <w:p w:rsidRPr="0040433B" w:rsidR="0040433B" w:rsidP="0040433B" w:rsidRDefault="0040433B" w14:paraId="6E2004CE" w14:textId="77777777">
      <w:pPr>
        <w:spacing w:after="0" w:line="480" w:lineRule="auto"/>
        <w:rPr>
          <w:rFonts w:ascii="Times New Roman" w:hAnsi="Times New Roman" w:eastAsia="Times New Roman" w:cs="Times New Roman"/>
          <w:sz w:val="26"/>
          <w:szCs w:val="26"/>
        </w:rPr>
      </w:pPr>
      <w:r w:rsidRPr="0040433B">
        <w:rPr>
          <w:rFonts w:ascii="Times New Roman" w:hAnsi="Times New Roman" w:eastAsia="Times New Roman" w:cs="Times New Roman"/>
          <w:i/>
          <w:sz w:val="26"/>
          <w:szCs w:val="26"/>
        </w:rPr>
        <w:lastRenderedPageBreak/>
        <w:t xml:space="preserve">Type of Respondents: </w:t>
      </w:r>
      <w:r w:rsidRPr="0040433B">
        <w:rPr>
          <w:rFonts w:ascii="Times New Roman" w:hAnsi="Times New Roman" w:eastAsia="Times New Roman" w:cs="Times New Roman"/>
          <w:sz w:val="26"/>
          <w:szCs w:val="26"/>
        </w:rPr>
        <w:t>Transmission Owners and Transmission Operators.</w:t>
      </w:r>
    </w:p>
    <w:p w:rsidRPr="0040433B" w:rsidR="0040433B" w:rsidP="0040433B" w:rsidRDefault="0040433B" w14:paraId="5D65494C" w14:textId="77777777">
      <w:pPr>
        <w:shd w:val="clear" w:color="auto" w:fill="FFFFFF"/>
        <w:spacing w:after="0" w:line="480" w:lineRule="auto"/>
        <w:rPr>
          <w:rFonts w:ascii="Times New Roman" w:hAnsi="Times New Roman" w:eastAsia="Calibri" w:cs="Times New Roman"/>
          <w:color w:val="000000"/>
          <w:sz w:val="26"/>
          <w:szCs w:val="26"/>
        </w:rPr>
      </w:pPr>
      <w:r w:rsidRPr="0040433B">
        <w:rPr>
          <w:rFonts w:ascii="Times New Roman" w:hAnsi="Times New Roman" w:eastAsia="Calibri" w:cs="Times New Roman"/>
          <w:i/>
          <w:sz w:val="26"/>
          <w:szCs w:val="26"/>
        </w:rPr>
        <w:t>Estimate of Annual Burden</w:t>
      </w:r>
      <w:r w:rsidRPr="0040433B">
        <w:rPr>
          <w:rFonts w:ascii="Times New Roman" w:hAnsi="Times New Roman" w:eastAsia="Calibri" w:cs="Times New Roman"/>
          <w:b/>
          <w:i/>
          <w:sz w:val="26"/>
          <w:szCs w:val="26"/>
          <w:vertAlign w:val="superscript"/>
        </w:rPr>
        <w:footnoteReference w:id="3"/>
      </w:r>
      <w:r w:rsidRPr="0040433B">
        <w:rPr>
          <w:rFonts w:ascii="Times New Roman" w:hAnsi="Times New Roman" w:eastAsia="Calibri" w:cs="Times New Roman"/>
          <w:i/>
          <w:sz w:val="26"/>
          <w:szCs w:val="26"/>
        </w:rPr>
        <w:t xml:space="preserve">: </w:t>
      </w:r>
      <w:r w:rsidRPr="0040433B">
        <w:rPr>
          <w:rFonts w:ascii="Times New Roman" w:hAnsi="Times New Roman" w:eastAsia="Calibri" w:cs="Times New Roman"/>
          <w:sz w:val="26"/>
          <w:szCs w:val="26"/>
        </w:rPr>
        <w:t>The Commission estimates an adjustment in the annual public reporting burden for the FERC-717. The adjustment is due to Transmission Providers being allowed to file responses jointly or individually. The Transmission Provider may delegate this responsibility to a Responsible Party such as another Transmission Provider, an Independent System Operator, a Regional Transmission Group, or a Regional Reliability Council.  The number comprise two separate entities: Transmission Owners and Transmission Operators. T</w:t>
      </w:r>
      <w:r w:rsidRPr="0040433B">
        <w:rPr>
          <w:rFonts w:ascii="Times New Roman" w:hAnsi="Times New Roman" w:eastAsia="Calibri" w:cs="Times New Roman"/>
          <w:color w:val="000000"/>
          <w:sz w:val="26"/>
          <w:szCs w:val="26"/>
        </w:rPr>
        <w:t xml:space="preserve">he responses submitted are our best estimate of the Transmission Operators and remaining individual Transmission Owners.  The rationale is that some Transmission Owners have elected to turn over operational control of their collective transmission systems to Transmission Operators, including RTOs/ISOs (as authorized in 18 CFR 37.5).  These Transmission Operators offer OASIS access to the collective systems facilitating a single OASIS transmission request serving multiple transmission systems.  As a result of these efficiency gains, the lower respondent count is appropriate.  </w:t>
      </w:r>
    </w:p>
    <w:p w:rsidR="0040433B" w:rsidP="0040433B" w:rsidRDefault="0040433B" w14:paraId="11B9C932" w14:textId="31DBC51A">
      <w:pPr>
        <w:spacing w:after="0" w:line="480" w:lineRule="auto"/>
        <w:rPr>
          <w:rFonts w:ascii="Times New Roman" w:hAnsi="Times New Roman" w:eastAsia="Times New Roman" w:cs="Times New Roman"/>
          <w:sz w:val="26"/>
          <w:szCs w:val="26"/>
        </w:rPr>
      </w:pPr>
      <w:r w:rsidRPr="0040433B">
        <w:rPr>
          <w:rFonts w:ascii="Times New Roman" w:hAnsi="Times New Roman" w:eastAsia="Times New Roman" w:cs="Times New Roman"/>
          <w:sz w:val="26"/>
          <w:szCs w:val="26"/>
        </w:rPr>
        <w:t>As a result of the efficiency gains, and an overestimate of the respondents in our past reques</w:t>
      </w:r>
      <w:r w:rsidRPr="00882D32">
        <w:rPr>
          <w:rFonts w:ascii="Times New Roman" w:hAnsi="Times New Roman" w:eastAsia="Times New Roman" w:cs="Times New Roman"/>
          <w:sz w:val="26"/>
          <w:szCs w:val="26"/>
        </w:rPr>
        <w:t>t</w:t>
      </w:r>
      <w:r w:rsidRPr="00882D32" w:rsidR="00B02F21">
        <w:rPr>
          <w:rFonts w:ascii="Times New Roman" w:hAnsi="Times New Roman" w:eastAsia="Times New Roman" w:cs="Times New Roman"/>
          <w:sz w:val="26"/>
          <w:szCs w:val="26"/>
        </w:rPr>
        <w:t>s</w:t>
      </w:r>
      <w:r w:rsidRPr="0040433B">
        <w:rPr>
          <w:rFonts w:ascii="Times New Roman" w:hAnsi="Times New Roman" w:eastAsia="Times New Roman" w:cs="Times New Roman"/>
          <w:sz w:val="26"/>
          <w:szCs w:val="26"/>
        </w:rPr>
        <w:t>, we are submitting a more accurate number of respondents. The estimate below reflects the work associated with the current information collection requirements:</w:t>
      </w:r>
    </w:p>
    <w:p w:rsidR="0040433B" w:rsidP="0040433B" w:rsidRDefault="0040433B" w14:paraId="13DF9355" w14:textId="0323D76F">
      <w:pPr>
        <w:spacing w:after="0" w:line="480" w:lineRule="auto"/>
        <w:rPr>
          <w:rFonts w:ascii="Times New Roman" w:hAnsi="Times New Roman" w:eastAsia="Times New Roman" w:cs="Times New Roman"/>
          <w:sz w:val="26"/>
          <w:szCs w:val="26"/>
        </w:rPr>
      </w:pPr>
    </w:p>
    <w:p w:rsidRPr="0040433B" w:rsidR="0040433B" w:rsidP="0040433B" w:rsidRDefault="0040433B" w14:paraId="1F683BD0" w14:textId="214B091A">
      <w:pPr>
        <w:spacing w:after="0" w:line="240" w:lineRule="auto"/>
        <w:ind w:left="1140"/>
        <w:rPr>
          <w:rFonts w:ascii="Times New Roman" w:hAnsi="Times New Roman" w:eastAsia="Times New Roman" w:cs="Times New Roman"/>
          <w:sz w:val="26"/>
          <w:szCs w:val="26"/>
        </w:rPr>
      </w:pPr>
    </w:p>
    <w:tbl>
      <w:tblPr>
        <w:tblW w:w="4993"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3"/>
        <w:gridCol w:w="1728"/>
        <w:gridCol w:w="1787"/>
        <w:gridCol w:w="1392"/>
        <w:gridCol w:w="1319"/>
        <w:gridCol w:w="1697"/>
      </w:tblGrid>
      <w:tr w:rsidRPr="0040433B" w:rsidR="0040433B" w:rsidTr="00C459A2" w14:paraId="20551219" w14:textId="77777777">
        <w:trPr>
          <w:cantSplit/>
        </w:trPr>
        <w:tc>
          <w:tcPr>
            <w:tcW w:w="5000" w:type="pct"/>
            <w:gridSpan w:val="6"/>
            <w:shd w:val="clear" w:color="auto" w:fill="D9D9D9"/>
            <w:vAlign w:val="bottom"/>
          </w:tcPr>
          <w:p w:rsidRPr="0040433B" w:rsidR="0040433B" w:rsidP="0040433B" w:rsidRDefault="0040433B" w14:paraId="7CCB5A53" w14:textId="079D72CC">
            <w:pPr>
              <w:spacing w:after="0" w:line="240" w:lineRule="auto"/>
              <w:ind w:left="1500"/>
              <w:contextualSpacing/>
              <w:rPr>
                <w:rFonts w:ascii="Times New Roman" w:hAnsi="Times New Roman" w:eastAsia="Calibri" w:cs="Times New Roman"/>
                <w:b/>
                <w:sz w:val="26"/>
                <w:szCs w:val="26"/>
              </w:rPr>
            </w:pPr>
            <w:r w:rsidRPr="0040433B">
              <w:rPr>
                <w:rFonts w:ascii="Times New Roman" w:hAnsi="Times New Roman" w:eastAsia="Calibri" w:cs="Times New Roman"/>
                <w:b/>
                <w:sz w:val="26"/>
                <w:szCs w:val="26"/>
              </w:rPr>
              <w:lastRenderedPageBreak/>
              <w:t xml:space="preserve">FERC-717, </w:t>
            </w:r>
            <w:r w:rsidRPr="00023E5C" w:rsidR="00B02F21">
              <w:rPr>
                <w:rFonts w:ascii="Times New Roman" w:hAnsi="Times New Roman" w:cs="Times New Roman"/>
                <w:sz w:val="26"/>
                <w:szCs w:val="26"/>
              </w:rPr>
              <w:t>Standards for Business Practices and Communication Protocols for Public Utilities</w:t>
            </w:r>
            <w:r w:rsidR="00882D32">
              <w:rPr>
                <w:rStyle w:val="FootnoteReference"/>
                <w:rFonts w:cs="Times New Roman"/>
              </w:rPr>
              <w:footnoteReference w:id="4"/>
            </w:r>
            <w:r w:rsidRPr="0040433B">
              <w:rPr>
                <w:rFonts w:ascii="Times New Roman" w:hAnsi="Times New Roman" w:eastAsia="Calibri" w:cs="Times New Roman"/>
                <w:b/>
                <w:sz w:val="26"/>
                <w:szCs w:val="26"/>
              </w:rPr>
              <w:t xml:space="preserve"> </w:t>
            </w:r>
          </w:p>
        </w:tc>
      </w:tr>
      <w:tr w:rsidRPr="0040433B" w:rsidR="0040433B" w:rsidTr="00C459A2" w14:paraId="58257FE7" w14:textId="77777777">
        <w:trPr>
          <w:cantSplit/>
        </w:trPr>
        <w:tc>
          <w:tcPr>
            <w:tcW w:w="952" w:type="pct"/>
            <w:shd w:val="clear" w:color="auto" w:fill="D9D9D9"/>
            <w:vAlign w:val="bottom"/>
          </w:tcPr>
          <w:p w:rsidRPr="0040433B" w:rsidR="0040433B" w:rsidP="0040433B" w:rsidRDefault="0040433B" w14:paraId="7AA40AF1"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 xml:space="preserve">Information Collection Requirements </w:t>
            </w:r>
          </w:p>
        </w:tc>
        <w:tc>
          <w:tcPr>
            <w:tcW w:w="883" w:type="pct"/>
            <w:shd w:val="clear" w:color="auto" w:fill="D9D9D9"/>
            <w:vAlign w:val="bottom"/>
          </w:tcPr>
          <w:p w:rsidRPr="0040433B" w:rsidR="0040433B" w:rsidP="0040433B" w:rsidRDefault="0040433B" w14:paraId="0244B2CB"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Number of Respondents</w:t>
            </w:r>
            <w:r w:rsidRPr="0040433B">
              <w:rPr>
                <w:rFonts w:ascii="Times New Roman" w:hAnsi="Times New Roman" w:eastAsia="Calibri" w:cs="Times New Roman"/>
                <w:b/>
                <w:sz w:val="26"/>
                <w:szCs w:val="26"/>
              </w:rPr>
              <w:br/>
              <w:t>(1)</w:t>
            </w:r>
          </w:p>
        </w:tc>
        <w:tc>
          <w:tcPr>
            <w:tcW w:w="913" w:type="pct"/>
            <w:shd w:val="clear" w:color="auto" w:fill="D9D9D9"/>
            <w:vAlign w:val="bottom"/>
          </w:tcPr>
          <w:p w:rsidRPr="0040433B" w:rsidR="0040433B" w:rsidP="0040433B" w:rsidRDefault="0040433B" w14:paraId="208BD750"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Annual Number of Responses per Respondent</w:t>
            </w:r>
          </w:p>
          <w:p w:rsidRPr="0040433B" w:rsidR="0040433B" w:rsidP="0040433B" w:rsidRDefault="0040433B" w14:paraId="2FCFC912"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(2)</w:t>
            </w:r>
          </w:p>
        </w:tc>
        <w:tc>
          <w:tcPr>
            <w:tcW w:w="711" w:type="pct"/>
            <w:shd w:val="clear" w:color="auto" w:fill="D9D9D9"/>
            <w:vAlign w:val="bottom"/>
          </w:tcPr>
          <w:p w:rsidRPr="0040433B" w:rsidR="0040433B" w:rsidP="0040433B" w:rsidRDefault="0040433B" w14:paraId="51617A13"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Total Number of Responses (1)*(2)=(3)</w:t>
            </w:r>
          </w:p>
        </w:tc>
        <w:tc>
          <w:tcPr>
            <w:tcW w:w="674" w:type="pct"/>
            <w:shd w:val="clear" w:color="auto" w:fill="D9D9D9"/>
            <w:vAlign w:val="bottom"/>
          </w:tcPr>
          <w:p w:rsidRPr="0040433B" w:rsidR="0040433B" w:rsidP="0040433B" w:rsidRDefault="0040433B" w14:paraId="23951022"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Average Burden Hours &amp; Cost Per Response</w:t>
            </w:r>
            <w:bookmarkStart w:name="_Ref477435767" w:id="4"/>
            <w:r w:rsidRPr="0040433B">
              <w:rPr>
                <w:rFonts w:ascii="Times New Roman" w:hAnsi="Times New Roman" w:eastAsia="Times New Roman" w:cs="Times New Roman"/>
                <w:b/>
                <w:sz w:val="26"/>
                <w:szCs w:val="26"/>
                <w:vertAlign w:val="superscript"/>
              </w:rPr>
              <w:footnoteReference w:id="5"/>
            </w:r>
            <w:bookmarkEnd w:id="4"/>
          </w:p>
          <w:p w:rsidRPr="0040433B" w:rsidR="0040433B" w:rsidP="0040433B" w:rsidRDefault="0040433B" w14:paraId="2898AB0A"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(4)</w:t>
            </w:r>
          </w:p>
        </w:tc>
        <w:tc>
          <w:tcPr>
            <w:tcW w:w="868" w:type="pct"/>
            <w:shd w:val="clear" w:color="auto" w:fill="D9D9D9"/>
            <w:vAlign w:val="bottom"/>
          </w:tcPr>
          <w:p w:rsidRPr="0040433B" w:rsidR="0040433B" w:rsidP="0040433B" w:rsidRDefault="0040433B" w14:paraId="03E66B70"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Total Annual Burden Hours &amp; Total Annual Cost</w:t>
            </w:r>
          </w:p>
          <w:p w:rsidRPr="0040433B" w:rsidR="0040433B" w:rsidP="0040433B" w:rsidRDefault="0040433B" w14:paraId="39B46222"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(3)*(4)=(5)</w:t>
            </w:r>
          </w:p>
        </w:tc>
      </w:tr>
      <w:tr w:rsidRPr="0040433B" w:rsidR="0040433B" w:rsidTr="00C459A2" w14:paraId="1EBCE2A3" w14:textId="77777777">
        <w:trPr>
          <w:cantSplit/>
          <w:trHeight w:val="1448"/>
        </w:trPr>
        <w:tc>
          <w:tcPr>
            <w:tcW w:w="952" w:type="pct"/>
            <w:shd w:val="clear" w:color="auto" w:fill="auto"/>
            <w:vAlign w:val="bottom"/>
          </w:tcPr>
          <w:p w:rsidRPr="0040433B" w:rsidR="0040433B" w:rsidP="008431C7" w:rsidRDefault="0040433B" w14:paraId="31A89AAF" w14:textId="77777777">
            <w:pPr>
              <w:spacing w:after="0" w:line="240" w:lineRule="auto"/>
              <w:rPr>
                <w:rFonts w:ascii="Times New Roman" w:hAnsi="Times New Roman" w:eastAsia="Calibri" w:cs="Times New Roman"/>
                <w:sz w:val="26"/>
                <w:szCs w:val="26"/>
              </w:rPr>
            </w:pPr>
            <w:r w:rsidRPr="0040433B">
              <w:rPr>
                <w:rFonts w:ascii="Times New Roman" w:hAnsi="Times New Roman" w:eastAsia="Calibri" w:cs="Times New Roman"/>
                <w:sz w:val="26"/>
                <w:szCs w:val="26"/>
              </w:rPr>
              <w:t>FERC-717</w:t>
            </w:r>
          </w:p>
        </w:tc>
        <w:tc>
          <w:tcPr>
            <w:tcW w:w="883" w:type="pct"/>
            <w:shd w:val="clear" w:color="auto" w:fill="auto"/>
            <w:vAlign w:val="bottom"/>
          </w:tcPr>
          <w:p w:rsidRPr="0040433B" w:rsidR="0040433B" w:rsidP="00C459A2" w:rsidRDefault="00AD7E77" w14:paraId="2C42F647" w14:textId="76E2F8DE">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162</w:t>
            </w:r>
          </w:p>
        </w:tc>
        <w:tc>
          <w:tcPr>
            <w:tcW w:w="913" w:type="pct"/>
            <w:shd w:val="clear" w:color="auto" w:fill="auto"/>
            <w:vAlign w:val="bottom"/>
          </w:tcPr>
          <w:p w:rsidRPr="0040433B" w:rsidR="0040433B" w:rsidP="00C459A2" w:rsidRDefault="0040433B" w14:paraId="1FEEDF4E" w14:textId="77777777">
            <w:pPr>
              <w:spacing w:after="0" w:line="240" w:lineRule="auto"/>
              <w:jc w:val="right"/>
              <w:rPr>
                <w:rFonts w:ascii="Times New Roman" w:hAnsi="Times New Roman" w:eastAsia="Calibri" w:cs="Times New Roman"/>
                <w:sz w:val="26"/>
                <w:szCs w:val="26"/>
              </w:rPr>
            </w:pPr>
            <w:r w:rsidRPr="0040433B">
              <w:rPr>
                <w:rFonts w:ascii="Times New Roman" w:hAnsi="Times New Roman" w:eastAsia="Calibri" w:cs="Times New Roman"/>
                <w:sz w:val="26"/>
                <w:szCs w:val="26"/>
              </w:rPr>
              <w:t>1</w:t>
            </w:r>
          </w:p>
        </w:tc>
        <w:tc>
          <w:tcPr>
            <w:tcW w:w="711" w:type="pct"/>
            <w:shd w:val="clear" w:color="auto" w:fill="auto"/>
            <w:vAlign w:val="bottom"/>
          </w:tcPr>
          <w:p w:rsidRPr="0040433B" w:rsidR="0040433B" w:rsidP="00C459A2" w:rsidRDefault="00AD7E77" w14:paraId="29F98130" w14:textId="7C7245FF">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162</w:t>
            </w:r>
          </w:p>
        </w:tc>
        <w:tc>
          <w:tcPr>
            <w:tcW w:w="674" w:type="pct"/>
            <w:shd w:val="clear" w:color="auto" w:fill="auto"/>
            <w:vAlign w:val="bottom"/>
          </w:tcPr>
          <w:p w:rsidRPr="0040433B" w:rsidR="0040433B" w:rsidP="00C459A2" w:rsidRDefault="00180FBE" w14:paraId="63DDDDB6" w14:textId="09D17D1A">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30</w:t>
            </w:r>
            <w:r w:rsidRPr="0040433B" w:rsidR="0040433B">
              <w:rPr>
                <w:rFonts w:ascii="Times New Roman" w:hAnsi="Times New Roman" w:eastAsia="Calibri" w:cs="Times New Roman"/>
                <w:sz w:val="26"/>
                <w:szCs w:val="26"/>
              </w:rPr>
              <w:t xml:space="preserve"> hrs.;</w:t>
            </w:r>
          </w:p>
          <w:p w:rsidRPr="0040433B" w:rsidR="0040433B" w:rsidP="00C459A2" w:rsidRDefault="0040433B" w14:paraId="518F6FB3" w14:textId="46F43076">
            <w:pPr>
              <w:spacing w:after="0" w:line="240" w:lineRule="auto"/>
              <w:jc w:val="right"/>
              <w:rPr>
                <w:rFonts w:ascii="Times New Roman" w:hAnsi="Times New Roman" w:eastAsia="Calibri" w:cs="Times New Roman"/>
                <w:sz w:val="26"/>
                <w:szCs w:val="26"/>
              </w:rPr>
            </w:pPr>
            <w:r w:rsidRPr="0040433B">
              <w:rPr>
                <w:rFonts w:ascii="Times New Roman" w:hAnsi="Times New Roman" w:eastAsia="Calibri" w:cs="Times New Roman"/>
                <w:sz w:val="26"/>
                <w:szCs w:val="26"/>
              </w:rPr>
              <w:t>$2,</w:t>
            </w:r>
            <w:r w:rsidR="00AA02D2">
              <w:rPr>
                <w:rFonts w:ascii="Times New Roman" w:hAnsi="Times New Roman" w:eastAsia="Calibri" w:cs="Times New Roman"/>
                <w:sz w:val="26"/>
                <w:szCs w:val="26"/>
              </w:rPr>
              <w:t>490</w:t>
            </w:r>
          </w:p>
        </w:tc>
        <w:tc>
          <w:tcPr>
            <w:tcW w:w="868" w:type="pct"/>
            <w:shd w:val="clear" w:color="auto" w:fill="auto"/>
            <w:vAlign w:val="bottom"/>
          </w:tcPr>
          <w:p w:rsidRPr="0040433B" w:rsidR="0040433B" w:rsidP="00C459A2" w:rsidRDefault="00D316BD" w14:paraId="06BD050A" w14:textId="44B9151A">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4,860</w:t>
            </w:r>
            <w:r w:rsidRPr="0040433B" w:rsidR="0040433B">
              <w:rPr>
                <w:rFonts w:ascii="Times New Roman" w:hAnsi="Times New Roman" w:eastAsia="Calibri" w:cs="Times New Roman"/>
                <w:sz w:val="26"/>
                <w:szCs w:val="26"/>
              </w:rPr>
              <w:t xml:space="preserve"> hrs.;</w:t>
            </w:r>
          </w:p>
          <w:p w:rsidRPr="0040433B" w:rsidR="0040433B" w:rsidP="00C459A2" w:rsidRDefault="0040433B" w14:paraId="1C771066" w14:textId="448C456D">
            <w:pPr>
              <w:spacing w:after="0" w:line="240" w:lineRule="auto"/>
              <w:jc w:val="right"/>
              <w:rPr>
                <w:rFonts w:ascii="Times New Roman" w:hAnsi="Times New Roman" w:eastAsia="Calibri" w:cs="Times New Roman"/>
                <w:sz w:val="26"/>
                <w:szCs w:val="26"/>
              </w:rPr>
            </w:pPr>
            <w:r w:rsidRPr="0040433B">
              <w:rPr>
                <w:rFonts w:ascii="Times New Roman" w:hAnsi="Times New Roman" w:eastAsia="Calibri" w:cs="Times New Roman"/>
                <w:sz w:val="26"/>
                <w:szCs w:val="26"/>
              </w:rPr>
              <w:t>$</w:t>
            </w:r>
            <w:r w:rsidR="006A5D5D">
              <w:rPr>
                <w:rFonts w:ascii="Times New Roman" w:hAnsi="Times New Roman" w:eastAsia="Calibri" w:cs="Times New Roman"/>
                <w:sz w:val="26"/>
                <w:szCs w:val="26"/>
              </w:rPr>
              <w:t>403,380</w:t>
            </w:r>
          </w:p>
        </w:tc>
      </w:tr>
      <w:tr w:rsidRPr="0040433B" w:rsidR="00C459A2" w:rsidTr="008431C7" w14:paraId="67B7C87B" w14:textId="77777777">
        <w:trPr>
          <w:cantSplit/>
          <w:trHeight w:val="1250"/>
        </w:trPr>
        <w:tc>
          <w:tcPr>
            <w:tcW w:w="952" w:type="pct"/>
            <w:shd w:val="clear" w:color="auto" w:fill="auto"/>
            <w:vAlign w:val="bottom"/>
          </w:tcPr>
          <w:p w:rsidRPr="008431C7" w:rsidR="00C459A2" w:rsidP="00C459A2" w:rsidRDefault="00C459A2" w14:paraId="1FC3EDD4" w14:textId="79326E93">
            <w:pPr>
              <w:spacing w:after="0" w:line="240" w:lineRule="auto"/>
              <w:rPr>
                <w:rFonts w:ascii="Times New Roman" w:hAnsi="Times New Roman" w:eastAsia="Calibri" w:cs="Times New Roman"/>
                <w:sz w:val="26"/>
                <w:szCs w:val="26"/>
              </w:rPr>
            </w:pPr>
            <w:r w:rsidRPr="008431C7">
              <w:rPr>
                <w:rFonts w:ascii="Times New Roman" w:hAnsi="Times New Roman" w:eastAsia="Calibri" w:cs="Times New Roman"/>
                <w:sz w:val="26"/>
                <w:szCs w:val="26"/>
              </w:rPr>
              <w:t>FERC-717 (compliance with standards, one-time)</w:t>
            </w:r>
            <w:r w:rsidRPr="008431C7">
              <w:rPr>
                <w:rFonts w:ascii="Times New Roman" w:hAnsi="Times New Roman" w:eastAsia="Calibri" w:cs="Times New Roman"/>
                <w:b/>
                <w:sz w:val="26"/>
                <w:szCs w:val="26"/>
                <w:vertAlign w:val="superscript"/>
              </w:rPr>
              <w:footnoteReference w:id="6"/>
            </w:r>
          </w:p>
        </w:tc>
        <w:tc>
          <w:tcPr>
            <w:tcW w:w="883" w:type="pct"/>
            <w:tcBorders>
              <w:top w:val="single" w:color="auto" w:sz="4" w:space="0"/>
              <w:left w:val="single" w:color="auto" w:sz="4" w:space="0"/>
              <w:bottom w:val="single" w:color="auto" w:sz="4" w:space="0"/>
              <w:right w:val="single" w:color="auto" w:sz="4" w:space="0"/>
            </w:tcBorders>
          </w:tcPr>
          <w:p w:rsidRPr="008431C7" w:rsidR="00C459A2" w:rsidP="00C459A2" w:rsidRDefault="00C459A2" w14:paraId="330F2EC9" w14:textId="77777777">
            <w:pPr>
              <w:spacing w:after="0" w:line="240" w:lineRule="auto"/>
              <w:jc w:val="right"/>
              <w:rPr>
                <w:rFonts w:ascii="Times New Roman" w:hAnsi="Times New Roman" w:eastAsia="Calibri" w:cs="Times New Roman"/>
                <w:sz w:val="26"/>
                <w:szCs w:val="26"/>
              </w:rPr>
            </w:pPr>
          </w:p>
          <w:p w:rsidRPr="008431C7" w:rsidR="00C459A2" w:rsidP="00C459A2" w:rsidRDefault="00C459A2" w14:paraId="783322D3" w14:textId="77777777">
            <w:pPr>
              <w:spacing w:after="0" w:line="240" w:lineRule="auto"/>
              <w:jc w:val="right"/>
              <w:rPr>
                <w:rFonts w:ascii="Times New Roman" w:hAnsi="Times New Roman" w:eastAsia="Calibri" w:cs="Times New Roman"/>
                <w:sz w:val="26"/>
                <w:szCs w:val="26"/>
              </w:rPr>
            </w:pPr>
          </w:p>
          <w:p w:rsidRPr="008431C7" w:rsidR="00C459A2" w:rsidP="00C459A2" w:rsidRDefault="00C459A2" w14:paraId="1636B0D5" w14:textId="77777777">
            <w:pPr>
              <w:spacing w:after="0" w:line="240" w:lineRule="auto"/>
              <w:jc w:val="right"/>
              <w:rPr>
                <w:rFonts w:ascii="Times New Roman" w:hAnsi="Times New Roman" w:eastAsia="Calibri" w:cs="Times New Roman"/>
                <w:sz w:val="26"/>
                <w:szCs w:val="26"/>
              </w:rPr>
            </w:pPr>
          </w:p>
          <w:p w:rsidR="008431C7" w:rsidP="00C459A2" w:rsidRDefault="008431C7" w14:paraId="612F59ED" w14:textId="77777777">
            <w:pPr>
              <w:spacing w:after="0" w:line="240" w:lineRule="auto"/>
              <w:jc w:val="right"/>
              <w:rPr>
                <w:rFonts w:ascii="Times New Roman" w:hAnsi="Times New Roman" w:eastAsia="Calibri" w:cs="Times New Roman"/>
                <w:sz w:val="26"/>
                <w:szCs w:val="26"/>
              </w:rPr>
            </w:pPr>
          </w:p>
          <w:p w:rsidRPr="008431C7" w:rsidR="00C459A2" w:rsidP="00C459A2" w:rsidRDefault="00C459A2" w14:paraId="3A87A81F" w14:textId="24C97F8F">
            <w:pPr>
              <w:spacing w:after="0" w:line="240" w:lineRule="auto"/>
              <w:jc w:val="right"/>
              <w:rPr>
                <w:rFonts w:ascii="Times New Roman" w:hAnsi="Times New Roman" w:eastAsia="Calibri" w:cs="Times New Roman"/>
                <w:sz w:val="26"/>
                <w:szCs w:val="26"/>
              </w:rPr>
            </w:pPr>
            <w:r w:rsidRPr="008431C7">
              <w:rPr>
                <w:rFonts w:ascii="Times New Roman" w:hAnsi="Times New Roman" w:eastAsia="Calibri" w:cs="Times New Roman"/>
                <w:sz w:val="26"/>
                <w:szCs w:val="26"/>
              </w:rPr>
              <w:t xml:space="preserve">165   </w:t>
            </w:r>
          </w:p>
        </w:tc>
        <w:tc>
          <w:tcPr>
            <w:tcW w:w="913" w:type="pct"/>
            <w:tcBorders>
              <w:top w:val="single" w:color="auto" w:sz="4" w:space="0"/>
              <w:left w:val="single" w:color="auto" w:sz="4" w:space="0"/>
              <w:bottom w:val="single" w:color="auto" w:sz="4" w:space="0"/>
              <w:right w:val="single" w:color="auto" w:sz="4" w:space="0"/>
            </w:tcBorders>
          </w:tcPr>
          <w:p w:rsidRPr="008431C7" w:rsidR="00C459A2" w:rsidP="00C459A2" w:rsidRDefault="00C459A2" w14:paraId="71BD5E36" w14:textId="77777777">
            <w:pPr>
              <w:spacing w:after="0" w:line="240" w:lineRule="auto"/>
              <w:jc w:val="right"/>
              <w:rPr>
                <w:rFonts w:ascii="Times New Roman" w:hAnsi="Times New Roman" w:eastAsia="Calibri" w:cs="Times New Roman"/>
                <w:sz w:val="26"/>
                <w:szCs w:val="26"/>
              </w:rPr>
            </w:pPr>
          </w:p>
          <w:p w:rsidRPr="008431C7" w:rsidR="00C459A2" w:rsidP="00C459A2" w:rsidRDefault="00C459A2" w14:paraId="4DC25C29" w14:textId="77777777">
            <w:pPr>
              <w:spacing w:after="0" w:line="240" w:lineRule="auto"/>
              <w:jc w:val="right"/>
              <w:rPr>
                <w:rFonts w:ascii="Times New Roman" w:hAnsi="Times New Roman" w:eastAsia="Calibri" w:cs="Times New Roman"/>
                <w:sz w:val="26"/>
                <w:szCs w:val="26"/>
              </w:rPr>
            </w:pPr>
          </w:p>
          <w:p w:rsidR="008431C7" w:rsidP="00C459A2" w:rsidRDefault="008431C7" w14:paraId="58B97613" w14:textId="77777777">
            <w:pPr>
              <w:tabs>
                <w:tab w:val="left" w:pos="1470"/>
              </w:tabs>
              <w:spacing w:after="0" w:line="240" w:lineRule="auto"/>
              <w:jc w:val="right"/>
              <w:rPr>
                <w:rFonts w:ascii="Times New Roman" w:hAnsi="Times New Roman" w:eastAsia="Calibri" w:cs="Times New Roman"/>
                <w:sz w:val="26"/>
                <w:szCs w:val="26"/>
              </w:rPr>
            </w:pPr>
          </w:p>
          <w:p w:rsidR="008431C7" w:rsidP="00C459A2" w:rsidRDefault="008431C7" w14:paraId="66E47996" w14:textId="77777777">
            <w:pPr>
              <w:tabs>
                <w:tab w:val="left" w:pos="1470"/>
              </w:tabs>
              <w:spacing w:after="0" w:line="240" w:lineRule="auto"/>
              <w:jc w:val="right"/>
              <w:rPr>
                <w:rFonts w:ascii="Times New Roman" w:hAnsi="Times New Roman" w:eastAsia="Calibri" w:cs="Times New Roman"/>
                <w:sz w:val="26"/>
                <w:szCs w:val="26"/>
              </w:rPr>
            </w:pPr>
          </w:p>
          <w:p w:rsidRPr="008431C7" w:rsidR="00C459A2" w:rsidP="00C459A2" w:rsidRDefault="008431C7" w14:paraId="01497965" w14:textId="66195C10">
            <w:pPr>
              <w:tabs>
                <w:tab w:val="left" w:pos="1470"/>
              </w:tabs>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w:t>
            </w:r>
            <w:r w:rsidRPr="008431C7" w:rsidR="00C459A2">
              <w:rPr>
                <w:rFonts w:ascii="Times New Roman" w:hAnsi="Times New Roman" w:eastAsia="Calibri" w:cs="Times New Roman"/>
                <w:sz w:val="26"/>
                <w:szCs w:val="26"/>
              </w:rPr>
              <w:t xml:space="preserve">     </w:t>
            </w:r>
          </w:p>
        </w:tc>
        <w:tc>
          <w:tcPr>
            <w:tcW w:w="711" w:type="pct"/>
            <w:tcBorders>
              <w:top w:val="single" w:color="auto" w:sz="4" w:space="0"/>
              <w:left w:val="single" w:color="auto" w:sz="4" w:space="0"/>
              <w:bottom w:val="single" w:color="auto" w:sz="4" w:space="0"/>
              <w:right w:val="single" w:color="auto" w:sz="4" w:space="0"/>
            </w:tcBorders>
          </w:tcPr>
          <w:p w:rsidR="00C459A2" w:rsidP="00C459A2" w:rsidRDefault="00C459A2" w14:paraId="3B8B6507" w14:textId="77777777">
            <w:pPr>
              <w:spacing w:after="0" w:line="240" w:lineRule="auto"/>
              <w:jc w:val="right"/>
              <w:rPr>
                <w:rFonts w:ascii="Times New Roman" w:hAnsi="Times New Roman" w:eastAsia="Calibri" w:cs="Times New Roman"/>
                <w:sz w:val="26"/>
                <w:szCs w:val="26"/>
              </w:rPr>
            </w:pPr>
          </w:p>
          <w:p w:rsidR="008431C7" w:rsidP="00C459A2" w:rsidRDefault="008431C7" w14:paraId="03890533" w14:textId="77777777">
            <w:pPr>
              <w:spacing w:after="0" w:line="240" w:lineRule="auto"/>
              <w:jc w:val="right"/>
              <w:rPr>
                <w:rFonts w:ascii="Times New Roman" w:hAnsi="Times New Roman" w:eastAsia="Calibri" w:cs="Times New Roman"/>
                <w:sz w:val="26"/>
                <w:szCs w:val="26"/>
              </w:rPr>
            </w:pPr>
          </w:p>
          <w:p w:rsidR="008431C7" w:rsidP="00C459A2" w:rsidRDefault="008431C7" w14:paraId="23170265" w14:textId="77777777">
            <w:pPr>
              <w:spacing w:after="0" w:line="240" w:lineRule="auto"/>
              <w:jc w:val="right"/>
              <w:rPr>
                <w:rFonts w:ascii="Times New Roman" w:hAnsi="Times New Roman" w:eastAsia="Calibri" w:cs="Times New Roman"/>
                <w:sz w:val="26"/>
                <w:szCs w:val="26"/>
              </w:rPr>
            </w:pPr>
          </w:p>
          <w:p w:rsidR="008431C7" w:rsidP="00C459A2" w:rsidRDefault="008431C7" w14:paraId="226F5A64" w14:textId="77777777">
            <w:pPr>
              <w:spacing w:after="0" w:line="240" w:lineRule="auto"/>
              <w:jc w:val="right"/>
              <w:rPr>
                <w:rFonts w:ascii="Times New Roman" w:hAnsi="Times New Roman" w:eastAsia="Calibri" w:cs="Times New Roman"/>
                <w:sz w:val="26"/>
                <w:szCs w:val="26"/>
              </w:rPr>
            </w:pPr>
          </w:p>
          <w:p w:rsidRPr="008431C7" w:rsidR="008431C7" w:rsidP="00C459A2" w:rsidRDefault="008431C7" w14:paraId="7AC2B9C8" w14:textId="7A507928">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165</w:t>
            </w:r>
          </w:p>
        </w:tc>
        <w:tc>
          <w:tcPr>
            <w:tcW w:w="674" w:type="pct"/>
            <w:tcBorders>
              <w:top w:val="single" w:color="auto" w:sz="4" w:space="0"/>
              <w:left w:val="single" w:color="auto" w:sz="4" w:space="0"/>
              <w:bottom w:val="single" w:color="auto" w:sz="4" w:space="0"/>
              <w:right w:val="single" w:color="auto" w:sz="4" w:space="0"/>
            </w:tcBorders>
          </w:tcPr>
          <w:p w:rsidR="008431C7" w:rsidP="00C459A2" w:rsidRDefault="008431C7" w14:paraId="53E0488D" w14:textId="77777777">
            <w:pPr>
              <w:spacing w:after="0" w:line="240" w:lineRule="auto"/>
              <w:jc w:val="right"/>
              <w:rPr>
                <w:rFonts w:ascii="Times New Roman" w:hAnsi="Times New Roman" w:eastAsia="Calibri" w:cs="Times New Roman"/>
                <w:sz w:val="26"/>
                <w:szCs w:val="26"/>
              </w:rPr>
            </w:pPr>
          </w:p>
          <w:p w:rsidR="008431C7" w:rsidP="00C459A2" w:rsidRDefault="008431C7" w14:paraId="2A150C8C" w14:textId="77777777">
            <w:pPr>
              <w:spacing w:after="0" w:line="240" w:lineRule="auto"/>
              <w:jc w:val="right"/>
              <w:rPr>
                <w:rFonts w:ascii="Times New Roman" w:hAnsi="Times New Roman" w:eastAsia="Calibri" w:cs="Times New Roman"/>
                <w:sz w:val="26"/>
                <w:szCs w:val="26"/>
              </w:rPr>
            </w:pPr>
          </w:p>
          <w:p w:rsidR="008431C7" w:rsidP="00C459A2" w:rsidRDefault="008431C7" w14:paraId="00B71DF5" w14:textId="77777777">
            <w:pPr>
              <w:spacing w:after="0" w:line="240" w:lineRule="auto"/>
              <w:jc w:val="right"/>
              <w:rPr>
                <w:rFonts w:ascii="Times New Roman" w:hAnsi="Times New Roman" w:eastAsia="Calibri" w:cs="Times New Roman"/>
                <w:sz w:val="26"/>
                <w:szCs w:val="26"/>
              </w:rPr>
            </w:pPr>
          </w:p>
          <w:p w:rsidR="003723C4" w:rsidP="00C459A2" w:rsidRDefault="003723C4" w14:paraId="2B11DD46" w14:textId="2C6E8C75">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10 hrs</w:t>
            </w:r>
            <w:r w:rsidR="0009299A">
              <w:rPr>
                <w:rStyle w:val="FootnoteReference"/>
                <w:rFonts w:eastAsia="Calibri" w:cs="Times New Roman"/>
              </w:rPr>
              <w:footnoteReference w:id="7"/>
            </w:r>
            <w:r>
              <w:rPr>
                <w:rFonts w:ascii="Times New Roman" w:hAnsi="Times New Roman" w:eastAsia="Calibri" w:cs="Times New Roman"/>
                <w:sz w:val="26"/>
                <w:szCs w:val="26"/>
              </w:rPr>
              <w:t>.;</w:t>
            </w:r>
          </w:p>
          <w:p w:rsidRPr="008431C7" w:rsidR="00C459A2" w:rsidP="00C459A2" w:rsidRDefault="00C459A2" w14:paraId="1B5E204D" w14:textId="761EFD65">
            <w:pPr>
              <w:spacing w:after="0" w:line="240" w:lineRule="auto"/>
              <w:jc w:val="right"/>
              <w:rPr>
                <w:rFonts w:ascii="Times New Roman" w:hAnsi="Times New Roman" w:eastAsia="Calibri" w:cs="Times New Roman"/>
                <w:sz w:val="26"/>
                <w:szCs w:val="26"/>
              </w:rPr>
            </w:pPr>
            <w:r w:rsidRPr="008431C7">
              <w:rPr>
                <w:rFonts w:ascii="Times New Roman" w:hAnsi="Times New Roman" w:eastAsia="Calibri" w:cs="Times New Roman"/>
                <w:sz w:val="26"/>
                <w:szCs w:val="26"/>
              </w:rPr>
              <w:t>$</w:t>
            </w:r>
            <w:r w:rsidR="00C164BD">
              <w:rPr>
                <w:rFonts w:ascii="Times New Roman" w:hAnsi="Times New Roman" w:eastAsia="Calibri" w:cs="Times New Roman"/>
                <w:sz w:val="26"/>
                <w:szCs w:val="26"/>
              </w:rPr>
              <w:t>830</w:t>
            </w:r>
          </w:p>
        </w:tc>
        <w:tc>
          <w:tcPr>
            <w:tcW w:w="868" w:type="pct"/>
            <w:tcBorders>
              <w:top w:val="single" w:color="auto" w:sz="4" w:space="0"/>
              <w:left w:val="single" w:color="auto" w:sz="4" w:space="0"/>
              <w:bottom w:val="single" w:color="auto" w:sz="4" w:space="0"/>
              <w:right w:val="single" w:color="auto" w:sz="4" w:space="0"/>
            </w:tcBorders>
          </w:tcPr>
          <w:p w:rsidR="008431C7" w:rsidP="00C459A2" w:rsidRDefault="008431C7" w14:paraId="3676166A" w14:textId="77777777">
            <w:pPr>
              <w:keepNext/>
              <w:widowControl w:val="0"/>
              <w:tabs>
                <w:tab w:val="num" w:pos="720"/>
              </w:tabs>
              <w:spacing w:after="0" w:line="240" w:lineRule="auto"/>
              <w:jc w:val="right"/>
              <w:rPr>
                <w:rFonts w:ascii="Times New Roman" w:hAnsi="Times New Roman" w:eastAsia="Calibri" w:cs="Times New Roman"/>
                <w:sz w:val="26"/>
                <w:szCs w:val="26"/>
              </w:rPr>
            </w:pPr>
          </w:p>
          <w:p w:rsidR="008431C7" w:rsidP="00C459A2" w:rsidRDefault="008431C7" w14:paraId="14A55BAE" w14:textId="77777777">
            <w:pPr>
              <w:keepNext/>
              <w:widowControl w:val="0"/>
              <w:tabs>
                <w:tab w:val="num" w:pos="720"/>
              </w:tabs>
              <w:spacing w:after="0" w:line="240" w:lineRule="auto"/>
              <w:jc w:val="right"/>
              <w:rPr>
                <w:rFonts w:ascii="Times New Roman" w:hAnsi="Times New Roman" w:eastAsia="Calibri" w:cs="Times New Roman"/>
                <w:sz w:val="26"/>
                <w:szCs w:val="26"/>
              </w:rPr>
            </w:pPr>
          </w:p>
          <w:p w:rsidR="008431C7" w:rsidP="00C459A2" w:rsidRDefault="008431C7" w14:paraId="68D2908A" w14:textId="77777777">
            <w:pPr>
              <w:keepNext/>
              <w:widowControl w:val="0"/>
              <w:tabs>
                <w:tab w:val="num" w:pos="720"/>
              </w:tabs>
              <w:spacing w:after="0" w:line="240" w:lineRule="auto"/>
              <w:jc w:val="right"/>
              <w:rPr>
                <w:rFonts w:ascii="Times New Roman" w:hAnsi="Times New Roman" w:eastAsia="Calibri" w:cs="Times New Roman"/>
                <w:sz w:val="26"/>
                <w:szCs w:val="26"/>
              </w:rPr>
            </w:pPr>
          </w:p>
          <w:p w:rsidRPr="008431C7" w:rsidR="00C459A2" w:rsidP="00C459A2" w:rsidRDefault="003723C4" w14:paraId="599DB6D8" w14:textId="418908AB">
            <w:pPr>
              <w:keepNext/>
              <w:widowControl w:val="0"/>
              <w:tabs>
                <w:tab w:val="num" w:pos="720"/>
              </w:tabs>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1,6</w:t>
            </w:r>
            <w:r w:rsidRPr="008431C7" w:rsidR="00C459A2">
              <w:rPr>
                <w:rFonts w:ascii="Times New Roman" w:hAnsi="Times New Roman" w:eastAsia="Calibri" w:cs="Times New Roman"/>
                <w:sz w:val="26"/>
                <w:szCs w:val="26"/>
              </w:rPr>
              <w:t>50 hrs.;</w:t>
            </w:r>
          </w:p>
          <w:p w:rsidRPr="008431C7" w:rsidR="00C459A2" w:rsidP="00C459A2" w:rsidRDefault="00C459A2" w14:paraId="0509E58B" w14:textId="5A0B2D37">
            <w:pPr>
              <w:spacing w:after="0" w:line="240" w:lineRule="auto"/>
              <w:jc w:val="right"/>
              <w:rPr>
                <w:rFonts w:ascii="Times New Roman" w:hAnsi="Times New Roman" w:eastAsia="Calibri" w:cs="Times New Roman"/>
                <w:sz w:val="26"/>
                <w:szCs w:val="26"/>
              </w:rPr>
            </w:pPr>
            <w:r w:rsidRPr="008431C7">
              <w:rPr>
                <w:rFonts w:ascii="Times New Roman" w:hAnsi="Times New Roman" w:eastAsia="Calibri" w:cs="Times New Roman"/>
                <w:sz w:val="26"/>
                <w:szCs w:val="26"/>
              </w:rPr>
              <w:t>$</w:t>
            </w:r>
            <w:r w:rsidR="00C164BD">
              <w:rPr>
                <w:rFonts w:ascii="Times New Roman" w:hAnsi="Times New Roman" w:eastAsia="Calibri" w:cs="Times New Roman"/>
                <w:sz w:val="26"/>
                <w:szCs w:val="26"/>
              </w:rPr>
              <w:t>136,950</w:t>
            </w:r>
          </w:p>
        </w:tc>
      </w:tr>
      <w:tr w:rsidRPr="0040433B" w:rsidR="00C459A2" w:rsidTr="00EA56D8" w14:paraId="7037123D" w14:textId="77777777">
        <w:trPr>
          <w:cantSplit/>
        </w:trPr>
        <w:tc>
          <w:tcPr>
            <w:tcW w:w="952" w:type="pct"/>
            <w:shd w:val="clear" w:color="auto" w:fill="auto"/>
            <w:vAlign w:val="bottom"/>
          </w:tcPr>
          <w:p w:rsidRPr="00C459A2" w:rsidR="00C459A2" w:rsidP="00C459A2" w:rsidRDefault="00C459A2" w14:paraId="06368811" w14:textId="356A545E">
            <w:pPr>
              <w:spacing w:after="0" w:line="240" w:lineRule="auto"/>
              <w:rPr>
                <w:rFonts w:ascii="Times New Roman" w:hAnsi="Times New Roman" w:eastAsia="Calibri" w:cs="Times New Roman"/>
                <w:b/>
                <w:bCs/>
                <w:sz w:val="26"/>
                <w:szCs w:val="26"/>
              </w:rPr>
            </w:pPr>
            <w:r w:rsidRPr="008431C7">
              <w:rPr>
                <w:rFonts w:ascii="Times New Roman" w:hAnsi="Times New Roman" w:eastAsia="Calibri" w:cs="Times New Roman"/>
                <w:b/>
                <w:bCs/>
                <w:sz w:val="26"/>
                <w:szCs w:val="26"/>
              </w:rPr>
              <w:t>TOTAL</w:t>
            </w:r>
          </w:p>
        </w:tc>
        <w:tc>
          <w:tcPr>
            <w:tcW w:w="1795" w:type="pct"/>
            <w:gridSpan w:val="2"/>
            <w:shd w:val="clear" w:color="auto" w:fill="D9D9D9" w:themeFill="background1" w:themeFillShade="D9"/>
            <w:vAlign w:val="bottom"/>
          </w:tcPr>
          <w:p w:rsidRPr="00C459A2" w:rsidR="00C459A2" w:rsidP="00C459A2" w:rsidRDefault="00C459A2" w14:paraId="4CE992DC" w14:textId="77777777">
            <w:pPr>
              <w:spacing w:after="0" w:line="240" w:lineRule="auto"/>
              <w:jc w:val="right"/>
              <w:rPr>
                <w:rFonts w:ascii="Times New Roman" w:hAnsi="Times New Roman" w:eastAsia="Calibri" w:cs="Times New Roman"/>
                <w:color w:val="808080" w:themeColor="background1" w:themeShade="80"/>
                <w:sz w:val="26"/>
                <w:szCs w:val="26"/>
                <w:highlight w:val="darkGray"/>
              </w:rPr>
            </w:pPr>
          </w:p>
        </w:tc>
        <w:tc>
          <w:tcPr>
            <w:tcW w:w="711" w:type="pct"/>
            <w:tcBorders>
              <w:top w:val="single" w:color="auto" w:sz="4" w:space="0"/>
              <w:left w:val="single" w:color="auto" w:sz="4" w:space="0"/>
              <w:bottom w:val="single" w:color="auto" w:sz="4" w:space="0"/>
              <w:right w:val="single" w:color="auto" w:sz="4" w:space="0"/>
            </w:tcBorders>
          </w:tcPr>
          <w:p w:rsidR="008431C7" w:rsidP="00C459A2" w:rsidRDefault="008431C7" w14:paraId="7E133059" w14:textId="77777777">
            <w:pPr>
              <w:spacing w:after="0" w:line="240" w:lineRule="auto"/>
              <w:jc w:val="right"/>
              <w:rPr>
                <w:rFonts w:ascii="Times New Roman" w:hAnsi="Times New Roman" w:eastAsia="Calibri" w:cs="Times New Roman"/>
                <w:sz w:val="26"/>
                <w:szCs w:val="26"/>
              </w:rPr>
            </w:pPr>
          </w:p>
          <w:p w:rsidRPr="008431C7" w:rsidR="00C459A2" w:rsidP="00C459A2" w:rsidRDefault="00C459A2" w14:paraId="37B3D744" w14:textId="5C682698">
            <w:pPr>
              <w:spacing w:after="0" w:line="240" w:lineRule="auto"/>
              <w:jc w:val="right"/>
              <w:rPr>
                <w:rFonts w:ascii="Times New Roman" w:hAnsi="Times New Roman" w:eastAsia="Calibri" w:cs="Times New Roman"/>
                <w:sz w:val="26"/>
                <w:szCs w:val="26"/>
              </w:rPr>
            </w:pPr>
            <w:r w:rsidRPr="008431C7">
              <w:rPr>
                <w:rFonts w:ascii="Times New Roman" w:hAnsi="Times New Roman" w:eastAsia="Calibri" w:cs="Times New Roman"/>
                <w:sz w:val="26"/>
                <w:szCs w:val="26"/>
              </w:rPr>
              <w:t>3</w:t>
            </w:r>
            <w:r w:rsidR="008431C7">
              <w:rPr>
                <w:rFonts w:ascii="Times New Roman" w:hAnsi="Times New Roman" w:eastAsia="Calibri" w:cs="Times New Roman"/>
                <w:sz w:val="26"/>
                <w:szCs w:val="26"/>
              </w:rPr>
              <w:t>27</w:t>
            </w:r>
          </w:p>
        </w:tc>
        <w:tc>
          <w:tcPr>
            <w:tcW w:w="674" w:type="pct"/>
            <w:tcBorders>
              <w:top w:val="single" w:color="auto" w:sz="4" w:space="0"/>
              <w:left w:val="single" w:color="auto" w:sz="4" w:space="0"/>
              <w:bottom w:val="single" w:color="auto" w:sz="4" w:space="0"/>
              <w:right w:val="single" w:color="auto" w:sz="4" w:space="0"/>
            </w:tcBorders>
            <w:shd w:val="clear" w:color="auto" w:fill="FFFFFF"/>
          </w:tcPr>
          <w:p w:rsidR="00C459A2" w:rsidP="00C459A2" w:rsidRDefault="00C459A2" w14:paraId="0D279F36" w14:textId="77777777">
            <w:pPr>
              <w:spacing w:after="0" w:line="240" w:lineRule="auto"/>
              <w:jc w:val="right"/>
              <w:rPr>
                <w:rFonts w:ascii="Times New Roman" w:hAnsi="Times New Roman" w:eastAsia="Calibri" w:cs="Times New Roman"/>
                <w:sz w:val="26"/>
                <w:szCs w:val="26"/>
              </w:rPr>
            </w:pPr>
          </w:p>
          <w:p w:rsidRPr="008431C7" w:rsidR="008431C7" w:rsidP="00C459A2" w:rsidRDefault="008431C7" w14:paraId="09562146" w14:textId="229D71E8">
            <w:pPr>
              <w:spacing w:after="0" w:line="240" w:lineRule="auto"/>
              <w:jc w:val="right"/>
              <w:rPr>
                <w:rFonts w:ascii="Times New Roman" w:hAnsi="Times New Roman" w:eastAsia="Calibri" w:cs="Times New Roman"/>
                <w:sz w:val="26"/>
                <w:szCs w:val="26"/>
              </w:rPr>
            </w:pPr>
          </w:p>
        </w:tc>
        <w:tc>
          <w:tcPr>
            <w:tcW w:w="868" w:type="pct"/>
            <w:tcBorders>
              <w:top w:val="single" w:color="auto" w:sz="4" w:space="0"/>
              <w:left w:val="single" w:color="auto" w:sz="4" w:space="0"/>
              <w:bottom w:val="single" w:color="auto" w:sz="4" w:space="0"/>
              <w:right w:val="single" w:color="auto" w:sz="4" w:space="0"/>
            </w:tcBorders>
          </w:tcPr>
          <w:p w:rsidRPr="008431C7" w:rsidR="00C459A2" w:rsidP="00C459A2" w:rsidRDefault="00C164BD" w14:paraId="6781AC4A" w14:textId="1DC93636">
            <w:pPr>
              <w:widowControl w:val="0"/>
              <w:tabs>
                <w:tab w:val="num" w:pos="720"/>
              </w:tabs>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6,510</w:t>
            </w:r>
            <w:r w:rsidRPr="008431C7" w:rsidR="00C459A2">
              <w:rPr>
                <w:rFonts w:ascii="Times New Roman" w:hAnsi="Times New Roman" w:eastAsia="Calibri" w:cs="Times New Roman"/>
                <w:sz w:val="26"/>
                <w:szCs w:val="26"/>
              </w:rPr>
              <w:t xml:space="preserve"> hrs.;</w:t>
            </w:r>
          </w:p>
          <w:p w:rsidRPr="008431C7" w:rsidR="00C459A2" w:rsidP="00C459A2" w:rsidRDefault="00C459A2" w14:paraId="48473E8A" w14:textId="4921B564">
            <w:pPr>
              <w:spacing w:after="0" w:line="240" w:lineRule="auto"/>
              <w:jc w:val="right"/>
              <w:rPr>
                <w:rFonts w:ascii="Times New Roman" w:hAnsi="Times New Roman" w:eastAsia="Calibri" w:cs="Times New Roman"/>
                <w:sz w:val="26"/>
                <w:szCs w:val="26"/>
              </w:rPr>
            </w:pPr>
            <w:r w:rsidRPr="008431C7">
              <w:rPr>
                <w:rFonts w:ascii="Times New Roman" w:hAnsi="Times New Roman" w:eastAsia="Calibri" w:cs="Times New Roman"/>
                <w:sz w:val="26"/>
                <w:szCs w:val="26"/>
              </w:rPr>
              <w:t>$</w:t>
            </w:r>
            <w:r w:rsidR="00C164BD">
              <w:rPr>
                <w:rFonts w:ascii="Times New Roman" w:hAnsi="Times New Roman" w:eastAsia="Calibri" w:cs="Times New Roman"/>
                <w:sz w:val="26"/>
                <w:szCs w:val="26"/>
              </w:rPr>
              <w:t>540,330</w:t>
            </w:r>
          </w:p>
        </w:tc>
      </w:tr>
    </w:tbl>
    <w:p w:rsidRPr="0040433B" w:rsidR="0040433B" w:rsidP="0040433B" w:rsidRDefault="0040433B" w14:paraId="4F4F48ED" w14:textId="77777777">
      <w:pPr>
        <w:spacing w:after="0" w:line="480" w:lineRule="auto"/>
        <w:rPr>
          <w:rFonts w:ascii="Times New Roman" w:hAnsi="Times New Roman" w:eastAsia="Times New Roman" w:cs="Times New Roman"/>
          <w:sz w:val="26"/>
          <w:szCs w:val="26"/>
        </w:rPr>
      </w:pPr>
    </w:p>
    <w:p w:rsidRPr="0040433B" w:rsidR="0040433B" w:rsidP="0040433B" w:rsidRDefault="0040433B" w14:paraId="2FAD9167" w14:textId="77777777">
      <w:pPr>
        <w:spacing w:after="0" w:line="480" w:lineRule="auto"/>
        <w:rPr>
          <w:rFonts w:ascii="Times New Roman" w:hAnsi="Times New Roman" w:eastAsia="Times New Roman" w:cs="Times New Roman"/>
          <w:sz w:val="26"/>
          <w:szCs w:val="26"/>
        </w:rPr>
      </w:pPr>
      <w:r w:rsidRPr="0040433B">
        <w:rPr>
          <w:rFonts w:ascii="Times New Roman" w:hAnsi="Times New Roman" w:eastAsia="Times New Roman" w:cs="Times New Roman"/>
          <w:i/>
          <w:sz w:val="26"/>
          <w:szCs w:val="26"/>
        </w:rPr>
        <w:lastRenderedPageBreak/>
        <w:t xml:space="preserve">Comments:  </w:t>
      </w:r>
      <w:r w:rsidRPr="0040433B">
        <w:rPr>
          <w:rFonts w:ascii="Times New Roman" w:hAnsi="Times New Roman" w:eastAsia="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536A02" w:rsidP="00536A02" w:rsidRDefault="00536A02" w14:paraId="285114DF" w14:textId="7055E5EF">
      <w:pPr>
        <w:spacing w:after="0" w:line="240" w:lineRule="auto"/>
        <w:rPr>
          <w:rFonts w:ascii="Times New Roman" w:hAnsi="Times New Roman" w:eastAsia="Times New Roman" w:cs="Times New Roman"/>
          <w:sz w:val="26"/>
          <w:szCs w:val="26"/>
        </w:rPr>
      </w:pPr>
    </w:p>
    <w:p w:rsidR="00536A02" w:rsidP="00536A02" w:rsidRDefault="00536A02" w14:paraId="2A62E914" w14:textId="2F94636E">
      <w:pPr>
        <w:spacing w:after="0" w:line="240" w:lineRule="auto"/>
        <w:rPr>
          <w:rFonts w:ascii="Times New Roman" w:hAnsi="Times New Roman" w:cs="Times New Roman"/>
          <w:sz w:val="26"/>
          <w:szCs w:val="26"/>
        </w:rPr>
      </w:pPr>
    </w:p>
    <w:p w:rsidR="00536A02" w:rsidP="00536A02" w:rsidRDefault="00536A02" w14:paraId="6AB75185" w14:textId="56F511E5">
      <w:pPr>
        <w:spacing w:after="0" w:line="240" w:lineRule="auto"/>
        <w:rPr>
          <w:rFonts w:ascii="Times New Roman" w:hAnsi="Times New Roman" w:cs="Times New Roman"/>
          <w:sz w:val="26"/>
          <w:szCs w:val="26"/>
        </w:rPr>
      </w:pPr>
    </w:p>
    <w:p w:rsidR="00536A02" w:rsidP="00536A02" w:rsidRDefault="00536A02" w14:paraId="12BC6200" w14:textId="00F016F9">
      <w:pPr>
        <w:spacing w:after="0" w:line="240" w:lineRule="auto"/>
        <w:rPr>
          <w:rFonts w:ascii="Times New Roman" w:hAnsi="Times New Roman" w:cs="Times New Roman"/>
          <w:sz w:val="26"/>
          <w:szCs w:val="26"/>
        </w:rPr>
      </w:pPr>
    </w:p>
    <w:p w:rsidRPr="00536A02" w:rsidR="00536A02" w:rsidP="00536A02" w:rsidRDefault="00536A02" w14:paraId="15ADF593" w14:textId="78D7F026">
      <w:pPr>
        <w:spacing w:after="0" w:line="240" w:lineRule="auto"/>
        <w:ind w:firstLine="2174"/>
        <w:jc w:val="center"/>
        <w:rPr>
          <w:rFonts w:ascii="Times New Roman" w:hAnsi="Times New Roman" w:cs="Times New Roman"/>
          <w:sz w:val="26"/>
        </w:rPr>
      </w:pPr>
      <w:r w:rsidRPr="00536A02">
        <w:rPr>
          <w:rFonts w:ascii="Times New Roman" w:hAnsi="Times New Roman" w:cs="Times New Roman"/>
          <w:sz w:val="26"/>
        </w:rPr>
        <w:t>Kimberly D. Bose,</w:t>
      </w:r>
    </w:p>
    <w:p w:rsidRPr="00536A02" w:rsidR="00536A02" w:rsidP="00536A02" w:rsidRDefault="00536A02" w14:paraId="03F98A25" w14:textId="0F24C7B6">
      <w:pPr>
        <w:spacing w:after="0" w:line="240" w:lineRule="auto"/>
        <w:ind w:firstLine="2174"/>
        <w:jc w:val="center"/>
      </w:pPr>
      <w:r w:rsidRPr="00536A02">
        <w:rPr>
          <w:rFonts w:ascii="Times New Roman" w:hAnsi="Times New Roman" w:cs="Times New Roman"/>
          <w:sz w:val="26"/>
        </w:rPr>
        <w:t>Secretary.</w:t>
      </w:r>
    </w:p>
    <w:p w:rsidRPr="002A47EA" w:rsidR="00536A02" w:rsidP="00536A02" w:rsidRDefault="00536A02" w14:paraId="30F63A41" w14:textId="77777777">
      <w:pPr>
        <w:spacing w:after="0" w:line="240" w:lineRule="auto"/>
        <w:rPr>
          <w:rFonts w:ascii="Times New Roman" w:hAnsi="Times New Roman" w:cs="Times New Roman"/>
          <w:sz w:val="26"/>
          <w:szCs w:val="26"/>
        </w:rPr>
      </w:pPr>
    </w:p>
    <w:sectPr w:rsidRPr="002A47EA" w:rsidR="00536A02" w:rsidSect="00FA73C4">
      <w:headerReference w:type="even" r:id="rId17"/>
      <w:headerReference w:type="default" r:id="rId18"/>
      <w:footerReference w:type="even" r:id="rId19"/>
      <w:footerReference w:type="default" r:id="rId20"/>
      <w:headerReference w:type="first" r:id="rId21"/>
      <w:footerReference w:type="first" r:id="rId22"/>
      <w:pgSz w:w="12240" w:h="15840"/>
      <w:pgMar w:top="990" w:right="1170" w:bottom="1440" w:left="126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25D78" w16cex:dateUtc="2020-08-27T20:27:00Z"/>
  <w16cex:commentExtensible w16cex:durableId="22F25CAD" w16cex:dateUtc="2020-08-27T20:24:00Z"/>
  <w16cex:commentExtensible w16cex:durableId="22F25E09" w16cex:dateUtc="2020-08-27T20:30:00Z"/>
  <w16cex:commentExtensible w16cex:durableId="22F25E6A" w16cex:dateUtc="2020-08-27T20:31:00Z"/>
  <w16cex:commentExtensible w16cex:durableId="22F25EE0" w16cex:dateUtc="2020-08-27T20:27:00Z"/>
  <w16cex:commentExtensible w16cex:durableId="22F25EED" w16cex:dateUtc="2020-08-27T20:33:00Z"/>
  <w16cex:commentExtensible w16cex:durableId="22F25F41" w16cex:dateUtc="2020-08-27T20:27:00Z"/>
  <w16cex:commentExtensible w16cex:durableId="22F25F51" w16cex:dateUtc="2020-08-27T2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4DA79" w14:textId="77777777" w:rsidR="00DC3586" w:rsidRDefault="00DC3586" w:rsidP="000B0F9E">
      <w:pPr>
        <w:spacing w:after="0" w:line="240" w:lineRule="auto"/>
      </w:pPr>
      <w:r>
        <w:separator/>
      </w:r>
    </w:p>
  </w:endnote>
  <w:endnote w:type="continuationSeparator" w:id="0">
    <w:p w14:paraId="25EF29D9" w14:textId="77777777" w:rsidR="00DC3586" w:rsidRDefault="00DC3586" w:rsidP="000B0F9E">
      <w:pPr>
        <w:spacing w:after="0" w:line="240" w:lineRule="auto"/>
      </w:pPr>
      <w:r>
        <w:continuationSeparator/>
      </w:r>
    </w:p>
  </w:endnote>
  <w:endnote w:type="continuationNotice" w:id="1">
    <w:p w14:paraId="272C1476" w14:textId="77777777" w:rsidR="00DC3586" w:rsidRDefault="00DC3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62D40" w14:textId="77777777" w:rsidR="00A5442A" w:rsidRDefault="00A54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1107" w14:textId="77777777" w:rsidR="00A5442A" w:rsidRDefault="00A54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0996" w14:textId="77777777" w:rsidR="00A5442A" w:rsidRDefault="00A54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EC5FA" w14:textId="77777777" w:rsidR="00DC3586" w:rsidRDefault="00DC3586" w:rsidP="000B0F9E">
      <w:pPr>
        <w:spacing w:after="0" w:line="240" w:lineRule="auto"/>
      </w:pPr>
      <w:r>
        <w:separator/>
      </w:r>
    </w:p>
  </w:footnote>
  <w:footnote w:type="continuationSeparator" w:id="0">
    <w:p w14:paraId="7CE237EF" w14:textId="77777777" w:rsidR="00DC3586" w:rsidRDefault="00DC3586" w:rsidP="000B0F9E">
      <w:pPr>
        <w:spacing w:after="0" w:line="240" w:lineRule="auto"/>
      </w:pPr>
      <w:r>
        <w:continuationSeparator/>
      </w:r>
    </w:p>
  </w:footnote>
  <w:footnote w:type="continuationNotice" w:id="1">
    <w:p w14:paraId="55D9A557" w14:textId="77777777" w:rsidR="00DC3586" w:rsidRDefault="00DC3586">
      <w:pPr>
        <w:spacing w:after="0" w:line="240" w:lineRule="auto"/>
      </w:pPr>
    </w:p>
  </w:footnote>
  <w:footnote w:id="2">
    <w:p w14:paraId="4500ECD8" w14:textId="3DBC9B45" w:rsidR="00882D32" w:rsidRDefault="00882D32">
      <w:pPr>
        <w:pStyle w:val="FootnoteText"/>
      </w:pPr>
      <w:r>
        <w:rPr>
          <w:rStyle w:val="FootnoteReference"/>
        </w:rPr>
        <w:footnoteRef/>
      </w:r>
      <w:r>
        <w:t xml:space="preserve"> This collection notice does not address the NOPR for RM05-29 and RM05-30.</w:t>
      </w:r>
      <w:r>
        <w:rPr>
          <w:color w:val="000000"/>
        </w:rPr>
        <w:t xml:space="preserve"> </w:t>
      </w:r>
    </w:p>
  </w:footnote>
  <w:footnote w:id="3">
    <w:p w14:paraId="671A2F95" w14:textId="77777777" w:rsidR="0040433B" w:rsidRPr="00277B18" w:rsidRDefault="0040433B" w:rsidP="0040433B">
      <w:pPr>
        <w:pStyle w:val="FootnoteText"/>
      </w:pPr>
      <w:r w:rsidRPr="000D189D">
        <w:rPr>
          <w:rStyle w:val="FootnoteReference"/>
        </w:rPr>
        <w:footnoteRef/>
      </w:r>
      <w:r w:rsidRPr="000D189D">
        <w:rPr>
          <w:szCs w:val="26"/>
        </w:rPr>
        <w:t xml:space="preserve"> </w:t>
      </w:r>
      <w:r w:rsidRPr="00A230D4">
        <w:rPr>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4">
    <w:p w14:paraId="3E49AF96" w14:textId="4B69C21C" w:rsidR="00882D32" w:rsidRDefault="00882D32">
      <w:pPr>
        <w:pStyle w:val="FootnoteText"/>
      </w:pPr>
      <w:r>
        <w:rPr>
          <w:rStyle w:val="FootnoteReference"/>
        </w:rPr>
        <w:footnoteRef/>
      </w:r>
      <w:r>
        <w:t xml:space="preserve"> This collection includes the one-time burden (over a 3 year period of time) for the Final Rule RM05-25,05-26,05-27 [</w:t>
      </w:r>
      <w:r>
        <w:rPr>
          <w:color w:val="000000"/>
        </w:rPr>
        <w:t xml:space="preserve">ICR Reference No: 202002-1902-006] </w:t>
      </w:r>
    </w:p>
  </w:footnote>
  <w:footnote w:id="5">
    <w:p w14:paraId="72A0484F" w14:textId="760B0E47" w:rsidR="0040433B" w:rsidRPr="00A230D4" w:rsidRDefault="0040433B" w:rsidP="0040433B">
      <w:pPr>
        <w:pStyle w:val="FootnoteText"/>
        <w:rPr>
          <w:szCs w:val="22"/>
        </w:rPr>
      </w:pPr>
      <w:r w:rsidRPr="00BF7C00">
        <w:rPr>
          <w:rStyle w:val="FootnoteReference"/>
          <w:sz w:val="20"/>
        </w:rPr>
        <w:footnoteRef/>
      </w:r>
      <w:r w:rsidRPr="00BF7C00">
        <w:t xml:space="preserve"> </w:t>
      </w:r>
      <w:r w:rsidRPr="00A230D4">
        <w:rPr>
          <w:szCs w:val="26"/>
        </w:rPr>
        <w:t xml:space="preserve">The Commission staff thinks that the average respondent for this collection is similarly situated to the Commission, in terms of salary plus benefits.   Based upon FERC’s </w:t>
      </w:r>
      <w:r w:rsidR="00F61FAA">
        <w:rPr>
          <w:szCs w:val="26"/>
        </w:rPr>
        <w:t xml:space="preserve">FY </w:t>
      </w:r>
      <w:r w:rsidRPr="00A230D4">
        <w:rPr>
          <w:szCs w:val="26"/>
        </w:rPr>
        <w:t>20</w:t>
      </w:r>
      <w:r w:rsidR="00F61FAA">
        <w:rPr>
          <w:szCs w:val="26"/>
        </w:rPr>
        <w:t>20</w:t>
      </w:r>
      <w:r w:rsidRPr="00A230D4">
        <w:rPr>
          <w:szCs w:val="26"/>
        </w:rPr>
        <w:t xml:space="preserve"> annual average of $1</w:t>
      </w:r>
      <w:r w:rsidR="005110C7">
        <w:rPr>
          <w:szCs w:val="26"/>
        </w:rPr>
        <w:t>7</w:t>
      </w:r>
      <w:r w:rsidR="00F61FAA">
        <w:rPr>
          <w:szCs w:val="26"/>
        </w:rPr>
        <w:t>2,329</w:t>
      </w:r>
      <w:r w:rsidRPr="00A230D4">
        <w:rPr>
          <w:szCs w:val="26"/>
        </w:rPr>
        <w:t>, (for salary plus benefits), the average hourly cost is $</w:t>
      </w:r>
      <w:r w:rsidR="005110C7">
        <w:rPr>
          <w:szCs w:val="26"/>
        </w:rPr>
        <w:t>83</w:t>
      </w:r>
      <w:r w:rsidRPr="00A230D4">
        <w:rPr>
          <w:szCs w:val="26"/>
        </w:rPr>
        <w:t>/hour.</w:t>
      </w:r>
      <w:r w:rsidRPr="00A230D4">
        <w:t xml:space="preserve"> </w:t>
      </w:r>
    </w:p>
  </w:footnote>
  <w:footnote w:id="6">
    <w:p w14:paraId="1EC8F511" w14:textId="77777777" w:rsidR="00C459A2" w:rsidRDefault="00C459A2" w:rsidP="00C459A2">
      <w:pPr>
        <w:pStyle w:val="FootnoteText"/>
        <w:rPr>
          <w:sz w:val="20"/>
        </w:rPr>
      </w:pPr>
      <w:r>
        <w:rPr>
          <w:b/>
          <w:vertAlign w:val="superscript"/>
        </w:rPr>
        <w:footnoteRef/>
      </w:r>
      <w:r>
        <w:t xml:space="preserve"> FERC-717 corresponds to OMB Control No. 1902-0173 that identifies the information collection associated with Standards for Business Practices and Communication Protocols for Public Utilities.</w:t>
      </w:r>
    </w:p>
  </w:footnote>
  <w:footnote w:id="7">
    <w:p w14:paraId="4C5BE857" w14:textId="6B97C463" w:rsidR="00701924" w:rsidRPr="0009299A" w:rsidRDefault="0009299A" w:rsidP="00701924">
      <w:pPr>
        <w:pStyle w:val="FootnoteText"/>
      </w:pPr>
      <w:r>
        <w:rPr>
          <w:rStyle w:val="FootnoteReference"/>
        </w:rPr>
        <w:footnoteRef/>
      </w:r>
      <w:r>
        <w:t xml:space="preserve"> The 30-hour estimate was developed in Docket No. RM05-5-013, when the </w:t>
      </w:r>
      <w:r w:rsidR="00701924" w:rsidRPr="0009299A">
        <w:t xml:space="preserve">Commission prepared its estimate of the scope of work involved in transitioning to the NAESB Version 002.1 Business Practice Standards.  See Order No. 676-E, 129 FERC    61,162 at P 134. (FERC-717, </w:t>
      </w:r>
      <w:r w:rsidR="00C164BD">
        <w:t xml:space="preserve">165 * 30 = </w:t>
      </w:r>
      <w:r w:rsidR="00701924" w:rsidRPr="0009299A">
        <w:t>4,950 hrs./3</w:t>
      </w:r>
      <w:r w:rsidR="00C164BD">
        <w:t xml:space="preserve"> </w:t>
      </w:r>
      <w:r w:rsidR="00701924" w:rsidRPr="0009299A">
        <w:t>=</w:t>
      </w:r>
      <w:r w:rsidR="00C164BD">
        <w:t xml:space="preserve"> </w:t>
      </w:r>
      <w:r w:rsidR="00701924" w:rsidRPr="0009299A">
        <w:t>1,650 hrs./year)</w:t>
      </w:r>
    </w:p>
    <w:p w14:paraId="280F30B5" w14:textId="6C1D96DD" w:rsidR="0009299A" w:rsidRDefault="0009299A" w:rsidP="0009299A">
      <w:pPr>
        <w:pStyle w:val="FootnoteText"/>
        <w:ind w:left="72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810C9" w14:textId="77777777" w:rsidR="00A5442A" w:rsidRDefault="00A54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155E" w14:textId="3F74557F" w:rsidR="004975DB" w:rsidRDefault="004975DB">
    <w:pPr>
      <w:pStyle w:val="Header"/>
      <w:rPr>
        <w:rFonts w:ascii="Times New Roman" w:hAnsi="Times New Roman" w:cs="Times New Roman"/>
        <w:sz w:val="26"/>
        <w:szCs w:val="26"/>
      </w:rPr>
    </w:pPr>
    <w:r w:rsidRPr="004D7671">
      <w:rPr>
        <w:rFonts w:ascii="Times New Roman" w:hAnsi="Times New Roman" w:cs="Times New Roman"/>
        <w:sz w:val="26"/>
        <w:szCs w:val="26"/>
      </w:rPr>
      <w:t xml:space="preserve">Docket No. </w:t>
    </w:r>
    <w:r w:rsidRPr="00647C42">
      <w:rPr>
        <w:rFonts w:ascii="Times New Roman" w:hAnsi="Times New Roman" w:cs="Times New Roman"/>
        <w:sz w:val="26"/>
        <w:szCs w:val="26"/>
      </w:rPr>
      <w:t>IC20-</w:t>
    </w:r>
    <w:r w:rsidR="006A648E">
      <w:rPr>
        <w:rFonts w:ascii="Times New Roman" w:hAnsi="Times New Roman" w:cs="Times New Roman"/>
        <w:sz w:val="26"/>
        <w:szCs w:val="26"/>
      </w:rPr>
      <w:t>25</w:t>
    </w:r>
    <w:r w:rsidRPr="00647C42">
      <w:rPr>
        <w:rFonts w:ascii="Times New Roman" w:hAnsi="Times New Roman" w:cs="Times New Roman"/>
        <w:sz w:val="26"/>
        <w:szCs w:val="26"/>
      </w:rPr>
      <w:t>-000</w:t>
    </w:r>
    <w:r>
      <w:rPr>
        <w:rFonts w:ascii="Times New Roman" w:hAnsi="Times New Roman" w:cs="Times New Roman"/>
        <w:sz w:val="26"/>
        <w:szCs w:val="26"/>
      </w:rPr>
      <w:tab/>
    </w:r>
    <w:r>
      <w:rPr>
        <w:rFonts w:ascii="Times New Roman" w:hAnsi="Times New Roman" w:cs="Times New Roman"/>
        <w:sz w:val="26"/>
        <w:szCs w:val="26"/>
      </w:rPr>
      <w:tab/>
    </w:r>
    <w:r w:rsidRPr="00FA73C4">
      <w:rPr>
        <w:rFonts w:ascii="Times New Roman" w:hAnsi="Times New Roman" w:cs="Times New Roman"/>
        <w:sz w:val="26"/>
        <w:szCs w:val="26"/>
      </w:rPr>
      <w:fldChar w:fldCharType="begin"/>
    </w:r>
    <w:r w:rsidRPr="00FA73C4">
      <w:rPr>
        <w:rFonts w:ascii="Times New Roman" w:hAnsi="Times New Roman" w:cs="Times New Roman"/>
        <w:sz w:val="26"/>
        <w:szCs w:val="26"/>
      </w:rPr>
      <w:instrText xml:space="preserve"> PAGE   \* MERGEFORMAT </w:instrText>
    </w:r>
    <w:r w:rsidRPr="00FA73C4">
      <w:rPr>
        <w:rFonts w:ascii="Times New Roman" w:hAnsi="Times New Roman" w:cs="Times New Roman"/>
        <w:sz w:val="26"/>
        <w:szCs w:val="26"/>
      </w:rPr>
      <w:fldChar w:fldCharType="separate"/>
    </w:r>
    <w:r>
      <w:rPr>
        <w:rFonts w:ascii="Times New Roman" w:hAnsi="Times New Roman" w:cs="Times New Roman"/>
        <w:noProof/>
        <w:sz w:val="26"/>
        <w:szCs w:val="26"/>
      </w:rPr>
      <w:t>3</w:t>
    </w:r>
    <w:r w:rsidRPr="00FA73C4">
      <w:rPr>
        <w:rFonts w:ascii="Times New Roman" w:hAnsi="Times New Roman" w:cs="Times New Roman"/>
        <w:noProof/>
        <w:sz w:val="26"/>
        <w:szCs w:val="26"/>
      </w:rPr>
      <w:fldChar w:fldCharType="end"/>
    </w:r>
  </w:p>
  <w:p w14:paraId="1210A1A0" w14:textId="77777777" w:rsidR="004975DB" w:rsidRPr="004D7671" w:rsidRDefault="004975DB">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BD2B" w14:textId="77777777" w:rsidR="00A5442A" w:rsidRDefault="00A54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0CF9"/>
    <w:multiLevelType w:val="hybridMultilevel"/>
    <w:tmpl w:val="3FA282C2"/>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9C514FE"/>
    <w:multiLevelType w:val="hybridMultilevel"/>
    <w:tmpl w:val="368E5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13062"/>
    <w:multiLevelType w:val="multilevel"/>
    <w:tmpl w:val="51686D9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4" w15:restartNumberingAfterBreak="0">
    <w:nsid w:val="4A5F59EA"/>
    <w:multiLevelType w:val="hybridMultilevel"/>
    <w:tmpl w:val="52063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31692"/>
    <w:multiLevelType w:val="hybridMultilevel"/>
    <w:tmpl w:val="437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106C01"/>
    <w:multiLevelType w:val="hybridMultilevel"/>
    <w:tmpl w:val="72F4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70FB1"/>
    <w:multiLevelType w:val="hybridMultilevel"/>
    <w:tmpl w:val="65D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E4DD3"/>
    <w:multiLevelType w:val="hybridMultilevel"/>
    <w:tmpl w:val="AD508830"/>
    <w:lvl w:ilvl="0" w:tplc="4A82E670">
      <w:start w:val="1"/>
      <w:numFmt w:val="decimal"/>
      <w:pStyle w:val="FERCparanumber"/>
      <w:lvlText w:val="%1."/>
      <w:lvlJc w:val="left"/>
      <w:pPr>
        <w:tabs>
          <w:tab w:val="num" w:pos="1080"/>
        </w:tabs>
        <w:ind w:left="36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6"/>
  </w:num>
  <w:num w:numId="4">
    <w:abstractNumId w:val="9"/>
  </w:num>
  <w:num w:numId="5">
    <w:abstractNumId w:val="8"/>
  </w:num>
  <w:num w:numId="6">
    <w:abstractNumId w:val="4"/>
  </w:num>
  <w:num w:numId="7">
    <w:abstractNumId w:val="1"/>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F9E"/>
    <w:rsid w:val="000043D8"/>
    <w:rsid w:val="00014813"/>
    <w:rsid w:val="00014FBA"/>
    <w:rsid w:val="000151D7"/>
    <w:rsid w:val="0002399E"/>
    <w:rsid w:val="00023E5C"/>
    <w:rsid w:val="00024B31"/>
    <w:rsid w:val="000275EA"/>
    <w:rsid w:val="00027B96"/>
    <w:rsid w:val="00042A66"/>
    <w:rsid w:val="00060907"/>
    <w:rsid w:val="0006133A"/>
    <w:rsid w:val="00061D2A"/>
    <w:rsid w:val="00063296"/>
    <w:rsid w:val="00065A4B"/>
    <w:rsid w:val="00067318"/>
    <w:rsid w:val="00067B88"/>
    <w:rsid w:val="00080DBF"/>
    <w:rsid w:val="000910A2"/>
    <w:rsid w:val="0009299A"/>
    <w:rsid w:val="000A0423"/>
    <w:rsid w:val="000B0F9E"/>
    <w:rsid w:val="000B123B"/>
    <w:rsid w:val="000F4C22"/>
    <w:rsid w:val="00100A8B"/>
    <w:rsid w:val="0011171C"/>
    <w:rsid w:val="0011295F"/>
    <w:rsid w:val="00120A82"/>
    <w:rsid w:val="00134CBA"/>
    <w:rsid w:val="0014028A"/>
    <w:rsid w:val="001443AE"/>
    <w:rsid w:val="0014772C"/>
    <w:rsid w:val="00153B9F"/>
    <w:rsid w:val="001558BC"/>
    <w:rsid w:val="00167B5B"/>
    <w:rsid w:val="00171C3D"/>
    <w:rsid w:val="00171DF9"/>
    <w:rsid w:val="00180FBE"/>
    <w:rsid w:val="00185693"/>
    <w:rsid w:val="001B0976"/>
    <w:rsid w:val="001B1BA8"/>
    <w:rsid w:val="001C1BB9"/>
    <w:rsid w:val="001C24B5"/>
    <w:rsid w:val="001C2E68"/>
    <w:rsid w:val="001C62D7"/>
    <w:rsid w:val="001D5ED2"/>
    <w:rsid w:val="001D6FA9"/>
    <w:rsid w:val="001E28E2"/>
    <w:rsid w:val="001E4D1A"/>
    <w:rsid w:val="001F1ADE"/>
    <w:rsid w:val="001F2609"/>
    <w:rsid w:val="001F4D94"/>
    <w:rsid w:val="0020348A"/>
    <w:rsid w:val="00203E76"/>
    <w:rsid w:val="00205E60"/>
    <w:rsid w:val="002132D7"/>
    <w:rsid w:val="002143E1"/>
    <w:rsid w:val="002151C0"/>
    <w:rsid w:val="002179DB"/>
    <w:rsid w:val="00224C1B"/>
    <w:rsid w:val="0022511D"/>
    <w:rsid w:val="002263E3"/>
    <w:rsid w:val="00237787"/>
    <w:rsid w:val="0024403D"/>
    <w:rsid w:val="0024436A"/>
    <w:rsid w:val="002455D0"/>
    <w:rsid w:val="00271540"/>
    <w:rsid w:val="002751DD"/>
    <w:rsid w:val="00283878"/>
    <w:rsid w:val="00287745"/>
    <w:rsid w:val="0029138C"/>
    <w:rsid w:val="00295B71"/>
    <w:rsid w:val="002A02EF"/>
    <w:rsid w:val="002A4093"/>
    <w:rsid w:val="002A47EA"/>
    <w:rsid w:val="002B1EB2"/>
    <w:rsid w:val="002B2F70"/>
    <w:rsid w:val="002D1037"/>
    <w:rsid w:val="002D2DF8"/>
    <w:rsid w:val="002D357C"/>
    <w:rsid w:val="002D4327"/>
    <w:rsid w:val="002D51EC"/>
    <w:rsid w:val="002E721B"/>
    <w:rsid w:val="002F1962"/>
    <w:rsid w:val="002F3433"/>
    <w:rsid w:val="002F3BCF"/>
    <w:rsid w:val="0030010A"/>
    <w:rsid w:val="00300A88"/>
    <w:rsid w:val="00304EA3"/>
    <w:rsid w:val="00326B44"/>
    <w:rsid w:val="00343FF1"/>
    <w:rsid w:val="00355F9C"/>
    <w:rsid w:val="00370E30"/>
    <w:rsid w:val="003723C4"/>
    <w:rsid w:val="003925D9"/>
    <w:rsid w:val="0039377C"/>
    <w:rsid w:val="00396F92"/>
    <w:rsid w:val="003A021B"/>
    <w:rsid w:val="003A3963"/>
    <w:rsid w:val="003B1D59"/>
    <w:rsid w:val="003B67B4"/>
    <w:rsid w:val="003B6995"/>
    <w:rsid w:val="003C23D6"/>
    <w:rsid w:val="003D0D8A"/>
    <w:rsid w:val="003D452C"/>
    <w:rsid w:val="003E7DCA"/>
    <w:rsid w:val="003F2036"/>
    <w:rsid w:val="003F5AF0"/>
    <w:rsid w:val="003F5FE1"/>
    <w:rsid w:val="0040433B"/>
    <w:rsid w:val="00424563"/>
    <w:rsid w:val="00430ADE"/>
    <w:rsid w:val="004340C7"/>
    <w:rsid w:val="004435D0"/>
    <w:rsid w:val="00447DE4"/>
    <w:rsid w:val="00452604"/>
    <w:rsid w:val="00454F21"/>
    <w:rsid w:val="00456C86"/>
    <w:rsid w:val="00464713"/>
    <w:rsid w:val="00467E21"/>
    <w:rsid w:val="004963D3"/>
    <w:rsid w:val="004975DB"/>
    <w:rsid w:val="004A2FAE"/>
    <w:rsid w:val="004A5EB7"/>
    <w:rsid w:val="004B5DF8"/>
    <w:rsid w:val="004B7194"/>
    <w:rsid w:val="004C4333"/>
    <w:rsid w:val="004C56F4"/>
    <w:rsid w:val="004D26C2"/>
    <w:rsid w:val="004D7671"/>
    <w:rsid w:val="004E3EBF"/>
    <w:rsid w:val="00503515"/>
    <w:rsid w:val="005110C7"/>
    <w:rsid w:val="00512530"/>
    <w:rsid w:val="00522C2E"/>
    <w:rsid w:val="00526E45"/>
    <w:rsid w:val="005356E2"/>
    <w:rsid w:val="00536A02"/>
    <w:rsid w:val="0054270C"/>
    <w:rsid w:val="005450E3"/>
    <w:rsid w:val="005570D9"/>
    <w:rsid w:val="00575E5B"/>
    <w:rsid w:val="005767E3"/>
    <w:rsid w:val="005869C0"/>
    <w:rsid w:val="005870DF"/>
    <w:rsid w:val="00592026"/>
    <w:rsid w:val="0059269D"/>
    <w:rsid w:val="00597392"/>
    <w:rsid w:val="005A1ED7"/>
    <w:rsid w:val="005B2CCF"/>
    <w:rsid w:val="005B4DCE"/>
    <w:rsid w:val="005B6BDD"/>
    <w:rsid w:val="005B7366"/>
    <w:rsid w:val="005E00AF"/>
    <w:rsid w:val="005E2DD9"/>
    <w:rsid w:val="00600CE3"/>
    <w:rsid w:val="00625517"/>
    <w:rsid w:val="00632960"/>
    <w:rsid w:val="00633724"/>
    <w:rsid w:val="006375EC"/>
    <w:rsid w:val="00647C42"/>
    <w:rsid w:val="00655980"/>
    <w:rsid w:val="00656018"/>
    <w:rsid w:val="00660F2A"/>
    <w:rsid w:val="006645C0"/>
    <w:rsid w:val="00667DC6"/>
    <w:rsid w:val="00670825"/>
    <w:rsid w:val="00675B59"/>
    <w:rsid w:val="00675BDD"/>
    <w:rsid w:val="00681E45"/>
    <w:rsid w:val="0068600B"/>
    <w:rsid w:val="00692266"/>
    <w:rsid w:val="00692EF9"/>
    <w:rsid w:val="006A0D55"/>
    <w:rsid w:val="006A5D5D"/>
    <w:rsid w:val="006A648E"/>
    <w:rsid w:val="006C0B78"/>
    <w:rsid w:val="006D1775"/>
    <w:rsid w:val="006D1C80"/>
    <w:rsid w:val="006D2224"/>
    <w:rsid w:val="006E11CE"/>
    <w:rsid w:val="006E7728"/>
    <w:rsid w:val="00701924"/>
    <w:rsid w:val="00707D90"/>
    <w:rsid w:val="00725E5F"/>
    <w:rsid w:val="00734549"/>
    <w:rsid w:val="00742BE9"/>
    <w:rsid w:val="00746394"/>
    <w:rsid w:val="0074679D"/>
    <w:rsid w:val="00750270"/>
    <w:rsid w:val="0076575D"/>
    <w:rsid w:val="00770E30"/>
    <w:rsid w:val="007752D6"/>
    <w:rsid w:val="00776333"/>
    <w:rsid w:val="00782044"/>
    <w:rsid w:val="00785BC8"/>
    <w:rsid w:val="00791474"/>
    <w:rsid w:val="007930DE"/>
    <w:rsid w:val="007931AC"/>
    <w:rsid w:val="0079327D"/>
    <w:rsid w:val="007A7250"/>
    <w:rsid w:val="007A78F9"/>
    <w:rsid w:val="007B77B1"/>
    <w:rsid w:val="007C1891"/>
    <w:rsid w:val="007C7DB1"/>
    <w:rsid w:val="007E49A3"/>
    <w:rsid w:val="007F2A95"/>
    <w:rsid w:val="007F2A99"/>
    <w:rsid w:val="00803BD3"/>
    <w:rsid w:val="00805DEF"/>
    <w:rsid w:val="008068A3"/>
    <w:rsid w:val="00826497"/>
    <w:rsid w:val="00830AF4"/>
    <w:rsid w:val="00830FAA"/>
    <w:rsid w:val="008414FF"/>
    <w:rsid w:val="008431C7"/>
    <w:rsid w:val="00844CD4"/>
    <w:rsid w:val="00866153"/>
    <w:rsid w:val="00870CE6"/>
    <w:rsid w:val="00882D32"/>
    <w:rsid w:val="00887B7E"/>
    <w:rsid w:val="008937D9"/>
    <w:rsid w:val="00893839"/>
    <w:rsid w:val="008B685C"/>
    <w:rsid w:val="008C287B"/>
    <w:rsid w:val="008C527E"/>
    <w:rsid w:val="008C73A3"/>
    <w:rsid w:val="008D10DB"/>
    <w:rsid w:val="008D7103"/>
    <w:rsid w:val="008E0057"/>
    <w:rsid w:val="008E1287"/>
    <w:rsid w:val="008F0960"/>
    <w:rsid w:val="00903802"/>
    <w:rsid w:val="00912C60"/>
    <w:rsid w:val="00921F10"/>
    <w:rsid w:val="009239AB"/>
    <w:rsid w:val="0092589E"/>
    <w:rsid w:val="009264CC"/>
    <w:rsid w:val="0092762C"/>
    <w:rsid w:val="00927F20"/>
    <w:rsid w:val="0093147C"/>
    <w:rsid w:val="009317F6"/>
    <w:rsid w:val="00932D85"/>
    <w:rsid w:val="00934E7B"/>
    <w:rsid w:val="00957CF3"/>
    <w:rsid w:val="00960B80"/>
    <w:rsid w:val="009805DB"/>
    <w:rsid w:val="00987311"/>
    <w:rsid w:val="00994191"/>
    <w:rsid w:val="009950C3"/>
    <w:rsid w:val="00997A29"/>
    <w:rsid w:val="009A33E4"/>
    <w:rsid w:val="009B47F5"/>
    <w:rsid w:val="009B5C3F"/>
    <w:rsid w:val="009C63CA"/>
    <w:rsid w:val="009D1DCD"/>
    <w:rsid w:val="009E289C"/>
    <w:rsid w:val="009E29C4"/>
    <w:rsid w:val="009E5AA0"/>
    <w:rsid w:val="009E61F2"/>
    <w:rsid w:val="009E6B9D"/>
    <w:rsid w:val="009F39F7"/>
    <w:rsid w:val="00A01A54"/>
    <w:rsid w:val="00A02A54"/>
    <w:rsid w:val="00A0317D"/>
    <w:rsid w:val="00A03D30"/>
    <w:rsid w:val="00A34D64"/>
    <w:rsid w:val="00A37000"/>
    <w:rsid w:val="00A428B4"/>
    <w:rsid w:val="00A44472"/>
    <w:rsid w:val="00A5442A"/>
    <w:rsid w:val="00A54D1C"/>
    <w:rsid w:val="00A56E21"/>
    <w:rsid w:val="00A56F9B"/>
    <w:rsid w:val="00A60819"/>
    <w:rsid w:val="00A64EDC"/>
    <w:rsid w:val="00A70FA2"/>
    <w:rsid w:val="00A71F4B"/>
    <w:rsid w:val="00A76A1C"/>
    <w:rsid w:val="00A81657"/>
    <w:rsid w:val="00A94F29"/>
    <w:rsid w:val="00A9589F"/>
    <w:rsid w:val="00A97825"/>
    <w:rsid w:val="00AA02D2"/>
    <w:rsid w:val="00AA719A"/>
    <w:rsid w:val="00AB1C80"/>
    <w:rsid w:val="00AB35A2"/>
    <w:rsid w:val="00AB57E5"/>
    <w:rsid w:val="00AB7BBA"/>
    <w:rsid w:val="00AC20DD"/>
    <w:rsid w:val="00AD2412"/>
    <w:rsid w:val="00AD7E77"/>
    <w:rsid w:val="00AE40FF"/>
    <w:rsid w:val="00AF415E"/>
    <w:rsid w:val="00B02F21"/>
    <w:rsid w:val="00B02FC0"/>
    <w:rsid w:val="00B078F3"/>
    <w:rsid w:val="00B10D35"/>
    <w:rsid w:val="00B12A17"/>
    <w:rsid w:val="00B246D4"/>
    <w:rsid w:val="00B34DD7"/>
    <w:rsid w:val="00B43F88"/>
    <w:rsid w:val="00B450ED"/>
    <w:rsid w:val="00B562E6"/>
    <w:rsid w:val="00B66B88"/>
    <w:rsid w:val="00B73FA3"/>
    <w:rsid w:val="00B85338"/>
    <w:rsid w:val="00B91A23"/>
    <w:rsid w:val="00BA7D8B"/>
    <w:rsid w:val="00BB357F"/>
    <w:rsid w:val="00BB7F0C"/>
    <w:rsid w:val="00BC0F9B"/>
    <w:rsid w:val="00BC2B26"/>
    <w:rsid w:val="00BC6AD3"/>
    <w:rsid w:val="00BD0ABE"/>
    <w:rsid w:val="00BD53E9"/>
    <w:rsid w:val="00BD67AE"/>
    <w:rsid w:val="00BE496B"/>
    <w:rsid w:val="00C04880"/>
    <w:rsid w:val="00C164BD"/>
    <w:rsid w:val="00C41239"/>
    <w:rsid w:val="00C459A2"/>
    <w:rsid w:val="00C47758"/>
    <w:rsid w:val="00C5463C"/>
    <w:rsid w:val="00C5564A"/>
    <w:rsid w:val="00C60725"/>
    <w:rsid w:val="00C75A8E"/>
    <w:rsid w:val="00C929E5"/>
    <w:rsid w:val="00C936FF"/>
    <w:rsid w:val="00C95EBB"/>
    <w:rsid w:val="00C95EBD"/>
    <w:rsid w:val="00CC15F9"/>
    <w:rsid w:val="00CC78AD"/>
    <w:rsid w:val="00CD5248"/>
    <w:rsid w:val="00CE005D"/>
    <w:rsid w:val="00CF538C"/>
    <w:rsid w:val="00D042DC"/>
    <w:rsid w:val="00D11AB3"/>
    <w:rsid w:val="00D12BAE"/>
    <w:rsid w:val="00D137CE"/>
    <w:rsid w:val="00D16A4B"/>
    <w:rsid w:val="00D20343"/>
    <w:rsid w:val="00D316BD"/>
    <w:rsid w:val="00D348C1"/>
    <w:rsid w:val="00D4202A"/>
    <w:rsid w:val="00D5448E"/>
    <w:rsid w:val="00D60F4B"/>
    <w:rsid w:val="00D62741"/>
    <w:rsid w:val="00D7134A"/>
    <w:rsid w:val="00D73B5E"/>
    <w:rsid w:val="00D76992"/>
    <w:rsid w:val="00D77A53"/>
    <w:rsid w:val="00D92E1D"/>
    <w:rsid w:val="00D939A7"/>
    <w:rsid w:val="00DA3DA8"/>
    <w:rsid w:val="00DA432D"/>
    <w:rsid w:val="00DB6BB8"/>
    <w:rsid w:val="00DB7C5F"/>
    <w:rsid w:val="00DC24A7"/>
    <w:rsid w:val="00DC3586"/>
    <w:rsid w:val="00DD25F1"/>
    <w:rsid w:val="00DE3F42"/>
    <w:rsid w:val="00DF2C0E"/>
    <w:rsid w:val="00DF4968"/>
    <w:rsid w:val="00DF6A07"/>
    <w:rsid w:val="00E02677"/>
    <w:rsid w:val="00E045CB"/>
    <w:rsid w:val="00E127D7"/>
    <w:rsid w:val="00E13DA8"/>
    <w:rsid w:val="00E25C67"/>
    <w:rsid w:val="00E268E4"/>
    <w:rsid w:val="00E31F4E"/>
    <w:rsid w:val="00E34D89"/>
    <w:rsid w:val="00E35D4D"/>
    <w:rsid w:val="00E46704"/>
    <w:rsid w:val="00E5089B"/>
    <w:rsid w:val="00E70974"/>
    <w:rsid w:val="00E749AC"/>
    <w:rsid w:val="00E75014"/>
    <w:rsid w:val="00E84D4D"/>
    <w:rsid w:val="00E879F0"/>
    <w:rsid w:val="00E87C4B"/>
    <w:rsid w:val="00EA2A60"/>
    <w:rsid w:val="00EA56D8"/>
    <w:rsid w:val="00EA6653"/>
    <w:rsid w:val="00EB274F"/>
    <w:rsid w:val="00EB2CD8"/>
    <w:rsid w:val="00EC03FA"/>
    <w:rsid w:val="00ED46ED"/>
    <w:rsid w:val="00EE3A75"/>
    <w:rsid w:val="00EF0BFC"/>
    <w:rsid w:val="00F0033E"/>
    <w:rsid w:val="00F07A3D"/>
    <w:rsid w:val="00F14127"/>
    <w:rsid w:val="00F17276"/>
    <w:rsid w:val="00F21882"/>
    <w:rsid w:val="00F27764"/>
    <w:rsid w:val="00F3691D"/>
    <w:rsid w:val="00F4352D"/>
    <w:rsid w:val="00F453BF"/>
    <w:rsid w:val="00F4678D"/>
    <w:rsid w:val="00F56D59"/>
    <w:rsid w:val="00F61FAA"/>
    <w:rsid w:val="00F65E33"/>
    <w:rsid w:val="00F80A61"/>
    <w:rsid w:val="00F83F0D"/>
    <w:rsid w:val="00FA55FA"/>
    <w:rsid w:val="00FA628C"/>
    <w:rsid w:val="00FA73C4"/>
    <w:rsid w:val="00FB16E7"/>
    <w:rsid w:val="00FC1212"/>
    <w:rsid w:val="00FC7436"/>
    <w:rsid w:val="00FD097F"/>
    <w:rsid w:val="00FE0B81"/>
    <w:rsid w:val="00FE43D7"/>
    <w:rsid w:val="00FF2341"/>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45D7CB"/>
  <w15:docId w15:val="{B37B7160-E7CE-49D1-8EC2-AE54EEB2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4FBA"/>
  </w:style>
  <w:style w:type="paragraph" w:styleId="Heading1">
    <w:name w:val="heading 1"/>
    <w:basedOn w:val="Normal"/>
    <w:next w:val="FERCparanumber"/>
    <w:link w:val="Heading1Char"/>
    <w:qFormat/>
    <w:rsid w:val="000B0F9E"/>
    <w:pPr>
      <w:keepNext/>
      <w:keepLines/>
      <w:numPr>
        <w:numId w:val="1"/>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0B0F9E"/>
    <w:pPr>
      <w:keepNext/>
      <w:keepLines/>
      <w:numPr>
        <w:ilvl w:val="1"/>
        <w:numId w:val="1"/>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0B0F9E"/>
    <w:pPr>
      <w:keepNext/>
      <w:keepLines/>
      <w:numPr>
        <w:ilvl w:val="2"/>
        <w:numId w:val="1"/>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0B0F9E"/>
    <w:pPr>
      <w:keepNext/>
      <w:keepLines/>
      <w:numPr>
        <w:ilvl w:val="3"/>
        <w:numId w:val="1"/>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0B0F9E"/>
    <w:pPr>
      <w:keepNext/>
      <w:keepLines/>
      <w:numPr>
        <w:ilvl w:val="4"/>
        <w:numId w:val="1"/>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0B0F9E"/>
    <w:pPr>
      <w:keepNext/>
      <w:keepLines/>
      <w:numPr>
        <w:ilvl w:val="5"/>
        <w:numId w:val="1"/>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0B0F9E"/>
    <w:pPr>
      <w:keepNext/>
      <w:keepLines/>
      <w:numPr>
        <w:ilvl w:val="6"/>
        <w:numId w:val="1"/>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0B0F9E"/>
    <w:pPr>
      <w:keepNext/>
      <w:keepLines/>
      <w:numPr>
        <w:ilvl w:val="7"/>
        <w:numId w:val="1"/>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0B0F9E"/>
    <w:pPr>
      <w:keepNext/>
      <w:keepLines/>
      <w:numPr>
        <w:ilvl w:val="8"/>
        <w:numId w:val="1"/>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F9E"/>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0B0F9E"/>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0B0F9E"/>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0B0F9E"/>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0B0F9E"/>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0B0F9E"/>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0B0F9E"/>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0B0F9E"/>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0B0F9E"/>
    <w:rPr>
      <w:rFonts w:ascii="Times New Roman" w:eastAsia="Times New Roman" w:hAnsi="Times New Roman" w:cs="Times New Roman"/>
      <w:b/>
      <w:kern w:val="32"/>
      <w:sz w:val="26"/>
      <w:u w:val="single"/>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qFormat/>
    <w:rsid w:val="000B0F9E"/>
    <w:pPr>
      <w:widowControl w:val="0"/>
      <w:autoSpaceDE w:val="0"/>
      <w:autoSpaceDN w:val="0"/>
      <w:adjustRightInd w:val="0"/>
      <w:spacing w:after="24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0B0F9E"/>
    <w:rPr>
      <w:rFonts w:ascii="Times New Roman" w:eastAsia="Times New Roman" w:hAnsi="Times New Roman" w:cs="Times New Roman"/>
      <w:sz w:val="26"/>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0B0F9E"/>
    <w:rPr>
      <w:rFonts w:ascii="Times New Roman" w:hAnsi="Times New Roman"/>
      <w:b/>
      <w:dstrike w:val="0"/>
      <w:sz w:val="26"/>
      <w:szCs w:val="26"/>
      <w:vertAlign w:val="superscript"/>
    </w:rPr>
  </w:style>
  <w:style w:type="paragraph" w:customStyle="1" w:styleId="FERCparanumber">
    <w:name w:val="FERC paranumber"/>
    <w:basedOn w:val="Normal"/>
    <w:link w:val="FERCparanumberChar1"/>
    <w:rsid w:val="000B0F9E"/>
    <w:pPr>
      <w:numPr>
        <w:numId w:val="4"/>
      </w:numPr>
      <w:tabs>
        <w:tab w:val="clear" w:pos="1080"/>
        <w:tab w:val="num" w:pos="720"/>
      </w:tabs>
      <w:autoSpaceDE w:val="0"/>
      <w:autoSpaceDN w:val="0"/>
      <w:adjustRightInd w:val="0"/>
      <w:spacing w:after="0" w:line="480" w:lineRule="auto"/>
      <w:ind w:left="0"/>
    </w:pPr>
    <w:rPr>
      <w:rFonts w:ascii="Times New Roman" w:eastAsia="Times New Roman" w:hAnsi="Times New Roman" w:cs="Times New Roman"/>
      <w:sz w:val="26"/>
      <w:szCs w:val="24"/>
    </w:rPr>
  </w:style>
  <w:style w:type="character" w:customStyle="1" w:styleId="FERCparanumberChar1">
    <w:name w:val="FERC paranumber Char1"/>
    <w:link w:val="FERCparanumber"/>
    <w:rsid w:val="000B0F9E"/>
    <w:rPr>
      <w:rFonts w:ascii="Times New Roman" w:eastAsia="Times New Roman" w:hAnsi="Times New Roman" w:cs="Times New Roman"/>
      <w:sz w:val="26"/>
      <w:szCs w:val="24"/>
    </w:rPr>
  </w:style>
  <w:style w:type="paragraph" w:customStyle="1" w:styleId="LegalFormat">
    <w:name w:val="Legal Format"/>
    <w:basedOn w:val="ListContinue"/>
    <w:rsid w:val="000B0F9E"/>
    <w:pPr>
      <w:tabs>
        <w:tab w:val="num" w:pos="360"/>
      </w:tabs>
      <w:spacing w:after="240" w:line="240" w:lineRule="auto"/>
      <w:ind w:hanging="360"/>
      <w:contextualSpacing w:val="0"/>
    </w:pPr>
    <w:rPr>
      <w:rFonts w:ascii="Times New Roman" w:eastAsia="Times New Roman" w:hAnsi="Times New Roman" w:cs="Times New Roman"/>
      <w:sz w:val="26"/>
      <w:szCs w:val="26"/>
    </w:rPr>
  </w:style>
  <w:style w:type="character" w:styleId="CommentReference">
    <w:name w:val="annotation reference"/>
    <w:semiHidden/>
    <w:rsid w:val="000B0F9E"/>
    <w:rPr>
      <w:sz w:val="16"/>
      <w:szCs w:val="16"/>
    </w:rPr>
  </w:style>
  <w:style w:type="paragraph" w:styleId="ListContinue">
    <w:name w:val="List Continue"/>
    <w:basedOn w:val="Normal"/>
    <w:uiPriority w:val="99"/>
    <w:semiHidden/>
    <w:unhideWhenUsed/>
    <w:rsid w:val="000B0F9E"/>
    <w:pPr>
      <w:spacing w:after="120"/>
      <w:ind w:left="360"/>
      <w:contextualSpacing/>
    </w:pPr>
  </w:style>
  <w:style w:type="character" w:customStyle="1" w:styleId="FootnoteTextChar2CharChar">
    <w:name w:val="Footnote Text Char2 Char Char"/>
    <w:aliases w:val="Footnote Text Char1 Char Char Char1,Footnote Text Char Char Char Char1 Char,Footnote Text Char2 Char Char Char Char Char,Footnote Text Char Char1 Char Char Char Char Char,Footnote Text Char Char1 Char Char"/>
    <w:rsid w:val="003A3963"/>
    <w:rPr>
      <w:sz w:val="26"/>
      <w:lang w:val="en-US" w:eastAsia="en-US" w:bidi="ar-SA"/>
    </w:rPr>
  </w:style>
  <w:style w:type="paragraph" w:styleId="BalloonText">
    <w:name w:val="Balloon Text"/>
    <w:basedOn w:val="Normal"/>
    <w:link w:val="BalloonTextChar"/>
    <w:uiPriority w:val="99"/>
    <w:semiHidden/>
    <w:unhideWhenUsed/>
    <w:rsid w:val="001B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76"/>
    <w:rPr>
      <w:rFonts w:ascii="Tahoma" w:hAnsi="Tahoma" w:cs="Tahoma"/>
      <w:sz w:val="16"/>
      <w:szCs w:val="16"/>
    </w:rPr>
  </w:style>
  <w:style w:type="paragraph" w:styleId="Header">
    <w:name w:val="header"/>
    <w:basedOn w:val="Normal"/>
    <w:link w:val="HeaderChar"/>
    <w:uiPriority w:val="99"/>
    <w:unhideWhenUsed/>
    <w:rsid w:val="00A7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A1C"/>
  </w:style>
  <w:style w:type="paragraph" w:styleId="Footer">
    <w:name w:val="footer"/>
    <w:basedOn w:val="Normal"/>
    <w:link w:val="FooterChar"/>
    <w:uiPriority w:val="99"/>
    <w:unhideWhenUsed/>
    <w:rsid w:val="00A7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A1C"/>
  </w:style>
  <w:style w:type="character" w:styleId="Hyperlink">
    <w:name w:val="Hyperlink"/>
    <w:basedOn w:val="DefaultParagraphFont"/>
    <w:uiPriority w:val="99"/>
    <w:unhideWhenUsed/>
    <w:rsid w:val="00271540"/>
    <w:rPr>
      <w:color w:val="0563C1"/>
      <w:u w:val="single"/>
    </w:rPr>
  </w:style>
  <w:style w:type="paragraph" w:styleId="ListParagraph">
    <w:name w:val="List Paragraph"/>
    <w:basedOn w:val="Normal"/>
    <w:uiPriority w:val="34"/>
    <w:qFormat/>
    <w:rsid w:val="00271540"/>
    <w:pPr>
      <w:ind w:left="720"/>
      <w:contextualSpacing/>
    </w:pPr>
    <w:rPr>
      <w:rFonts w:ascii="Calibri" w:hAnsi="Calibri" w:cs="Times New Roman"/>
    </w:rPr>
  </w:style>
  <w:style w:type="paragraph" w:styleId="CommentText">
    <w:name w:val="annotation text"/>
    <w:basedOn w:val="Normal"/>
    <w:link w:val="CommentTextChar"/>
    <w:uiPriority w:val="99"/>
    <w:semiHidden/>
    <w:unhideWhenUsed/>
    <w:rsid w:val="00C5463C"/>
    <w:pPr>
      <w:spacing w:line="240" w:lineRule="auto"/>
    </w:pPr>
    <w:rPr>
      <w:sz w:val="20"/>
      <w:szCs w:val="20"/>
    </w:rPr>
  </w:style>
  <w:style w:type="character" w:customStyle="1" w:styleId="CommentTextChar">
    <w:name w:val="Comment Text Char"/>
    <w:basedOn w:val="DefaultParagraphFont"/>
    <w:link w:val="CommentText"/>
    <w:uiPriority w:val="99"/>
    <w:semiHidden/>
    <w:rsid w:val="00C5463C"/>
    <w:rPr>
      <w:sz w:val="20"/>
      <w:szCs w:val="20"/>
    </w:rPr>
  </w:style>
  <w:style w:type="paragraph" w:styleId="CommentSubject">
    <w:name w:val="annotation subject"/>
    <w:basedOn w:val="CommentText"/>
    <w:next w:val="CommentText"/>
    <w:link w:val="CommentSubjectChar"/>
    <w:uiPriority w:val="99"/>
    <w:semiHidden/>
    <w:unhideWhenUsed/>
    <w:rsid w:val="00C5463C"/>
    <w:rPr>
      <w:b/>
      <w:bCs/>
    </w:rPr>
  </w:style>
  <w:style w:type="character" w:customStyle="1" w:styleId="CommentSubjectChar">
    <w:name w:val="Comment Subject Char"/>
    <w:basedOn w:val="CommentTextChar"/>
    <w:link w:val="CommentSubject"/>
    <w:uiPriority w:val="99"/>
    <w:semiHidden/>
    <w:rsid w:val="00C5463C"/>
    <w:rPr>
      <w:b/>
      <w:bCs/>
      <w:sz w:val="20"/>
      <w:szCs w:val="20"/>
    </w:rPr>
  </w:style>
  <w:style w:type="character" w:styleId="FollowedHyperlink">
    <w:name w:val="FollowedHyperlink"/>
    <w:basedOn w:val="DefaultParagraphFont"/>
    <w:uiPriority w:val="99"/>
    <w:semiHidden/>
    <w:unhideWhenUsed/>
    <w:rsid w:val="00AF415E"/>
    <w:rPr>
      <w:color w:val="800080" w:themeColor="followedHyperlink"/>
      <w:u w:val="single"/>
    </w:rPr>
  </w:style>
  <w:style w:type="character" w:styleId="UnresolvedMention">
    <w:name w:val="Unresolved Mention"/>
    <w:basedOn w:val="DefaultParagraphFont"/>
    <w:uiPriority w:val="99"/>
    <w:semiHidden/>
    <w:unhideWhenUsed/>
    <w:rsid w:val="00B34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3464">
      <w:bodyDiv w:val="1"/>
      <w:marLeft w:val="0"/>
      <w:marRight w:val="0"/>
      <w:marTop w:val="0"/>
      <w:marBottom w:val="0"/>
      <w:divBdr>
        <w:top w:val="none" w:sz="0" w:space="0" w:color="auto"/>
        <w:left w:val="none" w:sz="0" w:space="0" w:color="auto"/>
        <w:bottom w:val="none" w:sz="0" w:space="0" w:color="auto"/>
        <w:right w:val="none" w:sz="0" w:space="0" w:color="auto"/>
      </w:divBdr>
    </w:div>
    <w:div w:id="390077598">
      <w:bodyDiv w:val="1"/>
      <w:marLeft w:val="0"/>
      <w:marRight w:val="0"/>
      <w:marTop w:val="0"/>
      <w:marBottom w:val="0"/>
      <w:divBdr>
        <w:top w:val="none" w:sz="0" w:space="0" w:color="auto"/>
        <w:left w:val="none" w:sz="0" w:space="0" w:color="auto"/>
        <w:bottom w:val="none" w:sz="0" w:space="0" w:color="auto"/>
        <w:right w:val="none" w:sz="0" w:space="0" w:color="auto"/>
      </w:divBdr>
    </w:div>
    <w:div w:id="611396457">
      <w:bodyDiv w:val="1"/>
      <w:marLeft w:val="0"/>
      <w:marRight w:val="0"/>
      <w:marTop w:val="0"/>
      <w:marBottom w:val="0"/>
      <w:divBdr>
        <w:top w:val="none" w:sz="0" w:space="0" w:color="auto"/>
        <w:left w:val="none" w:sz="0" w:space="0" w:color="auto"/>
        <w:bottom w:val="none" w:sz="0" w:space="0" w:color="auto"/>
        <w:right w:val="none" w:sz="0" w:space="0" w:color="auto"/>
      </w:divBdr>
    </w:div>
    <w:div w:id="1048576895">
      <w:bodyDiv w:val="1"/>
      <w:marLeft w:val="0"/>
      <w:marRight w:val="0"/>
      <w:marTop w:val="0"/>
      <w:marBottom w:val="0"/>
      <w:divBdr>
        <w:top w:val="none" w:sz="0" w:space="0" w:color="auto"/>
        <w:left w:val="none" w:sz="0" w:space="0" w:color="auto"/>
        <w:bottom w:val="none" w:sz="0" w:space="0" w:color="auto"/>
        <w:right w:val="none" w:sz="0" w:space="0" w:color="auto"/>
      </w:divBdr>
    </w:div>
    <w:div w:id="1196506319">
      <w:bodyDiv w:val="1"/>
      <w:marLeft w:val="0"/>
      <w:marRight w:val="0"/>
      <w:marTop w:val="0"/>
      <w:marBottom w:val="0"/>
      <w:divBdr>
        <w:top w:val="none" w:sz="0" w:space="0" w:color="auto"/>
        <w:left w:val="none" w:sz="0" w:space="0" w:color="auto"/>
        <w:bottom w:val="none" w:sz="0" w:space="0" w:color="auto"/>
        <w:right w:val="none" w:sz="0" w:space="0" w:color="auto"/>
      </w:divBdr>
    </w:div>
    <w:div w:id="124630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erconlinesupport@ferc.gov" TargetMode="External"/><Relationship Id="rId22" Type="http://schemas.openxmlformats.org/officeDocument/2006/relationships/footer" Target="foot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23A1-52A6-4F4F-8E29-DD9442F29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9D4DE-5385-4326-8B95-BABBEEB9918E}">
  <ds:schemaRefs>
    <ds:schemaRef ds:uri="Microsoft.SharePoint.Taxonomy.ContentTypeSync"/>
  </ds:schemaRefs>
</ds:datastoreItem>
</file>

<file path=customXml/itemProps3.xml><?xml version="1.0" encoding="utf-8"?>
<ds:datastoreItem xmlns:ds="http://schemas.openxmlformats.org/officeDocument/2006/customXml" ds:itemID="{E1A1BA13-CAC6-4887-9BC2-57F656D26EA5}">
  <ds:schemaRefs>
    <ds:schemaRef ds:uri="http://schemas.microsoft.com/sharepoint/v3/contenttype/forms"/>
  </ds:schemaRefs>
</ds:datastoreItem>
</file>

<file path=customXml/itemProps4.xml><?xml version="1.0" encoding="utf-8"?>
<ds:datastoreItem xmlns:ds="http://schemas.openxmlformats.org/officeDocument/2006/customXml" ds:itemID="{6CC8D749-890C-4A7C-B959-F16DC296D607}">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5A89D6A-54D8-4CCA-A307-D8011D5B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1045</Words>
  <Characters>5961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2017-04-04T15:02:00Z</cp:lastPrinted>
  <dcterms:created xsi:type="dcterms:W3CDTF">2020-11-06T22:37:00Z</dcterms:created>
  <dcterms:modified xsi:type="dcterms:W3CDTF">2020-11-06T22:37:00Z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Kayla.Williams@ferc.gov</vt:lpwstr>
  </property>
  <property fmtid="{D5CDD505-2E9C-101B-9397-08002B2CF9AE}" pid="5" name="MSIP_Label_6155a89b-0f08-4a93-8ea2-8a916d6643b5_SetDate">
    <vt:lpwstr>2020-11-06T22:37:09.5096259Z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167babe0-3918-4243-a671-301c51e4cc7c</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