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1DE9" w:rsidR="003B4ABE" w:rsidP="007636EE" w:rsidRDefault="002C4C28" w14:paraId="07779314" w14:textId="2061E41D">
      <w:pPr>
        <w:pStyle w:val="CM1"/>
        <w:jc w:val="center"/>
        <w:outlineLvl w:val="0"/>
        <w:rPr>
          <w:sz w:val="22"/>
          <w:szCs w:val="22"/>
        </w:rPr>
      </w:pPr>
      <w:r>
        <w:rPr>
          <w:rFonts w:cs="Arial"/>
          <w:color w:val="000000"/>
          <w:sz w:val="22"/>
          <w:szCs w:val="22"/>
        </w:rPr>
        <w:t>FINAL</w:t>
      </w:r>
      <w:r w:rsidRPr="00061DE9" w:rsidR="00C30E74">
        <w:rPr>
          <w:rFonts w:cs="Arial"/>
          <w:color w:val="000000"/>
          <w:sz w:val="22"/>
          <w:szCs w:val="22"/>
        </w:rPr>
        <w:t xml:space="preserve"> </w:t>
      </w:r>
      <w:r w:rsidRPr="00061DE9" w:rsidR="003B4ABE">
        <w:rPr>
          <w:rFonts w:cs="Arial"/>
          <w:color w:val="000000"/>
          <w:sz w:val="22"/>
          <w:szCs w:val="22"/>
        </w:rPr>
        <w:t>OMB SUPPORTING STATEMENT</w:t>
      </w:r>
      <w:r w:rsidR="00E81B8A">
        <w:rPr>
          <w:rFonts w:cs="Arial"/>
          <w:color w:val="000000"/>
          <w:sz w:val="22"/>
          <w:szCs w:val="22"/>
        </w:rPr>
        <w:br/>
      </w:r>
      <w:r w:rsidRPr="00061DE9" w:rsidR="003B4ABE">
        <w:rPr>
          <w:rFonts w:cs="Arial"/>
          <w:color w:val="000000"/>
          <w:sz w:val="22"/>
          <w:szCs w:val="22"/>
        </w:rPr>
        <w:t>FOR</w:t>
      </w:r>
      <w:r w:rsidR="003B43B8">
        <w:rPr>
          <w:rFonts w:cs="Arial"/>
          <w:color w:val="000000"/>
          <w:sz w:val="22"/>
          <w:szCs w:val="22"/>
        </w:rPr>
        <w:br/>
      </w:r>
      <w:bookmarkStart w:name="_GoBack" w:id="0"/>
      <w:bookmarkEnd w:id="0"/>
      <w:r w:rsidRPr="00061DE9" w:rsidR="003B4ABE">
        <w:rPr>
          <w:rFonts w:cs="Arial"/>
          <w:color w:val="000000"/>
          <w:sz w:val="22"/>
          <w:szCs w:val="22"/>
        </w:rPr>
        <w:t>NRC FORM 5</w:t>
      </w:r>
      <w:r w:rsidR="003B43B8">
        <w:rPr>
          <w:rFonts w:cs="Arial"/>
          <w:color w:val="000000"/>
          <w:sz w:val="22"/>
          <w:szCs w:val="22"/>
        </w:rPr>
        <w:br/>
      </w:r>
      <w:r w:rsidRPr="00061DE9" w:rsidR="003B4ABE">
        <w:rPr>
          <w:sz w:val="22"/>
          <w:szCs w:val="22"/>
        </w:rPr>
        <w:t>OCCUPATIONAL DOSE RECORD FOR A MONITORING PERIOD</w:t>
      </w:r>
      <w:r w:rsidR="003B43B8">
        <w:rPr>
          <w:sz w:val="22"/>
          <w:szCs w:val="22"/>
        </w:rPr>
        <w:br/>
      </w:r>
      <w:r w:rsidR="007636EE">
        <w:rPr>
          <w:sz w:val="22"/>
          <w:szCs w:val="22"/>
        </w:rPr>
        <w:br/>
      </w:r>
      <w:r w:rsidRPr="00061DE9" w:rsidR="003B4ABE">
        <w:rPr>
          <w:sz w:val="22"/>
          <w:szCs w:val="22"/>
        </w:rPr>
        <w:t>(3150-0006)</w:t>
      </w:r>
    </w:p>
    <w:p w:rsidR="003B4ABE" w:rsidP="007636EE" w:rsidRDefault="003B4ABE" w14:paraId="11522698" w14:textId="5F6F3243">
      <w:pPr>
        <w:pStyle w:val="Default"/>
        <w:spacing w:after="258"/>
        <w:jc w:val="center"/>
        <w:rPr>
          <w:sz w:val="22"/>
          <w:szCs w:val="22"/>
        </w:rPr>
      </w:pPr>
      <w:r w:rsidRPr="00061DE9">
        <w:rPr>
          <w:sz w:val="22"/>
          <w:szCs w:val="22"/>
        </w:rPr>
        <w:t>EXTENSION</w:t>
      </w:r>
    </w:p>
    <w:p w:rsidRPr="00583215" w:rsidR="003B4ABE" w:rsidP="003B4ABE" w:rsidRDefault="003B4ABE" w14:paraId="179F5985" w14:textId="77777777">
      <w:pPr>
        <w:pStyle w:val="CM9"/>
        <w:spacing w:after="257" w:line="256" w:lineRule="atLeast"/>
        <w:outlineLvl w:val="0"/>
        <w:rPr>
          <w:rFonts w:cs="Arial"/>
          <w:color w:val="000000"/>
          <w:sz w:val="22"/>
          <w:szCs w:val="22"/>
          <w:u w:val="single"/>
        </w:rPr>
      </w:pPr>
      <w:r w:rsidRPr="00583215">
        <w:rPr>
          <w:rFonts w:cs="Arial"/>
          <w:color w:val="000000"/>
          <w:sz w:val="22"/>
          <w:szCs w:val="22"/>
          <w:u w:val="single"/>
        </w:rPr>
        <w:t>Description of the Information Collection</w:t>
      </w:r>
    </w:p>
    <w:p w:rsidRPr="00583215" w:rsidR="003B4ABE" w:rsidP="00542496" w:rsidRDefault="003B4ABE" w14:paraId="661DE715" w14:textId="1C3D70F1">
      <w:pPr>
        <w:pStyle w:val="Default"/>
        <w:spacing w:after="240"/>
        <w:rPr>
          <w:sz w:val="22"/>
          <w:szCs w:val="22"/>
        </w:rPr>
      </w:pPr>
      <w:r w:rsidRPr="00583215">
        <w:rPr>
          <w:sz w:val="22"/>
          <w:szCs w:val="22"/>
        </w:rPr>
        <w:t xml:space="preserve">The NRC Form 5, “Occupational Dose Record for Monitoring Period,” is used by NRC to compile and analyze occupational radiation dose information to assess the effectiveness of licensees’ radiation protection programs and uses this information for planning inspections at licensee’s facilities.  NRC also uses this information to ensure that licensees are complying with the appropriate regulations to protect worker and public health and safety.  Section 20.2206(c) requires licensees to submit their occupational radiation dose data, covering the preceding year, to NRC, on or before April 30 of each year.  NRC Form 5 specifies the use of the individual's name, social security number or other unique identification, date of birth, and sex. </w:t>
      </w:r>
      <w:r w:rsidR="00203B75">
        <w:rPr>
          <w:sz w:val="22"/>
          <w:szCs w:val="22"/>
        </w:rPr>
        <w:t xml:space="preserve"> </w:t>
      </w:r>
      <w:r w:rsidRPr="00583215">
        <w:rPr>
          <w:sz w:val="22"/>
          <w:szCs w:val="22"/>
        </w:rPr>
        <w:t xml:space="preserve">This information is necessary to ensure the proper identification of the individual. </w:t>
      </w:r>
      <w:r w:rsidR="007058D8">
        <w:rPr>
          <w:sz w:val="22"/>
          <w:szCs w:val="22"/>
        </w:rPr>
        <w:t xml:space="preserve"> </w:t>
      </w:r>
      <w:r w:rsidRPr="00583215">
        <w:rPr>
          <w:sz w:val="22"/>
          <w:szCs w:val="22"/>
        </w:rPr>
        <w:t xml:space="preserve">NRC uses REIRView, a dose record data validation software, that assists in verification of file format of annual dose records submitted to the </w:t>
      </w:r>
      <w:r w:rsidRPr="00A10A12" w:rsidR="00A10A12">
        <w:rPr>
          <w:sz w:val="22"/>
          <w:szCs w:val="22"/>
        </w:rPr>
        <w:t>Radiation Exposure Information and Reporting System (REIRS)</w:t>
      </w:r>
      <w:r w:rsidR="00A10A12">
        <w:rPr>
          <w:sz w:val="22"/>
          <w:szCs w:val="22"/>
        </w:rPr>
        <w:t>.</w:t>
      </w:r>
    </w:p>
    <w:p w:rsidRPr="00583215" w:rsidR="003B4ABE" w:rsidP="00542496" w:rsidRDefault="003B4ABE" w14:paraId="6EE9B46B" w14:textId="77777777">
      <w:pPr>
        <w:pStyle w:val="CM2"/>
        <w:numPr>
          <w:ilvl w:val="0"/>
          <w:numId w:val="11"/>
        </w:numPr>
        <w:spacing w:after="240" w:line="240" w:lineRule="auto"/>
        <w:ind w:hanging="720"/>
        <w:rPr>
          <w:rFonts w:cs="Arial"/>
          <w:color w:val="000000"/>
          <w:sz w:val="22"/>
          <w:szCs w:val="22"/>
        </w:rPr>
      </w:pPr>
      <w:r w:rsidRPr="00583215">
        <w:rPr>
          <w:rFonts w:cs="Arial"/>
          <w:color w:val="000000"/>
          <w:sz w:val="22"/>
          <w:szCs w:val="22"/>
        </w:rPr>
        <w:t>JUSTIFICATION</w:t>
      </w:r>
    </w:p>
    <w:p w:rsidRPr="00583215" w:rsidR="003B4ABE" w:rsidP="00590A97" w:rsidRDefault="003B4ABE" w14:paraId="2FF81C34" w14:textId="1F172AAF">
      <w:pPr>
        <w:pStyle w:val="Default"/>
        <w:numPr>
          <w:ilvl w:val="0"/>
          <w:numId w:val="12"/>
        </w:numPr>
        <w:spacing w:after="258"/>
        <w:outlineLvl w:val="0"/>
        <w:rPr>
          <w:sz w:val="22"/>
          <w:szCs w:val="22"/>
        </w:rPr>
      </w:pPr>
      <w:r w:rsidRPr="00583215">
        <w:rPr>
          <w:sz w:val="22"/>
          <w:szCs w:val="22"/>
          <w:u w:val="single"/>
        </w:rPr>
        <w:t>Need for and Practical Utility of the Information Collection</w:t>
      </w:r>
    </w:p>
    <w:p w:rsidRPr="00583215" w:rsidR="003B4ABE" w:rsidP="00542496" w:rsidRDefault="003B4ABE" w14:paraId="5C5ECB8F" w14:textId="685E5C7C">
      <w:pPr>
        <w:pStyle w:val="CM9"/>
        <w:spacing w:after="240"/>
        <w:ind w:left="1440"/>
        <w:rPr>
          <w:rFonts w:cs="Arial"/>
          <w:color w:val="000000"/>
          <w:sz w:val="22"/>
          <w:szCs w:val="22"/>
        </w:rPr>
      </w:pPr>
      <w:r w:rsidRPr="00583215">
        <w:rPr>
          <w:rFonts w:cs="Arial"/>
          <w:color w:val="000000"/>
          <w:sz w:val="22"/>
          <w:szCs w:val="22"/>
        </w:rPr>
        <w:t xml:space="preserve">The purpose of Title 10 of the </w:t>
      </w:r>
      <w:r w:rsidRPr="00583215">
        <w:rPr>
          <w:rFonts w:cs="Arial"/>
          <w:i/>
          <w:color w:val="000000"/>
          <w:sz w:val="22"/>
          <w:szCs w:val="22"/>
        </w:rPr>
        <w:t>Code of Federal Regulations</w:t>
      </w:r>
      <w:r w:rsidRPr="00583215">
        <w:rPr>
          <w:rFonts w:cs="Arial"/>
          <w:color w:val="000000"/>
          <w:sz w:val="22"/>
          <w:szCs w:val="22"/>
        </w:rPr>
        <w:t xml:space="preserve"> Part 20 (10 CFR Part 20) is to establish “Standards for Protection Against Radiation.”  10 CFR Part 20 provides requirements to persons licensed by the U.S. Nuclear Regulatory Commission (NRC) to receive, possess, use, transfer, or dispose of byproduct, source, or special nuclear material or to operate a production or utilization facility under parts 30 through 36, 39, 40, 50, 52, 60, 61, 63, 70, or 72.  In addition, 10 CFR Part 20 applies to persons required to obtain a certificate of compliance or an approved compliance plan under 10 CFR Part 76</w:t>
      </w:r>
      <w:r w:rsidR="00CC05AF">
        <w:rPr>
          <w:rFonts w:cs="Arial"/>
          <w:color w:val="000000"/>
          <w:sz w:val="22"/>
          <w:szCs w:val="22"/>
        </w:rPr>
        <w:t>, “Certification of Gaseous Diffusion Plants.”</w:t>
      </w:r>
    </w:p>
    <w:p w:rsidR="00DA38AC" w:rsidP="00542496" w:rsidRDefault="003B4ABE" w14:paraId="3BB41088" w14:textId="3E679FEC">
      <w:pPr>
        <w:pStyle w:val="CM9"/>
        <w:spacing w:after="240"/>
        <w:ind w:left="1440"/>
        <w:rPr>
          <w:rFonts w:cs="Arial"/>
          <w:color w:val="000000"/>
          <w:sz w:val="22"/>
          <w:szCs w:val="22"/>
        </w:rPr>
      </w:pPr>
      <w:r w:rsidRPr="00583215">
        <w:rPr>
          <w:rFonts w:cs="Arial"/>
          <w:color w:val="000000"/>
          <w:sz w:val="22"/>
          <w:szCs w:val="22"/>
        </w:rPr>
        <w:t>Pursuant to 10 CFR 20.1502</w:t>
      </w:r>
      <w:r w:rsidR="00DA38AC">
        <w:rPr>
          <w:rFonts w:cs="Arial"/>
          <w:color w:val="000000"/>
          <w:sz w:val="22"/>
          <w:szCs w:val="22"/>
        </w:rPr>
        <w:t>,</w:t>
      </w:r>
      <w:r w:rsidRPr="00583215">
        <w:rPr>
          <w:rFonts w:cs="Arial"/>
          <w:color w:val="000000"/>
          <w:sz w:val="22"/>
          <w:szCs w:val="22"/>
        </w:rPr>
        <w:t xml:space="preserve"> licensees are required to monitor exposures to radiation and radioactive material at levels to demonstrate compliance with the occupational dose limits in 10 CFR 20.1201.  10 CFR 20.2104 </w:t>
      </w:r>
      <w:r w:rsidR="00A10A12">
        <w:rPr>
          <w:rFonts w:cs="Arial"/>
          <w:color w:val="000000"/>
          <w:sz w:val="22"/>
          <w:szCs w:val="22"/>
        </w:rPr>
        <w:t xml:space="preserve">requires </w:t>
      </w:r>
      <w:r w:rsidRPr="00583215">
        <w:rPr>
          <w:rFonts w:cs="Arial"/>
          <w:color w:val="000000"/>
          <w:sz w:val="22"/>
          <w:szCs w:val="22"/>
        </w:rPr>
        <w:t>licensees to determine the occupational radiation dose received by their employees for whom monitoring was required under 10 CFR 20.1502 during the current year to demonstrate compliance with the occupational dose limits specified in 10 CFR 20.1201.  Section 20.2206(a) specifies seven categories of licensees that are required to report occupational radiation dose information to NRC annually and section 20.2206(b) allows licensees to submit this information in paper format on NRC Form 5, “Occupational Dose Record for a Monitoring Period,” or in an equivalent paper or electronic format.</w:t>
      </w:r>
    </w:p>
    <w:p w:rsidRPr="00945791" w:rsidR="00DF2191" w:rsidP="00DF2191" w:rsidRDefault="00DF2191" w14:paraId="405B0EFE" w14:textId="4527CFA9">
      <w:pPr>
        <w:pStyle w:val="Default"/>
        <w:ind w:left="1440"/>
        <w:rPr>
          <w:sz w:val="22"/>
          <w:szCs w:val="22"/>
        </w:rPr>
      </w:pPr>
      <w:r w:rsidRPr="00945791">
        <w:rPr>
          <w:sz w:val="22"/>
          <w:szCs w:val="22"/>
        </w:rPr>
        <w:t>10 CFR 20.2</w:t>
      </w:r>
      <w:r w:rsidR="00C22267">
        <w:rPr>
          <w:sz w:val="22"/>
          <w:szCs w:val="22"/>
        </w:rPr>
        <w:t>106</w:t>
      </w:r>
      <w:r w:rsidRPr="00945791">
        <w:rPr>
          <w:sz w:val="22"/>
          <w:szCs w:val="22"/>
        </w:rPr>
        <w:t xml:space="preserve"> requires that each </w:t>
      </w:r>
      <w:r w:rsidRPr="00945791" w:rsidR="00297185">
        <w:rPr>
          <w:sz w:val="22"/>
          <w:szCs w:val="22"/>
        </w:rPr>
        <w:t xml:space="preserve">licensee shall maintain records of doses received by all individuals for whom monitoring was required pursuant to § </w:t>
      </w:r>
      <w:r w:rsidRPr="00945791" w:rsidR="00297185">
        <w:rPr>
          <w:sz w:val="22"/>
          <w:szCs w:val="22"/>
        </w:rPr>
        <w:lastRenderedPageBreak/>
        <w:t xml:space="preserve">20.1502, and records of doses received during planned special exposures, accidents, and emergency conditions. </w:t>
      </w:r>
      <w:r w:rsidR="008C1914">
        <w:rPr>
          <w:sz w:val="22"/>
          <w:szCs w:val="22"/>
        </w:rPr>
        <w:t xml:space="preserve"> </w:t>
      </w:r>
      <w:r w:rsidRPr="00945791" w:rsidR="00297185">
        <w:rPr>
          <w:sz w:val="22"/>
          <w:szCs w:val="22"/>
        </w:rPr>
        <w:t>These records</w:t>
      </w:r>
      <w:r w:rsidR="00384E61">
        <w:rPr>
          <w:sz w:val="22"/>
          <w:szCs w:val="22"/>
        </w:rPr>
        <w:t xml:space="preserve"> are maintained on NRC Form 5 or </w:t>
      </w:r>
      <w:r w:rsidR="00F80E5C">
        <w:rPr>
          <w:sz w:val="22"/>
          <w:szCs w:val="22"/>
        </w:rPr>
        <w:t>in clear and legible records with the same information.</w:t>
      </w:r>
      <w:r w:rsidR="006361B6">
        <w:rPr>
          <w:sz w:val="22"/>
          <w:szCs w:val="22"/>
        </w:rPr>
        <w:t xml:space="preserve">  These records</w:t>
      </w:r>
      <w:r w:rsidRPr="00945791">
        <w:rPr>
          <w:sz w:val="22"/>
          <w:szCs w:val="22"/>
        </w:rPr>
        <w:t xml:space="preserve"> </w:t>
      </w:r>
      <w:r w:rsidRPr="00945791" w:rsidR="00297185">
        <w:rPr>
          <w:sz w:val="22"/>
          <w:szCs w:val="22"/>
        </w:rPr>
        <w:t>include, when applicabl</w:t>
      </w:r>
      <w:r w:rsidRPr="00945791">
        <w:rPr>
          <w:sz w:val="22"/>
          <w:szCs w:val="22"/>
        </w:rPr>
        <w:t>e:</w:t>
      </w:r>
    </w:p>
    <w:p w:rsidRPr="00945791" w:rsidR="00297185" w:rsidP="00945791" w:rsidRDefault="00297185" w14:paraId="16AA7FAA" w14:textId="7092873C">
      <w:pPr>
        <w:pStyle w:val="ListBullet"/>
        <w:tabs>
          <w:tab w:val="clear" w:pos="360"/>
          <w:tab w:val="num" w:pos="1800"/>
        </w:tabs>
        <w:ind w:left="1800"/>
        <w:rPr>
          <w:sz w:val="22"/>
          <w:szCs w:val="22"/>
        </w:rPr>
      </w:pPr>
      <w:r w:rsidRPr="00945791">
        <w:rPr>
          <w:rFonts w:ascii="Arial" w:hAnsi="Arial" w:cs="Arial"/>
          <w:sz w:val="22"/>
          <w:szCs w:val="22"/>
        </w:rPr>
        <w:t>The deep-dose equivalent to the whole body, lens dose equivalent, shallow-dose equivalent to the skin, and shallow-dose equivalent to the extremities;</w:t>
      </w:r>
    </w:p>
    <w:p w:rsidRPr="00945791" w:rsidR="00297185" w:rsidP="00945791" w:rsidRDefault="00297185" w14:paraId="0E5CE9D1" w14:textId="23DDF2EB">
      <w:pPr>
        <w:pStyle w:val="Default"/>
        <w:numPr>
          <w:ilvl w:val="0"/>
          <w:numId w:val="15"/>
        </w:numPr>
        <w:ind w:left="1800"/>
        <w:rPr>
          <w:sz w:val="22"/>
          <w:szCs w:val="22"/>
        </w:rPr>
      </w:pPr>
      <w:r w:rsidRPr="00945791">
        <w:rPr>
          <w:sz w:val="22"/>
          <w:szCs w:val="22"/>
        </w:rPr>
        <w:t>The estimated intake of radionuclides (see § 20.1202);</w:t>
      </w:r>
    </w:p>
    <w:p w:rsidRPr="00945791" w:rsidR="00297185" w:rsidP="00945791" w:rsidRDefault="00297185" w14:paraId="3C289C8D" w14:textId="56323262">
      <w:pPr>
        <w:pStyle w:val="Default"/>
        <w:numPr>
          <w:ilvl w:val="0"/>
          <w:numId w:val="15"/>
        </w:numPr>
        <w:ind w:left="1800"/>
        <w:rPr>
          <w:sz w:val="22"/>
          <w:szCs w:val="22"/>
        </w:rPr>
      </w:pPr>
      <w:r w:rsidRPr="00945791">
        <w:rPr>
          <w:sz w:val="22"/>
          <w:szCs w:val="22"/>
        </w:rPr>
        <w:t>The committed effective dose equivalent assigned to the intake of radionuclides;</w:t>
      </w:r>
    </w:p>
    <w:p w:rsidRPr="00945791" w:rsidR="00297185" w:rsidP="00945791" w:rsidRDefault="00297185" w14:paraId="1C95640A" w14:textId="63619EB9">
      <w:pPr>
        <w:pStyle w:val="Default"/>
        <w:numPr>
          <w:ilvl w:val="0"/>
          <w:numId w:val="15"/>
        </w:numPr>
        <w:ind w:left="1800"/>
        <w:rPr>
          <w:sz w:val="22"/>
          <w:szCs w:val="22"/>
        </w:rPr>
      </w:pPr>
      <w:r w:rsidRPr="00945791">
        <w:rPr>
          <w:sz w:val="22"/>
          <w:szCs w:val="22"/>
        </w:rPr>
        <w:t>The specific information used to assess the committed effective dose equivalent pursuant to § 20.1204(a) and (c), and when required by § 20.1502;</w:t>
      </w:r>
    </w:p>
    <w:p w:rsidRPr="00945791" w:rsidR="00297185" w:rsidP="00945791" w:rsidRDefault="00DF2191" w14:paraId="6488FC38" w14:textId="54577E7B">
      <w:pPr>
        <w:pStyle w:val="Default"/>
        <w:numPr>
          <w:ilvl w:val="0"/>
          <w:numId w:val="15"/>
        </w:numPr>
        <w:ind w:left="1800"/>
        <w:rPr>
          <w:sz w:val="22"/>
          <w:szCs w:val="22"/>
        </w:rPr>
      </w:pPr>
      <w:r w:rsidRPr="00945791">
        <w:rPr>
          <w:sz w:val="22"/>
          <w:szCs w:val="22"/>
        </w:rPr>
        <w:t>T</w:t>
      </w:r>
      <w:r w:rsidRPr="00945791" w:rsidR="00297185">
        <w:rPr>
          <w:sz w:val="22"/>
          <w:szCs w:val="22"/>
        </w:rPr>
        <w:t>he total effective dose equivalent when required by § 20.1202; and</w:t>
      </w:r>
    </w:p>
    <w:p w:rsidRPr="00945791" w:rsidR="00297185" w:rsidP="00542496" w:rsidRDefault="00DF2191" w14:paraId="3195DC59" w14:textId="54C4147B">
      <w:pPr>
        <w:pStyle w:val="Default"/>
        <w:numPr>
          <w:ilvl w:val="0"/>
          <w:numId w:val="15"/>
        </w:numPr>
        <w:spacing w:after="240"/>
        <w:ind w:left="1800"/>
        <w:rPr>
          <w:sz w:val="22"/>
          <w:szCs w:val="22"/>
        </w:rPr>
      </w:pPr>
      <w:r w:rsidRPr="00945791">
        <w:rPr>
          <w:sz w:val="22"/>
          <w:szCs w:val="22"/>
        </w:rPr>
        <w:t>T</w:t>
      </w:r>
      <w:r w:rsidRPr="00945791" w:rsidR="00297185">
        <w:rPr>
          <w:sz w:val="22"/>
          <w:szCs w:val="22"/>
        </w:rPr>
        <w:t>he total of the deep-dose equivalent and the committed dose to the organ receiving the highest total dose.</w:t>
      </w:r>
    </w:p>
    <w:p w:rsidR="00297185" w:rsidP="00542496" w:rsidRDefault="005B7441" w14:paraId="0735AB79" w14:textId="387079BC">
      <w:pPr>
        <w:pStyle w:val="Default"/>
        <w:spacing w:after="240"/>
        <w:ind w:left="1440"/>
        <w:rPr>
          <w:sz w:val="22"/>
          <w:szCs w:val="22"/>
        </w:rPr>
      </w:pPr>
      <w:r>
        <w:rPr>
          <w:sz w:val="22"/>
          <w:szCs w:val="22"/>
        </w:rPr>
        <w:t>The licensee must maintain the records on NRC Form 5</w:t>
      </w:r>
      <w:r w:rsidR="00B5170D">
        <w:rPr>
          <w:sz w:val="22"/>
          <w:szCs w:val="22"/>
        </w:rPr>
        <w:t xml:space="preserve"> until the Commission terminates the license.</w:t>
      </w:r>
    </w:p>
    <w:p w:rsidR="00254996" w:rsidP="00542496" w:rsidRDefault="00AC2803" w14:paraId="1FC870D5" w14:textId="17C66112">
      <w:pPr>
        <w:pStyle w:val="Default"/>
        <w:spacing w:after="240"/>
        <w:ind w:left="1440"/>
        <w:rPr>
          <w:sz w:val="22"/>
          <w:szCs w:val="22"/>
        </w:rPr>
      </w:pPr>
      <w:r>
        <w:rPr>
          <w:sz w:val="22"/>
          <w:szCs w:val="22"/>
        </w:rPr>
        <w:t xml:space="preserve">10 CFR 20.2206 requires that </w:t>
      </w:r>
      <w:r w:rsidR="00EE0936">
        <w:rPr>
          <w:sz w:val="22"/>
          <w:szCs w:val="22"/>
        </w:rPr>
        <w:t xml:space="preserve">seven categories of licensees submit an annual report </w:t>
      </w:r>
      <w:r w:rsidRPr="00B41402" w:rsidR="00B41402">
        <w:rPr>
          <w:sz w:val="22"/>
          <w:szCs w:val="22"/>
        </w:rPr>
        <w:t xml:space="preserve">of the results of individual monitoring carried out by the licensee for each individual for whom monitoring was required by § 20.1502 during that year. </w:t>
      </w:r>
      <w:r w:rsidR="00167E70">
        <w:rPr>
          <w:sz w:val="22"/>
          <w:szCs w:val="22"/>
        </w:rPr>
        <w:t xml:space="preserve"> </w:t>
      </w:r>
      <w:r w:rsidR="002D5027">
        <w:rPr>
          <w:sz w:val="22"/>
          <w:szCs w:val="22"/>
        </w:rPr>
        <w:t>These categories include</w:t>
      </w:r>
      <w:r w:rsidR="0009102E">
        <w:rPr>
          <w:sz w:val="22"/>
          <w:szCs w:val="22"/>
        </w:rPr>
        <w:t xml:space="preserve"> </w:t>
      </w:r>
      <w:r w:rsidR="002574E5">
        <w:rPr>
          <w:sz w:val="22"/>
          <w:szCs w:val="22"/>
        </w:rPr>
        <w:t>c</w:t>
      </w:r>
      <w:r w:rsidRPr="002574E5" w:rsidR="002574E5">
        <w:rPr>
          <w:sz w:val="22"/>
          <w:szCs w:val="22"/>
        </w:rPr>
        <w:t>ommercial nuclear power reactors and test reactor facilities; industrial radiographers; fuel processors (including</w:t>
      </w:r>
      <w:r w:rsidR="002574E5">
        <w:rPr>
          <w:sz w:val="22"/>
          <w:szCs w:val="22"/>
        </w:rPr>
        <w:t xml:space="preserve"> </w:t>
      </w:r>
      <w:r w:rsidRPr="002574E5" w:rsidR="002574E5">
        <w:rPr>
          <w:sz w:val="22"/>
          <w:szCs w:val="22"/>
        </w:rPr>
        <w:t>uranium enrichment facilities), fabricators, and reprocessors; manufacturing and distribution of byproduct material;</w:t>
      </w:r>
      <w:r w:rsidR="002574E5">
        <w:rPr>
          <w:sz w:val="22"/>
          <w:szCs w:val="22"/>
        </w:rPr>
        <w:t xml:space="preserve"> </w:t>
      </w:r>
      <w:r w:rsidRPr="002574E5" w:rsidR="002574E5">
        <w:rPr>
          <w:sz w:val="22"/>
          <w:szCs w:val="22"/>
        </w:rPr>
        <w:t>independent spent fuel storage installations; facilities for land disposal of low-level waste; and geologic repositories</w:t>
      </w:r>
      <w:r w:rsidR="002574E5">
        <w:rPr>
          <w:sz w:val="22"/>
          <w:szCs w:val="22"/>
        </w:rPr>
        <w:t xml:space="preserve"> </w:t>
      </w:r>
      <w:r w:rsidRPr="002574E5" w:rsidR="002574E5">
        <w:rPr>
          <w:sz w:val="22"/>
          <w:szCs w:val="22"/>
        </w:rPr>
        <w:t>for high-level waste.</w:t>
      </w:r>
    </w:p>
    <w:p w:rsidR="00AC2803" w:rsidP="00C145E1" w:rsidRDefault="00B41402" w14:paraId="5FE71E09" w14:textId="088A345A">
      <w:pPr>
        <w:pStyle w:val="Default"/>
        <w:spacing w:after="240"/>
        <w:ind w:left="1440"/>
        <w:rPr>
          <w:sz w:val="22"/>
          <w:szCs w:val="22"/>
        </w:rPr>
      </w:pPr>
      <w:r w:rsidRPr="00B41402">
        <w:rPr>
          <w:sz w:val="22"/>
          <w:szCs w:val="22"/>
        </w:rPr>
        <w:t xml:space="preserve">The licensee may </w:t>
      </w:r>
      <w:r w:rsidR="00C23191">
        <w:rPr>
          <w:sz w:val="22"/>
          <w:szCs w:val="22"/>
        </w:rPr>
        <w:t xml:space="preserve">submit </w:t>
      </w:r>
      <w:r w:rsidRPr="00B41402">
        <w:rPr>
          <w:sz w:val="22"/>
          <w:szCs w:val="22"/>
        </w:rPr>
        <w:t xml:space="preserve">additional data for individuals for whom monitoring was provided but not required. </w:t>
      </w:r>
      <w:r w:rsidR="00C145E1">
        <w:rPr>
          <w:sz w:val="22"/>
          <w:szCs w:val="22"/>
        </w:rPr>
        <w:t xml:space="preserve"> </w:t>
      </w:r>
      <w:r w:rsidRPr="00B41402">
        <w:rPr>
          <w:sz w:val="22"/>
          <w:szCs w:val="22"/>
        </w:rPr>
        <w:t xml:space="preserve">The licensee shall use Form NRC 5 or electronic media containing all the information required by Form NRC </w:t>
      </w:r>
      <w:r>
        <w:rPr>
          <w:sz w:val="22"/>
          <w:szCs w:val="22"/>
        </w:rPr>
        <w:t xml:space="preserve">5.  The report </w:t>
      </w:r>
      <w:r w:rsidRPr="00B41402">
        <w:rPr>
          <w:sz w:val="22"/>
          <w:szCs w:val="22"/>
        </w:rPr>
        <w:t>covering the preceding year</w:t>
      </w:r>
      <w:r>
        <w:rPr>
          <w:sz w:val="22"/>
          <w:szCs w:val="22"/>
        </w:rPr>
        <w:t xml:space="preserve"> is due</w:t>
      </w:r>
      <w:r w:rsidRPr="00B41402">
        <w:rPr>
          <w:sz w:val="22"/>
          <w:szCs w:val="22"/>
        </w:rPr>
        <w:t xml:space="preserve"> on or before April 30</w:t>
      </w:r>
      <w:r>
        <w:rPr>
          <w:sz w:val="22"/>
          <w:szCs w:val="22"/>
        </w:rPr>
        <w:t>.</w:t>
      </w:r>
    </w:p>
    <w:p w:rsidRPr="00583215" w:rsidR="003B4ABE" w:rsidP="00C145E1" w:rsidRDefault="003B4ABE" w14:paraId="05EAF43F" w14:textId="073BA2E7">
      <w:pPr>
        <w:pStyle w:val="Default"/>
        <w:spacing w:after="240"/>
        <w:ind w:left="1440" w:hanging="720"/>
        <w:outlineLvl w:val="0"/>
        <w:rPr>
          <w:sz w:val="22"/>
          <w:szCs w:val="22"/>
          <w:u w:val="single"/>
        </w:rPr>
      </w:pPr>
      <w:r w:rsidRPr="00583215">
        <w:rPr>
          <w:sz w:val="22"/>
          <w:szCs w:val="22"/>
        </w:rPr>
        <w:t>2.</w:t>
      </w:r>
      <w:r w:rsidRPr="00583215">
        <w:rPr>
          <w:sz w:val="22"/>
          <w:szCs w:val="22"/>
        </w:rPr>
        <w:tab/>
      </w:r>
      <w:r w:rsidRPr="00583215">
        <w:rPr>
          <w:sz w:val="22"/>
          <w:szCs w:val="22"/>
          <w:u w:val="single"/>
        </w:rPr>
        <w:t>Agency Use of Information</w:t>
      </w:r>
    </w:p>
    <w:p w:rsidRPr="00583215" w:rsidR="003B4ABE" w:rsidP="00C145E1" w:rsidRDefault="003B4ABE" w14:paraId="21A8C944" w14:textId="77777777">
      <w:pPr>
        <w:pStyle w:val="Default"/>
        <w:spacing w:after="240"/>
        <w:ind w:left="1440"/>
        <w:rPr>
          <w:sz w:val="22"/>
          <w:szCs w:val="22"/>
        </w:rPr>
      </w:pPr>
      <w:r w:rsidRPr="00583215">
        <w:rPr>
          <w:sz w:val="22"/>
          <w:szCs w:val="22"/>
        </w:rPr>
        <w:t>NRC compiles and analyzes occupational radiation dose information to assess the effectiveness of licensees’ radiation protection programs and uses this information for planning inspections at licensee’s facilities.  NRC also uses this information to ensure that licensees are complying with the appropriate regulations to protect worker and public health and safety.  In addition, NRC publishes NUREG-0713, “Occupational Radiation Exposure at Commercial Nuclear Power Reactors and Other Facilities,” annually, to provide the public and other agency stakeholders with information regarding routine occupational radiation exposures to radiation and radioactive material that occur in connection with certain NRC-licensed activities.</w:t>
      </w:r>
    </w:p>
    <w:p w:rsidR="003B4ABE" w:rsidP="00C145E1" w:rsidRDefault="003B4ABE" w14:paraId="633DE7E7" w14:textId="37184D26">
      <w:pPr>
        <w:pStyle w:val="Default"/>
        <w:spacing w:after="240"/>
        <w:ind w:left="1440"/>
        <w:rPr>
          <w:sz w:val="22"/>
          <w:szCs w:val="22"/>
        </w:rPr>
      </w:pPr>
      <w:r w:rsidRPr="003B4ABE">
        <w:rPr>
          <w:sz w:val="22"/>
          <w:szCs w:val="22"/>
        </w:rPr>
        <w:t>In addition, the information supplied on NRC Form 5 “Occupational Dose Record for a Monitoring Period” is used to generate the NRC Form 4, “Cumulative Occupational Dose History,” a summation of an individual’s occupational exposure</w:t>
      </w:r>
      <w:r w:rsidR="00CE6096">
        <w:rPr>
          <w:sz w:val="22"/>
          <w:szCs w:val="22"/>
        </w:rPr>
        <w:t xml:space="preserve"> (OMB clearance 3150-0005)</w:t>
      </w:r>
      <w:r w:rsidRPr="003B4ABE">
        <w:rPr>
          <w:sz w:val="22"/>
          <w:szCs w:val="22"/>
        </w:rPr>
        <w:t xml:space="preserve">.  10 CFR Part 20.2104(d) requires </w:t>
      </w:r>
      <w:r w:rsidRPr="003B4ABE">
        <w:rPr>
          <w:sz w:val="22"/>
          <w:szCs w:val="22"/>
        </w:rPr>
        <w:lastRenderedPageBreak/>
        <w:t>licensees to record an individual’s prior occupational dose on an NRC Form 4, or its equivalent, and this record must show each period in which the individual received occupational exposure to radiation or radioactive material and must be signed by the individual who received the exposure.</w:t>
      </w:r>
    </w:p>
    <w:p w:rsidRPr="000F0F94" w:rsidR="000F0F94" w:rsidP="00C145E1" w:rsidRDefault="000F0F94" w14:paraId="1C742A9F" w14:textId="6BD8257E">
      <w:pPr>
        <w:pStyle w:val="Default"/>
        <w:spacing w:after="240"/>
        <w:ind w:left="1440"/>
        <w:rPr>
          <w:sz w:val="22"/>
          <w:szCs w:val="22"/>
        </w:rPr>
      </w:pPr>
      <w:r>
        <w:rPr>
          <w:sz w:val="22"/>
          <w:szCs w:val="22"/>
        </w:rPr>
        <w:t>In addition, t</w:t>
      </w:r>
      <w:r w:rsidRPr="000F0F94">
        <w:rPr>
          <w:sz w:val="22"/>
          <w:szCs w:val="22"/>
        </w:rPr>
        <w:t>he NRC staff uses this data for</w:t>
      </w:r>
      <w:r>
        <w:rPr>
          <w:sz w:val="22"/>
          <w:szCs w:val="22"/>
        </w:rPr>
        <w:t xml:space="preserve"> </w:t>
      </w:r>
      <w:r w:rsidRPr="000F0F94">
        <w:rPr>
          <w:sz w:val="22"/>
          <w:szCs w:val="22"/>
        </w:rPr>
        <w:t>the following purposes:</w:t>
      </w:r>
    </w:p>
    <w:p w:rsidRPr="000F0F94" w:rsidR="000F0F94" w:rsidP="00C145E1" w:rsidRDefault="000F0F94" w14:paraId="3CD149E0" w14:textId="304C8DBC">
      <w:pPr>
        <w:pStyle w:val="Default"/>
        <w:spacing w:after="240"/>
        <w:ind w:left="2160"/>
        <w:rPr>
          <w:sz w:val="22"/>
          <w:szCs w:val="22"/>
        </w:rPr>
      </w:pPr>
      <w:r w:rsidRPr="000F0F94">
        <w:rPr>
          <w:sz w:val="22"/>
          <w:szCs w:val="22"/>
        </w:rPr>
        <w:t>1. The data permit the evaluation of trends, both favorable and unfavorable, from the</w:t>
      </w:r>
      <w:r w:rsidR="00BB69B9">
        <w:rPr>
          <w:sz w:val="22"/>
          <w:szCs w:val="22"/>
        </w:rPr>
        <w:t xml:space="preserve"> </w:t>
      </w:r>
      <w:r w:rsidRPr="000F0F94">
        <w:rPr>
          <w:sz w:val="22"/>
          <w:szCs w:val="22"/>
        </w:rPr>
        <w:t>viewpoint of the effectiveness of overall NRC/licensee radiation protection and as low as</w:t>
      </w:r>
      <w:r>
        <w:rPr>
          <w:sz w:val="22"/>
          <w:szCs w:val="22"/>
        </w:rPr>
        <w:t xml:space="preserve"> </w:t>
      </w:r>
      <w:r w:rsidRPr="000F0F94">
        <w:rPr>
          <w:sz w:val="22"/>
          <w:szCs w:val="22"/>
        </w:rPr>
        <w:t>is reasonably achievable (ALARA) efforts by licensees.</w:t>
      </w:r>
    </w:p>
    <w:p w:rsidRPr="000F0F94" w:rsidR="000F0F94" w:rsidP="00C145E1" w:rsidRDefault="000F0F94" w14:paraId="5DC4F8F8" w14:textId="36311236">
      <w:pPr>
        <w:pStyle w:val="Default"/>
        <w:spacing w:after="240"/>
        <w:ind w:left="2160"/>
        <w:rPr>
          <w:sz w:val="22"/>
          <w:szCs w:val="22"/>
        </w:rPr>
      </w:pPr>
      <w:r w:rsidRPr="000F0F94">
        <w:rPr>
          <w:sz w:val="22"/>
          <w:szCs w:val="22"/>
        </w:rPr>
        <w:t>2. The data assist in the evaluation of the radiological risk associated with certain categories</w:t>
      </w:r>
      <w:r>
        <w:rPr>
          <w:sz w:val="22"/>
          <w:szCs w:val="22"/>
        </w:rPr>
        <w:t xml:space="preserve"> </w:t>
      </w:r>
      <w:r w:rsidRPr="000F0F94">
        <w:rPr>
          <w:sz w:val="22"/>
          <w:szCs w:val="22"/>
        </w:rPr>
        <w:t>of NRC-licensed activities and are used for comparative analyses of radiation protection</w:t>
      </w:r>
      <w:r>
        <w:rPr>
          <w:sz w:val="22"/>
          <w:szCs w:val="22"/>
        </w:rPr>
        <w:t xml:space="preserve"> </w:t>
      </w:r>
      <w:r w:rsidRPr="000F0F94">
        <w:rPr>
          <w:sz w:val="22"/>
          <w:szCs w:val="22"/>
        </w:rPr>
        <w:t>performance (e.g., U.S./foreign, boiling-water reactors/pressurized-water reactors</w:t>
      </w:r>
      <w:r>
        <w:rPr>
          <w:sz w:val="22"/>
          <w:szCs w:val="22"/>
        </w:rPr>
        <w:t xml:space="preserve"> </w:t>
      </w:r>
      <w:r w:rsidRPr="000F0F94">
        <w:rPr>
          <w:sz w:val="22"/>
          <w:szCs w:val="22"/>
        </w:rPr>
        <w:t>[BWRs/PWRs], civilian/military, facility/facility, nuclear industry/other industries).</w:t>
      </w:r>
    </w:p>
    <w:p w:rsidRPr="000F0F94" w:rsidR="000F0F94" w:rsidP="00C145E1" w:rsidRDefault="000F0F94" w14:paraId="7CB7640B" w14:textId="2865692A">
      <w:pPr>
        <w:pStyle w:val="Default"/>
        <w:spacing w:after="240"/>
        <w:ind w:left="2160"/>
        <w:rPr>
          <w:sz w:val="22"/>
          <w:szCs w:val="22"/>
        </w:rPr>
      </w:pPr>
      <w:r w:rsidRPr="000F0F94">
        <w:rPr>
          <w:sz w:val="22"/>
          <w:szCs w:val="22"/>
        </w:rPr>
        <w:t>3. The data are used within the NRC Reactor Oversight Process for inspection planning and</w:t>
      </w:r>
      <w:r>
        <w:rPr>
          <w:sz w:val="22"/>
          <w:szCs w:val="22"/>
        </w:rPr>
        <w:t xml:space="preserve"> </w:t>
      </w:r>
      <w:r w:rsidRPr="000F0F94">
        <w:rPr>
          <w:sz w:val="22"/>
          <w:szCs w:val="22"/>
        </w:rPr>
        <w:t>in the Significance Determination Process.</w:t>
      </w:r>
    </w:p>
    <w:p w:rsidRPr="000F0F94" w:rsidR="000F0F94" w:rsidP="00C145E1" w:rsidRDefault="000F0F94" w14:paraId="2285F328" w14:textId="77777777">
      <w:pPr>
        <w:pStyle w:val="Default"/>
        <w:spacing w:after="240"/>
        <w:ind w:left="2160"/>
        <w:rPr>
          <w:sz w:val="22"/>
          <w:szCs w:val="22"/>
        </w:rPr>
      </w:pPr>
      <w:r w:rsidRPr="000F0F94">
        <w:rPr>
          <w:sz w:val="22"/>
          <w:szCs w:val="22"/>
        </w:rPr>
        <w:t>4. The data permit an evaluation of radiation exposure to transient individuals.</w:t>
      </w:r>
    </w:p>
    <w:p w:rsidRPr="000F0F94" w:rsidR="000F0F94" w:rsidP="00C145E1" w:rsidRDefault="000F0F94" w14:paraId="028CED6E" w14:textId="5DA9724B">
      <w:pPr>
        <w:pStyle w:val="Default"/>
        <w:spacing w:after="240"/>
        <w:ind w:left="2160"/>
        <w:rPr>
          <w:sz w:val="22"/>
          <w:szCs w:val="22"/>
        </w:rPr>
      </w:pPr>
      <w:r w:rsidRPr="000F0F94">
        <w:rPr>
          <w:sz w:val="22"/>
          <w:szCs w:val="22"/>
        </w:rPr>
        <w:t>5. The data are used to establish priorities for the use of NRC health physics resources:</w:t>
      </w:r>
      <w:r>
        <w:rPr>
          <w:sz w:val="22"/>
          <w:szCs w:val="22"/>
        </w:rPr>
        <w:t xml:space="preserve"> </w:t>
      </w:r>
      <w:r w:rsidRPr="000F0F94">
        <w:rPr>
          <w:sz w:val="22"/>
          <w:szCs w:val="22"/>
        </w:rPr>
        <w:t>research, standards development, regulatory program development, and inspections</w:t>
      </w:r>
      <w:r>
        <w:rPr>
          <w:sz w:val="22"/>
          <w:szCs w:val="22"/>
        </w:rPr>
        <w:t xml:space="preserve"> </w:t>
      </w:r>
      <w:r w:rsidRPr="000F0F94">
        <w:rPr>
          <w:sz w:val="22"/>
          <w:szCs w:val="22"/>
        </w:rPr>
        <w:t>conducted at NRC-licensed facilities.</w:t>
      </w:r>
    </w:p>
    <w:p w:rsidRPr="000F0F94" w:rsidR="000F0F94" w:rsidP="00C145E1" w:rsidRDefault="000F0F94" w14:paraId="29E05063" w14:textId="05F6571E">
      <w:pPr>
        <w:pStyle w:val="Default"/>
        <w:spacing w:after="240"/>
        <w:ind w:left="2160"/>
        <w:rPr>
          <w:sz w:val="22"/>
          <w:szCs w:val="22"/>
        </w:rPr>
      </w:pPr>
      <w:r w:rsidRPr="000F0F94">
        <w:rPr>
          <w:sz w:val="22"/>
          <w:szCs w:val="22"/>
        </w:rPr>
        <w:t>6. The data provide facts for answering Congressional and administration inquiries and for</w:t>
      </w:r>
      <w:r>
        <w:rPr>
          <w:sz w:val="22"/>
          <w:szCs w:val="22"/>
        </w:rPr>
        <w:t xml:space="preserve"> </w:t>
      </w:r>
      <w:r w:rsidRPr="000F0F94">
        <w:rPr>
          <w:sz w:val="22"/>
          <w:szCs w:val="22"/>
        </w:rPr>
        <w:t>responding to questions raised by the public.</w:t>
      </w:r>
    </w:p>
    <w:p w:rsidRPr="000F0F94" w:rsidR="000F0F94" w:rsidP="00C145E1" w:rsidRDefault="000F0F94" w14:paraId="3A692A45" w14:textId="60A0D1FA">
      <w:pPr>
        <w:pStyle w:val="Default"/>
        <w:spacing w:after="240"/>
        <w:ind w:left="2160"/>
        <w:rPr>
          <w:sz w:val="22"/>
          <w:szCs w:val="22"/>
        </w:rPr>
      </w:pPr>
      <w:r w:rsidRPr="000F0F94">
        <w:rPr>
          <w:sz w:val="22"/>
          <w:szCs w:val="22"/>
        </w:rPr>
        <w:t>7. The data are used to provide radiation exposure histories to individuals who were</w:t>
      </w:r>
      <w:r>
        <w:rPr>
          <w:sz w:val="22"/>
          <w:szCs w:val="22"/>
        </w:rPr>
        <w:t xml:space="preserve"> </w:t>
      </w:r>
      <w:r w:rsidRPr="000F0F94">
        <w:rPr>
          <w:sz w:val="22"/>
          <w:szCs w:val="22"/>
        </w:rPr>
        <w:t>exposed to radiation at NRC-licensed facilities.</w:t>
      </w:r>
    </w:p>
    <w:p w:rsidRPr="003B4ABE" w:rsidR="00F60B8E" w:rsidP="00C145E1" w:rsidRDefault="000F0F94" w14:paraId="3A5482D9" w14:textId="6F876EDB">
      <w:pPr>
        <w:pStyle w:val="Default"/>
        <w:spacing w:after="240"/>
        <w:ind w:left="2160"/>
        <w:rPr>
          <w:sz w:val="22"/>
          <w:szCs w:val="22"/>
        </w:rPr>
      </w:pPr>
      <w:r w:rsidRPr="000F0F94">
        <w:rPr>
          <w:sz w:val="22"/>
          <w:szCs w:val="22"/>
        </w:rPr>
        <w:t>8. The data provide information that may be used to conduct epidemiologic studies.</w:t>
      </w:r>
    </w:p>
    <w:p w:rsidRPr="00583215" w:rsidR="003B4ABE" w:rsidP="00C145E1" w:rsidRDefault="003B4ABE" w14:paraId="58F67D95" w14:textId="09ABBD08">
      <w:pPr>
        <w:pStyle w:val="Default"/>
        <w:spacing w:after="240"/>
        <w:ind w:left="1440" w:hanging="720"/>
        <w:outlineLvl w:val="0"/>
        <w:rPr>
          <w:sz w:val="22"/>
          <w:szCs w:val="22"/>
        </w:rPr>
      </w:pPr>
      <w:r w:rsidRPr="00583215">
        <w:rPr>
          <w:sz w:val="22"/>
          <w:szCs w:val="22"/>
        </w:rPr>
        <w:t>3.</w:t>
      </w:r>
      <w:r w:rsidRPr="00583215">
        <w:rPr>
          <w:sz w:val="22"/>
          <w:szCs w:val="22"/>
        </w:rPr>
        <w:tab/>
      </w:r>
      <w:r w:rsidRPr="00583215">
        <w:rPr>
          <w:sz w:val="22"/>
          <w:szCs w:val="22"/>
          <w:u w:val="single"/>
        </w:rPr>
        <w:t>Reduction of Burden Through Information Technology</w:t>
      </w:r>
    </w:p>
    <w:p w:rsidRPr="00583215" w:rsidR="003B4ABE" w:rsidP="00C145E1" w:rsidRDefault="003B4ABE" w14:paraId="4567660D" w14:textId="768CAE0F">
      <w:pPr>
        <w:pStyle w:val="CM9"/>
        <w:spacing w:after="240"/>
        <w:ind w:left="1440"/>
        <w:rPr>
          <w:sz w:val="22"/>
          <w:szCs w:val="22"/>
        </w:rPr>
      </w:pPr>
      <w:r w:rsidRPr="00583215">
        <w:rPr>
          <w:rFonts w:cs="Arial"/>
          <w:sz w:val="22"/>
          <w:szCs w:val="22"/>
        </w:rPr>
        <w:t xml:space="preserve">There are no legal obstacles to reducing the burden associated with this information collection. </w:t>
      </w:r>
      <w:r w:rsidR="00AF786E">
        <w:rPr>
          <w:rFonts w:cs="Arial"/>
          <w:sz w:val="22"/>
          <w:szCs w:val="22"/>
        </w:rPr>
        <w:t xml:space="preserve"> </w:t>
      </w:r>
      <w:r w:rsidRPr="00583215">
        <w:rPr>
          <w:rFonts w:cs="Arial"/>
          <w:sz w:val="22"/>
          <w:szCs w:val="22"/>
        </w:rPr>
        <w:t>The NRC encourages respondents to use information technology when it would be beneficial to them.</w:t>
      </w:r>
      <w:r w:rsidR="00AF786E">
        <w:rPr>
          <w:rFonts w:cs="Arial"/>
          <w:sz w:val="22"/>
          <w:szCs w:val="22"/>
        </w:rPr>
        <w:t xml:space="preserve"> </w:t>
      </w:r>
      <w:r w:rsidRPr="00583215">
        <w:rPr>
          <w:rFonts w:cs="Arial"/>
          <w:sz w:val="22"/>
          <w:szCs w:val="22"/>
        </w:rPr>
        <w:t xml:space="preserve"> It is estimated that </w:t>
      </w:r>
      <w:r w:rsidRPr="00583215">
        <w:rPr>
          <w:rFonts w:cs="Arial"/>
          <w:bCs/>
          <w:sz w:val="22"/>
          <w:szCs w:val="22"/>
        </w:rPr>
        <w:t>9</w:t>
      </w:r>
      <w:r w:rsidR="00A34587">
        <w:rPr>
          <w:rFonts w:cs="Arial"/>
          <w:bCs/>
          <w:sz w:val="22"/>
          <w:szCs w:val="22"/>
        </w:rPr>
        <w:t>7</w:t>
      </w:r>
      <w:r w:rsidR="001855B6">
        <w:rPr>
          <w:rFonts w:cs="Arial"/>
          <w:bCs/>
          <w:sz w:val="22"/>
          <w:szCs w:val="22"/>
        </w:rPr>
        <w:t xml:space="preserve"> percent</w:t>
      </w:r>
      <w:r w:rsidRPr="00583215">
        <w:rPr>
          <w:rFonts w:cs="Arial"/>
          <w:sz w:val="22"/>
          <w:szCs w:val="22"/>
        </w:rPr>
        <w:t xml:space="preserve"> of the potential responses are filed electronically.  This estimate is based on 201</w:t>
      </w:r>
      <w:r w:rsidR="00D56829">
        <w:rPr>
          <w:rFonts w:cs="Arial"/>
          <w:sz w:val="22"/>
          <w:szCs w:val="22"/>
        </w:rPr>
        <w:t>8</w:t>
      </w:r>
      <w:r w:rsidRPr="00583215">
        <w:rPr>
          <w:rFonts w:cs="Arial"/>
          <w:sz w:val="22"/>
          <w:szCs w:val="22"/>
        </w:rPr>
        <w:t xml:space="preserve"> calendar year data</w:t>
      </w:r>
      <w:r w:rsidRPr="00583215">
        <w:rPr>
          <w:rStyle w:val="FootnoteReference"/>
          <w:rFonts w:cs="Arial"/>
          <w:sz w:val="22"/>
          <w:szCs w:val="22"/>
        </w:rPr>
        <w:footnoteReference w:id="1"/>
      </w:r>
      <w:r w:rsidRPr="00583215">
        <w:rPr>
          <w:rFonts w:cs="Arial"/>
          <w:sz w:val="22"/>
          <w:szCs w:val="22"/>
        </w:rPr>
        <w:t xml:space="preserve"> and staff experience.  NRC staff does not anticipate that the percentage of electronic submissions will change during the upcoming clearance </w:t>
      </w:r>
      <w:r w:rsidRPr="00583215">
        <w:rPr>
          <w:rFonts w:cs="Arial"/>
          <w:sz w:val="22"/>
          <w:szCs w:val="22"/>
        </w:rPr>
        <w:lastRenderedPageBreak/>
        <w:t>period.</w:t>
      </w:r>
    </w:p>
    <w:p w:rsidRPr="00583215" w:rsidR="003B4ABE" w:rsidP="00C145E1" w:rsidRDefault="003B4ABE" w14:paraId="2AC2E1FC" w14:textId="6105EB96">
      <w:pPr>
        <w:pStyle w:val="Default"/>
        <w:spacing w:after="240"/>
        <w:ind w:left="1440"/>
        <w:rPr>
          <w:sz w:val="22"/>
          <w:szCs w:val="22"/>
        </w:rPr>
      </w:pPr>
      <w:r w:rsidRPr="00583215">
        <w:rPr>
          <w:sz w:val="22"/>
          <w:szCs w:val="22"/>
        </w:rPr>
        <w:t xml:space="preserve">Regulatory Guide 8.7, Revision </w:t>
      </w:r>
      <w:r w:rsidR="00522752">
        <w:rPr>
          <w:sz w:val="22"/>
          <w:szCs w:val="22"/>
        </w:rPr>
        <w:t>4</w:t>
      </w:r>
      <w:r w:rsidRPr="00583215">
        <w:rPr>
          <w:sz w:val="22"/>
          <w:szCs w:val="22"/>
        </w:rPr>
        <w:t>, (</w:t>
      </w:r>
      <w:r w:rsidR="00522752">
        <w:rPr>
          <w:sz w:val="22"/>
          <w:szCs w:val="22"/>
        </w:rPr>
        <w:t>May 2018</w:t>
      </w:r>
      <w:r w:rsidRPr="00583215">
        <w:rPr>
          <w:sz w:val="22"/>
          <w:szCs w:val="22"/>
        </w:rPr>
        <w:t xml:space="preserve">), “Instructions for Recording and Reporting Occupational Radiation Dose Data,” provides licensees with guidance regarding the recommended format for both paper and electronic submission of occupational radiation dose data.  The electronic reporting guidance provided in this document is intended to reduce the reporting burden on licensees.  The NRC has developed a software tool to allow licensees to review their electronic data files prior to submitting the data to the NRC.  The software can be downloaded at no cost to licensees from the NRC’s REIRS Web site at </w:t>
      </w:r>
      <w:hyperlink w:history="1" r:id="rId11">
        <w:r w:rsidR="00FE119A">
          <w:rPr>
            <w:rStyle w:val="Hyperlink"/>
            <w:sz w:val="22"/>
            <w:szCs w:val="22"/>
          </w:rPr>
          <w:t>https://www.reirs.com/</w:t>
        </w:r>
      </w:hyperlink>
      <w:r w:rsidRPr="00583215">
        <w:rPr>
          <w:sz w:val="22"/>
          <w:szCs w:val="22"/>
        </w:rPr>
        <w:t xml:space="preserve">.  REIRView Validation software validates the data and format in accordance with the current regulatory guidance.  The software also allows the licensees to review all errors and warnings identified in the submittal and view a summary of the data to verify dose distribution and totals. </w:t>
      </w:r>
      <w:r w:rsidR="003C7AC9">
        <w:rPr>
          <w:sz w:val="22"/>
          <w:szCs w:val="22"/>
        </w:rPr>
        <w:t xml:space="preserve"> </w:t>
      </w:r>
      <w:r w:rsidRPr="00583215">
        <w:rPr>
          <w:sz w:val="22"/>
          <w:szCs w:val="22"/>
        </w:rPr>
        <w:t>Once verified, the licensee may submit the file using the secure File Submission web page.  The File Submission web page allows licensees to electronically submit their files through an encrypted file submission system.  The web portal meets all cyber security requirements to protect Personally Identifiable Information (PII) as defined by the National Institute of Standards and Technology (NIST) publication 800-122.</w:t>
      </w:r>
    </w:p>
    <w:p w:rsidRPr="00583215" w:rsidR="003B4ABE" w:rsidP="00C145E1" w:rsidRDefault="003B4ABE" w14:paraId="4E4BE369" w14:textId="3AEBFC73">
      <w:pPr>
        <w:pStyle w:val="CM9"/>
        <w:spacing w:after="240"/>
        <w:ind w:left="1440"/>
      </w:pPr>
      <w:r w:rsidRPr="00583215">
        <w:rPr>
          <w:rFonts w:cs="Arial"/>
          <w:color w:val="000000"/>
          <w:sz w:val="22"/>
          <w:szCs w:val="22"/>
        </w:rPr>
        <w:t>Section 20.2206(c) requires licensees to submit their occupational radiation dose data, covering the preceding year, to NRC, on or before April 30 of each year.</w:t>
      </w:r>
    </w:p>
    <w:p w:rsidRPr="00583215" w:rsidR="003B4ABE" w:rsidP="00C145E1" w:rsidRDefault="003B4ABE" w14:paraId="506000EB" w14:textId="6B150C9F">
      <w:pPr>
        <w:pStyle w:val="Default"/>
        <w:spacing w:after="240"/>
        <w:ind w:left="1440" w:hanging="720"/>
        <w:outlineLvl w:val="0"/>
        <w:rPr>
          <w:sz w:val="22"/>
          <w:szCs w:val="22"/>
          <w:u w:val="single"/>
        </w:rPr>
      </w:pPr>
      <w:r w:rsidRPr="00583215">
        <w:rPr>
          <w:sz w:val="22"/>
          <w:szCs w:val="22"/>
        </w:rPr>
        <w:t>4.</w:t>
      </w:r>
      <w:r w:rsidRPr="00583215">
        <w:rPr>
          <w:sz w:val="22"/>
          <w:szCs w:val="22"/>
        </w:rPr>
        <w:tab/>
      </w:r>
      <w:r w:rsidRPr="00583215">
        <w:rPr>
          <w:sz w:val="22"/>
          <w:szCs w:val="22"/>
          <w:u w:val="single"/>
        </w:rPr>
        <w:t>Effort to Identify Duplication and Use Similar Information</w:t>
      </w:r>
    </w:p>
    <w:p w:rsidRPr="00583215" w:rsidR="003B4ABE" w:rsidP="00590A97" w:rsidRDefault="003B4ABE" w14:paraId="0E10260B" w14:textId="7EC5B9CE">
      <w:pPr>
        <w:widowControl w:val="0"/>
        <w:spacing w:after="258"/>
        <w:ind w:left="1440"/>
        <w:rPr>
          <w:rFonts w:ascii="Arial" w:hAnsi="Arial"/>
          <w:sz w:val="22"/>
          <w:szCs w:val="22"/>
        </w:rPr>
      </w:pPr>
      <w:r w:rsidRPr="00583215">
        <w:rPr>
          <w:rFonts w:ascii="Arial" w:hAnsi="Arial" w:cs="Arial"/>
          <w:sz w:val="22"/>
          <w:szCs w:val="22"/>
        </w:rPr>
        <w:t>No sources of similar information are available</w:t>
      </w:r>
      <w:r w:rsidRPr="00583215" w:rsidR="00FB4A28">
        <w:rPr>
          <w:rFonts w:ascii="Arial" w:hAnsi="Arial" w:cs="Arial"/>
          <w:sz w:val="22"/>
          <w:szCs w:val="22"/>
        </w:rPr>
        <w:t>.</w:t>
      </w:r>
      <w:r w:rsidR="00FB4A28">
        <w:rPr>
          <w:rFonts w:ascii="Arial" w:hAnsi="Arial" w:cs="Arial"/>
          <w:sz w:val="22"/>
          <w:szCs w:val="22"/>
        </w:rPr>
        <w:t xml:space="preserve"> </w:t>
      </w:r>
      <w:r w:rsidRPr="00583215" w:rsidR="00FB4A28">
        <w:rPr>
          <w:rFonts w:ascii="Arial" w:hAnsi="Arial" w:cs="Arial"/>
          <w:sz w:val="22"/>
          <w:szCs w:val="22"/>
        </w:rPr>
        <w:t xml:space="preserve"> </w:t>
      </w:r>
      <w:r w:rsidRPr="00583215">
        <w:rPr>
          <w:rFonts w:ascii="Arial" w:hAnsi="Arial" w:cs="Arial"/>
          <w:sz w:val="22"/>
          <w:szCs w:val="22"/>
        </w:rPr>
        <w:t>There is no duplication of requirements.</w:t>
      </w:r>
    </w:p>
    <w:p w:rsidRPr="00583215" w:rsidR="003B4ABE" w:rsidP="00C145E1" w:rsidRDefault="003B4ABE" w14:paraId="62E7EBE0" w14:textId="046A9226">
      <w:pPr>
        <w:pStyle w:val="Default"/>
        <w:spacing w:after="240"/>
        <w:ind w:left="1440" w:hanging="720"/>
        <w:outlineLvl w:val="0"/>
        <w:rPr>
          <w:sz w:val="22"/>
          <w:szCs w:val="22"/>
          <w:u w:val="single"/>
        </w:rPr>
      </w:pPr>
      <w:r w:rsidRPr="00583215">
        <w:rPr>
          <w:sz w:val="22"/>
          <w:szCs w:val="22"/>
        </w:rPr>
        <w:t>5.</w:t>
      </w:r>
      <w:r w:rsidRPr="00583215">
        <w:rPr>
          <w:sz w:val="22"/>
          <w:szCs w:val="22"/>
        </w:rPr>
        <w:tab/>
      </w:r>
      <w:r w:rsidRPr="00583215">
        <w:rPr>
          <w:sz w:val="22"/>
          <w:szCs w:val="22"/>
          <w:u w:val="single"/>
        </w:rPr>
        <w:t>Effort to Reduce Small Business Burden</w:t>
      </w:r>
    </w:p>
    <w:p w:rsidRPr="00583215" w:rsidR="003B4ABE" w:rsidP="00C145E1" w:rsidRDefault="003B4ABE" w14:paraId="16C8F65E" w14:textId="13310470">
      <w:pPr>
        <w:pStyle w:val="Default"/>
        <w:spacing w:after="240"/>
        <w:ind w:left="1440"/>
        <w:rPr>
          <w:sz w:val="22"/>
          <w:szCs w:val="22"/>
        </w:rPr>
      </w:pPr>
      <w:r w:rsidRPr="00583215">
        <w:rPr>
          <w:sz w:val="22"/>
          <w:szCs w:val="22"/>
        </w:rPr>
        <w:t xml:space="preserve">NRC provides REIRView, a dose record data validation software, at no cost to licensees.  REIRView assists in verification of file format of annual dose records submitted to the REIRS system. </w:t>
      </w:r>
      <w:r w:rsidR="00FB4A28">
        <w:rPr>
          <w:sz w:val="22"/>
          <w:szCs w:val="22"/>
        </w:rPr>
        <w:t xml:space="preserve"> </w:t>
      </w:r>
      <w:r w:rsidRPr="00583215">
        <w:rPr>
          <w:sz w:val="22"/>
          <w:szCs w:val="22"/>
        </w:rPr>
        <w:t xml:space="preserve">NRC also supports the secure File Submission Web page.  Both of these are found on the REIRS Web site at </w:t>
      </w:r>
      <w:hyperlink w:history="1" r:id="rId12">
        <w:r w:rsidR="00FE119A">
          <w:rPr>
            <w:rStyle w:val="Hyperlink"/>
            <w:sz w:val="22"/>
            <w:szCs w:val="22"/>
          </w:rPr>
          <w:t>https://www.reirs.com/</w:t>
        </w:r>
      </w:hyperlink>
      <w:r w:rsidRPr="00583215">
        <w:rPr>
          <w:sz w:val="22"/>
          <w:szCs w:val="22"/>
        </w:rPr>
        <w:t>.</w:t>
      </w:r>
      <w:r w:rsidR="0081571C">
        <w:rPr>
          <w:sz w:val="22"/>
          <w:szCs w:val="22"/>
        </w:rPr>
        <w:t xml:space="preserve">  The NRC staff estimates that </w:t>
      </w:r>
      <w:r w:rsidR="00D56829">
        <w:rPr>
          <w:sz w:val="22"/>
          <w:szCs w:val="22"/>
        </w:rPr>
        <w:t>3</w:t>
      </w:r>
      <w:r w:rsidR="00FB4A28">
        <w:rPr>
          <w:sz w:val="22"/>
          <w:szCs w:val="22"/>
        </w:rPr>
        <w:t xml:space="preserve"> percent </w:t>
      </w:r>
      <w:r w:rsidR="0081571C">
        <w:rPr>
          <w:sz w:val="22"/>
          <w:szCs w:val="22"/>
        </w:rPr>
        <w:t>of respondents may be small businesses.</w:t>
      </w:r>
    </w:p>
    <w:p w:rsidRPr="00583215" w:rsidR="003B4ABE" w:rsidP="00C145E1" w:rsidRDefault="003B4ABE" w14:paraId="3AFA2154" w14:textId="3EE7A993">
      <w:pPr>
        <w:pStyle w:val="Default"/>
        <w:spacing w:after="240"/>
        <w:ind w:left="1440" w:hanging="720"/>
        <w:outlineLvl w:val="0"/>
        <w:rPr>
          <w:sz w:val="22"/>
          <w:szCs w:val="22"/>
          <w:u w:val="single"/>
        </w:rPr>
      </w:pPr>
      <w:r w:rsidRPr="00583215">
        <w:rPr>
          <w:sz w:val="22"/>
          <w:szCs w:val="22"/>
        </w:rPr>
        <w:t>6.</w:t>
      </w:r>
      <w:r w:rsidRPr="00583215">
        <w:rPr>
          <w:sz w:val="22"/>
          <w:szCs w:val="22"/>
        </w:rPr>
        <w:tab/>
      </w:r>
      <w:r w:rsidRPr="00583215">
        <w:rPr>
          <w:sz w:val="22"/>
          <w:szCs w:val="22"/>
          <w:u w:val="single"/>
        </w:rPr>
        <w:t>Consequences to Federal Program Activities if the Collection is Not Conducted or is Conducted Less Frequently</w:t>
      </w:r>
    </w:p>
    <w:p w:rsidRPr="00583215" w:rsidR="003B4ABE" w:rsidP="00C145E1" w:rsidRDefault="003B4ABE" w14:paraId="28DD735A" w14:textId="791039CF">
      <w:pPr>
        <w:pStyle w:val="Default"/>
        <w:spacing w:after="240"/>
        <w:ind w:left="1440"/>
        <w:rPr>
          <w:sz w:val="22"/>
          <w:szCs w:val="22"/>
        </w:rPr>
      </w:pPr>
      <w:r w:rsidRPr="00583215">
        <w:rPr>
          <w:sz w:val="22"/>
          <w:szCs w:val="22"/>
        </w:rPr>
        <w:t xml:space="preserve">If the requirements of Section 20.2206(c) were not met by licensees, or if the collection was conducted less frequently than on an annual basis, NRC would not receive information about the radiation exposures received by occupational workers at NRC-licensed facilities.  As previously mentioned, 10 CFR 20.2206 is the only regulation that requires licensees to submit occupational radiation exposure information to the NRC.  NRC uses this information to ensure that occupational radiation workers are receiving occupational radiation doses that comply with the occupational dose limits in 10 CFR 20.1201. </w:t>
      </w:r>
      <w:r w:rsidR="002C1DFC">
        <w:rPr>
          <w:sz w:val="22"/>
          <w:szCs w:val="22"/>
        </w:rPr>
        <w:t xml:space="preserve"> </w:t>
      </w:r>
      <w:r w:rsidRPr="00583215">
        <w:rPr>
          <w:sz w:val="22"/>
          <w:szCs w:val="22"/>
        </w:rPr>
        <w:t xml:space="preserve">If the NRC did not require this information collection, the agency would not be able to communicate </w:t>
      </w:r>
      <w:r w:rsidRPr="00583215">
        <w:rPr>
          <w:sz w:val="22"/>
          <w:szCs w:val="22"/>
        </w:rPr>
        <w:lastRenderedPageBreak/>
        <w:t>with its stakeholders on how licensees’ radiation protection programs are working to ensure that radiation exposures to occupational workers, and to the public, are being kept as low as is reasonably achievable (ALARA).</w:t>
      </w:r>
    </w:p>
    <w:p w:rsidRPr="00583215" w:rsidR="003B4ABE" w:rsidP="00C145E1" w:rsidRDefault="003B4ABE" w14:paraId="529F0362" w14:textId="77777777">
      <w:pPr>
        <w:pStyle w:val="Default"/>
        <w:spacing w:after="240"/>
        <w:ind w:left="1440"/>
        <w:rPr>
          <w:sz w:val="22"/>
          <w:szCs w:val="22"/>
        </w:rPr>
      </w:pPr>
      <w:r w:rsidRPr="00583215">
        <w:rPr>
          <w:sz w:val="22"/>
          <w:szCs w:val="22"/>
        </w:rPr>
        <w:t>In addition, the REIRS database and NUREG-0713 are the two tools used to identify occupational workers who work at multiple licensees throughout a calendar year and receive occupational radiation doses from multiple licensee facilities.  For these types of occupational workers, also known as transient workers, it is important to know their annual occupational radiation doses and ensure that licensees are instituting processes and practices to ensure that these types of workers do not exceed the regulatory occupational dose limits in 10 CFR 20.1201.</w:t>
      </w:r>
    </w:p>
    <w:p w:rsidRPr="00583215" w:rsidR="003B4ABE" w:rsidP="00C145E1" w:rsidRDefault="003B4ABE" w14:paraId="3951AF94" w14:textId="23C3C156">
      <w:pPr>
        <w:pStyle w:val="Default"/>
        <w:spacing w:after="240"/>
        <w:ind w:left="720"/>
        <w:outlineLvl w:val="0"/>
        <w:rPr>
          <w:sz w:val="22"/>
          <w:szCs w:val="22"/>
          <w:u w:val="single"/>
        </w:rPr>
      </w:pPr>
      <w:r w:rsidRPr="00583215">
        <w:rPr>
          <w:sz w:val="22"/>
          <w:szCs w:val="22"/>
        </w:rPr>
        <w:t>7.</w:t>
      </w:r>
      <w:r w:rsidRPr="00583215">
        <w:rPr>
          <w:sz w:val="22"/>
          <w:szCs w:val="22"/>
        </w:rPr>
        <w:tab/>
      </w:r>
      <w:r w:rsidRPr="00583215">
        <w:rPr>
          <w:sz w:val="22"/>
          <w:szCs w:val="22"/>
          <w:u w:val="single"/>
        </w:rPr>
        <w:t>Circumstances Which Justify Variation from OMB Guidelines</w:t>
      </w:r>
    </w:p>
    <w:p w:rsidRPr="00E83D45" w:rsidR="003B4ABE" w:rsidP="00C145E1" w:rsidRDefault="003B4ABE" w14:paraId="0DC9869A" w14:textId="7135E6AA">
      <w:pPr>
        <w:pStyle w:val="Default"/>
        <w:spacing w:after="240"/>
        <w:ind w:left="1440"/>
        <w:rPr>
          <w:sz w:val="22"/>
          <w:szCs w:val="22"/>
        </w:rPr>
      </w:pPr>
      <w:r w:rsidRPr="006E1CB8">
        <w:rPr>
          <w:sz w:val="22"/>
          <w:szCs w:val="22"/>
        </w:rPr>
        <w:t>Records associated with the NRC Form 5 must be retained by the licensee for the life of the NRC license in accordance with Section 20.2106(f).</w:t>
      </w:r>
      <w:r w:rsidRPr="006E1CB8" w:rsidR="00AD543B">
        <w:rPr>
          <w:sz w:val="22"/>
          <w:szCs w:val="22"/>
        </w:rPr>
        <w:t xml:space="preserve"> </w:t>
      </w:r>
      <w:r w:rsidRPr="006E1CB8" w:rsidR="00AD2A89">
        <w:rPr>
          <w:sz w:val="22"/>
          <w:szCs w:val="22"/>
        </w:rPr>
        <w:t xml:space="preserve"> </w:t>
      </w:r>
      <w:r w:rsidRPr="006E1CB8" w:rsidR="00522752">
        <w:rPr>
          <w:sz w:val="22"/>
          <w:szCs w:val="22"/>
        </w:rPr>
        <w:t xml:space="preserve">Maintaining the records for the life of the NRC license assists in several of the routine uses of the System of Records NRC-27, such as evaluating radiation exposure received by </w:t>
      </w:r>
      <w:r w:rsidRPr="000A69D0" w:rsidR="00522752">
        <w:rPr>
          <w:sz w:val="22"/>
          <w:szCs w:val="22"/>
        </w:rPr>
        <w:t xml:space="preserve">individuals and advising </w:t>
      </w:r>
      <w:r w:rsidRPr="000A69D0" w:rsidR="00522752">
        <w:rPr>
          <w:sz w:val="22"/>
          <w:szCs w:val="22"/>
          <w:lang w:val="en"/>
        </w:rPr>
        <w:t>standards for protection against ionizing radiation resulting from activities conducted under licenses issued by the NRC.</w:t>
      </w:r>
    </w:p>
    <w:p w:rsidRPr="00583215" w:rsidR="003B4ABE" w:rsidP="00C145E1" w:rsidRDefault="003B4ABE" w14:paraId="073D8084" w14:textId="59FE3EF8">
      <w:pPr>
        <w:pStyle w:val="Default"/>
        <w:spacing w:after="240"/>
        <w:ind w:left="1440" w:hanging="720"/>
        <w:outlineLvl w:val="0"/>
        <w:rPr>
          <w:sz w:val="22"/>
          <w:szCs w:val="22"/>
        </w:rPr>
      </w:pPr>
      <w:r w:rsidRPr="00583215">
        <w:rPr>
          <w:sz w:val="22"/>
          <w:szCs w:val="22"/>
        </w:rPr>
        <w:t>8.</w:t>
      </w:r>
      <w:r w:rsidRPr="00583215">
        <w:rPr>
          <w:sz w:val="22"/>
          <w:szCs w:val="22"/>
        </w:rPr>
        <w:tab/>
      </w:r>
      <w:r w:rsidRPr="00583215">
        <w:rPr>
          <w:sz w:val="22"/>
          <w:szCs w:val="22"/>
          <w:u w:val="single"/>
        </w:rPr>
        <w:t>Consultations Outside the NRC</w:t>
      </w:r>
    </w:p>
    <w:p w:rsidR="004B5A08" w:rsidP="00C145E1" w:rsidRDefault="004B5A08" w14:paraId="4E651938" w14:textId="1F404108">
      <w:pPr>
        <w:widowControl w:val="0"/>
        <w:spacing w:after="240"/>
        <w:ind w:left="1440"/>
        <w:rPr>
          <w:rFonts w:ascii="Arial" w:hAnsi="Arial" w:cs="Arial"/>
          <w:sz w:val="22"/>
          <w:szCs w:val="20"/>
        </w:rPr>
      </w:pPr>
      <w:r>
        <w:rPr>
          <w:rFonts w:ascii="Arial" w:hAnsi="Arial" w:cs="Arial"/>
          <w:sz w:val="22"/>
        </w:rPr>
        <w:t xml:space="preserve">Opportunity for public comment on the information collection requirements for this clearance package was published in the </w:t>
      </w:r>
      <w:r>
        <w:rPr>
          <w:rFonts w:ascii="Arial" w:hAnsi="Arial" w:cs="Arial"/>
          <w:i/>
          <w:iCs/>
          <w:sz w:val="22"/>
        </w:rPr>
        <w:t>Federal Register</w:t>
      </w:r>
      <w:r>
        <w:rPr>
          <w:rFonts w:ascii="Arial" w:hAnsi="Arial" w:cs="Arial"/>
          <w:sz w:val="22"/>
        </w:rPr>
        <w:t xml:space="preserve"> on May 1, 2020 (85 FR </w:t>
      </w:r>
      <w:r w:rsidR="00037032">
        <w:rPr>
          <w:rFonts w:ascii="Arial" w:hAnsi="Arial" w:cs="Arial"/>
          <w:sz w:val="22"/>
        </w:rPr>
        <w:t>25478</w:t>
      </w:r>
      <w:r>
        <w:rPr>
          <w:rFonts w:ascii="Arial" w:hAnsi="Arial" w:cs="Arial"/>
          <w:sz w:val="22"/>
        </w:rPr>
        <w:t>).  The NRC contacted three potential respondents within the nuclear industry via email and received one comment back by phone.</w:t>
      </w:r>
    </w:p>
    <w:p w:rsidRPr="005C7552" w:rsidR="0011107C" w:rsidP="00332FCD" w:rsidRDefault="004B5A08" w14:paraId="5D77EEC4" w14:textId="58063578">
      <w:pPr>
        <w:pStyle w:val="Default"/>
        <w:spacing w:after="240"/>
        <w:ind w:left="1440"/>
        <w:rPr>
          <w:sz w:val="22"/>
          <w:szCs w:val="22"/>
        </w:rPr>
      </w:pPr>
      <w:r>
        <w:rPr>
          <w:sz w:val="22"/>
        </w:rPr>
        <w:t xml:space="preserve">A Nuclear Energy Institute representative responded with the following: </w:t>
      </w:r>
      <w:r w:rsidRPr="003D70C4">
        <w:rPr>
          <w:sz w:val="22"/>
        </w:rPr>
        <w:t>“The form is necessary for the NRC to perform its functions and for industry to be in compliance with reporting requirements, so it’s a very good thing that the form is being updated.”  The way in which the information collected is as efficient and clear as it can be, and the burden estimate is appropriate</w:t>
      </w:r>
      <w:r w:rsidR="00332FCD">
        <w:rPr>
          <w:sz w:val="22"/>
        </w:rPr>
        <w:t>.</w:t>
      </w:r>
    </w:p>
    <w:p w:rsidRPr="0011107C" w:rsidR="003B4ABE" w:rsidP="00590A97" w:rsidRDefault="003B4ABE" w14:paraId="3E3F44B8" w14:textId="09C29FBE">
      <w:pPr>
        <w:pStyle w:val="Default"/>
        <w:spacing w:after="240"/>
        <w:ind w:left="1440" w:hanging="720"/>
        <w:outlineLvl w:val="0"/>
        <w:rPr>
          <w:sz w:val="22"/>
          <w:szCs w:val="22"/>
        </w:rPr>
      </w:pPr>
      <w:r w:rsidRPr="00583215">
        <w:rPr>
          <w:sz w:val="22"/>
          <w:szCs w:val="22"/>
        </w:rPr>
        <w:t>9.</w:t>
      </w:r>
      <w:r w:rsidRPr="00583215">
        <w:rPr>
          <w:sz w:val="22"/>
          <w:szCs w:val="22"/>
        </w:rPr>
        <w:tab/>
      </w:r>
      <w:r w:rsidRPr="00583215">
        <w:rPr>
          <w:sz w:val="22"/>
          <w:szCs w:val="22"/>
          <w:u w:val="single"/>
        </w:rPr>
        <w:t>Payment or Gifts to Respondents</w:t>
      </w:r>
    </w:p>
    <w:p w:rsidRPr="00397FFA" w:rsidR="003B4ABE" w:rsidP="00332FCD" w:rsidRDefault="003B4ABE" w14:paraId="4A03A824" w14:textId="0A76E1DE">
      <w:pPr>
        <w:pStyle w:val="Default"/>
        <w:spacing w:after="240"/>
        <w:ind w:left="1440"/>
        <w:rPr>
          <w:sz w:val="22"/>
          <w:szCs w:val="22"/>
        </w:rPr>
      </w:pPr>
      <w:r w:rsidRPr="00397FFA">
        <w:rPr>
          <w:sz w:val="22"/>
          <w:szCs w:val="22"/>
        </w:rPr>
        <w:t>Not applicable.</w:t>
      </w:r>
    </w:p>
    <w:p w:rsidRPr="00583215" w:rsidR="003B4ABE" w:rsidP="00332FCD" w:rsidRDefault="003B4ABE" w14:paraId="50471BE2" w14:textId="2678D046">
      <w:pPr>
        <w:pStyle w:val="Default"/>
        <w:spacing w:after="240"/>
        <w:ind w:left="1440" w:hanging="720"/>
        <w:outlineLvl w:val="0"/>
        <w:rPr>
          <w:sz w:val="22"/>
          <w:szCs w:val="22"/>
          <w:u w:val="single"/>
        </w:rPr>
      </w:pPr>
      <w:r w:rsidRPr="00583215">
        <w:rPr>
          <w:sz w:val="22"/>
          <w:szCs w:val="22"/>
        </w:rPr>
        <w:t>10.</w:t>
      </w:r>
      <w:r w:rsidRPr="00583215">
        <w:rPr>
          <w:sz w:val="22"/>
          <w:szCs w:val="22"/>
        </w:rPr>
        <w:tab/>
      </w:r>
      <w:r w:rsidRPr="00583215">
        <w:rPr>
          <w:sz w:val="22"/>
          <w:szCs w:val="22"/>
          <w:u w:val="single"/>
        </w:rPr>
        <w:t>Confidentiality of Information</w:t>
      </w:r>
    </w:p>
    <w:p w:rsidRPr="00583215" w:rsidR="003B4ABE" w:rsidP="00332FCD" w:rsidRDefault="003B4ABE" w14:paraId="5305976D" w14:textId="77777777">
      <w:pPr>
        <w:pStyle w:val="Default"/>
        <w:spacing w:after="240"/>
        <w:ind w:left="1440"/>
        <w:rPr>
          <w:color w:val="auto"/>
          <w:sz w:val="22"/>
          <w:szCs w:val="22"/>
        </w:rPr>
      </w:pPr>
      <w:r w:rsidRPr="00583215">
        <w:rPr>
          <w:color w:val="auto"/>
          <w:sz w:val="22"/>
          <w:szCs w:val="22"/>
        </w:rPr>
        <w:t>Confidential and proprietary information is protected in accordance with NRC regulations at 10 CFR 9.17(a) and 10 CFR 2.390(b).</w:t>
      </w:r>
    </w:p>
    <w:p w:rsidRPr="00583215" w:rsidR="003B4ABE" w:rsidP="00332FCD" w:rsidRDefault="003B4ABE" w14:paraId="188F00C6" w14:textId="03DAE433">
      <w:pPr>
        <w:pStyle w:val="Default"/>
        <w:spacing w:after="240"/>
        <w:ind w:left="1440"/>
        <w:rPr>
          <w:sz w:val="22"/>
          <w:szCs w:val="22"/>
        </w:rPr>
      </w:pPr>
      <w:r w:rsidRPr="00583215">
        <w:rPr>
          <w:sz w:val="22"/>
          <w:szCs w:val="22"/>
        </w:rPr>
        <w:t xml:space="preserve">NRC Form 5 specifies the use of the individual's name, social security number or other unique identification, date of birth, and sex. </w:t>
      </w:r>
      <w:r w:rsidR="00381C39">
        <w:rPr>
          <w:sz w:val="22"/>
          <w:szCs w:val="22"/>
        </w:rPr>
        <w:t xml:space="preserve"> </w:t>
      </w:r>
      <w:r w:rsidRPr="00583215">
        <w:rPr>
          <w:sz w:val="22"/>
          <w:szCs w:val="22"/>
        </w:rPr>
        <w:t>This information is necessary to ensure the proper identification of the individual.</w:t>
      </w:r>
    </w:p>
    <w:p w:rsidRPr="00583215" w:rsidR="003B4ABE" w:rsidP="00332FCD" w:rsidRDefault="003B4ABE" w14:paraId="411D6D0B" w14:textId="7F713909">
      <w:pPr>
        <w:pStyle w:val="Default"/>
        <w:spacing w:after="240"/>
        <w:ind w:left="1440"/>
        <w:rPr>
          <w:sz w:val="22"/>
          <w:szCs w:val="22"/>
        </w:rPr>
      </w:pPr>
      <w:r w:rsidRPr="00583215">
        <w:rPr>
          <w:sz w:val="22"/>
          <w:szCs w:val="22"/>
        </w:rPr>
        <w:t xml:space="preserve">In accordance with Section 20.2106(d), NRC Form 5 falls under privacy </w:t>
      </w:r>
      <w:r w:rsidRPr="00583215">
        <w:rPr>
          <w:sz w:val="22"/>
          <w:szCs w:val="22"/>
        </w:rPr>
        <w:lastRenderedPageBreak/>
        <w:t xml:space="preserve">protection.  NRC Form 5 is protected from public disclosure because of the personal information this form requires </w:t>
      </w:r>
      <w:r w:rsidRPr="00583215" w:rsidR="00381C39">
        <w:rPr>
          <w:sz w:val="22"/>
          <w:szCs w:val="22"/>
        </w:rPr>
        <w:t>identifying</w:t>
      </w:r>
      <w:r w:rsidRPr="00583215">
        <w:rPr>
          <w:sz w:val="22"/>
          <w:szCs w:val="22"/>
        </w:rPr>
        <w:t xml:space="preserve"> an individual.</w:t>
      </w:r>
    </w:p>
    <w:p w:rsidRPr="00332FCD" w:rsidR="00EE2FF0" w:rsidP="00332FCD" w:rsidRDefault="00EE2FF0" w14:paraId="31382B31" w14:textId="4BBB36A6">
      <w:pPr>
        <w:widowControl w:val="0"/>
        <w:spacing w:after="240"/>
        <w:ind w:left="1440" w:right="720"/>
        <w:rPr>
          <w:rStyle w:val="Hyperlink"/>
          <w:rFonts w:ascii="Arial" w:hAnsi="Arial" w:cs="Arial"/>
          <w:color w:val="auto"/>
          <w:sz w:val="22"/>
          <w:szCs w:val="22"/>
        </w:rPr>
      </w:pPr>
      <w:r w:rsidRPr="00DD2E5D">
        <w:rPr>
          <w:rFonts w:ascii="Arial" w:hAnsi="Arial" w:cs="Arial"/>
          <w:sz w:val="22"/>
          <w:szCs w:val="22"/>
        </w:rPr>
        <w:t xml:space="preserve">There is a Privacy Act System of Records Notice for the NRC’s Radiation Exposure Information and Reporting System (REIRS).  </w:t>
      </w:r>
      <w:r w:rsidRPr="00583215">
        <w:rPr>
          <w:rFonts w:ascii="Arial" w:hAnsi="Arial" w:cs="Arial"/>
          <w:sz w:val="22"/>
          <w:szCs w:val="22"/>
        </w:rPr>
        <w:t xml:space="preserve">The System of Records Notice for REIRS, NRC-27, </w:t>
      </w:r>
      <w:r>
        <w:rPr>
          <w:rFonts w:ascii="Arial" w:hAnsi="Arial" w:cs="Arial"/>
          <w:sz w:val="22"/>
          <w:szCs w:val="22"/>
        </w:rPr>
        <w:t xml:space="preserve">was last published on December 27, 2019 (84 FR 71536) and can be found under </w:t>
      </w:r>
      <w:r w:rsidRPr="00DD2E5D">
        <w:rPr>
          <w:rFonts w:ascii="Arial" w:hAnsi="Arial" w:cs="Arial"/>
          <w:sz w:val="22"/>
          <w:szCs w:val="22"/>
        </w:rPr>
        <w:t>can be found under</w:t>
      </w:r>
      <w:r>
        <w:rPr>
          <w:rStyle w:val="Hyperlink"/>
          <w:rFonts w:ascii="Arial" w:hAnsi="Arial" w:cs="Arial"/>
          <w:sz w:val="22"/>
          <w:szCs w:val="22"/>
        </w:rPr>
        <w:t xml:space="preserve"> </w:t>
      </w:r>
      <w:hyperlink w:history="1" r:id="rId13">
        <w:r w:rsidRPr="004B765B">
          <w:rPr>
            <w:rStyle w:val="Hyperlink"/>
            <w:rFonts w:ascii="Arial" w:hAnsi="Arial" w:cs="Arial"/>
            <w:sz w:val="22"/>
            <w:szCs w:val="22"/>
          </w:rPr>
          <w:t>https://www.nrc.gov/docs/ML2002/ML20022A245.pdf</w:t>
        </w:r>
      </w:hyperlink>
      <w:r>
        <w:rPr>
          <w:rStyle w:val="Hyperlink"/>
          <w:rFonts w:ascii="Arial" w:hAnsi="Arial" w:cs="Arial"/>
          <w:sz w:val="22"/>
          <w:szCs w:val="22"/>
        </w:rPr>
        <w:t>.</w:t>
      </w:r>
    </w:p>
    <w:p w:rsidR="003B27D3" w:rsidP="00695A0F" w:rsidRDefault="003B27D3" w14:paraId="40C97D4C" w14:textId="527FB2D2">
      <w:pPr>
        <w:widowControl w:val="0"/>
        <w:spacing w:after="240"/>
        <w:ind w:left="1440" w:right="720"/>
        <w:rPr>
          <w:rFonts w:ascii="Arial" w:hAnsi="Arial" w:cs="Arial"/>
          <w:sz w:val="22"/>
          <w:szCs w:val="22"/>
        </w:rPr>
      </w:pPr>
      <w:r>
        <w:rPr>
          <w:rFonts w:ascii="Arial" w:hAnsi="Arial" w:cs="Arial"/>
          <w:sz w:val="22"/>
          <w:szCs w:val="22"/>
        </w:rPr>
        <w:t xml:space="preserve">This system of records allows the NRC to provide REIRS data to states, government agencies, and organizations that conduct health studies research.  Requests for access to REIRS data follow a multi-step process.  Agencies interested in performing statistical or other evaluations of the data must first send a request to the REIRS project manager (PM) in the Office of Nuclear Regulatory Research. </w:t>
      </w:r>
      <w:r w:rsidR="00381C39">
        <w:rPr>
          <w:rFonts w:ascii="Arial" w:hAnsi="Arial" w:cs="Arial"/>
          <w:sz w:val="22"/>
          <w:szCs w:val="22"/>
        </w:rPr>
        <w:t xml:space="preserve"> </w:t>
      </w:r>
      <w:r>
        <w:rPr>
          <w:rFonts w:ascii="Arial" w:hAnsi="Arial" w:cs="Arial"/>
          <w:sz w:val="22"/>
          <w:szCs w:val="22"/>
        </w:rPr>
        <w:t xml:space="preserve">The PM reviews the request for consistency with the authorized uses of the data under the Privacy Act. </w:t>
      </w:r>
      <w:r w:rsidR="00381C39">
        <w:rPr>
          <w:rFonts w:ascii="Arial" w:hAnsi="Arial" w:cs="Arial"/>
          <w:sz w:val="22"/>
          <w:szCs w:val="22"/>
        </w:rPr>
        <w:t xml:space="preserve"> </w:t>
      </w:r>
      <w:r>
        <w:rPr>
          <w:rFonts w:ascii="Arial" w:hAnsi="Arial" w:cs="Arial"/>
          <w:sz w:val="22"/>
          <w:szCs w:val="22"/>
        </w:rPr>
        <w:t xml:space="preserve">Data in the REIRS system are stored in a secure server at Oak Ridge Associated Universities (ORAU). </w:t>
      </w:r>
      <w:r w:rsidR="00381C39">
        <w:rPr>
          <w:rFonts w:ascii="Arial" w:hAnsi="Arial" w:cs="Arial"/>
          <w:sz w:val="22"/>
          <w:szCs w:val="22"/>
        </w:rPr>
        <w:t xml:space="preserve"> </w:t>
      </w:r>
      <w:r>
        <w:rPr>
          <w:rFonts w:ascii="Arial" w:hAnsi="Arial" w:cs="Arial"/>
          <w:sz w:val="22"/>
          <w:szCs w:val="22"/>
        </w:rPr>
        <w:t xml:space="preserve">Any agencies requesting REIRS data must provide evidence of the ability to protect Personally Identifiable Information (PII) in the data request. </w:t>
      </w:r>
      <w:r w:rsidR="00381C39">
        <w:rPr>
          <w:rFonts w:ascii="Arial" w:hAnsi="Arial" w:cs="Arial"/>
          <w:sz w:val="22"/>
          <w:szCs w:val="22"/>
        </w:rPr>
        <w:t xml:space="preserve"> </w:t>
      </w:r>
      <w:r>
        <w:rPr>
          <w:rFonts w:ascii="Arial" w:hAnsi="Arial" w:cs="Arial"/>
          <w:sz w:val="22"/>
          <w:szCs w:val="22"/>
        </w:rPr>
        <w:t>Once the PM approves the request for data, a request is made to the ORAU technical and security staff to provide an additional review to ensure PII is protected before any data is transferred to the requesting entity.</w:t>
      </w:r>
    </w:p>
    <w:p w:rsidRPr="00583215" w:rsidR="003B4ABE" w:rsidP="005648B3" w:rsidRDefault="003B27D3" w14:paraId="20ED12EB" w14:textId="40C7CFA2">
      <w:pPr>
        <w:widowControl w:val="0"/>
        <w:spacing w:after="240"/>
        <w:ind w:left="1440" w:right="720"/>
        <w:rPr>
          <w:rFonts w:ascii="Arial" w:hAnsi="Arial" w:cs="Arial"/>
          <w:sz w:val="22"/>
          <w:szCs w:val="22"/>
        </w:rPr>
      </w:pPr>
      <w:r>
        <w:rPr>
          <w:rFonts w:ascii="Arial" w:hAnsi="Arial" w:cs="Arial"/>
          <w:sz w:val="22"/>
          <w:szCs w:val="22"/>
        </w:rPr>
        <w:t>The NRC has an interagency agreement with the U.S. Department of Energy (DOE) to provide REIRS data and to receive data from DOE’s Radiation Exposure Management System (REMS).</w:t>
      </w:r>
    </w:p>
    <w:p w:rsidR="003B4ABE" w:rsidP="005648B3" w:rsidRDefault="003B4ABE" w14:paraId="41FB85A2" w14:textId="54A1E7A6">
      <w:pPr>
        <w:pStyle w:val="Default"/>
        <w:tabs>
          <w:tab w:val="left" w:pos="1440"/>
        </w:tabs>
        <w:spacing w:after="240"/>
        <w:ind w:left="1440" w:hanging="720"/>
        <w:outlineLvl w:val="0"/>
        <w:rPr>
          <w:sz w:val="22"/>
          <w:szCs w:val="22"/>
          <w:u w:val="single"/>
        </w:rPr>
      </w:pPr>
      <w:r w:rsidRPr="00583215">
        <w:rPr>
          <w:sz w:val="22"/>
          <w:szCs w:val="22"/>
        </w:rPr>
        <w:t>11.</w:t>
      </w:r>
      <w:r w:rsidRPr="00583215">
        <w:rPr>
          <w:sz w:val="22"/>
          <w:szCs w:val="22"/>
        </w:rPr>
        <w:tab/>
      </w:r>
      <w:r w:rsidRPr="00583215">
        <w:rPr>
          <w:sz w:val="22"/>
          <w:szCs w:val="22"/>
          <w:u w:val="single"/>
        </w:rPr>
        <w:t>Justification for Sensitive Questions</w:t>
      </w:r>
    </w:p>
    <w:p w:rsidRPr="00E83D45" w:rsidR="00E83D45" w:rsidP="005648B3" w:rsidRDefault="00E83D45" w14:paraId="75C7CB7D" w14:textId="0CD66FE7">
      <w:pPr>
        <w:spacing w:after="240"/>
        <w:ind w:left="1440"/>
        <w:rPr>
          <w:rFonts w:ascii="Arial" w:hAnsi="Arial" w:cs="Arial"/>
          <w:sz w:val="22"/>
          <w:szCs w:val="22"/>
        </w:rPr>
      </w:pPr>
      <w:r w:rsidRPr="00E83D45">
        <w:rPr>
          <w:rFonts w:ascii="Arial" w:hAnsi="Arial" w:cs="Arial"/>
          <w:sz w:val="22"/>
          <w:szCs w:val="22"/>
        </w:rPr>
        <w:t>There are no sensitive questions.</w:t>
      </w:r>
    </w:p>
    <w:p w:rsidRPr="00C0205C" w:rsidR="003B4ABE" w:rsidP="005648B3" w:rsidRDefault="003B4ABE" w14:paraId="320B27C3" w14:textId="68F4A11B">
      <w:pPr>
        <w:pStyle w:val="Default"/>
        <w:spacing w:after="240"/>
        <w:ind w:left="1440" w:hanging="720"/>
        <w:outlineLvl w:val="0"/>
        <w:rPr>
          <w:sz w:val="22"/>
          <w:u w:val="single"/>
        </w:rPr>
      </w:pPr>
      <w:r w:rsidRPr="00E83D45">
        <w:rPr>
          <w:sz w:val="22"/>
        </w:rPr>
        <w:t>12.</w:t>
      </w:r>
      <w:r w:rsidRPr="00E83D45">
        <w:rPr>
          <w:sz w:val="22"/>
        </w:rPr>
        <w:tab/>
      </w:r>
      <w:r w:rsidRPr="00C0205C">
        <w:rPr>
          <w:sz w:val="22"/>
          <w:u w:val="single"/>
        </w:rPr>
        <w:t>Estimate of Annual Burden</w:t>
      </w:r>
    </w:p>
    <w:p w:rsidR="00AB7587" w:rsidP="00590A97" w:rsidRDefault="00AB7587" w14:paraId="39EFED06" w14:textId="5CA3CAB7">
      <w:pPr>
        <w:pStyle w:val="Default"/>
        <w:spacing w:after="258"/>
        <w:ind w:left="1440"/>
        <w:rPr>
          <w:sz w:val="22"/>
          <w:szCs w:val="22"/>
        </w:rPr>
      </w:pPr>
      <w:r>
        <w:rPr>
          <w:sz w:val="22"/>
          <w:szCs w:val="22"/>
        </w:rPr>
        <w:t xml:space="preserve">There are an estimated </w:t>
      </w:r>
      <w:r w:rsidRPr="00583215">
        <w:rPr>
          <w:sz w:val="22"/>
          <w:szCs w:val="22"/>
        </w:rPr>
        <w:t>4,1</w:t>
      </w:r>
      <w:r w:rsidR="00FE119A">
        <w:rPr>
          <w:sz w:val="22"/>
          <w:szCs w:val="22"/>
        </w:rPr>
        <w:t>46</w:t>
      </w:r>
      <w:r w:rsidRPr="00583215">
        <w:rPr>
          <w:sz w:val="22"/>
          <w:szCs w:val="22"/>
        </w:rPr>
        <w:t xml:space="preserve"> </w:t>
      </w:r>
      <w:r w:rsidR="00596A32">
        <w:rPr>
          <w:sz w:val="22"/>
          <w:szCs w:val="22"/>
        </w:rPr>
        <w:t xml:space="preserve">potential </w:t>
      </w:r>
      <w:r w:rsidRPr="00583215">
        <w:rPr>
          <w:sz w:val="22"/>
          <w:szCs w:val="22"/>
        </w:rPr>
        <w:t>respondents (9</w:t>
      </w:r>
      <w:r>
        <w:rPr>
          <w:sz w:val="22"/>
          <w:szCs w:val="22"/>
        </w:rPr>
        <w:t>8</w:t>
      </w:r>
      <w:r w:rsidRPr="00583215">
        <w:rPr>
          <w:sz w:val="22"/>
          <w:szCs w:val="22"/>
        </w:rPr>
        <w:t xml:space="preserve"> reactors plus 4,0</w:t>
      </w:r>
      <w:r w:rsidR="00FE119A">
        <w:rPr>
          <w:sz w:val="22"/>
          <w:szCs w:val="22"/>
        </w:rPr>
        <w:t>48</w:t>
      </w:r>
      <w:r w:rsidRPr="00583215">
        <w:rPr>
          <w:sz w:val="22"/>
          <w:szCs w:val="22"/>
        </w:rPr>
        <w:t xml:space="preserve"> materials licensees)</w:t>
      </w:r>
      <w:r>
        <w:rPr>
          <w:sz w:val="22"/>
          <w:szCs w:val="22"/>
        </w:rPr>
        <w:t>.</w:t>
      </w:r>
    </w:p>
    <w:p w:rsidRPr="00E25093" w:rsidR="003B4ABE" w:rsidP="005648B3" w:rsidRDefault="003B4ABE" w14:paraId="71013941" w14:textId="77777777">
      <w:pPr>
        <w:pStyle w:val="Default"/>
        <w:spacing w:after="240"/>
        <w:ind w:left="720" w:firstLine="720"/>
        <w:rPr>
          <w:sz w:val="22"/>
          <w:szCs w:val="22"/>
        </w:rPr>
      </w:pPr>
      <w:r w:rsidRPr="00E25093">
        <w:rPr>
          <w:sz w:val="22"/>
          <w:szCs w:val="22"/>
          <w:u w:val="single"/>
        </w:rPr>
        <w:t>Recordkeeping</w:t>
      </w:r>
    </w:p>
    <w:p w:rsidRPr="00E25093" w:rsidR="003B4ABE" w:rsidP="005648B3" w:rsidRDefault="003B4ABE" w14:paraId="56FE7583" w14:textId="5042641B">
      <w:pPr>
        <w:pStyle w:val="Default"/>
        <w:spacing w:after="240"/>
        <w:ind w:left="1440"/>
        <w:rPr>
          <w:sz w:val="22"/>
          <w:szCs w:val="22"/>
        </w:rPr>
      </w:pPr>
      <w:r w:rsidRPr="00E25093">
        <w:rPr>
          <w:sz w:val="22"/>
          <w:szCs w:val="22"/>
        </w:rPr>
        <w:t xml:space="preserve">10 CFR 20.2106 specifies the recordkeeping requirements, recordkeeping frequency, and privacy protection requirements for the licensees that are required to annually submit, either using NRC Form 5 or its equivalent paper or electronic format, occupational radiation exposure data pursuant to 10 CFR 20.2206.  It is estimated that approximately </w:t>
      </w:r>
      <w:r w:rsidRPr="00E25093" w:rsidR="00E25093">
        <w:rPr>
          <w:color w:val="auto"/>
          <w:sz w:val="22"/>
          <w:szCs w:val="22"/>
        </w:rPr>
        <w:t>159,988</w:t>
      </w:r>
      <w:r w:rsidRPr="00E25093">
        <w:rPr>
          <w:sz w:val="22"/>
          <w:szCs w:val="22"/>
        </w:rPr>
        <w:t xml:space="preserve"> persons are annually monitored at licensees’ facilities and generate approximately </w:t>
      </w:r>
      <w:r w:rsidR="00E25093">
        <w:rPr>
          <w:color w:val="auto"/>
          <w:sz w:val="22"/>
          <w:szCs w:val="22"/>
        </w:rPr>
        <w:t>17</w:t>
      </w:r>
      <w:r w:rsidR="005C0390">
        <w:rPr>
          <w:color w:val="auto"/>
          <w:sz w:val="22"/>
          <w:szCs w:val="22"/>
        </w:rPr>
        <w:t>4,907</w:t>
      </w:r>
      <w:r w:rsidRPr="00E25093">
        <w:rPr>
          <w:sz w:val="22"/>
          <w:szCs w:val="22"/>
        </w:rPr>
        <w:t xml:space="preserve"> records.</w:t>
      </w:r>
    </w:p>
    <w:p w:rsidRPr="00E25093" w:rsidR="003B4ABE" w:rsidP="00CA1A29" w:rsidRDefault="003B4ABE" w14:paraId="7AEF0903" w14:textId="3CA933BB">
      <w:pPr>
        <w:pStyle w:val="Default"/>
        <w:spacing w:after="240"/>
        <w:ind w:left="1440"/>
        <w:rPr>
          <w:sz w:val="22"/>
          <w:szCs w:val="22"/>
        </w:rPr>
      </w:pPr>
      <w:r w:rsidRPr="00E25093">
        <w:rPr>
          <w:sz w:val="22"/>
          <w:szCs w:val="22"/>
        </w:rPr>
        <w:t xml:space="preserve">Occupational workers that receive a radiation dose at more than one licensee generate more than one record.  </w:t>
      </w:r>
      <w:r w:rsidR="005220F3">
        <w:rPr>
          <w:sz w:val="22"/>
          <w:szCs w:val="22"/>
        </w:rPr>
        <w:t>Burden</w:t>
      </w:r>
      <w:r w:rsidRPr="00E25093">
        <w:rPr>
          <w:sz w:val="22"/>
          <w:szCs w:val="22"/>
        </w:rPr>
        <w:t xml:space="preserve"> for recordkeeping is estimated to be </w:t>
      </w:r>
      <w:r w:rsidRPr="00E25093">
        <w:rPr>
          <w:color w:val="auto"/>
          <w:sz w:val="22"/>
          <w:szCs w:val="22"/>
        </w:rPr>
        <w:t>0.58</w:t>
      </w:r>
      <w:r w:rsidRPr="00E25093">
        <w:rPr>
          <w:sz w:val="22"/>
          <w:szCs w:val="22"/>
        </w:rPr>
        <w:t xml:space="preserve"> hours</w:t>
      </w:r>
      <w:r w:rsidR="00ED4149">
        <w:rPr>
          <w:sz w:val="22"/>
          <w:szCs w:val="22"/>
        </w:rPr>
        <w:t xml:space="preserve"> (approximately 35 minutes)</w:t>
      </w:r>
      <w:r w:rsidRPr="00E25093">
        <w:rPr>
          <w:sz w:val="22"/>
          <w:szCs w:val="22"/>
        </w:rPr>
        <w:t xml:space="preserve">.  The annual recordkeeping burden is </w:t>
      </w:r>
      <w:r w:rsidRPr="00E25093">
        <w:rPr>
          <w:sz w:val="22"/>
          <w:szCs w:val="22"/>
        </w:rPr>
        <w:lastRenderedPageBreak/>
        <w:t xml:space="preserve">approximately </w:t>
      </w:r>
      <w:r w:rsidR="00E25093">
        <w:rPr>
          <w:color w:val="auto"/>
          <w:sz w:val="22"/>
          <w:szCs w:val="22"/>
        </w:rPr>
        <w:t>101,</w:t>
      </w:r>
      <w:r w:rsidR="005C0390">
        <w:rPr>
          <w:color w:val="auto"/>
          <w:sz w:val="22"/>
          <w:szCs w:val="22"/>
        </w:rPr>
        <w:t>446</w:t>
      </w:r>
      <w:r w:rsidRPr="00E25093">
        <w:rPr>
          <w:sz w:val="22"/>
          <w:szCs w:val="22"/>
        </w:rPr>
        <w:t xml:space="preserve"> hours (</w:t>
      </w:r>
      <w:r w:rsidR="00E25093">
        <w:rPr>
          <w:color w:val="auto"/>
          <w:sz w:val="22"/>
          <w:szCs w:val="22"/>
        </w:rPr>
        <w:t>17</w:t>
      </w:r>
      <w:r w:rsidR="005C0390">
        <w:rPr>
          <w:color w:val="auto"/>
          <w:sz w:val="22"/>
          <w:szCs w:val="22"/>
        </w:rPr>
        <w:t>4,907</w:t>
      </w:r>
      <w:r w:rsidRPr="00E25093">
        <w:rPr>
          <w:sz w:val="22"/>
          <w:szCs w:val="22"/>
        </w:rPr>
        <w:t xml:space="preserve"> records x </w:t>
      </w:r>
      <w:r w:rsidRPr="00E25093">
        <w:rPr>
          <w:color w:val="auto"/>
          <w:sz w:val="22"/>
          <w:szCs w:val="22"/>
        </w:rPr>
        <w:t>0.58</w:t>
      </w:r>
      <w:r w:rsidRPr="00E25093">
        <w:rPr>
          <w:sz w:val="22"/>
          <w:szCs w:val="22"/>
        </w:rPr>
        <w:t xml:space="preserve"> hours/record), </w:t>
      </w:r>
      <w:r w:rsidRPr="00E25093" w:rsidR="006746B8">
        <w:rPr>
          <w:sz w:val="22"/>
          <w:szCs w:val="22"/>
        </w:rPr>
        <w:t>t</w:t>
      </w:r>
      <w:r w:rsidRPr="00E25093">
        <w:rPr>
          <w:sz w:val="22"/>
          <w:szCs w:val="22"/>
        </w:rPr>
        <w:t>he annual recordkeeping burden cost is approximately $</w:t>
      </w:r>
      <w:r w:rsidR="00E25093">
        <w:rPr>
          <w:color w:val="auto"/>
          <w:sz w:val="22"/>
          <w:szCs w:val="22"/>
        </w:rPr>
        <w:t>28,</w:t>
      </w:r>
      <w:r w:rsidR="005C0390">
        <w:rPr>
          <w:color w:val="auto"/>
          <w:sz w:val="22"/>
          <w:szCs w:val="22"/>
        </w:rPr>
        <w:t>201,</w:t>
      </w:r>
      <w:r w:rsidR="00C2381A">
        <w:rPr>
          <w:color w:val="auto"/>
          <w:sz w:val="22"/>
          <w:szCs w:val="22"/>
        </w:rPr>
        <w:t>988</w:t>
      </w:r>
      <w:r w:rsidRPr="00E25093" w:rsidR="00C2381A">
        <w:rPr>
          <w:sz w:val="22"/>
          <w:szCs w:val="22"/>
        </w:rPr>
        <w:t xml:space="preserve"> </w:t>
      </w:r>
      <w:r w:rsidRPr="00E25093">
        <w:rPr>
          <w:sz w:val="22"/>
          <w:szCs w:val="22"/>
        </w:rPr>
        <w:t>(</w:t>
      </w:r>
      <w:r w:rsidR="00E25093">
        <w:rPr>
          <w:color w:val="auto"/>
          <w:sz w:val="22"/>
          <w:szCs w:val="22"/>
        </w:rPr>
        <w:t>101,</w:t>
      </w:r>
      <w:r w:rsidR="005C0390">
        <w:rPr>
          <w:color w:val="auto"/>
          <w:sz w:val="22"/>
          <w:szCs w:val="22"/>
        </w:rPr>
        <w:t>446</w:t>
      </w:r>
      <w:r w:rsidRPr="00E25093">
        <w:rPr>
          <w:color w:val="auto"/>
          <w:sz w:val="22"/>
          <w:szCs w:val="22"/>
        </w:rPr>
        <w:t xml:space="preserve"> </w:t>
      </w:r>
      <w:r w:rsidRPr="00E25093">
        <w:rPr>
          <w:sz w:val="22"/>
          <w:szCs w:val="22"/>
        </w:rPr>
        <w:t>hours x $</w:t>
      </w:r>
      <w:r w:rsidRPr="00E25093" w:rsidR="006746B8">
        <w:rPr>
          <w:color w:val="auto"/>
          <w:sz w:val="22"/>
          <w:szCs w:val="22"/>
        </w:rPr>
        <w:t>278</w:t>
      </w:r>
      <w:r w:rsidRPr="00E25093">
        <w:rPr>
          <w:sz w:val="22"/>
          <w:szCs w:val="22"/>
        </w:rPr>
        <w:t>/hour) (See Table 1)</w:t>
      </w:r>
      <w:r w:rsidR="00CA1A29">
        <w:rPr>
          <w:sz w:val="22"/>
          <w:szCs w:val="22"/>
        </w:rPr>
        <w:t>.</w:t>
      </w:r>
    </w:p>
    <w:p w:rsidRPr="000D1073" w:rsidR="003B4ABE" w:rsidP="00CA1A29" w:rsidRDefault="003B4ABE" w14:paraId="261D7306" w14:textId="77777777">
      <w:pPr>
        <w:pStyle w:val="Default"/>
        <w:spacing w:after="240"/>
        <w:ind w:left="1440"/>
        <w:rPr>
          <w:sz w:val="22"/>
          <w:szCs w:val="22"/>
        </w:rPr>
      </w:pPr>
      <w:r w:rsidRPr="000D1073">
        <w:rPr>
          <w:sz w:val="22"/>
          <w:szCs w:val="22"/>
          <w:u w:val="single"/>
        </w:rPr>
        <w:t>Reporting</w:t>
      </w:r>
    </w:p>
    <w:p w:rsidRPr="00E25093" w:rsidR="003B4ABE" w:rsidP="00CA1A29" w:rsidRDefault="003B4ABE" w14:paraId="52D27B8E" w14:textId="1CFB1B81">
      <w:pPr>
        <w:pStyle w:val="Default"/>
        <w:spacing w:after="240"/>
        <w:ind w:left="1440"/>
        <w:rPr>
          <w:sz w:val="22"/>
          <w:szCs w:val="22"/>
        </w:rPr>
      </w:pPr>
      <w:r w:rsidRPr="00E25093">
        <w:rPr>
          <w:sz w:val="22"/>
          <w:szCs w:val="22"/>
        </w:rPr>
        <w:t xml:space="preserve">10 CFR 20.2206 specifies seven categories of licensees that are required to annually submit their occupational workers’ radiation exposure data.  It is estimated that approximately </w:t>
      </w:r>
      <w:r w:rsidRPr="00E25093">
        <w:rPr>
          <w:color w:val="auto"/>
          <w:sz w:val="22"/>
          <w:szCs w:val="22"/>
        </w:rPr>
        <w:t>30</w:t>
      </w:r>
      <w:r w:rsidRPr="00E25093">
        <w:rPr>
          <w:sz w:val="22"/>
          <w:szCs w:val="22"/>
        </w:rPr>
        <w:t xml:space="preserve"> hours is needed to prepare, review, authorize, and submit this information to NRC, using NRC Form 5 or its paper or electronic equivalent.  </w:t>
      </w:r>
      <w:r w:rsidR="006C746A">
        <w:rPr>
          <w:sz w:val="22"/>
          <w:szCs w:val="22"/>
        </w:rPr>
        <w:t>Although there are currently 4,048 potential respondents, only the licenses belonging to the seven categories are required to report their data; the others may voluntarily report if they choose to do so.</w:t>
      </w:r>
      <w:r w:rsidR="00CA1A29">
        <w:rPr>
          <w:sz w:val="22"/>
          <w:szCs w:val="22"/>
        </w:rPr>
        <w:t xml:space="preserve"> </w:t>
      </w:r>
      <w:r w:rsidR="006C746A">
        <w:rPr>
          <w:sz w:val="22"/>
          <w:szCs w:val="22"/>
        </w:rPr>
        <w:t xml:space="preserve"> </w:t>
      </w:r>
      <w:r w:rsidR="005E2C6A">
        <w:rPr>
          <w:sz w:val="22"/>
          <w:szCs w:val="22"/>
        </w:rPr>
        <w:t>For the 2018 monitoring year</w:t>
      </w:r>
      <w:r w:rsidR="006C746A">
        <w:rPr>
          <w:sz w:val="22"/>
          <w:szCs w:val="22"/>
        </w:rPr>
        <w:t xml:space="preserve"> (the most current data available)</w:t>
      </w:r>
      <w:r w:rsidRPr="00E25093">
        <w:rPr>
          <w:sz w:val="22"/>
          <w:szCs w:val="22"/>
        </w:rPr>
        <w:t xml:space="preserve">, </w:t>
      </w:r>
      <w:r w:rsidR="00945791">
        <w:rPr>
          <w:sz w:val="22"/>
          <w:szCs w:val="22"/>
        </w:rPr>
        <w:t>1</w:t>
      </w:r>
      <w:r w:rsidR="00E25093">
        <w:rPr>
          <w:sz w:val="22"/>
          <w:szCs w:val="22"/>
        </w:rPr>
        <w:t>82</w:t>
      </w:r>
      <w:r w:rsidRPr="00E25093" w:rsidR="009E5631">
        <w:rPr>
          <w:sz w:val="22"/>
          <w:szCs w:val="22"/>
        </w:rPr>
        <w:t xml:space="preserve"> </w:t>
      </w:r>
      <w:r w:rsidRPr="00E25093">
        <w:rPr>
          <w:sz w:val="22"/>
          <w:szCs w:val="22"/>
        </w:rPr>
        <w:t xml:space="preserve">licensees submitted occupational radiation exposure information to the NRC.  The total reporting burden is </w:t>
      </w:r>
      <w:r w:rsidRPr="00E25093" w:rsidR="009E5631">
        <w:rPr>
          <w:color w:val="auto"/>
          <w:sz w:val="22"/>
          <w:szCs w:val="22"/>
        </w:rPr>
        <w:t>5,</w:t>
      </w:r>
      <w:r w:rsidR="00D025A7">
        <w:rPr>
          <w:color w:val="auto"/>
          <w:sz w:val="22"/>
          <w:szCs w:val="22"/>
        </w:rPr>
        <w:t>460</w:t>
      </w:r>
      <w:r w:rsidRPr="00E25093" w:rsidR="00D025A7">
        <w:rPr>
          <w:color w:val="auto"/>
          <w:sz w:val="22"/>
          <w:szCs w:val="22"/>
        </w:rPr>
        <w:t xml:space="preserve"> </w:t>
      </w:r>
      <w:r w:rsidRPr="00E25093">
        <w:rPr>
          <w:sz w:val="22"/>
          <w:szCs w:val="22"/>
        </w:rPr>
        <w:t>hours</w:t>
      </w:r>
      <w:r w:rsidRPr="00E25093" w:rsidR="001F6212">
        <w:rPr>
          <w:sz w:val="22"/>
          <w:szCs w:val="22"/>
        </w:rPr>
        <w:t xml:space="preserve">. </w:t>
      </w:r>
      <w:r w:rsidR="00D025A7">
        <w:rPr>
          <w:sz w:val="22"/>
          <w:szCs w:val="22"/>
        </w:rPr>
        <w:t>(182 licensees x 30 hours/licensee).</w:t>
      </w:r>
      <w:r w:rsidRPr="00E25093" w:rsidR="001F6212">
        <w:rPr>
          <w:sz w:val="22"/>
          <w:szCs w:val="22"/>
        </w:rPr>
        <w:t xml:space="preserve"> </w:t>
      </w:r>
      <w:r w:rsidR="00D748C6">
        <w:rPr>
          <w:sz w:val="22"/>
          <w:szCs w:val="22"/>
        </w:rPr>
        <w:t xml:space="preserve"> </w:t>
      </w:r>
      <w:r w:rsidRPr="00E25093">
        <w:rPr>
          <w:sz w:val="22"/>
          <w:szCs w:val="22"/>
        </w:rPr>
        <w:t xml:space="preserve">The total reporting burden for the </w:t>
      </w:r>
      <w:r w:rsidRPr="00E25093" w:rsidR="00D025A7">
        <w:rPr>
          <w:color w:val="auto"/>
          <w:sz w:val="22"/>
          <w:szCs w:val="22"/>
        </w:rPr>
        <w:t>1</w:t>
      </w:r>
      <w:r w:rsidR="00D025A7">
        <w:rPr>
          <w:color w:val="auto"/>
          <w:sz w:val="22"/>
          <w:szCs w:val="22"/>
        </w:rPr>
        <w:t>82</w:t>
      </w:r>
      <w:r w:rsidRPr="00E25093" w:rsidR="00D025A7">
        <w:rPr>
          <w:sz w:val="22"/>
          <w:szCs w:val="22"/>
        </w:rPr>
        <w:t xml:space="preserve"> </w:t>
      </w:r>
      <w:r w:rsidRPr="00E25093">
        <w:rPr>
          <w:sz w:val="22"/>
          <w:szCs w:val="22"/>
        </w:rPr>
        <w:t>licensees is $</w:t>
      </w:r>
      <w:r w:rsidRPr="00E25093" w:rsidR="009E5631">
        <w:rPr>
          <w:sz w:val="22"/>
          <w:szCs w:val="22"/>
        </w:rPr>
        <w:t>1,</w:t>
      </w:r>
      <w:r w:rsidR="00D025A7">
        <w:rPr>
          <w:sz w:val="22"/>
          <w:szCs w:val="22"/>
        </w:rPr>
        <w:t>517,880</w:t>
      </w:r>
      <w:r w:rsidR="00D2562F">
        <w:rPr>
          <w:sz w:val="22"/>
          <w:szCs w:val="22"/>
        </w:rPr>
        <w:t xml:space="preserve"> </w:t>
      </w:r>
      <w:r w:rsidRPr="00E25093" w:rsidR="00D2562F">
        <w:rPr>
          <w:sz w:val="22"/>
          <w:szCs w:val="22"/>
        </w:rPr>
        <w:t>(</w:t>
      </w:r>
      <w:r w:rsidRPr="00583215" w:rsidR="00D2562F">
        <w:rPr>
          <w:sz w:val="22"/>
          <w:szCs w:val="22"/>
        </w:rPr>
        <w:t>5,</w:t>
      </w:r>
      <w:r w:rsidR="00D2562F">
        <w:rPr>
          <w:sz w:val="22"/>
          <w:szCs w:val="22"/>
        </w:rPr>
        <w:t>460</w:t>
      </w:r>
      <w:r w:rsidRPr="00E25093" w:rsidR="00D2562F">
        <w:rPr>
          <w:color w:val="auto"/>
          <w:sz w:val="22"/>
          <w:szCs w:val="22"/>
        </w:rPr>
        <w:t xml:space="preserve"> </w:t>
      </w:r>
      <w:r w:rsidRPr="00E25093" w:rsidR="00D2562F">
        <w:rPr>
          <w:sz w:val="22"/>
          <w:szCs w:val="22"/>
        </w:rPr>
        <w:t>hours x $</w:t>
      </w:r>
      <w:r w:rsidRPr="00E25093" w:rsidR="00D2562F">
        <w:rPr>
          <w:color w:val="auto"/>
          <w:sz w:val="22"/>
          <w:szCs w:val="22"/>
        </w:rPr>
        <w:t>278</w:t>
      </w:r>
      <w:r w:rsidRPr="00E25093" w:rsidR="00D2562F">
        <w:rPr>
          <w:sz w:val="22"/>
          <w:szCs w:val="22"/>
        </w:rPr>
        <w:t>/hour</w:t>
      </w:r>
      <w:r w:rsidRPr="00E25093">
        <w:rPr>
          <w:sz w:val="22"/>
          <w:szCs w:val="22"/>
        </w:rPr>
        <w:t>) (See Table 2)</w:t>
      </w:r>
      <w:r w:rsidR="00CA1A29">
        <w:rPr>
          <w:sz w:val="22"/>
          <w:szCs w:val="22"/>
        </w:rPr>
        <w:t>.</w:t>
      </w:r>
    </w:p>
    <w:p w:rsidRPr="00DD371E" w:rsidR="0097145A" w:rsidP="00DD371E" w:rsidRDefault="003B4ABE" w14:paraId="5315E296" w14:textId="18CBF4F5">
      <w:pPr>
        <w:pStyle w:val="Default"/>
        <w:spacing w:after="240"/>
        <w:ind w:left="1440"/>
        <w:rPr>
          <w:color w:val="auto"/>
          <w:sz w:val="22"/>
        </w:rPr>
      </w:pPr>
      <w:r w:rsidRPr="00DD371E">
        <w:rPr>
          <w:color w:val="auto"/>
          <w:sz w:val="22"/>
        </w:rPr>
        <w:t xml:space="preserve">TOTAL: The total burden costs for recordkeeping and reporting are </w:t>
      </w:r>
      <w:r w:rsidRPr="00DD371E" w:rsidR="00D025A7">
        <w:rPr>
          <w:color w:val="auto"/>
          <w:sz w:val="22"/>
        </w:rPr>
        <w:t>106,</w:t>
      </w:r>
      <w:r w:rsidRPr="00DD371E" w:rsidR="003A20FE">
        <w:rPr>
          <w:color w:val="auto"/>
          <w:sz w:val="22"/>
        </w:rPr>
        <w:t>9</w:t>
      </w:r>
      <w:r w:rsidR="003A20FE">
        <w:rPr>
          <w:color w:val="auto"/>
          <w:sz w:val="22"/>
        </w:rPr>
        <w:t>06</w:t>
      </w:r>
      <w:r w:rsidRPr="00DD371E" w:rsidR="003A20FE">
        <w:rPr>
          <w:color w:val="auto"/>
          <w:sz w:val="22"/>
        </w:rPr>
        <w:t xml:space="preserve"> </w:t>
      </w:r>
      <w:r w:rsidRPr="00DD371E">
        <w:rPr>
          <w:color w:val="auto"/>
          <w:sz w:val="22"/>
        </w:rPr>
        <w:t>hours at a cost of $</w:t>
      </w:r>
      <w:r w:rsidRPr="00DD371E" w:rsidR="00D025A7">
        <w:rPr>
          <w:color w:val="auto"/>
          <w:sz w:val="22"/>
        </w:rPr>
        <w:t>29,</w:t>
      </w:r>
      <w:r w:rsidRPr="00DD371E" w:rsidR="00477CF4">
        <w:rPr>
          <w:color w:val="auto"/>
          <w:sz w:val="22"/>
        </w:rPr>
        <w:t>7</w:t>
      </w:r>
      <w:r w:rsidR="00477CF4">
        <w:rPr>
          <w:color w:val="auto"/>
          <w:sz w:val="22"/>
        </w:rPr>
        <w:t>19</w:t>
      </w:r>
      <w:r w:rsidRPr="00DD371E" w:rsidR="00D025A7">
        <w:rPr>
          <w:color w:val="auto"/>
          <w:sz w:val="22"/>
        </w:rPr>
        <w:t>,8</w:t>
      </w:r>
      <w:r w:rsidR="00477CF4">
        <w:rPr>
          <w:color w:val="auto"/>
          <w:sz w:val="22"/>
        </w:rPr>
        <w:t>68</w:t>
      </w:r>
      <w:r w:rsidRPr="00DD371E">
        <w:rPr>
          <w:color w:val="auto"/>
          <w:sz w:val="22"/>
        </w:rPr>
        <w:t>.</w:t>
      </w:r>
    </w:p>
    <w:p w:rsidRPr="00C0205C" w:rsidR="0097145A" w:rsidP="0097145A" w:rsidRDefault="0097145A" w14:paraId="09A27C6C" w14:textId="51916DD8">
      <w:pPr>
        <w:pStyle w:val="Default"/>
        <w:spacing w:after="240"/>
        <w:ind w:left="1440" w:hanging="720"/>
        <w:outlineLvl w:val="0"/>
        <w:rPr>
          <w:sz w:val="22"/>
          <w:u w:val="single"/>
        </w:rPr>
      </w:pPr>
      <w:r w:rsidRPr="00E83D45">
        <w:rPr>
          <w:sz w:val="22"/>
        </w:rPr>
        <w:t>1</w:t>
      </w:r>
      <w:r w:rsidR="00207B6A">
        <w:rPr>
          <w:sz w:val="22"/>
        </w:rPr>
        <w:t>3</w:t>
      </w:r>
      <w:r w:rsidRPr="00E83D45">
        <w:rPr>
          <w:sz w:val="22"/>
        </w:rPr>
        <w:t>.</w:t>
      </w:r>
      <w:r w:rsidRPr="00E83D45">
        <w:rPr>
          <w:sz w:val="22"/>
        </w:rPr>
        <w:tab/>
      </w:r>
      <w:r w:rsidRPr="00BF6192">
        <w:rPr>
          <w:color w:val="auto"/>
          <w:sz w:val="22"/>
          <w:szCs w:val="22"/>
          <w:u w:val="single"/>
        </w:rPr>
        <w:t>Estimate of Other Additional C</w:t>
      </w:r>
      <w:r>
        <w:rPr>
          <w:color w:val="auto"/>
          <w:sz w:val="22"/>
          <w:szCs w:val="22"/>
          <w:u w:val="single"/>
        </w:rPr>
        <w:t>ost</w:t>
      </w:r>
    </w:p>
    <w:p w:rsidRPr="00583215" w:rsidR="003B4ABE" w:rsidP="00CA1A29" w:rsidRDefault="003B4ABE" w14:paraId="624E2FD7" w14:textId="7004BAEE">
      <w:pPr>
        <w:pStyle w:val="Default"/>
        <w:spacing w:after="240"/>
        <w:ind w:left="1440"/>
        <w:rPr>
          <w:color w:val="auto"/>
          <w:sz w:val="22"/>
          <w:szCs w:val="22"/>
        </w:rPr>
      </w:pPr>
      <w:r w:rsidRPr="00BF6192">
        <w:rPr>
          <w:color w:val="auto"/>
          <w:sz w:val="22"/>
          <w:szCs w:val="22"/>
        </w:rPr>
        <w:t xml:space="preserve">In addition to the recordkeeping and reporting burdens, a storage burden is also </w:t>
      </w:r>
      <w:r w:rsidRPr="00583215">
        <w:rPr>
          <w:color w:val="auto"/>
          <w:sz w:val="22"/>
          <w:szCs w:val="22"/>
        </w:rPr>
        <w:t>associated with the information collection of occupational radiation exposure data.  The quantity of records to be maintained and stored is roughly proportional to the recordkeeping burden.  Based on the number of pages maintained for a typical clearance, records storage costs have been determined to be equal to 0.0004 times the recordkeeping burden cost.  The storage cost for this clearance is estimated to be $</w:t>
      </w:r>
      <w:r w:rsidR="00DE457E">
        <w:rPr>
          <w:color w:val="auto"/>
          <w:sz w:val="22"/>
          <w:szCs w:val="22"/>
        </w:rPr>
        <w:t>11,</w:t>
      </w:r>
      <w:r w:rsidR="00250906">
        <w:rPr>
          <w:color w:val="auto"/>
          <w:sz w:val="22"/>
          <w:szCs w:val="22"/>
        </w:rPr>
        <w:t>287</w:t>
      </w:r>
      <w:r w:rsidR="009368D7">
        <w:rPr>
          <w:color w:val="auto"/>
          <w:sz w:val="22"/>
          <w:szCs w:val="22"/>
        </w:rPr>
        <w:t xml:space="preserve"> </w:t>
      </w:r>
      <w:r w:rsidRPr="00583215">
        <w:rPr>
          <w:color w:val="auto"/>
          <w:sz w:val="22"/>
          <w:szCs w:val="22"/>
        </w:rPr>
        <w:t>(</w:t>
      </w:r>
      <w:r w:rsidR="00ED4F46">
        <w:rPr>
          <w:color w:val="auto"/>
          <w:sz w:val="22"/>
          <w:szCs w:val="22"/>
        </w:rPr>
        <w:t>101,500</w:t>
      </w:r>
      <w:r w:rsidRPr="00583215">
        <w:rPr>
          <w:color w:val="auto"/>
          <w:sz w:val="22"/>
          <w:szCs w:val="22"/>
        </w:rPr>
        <w:t xml:space="preserve"> hours x 0.0004 x $2</w:t>
      </w:r>
      <w:r w:rsidR="001D2200">
        <w:rPr>
          <w:color w:val="auto"/>
          <w:sz w:val="22"/>
          <w:szCs w:val="22"/>
        </w:rPr>
        <w:t>78</w:t>
      </w:r>
      <w:r w:rsidRPr="00583215">
        <w:rPr>
          <w:color w:val="auto"/>
          <w:sz w:val="22"/>
          <w:szCs w:val="22"/>
        </w:rPr>
        <w:t>/hour).</w:t>
      </w:r>
    </w:p>
    <w:p w:rsidRPr="00F57AB0" w:rsidR="003B4ABE" w:rsidP="00F57AB0" w:rsidRDefault="003B4ABE" w14:paraId="6C8E465C" w14:textId="650335AE">
      <w:pPr>
        <w:pStyle w:val="Default"/>
        <w:spacing w:after="240"/>
        <w:ind w:left="1440" w:hanging="720"/>
        <w:outlineLvl w:val="0"/>
        <w:rPr>
          <w:bCs/>
          <w:sz w:val="22"/>
          <w:szCs w:val="22"/>
        </w:rPr>
      </w:pPr>
      <w:r w:rsidRPr="00583215">
        <w:rPr>
          <w:sz w:val="22"/>
          <w:szCs w:val="22"/>
        </w:rPr>
        <w:t>14.</w:t>
      </w:r>
      <w:r w:rsidRPr="00583215">
        <w:rPr>
          <w:sz w:val="22"/>
          <w:szCs w:val="22"/>
        </w:rPr>
        <w:tab/>
      </w:r>
      <w:r w:rsidRPr="00583215">
        <w:rPr>
          <w:sz w:val="22"/>
          <w:szCs w:val="22"/>
          <w:u w:val="single"/>
        </w:rPr>
        <w:t>Estimated Annualized Cost to the NRC</w:t>
      </w:r>
    </w:p>
    <w:p w:rsidRPr="00583215" w:rsidR="003B4ABE" w:rsidP="00F57AB0" w:rsidRDefault="003B4ABE" w14:paraId="6BF0B41D" w14:textId="013C1F44">
      <w:pPr>
        <w:pStyle w:val="Default"/>
        <w:spacing w:after="240"/>
        <w:ind w:left="1440"/>
        <w:rPr>
          <w:sz w:val="22"/>
          <w:szCs w:val="22"/>
        </w:rPr>
      </w:pPr>
      <w:r w:rsidRPr="00583215">
        <w:rPr>
          <w:sz w:val="22"/>
          <w:szCs w:val="22"/>
        </w:rPr>
        <w:t>The NRC cost is incurred by inspectors reviewing the information on NRC Form 5, or its equivalent, and supporting records maintained by licensees.  Annually, 2</w:t>
      </w:r>
      <w:r w:rsidR="00210AAF">
        <w:rPr>
          <w:sz w:val="22"/>
          <w:szCs w:val="22"/>
        </w:rPr>
        <w:t>4</w:t>
      </w:r>
      <w:r w:rsidR="00DE457E">
        <w:rPr>
          <w:sz w:val="22"/>
          <w:szCs w:val="22"/>
        </w:rPr>
        <w:t>5</w:t>
      </w:r>
      <w:r w:rsidRPr="00583215">
        <w:rPr>
          <w:b/>
          <w:sz w:val="22"/>
          <w:szCs w:val="22"/>
        </w:rPr>
        <w:t xml:space="preserve"> </w:t>
      </w:r>
      <w:r w:rsidRPr="00583215">
        <w:rPr>
          <w:sz w:val="22"/>
          <w:szCs w:val="22"/>
        </w:rPr>
        <w:t>hours of inspection time is spent reviewing such records, at an average of 2.5 hours for each of the 9</w:t>
      </w:r>
      <w:r w:rsidR="00DE457E">
        <w:rPr>
          <w:sz w:val="22"/>
          <w:szCs w:val="22"/>
        </w:rPr>
        <w:t>8</w:t>
      </w:r>
      <w:r w:rsidRPr="00583215">
        <w:rPr>
          <w:sz w:val="22"/>
          <w:szCs w:val="22"/>
        </w:rPr>
        <w:t xml:space="preserve"> active reactor sites. </w:t>
      </w:r>
      <w:r w:rsidR="00E83D45">
        <w:rPr>
          <w:sz w:val="22"/>
          <w:szCs w:val="22"/>
        </w:rPr>
        <w:t xml:space="preserve"> </w:t>
      </w:r>
      <w:r w:rsidRPr="00583215">
        <w:rPr>
          <w:sz w:val="22"/>
          <w:szCs w:val="22"/>
        </w:rPr>
        <w:t>The annual cost for reactor inspections of NRC Form 5, or its equivalent, is $</w:t>
      </w:r>
      <w:r w:rsidR="005A09D6">
        <w:rPr>
          <w:color w:val="auto"/>
          <w:sz w:val="22"/>
          <w:szCs w:val="22"/>
        </w:rPr>
        <w:t>68,110</w:t>
      </w:r>
      <w:r w:rsidRPr="00583215" w:rsidR="00237509">
        <w:rPr>
          <w:sz w:val="22"/>
          <w:szCs w:val="22"/>
        </w:rPr>
        <w:t xml:space="preserve"> </w:t>
      </w:r>
      <w:r w:rsidRPr="00583215">
        <w:rPr>
          <w:sz w:val="22"/>
          <w:szCs w:val="22"/>
        </w:rPr>
        <w:t>(2</w:t>
      </w:r>
      <w:r w:rsidR="00210AAF">
        <w:rPr>
          <w:sz w:val="22"/>
          <w:szCs w:val="22"/>
        </w:rPr>
        <w:t>4</w:t>
      </w:r>
      <w:r w:rsidR="005A09D6">
        <w:rPr>
          <w:sz w:val="22"/>
          <w:szCs w:val="22"/>
        </w:rPr>
        <w:t>5</w:t>
      </w:r>
      <w:r w:rsidRPr="00583215">
        <w:rPr>
          <w:sz w:val="22"/>
          <w:szCs w:val="22"/>
        </w:rPr>
        <w:t xml:space="preserve"> hours x $</w:t>
      </w:r>
      <w:r w:rsidRPr="00583215">
        <w:rPr>
          <w:color w:val="auto"/>
          <w:sz w:val="22"/>
          <w:szCs w:val="22"/>
        </w:rPr>
        <w:t>2</w:t>
      </w:r>
      <w:r w:rsidR="009002F9">
        <w:rPr>
          <w:color w:val="auto"/>
          <w:sz w:val="22"/>
          <w:szCs w:val="22"/>
        </w:rPr>
        <w:t>78</w:t>
      </w:r>
      <w:r w:rsidRPr="00583215">
        <w:rPr>
          <w:sz w:val="22"/>
          <w:szCs w:val="22"/>
        </w:rPr>
        <w:t>/hour).</w:t>
      </w:r>
    </w:p>
    <w:p w:rsidRPr="00583215" w:rsidR="003B4ABE" w:rsidP="00965800" w:rsidRDefault="003B4ABE" w14:paraId="70C0310E" w14:textId="38496A1D">
      <w:pPr>
        <w:pStyle w:val="Default"/>
        <w:spacing w:after="240"/>
        <w:ind w:left="1440"/>
        <w:rPr>
          <w:sz w:val="22"/>
          <w:szCs w:val="22"/>
        </w:rPr>
      </w:pPr>
      <w:r>
        <w:rPr>
          <w:sz w:val="22"/>
          <w:szCs w:val="22"/>
        </w:rPr>
        <w:t>T</w:t>
      </w:r>
      <w:r w:rsidRPr="00583215">
        <w:rPr>
          <w:sz w:val="22"/>
          <w:szCs w:val="22"/>
        </w:rPr>
        <w:t xml:space="preserve">he number of </w:t>
      </w:r>
      <w:r>
        <w:rPr>
          <w:sz w:val="22"/>
          <w:szCs w:val="22"/>
        </w:rPr>
        <w:t xml:space="preserve">operating </w:t>
      </w:r>
      <w:r w:rsidRPr="00583215">
        <w:rPr>
          <w:sz w:val="22"/>
          <w:szCs w:val="22"/>
        </w:rPr>
        <w:t xml:space="preserve">reactor sites has </w:t>
      </w:r>
      <w:r>
        <w:rPr>
          <w:sz w:val="22"/>
          <w:szCs w:val="22"/>
        </w:rPr>
        <w:t>declined f</w:t>
      </w:r>
      <w:r w:rsidR="00A65FC0">
        <w:rPr>
          <w:sz w:val="22"/>
          <w:szCs w:val="22"/>
        </w:rPr>
        <w:t>ro</w:t>
      </w:r>
      <w:r>
        <w:rPr>
          <w:sz w:val="22"/>
          <w:szCs w:val="22"/>
        </w:rPr>
        <w:t>m</w:t>
      </w:r>
      <w:r w:rsidRPr="00583215">
        <w:rPr>
          <w:sz w:val="22"/>
          <w:szCs w:val="22"/>
        </w:rPr>
        <w:t xml:space="preserve"> </w:t>
      </w:r>
      <w:r w:rsidR="002D12E4">
        <w:rPr>
          <w:sz w:val="22"/>
          <w:szCs w:val="22"/>
        </w:rPr>
        <w:t>99</w:t>
      </w:r>
      <w:r w:rsidRPr="00583215" w:rsidR="002D12E4">
        <w:rPr>
          <w:sz w:val="22"/>
          <w:szCs w:val="22"/>
        </w:rPr>
        <w:t xml:space="preserve"> </w:t>
      </w:r>
      <w:r w:rsidRPr="00583215">
        <w:rPr>
          <w:sz w:val="22"/>
          <w:szCs w:val="22"/>
        </w:rPr>
        <w:t>sites</w:t>
      </w:r>
      <w:r>
        <w:rPr>
          <w:sz w:val="22"/>
          <w:szCs w:val="22"/>
        </w:rPr>
        <w:t xml:space="preserve"> to 9</w:t>
      </w:r>
      <w:r w:rsidR="005A09D6">
        <w:rPr>
          <w:sz w:val="22"/>
          <w:szCs w:val="22"/>
        </w:rPr>
        <w:t>8</w:t>
      </w:r>
      <w:r>
        <w:rPr>
          <w:sz w:val="22"/>
          <w:szCs w:val="22"/>
        </w:rPr>
        <w:t xml:space="preserve"> sites</w:t>
      </w:r>
      <w:r w:rsidR="008347A2">
        <w:rPr>
          <w:sz w:val="22"/>
          <w:szCs w:val="22"/>
        </w:rPr>
        <w:t>.</w:t>
      </w:r>
      <w:r>
        <w:rPr>
          <w:sz w:val="22"/>
          <w:szCs w:val="22"/>
        </w:rPr>
        <w:t xml:space="preserve"> </w:t>
      </w:r>
      <w:r w:rsidR="00965800">
        <w:rPr>
          <w:sz w:val="22"/>
          <w:szCs w:val="22"/>
        </w:rPr>
        <w:t xml:space="preserve"> </w:t>
      </w:r>
      <w:r w:rsidRPr="00583215">
        <w:rPr>
          <w:sz w:val="22"/>
          <w:szCs w:val="22"/>
        </w:rPr>
        <w:t xml:space="preserve">NRC is </w:t>
      </w:r>
      <w:r w:rsidR="00153791">
        <w:rPr>
          <w:sz w:val="22"/>
          <w:szCs w:val="22"/>
        </w:rPr>
        <w:t xml:space="preserve">additionally </w:t>
      </w:r>
      <w:r w:rsidRPr="00583215">
        <w:rPr>
          <w:sz w:val="22"/>
          <w:szCs w:val="22"/>
        </w:rPr>
        <w:t xml:space="preserve">responsible for conducting inspections of NRC Form 5, or its equivalent, and supporting records maintained by </w:t>
      </w:r>
      <w:r w:rsidRPr="00583215">
        <w:rPr>
          <w:color w:val="auto"/>
          <w:sz w:val="22"/>
          <w:szCs w:val="22"/>
        </w:rPr>
        <w:t>4,</w:t>
      </w:r>
      <w:r w:rsidRPr="00583215" w:rsidR="009368D7">
        <w:rPr>
          <w:color w:val="auto"/>
          <w:sz w:val="22"/>
          <w:szCs w:val="22"/>
        </w:rPr>
        <w:t>0</w:t>
      </w:r>
      <w:r w:rsidR="009368D7">
        <w:rPr>
          <w:color w:val="auto"/>
          <w:sz w:val="22"/>
          <w:szCs w:val="22"/>
        </w:rPr>
        <w:t>48</w:t>
      </w:r>
      <w:r w:rsidRPr="00583215" w:rsidR="009368D7">
        <w:rPr>
          <w:sz w:val="22"/>
          <w:szCs w:val="22"/>
        </w:rPr>
        <w:t xml:space="preserve"> </w:t>
      </w:r>
      <w:r w:rsidRPr="00583215">
        <w:rPr>
          <w:sz w:val="22"/>
          <w:szCs w:val="22"/>
        </w:rPr>
        <w:t xml:space="preserve">materials licensees.  It is estimated that approximately </w:t>
      </w:r>
      <w:r w:rsidRPr="00583215">
        <w:rPr>
          <w:color w:val="auto"/>
          <w:sz w:val="22"/>
          <w:szCs w:val="22"/>
        </w:rPr>
        <w:t>2,</w:t>
      </w:r>
      <w:r w:rsidRPr="00583215" w:rsidR="009368D7">
        <w:rPr>
          <w:color w:val="auto"/>
          <w:sz w:val="22"/>
          <w:szCs w:val="22"/>
        </w:rPr>
        <w:t>0</w:t>
      </w:r>
      <w:r w:rsidR="009368D7">
        <w:rPr>
          <w:color w:val="auto"/>
          <w:sz w:val="22"/>
          <w:szCs w:val="22"/>
        </w:rPr>
        <w:t>24</w:t>
      </w:r>
      <w:r w:rsidRPr="00583215" w:rsidR="009368D7">
        <w:rPr>
          <w:sz w:val="22"/>
          <w:szCs w:val="22"/>
        </w:rPr>
        <w:t xml:space="preserve"> </w:t>
      </w:r>
      <w:r w:rsidRPr="00583215">
        <w:rPr>
          <w:sz w:val="22"/>
          <w:szCs w:val="22"/>
        </w:rPr>
        <w:t xml:space="preserve">hours of inspection time is spent reviewing such records at an average of 0.5 hours for each of the </w:t>
      </w:r>
      <w:r w:rsidRPr="00583215">
        <w:rPr>
          <w:color w:val="auto"/>
          <w:sz w:val="22"/>
          <w:szCs w:val="22"/>
        </w:rPr>
        <w:t>4,</w:t>
      </w:r>
      <w:r w:rsidRPr="00583215" w:rsidR="009368D7">
        <w:rPr>
          <w:color w:val="auto"/>
          <w:sz w:val="22"/>
          <w:szCs w:val="22"/>
        </w:rPr>
        <w:t>0</w:t>
      </w:r>
      <w:r w:rsidR="009368D7">
        <w:rPr>
          <w:color w:val="auto"/>
          <w:sz w:val="22"/>
          <w:szCs w:val="22"/>
        </w:rPr>
        <w:t>48</w:t>
      </w:r>
      <w:r w:rsidRPr="00583215" w:rsidR="009368D7">
        <w:rPr>
          <w:sz w:val="22"/>
          <w:szCs w:val="22"/>
        </w:rPr>
        <w:t xml:space="preserve"> </w:t>
      </w:r>
      <w:r w:rsidRPr="00583215">
        <w:rPr>
          <w:sz w:val="22"/>
          <w:szCs w:val="22"/>
        </w:rPr>
        <w:t>materials licensees.  The annual cost for materials inspectors to review these forms is $</w:t>
      </w:r>
      <w:r w:rsidR="006F1FCB">
        <w:rPr>
          <w:color w:val="auto"/>
          <w:sz w:val="22"/>
          <w:szCs w:val="22"/>
        </w:rPr>
        <w:t>56</w:t>
      </w:r>
      <w:r w:rsidR="009368D7">
        <w:rPr>
          <w:color w:val="auto"/>
          <w:sz w:val="22"/>
          <w:szCs w:val="22"/>
        </w:rPr>
        <w:t>2,672</w:t>
      </w:r>
      <w:r w:rsidRPr="00583215">
        <w:rPr>
          <w:sz w:val="22"/>
          <w:szCs w:val="22"/>
        </w:rPr>
        <w:t xml:space="preserve"> (</w:t>
      </w:r>
      <w:r w:rsidRPr="00583215">
        <w:rPr>
          <w:color w:val="auto"/>
          <w:sz w:val="22"/>
          <w:szCs w:val="22"/>
        </w:rPr>
        <w:t>2,0</w:t>
      </w:r>
      <w:r w:rsidR="009368D7">
        <w:rPr>
          <w:color w:val="auto"/>
          <w:sz w:val="22"/>
          <w:szCs w:val="22"/>
        </w:rPr>
        <w:t>24</w:t>
      </w:r>
      <w:r w:rsidRPr="00583215">
        <w:rPr>
          <w:sz w:val="22"/>
          <w:szCs w:val="22"/>
        </w:rPr>
        <w:t xml:space="preserve"> hours x </w:t>
      </w:r>
      <w:r w:rsidRPr="00583215">
        <w:rPr>
          <w:color w:val="auto"/>
          <w:sz w:val="22"/>
          <w:szCs w:val="22"/>
        </w:rPr>
        <w:t>$2</w:t>
      </w:r>
      <w:r w:rsidR="00450BEB">
        <w:rPr>
          <w:color w:val="auto"/>
          <w:sz w:val="22"/>
          <w:szCs w:val="22"/>
        </w:rPr>
        <w:t>78</w:t>
      </w:r>
      <w:r w:rsidRPr="00583215">
        <w:rPr>
          <w:color w:val="auto"/>
          <w:sz w:val="22"/>
          <w:szCs w:val="22"/>
        </w:rPr>
        <w:t>/hour</w:t>
      </w:r>
      <w:r w:rsidRPr="00583215">
        <w:rPr>
          <w:sz w:val="22"/>
          <w:szCs w:val="22"/>
        </w:rPr>
        <w:t>).</w:t>
      </w:r>
    </w:p>
    <w:p w:rsidRPr="00921A6B" w:rsidR="00921A6B" w:rsidP="00921A6B" w:rsidRDefault="003B4ABE" w14:paraId="49F1D2C4" w14:textId="5F0836E0">
      <w:pPr>
        <w:pStyle w:val="Default"/>
        <w:spacing w:after="240"/>
        <w:ind w:left="1440"/>
        <w:rPr>
          <w:sz w:val="22"/>
          <w:szCs w:val="22"/>
        </w:rPr>
      </w:pPr>
      <w:r w:rsidRPr="00583215">
        <w:rPr>
          <w:sz w:val="22"/>
          <w:szCs w:val="22"/>
        </w:rPr>
        <w:t xml:space="preserve">Annually the total inspection cost is approximately </w:t>
      </w:r>
      <w:r w:rsidRPr="001F3D87">
        <w:rPr>
          <w:sz w:val="22"/>
          <w:szCs w:val="22"/>
        </w:rPr>
        <w:t>$</w:t>
      </w:r>
      <w:r w:rsidR="000C67E5">
        <w:rPr>
          <w:color w:val="auto"/>
          <w:sz w:val="22"/>
          <w:szCs w:val="22"/>
        </w:rPr>
        <w:t>630</w:t>
      </w:r>
      <w:r w:rsidR="006F1FCB">
        <w:rPr>
          <w:color w:val="auto"/>
          <w:sz w:val="22"/>
          <w:szCs w:val="22"/>
        </w:rPr>
        <w:t>,</w:t>
      </w:r>
      <w:r w:rsidR="000C67E5">
        <w:rPr>
          <w:color w:val="auto"/>
          <w:sz w:val="22"/>
          <w:szCs w:val="22"/>
        </w:rPr>
        <w:t>782</w:t>
      </w:r>
      <w:r w:rsidRPr="001F3D87" w:rsidR="000C67E5">
        <w:rPr>
          <w:sz w:val="22"/>
          <w:szCs w:val="22"/>
        </w:rPr>
        <w:t xml:space="preserve"> </w:t>
      </w:r>
      <w:r w:rsidRPr="001F3D87">
        <w:rPr>
          <w:sz w:val="22"/>
          <w:szCs w:val="22"/>
        </w:rPr>
        <w:t>($</w:t>
      </w:r>
      <w:r w:rsidR="006F1FCB">
        <w:rPr>
          <w:color w:val="auto"/>
          <w:sz w:val="22"/>
          <w:szCs w:val="22"/>
        </w:rPr>
        <w:t>68,110</w:t>
      </w:r>
      <w:r w:rsidRPr="001F3D87">
        <w:rPr>
          <w:sz w:val="22"/>
          <w:szCs w:val="22"/>
        </w:rPr>
        <w:t xml:space="preserve"> for reactor inspections + $</w:t>
      </w:r>
      <w:r w:rsidR="00EF2478">
        <w:rPr>
          <w:color w:val="auto"/>
          <w:sz w:val="22"/>
          <w:szCs w:val="22"/>
        </w:rPr>
        <w:t>562</w:t>
      </w:r>
      <w:r w:rsidR="006F1FCB">
        <w:rPr>
          <w:color w:val="auto"/>
          <w:sz w:val="22"/>
          <w:szCs w:val="22"/>
        </w:rPr>
        <w:t>,</w:t>
      </w:r>
      <w:r w:rsidR="00086AB7">
        <w:rPr>
          <w:color w:val="auto"/>
          <w:sz w:val="22"/>
          <w:szCs w:val="22"/>
        </w:rPr>
        <w:t>672</w:t>
      </w:r>
      <w:r w:rsidRPr="001F3D87" w:rsidR="00086AB7">
        <w:rPr>
          <w:sz w:val="22"/>
          <w:szCs w:val="22"/>
        </w:rPr>
        <w:t xml:space="preserve"> </w:t>
      </w:r>
      <w:r w:rsidRPr="001F3D87" w:rsidR="002248FE">
        <w:rPr>
          <w:sz w:val="22"/>
          <w:szCs w:val="22"/>
        </w:rPr>
        <w:t>f</w:t>
      </w:r>
      <w:r w:rsidRPr="001F3D87">
        <w:rPr>
          <w:sz w:val="22"/>
          <w:szCs w:val="22"/>
        </w:rPr>
        <w:t>or materials inspections</w:t>
      </w:r>
      <w:r w:rsidRPr="00583215">
        <w:rPr>
          <w:sz w:val="22"/>
          <w:szCs w:val="22"/>
        </w:rPr>
        <w:t>) (See Table 3).</w:t>
      </w:r>
    </w:p>
    <w:p w:rsidRPr="00F57AB0" w:rsidR="00921A6B" w:rsidP="00921A6B" w:rsidRDefault="00921A6B" w14:paraId="5D2F8344" w14:textId="0C2F03DF">
      <w:pPr>
        <w:pStyle w:val="Default"/>
        <w:spacing w:after="240"/>
        <w:ind w:left="1440" w:hanging="720"/>
        <w:outlineLvl w:val="0"/>
        <w:rPr>
          <w:bCs/>
          <w:sz w:val="22"/>
          <w:szCs w:val="22"/>
        </w:rPr>
      </w:pPr>
      <w:r w:rsidRPr="00583215">
        <w:rPr>
          <w:sz w:val="22"/>
          <w:szCs w:val="22"/>
        </w:rPr>
        <w:t>1</w:t>
      </w:r>
      <w:r>
        <w:rPr>
          <w:sz w:val="22"/>
          <w:szCs w:val="22"/>
        </w:rPr>
        <w:t>5</w:t>
      </w:r>
      <w:r w:rsidRPr="00583215">
        <w:rPr>
          <w:sz w:val="22"/>
          <w:szCs w:val="22"/>
        </w:rPr>
        <w:t>.</w:t>
      </w:r>
      <w:r w:rsidRPr="00583215">
        <w:rPr>
          <w:sz w:val="22"/>
          <w:szCs w:val="22"/>
        </w:rPr>
        <w:tab/>
      </w:r>
      <w:r w:rsidRPr="00583215">
        <w:rPr>
          <w:sz w:val="22"/>
          <w:szCs w:val="22"/>
          <w:u w:val="single"/>
        </w:rPr>
        <w:t>Reasons for Change in Burden</w:t>
      </w:r>
    </w:p>
    <w:p w:rsidR="00E929B2" w:rsidP="006A6AC9" w:rsidRDefault="00E929B2" w14:paraId="04D6E6CB" w14:textId="733E3980">
      <w:pPr>
        <w:pStyle w:val="Default"/>
        <w:spacing w:after="240"/>
        <w:ind w:left="1440"/>
        <w:rPr>
          <w:sz w:val="22"/>
          <w:szCs w:val="22"/>
        </w:rPr>
      </w:pPr>
      <w:r w:rsidRPr="00E929B2">
        <w:rPr>
          <w:sz w:val="22"/>
          <w:szCs w:val="22"/>
        </w:rPr>
        <w:t>The burden decreased by 18,4</w:t>
      </w:r>
      <w:r w:rsidR="00B5285D">
        <w:rPr>
          <w:sz w:val="22"/>
          <w:szCs w:val="22"/>
        </w:rPr>
        <w:t>67</w:t>
      </w:r>
      <w:r w:rsidRPr="00E929B2">
        <w:rPr>
          <w:sz w:val="22"/>
          <w:szCs w:val="22"/>
        </w:rPr>
        <w:t xml:space="preserve"> hours from 125,373 hours to 106,</w:t>
      </w:r>
      <w:r w:rsidRPr="00E929B2" w:rsidR="00484C15">
        <w:rPr>
          <w:sz w:val="22"/>
          <w:szCs w:val="22"/>
        </w:rPr>
        <w:t>9</w:t>
      </w:r>
      <w:r w:rsidR="00484C15">
        <w:rPr>
          <w:sz w:val="22"/>
          <w:szCs w:val="22"/>
        </w:rPr>
        <w:t>06</w:t>
      </w:r>
      <w:r w:rsidRPr="00E929B2" w:rsidR="00484C15">
        <w:rPr>
          <w:sz w:val="22"/>
          <w:szCs w:val="22"/>
        </w:rPr>
        <w:t xml:space="preserve"> </w:t>
      </w:r>
      <w:r w:rsidRPr="00E929B2">
        <w:rPr>
          <w:sz w:val="22"/>
          <w:szCs w:val="22"/>
        </w:rPr>
        <w:t xml:space="preserve">hours.  The majority of this change can be attributed to a reduction in the number of monitored individuals reported by operating reactors.  The NRC staff used the most recent data from the REIRS system (2018) to generate burden estimates for this supporting statement. </w:t>
      </w:r>
      <w:r w:rsidR="006A6AC9">
        <w:rPr>
          <w:sz w:val="22"/>
          <w:szCs w:val="22"/>
        </w:rPr>
        <w:t xml:space="preserve"> </w:t>
      </w:r>
      <w:r w:rsidRPr="00E929B2">
        <w:rPr>
          <w:sz w:val="22"/>
          <w:szCs w:val="22"/>
        </w:rPr>
        <w:t>The number of reported monitored individuals decreased from 184,635 in the last clearance to 150,214 in the current submission.  This is consistent with a trend in which reactors are reporting fewer monitored workers annually.  From 2015 onward, operating reactors have reported fewer monitored individuals each year.  Based on experience and industry knowledge, the NRC anticipates that the number of monitored individuals during the upcoming clearance period will be similar to the data from 2018 used in these estimates.</w:t>
      </w:r>
    </w:p>
    <w:p w:rsidRPr="00583215" w:rsidR="003B4ABE" w:rsidP="005331F5" w:rsidRDefault="004F50EF" w14:paraId="3B5D3A94" w14:textId="1B87813D">
      <w:pPr>
        <w:pStyle w:val="Default"/>
        <w:spacing w:after="240"/>
        <w:ind w:left="1440"/>
        <w:rPr>
          <w:sz w:val="22"/>
        </w:rPr>
      </w:pPr>
      <w:r>
        <w:rPr>
          <w:sz w:val="22"/>
          <w:szCs w:val="22"/>
        </w:rPr>
        <w:t>Additionally,</w:t>
      </w:r>
      <w:r w:rsidR="00E17648">
        <w:rPr>
          <w:sz w:val="22"/>
          <w:szCs w:val="22"/>
        </w:rPr>
        <w:t xml:space="preserve"> </w:t>
      </w:r>
      <w:r w:rsidR="004C10A6">
        <w:rPr>
          <w:sz w:val="22"/>
          <w:szCs w:val="22"/>
        </w:rPr>
        <w:t>t</w:t>
      </w:r>
      <w:r w:rsidRPr="00583215" w:rsidR="003B4ABE">
        <w:rPr>
          <w:sz w:val="22"/>
        </w:rPr>
        <w:t>he hourly fee rate increased from $</w:t>
      </w:r>
      <w:r w:rsidR="00B73F6D">
        <w:rPr>
          <w:sz w:val="22"/>
        </w:rPr>
        <w:t>265</w:t>
      </w:r>
      <w:r w:rsidRPr="00583215" w:rsidR="003B4ABE">
        <w:rPr>
          <w:sz w:val="22"/>
        </w:rPr>
        <w:t>/hr to $2</w:t>
      </w:r>
      <w:r w:rsidR="00B73F6D">
        <w:rPr>
          <w:sz w:val="22"/>
        </w:rPr>
        <w:t>78</w:t>
      </w:r>
      <w:r w:rsidRPr="00583215" w:rsidR="003B4ABE">
        <w:rPr>
          <w:sz w:val="22"/>
        </w:rPr>
        <w:t>/hr.</w:t>
      </w:r>
    </w:p>
    <w:p w:rsidRPr="00E808B5" w:rsidR="008F1F92" w:rsidP="00FB274D" w:rsidRDefault="003B4ABE" w14:paraId="4FC50431" w14:textId="0988C5AE">
      <w:pPr>
        <w:pStyle w:val="Default"/>
        <w:spacing w:after="240"/>
        <w:ind w:left="1440" w:hanging="720"/>
        <w:outlineLvl w:val="0"/>
        <w:rPr>
          <w:sz w:val="22"/>
          <w:szCs w:val="22"/>
          <w:u w:val="single"/>
        </w:rPr>
      </w:pPr>
      <w:r w:rsidRPr="00583215">
        <w:rPr>
          <w:sz w:val="22"/>
          <w:szCs w:val="22"/>
        </w:rPr>
        <w:t>16.</w:t>
      </w:r>
      <w:r w:rsidRPr="00583215">
        <w:rPr>
          <w:sz w:val="22"/>
          <w:szCs w:val="22"/>
        </w:rPr>
        <w:tab/>
      </w:r>
      <w:r w:rsidRPr="00583215">
        <w:rPr>
          <w:sz w:val="22"/>
          <w:szCs w:val="22"/>
          <w:u w:val="single"/>
        </w:rPr>
        <w:t>Publication for Statistical Use</w:t>
      </w:r>
    </w:p>
    <w:p w:rsidR="003B4ABE" w:rsidP="00FB274D" w:rsidRDefault="000F0F94" w14:paraId="070A544E" w14:textId="44DFA426">
      <w:pPr>
        <w:spacing w:after="240"/>
        <w:ind w:left="1440"/>
        <w:rPr>
          <w:rFonts w:ascii="Arial" w:hAnsi="Arial" w:cs="Arial"/>
          <w:sz w:val="22"/>
          <w:szCs w:val="22"/>
        </w:rPr>
      </w:pPr>
      <w:r w:rsidRPr="000F0F94">
        <w:rPr>
          <w:rFonts w:ascii="Arial" w:hAnsi="Arial" w:cs="Arial"/>
          <w:sz w:val="22"/>
          <w:szCs w:val="22"/>
        </w:rPr>
        <w:t>NRC publishes NUREG-0713, “Occupational Radiation Exposure at Commercial Nuclear Power Reactors and Other Facilities,” annually, to provide the public and other agency stakeholders with information regarding routine occupational radiation exposures to radiation and radioactive material that occur in connection with certain NRC-licensed activities</w:t>
      </w:r>
      <w:r>
        <w:rPr>
          <w:rFonts w:ascii="Arial" w:hAnsi="Arial" w:cs="Arial"/>
          <w:sz w:val="22"/>
          <w:szCs w:val="22"/>
        </w:rPr>
        <w:t>.</w:t>
      </w:r>
    </w:p>
    <w:p w:rsidRPr="001163C5" w:rsidR="003E142C" w:rsidP="00FB274D" w:rsidRDefault="003E142C" w14:paraId="52A91813" w14:textId="2F858CB0">
      <w:pPr>
        <w:spacing w:after="240"/>
        <w:ind w:left="1440"/>
        <w:rPr>
          <w:rFonts w:ascii="Arial" w:hAnsi="Arial" w:cs="Arial"/>
          <w:sz w:val="22"/>
          <w:szCs w:val="22"/>
        </w:rPr>
      </w:pPr>
      <w:r w:rsidRPr="00A052B7">
        <w:rPr>
          <w:rFonts w:ascii="Arial" w:hAnsi="Arial" w:cs="Arial"/>
          <w:sz w:val="22"/>
          <w:szCs w:val="22"/>
        </w:rPr>
        <w:t>The NRC staff currently provides REIRS data to the National Institute of Occupational Safety and Health at the Centers for Disease Control and Prevention on an ad hoc basis.  Additional data is provided to support DOE’s Low Dose Research Program’s Million Worker Health Study.  This data—used in conjunction with data from DOE and the U.S. Department of Defense—provides a rich source of information for health studies research, health statistics, and epidemiological studies of value to regulatory agencies responsible for protecting the public and workers from the potential harmful effects of radiation exposure.</w:t>
      </w:r>
    </w:p>
    <w:p w:rsidRPr="00583215" w:rsidR="003B4ABE" w:rsidP="00FB274D" w:rsidRDefault="003B4ABE" w14:paraId="65DF7C77" w14:textId="788CFAB2">
      <w:pPr>
        <w:pStyle w:val="Default"/>
        <w:spacing w:after="240"/>
        <w:ind w:left="1440" w:hanging="720"/>
        <w:outlineLvl w:val="0"/>
        <w:rPr>
          <w:sz w:val="22"/>
          <w:szCs w:val="22"/>
        </w:rPr>
      </w:pPr>
      <w:r w:rsidRPr="00583215">
        <w:rPr>
          <w:sz w:val="22"/>
          <w:szCs w:val="22"/>
        </w:rPr>
        <w:t>17.</w:t>
      </w:r>
      <w:r w:rsidRPr="00583215">
        <w:rPr>
          <w:sz w:val="22"/>
          <w:szCs w:val="22"/>
        </w:rPr>
        <w:tab/>
      </w:r>
      <w:r w:rsidRPr="00583215">
        <w:rPr>
          <w:sz w:val="22"/>
          <w:szCs w:val="22"/>
          <w:u w:val="single"/>
        </w:rPr>
        <w:t>Reason for Not Displaying the Expiration Date</w:t>
      </w:r>
    </w:p>
    <w:p w:rsidR="00BD01F3" w:rsidP="00FB274D" w:rsidRDefault="00F21D5C" w14:paraId="49B6C33D" w14:textId="06BCD50F">
      <w:pPr>
        <w:autoSpaceDE w:val="0"/>
        <w:autoSpaceDN w:val="0"/>
        <w:adjustRightInd w:val="0"/>
        <w:spacing w:after="240"/>
        <w:ind w:left="1440"/>
        <w:rPr>
          <w:rFonts w:ascii="Arial" w:hAnsi="Arial" w:cs="Arial"/>
          <w:sz w:val="22"/>
          <w:szCs w:val="22"/>
        </w:rPr>
      </w:pPr>
      <w:r>
        <w:rPr>
          <w:rFonts w:ascii="Arial" w:hAnsi="Arial" w:cs="Arial"/>
          <w:sz w:val="22"/>
          <w:szCs w:val="22"/>
        </w:rPr>
        <w:t>The expiration date is displayed on NRC Form 5.</w:t>
      </w:r>
    </w:p>
    <w:p w:rsidRPr="00583215" w:rsidR="003B4ABE" w:rsidP="00FB274D" w:rsidRDefault="003B4ABE" w14:paraId="7ED2CE16" w14:textId="21AE7200">
      <w:pPr>
        <w:pStyle w:val="Default"/>
        <w:spacing w:after="240"/>
        <w:ind w:left="1440" w:hanging="720"/>
        <w:outlineLvl w:val="0"/>
        <w:rPr>
          <w:sz w:val="22"/>
          <w:szCs w:val="22"/>
        </w:rPr>
      </w:pPr>
      <w:r w:rsidRPr="00583215">
        <w:rPr>
          <w:sz w:val="22"/>
          <w:szCs w:val="22"/>
        </w:rPr>
        <w:t>18.</w:t>
      </w:r>
      <w:r w:rsidRPr="00583215">
        <w:rPr>
          <w:sz w:val="22"/>
          <w:szCs w:val="22"/>
        </w:rPr>
        <w:tab/>
      </w:r>
      <w:r w:rsidRPr="00583215">
        <w:rPr>
          <w:sz w:val="22"/>
          <w:szCs w:val="22"/>
          <w:u w:val="single"/>
        </w:rPr>
        <w:t>Exceptions to the Certification Statement</w:t>
      </w:r>
    </w:p>
    <w:p w:rsidRPr="00590A97" w:rsidR="003B4ABE" w:rsidP="00FB274D" w:rsidRDefault="003B4ABE" w14:paraId="4182F9B0" w14:textId="78337619">
      <w:pPr>
        <w:spacing w:after="240"/>
        <w:ind w:left="1440"/>
        <w:rPr>
          <w:sz w:val="22"/>
          <w:szCs w:val="22"/>
        </w:rPr>
      </w:pPr>
      <w:r w:rsidRPr="00590A97">
        <w:rPr>
          <w:rFonts w:ascii="Arial" w:hAnsi="Arial" w:cs="Arial"/>
          <w:sz w:val="22"/>
          <w:szCs w:val="22"/>
        </w:rPr>
        <w:t>Not applicable.</w:t>
      </w:r>
    </w:p>
    <w:p w:rsidRPr="00583215" w:rsidR="003B4ABE" w:rsidP="00FB274D" w:rsidRDefault="003B4ABE" w14:paraId="3523079A" w14:textId="6946963D">
      <w:pPr>
        <w:pStyle w:val="Default"/>
        <w:spacing w:after="240"/>
        <w:ind w:left="720" w:right="1094" w:hanging="720"/>
        <w:outlineLvl w:val="0"/>
        <w:rPr>
          <w:sz w:val="22"/>
          <w:szCs w:val="22"/>
        </w:rPr>
      </w:pPr>
      <w:r w:rsidRPr="00583215">
        <w:rPr>
          <w:sz w:val="22"/>
          <w:szCs w:val="22"/>
        </w:rPr>
        <w:t>B.</w:t>
      </w:r>
      <w:r w:rsidR="00406520">
        <w:rPr>
          <w:sz w:val="22"/>
          <w:szCs w:val="22"/>
        </w:rPr>
        <w:tab/>
      </w:r>
      <w:r w:rsidRPr="00583215">
        <w:rPr>
          <w:sz w:val="22"/>
          <w:szCs w:val="22"/>
        </w:rPr>
        <w:t>COLLECTIONS OF INFORMATION EMPLOYING STATISTICAL METHODS</w:t>
      </w:r>
    </w:p>
    <w:p w:rsidRPr="00583215" w:rsidR="003B4ABE" w:rsidP="00FB274D" w:rsidRDefault="003B4ABE" w14:paraId="1BE76E99" w14:textId="6903EE56">
      <w:pPr>
        <w:pStyle w:val="Default"/>
        <w:spacing w:after="240"/>
        <w:ind w:left="720" w:right="1094"/>
        <w:rPr>
          <w:sz w:val="22"/>
          <w:szCs w:val="22"/>
        </w:rPr>
      </w:pPr>
      <w:r w:rsidRPr="00583215">
        <w:rPr>
          <w:sz w:val="22"/>
          <w:szCs w:val="22"/>
        </w:rPr>
        <w:t>Statistical methods are not employed in the collection of information.</w:t>
      </w:r>
    </w:p>
    <w:p w:rsidR="006E4488" w:rsidP="006E4488" w:rsidRDefault="006E4488" w14:paraId="188A9A48" w14:textId="58E500BF">
      <w:pPr>
        <w:pStyle w:val="Default"/>
        <w:ind w:right="1090"/>
        <w:rPr>
          <w:sz w:val="22"/>
          <w:szCs w:val="22"/>
        </w:rPr>
      </w:pPr>
      <w:r>
        <w:rPr>
          <w:sz w:val="22"/>
          <w:szCs w:val="22"/>
        </w:rPr>
        <w:br w:type="page"/>
      </w:r>
    </w:p>
    <w:p w:rsidRPr="006830E8" w:rsidR="00214951" w:rsidP="006830E8" w:rsidRDefault="003B4ABE" w14:paraId="3079675C" w14:textId="77777777">
      <w:pPr>
        <w:spacing w:after="240"/>
        <w:jc w:val="center"/>
        <w:rPr>
          <w:rFonts w:ascii="Arial" w:hAnsi="Arial" w:cs="Arial"/>
          <w:sz w:val="22"/>
          <w:szCs w:val="22"/>
        </w:rPr>
      </w:pPr>
      <w:r w:rsidRPr="00590A97">
        <w:rPr>
          <w:rFonts w:ascii="Arial" w:hAnsi="Arial" w:cs="Arial"/>
          <w:sz w:val="22"/>
          <w:szCs w:val="22"/>
        </w:rPr>
        <w:t>TABLE 1</w:t>
      </w:r>
    </w:p>
    <w:p w:rsidRPr="00583215" w:rsidR="003B4ABE" w:rsidP="006830E8" w:rsidRDefault="003B4ABE" w14:paraId="184D8690" w14:textId="362051D0">
      <w:pPr>
        <w:pStyle w:val="CM10"/>
        <w:spacing w:after="240"/>
        <w:jc w:val="center"/>
        <w:outlineLvl w:val="0"/>
        <w:rPr>
          <w:sz w:val="22"/>
          <w:szCs w:val="22"/>
        </w:rPr>
      </w:pPr>
      <w:r w:rsidRPr="00583215">
        <w:rPr>
          <w:rFonts w:cs="Arial"/>
          <w:color w:val="000000"/>
          <w:sz w:val="22"/>
          <w:szCs w:val="22"/>
        </w:rPr>
        <w:t>RECORDKEEPING INFORMATION COLLECTION BURDEN ASSOCIATED WITH</w:t>
      </w:r>
      <w:r w:rsidR="006C7638">
        <w:rPr>
          <w:rFonts w:cs="Arial"/>
          <w:color w:val="000000"/>
          <w:sz w:val="22"/>
          <w:szCs w:val="22"/>
        </w:rPr>
        <w:br/>
      </w:r>
      <w:r w:rsidRPr="00583215">
        <w:rPr>
          <w:rFonts w:cs="Arial"/>
          <w:color w:val="000000"/>
          <w:sz w:val="22"/>
          <w:szCs w:val="22"/>
        </w:rPr>
        <w:t>NRC FORM 5</w:t>
      </w:r>
    </w:p>
    <w:tbl>
      <w:tblPr>
        <w:tblW w:w="9990"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50"/>
        <w:gridCol w:w="900"/>
        <w:gridCol w:w="1597"/>
        <w:gridCol w:w="1350"/>
        <w:gridCol w:w="1373"/>
        <w:gridCol w:w="1440"/>
        <w:gridCol w:w="1980"/>
      </w:tblGrid>
      <w:tr w:rsidRPr="00583215" w:rsidR="004C10A6" w:rsidTr="00945791" w14:paraId="5D9079AD" w14:textId="77777777">
        <w:trPr>
          <w:trHeight w:val="955"/>
        </w:trPr>
        <w:tc>
          <w:tcPr>
            <w:tcW w:w="2250" w:type="dxa"/>
            <w:gridSpan w:val="2"/>
          </w:tcPr>
          <w:p w:rsidRPr="00583215" w:rsidR="004C10A6" w:rsidP="006830E8" w:rsidRDefault="004C10A6" w14:paraId="713003F2" w14:textId="77777777">
            <w:pPr>
              <w:pStyle w:val="Default"/>
              <w:jc w:val="center"/>
              <w:rPr>
                <w:sz w:val="22"/>
                <w:szCs w:val="22"/>
              </w:rPr>
            </w:pPr>
            <w:r w:rsidRPr="00583215">
              <w:rPr>
                <w:sz w:val="22"/>
                <w:szCs w:val="22"/>
              </w:rPr>
              <w:t>NUMBER OF RECORDKEEPERS</w:t>
            </w:r>
          </w:p>
        </w:tc>
        <w:tc>
          <w:tcPr>
            <w:tcW w:w="1597" w:type="dxa"/>
          </w:tcPr>
          <w:p w:rsidRPr="00583215" w:rsidR="004C10A6" w:rsidP="006830E8" w:rsidRDefault="004C10A6" w14:paraId="65E35B8F" w14:textId="0044936F">
            <w:pPr>
              <w:pStyle w:val="Default"/>
              <w:jc w:val="center"/>
              <w:rPr>
                <w:sz w:val="22"/>
                <w:szCs w:val="22"/>
              </w:rPr>
            </w:pPr>
            <w:r>
              <w:rPr>
                <w:sz w:val="22"/>
                <w:szCs w:val="22"/>
              </w:rPr>
              <w:t>MONITORED WORKERS PER RECORD-KEEPER</w:t>
            </w:r>
          </w:p>
        </w:tc>
        <w:tc>
          <w:tcPr>
            <w:tcW w:w="1350" w:type="dxa"/>
          </w:tcPr>
          <w:p w:rsidRPr="00583215" w:rsidR="004C10A6" w:rsidP="006830E8" w:rsidRDefault="004C10A6" w14:paraId="00FAEEBE" w14:textId="2CF59F0C">
            <w:pPr>
              <w:pStyle w:val="Default"/>
              <w:jc w:val="center"/>
              <w:rPr>
                <w:sz w:val="22"/>
                <w:szCs w:val="22"/>
              </w:rPr>
            </w:pPr>
            <w:r w:rsidRPr="00583215">
              <w:rPr>
                <w:sz w:val="22"/>
                <w:szCs w:val="22"/>
              </w:rPr>
              <w:t>NUMBER OF RECORDS</w:t>
            </w:r>
          </w:p>
        </w:tc>
        <w:tc>
          <w:tcPr>
            <w:tcW w:w="1373" w:type="dxa"/>
          </w:tcPr>
          <w:p w:rsidRPr="00583215" w:rsidR="004C10A6" w:rsidP="006830E8" w:rsidRDefault="004C10A6" w14:paraId="35A5A93E" w14:textId="77777777">
            <w:pPr>
              <w:pStyle w:val="Default"/>
              <w:jc w:val="center"/>
              <w:rPr>
                <w:sz w:val="22"/>
                <w:szCs w:val="22"/>
              </w:rPr>
            </w:pPr>
            <w:r w:rsidRPr="00583215">
              <w:rPr>
                <w:sz w:val="22"/>
                <w:szCs w:val="22"/>
              </w:rPr>
              <w:t>BURDEN HOURS/</w:t>
            </w:r>
          </w:p>
          <w:p w:rsidRPr="00583215" w:rsidR="004C10A6" w:rsidP="006830E8" w:rsidRDefault="004C10A6" w14:paraId="2F5A8E89" w14:textId="77777777">
            <w:pPr>
              <w:pStyle w:val="Default"/>
              <w:jc w:val="center"/>
              <w:rPr>
                <w:sz w:val="22"/>
                <w:szCs w:val="22"/>
              </w:rPr>
            </w:pPr>
            <w:r w:rsidRPr="00583215">
              <w:rPr>
                <w:sz w:val="22"/>
                <w:szCs w:val="22"/>
              </w:rPr>
              <w:t>RECORD</w:t>
            </w:r>
          </w:p>
        </w:tc>
        <w:tc>
          <w:tcPr>
            <w:tcW w:w="1440" w:type="dxa"/>
          </w:tcPr>
          <w:p w:rsidRPr="00583215" w:rsidR="004C10A6" w:rsidP="006830E8" w:rsidRDefault="004C10A6" w14:paraId="401AE8FF" w14:textId="77777777">
            <w:pPr>
              <w:pStyle w:val="Default"/>
              <w:jc w:val="center"/>
              <w:rPr>
                <w:sz w:val="22"/>
                <w:szCs w:val="22"/>
              </w:rPr>
            </w:pPr>
            <w:r w:rsidRPr="00583215">
              <w:rPr>
                <w:sz w:val="22"/>
                <w:szCs w:val="22"/>
              </w:rPr>
              <w:t>ANNUAL BURDEN HOURS</w:t>
            </w:r>
          </w:p>
        </w:tc>
        <w:tc>
          <w:tcPr>
            <w:tcW w:w="1980" w:type="dxa"/>
          </w:tcPr>
          <w:p w:rsidRPr="00583215" w:rsidR="004C10A6" w:rsidP="006830E8" w:rsidRDefault="004C10A6" w14:paraId="6369668F" w14:textId="4F7F539F">
            <w:pPr>
              <w:pStyle w:val="Default"/>
              <w:jc w:val="center"/>
              <w:rPr>
                <w:sz w:val="22"/>
                <w:szCs w:val="22"/>
              </w:rPr>
            </w:pPr>
            <w:r w:rsidRPr="00583215">
              <w:rPr>
                <w:sz w:val="22"/>
                <w:szCs w:val="22"/>
              </w:rPr>
              <w:t>ANNUAL COST @ $</w:t>
            </w:r>
            <w:r w:rsidRPr="00583215">
              <w:rPr>
                <w:color w:val="auto"/>
                <w:sz w:val="22"/>
                <w:szCs w:val="22"/>
              </w:rPr>
              <w:t>2</w:t>
            </w:r>
            <w:r>
              <w:rPr>
                <w:color w:val="auto"/>
                <w:sz w:val="22"/>
                <w:szCs w:val="22"/>
              </w:rPr>
              <w:t>78</w:t>
            </w:r>
            <w:r w:rsidRPr="00583215">
              <w:rPr>
                <w:sz w:val="22"/>
                <w:szCs w:val="22"/>
              </w:rPr>
              <w:t>/HOUR</w:t>
            </w:r>
          </w:p>
        </w:tc>
      </w:tr>
      <w:tr w:rsidRPr="00583215" w:rsidR="004C10A6" w:rsidTr="006830E8" w14:paraId="6D3F219F" w14:textId="77777777">
        <w:tc>
          <w:tcPr>
            <w:tcW w:w="1350" w:type="dxa"/>
          </w:tcPr>
          <w:p w:rsidRPr="00583215" w:rsidR="004C10A6" w:rsidP="000147CD" w:rsidRDefault="004C10A6" w14:paraId="0A98DA1C" w14:textId="77777777">
            <w:pPr>
              <w:pStyle w:val="Default"/>
              <w:rPr>
                <w:sz w:val="22"/>
                <w:szCs w:val="22"/>
              </w:rPr>
            </w:pPr>
            <w:r w:rsidRPr="00583215">
              <w:rPr>
                <w:sz w:val="22"/>
                <w:szCs w:val="22"/>
              </w:rPr>
              <w:t>Reactors</w:t>
            </w:r>
          </w:p>
        </w:tc>
        <w:tc>
          <w:tcPr>
            <w:tcW w:w="900" w:type="dxa"/>
            <w:vAlign w:val="center"/>
          </w:tcPr>
          <w:p w:rsidRPr="00583215" w:rsidR="004C10A6" w:rsidP="006830E8" w:rsidRDefault="004C10A6" w14:paraId="24F42C1B" w14:textId="20AC43E3">
            <w:pPr>
              <w:pStyle w:val="Default"/>
              <w:jc w:val="center"/>
              <w:rPr>
                <w:sz w:val="22"/>
                <w:szCs w:val="22"/>
              </w:rPr>
            </w:pPr>
            <w:r w:rsidRPr="00583215">
              <w:rPr>
                <w:sz w:val="22"/>
                <w:szCs w:val="22"/>
              </w:rPr>
              <w:t>9</w:t>
            </w:r>
            <w:r>
              <w:rPr>
                <w:sz w:val="22"/>
                <w:szCs w:val="22"/>
              </w:rPr>
              <w:t>8</w:t>
            </w:r>
          </w:p>
        </w:tc>
        <w:tc>
          <w:tcPr>
            <w:tcW w:w="1597" w:type="dxa"/>
            <w:vAlign w:val="center"/>
          </w:tcPr>
          <w:p w:rsidR="004C10A6" w:rsidP="006830E8" w:rsidRDefault="004C10A6" w14:paraId="500A84D1" w14:textId="75F0E94E">
            <w:pPr>
              <w:pStyle w:val="Default"/>
              <w:jc w:val="center"/>
              <w:rPr>
                <w:color w:val="auto"/>
                <w:sz w:val="22"/>
                <w:szCs w:val="22"/>
              </w:rPr>
            </w:pPr>
            <w:r>
              <w:rPr>
                <w:color w:val="auto"/>
                <w:sz w:val="22"/>
                <w:szCs w:val="22"/>
              </w:rPr>
              <w:t>1,532.8</w:t>
            </w:r>
          </w:p>
        </w:tc>
        <w:tc>
          <w:tcPr>
            <w:tcW w:w="1350" w:type="dxa"/>
            <w:vAlign w:val="center"/>
          </w:tcPr>
          <w:p w:rsidRPr="00583215" w:rsidR="004C10A6" w:rsidP="006830E8" w:rsidRDefault="004C10A6" w14:paraId="0AE1985D" w14:textId="0BA5780B">
            <w:pPr>
              <w:pStyle w:val="Default"/>
              <w:jc w:val="center"/>
              <w:rPr>
                <w:color w:val="auto"/>
                <w:sz w:val="22"/>
                <w:szCs w:val="22"/>
              </w:rPr>
            </w:pPr>
            <w:r>
              <w:rPr>
                <w:color w:val="auto"/>
                <w:sz w:val="22"/>
                <w:szCs w:val="22"/>
              </w:rPr>
              <w:t>150,21</w:t>
            </w:r>
            <w:r w:rsidR="009368D7">
              <w:rPr>
                <w:color w:val="auto"/>
                <w:sz w:val="22"/>
                <w:szCs w:val="22"/>
              </w:rPr>
              <w:t>4</w:t>
            </w:r>
          </w:p>
        </w:tc>
        <w:tc>
          <w:tcPr>
            <w:tcW w:w="1373" w:type="dxa"/>
            <w:vAlign w:val="center"/>
          </w:tcPr>
          <w:p w:rsidRPr="00583215" w:rsidR="004C10A6" w:rsidP="006830E8" w:rsidRDefault="004C10A6" w14:paraId="0B9EE933" w14:textId="77777777">
            <w:pPr>
              <w:pStyle w:val="Default"/>
              <w:jc w:val="center"/>
              <w:rPr>
                <w:color w:val="auto"/>
                <w:sz w:val="22"/>
                <w:szCs w:val="22"/>
              </w:rPr>
            </w:pPr>
            <w:r w:rsidRPr="00583215">
              <w:rPr>
                <w:color w:val="auto"/>
                <w:sz w:val="22"/>
                <w:szCs w:val="22"/>
              </w:rPr>
              <w:t>0.58</w:t>
            </w:r>
          </w:p>
        </w:tc>
        <w:tc>
          <w:tcPr>
            <w:tcW w:w="1440" w:type="dxa"/>
            <w:vAlign w:val="center"/>
          </w:tcPr>
          <w:p w:rsidRPr="00583215" w:rsidR="004C10A6" w:rsidP="006830E8" w:rsidRDefault="004C10A6" w14:paraId="6A6512F4" w14:textId="2411A9ED">
            <w:pPr>
              <w:pStyle w:val="Default"/>
              <w:jc w:val="center"/>
              <w:rPr>
                <w:color w:val="auto"/>
                <w:sz w:val="22"/>
                <w:szCs w:val="22"/>
              </w:rPr>
            </w:pPr>
            <w:r>
              <w:rPr>
                <w:color w:val="auto"/>
                <w:sz w:val="22"/>
                <w:szCs w:val="22"/>
              </w:rPr>
              <w:t>87,12</w:t>
            </w:r>
            <w:r w:rsidR="009368D7">
              <w:rPr>
                <w:color w:val="auto"/>
                <w:sz w:val="22"/>
                <w:szCs w:val="22"/>
              </w:rPr>
              <w:t>4</w:t>
            </w:r>
          </w:p>
        </w:tc>
        <w:tc>
          <w:tcPr>
            <w:tcW w:w="1980" w:type="dxa"/>
            <w:vAlign w:val="center"/>
          </w:tcPr>
          <w:p w:rsidRPr="00583215" w:rsidR="004C10A6" w:rsidP="006830E8" w:rsidRDefault="004C10A6" w14:paraId="42951B25" w14:textId="580CFEAA">
            <w:pPr>
              <w:pStyle w:val="Default"/>
              <w:jc w:val="center"/>
              <w:rPr>
                <w:color w:val="auto"/>
                <w:sz w:val="22"/>
                <w:szCs w:val="22"/>
              </w:rPr>
            </w:pPr>
            <w:r w:rsidRPr="00583215">
              <w:rPr>
                <w:color w:val="auto"/>
                <w:sz w:val="22"/>
                <w:szCs w:val="22"/>
              </w:rPr>
              <w:t>$</w:t>
            </w:r>
            <w:r>
              <w:rPr>
                <w:color w:val="auto"/>
                <w:sz w:val="22"/>
                <w:szCs w:val="22"/>
              </w:rPr>
              <w:t>24,22</w:t>
            </w:r>
            <w:r w:rsidR="009368D7">
              <w:rPr>
                <w:color w:val="auto"/>
                <w:sz w:val="22"/>
                <w:szCs w:val="22"/>
              </w:rPr>
              <w:t>0,</w:t>
            </w:r>
            <w:r w:rsidR="004B6E6E">
              <w:rPr>
                <w:color w:val="auto"/>
                <w:sz w:val="22"/>
                <w:szCs w:val="22"/>
              </w:rPr>
              <w:t>472</w:t>
            </w:r>
          </w:p>
        </w:tc>
      </w:tr>
      <w:tr w:rsidRPr="00583215" w:rsidR="004C10A6" w:rsidTr="006830E8" w14:paraId="24A8A234" w14:textId="77777777">
        <w:tc>
          <w:tcPr>
            <w:tcW w:w="1350" w:type="dxa"/>
          </w:tcPr>
          <w:p w:rsidRPr="00583215" w:rsidR="004C10A6" w:rsidP="000147CD" w:rsidRDefault="004C10A6" w14:paraId="29F9C008" w14:textId="77777777">
            <w:pPr>
              <w:pStyle w:val="Default"/>
              <w:rPr>
                <w:sz w:val="22"/>
                <w:szCs w:val="22"/>
              </w:rPr>
            </w:pPr>
            <w:r w:rsidRPr="00583215">
              <w:rPr>
                <w:sz w:val="22"/>
                <w:szCs w:val="22"/>
              </w:rPr>
              <w:t>Materials</w:t>
            </w:r>
          </w:p>
        </w:tc>
        <w:tc>
          <w:tcPr>
            <w:tcW w:w="900" w:type="dxa"/>
            <w:vAlign w:val="center"/>
          </w:tcPr>
          <w:p w:rsidRPr="00583215" w:rsidR="004C10A6" w:rsidP="006830E8" w:rsidRDefault="004C10A6" w14:paraId="6D48C2B4" w14:textId="60E1F009">
            <w:pPr>
              <w:pStyle w:val="Default"/>
              <w:jc w:val="center"/>
              <w:rPr>
                <w:color w:val="auto"/>
                <w:sz w:val="22"/>
                <w:szCs w:val="22"/>
              </w:rPr>
            </w:pPr>
            <w:r w:rsidRPr="00583215">
              <w:rPr>
                <w:color w:val="auto"/>
                <w:sz w:val="22"/>
                <w:szCs w:val="22"/>
              </w:rPr>
              <w:t>4,0</w:t>
            </w:r>
            <w:r w:rsidR="009368D7">
              <w:rPr>
                <w:color w:val="auto"/>
                <w:sz w:val="22"/>
                <w:szCs w:val="22"/>
              </w:rPr>
              <w:t>48</w:t>
            </w:r>
          </w:p>
        </w:tc>
        <w:tc>
          <w:tcPr>
            <w:tcW w:w="1597" w:type="dxa"/>
            <w:vAlign w:val="center"/>
          </w:tcPr>
          <w:p w:rsidR="004C10A6" w:rsidP="006830E8" w:rsidRDefault="004C10A6" w14:paraId="1FD7992E" w14:textId="7FFEC99D">
            <w:pPr>
              <w:pStyle w:val="Default"/>
              <w:jc w:val="center"/>
              <w:rPr>
                <w:color w:val="auto"/>
                <w:sz w:val="22"/>
                <w:szCs w:val="22"/>
              </w:rPr>
            </w:pPr>
            <w:r>
              <w:rPr>
                <w:color w:val="auto"/>
                <w:sz w:val="22"/>
                <w:szCs w:val="22"/>
              </w:rPr>
              <w:t>6.1</w:t>
            </w:r>
          </w:p>
        </w:tc>
        <w:tc>
          <w:tcPr>
            <w:tcW w:w="1350" w:type="dxa"/>
            <w:vAlign w:val="center"/>
          </w:tcPr>
          <w:p w:rsidRPr="00583215" w:rsidR="004C10A6" w:rsidP="006830E8" w:rsidRDefault="004C10A6" w14:paraId="27CBE47E" w14:textId="53412D2E">
            <w:pPr>
              <w:pStyle w:val="Default"/>
              <w:jc w:val="center"/>
              <w:rPr>
                <w:color w:val="auto"/>
                <w:sz w:val="22"/>
                <w:szCs w:val="22"/>
              </w:rPr>
            </w:pPr>
            <w:r>
              <w:rPr>
                <w:color w:val="auto"/>
                <w:sz w:val="22"/>
                <w:szCs w:val="22"/>
              </w:rPr>
              <w:t>24,</w:t>
            </w:r>
            <w:r w:rsidR="009368D7">
              <w:rPr>
                <w:color w:val="auto"/>
                <w:sz w:val="22"/>
                <w:szCs w:val="22"/>
              </w:rPr>
              <w:t>693</w:t>
            </w:r>
          </w:p>
        </w:tc>
        <w:tc>
          <w:tcPr>
            <w:tcW w:w="1373" w:type="dxa"/>
            <w:vAlign w:val="center"/>
          </w:tcPr>
          <w:p w:rsidRPr="00583215" w:rsidR="004C10A6" w:rsidP="006830E8" w:rsidRDefault="004C10A6" w14:paraId="54097829" w14:textId="77777777">
            <w:pPr>
              <w:pStyle w:val="Default"/>
              <w:jc w:val="center"/>
              <w:rPr>
                <w:color w:val="auto"/>
                <w:sz w:val="22"/>
                <w:szCs w:val="22"/>
              </w:rPr>
            </w:pPr>
            <w:r w:rsidRPr="00583215">
              <w:rPr>
                <w:color w:val="auto"/>
                <w:sz w:val="22"/>
                <w:szCs w:val="22"/>
              </w:rPr>
              <w:t>0.58</w:t>
            </w:r>
          </w:p>
        </w:tc>
        <w:tc>
          <w:tcPr>
            <w:tcW w:w="1440" w:type="dxa"/>
            <w:vAlign w:val="center"/>
          </w:tcPr>
          <w:p w:rsidRPr="00583215" w:rsidR="004C10A6" w:rsidP="006830E8" w:rsidRDefault="004C10A6" w14:paraId="0A539431" w14:textId="47996BF2">
            <w:pPr>
              <w:pStyle w:val="Default"/>
              <w:jc w:val="center"/>
              <w:rPr>
                <w:color w:val="auto"/>
                <w:sz w:val="22"/>
                <w:szCs w:val="22"/>
              </w:rPr>
            </w:pPr>
            <w:r>
              <w:rPr>
                <w:color w:val="auto"/>
                <w:sz w:val="22"/>
                <w:szCs w:val="22"/>
              </w:rPr>
              <w:t>14,3</w:t>
            </w:r>
            <w:r w:rsidR="009368D7">
              <w:rPr>
                <w:color w:val="auto"/>
                <w:sz w:val="22"/>
                <w:szCs w:val="22"/>
              </w:rPr>
              <w:t>22</w:t>
            </w:r>
          </w:p>
        </w:tc>
        <w:tc>
          <w:tcPr>
            <w:tcW w:w="1980" w:type="dxa"/>
            <w:vAlign w:val="center"/>
          </w:tcPr>
          <w:p w:rsidRPr="00583215" w:rsidR="00CB6786" w:rsidP="00CB6786" w:rsidRDefault="004C10A6" w14:paraId="4368C05E" w14:textId="0592B579">
            <w:pPr>
              <w:pStyle w:val="Default"/>
              <w:jc w:val="center"/>
              <w:rPr>
                <w:color w:val="auto"/>
                <w:sz w:val="22"/>
                <w:szCs w:val="22"/>
              </w:rPr>
            </w:pPr>
            <w:r w:rsidRPr="00583215">
              <w:rPr>
                <w:color w:val="auto"/>
                <w:sz w:val="22"/>
                <w:szCs w:val="22"/>
              </w:rPr>
              <w:t>$</w:t>
            </w:r>
            <w:r>
              <w:rPr>
                <w:color w:val="auto"/>
                <w:sz w:val="22"/>
                <w:szCs w:val="22"/>
              </w:rPr>
              <w:t>3,</w:t>
            </w:r>
            <w:r w:rsidR="009368D7">
              <w:rPr>
                <w:color w:val="auto"/>
                <w:sz w:val="22"/>
                <w:szCs w:val="22"/>
              </w:rPr>
              <w:t>981,</w:t>
            </w:r>
            <w:r w:rsidR="00CB6786">
              <w:rPr>
                <w:color w:val="auto"/>
                <w:sz w:val="22"/>
                <w:szCs w:val="22"/>
              </w:rPr>
              <w:t>516</w:t>
            </w:r>
          </w:p>
        </w:tc>
      </w:tr>
      <w:tr w:rsidRPr="00583215" w:rsidR="004C10A6" w:rsidTr="006F5384" w14:paraId="683AC262" w14:textId="77777777">
        <w:tc>
          <w:tcPr>
            <w:tcW w:w="1350" w:type="dxa"/>
          </w:tcPr>
          <w:p w:rsidRPr="00583215" w:rsidR="004C10A6" w:rsidP="000147CD" w:rsidRDefault="004C10A6" w14:paraId="74636660" w14:textId="77777777">
            <w:pPr>
              <w:pStyle w:val="Default"/>
              <w:rPr>
                <w:sz w:val="22"/>
                <w:szCs w:val="22"/>
              </w:rPr>
            </w:pPr>
            <w:r w:rsidRPr="00583215">
              <w:rPr>
                <w:sz w:val="22"/>
                <w:szCs w:val="22"/>
              </w:rPr>
              <w:t>Total</w:t>
            </w:r>
          </w:p>
        </w:tc>
        <w:tc>
          <w:tcPr>
            <w:tcW w:w="900" w:type="dxa"/>
            <w:vAlign w:val="center"/>
          </w:tcPr>
          <w:p w:rsidRPr="00583215" w:rsidR="004C10A6" w:rsidP="006830E8" w:rsidRDefault="004C10A6" w14:paraId="245B67A3" w14:textId="14369E88">
            <w:pPr>
              <w:pStyle w:val="Default"/>
              <w:jc w:val="center"/>
              <w:rPr>
                <w:color w:val="auto"/>
                <w:sz w:val="22"/>
                <w:szCs w:val="22"/>
              </w:rPr>
            </w:pPr>
            <w:r w:rsidRPr="00583215">
              <w:rPr>
                <w:color w:val="auto"/>
                <w:sz w:val="22"/>
                <w:szCs w:val="22"/>
              </w:rPr>
              <w:t>4,1</w:t>
            </w:r>
            <w:r w:rsidR="009368D7">
              <w:rPr>
                <w:color w:val="auto"/>
                <w:sz w:val="22"/>
                <w:szCs w:val="22"/>
              </w:rPr>
              <w:t>46</w:t>
            </w:r>
          </w:p>
        </w:tc>
        <w:tc>
          <w:tcPr>
            <w:tcW w:w="1597" w:type="dxa"/>
            <w:shd w:val="clear" w:color="auto" w:fill="BFBFBF" w:themeFill="background1" w:themeFillShade="BF"/>
            <w:vAlign w:val="center"/>
          </w:tcPr>
          <w:p w:rsidR="004C10A6" w:rsidP="006830E8" w:rsidRDefault="004C10A6" w14:paraId="2F40221E" w14:textId="77777777">
            <w:pPr>
              <w:pStyle w:val="Default"/>
              <w:jc w:val="center"/>
              <w:rPr>
                <w:color w:val="auto"/>
                <w:sz w:val="22"/>
                <w:szCs w:val="22"/>
              </w:rPr>
            </w:pPr>
          </w:p>
        </w:tc>
        <w:tc>
          <w:tcPr>
            <w:tcW w:w="1350" w:type="dxa"/>
            <w:vAlign w:val="center"/>
          </w:tcPr>
          <w:p w:rsidRPr="00583215" w:rsidR="004C10A6" w:rsidP="006830E8" w:rsidRDefault="006A5A22" w14:paraId="5F62DB39" w14:textId="0E8B9A9B">
            <w:pPr>
              <w:pStyle w:val="Default"/>
              <w:jc w:val="center"/>
              <w:rPr>
                <w:color w:val="auto"/>
                <w:sz w:val="22"/>
                <w:szCs w:val="22"/>
              </w:rPr>
            </w:pPr>
            <w:r>
              <w:rPr>
                <w:color w:val="auto"/>
                <w:sz w:val="22"/>
                <w:szCs w:val="22"/>
              </w:rPr>
              <w:t>174,907</w:t>
            </w:r>
          </w:p>
        </w:tc>
        <w:tc>
          <w:tcPr>
            <w:tcW w:w="1373" w:type="dxa"/>
            <w:shd w:val="clear" w:color="auto" w:fill="BFBFBF" w:themeFill="background1" w:themeFillShade="BF"/>
            <w:vAlign w:val="center"/>
          </w:tcPr>
          <w:p w:rsidRPr="00583215" w:rsidR="004C10A6" w:rsidP="006830E8" w:rsidRDefault="004C10A6" w14:paraId="6E810155" w14:textId="77777777">
            <w:pPr>
              <w:pStyle w:val="Default"/>
              <w:jc w:val="center"/>
              <w:rPr>
                <w:sz w:val="22"/>
                <w:szCs w:val="22"/>
              </w:rPr>
            </w:pPr>
          </w:p>
        </w:tc>
        <w:tc>
          <w:tcPr>
            <w:tcW w:w="1440" w:type="dxa"/>
            <w:vAlign w:val="center"/>
          </w:tcPr>
          <w:p w:rsidRPr="00583215" w:rsidR="004C10A6" w:rsidP="006830E8" w:rsidRDefault="004C10A6" w14:paraId="661CFBBC" w14:textId="1BAD2D94">
            <w:pPr>
              <w:pStyle w:val="Default"/>
              <w:jc w:val="center"/>
              <w:rPr>
                <w:color w:val="auto"/>
                <w:sz w:val="22"/>
                <w:szCs w:val="22"/>
              </w:rPr>
            </w:pPr>
            <w:r>
              <w:rPr>
                <w:color w:val="auto"/>
                <w:sz w:val="22"/>
                <w:szCs w:val="22"/>
              </w:rPr>
              <w:t>101,</w:t>
            </w:r>
            <w:r w:rsidR="006A5A22">
              <w:rPr>
                <w:color w:val="auto"/>
                <w:sz w:val="22"/>
                <w:szCs w:val="22"/>
              </w:rPr>
              <w:t>446</w:t>
            </w:r>
          </w:p>
        </w:tc>
        <w:tc>
          <w:tcPr>
            <w:tcW w:w="1980" w:type="dxa"/>
            <w:vAlign w:val="center"/>
          </w:tcPr>
          <w:p w:rsidRPr="00583215" w:rsidR="004C10A6" w:rsidP="006830E8" w:rsidRDefault="004C10A6" w14:paraId="00F23DD5" w14:textId="6848A424">
            <w:pPr>
              <w:pStyle w:val="Default"/>
              <w:jc w:val="center"/>
              <w:rPr>
                <w:sz w:val="22"/>
                <w:szCs w:val="22"/>
              </w:rPr>
            </w:pPr>
            <w:r w:rsidRPr="00583215">
              <w:rPr>
                <w:sz w:val="22"/>
                <w:szCs w:val="22"/>
              </w:rPr>
              <w:t>$</w:t>
            </w:r>
            <w:r>
              <w:rPr>
                <w:color w:val="auto"/>
                <w:sz w:val="22"/>
                <w:szCs w:val="22"/>
              </w:rPr>
              <w:t>28,2</w:t>
            </w:r>
            <w:r w:rsidR="006A5A22">
              <w:rPr>
                <w:color w:val="auto"/>
                <w:sz w:val="22"/>
                <w:szCs w:val="22"/>
              </w:rPr>
              <w:t>01,</w:t>
            </w:r>
            <w:r w:rsidR="00930424">
              <w:rPr>
                <w:color w:val="auto"/>
                <w:sz w:val="22"/>
                <w:szCs w:val="22"/>
              </w:rPr>
              <w:t>988</w:t>
            </w:r>
          </w:p>
        </w:tc>
      </w:tr>
    </w:tbl>
    <w:p w:rsidR="000F1C8C" w:rsidP="006830E8" w:rsidRDefault="003B4ABE" w14:paraId="7E46E6B4" w14:textId="77777777">
      <w:pPr>
        <w:spacing w:before="240" w:after="240"/>
        <w:jc w:val="center"/>
        <w:rPr>
          <w:rFonts w:ascii="Arial" w:hAnsi="Arial" w:cs="Arial"/>
          <w:sz w:val="22"/>
          <w:szCs w:val="22"/>
        </w:rPr>
      </w:pPr>
      <w:r w:rsidRPr="00590A97">
        <w:rPr>
          <w:rFonts w:ascii="Arial" w:hAnsi="Arial" w:cs="Arial"/>
          <w:sz w:val="22"/>
          <w:szCs w:val="22"/>
        </w:rPr>
        <w:t>TABLE 2</w:t>
      </w:r>
    </w:p>
    <w:p w:rsidRPr="006830E8" w:rsidR="003B4ABE" w:rsidP="006830E8" w:rsidRDefault="003B4ABE" w14:paraId="59EC284A" w14:textId="10EF73C1">
      <w:pPr>
        <w:spacing w:after="240"/>
        <w:jc w:val="center"/>
        <w:rPr>
          <w:rFonts w:ascii="Arial" w:hAnsi="Arial" w:cs="Arial"/>
          <w:sz w:val="22"/>
          <w:szCs w:val="22"/>
        </w:rPr>
      </w:pPr>
      <w:r w:rsidRPr="00590A97">
        <w:rPr>
          <w:rFonts w:ascii="Arial" w:hAnsi="Arial" w:cs="Arial"/>
          <w:sz w:val="22"/>
          <w:szCs w:val="22"/>
        </w:rPr>
        <w:t>REPORTING INFORMATION COLLECTION BURDEN ASSOCIATED WITH NRC FORM 5</w:t>
      </w:r>
    </w:p>
    <w:tbl>
      <w:tblPr>
        <w:tblW w:w="10530"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23"/>
        <w:gridCol w:w="767"/>
        <w:gridCol w:w="2070"/>
        <w:gridCol w:w="1620"/>
        <w:gridCol w:w="1710"/>
        <w:gridCol w:w="1260"/>
        <w:gridCol w:w="1980"/>
      </w:tblGrid>
      <w:tr w:rsidRPr="00583215" w:rsidR="003B4ABE" w:rsidTr="006830E8" w14:paraId="05A87B01" w14:textId="77777777">
        <w:tc>
          <w:tcPr>
            <w:tcW w:w="1890" w:type="dxa"/>
            <w:gridSpan w:val="2"/>
          </w:tcPr>
          <w:p w:rsidRPr="00583215" w:rsidR="003B4ABE" w:rsidP="000147CD" w:rsidRDefault="003B4ABE" w14:paraId="4BD8C09B" w14:textId="77777777">
            <w:pPr>
              <w:pStyle w:val="Default"/>
              <w:rPr>
                <w:sz w:val="22"/>
                <w:szCs w:val="22"/>
              </w:rPr>
            </w:pPr>
          </w:p>
        </w:tc>
        <w:tc>
          <w:tcPr>
            <w:tcW w:w="2070" w:type="dxa"/>
          </w:tcPr>
          <w:p w:rsidRPr="00583215" w:rsidR="003B4ABE" w:rsidP="006830E8" w:rsidRDefault="003B4ABE" w14:paraId="5561E11C" w14:textId="77777777">
            <w:pPr>
              <w:pStyle w:val="Default"/>
              <w:jc w:val="center"/>
              <w:rPr>
                <w:sz w:val="22"/>
                <w:szCs w:val="22"/>
              </w:rPr>
            </w:pPr>
            <w:r w:rsidRPr="00583215">
              <w:rPr>
                <w:sz w:val="22"/>
                <w:szCs w:val="22"/>
              </w:rPr>
              <w:t>RESPONSES PER RESPONDENT</w:t>
            </w:r>
          </w:p>
        </w:tc>
        <w:tc>
          <w:tcPr>
            <w:tcW w:w="1620" w:type="dxa"/>
          </w:tcPr>
          <w:p w:rsidRPr="00583215" w:rsidR="003B4ABE" w:rsidP="006830E8" w:rsidRDefault="003B4ABE" w14:paraId="2705D11B" w14:textId="77777777">
            <w:pPr>
              <w:pStyle w:val="Default"/>
              <w:jc w:val="center"/>
              <w:rPr>
                <w:sz w:val="22"/>
                <w:szCs w:val="22"/>
              </w:rPr>
            </w:pPr>
            <w:r w:rsidRPr="00583215">
              <w:rPr>
                <w:sz w:val="22"/>
                <w:szCs w:val="22"/>
              </w:rPr>
              <w:t>NUMBER OF RESPONSES</w:t>
            </w:r>
          </w:p>
        </w:tc>
        <w:tc>
          <w:tcPr>
            <w:tcW w:w="1710" w:type="dxa"/>
          </w:tcPr>
          <w:p w:rsidRPr="00583215" w:rsidR="003B4ABE" w:rsidP="006830E8" w:rsidRDefault="003B4ABE" w14:paraId="2533BBCC" w14:textId="77777777">
            <w:pPr>
              <w:pStyle w:val="Default"/>
              <w:jc w:val="center"/>
              <w:rPr>
                <w:sz w:val="22"/>
                <w:szCs w:val="22"/>
              </w:rPr>
            </w:pPr>
            <w:r w:rsidRPr="00583215">
              <w:rPr>
                <w:sz w:val="22"/>
                <w:szCs w:val="22"/>
              </w:rPr>
              <w:t>BURDEN PER RESPONSE</w:t>
            </w:r>
          </w:p>
        </w:tc>
        <w:tc>
          <w:tcPr>
            <w:tcW w:w="1260" w:type="dxa"/>
          </w:tcPr>
          <w:p w:rsidRPr="00583215" w:rsidR="003B4ABE" w:rsidP="006830E8" w:rsidRDefault="003B4ABE" w14:paraId="4CB8436C" w14:textId="77777777">
            <w:pPr>
              <w:pStyle w:val="Default"/>
              <w:jc w:val="center"/>
              <w:rPr>
                <w:sz w:val="22"/>
                <w:szCs w:val="22"/>
              </w:rPr>
            </w:pPr>
            <w:r w:rsidRPr="00583215">
              <w:rPr>
                <w:sz w:val="22"/>
                <w:szCs w:val="22"/>
              </w:rPr>
              <w:t>ANNUAL BURDEN HOURS</w:t>
            </w:r>
          </w:p>
        </w:tc>
        <w:tc>
          <w:tcPr>
            <w:tcW w:w="1980" w:type="dxa"/>
          </w:tcPr>
          <w:p w:rsidRPr="00583215" w:rsidR="003B4ABE" w:rsidP="006830E8" w:rsidRDefault="003B4ABE" w14:paraId="53FF568E" w14:textId="492C0209">
            <w:pPr>
              <w:pStyle w:val="Default"/>
              <w:jc w:val="center"/>
              <w:rPr>
                <w:sz w:val="22"/>
                <w:szCs w:val="22"/>
              </w:rPr>
            </w:pPr>
            <w:r w:rsidRPr="00583215">
              <w:rPr>
                <w:sz w:val="22"/>
                <w:szCs w:val="22"/>
              </w:rPr>
              <w:t>ANNUAL COST @ $</w:t>
            </w:r>
            <w:r w:rsidRPr="00583215" w:rsidR="00864D6B">
              <w:rPr>
                <w:sz w:val="22"/>
                <w:szCs w:val="22"/>
              </w:rPr>
              <w:t>2</w:t>
            </w:r>
            <w:r w:rsidR="00864D6B">
              <w:rPr>
                <w:sz w:val="22"/>
                <w:szCs w:val="22"/>
              </w:rPr>
              <w:t>78</w:t>
            </w:r>
            <w:r w:rsidRPr="00583215">
              <w:rPr>
                <w:sz w:val="22"/>
                <w:szCs w:val="22"/>
              </w:rPr>
              <w:t>/HOUR</w:t>
            </w:r>
          </w:p>
        </w:tc>
      </w:tr>
      <w:tr w:rsidRPr="00583215" w:rsidR="003B4ABE" w:rsidTr="006830E8" w14:paraId="762E65C7" w14:textId="77777777">
        <w:tc>
          <w:tcPr>
            <w:tcW w:w="1123" w:type="dxa"/>
          </w:tcPr>
          <w:p w:rsidRPr="00583215" w:rsidR="003B4ABE" w:rsidP="000147CD" w:rsidRDefault="003B4ABE" w14:paraId="2B837AAE" w14:textId="77777777">
            <w:pPr>
              <w:pStyle w:val="Default"/>
              <w:rPr>
                <w:sz w:val="22"/>
                <w:szCs w:val="22"/>
              </w:rPr>
            </w:pPr>
            <w:r w:rsidRPr="00583215">
              <w:rPr>
                <w:sz w:val="22"/>
                <w:szCs w:val="22"/>
              </w:rPr>
              <w:t>Reactors</w:t>
            </w:r>
          </w:p>
        </w:tc>
        <w:tc>
          <w:tcPr>
            <w:tcW w:w="767" w:type="dxa"/>
            <w:vAlign w:val="center"/>
          </w:tcPr>
          <w:p w:rsidRPr="00583215" w:rsidR="003B4ABE" w:rsidP="006830E8" w:rsidRDefault="003B4ABE" w14:paraId="6E062A38" w14:textId="5F1B960A">
            <w:pPr>
              <w:pStyle w:val="Default"/>
              <w:jc w:val="center"/>
              <w:rPr>
                <w:sz w:val="22"/>
                <w:szCs w:val="22"/>
              </w:rPr>
            </w:pPr>
            <w:r w:rsidRPr="00583215">
              <w:rPr>
                <w:sz w:val="22"/>
                <w:szCs w:val="22"/>
              </w:rPr>
              <w:t>9</w:t>
            </w:r>
            <w:r w:rsidR="00E723BA">
              <w:rPr>
                <w:sz w:val="22"/>
                <w:szCs w:val="22"/>
              </w:rPr>
              <w:t>8</w:t>
            </w:r>
          </w:p>
        </w:tc>
        <w:tc>
          <w:tcPr>
            <w:tcW w:w="2070" w:type="dxa"/>
          </w:tcPr>
          <w:p w:rsidRPr="00583215" w:rsidR="003B4ABE" w:rsidP="006830E8" w:rsidRDefault="003B4ABE" w14:paraId="7D8E8B58" w14:textId="77777777">
            <w:pPr>
              <w:pStyle w:val="Default"/>
              <w:jc w:val="center"/>
              <w:rPr>
                <w:sz w:val="22"/>
                <w:szCs w:val="22"/>
              </w:rPr>
            </w:pPr>
            <w:r w:rsidRPr="00583215">
              <w:rPr>
                <w:sz w:val="22"/>
                <w:szCs w:val="22"/>
              </w:rPr>
              <w:t>1</w:t>
            </w:r>
          </w:p>
        </w:tc>
        <w:tc>
          <w:tcPr>
            <w:tcW w:w="1620" w:type="dxa"/>
          </w:tcPr>
          <w:p w:rsidRPr="00583215" w:rsidR="003B4ABE" w:rsidP="006830E8" w:rsidRDefault="003B4ABE" w14:paraId="6084A97A" w14:textId="0FA8407F">
            <w:pPr>
              <w:pStyle w:val="Default"/>
              <w:jc w:val="center"/>
              <w:rPr>
                <w:sz w:val="22"/>
                <w:szCs w:val="22"/>
              </w:rPr>
            </w:pPr>
            <w:r w:rsidRPr="00583215">
              <w:rPr>
                <w:sz w:val="22"/>
                <w:szCs w:val="22"/>
              </w:rPr>
              <w:t>9</w:t>
            </w:r>
            <w:r w:rsidR="00E723BA">
              <w:rPr>
                <w:sz w:val="22"/>
                <w:szCs w:val="22"/>
              </w:rPr>
              <w:t>8</w:t>
            </w:r>
          </w:p>
        </w:tc>
        <w:tc>
          <w:tcPr>
            <w:tcW w:w="1710" w:type="dxa"/>
          </w:tcPr>
          <w:p w:rsidRPr="00583215" w:rsidR="003B4ABE" w:rsidP="006830E8" w:rsidRDefault="003B4ABE" w14:paraId="5C66868F" w14:textId="77777777">
            <w:pPr>
              <w:pStyle w:val="Default"/>
              <w:jc w:val="center"/>
              <w:rPr>
                <w:sz w:val="22"/>
                <w:szCs w:val="22"/>
              </w:rPr>
            </w:pPr>
            <w:r w:rsidRPr="00583215">
              <w:rPr>
                <w:sz w:val="22"/>
                <w:szCs w:val="22"/>
              </w:rPr>
              <w:t>30</w:t>
            </w:r>
          </w:p>
        </w:tc>
        <w:tc>
          <w:tcPr>
            <w:tcW w:w="1260" w:type="dxa"/>
          </w:tcPr>
          <w:p w:rsidRPr="00583215" w:rsidR="003B4ABE" w:rsidP="006830E8" w:rsidRDefault="003B4ABE" w14:paraId="64450299" w14:textId="300871D0">
            <w:pPr>
              <w:pStyle w:val="Default"/>
              <w:jc w:val="center"/>
              <w:rPr>
                <w:sz w:val="22"/>
                <w:szCs w:val="22"/>
              </w:rPr>
            </w:pPr>
            <w:r w:rsidRPr="00583215">
              <w:rPr>
                <w:sz w:val="22"/>
                <w:szCs w:val="22"/>
              </w:rPr>
              <w:t>2,</w:t>
            </w:r>
            <w:r w:rsidRPr="00583215" w:rsidR="00F04401">
              <w:rPr>
                <w:sz w:val="22"/>
                <w:szCs w:val="22"/>
              </w:rPr>
              <w:t>9</w:t>
            </w:r>
            <w:r w:rsidR="00E723BA">
              <w:rPr>
                <w:sz w:val="22"/>
                <w:szCs w:val="22"/>
              </w:rPr>
              <w:t>4</w:t>
            </w:r>
            <w:r w:rsidR="00F04401">
              <w:rPr>
                <w:sz w:val="22"/>
                <w:szCs w:val="22"/>
              </w:rPr>
              <w:t>0</w:t>
            </w:r>
          </w:p>
        </w:tc>
        <w:tc>
          <w:tcPr>
            <w:tcW w:w="1980" w:type="dxa"/>
          </w:tcPr>
          <w:p w:rsidRPr="00583215" w:rsidR="003B4ABE" w:rsidP="006830E8" w:rsidRDefault="003B4ABE" w14:paraId="4681A1F1" w14:textId="79B4788C">
            <w:pPr>
              <w:pStyle w:val="Default"/>
              <w:jc w:val="center"/>
              <w:rPr>
                <w:sz w:val="22"/>
                <w:szCs w:val="22"/>
              </w:rPr>
            </w:pPr>
            <w:r w:rsidRPr="00583215">
              <w:rPr>
                <w:sz w:val="22"/>
                <w:szCs w:val="22"/>
              </w:rPr>
              <w:t>$</w:t>
            </w:r>
            <w:r w:rsidR="00E723BA">
              <w:rPr>
                <w:sz w:val="22"/>
                <w:szCs w:val="22"/>
              </w:rPr>
              <w:t>817,320</w:t>
            </w:r>
          </w:p>
        </w:tc>
      </w:tr>
      <w:tr w:rsidRPr="00583215" w:rsidR="003B4ABE" w:rsidTr="006830E8" w14:paraId="3AF24FCD" w14:textId="77777777">
        <w:tc>
          <w:tcPr>
            <w:tcW w:w="1123" w:type="dxa"/>
          </w:tcPr>
          <w:p w:rsidRPr="00583215" w:rsidR="003B4ABE" w:rsidP="000147CD" w:rsidRDefault="003B4ABE" w14:paraId="6D036B37" w14:textId="77777777">
            <w:pPr>
              <w:pStyle w:val="Default"/>
              <w:rPr>
                <w:sz w:val="22"/>
                <w:szCs w:val="22"/>
              </w:rPr>
            </w:pPr>
            <w:r w:rsidRPr="00583215">
              <w:rPr>
                <w:sz w:val="22"/>
                <w:szCs w:val="22"/>
              </w:rPr>
              <w:t>Materials</w:t>
            </w:r>
          </w:p>
        </w:tc>
        <w:tc>
          <w:tcPr>
            <w:tcW w:w="767" w:type="dxa"/>
            <w:vAlign w:val="center"/>
          </w:tcPr>
          <w:p w:rsidRPr="00583215" w:rsidR="003B4ABE" w:rsidP="006830E8" w:rsidRDefault="00E723BA" w14:paraId="37351AC9" w14:textId="4057D4C6">
            <w:pPr>
              <w:pStyle w:val="Default"/>
              <w:jc w:val="center"/>
              <w:rPr>
                <w:sz w:val="22"/>
                <w:szCs w:val="22"/>
              </w:rPr>
            </w:pPr>
            <w:r>
              <w:rPr>
                <w:sz w:val="22"/>
                <w:szCs w:val="22"/>
              </w:rPr>
              <w:t>84</w:t>
            </w:r>
          </w:p>
        </w:tc>
        <w:tc>
          <w:tcPr>
            <w:tcW w:w="2070" w:type="dxa"/>
          </w:tcPr>
          <w:p w:rsidRPr="00583215" w:rsidR="003B4ABE" w:rsidP="006830E8" w:rsidRDefault="003B4ABE" w14:paraId="0B5169F7" w14:textId="77777777">
            <w:pPr>
              <w:pStyle w:val="Default"/>
              <w:jc w:val="center"/>
              <w:rPr>
                <w:sz w:val="22"/>
                <w:szCs w:val="22"/>
              </w:rPr>
            </w:pPr>
            <w:r w:rsidRPr="00583215">
              <w:rPr>
                <w:sz w:val="22"/>
                <w:szCs w:val="22"/>
              </w:rPr>
              <w:t>1</w:t>
            </w:r>
          </w:p>
        </w:tc>
        <w:tc>
          <w:tcPr>
            <w:tcW w:w="1620" w:type="dxa"/>
          </w:tcPr>
          <w:p w:rsidRPr="00583215" w:rsidR="003B4ABE" w:rsidP="006830E8" w:rsidRDefault="00E723BA" w14:paraId="4D5ACD25" w14:textId="44BF014F">
            <w:pPr>
              <w:pStyle w:val="Default"/>
              <w:jc w:val="center"/>
              <w:rPr>
                <w:sz w:val="22"/>
                <w:szCs w:val="22"/>
              </w:rPr>
            </w:pPr>
            <w:r>
              <w:rPr>
                <w:sz w:val="22"/>
                <w:szCs w:val="22"/>
              </w:rPr>
              <w:t>84</w:t>
            </w:r>
          </w:p>
        </w:tc>
        <w:tc>
          <w:tcPr>
            <w:tcW w:w="1710" w:type="dxa"/>
          </w:tcPr>
          <w:p w:rsidRPr="00583215" w:rsidR="003B4ABE" w:rsidP="006830E8" w:rsidRDefault="003B4ABE" w14:paraId="2F7CE8EC" w14:textId="77777777">
            <w:pPr>
              <w:pStyle w:val="Default"/>
              <w:jc w:val="center"/>
              <w:rPr>
                <w:sz w:val="22"/>
                <w:szCs w:val="22"/>
              </w:rPr>
            </w:pPr>
            <w:r w:rsidRPr="00583215">
              <w:rPr>
                <w:sz w:val="22"/>
                <w:szCs w:val="22"/>
              </w:rPr>
              <w:t>30</w:t>
            </w:r>
          </w:p>
        </w:tc>
        <w:tc>
          <w:tcPr>
            <w:tcW w:w="1260" w:type="dxa"/>
          </w:tcPr>
          <w:p w:rsidRPr="00583215" w:rsidR="003B4ABE" w:rsidP="006830E8" w:rsidRDefault="003B4ABE" w14:paraId="66006F76" w14:textId="256943EF">
            <w:pPr>
              <w:pStyle w:val="Default"/>
              <w:jc w:val="center"/>
              <w:rPr>
                <w:sz w:val="22"/>
                <w:szCs w:val="22"/>
              </w:rPr>
            </w:pPr>
            <w:r w:rsidRPr="00583215">
              <w:rPr>
                <w:sz w:val="22"/>
                <w:szCs w:val="22"/>
              </w:rPr>
              <w:t>2,</w:t>
            </w:r>
            <w:r w:rsidR="00E723BA">
              <w:rPr>
                <w:sz w:val="22"/>
                <w:szCs w:val="22"/>
              </w:rPr>
              <w:t>520</w:t>
            </w:r>
          </w:p>
        </w:tc>
        <w:tc>
          <w:tcPr>
            <w:tcW w:w="1980" w:type="dxa"/>
          </w:tcPr>
          <w:p w:rsidRPr="00583215" w:rsidR="003B4ABE" w:rsidP="006830E8" w:rsidRDefault="003B4ABE" w14:paraId="39C0F7E1" w14:textId="14B187D3">
            <w:pPr>
              <w:pStyle w:val="Default"/>
              <w:jc w:val="center"/>
              <w:rPr>
                <w:sz w:val="22"/>
                <w:szCs w:val="22"/>
              </w:rPr>
            </w:pPr>
            <w:r w:rsidRPr="00583215">
              <w:rPr>
                <w:sz w:val="22"/>
                <w:szCs w:val="22"/>
              </w:rPr>
              <w:t>$</w:t>
            </w:r>
            <w:r w:rsidR="00E723BA">
              <w:rPr>
                <w:sz w:val="22"/>
                <w:szCs w:val="22"/>
              </w:rPr>
              <w:t>700,560</w:t>
            </w:r>
          </w:p>
        </w:tc>
      </w:tr>
      <w:tr w:rsidRPr="00583215" w:rsidR="003B4ABE" w:rsidTr="001C7D3E" w14:paraId="141866D0" w14:textId="77777777">
        <w:tc>
          <w:tcPr>
            <w:tcW w:w="1123" w:type="dxa"/>
          </w:tcPr>
          <w:p w:rsidRPr="00583215" w:rsidR="003B4ABE" w:rsidP="000147CD" w:rsidRDefault="003B4ABE" w14:paraId="7CEC35E0" w14:textId="77777777">
            <w:pPr>
              <w:pStyle w:val="Default"/>
              <w:rPr>
                <w:sz w:val="22"/>
                <w:szCs w:val="22"/>
              </w:rPr>
            </w:pPr>
            <w:r w:rsidRPr="00583215">
              <w:rPr>
                <w:sz w:val="22"/>
                <w:szCs w:val="22"/>
              </w:rPr>
              <w:t>Total</w:t>
            </w:r>
          </w:p>
        </w:tc>
        <w:tc>
          <w:tcPr>
            <w:tcW w:w="767" w:type="dxa"/>
            <w:vAlign w:val="center"/>
          </w:tcPr>
          <w:p w:rsidRPr="00583215" w:rsidR="003B4ABE" w:rsidP="006830E8" w:rsidRDefault="003B4ABE" w14:paraId="0CDBBA61" w14:textId="53412BD0">
            <w:pPr>
              <w:pStyle w:val="Default"/>
              <w:jc w:val="center"/>
              <w:rPr>
                <w:sz w:val="22"/>
                <w:szCs w:val="22"/>
              </w:rPr>
            </w:pPr>
            <w:r w:rsidRPr="00583215">
              <w:rPr>
                <w:sz w:val="22"/>
                <w:szCs w:val="22"/>
              </w:rPr>
              <w:t>1</w:t>
            </w:r>
            <w:r w:rsidR="00E723BA">
              <w:rPr>
                <w:sz w:val="22"/>
                <w:szCs w:val="22"/>
              </w:rPr>
              <w:t>82</w:t>
            </w:r>
          </w:p>
        </w:tc>
        <w:tc>
          <w:tcPr>
            <w:tcW w:w="2070" w:type="dxa"/>
            <w:shd w:val="clear" w:color="auto" w:fill="BFBFBF" w:themeFill="background1" w:themeFillShade="BF"/>
          </w:tcPr>
          <w:p w:rsidRPr="00583215" w:rsidR="003B4ABE" w:rsidP="006830E8" w:rsidRDefault="003B4ABE" w14:paraId="6489D335" w14:textId="77777777">
            <w:pPr>
              <w:pStyle w:val="Default"/>
              <w:jc w:val="center"/>
              <w:rPr>
                <w:sz w:val="22"/>
                <w:szCs w:val="22"/>
              </w:rPr>
            </w:pPr>
          </w:p>
        </w:tc>
        <w:tc>
          <w:tcPr>
            <w:tcW w:w="1620" w:type="dxa"/>
          </w:tcPr>
          <w:p w:rsidRPr="00583215" w:rsidR="003B4ABE" w:rsidP="006830E8" w:rsidRDefault="00E723BA" w14:paraId="16788C65" w14:textId="579573D5">
            <w:pPr>
              <w:pStyle w:val="Default"/>
              <w:jc w:val="center"/>
              <w:rPr>
                <w:sz w:val="22"/>
                <w:szCs w:val="22"/>
              </w:rPr>
            </w:pPr>
            <w:r w:rsidRPr="00583215">
              <w:rPr>
                <w:sz w:val="22"/>
                <w:szCs w:val="22"/>
              </w:rPr>
              <w:t>1</w:t>
            </w:r>
            <w:r>
              <w:rPr>
                <w:sz w:val="22"/>
                <w:szCs w:val="22"/>
              </w:rPr>
              <w:t>82</w:t>
            </w:r>
          </w:p>
        </w:tc>
        <w:tc>
          <w:tcPr>
            <w:tcW w:w="1710" w:type="dxa"/>
            <w:shd w:val="clear" w:color="auto" w:fill="BFBFBF" w:themeFill="background1" w:themeFillShade="BF"/>
          </w:tcPr>
          <w:p w:rsidRPr="00583215" w:rsidR="003B4ABE" w:rsidP="006830E8" w:rsidRDefault="003B4ABE" w14:paraId="29AEC700" w14:textId="77777777">
            <w:pPr>
              <w:pStyle w:val="Default"/>
              <w:jc w:val="center"/>
              <w:rPr>
                <w:sz w:val="22"/>
                <w:szCs w:val="22"/>
              </w:rPr>
            </w:pPr>
          </w:p>
        </w:tc>
        <w:tc>
          <w:tcPr>
            <w:tcW w:w="1260" w:type="dxa"/>
          </w:tcPr>
          <w:p w:rsidRPr="00583215" w:rsidR="003B4ABE" w:rsidP="006830E8" w:rsidRDefault="003B4ABE" w14:paraId="31150957" w14:textId="7442C929">
            <w:pPr>
              <w:pStyle w:val="Default"/>
              <w:jc w:val="center"/>
              <w:rPr>
                <w:sz w:val="22"/>
                <w:szCs w:val="22"/>
              </w:rPr>
            </w:pPr>
            <w:r w:rsidRPr="00583215">
              <w:rPr>
                <w:sz w:val="22"/>
                <w:szCs w:val="22"/>
              </w:rPr>
              <w:t>5,</w:t>
            </w:r>
            <w:r w:rsidR="00E723BA">
              <w:rPr>
                <w:sz w:val="22"/>
                <w:szCs w:val="22"/>
              </w:rPr>
              <w:t>460</w:t>
            </w:r>
          </w:p>
        </w:tc>
        <w:tc>
          <w:tcPr>
            <w:tcW w:w="1980" w:type="dxa"/>
          </w:tcPr>
          <w:p w:rsidRPr="00583215" w:rsidR="003B4ABE" w:rsidP="006830E8" w:rsidRDefault="003B4ABE" w14:paraId="0F142D3E" w14:textId="1B819D54">
            <w:pPr>
              <w:pStyle w:val="Default"/>
              <w:jc w:val="center"/>
              <w:rPr>
                <w:sz w:val="22"/>
                <w:szCs w:val="22"/>
              </w:rPr>
            </w:pPr>
            <w:r w:rsidRPr="00583215">
              <w:rPr>
                <w:sz w:val="22"/>
                <w:szCs w:val="22"/>
              </w:rPr>
              <w:t>$1,</w:t>
            </w:r>
            <w:r w:rsidR="00E723BA">
              <w:rPr>
                <w:sz w:val="22"/>
                <w:szCs w:val="22"/>
              </w:rPr>
              <w:t>517,880</w:t>
            </w:r>
          </w:p>
        </w:tc>
      </w:tr>
    </w:tbl>
    <w:p w:rsidRPr="00583215" w:rsidR="003B4ABE" w:rsidP="00590A97" w:rsidRDefault="003B4ABE" w14:paraId="623522CD" w14:textId="4FE44326">
      <w:pPr>
        <w:pStyle w:val="Default"/>
        <w:spacing w:before="220"/>
        <w:rPr>
          <w:sz w:val="22"/>
          <w:szCs w:val="22"/>
        </w:rPr>
      </w:pPr>
      <w:r w:rsidRPr="00583215">
        <w:rPr>
          <w:sz w:val="22"/>
          <w:szCs w:val="22"/>
          <w:u w:val="single"/>
        </w:rPr>
        <w:t>Hours</w:t>
      </w:r>
      <w:r w:rsidRPr="00583215">
        <w:rPr>
          <w:sz w:val="22"/>
          <w:szCs w:val="22"/>
        </w:rPr>
        <w:t xml:space="preserve">: </w:t>
      </w:r>
      <w:r w:rsidR="00E723BA">
        <w:rPr>
          <w:color w:val="auto"/>
          <w:sz w:val="22"/>
          <w:szCs w:val="22"/>
        </w:rPr>
        <w:t>106,9</w:t>
      </w:r>
      <w:r w:rsidR="005C0390">
        <w:rPr>
          <w:color w:val="auto"/>
          <w:sz w:val="22"/>
          <w:szCs w:val="22"/>
        </w:rPr>
        <w:t>06</w:t>
      </w:r>
      <w:r w:rsidRPr="00583215">
        <w:rPr>
          <w:sz w:val="22"/>
          <w:szCs w:val="22"/>
        </w:rPr>
        <w:t xml:space="preserve"> hours (</w:t>
      </w:r>
      <w:r w:rsidRPr="00583215">
        <w:rPr>
          <w:color w:val="auto"/>
          <w:sz w:val="22"/>
          <w:szCs w:val="22"/>
        </w:rPr>
        <w:t>5</w:t>
      </w:r>
      <w:r w:rsidR="00210AAF">
        <w:rPr>
          <w:color w:val="auto"/>
          <w:sz w:val="22"/>
          <w:szCs w:val="22"/>
        </w:rPr>
        <w:t>,</w:t>
      </w:r>
      <w:r w:rsidR="007E6ABE">
        <w:rPr>
          <w:color w:val="auto"/>
          <w:sz w:val="22"/>
          <w:szCs w:val="22"/>
        </w:rPr>
        <w:t>460</w:t>
      </w:r>
      <w:r w:rsidRPr="00583215" w:rsidR="007E6ABE">
        <w:rPr>
          <w:sz w:val="22"/>
          <w:szCs w:val="22"/>
        </w:rPr>
        <w:t xml:space="preserve"> </w:t>
      </w:r>
      <w:r w:rsidRPr="00583215">
        <w:rPr>
          <w:sz w:val="22"/>
          <w:szCs w:val="22"/>
        </w:rPr>
        <w:t xml:space="preserve">reporting plus </w:t>
      </w:r>
      <w:r w:rsidR="00E723BA">
        <w:rPr>
          <w:color w:val="auto"/>
          <w:sz w:val="22"/>
          <w:szCs w:val="22"/>
        </w:rPr>
        <w:t>101,</w:t>
      </w:r>
      <w:r w:rsidR="005C0390">
        <w:rPr>
          <w:color w:val="auto"/>
          <w:sz w:val="22"/>
          <w:szCs w:val="22"/>
        </w:rPr>
        <w:t>446</w:t>
      </w:r>
      <w:r w:rsidRPr="00583215">
        <w:rPr>
          <w:color w:val="auto"/>
          <w:sz w:val="22"/>
          <w:szCs w:val="22"/>
        </w:rPr>
        <w:t xml:space="preserve"> </w:t>
      </w:r>
      <w:r w:rsidRPr="00583215">
        <w:rPr>
          <w:sz w:val="22"/>
          <w:szCs w:val="22"/>
        </w:rPr>
        <w:t>recordkeeping)</w:t>
      </w:r>
    </w:p>
    <w:p w:rsidRPr="00583215" w:rsidR="003B4ABE" w:rsidP="003B4ABE" w:rsidRDefault="003B4ABE" w14:paraId="2B850963" w14:textId="5667278C">
      <w:pPr>
        <w:pStyle w:val="Default"/>
        <w:rPr>
          <w:sz w:val="22"/>
          <w:szCs w:val="22"/>
        </w:rPr>
      </w:pPr>
      <w:r w:rsidRPr="00583215">
        <w:rPr>
          <w:sz w:val="22"/>
          <w:szCs w:val="22"/>
          <w:u w:val="single"/>
        </w:rPr>
        <w:t>Responses</w:t>
      </w:r>
      <w:r w:rsidRPr="00583215">
        <w:rPr>
          <w:sz w:val="22"/>
          <w:szCs w:val="22"/>
        </w:rPr>
        <w:t xml:space="preserve">: </w:t>
      </w:r>
      <w:r w:rsidRPr="00583215">
        <w:rPr>
          <w:color w:val="auto"/>
          <w:sz w:val="22"/>
          <w:szCs w:val="22"/>
        </w:rPr>
        <w:t>4,3</w:t>
      </w:r>
      <w:r w:rsidR="005C0390">
        <w:rPr>
          <w:color w:val="auto"/>
          <w:sz w:val="22"/>
          <w:szCs w:val="22"/>
        </w:rPr>
        <w:t>28</w:t>
      </w:r>
      <w:r w:rsidRPr="00583215">
        <w:rPr>
          <w:sz w:val="22"/>
          <w:szCs w:val="22"/>
        </w:rPr>
        <w:t xml:space="preserve"> (</w:t>
      </w:r>
      <w:r w:rsidRPr="00583215" w:rsidR="0054111F">
        <w:rPr>
          <w:color w:val="auto"/>
          <w:sz w:val="22"/>
          <w:szCs w:val="22"/>
        </w:rPr>
        <w:t>1</w:t>
      </w:r>
      <w:r w:rsidR="0054111F">
        <w:rPr>
          <w:color w:val="auto"/>
          <w:sz w:val="22"/>
          <w:szCs w:val="22"/>
        </w:rPr>
        <w:t>82</w:t>
      </w:r>
      <w:r w:rsidRPr="00583215" w:rsidR="0054111F">
        <w:rPr>
          <w:sz w:val="22"/>
          <w:szCs w:val="22"/>
        </w:rPr>
        <w:t xml:space="preserve"> </w:t>
      </w:r>
      <w:r w:rsidRPr="00583215">
        <w:rPr>
          <w:sz w:val="22"/>
          <w:szCs w:val="22"/>
        </w:rPr>
        <w:t xml:space="preserve">reporting responses plus </w:t>
      </w:r>
      <w:r w:rsidRPr="00583215">
        <w:rPr>
          <w:color w:val="auto"/>
          <w:sz w:val="22"/>
          <w:szCs w:val="22"/>
        </w:rPr>
        <w:t>4,</w:t>
      </w:r>
      <w:r w:rsidR="005C0390">
        <w:rPr>
          <w:color w:val="auto"/>
          <w:sz w:val="22"/>
          <w:szCs w:val="22"/>
        </w:rPr>
        <w:t>146</w:t>
      </w:r>
      <w:r w:rsidR="00E723BA">
        <w:rPr>
          <w:color w:val="auto"/>
          <w:sz w:val="22"/>
          <w:szCs w:val="22"/>
        </w:rPr>
        <w:t xml:space="preserve"> </w:t>
      </w:r>
      <w:r w:rsidRPr="00583215">
        <w:rPr>
          <w:sz w:val="22"/>
          <w:szCs w:val="22"/>
        </w:rPr>
        <w:t>recordkeepers)</w:t>
      </w:r>
    </w:p>
    <w:p w:rsidRPr="00583215" w:rsidR="003B4ABE" w:rsidP="006830E8" w:rsidRDefault="003B4ABE" w14:paraId="29C5D88F" w14:textId="72CB6575">
      <w:pPr>
        <w:pStyle w:val="Default"/>
        <w:spacing w:after="240"/>
        <w:rPr>
          <w:sz w:val="22"/>
          <w:szCs w:val="22"/>
        </w:rPr>
      </w:pPr>
      <w:r w:rsidRPr="00583215">
        <w:rPr>
          <w:sz w:val="22"/>
          <w:szCs w:val="22"/>
          <w:u w:val="single"/>
        </w:rPr>
        <w:t>Respondents</w:t>
      </w:r>
      <w:r w:rsidRPr="00583215">
        <w:rPr>
          <w:sz w:val="22"/>
          <w:szCs w:val="22"/>
        </w:rPr>
        <w:t>: 4,</w:t>
      </w:r>
      <w:r w:rsidRPr="00583215" w:rsidR="0054111F">
        <w:rPr>
          <w:sz w:val="22"/>
          <w:szCs w:val="22"/>
        </w:rPr>
        <w:t>1</w:t>
      </w:r>
      <w:r w:rsidR="005C0390">
        <w:rPr>
          <w:sz w:val="22"/>
          <w:szCs w:val="22"/>
        </w:rPr>
        <w:t>46</w:t>
      </w:r>
      <w:r w:rsidRPr="00583215" w:rsidR="0054111F">
        <w:rPr>
          <w:sz w:val="22"/>
          <w:szCs w:val="22"/>
        </w:rPr>
        <w:t xml:space="preserve"> </w:t>
      </w:r>
      <w:r w:rsidRPr="00583215">
        <w:rPr>
          <w:sz w:val="22"/>
          <w:szCs w:val="22"/>
        </w:rPr>
        <w:t>respondents (9</w:t>
      </w:r>
      <w:r w:rsidR="0054111F">
        <w:rPr>
          <w:sz w:val="22"/>
          <w:szCs w:val="22"/>
        </w:rPr>
        <w:t>8</w:t>
      </w:r>
      <w:r w:rsidRPr="00583215">
        <w:rPr>
          <w:sz w:val="22"/>
          <w:szCs w:val="22"/>
        </w:rPr>
        <w:t xml:space="preserve"> reactors plus 4,</w:t>
      </w:r>
      <w:r w:rsidRPr="00583215" w:rsidR="0054111F">
        <w:rPr>
          <w:sz w:val="22"/>
          <w:szCs w:val="22"/>
        </w:rPr>
        <w:t>0</w:t>
      </w:r>
      <w:r w:rsidR="005C0390">
        <w:rPr>
          <w:sz w:val="22"/>
          <w:szCs w:val="22"/>
        </w:rPr>
        <w:t>48</w:t>
      </w:r>
      <w:r w:rsidRPr="00583215" w:rsidR="0054111F">
        <w:rPr>
          <w:sz w:val="22"/>
          <w:szCs w:val="22"/>
        </w:rPr>
        <w:t xml:space="preserve"> </w:t>
      </w:r>
      <w:r w:rsidRPr="00583215">
        <w:rPr>
          <w:sz w:val="22"/>
          <w:szCs w:val="22"/>
        </w:rPr>
        <w:t>materials licensees)</w:t>
      </w:r>
    </w:p>
    <w:p w:rsidR="009E3917" w:rsidP="006830E8" w:rsidRDefault="003B4ABE" w14:paraId="00963118" w14:textId="77777777">
      <w:pPr>
        <w:pStyle w:val="Default"/>
        <w:spacing w:after="240"/>
        <w:jc w:val="center"/>
        <w:rPr>
          <w:sz w:val="22"/>
          <w:szCs w:val="22"/>
        </w:rPr>
      </w:pPr>
      <w:r w:rsidRPr="00583215">
        <w:rPr>
          <w:sz w:val="22"/>
          <w:szCs w:val="22"/>
        </w:rPr>
        <w:t>TABLE 3</w:t>
      </w:r>
    </w:p>
    <w:p w:rsidRPr="00583215" w:rsidR="003B4ABE" w:rsidP="006830E8" w:rsidRDefault="003B4ABE" w14:paraId="60B3D72E" w14:textId="4D3868C3">
      <w:pPr>
        <w:pStyle w:val="Default"/>
        <w:spacing w:after="240"/>
        <w:jc w:val="center"/>
        <w:rPr>
          <w:sz w:val="22"/>
          <w:szCs w:val="22"/>
        </w:rPr>
      </w:pPr>
      <w:r w:rsidRPr="00583215">
        <w:rPr>
          <w:sz w:val="22"/>
          <w:szCs w:val="22"/>
        </w:rPr>
        <w:t>ESTIMATED ANNUALIZED COST TO THE NRC FOR REVIEW OF REPORTS AND CONDUCT OF INSPECTIONS ASSOCIATED WITH NRC FORM 5</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53"/>
        <w:gridCol w:w="1179"/>
        <w:gridCol w:w="2310"/>
        <w:gridCol w:w="2275"/>
        <w:gridCol w:w="2333"/>
      </w:tblGrid>
      <w:tr w:rsidRPr="00583215" w:rsidR="002E2F82" w:rsidTr="006830E8" w14:paraId="3D5DC820" w14:textId="77777777">
        <w:tc>
          <w:tcPr>
            <w:tcW w:w="2583" w:type="dxa"/>
            <w:gridSpan w:val="2"/>
          </w:tcPr>
          <w:p w:rsidRPr="00583215" w:rsidR="003B4ABE" w:rsidP="000147CD" w:rsidRDefault="003B4ABE" w14:paraId="7CD257FC" w14:textId="77777777">
            <w:pPr>
              <w:pStyle w:val="Default"/>
              <w:rPr>
                <w:sz w:val="22"/>
                <w:szCs w:val="22"/>
              </w:rPr>
            </w:pPr>
          </w:p>
        </w:tc>
        <w:tc>
          <w:tcPr>
            <w:tcW w:w="2584" w:type="dxa"/>
            <w:vAlign w:val="center"/>
          </w:tcPr>
          <w:p w:rsidRPr="00583215" w:rsidR="003B4ABE" w:rsidP="006830E8" w:rsidRDefault="003B4ABE" w14:paraId="2C865635" w14:textId="77777777">
            <w:pPr>
              <w:pStyle w:val="Default"/>
              <w:jc w:val="center"/>
              <w:rPr>
                <w:sz w:val="22"/>
                <w:szCs w:val="22"/>
              </w:rPr>
            </w:pPr>
            <w:r w:rsidRPr="00583215">
              <w:rPr>
                <w:sz w:val="22"/>
                <w:szCs w:val="22"/>
              </w:rPr>
              <w:t>STAFF HOURS PER LICENSEE</w:t>
            </w:r>
          </w:p>
        </w:tc>
        <w:tc>
          <w:tcPr>
            <w:tcW w:w="2584" w:type="dxa"/>
            <w:vAlign w:val="center"/>
          </w:tcPr>
          <w:p w:rsidRPr="00583215" w:rsidR="003B4ABE" w:rsidP="006830E8" w:rsidRDefault="003B4ABE" w14:paraId="38A60C3E" w14:textId="77777777">
            <w:pPr>
              <w:pStyle w:val="Default"/>
              <w:jc w:val="center"/>
              <w:rPr>
                <w:sz w:val="22"/>
                <w:szCs w:val="22"/>
              </w:rPr>
            </w:pPr>
            <w:r w:rsidRPr="00583215">
              <w:rPr>
                <w:sz w:val="22"/>
                <w:szCs w:val="22"/>
              </w:rPr>
              <w:t>STAFF BURDEN HOURS</w:t>
            </w:r>
          </w:p>
        </w:tc>
        <w:tc>
          <w:tcPr>
            <w:tcW w:w="2584" w:type="dxa"/>
            <w:vAlign w:val="center"/>
          </w:tcPr>
          <w:p w:rsidRPr="00583215" w:rsidR="003B4ABE" w:rsidP="006830E8" w:rsidRDefault="003B4ABE" w14:paraId="553069F5" w14:textId="1E7174C5">
            <w:pPr>
              <w:pStyle w:val="Default"/>
              <w:jc w:val="center"/>
              <w:rPr>
                <w:sz w:val="22"/>
                <w:szCs w:val="22"/>
              </w:rPr>
            </w:pPr>
            <w:r w:rsidRPr="00583215">
              <w:rPr>
                <w:sz w:val="22"/>
                <w:szCs w:val="22"/>
              </w:rPr>
              <w:t>ANNUAL COST @ $</w:t>
            </w:r>
            <w:r w:rsidRPr="00583215" w:rsidR="00864D6B">
              <w:rPr>
                <w:sz w:val="22"/>
                <w:szCs w:val="22"/>
              </w:rPr>
              <w:t>2</w:t>
            </w:r>
            <w:r w:rsidR="00864D6B">
              <w:rPr>
                <w:sz w:val="22"/>
                <w:szCs w:val="22"/>
              </w:rPr>
              <w:t>78</w:t>
            </w:r>
            <w:r w:rsidRPr="00583215">
              <w:rPr>
                <w:sz w:val="22"/>
                <w:szCs w:val="22"/>
              </w:rPr>
              <w:t>/HOUR</w:t>
            </w:r>
          </w:p>
        </w:tc>
      </w:tr>
      <w:tr w:rsidRPr="00583215" w:rsidR="002E2F82" w:rsidTr="006830E8" w14:paraId="36B87007" w14:textId="77777777">
        <w:tc>
          <w:tcPr>
            <w:tcW w:w="1291" w:type="dxa"/>
          </w:tcPr>
          <w:p w:rsidRPr="00583215" w:rsidR="003B4ABE" w:rsidP="000147CD" w:rsidRDefault="003B4ABE" w14:paraId="51D35196" w14:textId="77777777">
            <w:pPr>
              <w:pStyle w:val="Default"/>
              <w:rPr>
                <w:sz w:val="22"/>
                <w:szCs w:val="22"/>
              </w:rPr>
            </w:pPr>
            <w:r w:rsidRPr="00583215">
              <w:rPr>
                <w:sz w:val="22"/>
                <w:szCs w:val="22"/>
              </w:rPr>
              <w:t>Reactors</w:t>
            </w:r>
          </w:p>
        </w:tc>
        <w:tc>
          <w:tcPr>
            <w:tcW w:w="1292" w:type="dxa"/>
            <w:vAlign w:val="center"/>
          </w:tcPr>
          <w:p w:rsidRPr="00583215" w:rsidR="003B4ABE" w:rsidP="006830E8" w:rsidRDefault="003B4ABE" w14:paraId="32EDB8CA" w14:textId="104B0652">
            <w:pPr>
              <w:pStyle w:val="Default"/>
              <w:jc w:val="center"/>
              <w:rPr>
                <w:sz w:val="22"/>
                <w:szCs w:val="22"/>
              </w:rPr>
            </w:pPr>
            <w:r w:rsidRPr="00583215">
              <w:rPr>
                <w:sz w:val="22"/>
                <w:szCs w:val="22"/>
              </w:rPr>
              <w:t>9</w:t>
            </w:r>
            <w:r w:rsidR="00E01B96">
              <w:rPr>
                <w:sz w:val="22"/>
                <w:szCs w:val="22"/>
              </w:rPr>
              <w:t>8</w:t>
            </w:r>
          </w:p>
        </w:tc>
        <w:tc>
          <w:tcPr>
            <w:tcW w:w="2584" w:type="dxa"/>
            <w:vAlign w:val="center"/>
          </w:tcPr>
          <w:p w:rsidRPr="00583215" w:rsidR="003B4ABE" w:rsidP="006830E8" w:rsidRDefault="003B4ABE" w14:paraId="64D6FA4B" w14:textId="77777777">
            <w:pPr>
              <w:pStyle w:val="Default"/>
              <w:jc w:val="center"/>
              <w:rPr>
                <w:sz w:val="22"/>
                <w:szCs w:val="22"/>
              </w:rPr>
            </w:pPr>
            <w:r w:rsidRPr="00583215">
              <w:rPr>
                <w:sz w:val="22"/>
                <w:szCs w:val="22"/>
              </w:rPr>
              <w:t>2.5</w:t>
            </w:r>
          </w:p>
        </w:tc>
        <w:tc>
          <w:tcPr>
            <w:tcW w:w="2584" w:type="dxa"/>
            <w:vAlign w:val="center"/>
          </w:tcPr>
          <w:p w:rsidRPr="00583215" w:rsidR="003B4ABE" w:rsidP="006830E8" w:rsidRDefault="003B4ABE" w14:paraId="264CF214" w14:textId="04BCEC9A">
            <w:pPr>
              <w:pStyle w:val="Default"/>
              <w:jc w:val="center"/>
              <w:rPr>
                <w:sz w:val="22"/>
                <w:szCs w:val="22"/>
              </w:rPr>
            </w:pPr>
            <w:r w:rsidRPr="00583215">
              <w:rPr>
                <w:sz w:val="22"/>
                <w:szCs w:val="22"/>
              </w:rPr>
              <w:t>2</w:t>
            </w:r>
            <w:r w:rsidR="007813CF">
              <w:rPr>
                <w:sz w:val="22"/>
                <w:szCs w:val="22"/>
              </w:rPr>
              <w:t>4</w:t>
            </w:r>
            <w:r w:rsidR="00924B2A">
              <w:rPr>
                <w:sz w:val="22"/>
                <w:szCs w:val="22"/>
              </w:rPr>
              <w:t>5</w:t>
            </w:r>
          </w:p>
        </w:tc>
        <w:tc>
          <w:tcPr>
            <w:tcW w:w="2584" w:type="dxa"/>
            <w:vAlign w:val="center"/>
          </w:tcPr>
          <w:p w:rsidRPr="00583215" w:rsidR="003B4ABE" w:rsidP="006830E8" w:rsidRDefault="003B4ABE" w14:paraId="70EFB324" w14:textId="15A69DAF">
            <w:pPr>
              <w:pStyle w:val="Default"/>
              <w:jc w:val="center"/>
              <w:rPr>
                <w:sz w:val="22"/>
                <w:szCs w:val="22"/>
              </w:rPr>
            </w:pPr>
            <w:r w:rsidRPr="00583215">
              <w:rPr>
                <w:sz w:val="22"/>
                <w:szCs w:val="22"/>
              </w:rPr>
              <w:t>$</w:t>
            </w:r>
            <w:r w:rsidR="00924B2A">
              <w:rPr>
                <w:sz w:val="22"/>
                <w:szCs w:val="22"/>
              </w:rPr>
              <w:t>68,110</w:t>
            </w:r>
          </w:p>
        </w:tc>
      </w:tr>
      <w:tr w:rsidRPr="00583215" w:rsidR="002E2F82" w:rsidTr="006830E8" w14:paraId="4FABE5E8" w14:textId="77777777">
        <w:tc>
          <w:tcPr>
            <w:tcW w:w="1291" w:type="dxa"/>
          </w:tcPr>
          <w:p w:rsidRPr="00583215" w:rsidR="003B4ABE" w:rsidP="000147CD" w:rsidRDefault="003B4ABE" w14:paraId="5CAE916F" w14:textId="77777777">
            <w:pPr>
              <w:pStyle w:val="Default"/>
              <w:rPr>
                <w:sz w:val="22"/>
                <w:szCs w:val="22"/>
              </w:rPr>
            </w:pPr>
            <w:r w:rsidRPr="00583215">
              <w:rPr>
                <w:sz w:val="22"/>
                <w:szCs w:val="22"/>
              </w:rPr>
              <w:t>Materials</w:t>
            </w:r>
          </w:p>
        </w:tc>
        <w:tc>
          <w:tcPr>
            <w:tcW w:w="1292" w:type="dxa"/>
            <w:vAlign w:val="center"/>
          </w:tcPr>
          <w:p w:rsidRPr="00583215" w:rsidR="003B4ABE" w:rsidP="006830E8" w:rsidRDefault="003B4ABE" w14:paraId="300E47CF" w14:textId="340C5C5A">
            <w:pPr>
              <w:pStyle w:val="Default"/>
              <w:jc w:val="center"/>
              <w:rPr>
                <w:sz w:val="22"/>
                <w:szCs w:val="22"/>
              </w:rPr>
            </w:pPr>
            <w:r w:rsidRPr="00583215">
              <w:rPr>
                <w:sz w:val="22"/>
                <w:szCs w:val="22"/>
              </w:rPr>
              <w:t>4,</w:t>
            </w:r>
            <w:r w:rsidRPr="00583215" w:rsidR="00924B2A">
              <w:rPr>
                <w:sz w:val="22"/>
                <w:szCs w:val="22"/>
              </w:rPr>
              <w:t>0</w:t>
            </w:r>
            <w:r w:rsidR="006A5A22">
              <w:rPr>
                <w:sz w:val="22"/>
                <w:szCs w:val="22"/>
              </w:rPr>
              <w:t>48</w:t>
            </w:r>
          </w:p>
        </w:tc>
        <w:tc>
          <w:tcPr>
            <w:tcW w:w="2584" w:type="dxa"/>
            <w:vAlign w:val="center"/>
          </w:tcPr>
          <w:p w:rsidRPr="00583215" w:rsidR="003B4ABE" w:rsidP="006830E8" w:rsidRDefault="003B4ABE" w14:paraId="2EE5AD09" w14:textId="77777777">
            <w:pPr>
              <w:pStyle w:val="Default"/>
              <w:jc w:val="center"/>
              <w:rPr>
                <w:sz w:val="22"/>
                <w:szCs w:val="22"/>
              </w:rPr>
            </w:pPr>
            <w:r w:rsidRPr="00583215">
              <w:rPr>
                <w:sz w:val="22"/>
                <w:szCs w:val="22"/>
              </w:rPr>
              <w:t>0.5</w:t>
            </w:r>
          </w:p>
        </w:tc>
        <w:tc>
          <w:tcPr>
            <w:tcW w:w="2584" w:type="dxa"/>
            <w:vAlign w:val="center"/>
          </w:tcPr>
          <w:p w:rsidRPr="00583215" w:rsidR="003B4ABE" w:rsidP="006830E8" w:rsidRDefault="003B4ABE" w14:paraId="3C2C0E22" w14:textId="14C019E1">
            <w:pPr>
              <w:pStyle w:val="Default"/>
              <w:jc w:val="center"/>
              <w:rPr>
                <w:sz w:val="22"/>
                <w:szCs w:val="22"/>
              </w:rPr>
            </w:pPr>
            <w:r w:rsidRPr="00583215">
              <w:rPr>
                <w:sz w:val="22"/>
                <w:szCs w:val="22"/>
              </w:rPr>
              <w:t>2,</w:t>
            </w:r>
            <w:r w:rsidRPr="00583215" w:rsidR="00924B2A">
              <w:rPr>
                <w:sz w:val="22"/>
                <w:szCs w:val="22"/>
              </w:rPr>
              <w:t>0</w:t>
            </w:r>
            <w:r w:rsidR="006A5A22">
              <w:rPr>
                <w:sz w:val="22"/>
                <w:szCs w:val="22"/>
              </w:rPr>
              <w:t>24</w:t>
            </w:r>
          </w:p>
        </w:tc>
        <w:tc>
          <w:tcPr>
            <w:tcW w:w="2584" w:type="dxa"/>
            <w:vAlign w:val="center"/>
          </w:tcPr>
          <w:p w:rsidRPr="00583215" w:rsidR="003B4ABE" w:rsidP="006830E8" w:rsidRDefault="003B4ABE" w14:paraId="0126FC5B" w14:textId="17EA08A2">
            <w:pPr>
              <w:pStyle w:val="Default"/>
              <w:jc w:val="center"/>
              <w:rPr>
                <w:sz w:val="22"/>
                <w:szCs w:val="22"/>
              </w:rPr>
            </w:pPr>
            <w:r w:rsidRPr="00583215">
              <w:rPr>
                <w:sz w:val="22"/>
                <w:szCs w:val="22"/>
              </w:rPr>
              <w:t>$</w:t>
            </w:r>
            <w:r w:rsidR="00924B2A">
              <w:rPr>
                <w:sz w:val="22"/>
                <w:szCs w:val="22"/>
              </w:rPr>
              <w:t>56</w:t>
            </w:r>
            <w:r w:rsidR="006A5A22">
              <w:rPr>
                <w:sz w:val="22"/>
                <w:szCs w:val="22"/>
              </w:rPr>
              <w:t>2,672</w:t>
            </w:r>
          </w:p>
        </w:tc>
      </w:tr>
      <w:tr w:rsidRPr="00152623" w:rsidR="002E2F82" w:rsidTr="00AA68ED" w14:paraId="119EF609" w14:textId="77777777">
        <w:tc>
          <w:tcPr>
            <w:tcW w:w="1291" w:type="dxa"/>
          </w:tcPr>
          <w:p w:rsidRPr="00583215" w:rsidR="003B4ABE" w:rsidP="000147CD" w:rsidRDefault="003B4ABE" w14:paraId="109FCDA0" w14:textId="77777777">
            <w:pPr>
              <w:pStyle w:val="Default"/>
              <w:rPr>
                <w:sz w:val="22"/>
                <w:szCs w:val="22"/>
              </w:rPr>
            </w:pPr>
            <w:r w:rsidRPr="00583215">
              <w:rPr>
                <w:sz w:val="22"/>
                <w:szCs w:val="22"/>
              </w:rPr>
              <w:t>Totals</w:t>
            </w:r>
          </w:p>
        </w:tc>
        <w:tc>
          <w:tcPr>
            <w:tcW w:w="1292" w:type="dxa"/>
            <w:vAlign w:val="center"/>
          </w:tcPr>
          <w:p w:rsidRPr="00583215" w:rsidR="003B4ABE" w:rsidP="006830E8" w:rsidRDefault="003B4ABE" w14:paraId="5DA037FC" w14:textId="35A50034">
            <w:pPr>
              <w:pStyle w:val="Default"/>
              <w:jc w:val="center"/>
              <w:rPr>
                <w:sz w:val="22"/>
                <w:szCs w:val="22"/>
              </w:rPr>
            </w:pPr>
            <w:r w:rsidRPr="00583215">
              <w:rPr>
                <w:sz w:val="22"/>
                <w:szCs w:val="22"/>
              </w:rPr>
              <w:t>4,</w:t>
            </w:r>
            <w:r w:rsidRPr="00583215" w:rsidR="00924B2A">
              <w:rPr>
                <w:sz w:val="22"/>
                <w:szCs w:val="22"/>
              </w:rPr>
              <w:t>1</w:t>
            </w:r>
            <w:r w:rsidR="006A5A22">
              <w:rPr>
                <w:sz w:val="22"/>
                <w:szCs w:val="22"/>
              </w:rPr>
              <w:t>46</w:t>
            </w:r>
          </w:p>
        </w:tc>
        <w:tc>
          <w:tcPr>
            <w:tcW w:w="2584" w:type="dxa"/>
            <w:shd w:val="clear" w:color="auto" w:fill="BFBFBF" w:themeFill="background1" w:themeFillShade="BF"/>
            <w:vAlign w:val="center"/>
          </w:tcPr>
          <w:p w:rsidRPr="00583215" w:rsidR="003B4ABE" w:rsidP="006830E8" w:rsidRDefault="003B4ABE" w14:paraId="6690959D" w14:textId="77777777">
            <w:pPr>
              <w:pStyle w:val="Default"/>
              <w:jc w:val="center"/>
              <w:rPr>
                <w:sz w:val="22"/>
                <w:szCs w:val="22"/>
              </w:rPr>
            </w:pPr>
          </w:p>
        </w:tc>
        <w:tc>
          <w:tcPr>
            <w:tcW w:w="2584" w:type="dxa"/>
            <w:vAlign w:val="center"/>
          </w:tcPr>
          <w:p w:rsidRPr="00583215" w:rsidR="003B4ABE" w:rsidP="006830E8" w:rsidRDefault="003B4ABE" w14:paraId="53C8846C" w14:textId="4C34E924">
            <w:pPr>
              <w:pStyle w:val="Default"/>
              <w:jc w:val="center"/>
              <w:rPr>
                <w:sz w:val="22"/>
                <w:szCs w:val="22"/>
              </w:rPr>
            </w:pPr>
            <w:r w:rsidRPr="00583215">
              <w:rPr>
                <w:sz w:val="22"/>
                <w:szCs w:val="22"/>
              </w:rPr>
              <w:t>2,</w:t>
            </w:r>
            <w:r w:rsidRPr="00583215" w:rsidR="00976599">
              <w:rPr>
                <w:sz w:val="22"/>
                <w:szCs w:val="22"/>
              </w:rPr>
              <w:t>2</w:t>
            </w:r>
            <w:r w:rsidR="006A5A22">
              <w:rPr>
                <w:sz w:val="22"/>
                <w:szCs w:val="22"/>
              </w:rPr>
              <w:t>69</w:t>
            </w:r>
          </w:p>
        </w:tc>
        <w:tc>
          <w:tcPr>
            <w:tcW w:w="2584" w:type="dxa"/>
            <w:vAlign w:val="center"/>
          </w:tcPr>
          <w:p w:rsidRPr="00152623" w:rsidR="003B4ABE" w:rsidP="006830E8" w:rsidRDefault="003B4ABE" w14:paraId="4E8CFBA6" w14:textId="00C07575">
            <w:pPr>
              <w:pStyle w:val="Default"/>
              <w:jc w:val="center"/>
              <w:rPr>
                <w:sz w:val="22"/>
                <w:szCs w:val="22"/>
              </w:rPr>
            </w:pPr>
            <w:r w:rsidRPr="00583215">
              <w:rPr>
                <w:sz w:val="22"/>
                <w:szCs w:val="22"/>
              </w:rPr>
              <w:t>$</w:t>
            </w:r>
            <w:r w:rsidR="00924B2A">
              <w:rPr>
                <w:sz w:val="22"/>
                <w:szCs w:val="22"/>
              </w:rPr>
              <w:t>63</w:t>
            </w:r>
            <w:r w:rsidR="006A5A22">
              <w:rPr>
                <w:sz w:val="22"/>
                <w:szCs w:val="22"/>
              </w:rPr>
              <w:t>0,782</w:t>
            </w:r>
          </w:p>
        </w:tc>
      </w:tr>
    </w:tbl>
    <w:p w:rsidRPr="006830E8" w:rsidR="003B4ABE" w:rsidP="00590A97" w:rsidRDefault="003B4ABE" w14:paraId="1A516BDF" w14:textId="77777777">
      <w:pPr>
        <w:rPr>
          <w:rFonts w:ascii="Arial" w:hAnsi="Arial" w:cs="Arial"/>
          <w:sz w:val="22"/>
          <w:szCs w:val="22"/>
        </w:rPr>
      </w:pPr>
    </w:p>
    <w:p w:rsidRPr="00590A97" w:rsidR="00CD7371" w:rsidRDefault="00CD7371" w14:paraId="160F3C60" w14:textId="7EB69C33">
      <w:pPr>
        <w:rPr>
          <w:rFonts w:ascii="Arial" w:hAnsi="Arial" w:cs="Arial"/>
          <w:sz w:val="22"/>
          <w:szCs w:val="22"/>
        </w:rPr>
      </w:pPr>
      <w:r w:rsidRPr="00590A97">
        <w:rPr>
          <w:rFonts w:ascii="Arial" w:hAnsi="Arial" w:cs="Arial"/>
          <w:sz w:val="22"/>
          <w:szCs w:val="22"/>
        </w:rPr>
        <w:br w:type="page"/>
      </w:r>
    </w:p>
    <w:p w:rsidRPr="00590A97" w:rsidR="00CD7371" w:rsidP="003A6C99" w:rsidRDefault="00CD7371" w14:paraId="5BAD6C89" w14:textId="636624C7">
      <w:pPr>
        <w:spacing w:after="240"/>
        <w:jc w:val="center"/>
        <w:rPr>
          <w:rFonts w:ascii="Arial" w:hAnsi="Arial" w:cs="Arial"/>
          <w:sz w:val="22"/>
          <w:szCs w:val="22"/>
        </w:rPr>
      </w:pPr>
      <w:r w:rsidRPr="00590A97">
        <w:rPr>
          <w:rFonts w:ascii="Arial" w:hAnsi="Arial" w:cs="Arial"/>
          <w:sz w:val="22"/>
          <w:szCs w:val="22"/>
        </w:rPr>
        <w:t xml:space="preserve">GUIDANCE DOCUMENTS </w:t>
      </w:r>
      <w:r w:rsidRPr="00590A97" w:rsidR="00BA1E2C">
        <w:rPr>
          <w:rFonts w:ascii="Arial" w:hAnsi="Arial" w:cs="Arial"/>
          <w:sz w:val="22"/>
          <w:szCs w:val="22"/>
        </w:rPr>
        <w:t>ASSOCIATED WITH</w:t>
      </w:r>
    </w:p>
    <w:p w:rsidRPr="003A6C99" w:rsidR="00BA1E2C" w:rsidP="00590A97" w:rsidRDefault="00BA1E2C" w14:paraId="733A0B2E" w14:textId="1A1AF2C0">
      <w:pPr>
        <w:jc w:val="center"/>
        <w:rPr>
          <w:rFonts w:ascii="Arial" w:hAnsi="Arial" w:cs="Arial"/>
          <w:color w:val="000000"/>
          <w:sz w:val="22"/>
          <w:szCs w:val="22"/>
        </w:rPr>
      </w:pPr>
      <w:r w:rsidRPr="00590A97">
        <w:rPr>
          <w:rFonts w:ascii="Arial" w:hAnsi="Arial" w:cs="Arial"/>
          <w:color w:val="000000"/>
          <w:sz w:val="22"/>
          <w:szCs w:val="22"/>
        </w:rPr>
        <w:t>NRC FORM 5</w:t>
      </w:r>
    </w:p>
    <w:p w:rsidRPr="003A6C99" w:rsidR="00BA1E2C" w:rsidP="003A6C99" w:rsidRDefault="00BA1E2C" w14:paraId="14CBCFB0" w14:textId="77777777">
      <w:pPr>
        <w:spacing w:after="240"/>
        <w:jc w:val="center"/>
        <w:rPr>
          <w:rFonts w:ascii="Arial" w:hAnsi="Arial" w:cs="Arial"/>
          <w:sz w:val="22"/>
          <w:szCs w:val="22"/>
        </w:rPr>
      </w:pPr>
      <w:r w:rsidRPr="00590A97">
        <w:rPr>
          <w:rFonts w:ascii="Arial" w:hAnsi="Arial" w:cs="Arial"/>
          <w:sz w:val="22"/>
          <w:szCs w:val="22"/>
        </w:rPr>
        <w:t>OCCUPATIONAL DOSE RECORD FOR A MONITORING PERIOD</w:t>
      </w:r>
    </w:p>
    <w:p w:rsidRPr="00590A97" w:rsidR="00BA1E2C" w:rsidP="003A6C99" w:rsidRDefault="00593E68" w14:paraId="008372FF" w14:textId="216D74A7">
      <w:pPr>
        <w:spacing w:after="240"/>
        <w:jc w:val="center"/>
        <w:rPr>
          <w:rFonts w:ascii="Arial" w:hAnsi="Arial" w:cs="Arial"/>
          <w:sz w:val="22"/>
          <w:szCs w:val="22"/>
        </w:rPr>
      </w:pPr>
      <w:r w:rsidRPr="00590A97">
        <w:rPr>
          <w:rFonts w:ascii="Arial" w:hAnsi="Arial" w:cs="Arial"/>
          <w:sz w:val="22"/>
          <w:szCs w:val="22"/>
        </w:rPr>
        <w:t>3150-0006</w:t>
      </w:r>
    </w:p>
    <w:tbl>
      <w:tblPr>
        <w:tblStyle w:val="TableGrid"/>
        <w:tblW w:w="0" w:type="auto"/>
        <w:tblLook w:val="04A0" w:firstRow="1" w:lastRow="0" w:firstColumn="1" w:lastColumn="0" w:noHBand="0" w:noVBand="1"/>
      </w:tblPr>
      <w:tblGrid>
        <w:gridCol w:w="4672"/>
        <w:gridCol w:w="4678"/>
      </w:tblGrid>
      <w:tr w:rsidR="000E3BAD" w:rsidTr="006F5D2B" w14:paraId="35E885E0" w14:textId="77777777">
        <w:tc>
          <w:tcPr>
            <w:tcW w:w="4672" w:type="dxa"/>
          </w:tcPr>
          <w:p w:rsidRPr="003E2B01" w:rsidR="000E3BAD" w:rsidP="00D55E6E" w:rsidRDefault="000E3BAD" w14:paraId="04C3BE3E"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Title</w:t>
            </w:r>
          </w:p>
        </w:tc>
        <w:tc>
          <w:tcPr>
            <w:tcW w:w="4678" w:type="dxa"/>
          </w:tcPr>
          <w:p w:rsidRPr="003E2B01" w:rsidR="000E3BAD" w:rsidP="00D55E6E" w:rsidRDefault="000E3BAD" w14:paraId="6465F157" w14:textId="0BAC423D">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 xml:space="preserve">Accession </w:t>
            </w:r>
            <w:r w:rsidR="00622CD1">
              <w:rPr>
                <w:rFonts w:ascii="Arial" w:hAnsi="Arial" w:cs="Arial"/>
                <w:sz w:val="22"/>
                <w:szCs w:val="22"/>
              </w:rPr>
              <w:t>N</w:t>
            </w:r>
            <w:r w:rsidRPr="003E2B01">
              <w:rPr>
                <w:rFonts w:ascii="Arial" w:hAnsi="Arial" w:cs="Arial"/>
                <w:sz w:val="22"/>
                <w:szCs w:val="22"/>
              </w:rPr>
              <w:t>umber</w:t>
            </w:r>
          </w:p>
        </w:tc>
      </w:tr>
      <w:tr w:rsidR="000E3BAD" w:rsidTr="003A6C99" w14:paraId="30C817D2" w14:textId="77777777">
        <w:tc>
          <w:tcPr>
            <w:tcW w:w="4672" w:type="dxa"/>
          </w:tcPr>
          <w:p w:rsidR="00924FC7" w:rsidP="00D55E6E" w:rsidRDefault="00924FC7" w14:paraId="6C288A8A"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8.7, Revision 4</w:t>
            </w:r>
          </w:p>
          <w:p w:rsidRPr="003E2B01" w:rsidR="000E3BAD" w:rsidP="00D55E6E" w:rsidRDefault="00924FC7" w14:paraId="3464B21A" w14:textId="601D0F0D">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w:t>
            </w:r>
            <w:r w:rsidR="009D59B7">
              <w:rPr>
                <w:rFonts w:ascii="Arial" w:hAnsi="Arial" w:cs="Arial"/>
                <w:sz w:val="22"/>
                <w:szCs w:val="22"/>
              </w:rPr>
              <w:t>Instructions for Recording and Reporting Occupational Radiation Dose Data</w:t>
            </w:r>
            <w:r>
              <w:rPr>
                <w:rFonts w:ascii="Arial" w:hAnsi="Arial" w:cs="Arial"/>
                <w:sz w:val="22"/>
                <w:szCs w:val="22"/>
              </w:rPr>
              <w:t>”</w:t>
            </w:r>
          </w:p>
        </w:tc>
        <w:tc>
          <w:tcPr>
            <w:tcW w:w="4678" w:type="dxa"/>
            <w:vAlign w:val="center"/>
          </w:tcPr>
          <w:p w:rsidRPr="003E2B01" w:rsidR="000E3BAD" w:rsidP="003A6C99" w:rsidRDefault="00B7558A" w14:paraId="16114D1D" w14:textId="05DCF162">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ML17221A245</w:t>
            </w:r>
          </w:p>
        </w:tc>
      </w:tr>
    </w:tbl>
    <w:p w:rsidRPr="003B4ABE" w:rsidR="00337FA1" w:rsidP="00F56501" w:rsidRDefault="00337FA1" w14:paraId="3E934F62" w14:textId="77777777"/>
    <w:sectPr w:rsidRPr="003B4ABE" w:rsidR="00337FA1" w:rsidSect="004510E7">
      <w:headerReference w:type="default" r:id="rId14"/>
      <w:pgSz w:w="12240" w:h="15840" w:code="1"/>
      <w:pgMar w:top="1440" w:right="1440" w:bottom="1440" w:left="1440" w:header="1440" w:footer="1440" w:gutter="0"/>
      <w:pgNumType w:fmt="numberInDash"/>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9F2E6" w14:textId="77777777" w:rsidR="001E5173" w:rsidRDefault="001E5173" w:rsidP="00E14637">
      <w:r>
        <w:separator/>
      </w:r>
    </w:p>
  </w:endnote>
  <w:endnote w:type="continuationSeparator" w:id="0">
    <w:p w14:paraId="465BD9BE" w14:textId="77777777" w:rsidR="001E5173" w:rsidRDefault="001E5173" w:rsidP="00E1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6998C" w14:textId="77777777" w:rsidR="001E5173" w:rsidRDefault="001E5173" w:rsidP="00E14637">
      <w:r>
        <w:separator/>
      </w:r>
    </w:p>
  </w:footnote>
  <w:footnote w:type="continuationSeparator" w:id="0">
    <w:p w14:paraId="786501BC" w14:textId="77777777" w:rsidR="001E5173" w:rsidRDefault="001E5173" w:rsidP="00E14637">
      <w:r>
        <w:continuationSeparator/>
      </w:r>
    </w:p>
  </w:footnote>
  <w:footnote w:id="1">
    <w:p w14:paraId="39E3B346" w14:textId="7BD6EFA3" w:rsidR="00C10236" w:rsidRPr="00675178" w:rsidRDefault="00C10236" w:rsidP="003B4ABE">
      <w:pPr>
        <w:pStyle w:val="FootnoteText"/>
        <w:rPr>
          <w:rFonts w:ascii="Arial" w:hAnsi="Arial" w:cs="Arial"/>
        </w:rPr>
      </w:pPr>
      <w:r>
        <w:rPr>
          <w:rStyle w:val="FootnoteReference"/>
        </w:rPr>
        <w:footnoteRef/>
      </w:r>
      <w:r>
        <w:t xml:space="preserve"> </w:t>
      </w:r>
      <w:r w:rsidRPr="00675178">
        <w:rPr>
          <w:rFonts w:ascii="Arial" w:hAnsi="Arial" w:cs="Arial"/>
          <w:color w:val="000000"/>
        </w:rPr>
        <w:t xml:space="preserve">In total, NRC received </w:t>
      </w:r>
      <w:r w:rsidR="00522752">
        <w:rPr>
          <w:rFonts w:ascii="Arial" w:hAnsi="Arial" w:cs="Arial"/>
          <w:b/>
          <w:bCs/>
        </w:rPr>
        <w:t>169,750</w:t>
      </w:r>
      <w:r w:rsidRPr="00675178">
        <w:rPr>
          <w:rFonts w:ascii="Arial" w:hAnsi="Arial" w:cs="Arial"/>
          <w:color w:val="000000"/>
        </w:rPr>
        <w:t xml:space="preserve"> electronic records and </w:t>
      </w:r>
      <w:r w:rsidR="00522752">
        <w:rPr>
          <w:rFonts w:ascii="Arial" w:hAnsi="Arial" w:cs="Arial"/>
          <w:b/>
          <w:color w:val="000000"/>
        </w:rPr>
        <w:t>5,250</w:t>
      </w:r>
      <w:r w:rsidRPr="00675178">
        <w:rPr>
          <w:rFonts w:ascii="Arial" w:hAnsi="Arial" w:cs="Arial"/>
          <w:color w:val="000000"/>
        </w:rPr>
        <w:t xml:space="preserve"> paper records for the 201</w:t>
      </w:r>
      <w:r w:rsidR="00D56829">
        <w:rPr>
          <w:rFonts w:ascii="Arial" w:hAnsi="Arial" w:cs="Arial"/>
          <w:color w:val="000000"/>
        </w:rPr>
        <w:t>8</w:t>
      </w:r>
      <w:r w:rsidRPr="00675178">
        <w:rPr>
          <w:rFonts w:ascii="Arial" w:hAnsi="Arial" w:cs="Arial"/>
          <w:color w:val="000000"/>
        </w:rPr>
        <w:t xml:space="preserve"> calendar year from NRC licensees required to report occupational dose data pursuant to 10 CFR 20.2206(c).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8E7A0" w14:textId="3012967F" w:rsidR="00C10236" w:rsidRPr="004510E7" w:rsidRDefault="00C10236">
    <w:pPr>
      <w:pStyle w:val="Header"/>
      <w:jc w:val="center"/>
      <w:rPr>
        <w:rFonts w:ascii="Arial" w:hAnsi="Arial" w:cs="Arial"/>
        <w:sz w:val="22"/>
        <w:szCs w:val="22"/>
      </w:rPr>
    </w:pPr>
    <w:r w:rsidRPr="004510E7">
      <w:rPr>
        <w:rFonts w:ascii="Arial" w:hAnsi="Arial" w:cs="Arial"/>
        <w:sz w:val="22"/>
        <w:szCs w:val="22"/>
      </w:rPr>
      <w:fldChar w:fldCharType="begin"/>
    </w:r>
    <w:r w:rsidRPr="004510E7">
      <w:rPr>
        <w:rFonts w:ascii="Arial" w:hAnsi="Arial" w:cs="Arial"/>
        <w:sz w:val="22"/>
        <w:szCs w:val="22"/>
      </w:rPr>
      <w:instrText xml:space="preserve"> PAGE   \* MERGEFORMAT </w:instrText>
    </w:r>
    <w:r w:rsidRPr="004510E7">
      <w:rPr>
        <w:rFonts w:ascii="Arial" w:hAnsi="Arial" w:cs="Arial"/>
        <w:sz w:val="22"/>
        <w:szCs w:val="22"/>
      </w:rPr>
      <w:fldChar w:fldCharType="separate"/>
    </w:r>
    <w:r w:rsidR="00557DA5">
      <w:rPr>
        <w:rFonts w:ascii="Arial" w:hAnsi="Arial" w:cs="Arial"/>
        <w:noProof/>
        <w:sz w:val="22"/>
        <w:szCs w:val="22"/>
      </w:rPr>
      <w:t>- 8 -</w:t>
    </w:r>
    <w:r w:rsidRPr="004510E7">
      <w:rPr>
        <w:rFonts w:ascii="Arial" w:hAnsi="Arial" w:cs="Arial"/>
        <w:sz w:val="22"/>
        <w:szCs w:val="22"/>
      </w:rPr>
      <w:fldChar w:fldCharType="end"/>
    </w:r>
  </w:p>
  <w:p w14:paraId="0BAABAD9" w14:textId="77777777" w:rsidR="00C10236" w:rsidRDefault="00C10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03C9A3"/>
    <w:multiLevelType w:val="hybridMultilevel"/>
    <w:tmpl w:val="074E41D3"/>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9"/>
    <w:multiLevelType w:val="singleLevel"/>
    <w:tmpl w:val="303601A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5524AD"/>
    <w:multiLevelType w:val="hybridMultilevel"/>
    <w:tmpl w:val="1FF8F8AE"/>
    <w:lvl w:ilvl="0" w:tplc="AC4A39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C0CB8"/>
    <w:multiLevelType w:val="hybridMultilevel"/>
    <w:tmpl w:val="44CA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201D9"/>
    <w:multiLevelType w:val="hybridMultilevel"/>
    <w:tmpl w:val="08365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42D81"/>
    <w:multiLevelType w:val="hybridMultilevel"/>
    <w:tmpl w:val="9C1F812C"/>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1AF32A43"/>
    <w:multiLevelType w:val="hybridMultilevel"/>
    <w:tmpl w:val="8972D9FB"/>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1E76E2A"/>
    <w:multiLevelType w:val="hybridMultilevel"/>
    <w:tmpl w:val="4023A4A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5EA0BE5"/>
    <w:multiLevelType w:val="hybridMultilevel"/>
    <w:tmpl w:val="5F8C1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92082"/>
    <w:multiLevelType w:val="hybridMultilevel"/>
    <w:tmpl w:val="C9F423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3EE52BB"/>
    <w:multiLevelType w:val="hybridMultilevel"/>
    <w:tmpl w:val="C1C07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04E9F"/>
    <w:multiLevelType w:val="hybridMultilevel"/>
    <w:tmpl w:val="EE67E23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58B900AA"/>
    <w:multiLevelType w:val="hybridMultilevel"/>
    <w:tmpl w:val="DA0F27D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59CA5B42"/>
    <w:multiLevelType w:val="hybridMultilevel"/>
    <w:tmpl w:val="0AB0777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C723B"/>
    <w:multiLevelType w:val="hybridMultilevel"/>
    <w:tmpl w:val="CE72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A54579"/>
    <w:multiLevelType w:val="hybridMultilevel"/>
    <w:tmpl w:val="E42A9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56692"/>
    <w:multiLevelType w:val="hybridMultilevel"/>
    <w:tmpl w:val="4B1CEE8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1"/>
  </w:num>
  <w:num w:numId="5">
    <w:abstractNumId w:val="6"/>
  </w:num>
  <w:num w:numId="6">
    <w:abstractNumId w:val="13"/>
  </w:num>
  <w:num w:numId="7">
    <w:abstractNumId w:val="16"/>
  </w:num>
  <w:num w:numId="8">
    <w:abstractNumId w:val="8"/>
  </w:num>
  <w:num w:numId="9">
    <w:abstractNumId w:val="10"/>
  </w:num>
  <w:num w:numId="10">
    <w:abstractNumId w:val="15"/>
  </w:num>
  <w:num w:numId="11">
    <w:abstractNumId w:val="14"/>
  </w:num>
  <w:num w:numId="12">
    <w:abstractNumId w:val="2"/>
  </w:num>
  <w:num w:numId="13">
    <w:abstractNumId w:val="4"/>
  </w:num>
  <w:num w:numId="14">
    <w:abstractNumId w:val="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3D"/>
    <w:rsid w:val="000011CE"/>
    <w:rsid w:val="00003137"/>
    <w:rsid w:val="000055A5"/>
    <w:rsid w:val="000100D8"/>
    <w:rsid w:val="000133A3"/>
    <w:rsid w:val="000147CD"/>
    <w:rsid w:val="00015A7C"/>
    <w:rsid w:val="000227F5"/>
    <w:rsid w:val="00033B78"/>
    <w:rsid w:val="00037032"/>
    <w:rsid w:val="00042E5D"/>
    <w:rsid w:val="00043088"/>
    <w:rsid w:val="00043FE6"/>
    <w:rsid w:val="000542AB"/>
    <w:rsid w:val="00060D25"/>
    <w:rsid w:val="00061DE9"/>
    <w:rsid w:val="00063B28"/>
    <w:rsid w:val="000716E4"/>
    <w:rsid w:val="00075D1B"/>
    <w:rsid w:val="000763B5"/>
    <w:rsid w:val="00086AB7"/>
    <w:rsid w:val="0009102E"/>
    <w:rsid w:val="000A0151"/>
    <w:rsid w:val="000A5328"/>
    <w:rsid w:val="000A69D0"/>
    <w:rsid w:val="000A6E37"/>
    <w:rsid w:val="000A7DF0"/>
    <w:rsid w:val="000B6CCF"/>
    <w:rsid w:val="000C67E5"/>
    <w:rsid w:val="000D0C5F"/>
    <w:rsid w:val="000D0FCA"/>
    <w:rsid w:val="000D1073"/>
    <w:rsid w:val="000D70AE"/>
    <w:rsid w:val="000E1325"/>
    <w:rsid w:val="000E362B"/>
    <w:rsid w:val="000E399B"/>
    <w:rsid w:val="000E3BAD"/>
    <w:rsid w:val="000E5CC5"/>
    <w:rsid w:val="000E5DC9"/>
    <w:rsid w:val="000E631B"/>
    <w:rsid w:val="000F0F94"/>
    <w:rsid w:val="000F1C8C"/>
    <w:rsid w:val="000F5696"/>
    <w:rsid w:val="00101A8A"/>
    <w:rsid w:val="00104065"/>
    <w:rsid w:val="0011107C"/>
    <w:rsid w:val="00113B97"/>
    <w:rsid w:val="001163C5"/>
    <w:rsid w:val="001171E1"/>
    <w:rsid w:val="0012043B"/>
    <w:rsid w:val="00125DA6"/>
    <w:rsid w:val="00132657"/>
    <w:rsid w:val="001378A6"/>
    <w:rsid w:val="0014329F"/>
    <w:rsid w:val="001446ED"/>
    <w:rsid w:val="001447D2"/>
    <w:rsid w:val="00152623"/>
    <w:rsid w:val="00153791"/>
    <w:rsid w:val="00160D42"/>
    <w:rsid w:val="00167E70"/>
    <w:rsid w:val="00176675"/>
    <w:rsid w:val="001855B6"/>
    <w:rsid w:val="00197E93"/>
    <w:rsid w:val="001A0496"/>
    <w:rsid w:val="001B4F46"/>
    <w:rsid w:val="001C3683"/>
    <w:rsid w:val="001C402D"/>
    <w:rsid w:val="001C6627"/>
    <w:rsid w:val="001C7D3E"/>
    <w:rsid w:val="001D045D"/>
    <w:rsid w:val="001D2200"/>
    <w:rsid w:val="001D44A6"/>
    <w:rsid w:val="001D5A7B"/>
    <w:rsid w:val="001E144F"/>
    <w:rsid w:val="001E5173"/>
    <w:rsid w:val="001E5F0A"/>
    <w:rsid w:val="001F3A89"/>
    <w:rsid w:val="001F3D87"/>
    <w:rsid w:val="001F6212"/>
    <w:rsid w:val="00202F6B"/>
    <w:rsid w:val="00203B75"/>
    <w:rsid w:val="00203E7A"/>
    <w:rsid w:val="002076AD"/>
    <w:rsid w:val="00207B6A"/>
    <w:rsid w:val="00210AAF"/>
    <w:rsid w:val="00214007"/>
    <w:rsid w:val="0021458B"/>
    <w:rsid w:val="00214951"/>
    <w:rsid w:val="00220CC4"/>
    <w:rsid w:val="002248FE"/>
    <w:rsid w:val="002253A5"/>
    <w:rsid w:val="0023134B"/>
    <w:rsid w:val="00233EBF"/>
    <w:rsid w:val="00235154"/>
    <w:rsid w:val="002370F9"/>
    <w:rsid w:val="002374DC"/>
    <w:rsid w:val="00237509"/>
    <w:rsid w:val="00240F12"/>
    <w:rsid w:val="00243AC9"/>
    <w:rsid w:val="00243D8E"/>
    <w:rsid w:val="0025081A"/>
    <w:rsid w:val="00250906"/>
    <w:rsid w:val="00254996"/>
    <w:rsid w:val="002554EC"/>
    <w:rsid w:val="002574E5"/>
    <w:rsid w:val="00273F8D"/>
    <w:rsid w:val="00280E26"/>
    <w:rsid w:val="00287D2B"/>
    <w:rsid w:val="002907CC"/>
    <w:rsid w:val="002941A8"/>
    <w:rsid w:val="00295580"/>
    <w:rsid w:val="0029563A"/>
    <w:rsid w:val="00297185"/>
    <w:rsid w:val="002A2AA0"/>
    <w:rsid w:val="002A7355"/>
    <w:rsid w:val="002B0275"/>
    <w:rsid w:val="002B1864"/>
    <w:rsid w:val="002B29EE"/>
    <w:rsid w:val="002C1DFC"/>
    <w:rsid w:val="002C264C"/>
    <w:rsid w:val="002C44A4"/>
    <w:rsid w:val="002C4C28"/>
    <w:rsid w:val="002D12E4"/>
    <w:rsid w:val="002D5027"/>
    <w:rsid w:val="002D7B59"/>
    <w:rsid w:val="002E04B5"/>
    <w:rsid w:val="002E0B55"/>
    <w:rsid w:val="002E2968"/>
    <w:rsid w:val="002E2F82"/>
    <w:rsid w:val="002E3122"/>
    <w:rsid w:val="002E6331"/>
    <w:rsid w:val="002E734F"/>
    <w:rsid w:val="002F2FF6"/>
    <w:rsid w:val="002F3229"/>
    <w:rsid w:val="002F51CF"/>
    <w:rsid w:val="0030340B"/>
    <w:rsid w:val="003038CD"/>
    <w:rsid w:val="00315058"/>
    <w:rsid w:val="00323BA7"/>
    <w:rsid w:val="0032708F"/>
    <w:rsid w:val="003312A3"/>
    <w:rsid w:val="00331C97"/>
    <w:rsid w:val="00332FCD"/>
    <w:rsid w:val="00337FA1"/>
    <w:rsid w:val="00356DAE"/>
    <w:rsid w:val="003628C7"/>
    <w:rsid w:val="0036610D"/>
    <w:rsid w:val="0036727D"/>
    <w:rsid w:val="003757F6"/>
    <w:rsid w:val="00381C39"/>
    <w:rsid w:val="00384E61"/>
    <w:rsid w:val="00386210"/>
    <w:rsid w:val="00397FFA"/>
    <w:rsid w:val="003A20FE"/>
    <w:rsid w:val="003A6C99"/>
    <w:rsid w:val="003B2342"/>
    <w:rsid w:val="003B27D3"/>
    <w:rsid w:val="003B3605"/>
    <w:rsid w:val="003B43B8"/>
    <w:rsid w:val="003B4ABE"/>
    <w:rsid w:val="003B549C"/>
    <w:rsid w:val="003B771C"/>
    <w:rsid w:val="003C7AC9"/>
    <w:rsid w:val="003D0AE5"/>
    <w:rsid w:val="003D4EA7"/>
    <w:rsid w:val="003D5A41"/>
    <w:rsid w:val="003D70C4"/>
    <w:rsid w:val="003E142C"/>
    <w:rsid w:val="003F36F4"/>
    <w:rsid w:val="004047C5"/>
    <w:rsid w:val="00406520"/>
    <w:rsid w:val="004111A4"/>
    <w:rsid w:val="00417690"/>
    <w:rsid w:val="00417968"/>
    <w:rsid w:val="00417979"/>
    <w:rsid w:val="00430F80"/>
    <w:rsid w:val="00444882"/>
    <w:rsid w:val="00447361"/>
    <w:rsid w:val="00450BEB"/>
    <w:rsid w:val="00450ED7"/>
    <w:rsid w:val="004510E7"/>
    <w:rsid w:val="00457572"/>
    <w:rsid w:val="00457ED4"/>
    <w:rsid w:val="0047042E"/>
    <w:rsid w:val="00474450"/>
    <w:rsid w:val="0047695D"/>
    <w:rsid w:val="00477CF4"/>
    <w:rsid w:val="00480020"/>
    <w:rsid w:val="00482E06"/>
    <w:rsid w:val="00482F37"/>
    <w:rsid w:val="00484C15"/>
    <w:rsid w:val="00486F06"/>
    <w:rsid w:val="004A012C"/>
    <w:rsid w:val="004A35B7"/>
    <w:rsid w:val="004A46B0"/>
    <w:rsid w:val="004A602C"/>
    <w:rsid w:val="004B05F2"/>
    <w:rsid w:val="004B492A"/>
    <w:rsid w:val="004B5A08"/>
    <w:rsid w:val="004B6E6E"/>
    <w:rsid w:val="004C10A6"/>
    <w:rsid w:val="004C3BBF"/>
    <w:rsid w:val="004D5460"/>
    <w:rsid w:val="004D650E"/>
    <w:rsid w:val="004E1CEA"/>
    <w:rsid w:val="004E4CB2"/>
    <w:rsid w:val="004E7486"/>
    <w:rsid w:val="004F16C6"/>
    <w:rsid w:val="004F50EF"/>
    <w:rsid w:val="0050444A"/>
    <w:rsid w:val="005164FB"/>
    <w:rsid w:val="005220F3"/>
    <w:rsid w:val="00522752"/>
    <w:rsid w:val="00522F50"/>
    <w:rsid w:val="00524E57"/>
    <w:rsid w:val="00525D1D"/>
    <w:rsid w:val="0053040B"/>
    <w:rsid w:val="005331F5"/>
    <w:rsid w:val="00540CBF"/>
    <w:rsid w:val="0054111F"/>
    <w:rsid w:val="00541423"/>
    <w:rsid w:val="00542496"/>
    <w:rsid w:val="00553707"/>
    <w:rsid w:val="005563F9"/>
    <w:rsid w:val="00557DA5"/>
    <w:rsid w:val="0056081C"/>
    <w:rsid w:val="005620CF"/>
    <w:rsid w:val="0056271C"/>
    <w:rsid w:val="005648B3"/>
    <w:rsid w:val="00565A1E"/>
    <w:rsid w:val="0056632B"/>
    <w:rsid w:val="00570482"/>
    <w:rsid w:val="005742E1"/>
    <w:rsid w:val="00574F2B"/>
    <w:rsid w:val="00581FFF"/>
    <w:rsid w:val="00590A97"/>
    <w:rsid w:val="00593E68"/>
    <w:rsid w:val="00596802"/>
    <w:rsid w:val="005969B7"/>
    <w:rsid w:val="00596A32"/>
    <w:rsid w:val="005A084A"/>
    <w:rsid w:val="005A09D6"/>
    <w:rsid w:val="005B28E5"/>
    <w:rsid w:val="005B7441"/>
    <w:rsid w:val="005B7780"/>
    <w:rsid w:val="005C0390"/>
    <w:rsid w:val="005C4143"/>
    <w:rsid w:val="005C7552"/>
    <w:rsid w:val="005D05AA"/>
    <w:rsid w:val="005E2C6A"/>
    <w:rsid w:val="005E3421"/>
    <w:rsid w:val="005E445B"/>
    <w:rsid w:val="005E5E4A"/>
    <w:rsid w:val="005F12A2"/>
    <w:rsid w:val="005F7932"/>
    <w:rsid w:val="00601D75"/>
    <w:rsid w:val="00602BA0"/>
    <w:rsid w:val="00603030"/>
    <w:rsid w:val="00613FA7"/>
    <w:rsid w:val="006158AD"/>
    <w:rsid w:val="0062001A"/>
    <w:rsid w:val="00622CD1"/>
    <w:rsid w:val="0062557C"/>
    <w:rsid w:val="006306CB"/>
    <w:rsid w:val="006361B6"/>
    <w:rsid w:val="006406EB"/>
    <w:rsid w:val="006507BA"/>
    <w:rsid w:val="00651B9D"/>
    <w:rsid w:val="00654011"/>
    <w:rsid w:val="006746B8"/>
    <w:rsid w:val="006830E8"/>
    <w:rsid w:val="00687014"/>
    <w:rsid w:val="00695117"/>
    <w:rsid w:val="00695A0F"/>
    <w:rsid w:val="006A45A9"/>
    <w:rsid w:val="006A5A22"/>
    <w:rsid w:val="006A6AC9"/>
    <w:rsid w:val="006B1EE3"/>
    <w:rsid w:val="006B4A82"/>
    <w:rsid w:val="006B4B8A"/>
    <w:rsid w:val="006C0601"/>
    <w:rsid w:val="006C28A1"/>
    <w:rsid w:val="006C3581"/>
    <w:rsid w:val="006C746A"/>
    <w:rsid w:val="006C7638"/>
    <w:rsid w:val="006D201E"/>
    <w:rsid w:val="006E1101"/>
    <w:rsid w:val="006E1317"/>
    <w:rsid w:val="006E1CB8"/>
    <w:rsid w:val="006E4488"/>
    <w:rsid w:val="006F1FCB"/>
    <w:rsid w:val="006F5384"/>
    <w:rsid w:val="006F5779"/>
    <w:rsid w:val="006F58FB"/>
    <w:rsid w:val="006F5D2B"/>
    <w:rsid w:val="007058D8"/>
    <w:rsid w:val="00706061"/>
    <w:rsid w:val="007121EA"/>
    <w:rsid w:val="00721016"/>
    <w:rsid w:val="007315B6"/>
    <w:rsid w:val="00734574"/>
    <w:rsid w:val="00746ECE"/>
    <w:rsid w:val="00747173"/>
    <w:rsid w:val="007540BA"/>
    <w:rsid w:val="00757538"/>
    <w:rsid w:val="007636EE"/>
    <w:rsid w:val="0077160E"/>
    <w:rsid w:val="0077277D"/>
    <w:rsid w:val="00774332"/>
    <w:rsid w:val="007813CF"/>
    <w:rsid w:val="007828DA"/>
    <w:rsid w:val="00785B47"/>
    <w:rsid w:val="007917A2"/>
    <w:rsid w:val="00792CA8"/>
    <w:rsid w:val="00796AFC"/>
    <w:rsid w:val="007977D4"/>
    <w:rsid w:val="007B026B"/>
    <w:rsid w:val="007C37CB"/>
    <w:rsid w:val="007C4B94"/>
    <w:rsid w:val="007C5AA5"/>
    <w:rsid w:val="007D0513"/>
    <w:rsid w:val="007E22CC"/>
    <w:rsid w:val="007E4421"/>
    <w:rsid w:val="007E4BEF"/>
    <w:rsid w:val="007E6ABE"/>
    <w:rsid w:val="007F06D6"/>
    <w:rsid w:val="008043D8"/>
    <w:rsid w:val="00805764"/>
    <w:rsid w:val="00810D61"/>
    <w:rsid w:val="008110AD"/>
    <w:rsid w:val="0081221D"/>
    <w:rsid w:val="00814AE3"/>
    <w:rsid w:val="0081571C"/>
    <w:rsid w:val="008230D2"/>
    <w:rsid w:val="0083404D"/>
    <w:rsid w:val="00834229"/>
    <w:rsid w:val="008347A2"/>
    <w:rsid w:val="0083530F"/>
    <w:rsid w:val="00843FE3"/>
    <w:rsid w:val="00846665"/>
    <w:rsid w:val="008549EF"/>
    <w:rsid w:val="008560BE"/>
    <w:rsid w:val="008562B5"/>
    <w:rsid w:val="008575D1"/>
    <w:rsid w:val="00860FCF"/>
    <w:rsid w:val="00864D6B"/>
    <w:rsid w:val="00876C52"/>
    <w:rsid w:val="00884AF5"/>
    <w:rsid w:val="008932E5"/>
    <w:rsid w:val="00897DF5"/>
    <w:rsid w:val="008A4296"/>
    <w:rsid w:val="008A510E"/>
    <w:rsid w:val="008B78EF"/>
    <w:rsid w:val="008C1914"/>
    <w:rsid w:val="008C2035"/>
    <w:rsid w:val="008C7313"/>
    <w:rsid w:val="008D2FB4"/>
    <w:rsid w:val="008D3FE6"/>
    <w:rsid w:val="008E0F05"/>
    <w:rsid w:val="008F1287"/>
    <w:rsid w:val="008F1F92"/>
    <w:rsid w:val="008F7B38"/>
    <w:rsid w:val="009002F9"/>
    <w:rsid w:val="00921A6B"/>
    <w:rsid w:val="00924B2A"/>
    <w:rsid w:val="00924FC7"/>
    <w:rsid w:val="00930424"/>
    <w:rsid w:val="00930C28"/>
    <w:rsid w:val="009368D7"/>
    <w:rsid w:val="009411EB"/>
    <w:rsid w:val="00945791"/>
    <w:rsid w:val="009476AC"/>
    <w:rsid w:val="00950803"/>
    <w:rsid w:val="0095519E"/>
    <w:rsid w:val="00960DF7"/>
    <w:rsid w:val="00965800"/>
    <w:rsid w:val="0097145A"/>
    <w:rsid w:val="0097192F"/>
    <w:rsid w:val="009740AA"/>
    <w:rsid w:val="00976599"/>
    <w:rsid w:val="00984E37"/>
    <w:rsid w:val="009872D2"/>
    <w:rsid w:val="0099239B"/>
    <w:rsid w:val="009A2B6E"/>
    <w:rsid w:val="009A4738"/>
    <w:rsid w:val="009A64B5"/>
    <w:rsid w:val="009B11FE"/>
    <w:rsid w:val="009B326D"/>
    <w:rsid w:val="009B6E4F"/>
    <w:rsid w:val="009B7B12"/>
    <w:rsid w:val="009C2D37"/>
    <w:rsid w:val="009D0B8F"/>
    <w:rsid w:val="009D37CB"/>
    <w:rsid w:val="009D59B7"/>
    <w:rsid w:val="009D62CA"/>
    <w:rsid w:val="009E3917"/>
    <w:rsid w:val="009E5631"/>
    <w:rsid w:val="009E6F53"/>
    <w:rsid w:val="009F189C"/>
    <w:rsid w:val="009F37AE"/>
    <w:rsid w:val="009F3DB2"/>
    <w:rsid w:val="009F7ED7"/>
    <w:rsid w:val="00A00013"/>
    <w:rsid w:val="00A010B3"/>
    <w:rsid w:val="00A0446A"/>
    <w:rsid w:val="00A04E6D"/>
    <w:rsid w:val="00A052B7"/>
    <w:rsid w:val="00A060CB"/>
    <w:rsid w:val="00A10A12"/>
    <w:rsid w:val="00A167CF"/>
    <w:rsid w:val="00A2151F"/>
    <w:rsid w:val="00A22952"/>
    <w:rsid w:val="00A27388"/>
    <w:rsid w:val="00A338E6"/>
    <w:rsid w:val="00A3406B"/>
    <w:rsid w:val="00A34383"/>
    <w:rsid w:val="00A34587"/>
    <w:rsid w:val="00A41DCF"/>
    <w:rsid w:val="00A501DB"/>
    <w:rsid w:val="00A56FB0"/>
    <w:rsid w:val="00A65FC0"/>
    <w:rsid w:val="00A83082"/>
    <w:rsid w:val="00A836EE"/>
    <w:rsid w:val="00A91739"/>
    <w:rsid w:val="00A92F07"/>
    <w:rsid w:val="00A93FD6"/>
    <w:rsid w:val="00AA6317"/>
    <w:rsid w:val="00AA68ED"/>
    <w:rsid w:val="00AB253E"/>
    <w:rsid w:val="00AB4939"/>
    <w:rsid w:val="00AB7587"/>
    <w:rsid w:val="00AC2803"/>
    <w:rsid w:val="00AC4DD5"/>
    <w:rsid w:val="00AC7457"/>
    <w:rsid w:val="00AD0BC6"/>
    <w:rsid w:val="00AD2A89"/>
    <w:rsid w:val="00AD543B"/>
    <w:rsid w:val="00AD5628"/>
    <w:rsid w:val="00AE1AD8"/>
    <w:rsid w:val="00AE23E6"/>
    <w:rsid w:val="00AE489C"/>
    <w:rsid w:val="00AF22A9"/>
    <w:rsid w:val="00AF2C4E"/>
    <w:rsid w:val="00AF3822"/>
    <w:rsid w:val="00AF43D8"/>
    <w:rsid w:val="00AF64A3"/>
    <w:rsid w:val="00AF786E"/>
    <w:rsid w:val="00B32188"/>
    <w:rsid w:val="00B324CB"/>
    <w:rsid w:val="00B35FD7"/>
    <w:rsid w:val="00B41402"/>
    <w:rsid w:val="00B437CA"/>
    <w:rsid w:val="00B46473"/>
    <w:rsid w:val="00B472E5"/>
    <w:rsid w:val="00B5141E"/>
    <w:rsid w:val="00B5170D"/>
    <w:rsid w:val="00B5285D"/>
    <w:rsid w:val="00B544E4"/>
    <w:rsid w:val="00B6437C"/>
    <w:rsid w:val="00B70E81"/>
    <w:rsid w:val="00B736C5"/>
    <w:rsid w:val="00B73F6D"/>
    <w:rsid w:val="00B7558A"/>
    <w:rsid w:val="00B76D2D"/>
    <w:rsid w:val="00B84CC9"/>
    <w:rsid w:val="00B85741"/>
    <w:rsid w:val="00B873E3"/>
    <w:rsid w:val="00B8746E"/>
    <w:rsid w:val="00BA1104"/>
    <w:rsid w:val="00BA1E2C"/>
    <w:rsid w:val="00BB273B"/>
    <w:rsid w:val="00BB4E15"/>
    <w:rsid w:val="00BB69B9"/>
    <w:rsid w:val="00BC378B"/>
    <w:rsid w:val="00BC5A8E"/>
    <w:rsid w:val="00BD01F3"/>
    <w:rsid w:val="00BD567A"/>
    <w:rsid w:val="00BD6190"/>
    <w:rsid w:val="00BE2733"/>
    <w:rsid w:val="00BE4BEA"/>
    <w:rsid w:val="00BE58AD"/>
    <w:rsid w:val="00BF258C"/>
    <w:rsid w:val="00BF6192"/>
    <w:rsid w:val="00C00F74"/>
    <w:rsid w:val="00C0205C"/>
    <w:rsid w:val="00C04F1C"/>
    <w:rsid w:val="00C07548"/>
    <w:rsid w:val="00C10236"/>
    <w:rsid w:val="00C12AEB"/>
    <w:rsid w:val="00C145E1"/>
    <w:rsid w:val="00C22267"/>
    <w:rsid w:val="00C23191"/>
    <w:rsid w:val="00C2381A"/>
    <w:rsid w:val="00C30E74"/>
    <w:rsid w:val="00C31C27"/>
    <w:rsid w:val="00C3429C"/>
    <w:rsid w:val="00C344ED"/>
    <w:rsid w:val="00C415C2"/>
    <w:rsid w:val="00C426AF"/>
    <w:rsid w:val="00C43A3D"/>
    <w:rsid w:val="00C50CC1"/>
    <w:rsid w:val="00C762D2"/>
    <w:rsid w:val="00C779FB"/>
    <w:rsid w:val="00C85024"/>
    <w:rsid w:val="00C85B70"/>
    <w:rsid w:val="00C866CA"/>
    <w:rsid w:val="00C922A0"/>
    <w:rsid w:val="00C936F2"/>
    <w:rsid w:val="00C9664F"/>
    <w:rsid w:val="00CA1A29"/>
    <w:rsid w:val="00CA4CED"/>
    <w:rsid w:val="00CB6336"/>
    <w:rsid w:val="00CB6786"/>
    <w:rsid w:val="00CB727D"/>
    <w:rsid w:val="00CB7703"/>
    <w:rsid w:val="00CC05AF"/>
    <w:rsid w:val="00CC0AF0"/>
    <w:rsid w:val="00CC156E"/>
    <w:rsid w:val="00CD48D4"/>
    <w:rsid w:val="00CD7371"/>
    <w:rsid w:val="00CE4AA5"/>
    <w:rsid w:val="00CE6096"/>
    <w:rsid w:val="00CF3016"/>
    <w:rsid w:val="00CF35F4"/>
    <w:rsid w:val="00D0039F"/>
    <w:rsid w:val="00D025A7"/>
    <w:rsid w:val="00D11A84"/>
    <w:rsid w:val="00D20029"/>
    <w:rsid w:val="00D21C68"/>
    <w:rsid w:val="00D24848"/>
    <w:rsid w:val="00D2562F"/>
    <w:rsid w:val="00D33542"/>
    <w:rsid w:val="00D368A6"/>
    <w:rsid w:val="00D376D3"/>
    <w:rsid w:val="00D44D40"/>
    <w:rsid w:val="00D52745"/>
    <w:rsid w:val="00D55F0D"/>
    <w:rsid w:val="00D56829"/>
    <w:rsid w:val="00D56CF5"/>
    <w:rsid w:val="00D66341"/>
    <w:rsid w:val="00D72C83"/>
    <w:rsid w:val="00D73371"/>
    <w:rsid w:val="00D748C6"/>
    <w:rsid w:val="00D938C8"/>
    <w:rsid w:val="00D96E2F"/>
    <w:rsid w:val="00DA0204"/>
    <w:rsid w:val="00DA38AC"/>
    <w:rsid w:val="00DA74C0"/>
    <w:rsid w:val="00DB4BED"/>
    <w:rsid w:val="00DC2CFE"/>
    <w:rsid w:val="00DC7D20"/>
    <w:rsid w:val="00DD32E7"/>
    <w:rsid w:val="00DD371E"/>
    <w:rsid w:val="00DD75C9"/>
    <w:rsid w:val="00DE457E"/>
    <w:rsid w:val="00DF070D"/>
    <w:rsid w:val="00DF0C0E"/>
    <w:rsid w:val="00DF2191"/>
    <w:rsid w:val="00DF317E"/>
    <w:rsid w:val="00DF7131"/>
    <w:rsid w:val="00E01B96"/>
    <w:rsid w:val="00E125B2"/>
    <w:rsid w:val="00E14637"/>
    <w:rsid w:val="00E17648"/>
    <w:rsid w:val="00E23CD2"/>
    <w:rsid w:val="00E25093"/>
    <w:rsid w:val="00E26862"/>
    <w:rsid w:val="00E40138"/>
    <w:rsid w:val="00E4604F"/>
    <w:rsid w:val="00E51A2B"/>
    <w:rsid w:val="00E57E8E"/>
    <w:rsid w:val="00E6063F"/>
    <w:rsid w:val="00E723BA"/>
    <w:rsid w:val="00E775A2"/>
    <w:rsid w:val="00E808B5"/>
    <w:rsid w:val="00E81B8A"/>
    <w:rsid w:val="00E83D45"/>
    <w:rsid w:val="00E91187"/>
    <w:rsid w:val="00E91645"/>
    <w:rsid w:val="00E929B2"/>
    <w:rsid w:val="00E96EEA"/>
    <w:rsid w:val="00EA33E0"/>
    <w:rsid w:val="00EC4B79"/>
    <w:rsid w:val="00EC777F"/>
    <w:rsid w:val="00ED1E69"/>
    <w:rsid w:val="00ED4149"/>
    <w:rsid w:val="00ED4F46"/>
    <w:rsid w:val="00EE0936"/>
    <w:rsid w:val="00EE2FF0"/>
    <w:rsid w:val="00EE7A02"/>
    <w:rsid w:val="00EF2478"/>
    <w:rsid w:val="00F002FA"/>
    <w:rsid w:val="00F04401"/>
    <w:rsid w:val="00F07FC7"/>
    <w:rsid w:val="00F12F9E"/>
    <w:rsid w:val="00F1391E"/>
    <w:rsid w:val="00F21D5C"/>
    <w:rsid w:val="00F523E2"/>
    <w:rsid w:val="00F52699"/>
    <w:rsid w:val="00F56501"/>
    <w:rsid w:val="00F57AB0"/>
    <w:rsid w:val="00F60534"/>
    <w:rsid w:val="00F60B8E"/>
    <w:rsid w:val="00F61889"/>
    <w:rsid w:val="00F802A9"/>
    <w:rsid w:val="00F80E5C"/>
    <w:rsid w:val="00F83D85"/>
    <w:rsid w:val="00F853E7"/>
    <w:rsid w:val="00F86A2C"/>
    <w:rsid w:val="00F90572"/>
    <w:rsid w:val="00F910B2"/>
    <w:rsid w:val="00FA12A5"/>
    <w:rsid w:val="00FA39BE"/>
    <w:rsid w:val="00FB0D38"/>
    <w:rsid w:val="00FB1A2D"/>
    <w:rsid w:val="00FB274D"/>
    <w:rsid w:val="00FB2A38"/>
    <w:rsid w:val="00FB2EFF"/>
    <w:rsid w:val="00FB3C4E"/>
    <w:rsid w:val="00FB4A28"/>
    <w:rsid w:val="00FC6873"/>
    <w:rsid w:val="00FD459C"/>
    <w:rsid w:val="00FD6655"/>
    <w:rsid w:val="00FD6F41"/>
    <w:rsid w:val="00FE119A"/>
    <w:rsid w:val="00FE175D"/>
    <w:rsid w:val="00FE1EFB"/>
    <w:rsid w:val="00FE3767"/>
    <w:rsid w:val="00FF1920"/>
    <w:rsid w:val="00FF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8615F3"/>
  <w15:chartTrackingRefBased/>
  <w15:docId w15:val="{E71A5C45-A78F-4BD2-B727-BF800A19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14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2">
    <w:name w:val="CM2"/>
    <w:basedOn w:val="Default"/>
    <w:next w:val="Default"/>
    <w:uiPriority w:val="99"/>
    <w:pPr>
      <w:spacing w:line="256" w:lineRule="atLeast"/>
    </w:pPr>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5">
    <w:name w:val="CM5"/>
    <w:basedOn w:val="Default"/>
    <w:next w:val="Default"/>
    <w:uiPriority w:val="99"/>
    <w:pPr>
      <w:spacing w:line="256" w:lineRule="atLeast"/>
    </w:pPr>
    <w:rPr>
      <w:rFonts w:cs="Times New Roman"/>
      <w:color w:val="auto"/>
    </w:rPr>
  </w:style>
  <w:style w:type="paragraph" w:customStyle="1" w:styleId="CM7">
    <w:name w:val="CM7"/>
    <w:basedOn w:val="Default"/>
    <w:next w:val="Default"/>
    <w:uiPriority w:val="99"/>
    <w:pPr>
      <w:spacing w:line="256" w:lineRule="atLeast"/>
    </w:pPr>
    <w:rPr>
      <w:rFonts w:cs="Times New Roman"/>
      <w:color w:val="auto"/>
    </w:rPr>
  </w:style>
  <w:style w:type="paragraph" w:customStyle="1" w:styleId="CM10">
    <w:name w:val="CM10"/>
    <w:basedOn w:val="Default"/>
    <w:next w:val="Default"/>
    <w:uiPriority w:val="99"/>
    <w:rPr>
      <w:rFonts w:cs="Times New Roman"/>
      <w:color w:val="auto"/>
    </w:rPr>
  </w:style>
  <w:style w:type="paragraph" w:customStyle="1" w:styleId="Custom1">
    <w:name w:val="Custom1"/>
    <w:basedOn w:val="Normal"/>
    <w:uiPriority w:val="99"/>
    <w:rsid w:val="00C43A3D"/>
    <w:pPr>
      <w:widowControl w:val="0"/>
    </w:pPr>
    <w:rPr>
      <w:szCs w:val="20"/>
    </w:rPr>
  </w:style>
  <w:style w:type="character" w:styleId="Hyperlink">
    <w:name w:val="Hyperlink"/>
    <w:uiPriority w:val="99"/>
    <w:unhideWhenUsed/>
    <w:rsid w:val="005E445B"/>
    <w:rPr>
      <w:color w:val="0000FF"/>
      <w:u w:val="single"/>
    </w:rPr>
  </w:style>
  <w:style w:type="paragraph" w:styleId="Revision">
    <w:name w:val="Revision"/>
    <w:hidden/>
    <w:uiPriority w:val="99"/>
    <w:semiHidden/>
    <w:rsid w:val="008560BE"/>
    <w:rPr>
      <w:sz w:val="24"/>
      <w:szCs w:val="24"/>
    </w:rPr>
  </w:style>
  <w:style w:type="paragraph" w:styleId="BalloonText">
    <w:name w:val="Balloon Text"/>
    <w:basedOn w:val="Normal"/>
    <w:link w:val="BalloonTextChar"/>
    <w:uiPriority w:val="99"/>
    <w:semiHidden/>
    <w:unhideWhenUsed/>
    <w:rsid w:val="008560BE"/>
    <w:rPr>
      <w:rFonts w:ascii="Tahoma" w:hAnsi="Tahoma" w:cs="Tahoma"/>
      <w:sz w:val="16"/>
      <w:szCs w:val="16"/>
    </w:rPr>
  </w:style>
  <w:style w:type="character" w:customStyle="1" w:styleId="BalloonTextChar">
    <w:name w:val="Balloon Text Char"/>
    <w:link w:val="BalloonText"/>
    <w:uiPriority w:val="99"/>
    <w:semiHidden/>
    <w:rsid w:val="008560BE"/>
    <w:rPr>
      <w:rFonts w:ascii="Tahoma" w:hAnsi="Tahoma" w:cs="Tahoma"/>
      <w:sz w:val="16"/>
      <w:szCs w:val="16"/>
    </w:rPr>
  </w:style>
  <w:style w:type="paragraph" w:styleId="DocumentMap">
    <w:name w:val="Document Map"/>
    <w:basedOn w:val="Normal"/>
    <w:link w:val="DocumentMapChar"/>
    <w:uiPriority w:val="99"/>
    <w:semiHidden/>
    <w:unhideWhenUsed/>
    <w:rsid w:val="008560BE"/>
    <w:rPr>
      <w:rFonts w:ascii="Tahoma" w:hAnsi="Tahoma" w:cs="Tahoma"/>
      <w:sz w:val="16"/>
      <w:szCs w:val="16"/>
    </w:rPr>
  </w:style>
  <w:style w:type="character" w:customStyle="1" w:styleId="DocumentMapChar">
    <w:name w:val="Document Map Char"/>
    <w:link w:val="DocumentMap"/>
    <w:uiPriority w:val="99"/>
    <w:semiHidden/>
    <w:rsid w:val="008560BE"/>
    <w:rPr>
      <w:rFonts w:ascii="Tahoma" w:hAnsi="Tahoma" w:cs="Tahoma"/>
      <w:sz w:val="16"/>
      <w:szCs w:val="16"/>
    </w:rPr>
  </w:style>
  <w:style w:type="table" w:styleId="TableGrid">
    <w:name w:val="Table Grid"/>
    <w:basedOn w:val="TableNormal"/>
    <w:rsid w:val="003B36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14637"/>
    <w:pPr>
      <w:tabs>
        <w:tab w:val="center" w:pos="4680"/>
        <w:tab w:val="right" w:pos="9360"/>
      </w:tabs>
    </w:pPr>
  </w:style>
  <w:style w:type="character" w:customStyle="1" w:styleId="HeaderChar">
    <w:name w:val="Header Char"/>
    <w:link w:val="Header"/>
    <w:uiPriority w:val="99"/>
    <w:rsid w:val="00E14637"/>
    <w:rPr>
      <w:sz w:val="24"/>
      <w:szCs w:val="24"/>
    </w:rPr>
  </w:style>
  <w:style w:type="paragraph" w:styleId="Footer">
    <w:name w:val="footer"/>
    <w:basedOn w:val="Normal"/>
    <w:link w:val="FooterChar"/>
    <w:uiPriority w:val="99"/>
    <w:semiHidden/>
    <w:unhideWhenUsed/>
    <w:rsid w:val="00E14637"/>
    <w:pPr>
      <w:tabs>
        <w:tab w:val="center" w:pos="4680"/>
        <w:tab w:val="right" w:pos="9360"/>
      </w:tabs>
    </w:pPr>
  </w:style>
  <w:style w:type="character" w:customStyle="1" w:styleId="FooterChar">
    <w:name w:val="Footer Char"/>
    <w:link w:val="Footer"/>
    <w:uiPriority w:val="99"/>
    <w:semiHidden/>
    <w:rsid w:val="00E14637"/>
    <w:rPr>
      <w:sz w:val="24"/>
      <w:szCs w:val="24"/>
    </w:rPr>
  </w:style>
  <w:style w:type="character" w:styleId="CommentReference">
    <w:name w:val="annotation reference"/>
    <w:unhideWhenUsed/>
    <w:rsid w:val="00F802A9"/>
    <w:rPr>
      <w:sz w:val="16"/>
      <w:szCs w:val="16"/>
    </w:rPr>
  </w:style>
  <w:style w:type="paragraph" w:styleId="CommentText">
    <w:name w:val="annotation text"/>
    <w:basedOn w:val="Normal"/>
    <w:link w:val="CommentTextChar"/>
    <w:unhideWhenUsed/>
    <w:rsid w:val="00F802A9"/>
    <w:rPr>
      <w:sz w:val="20"/>
      <w:szCs w:val="20"/>
    </w:rPr>
  </w:style>
  <w:style w:type="character" w:customStyle="1" w:styleId="CommentTextChar">
    <w:name w:val="Comment Text Char"/>
    <w:basedOn w:val="DefaultParagraphFont"/>
    <w:link w:val="CommentText"/>
    <w:rsid w:val="00F802A9"/>
  </w:style>
  <w:style w:type="paragraph" w:styleId="CommentSubject">
    <w:name w:val="annotation subject"/>
    <w:basedOn w:val="CommentText"/>
    <w:next w:val="CommentText"/>
    <w:link w:val="CommentSubjectChar"/>
    <w:uiPriority w:val="99"/>
    <w:semiHidden/>
    <w:unhideWhenUsed/>
    <w:rsid w:val="00F802A9"/>
    <w:rPr>
      <w:b/>
      <w:bCs/>
    </w:rPr>
  </w:style>
  <w:style w:type="character" w:customStyle="1" w:styleId="CommentSubjectChar">
    <w:name w:val="Comment Subject Char"/>
    <w:link w:val="CommentSubject"/>
    <w:uiPriority w:val="99"/>
    <w:semiHidden/>
    <w:rsid w:val="00F802A9"/>
    <w:rPr>
      <w:b/>
      <w:bCs/>
    </w:rPr>
  </w:style>
  <w:style w:type="paragraph" w:styleId="FootnoteText">
    <w:name w:val="footnote text"/>
    <w:basedOn w:val="Normal"/>
    <w:link w:val="FootnoteTextChar"/>
    <w:uiPriority w:val="99"/>
    <w:semiHidden/>
    <w:unhideWhenUsed/>
    <w:rsid w:val="003B4ABE"/>
    <w:rPr>
      <w:sz w:val="20"/>
      <w:szCs w:val="20"/>
    </w:rPr>
  </w:style>
  <w:style w:type="character" w:customStyle="1" w:styleId="FootnoteTextChar">
    <w:name w:val="Footnote Text Char"/>
    <w:basedOn w:val="DefaultParagraphFont"/>
    <w:link w:val="FootnoteText"/>
    <w:uiPriority w:val="99"/>
    <w:semiHidden/>
    <w:rsid w:val="003B4ABE"/>
  </w:style>
  <w:style w:type="character" w:styleId="FootnoteReference">
    <w:name w:val="footnote reference"/>
    <w:uiPriority w:val="99"/>
    <w:semiHidden/>
    <w:unhideWhenUsed/>
    <w:rsid w:val="003B4ABE"/>
    <w:rPr>
      <w:vertAlign w:val="superscript"/>
    </w:rPr>
  </w:style>
  <w:style w:type="character" w:customStyle="1" w:styleId="UnresolvedMention1">
    <w:name w:val="Unresolved Mention1"/>
    <w:basedOn w:val="DefaultParagraphFont"/>
    <w:uiPriority w:val="99"/>
    <w:semiHidden/>
    <w:unhideWhenUsed/>
    <w:rsid w:val="0081571C"/>
    <w:rPr>
      <w:color w:val="605E5C"/>
      <w:shd w:val="clear" w:color="auto" w:fill="E1DFDD"/>
    </w:rPr>
  </w:style>
  <w:style w:type="paragraph" w:styleId="ListBullet">
    <w:name w:val="List Bullet"/>
    <w:basedOn w:val="Normal"/>
    <w:uiPriority w:val="99"/>
    <w:unhideWhenUsed/>
    <w:rsid w:val="00DF2191"/>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8718">
      <w:bodyDiv w:val="1"/>
      <w:marLeft w:val="0"/>
      <w:marRight w:val="0"/>
      <w:marTop w:val="0"/>
      <w:marBottom w:val="0"/>
      <w:divBdr>
        <w:top w:val="none" w:sz="0" w:space="0" w:color="auto"/>
        <w:left w:val="none" w:sz="0" w:space="0" w:color="auto"/>
        <w:bottom w:val="none" w:sz="0" w:space="0" w:color="auto"/>
        <w:right w:val="none" w:sz="0" w:space="0" w:color="auto"/>
      </w:divBdr>
    </w:div>
    <w:div w:id="259534815">
      <w:bodyDiv w:val="1"/>
      <w:marLeft w:val="0"/>
      <w:marRight w:val="0"/>
      <w:marTop w:val="0"/>
      <w:marBottom w:val="0"/>
      <w:divBdr>
        <w:top w:val="none" w:sz="0" w:space="0" w:color="auto"/>
        <w:left w:val="none" w:sz="0" w:space="0" w:color="auto"/>
        <w:bottom w:val="none" w:sz="0" w:space="0" w:color="auto"/>
        <w:right w:val="none" w:sz="0" w:space="0" w:color="auto"/>
      </w:divBdr>
    </w:div>
    <w:div w:id="494104297">
      <w:bodyDiv w:val="1"/>
      <w:marLeft w:val="0"/>
      <w:marRight w:val="0"/>
      <w:marTop w:val="0"/>
      <w:marBottom w:val="0"/>
      <w:divBdr>
        <w:top w:val="none" w:sz="0" w:space="0" w:color="auto"/>
        <w:left w:val="none" w:sz="0" w:space="0" w:color="auto"/>
        <w:bottom w:val="none" w:sz="0" w:space="0" w:color="auto"/>
        <w:right w:val="none" w:sz="0" w:space="0" w:color="auto"/>
      </w:divBdr>
    </w:div>
    <w:div w:id="180257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rc.gov/docs/ML2002/ML20022A24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ir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ir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4E5AE-876F-418C-ADFC-55BF7CFDE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8F7D0-A9D4-465B-BA96-A603308F605F}">
  <ds:schemaRefs>
    <ds:schemaRef ds:uri="http://schemas.microsoft.com/sharepoint/v3/contenttype/forms"/>
  </ds:schemaRefs>
</ds:datastoreItem>
</file>

<file path=customXml/itemProps3.xml><?xml version="1.0" encoding="utf-8"?>
<ds:datastoreItem xmlns:ds="http://schemas.openxmlformats.org/officeDocument/2006/customXml" ds:itemID="{254B8059-FE2B-42E0-A067-2EB9267A28D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9610E3-3889-424C-976B-C8D5EF47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C:.wpd</vt:lpstr>
    </vt:vector>
  </TitlesOfParts>
  <Company>USNRC</Company>
  <LinksUpToDate>false</LinksUpToDate>
  <CharactersWithSpaces>22623</CharactersWithSpaces>
  <SharedDoc>false</SharedDoc>
  <HLinks>
    <vt:vector size="12" baseType="variant">
      <vt:variant>
        <vt:i4>7012451</vt:i4>
      </vt:variant>
      <vt:variant>
        <vt:i4>3</vt:i4>
      </vt:variant>
      <vt:variant>
        <vt:i4>0</vt:i4>
      </vt:variant>
      <vt:variant>
        <vt:i4>5</vt:i4>
      </vt:variant>
      <vt:variant>
        <vt:lpwstr>http://www.nrc.gov/reading-rm/foia/privacy-act-records.pdf</vt:lpwstr>
      </vt:variant>
      <vt:variant>
        <vt:lpwstr/>
      </vt:variant>
      <vt:variant>
        <vt:i4>5046278</vt:i4>
      </vt:variant>
      <vt:variant>
        <vt:i4>0</vt:i4>
      </vt:variant>
      <vt:variant>
        <vt:i4>0</vt:i4>
      </vt:variant>
      <vt:variant>
        <vt:i4>5</vt:i4>
      </vt:variant>
      <vt:variant>
        <vt:lpwstr>http://www.reirs.com/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C:.wpd</dc:title>
  <dc:subject/>
  <dc:creator>ORPUser</dc:creator>
  <cp:keywords/>
  <cp:lastModifiedBy>Benney, Kristen</cp:lastModifiedBy>
  <cp:revision>5</cp:revision>
  <cp:lastPrinted>2014-05-08T18:05:00Z</cp:lastPrinted>
  <dcterms:created xsi:type="dcterms:W3CDTF">2020-07-23T19:32:00Z</dcterms:created>
  <dcterms:modified xsi:type="dcterms:W3CDTF">2020-08-18T17:52:00Z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