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4E6" w:rsidRDefault="003414E6">
      <w:pPr>
        <w:jc w:val="center"/>
      </w:pPr>
    </w:p>
    <w:p w:rsidR="003414E6" w:rsidRDefault="003414E6">
      <w:pPr>
        <w:jc w:val="center"/>
      </w:pPr>
    </w:p>
    <w:p w:rsidR="0067719F" w:rsidRDefault="0067719F">
      <w:pPr>
        <w:jc w:val="center"/>
      </w:pPr>
      <w:r>
        <w:t>OMB SUPPORTING STATEMENT</w:t>
      </w:r>
    </w:p>
    <w:p w:rsidR="0067719F" w:rsidRDefault="0067719F"/>
    <w:p w:rsidR="003414E6" w:rsidRDefault="003414E6"/>
    <w:p w:rsidR="0067719F" w:rsidRDefault="00045911">
      <w:r>
        <w:t>Standard</w:t>
      </w:r>
      <w:r w:rsidR="00C535AD">
        <w:t xml:space="preserve"> Form 3119 – Application for Court-Ordered Benefits for Former Spouses</w:t>
      </w:r>
    </w:p>
    <w:p w:rsidR="0067719F" w:rsidRDefault="0067719F"/>
    <w:p w:rsidR="00A86050" w:rsidRDefault="00A86050"/>
    <w:p w:rsidR="00A86050" w:rsidP="00A86050" w:rsidRDefault="00A86050">
      <w:pPr>
        <w:numPr>
          <w:ilvl w:val="0"/>
          <w:numId w:val="3"/>
        </w:numPr>
      </w:pPr>
      <w:r>
        <w:t>Justification</w:t>
      </w:r>
    </w:p>
    <w:p w:rsidR="00A86050" w:rsidP="00A86050" w:rsidRDefault="00A86050"/>
    <w:p w:rsidRPr="00741061" w:rsidR="00A86050" w:rsidP="00A86050" w:rsidRDefault="00A86050">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86050" w:rsidRDefault="00A86050"/>
    <w:p w:rsidRPr="00DF085B" w:rsidR="00A86050" w:rsidP="00A86050" w:rsidRDefault="00A02CBE">
      <w:pPr>
        <w:ind w:left="720"/>
      </w:pPr>
      <w:r>
        <w:t xml:space="preserve">Title 5 of the </w:t>
      </w:r>
      <w:r w:rsidR="000809A2">
        <w:t>U</w:t>
      </w:r>
      <w:r>
        <w:t>nited</w:t>
      </w:r>
      <w:r w:rsidR="000809A2">
        <w:t xml:space="preserve"> S</w:t>
      </w:r>
      <w:r>
        <w:t>tates Code</w:t>
      </w:r>
      <w:r w:rsidR="000809A2">
        <w:t xml:space="preserve">, sections 8345(j), 8341(h), 8445, 8467 </w:t>
      </w:r>
      <w:r w:rsidR="0067719F">
        <w:t>a</w:t>
      </w:r>
      <w:r w:rsidR="000809A2">
        <w:t>nd Title 5 of the Code o</w:t>
      </w:r>
      <w:r w:rsidRPr="00DF085B" w:rsidR="000809A2">
        <w:t>f Federal Regulations</w:t>
      </w:r>
      <w:r w:rsidRPr="00DF085B">
        <w:t>,</w:t>
      </w:r>
      <w:r w:rsidRPr="00DF085B" w:rsidR="008819AA">
        <w:t xml:space="preserve"> P</w:t>
      </w:r>
      <w:r w:rsidRPr="00DF085B" w:rsidR="000809A2">
        <w:t>art 838</w:t>
      </w:r>
      <w:r w:rsidRPr="00DF085B" w:rsidR="008819AA">
        <w:t>,</w:t>
      </w:r>
      <w:r w:rsidRPr="00DF085B" w:rsidR="000809A2">
        <w:t xml:space="preserve"> Subparts B, D, and G</w:t>
      </w:r>
      <w:r w:rsidRPr="00DF085B" w:rsidR="002464C2">
        <w:t xml:space="preserve"> </w:t>
      </w:r>
      <w:r w:rsidRPr="00DF085B">
        <w:t>gives OPM the authority to collect the information needed to process</w:t>
      </w:r>
      <w:r w:rsidRPr="00DF085B" w:rsidR="008819AA">
        <w:t xml:space="preserve"> court ordered retirement benefits.  The Federal regulations </w:t>
      </w:r>
      <w:r w:rsidRPr="00DF085B" w:rsidR="002464C2">
        <w:t>list the application requirements necessary for a former spouse to collect her apportionment and</w:t>
      </w:r>
      <w:r w:rsidRPr="00DF085B" w:rsidR="00F049D0">
        <w:t>/or</w:t>
      </w:r>
      <w:r w:rsidRPr="00DF085B" w:rsidR="002464C2">
        <w:t xml:space="preserve"> survivor benefits</w:t>
      </w:r>
      <w:r w:rsidRPr="00DF085B">
        <w:t xml:space="preserve"> from an</w:t>
      </w:r>
      <w:r w:rsidRPr="00DF085B" w:rsidR="00F049D0">
        <w:t xml:space="preserve"> annuitant</w:t>
      </w:r>
      <w:r w:rsidRPr="00DF085B">
        <w:t xml:space="preserve"> who retired under the Civil Service Retirement System or the Federal Employees Retirement System</w:t>
      </w:r>
      <w:r w:rsidRPr="00DF085B" w:rsidR="000B1F23">
        <w:t xml:space="preserve">.  </w:t>
      </w:r>
      <w:r w:rsidR="00045911">
        <w:t>Standard</w:t>
      </w:r>
      <w:r w:rsidRPr="00DF085B" w:rsidR="000B1F23">
        <w:t xml:space="preserve"> Form 3119 will be</w:t>
      </w:r>
      <w:r w:rsidRPr="00DF085B" w:rsidR="002464C2">
        <w:t xml:space="preserve"> completed by the former spouse or the former spouse’s </w:t>
      </w:r>
      <w:r w:rsidRPr="00DF085B" w:rsidR="00F049D0">
        <w:t>representative</w:t>
      </w:r>
      <w:r w:rsidRPr="00DF085B">
        <w:t xml:space="preserve"> who intends</w:t>
      </w:r>
      <w:r w:rsidRPr="00DF085B" w:rsidR="00F049D0">
        <w:t xml:space="preserve"> to obtain a portion of the retirement benefits from the annuitant </w:t>
      </w:r>
      <w:r w:rsidRPr="00DF085B" w:rsidR="008819AA">
        <w:t xml:space="preserve">that is </w:t>
      </w:r>
      <w:r w:rsidRPr="00DF085B">
        <w:t xml:space="preserve">awarded </w:t>
      </w:r>
      <w:r w:rsidRPr="00DF085B" w:rsidR="008819AA">
        <w:t>in a court order.  The form request</w:t>
      </w:r>
      <w:r w:rsidRPr="00DF085B" w:rsidR="00F049D0">
        <w:t xml:space="preserve"> all nece</w:t>
      </w:r>
      <w:r w:rsidRPr="00DF085B" w:rsidR="008819AA">
        <w:t>ssary information that is used</w:t>
      </w:r>
      <w:r w:rsidRPr="00DF085B" w:rsidR="00F049D0">
        <w:t xml:space="preserve"> by OPM in order to effectuate the benefits.  </w:t>
      </w:r>
      <w:r w:rsidRPr="00DF085B" w:rsidR="0067719F">
        <w:t xml:space="preserve"> </w:t>
      </w:r>
    </w:p>
    <w:p w:rsidRPr="00DF085B" w:rsidR="00A86050" w:rsidP="00A86050" w:rsidRDefault="00A86050">
      <w:pPr>
        <w:ind w:left="360"/>
      </w:pPr>
    </w:p>
    <w:p w:rsidRPr="00DF085B" w:rsidR="00A86050" w:rsidP="00A86050" w:rsidRDefault="00A86050">
      <w:pPr>
        <w:pStyle w:val="ListParagraph"/>
        <w:numPr>
          <w:ilvl w:val="0"/>
          <w:numId w:val="4"/>
        </w:numPr>
        <w:shd w:val="pct25" w:color="auto" w:fill="auto"/>
        <w:tabs>
          <w:tab w:val="left" w:pos="-720"/>
        </w:tabs>
        <w:suppressAutoHyphens/>
        <w:contextualSpacing/>
      </w:pPr>
      <w:r w:rsidRPr="00DF085B">
        <w:fldChar w:fldCharType="begin"/>
      </w:r>
      <w:r w:rsidRPr="00DF085B">
        <w:instrText>ADVANCE \R 0.95</w:instrText>
      </w:r>
      <w:r w:rsidRPr="00DF085B">
        <w:fldChar w:fldCharType="end"/>
      </w:r>
      <w:r w:rsidRPr="00DF085B">
        <w:t xml:space="preserve">Indicate how, by whom, and for what purpose the information is to be used.  Except for a new collection, indicate the actual use the agency has made of the information received from the current collection. </w:t>
      </w:r>
    </w:p>
    <w:p w:rsidRPr="00DF085B" w:rsidR="00A86050" w:rsidP="00A86050" w:rsidRDefault="00A86050"/>
    <w:p w:rsidRPr="00DF085B" w:rsidR="0067719F" w:rsidP="00392238" w:rsidRDefault="004136CC">
      <w:pPr>
        <w:ind w:left="720"/>
      </w:pPr>
      <w:r w:rsidRPr="00DF085B">
        <w:t xml:space="preserve">OPM will use the information </w:t>
      </w:r>
      <w:r w:rsidRPr="00DF085B" w:rsidR="008819AA">
        <w:t xml:space="preserve">in </w:t>
      </w:r>
      <w:r w:rsidR="009A269F">
        <w:t xml:space="preserve">Standard </w:t>
      </w:r>
      <w:r w:rsidRPr="00DF085B" w:rsidR="008819AA">
        <w:t>F</w:t>
      </w:r>
      <w:r w:rsidRPr="00DF085B">
        <w:t xml:space="preserve">orm 3119 to determine the individual eligibility for court-ordered benefits and to properly pay out the benefits to the alternate payee.  Without the information, OPM would not be able to fulfill its statutory obligation to honor State court orders.  </w:t>
      </w:r>
      <w:r w:rsidRPr="00DF085B" w:rsidR="00D82F63">
        <w:t xml:space="preserve">The Privacy Act Statement </w:t>
      </w:r>
      <w:r w:rsidR="009A269F">
        <w:t>is appropriate</w:t>
      </w:r>
      <w:r w:rsidRPr="00DF085B" w:rsidR="00D82F63">
        <w:t xml:space="preserve"> due to a systematic review by our Chief Privacy Officer.</w:t>
      </w:r>
      <w:r w:rsidRPr="00DF085B" w:rsidR="0067719F">
        <w:t xml:space="preserve"> The Public Burden Statement meets the requirements of 5 CFR 1320.8(b)(3).</w:t>
      </w:r>
      <w:r w:rsidRPr="00DF085B" w:rsidR="009A6C84">
        <w:t xml:space="preserve"> </w:t>
      </w:r>
    </w:p>
    <w:p w:rsidRPr="00DF085B" w:rsidR="0067719F" w:rsidRDefault="0067719F"/>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F085B">
        <w:tab/>
      </w:r>
    </w:p>
    <w:p w:rsidRPr="00DF085B" w:rsidR="006B37C6" w:rsidP="006B37C6" w:rsidRDefault="006B37C6">
      <w:pPr>
        <w:ind w:left="720"/>
      </w:pPr>
    </w:p>
    <w:p w:rsidRPr="00DF085B" w:rsidR="0067719F" w:rsidP="002B1643" w:rsidRDefault="002B1643">
      <w:pPr>
        <w:ind w:left="720"/>
      </w:pPr>
      <w:r w:rsidRPr="00DF085B">
        <w:t>Use of improved information technology to reduce th</w:t>
      </w:r>
      <w:r w:rsidRPr="00DF085B" w:rsidR="004136CC">
        <w:t xml:space="preserve">e burden is not practical because former spouses must contact OPM individually and provide the information indicated above.  </w:t>
      </w:r>
      <w:r w:rsidRPr="00DF085B">
        <w:t>However, this form will be available in a PDF fillable format on our website and meets our GPEA requirements.</w:t>
      </w:r>
    </w:p>
    <w:p w:rsidRPr="00DF085B" w:rsidR="002B1643" w:rsidP="002B1643" w:rsidRDefault="002B1643">
      <w:pPr>
        <w:ind w:left="720"/>
      </w:pPr>
    </w:p>
    <w:p w:rsidRPr="00DF085B" w:rsidR="006B37C6" w:rsidP="006B37C6" w:rsidRDefault="006B37C6">
      <w:pPr>
        <w:pStyle w:val="ListParagraph"/>
        <w:numPr>
          <w:ilvl w:val="0"/>
          <w:numId w:val="4"/>
        </w:numPr>
        <w:shd w:val="pct25" w:color="auto" w:fill="auto"/>
        <w:tabs>
          <w:tab w:val="left" w:pos="-720"/>
        </w:tabs>
        <w:suppressAutoHyphens/>
        <w:contextualSpacing/>
      </w:pPr>
      <w:r w:rsidRPr="00DF085B">
        <w:lastRenderedPageBreak/>
        <w:t xml:space="preserve">Describe efforts to identify duplication.  Show specifically why any similar information already available cannot be used or modified for use for the purposes described in Item 2 above. </w:t>
      </w:r>
    </w:p>
    <w:p w:rsidRPr="00DF085B" w:rsidR="006B37C6" w:rsidP="006B37C6" w:rsidRDefault="006B37C6">
      <w:pPr>
        <w:ind w:firstLine="720"/>
      </w:pPr>
    </w:p>
    <w:p w:rsidRPr="00DF085B" w:rsidR="002B1643" w:rsidP="0047295A" w:rsidRDefault="00E00A7D">
      <w:pPr>
        <w:ind w:left="720"/>
      </w:pPr>
      <w:r w:rsidRPr="00DF085B">
        <w:t xml:space="preserve">Since the respondents initiate the collection there is no duplication.  </w:t>
      </w:r>
      <w:r w:rsidRPr="00DF085B" w:rsidR="002B1643">
        <w:t xml:space="preserve"> There is no other way to obtain this information. </w:t>
      </w:r>
    </w:p>
    <w:p w:rsidRPr="00DF085B" w:rsidR="006B37C6" w:rsidP="006B37C6" w:rsidRDefault="006B37C6">
      <w:pPr>
        <w:ind w:firstLine="720"/>
      </w:pPr>
    </w:p>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If the collection of information impacts small businesses or other small entities (Item 5 of OMB Form 83-I), describe any methods used to minimize.</w:t>
      </w:r>
    </w:p>
    <w:p w:rsidRPr="00DF085B" w:rsidR="006B37C6" w:rsidP="006B37C6" w:rsidRDefault="006B37C6">
      <w:pPr>
        <w:ind w:left="720"/>
      </w:pPr>
    </w:p>
    <w:p w:rsidRPr="00DF085B" w:rsidR="0067719F" w:rsidP="006B37C6" w:rsidRDefault="002B1643">
      <w:pPr>
        <w:ind w:left="720"/>
      </w:pPr>
      <w:r w:rsidRPr="00DF085B">
        <w:t>This information collection request has no impact on small businesses and organizations.</w:t>
      </w:r>
    </w:p>
    <w:p w:rsidRPr="00DF085B" w:rsidR="006B37C6" w:rsidP="006B37C6" w:rsidRDefault="006B37C6">
      <w:pPr>
        <w:ind w:left="720"/>
      </w:pPr>
    </w:p>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Describe the consequence to Federal/DHS program or policy activities if the collection of information is not conducted, or is conducted less frequently, as well as any technical or legal obstacles to reducing burden.</w:t>
      </w:r>
    </w:p>
    <w:p w:rsidRPr="00DF085B" w:rsidR="0067719F" w:rsidRDefault="0067719F"/>
    <w:p w:rsidRPr="00DF085B" w:rsidR="006B37C6" w:rsidP="00E00A7D" w:rsidRDefault="00E00A7D">
      <w:pPr>
        <w:ind w:left="720"/>
      </w:pPr>
      <w:r w:rsidRPr="00DF085B">
        <w:t xml:space="preserve">The information collection is initiated by former spouses or their representatives when applying for retirement benefits awarded in a court order.  Less frequent collection would delay or deny benefits conferred by statute.  </w:t>
      </w:r>
    </w:p>
    <w:p w:rsidRPr="00DF085B" w:rsidR="00CB0B42" w:rsidP="006B37C6" w:rsidRDefault="00CB0B42">
      <w:pPr>
        <w:ind w:left="720"/>
      </w:pPr>
    </w:p>
    <w:p w:rsidRPr="00DF085B" w:rsidR="00CB0B42" w:rsidP="00CB0B42" w:rsidRDefault="00CB0B42">
      <w:pPr>
        <w:pStyle w:val="ListParagraph"/>
        <w:numPr>
          <w:ilvl w:val="0"/>
          <w:numId w:val="4"/>
        </w:numPr>
        <w:shd w:val="pct25" w:color="auto" w:fill="auto"/>
        <w:tabs>
          <w:tab w:val="left" w:pos="-720"/>
        </w:tabs>
        <w:suppressAutoHyphens/>
        <w:contextualSpacing/>
      </w:pPr>
      <w:r w:rsidRPr="00DF085B">
        <w:t xml:space="preserve">Explain any special circumstances that would cause an information collection to be conducted in a manner: </w:t>
      </w:r>
    </w:p>
    <w:p w:rsidRPr="00DF085B" w:rsidR="00CB0B42" w:rsidP="00CB0B42" w:rsidRDefault="00CB0B42">
      <w:pPr>
        <w:pStyle w:val="ListParagraph"/>
        <w:shd w:val="pct25" w:color="auto" w:fill="auto"/>
        <w:tabs>
          <w:tab w:val="left" w:pos="-720"/>
        </w:tabs>
        <w:suppressAutoHyphens/>
      </w:pPr>
      <w:r w:rsidRPr="00DF085B">
        <w:t xml:space="preserve">• requiring respondents to report information to the agency more often than quarterly; </w:t>
      </w:r>
    </w:p>
    <w:p w:rsidRPr="00DF085B" w:rsidR="00CB0B42" w:rsidP="00CB0B42" w:rsidRDefault="00CB0B42">
      <w:pPr>
        <w:pStyle w:val="ListParagraph"/>
        <w:shd w:val="pct25" w:color="auto" w:fill="auto"/>
        <w:tabs>
          <w:tab w:val="left" w:pos="-720"/>
        </w:tabs>
        <w:suppressAutoHyphens/>
      </w:pPr>
      <w:r w:rsidRPr="00DF085B">
        <w:t xml:space="preserve">•requiring respondents to prepare a written response to a collection of information in fewer than 30 days after receipt of it; </w:t>
      </w:r>
    </w:p>
    <w:p w:rsidRPr="00DF085B" w:rsidR="00CB0B42" w:rsidP="00CB0B42" w:rsidRDefault="00CB0B42">
      <w:pPr>
        <w:pStyle w:val="ListParagraph"/>
        <w:shd w:val="pct25" w:color="auto" w:fill="auto"/>
        <w:tabs>
          <w:tab w:val="left" w:pos="-720"/>
        </w:tabs>
        <w:suppressAutoHyphens/>
      </w:pPr>
      <w:r w:rsidRPr="00DF085B">
        <w:t xml:space="preserve">•requiring respondents to submit more than an original and two copies of any document; </w:t>
      </w:r>
    </w:p>
    <w:p w:rsidRPr="00DF085B" w:rsidR="00CB0B42" w:rsidP="00CB0B42" w:rsidRDefault="00CB0B42">
      <w:pPr>
        <w:pStyle w:val="ListParagraph"/>
        <w:shd w:val="pct25" w:color="auto" w:fill="auto"/>
        <w:tabs>
          <w:tab w:val="left" w:pos="-720"/>
        </w:tabs>
        <w:suppressAutoHyphens/>
      </w:pPr>
      <w:r w:rsidRPr="00DF085B">
        <w:t xml:space="preserve">• requiring respondents to retain records, other than health, medical, government contract, grant-in-aid, or tax records, for more than three years; </w:t>
      </w:r>
    </w:p>
    <w:p w:rsidRPr="00DF085B" w:rsidR="00CB0B42" w:rsidP="00CB0B42" w:rsidRDefault="00CB0B42">
      <w:pPr>
        <w:pStyle w:val="ListParagraph"/>
        <w:shd w:val="pct25" w:color="auto" w:fill="auto"/>
        <w:tabs>
          <w:tab w:val="left" w:pos="-720"/>
        </w:tabs>
        <w:suppressAutoHyphens/>
      </w:pPr>
      <w:r w:rsidRPr="00DF085B">
        <w:t xml:space="preserve">• in connection with a statistical survey, that is not designed to produce valid and reliable results that can be generalized to the universe of study; </w:t>
      </w:r>
    </w:p>
    <w:p w:rsidRPr="00DF085B" w:rsidR="00CB0B42" w:rsidP="00CB0B42" w:rsidRDefault="00CB0B42">
      <w:pPr>
        <w:pStyle w:val="ListParagraph"/>
        <w:shd w:val="pct25" w:color="auto" w:fill="auto"/>
        <w:tabs>
          <w:tab w:val="left" w:pos="-720"/>
        </w:tabs>
        <w:suppressAutoHyphens/>
      </w:pPr>
      <w:r w:rsidRPr="00DF085B">
        <w:t xml:space="preserve">• requiring the use of a statistical data classification that has not been reviewed and approved by OMB; </w:t>
      </w:r>
    </w:p>
    <w:p w:rsidRPr="00DF085B" w:rsidR="00CB0B42" w:rsidP="00CB0B42" w:rsidRDefault="00CB0B42">
      <w:pPr>
        <w:pStyle w:val="ListParagraph"/>
        <w:shd w:val="pct25" w:color="auto" w:fill="auto"/>
        <w:tabs>
          <w:tab w:val="left" w:pos="-720"/>
        </w:tabs>
        <w:suppressAutoHyphens/>
      </w:pPr>
      <w:r w:rsidRPr="00DF085B">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DF085B" w:rsidR="00CB0B42" w:rsidP="00CB0B42" w:rsidRDefault="00CB0B42">
      <w:pPr>
        <w:pStyle w:val="ListParagraph"/>
        <w:shd w:val="pct25" w:color="auto" w:fill="auto"/>
        <w:tabs>
          <w:tab w:val="left" w:pos="-720"/>
        </w:tabs>
        <w:suppressAutoHyphens/>
      </w:pPr>
      <w:r w:rsidRPr="00DF085B">
        <w:t>• requiring respondents to submit proprietary trade secrets, or other confidential information unless the agency can demonstrate that it has instituted procedures to protect the information's confidentiality to the extent permitted by law.</w:t>
      </w:r>
    </w:p>
    <w:p w:rsidRPr="00DF085B" w:rsidR="00CB0B42" w:rsidP="00CB0B42" w:rsidRDefault="00CB0B42">
      <w:pPr>
        <w:ind w:left="720"/>
      </w:pPr>
      <w:r w:rsidRPr="00DF085B">
        <w:br/>
        <w:t>There are no special circumstances involved in the collection of this information.</w:t>
      </w:r>
      <w:r w:rsidRPr="00DF085B" w:rsidR="00E00A7D">
        <w:t xml:space="preserve">  </w:t>
      </w:r>
      <w:r w:rsidRPr="00DF085B" w:rsidR="008C2BD2">
        <w:t>This information collection is consistent with the guidelines in 5 CFR 1320.8(b)(3).</w:t>
      </w:r>
    </w:p>
    <w:p w:rsidRPr="00DF085B" w:rsidR="00CB0B42" w:rsidP="00CB0B42" w:rsidRDefault="00CB0B42">
      <w:pPr>
        <w:ind w:left="720"/>
      </w:pPr>
    </w:p>
    <w:p w:rsidRPr="00DF085B" w:rsidR="00CB0B42" w:rsidP="00CB0B42" w:rsidRDefault="00CB0B42">
      <w:pPr>
        <w:pStyle w:val="ListParagraph"/>
        <w:numPr>
          <w:ilvl w:val="0"/>
          <w:numId w:val="4"/>
        </w:numPr>
        <w:shd w:val="pct25" w:color="auto" w:fill="auto"/>
        <w:tabs>
          <w:tab w:val="left" w:pos="-720"/>
        </w:tabs>
        <w:suppressAutoHyphens/>
        <w:contextualSpacing/>
      </w:pPr>
      <w:r w:rsidRPr="00DF085B">
        <w:t xml:space="preserve">Federal Register Notice: </w:t>
      </w:r>
      <w:r w:rsidRPr="00DF085B">
        <w:fldChar w:fldCharType="begin"/>
      </w:r>
      <w:r w:rsidRPr="00DF085B">
        <w:instrText>ADVANCE \R 0.95</w:instrText>
      </w:r>
      <w:r w:rsidRPr="00DF085B">
        <w:fldChar w:fldCharType="end"/>
      </w:r>
      <w:r w:rsidRPr="00DF085B">
        <w:t xml:space="preserve">Provide a copy and identify the date and page number of </w:t>
      </w:r>
      <w:proofErr w:type="gramStart"/>
      <w:r w:rsidRPr="00DF085B">
        <w:t>publication</w:t>
      </w:r>
      <w:proofErr w:type="gramEnd"/>
      <w:r w:rsidRPr="00DF085B">
        <w:t xml:space="preserve"> in the Federal Register of the agency’s notice soliciting comments on the information collection prior to submission to OMB</w:t>
      </w:r>
    </w:p>
    <w:p w:rsidRPr="008A0DCF" w:rsidR="00CB0B42" w:rsidP="00CB0B42" w:rsidRDefault="000B1F23">
      <w:pPr>
        <w:ind w:left="720"/>
      </w:pPr>
      <w:r w:rsidRPr="00DF085B">
        <w:br/>
      </w:r>
      <w:r w:rsidRPr="008A0DCF" w:rsidR="008C2BD2">
        <w:t xml:space="preserve">A 60 day notice of proposed information collection was published in the </w:t>
      </w:r>
      <w:r w:rsidRPr="008A0DCF" w:rsidR="008C2BD2">
        <w:rPr>
          <w:i/>
        </w:rPr>
        <w:t>Federal Register</w:t>
      </w:r>
      <w:r w:rsidRPr="008A0DCF" w:rsidR="008C2BD2">
        <w:t xml:space="preserve"> </w:t>
      </w:r>
      <w:r w:rsidRPr="008A0DCF" w:rsidR="008C2BD2">
        <w:lastRenderedPageBreak/>
        <w:t>on March 23, 2020, Volume 85 FR 16395,</w:t>
      </w:r>
      <w:r w:rsidRPr="008A0DCF">
        <w:t xml:space="preserve"> giving persons outside the agency an opportunity to comment.  </w:t>
      </w:r>
      <w:r w:rsidRPr="008A0DCF" w:rsidR="00CB0B42">
        <w:t>No comments were received.</w:t>
      </w:r>
    </w:p>
    <w:p w:rsidRPr="008A0DCF" w:rsidR="00CB0B42" w:rsidP="0047295A" w:rsidRDefault="00CB0B42"/>
    <w:p w:rsidRPr="008A0DCF" w:rsidR="00CB0B42" w:rsidP="00CB0B42" w:rsidRDefault="00CB0B42">
      <w:pPr>
        <w:ind w:left="720"/>
      </w:pPr>
    </w:p>
    <w:p w:rsidRPr="008A0DCF" w:rsidR="00CB0B42" w:rsidP="00CB0B42" w:rsidRDefault="00CB0B42">
      <w:pPr>
        <w:pStyle w:val="ListParagraph"/>
        <w:numPr>
          <w:ilvl w:val="0"/>
          <w:numId w:val="4"/>
        </w:numPr>
        <w:shd w:val="pct25" w:color="auto" w:fill="auto"/>
        <w:tabs>
          <w:tab w:val="left" w:pos="-720"/>
        </w:tabs>
        <w:suppressAutoHyphens/>
        <w:ind w:right="-288"/>
        <w:contextualSpacing/>
      </w:pPr>
      <w:r w:rsidRPr="008A0DCF">
        <w:t>Explain any decision to provide any payment or gift to respondents, other than remuneration of contractors or grantees.</w:t>
      </w:r>
    </w:p>
    <w:p w:rsidRPr="008A0DCF" w:rsidR="002B1643" w:rsidP="006B37C6" w:rsidRDefault="002B1643">
      <w:pPr>
        <w:ind w:left="720"/>
      </w:pPr>
    </w:p>
    <w:p w:rsidRPr="008A0DCF" w:rsidR="006B37C6" w:rsidP="006B37C6" w:rsidRDefault="002B1643">
      <w:pPr>
        <w:ind w:left="720"/>
      </w:pPr>
      <w:r w:rsidRPr="008A0DCF">
        <w:t>No payment or gift is provided to respondents</w:t>
      </w:r>
      <w:r w:rsidRPr="008A0DCF" w:rsidR="00E00A7D">
        <w:t>, except any court-ordered benefits that are payable</w:t>
      </w:r>
      <w:r w:rsidRPr="008A0DCF">
        <w:t>.</w:t>
      </w:r>
    </w:p>
    <w:p w:rsidRPr="008A0DCF" w:rsidR="002B1643" w:rsidP="006B37C6" w:rsidRDefault="002B1643">
      <w:pPr>
        <w:ind w:left="720"/>
      </w:pPr>
    </w:p>
    <w:p w:rsidRPr="008A0DCF" w:rsidR="00CB0B42" w:rsidP="00CB0B42" w:rsidRDefault="00CB0B42">
      <w:pPr>
        <w:pStyle w:val="ListParagraph"/>
        <w:numPr>
          <w:ilvl w:val="0"/>
          <w:numId w:val="4"/>
        </w:numPr>
        <w:shd w:val="pct25" w:color="auto" w:fill="auto"/>
        <w:tabs>
          <w:tab w:val="clear" w:pos="720"/>
          <w:tab w:val="left" w:pos="-720"/>
          <w:tab w:val="num" w:pos="630"/>
        </w:tabs>
        <w:suppressAutoHyphens/>
        <w:ind w:left="630" w:right="-288"/>
        <w:contextualSpacing/>
      </w:pPr>
      <w:r w:rsidRPr="008A0DCF">
        <w:t xml:space="preserve">Describe any assurance of confidentiality provided to respondents and the basis for the assurance in statute, regulation, or agency policy.  </w:t>
      </w:r>
    </w:p>
    <w:p w:rsidRPr="008A0DCF" w:rsidR="00CB0B42" w:rsidP="00CB0B42" w:rsidRDefault="00CB0B42">
      <w:pPr>
        <w:pStyle w:val="ListParagraph"/>
        <w:ind w:right="-288"/>
      </w:pPr>
    </w:p>
    <w:p w:rsidRPr="008A0DCF" w:rsidR="00CB0B42" w:rsidP="00CB0B42" w:rsidRDefault="00CB0B42">
      <w:pPr>
        <w:ind w:left="720" w:right="-288"/>
      </w:pPr>
      <w:r w:rsidRPr="008A0DCF">
        <w:t>This information collection is protected by the Privacy</w:t>
      </w:r>
      <w:r w:rsidRPr="008A0DCF" w:rsidR="00DF085B">
        <w:t xml:space="preserve"> Act of 1974 and OPM regulation </w:t>
      </w:r>
      <w:r w:rsidRPr="008A0DCF">
        <w:br/>
        <w:t xml:space="preserve">(5 CFR 831.106).  The routine uses of disclosure appear in the </w:t>
      </w:r>
      <w:r w:rsidRPr="008A0DCF">
        <w:rPr>
          <w:i/>
        </w:rPr>
        <w:t>Federal Register</w:t>
      </w:r>
      <w:r w:rsidRPr="008A0DCF">
        <w:t xml:space="preserve"> for </w:t>
      </w:r>
    </w:p>
    <w:p w:rsidRPr="008A0DCF" w:rsidR="00CB0B42" w:rsidP="00CB0B42" w:rsidRDefault="00CB0B42">
      <w:pPr>
        <w:ind w:right="-288" w:firstLine="720"/>
      </w:pPr>
      <w:r w:rsidRPr="008A0DCF">
        <w:t xml:space="preserve">OPM/Central-1 (73 FR 15013, </w:t>
      </w:r>
      <w:r w:rsidRPr="008A0DCF">
        <w:rPr>
          <w:i/>
        </w:rPr>
        <w:t>et seq</w:t>
      </w:r>
      <w:r w:rsidRPr="008A0DCF">
        <w:t>., March 20, 2008).</w:t>
      </w:r>
    </w:p>
    <w:p w:rsidRPr="008A0DCF" w:rsidR="00CB0B42" w:rsidP="00CB0B42" w:rsidRDefault="00CB0B42">
      <w:pPr>
        <w:ind w:right="-288" w:firstLine="720"/>
      </w:pPr>
    </w:p>
    <w:p w:rsidRPr="008A0DCF" w:rsidR="00CB0B42" w:rsidP="00CB0B42" w:rsidRDefault="00CB0B42">
      <w:pPr>
        <w:pStyle w:val="ListParagraph"/>
        <w:numPr>
          <w:ilvl w:val="0"/>
          <w:numId w:val="4"/>
        </w:numPr>
        <w:shd w:val="pct25" w:color="auto" w:fill="auto"/>
        <w:tabs>
          <w:tab w:val="clear" w:pos="720"/>
          <w:tab w:val="left" w:pos="-720"/>
          <w:tab w:val="num" w:pos="630"/>
        </w:tabs>
        <w:suppressAutoHyphens/>
        <w:ind w:left="630"/>
        <w:contextualSpacing/>
      </w:pPr>
      <w:r w:rsidRPr="008A0DCF">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A0DCF" w:rsidR="00CB0B42" w:rsidP="00CB0B42" w:rsidRDefault="00CB0B42">
      <w:pPr>
        <w:spacing w:before="240"/>
        <w:ind w:left="720"/>
      </w:pPr>
      <w:r w:rsidRPr="008A0DCF">
        <w:t xml:space="preserve">The information collection does not include questions of a sensitive nature, such as sexual behavior and attitudes, religious beliefs, and other matters that are commonly considered private. </w:t>
      </w:r>
    </w:p>
    <w:p w:rsidRPr="008A0DCF" w:rsidR="00CB0B42" w:rsidP="00CB0B42" w:rsidRDefault="00CB0B42">
      <w:pPr>
        <w:ind w:right="-288" w:firstLine="720"/>
      </w:pPr>
    </w:p>
    <w:p w:rsidRPr="008A0DCF" w:rsidR="00CB0B42" w:rsidP="00CB0B42" w:rsidRDefault="00CB0B42">
      <w:pPr>
        <w:pStyle w:val="ListParagraph"/>
        <w:shd w:val="pct25" w:color="auto" w:fill="FFFFFF"/>
        <w:tabs>
          <w:tab w:val="left" w:pos="-720"/>
        </w:tabs>
        <w:suppressAutoHyphens/>
        <w:ind w:left="360"/>
      </w:pPr>
      <w:r w:rsidRPr="008A0DCF">
        <w:t>12. Provide estimates of the hour burden of the collection of information.  The statement should:</w:t>
      </w:r>
    </w:p>
    <w:p w:rsidRPr="008A0DCF" w:rsidR="00CB0B42" w:rsidP="00CB0B42" w:rsidRDefault="00CB0B42">
      <w:pPr>
        <w:pStyle w:val="ListParagraph"/>
        <w:tabs>
          <w:tab w:val="left" w:pos="-720"/>
        </w:tabs>
        <w:suppressAutoHyphens/>
        <w:ind w:left="360"/>
      </w:pPr>
    </w:p>
    <w:p w:rsidRPr="008A0DCF" w:rsidR="00CB0B42" w:rsidP="00CB0B42" w:rsidRDefault="00CB0B42">
      <w:pPr>
        <w:pStyle w:val="ListParagraph"/>
        <w:shd w:val="pct25" w:color="auto" w:fill="auto"/>
        <w:tabs>
          <w:tab w:val="left" w:pos="-720"/>
        </w:tabs>
        <w:suppressAutoHyphens/>
        <w:ind w:left="360"/>
      </w:pPr>
      <w:r w:rsidRPr="008A0DCF">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A0DCF" w:rsidR="00CB0B42" w:rsidP="00CB0B42" w:rsidRDefault="00CB0B42">
      <w:pPr>
        <w:pStyle w:val="ListParagraph"/>
        <w:shd w:val="pct25" w:color="auto" w:fill="auto"/>
        <w:tabs>
          <w:tab w:val="left" w:pos="-720"/>
        </w:tabs>
        <w:suppressAutoHyphens/>
        <w:ind w:left="360"/>
      </w:pPr>
      <w:r w:rsidRPr="008A0DCF">
        <w:t xml:space="preserve">b.  If this request for approval covers more than one form, provide separate hour burden estimates for each form and aggregate the hour burdens in Item 13 of OMB Form 83-I. </w:t>
      </w:r>
    </w:p>
    <w:p w:rsidRPr="008A0DCF" w:rsidR="00CB0B42" w:rsidP="00C1773B" w:rsidRDefault="00CB0B42">
      <w:pPr>
        <w:pStyle w:val="ListParagraph"/>
        <w:shd w:val="pct25" w:color="auto" w:fill="auto"/>
        <w:tabs>
          <w:tab w:val="left" w:pos="-720"/>
        </w:tabs>
        <w:suppressAutoHyphens/>
        <w:ind w:left="360"/>
      </w:pPr>
      <w:r w:rsidRPr="008A0DCF">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8A0DCF" w:rsidR="00C11A92" w:rsidP="0047295A" w:rsidRDefault="00C1773B">
      <w:pPr>
        <w:ind w:left="720"/>
      </w:pPr>
      <w:r w:rsidRPr="008A0DCF">
        <w:br/>
      </w:r>
      <w:r w:rsidRPr="008A0DCF" w:rsidR="00DF085B">
        <w:t>There are estimated to be 19,000 respondents each year.  We estimate that it takes 30 minutes to assemble the needed documents and information</w:t>
      </w:r>
      <w:r w:rsidRPr="008A0DCF" w:rsidR="009E45C1">
        <w:t xml:space="preserve"> if using </w:t>
      </w:r>
      <w:r w:rsidR="008B6B31">
        <w:t xml:space="preserve">Standard </w:t>
      </w:r>
      <w:r w:rsidRPr="008A0DCF" w:rsidR="009E45C1">
        <w:t>Form 3119</w:t>
      </w:r>
      <w:r w:rsidRPr="008A0DCF" w:rsidR="00DF085B">
        <w:t xml:space="preserve">.  The annual burden is 9,500 hours.  </w:t>
      </w:r>
      <w:r w:rsidRPr="008A0DCF" w:rsidR="009E45C1">
        <w:t xml:space="preserve">Currently, there is no form to collect this information. We expect the burden per respondent to be reduced by using the form. Currently, it can </w:t>
      </w:r>
      <w:r w:rsidRPr="008A0DCF" w:rsidR="009E45C1">
        <w:lastRenderedPageBreak/>
        <w:t>take more than 60 minutes to assemble the information needed and submit to Retirement Services.</w:t>
      </w:r>
    </w:p>
    <w:p w:rsidR="009E45C1" w:rsidP="0047295A" w:rsidRDefault="009E45C1">
      <w:pPr>
        <w:ind w:left="720"/>
        <w:rPr>
          <w:color w:val="FF0000"/>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7"/>
        <w:gridCol w:w="980"/>
        <w:gridCol w:w="1230"/>
        <w:gridCol w:w="1165"/>
        <w:gridCol w:w="1072"/>
        <w:gridCol w:w="955"/>
        <w:gridCol w:w="996"/>
        <w:gridCol w:w="1165"/>
      </w:tblGrid>
      <w:tr w:rsidRPr="0034372F" w:rsidR="009E45C1" w:rsidTr="00014072">
        <w:tc>
          <w:tcPr>
            <w:tcW w:w="1006"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Form Name</w:t>
            </w:r>
          </w:p>
        </w:tc>
        <w:tc>
          <w:tcPr>
            <w:tcW w:w="1053"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Form Number</w:t>
            </w:r>
          </w:p>
        </w:tc>
        <w:tc>
          <w:tcPr>
            <w:tcW w:w="1230"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No. of Respondents</w:t>
            </w:r>
          </w:p>
        </w:tc>
        <w:tc>
          <w:tcPr>
            <w:tcW w:w="1176"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No. of Responses per Respondent</w:t>
            </w:r>
          </w:p>
        </w:tc>
        <w:tc>
          <w:tcPr>
            <w:tcW w:w="1114"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Average Burden per Response (in hours)</w:t>
            </w:r>
          </w:p>
        </w:tc>
        <w:tc>
          <w:tcPr>
            <w:tcW w:w="1037"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Total Annual Burden (in hours)</w:t>
            </w:r>
          </w:p>
        </w:tc>
        <w:tc>
          <w:tcPr>
            <w:tcW w:w="1064"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Average Hourly Wage Rate</w:t>
            </w:r>
          </w:p>
        </w:tc>
        <w:tc>
          <w:tcPr>
            <w:tcW w:w="1176"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Total Annual Respondent Cost</w:t>
            </w:r>
          </w:p>
        </w:tc>
      </w:tr>
      <w:tr w:rsidRPr="0034372F" w:rsidR="009E45C1" w:rsidTr="00014072">
        <w:tc>
          <w:tcPr>
            <w:tcW w:w="1006" w:type="dxa"/>
            <w:shd w:val="clear" w:color="auto" w:fill="auto"/>
          </w:tcPr>
          <w:p w:rsidRPr="0034372F" w:rsidR="009E45C1" w:rsidP="00014072" w:rsidRDefault="009E45C1">
            <w:pPr>
              <w:spacing w:before="240"/>
              <w:rPr>
                <w:sz w:val="18"/>
                <w:szCs w:val="18"/>
              </w:rPr>
            </w:pPr>
            <w:r>
              <w:rPr>
                <w:sz w:val="18"/>
                <w:szCs w:val="18"/>
              </w:rPr>
              <w:t>Former Spouse Application</w:t>
            </w:r>
          </w:p>
        </w:tc>
        <w:tc>
          <w:tcPr>
            <w:tcW w:w="1053" w:type="dxa"/>
            <w:shd w:val="clear" w:color="auto" w:fill="auto"/>
          </w:tcPr>
          <w:p w:rsidRPr="0034372F" w:rsidR="009E45C1" w:rsidP="00014072" w:rsidRDefault="009E45C1">
            <w:pPr>
              <w:spacing w:before="240"/>
              <w:rPr>
                <w:sz w:val="18"/>
                <w:szCs w:val="18"/>
              </w:rPr>
            </w:pPr>
            <w:r>
              <w:rPr>
                <w:sz w:val="18"/>
                <w:szCs w:val="18"/>
              </w:rPr>
              <w:t>SF 3119</w:t>
            </w:r>
            <w:r w:rsidRPr="00E26880">
              <w:rPr>
                <w:sz w:val="18"/>
                <w:szCs w:val="18"/>
              </w:rPr>
              <w:t xml:space="preserve"> </w:t>
            </w:r>
          </w:p>
        </w:tc>
        <w:tc>
          <w:tcPr>
            <w:tcW w:w="1230" w:type="dxa"/>
            <w:shd w:val="clear" w:color="auto" w:fill="auto"/>
          </w:tcPr>
          <w:p w:rsidRPr="0034372F" w:rsidR="009E45C1" w:rsidP="00014072" w:rsidRDefault="009E45C1">
            <w:pPr>
              <w:spacing w:before="240"/>
              <w:jc w:val="right"/>
              <w:rPr>
                <w:sz w:val="18"/>
                <w:szCs w:val="18"/>
              </w:rPr>
            </w:pPr>
            <w:r>
              <w:rPr>
                <w:sz w:val="18"/>
                <w:szCs w:val="18"/>
              </w:rPr>
              <w:t>19</w:t>
            </w:r>
            <w:r w:rsidRPr="0034372F">
              <w:rPr>
                <w:sz w:val="18"/>
                <w:szCs w:val="18"/>
              </w:rPr>
              <w:t>,000</w:t>
            </w:r>
          </w:p>
        </w:tc>
        <w:tc>
          <w:tcPr>
            <w:tcW w:w="1176" w:type="dxa"/>
            <w:shd w:val="clear" w:color="auto" w:fill="auto"/>
          </w:tcPr>
          <w:p w:rsidRPr="0034372F" w:rsidR="009E45C1" w:rsidP="00014072" w:rsidRDefault="009E45C1">
            <w:pPr>
              <w:spacing w:before="240"/>
              <w:jc w:val="right"/>
              <w:rPr>
                <w:sz w:val="18"/>
                <w:szCs w:val="18"/>
              </w:rPr>
            </w:pPr>
            <w:r w:rsidRPr="0034372F">
              <w:rPr>
                <w:sz w:val="18"/>
                <w:szCs w:val="18"/>
              </w:rPr>
              <w:t>1</w:t>
            </w:r>
          </w:p>
        </w:tc>
        <w:tc>
          <w:tcPr>
            <w:tcW w:w="1114" w:type="dxa"/>
            <w:shd w:val="clear" w:color="auto" w:fill="auto"/>
          </w:tcPr>
          <w:p w:rsidRPr="0034372F" w:rsidR="009E45C1" w:rsidP="00014072" w:rsidRDefault="009E45C1">
            <w:pPr>
              <w:spacing w:before="240"/>
              <w:jc w:val="right"/>
              <w:rPr>
                <w:sz w:val="18"/>
                <w:szCs w:val="18"/>
              </w:rPr>
            </w:pPr>
            <w:r>
              <w:rPr>
                <w:sz w:val="18"/>
                <w:szCs w:val="18"/>
              </w:rPr>
              <w:t>.5</w:t>
            </w:r>
          </w:p>
        </w:tc>
        <w:tc>
          <w:tcPr>
            <w:tcW w:w="1037" w:type="dxa"/>
            <w:shd w:val="clear" w:color="auto" w:fill="auto"/>
          </w:tcPr>
          <w:p w:rsidRPr="0034372F" w:rsidR="009E45C1" w:rsidP="00014072" w:rsidRDefault="009E45C1">
            <w:pPr>
              <w:spacing w:before="240"/>
              <w:jc w:val="right"/>
              <w:rPr>
                <w:sz w:val="18"/>
                <w:szCs w:val="18"/>
              </w:rPr>
            </w:pPr>
            <w:r>
              <w:rPr>
                <w:sz w:val="18"/>
                <w:szCs w:val="18"/>
              </w:rPr>
              <w:t>9,500</w:t>
            </w:r>
          </w:p>
        </w:tc>
        <w:tc>
          <w:tcPr>
            <w:tcW w:w="1064" w:type="dxa"/>
            <w:shd w:val="clear" w:color="auto" w:fill="auto"/>
          </w:tcPr>
          <w:p w:rsidRPr="0034372F" w:rsidR="009E45C1" w:rsidP="00014072" w:rsidRDefault="009E45C1">
            <w:pPr>
              <w:spacing w:before="240"/>
              <w:jc w:val="center"/>
              <w:rPr>
                <w:sz w:val="18"/>
                <w:szCs w:val="18"/>
              </w:rPr>
            </w:pPr>
            <w:r w:rsidRPr="0034372F">
              <w:rPr>
                <w:sz w:val="18"/>
                <w:szCs w:val="18"/>
              </w:rPr>
              <w:t>$</w:t>
            </w:r>
            <w:r>
              <w:rPr>
                <w:sz w:val="18"/>
                <w:szCs w:val="18"/>
              </w:rPr>
              <w:t>1</w:t>
            </w:r>
            <w:r w:rsidRPr="0034372F">
              <w:rPr>
                <w:sz w:val="18"/>
                <w:szCs w:val="18"/>
              </w:rPr>
              <w:t>0</w:t>
            </w:r>
            <w:r>
              <w:rPr>
                <w:sz w:val="18"/>
                <w:szCs w:val="18"/>
              </w:rPr>
              <w:t>.75</w:t>
            </w:r>
          </w:p>
        </w:tc>
        <w:tc>
          <w:tcPr>
            <w:tcW w:w="1176" w:type="dxa"/>
            <w:shd w:val="clear" w:color="auto" w:fill="auto"/>
          </w:tcPr>
          <w:p w:rsidRPr="0034372F" w:rsidR="009E45C1" w:rsidP="00014072" w:rsidRDefault="009E45C1">
            <w:pPr>
              <w:spacing w:before="240"/>
              <w:jc w:val="center"/>
              <w:rPr>
                <w:sz w:val="18"/>
                <w:szCs w:val="18"/>
              </w:rPr>
            </w:pPr>
            <w:r w:rsidRPr="0034372F">
              <w:rPr>
                <w:sz w:val="18"/>
                <w:szCs w:val="18"/>
              </w:rPr>
              <w:t>$</w:t>
            </w:r>
            <w:r w:rsidR="002C5306">
              <w:rPr>
                <w:sz w:val="18"/>
                <w:szCs w:val="18"/>
              </w:rPr>
              <w:t>255,313.00</w:t>
            </w:r>
          </w:p>
        </w:tc>
      </w:tr>
      <w:tr w:rsidRPr="0034372F" w:rsidR="009E45C1" w:rsidTr="009E45C1">
        <w:tc>
          <w:tcPr>
            <w:tcW w:w="1006" w:type="dxa"/>
            <w:shd w:val="clear" w:color="auto" w:fill="D9D9D9" w:themeFill="background1" w:themeFillShade="D9"/>
          </w:tcPr>
          <w:p w:rsidRPr="0034372F" w:rsidR="009E45C1" w:rsidP="00014072" w:rsidRDefault="009E45C1">
            <w:pPr>
              <w:spacing w:before="240"/>
              <w:rPr>
                <w:sz w:val="18"/>
                <w:szCs w:val="18"/>
              </w:rPr>
            </w:pPr>
            <w:r>
              <w:rPr>
                <w:sz w:val="18"/>
                <w:szCs w:val="18"/>
              </w:rPr>
              <w:t>Without Form</w:t>
            </w:r>
          </w:p>
        </w:tc>
        <w:tc>
          <w:tcPr>
            <w:tcW w:w="1053" w:type="dxa"/>
            <w:shd w:val="clear" w:color="auto" w:fill="D9D9D9" w:themeFill="background1" w:themeFillShade="D9"/>
          </w:tcPr>
          <w:p w:rsidRPr="0034372F" w:rsidR="009E45C1" w:rsidP="00014072" w:rsidRDefault="009E45C1">
            <w:pPr>
              <w:spacing w:before="240"/>
              <w:rPr>
                <w:sz w:val="18"/>
                <w:szCs w:val="18"/>
              </w:rPr>
            </w:pPr>
            <w:r>
              <w:rPr>
                <w:sz w:val="18"/>
                <w:szCs w:val="18"/>
              </w:rPr>
              <w:t>N/A</w:t>
            </w:r>
          </w:p>
        </w:tc>
        <w:tc>
          <w:tcPr>
            <w:tcW w:w="1230" w:type="dxa"/>
            <w:shd w:val="clear" w:color="auto" w:fill="D9D9D9" w:themeFill="background1" w:themeFillShade="D9"/>
          </w:tcPr>
          <w:p w:rsidRPr="0034372F" w:rsidR="009E45C1" w:rsidP="00014072" w:rsidRDefault="009E45C1">
            <w:pPr>
              <w:spacing w:before="240"/>
              <w:jc w:val="right"/>
              <w:rPr>
                <w:sz w:val="18"/>
                <w:szCs w:val="18"/>
              </w:rPr>
            </w:pPr>
            <w:r>
              <w:rPr>
                <w:sz w:val="18"/>
                <w:szCs w:val="18"/>
              </w:rPr>
              <w:t>19,000</w:t>
            </w:r>
          </w:p>
        </w:tc>
        <w:tc>
          <w:tcPr>
            <w:tcW w:w="1176" w:type="dxa"/>
            <w:shd w:val="clear" w:color="auto" w:fill="D9D9D9" w:themeFill="background1" w:themeFillShade="D9"/>
          </w:tcPr>
          <w:p w:rsidRPr="0034372F" w:rsidR="009E45C1" w:rsidP="00014072" w:rsidRDefault="009E45C1">
            <w:pPr>
              <w:spacing w:before="240"/>
              <w:jc w:val="right"/>
              <w:rPr>
                <w:sz w:val="18"/>
                <w:szCs w:val="18"/>
              </w:rPr>
            </w:pPr>
            <w:r w:rsidRPr="0034372F">
              <w:rPr>
                <w:sz w:val="18"/>
                <w:szCs w:val="18"/>
              </w:rPr>
              <w:t>1</w:t>
            </w:r>
          </w:p>
        </w:tc>
        <w:tc>
          <w:tcPr>
            <w:tcW w:w="1114" w:type="dxa"/>
            <w:shd w:val="clear" w:color="auto" w:fill="D9D9D9" w:themeFill="background1" w:themeFillShade="D9"/>
          </w:tcPr>
          <w:p w:rsidRPr="0034372F" w:rsidR="009E45C1" w:rsidP="00014072" w:rsidRDefault="009E45C1">
            <w:pPr>
              <w:spacing w:before="240"/>
              <w:jc w:val="right"/>
              <w:rPr>
                <w:sz w:val="18"/>
                <w:szCs w:val="18"/>
              </w:rPr>
            </w:pPr>
            <w:r>
              <w:rPr>
                <w:sz w:val="18"/>
                <w:szCs w:val="18"/>
              </w:rPr>
              <w:t>1</w:t>
            </w:r>
          </w:p>
        </w:tc>
        <w:tc>
          <w:tcPr>
            <w:tcW w:w="1037" w:type="dxa"/>
            <w:shd w:val="clear" w:color="auto" w:fill="D9D9D9" w:themeFill="background1" w:themeFillShade="D9"/>
          </w:tcPr>
          <w:p w:rsidRPr="0034372F" w:rsidR="009E45C1" w:rsidP="00014072" w:rsidRDefault="009E45C1">
            <w:pPr>
              <w:spacing w:before="240"/>
              <w:jc w:val="right"/>
              <w:rPr>
                <w:sz w:val="18"/>
                <w:szCs w:val="18"/>
              </w:rPr>
            </w:pPr>
            <w:r>
              <w:rPr>
                <w:sz w:val="18"/>
                <w:szCs w:val="18"/>
              </w:rPr>
              <w:t>19,000</w:t>
            </w:r>
          </w:p>
        </w:tc>
        <w:tc>
          <w:tcPr>
            <w:tcW w:w="1064" w:type="dxa"/>
            <w:shd w:val="clear" w:color="auto" w:fill="D9D9D9" w:themeFill="background1" w:themeFillShade="D9"/>
          </w:tcPr>
          <w:p w:rsidRPr="0034372F" w:rsidR="009E45C1" w:rsidP="00014072" w:rsidRDefault="009E45C1">
            <w:pPr>
              <w:spacing w:before="240"/>
              <w:jc w:val="center"/>
              <w:rPr>
                <w:sz w:val="18"/>
                <w:szCs w:val="18"/>
              </w:rPr>
            </w:pPr>
            <w:r w:rsidRPr="0034372F">
              <w:rPr>
                <w:sz w:val="18"/>
                <w:szCs w:val="18"/>
              </w:rPr>
              <w:t>$</w:t>
            </w:r>
            <w:r w:rsidR="00C615EB">
              <w:rPr>
                <w:sz w:val="18"/>
                <w:szCs w:val="18"/>
              </w:rPr>
              <w:t>21.50</w:t>
            </w:r>
          </w:p>
        </w:tc>
        <w:tc>
          <w:tcPr>
            <w:tcW w:w="1176" w:type="dxa"/>
            <w:shd w:val="clear" w:color="auto" w:fill="D9D9D9" w:themeFill="background1" w:themeFillShade="D9"/>
          </w:tcPr>
          <w:p w:rsidRPr="0034372F" w:rsidR="009E45C1" w:rsidP="00014072" w:rsidRDefault="009E45C1">
            <w:pPr>
              <w:spacing w:before="240"/>
              <w:jc w:val="center"/>
              <w:rPr>
                <w:sz w:val="18"/>
                <w:szCs w:val="18"/>
              </w:rPr>
            </w:pPr>
            <w:r w:rsidRPr="0034372F">
              <w:rPr>
                <w:sz w:val="18"/>
                <w:szCs w:val="18"/>
              </w:rPr>
              <w:t>$</w:t>
            </w:r>
            <w:r w:rsidR="002C5306">
              <w:rPr>
                <w:sz w:val="18"/>
                <w:szCs w:val="18"/>
              </w:rPr>
              <w:t>510.625.00</w:t>
            </w:r>
            <w:r w:rsidRPr="0034372F">
              <w:rPr>
                <w:sz w:val="18"/>
                <w:szCs w:val="18"/>
              </w:rPr>
              <w:t xml:space="preserve"> </w:t>
            </w:r>
          </w:p>
        </w:tc>
      </w:tr>
    </w:tbl>
    <w:p w:rsidR="009E45C1" w:rsidP="0047295A" w:rsidRDefault="009E45C1">
      <w:pPr>
        <w:ind w:left="720"/>
      </w:pPr>
    </w:p>
    <w:p w:rsidR="0047295A" w:rsidP="009E45C1" w:rsidRDefault="00250221">
      <w:r>
        <w:t xml:space="preserve">            </w:t>
      </w:r>
      <w:r w:rsidR="002C5306">
        <w:t>The estimated Total Annual Respondent Cost is $255,313.00.</w:t>
      </w:r>
    </w:p>
    <w:p w:rsidR="00250221" w:rsidP="009E45C1" w:rsidRDefault="00250221">
      <w:bookmarkStart w:name="_GoBack" w:id="0"/>
      <w:bookmarkEnd w:id="0"/>
    </w:p>
    <w:p w:rsidR="00900E7C" w:rsidP="00CB0B42" w:rsidRDefault="00900E7C">
      <w:pPr>
        <w:ind w:right="-288" w:firstLine="720"/>
      </w:pPr>
    </w:p>
    <w:p w:rsidRPr="00741061" w:rsidR="00C11A92" w:rsidP="00C11A92" w:rsidRDefault="00C11A92">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Pr="00741061" w:rsidR="00C11A92" w:rsidP="00C11A92" w:rsidRDefault="00C11A92">
      <w:pPr>
        <w:pStyle w:val="ListParagraph"/>
        <w:shd w:val="pct25" w:color="auto" w:fill="auto"/>
        <w:tabs>
          <w:tab w:val="left" w:pos="-720"/>
        </w:tabs>
        <w:suppressAutoHyphens/>
        <w:ind w:left="0"/>
      </w:pPr>
    </w:p>
    <w:p w:rsidRPr="00741061" w:rsidR="00C11A92" w:rsidP="00C11A92" w:rsidRDefault="00C11A92">
      <w:pPr>
        <w:pStyle w:val="ListParagraph"/>
        <w:shd w:val="pct25" w:color="auto" w:fill="auto"/>
        <w:tabs>
          <w:tab w:val="left" w:pos="-720"/>
          <w:tab w:val="left" w:pos="810"/>
        </w:tabs>
        <w:suppressAutoHyphens/>
        <w:ind w:left="0"/>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C11A92" w:rsidP="00C11A92" w:rsidRDefault="00C11A92">
      <w:pPr>
        <w:pStyle w:val="ListParagraph"/>
        <w:shd w:val="pct25" w:color="auto" w:fill="FFFFFF"/>
        <w:tabs>
          <w:tab w:val="left" w:pos="-720"/>
        </w:tabs>
        <w:suppressAutoHyphens/>
        <w:ind w:left="0"/>
      </w:pPr>
    </w:p>
    <w:p w:rsidRPr="00741061" w:rsidR="00C11A92" w:rsidP="00C11A92" w:rsidRDefault="00C11A92">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C11A92" w:rsidP="00C11A92" w:rsidRDefault="00C11A92">
      <w:pPr>
        <w:pStyle w:val="ListParagraph"/>
        <w:shd w:val="pct25" w:color="auto" w:fill="FFFFFF"/>
        <w:tabs>
          <w:tab w:val="left" w:pos="-720"/>
        </w:tabs>
        <w:suppressAutoHyphens/>
        <w:ind w:left="0"/>
      </w:pPr>
    </w:p>
    <w:p w:rsidRPr="00741061" w:rsidR="00C11A92" w:rsidP="00C11A92" w:rsidRDefault="00C11A92">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Pr="008A0DCF" w:rsidR="00C11A92" w:rsidP="00D4209F" w:rsidRDefault="00570270">
      <w:pPr>
        <w:spacing w:before="240"/>
        <w:ind w:left="720"/>
      </w:pPr>
      <w:r w:rsidRPr="008A0DCF">
        <w:t xml:space="preserve">There is a nominal cost to the respondent for obtaining a copy of the order from the court and the postage used to mail documents. </w:t>
      </w:r>
      <w:r w:rsidRPr="008A0DCF" w:rsidR="00DF085B">
        <w:t xml:space="preserve"> This approximate cost is $20.55</w:t>
      </w:r>
      <w:r w:rsidRPr="008A0DCF">
        <w:t xml:space="preserve"> per respondent.  The total cost for 19,000 respo</w:t>
      </w:r>
      <w:r w:rsidRPr="008A0DCF" w:rsidR="00DF085B">
        <w:t>ndents is approximately $390,450.</w:t>
      </w:r>
    </w:p>
    <w:p w:rsidR="00C11A92" w:rsidP="00C11A92" w:rsidRDefault="00C11A92">
      <w:pPr>
        <w:spacing w:before="240"/>
        <w:ind w:firstLine="720"/>
      </w:pPr>
    </w:p>
    <w:p w:rsidR="00C11A92" w:rsidP="00C11A92" w:rsidRDefault="00C11A92">
      <w:pPr>
        <w:shd w:val="pct25" w:color="auto" w:fill="auto"/>
        <w:tabs>
          <w:tab w:val="left" w:pos="-720"/>
        </w:tabs>
        <w:suppressAutoHyphens/>
      </w:pPr>
      <w:r w:rsidRPr="00741061">
        <w:lastRenderedPageBreak/>
        <w:fldChar w:fldCharType="begin"/>
      </w:r>
      <w:r w:rsidRPr="00741061">
        <w:instrText>ADVANCE \R 0.95</w:instrText>
      </w:r>
      <w:r w:rsidRPr="00741061">
        <w:fldChar w:fldCharType="end"/>
      </w:r>
      <w:r w:rsidRPr="00741061">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C11A92" w:rsidP="00611CDB" w:rsidRDefault="00246051">
      <w:pPr>
        <w:spacing w:before="240"/>
        <w:ind w:left="720"/>
      </w:pPr>
      <w:r>
        <w:t>We estimate that the annualized cost to the Government is approximately $14,590. The cost is derived from employee salaries, staff hours required to process the forms and the cost of publishing, storing and shipping forms</w:t>
      </w:r>
      <w:r w:rsidR="00D4209F">
        <w:t xml:space="preserve">.  </w:t>
      </w:r>
    </w:p>
    <w:p w:rsidR="00CB0B42" w:rsidP="006B37C6" w:rsidRDefault="00CB0B42">
      <w:pPr>
        <w:ind w:left="720"/>
      </w:pPr>
    </w:p>
    <w:p w:rsidRPr="00741061" w:rsidR="00C11A92" w:rsidP="00C11A92" w:rsidRDefault="00C11A92">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611CDB" w:rsidP="006B37C6" w:rsidRDefault="00611CDB">
      <w:pPr>
        <w:ind w:left="720"/>
      </w:pPr>
    </w:p>
    <w:p w:rsidRPr="00DF085B" w:rsidR="00C11A92" w:rsidP="00900E7C" w:rsidRDefault="00010A18">
      <w:pPr>
        <w:ind w:firstLine="720"/>
      </w:pPr>
      <w:r>
        <w:t>N/A</w:t>
      </w:r>
    </w:p>
    <w:p w:rsidRPr="00DF085B" w:rsidR="00C11A92" w:rsidP="006B37C6" w:rsidRDefault="00C11A92">
      <w:pPr>
        <w:ind w:left="720"/>
      </w:pPr>
    </w:p>
    <w:p w:rsidRPr="00DF085B" w:rsidR="00C11A92" w:rsidP="00C11A92" w:rsidRDefault="00C11A92">
      <w:pPr>
        <w:pStyle w:val="ListParagraph"/>
        <w:shd w:val="pct25" w:color="auto" w:fill="auto"/>
        <w:tabs>
          <w:tab w:val="left" w:pos="-720"/>
        </w:tabs>
        <w:suppressAutoHyphens/>
        <w:ind w:left="0"/>
      </w:pPr>
      <w:r w:rsidRPr="00DF085B">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DF085B" w:rsidR="00C11A92" w:rsidP="00C11A92" w:rsidRDefault="00C11A92">
      <w:pPr>
        <w:ind w:left="720"/>
      </w:pPr>
    </w:p>
    <w:p w:rsidRPr="00DF085B" w:rsidR="00C11A92" w:rsidP="00C11A92" w:rsidRDefault="00C11A92">
      <w:pPr>
        <w:ind w:left="720"/>
      </w:pPr>
      <w:r w:rsidRPr="00DF085B">
        <w:t>The results of this information collection are not published.</w:t>
      </w:r>
    </w:p>
    <w:p w:rsidR="00C11A92" w:rsidP="00C11A92" w:rsidRDefault="00C11A92">
      <w:pPr>
        <w:ind w:left="720"/>
      </w:pPr>
    </w:p>
    <w:p w:rsidRPr="00741061" w:rsidR="00C11A92" w:rsidP="00C11A92" w:rsidRDefault="00C11A92">
      <w:pPr>
        <w:pStyle w:val="ListParagraph"/>
        <w:shd w:val="pct25" w:color="auto" w:fill="auto"/>
        <w:tabs>
          <w:tab w:val="left" w:pos="-720"/>
        </w:tabs>
        <w:suppressAutoHyphens/>
        <w:ind w:left="0"/>
      </w:pPr>
      <w:r w:rsidRPr="00741061">
        <w:t>17.  If seeking approval to not display the expiration date for OMB approval of the information collection, explain reasons that display would be inappropriate.</w:t>
      </w:r>
    </w:p>
    <w:p w:rsidR="00C11A92" w:rsidP="00C11A92" w:rsidRDefault="00C11A92">
      <w:pPr>
        <w:pStyle w:val="ListParagraph"/>
        <w:tabs>
          <w:tab w:val="left" w:pos="-720"/>
        </w:tabs>
        <w:suppressAutoHyphens/>
        <w:ind w:left="0"/>
      </w:pPr>
    </w:p>
    <w:p w:rsidRPr="008A0DCF" w:rsidR="00611CDB" w:rsidP="00611CDB" w:rsidRDefault="00611CDB">
      <w:pPr>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t>
      </w:r>
      <w:r w:rsidRPr="008A0DCF">
        <w:lastRenderedPageBreak/>
        <w:t>workloads.  Therefore, we seek approval to not display the OMB clearance expiration date on the forms and to communicate version changes to the public v</w:t>
      </w:r>
      <w:r w:rsidRPr="008A0DCF" w:rsidR="00392238">
        <w:t>ia the revision date.</w:t>
      </w:r>
    </w:p>
    <w:p w:rsidRPr="00741061" w:rsidR="00C11A92" w:rsidP="00C11A92" w:rsidRDefault="00C11A92">
      <w:pPr>
        <w:pStyle w:val="ListParagraph"/>
        <w:tabs>
          <w:tab w:val="left" w:pos="-720"/>
        </w:tabs>
        <w:suppressAutoHyphens/>
        <w:ind w:left="0"/>
      </w:pPr>
    </w:p>
    <w:p w:rsidR="00C11A92" w:rsidP="0088417A" w:rsidRDefault="00C11A92">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Pr="00DF085B" w:rsidR="00C11A92" w:rsidP="00C11A92" w:rsidRDefault="00C11A92">
      <w:pPr>
        <w:spacing w:before="240"/>
        <w:ind w:firstLine="720"/>
      </w:pPr>
      <w:r w:rsidRPr="00DF085B">
        <w:t>There are no exceptions to the certification statement.</w:t>
      </w:r>
    </w:p>
    <w:p w:rsidR="0067719F" w:rsidRDefault="0067719F"/>
    <w:sectPr w:rsidR="0067719F">
      <w:pgSz w:w="12240" w:h="15840"/>
      <w:pgMar w:top="6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5EB" w:rsidRDefault="00C615EB" w:rsidP="00C615EB">
      <w:r>
        <w:separator/>
      </w:r>
    </w:p>
  </w:endnote>
  <w:endnote w:type="continuationSeparator" w:id="0">
    <w:p w:rsidR="00C615EB" w:rsidRDefault="00C615EB" w:rsidP="00C6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5EB" w:rsidRDefault="00C615EB" w:rsidP="00C615EB">
      <w:r>
        <w:separator/>
      </w:r>
    </w:p>
  </w:footnote>
  <w:footnote w:type="continuationSeparator" w:id="0">
    <w:p w:rsidR="00C615EB" w:rsidRDefault="00C615EB" w:rsidP="00C6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65375"/>
    <w:multiLevelType w:val="singleLevel"/>
    <w:tmpl w:val="D9C604C8"/>
    <w:lvl w:ilvl="0">
      <w:start w:val="1"/>
      <w:numFmt w:val="decimal"/>
      <w:lvlText w:val="%1."/>
      <w:lvlJc w:val="left"/>
      <w:pPr>
        <w:tabs>
          <w:tab w:val="num" w:pos="720"/>
        </w:tabs>
        <w:ind w:left="720" w:hanging="360"/>
      </w:pPr>
      <w:rPr>
        <w:rFonts w:hint="default"/>
      </w:rPr>
    </w:lvl>
  </w:abstractNum>
  <w:abstractNum w:abstractNumId="1"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48FC42B7"/>
    <w:multiLevelType w:val="singleLevel"/>
    <w:tmpl w:val="04090015"/>
    <w:lvl w:ilvl="0">
      <w:start w:val="1"/>
      <w:numFmt w:val="upperLetter"/>
      <w:lvlText w:val="%1."/>
      <w:lvlJc w:val="left"/>
      <w:pPr>
        <w:tabs>
          <w:tab w:val="num" w:pos="9720"/>
        </w:tabs>
        <w:ind w:left="9720" w:hanging="360"/>
      </w:pPr>
      <w:rPr>
        <w:rFonts w:hint="default"/>
      </w:rPr>
    </w:lvl>
  </w:abstractNum>
  <w:abstractNum w:abstractNumId="3" w15:restartNumberingAfterBreak="0">
    <w:nsid w:val="664D74BB"/>
    <w:multiLevelType w:val="singleLevel"/>
    <w:tmpl w:val="57722588"/>
    <w:lvl w:ilvl="0">
      <w:start w:val="1"/>
      <w:numFmt w:val="decimal"/>
      <w:lvlText w:val="%1."/>
      <w:lvlJc w:val="left"/>
      <w:pPr>
        <w:tabs>
          <w:tab w:val="num" w:pos="720"/>
        </w:tabs>
        <w:ind w:left="720" w:hanging="360"/>
      </w:pPr>
      <w:rPr>
        <w:rFonts w:hint="default"/>
      </w:rPr>
    </w:lvl>
  </w:abstractNum>
  <w:abstractNum w:abstractNumId="4"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F3"/>
    <w:rsid w:val="00010A18"/>
    <w:rsid w:val="00015DF7"/>
    <w:rsid w:val="00045911"/>
    <w:rsid w:val="000809A2"/>
    <w:rsid w:val="000B1F23"/>
    <w:rsid w:val="000C76FA"/>
    <w:rsid w:val="001753D1"/>
    <w:rsid w:val="001F7B17"/>
    <w:rsid w:val="00237649"/>
    <w:rsid w:val="002459DD"/>
    <w:rsid w:val="00246051"/>
    <w:rsid w:val="002464C2"/>
    <w:rsid w:val="00250221"/>
    <w:rsid w:val="002B1643"/>
    <w:rsid w:val="002C5306"/>
    <w:rsid w:val="002E15C4"/>
    <w:rsid w:val="00300EE8"/>
    <w:rsid w:val="003120F3"/>
    <w:rsid w:val="0032674C"/>
    <w:rsid w:val="003414E6"/>
    <w:rsid w:val="0034372F"/>
    <w:rsid w:val="00392238"/>
    <w:rsid w:val="003A4EDB"/>
    <w:rsid w:val="004136CC"/>
    <w:rsid w:val="0047295A"/>
    <w:rsid w:val="004A59B6"/>
    <w:rsid w:val="00570270"/>
    <w:rsid w:val="00591F3F"/>
    <w:rsid w:val="00611CDB"/>
    <w:rsid w:val="006632C4"/>
    <w:rsid w:val="0067719F"/>
    <w:rsid w:val="006B37C6"/>
    <w:rsid w:val="007438A8"/>
    <w:rsid w:val="00810C0A"/>
    <w:rsid w:val="008114ED"/>
    <w:rsid w:val="008819AA"/>
    <w:rsid w:val="0088417A"/>
    <w:rsid w:val="008A0DCF"/>
    <w:rsid w:val="008B6B31"/>
    <w:rsid w:val="008C2BD2"/>
    <w:rsid w:val="00900E7C"/>
    <w:rsid w:val="009A269F"/>
    <w:rsid w:val="009A69F3"/>
    <w:rsid w:val="009A6C84"/>
    <w:rsid w:val="009E45C1"/>
    <w:rsid w:val="00A02CBE"/>
    <w:rsid w:val="00A1229D"/>
    <w:rsid w:val="00A14624"/>
    <w:rsid w:val="00A3690D"/>
    <w:rsid w:val="00A86050"/>
    <w:rsid w:val="00AB084A"/>
    <w:rsid w:val="00AD79F2"/>
    <w:rsid w:val="00B721CC"/>
    <w:rsid w:val="00C11A92"/>
    <w:rsid w:val="00C1773B"/>
    <w:rsid w:val="00C535AD"/>
    <w:rsid w:val="00C615EB"/>
    <w:rsid w:val="00CB0B42"/>
    <w:rsid w:val="00D4209F"/>
    <w:rsid w:val="00D82F63"/>
    <w:rsid w:val="00DF085B"/>
    <w:rsid w:val="00E00A7D"/>
    <w:rsid w:val="00E26880"/>
    <w:rsid w:val="00EB0FB2"/>
    <w:rsid w:val="00ED158B"/>
    <w:rsid w:val="00F049D0"/>
    <w:rsid w:val="00FC4360"/>
    <w:rsid w:val="00FF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105FC"/>
  <w15:chartTrackingRefBased/>
  <w15:docId w15:val="{40C80638-5C31-4A66-8AE4-1E3559DC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B6"/>
    <w:pPr>
      <w:ind w:left="720"/>
    </w:pPr>
  </w:style>
  <w:style w:type="table" w:styleId="TableGrid">
    <w:name w:val="Table Grid"/>
    <w:basedOn w:val="TableNormal"/>
    <w:uiPriority w:val="59"/>
    <w:rsid w:val="00C1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5EB"/>
    <w:pPr>
      <w:tabs>
        <w:tab w:val="center" w:pos="4680"/>
        <w:tab w:val="right" w:pos="9360"/>
      </w:tabs>
    </w:pPr>
  </w:style>
  <w:style w:type="character" w:customStyle="1" w:styleId="HeaderChar">
    <w:name w:val="Header Char"/>
    <w:basedOn w:val="DefaultParagraphFont"/>
    <w:link w:val="Header"/>
    <w:uiPriority w:val="99"/>
    <w:rsid w:val="00C615EB"/>
    <w:rPr>
      <w:sz w:val="24"/>
    </w:rPr>
  </w:style>
  <w:style w:type="paragraph" w:styleId="Footer">
    <w:name w:val="footer"/>
    <w:basedOn w:val="Normal"/>
    <w:link w:val="FooterChar"/>
    <w:uiPriority w:val="99"/>
    <w:unhideWhenUsed/>
    <w:rsid w:val="00C615EB"/>
    <w:pPr>
      <w:tabs>
        <w:tab w:val="center" w:pos="4680"/>
        <w:tab w:val="right" w:pos="9360"/>
      </w:tabs>
    </w:pPr>
  </w:style>
  <w:style w:type="character" w:customStyle="1" w:styleId="FooterChar">
    <w:name w:val="Footer Char"/>
    <w:basedOn w:val="DefaultParagraphFont"/>
    <w:link w:val="Footer"/>
    <w:uiPriority w:val="99"/>
    <w:rsid w:val="00C615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2288</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Benson, Cyrus S</cp:lastModifiedBy>
  <cp:revision>5</cp:revision>
  <cp:lastPrinted>2011-06-22T14:53:00Z</cp:lastPrinted>
  <dcterms:created xsi:type="dcterms:W3CDTF">2020-06-18T15:52:00Z</dcterms:created>
  <dcterms:modified xsi:type="dcterms:W3CDTF">2020-06-18T17:16:00Z</dcterms:modified>
</cp:coreProperties>
</file>