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505CB" w:rsidR="009C411A" w:rsidP="009C411A" w:rsidRDefault="009C411A">
      <w:pPr>
        <w:pStyle w:val="NormalWeb"/>
        <w:spacing w:before="0" w:beforeAutospacing="0" w:after="0" w:afterAutospacing="0"/>
        <w:jc w:val="center"/>
        <w:rPr>
          <w:b/>
          <w:bCs/>
          <w:color w:val="auto"/>
        </w:rPr>
      </w:pPr>
      <w:bookmarkStart w:name="_GoBack" w:id="0"/>
      <w:bookmarkEnd w:id="0"/>
      <w:r w:rsidRPr="006505CB">
        <w:rPr>
          <w:b/>
          <w:bCs/>
          <w:iCs/>
          <w:color w:val="auto"/>
        </w:rPr>
        <w:t>Department of Commerce</w:t>
      </w:r>
    </w:p>
    <w:p w:rsidR="009C411A" w:rsidP="009C411A" w:rsidRDefault="009C411A">
      <w:pPr>
        <w:pStyle w:val="NormalWeb"/>
        <w:spacing w:before="0" w:beforeAutospacing="0" w:after="0" w:afterAutospacing="0"/>
        <w:jc w:val="center"/>
        <w:rPr>
          <w:b/>
          <w:bCs/>
          <w:color w:val="auto"/>
        </w:rPr>
      </w:pPr>
      <w:r>
        <w:rPr>
          <w:b/>
          <w:bCs/>
          <w:color w:val="auto"/>
        </w:rPr>
        <w:t>U.S. Census Bureau</w:t>
      </w:r>
    </w:p>
    <w:p w:rsidR="009C411A" w:rsidP="009C411A" w:rsidRDefault="009C411A">
      <w:pPr>
        <w:pStyle w:val="NormalWeb"/>
        <w:spacing w:before="0" w:beforeAutospacing="0" w:after="0" w:afterAutospacing="0"/>
        <w:jc w:val="center"/>
        <w:rPr>
          <w:b/>
          <w:bCs/>
          <w:color w:val="auto"/>
        </w:rPr>
      </w:pPr>
      <w:r>
        <w:rPr>
          <w:b/>
          <w:bCs/>
          <w:color w:val="auto"/>
        </w:rPr>
        <w:t>OMB Information Collection Request</w:t>
      </w:r>
    </w:p>
    <w:p w:rsidR="009C411A" w:rsidP="009C411A" w:rsidRDefault="00806196">
      <w:pPr>
        <w:pStyle w:val="NormalWeb"/>
        <w:spacing w:before="0" w:beforeAutospacing="0" w:after="0" w:afterAutospacing="0"/>
        <w:jc w:val="center"/>
        <w:rPr>
          <w:b/>
          <w:bCs/>
          <w:color w:val="auto"/>
        </w:rPr>
      </w:pPr>
      <w:r>
        <w:rPr>
          <w:b/>
          <w:bCs/>
          <w:color w:val="auto"/>
        </w:rPr>
        <w:t>Annual Wholesale Trade Survey</w:t>
      </w:r>
    </w:p>
    <w:p w:rsidR="009C411A" w:rsidP="009C411A" w:rsidRDefault="00806196">
      <w:pPr>
        <w:pStyle w:val="NormalWeb"/>
        <w:spacing w:before="0" w:beforeAutospacing="0" w:after="0" w:afterAutospacing="0"/>
        <w:jc w:val="center"/>
        <w:rPr>
          <w:color w:val="auto"/>
        </w:rPr>
      </w:pPr>
      <w:r>
        <w:rPr>
          <w:b/>
          <w:bCs/>
          <w:color w:val="auto"/>
        </w:rPr>
        <w:t>OMB Control Number 0607-0195</w:t>
      </w:r>
    </w:p>
    <w:p w:rsidRPr="007E3AEA" w:rsidR="009C411A" w:rsidP="009C411A" w:rsidRDefault="009C411A">
      <w:pPr>
        <w:pStyle w:val="Heading4"/>
        <w:rPr>
          <w:b w:val="0"/>
        </w:rPr>
      </w:pPr>
      <w:r w:rsidRPr="007E3AEA">
        <w:rPr>
          <w:rStyle w:val="Strong"/>
          <w:b/>
        </w:rPr>
        <w:t xml:space="preserve">Part </w:t>
      </w:r>
      <w:proofErr w:type="gramStart"/>
      <w:r w:rsidRPr="007E3AEA">
        <w:rPr>
          <w:rStyle w:val="Strong"/>
          <w:b/>
        </w:rPr>
        <w:t>A</w:t>
      </w:r>
      <w:proofErr w:type="gramEnd"/>
      <w:r w:rsidRPr="007E3AEA">
        <w:rPr>
          <w:rStyle w:val="Strong"/>
          <w:b/>
        </w:rPr>
        <w:t xml:space="preserve"> </w:t>
      </w:r>
      <w:r w:rsidRPr="007E3AEA">
        <w:rPr>
          <w:b w:val="0"/>
        </w:rPr>
        <w:t>–</w:t>
      </w:r>
      <w:r w:rsidRPr="007E3AEA">
        <w:rPr>
          <w:rStyle w:val="Strong"/>
          <w:b/>
        </w:rPr>
        <w:t xml:space="preserve"> Justification</w:t>
      </w:r>
    </w:p>
    <w:p w:rsidRPr="00C56F81" w:rsidR="009C411A" w:rsidP="009C411A" w:rsidRDefault="009C411A">
      <w:pPr>
        <w:pStyle w:val="NormalWeb"/>
        <w:rPr>
          <w:b/>
          <w:color w:val="auto"/>
        </w:rPr>
      </w:pPr>
      <w:r w:rsidRPr="00C56F81">
        <w:rPr>
          <w:b/>
          <w:color w:val="auto"/>
          <w:u w:val="single"/>
        </w:rPr>
        <w:t>Question 1. Necessity of the Information Collection</w:t>
      </w:r>
    </w:p>
    <w:p w:rsidRPr="00384C6F" w:rsidR="007E0795" w:rsidP="007E0795" w:rsidRDefault="00C628E4">
      <w:pPr>
        <w:tabs>
          <w:tab w:val="left" w:pos="0"/>
          <w:tab w:val="left" w:pos="720"/>
          <w:tab w:val="left" w:pos="1080"/>
          <w:tab w:val="left" w:pos="2160"/>
        </w:tabs>
      </w:pPr>
      <w:r w:rsidRPr="008A37CF">
        <w:rPr>
          <w:szCs w:val="20"/>
        </w:rPr>
        <w:t xml:space="preserve">The Annual Wholesale Trade Survey (AWTS) covers employer firms with establishments located in the United States and classified in the wholesale trade sector, as defined by the North American Industry Classification System (NAICS). </w:t>
      </w:r>
      <w:r w:rsidR="00C53270">
        <w:rPr>
          <w:szCs w:val="20"/>
        </w:rPr>
        <w:t xml:space="preserve">There are two main types of wholesalers in the wholesale trade sector: </w:t>
      </w:r>
      <w:r w:rsidR="00772911">
        <w:rPr>
          <w:szCs w:val="20"/>
        </w:rPr>
        <w:t xml:space="preserve">1) </w:t>
      </w:r>
      <w:r w:rsidR="00C53270">
        <w:rPr>
          <w:szCs w:val="20"/>
        </w:rPr>
        <w:t xml:space="preserve">merchant wholesalers and </w:t>
      </w:r>
      <w:r w:rsidR="00772911">
        <w:rPr>
          <w:szCs w:val="20"/>
        </w:rPr>
        <w:t xml:space="preserve">2) </w:t>
      </w:r>
      <w:r w:rsidR="00C53270">
        <w:rPr>
          <w:szCs w:val="20"/>
        </w:rPr>
        <w:t>agents</w:t>
      </w:r>
      <w:r w:rsidR="00DD65C1">
        <w:rPr>
          <w:szCs w:val="20"/>
        </w:rPr>
        <w:t xml:space="preserve">, </w:t>
      </w:r>
      <w:r w:rsidR="00C53270">
        <w:rPr>
          <w:szCs w:val="20"/>
        </w:rPr>
        <w:t>brokers</w:t>
      </w:r>
      <w:r w:rsidR="00DD65C1">
        <w:rPr>
          <w:szCs w:val="20"/>
        </w:rPr>
        <w:t>, and electronic markets</w:t>
      </w:r>
      <w:r w:rsidR="00C53270">
        <w:rPr>
          <w:szCs w:val="20"/>
        </w:rPr>
        <w:t>. Merchant wholesalers sell go</w:t>
      </w:r>
      <w:r w:rsidR="00215DE4">
        <w:rPr>
          <w:szCs w:val="20"/>
        </w:rPr>
        <w:t>ods on their own account. This category</w:t>
      </w:r>
      <w:r w:rsidR="00C53270">
        <w:rPr>
          <w:szCs w:val="20"/>
        </w:rPr>
        <w:t xml:space="preserve"> in</w:t>
      </w:r>
      <w:r w:rsidR="008B09AE">
        <w:rPr>
          <w:szCs w:val="20"/>
        </w:rPr>
        <w:t>c</w:t>
      </w:r>
      <w:r w:rsidR="00C53270">
        <w:rPr>
          <w:szCs w:val="20"/>
        </w:rPr>
        <w:t>ludes</w:t>
      </w:r>
      <w:r w:rsidR="008B09AE">
        <w:rPr>
          <w:szCs w:val="20"/>
        </w:rPr>
        <w:t xml:space="preserve"> </w:t>
      </w:r>
      <w:r w:rsidRPr="00384C6F" w:rsidR="007E0795">
        <w:t>sa</w:t>
      </w:r>
      <w:r w:rsidR="008B09AE">
        <w:t>les offices and sales branches (except</w:t>
      </w:r>
      <w:r w:rsidRPr="00384C6F" w:rsidR="007E0795">
        <w:t xml:space="preserve"> retail stores</w:t>
      </w:r>
      <w:r w:rsidR="008B09AE">
        <w:t>)</w:t>
      </w:r>
      <w:r w:rsidRPr="00384C6F" w:rsidR="007E0795">
        <w:t xml:space="preserve"> maintained by manufacturing, refining, or mining enterprises apart from their plants or mines for the purpose of marketing their products</w:t>
      </w:r>
      <w:r w:rsidR="008B09AE">
        <w:t xml:space="preserve">. </w:t>
      </w:r>
      <w:r w:rsidR="00DD65C1">
        <w:t>Agents, brokers, and e</w:t>
      </w:r>
      <w:r w:rsidRPr="00384C6F" w:rsidR="007E0795">
        <w:t xml:space="preserve">lectronic markets, </w:t>
      </w:r>
      <w:r w:rsidR="008B09AE">
        <w:t>on the other hand, arrange sales and</w:t>
      </w:r>
      <w:r w:rsidRPr="00384C6F" w:rsidR="007E0795">
        <w:t xml:space="preserve"> purchases for others </w:t>
      </w:r>
      <w:r w:rsidR="008B09AE">
        <w:t>(</w:t>
      </w:r>
      <w:r w:rsidRPr="00384C6F" w:rsidR="007E0795">
        <w:t>generally for a commission or fee</w:t>
      </w:r>
      <w:r w:rsidR="008B09AE">
        <w:t>)</w:t>
      </w:r>
      <w:r w:rsidRPr="00384C6F" w:rsidR="007E0795">
        <w:t>.</w:t>
      </w:r>
    </w:p>
    <w:p w:rsidRPr="00384C6F" w:rsidR="007E0795" w:rsidP="007E0795" w:rsidRDefault="007E0795">
      <w:pPr>
        <w:tabs>
          <w:tab w:val="left" w:pos="0"/>
          <w:tab w:val="left" w:pos="720"/>
          <w:tab w:val="left" w:pos="1080"/>
          <w:tab w:val="left" w:pos="2160"/>
        </w:tabs>
        <w:ind w:firstLine="720"/>
      </w:pPr>
    </w:p>
    <w:p w:rsidR="00853572" w:rsidP="007E0795" w:rsidRDefault="007E0795">
      <w:pPr>
        <w:tabs>
          <w:tab w:val="left" w:pos="0"/>
          <w:tab w:val="left" w:pos="720"/>
          <w:tab w:val="left" w:pos="1080"/>
          <w:tab w:val="left" w:pos="2160"/>
        </w:tabs>
      </w:pPr>
      <w:r w:rsidRPr="00384C6F">
        <w:t xml:space="preserve">Respondents </w:t>
      </w:r>
      <w:proofErr w:type="gramStart"/>
      <w:r w:rsidRPr="00384C6F">
        <w:t xml:space="preserve">are </w:t>
      </w:r>
      <w:r w:rsidR="00772911">
        <w:t xml:space="preserve">further </w:t>
      </w:r>
      <w:r w:rsidRPr="00384C6F">
        <w:t>separated</w:t>
      </w:r>
      <w:proofErr w:type="gramEnd"/>
      <w:r w:rsidRPr="00384C6F">
        <w:t xml:space="preserve"> into</w:t>
      </w:r>
      <w:r w:rsidR="008B09AE">
        <w:t xml:space="preserve"> the following</w:t>
      </w:r>
      <w:r w:rsidRPr="00384C6F">
        <w:t xml:space="preserve"> three type of operation </w:t>
      </w:r>
      <w:r w:rsidR="00215DE4">
        <w:t>categories: merchant wholesalers</w:t>
      </w:r>
      <w:r w:rsidRPr="00384C6F">
        <w:t>, excluding manufacturers’ sales branches and offices; manufacturers’ sales branches and offices; and agents, brokers, and electronic markets.</w:t>
      </w:r>
      <w:r w:rsidR="00A13DBD">
        <w:t xml:space="preserve"> The firms are </w:t>
      </w:r>
      <w:r w:rsidR="0093358D">
        <w:t xml:space="preserve">instructed to submit </w:t>
      </w:r>
      <w:r w:rsidR="00A13DBD">
        <w:t>their information to the Census Bureau via Centurion</w:t>
      </w:r>
      <w:r w:rsidR="00DD65C1">
        <w:t>, the Census Bureau’s online reporting instrument</w:t>
      </w:r>
      <w:r w:rsidR="00A13DBD">
        <w:t xml:space="preserve">. (Additional details about the electronic reporting process will be covered in the Use of Information Technology section.) </w:t>
      </w:r>
      <w:r w:rsidR="00706CF4">
        <w:t>The AWTS requests data on a variety of topics.</w:t>
      </w:r>
      <w:r w:rsidR="004C09C7">
        <w:t xml:space="preserve"> </w:t>
      </w:r>
      <w:r w:rsidR="00853572">
        <w:t>A firm</w:t>
      </w:r>
      <w:r w:rsidR="004C09C7">
        <w:t xml:space="preserve">’s type of operation classification dictates which particular subset of </w:t>
      </w:r>
      <w:r w:rsidR="001E0C09">
        <w:t xml:space="preserve">data </w:t>
      </w:r>
      <w:r w:rsidR="004C09C7">
        <w:t xml:space="preserve">items </w:t>
      </w:r>
      <w:r w:rsidR="00853572">
        <w:t xml:space="preserve">it will receive. </w:t>
      </w:r>
      <w:r w:rsidR="004C09C7">
        <w:t xml:space="preserve">The </w:t>
      </w:r>
      <w:r w:rsidR="00853572">
        <w:t xml:space="preserve">table below displays the specific questions </w:t>
      </w:r>
      <w:r w:rsidR="001E0C09">
        <w:t xml:space="preserve">for </w:t>
      </w:r>
      <w:r w:rsidR="00853572">
        <w:t>each type</w:t>
      </w:r>
      <w:r w:rsidR="001E0C09">
        <w:t xml:space="preserve"> of operation category</w:t>
      </w:r>
      <w:r w:rsidR="007C0AA3">
        <w:t>. (An “X” indicates that companies with that particular type of operation classification are asked to provide information on that specific item.)</w:t>
      </w:r>
      <w:r w:rsidR="00853572">
        <w:t xml:space="preserve"> </w:t>
      </w:r>
    </w:p>
    <w:p w:rsidR="0001567F" w:rsidP="007E0795" w:rsidRDefault="0001567F">
      <w:pPr>
        <w:tabs>
          <w:tab w:val="left" w:pos="0"/>
          <w:tab w:val="left" w:pos="720"/>
          <w:tab w:val="left" w:pos="1080"/>
          <w:tab w:val="left" w:pos="2160"/>
        </w:tabs>
      </w:pPr>
    </w:p>
    <w:tbl>
      <w:tblPr>
        <w:tblStyle w:val="TableGrid"/>
        <w:tblW w:w="0" w:type="auto"/>
        <w:jc w:val="center"/>
        <w:tblLook w:val="04A0" w:firstRow="1" w:lastRow="0" w:firstColumn="1" w:lastColumn="0" w:noHBand="0" w:noVBand="1"/>
      </w:tblPr>
      <w:tblGrid>
        <w:gridCol w:w="2337"/>
        <w:gridCol w:w="2337"/>
        <w:gridCol w:w="2338"/>
        <w:gridCol w:w="2338"/>
      </w:tblGrid>
      <w:tr w:rsidR="00174903" w:rsidTr="00DD65C1">
        <w:trPr>
          <w:jc w:val="center"/>
        </w:trPr>
        <w:tc>
          <w:tcPr>
            <w:tcW w:w="2337" w:type="dxa"/>
            <w:shd w:val="clear" w:color="auto" w:fill="auto"/>
          </w:tcPr>
          <w:p w:rsidRPr="00174903" w:rsidR="00174903" w:rsidP="007C0AA3" w:rsidRDefault="007C0AA3">
            <w:pPr>
              <w:tabs>
                <w:tab w:val="left" w:pos="0"/>
                <w:tab w:val="left" w:pos="720"/>
                <w:tab w:val="left" w:pos="1080"/>
                <w:tab w:val="left" w:pos="2160"/>
              </w:tabs>
              <w:jc w:val="center"/>
              <w:rPr>
                <w:b/>
              </w:rPr>
            </w:pPr>
            <w:r>
              <w:rPr>
                <w:b/>
              </w:rPr>
              <w:t>Item</w:t>
            </w:r>
          </w:p>
        </w:tc>
        <w:tc>
          <w:tcPr>
            <w:tcW w:w="2337" w:type="dxa"/>
            <w:shd w:val="clear" w:color="auto" w:fill="auto"/>
          </w:tcPr>
          <w:p w:rsidRPr="00174903" w:rsidR="00174903" w:rsidP="007C0AA3" w:rsidRDefault="00174903">
            <w:pPr>
              <w:tabs>
                <w:tab w:val="left" w:pos="0"/>
                <w:tab w:val="left" w:pos="720"/>
                <w:tab w:val="left" w:pos="1080"/>
                <w:tab w:val="left" w:pos="2160"/>
              </w:tabs>
              <w:jc w:val="center"/>
              <w:rPr>
                <w:b/>
              </w:rPr>
            </w:pPr>
            <w:r w:rsidRPr="00174903">
              <w:rPr>
                <w:b/>
              </w:rPr>
              <w:t>Merchant wholesalers, excluding manufacturers’ sales branches and offices</w:t>
            </w:r>
            <w:r w:rsidR="003F3308">
              <w:rPr>
                <w:b/>
              </w:rPr>
              <w:t xml:space="preserve"> (SA-42A)</w:t>
            </w:r>
          </w:p>
        </w:tc>
        <w:tc>
          <w:tcPr>
            <w:tcW w:w="2338" w:type="dxa"/>
            <w:shd w:val="clear" w:color="auto" w:fill="auto"/>
          </w:tcPr>
          <w:p w:rsidRPr="00174903" w:rsidR="00174903" w:rsidP="007C0AA3" w:rsidRDefault="00174903">
            <w:pPr>
              <w:tabs>
                <w:tab w:val="left" w:pos="0"/>
                <w:tab w:val="left" w:pos="720"/>
                <w:tab w:val="left" w:pos="1080"/>
                <w:tab w:val="left" w:pos="2160"/>
              </w:tabs>
              <w:jc w:val="center"/>
              <w:rPr>
                <w:b/>
              </w:rPr>
            </w:pPr>
            <w:r w:rsidRPr="00174903">
              <w:rPr>
                <w:b/>
              </w:rPr>
              <w:t>Manufacturers’ sales branches and offices</w:t>
            </w:r>
            <w:r w:rsidR="003F3308">
              <w:rPr>
                <w:b/>
              </w:rPr>
              <w:t xml:space="preserve"> (</w:t>
            </w:r>
            <w:r w:rsidRPr="003F3308" w:rsidR="003F3308">
              <w:rPr>
                <w:b/>
                <w:szCs w:val="20"/>
              </w:rPr>
              <w:t>SA-42A-MSBO)</w:t>
            </w:r>
          </w:p>
        </w:tc>
        <w:tc>
          <w:tcPr>
            <w:tcW w:w="2338" w:type="dxa"/>
            <w:shd w:val="clear" w:color="auto" w:fill="auto"/>
          </w:tcPr>
          <w:p w:rsidRPr="00174903" w:rsidR="00174903" w:rsidP="007C0AA3" w:rsidRDefault="00174903">
            <w:pPr>
              <w:tabs>
                <w:tab w:val="left" w:pos="0"/>
                <w:tab w:val="left" w:pos="720"/>
                <w:tab w:val="left" w:pos="1080"/>
                <w:tab w:val="left" w:pos="2160"/>
              </w:tabs>
              <w:jc w:val="center"/>
              <w:rPr>
                <w:b/>
              </w:rPr>
            </w:pPr>
            <w:r w:rsidRPr="00174903">
              <w:rPr>
                <w:b/>
              </w:rPr>
              <w:t>Agents, brokers, and electronic markets</w:t>
            </w:r>
            <w:r w:rsidRPr="003F3308" w:rsidR="003F3308">
              <w:rPr>
                <w:b/>
              </w:rPr>
              <w:t xml:space="preserve"> (</w:t>
            </w:r>
            <w:r w:rsidRPr="003F3308" w:rsidR="003F3308">
              <w:rPr>
                <w:b/>
                <w:szCs w:val="20"/>
              </w:rPr>
              <w:t>SA-42A-AGBR</w:t>
            </w:r>
            <w:r w:rsidRPr="003F3308" w:rsidR="003F3308">
              <w:rPr>
                <w:b/>
              </w:rPr>
              <w:t>)</w:t>
            </w:r>
          </w:p>
        </w:tc>
      </w:tr>
      <w:tr w:rsidR="00174903" w:rsidTr="007C0AA3">
        <w:trPr>
          <w:jc w:val="center"/>
        </w:trPr>
        <w:tc>
          <w:tcPr>
            <w:tcW w:w="2337" w:type="dxa"/>
          </w:tcPr>
          <w:p w:rsidR="00174903" w:rsidP="007E0795" w:rsidRDefault="00174903">
            <w:pPr>
              <w:tabs>
                <w:tab w:val="left" w:pos="0"/>
                <w:tab w:val="left" w:pos="720"/>
                <w:tab w:val="left" w:pos="1080"/>
                <w:tab w:val="left" w:pos="2160"/>
              </w:tabs>
            </w:pPr>
            <w:r>
              <w:t>Organizational Change</w:t>
            </w:r>
          </w:p>
        </w:tc>
        <w:tc>
          <w:tcPr>
            <w:tcW w:w="2337" w:type="dxa"/>
            <w:vAlign w:val="center"/>
          </w:tcPr>
          <w:p w:rsidR="00174903" w:rsidP="007C0AA3" w:rsidRDefault="00174903">
            <w:pPr>
              <w:tabs>
                <w:tab w:val="left" w:pos="0"/>
                <w:tab w:val="left" w:pos="720"/>
                <w:tab w:val="left" w:pos="1080"/>
                <w:tab w:val="left" w:pos="2160"/>
              </w:tabs>
              <w:jc w:val="center"/>
            </w:pPr>
            <w:r>
              <w:t>X</w:t>
            </w:r>
          </w:p>
        </w:tc>
        <w:tc>
          <w:tcPr>
            <w:tcW w:w="2338" w:type="dxa"/>
            <w:vAlign w:val="center"/>
          </w:tcPr>
          <w:p w:rsidR="00174903" w:rsidP="007C0AA3" w:rsidRDefault="00174903">
            <w:pPr>
              <w:tabs>
                <w:tab w:val="left" w:pos="0"/>
                <w:tab w:val="left" w:pos="720"/>
                <w:tab w:val="left" w:pos="1080"/>
                <w:tab w:val="left" w:pos="2160"/>
              </w:tabs>
              <w:jc w:val="center"/>
            </w:pPr>
            <w:r>
              <w:t>X</w:t>
            </w:r>
          </w:p>
        </w:tc>
        <w:tc>
          <w:tcPr>
            <w:tcW w:w="2338" w:type="dxa"/>
            <w:vAlign w:val="center"/>
          </w:tcPr>
          <w:p w:rsidR="00174903" w:rsidP="007C0AA3" w:rsidRDefault="00174903">
            <w:pPr>
              <w:tabs>
                <w:tab w:val="left" w:pos="0"/>
                <w:tab w:val="left" w:pos="720"/>
                <w:tab w:val="left" w:pos="1080"/>
                <w:tab w:val="left" w:pos="2160"/>
              </w:tabs>
              <w:jc w:val="center"/>
            </w:pPr>
            <w:r>
              <w:t>X</w:t>
            </w:r>
          </w:p>
        </w:tc>
      </w:tr>
      <w:tr w:rsidR="00174903" w:rsidTr="007C0AA3">
        <w:trPr>
          <w:jc w:val="center"/>
        </w:trPr>
        <w:tc>
          <w:tcPr>
            <w:tcW w:w="2337" w:type="dxa"/>
          </w:tcPr>
          <w:p w:rsidR="00174903" w:rsidP="007E0795" w:rsidRDefault="00174903">
            <w:pPr>
              <w:tabs>
                <w:tab w:val="left" w:pos="0"/>
                <w:tab w:val="left" w:pos="720"/>
                <w:tab w:val="left" w:pos="1080"/>
                <w:tab w:val="left" w:pos="2160"/>
              </w:tabs>
            </w:pPr>
            <w:r>
              <w:t xml:space="preserve">Reporting Period </w:t>
            </w:r>
          </w:p>
        </w:tc>
        <w:tc>
          <w:tcPr>
            <w:tcW w:w="2337" w:type="dxa"/>
            <w:vAlign w:val="center"/>
          </w:tcPr>
          <w:p w:rsidR="00174903" w:rsidP="007C0AA3" w:rsidRDefault="00174903">
            <w:pPr>
              <w:tabs>
                <w:tab w:val="left" w:pos="0"/>
                <w:tab w:val="left" w:pos="720"/>
                <w:tab w:val="left" w:pos="1080"/>
                <w:tab w:val="left" w:pos="2160"/>
              </w:tabs>
              <w:jc w:val="center"/>
            </w:pPr>
            <w:r>
              <w:t>X</w:t>
            </w:r>
          </w:p>
        </w:tc>
        <w:tc>
          <w:tcPr>
            <w:tcW w:w="2338" w:type="dxa"/>
            <w:vAlign w:val="center"/>
          </w:tcPr>
          <w:p w:rsidR="00174903" w:rsidP="007C0AA3" w:rsidRDefault="00174903">
            <w:pPr>
              <w:tabs>
                <w:tab w:val="left" w:pos="0"/>
                <w:tab w:val="left" w:pos="720"/>
                <w:tab w:val="left" w:pos="1080"/>
                <w:tab w:val="left" w:pos="2160"/>
              </w:tabs>
              <w:jc w:val="center"/>
            </w:pPr>
            <w:r>
              <w:t>X</w:t>
            </w:r>
          </w:p>
        </w:tc>
        <w:tc>
          <w:tcPr>
            <w:tcW w:w="2338" w:type="dxa"/>
            <w:vAlign w:val="center"/>
          </w:tcPr>
          <w:p w:rsidR="00174903" w:rsidP="007C0AA3" w:rsidRDefault="00174903">
            <w:pPr>
              <w:tabs>
                <w:tab w:val="left" w:pos="0"/>
                <w:tab w:val="left" w:pos="720"/>
                <w:tab w:val="left" w:pos="1080"/>
                <w:tab w:val="left" w:pos="2160"/>
              </w:tabs>
              <w:jc w:val="center"/>
            </w:pPr>
            <w:r>
              <w:t>X</w:t>
            </w:r>
          </w:p>
        </w:tc>
      </w:tr>
      <w:tr w:rsidR="00174903" w:rsidTr="007C0AA3">
        <w:trPr>
          <w:jc w:val="center"/>
        </w:trPr>
        <w:tc>
          <w:tcPr>
            <w:tcW w:w="2337" w:type="dxa"/>
          </w:tcPr>
          <w:p w:rsidR="00174903" w:rsidP="007E0795" w:rsidRDefault="00174903">
            <w:pPr>
              <w:tabs>
                <w:tab w:val="left" w:pos="0"/>
                <w:tab w:val="left" w:pos="720"/>
                <w:tab w:val="left" w:pos="1080"/>
                <w:tab w:val="left" w:pos="2160"/>
              </w:tabs>
            </w:pPr>
            <w:r>
              <w:t>Number of Establishments</w:t>
            </w:r>
          </w:p>
        </w:tc>
        <w:tc>
          <w:tcPr>
            <w:tcW w:w="2337" w:type="dxa"/>
            <w:vAlign w:val="center"/>
          </w:tcPr>
          <w:p w:rsidR="00174903" w:rsidP="007C0AA3" w:rsidRDefault="00174903">
            <w:pPr>
              <w:tabs>
                <w:tab w:val="left" w:pos="0"/>
                <w:tab w:val="left" w:pos="720"/>
                <w:tab w:val="left" w:pos="1080"/>
                <w:tab w:val="left" w:pos="2160"/>
              </w:tabs>
              <w:jc w:val="center"/>
            </w:pPr>
            <w:r>
              <w:t>X</w:t>
            </w:r>
          </w:p>
        </w:tc>
        <w:tc>
          <w:tcPr>
            <w:tcW w:w="2338" w:type="dxa"/>
            <w:vAlign w:val="center"/>
          </w:tcPr>
          <w:p w:rsidR="00174903" w:rsidP="007C0AA3" w:rsidRDefault="00174903">
            <w:pPr>
              <w:tabs>
                <w:tab w:val="left" w:pos="0"/>
                <w:tab w:val="left" w:pos="720"/>
                <w:tab w:val="left" w:pos="1080"/>
                <w:tab w:val="left" w:pos="2160"/>
              </w:tabs>
              <w:jc w:val="center"/>
            </w:pPr>
            <w:r>
              <w:t>X</w:t>
            </w:r>
          </w:p>
        </w:tc>
        <w:tc>
          <w:tcPr>
            <w:tcW w:w="2338" w:type="dxa"/>
            <w:vAlign w:val="center"/>
          </w:tcPr>
          <w:p w:rsidR="00174903" w:rsidP="007C0AA3" w:rsidRDefault="00174903">
            <w:pPr>
              <w:tabs>
                <w:tab w:val="left" w:pos="0"/>
                <w:tab w:val="left" w:pos="720"/>
                <w:tab w:val="left" w:pos="1080"/>
                <w:tab w:val="left" w:pos="2160"/>
              </w:tabs>
              <w:jc w:val="center"/>
            </w:pPr>
            <w:r>
              <w:t>X</w:t>
            </w:r>
          </w:p>
        </w:tc>
      </w:tr>
      <w:tr w:rsidR="00174903" w:rsidTr="007C0AA3">
        <w:trPr>
          <w:jc w:val="center"/>
        </w:trPr>
        <w:tc>
          <w:tcPr>
            <w:tcW w:w="2337" w:type="dxa"/>
          </w:tcPr>
          <w:p w:rsidR="00174903" w:rsidP="007E0795" w:rsidRDefault="00034615">
            <w:pPr>
              <w:tabs>
                <w:tab w:val="left" w:pos="0"/>
                <w:tab w:val="left" w:pos="720"/>
                <w:tab w:val="left" w:pos="1080"/>
                <w:tab w:val="left" w:pos="2160"/>
              </w:tabs>
            </w:pPr>
            <w:r>
              <w:t xml:space="preserve">Annual </w:t>
            </w:r>
            <w:r w:rsidR="00174903">
              <w:t>Sales</w:t>
            </w:r>
          </w:p>
        </w:tc>
        <w:tc>
          <w:tcPr>
            <w:tcW w:w="2337" w:type="dxa"/>
            <w:vAlign w:val="center"/>
          </w:tcPr>
          <w:p w:rsidR="00174903" w:rsidP="007C0AA3" w:rsidRDefault="00174903">
            <w:pPr>
              <w:tabs>
                <w:tab w:val="left" w:pos="0"/>
                <w:tab w:val="left" w:pos="720"/>
                <w:tab w:val="left" w:pos="1080"/>
                <w:tab w:val="left" w:pos="2160"/>
              </w:tabs>
              <w:jc w:val="center"/>
            </w:pPr>
            <w:r>
              <w:t>X</w:t>
            </w:r>
          </w:p>
        </w:tc>
        <w:tc>
          <w:tcPr>
            <w:tcW w:w="2338" w:type="dxa"/>
            <w:vAlign w:val="center"/>
          </w:tcPr>
          <w:p w:rsidR="00174903" w:rsidP="007C0AA3" w:rsidRDefault="00174903">
            <w:pPr>
              <w:tabs>
                <w:tab w:val="left" w:pos="0"/>
                <w:tab w:val="left" w:pos="720"/>
                <w:tab w:val="left" w:pos="1080"/>
                <w:tab w:val="left" w:pos="2160"/>
              </w:tabs>
              <w:jc w:val="center"/>
            </w:pPr>
            <w:r>
              <w:t>X</w:t>
            </w:r>
          </w:p>
        </w:tc>
        <w:tc>
          <w:tcPr>
            <w:tcW w:w="2338" w:type="dxa"/>
            <w:vAlign w:val="center"/>
          </w:tcPr>
          <w:p w:rsidR="00174903" w:rsidP="007C0AA3" w:rsidRDefault="00174903">
            <w:pPr>
              <w:tabs>
                <w:tab w:val="left" w:pos="0"/>
                <w:tab w:val="left" w:pos="720"/>
                <w:tab w:val="left" w:pos="1080"/>
                <w:tab w:val="left" w:pos="2160"/>
              </w:tabs>
              <w:jc w:val="center"/>
            </w:pPr>
            <w:r>
              <w:t>X</w:t>
            </w:r>
          </w:p>
        </w:tc>
      </w:tr>
      <w:tr w:rsidR="005130F3" w:rsidTr="007C0AA3">
        <w:trPr>
          <w:jc w:val="center"/>
        </w:trPr>
        <w:tc>
          <w:tcPr>
            <w:tcW w:w="2337" w:type="dxa"/>
          </w:tcPr>
          <w:p w:rsidR="005130F3" w:rsidP="005130F3" w:rsidRDefault="0001567F">
            <w:pPr>
              <w:tabs>
                <w:tab w:val="left" w:pos="0"/>
                <w:tab w:val="left" w:pos="720"/>
                <w:tab w:val="left" w:pos="1080"/>
                <w:tab w:val="left" w:pos="2160"/>
              </w:tabs>
            </w:pPr>
            <w:r>
              <w:t xml:space="preserve">Annual </w:t>
            </w:r>
            <w:r w:rsidR="005130F3">
              <w:t>Sales on Own Account</w:t>
            </w:r>
          </w:p>
        </w:tc>
        <w:tc>
          <w:tcPr>
            <w:tcW w:w="2337" w:type="dxa"/>
            <w:vAlign w:val="center"/>
          </w:tcPr>
          <w:p w:rsidR="005130F3" w:rsidP="007C0AA3" w:rsidRDefault="005130F3">
            <w:pPr>
              <w:tabs>
                <w:tab w:val="left" w:pos="0"/>
                <w:tab w:val="left" w:pos="720"/>
                <w:tab w:val="left" w:pos="1080"/>
                <w:tab w:val="left" w:pos="2160"/>
              </w:tabs>
              <w:jc w:val="center"/>
            </w:pPr>
          </w:p>
        </w:tc>
        <w:tc>
          <w:tcPr>
            <w:tcW w:w="2338" w:type="dxa"/>
            <w:vAlign w:val="center"/>
          </w:tcPr>
          <w:p w:rsidR="005130F3" w:rsidP="007C0AA3" w:rsidRDefault="005130F3">
            <w:pPr>
              <w:tabs>
                <w:tab w:val="left" w:pos="0"/>
                <w:tab w:val="left" w:pos="720"/>
                <w:tab w:val="left" w:pos="1080"/>
                <w:tab w:val="left" w:pos="2160"/>
              </w:tabs>
              <w:jc w:val="center"/>
            </w:pPr>
          </w:p>
        </w:tc>
        <w:tc>
          <w:tcPr>
            <w:tcW w:w="2338" w:type="dxa"/>
            <w:vAlign w:val="center"/>
          </w:tcPr>
          <w:p w:rsidR="005130F3" w:rsidP="007C0AA3" w:rsidRDefault="0001567F">
            <w:pPr>
              <w:tabs>
                <w:tab w:val="left" w:pos="0"/>
                <w:tab w:val="left" w:pos="720"/>
                <w:tab w:val="left" w:pos="1080"/>
                <w:tab w:val="left" w:pos="2160"/>
              </w:tabs>
              <w:jc w:val="center"/>
            </w:pPr>
            <w:r>
              <w:t>X</w:t>
            </w:r>
          </w:p>
        </w:tc>
      </w:tr>
      <w:tr w:rsidR="005130F3" w:rsidTr="007C0AA3">
        <w:trPr>
          <w:jc w:val="center"/>
        </w:trPr>
        <w:tc>
          <w:tcPr>
            <w:tcW w:w="2337" w:type="dxa"/>
          </w:tcPr>
          <w:p w:rsidR="005130F3" w:rsidP="007E0795" w:rsidRDefault="0001567F">
            <w:pPr>
              <w:tabs>
                <w:tab w:val="left" w:pos="0"/>
                <w:tab w:val="left" w:pos="720"/>
                <w:tab w:val="left" w:pos="1080"/>
                <w:tab w:val="left" w:pos="2160"/>
              </w:tabs>
            </w:pPr>
            <w:r>
              <w:lastRenderedPageBreak/>
              <w:t>Annual Sales Made on the Account of Others</w:t>
            </w:r>
          </w:p>
        </w:tc>
        <w:tc>
          <w:tcPr>
            <w:tcW w:w="2337" w:type="dxa"/>
            <w:vAlign w:val="center"/>
          </w:tcPr>
          <w:p w:rsidR="005130F3" w:rsidP="007C0AA3" w:rsidRDefault="005130F3">
            <w:pPr>
              <w:tabs>
                <w:tab w:val="left" w:pos="0"/>
                <w:tab w:val="left" w:pos="720"/>
                <w:tab w:val="left" w:pos="1080"/>
                <w:tab w:val="left" w:pos="2160"/>
              </w:tabs>
              <w:jc w:val="center"/>
            </w:pPr>
          </w:p>
        </w:tc>
        <w:tc>
          <w:tcPr>
            <w:tcW w:w="2338" w:type="dxa"/>
            <w:vAlign w:val="center"/>
          </w:tcPr>
          <w:p w:rsidR="005130F3" w:rsidP="007C0AA3" w:rsidRDefault="005130F3">
            <w:pPr>
              <w:tabs>
                <w:tab w:val="left" w:pos="0"/>
                <w:tab w:val="left" w:pos="720"/>
                <w:tab w:val="left" w:pos="1080"/>
                <w:tab w:val="left" w:pos="2160"/>
              </w:tabs>
              <w:jc w:val="center"/>
            </w:pPr>
          </w:p>
        </w:tc>
        <w:tc>
          <w:tcPr>
            <w:tcW w:w="2338" w:type="dxa"/>
            <w:vAlign w:val="center"/>
          </w:tcPr>
          <w:p w:rsidR="005130F3" w:rsidP="007C0AA3" w:rsidRDefault="0001567F">
            <w:pPr>
              <w:tabs>
                <w:tab w:val="left" w:pos="0"/>
                <w:tab w:val="left" w:pos="720"/>
                <w:tab w:val="left" w:pos="1080"/>
                <w:tab w:val="left" w:pos="2160"/>
              </w:tabs>
              <w:jc w:val="center"/>
            </w:pPr>
            <w:r>
              <w:t>X</w:t>
            </w:r>
          </w:p>
        </w:tc>
      </w:tr>
      <w:tr w:rsidR="005130F3" w:rsidTr="007C0AA3">
        <w:trPr>
          <w:jc w:val="center"/>
        </w:trPr>
        <w:tc>
          <w:tcPr>
            <w:tcW w:w="2337" w:type="dxa"/>
          </w:tcPr>
          <w:p w:rsidR="005130F3" w:rsidP="007E0795" w:rsidRDefault="0001567F">
            <w:pPr>
              <w:tabs>
                <w:tab w:val="left" w:pos="0"/>
                <w:tab w:val="left" w:pos="720"/>
                <w:tab w:val="left" w:pos="1080"/>
                <w:tab w:val="left" w:pos="2160"/>
              </w:tabs>
            </w:pPr>
            <w:r>
              <w:t>Annual Commissions</w:t>
            </w:r>
          </w:p>
        </w:tc>
        <w:tc>
          <w:tcPr>
            <w:tcW w:w="2337" w:type="dxa"/>
            <w:vAlign w:val="center"/>
          </w:tcPr>
          <w:p w:rsidR="005130F3" w:rsidP="007C0AA3" w:rsidRDefault="005130F3">
            <w:pPr>
              <w:tabs>
                <w:tab w:val="left" w:pos="0"/>
                <w:tab w:val="left" w:pos="720"/>
                <w:tab w:val="left" w:pos="1080"/>
                <w:tab w:val="left" w:pos="2160"/>
              </w:tabs>
              <w:jc w:val="center"/>
            </w:pPr>
          </w:p>
        </w:tc>
        <w:tc>
          <w:tcPr>
            <w:tcW w:w="2338" w:type="dxa"/>
            <w:vAlign w:val="center"/>
          </w:tcPr>
          <w:p w:rsidR="005130F3" w:rsidP="007C0AA3" w:rsidRDefault="005130F3">
            <w:pPr>
              <w:tabs>
                <w:tab w:val="left" w:pos="0"/>
                <w:tab w:val="left" w:pos="720"/>
                <w:tab w:val="left" w:pos="1080"/>
                <w:tab w:val="left" w:pos="2160"/>
              </w:tabs>
              <w:jc w:val="center"/>
            </w:pPr>
          </w:p>
        </w:tc>
        <w:tc>
          <w:tcPr>
            <w:tcW w:w="2338" w:type="dxa"/>
            <w:vAlign w:val="center"/>
          </w:tcPr>
          <w:p w:rsidR="005130F3" w:rsidP="007C0AA3" w:rsidRDefault="0001567F">
            <w:pPr>
              <w:tabs>
                <w:tab w:val="left" w:pos="0"/>
                <w:tab w:val="left" w:pos="720"/>
                <w:tab w:val="left" w:pos="1080"/>
                <w:tab w:val="left" w:pos="2160"/>
              </w:tabs>
              <w:jc w:val="center"/>
            </w:pPr>
            <w:r>
              <w:t>X</w:t>
            </w:r>
          </w:p>
        </w:tc>
      </w:tr>
      <w:tr w:rsidR="00174903" w:rsidTr="007C0AA3">
        <w:trPr>
          <w:jc w:val="center"/>
        </w:trPr>
        <w:tc>
          <w:tcPr>
            <w:tcW w:w="2337" w:type="dxa"/>
          </w:tcPr>
          <w:p w:rsidR="00174903" w:rsidP="007E0795" w:rsidRDefault="00034615">
            <w:pPr>
              <w:tabs>
                <w:tab w:val="left" w:pos="0"/>
                <w:tab w:val="left" w:pos="720"/>
                <w:tab w:val="left" w:pos="1080"/>
                <w:tab w:val="left" w:pos="2160"/>
              </w:tabs>
            </w:pPr>
            <w:r>
              <w:t xml:space="preserve">Annual </w:t>
            </w:r>
            <w:r w:rsidR="00174903">
              <w:t>E-commerce</w:t>
            </w:r>
            <w:r>
              <w:t xml:space="preserve"> Sales</w:t>
            </w:r>
          </w:p>
        </w:tc>
        <w:tc>
          <w:tcPr>
            <w:tcW w:w="2337" w:type="dxa"/>
            <w:vAlign w:val="center"/>
          </w:tcPr>
          <w:p w:rsidR="00174903" w:rsidP="007C0AA3" w:rsidRDefault="00174903">
            <w:pPr>
              <w:tabs>
                <w:tab w:val="left" w:pos="0"/>
                <w:tab w:val="left" w:pos="720"/>
                <w:tab w:val="left" w:pos="1080"/>
                <w:tab w:val="left" w:pos="2160"/>
              </w:tabs>
              <w:jc w:val="center"/>
            </w:pPr>
            <w:r>
              <w:t>X</w:t>
            </w:r>
          </w:p>
        </w:tc>
        <w:tc>
          <w:tcPr>
            <w:tcW w:w="2338" w:type="dxa"/>
            <w:vAlign w:val="center"/>
          </w:tcPr>
          <w:p w:rsidR="00174903" w:rsidP="007C0AA3" w:rsidRDefault="00174903">
            <w:pPr>
              <w:tabs>
                <w:tab w:val="left" w:pos="0"/>
                <w:tab w:val="left" w:pos="720"/>
                <w:tab w:val="left" w:pos="1080"/>
                <w:tab w:val="left" w:pos="2160"/>
              </w:tabs>
              <w:jc w:val="center"/>
            </w:pPr>
            <w:r>
              <w:t>X</w:t>
            </w:r>
          </w:p>
        </w:tc>
        <w:tc>
          <w:tcPr>
            <w:tcW w:w="2338" w:type="dxa"/>
            <w:vAlign w:val="center"/>
          </w:tcPr>
          <w:p w:rsidR="00174903" w:rsidP="007C0AA3" w:rsidRDefault="00174903">
            <w:pPr>
              <w:tabs>
                <w:tab w:val="left" w:pos="0"/>
                <w:tab w:val="left" w:pos="720"/>
                <w:tab w:val="left" w:pos="1080"/>
                <w:tab w:val="left" w:pos="2160"/>
              </w:tabs>
              <w:jc w:val="center"/>
            </w:pPr>
            <w:r>
              <w:t>X</w:t>
            </w:r>
          </w:p>
        </w:tc>
      </w:tr>
      <w:tr w:rsidR="00174903" w:rsidTr="007C0AA3">
        <w:trPr>
          <w:jc w:val="center"/>
        </w:trPr>
        <w:tc>
          <w:tcPr>
            <w:tcW w:w="2337" w:type="dxa"/>
          </w:tcPr>
          <w:p w:rsidR="00174903" w:rsidP="007E0795" w:rsidRDefault="00174903">
            <w:pPr>
              <w:tabs>
                <w:tab w:val="left" w:pos="0"/>
                <w:tab w:val="left" w:pos="720"/>
                <w:tab w:val="left" w:pos="1080"/>
                <w:tab w:val="left" w:pos="2160"/>
              </w:tabs>
            </w:pPr>
            <w:r>
              <w:t xml:space="preserve">Value of </w:t>
            </w:r>
            <w:r w:rsidR="00034615">
              <w:t xml:space="preserve">End-of-Year </w:t>
            </w:r>
            <w:r>
              <w:t>Inventories</w:t>
            </w:r>
            <w:r w:rsidR="00034615">
              <w:t xml:space="preserve"> (Held Inside or Outside of the United States)</w:t>
            </w:r>
          </w:p>
        </w:tc>
        <w:tc>
          <w:tcPr>
            <w:tcW w:w="2337" w:type="dxa"/>
            <w:vAlign w:val="center"/>
          </w:tcPr>
          <w:p w:rsidR="00174903" w:rsidP="007C0AA3" w:rsidRDefault="00174903">
            <w:pPr>
              <w:tabs>
                <w:tab w:val="left" w:pos="0"/>
                <w:tab w:val="left" w:pos="720"/>
                <w:tab w:val="left" w:pos="1080"/>
                <w:tab w:val="left" w:pos="2160"/>
              </w:tabs>
              <w:jc w:val="center"/>
            </w:pPr>
            <w:r>
              <w:t>X</w:t>
            </w:r>
          </w:p>
        </w:tc>
        <w:tc>
          <w:tcPr>
            <w:tcW w:w="2338" w:type="dxa"/>
            <w:vAlign w:val="center"/>
          </w:tcPr>
          <w:p w:rsidR="00174903" w:rsidP="007C0AA3" w:rsidRDefault="00174903">
            <w:pPr>
              <w:tabs>
                <w:tab w:val="left" w:pos="0"/>
                <w:tab w:val="left" w:pos="720"/>
                <w:tab w:val="left" w:pos="1080"/>
                <w:tab w:val="left" w:pos="2160"/>
              </w:tabs>
              <w:jc w:val="center"/>
            </w:pPr>
            <w:r>
              <w:t>X</w:t>
            </w:r>
          </w:p>
        </w:tc>
        <w:tc>
          <w:tcPr>
            <w:tcW w:w="2338" w:type="dxa"/>
            <w:vAlign w:val="center"/>
          </w:tcPr>
          <w:p w:rsidR="00174903" w:rsidP="007C0AA3" w:rsidRDefault="00174903">
            <w:pPr>
              <w:tabs>
                <w:tab w:val="left" w:pos="0"/>
                <w:tab w:val="left" w:pos="720"/>
                <w:tab w:val="left" w:pos="1080"/>
                <w:tab w:val="left" w:pos="2160"/>
              </w:tabs>
              <w:jc w:val="center"/>
            </w:pPr>
          </w:p>
        </w:tc>
      </w:tr>
      <w:tr w:rsidR="00174903" w:rsidTr="007C0AA3">
        <w:trPr>
          <w:jc w:val="center"/>
        </w:trPr>
        <w:tc>
          <w:tcPr>
            <w:tcW w:w="2337" w:type="dxa"/>
          </w:tcPr>
          <w:p w:rsidR="00174903" w:rsidP="007E0795" w:rsidRDefault="00174903">
            <w:pPr>
              <w:tabs>
                <w:tab w:val="left" w:pos="0"/>
                <w:tab w:val="left" w:pos="720"/>
                <w:tab w:val="left" w:pos="1080"/>
                <w:tab w:val="left" w:pos="2160"/>
              </w:tabs>
            </w:pPr>
            <w:r>
              <w:t>Inventory Valuation Method</w:t>
            </w:r>
          </w:p>
        </w:tc>
        <w:tc>
          <w:tcPr>
            <w:tcW w:w="2337" w:type="dxa"/>
            <w:vAlign w:val="center"/>
          </w:tcPr>
          <w:p w:rsidR="00174903" w:rsidP="007C0AA3" w:rsidRDefault="00174903">
            <w:pPr>
              <w:tabs>
                <w:tab w:val="left" w:pos="0"/>
                <w:tab w:val="left" w:pos="720"/>
                <w:tab w:val="left" w:pos="1080"/>
                <w:tab w:val="left" w:pos="2160"/>
              </w:tabs>
              <w:jc w:val="center"/>
            </w:pPr>
            <w:r>
              <w:t>X</w:t>
            </w:r>
          </w:p>
        </w:tc>
        <w:tc>
          <w:tcPr>
            <w:tcW w:w="2338" w:type="dxa"/>
            <w:vAlign w:val="center"/>
          </w:tcPr>
          <w:p w:rsidR="00174903" w:rsidP="007C0AA3" w:rsidRDefault="00174903">
            <w:pPr>
              <w:tabs>
                <w:tab w:val="left" w:pos="0"/>
                <w:tab w:val="left" w:pos="720"/>
                <w:tab w:val="left" w:pos="1080"/>
                <w:tab w:val="left" w:pos="2160"/>
              </w:tabs>
              <w:jc w:val="center"/>
            </w:pPr>
            <w:r>
              <w:t>X</w:t>
            </w:r>
          </w:p>
        </w:tc>
        <w:tc>
          <w:tcPr>
            <w:tcW w:w="2338" w:type="dxa"/>
            <w:vAlign w:val="center"/>
          </w:tcPr>
          <w:p w:rsidR="00174903" w:rsidP="007C0AA3" w:rsidRDefault="00174903">
            <w:pPr>
              <w:tabs>
                <w:tab w:val="left" w:pos="0"/>
                <w:tab w:val="left" w:pos="720"/>
                <w:tab w:val="left" w:pos="1080"/>
                <w:tab w:val="left" w:pos="2160"/>
              </w:tabs>
              <w:jc w:val="center"/>
            </w:pPr>
          </w:p>
        </w:tc>
      </w:tr>
      <w:tr w:rsidR="00174903" w:rsidTr="007C0AA3">
        <w:trPr>
          <w:jc w:val="center"/>
        </w:trPr>
        <w:tc>
          <w:tcPr>
            <w:tcW w:w="2337" w:type="dxa"/>
          </w:tcPr>
          <w:p w:rsidR="00174903" w:rsidP="007E0795" w:rsidRDefault="00034615">
            <w:pPr>
              <w:tabs>
                <w:tab w:val="left" w:pos="0"/>
                <w:tab w:val="left" w:pos="720"/>
                <w:tab w:val="left" w:pos="1080"/>
                <w:tab w:val="left" w:pos="2160"/>
              </w:tabs>
            </w:pPr>
            <w:r>
              <w:t xml:space="preserve">Annual </w:t>
            </w:r>
            <w:r w:rsidR="00174903">
              <w:t>Purchases of Products</w:t>
            </w:r>
          </w:p>
        </w:tc>
        <w:tc>
          <w:tcPr>
            <w:tcW w:w="2337" w:type="dxa"/>
            <w:vAlign w:val="center"/>
          </w:tcPr>
          <w:p w:rsidR="00174903" w:rsidP="007C0AA3" w:rsidRDefault="00174903">
            <w:pPr>
              <w:tabs>
                <w:tab w:val="left" w:pos="0"/>
                <w:tab w:val="left" w:pos="720"/>
                <w:tab w:val="left" w:pos="1080"/>
                <w:tab w:val="left" w:pos="2160"/>
              </w:tabs>
              <w:jc w:val="center"/>
            </w:pPr>
            <w:r>
              <w:t>X</w:t>
            </w:r>
          </w:p>
        </w:tc>
        <w:tc>
          <w:tcPr>
            <w:tcW w:w="2338" w:type="dxa"/>
            <w:vAlign w:val="center"/>
          </w:tcPr>
          <w:p w:rsidR="00174903" w:rsidP="007C0AA3" w:rsidRDefault="00174903">
            <w:pPr>
              <w:tabs>
                <w:tab w:val="left" w:pos="0"/>
                <w:tab w:val="left" w:pos="720"/>
                <w:tab w:val="left" w:pos="1080"/>
                <w:tab w:val="left" w:pos="2160"/>
              </w:tabs>
              <w:jc w:val="center"/>
            </w:pPr>
          </w:p>
        </w:tc>
        <w:tc>
          <w:tcPr>
            <w:tcW w:w="2338" w:type="dxa"/>
            <w:vAlign w:val="center"/>
          </w:tcPr>
          <w:p w:rsidR="00174903" w:rsidP="007C0AA3" w:rsidRDefault="00174903">
            <w:pPr>
              <w:tabs>
                <w:tab w:val="left" w:pos="0"/>
                <w:tab w:val="left" w:pos="720"/>
                <w:tab w:val="left" w:pos="1080"/>
                <w:tab w:val="left" w:pos="2160"/>
              </w:tabs>
              <w:jc w:val="center"/>
            </w:pPr>
            <w:r>
              <w:t>X</w:t>
            </w:r>
          </w:p>
        </w:tc>
      </w:tr>
      <w:tr w:rsidR="00174903" w:rsidTr="007C0AA3">
        <w:trPr>
          <w:jc w:val="center"/>
        </w:trPr>
        <w:tc>
          <w:tcPr>
            <w:tcW w:w="2337" w:type="dxa"/>
          </w:tcPr>
          <w:p w:rsidR="00174903" w:rsidP="007E0795" w:rsidRDefault="00034615">
            <w:pPr>
              <w:tabs>
                <w:tab w:val="left" w:pos="0"/>
                <w:tab w:val="left" w:pos="720"/>
                <w:tab w:val="left" w:pos="1080"/>
                <w:tab w:val="left" w:pos="2160"/>
              </w:tabs>
            </w:pPr>
            <w:r>
              <w:t xml:space="preserve">Annual </w:t>
            </w:r>
            <w:r w:rsidR="00174903">
              <w:t xml:space="preserve">Operating Expenses </w:t>
            </w:r>
          </w:p>
        </w:tc>
        <w:tc>
          <w:tcPr>
            <w:tcW w:w="2337" w:type="dxa"/>
            <w:vAlign w:val="center"/>
          </w:tcPr>
          <w:p w:rsidR="00174903" w:rsidP="007C0AA3" w:rsidRDefault="00174903">
            <w:pPr>
              <w:tabs>
                <w:tab w:val="left" w:pos="0"/>
                <w:tab w:val="left" w:pos="720"/>
                <w:tab w:val="left" w:pos="1080"/>
                <w:tab w:val="left" w:pos="2160"/>
              </w:tabs>
              <w:jc w:val="center"/>
            </w:pPr>
            <w:r>
              <w:t>X</w:t>
            </w:r>
          </w:p>
        </w:tc>
        <w:tc>
          <w:tcPr>
            <w:tcW w:w="2338" w:type="dxa"/>
            <w:vAlign w:val="center"/>
          </w:tcPr>
          <w:p w:rsidR="00174903" w:rsidP="007C0AA3" w:rsidRDefault="00174903">
            <w:pPr>
              <w:tabs>
                <w:tab w:val="left" w:pos="0"/>
                <w:tab w:val="left" w:pos="720"/>
                <w:tab w:val="left" w:pos="1080"/>
                <w:tab w:val="left" w:pos="2160"/>
              </w:tabs>
              <w:jc w:val="center"/>
            </w:pPr>
            <w:r>
              <w:t>X</w:t>
            </w:r>
          </w:p>
        </w:tc>
        <w:tc>
          <w:tcPr>
            <w:tcW w:w="2338" w:type="dxa"/>
            <w:vAlign w:val="center"/>
          </w:tcPr>
          <w:p w:rsidR="00174903" w:rsidP="007C0AA3" w:rsidRDefault="00174903">
            <w:pPr>
              <w:tabs>
                <w:tab w:val="left" w:pos="0"/>
                <w:tab w:val="left" w:pos="720"/>
                <w:tab w:val="left" w:pos="1080"/>
                <w:tab w:val="left" w:pos="2160"/>
              </w:tabs>
              <w:jc w:val="center"/>
            </w:pPr>
            <w:r>
              <w:t>X</w:t>
            </w:r>
          </w:p>
        </w:tc>
      </w:tr>
    </w:tbl>
    <w:p w:rsidR="00853572" w:rsidP="007E0795" w:rsidRDefault="00853572">
      <w:pPr>
        <w:tabs>
          <w:tab w:val="left" w:pos="0"/>
          <w:tab w:val="left" w:pos="720"/>
          <w:tab w:val="left" w:pos="1080"/>
          <w:tab w:val="left" w:pos="2160"/>
        </w:tabs>
      </w:pPr>
    </w:p>
    <w:p w:rsidR="004E67C1" w:rsidP="00F62DB8" w:rsidRDefault="004E67C1">
      <w:pPr>
        <w:tabs>
          <w:tab w:val="left" w:pos="0"/>
          <w:tab w:val="left" w:pos="720"/>
          <w:tab w:val="left" w:pos="1080"/>
          <w:tab w:val="left" w:pos="2160"/>
        </w:tabs>
      </w:pPr>
      <w:r w:rsidRPr="004E67C1">
        <w:t xml:space="preserve">In response to a request from the Bureau of Economic Analysis (BEA), the AWTS will also collect </w:t>
      </w:r>
      <w:r w:rsidR="00237D2A">
        <w:t xml:space="preserve">annual </w:t>
      </w:r>
      <w:r w:rsidRPr="004E67C1">
        <w:t>detailed operating expenses and</w:t>
      </w:r>
      <w:r w:rsidR="00237D2A">
        <w:t xml:space="preserve"> annual</w:t>
      </w:r>
      <w:r w:rsidRPr="004E67C1">
        <w:t xml:space="preserve"> sales tax information</w:t>
      </w:r>
      <w:r w:rsidR="00237D2A">
        <w:t xml:space="preserve"> during survey year 2022</w:t>
      </w:r>
      <w:r w:rsidRPr="004E67C1">
        <w:t xml:space="preserve">. Respondents </w:t>
      </w:r>
      <w:proofErr w:type="gramStart"/>
      <w:r w:rsidRPr="004E67C1">
        <w:t>are only asked</w:t>
      </w:r>
      <w:proofErr w:type="gramEnd"/>
      <w:r w:rsidRPr="004E67C1">
        <w:t xml:space="preserve"> to provide data for these two items in years ending in </w:t>
      </w:r>
      <w:r w:rsidR="00C24E81">
        <w:t>“</w:t>
      </w:r>
      <w:r w:rsidRPr="004E67C1">
        <w:t>2</w:t>
      </w:r>
      <w:r w:rsidR="00C24E81">
        <w:t>”</w:t>
      </w:r>
      <w:r w:rsidRPr="004E67C1">
        <w:t xml:space="preserve"> and </w:t>
      </w:r>
      <w:r w:rsidR="00C24E81">
        <w:t>“</w:t>
      </w:r>
      <w:r w:rsidRPr="004E67C1">
        <w:t>7</w:t>
      </w:r>
      <w:r w:rsidR="00C24E81">
        <w:t>”</w:t>
      </w:r>
      <w:r w:rsidRPr="004E67C1">
        <w:t>, which coincide with the Economic Census collection.</w:t>
      </w:r>
      <w:r w:rsidR="00464436">
        <w:t xml:space="preserve"> Merchant wholesalers, excluding manufacturers’ sales branches and offices, will receive the detailed operating ex</w:t>
      </w:r>
      <w:r w:rsidR="008C0751">
        <w:t xml:space="preserve">penses and sales tax questions. Conversely, manufacturers’ sales branches and offices will only see the sales tax question. Companies that fall under the agents, brokers, and electronic markets category will not be asked to provide detailed operating expenses or sales tax information. </w:t>
      </w:r>
    </w:p>
    <w:p w:rsidR="00FB2AC5" w:rsidP="00F62DB8" w:rsidRDefault="00FB2AC5">
      <w:pPr>
        <w:tabs>
          <w:tab w:val="left" w:pos="0"/>
          <w:tab w:val="left" w:pos="720"/>
          <w:tab w:val="left" w:pos="1080"/>
          <w:tab w:val="left" w:pos="2160"/>
        </w:tabs>
      </w:pPr>
    </w:p>
    <w:p w:rsidR="00FB2AC5" w:rsidP="00F62DB8" w:rsidRDefault="00A41B24">
      <w:pPr>
        <w:tabs>
          <w:tab w:val="left" w:pos="0"/>
          <w:tab w:val="left" w:pos="720"/>
          <w:tab w:val="left" w:pos="1080"/>
          <w:tab w:val="left" w:pos="2160"/>
        </w:tabs>
      </w:pPr>
      <w:r>
        <w:rPr>
          <w:szCs w:val="20"/>
        </w:rPr>
        <w:t>This survey</w:t>
      </w:r>
      <w:r w:rsidR="00D318AA">
        <w:rPr>
          <w:szCs w:val="20"/>
        </w:rPr>
        <w:t xml:space="preserve"> provides an official, continuous measure of wholesale activity in the United States. </w:t>
      </w:r>
      <w:r w:rsidRPr="008A37CF" w:rsidR="004948F9">
        <w:rPr>
          <w:szCs w:val="20"/>
        </w:rPr>
        <w:t>Government agencies, priva</w:t>
      </w:r>
      <w:r w:rsidR="008F0D7B">
        <w:rPr>
          <w:szCs w:val="20"/>
        </w:rPr>
        <w:t xml:space="preserve">te businesses, and researchers </w:t>
      </w:r>
      <w:r w:rsidR="006D0F46">
        <w:rPr>
          <w:szCs w:val="20"/>
        </w:rPr>
        <w:t>utilize</w:t>
      </w:r>
      <w:r w:rsidR="00D318AA">
        <w:rPr>
          <w:szCs w:val="20"/>
        </w:rPr>
        <w:t xml:space="preserve"> </w:t>
      </w:r>
      <w:r w:rsidRPr="008A37CF" w:rsidR="004948F9">
        <w:rPr>
          <w:szCs w:val="20"/>
        </w:rPr>
        <w:t>the estimates generated from the AWTS</w:t>
      </w:r>
      <w:r w:rsidR="008F0D7B">
        <w:rPr>
          <w:szCs w:val="20"/>
        </w:rPr>
        <w:t xml:space="preserve"> </w:t>
      </w:r>
      <w:r w:rsidR="00D318AA">
        <w:rPr>
          <w:szCs w:val="20"/>
        </w:rPr>
        <w:t>in a variety</w:t>
      </w:r>
      <w:r w:rsidR="006D0F46">
        <w:rPr>
          <w:szCs w:val="20"/>
        </w:rPr>
        <w:t xml:space="preserve"> of ways, including to conduct market analysis and forecast future demand</w:t>
      </w:r>
      <w:r w:rsidRPr="008A37CF" w:rsidR="004948F9">
        <w:rPr>
          <w:szCs w:val="20"/>
        </w:rPr>
        <w:t xml:space="preserve">. </w:t>
      </w:r>
      <w:r w:rsidR="006B55A3">
        <w:rPr>
          <w:szCs w:val="20"/>
        </w:rPr>
        <w:t>The next s</w:t>
      </w:r>
      <w:r w:rsidR="001E0C09">
        <w:rPr>
          <w:szCs w:val="20"/>
        </w:rPr>
        <w:t>ection, Needs and Uses, provide</w:t>
      </w:r>
      <w:r w:rsidR="006B55A3">
        <w:rPr>
          <w:szCs w:val="20"/>
        </w:rPr>
        <w:t>s</w:t>
      </w:r>
      <w:r w:rsidR="001E0C09">
        <w:rPr>
          <w:szCs w:val="20"/>
        </w:rPr>
        <w:t xml:space="preserve"> additional information</w:t>
      </w:r>
      <w:r w:rsidR="009248A4">
        <w:rPr>
          <w:szCs w:val="20"/>
        </w:rPr>
        <w:t xml:space="preserve"> on</w:t>
      </w:r>
      <w:r w:rsidR="008F0D7B">
        <w:t xml:space="preserve"> the</w:t>
      </w:r>
      <w:r w:rsidR="00FB2AC5">
        <w:t xml:space="preserve"> users and</w:t>
      </w:r>
      <w:r w:rsidR="006B55A3">
        <w:t xml:space="preserve"> uses of the data</w:t>
      </w:r>
      <w:r w:rsidR="00FB2AC5">
        <w:t xml:space="preserve">.  </w:t>
      </w:r>
    </w:p>
    <w:p w:rsidR="004E67C1" w:rsidP="00F62DB8" w:rsidRDefault="004E67C1">
      <w:pPr>
        <w:tabs>
          <w:tab w:val="left" w:pos="0"/>
          <w:tab w:val="left" w:pos="720"/>
          <w:tab w:val="left" w:pos="1080"/>
          <w:tab w:val="left" w:pos="2160"/>
        </w:tabs>
      </w:pPr>
    </w:p>
    <w:p w:rsidR="006D0F46" w:rsidP="007E0795" w:rsidRDefault="006D0F46">
      <w:pPr>
        <w:tabs>
          <w:tab w:val="left" w:pos="0"/>
          <w:tab w:val="left" w:pos="720"/>
          <w:tab w:val="left" w:pos="1080"/>
          <w:tab w:val="left" w:pos="2160"/>
        </w:tabs>
        <w:rPr>
          <w:szCs w:val="20"/>
        </w:rPr>
      </w:pPr>
      <w:r w:rsidRPr="008A37CF">
        <w:rPr>
          <w:szCs w:val="20"/>
        </w:rPr>
        <w:t xml:space="preserve">The AWTS introduced a new sample for survey year 2016. In order to link the old sample and new sample estimates, two years of data (2015 and 2016) were collected during the 2016 survey year. Two years of data are only requested during the first year of a new sample. For survey year 2020, the AWTS will continue to use the sample introduced for survey year 2016. Thus, only one year of data will be collected. Respondents will be asked to provide one year of data for all subsequent years </w:t>
      </w:r>
      <w:r w:rsidR="00262154">
        <w:rPr>
          <w:szCs w:val="20"/>
        </w:rPr>
        <w:t>until a new sample is selected</w:t>
      </w:r>
      <w:r w:rsidRPr="008A37CF">
        <w:rPr>
          <w:szCs w:val="20"/>
        </w:rPr>
        <w:t>.</w:t>
      </w:r>
      <w:r w:rsidR="00EF1F06">
        <w:rPr>
          <w:szCs w:val="20"/>
        </w:rPr>
        <w:t xml:space="preserve"> A new sample </w:t>
      </w:r>
      <w:proofErr w:type="gramStart"/>
      <w:r w:rsidR="00262154">
        <w:rPr>
          <w:szCs w:val="20"/>
        </w:rPr>
        <w:t xml:space="preserve">will not </w:t>
      </w:r>
      <w:r>
        <w:rPr>
          <w:szCs w:val="20"/>
        </w:rPr>
        <w:t>be selected</w:t>
      </w:r>
      <w:proofErr w:type="gramEnd"/>
      <w:r>
        <w:rPr>
          <w:szCs w:val="20"/>
        </w:rPr>
        <w:t xml:space="preserve"> during this </w:t>
      </w:r>
      <w:r w:rsidR="00E15B5E">
        <w:rPr>
          <w:szCs w:val="20"/>
        </w:rPr>
        <w:t>three</w:t>
      </w:r>
      <w:r>
        <w:rPr>
          <w:szCs w:val="20"/>
        </w:rPr>
        <w:t xml:space="preserve">-year clearance window. </w:t>
      </w:r>
    </w:p>
    <w:p w:rsidR="00306F9B" w:rsidP="007E0795" w:rsidRDefault="00306F9B">
      <w:pPr>
        <w:tabs>
          <w:tab w:val="left" w:pos="0"/>
          <w:tab w:val="left" w:pos="720"/>
          <w:tab w:val="left" w:pos="1080"/>
          <w:tab w:val="left" w:pos="2160"/>
        </w:tabs>
        <w:rPr>
          <w:szCs w:val="20"/>
        </w:rPr>
      </w:pPr>
    </w:p>
    <w:p w:rsidR="00306F9B" w:rsidP="00327AC6" w:rsidRDefault="00306F9B">
      <w:pPr>
        <w:tabs>
          <w:tab w:val="left" w:pos="0"/>
          <w:tab w:val="left" w:pos="720"/>
          <w:tab w:val="left" w:pos="1080"/>
          <w:tab w:val="left" w:pos="2160"/>
        </w:tabs>
        <w:rPr>
          <w:szCs w:val="20"/>
        </w:rPr>
      </w:pPr>
      <w:r w:rsidRPr="00306F9B">
        <w:rPr>
          <w:szCs w:val="20"/>
        </w:rPr>
        <w:t xml:space="preserve">From survey year 2016 through survey year 2019, there were five electronic form types (SA-42, SA-42A, SA-42A-MSBO, SA-42-AGBR, and SA-42A-AGBR). Starting with survey year 2020 (which will be collected in 2021), there will only be three electronic form types (SA-42A, SA-42A-MSBO, and SA-42A-AGBR). SA-42 and SA-42-AGBR </w:t>
      </w:r>
      <w:proofErr w:type="gramStart"/>
      <w:r w:rsidRPr="00306F9B">
        <w:rPr>
          <w:szCs w:val="20"/>
        </w:rPr>
        <w:t>are being removed</w:t>
      </w:r>
      <w:proofErr w:type="gramEnd"/>
      <w:r w:rsidRPr="00306F9B">
        <w:rPr>
          <w:szCs w:val="20"/>
        </w:rPr>
        <w:t xml:space="preserve"> to streamline data collection operations</w:t>
      </w:r>
      <w:r w:rsidR="00950BA8">
        <w:rPr>
          <w:szCs w:val="20"/>
        </w:rPr>
        <w:t xml:space="preserve"> </w:t>
      </w:r>
      <w:r w:rsidRPr="00306F9B">
        <w:rPr>
          <w:szCs w:val="20"/>
        </w:rPr>
        <w:t xml:space="preserve">and reduce respondent burden. </w:t>
      </w:r>
    </w:p>
    <w:p w:rsidRPr="00327AC6" w:rsidR="00327AC6" w:rsidP="00327AC6" w:rsidRDefault="00965F54">
      <w:pPr>
        <w:tabs>
          <w:tab w:val="left" w:pos="0"/>
          <w:tab w:val="left" w:pos="720"/>
          <w:tab w:val="left" w:pos="1080"/>
          <w:tab w:val="left" w:pos="2160"/>
        </w:tabs>
      </w:pPr>
      <w:r>
        <w:lastRenderedPageBreak/>
        <w:t>Each year, e</w:t>
      </w:r>
      <w:r w:rsidRPr="00327AC6" w:rsidR="00327AC6">
        <w:t xml:space="preserve">stimates generated from the AWTS are released to the public approximately 14 months after the reference </w:t>
      </w:r>
      <w:r w:rsidR="0088222C">
        <w:t>period</w:t>
      </w:r>
      <w:r w:rsidRPr="00327AC6" w:rsidR="00327AC6">
        <w:t xml:space="preserve"> has concluded. These national-level estimates are published (for the various items collected) by NA</w:t>
      </w:r>
      <w:r>
        <w:t>ICS code and type of operation. (</w:t>
      </w:r>
      <w:r w:rsidR="00D969AE">
        <w:t xml:space="preserve">The current sample was selected on a 2012 NAICS basis, so the estimates are also </w:t>
      </w:r>
      <w:r w:rsidR="00EF1F06">
        <w:t xml:space="preserve">released on a 2012 NAICS basis. Data will not be published on a 2017 NAICS basis until the next sample revision occurs, which </w:t>
      </w:r>
      <w:proofErr w:type="gramStart"/>
      <w:r w:rsidR="0088222C">
        <w:t>will</w:t>
      </w:r>
      <w:r w:rsidR="00E15B5E">
        <w:t xml:space="preserve"> not take</w:t>
      </w:r>
      <w:proofErr w:type="gramEnd"/>
      <w:r w:rsidR="00E15B5E">
        <w:t xml:space="preserve"> place during this three</w:t>
      </w:r>
      <w:r w:rsidR="00EF1F06">
        <w:t>-year clearance window.</w:t>
      </w:r>
      <w:r>
        <w:t>) T</w:t>
      </w:r>
      <w:r w:rsidRPr="00327AC6" w:rsidR="00327AC6">
        <w:t xml:space="preserve">he data </w:t>
      </w:r>
      <w:proofErr w:type="gramStart"/>
      <w:r w:rsidRPr="00327AC6" w:rsidR="00327AC6">
        <w:t xml:space="preserve">are </w:t>
      </w:r>
      <w:r w:rsidR="009248A4">
        <w:t xml:space="preserve">currently </w:t>
      </w:r>
      <w:r w:rsidRPr="00327AC6" w:rsidR="00327AC6">
        <w:t>disseminated</w:t>
      </w:r>
      <w:proofErr w:type="gramEnd"/>
      <w:r w:rsidRPr="00327AC6" w:rsidR="00327AC6">
        <w:t xml:space="preserve"> through the </w:t>
      </w:r>
      <w:hyperlink w:history="1" r:id="rId7">
        <w:r w:rsidRPr="0088222C" w:rsidR="00327AC6">
          <w:rPr>
            <w:rStyle w:val="Hyperlink"/>
          </w:rPr>
          <w:t>AWTS website</w:t>
        </w:r>
      </w:hyperlink>
      <w:r w:rsidRPr="00327AC6" w:rsidR="00327AC6">
        <w:t xml:space="preserve">. In the future, however, the data will be released via the Census Bureau’s dissemination platform, </w:t>
      </w:r>
      <w:hyperlink w:history="1" r:id="rId8">
        <w:r w:rsidRPr="008D015B" w:rsidR="00327AC6">
          <w:rPr>
            <w:rStyle w:val="Hyperlink"/>
          </w:rPr>
          <w:t>data.census.gov</w:t>
        </w:r>
      </w:hyperlink>
      <w:r w:rsidRPr="00327AC6" w:rsidR="00327AC6">
        <w:t>. The survey year 2020 dat</w:t>
      </w:r>
      <w:r w:rsidR="00DE48E0">
        <w:t xml:space="preserve">a products </w:t>
      </w:r>
      <w:proofErr w:type="gramStart"/>
      <w:r w:rsidR="00DE48E0">
        <w:t xml:space="preserve">are scheduled to be </w:t>
      </w:r>
      <w:r w:rsidRPr="00327AC6" w:rsidR="00327AC6">
        <w:t>released</w:t>
      </w:r>
      <w:proofErr w:type="gramEnd"/>
      <w:r w:rsidRPr="00327AC6" w:rsidR="00327AC6">
        <w:t xml:space="preserve"> through </w:t>
      </w:r>
      <w:hyperlink w:history="1" r:id="rId9">
        <w:r w:rsidRPr="0011242D" w:rsidR="00327AC6">
          <w:rPr>
            <w:rStyle w:val="Hyperlink"/>
          </w:rPr>
          <w:t>data.census.gov</w:t>
        </w:r>
      </w:hyperlink>
      <w:r w:rsidRPr="00327AC6" w:rsidR="00327AC6">
        <w:t xml:space="preserve">. </w:t>
      </w:r>
    </w:p>
    <w:p w:rsidRPr="00EF50A5" w:rsidR="007E0795" w:rsidP="007E0795" w:rsidRDefault="007E0795">
      <w:pPr>
        <w:tabs>
          <w:tab w:val="left" w:pos="0"/>
          <w:tab w:val="left" w:pos="720"/>
          <w:tab w:val="left" w:pos="1080"/>
          <w:tab w:val="left" w:pos="2160"/>
        </w:tabs>
      </w:pPr>
      <w:r w:rsidRPr="00B456AE">
        <w:t xml:space="preserve">  </w:t>
      </w:r>
    </w:p>
    <w:p w:rsidR="007E0795" w:rsidP="007E0795" w:rsidRDefault="007E0795">
      <w:pPr>
        <w:tabs>
          <w:tab w:val="left" w:pos="0"/>
          <w:tab w:val="left" w:pos="720"/>
          <w:tab w:val="left" w:pos="1080"/>
          <w:tab w:val="left" w:pos="2160"/>
        </w:tabs>
      </w:pPr>
      <w:r w:rsidRPr="00016065">
        <w:t>The Censu</w:t>
      </w:r>
      <w:r>
        <w:t>s Bureau conducts this</w:t>
      </w:r>
      <w:r w:rsidRPr="00016065">
        <w:t xml:space="preserve"> survey under the authority of</w:t>
      </w:r>
      <w:r w:rsidR="0093358D">
        <w:t xml:space="preserve"> </w:t>
      </w:r>
      <w:r w:rsidRPr="00016065">
        <w:t>Title 13, United States Code, Sections</w:t>
      </w:r>
      <w:r w:rsidR="0093358D">
        <w:t xml:space="preserve"> 131 and 182. </w:t>
      </w:r>
      <w:r>
        <w:t>Sections 224 and 225 make this survey mandatory</w:t>
      </w:r>
      <w:r w:rsidR="00E92631">
        <w:t xml:space="preserve"> (see Attachment 5)</w:t>
      </w:r>
      <w:r>
        <w:t xml:space="preserve">. </w:t>
      </w:r>
    </w:p>
    <w:p w:rsidR="00B57446" w:rsidP="007E0795" w:rsidRDefault="00B57446">
      <w:pPr>
        <w:tabs>
          <w:tab w:val="left" w:pos="0"/>
          <w:tab w:val="left" w:pos="720"/>
          <w:tab w:val="left" w:pos="1080"/>
          <w:tab w:val="left" w:pos="2160"/>
        </w:tabs>
      </w:pPr>
    </w:p>
    <w:p w:rsidR="00B57446" w:rsidP="007E0795" w:rsidRDefault="00B57446">
      <w:pPr>
        <w:tabs>
          <w:tab w:val="left" w:pos="0"/>
          <w:tab w:val="left" w:pos="720"/>
          <w:tab w:val="left" w:pos="1080"/>
          <w:tab w:val="left" w:pos="2160"/>
        </w:tabs>
      </w:pPr>
      <w:r w:rsidRPr="00306AB8">
        <w:rPr>
          <w:color w:val="auto"/>
        </w:rPr>
        <w:t xml:space="preserve">The Census Bureau issued a pre-submission notice that </w:t>
      </w:r>
      <w:proofErr w:type="gramStart"/>
      <w:r w:rsidRPr="00306AB8">
        <w:rPr>
          <w:color w:val="auto"/>
        </w:rPr>
        <w:t>was published</w:t>
      </w:r>
      <w:proofErr w:type="gramEnd"/>
      <w:r w:rsidRPr="00306AB8">
        <w:rPr>
          <w:color w:val="auto"/>
        </w:rPr>
        <w:t xml:space="preserve"> in the Federal Register on Wednesday, June 3, 2020 (Vol. 85, No. 107). The notice</w:t>
      </w:r>
      <w:r>
        <w:rPr>
          <w:color w:val="auto"/>
        </w:rPr>
        <w:t>, which</w:t>
      </w:r>
      <w:r w:rsidR="00FD7FE5">
        <w:rPr>
          <w:color w:val="auto"/>
        </w:rPr>
        <w:t xml:space="preserve"> wa</w:t>
      </w:r>
      <w:r w:rsidRPr="00306AB8">
        <w:rPr>
          <w:color w:val="auto"/>
        </w:rPr>
        <w:t>s located on pages 34174 and 34175</w:t>
      </w:r>
      <w:r>
        <w:rPr>
          <w:color w:val="auto"/>
        </w:rPr>
        <w:t>, s</w:t>
      </w:r>
      <w:r w:rsidR="00FD7FE5">
        <w:rPr>
          <w:color w:val="auto"/>
        </w:rPr>
        <w:t>tated</w:t>
      </w:r>
      <w:r>
        <w:rPr>
          <w:color w:val="auto"/>
        </w:rPr>
        <w:t xml:space="preserve"> that the AWTS was considering the addition of questions related to the</w:t>
      </w:r>
      <w:r w:rsidR="00FD7FE5">
        <w:rPr>
          <w:color w:val="auto"/>
        </w:rPr>
        <w:t xml:space="preserve"> impact </w:t>
      </w:r>
      <w:r>
        <w:rPr>
          <w:color w:val="auto"/>
        </w:rPr>
        <w:t xml:space="preserve">coronavirus disease 2019 (COVID-19) </w:t>
      </w:r>
      <w:r w:rsidR="00FD7FE5">
        <w:rPr>
          <w:color w:val="auto"/>
        </w:rPr>
        <w:t xml:space="preserve">had on firms </w:t>
      </w:r>
      <w:r>
        <w:rPr>
          <w:color w:val="auto"/>
        </w:rPr>
        <w:t xml:space="preserve">for survey year 2020. </w:t>
      </w:r>
      <w:r w:rsidR="00FD7FE5">
        <w:rPr>
          <w:color w:val="auto"/>
        </w:rPr>
        <w:t xml:space="preserve">After internal </w:t>
      </w:r>
      <w:r w:rsidR="009248A4">
        <w:rPr>
          <w:color w:val="auto"/>
        </w:rPr>
        <w:t xml:space="preserve">discussions, the Census Bureau </w:t>
      </w:r>
      <w:r>
        <w:rPr>
          <w:color w:val="auto"/>
        </w:rPr>
        <w:t xml:space="preserve">decided it </w:t>
      </w:r>
      <w:proofErr w:type="gramStart"/>
      <w:r>
        <w:rPr>
          <w:color w:val="auto"/>
        </w:rPr>
        <w:t>will</w:t>
      </w:r>
      <w:proofErr w:type="gramEnd"/>
      <w:r>
        <w:rPr>
          <w:color w:val="auto"/>
        </w:rPr>
        <w:t xml:space="preserve"> not include COVID-19 questions </w:t>
      </w:r>
      <w:r w:rsidR="00FD7FE5">
        <w:rPr>
          <w:color w:val="auto"/>
        </w:rPr>
        <w:t>on the AWTS</w:t>
      </w:r>
      <w:r>
        <w:rPr>
          <w:color w:val="auto"/>
        </w:rPr>
        <w:t>.</w:t>
      </w:r>
    </w:p>
    <w:p w:rsidRPr="00F4421F" w:rsidR="009C411A" w:rsidP="009C411A" w:rsidRDefault="009C411A">
      <w:pPr>
        <w:pStyle w:val="NormalWeb"/>
        <w:rPr>
          <w:b/>
          <w:color w:val="auto"/>
          <w:u w:val="single"/>
        </w:rPr>
      </w:pPr>
      <w:r w:rsidRPr="00F4421F">
        <w:rPr>
          <w:b/>
          <w:color w:val="auto"/>
          <w:u w:val="single"/>
        </w:rPr>
        <w:t>Question 2. Needs and Uses</w:t>
      </w:r>
    </w:p>
    <w:p w:rsidR="00AA1F43" w:rsidP="00857C03" w:rsidRDefault="00857C03">
      <w:pPr>
        <w:pStyle w:val="NormalWeb"/>
        <w:rPr>
          <w:color w:val="auto"/>
        </w:rPr>
      </w:pPr>
      <w:r>
        <w:rPr>
          <w:color w:val="auto"/>
        </w:rPr>
        <w:t>T</w:t>
      </w:r>
      <w:r w:rsidRPr="00857C03">
        <w:rPr>
          <w:color w:val="auto"/>
        </w:rPr>
        <w:t>he AWTS serves as a benchmark for the estimates produced from the Census Bureau’s Monthly Wholesale Trade Survey (MWTS</w:t>
      </w:r>
      <w:r w:rsidR="00633A87">
        <w:rPr>
          <w:color w:val="auto"/>
        </w:rPr>
        <w:t>) [OMB No.</w:t>
      </w:r>
      <w:r>
        <w:rPr>
          <w:color w:val="auto"/>
        </w:rPr>
        <w:t xml:space="preserve"> </w:t>
      </w:r>
      <w:r w:rsidR="00633A87">
        <w:rPr>
          <w:color w:val="auto"/>
        </w:rPr>
        <w:t>0607-0190].</w:t>
      </w:r>
      <w:r>
        <w:rPr>
          <w:color w:val="auto"/>
        </w:rPr>
        <w:t xml:space="preserve"> </w:t>
      </w:r>
    </w:p>
    <w:p w:rsidR="005750BD" w:rsidP="00857C03" w:rsidRDefault="00107C3B">
      <w:pPr>
        <w:pStyle w:val="NormalWeb"/>
      </w:pPr>
      <w:r>
        <w:rPr>
          <w:color w:val="auto"/>
        </w:rPr>
        <w:t>Externally, t</w:t>
      </w:r>
      <w:r w:rsidRPr="00857C03" w:rsidR="00857C03">
        <w:rPr>
          <w:color w:val="auto"/>
        </w:rPr>
        <w:t xml:space="preserve">he </w:t>
      </w:r>
      <w:r w:rsidR="00857C03">
        <w:rPr>
          <w:color w:val="auto"/>
        </w:rPr>
        <w:t>BEA</w:t>
      </w:r>
      <w:r w:rsidRPr="00857C03" w:rsidR="00857C03">
        <w:rPr>
          <w:color w:val="auto"/>
        </w:rPr>
        <w:t xml:space="preserve"> uses the data to estimate the change in the private inventories component of gross domestic product (GDP) and output in both the benchmark and annual input-output (I-O) accounts and </w:t>
      </w:r>
      <w:r w:rsidR="00AA1F43">
        <w:rPr>
          <w:color w:val="auto"/>
        </w:rPr>
        <w:t xml:space="preserve">the </w:t>
      </w:r>
      <w:r w:rsidR="00BA0878">
        <w:rPr>
          <w:color w:val="auto"/>
        </w:rPr>
        <w:t xml:space="preserve">GDP </w:t>
      </w:r>
      <w:r w:rsidRPr="00857C03" w:rsidR="00857C03">
        <w:rPr>
          <w:color w:val="auto"/>
        </w:rPr>
        <w:t>by</w:t>
      </w:r>
      <w:r w:rsidR="00BA0878">
        <w:rPr>
          <w:color w:val="auto"/>
        </w:rPr>
        <w:t xml:space="preserve"> </w:t>
      </w:r>
      <w:r w:rsidRPr="00857C03" w:rsidR="00857C03">
        <w:rPr>
          <w:color w:val="auto"/>
        </w:rPr>
        <w:t>industry</w:t>
      </w:r>
      <w:r w:rsidR="00AA1F43">
        <w:rPr>
          <w:color w:val="auto"/>
        </w:rPr>
        <w:t xml:space="preserve"> statistics</w:t>
      </w:r>
      <w:r w:rsidRPr="00857C03" w:rsidR="00857C03">
        <w:rPr>
          <w:color w:val="auto"/>
        </w:rPr>
        <w:t>.</w:t>
      </w:r>
      <w:r w:rsidR="00AA1F43">
        <w:rPr>
          <w:color w:val="auto"/>
        </w:rPr>
        <w:t xml:space="preserve"> </w:t>
      </w:r>
      <w:r w:rsidR="005750BD">
        <w:rPr>
          <w:color w:val="auto"/>
        </w:rPr>
        <w:t xml:space="preserve">This agency also utilizes the sales tax </w:t>
      </w:r>
      <w:r w:rsidR="00AA1F43">
        <w:rPr>
          <w:color w:val="auto"/>
        </w:rPr>
        <w:t>information</w:t>
      </w:r>
      <w:r w:rsidR="005750BD">
        <w:rPr>
          <w:color w:val="auto"/>
        </w:rPr>
        <w:t xml:space="preserve"> to </w:t>
      </w:r>
      <w:r w:rsidRPr="00857C03" w:rsidR="00857C03">
        <w:rPr>
          <w:color w:val="auto"/>
        </w:rPr>
        <w:t>prepare estimates of GDP by industry and to derive industry output for the I-O accounts.</w:t>
      </w:r>
      <w:r w:rsidR="005750BD">
        <w:rPr>
          <w:color w:val="auto"/>
        </w:rPr>
        <w:t xml:space="preserve"> </w:t>
      </w:r>
      <w:r w:rsidR="005750BD">
        <w:t>The d</w:t>
      </w:r>
      <w:r w:rsidRPr="00B93677" w:rsidR="005750BD">
        <w:t>ata on detailed operating expenses are used to produce national estimates of value added, gross output, and intermediate inputs and serve as a benchmark for the annual industry accounts, which provide the control totals for the GDP</w:t>
      </w:r>
      <w:r w:rsidR="00BA0878">
        <w:t xml:space="preserve"> </w:t>
      </w:r>
      <w:r w:rsidRPr="00B93677" w:rsidR="005750BD">
        <w:t>by</w:t>
      </w:r>
      <w:r w:rsidR="00BA0878">
        <w:t xml:space="preserve"> </w:t>
      </w:r>
      <w:r w:rsidRPr="00B93677" w:rsidR="005750BD">
        <w:t>state accounts.</w:t>
      </w:r>
      <w:r w:rsidR="00917CBF">
        <w:t xml:space="preserve"> (Refer to Attachment 1 for more information regarding BEA’s usage of the AWTS data.)</w:t>
      </w:r>
    </w:p>
    <w:p w:rsidR="00107C3B" w:rsidP="00857C03" w:rsidRDefault="00857C03">
      <w:pPr>
        <w:pStyle w:val="NormalWeb"/>
        <w:rPr>
          <w:color w:val="auto"/>
        </w:rPr>
      </w:pPr>
      <w:r w:rsidRPr="00857C03">
        <w:rPr>
          <w:color w:val="auto"/>
        </w:rPr>
        <w:t>The Bureau of Labor Statistics</w:t>
      </w:r>
      <w:r w:rsidR="00107C3B">
        <w:rPr>
          <w:color w:val="auto"/>
        </w:rPr>
        <w:t xml:space="preserve"> (BLS) utilizes</w:t>
      </w:r>
      <w:r w:rsidRPr="00857C03">
        <w:rPr>
          <w:color w:val="auto"/>
        </w:rPr>
        <w:t xml:space="preserve"> the data as</w:t>
      </w:r>
      <w:r w:rsidR="00107C3B">
        <w:rPr>
          <w:color w:val="auto"/>
        </w:rPr>
        <w:t xml:space="preserve"> an</w:t>
      </w:r>
      <w:r w:rsidRPr="00857C03">
        <w:rPr>
          <w:color w:val="auto"/>
        </w:rPr>
        <w:t xml:space="preserve"> input to its </w:t>
      </w:r>
      <w:r w:rsidR="00107C3B">
        <w:rPr>
          <w:color w:val="auto"/>
        </w:rPr>
        <w:t>p</w:t>
      </w:r>
      <w:r w:rsidRPr="00857C03">
        <w:rPr>
          <w:color w:val="auto"/>
        </w:rPr>
        <w:t xml:space="preserve">roducer </w:t>
      </w:r>
      <w:r w:rsidR="00107C3B">
        <w:rPr>
          <w:color w:val="auto"/>
        </w:rPr>
        <w:t>price i</w:t>
      </w:r>
      <w:r w:rsidRPr="00857C03">
        <w:rPr>
          <w:color w:val="auto"/>
        </w:rPr>
        <w:t xml:space="preserve">ndices and in developing productivity measurements. </w:t>
      </w:r>
    </w:p>
    <w:p w:rsidR="00857C03" w:rsidP="00857C03" w:rsidRDefault="000D7E2B">
      <w:pPr>
        <w:pStyle w:val="NormalWeb"/>
        <w:rPr>
          <w:color w:val="auto"/>
        </w:rPr>
      </w:pPr>
      <w:r>
        <w:rPr>
          <w:color w:val="auto"/>
        </w:rPr>
        <w:t>As noted in the Necessity of the Information Collection section, other government agencies, researchers, and businesses also use the data for a variety of reasons. For example, private businesses utilize</w:t>
      </w:r>
      <w:r w:rsidRPr="00857C03" w:rsidR="00857C03">
        <w:rPr>
          <w:color w:val="auto"/>
        </w:rPr>
        <w:t xml:space="preserve"> the estimates in co</w:t>
      </w:r>
      <w:r w:rsidR="00F31EFC">
        <w:rPr>
          <w:color w:val="auto"/>
        </w:rPr>
        <w:t>mputing business activity indice</w:t>
      </w:r>
      <w:r w:rsidRPr="00857C03" w:rsidR="00857C03">
        <w:rPr>
          <w:color w:val="auto"/>
        </w:rPr>
        <w:t>s.</w:t>
      </w:r>
      <w:r>
        <w:rPr>
          <w:color w:val="auto"/>
        </w:rPr>
        <w:t xml:space="preserve"> </w:t>
      </w:r>
      <w:r w:rsidR="00F31EFC">
        <w:rPr>
          <w:color w:val="auto"/>
        </w:rPr>
        <w:t xml:space="preserve">Additionally, the AWTS data are </w:t>
      </w:r>
      <w:r>
        <w:rPr>
          <w:color w:val="auto"/>
        </w:rPr>
        <w:t xml:space="preserve">used to conduct economic market analysis, forecast future demand, and evaluate company performance. </w:t>
      </w:r>
    </w:p>
    <w:p w:rsidR="009C411A" w:rsidP="00F31EFC" w:rsidRDefault="009C411A">
      <w:pPr>
        <w:pStyle w:val="BlockText"/>
        <w:ind w:left="0"/>
        <w:rPr>
          <w:color w:val="auto"/>
        </w:rPr>
      </w:pPr>
      <w:r>
        <w:rPr>
          <w:color w:val="auto"/>
        </w:rPr>
        <w:t xml:space="preserve">Information quality is an integral part of the pre-dissemination review of the information disseminated by the Census Bureau (fully described in the Census Bureau's Information Quality Guidelines). Information quality is also integral to the information collections </w:t>
      </w:r>
      <w:r>
        <w:rPr>
          <w:color w:val="auto"/>
        </w:rPr>
        <w:lastRenderedPageBreak/>
        <w:t>conducted by the Census Bureau and is incorporated into the clearance process required b</w:t>
      </w:r>
      <w:r w:rsidR="00F31EFC">
        <w:rPr>
          <w:color w:val="auto"/>
        </w:rPr>
        <w:t>y the Paperwork Reduction Act.</w:t>
      </w:r>
    </w:p>
    <w:p w:rsidRPr="00F4421F" w:rsidR="009C411A" w:rsidP="009C411A" w:rsidRDefault="009C411A">
      <w:pPr>
        <w:pStyle w:val="NormalWeb"/>
        <w:rPr>
          <w:b/>
          <w:color w:val="auto"/>
        </w:rPr>
      </w:pPr>
      <w:r w:rsidRPr="00F4421F">
        <w:rPr>
          <w:b/>
          <w:color w:val="auto"/>
          <w:u w:val="single"/>
        </w:rPr>
        <w:t>Question 3. Use of Information Technology</w:t>
      </w:r>
    </w:p>
    <w:p w:rsidR="00B17C6F" w:rsidP="00BA0878" w:rsidRDefault="00BA0878">
      <w:pPr>
        <w:pStyle w:val="NormalWeb"/>
        <w:rPr>
          <w:color w:val="auto"/>
        </w:rPr>
      </w:pPr>
      <w:r w:rsidRPr="00BA0878">
        <w:rPr>
          <w:color w:val="auto"/>
        </w:rPr>
        <w:t xml:space="preserve">The </w:t>
      </w:r>
      <w:r>
        <w:rPr>
          <w:color w:val="auto"/>
        </w:rPr>
        <w:t xml:space="preserve">AWTS </w:t>
      </w:r>
      <w:r w:rsidRPr="00BA0878">
        <w:rPr>
          <w:color w:val="auto"/>
        </w:rPr>
        <w:t>respondents</w:t>
      </w:r>
      <w:r w:rsidR="00AF676F">
        <w:rPr>
          <w:color w:val="auto"/>
        </w:rPr>
        <w:t xml:space="preserve"> are required</w:t>
      </w:r>
      <w:r w:rsidR="00B17C6F">
        <w:rPr>
          <w:color w:val="auto"/>
        </w:rPr>
        <w:t xml:space="preserve"> to submit</w:t>
      </w:r>
      <w:r w:rsidRPr="00BA0878">
        <w:rPr>
          <w:color w:val="auto"/>
        </w:rPr>
        <w:t xml:space="preserve"> their data </w:t>
      </w:r>
      <w:r w:rsidR="00B17C6F">
        <w:rPr>
          <w:color w:val="auto"/>
        </w:rPr>
        <w:t xml:space="preserve">through the Census </w:t>
      </w:r>
      <w:proofErr w:type="gramStart"/>
      <w:r w:rsidR="00B17C6F">
        <w:rPr>
          <w:color w:val="auto"/>
        </w:rPr>
        <w:t>Bureau’s</w:t>
      </w:r>
      <w:proofErr w:type="gramEnd"/>
      <w:r w:rsidR="00B17C6F">
        <w:rPr>
          <w:color w:val="auto"/>
        </w:rPr>
        <w:t xml:space="preserve"> online reporting system, Centurion. </w:t>
      </w:r>
      <w:r w:rsidRPr="00B17C6F" w:rsidR="00B17C6F">
        <w:rPr>
          <w:color w:val="auto"/>
        </w:rPr>
        <w:t>This system is designed to make the reporting process more flexible</w:t>
      </w:r>
      <w:r w:rsidR="00B17C6F">
        <w:rPr>
          <w:color w:val="auto"/>
        </w:rPr>
        <w:t>, secure,</w:t>
      </w:r>
      <w:r w:rsidRPr="00B17C6F" w:rsidR="00B17C6F">
        <w:rPr>
          <w:color w:val="auto"/>
        </w:rPr>
        <w:t xml:space="preserve"> and convenient for respondents. The response-driven nature of the instrument also reduces respondent burden.</w:t>
      </w:r>
      <w:r w:rsidR="00B17C6F">
        <w:rPr>
          <w:color w:val="auto"/>
        </w:rPr>
        <w:t xml:space="preserve"> Respondents can complete the entire survey in one session or work on t</w:t>
      </w:r>
      <w:r w:rsidR="008A73DA">
        <w:rPr>
          <w:color w:val="auto"/>
        </w:rPr>
        <w:t>he</w:t>
      </w:r>
      <w:r w:rsidR="00D30C59">
        <w:rPr>
          <w:color w:val="auto"/>
        </w:rPr>
        <w:t xml:space="preserve"> survey over several sessions. </w:t>
      </w:r>
      <w:r w:rsidR="008A73DA">
        <w:rPr>
          <w:color w:val="auto"/>
        </w:rPr>
        <w:t>Centurion automatically saves t</w:t>
      </w:r>
      <w:r w:rsidR="00B17C6F">
        <w:rPr>
          <w:color w:val="auto"/>
        </w:rPr>
        <w:t xml:space="preserve">he entered </w:t>
      </w:r>
      <w:r w:rsidR="008A73DA">
        <w:rPr>
          <w:color w:val="auto"/>
        </w:rPr>
        <w:t>data when the user proceeds to the next screen</w:t>
      </w:r>
      <w:r w:rsidR="00B17C6F">
        <w:rPr>
          <w:color w:val="auto"/>
        </w:rPr>
        <w:t>, so the user</w:t>
      </w:r>
      <w:r w:rsidR="008A73DA">
        <w:rPr>
          <w:color w:val="auto"/>
        </w:rPr>
        <w:t>s</w:t>
      </w:r>
      <w:r w:rsidR="00B17C6F">
        <w:rPr>
          <w:color w:val="auto"/>
        </w:rPr>
        <w:t xml:space="preserve"> can return later and pick up </w:t>
      </w:r>
      <w:r w:rsidR="008A73DA">
        <w:rPr>
          <w:color w:val="auto"/>
        </w:rPr>
        <w:t xml:space="preserve">exactly </w:t>
      </w:r>
      <w:r w:rsidR="00B17C6F">
        <w:rPr>
          <w:color w:val="auto"/>
        </w:rPr>
        <w:t xml:space="preserve">where </w:t>
      </w:r>
      <w:r w:rsidR="008A73DA">
        <w:rPr>
          <w:color w:val="auto"/>
        </w:rPr>
        <w:t>they previously left off. T</w:t>
      </w:r>
      <w:r w:rsidRPr="00B17C6F" w:rsidR="00B17C6F">
        <w:rPr>
          <w:color w:val="auto"/>
        </w:rPr>
        <w:t xml:space="preserve">he </w:t>
      </w:r>
      <w:r w:rsidR="00884CCE">
        <w:rPr>
          <w:color w:val="auto"/>
        </w:rPr>
        <w:t xml:space="preserve">data provided electronically by respondents </w:t>
      </w:r>
      <w:r w:rsidRPr="00B17C6F" w:rsidR="00B17C6F">
        <w:rPr>
          <w:color w:val="auto"/>
        </w:rPr>
        <w:t>are</w:t>
      </w:r>
      <w:r w:rsidR="00884CCE">
        <w:rPr>
          <w:color w:val="auto"/>
        </w:rPr>
        <w:t xml:space="preserve"> immediately</w:t>
      </w:r>
      <w:r w:rsidRPr="00B17C6F" w:rsidR="00B17C6F">
        <w:rPr>
          <w:color w:val="auto"/>
        </w:rPr>
        <w:t xml:space="preserve"> available to the Census Bureau.</w:t>
      </w:r>
    </w:p>
    <w:p w:rsidRPr="00BA0878" w:rsidR="00BA0878" w:rsidP="00BA0878" w:rsidRDefault="00BA0878">
      <w:pPr>
        <w:pStyle w:val="NormalWeb"/>
        <w:rPr>
          <w:color w:val="auto"/>
        </w:rPr>
      </w:pPr>
      <w:r w:rsidRPr="00BA0878">
        <w:rPr>
          <w:color w:val="auto"/>
        </w:rPr>
        <w:t xml:space="preserve">The initial letter to respondents identifies the </w:t>
      </w:r>
      <w:r w:rsidR="00884CCE">
        <w:rPr>
          <w:color w:val="auto"/>
        </w:rPr>
        <w:t>s</w:t>
      </w:r>
      <w:r w:rsidRPr="00BA0878">
        <w:rPr>
          <w:color w:val="auto"/>
        </w:rPr>
        <w:t>urvey name,</w:t>
      </w:r>
      <w:r w:rsidR="00FF3281">
        <w:rPr>
          <w:color w:val="auto"/>
        </w:rPr>
        <w:t xml:space="preserve"> due date, instructions for accessing the survey, </w:t>
      </w:r>
      <w:r w:rsidRPr="00BA0878">
        <w:rPr>
          <w:color w:val="auto"/>
        </w:rPr>
        <w:t>authority for collection,</w:t>
      </w:r>
      <w:r w:rsidR="00FF3281">
        <w:rPr>
          <w:color w:val="auto"/>
        </w:rPr>
        <w:t xml:space="preserve"> </w:t>
      </w:r>
      <w:r w:rsidR="00CF1C59">
        <w:rPr>
          <w:color w:val="auto"/>
        </w:rPr>
        <w:t xml:space="preserve">and burden estimate. It also provides </w:t>
      </w:r>
      <w:r w:rsidR="00FF3281">
        <w:rPr>
          <w:color w:val="auto"/>
        </w:rPr>
        <w:t>a telephone number for those needing assistance</w:t>
      </w:r>
      <w:r w:rsidRPr="00BA0878">
        <w:rPr>
          <w:color w:val="auto"/>
        </w:rPr>
        <w:t xml:space="preserve">. </w:t>
      </w:r>
      <w:r w:rsidR="00352282">
        <w:rPr>
          <w:color w:val="auto"/>
        </w:rPr>
        <w:t xml:space="preserve">The initial and follow-up mailings instruct </w:t>
      </w:r>
      <w:r w:rsidRPr="00BA0878">
        <w:rPr>
          <w:color w:val="auto"/>
        </w:rPr>
        <w:t xml:space="preserve">respondents to </w:t>
      </w:r>
      <w:r w:rsidR="00352282">
        <w:rPr>
          <w:color w:val="auto"/>
        </w:rPr>
        <w:t>access the Census Bureau’s Respondent Portal (</w:t>
      </w:r>
      <w:hyperlink w:history="1" r:id="rId10">
        <w:r w:rsidRPr="00241336" w:rsidR="00352282">
          <w:rPr>
            <w:rStyle w:val="Hyperlink"/>
          </w:rPr>
          <w:t>https://portal.census.gov</w:t>
        </w:r>
      </w:hyperlink>
      <w:r w:rsidR="00352282">
        <w:rPr>
          <w:color w:val="auto"/>
        </w:rPr>
        <w:t>)</w:t>
      </w:r>
      <w:r w:rsidRPr="00BA0878">
        <w:rPr>
          <w:color w:val="auto"/>
        </w:rPr>
        <w:t>.</w:t>
      </w:r>
      <w:r w:rsidR="0076069D">
        <w:rPr>
          <w:color w:val="auto"/>
        </w:rPr>
        <w:t xml:space="preserve"> The Census Bureau </w:t>
      </w:r>
      <w:r w:rsidR="006A2441">
        <w:rPr>
          <w:color w:val="auto"/>
        </w:rPr>
        <w:t xml:space="preserve">will </w:t>
      </w:r>
      <w:r w:rsidR="0076069D">
        <w:rPr>
          <w:color w:val="auto"/>
        </w:rPr>
        <w:t xml:space="preserve">also </w:t>
      </w:r>
      <w:r w:rsidR="006A2441">
        <w:rPr>
          <w:color w:val="auto"/>
        </w:rPr>
        <w:t xml:space="preserve">periodically send an </w:t>
      </w:r>
      <w:r w:rsidR="0076069D">
        <w:rPr>
          <w:color w:val="auto"/>
        </w:rPr>
        <w:t>e-mail remi</w:t>
      </w:r>
      <w:r w:rsidR="006A2441">
        <w:rPr>
          <w:color w:val="auto"/>
        </w:rPr>
        <w:t xml:space="preserve">nder, or </w:t>
      </w:r>
      <w:proofErr w:type="spellStart"/>
      <w:r w:rsidR="006A2441">
        <w:rPr>
          <w:color w:val="auto"/>
        </w:rPr>
        <w:t>eBlast</w:t>
      </w:r>
      <w:proofErr w:type="spellEnd"/>
      <w:r w:rsidR="006A2441">
        <w:rPr>
          <w:color w:val="auto"/>
        </w:rPr>
        <w:t>, to respondents. These e-mail reminders provide the same instructions.</w:t>
      </w:r>
      <w:r w:rsidR="00E5780C">
        <w:rPr>
          <w:color w:val="auto"/>
        </w:rPr>
        <w:t xml:space="preserve"> </w:t>
      </w:r>
      <w:r w:rsidRPr="00AB0739" w:rsidR="00E5780C">
        <w:rPr>
          <w:color w:val="auto"/>
        </w:rPr>
        <w:t xml:space="preserve">A telephone follow-up </w:t>
      </w:r>
      <w:proofErr w:type="gramStart"/>
      <w:r w:rsidRPr="00AB0739" w:rsidR="00E5780C">
        <w:rPr>
          <w:color w:val="auto"/>
        </w:rPr>
        <w:t>is scheduled</w:t>
      </w:r>
      <w:proofErr w:type="gramEnd"/>
      <w:r w:rsidRPr="00AB0739" w:rsidR="00E5780C">
        <w:rPr>
          <w:color w:val="auto"/>
        </w:rPr>
        <w:t xml:space="preserve"> f</w:t>
      </w:r>
      <w:r w:rsidR="002C439C">
        <w:rPr>
          <w:color w:val="auto"/>
        </w:rPr>
        <w:t xml:space="preserve">or </w:t>
      </w:r>
      <w:proofErr w:type="spellStart"/>
      <w:r w:rsidR="002C439C">
        <w:rPr>
          <w:color w:val="auto"/>
        </w:rPr>
        <w:t>non</w:t>
      </w:r>
      <w:r w:rsidRPr="00AB0739" w:rsidR="00E5780C">
        <w:rPr>
          <w:color w:val="auto"/>
        </w:rPr>
        <w:t>respondents</w:t>
      </w:r>
      <w:proofErr w:type="spellEnd"/>
      <w:r w:rsidR="00545DAB">
        <w:rPr>
          <w:color w:val="auto"/>
        </w:rPr>
        <w:t xml:space="preserve"> as well</w:t>
      </w:r>
      <w:r w:rsidR="00E5780C">
        <w:rPr>
          <w:color w:val="auto"/>
        </w:rPr>
        <w:t>.</w:t>
      </w:r>
      <w:r w:rsidR="002932AF">
        <w:rPr>
          <w:color w:val="auto"/>
        </w:rPr>
        <w:t xml:space="preserve"> </w:t>
      </w:r>
      <w:r w:rsidR="006A2441">
        <w:rPr>
          <w:color w:val="auto"/>
        </w:rPr>
        <w:t xml:space="preserve">Once the user arrives at </w:t>
      </w:r>
      <w:hyperlink w:history="1" r:id="rId11">
        <w:r w:rsidRPr="0011242D" w:rsidR="006A2441">
          <w:rPr>
            <w:rStyle w:val="Hyperlink"/>
          </w:rPr>
          <w:t>https://portal.census.gov</w:t>
        </w:r>
      </w:hyperlink>
      <w:r w:rsidR="00B7391F">
        <w:rPr>
          <w:color w:val="auto"/>
        </w:rPr>
        <w:t xml:space="preserve">, the individual </w:t>
      </w:r>
      <w:r w:rsidR="00352282">
        <w:rPr>
          <w:color w:val="auto"/>
        </w:rPr>
        <w:t xml:space="preserve">will create a new account (i.e., register) or sign in to an existing account. </w:t>
      </w:r>
      <w:r w:rsidRPr="00BA0878">
        <w:rPr>
          <w:color w:val="auto"/>
        </w:rPr>
        <w:t xml:space="preserve">The Respondent Portal allows users to add and view all current Census Bureau surveys assigned to them. </w:t>
      </w:r>
      <w:r w:rsidR="00352282">
        <w:rPr>
          <w:color w:val="auto"/>
        </w:rPr>
        <w:t>Using the Respondent Portal, r</w:t>
      </w:r>
      <w:r w:rsidR="006A2441">
        <w:rPr>
          <w:color w:val="auto"/>
        </w:rPr>
        <w:t>espondents can access Centurion (by clicking “Report Now” for the appropriate survey)</w:t>
      </w:r>
      <w:r w:rsidR="0076069D">
        <w:rPr>
          <w:color w:val="auto"/>
        </w:rPr>
        <w:t xml:space="preserve">, view their filing status, </w:t>
      </w:r>
      <w:r w:rsidRPr="00BA0878">
        <w:rPr>
          <w:color w:val="auto"/>
        </w:rPr>
        <w:t>request extensions</w:t>
      </w:r>
      <w:r w:rsidR="0076069D">
        <w:rPr>
          <w:color w:val="auto"/>
        </w:rPr>
        <w:t xml:space="preserve">, and securely communicate with the Census Bureau. </w:t>
      </w:r>
    </w:p>
    <w:p w:rsidRPr="00BA0878" w:rsidR="00BA0878" w:rsidP="00BA0878" w:rsidRDefault="00BA0878">
      <w:pPr>
        <w:pStyle w:val="NormalWeb"/>
        <w:rPr>
          <w:color w:val="auto"/>
        </w:rPr>
      </w:pPr>
      <w:r w:rsidRPr="00BA0878">
        <w:rPr>
          <w:color w:val="auto"/>
        </w:rPr>
        <w:t>Once</w:t>
      </w:r>
      <w:r w:rsidR="006A2441">
        <w:rPr>
          <w:color w:val="auto"/>
        </w:rPr>
        <w:t xml:space="preserve"> the user logs in to </w:t>
      </w:r>
      <w:r w:rsidRPr="00BA0878">
        <w:rPr>
          <w:color w:val="auto"/>
        </w:rPr>
        <w:t>Centurion</w:t>
      </w:r>
      <w:r w:rsidR="006A2441">
        <w:rPr>
          <w:color w:val="auto"/>
        </w:rPr>
        <w:t xml:space="preserve"> via the Respondent Portal, </w:t>
      </w:r>
      <w:r w:rsidR="00B7391F">
        <w:rPr>
          <w:color w:val="auto"/>
        </w:rPr>
        <w:t>the respondent</w:t>
      </w:r>
      <w:r w:rsidR="006A2441">
        <w:rPr>
          <w:color w:val="auto"/>
        </w:rPr>
        <w:t xml:space="preserve"> can view </w:t>
      </w:r>
      <w:r w:rsidRPr="00BA0878">
        <w:rPr>
          <w:color w:val="auto"/>
        </w:rPr>
        <w:t xml:space="preserve">PDF worksheets </w:t>
      </w:r>
      <w:r w:rsidR="006A2441">
        <w:rPr>
          <w:color w:val="auto"/>
        </w:rPr>
        <w:t xml:space="preserve">listing all of the questions </w:t>
      </w:r>
      <w:r w:rsidR="00B7391F">
        <w:rPr>
          <w:color w:val="auto"/>
        </w:rPr>
        <w:t xml:space="preserve">he or she will be asked </w:t>
      </w:r>
      <w:r w:rsidR="00710D34">
        <w:rPr>
          <w:color w:val="auto"/>
        </w:rPr>
        <w:t>to answer. This enables the individual to compile answers to the questions before beginning the electronic reporting process (if desired)</w:t>
      </w:r>
      <w:r w:rsidR="00CF1C59">
        <w:rPr>
          <w:color w:val="auto"/>
        </w:rPr>
        <w:t xml:space="preserve">. </w:t>
      </w:r>
      <w:r w:rsidRPr="00BA0878">
        <w:rPr>
          <w:color w:val="auto"/>
        </w:rPr>
        <w:t xml:space="preserve">Respondents are asked to make note of any special instructions listed either on the main menu or on their worksheet. </w:t>
      </w:r>
    </w:p>
    <w:p w:rsidRPr="00BA0878" w:rsidR="00BA0878" w:rsidP="00BA0878" w:rsidRDefault="00E5780C">
      <w:pPr>
        <w:pStyle w:val="NormalWeb"/>
        <w:rPr>
          <w:color w:val="auto"/>
        </w:rPr>
      </w:pPr>
      <w:r>
        <w:rPr>
          <w:color w:val="auto"/>
        </w:rPr>
        <w:t>The</w:t>
      </w:r>
      <w:r w:rsidRPr="00AB0739" w:rsidR="00AB0739">
        <w:rPr>
          <w:color w:val="auto"/>
        </w:rPr>
        <w:t xml:space="preserve"> nightly loading of electronic responses allows for a more timely identifica</w:t>
      </w:r>
      <w:r>
        <w:rPr>
          <w:color w:val="auto"/>
        </w:rPr>
        <w:t>tion of completed questionnaires, which reduces the number of unnecessary follow-up reminders respondents receive.</w:t>
      </w:r>
    </w:p>
    <w:p w:rsidRPr="00BA0878" w:rsidR="00BA0878" w:rsidP="00BA0878" w:rsidRDefault="00690E7A">
      <w:pPr>
        <w:pStyle w:val="NormalWeb"/>
        <w:rPr>
          <w:color w:val="auto"/>
        </w:rPr>
      </w:pPr>
      <w:r>
        <w:rPr>
          <w:color w:val="auto"/>
        </w:rPr>
        <w:t xml:space="preserve">For the AWTS, electronic reporting is the only advertised reporting option. Nevertheless, </w:t>
      </w:r>
      <w:r w:rsidR="00641114">
        <w:rPr>
          <w:color w:val="auto"/>
        </w:rPr>
        <w:t>the Census Bureau will accept data s</w:t>
      </w:r>
      <w:r>
        <w:rPr>
          <w:color w:val="auto"/>
        </w:rPr>
        <w:t xml:space="preserve">ubmitted through other methods. </w:t>
      </w:r>
      <w:r w:rsidR="00641114">
        <w:rPr>
          <w:color w:val="auto"/>
        </w:rPr>
        <w:t>For example, if a company does not have access to the Internet, the Census Bureau can arrange for the business to provide its da</w:t>
      </w:r>
      <w:r>
        <w:rPr>
          <w:color w:val="auto"/>
        </w:rPr>
        <w:t xml:space="preserve">ta to an analyst via telephone. </w:t>
      </w:r>
    </w:p>
    <w:p w:rsidR="00BA0878" w:rsidP="00BA0878" w:rsidRDefault="00635EF1">
      <w:pPr>
        <w:pStyle w:val="NormalWeb"/>
        <w:rPr>
          <w:color w:val="auto"/>
        </w:rPr>
      </w:pPr>
      <w:r>
        <w:rPr>
          <w:color w:val="auto"/>
        </w:rPr>
        <w:t>The table below lists the percentage</w:t>
      </w:r>
      <w:r w:rsidR="00756818">
        <w:rPr>
          <w:color w:val="auto"/>
        </w:rPr>
        <w:t>s</w:t>
      </w:r>
      <w:r>
        <w:rPr>
          <w:color w:val="auto"/>
        </w:rPr>
        <w:t xml:space="preserve"> of </w:t>
      </w:r>
      <w:r w:rsidR="000932B7">
        <w:rPr>
          <w:color w:val="auto"/>
        </w:rPr>
        <w:t xml:space="preserve">submitted </w:t>
      </w:r>
      <w:r w:rsidR="00AA75BA">
        <w:rPr>
          <w:color w:val="auto"/>
        </w:rPr>
        <w:t xml:space="preserve">questionnaires that </w:t>
      </w:r>
      <w:proofErr w:type="gramStart"/>
      <w:r w:rsidR="00AA75BA">
        <w:rPr>
          <w:color w:val="auto"/>
        </w:rPr>
        <w:t xml:space="preserve">were </w:t>
      </w:r>
      <w:r w:rsidR="000932B7">
        <w:rPr>
          <w:color w:val="auto"/>
        </w:rPr>
        <w:t>completed</w:t>
      </w:r>
      <w:proofErr w:type="gramEnd"/>
      <w:r w:rsidR="000932B7">
        <w:rPr>
          <w:color w:val="auto"/>
        </w:rPr>
        <w:t xml:space="preserve"> </w:t>
      </w:r>
      <w:r w:rsidR="00AA75BA">
        <w:rPr>
          <w:color w:val="auto"/>
        </w:rPr>
        <w:t>via the Internet (Centurion) for the current sample.</w:t>
      </w:r>
    </w:p>
    <w:p w:rsidR="002630B7" w:rsidP="00BA0878" w:rsidRDefault="002630B7">
      <w:pPr>
        <w:pStyle w:val="NormalWeb"/>
        <w:rPr>
          <w:color w:val="auto"/>
        </w:rPr>
      </w:pPr>
    </w:p>
    <w:tbl>
      <w:tblPr>
        <w:tblW w:w="3840" w:type="dxa"/>
        <w:jc w:val="center"/>
        <w:tblLook w:val="04A0" w:firstRow="1" w:lastRow="0" w:firstColumn="1" w:lastColumn="0" w:noHBand="0" w:noVBand="1"/>
      </w:tblPr>
      <w:tblGrid>
        <w:gridCol w:w="960"/>
        <w:gridCol w:w="960"/>
        <w:gridCol w:w="960"/>
        <w:gridCol w:w="960"/>
      </w:tblGrid>
      <w:tr w:rsidRPr="00BA0878" w:rsidR="00635EF1" w:rsidTr="00635EF1">
        <w:trPr>
          <w:trHeight w:val="300"/>
          <w:jc w:val="center"/>
        </w:trPr>
        <w:tc>
          <w:tcPr>
            <w:tcW w:w="9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A0878" w:rsidR="00635EF1" w:rsidP="00AA75BA" w:rsidRDefault="00635EF1">
            <w:pPr>
              <w:pStyle w:val="NormalWeb"/>
              <w:jc w:val="center"/>
              <w:rPr>
                <w:b/>
                <w:color w:val="auto"/>
              </w:rPr>
            </w:pPr>
            <w:r w:rsidRPr="00BA0878">
              <w:rPr>
                <w:b/>
                <w:color w:val="auto"/>
              </w:rPr>
              <w:lastRenderedPageBreak/>
              <w:t>201</w:t>
            </w:r>
            <w:r>
              <w:rPr>
                <w:b/>
                <w:color w:val="auto"/>
              </w:rPr>
              <w:t>9</w:t>
            </w:r>
            <w:r w:rsidRPr="00BA0878">
              <w:rPr>
                <w:b/>
                <w:color w:val="auto"/>
                <w:vertAlign w:val="superscript"/>
              </w:rPr>
              <w:t>1</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BA0878" w:rsidR="00635EF1" w:rsidP="00AA75BA" w:rsidRDefault="00635EF1">
            <w:pPr>
              <w:pStyle w:val="NormalWeb"/>
              <w:jc w:val="center"/>
              <w:rPr>
                <w:b/>
                <w:color w:val="auto"/>
              </w:rPr>
            </w:pPr>
            <w:r>
              <w:rPr>
                <w:b/>
                <w:color w:val="auto"/>
              </w:rPr>
              <w:t>2018</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BA0878" w:rsidR="00635EF1" w:rsidP="00AA75BA" w:rsidRDefault="00635EF1">
            <w:pPr>
              <w:pStyle w:val="NormalWeb"/>
              <w:jc w:val="center"/>
              <w:rPr>
                <w:b/>
                <w:color w:val="auto"/>
              </w:rPr>
            </w:pPr>
            <w:r>
              <w:rPr>
                <w:b/>
                <w:color w:val="auto"/>
              </w:rPr>
              <w:t>2017</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BA0878" w:rsidR="00635EF1" w:rsidP="00AA75BA" w:rsidRDefault="00635EF1">
            <w:pPr>
              <w:pStyle w:val="NormalWeb"/>
              <w:jc w:val="center"/>
              <w:rPr>
                <w:b/>
                <w:color w:val="auto"/>
              </w:rPr>
            </w:pPr>
            <w:r>
              <w:rPr>
                <w:b/>
                <w:color w:val="auto"/>
              </w:rPr>
              <w:t>2016</w:t>
            </w:r>
          </w:p>
        </w:tc>
      </w:tr>
      <w:tr w:rsidRPr="00BA0878" w:rsidR="00635EF1" w:rsidTr="00635EF1">
        <w:trPr>
          <w:trHeight w:val="300"/>
          <w:jc w:val="center"/>
        </w:trPr>
        <w:tc>
          <w:tcPr>
            <w:tcW w:w="960" w:type="dxa"/>
            <w:tcBorders>
              <w:top w:val="nil"/>
              <w:left w:val="single" w:color="auto" w:sz="4" w:space="0"/>
              <w:bottom w:val="single" w:color="auto" w:sz="4" w:space="0"/>
              <w:right w:val="single" w:color="auto" w:sz="4" w:space="0"/>
            </w:tcBorders>
            <w:shd w:val="clear" w:color="auto" w:fill="auto"/>
            <w:noWrap/>
            <w:vAlign w:val="bottom"/>
            <w:hideMark/>
          </w:tcPr>
          <w:p w:rsidRPr="00BA0878" w:rsidR="00635EF1" w:rsidP="00AA75BA" w:rsidRDefault="007627EE">
            <w:pPr>
              <w:pStyle w:val="NormalWeb"/>
              <w:jc w:val="center"/>
              <w:rPr>
                <w:color w:val="auto"/>
              </w:rPr>
            </w:pPr>
            <w:r>
              <w:rPr>
                <w:color w:val="auto"/>
              </w:rPr>
              <w:t>98.8</w:t>
            </w:r>
            <w:r w:rsidRPr="00BA0878" w:rsidR="00635EF1">
              <w:rPr>
                <w:color w:val="auto"/>
              </w:rPr>
              <w:t>%</w:t>
            </w:r>
          </w:p>
        </w:tc>
        <w:tc>
          <w:tcPr>
            <w:tcW w:w="960" w:type="dxa"/>
            <w:tcBorders>
              <w:top w:val="nil"/>
              <w:left w:val="nil"/>
              <w:bottom w:val="single" w:color="auto" w:sz="4" w:space="0"/>
              <w:right w:val="single" w:color="auto" w:sz="4" w:space="0"/>
            </w:tcBorders>
            <w:shd w:val="clear" w:color="auto" w:fill="auto"/>
            <w:noWrap/>
            <w:vAlign w:val="bottom"/>
            <w:hideMark/>
          </w:tcPr>
          <w:p w:rsidRPr="00BA0878" w:rsidR="00635EF1" w:rsidP="00AA75BA" w:rsidRDefault="00AA75BA">
            <w:pPr>
              <w:pStyle w:val="NormalWeb"/>
              <w:jc w:val="center"/>
              <w:rPr>
                <w:color w:val="auto"/>
              </w:rPr>
            </w:pPr>
            <w:r>
              <w:rPr>
                <w:color w:val="auto"/>
              </w:rPr>
              <w:t>97.5</w:t>
            </w:r>
            <w:r w:rsidRPr="00BA0878" w:rsidR="00635EF1">
              <w:rPr>
                <w:color w:val="auto"/>
              </w:rPr>
              <w:t>%</w:t>
            </w:r>
          </w:p>
        </w:tc>
        <w:tc>
          <w:tcPr>
            <w:tcW w:w="960" w:type="dxa"/>
            <w:tcBorders>
              <w:top w:val="nil"/>
              <w:left w:val="nil"/>
              <w:bottom w:val="single" w:color="auto" w:sz="4" w:space="0"/>
              <w:right w:val="single" w:color="auto" w:sz="4" w:space="0"/>
            </w:tcBorders>
            <w:shd w:val="clear" w:color="auto" w:fill="auto"/>
            <w:noWrap/>
            <w:vAlign w:val="bottom"/>
            <w:hideMark/>
          </w:tcPr>
          <w:p w:rsidRPr="00BA0878" w:rsidR="00635EF1" w:rsidP="00AA75BA" w:rsidRDefault="00AA75BA">
            <w:pPr>
              <w:pStyle w:val="NormalWeb"/>
              <w:jc w:val="center"/>
              <w:rPr>
                <w:color w:val="auto"/>
              </w:rPr>
            </w:pPr>
            <w:r>
              <w:rPr>
                <w:color w:val="auto"/>
              </w:rPr>
              <w:t>96.6</w:t>
            </w:r>
            <w:r w:rsidRPr="00BA0878" w:rsidR="00635EF1">
              <w:rPr>
                <w:color w:val="auto"/>
              </w:rPr>
              <w:t>%</w:t>
            </w:r>
          </w:p>
        </w:tc>
        <w:tc>
          <w:tcPr>
            <w:tcW w:w="960" w:type="dxa"/>
            <w:tcBorders>
              <w:top w:val="nil"/>
              <w:left w:val="nil"/>
              <w:bottom w:val="single" w:color="auto" w:sz="4" w:space="0"/>
              <w:right w:val="single" w:color="auto" w:sz="4" w:space="0"/>
            </w:tcBorders>
            <w:shd w:val="clear" w:color="auto" w:fill="auto"/>
            <w:noWrap/>
            <w:vAlign w:val="bottom"/>
            <w:hideMark/>
          </w:tcPr>
          <w:p w:rsidRPr="00BA0878" w:rsidR="00635EF1" w:rsidP="00AA75BA" w:rsidRDefault="00AA75BA">
            <w:pPr>
              <w:pStyle w:val="NormalWeb"/>
              <w:jc w:val="center"/>
              <w:rPr>
                <w:color w:val="auto"/>
              </w:rPr>
            </w:pPr>
            <w:r>
              <w:rPr>
                <w:color w:val="auto"/>
              </w:rPr>
              <w:t>9</w:t>
            </w:r>
            <w:r w:rsidRPr="00BA0878" w:rsidR="00635EF1">
              <w:rPr>
                <w:color w:val="auto"/>
              </w:rPr>
              <w:t>7</w:t>
            </w:r>
            <w:r>
              <w:rPr>
                <w:color w:val="auto"/>
              </w:rPr>
              <w:t>.3</w:t>
            </w:r>
            <w:r w:rsidRPr="00BA0878" w:rsidR="00635EF1">
              <w:rPr>
                <w:color w:val="auto"/>
              </w:rPr>
              <w:t>%</w:t>
            </w:r>
          </w:p>
        </w:tc>
      </w:tr>
    </w:tbl>
    <w:p w:rsidRPr="00BA0878" w:rsidR="00BA0878" w:rsidP="00AA75BA" w:rsidRDefault="00BA0878">
      <w:pPr>
        <w:pStyle w:val="NormalWeb"/>
        <w:jc w:val="center"/>
        <w:rPr>
          <w:color w:val="auto"/>
        </w:rPr>
      </w:pPr>
      <w:r w:rsidRPr="00BA0878">
        <w:rPr>
          <w:color w:val="auto"/>
          <w:vertAlign w:val="superscript"/>
        </w:rPr>
        <w:t>1</w:t>
      </w:r>
      <w:r w:rsidRPr="00BA0878">
        <w:rPr>
          <w:color w:val="auto"/>
        </w:rPr>
        <w:t xml:space="preserve">As of </w:t>
      </w:r>
      <w:r w:rsidR="00AE7A2D">
        <w:rPr>
          <w:color w:val="auto"/>
        </w:rPr>
        <w:t>8</w:t>
      </w:r>
      <w:r w:rsidRPr="00BA0878">
        <w:rPr>
          <w:color w:val="auto"/>
        </w:rPr>
        <w:t>/</w:t>
      </w:r>
      <w:r w:rsidR="00AE7A2D">
        <w:rPr>
          <w:color w:val="auto"/>
        </w:rPr>
        <w:t>4</w:t>
      </w:r>
      <w:r w:rsidRPr="00BA0878">
        <w:rPr>
          <w:color w:val="auto"/>
        </w:rPr>
        <w:t>/</w:t>
      </w:r>
      <w:r w:rsidR="00AA75BA">
        <w:rPr>
          <w:color w:val="auto"/>
        </w:rPr>
        <w:t>20</w:t>
      </w:r>
    </w:p>
    <w:p w:rsidRPr="00F4421F" w:rsidR="009C411A" w:rsidP="009C411A" w:rsidRDefault="009C411A">
      <w:pPr>
        <w:pStyle w:val="NormalWeb"/>
        <w:rPr>
          <w:b/>
          <w:color w:val="auto"/>
        </w:rPr>
      </w:pPr>
      <w:r w:rsidRPr="00F4421F">
        <w:rPr>
          <w:b/>
          <w:color w:val="auto"/>
          <w:u w:val="single"/>
        </w:rPr>
        <w:t>Question 4. Efforts to Identify Duplication</w:t>
      </w:r>
    </w:p>
    <w:p w:rsidRPr="0010221D" w:rsidR="0010221D" w:rsidP="0010221D" w:rsidRDefault="0010221D">
      <w:pPr>
        <w:pStyle w:val="NormalWeb"/>
        <w:rPr>
          <w:color w:val="auto"/>
        </w:rPr>
      </w:pPr>
      <w:r w:rsidRPr="0010221D">
        <w:rPr>
          <w:color w:val="auto"/>
        </w:rPr>
        <w:t>Research with other governmen</w:t>
      </w:r>
      <w:r w:rsidR="0053140A">
        <w:rPr>
          <w:color w:val="auto"/>
        </w:rPr>
        <w:t>t</w:t>
      </w:r>
      <w:r w:rsidRPr="0010221D">
        <w:rPr>
          <w:color w:val="auto"/>
        </w:rPr>
        <w:t xml:space="preserve"> agencies, trade associations, and</w:t>
      </w:r>
      <w:r w:rsidR="00021F75">
        <w:rPr>
          <w:color w:val="auto"/>
        </w:rPr>
        <w:t xml:space="preserve"> government and private sector</w:t>
      </w:r>
      <w:r w:rsidRPr="0010221D">
        <w:rPr>
          <w:color w:val="auto"/>
        </w:rPr>
        <w:t xml:space="preserve"> data </w:t>
      </w:r>
      <w:r w:rsidR="00021F75">
        <w:rPr>
          <w:color w:val="auto"/>
        </w:rPr>
        <w:t>users (</w:t>
      </w:r>
      <w:r w:rsidRPr="0010221D">
        <w:rPr>
          <w:color w:val="auto"/>
        </w:rPr>
        <w:t>via telephone conversations, meetings, trade journal articles, and writte</w:t>
      </w:r>
      <w:r w:rsidR="0053140A">
        <w:rPr>
          <w:color w:val="auto"/>
        </w:rPr>
        <w:t>n correspondence</w:t>
      </w:r>
      <w:r w:rsidR="00021F75">
        <w:rPr>
          <w:color w:val="auto"/>
        </w:rPr>
        <w:t>)</w:t>
      </w:r>
      <w:r w:rsidR="0053140A">
        <w:rPr>
          <w:color w:val="auto"/>
        </w:rPr>
        <w:t xml:space="preserve"> indicates the AWTS</w:t>
      </w:r>
      <w:r w:rsidRPr="0010221D">
        <w:rPr>
          <w:color w:val="auto"/>
        </w:rPr>
        <w:t xml:space="preserve"> data are not available from other sources on an ongoing basis.</w:t>
      </w:r>
    </w:p>
    <w:p w:rsidRPr="0010221D" w:rsidR="0010221D" w:rsidP="0010221D" w:rsidRDefault="0010221D">
      <w:pPr>
        <w:pStyle w:val="NormalWeb"/>
        <w:rPr>
          <w:color w:val="auto"/>
        </w:rPr>
      </w:pPr>
      <w:r w:rsidRPr="0010221D">
        <w:rPr>
          <w:color w:val="auto"/>
        </w:rPr>
        <w:t xml:space="preserve">Monthly sales and inventories data are collected in the </w:t>
      </w:r>
      <w:r w:rsidR="0053140A">
        <w:rPr>
          <w:color w:val="auto"/>
        </w:rPr>
        <w:t>MWTS</w:t>
      </w:r>
      <w:r w:rsidRPr="0010221D">
        <w:rPr>
          <w:color w:val="auto"/>
        </w:rPr>
        <w:t xml:space="preserve"> </w:t>
      </w:r>
      <w:r w:rsidR="0053140A">
        <w:rPr>
          <w:color w:val="auto"/>
        </w:rPr>
        <w:t>(</w:t>
      </w:r>
      <w:r w:rsidRPr="0010221D">
        <w:rPr>
          <w:color w:val="auto"/>
        </w:rPr>
        <w:t>OMB No. 0607-0190</w:t>
      </w:r>
      <w:r w:rsidR="0053140A">
        <w:rPr>
          <w:color w:val="auto"/>
        </w:rPr>
        <w:t xml:space="preserve">). </w:t>
      </w:r>
      <w:r w:rsidR="00021F75">
        <w:rPr>
          <w:color w:val="auto"/>
        </w:rPr>
        <w:t>However, this</w:t>
      </w:r>
      <w:r w:rsidRPr="0010221D">
        <w:rPr>
          <w:color w:val="auto"/>
        </w:rPr>
        <w:t xml:space="preserve"> monthly survey is voluntary and requests sales and end-of-month inventories data from a smaller sample of </w:t>
      </w:r>
      <w:r w:rsidR="00021F75">
        <w:rPr>
          <w:color w:val="auto"/>
        </w:rPr>
        <w:t xml:space="preserve">firms. </w:t>
      </w:r>
      <w:r w:rsidRPr="0010221D">
        <w:rPr>
          <w:color w:val="auto"/>
        </w:rPr>
        <w:t xml:space="preserve">The </w:t>
      </w:r>
      <w:r w:rsidR="00544472">
        <w:rPr>
          <w:color w:val="auto"/>
        </w:rPr>
        <w:t>mandatory AWTS, which occurs on an annual basis, collects more detailed items. I</w:t>
      </w:r>
      <w:r w:rsidR="00021F75">
        <w:rPr>
          <w:color w:val="auto"/>
        </w:rPr>
        <w:t xml:space="preserve">t </w:t>
      </w:r>
      <w:r w:rsidRPr="0010221D">
        <w:rPr>
          <w:color w:val="auto"/>
        </w:rPr>
        <w:t>serve</w:t>
      </w:r>
      <w:r w:rsidR="00162318">
        <w:rPr>
          <w:color w:val="auto"/>
        </w:rPr>
        <w:t>s</w:t>
      </w:r>
      <w:r w:rsidRPr="0010221D">
        <w:rPr>
          <w:color w:val="auto"/>
        </w:rPr>
        <w:t xml:space="preserve"> as a benchmark for the monthly sales and end-of-month inventories est</w:t>
      </w:r>
      <w:r w:rsidR="00301849">
        <w:rPr>
          <w:color w:val="auto"/>
        </w:rPr>
        <w:t xml:space="preserve">imates. </w:t>
      </w:r>
      <w:r w:rsidR="00021F75">
        <w:rPr>
          <w:color w:val="auto"/>
        </w:rPr>
        <w:t xml:space="preserve">The annual program </w:t>
      </w:r>
      <w:proofErr w:type="gramStart"/>
      <w:r w:rsidR="00162318">
        <w:rPr>
          <w:color w:val="auto"/>
        </w:rPr>
        <w:t>is also intended</w:t>
      </w:r>
      <w:proofErr w:type="gramEnd"/>
      <w:r w:rsidR="00162318">
        <w:rPr>
          <w:color w:val="auto"/>
        </w:rPr>
        <w:t xml:space="preserve"> to </w:t>
      </w:r>
      <w:r w:rsidR="00021F75">
        <w:rPr>
          <w:color w:val="auto"/>
        </w:rPr>
        <w:t>p</w:t>
      </w:r>
      <w:r w:rsidRPr="0010221D">
        <w:rPr>
          <w:color w:val="auto"/>
        </w:rPr>
        <w:t xml:space="preserve">rovide </w:t>
      </w:r>
      <w:r w:rsidR="00021F75">
        <w:rPr>
          <w:color w:val="auto"/>
        </w:rPr>
        <w:t xml:space="preserve">wholesale trade estimates </w:t>
      </w:r>
      <w:r w:rsidRPr="0010221D">
        <w:rPr>
          <w:color w:val="auto"/>
        </w:rPr>
        <w:t xml:space="preserve">in the </w:t>
      </w:r>
      <w:r w:rsidR="00301849">
        <w:rPr>
          <w:color w:val="auto"/>
        </w:rPr>
        <w:t>period</w:t>
      </w:r>
      <w:r w:rsidRPr="0010221D">
        <w:rPr>
          <w:color w:val="auto"/>
        </w:rPr>
        <w:t xml:space="preserve"> between </w:t>
      </w:r>
      <w:r w:rsidR="00162318">
        <w:rPr>
          <w:color w:val="auto"/>
        </w:rPr>
        <w:t xml:space="preserve">Economic Census collections, which </w:t>
      </w:r>
      <w:r w:rsidR="00301849">
        <w:rPr>
          <w:color w:val="auto"/>
        </w:rPr>
        <w:t>take place</w:t>
      </w:r>
      <w:r w:rsidR="00162318">
        <w:rPr>
          <w:color w:val="auto"/>
        </w:rPr>
        <w:t xml:space="preserve"> in years ending in </w:t>
      </w:r>
      <w:r w:rsidR="00545DAB">
        <w:rPr>
          <w:color w:val="auto"/>
        </w:rPr>
        <w:t>“</w:t>
      </w:r>
      <w:r w:rsidR="00162318">
        <w:rPr>
          <w:color w:val="auto"/>
        </w:rPr>
        <w:t>2</w:t>
      </w:r>
      <w:r w:rsidR="00545DAB">
        <w:rPr>
          <w:color w:val="auto"/>
        </w:rPr>
        <w:t>”</w:t>
      </w:r>
      <w:r w:rsidR="00162318">
        <w:rPr>
          <w:color w:val="auto"/>
        </w:rPr>
        <w:t xml:space="preserve"> and </w:t>
      </w:r>
      <w:r w:rsidR="00545DAB">
        <w:rPr>
          <w:color w:val="auto"/>
        </w:rPr>
        <w:t>“</w:t>
      </w:r>
      <w:r w:rsidR="00162318">
        <w:rPr>
          <w:color w:val="auto"/>
        </w:rPr>
        <w:t>7</w:t>
      </w:r>
      <w:r w:rsidR="00545DAB">
        <w:rPr>
          <w:color w:val="auto"/>
        </w:rPr>
        <w:t>”.</w:t>
      </w:r>
    </w:p>
    <w:p w:rsidRPr="00F4421F" w:rsidR="009C411A" w:rsidP="009C411A" w:rsidRDefault="009C411A">
      <w:pPr>
        <w:pStyle w:val="NormalWeb"/>
        <w:rPr>
          <w:b/>
          <w:color w:val="auto"/>
        </w:rPr>
      </w:pPr>
      <w:r w:rsidRPr="00F4421F">
        <w:rPr>
          <w:b/>
          <w:color w:val="auto"/>
          <w:u w:val="single"/>
        </w:rPr>
        <w:t>Question 5. Minimizing Burden</w:t>
      </w:r>
    </w:p>
    <w:p w:rsidR="00387584" w:rsidP="00387584" w:rsidRDefault="00387584">
      <w:pPr>
        <w:pStyle w:val="NormalWeb"/>
        <w:rPr>
          <w:color w:val="auto"/>
        </w:rPr>
      </w:pPr>
      <w:r w:rsidRPr="00387584">
        <w:rPr>
          <w:color w:val="auto"/>
        </w:rPr>
        <w:t xml:space="preserve">The Census Bureau attempts to minimize burden by using a stratified </w:t>
      </w:r>
      <w:r w:rsidR="00330822">
        <w:rPr>
          <w:color w:val="auto"/>
        </w:rPr>
        <w:t xml:space="preserve">simple </w:t>
      </w:r>
      <w:r w:rsidRPr="00387584">
        <w:rPr>
          <w:color w:val="auto"/>
        </w:rPr>
        <w:t>random sample design, which uses the least number of sampling units required to produce national</w:t>
      </w:r>
      <w:r w:rsidR="00330822">
        <w:rPr>
          <w:color w:val="auto"/>
        </w:rPr>
        <w:t>-</w:t>
      </w:r>
      <w:r w:rsidRPr="00387584">
        <w:rPr>
          <w:color w:val="auto"/>
        </w:rPr>
        <w:t xml:space="preserve">level estimates with the desired level of reliability. Data are collected from the largest firms and from a sample of small- and medium-sized firms. The effective sampling rate for the small- and </w:t>
      </w:r>
      <w:r w:rsidRPr="00EC4745">
        <w:rPr>
          <w:color w:val="auto"/>
        </w:rPr>
        <w:t xml:space="preserve">medium-sized firms is approximately 2% of the universe. </w:t>
      </w:r>
    </w:p>
    <w:p w:rsidRPr="00EC4745" w:rsidR="008E271A" w:rsidP="00387584" w:rsidRDefault="008E271A">
      <w:pPr>
        <w:pStyle w:val="NormalWeb"/>
        <w:rPr>
          <w:color w:val="auto"/>
        </w:rPr>
      </w:pPr>
      <w:r>
        <w:rPr>
          <w:color w:val="auto"/>
        </w:rPr>
        <w:t>As previously noted, the Centurion reporting instrument is resp</w:t>
      </w:r>
      <w:r w:rsidR="00CD44D4">
        <w:rPr>
          <w:color w:val="auto"/>
        </w:rPr>
        <w:t>onse-driven, which reduces</w:t>
      </w:r>
      <w:r w:rsidR="002C2D04">
        <w:rPr>
          <w:color w:val="auto"/>
        </w:rPr>
        <w:t xml:space="preserve"> overall </w:t>
      </w:r>
      <w:r w:rsidR="00CD44D4">
        <w:rPr>
          <w:color w:val="auto"/>
        </w:rPr>
        <w:t xml:space="preserve">burden. Likewise, the removal of </w:t>
      </w:r>
      <w:r w:rsidRPr="00306F9B" w:rsidR="00CD44D4">
        <w:rPr>
          <w:szCs w:val="20"/>
        </w:rPr>
        <w:t xml:space="preserve">SA-42 and SA-42-AGBR </w:t>
      </w:r>
      <w:r w:rsidR="00CD44D4">
        <w:rPr>
          <w:szCs w:val="20"/>
        </w:rPr>
        <w:t>will</w:t>
      </w:r>
      <w:r w:rsidRPr="00306F9B" w:rsidR="00CD44D4">
        <w:rPr>
          <w:szCs w:val="20"/>
        </w:rPr>
        <w:t xml:space="preserve"> </w:t>
      </w:r>
      <w:r w:rsidR="002C2D04">
        <w:rPr>
          <w:szCs w:val="20"/>
        </w:rPr>
        <w:t>decrease</w:t>
      </w:r>
      <w:r w:rsidRPr="00306F9B" w:rsidR="00CD44D4">
        <w:rPr>
          <w:szCs w:val="20"/>
        </w:rPr>
        <w:t xml:space="preserve"> respondent burden</w:t>
      </w:r>
      <w:r w:rsidR="00CD44D4">
        <w:rPr>
          <w:szCs w:val="20"/>
        </w:rPr>
        <w:t>. (Only SA-42 and SA-42-AGBR asked respondents about their payroll employer identification number, so the companies pr</w:t>
      </w:r>
      <w:r w:rsidR="00EF77F2">
        <w:rPr>
          <w:szCs w:val="20"/>
        </w:rPr>
        <w:t>eviously receiving SA-42 and SA</w:t>
      </w:r>
      <w:r w:rsidR="00CD44D4">
        <w:rPr>
          <w:szCs w:val="20"/>
        </w:rPr>
        <w:t>-42-AGBR will now receive</w:t>
      </w:r>
      <w:r w:rsidR="00E15B5E">
        <w:rPr>
          <w:szCs w:val="20"/>
        </w:rPr>
        <w:t xml:space="preserve"> one less question during this three</w:t>
      </w:r>
      <w:r w:rsidR="00CD44D4">
        <w:rPr>
          <w:szCs w:val="20"/>
        </w:rPr>
        <w:t>-year clearance window.)</w:t>
      </w:r>
      <w:r w:rsidR="00CD44D4">
        <w:rPr>
          <w:color w:val="auto"/>
        </w:rPr>
        <w:t xml:space="preserve"> </w:t>
      </w:r>
    </w:p>
    <w:p w:rsidRPr="00F4421F" w:rsidR="009C411A" w:rsidP="009C411A" w:rsidRDefault="009C411A">
      <w:pPr>
        <w:pStyle w:val="NormalWeb"/>
        <w:rPr>
          <w:b/>
          <w:color w:val="auto"/>
        </w:rPr>
      </w:pPr>
      <w:r w:rsidRPr="00F4421F">
        <w:rPr>
          <w:b/>
          <w:color w:val="auto"/>
          <w:u w:val="single"/>
        </w:rPr>
        <w:t>Question 6. Consequences of Less Frequent Collection</w:t>
      </w:r>
    </w:p>
    <w:p w:rsidRPr="00EC4745" w:rsidR="00EC4745" w:rsidP="00EC4745" w:rsidRDefault="00EC4745">
      <w:pPr>
        <w:pStyle w:val="NormalWeb"/>
        <w:rPr>
          <w:color w:val="auto"/>
        </w:rPr>
      </w:pPr>
      <w:r w:rsidRPr="00EC4745">
        <w:rPr>
          <w:color w:val="auto"/>
        </w:rPr>
        <w:t xml:space="preserve">Less frequent data collection </w:t>
      </w:r>
      <w:r>
        <w:rPr>
          <w:color w:val="auto"/>
        </w:rPr>
        <w:t xml:space="preserve">would significantly </w:t>
      </w:r>
      <w:proofErr w:type="gramStart"/>
      <w:r>
        <w:rPr>
          <w:color w:val="auto"/>
        </w:rPr>
        <w:t>impact</w:t>
      </w:r>
      <w:proofErr w:type="gramEnd"/>
      <w:r>
        <w:rPr>
          <w:color w:val="auto"/>
        </w:rPr>
        <w:t xml:space="preserve"> the MWTS, a key economic indicator. Specifically, the MWTS</w:t>
      </w:r>
      <w:r w:rsidRPr="00EC4745">
        <w:rPr>
          <w:color w:val="auto"/>
        </w:rPr>
        <w:t xml:space="preserve"> sales and end-of-month inventories estimates</w:t>
      </w:r>
      <w:r>
        <w:rPr>
          <w:color w:val="auto"/>
        </w:rPr>
        <w:t xml:space="preserve"> are benchmarked to the AWTS estimates. If </w:t>
      </w:r>
      <w:r w:rsidR="003B7679">
        <w:rPr>
          <w:color w:val="auto"/>
        </w:rPr>
        <w:t>the AWTS estimates were not available as often as they currently are</w:t>
      </w:r>
      <w:r>
        <w:rPr>
          <w:color w:val="auto"/>
        </w:rPr>
        <w:t xml:space="preserve">, this would decrease the accuracy of the MWTS data. A reduction in the frequency of the AWTS would also </w:t>
      </w:r>
      <w:r w:rsidR="003B7679">
        <w:rPr>
          <w:color w:val="auto"/>
        </w:rPr>
        <w:t>yield</w:t>
      </w:r>
      <w:r>
        <w:rPr>
          <w:color w:val="auto"/>
        </w:rPr>
        <w:t xml:space="preserve"> a decrease in the accuracy of the</w:t>
      </w:r>
      <w:r w:rsidRPr="00EC4745">
        <w:rPr>
          <w:color w:val="auto"/>
        </w:rPr>
        <w:t xml:space="preserve"> GDP </w:t>
      </w:r>
      <w:r>
        <w:rPr>
          <w:color w:val="auto"/>
        </w:rPr>
        <w:t>estimates</w:t>
      </w:r>
      <w:r w:rsidR="003B7679">
        <w:rPr>
          <w:color w:val="auto"/>
        </w:rPr>
        <w:t>, because the BEA uses the AWTS data when producing the GDP estimates</w:t>
      </w:r>
      <w:r w:rsidRPr="00EC4745">
        <w:rPr>
          <w:color w:val="auto"/>
        </w:rPr>
        <w:t>.</w:t>
      </w:r>
    </w:p>
    <w:p w:rsidRPr="00F4421F" w:rsidR="009C411A" w:rsidP="009C411A" w:rsidRDefault="009C411A">
      <w:pPr>
        <w:pStyle w:val="NormalWeb"/>
        <w:rPr>
          <w:b/>
          <w:color w:val="auto"/>
        </w:rPr>
      </w:pPr>
      <w:r w:rsidRPr="00F4421F">
        <w:rPr>
          <w:b/>
          <w:color w:val="auto"/>
          <w:u w:val="single"/>
        </w:rPr>
        <w:t>Question 7. Special Circumstances</w:t>
      </w:r>
    </w:p>
    <w:p w:rsidRPr="00013582" w:rsidR="00013582" w:rsidP="00013582" w:rsidRDefault="00013582">
      <w:pPr>
        <w:pStyle w:val="NormalWeb"/>
        <w:rPr>
          <w:color w:val="auto"/>
        </w:rPr>
      </w:pPr>
      <w:r w:rsidRPr="00013582">
        <w:rPr>
          <w:color w:val="auto"/>
        </w:rPr>
        <w:t xml:space="preserve">There are no special circumstances. </w:t>
      </w:r>
    </w:p>
    <w:p w:rsidRPr="00F4421F" w:rsidR="009C411A" w:rsidP="009C411A" w:rsidRDefault="009C411A">
      <w:pPr>
        <w:pStyle w:val="NormalWeb"/>
        <w:rPr>
          <w:b/>
          <w:color w:val="auto"/>
        </w:rPr>
      </w:pPr>
      <w:r w:rsidRPr="00F4421F">
        <w:rPr>
          <w:b/>
          <w:color w:val="auto"/>
          <w:u w:val="single"/>
        </w:rPr>
        <w:lastRenderedPageBreak/>
        <w:t xml:space="preserve">Question 8. Consultations </w:t>
      </w:r>
      <w:proofErr w:type="gramStart"/>
      <w:r w:rsidRPr="00F4421F">
        <w:rPr>
          <w:b/>
          <w:color w:val="auto"/>
          <w:u w:val="single"/>
        </w:rPr>
        <w:t>Outside</w:t>
      </w:r>
      <w:proofErr w:type="gramEnd"/>
      <w:r w:rsidRPr="00F4421F">
        <w:rPr>
          <w:b/>
          <w:color w:val="auto"/>
          <w:u w:val="single"/>
        </w:rPr>
        <w:t xml:space="preserve"> the Agency</w:t>
      </w:r>
    </w:p>
    <w:p w:rsidRPr="00A91424" w:rsidR="00F813E0" w:rsidP="00F813E0" w:rsidRDefault="00F813E0">
      <w:pPr>
        <w:rPr>
          <w:rFonts w:ascii="Calibri" w:hAnsi="Calibri" w:cs="Calibri"/>
        </w:rPr>
      </w:pPr>
      <w:r w:rsidRPr="00A91424">
        <w:t xml:space="preserve">The Census Bureau issued a pre-submission notice that </w:t>
      </w:r>
      <w:proofErr w:type="gramStart"/>
      <w:r w:rsidRPr="00A91424">
        <w:t>was published</w:t>
      </w:r>
      <w:proofErr w:type="gramEnd"/>
      <w:r w:rsidRPr="00A91424">
        <w:t xml:space="preserve"> in the Federal Register on Wednesday, June 3, 2020 (Vol. 85, No. 107). The notice is located on pages 34174 and 34175. In response to the notice, the Census Bureau received a letter of support from the BEA (see Attachment 1). The Census Bureau thanks the BEA for its continued support of this collection. </w:t>
      </w:r>
    </w:p>
    <w:p w:rsidRPr="00A91424" w:rsidR="00F813E0" w:rsidP="00F813E0" w:rsidRDefault="00F813E0">
      <w:pPr>
        <w:rPr>
          <w:rFonts w:ascii="Calibri" w:hAnsi="Calibri" w:cs="Calibri"/>
        </w:rPr>
      </w:pPr>
    </w:p>
    <w:p w:rsidRPr="00A91424" w:rsidR="00F813E0" w:rsidP="00F813E0" w:rsidRDefault="00F813E0">
      <w:pPr>
        <w:rPr>
          <w:rFonts w:ascii="Calibri" w:hAnsi="Calibri" w:cs="Calibri"/>
        </w:rPr>
      </w:pPr>
      <w:r w:rsidRPr="00A91424">
        <w:t xml:space="preserve">In addition to the letter of support from the BEA, the Census Bureau received comments from one individual. The commenter noted that some businesses find the published data useful for things like identifying market share and analyzing new business opportunities. However, the person expressed concerns that some respondents, particularly smaller businesses, may find the AWTS burdensome and not benefit from the estimates produced from the survey. The commenter called into question the overall value of the survey. The individual also expressed concerns that the sampling procedures used for the AWTS may not produce accurate information. Finally, the person made three recommendations: consider abolishing the AWTS, respond to improved approaches to data collection, and ensure that the data extracted from the survey are relevant to current business practices. </w:t>
      </w:r>
    </w:p>
    <w:p w:rsidRPr="00A91424" w:rsidR="00F813E0" w:rsidP="00F813E0" w:rsidRDefault="00F813E0">
      <w:pPr>
        <w:rPr>
          <w:rFonts w:ascii="Calibri" w:hAnsi="Calibri" w:cs="Calibri"/>
        </w:rPr>
      </w:pPr>
    </w:p>
    <w:p w:rsidRPr="00A91424" w:rsidR="00F813E0" w:rsidP="00F813E0" w:rsidRDefault="00F813E0">
      <w:pPr>
        <w:rPr>
          <w:rFonts w:ascii="Calibri" w:hAnsi="Calibri" w:cs="Calibri"/>
        </w:rPr>
      </w:pPr>
      <w:r w:rsidRPr="00A91424">
        <w:t xml:space="preserve">As the commenter mentioned, businesses use the AWTS data for a variety of reasons, including </w:t>
      </w:r>
      <w:proofErr w:type="gramStart"/>
      <w:r w:rsidRPr="00A91424">
        <w:t>to compute business activity indices, conduct economic market analysis, forecast future demand, and evaluate</w:t>
      </w:r>
      <w:proofErr w:type="gramEnd"/>
      <w:r w:rsidRPr="00A91424">
        <w:t xml:space="preserve"> company performance. The Census Bureau publishes the estimates generated from the survey on an annual basis. All individuals, businesses (including all respondents), and organizations have free access to the data. Businesses are not the only users of the AWTS data. The AWTS serves as a benchmark for the MWTS estimates. The BEA employs the data in a number of ways, including </w:t>
      </w:r>
      <w:proofErr w:type="gramStart"/>
      <w:r w:rsidRPr="00A91424">
        <w:t>to estimate</w:t>
      </w:r>
      <w:proofErr w:type="gramEnd"/>
      <w:r w:rsidRPr="00A91424">
        <w:t xml:space="preserve"> the change in the private inventories component of GDP. Another government agency, the BLS, uses the data as an input to its producer price indices and in developing productivity measurements. The Needs and Uses section provides additional details about the users and uses of the AWTS data. As mentioned in the Efforts to Identify Duplication section, research with other government agencies, trade associations, and government and private sector data users indicates the AWTS data are not available from other sources on an ongoing basis. External parties </w:t>
      </w:r>
      <w:proofErr w:type="gramStart"/>
      <w:r w:rsidRPr="00A91424">
        <w:t>are also consulted</w:t>
      </w:r>
      <w:proofErr w:type="gramEnd"/>
      <w:r w:rsidRPr="00A91424">
        <w:t xml:space="preserve"> to ensure the Census Bureau</w:t>
      </w:r>
      <w:r>
        <w:t>’s</w:t>
      </w:r>
      <w:r w:rsidRPr="00A91424">
        <w:t xml:space="preserve"> surveys are collecting information relevant in today's economy. </w:t>
      </w:r>
    </w:p>
    <w:p w:rsidRPr="00A91424" w:rsidR="00F813E0" w:rsidP="00F813E0" w:rsidRDefault="00F813E0">
      <w:pPr>
        <w:rPr>
          <w:rFonts w:ascii="Calibri" w:hAnsi="Calibri" w:cs="Calibri"/>
        </w:rPr>
      </w:pPr>
    </w:p>
    <w:p w:rsidRPr="00A91424" w:rsidR="00F813E0" w:rsidP="00F813E0" w:rsidRDefault="00F813E0">
      <w:pPr>
        <w:rPr>
          <w:rFonts w:ascii="Calibri" w:hAnsi="Calibri" w:cs="Calibri"/>
        </w:rPr>
      </w:pPr>
      <w:r w:rsidRPr="00A91424">
        <w:t xml:space="preserve">The Census Bureau makes every effort to minimize the burden on all respondents. The agency evaluates the necessity of each item collected via the survey by interacting with stakeholders. Centurion, the electronic reporting instrument, is response-driven, which reduces burden by only showing applicable questions to the respondent. The usage of an electronic reporting system with a response-driven design demonstrates the Census Bureau's continued commitment to making the data collection process as easy and reliable as possible. Each year, the survey staff evaluates the design of the reporting instrument and looks for general improvements that </w:t>
      </w:r>
      <w:proofErr w:type="gramStart"/>
      <w:r w:rsidRPr="00A91424">
        <w:t>can be made</w:t>
      </w:r>
      <w:proofErr w:type="gramEnd"/>
      <w:r w:rsidRPr="00A91424">
        <w:t xml:space="preserve"> in the data collection process. This ensures the data collection minimizes respondent burden as much as possible but still enables the agency to capture accurate information. The Census Bureau also accepts estimates from companies when book figures are not readily available. </w:t>
      </w:r>
    </w:p>
    <w:p w:rsidRPr="00A91424" w:rsidR="00F813E0" w:rsidP="00F813E0" w:rsidRDefault="00F813E0">
      <w:pPr>
        <w:rPr>
          <w:rFonts w:ascii="Calibri" w:hAnsi="Calibri" w:cs="Calibri"/>
        </w:rPr>
      </w:pPr>
    </w:p>
    <w:p w:rsidRPr="00A91424" w:rsidR="00F813E0" w:rsidP="00F813E0" w:rsidRDefault="00F813E0">
      <w:pPr>
        <w:rPr>
          <w:rFonts w:ascii="Calibri" w:hAnsi="Calibri" w:cs="Calibri"/>
        </w:rPr>
      </w:pPr>
      <w:r w:rsidRPr="00A91424">
        <w:t xml:space="preserve">Revising the sample </w:t>
      </w:r>
      <w:r>
        <w:t xml:space="preserve">approximately </w:t>
      </w:r>
      <w:r w:rsidR="00017830">
        <w:t>every five to seven</w:t>
      </w:r>
      <w:r w:rsidRPr="00A91424">
        <w:t xml:space="preserve"> years also reduces burden. As discussed in Part B (Universe and Respondent Selection section), </w:t>
      </w:r>
      <w:proofErr w:type="spellStart"/>
      <w:r w:rsidRPr="00A91424">
        <w:t>noncertainty</w:t>
      </w:r>
      <w:proofErr w:type="spellEnd"/>
      <w:r w:rsidRPr="00A91424">
        <w:t xml:space="preserve"> firms from the previous </w:t>
      </w:r>
      <w:r w:rsidRPr="00A91424">
        <w:lastRenderedPageBreak/>
        <w:t xml:space="preserve">sample are placed in a </w:t>
      </w:r>
      <w:proofErr w:type="spellStart"/>
      <w:r w:rsidRPr="00A91424">
        <w:t>nonselection</w:t>
      </w:r>
      <w:proofErr w:type="spellEnd"/>
      <w:r w:rsidRPr="00A91424">
        <w:t xml:space="preserve"> category for the new sample if their exclusion would not bias the sample. Overall, the effective sampling rate for the small- and medium-sized firms is approximately 2% of the universe. The Census Bureau staff continuously evaluates the methodological procedures employed for the AWTS to make sure they are producing reliable and useful information in a way that minimizes burden on respondents. Part B provides additional information regarding the methodology behind the AWTS, including sampling and benchmarking processes.</w:t>
      </w:r>
    </w:p>
    <w:p w:rsidRPr="00A91424" w:rsidR="00F813E0" w:rsidP="00F813E0" w:rsidRDefault="00F813E0">
      <w:pPr>
        <w:rPr>
          <w:rFonts w:ascii="Calibri" w:hAnsi="Calibri" w:cs="Calibri"/>
        </w:rPr>
      </w:pPr>
    </w:p>
    <w:p w:rsidRPr="00A91424" w:rsidR="00F813E0" w:rsidP="00F813E0" w:rsidRDefault="00F813E0">
      <w:pPr>
        <w:rPr>
          <w:rFonts w:ascii="Calibri" w:hAnsi="Calibri" w:cs="Calibri"/>
        </w:rPr>
      </w:pPr>
      <w:r w:rsidRPr="00A91424">
        <w:t xml:space="preserve">During 2018, a National Academy of Sciences (NAS) panel issued </w:t>
      </w:r>
      <w:hyperlink w:tgtFrame="_blank" w:history="1" r:id="rId12">
        <w:r w:rsidRPr="00A91424">
          <w:rPr>
            <w:color w:val="0000FF"/>
            <w:u w:val="single"/>
          </w:rPr>
          <w:t>recommendations</w:t>
        </w:r>
      </w:hyperlink>
      <w:r w:rsidRPr="00A91424">
        <w:t xml:space="preserve"> for the Census Bureau’s annual economic surveys. The Census Bureau is using these suggestions to improve its surveys. (This project </w:t>
      </w:r>
      <w:proofErr w:type="gramStart"/>
      <w:r w:rsidRPr="00A91424">
        <w:t>was sponsored</w:t>
      </w:r>
      <w:proofErr w:type="gramEnd"/>
      <w:r w:rsidRPr="00A91424">
        <w:t xml:space="preserve"> by the Census Bureau, which asked the Committee on National Statistics to convene a panel to review the Census Bureau’s portfolio of annual economic surveys.) </w:t>
      </w:r>
    </w:p>
    <w:p w:rsidRPr="00A91424" w:rsidR="00F813E0" w:rsidP="00F813E0" w:rsidRDefault="00F813E0"/>
    <w:p w:rsidRPr="00A91424" w:rsidR="00F813E0" w:rsidP="00F813E0" w:rsidRDefault="00F813E0">
      <w:pPr>
        <w:rPr>
          <w:rFonts w:ascii="Calibri" w:hAnsi="Calibri" w:cs="Calibri"/>
        </w:rPr>
      </w:pPr>
      <w:r w:rsidRPr="00A91424">
        <w:t xml:space="preserve">Because the AWTS will continue to use the same sample of businesses and request essentially the same information during this three-year clearance window, new research </w:t>
      </w:r>
      <w:proofErr w:type="gramStart"/>
      <w:r w:rsidRPr="00A91424">
        <w:t>was not conducted</w:t>
      </w:r>
      <w:proofErr w:type="gramEnd"/>
      <w:r w:rsidRPr="00A91424">
        <w:t xml:space="preserve"> with respondents to investigate recordkeeping practices, ease of reporting, etc.</w:t>
      </w:r>
    </w:p>
    <w:p w:rsidRPr="00F4421F" w:rsidR="009C411A" w:rsidP="009C411A" w:rsidRDefault="009C411A">
      <w:pPr>
        <w:pStyle w:val="NormalWeb"/>
        <w:rPr>
          <w:b/>
          <w:color w:val="auto"/>
          <w:u w:val="single"/>
        </w:rPr>
      </w:pPr>
      <w:r w:rsidRPr="00F4421F">
        <w:rPr>
          <w:b/>
          <w:color w:val="auto"/>
          <w:u w:val="single"/>
        </w:rPr>
        <w:t>Question 9. Paying Respondents</w:t>
      </w:r>
    </w:p>
    <w:p w:rsidRPr="00793CB3" w:rsidR="00793CB3" w:rsidP="00793CB3" w:rsidRDefault="00793CB3">
      <w:pPr>
        <w:pStyle w:val="NormalWeb"/>
        <w:rPr>
          <w:color w:val="auto"/>
        </w:rPr>
      </w:pPr>
      <w:r>
        <w:rPr>
          <w:color w:val="auto"/>
        </w:rPr>
        <w:t>The AWTS</w:t>
      </w:r>
      <w:r w:rsidRPr="00793CB3">
        <w:rPr>
          <w:color w:val="auto"/>
        </w:rPr>
        <w:t xml:space="preserve"> do</w:t>
      </w:r>
      <w:r>
        <w:rPr>
          <w:color w:val="auto"/>
        </w:rPr>
        <w:t>es</w:t>
      </w:r>
      <w:r w:rsidRPr="00793CB3">
        <w:rPr>
          <w:color w:val="auto"/>
        </w:rPr>
        <w:t xml:space="preserve"> not provide any payment</w:t>
      </w:r>
      <w:r>
        <w:rPr>
          <w:color w:val="auto"/>
        </w:rPr>
        <w:t>s</w:t>
      </w:r>
      <w:r w:rsidRPr="00793CB3">
        <w:rPr>
          <w:color w:val="auto"/>
        </w:rPr>
        <w:t xml:space="preserve"> or gift</w:t>
      </w:r>
      <w:r>
        <w:rPr>
          <w:color w:val="auto"/>
        </w:rPr>
        <w:t>s</w:t>
      </w:r>
      <w:r w:rsidRPr="00793CB3">
        <w:rPr>
          <w:color w:val="auto"/>
        </w:rPr>
        <w:t xml:space="preserve"> to respondents.</w:t>
      </w:r>
    </w:p>
    <w:p w:rsidRPr="00F4421F" w:rsidR="009C411A" w:rsidP="009C411A" w:rsidRDefault="009C411A">
      <w:pPr>
        <w:pStyle w:val="NormalWeb"/>
        <w:rPr>
          <w:b/>
          <w:color w:val="auto"/>
        </w:rPr>
      </w:pPr>
      <w:r w:rsidRPr="00F4421F">
        <w:rPr>
          <w:b/>
          <w:color w:val="auto"/>
          <w:u w:val="single"/>
        </w:rPr>
        <w:t>Question 10. Assurance of Confidentiality</w:t>
      </w:r>
    </w:p>
    <w:p w:rsidRPr="001264F9" w:rsidR="00494451" w:rsidP="00793CB3" w:rsidRDefault="00891817">
      <w:pPr>
        <w:pStyle w:val="NormalWeb"/>
        <w:rPr>
          <w:color w:val="auto"/>
        </w:rPr>
      </w:pPr>
      <w:r w:rsidRPr="001264F9">
        <w:rPr>
          <w:color w:val="auto"/>
        </w:rPr>
        <w:t>The initial letter</w:t>
      </w:r>
      <w:r w:rsidRPr="001264F9" w:rsidR="00851CAC">
        <w:rPr>
          <w:color w:val="auto"/>
        </w:rPr>
        <w:t xml:space="preserve"> (see </w:t>
      </w:r>
      <w:r w:rsidR="00965F23">
        <w:rPr>
          <w:color w:val="auto"/>
        </w:rPr>
        <w:t>Attachment 2</w:t>
      </w:r>
      <w:r w:rsidRPr="001264F9" w:rsidR="00793CB3">
        <w:rPr>
          <w:color w:val="auto"/>
        </w:rPr>
        <w:t xml:space="preserve">), </w:t>
      </w:r>
      <w:r w:rsidRPr="001264F9" w:rsidR="00851CAC">
        <w:rPr>
          <w:color w:val="auto"/>
        </w:rPr>
        <w:t xml:space="preserve">welcome screen in the </w:t>
      </w:r>
      <w:r w:rsidRPr="001264F9">
        <w:rPr>
          <w:color w:val="auto"/>
        </w:rPr>
        <w:t xml:space="preserve">electronic reporting instrument </w:t>
      </w:r>
      <w:r w:rsidRPr="001264F9" w:rsidR="00793CB3">
        <w:rPr>
          <w:color w:val="auto"/>
        </w:rPr>
        <w:t>(</w:t>
      </w:r>
      <w:r w:rsidRPr="001264F9" w:rsidR="00851CAC">
        <w:rPr>
          <w:color w:val="auto"/>
        </w:rPr>
        <w:t xml:space="preserve">see </w:t>
      </w:r>
      <w:r w:rsidR="00965F23">
        <w:rPr>
          <w:color w:val="auto"/>
        </w:rPr>
        <w:t>Attachment 3</w:t>
      </w:r>
      <w:r w:rsidRPr="001264F9" w:rsidR="00851CAC">
        <w:rPr>
          <w:color w:val="auto"/>
        </w:rPr>
        <w:t xml:space="preserve">), and </w:t>
      </w:r>
      <w:r w:rsidRPr="001264F9" w:rsidR="00793CB3">
        <w:rPr>
          <w:color w:val="auto"/>
        </w:rPr>
        <w:t>respondent worksheets (</w:t>
      </w:r>
      <w:r w:rsidRPr="001264F9" w:rsidR="00A01A13">
        <w:rPr>
          <w:color w:val="auto"/>
        </w:rPr>
        <w:t>see</w:t>
      </w:r>
      <w:r w:rsidR="00965F23">
        <w:rPr>
          <w:color w:val="auto"/>
        </w:rPr>
        <w:t xml:space="preserve"> Attachment 4</w:t>
      </w:r>
      <w:r w:rsidRPr="001264F9" w:rsidR="00793CB3">
        <w:rPr>
          <w:color w:val="auto"/>
        </w:rPr>
        <w:t>)</w:t>
      </w:r>
      <w:r w:rsidRPr="001264F9">
        <w:rPr>
          <w:color w:val="auto"/>
        </w:rPr>
        <w:t xml:space="preserve"> convey the specific </w:t>
      </w:r>
      <w:r w:rsidRPr="001264F9" w:rsidR="00477821">
        <w:rPr>
          <w:color w:val="auto"/>
        </w:rPr>
        <w:t>laws</w:t>
      </w:r>
      <w:r w:rsidR="001264F9">
        <w:rPr>
          <w:color w:val="auto"/>
        </w:rPr>
        <w:t xml:space="preserve"> that authorize the collection, require</w:t>
      </w:r>
      <w:r w:rsidRPr="001264F9">
        <w:rPr>
          <w:color w:val="auto"/>
        </w:rPr>
        <w:t xml:space="preserve"> resp</w:t>
      </w:r>
      <w:r w:rsidR="001264F9">
        <w:rPr>
          <w:color w:val="auto"/>
        </w:rPr>
        <w:t>onse to the survey, and ensure</w:t>
      </w:r>
      <w:r w:rsidRPr="001264F9">
        <w:rPr>
          <w:color w:val="auto"/>
        </w:rPr>
        <w:t xml:space="preserve"> the confidentiality</w:t>
      </w:r>
      <w:r w:rsidRPr="001264F9" w:rsidR="00477821">
        <w:rPr>
          <w:color w:val="auto"/>
        </w:rPr>
        <w:t xml:space="preserve"> o</w:t>
      </w:r>
      <w:r w:rsidR="001264F9">
        <w:rPr>
          <w:color w:val="auto"/>
        </w:rPr>
        <w:t xml:space="preserve">f those submitting information. Specifically, the </w:t>
      </w:r>
      <w:r w:rsidRPr="001264F9" w:rsidR="00477821">
        <w:rPr>
          <w:color w:val="auto"/>
        </w:rPr>
        <w:t>following block of text is displayed:</w:t>
      </w:r>
      <w:r w:rsidRPr="001264F9" w:rsidR="00793CB3">
        <w:rPr>
          <w:color w:val="auto"/>
        </w:rPr>
        <w:t xml:space="preserve"> </w:t>
      </w:r>
    </w:p>
    <w:p w:rsidRPr="001264F9" w:rsidR="00477821" w:rsidP="00477821" w:rsidRDefault="00477821">
      <w:pPr>
        <w:pStyle w:val="NormalWeb"/>
        <w:rPr>
          <w:i/>
          <w:color w:val="auto"/>
        </w:rPr>
      </w:pPr>
      <w:r w:rsidRPr="001264F9">
        <w:rPr>
          <w:i/>
          <w:color w:val="auto"/>
        </w:rPr>
        <w:t>Title 13</w:t>
      </w:r>
      <w:r w:rsidRPr="001264F9" w:rsidR="001264F9">
        <w:rPr>
          <w:i/>
          <w:color w:val="auto"/>
        </w:rPr>
        <w:t>,</w:t>
      </w:r>
      <w:r w:rsidRPr="001264F9">
        <w:rPr>
          <w:i/>
          <w:color w:val="auto"/>
        </w:rPr>
        <w:t xml:space="preserve"> United States Code, Sections 131 and 182, authorizes this collection. Sections 224 and 225 require your response. The U.S. Census Bureau is required by Section 9 of the same law to keep your information confidential and </w:t>
      </w:r>
      <w:r w:rsidR="00333DD7">
        <w:rPr>
          <w:i/>
          <w:color w:val="auto"/>
        </w:rPr>
        <w:t xml:space="preserve">can </w:t>
      </w:r>
      <w:r w:rsidRPr="001264F9">
        <w:rPr>
          <w:i/>
          <w:color w:val="auto"/>
        </w:rPr>
        <w:t>use your responses only to produce statistics. The Census Bureau is not permitted to publicly release your responses in a way that could identify your business, organization, or institution. Per the Federal Cybersecurity Enhancement Act of 2015, your data are protected from cybersecurity risks through screening of the systems that transmit your data.</w:t>
      </w:r>
    </w:p>
    <w:p w:rsidRPr="001264F9" w:rsidR="00793CB3" w:rsidP="00793CB3" w:rsidRDefault="00477821">
      <w:pPr>
        <w:pStyle w:val="NormalWeb"/>
        <w:rPr>
          <w:color w:val="auto"/>
        </w:rPr>
      </w:pPr>
      <w:r w:rsidRPr="001264F9">
        <w:rPr>
          <w:color w:val="auto"/>
        </w:rPr>
        <w:t xml:space="preserve">The AWTS </w:t>
      </w:r>
      <w:r w:rsidRPr="001264F9" w:rsidR="00B118D3">
        <w:rPr>
          <w:color w:val="auto"/>
        </w:rPr>
        <w:t>website (</w:t>
      </w:r>
      <w:r w:rsidRPr="001264F9" w:rsidR="00A01A13">
        <w:rPr>
          <w:color w:val="auto"/>
        </w:rPr>
        <w:t xml:space="preserve">i.e., </w:t>
      </w:r>
      <w:r w:rsidRPr="001264F9" w:rsidR="00B118D3">
        <w:rPr>
          <w:color w:val="auto"/>
        </w:rPr>
        <w:t xml:space="preserve">the </w:t>
      </w:r>
      <w:hyperlink w:history="1" r:id="rId13">
        <w:r w:rsidRPr="001264F9">
          <w:rPr>
            <w:rStyle w:val="Hyperlink"/>
          </w:rPr>
          <w:t>Information for Respondents</w:t>
        </w:r>
      </w:hyperlink>
      <w:r w:rsidRPr="001264F9">
        <w:rPr>
          <w:color w:val="auto"/>
        </w:rPr>
        <w:t xml:space="preserve"> and </w:t>
      </w:r>
      <w:hyperlink w:history="1" r:id="rId14">
        <w:r w:rsidRPr="001264F9">
          <w:rPr>
            <w:rStyle w:val="Hyperlink"/>
          </w:rPr>
          <w:t>FAQs</w:t>
        </w:r>
      </w:hyperlink>
      <w:r w:rsidRPr="001264F9">
        <w:rPr>
          <w:color w:val="auto"/>
        </w:rPr>
        <w:t xml:space="preserve"> pages</w:t>
      </w:r>
      <w:r w:rsidRPr="001264F9" w:rsidR="00B118D3">
        <w:rPr>
          <w:color w:val="auto"/>
        </w:rPr>
        <w:t>)</w:t>
      </w:r>
      <w:r w:rsidRPr="001264F9" w:rsidR="00A01A13">
        <w:rPr>
          <w:color w:val="auto"/>
        </w:rPr>
        <w:t xml:space="preserve"> relays similar info</w:t>
      </w:r>
      <w:r w:rsidRPr="001264F9" w:rsidR="001264F9">
        <w:rPr>
          <w:color w:val="auto"/>
        </w:rPr>
        <w:t xml:space="preserve">rmation to </w:t>
      </w:r>
      <w:r w:rsidRPr="001264F9" w:rsidR="002464C3">
        <w:rPr>
          <w:color w:val="auto"/>
        </w:rPr>
        <w:t xml:space="preserve">respondents. </w:t>
      </w:r>
    </w:p>
    <w:p w:rsidR="0027165D" w:rsidP="009C411A" w:rsidRDefault="00965F23">
      <w:pPr>
        <w:pStyle w:val="NormalWeb"/>
        <w:rPr>
          <w:color w:val="auto"/>
        </w:rPr>
      </w:pPr>
      <w:r>
        <w:rPr>
          <w:color w:val="auto"/>
        </w:rPr>
        <w:t xml:space="preserve">Note: </w:t>
      </w:r>
      <w:r w:rsidR="00E564DF">
        <w:rPr>
          <w:color w:val="auto"/>
        </w:rPr>
        <w:t>For</w:t>
      </w:r>
      <w:r>
        <w:rPr>
          <w:color w:val="auto"/>
        </w:rPr>
        <w:t xml:space="preserve"> Attachment 2, </w:t>
      </w:r>
      <w:r w:rsidRPr="00965F23">
        <w:rPr>
          <w:color w:val="auto"/>
        </w:rPr>
        <w:t>AWTS-L1, ODYS-WS-L1, ODYS-RW-L1, and ODYS-RWS-L1</w:t>
      </w:r>
      <w:r>
        <w:rPr>
          <w:color w:val="auto"/>
        </w:rPr>
        <w:t xml:space="preserve"> are the initial l</w:t>
      </w:r>
      <w:r w:rsidR="006A359B">
        <w:rPr>
          <w:color w:val="auto"/>
        </w:rPr>
        <w:t>et</w:t>
      </w:r>
      <w:r w:rsidR="00E564DF">
        <w:rPr>
          <w:color w:val="auto"/>
        </w:rPr>
        <w:t xml:space="preserve">ters the </w:t>
      </w:r>
      <w:r w:rsidR="0003114E">
        <w:rPr>
          <w:color w:val="auto"/>
        </w:rPr>
        <w:t>respondent</w:t>
      </w:r>
      <w:r w:rsidR="00E564DF">
        <w:rPr>
          <w:color w:val="auto"/>
        </w:rPr>
        <w:t>s</w:t>
      </w:r>
      <w:r w:rsidR="0003114E">
        <w:rPr>
          <w:color w:val="auto"/>
        </w:rPr>
        <w:t xml:space="preserve"> </w:t>
      </w:r>
      <w:r w:rsidR="00E564DF">
        <w:rPr>
          <w:color w:val="auto"/>
        </w:rPr>
        <w:t>r</w:t>
      </w:r>
      <w:r w:rsidR="0003114E">
        <w:rPr>
          <w:color w:val="auto"/>
        </w:rPr>
        <w:t>eceive. During 2018, a</w:t>
      </w:r>
      <w:r w:rsidR="006C65FD">
        <w:rPr>
          <w:color w:val="auto"/>
        </w:rPr>
        <w:t xml:space="preserve"> </w:t>
      </w:r>
      <w:r w:rsidR="0003114E">
        <w:rPr>
          <w:color w:val="auto"/>
        </w:rPr>
        <w:t xml:space="preserve">NAS panel </w:t>
      </w:r>
      <w:r w:rsidR="006C65FD">
        <w:rPr>
          <w:color w:val="auto"/>
        </w:rPr>
        <w:t xml:space="preserve">issued </w:t>
      </w:r>
      <w:hyperlink w:history="1" r:id="rId15">
        <w:r w:rsidRPr="002E0872" w:rsidR="006C65FD">
          <w:rPr>
            <w:rStyle w:val="Hyperlink"/>
          </w:rPr>
          <w:t>recommendations</w:t>
        </w:r>
      </w:hyperlink>
      <w:r w:rsidR="006C65FD">
        <w:rPr>
          <w:color w:val="auto"/>
        </w:rPr>
        <w:t xml:space="preserve"> for the Census Bureau’</w:t>
      </w:r>
      <w:r w:rsidR="0003114E">
        <w:rPr>
          <w:color w:val="auto"/>
        </w:rPr>
        <w:t>s annual economic survey</w:t>
      </w:r>
      <w:r w:rsidR="002A1470">
        <w:rPr>
          <w:color w:val="auto"/>
        </w:rPr>
        <w:t xml:space="preserve">s. The Census Bureau is using these </w:t>
      </w:r>
      <w:r w:rsidR="00166792">
        <w:rPr>
          <w:color w:val="auto"/>
        </w:rPr>
        <w:t>suggestions</w:t>
      </w:r>
      <w:r w:rsidR="002A1470">
        <w:rPr>
          <w:color w:val="auto"/>
        </w:rPr>
        <w:t xml:space="preserve"> to improve its surveys. </w:t>
      </w:r>
      <w:r w:rsidR="00166792">
        <w:rPr>
          <w:color w:val="auto"/>
        </w:rPr>
        <w:t>(</w:t>
      </w:r>
      <w:r w:rsidR="002A1470">
        <w:rPr>
          <w:color w:val="auto"/>
        </w:rPr>
        <w:t xml:space="preserve">This effort </w:t>
      </w:r>
      <w:proofErr w:type="gramStart"/>
      <w:r w:rsidR="002A1470">
        <w:rPr>
          <w:color w:val="auto"/>
        </w:rPr>
        <w:t>has</w:t>
      </w:r>
      <w:r w:rsidR="0012089F">
        <w:rPr>
          <w:color w:val="auto"/>
        </w:rPr>
        <w:t xml:space="preserve"> been named</w:t>
      </w:r>
      <w:proofErr w:type="gramEnd"/>
      <w:r w:rsidR="0012089F">
        <w:rPr>
          <w:color w:val="auto"/>
        </w:rPr>
        <w:t xml:space="preserve"> Odyssey</w:t>
      </w:r>
      <w:r w:rsidR="002A1470">
        <w:rPr>
          <w:color w:val="auto"/>
        </w:rPr>
        <w:t>.</w:t>
      </w:r>
      <w:r w:rsidR="00166792">
        <w:rPr>
          <w:color w:val="auto"/>
        </w:rPr>
        <w:t>)</w:t>
      </w:r>
      <w:r w:rsidR="002A1470">
        <w:rPr>
          <w:color w:val="auto"/>
        </w:rPr>
        <w:t xml:space="preserve"> </w:t>
      </w:r>
      <w:r w:rsidR="00166792">
        <w:rPr>
          <w:color w:val="auto"/>
        </w:rPr>
        <w:t>Because of the recommendations, d</w:t>
      </w:r>
      <w:r w:rsidR="002A1470">
        <w:rPr>
          <w:color w:val="auto"/>
        </w:rPr>
        <w:t>ur</w:t>
      </w:r>
      <w:r w:rsidR="00213DF4">
        <w:rPr>
          <w:color w:val="auto"/>
        </w:rPr>
        <w:t xml:space="preserve">ing the 2019 survey year, the Census Bureau </w:t>
      </w:r>
      <w:r w:rsidR="00BD14C3">
        <w:rPr>
          <w:color w:val="auto"/>
        </w:rPr>
        <w:t>started</w:t>
      </w:r>
      <w:r w:rsidR="0003114E">
        <w:rPr>
          <w:color w:val="auto"/>
        </w:rPr>
        <w:t xml:space="preserve"> </w:t>
      </w:r>
      <w:r w:rsidR="00BD14C3">
        <w:rPr>
          <w:color w:val="auto"/>
        </w:rPr>
        <w:t>coordinating data collection efforts between the AWTS, Annual Retail Trade Survey (ARTS), a</w:t>
      </w:r>
      <w:r w:rsidR="0003114E">
        <w:rPr>
          <w:color w:val="auto"/>
        </w:rPr>
        <w:t xml:space="preserve">nd Service Annual Survey (SAS). </w:t>
      </w:r>
      <w:r w:rsidR="00BD14C3">
        <w:rPr>
          <w:color w:val="auto"/>
        </w:rPr>
        <w:lastRenderedPageBreak/>
        <w:t>Specifically, if a company was required to submit</w:t>
      </w:r>
      <w:r w:rsidR="006B1028">
        <w:rPr>
          <w:color w:val="auto"/>
        </w:rPr>
        <w:t xml:space="preserve"> the AWTS and at least one of these other surveys,</w:t>
      </w:r>
      <w:r w:rsidR="00773111">
        <w:rPr>
          <w:color w:val="auto"/>
        </w:rPr>
        <w:t xml:space="preserve"> </w:t>
      </w:r>
      <w:r w:rsidR="00BD14C3">
        <w:rPr>
          <w:color w:val="auto"/>
        </w:rPr>
        <w:t xml:space="preserve">the agency identified a single point </w:t>
      </w:r>
      <w:r w:rsidR="006B1028">
        <w:rPr>
          <w:color w:val="auto"/>
        </w:rPr>
        <w:t>of contact for the company and sent the individual a letter mentioning each survey that needed to be submitted.</w:t>
      </w:r>
      <w:r w:rsidR="00166792">
        <w:rPr>
          <w:color w:val="auto"/>
        </w:rPr>
        <w:t xml:space="preserve"> (A select group of co</w:t>
      </w:r>
      <w:r w:rsidR="006E3465">
        <w:rPr>
          <w:color w:val="auto"/>
        </w:rPr>
        <w:t xml:space="preserve">mpanies were excluded from this coordinated collection effort and continued to be contacted separately by the relevant surveys. Some of these companies were removed from the coordinated collection efforts prior to the initial mailing based on </w:t>
      </w:r>
      <w:r w:rsidR="00496A84">
        <w:rPr>
          <w:color w:val="auto"/>
        </w:rPr>
        <w:t xml:space="preserve">previous </w:t>
      </w:r>
      <w:r w:rsidR="00CC52D1">
        <w:rPr>
          <w:color w:val="auto"/>
        </w:rPr>
        <w:t>collection</w:t>
      </w:r>
      <w:r w:rsidR="006E3465">
        <w:rPr>
          <w:color w:val="auto"/>
        </w:rPr>
        <w:t xml:space="preserve"> experiences and communications with the companies. Other companies reached out to the Census Bureau and asked to</w:t>
      </w:r>
      <w:r w:rsidR="00496A84">
        <w:rPr>
          <w:color w:val="auto"/>
        </w:rPr>
        <w:t xml:space="preserve"> be removed at later points in time.) </w:t>
      </w:r>
      <w:r w:rsidR="006B1028">
        <w:rPr>
          <w:color w:val="auto"/>
        </w:rPr>
        <w:t xml:space="preserve">Depending </w:t>
      </w:r>
      <w:r w:rsidR="0012089F">
        <w:rPr>
          <w:color w:val="auto"/>
        </w:rPr>
        <w:t xml:space="preserve">on the surveys the company </w:t>
      </w:r>
      <w:proofErr w:type="gramStart"/>
      <w:r w:rsidR="0012089F">
        <w:rPr>
          <w:color w:val="auto"/>
        </w:rPr>
        <w:t>was selected</w:t>
      </w:r>
      <w:proofErr w:type="gramEnd"/>
      <w:r w:rsidR="006B1028">
        <w:rPr>
          <w:color w:val="auto"/>
        </w:rPr>
        <w:t xml:space="preserve"> for, it received either ODYS-WS-L1, ODYS-RW-L1, or</w:t>
      </w:r>
      <w:r w:rsidRPr="00965F23" w:rsidR="006B1028">
        <w:rPr>
          <w:color w:val="auto"/>
        </w:rPr>
        <w:t xml:space="preserve"> ODYS-RWS-L1</w:t>
      </w:r>
      <w:r w:rsidR="006B1028">
        <w:rPr>
          <w:color w:val="auto"/>
        </w:rPr>
        <w:t>. If a company was only required to complete the AWTS, it simply recei</w:t>
      </w:r>
      <w:r w:rsidR="0027165D">
        <w:rPr>
          <w:color w:val="auto"/>
        </w:rPr>
        <w:t xml:space="preserve">ved AWTS-L1. Follow-up attempts were also coordinated in a similar fashion. </w:t>
      </w:r>
      <w:r w:rsidR="008674AA">
        <w:rPr>
          <w:color w:val="auto"/>
        </w:rPr>
        <w:t>During the next three</w:t>
      </w:r>
      <w:r w:rsidR="006B1028">
        <w:rPr>
          <w:color w:val="auto"/>
        </w:rPr>
        <w:t xml:space="preserve"> years, the AWTS will be followin</w:t>
      </w:r>
      <w:r w:rsidR="0027165D">
        <w:rPr>
          <w:color w:val="auto"/>
        </w:rPr>
        <w:t xml:space="preserve">g a similar outreach approach. </w:t>
      </w:r>
      <w:r w:rsidR="00614EA7">
        <w:rPr>
          <w:color w:val="auto"/>
        </w:rPr>
        <w:t>Consequently, t</w:t>
      </w:r>
      <w:r w:rsidR="0027165D">
        <w:rPr>
          <w:color w:val="auto"/>
        </w:rPr>
        <w:t>here are a variety of follow-up messages a respondent may receive. Attachment 2 provides a sample of some of these.</w:t>
      </w:r>
      <w:r w:rsidR="008E36C4">
        <w:rPr>
          <w:color w:val="auto"/>
        </w:rPr>
        <w:t xml:space="preserve"> </w:t>
      </w:r>
      <w:r w:rsidR="00194DBF">
        <w:rPr>
          <w:color w:val="auto"/>
        </w:rPr>
        <w:t xml:space="preserve">The exact wording for the initial and follow-up messages </w:t>
      </w:r>
      <w:proofErr w:type="gramStart"/>
      <w:r w:rsidR="00194DBF">
        <w:rPr>
          <w:color w:val="auto"/>
        </w:rPr>
        <w:t>has not been finalized</w:t>
      </w:r>
      <w:proofErr w:type="gramEnd"/>
      <w:r w:rsidR="00194DBF">
        <w:rPr>
          <w:color w:val="auto"/>
        </w:rPr>
        <w:t xml:space="preserve"> yet, but the final versions should be very similar to the samples.</w:t>
      </w:r>
      <w:r w:rsidR="008E36C4">
        <w:rPr>
          <w:color w:val="auto"/>
        </w:rPr>
        <w:t xml:space="preserve"> Similarly, the electronic reporting instrument for survey year 2020 is still in the development phase, but the information presented in Attachment 3 should be nearly identical to the information displayed in the final instrument.  </w:t>
      </w:r>
    </w:p>
    <w:p w:rsidRPr="00F4421F" w:rsidR="009C411A" w:rsidP="009C411A" w:rsidRDefault="009C411A">
      <w:pPr>
        <w:pStyle w:val="NormalWeb"/>
        <w:rPr>
          <w:b/>
          <w:color w:val="auto"/>
        </w:rPr>
      </w:pPr>
      <w:r w:rsidRPr="00F4421F">
        <w:rPr>
          <w:b/>
          <w:color w:val="auto"/>
          <w:u w:val="single"/>
        </w:rPr>
        <w:t>Question 11. Justification for Sensitive Questions</w:t>
      </w:r>
    </w:p>
    <w:p w:rsidR="0088597F" w:rsidP="009C411A" w:rsidRDefault="0088597F">
      <w:pPr>
        <w:pStyle w:val="NormalWeb"/>
        <w:rPr>
          <w:color w:val="auto"/>
        </w:rPr>
      </w:pPr>
      <w:r w:rsidRPr="00016065">
        <w:t xml:space="preserve">The AWTS does not </w:t>
      </w:r>
      <w:r>
        <w:t>ask sensitive questions.</w:t>
      </w:r>
    </w:p>
    <w:p w:rsidRPr="00F4421F" w:rsidR="009C411A" w:rsidP="009C411A" w:rsidRDefault="009C411A">
      <w:pPr>
        <w:pStyle w:val="NormalWeb"/>
        <w:rPr>
          <w:b/>
          <w:color w:val="auto"/>
        </w:rPr>
      </w:pPr>
      <w:r w:rsidRPr="00F4421F">
        <w:rPr>
          <w:b/>
          <w:color w:val="auto"/>
          <w:u w:val="single"/>
        </w:rPr>
        <w:t>Question 12. Estimate of Hour Burden</w:t>
      </w:r>
    </w:p>
    <w:p w:rsidR="00F3589D" w:rsidP="00103D43" w:rsidRDefault="00103D43">
      <w:r w:rsidRPr="00103D43">
        <w:t xml:space="preserve">The estimated respondent burden </w:t>
      </w:r>
      <w:r>
        <w:t xml:space="preserve">is </w:t>
      </w:r>
      <w:r w:rsidR="00112656">
        <w:t>dramatically</w:t>
      </w:r>
      <w:r>
        <w:t xml:space="preserve"> higher in survey year 2022 than in 2020 and 2021, because the AWTS will collect detailed operating expenses and sales tax information in survey year 2022. These two items </w:t>
      </w:r>
      <w:proofErr w:type="gramStart"/>
      <w:r>
        <w:t>are only collected</w:t>
      </w:r>
      <w:proofErr w:type="gramEnd"/>
      <w:r>
        <w:t xml:space="preserve"> in </w:t>
      </w:r>
      <w:r w:rsidR="00D54C91">
        <w:t xml:space="preserve">years ending in </w:t>
      </w:r>
      <w:r w:rsidR="00112656">
        <w:t>“</w:t>
      </w:r>
      <w:r w:rsidR="00D54C91">
        <w:t>2</w:t>
      </w:r>
      <w:r w:rsidR="00112656">
        <w:t>”</w:t>
      </w:r>
      <w:r w:rsidR="00D54C91">
        <w:t xml:space="preserve"> and </w:t>
      </w:r>
      <w:r w:rsidR="00112656">
        <w:t>“</w:t>
      </w:r>
      <w:r w:rsidR="00D54C91">
        <w:t>7</w:t>
      </w:r>
      <w:r w:rsidR="00112656">
        <w:t>”</w:t>
      </w:r>
      <w:r w:rsidR="00D54C91">
        <w:t>.</w:t>
      </w:r>
      <w:r w:rsidR="00CA0BB0">
        <w:t xml:space="preserve"> </w:t>
      </w:r>
      <w:r w:rsidR="00D54C91">
        <w:t>It should also be noted that the estimated respondent burden hours</w:t>
      </w:r>
      <w:r w:rsidR="00A45F35">
        <w:t xml:space="preserve"> for this annual collection</w:t>
      </w:r>
      <w:r w:rsidR="00D54C91">
        <w:t xml:space="preserve"> will change over time as sample maintenance </w:t>
      </w:r>
      <w:r w:rsidR="00996BA0">
        <w:t xml:space="preserve">activities are performed (refer to the </w:t>
      </w:r>
      <w:r w:rsidR="00E035CB">
        <w:t xml:space="preserve">Universe and Respondent Selection </w:t>
      </w:r>
      <w:r w:rsidR="00996BA0">
        <w:t xml:space="preserve">section </w:t>
      </w:r>
      <w:r w:rsidR="00E035CB">
        <w:t>in Part B). Namely, the quarterly birth/death process, removal of out-of-scope cases, and restructuring of reporting units to account for organizational changes</w:t>
      </w:r>
      <w:r w:rsidR="00E174D1">
        <w:t xml:space="preserve"> (e.g., mergers, acquisitions, etc.) will inevitably cause the number of respondents to fluctuate over time. Historically,</w:t>
      </w:r>
      <w:r w:rsidR="009162A5">
        <w:t xml:space="preserve"> the number of respondents</w:t>
      </w:r>
      <w:r w:rsidR="009F13F6">
        <w:t xml:space="preserve"> typically decrease</w:t>
      </w:r>
      <w:r w:rsidR="009162A5">
        <w:t>s</w:t>
      </w:r>
      <w:r w:rsidR="009F13F6">
        <w:t xml:space="preserve"> e</w:t>
      </w:r>
      <w:r w:rsidR="00996BA0">
        <w:t xml:space="preserve">ach year within a given sample. </w:t>
      </w:r>
      <w:r w:rsidR="009F13F6">
        <w:t>This trend has held true for this sample so far (survey years 2016, 2017, 2018, and 2019). Nevertheless, to simpl</w:t>
      </w:r>
      <w:r w:rsidR="00996BA0">
        <w:t>if</w:t>
      </w:r>
      <w:r w:rsidR="009F13F6">
        <w:t>y things, the estimates provided in this section assume that the number of respondents will remain constant for survey years 2020, 2021, and 2022.</w:t>
      </w:r>
      <w:r w:rsidR="00F3589D">
        <w:t xml:space="preserve"> </w:t>
      </w:r>
    </w:p>
    <w:p w:rsidR="00F3589D" w:rsidP="00103D43" w:rsidRDefault="00F3589D"/>
    <w:p w:rsidR="00103D43" w:rsidP="007B068D" w:rsidRDefault="00F3589D">
      <w:r>
        <w:t>The estimated number of respondents used (7,743) represents the actual number of respondents as of April 29, 2020.</w:t>
      </w:r>
      <w:r w:rsidR="003F3308">
        <w:t xml:space="preserve"> (This is the date the burden estimate calculations were computed.) </w:t>
      </w:r>
      <w:r w:rsidR="009B108B">
        <w:t xml:space="preserve">Starting in survey year 2020, companies that </w:t>
      </w:r>
      <w:r w:rsidR="00503D58">
        <w:t xml:space="preserve">previously received SA-42 will </w:t>
      </w:r>
      <w:r w:rsidR="009B108B">
        <w:t>receive SA-42A</w:t>
      </w:r>
      <w:r w:rsidR="00503D58">
        <w:t>, and businesses that were receiving SA-42-AGBR will receive SA-42A-AGBR. The breakdown of the number of re</w:t>
      </w:r>
      <w:r w:rsidR="00112656">
        <w:t>spondents by form accounts for these changes</w:t>
      </w:r>
      <w:r w:rsidR="00503D58">
        <w:t xml:space="preserve">. </w:t>
      </w:r>
      <w:r w:rsidRPr="00103D43" w:rsidR="00103D43">
        <w:rPr>
          <w:bCs/>
        </w:rPr>
        <w:t>The estimated time to complete each form varies</w:t>
      </w:r>
      <w:r w:rsidR="003F3308">
        <w:rPr>
          <w:bCs/>
        </w:rPr>
        <w:t xml:space="preserve"> due to the differences in content collected on each (as outlined in the Necessity of the Information Collection section).</w:t>
      </w:r>
      <w:r w:rsidR="00996BA0">
        <w:rPr>
          <w:bCs/>
        </w:rPr>
        <w:t xml:space="preserve"> </w:t>
      </w:r>
      <w:r w:rsidR="00756F5C">
        <w:rPr>
          <w:bCs/>
        </w:rPr>
        <w:t xml:space="preserve">For the previous </w:t>
      </w:r>
      <w:r w:rsidR="00B21656">
        <w:rPr>
          <w:bCs/>
        </w:rPr>
        <w:t>three</w:t>
      </w:r>
      <w:r w:rsidR="00756F5C">
        <w:rPr>
          <w:bCs/>
        </w:rPr>
        <w:t xml:space="preserve">-year clearance window (survey years 2017, 2018, and 2019), the estimates for average burden per response </w:t>
      </w:r>
      <w:proofErr w:type="gramStart"/>
      <w:r w:rsidR="00756F5C">
        <w:rPr>
          <w:bCs/>
        </w:rPr>
        <w:t>were based</w:t>
      </w:r>
      <w:proofErr w:type="gramEnd"/>
      <w:r w:rsidR="00756F5C">
        <w:rPr>
          <w:bCs/>
        </w:rPr>
        <w:t xml:space="preserve"> on </w:t>
      </w:r>
      <w:r w:rsidRPr="00103D43" w:rsidR="00756F5C">
        <w:t>cognitive testing of the questionnaire</w:t>
      </w:r>
      <w:r w:rsidR="00756F5C">
        <w:t>s</w:t>
      </w:r>
      <w:r w:rsidRPr="00103D43" w:rsidR="00756F5C">
        <w:t xml:space="preserve"> with a </w:t>
      </w:r>
      <w:r w:rsidR="00756F5C">
        <w:t xml:space="preserve">sample of potential respondents. Because the same </w:t>
      </w:r>
      <w:r w:rsidR="00756F5C">
        <w:lastRenderedPageBreak/>
        <w:t xml:space="preserve">sample </w:t>
      </w:r>
      <w:proofErr w:type="gramStart"/>
      <w:r w:rsidR="00756F5C">
        <w:t>is still being used</w:t>
      </w:r>
      <w:proofErr w:type="gramEnd"/>
      <w:r w:rsidR="00756F5C">
        <w:t xml:space="preserve"> and the questionnaires have </w:t>
      </w:r>
      <w:r w:rsidR="00B47746">
        <w:t>only slightly changed</w:t>
      </w:r>
      <w:r w:rsidR="00756F5C">
        <w:t>, the same estimates for average burden per response are listed in the table below</w:t>
      </w:r>
      <w:r w:rsidR="00614EA7">
        <w:t xml:space="preserve"> (in the Hours column)</w:t>
      </w:r>
      <w:r w:rsidR="00756F5C">
        <w:t xml:space="preserve">. </w:t>
      </w:r>
      <w:r w:rsidR="00996BA0">
        <w:rPr>
          <w:bCs/>
        </w:rPr>
        <w:t xml:space="preserve">For survey years 2020 and 2021, </w:t>
      </w:r>
      <w:r w:rsidR="00F642A3">
        <w:rPr>
          <w:bCs/>
        </w:rPr>
        <w:t>the estimated tot</w:t>
      </w:r>
      <w:r w:rsidR="00F85F91">
        <w:rPr>
          <w:bCs/>
        </w:rPr>
        <w:t>al annual burden hours are 4,204</w:t>
      </w:r>
      <w:r w:rsidR="00F642A3">
        <w:rPr>
          <w:bCs/>
        </w:rPr>
        <w:t xml:space="preserve"> hours</w:t>
      </w:r>
      <w:r w:rsidR="00610B85">
        <w:rPr>
          <w:bCs/>
        </w:rPr>
        <w:t xml:space="preserve"> (for each year)</w:t>
      </w:r>
      <w:r w:rsidR="00F642A3">
        <w:rPr>
          <w:bCs/>
        </w:rPr>
        <w:t>. Conversely, for survey year 2022, the estimated total annua</w:t>
      </w:r>
      <w:r w:rsidR="00F85F91">
        <w:rPr>
          <w:bCs/>
        </w:rPr>
        <w:t>l burden hours is 21</w:t>
      </w:r>
      <w:r w:rsidR="00F642A3">
        <w:rPr>
          <w:bCs/>
        </w:rPr>
        <w:t>,</w:t>
      </w:r>
      <w:r w:rsidR="00F85F91">
        <w:rPr>
          <w:bCs/>
        </w:rPr>
        <w:t>130</w:t>
      </w:r>
      <w:r w:rsidR="00756F5C">
        <w:rPr>
          <w:bCs/>
        </w:rPr>
        <w:t xml:space="preserve"> hours. </w:t>
      </w:r>
      <w:r w:rsidR="00610B85">
        <w:t xml:space="preserve">For survey years 2020 and 2021, the </w:t>
      </w:r>
      <w:r w:rsidRPr="00103D43" w:rsidR="00103D43">
        <w:t>estimated total annual cost to respondents is approximately $</w:t>
      </w:r>
      <w:r w:rsidR="00610B85">
        <w:t>144,618</w:t>
      </w:r>
      <w:r w:rsidR="00377453">
        <w:t xml:space="preserve"> (for each year)</w:t>
      </w:r>
      <w:r w:rsidR="00B47746">
        <w:t xml:space="preserve">. For survey year 2022, </w:t>
      </w:r>
      <w:r w:rsidR="00610B85">
        <w:t>the estimated total annual cost to respondents is</w:t>
      </w:r>
      <w:r w:rsidR="00377453">
        <w:t xml:space="preserve"> roughly</w:t>
      </w:r>
      <w:r w:rsidR="00610B85">
        <w:t xml:space="preserve"> $726,873.</w:t>
      </w:r>
      <w:r w:rsidR="00377453">
        <w:t xml:space="preserve"> These cost estimates are determined using the </w:t>
      </w:r>
      <w:r w:rsidR="00BF2D50">
        <w:t xml:space="preserve">2019 </w:t>
      </w:r>
      <w:r w:rsidR="00377453">
        <w:t xml:space="preserve">hourly median pay ($34.40) for accountants and auditors from the </w:t>
      </w:r>
      <w:hyperlink w:history="1" w:anchor="tab-1" r:id="rId16">
        <w:r w:rsidRPr="00377453" w:rsidR="00377453">
          <w:rPr>
            <w:rStyle w:val="Hyperlink"/>
          </w:rPr>
          <w:t>BLS</w:t>
        </w:r>
      </w:hyperlink>
      <w:r w:rsidR="00BF2D50">
        <w:t xml:space="preserve">. </w:t>
      </w:r>
    </w:p>
    <w:p w:rsidR="00BF2D50" w:rsidP="007B068D" w:rsidRDefault="00BF2D50"/>
    <w:p w:rsidRPr="00187613" w:rsidR="00187613" w:rsidP="007B068D" w:rsidRDefault="00187613">
      <w:pPr>
        <w:rPr>
          <w:b/>
        </w:rPr>
      </w:pPr>
      <w:r>
        <w:rPr>
          <w:b/>
        </w:rPr>
        <w:t>Survey Years 2020 and 2021</w:t>
      </w:r>
    </w:p>
    <w:p w:rsidR="00187613" w:rsidP="007B068D" w:rsidRDefault="00187613"/>
    <w:tbl>
      <w:tblPr>
        <w:tblStyle w:val="TableGrid"/>
        <w:tblW w:w="9360" w:type="dxa"/>
        <w:tblInd w:w="-5" w:type="dxa"/>
        <w:tblLook w:val="04A0" w:firstRow="1" w:lastRow="0" w:firstColumn="1" w:lastColumn="0" w:noHBand="0" w:noVBand="1"/>
      </w:tblPr>
      <w:tblGrid>
        <w:gridCol w:w="2578"/>
        <w:gridCol w:w="1581"/>
        <w:gridCol w:w="1027"/>
        <w:gridCol w:w="1924"/>
        <w:gridCol w:w="2250"/>
      </w:tblGrid>
      <w:tr w:rsidR="004B61EA" w:rsidTr="00187613">
        <w:tc>
          <w:tcPr>
            <w:tcW w:w="2578" w:type="dxa"/>
          </w:tcPr>
          <w:p w:rsidRPr="004B61EA" w:rsidR="00BF2D50" w:rsidP="004B61EA" w:rsidRDefault="00BF2D50">
            <w:pPr>
              <w:tabs>
                <w:tab w:val="left" w:pos="-720"/>
                <w:tab w:val="left" w:pos="720"/>
                <w:tab w:val="left" w:pos="2610"/>
                <w:tab w:val="left" w:pos="3600"/>
              </w:tabs>
              <w:jc w:val="center"/>
              <w:rPr>
                <w:b/>
              </w:rPr>
            </w:pPr>
            <w:r w:rsidRPr="004B61EA">
              <w:rPr>
                <w:b/>
              </w:rPr>
              <w:t>Form</w:t>
            </w:r>
          </w:p>
        </w:tc>
        <w:tc>
          <w:tcPr>
            <w:tcW w:w="1581" w:type="dxa"/>
          </w:tcPr>
          <w:p w:rsidRPr="004B61EA" w:rsidR="00BF2D50" w:rsidP="004B61EA" w:rsidRDefault="00BF2D50">
            <w:pPr>
              <w:tabs>
                <w:tab w:val="left" w:pos="-720"/>
                <w:tab w:val="left" w:pos="720"/>
                <w:tab w:val="left" w:pos="2610"/>
                <w:tab w:val="left" w:pos="3600"/>
              </w:tabs>
              <w:jc w:val="center"/>
              <w:rPr>
                <w:b/>
              </w:rPr>
            </w:pPr>
            <w:r w:rsidRPr="004B61EA">
              <w:rPr>
                <w:b/>
              </w:rPr>
              <w:t>Number of Respondents</w:t>
            </w:r>
          </w:p>
        </w:tc>
        <w:tc>
          <w:tcPr>
            <w:tcW w:w="1027" w:type="dxa"/>
          </w:tcPr>
          <w:p w:rsidRPr="004B61EA" w:rsidR="00BF2D50" w:rsidP="004B61EA" w:rsidRDefault="00BF2D50">
            <w:pPr>
              <w:tabs>
                <w:tab w:val="left" w:pos="-720"/>
                <w:tab w:val="left" w:pos="720"/>
                <w:tab w:val="left" w:pos="2610"/>
                <w:tab w:val="left" w:pos="3600"/>
              </w:tabs>
              <w:jc w:val="center"/>
              <w:rPr>
                <w:b/>
              </w:rPr>
            </w:pPr>
            <w:r w:rsidRPr="004B61EA">
              <w:rPr>
                <w:b/>
              </w:rPr>
              <w:t>Hours</w:t>
            </w:r>
          </w:p>
        </w:tc>
        <w:tc>
          <w:tcPr>
            <w:tcW w:w="1924" w:type="dxa"/>
          </w:tcPr>
          <w:p w:rsidRPr="004B61EA" w:rsidR="00BF2D50" w:rsidP="004B61EA" w:rsidRDefault="00BF2D50">
            <w:pPr>
              <w:tabs>
                <w:tab w:val="left" w:pos="-720"/>
                <w:tab w:val="left" w:pos="720"/>
                <w:tab w:val="left" w:pos="2610"/>
                <w:tab w:val="left" w:pos="3600"/>
              </w:tabs>
              <w:jc w:val="center"/>
              <w:rPr>
                <w:b/>
              </w:rPr>
            </w:pPr>
            <w:r w:rsidRPr="004B61EA">
              <w:rPr>
                <w:b/>
              </w:rPr>
              <w:t>Burden</w:t>
            </w:r>
            <w:r w:rsidRPr="004B61EA" w:rsidR="004B61EA">
              <w:rPr>
                <w:b/>
              </w:rPr>
              <w:t xml:space="preserve"> (in hours, </w:t>
            </w:r>
            <w:r w:rsidRPr="004B61EA">
              <w:rPr>
                <w:b/>
              </w:rPr>
              <w:t>Number of Respondents X Hours)</w:t>
            </w:r>
          </w:p>
        </w:tc>
        <w:tc>
          <w:tcPr>
            <w:tcW w:w="2250" w:type="dxa"/>
          </w:tcPr>
          <w:p w:rsidRPr="004B61EA" w:rsidR="00BF2D50" w:rsidP="004B61EA" w:rsidRDefault="00BF2D50">
            <w:pPr>
              <w:tabs>
                <w:tab w:val="left" w:pos="-720"/>
                <w:tab w:val="left" w:pos="720"/>
                <w:tab w:val="left" w:pos="2610"/>
                <w:tab w:val="left" w:pos="3600"/>
              </w:tabs>
              <w:jc w:val="center"/>
              <w:rPr>
                <w:b/>
              </w:rPr>
            </w:pPr>
            <w:r w:rsidRPr="004B61EA">
              <w:rPr>
                <w:b/>
              </w:rPr>
              <w:t xml:space="preserve">Cost </w:t>
            </w:r>
            <w:r w:rsidRPr="004B61EA" w:rsidR="004B61EA">
              <w:rPr>
                <w:b/>
              </w:rPr>
              <w:t>(in dollars, Burden X $34.40)</w:t>
            </w:r>
          </w:p>
        </w:tc>
      </w:tr>
      <w:tr w:rsidR="004B61EA" w:rsidTr="00187613">
        <w:tc>
          <w:tcPr>
            <w:tcW w:w="2578" w:type="dxa"/>
          </w:tcPr>
          <w:p w:rsidRPr="004B61EA" w:rsidR="00BF2D50" w:rsidP="007B068D" w:rsidRDefault="004B61EA">
            <w:pPr>
              <w:tabs>
                <w:tab w:val="left" w:pos="-720"/>
                <w:tab w:val="left" w:pos="720"/>
                <w:tab w:val="left" w:pos="2610"/>
                <w:tab w:val="left" w:pos="3600"/>
              </w:tabs>
            </w:pPr>
            <w:r>
              <w:t>SA-42A</w:t>
            </w:r>
          </w:p>
        </w:tc>
        <w:tc>
          <w:tcPr>
            <w:tcW w:w="1581" w:type="dxa"/>
          </w:tcPr>
          <w:p w:rsidRPr="004B61EA" w:rsidR="00BF2D50" w:rsidP="004B61EA" w:rsidRDefault="004B61EA">
            <w:pPr>
              <w:tabs>
                <w:tab w:val="left" w:pos="-720"/>
                <w:tab w:val="left" w:pos="720"/>
                <w:tab w:val="left" w:pos="2610"/>
                <w:tab w:val="left" w:pos="3600"/>
              </w:tabs>
              <w:jc w:val="center"/>
            </w:pPr>
            <w:r>
              <w:t>6,269</w:t>
            </w:r>
          </w:p>
        </w:tc>
        <w:tc>
          <w:tcPr>
            <w:tcW w:w="1027" w:type="dxa"/>
          </w:tcPr>
          <w:p w:rsidRPr="004B61EA" w:rsidR="00BF2D50" w:rsidP="004B61EA" w:rsidRDefault="004B61EA">
            <w:pPr>
              <w:tabs>
                <w:tab w:val="left" w:pos="-720"/>
                <w:tab w:val="left" w:pos="720"/>
                <w:tab w:val="left" w:pos="2610"/>
                <w:tab w:val="left" w:pos="3600"/>
              </w:tabs>
              <w:jc w:val="center"/>
            </w:pPr>
            <w:r>
              <w:t>0.55</w:t>
            </w:r>
          </w:p>
        </w:tc>
        <w:tc>
          <w:tcPr>
            <w:tcW w:w="1924" w:type="dxa"/>
          </w:tcPr>
          <w:p w:rsidRPr="004B61EA" w:rsidR="00BF2D50" w:rsidP="004B61EA" w:rsidRDefault="004B61EA">
            <w:pPr>
              <w:tabs>
                <w:tab w:val="left" w:pos="-720"/>
                <w:tab w:val="left" w:pos="720"/>
                <w:tab w:val="left" w:pos="2610"/>
                <w:tab w:val="left" w:pos="3600"/>
              </w:tabs>
              <w:jc w:val="center"/>
            </w:pPr>
            <w:r>
              <w:t>3,448</w:t>
            </w:r>
          </w:p>
        </w:tc>
        <w:tc>
          <w:tcPr>
            <w:tcW w:w="2250" w:type="dxa"/>
          </w:tcPr>
          <w:p w:rsidRPr="004B61EA" w:rsidR="00BF2D50" w:rsidP="004B61EA" w:rsidRDefault="004B61EA">
            <w:pPr>
              <w:tabs>
                <w:tab w:val="left" w:pos="-720"/>
                <w:tab w:val="left" w:pos="720"/>
                <w:tab w:val="left" w:pos="2610"/>
                <w:tab w:val="left" w:pos="3600"/>
              </w:tabs>
              <w:jc w:val="center"/>
            </w:pPr>
            <w:r>
              <w:t>118,611</w:t>
            </w:r>
          </w:p>
        </w:tc>
      </w:tr>
      <w:tr w:rsidR="004B61EA" w:rsidTr="00187613">
        <w:tc>
          <w:tcPr>
            <w:tcW w:w="2578" w:type="dxa"/>
          </w:tcPr>
          <w:p w:rsidRPr="004B61EA" w:rsidR="00BF2D50" w:rsidP="007B068D" w:rsidRDefault="004B61EA">
            <w:pPr>
              <w:tabs>
                <w:tab w:val="left" w:pos="-720"/>
                <w:tab w:val="left" w:pos="720"/>
                <w:tab w:val="left" w:pos="2610"/>
                <w:tab w:val="left" w:pos="3600"/>
              </w:tabs>
            </w:pPr>
            <w:r>
              <w:t>SA-42A-MSBO</w:t>
            </w:r>
          </w:p>
        </w:tc>
        <w:tc>
          <w:tcPr>
            <w:tcW w:w="1581" w:type="dxa"/>
          </w:tcPr>
          <w:p w:rsidRPr="004B61EA" w:rsidR="00BF2D50" w:rsidP="004B61EA" w:rsidRDefault="004B61EA">
            <w:pPr>
              <w:tabs>
                <w:tab w:val="left" w:pos="-720"/>
                <w:tab w:val="left" w:pos="720"/>
                <w:tab w:val="left" w:pos="2610"/>
                <w:tab w:val="left" w:pos="3600"/>
              </w:tabs>
              <w:jc w:val="center"/>
            </w:pPr>
            <w:r>
              <w:t>926</w:t>
            </w:r>
          </w:p>
        </w:tc>
        <w:tc>
          <w:tcPr>
            <w:tcW w:w="1027" w:type="dxa"/>
          </w:tcPr>
          <w:p w:rsidRPr="004B61EA" w:rsidR="00BF2D50" w:rsidP="004B61EA" w:rsidRDefault="004B61EA">
            <w:pPr>
              <w:tabs>
                <w:tab w:val="left" w:pos="-720"/>
                <w:tab w:val="left" w:pos="720"/>
                <w:tab w:val="left" w:pos="2610"/>
                <w:tab w:val="left" w:pos="3600"/>
              </w:tabs>
              <w:jc w:val="center"/>
            </w:pPr>
            <w:r>
              <w:t>0.55</w:t>
            </w:r>
          </w:p>
        </w:tc>
        <w:tc>
          <w:tcPr>
            <w:tcW w:w="1924" w:type="dxa"/>
          </w:tcPr>
          <w:p w:rsidRPr="004B61EA" w:rsidR="00BF2D50" w:rsidP="004B61EA" w:rsidRDefault="004B61EA">
            <w:pPr>
              <w:tabs>
                <w:tab w:val="left" w:pos="-720"/>
                <w:tab w:val="left" w:pos="720"/>
                <w:tab w:val="left" w:pos="2610"/>
                <w:tab w:val="left" w:pos="3600"/>
              </w:tabs>
              <w:jc w:val="center"/>
            </w:pPr>
            <w:r>
              <w:t>509</w:t>
            </w:r>
          </w:p>
        </w:tc>
        <w:tc>
          <w:tcPr>
            <w:tcW w:w="2250" w:type="dxa"/>
          </w:tcPr>
          <w:p w:rsidRPr="004B61EA" w:rsidR="00BF2D50" w:rsidP="004B61EA" w:rsidRDefault="004B61EA">
            <w:pPr>
              <w:tabs>
                <w:tab w:val="left" w:pos="-720"/>
                <w:tab w:val="left" w:pos="720"/>
                <w:tab w:val="left" w:pos="2610"/>
                <w:tab w:val="left" w:pos="3600"/>
              </w:tabs>
              <w:jc w:val="center"/>
            </w:pPr>
            <w:r>
              <w:t>17,510</w:t>
            </w:r>
          </w:p>
        </w:tc>
      </w:tr>
      <w:tr w:rsidR="004B61EA" w:rsidTr="00187613">
        <w:tc>
          <w:tcPr>
            <w:tcW w:w="2578" w:type="dxa"/>
          </w:tcPr>
          <w:p w:rsidRPr="004B61EA" w:rsidR="004B61EA" w:rsidP="007B068D" w:rsidRDefault="004B61EA">
            <w:pPr>
              <w:tabs>
                <w:tab w:val="left" w:pos="-720"/>
                <w:tab w:val="left" w:pos="720"/>
                <w:tab w:val="left" w:pos="2610"/>
                <w:tab w:val="left" w:pos="3600"/>
              </w:tabs>
            </w:pPr>
            <w:r>
              <w:t>SA-42A-AGBR</w:t>
            </w:r>
          </w:p>
        </w:tc>
        <w:tc>
          <w:tcPr>
            <w:tcW w:w="1581" w:type="dxa"/>
          </w:tcPr>
          <w:p w:rsidRPr="004B61EA" w:rsidR="004B61EA" w:rsidP="004B61EA" w:rsidRDefault="004B61EA">
            <w:pPr>
              <w:tabs>
                <w:tab w:val="left" w:pos="-720"/>
                <w:tab w:val="left" w:pos="720"/>
                <w:tab w:val="left" w:pos="2610"/>
                <w:tab w:val="left" w:pos="3600"/>
              </w:tabs>
              <w:jc w:val="center"/>
            </w:pPr>
            <w:r>
              <w:t>548</w:t>
            </w:r>
          </w:p>
        </w:tc>
        <w:tc>
          <w:tcPr>
            <w:tcW w:w="1027" w:type="dxa"/>
          </w:tcPr>
          <w:p w:rsidRPr="004B61EA" w:rsidR="004B61EA" w:rsidP="004B61EA" w:rsidRDefault="004B61EA">
            <w:pPr>
              <w:tabs>
                <w:tab w:val="left" w:pos="-720"/>
                <w:tab w:val="left" w:pos="720"/>
                <w:tab w:val="left" w:pos="2610"/>
                <w:tab w:val="left" w:pos="3600"/>
              </w:tabs>
              <w:jc w:val="center"/>
            </w:pPr>
            <w:r>
              <w:t>0.45</w:t>
            </w:r>
          </w:p>
        </w:tc>
        <w:tc>
          <w:tcPr>
            <w:tcW w:w="1924" w:type="dxa"/>
          </w:tcPr>
          <w:p w:rsidRPr="004B61EA" w:rsidR="004B61EA" w:rsidP="004B61EA" w:rsidRDefault="004B61EA">
            <w:pPr>
              <w:tabs>
                <w:tab w:val="left" w:pos="-720"/>
                <w:tab w:val="left" w:pos="720"/>
                <w:tab w:val="left" w:pos="2610"/>
                <w:tab w:val="left" w:pos="3600"/>
              </w:tabs>
              <w:jc w:val="center"/>
            </w:pPr>
            <w:r>
              <w:t>247</w:t>
            </w:r>
          </w:p>
        </w:tc>
        <w:tc>
          <w:tcPr>
            <w:tcW w:w="2250" w:type="dxa"/>
          </w:tcPr>
          <w:p w:rsidRPr="004B61EA" w:rsidR="004B61EA" w:rsidP="004B61EA" w:rsidRDefault="004B61EA">
            <w:pPr>
              <w:tabs>
                <w:tab w:val="left" w:pos="-720"/>
                <w:tab w:val="left" w:pos="720"/>
                <w:tab w:val="left" w:pos="2610"/>
                <w:tab w:val="left" w:pos="3600"/>
              </w:tabs>
              <w:jc w:val="center"/>
            </w:pPr>
            <w:r>
              <w:t>8,497</w:t>
            </w:r>
          </w:p>
        </w:tc>
      </w:tr>
      <w:tr w:rsidRPr="004B61EA" w:rsidR="004B61EA" w:rsidTr="00187613">
        <w:tc>
          <w:tcPr>
            <w:tcW w:w="2578" w:type="dxa"/>
          </w:tcPr>
          <w:p w:rsidRPr="004B61EA" w:rsidR="004B61EA" w:rsidP="007B068D" w:rsidRDefault="004B61EA">
            <w:pPr>
              <w:tabs>
                <w:tab w:val="left" w:pos="-720"/>
                <w:tab w:val="left" w:pos="720"/>
                <w:tab w:val="left" w:pos="2610"/>
                <w:tab w:val="left" w:pos="3600"/>
              </w:tabs>
              <w:rPr>
                <w:b/>
                <w:i/>
              </w:rPr>
            </w:pPr>
            <w:r w:rsidRPr="004B61EA">
              <w:rPr>
                <w:b/>
                <w:i/>
              </w:rPr>
              <w:t>TOTAL</w:t>
            </w:r>
          </w:p>
        </w:tc>
        <w:tc>
          <w:tcPr>
            <w:tcW w:w="1581" w:type="dxa"/>
          </w:tcPr>
          <w:p w:rsidRPr="004B61EA" w:rsidR="004B61EA" w:rsidP="004B61EA" w:rsidRDefault="004B61EA">
            <w:pPr>
              <w:tabs>
                <w:tab w:val="left" w:pos="-720"/>
                <w:tab w:val="left" w:pos="720"/>
                <w:tab w:val="left" w:pos="2610"/>
                <w:tab w:val="left" w:pos="3600"/>
              </w:tabs>
              <w:jc w:val="center"/>
              <w:rPr>
                <w:b/>
                <w:i/>
              </w:rPr>
            </w:pPr>
            <w:r w:rsidRPr="004B61EA">
              <w:rPr>
                <w:b/>
                <w:i/>
              </w:rPr>
              <w:t>7,743</w:t>
            </w:r>
          </w:p>
        </w:tc>
        <w:tc>
          <w:tcPr>
            <w:tcW w:w="1027" w:type="dxa"/>
          </w:tcPr>
          <w:p w:rsidRPr="004B61EA" w:rsidR="004B61EA" w:rsidP="004B61EA" w:rsidRDefault="004B61EA">
            <w:pPr>
              <w:tabs>
                <w:tab w:val="left" w:pos="-720"/>
                <w:tab w:val="left" w:pos="720"/>
                <w:tab w:val="left" w:pos="2610"/>
                <w:tab w:val="left" w:pos="3600"/>
              </w:tabs>
              <w:jc w:val="center"/>
              <w:rPr>
                <w:b/>
                <w:i/>
              </w:rPr>
            </w:pPr>
            <w:r w:rsidRPr="004B61EA">
              <w:rPr>
                <w:b/>
                <w:i/>
              </w:rPr>
              <w:t>NA</w:t>
            </w:r>
          </w:p>
        </w:tc>
        <w:tc>
          <w:tcPr>
            <w:tcW w:w="1924" w:type="dxa"/>
          </w:tcPr>
          <w:p w:rsidRPr="004B61EA" w:rsidR="004B61EA" w:rsidP="004B61EA" w:rsidRDefault="004B61EA">
            <w:pPr>
              <w:tabs>
                <w:tab w:val="left" w:pos="-720"/>
                <w:tab w:val="left" w:pos="720"/>
                <w:tab w:val="left" w:pos="2610"/>
                <w:tab w:val="left" w:pos="3600"/>
              </w:tabs>
              <w:jc w:val="center"/>
              <w:rPr>
                <w:b/>
                <w:i/>
              </w:rPr>
            </w:pPr>
            <w:r w:rsidRPr="004B61EA">
              <w:rPr>
                <w:b/>
                <w:i/>
              </w:rPr>
              <w:t>4,204</w:t>
            </w:r>
          </w:p>
        </w:tc>
        <w:tc>
          <w:tcPr>
            <w:tcW w:w="2250" w:type="dxa"/>
          </w:tcPr>
          <w:p w:rsidRPr="004B61EA" w:rsidR="004B61EA" w:rsidP="004B61EA" w:rsidRDefault="004B61EA">
            <w:pPr>
              <w:tabs>
                <w:tab w:val="left" w:pos="-720"/>
                <w:tab w:val="left" w:pos="720"/>
                <w:tab w:val="left" w:pos="2610"/>
                <w:tab w:val="left" w:pos="3600"/>
              </w:tabs>
              <w:jc w:val="center"/>
              <w:rPr>
                <w:b/>
                <w:i/>
              </w:rPr>
            </w:pPr>
            <w:r w:rsidRPr="004B61EA">
              <w:rPr>
                <w:b/>
                <w:i/>
              </w:rPr>
              <w:t>144,618</w:t>
            </w:r>
          </w:p>
        </w:tc>
      </w:tr>
    </w:tbl>
    <w:p w:rsidRPr="004B61EA" w:rsidR="007B068D" w:rsidP="007B068D" w:rsidRDefault="007B068D">
      <w:pPr>
        <w:tabs>
          <w:tab w:val="left" w:pos="-720"/>
          <w:tab w:val="left" w:pos="720"/>
          <w:tab w:val="left" w:pos="2610"/>
          <w:tab w:val="left" w:pos="3600"/>
        </w:tabs>
        <w:ind w:left="2880" w:hanging="2880"/>
        <w:rPr>
          <w:b/>
          <w:strike/>
        </w:rPr>
      </w:pPr>
    </w:p>
    <w:p w:rsidR="00BF2D50" w:rsidP="007B068D" w:rsidRDefault="00187613">
      <w:pPr>
        <w:tabs>
          <w:tab w:val="left" w:pos="-720"/>
          <w:tab w:val="left" w:pos="720"/>
          <w:tab w:val="left" w:pos="2610"/>
          <w:tab w:val="left" w:pos="3600"/>
        </w:tabs>
        <w:ind w:left="2880" w:hanging="2880"/>
        <w:rPr>
          <w:b/>
        </w:rPr>
      </w:pPr>
      <w:r>
        <w:rPr>
          <w:b/>
        </w:rPr>
        <w:t>Survey Year 2022</w:t>
      </w:r>
    </w:p>
    <w:p w:rsidR="00A613AA" w:rsidP="007B068D" w:rsidRDefault="00A613AA">
      <w:pPr>
        <w:tabs>
          <w:tab w:val="left" w:pos="-720"/>
          <w:tab w:val="left" w:pos="720"/>
          <w:tab w:val="left" w:pos="2610"/>
          <w:tab w:val="left" w:pos="3600"/>
        </w:tabs>
        <w:ind w:left="2880" w:hanging="2880"/>
        <w:rPr>
          <w:b/>
        </w:rPr>
      </w:pPr>
    </w:p>
    <w:tbl>
      <w:tblPr>
        <w:tblStyle w:val="TableGrid"/>
        <w:tblW w:w="9360" w:type="dxa"/>
        <w:tblInd w:w="-5" w:type="dxa"/>
        <w:tblLook w:val="04A0" w:firstRow="1" w:lastRow="0" w:firstColumn="1" w:lastColumn="0" w:noHBand="0" w:noVBand="1"/>
      </w:tblPr>
      <w:tblGrid>
        <w:gridCol w:w="2578"/>
        <w:gridCol w:w="1581"/>
        <w:gridCol w:w="1027"/>
        <w:gridCol w:w="1924"/>
        <w:gridCol w:w="2250"/>
      </w:tblGrid>
      <w:tr w:rsidRPr="004B61EA" w:rsidR="00187613" w:rsidTr="00C93A63">
        <w:tc>
          <w:tcPr>
            <w:tcW w:w="2578" w:type="dxa"/>
          </w:tcPr>
          <w:p w:rsidRPr="004B61EA" w:rsidR="00187613" w:rsidP="00C93A63" w:rsidRDefault="00187613">
            <w:pPr>
              <w:tabs>
                <w:tab w:val="left" w:pos="-720"/>
                <w:tab w:val="left" w:pos="720"/>
                <w:tab w:val="left" w:pos="2610"/>
                <w:tab w:val="left" w:pos="3600"/>
              </w:tabs>
              <w:jc w:val="center"/>
              <w:rPr>
                <w:b/>
              </w:rPr>
            </w:pPr>
            <w:r w:rsidRPr="004B61EA">
              <w:rPr>
                <w:b/>
              </w:rPr>
              <w:t>Form</w:t>
            </w:r>
          </w:p>
        </w:tc>
        <w:tc>
          <w:tcPr>
            <w:tcW w:w="1581" w:type="dxa"/>
          </w:tcPr>
          <w:p w:rsidRPr="004B61EA" w:rsidR="00187613" w:rsidP="00C93A63" w:rsidRDefault="00187613">
            <w:pPr>
              <w:tabs>
                <w:tab w:val="left" w:pos="-720"/>
                <w:tab w:val="left" w:pos="720"/>
                <w:tab w:val="left" w:pos="2610"/>
                <w:tab w:val="left" w:pos="3600"/>
              </w:tabs>
              <w:jc w:val="center"/>
              <w:rPr>
                <w:b/>
              </w:rPr>
            </w:pPr>
            <w:r w:rsidRPr="004B61EA">
              <w:rPr>
                <w:b/>
              </w:rPr>
              <w:t>Number of Respondents</w:t>
            </w:r>
          </w:p>
        </w:tc>
        <w:tc>
          <w:tcPr>
            <w:tcW w:w="1027" w:type="dxa"/>
          </w:tcPr>
          <w:p w:rsidRPr="004B61EA" w:rsidR="00187613" w:rsidP="00C93A63" w:rsidRDefault="00187613">
            <w:pPr>
              <w:tabs>
                <w:tab w:val="left" w:pos="-720"/>
                <w:tab w:val="left" w:pos="720"/>
                <w:tab w:val="left" w:pos="2610"/>
                <w:tab w:val="left" w:pos="3600"/>
              </w:tabs>
              <w:jc w:val="center"/>
              <w:rPr>
                <w:b/>
              </w:rPr>
            </w:pPr>
            <w:r w:rsidRPr="004B61EA">
              <w:rPr>
                <w:b/>
              </w:rPr>
              <w:t>Hours</w:t>
            </w:r>
          </w:p>
        </w:tc>
        <w:tc>
          <w:tcPr>
            <w:tcW w:w="1924" w:type="dxa"/>
          </w:tcPr>
          <w:p w:rsidRPr="004B61EA" w:rsidR="00187613" w:rsidP="00C93A63" w:rsidRDefault="00187613">
            <w:pPr>
              <w:tabs>
                <w:tab w:val="left" w:pos="-720"/>
                <w:tab w:val="left" w:pos="720"/>
                <w:tab w:val="left" w:pos="2610"/>
                <w:tab w:val="left" w:pos="3600"/>
              </w:tabs>
              <w:jc w:val="center"/>
              <w:rPr>
                <w:b/>
              </w:rPr>
            </w:pPr>
            <w:r w:rsidRPr="004B61EA">
              <w:rPr>
                <w:b/>
              </w:rPr>
              <w:t>Burden (in hours, Number of Respondents X Hours)</w:t>
            </w:r>
          </w:p>
        </w:tc>
        <w:tc>
          <w:tcPr>
            <w:tcW w:w="2250" w:type="dxa"/>
          </w:tcPr>
          <w:p w:rsidRPr="004B61EA" w:rsidR="00187613" w:rsidP="00C93A63" w:rsidRDefault="00187613">
            <w:pPr>
              <w:tabs>
                <w:tab w:val="left" w:pos="-720"/>
                <w:tab w:val="left" w:pos="720"/>
                <w:tab w:val="left" w:pos="2610"/>
                <w:tab w:val="left" w:pos="3600"/>
              </w:tabs>
              <w:jc w:val="center"/>
              <w:rPr>
                <w:b/>
              </w:rPr>
            </w:pPr>
            <w:r w:rsidRPr="004B61EA">
              <w:rPr>
                <w:b/>
              </w:rPr>
              <w:t>Cost (in dollars, Burden X $34.40)</w:t>
            </w:r>
          </w:p>
        </w:tc>
      </w:tr>
      <w:tr w:rsidRPr="004B61EA" w:rsidR="00187613" w:rsidTr="00C93A63">
        <w:tc>
          <w:tcPr>
            <w:tcW w:w="2578" w:type="dxa"/>
          </w:tcPr>
          <w:p w:rsidRPr="004B61EA" w:rsidR="00187613" w:rsidP="00C93A63" w:rsidRDefault="00187613">
            <w:pPr>
              <w:tabs>
                <w:tab w:val="left" w:pos="-720"/>
                <w:tab w:val="left" w:pos="720"/>
                <w:tab w:val="left" w:pos="2610"/>
                <w:tab w:val="left" w:pos="3600"/>
              </w:tabs>
            </w:pPr>
            <w:r>
              <w:t>SA-42A</w:t>
            </w:r>
          </w:p>
        </w:tc>
        <w:tc>
          <w:tcPr>
            <w:tcW w:w="1581" w:type="dxa"/>
          </w:tcPr>
          <w:p w:rsidRPr="004B61EA" w:rsidR="00187613" w:rsidP="00C93A63" w:rsidRDefault="00187613">
            <w:pPr>
              <w:tabs>
                <w:tab w:val="left" w:pos="-720"/>
                <w:tab w:val="left" w:pos="720"/>
                <w:tab w:val="left" w:pos="2610"/>
                <w:tab w:val="left" w:pos="3600"/>
              </w:tabs>
              <w:jc w:val="center"/>
            </w:pPr>
            <w:r>
              <w:t>6,269</w:t>
            </w:r>
          </w:p>
        </w:tc>
        <w:tc>
          <w:tcPr>
            <w:tcW w:w="1027" w:type="dxa"/>
          </w:tcPr>
          <w:p w:rsidRPr="004B61EA" w:rsidR="00187613" w:rsidP="00C93A63" w:rsidRDefault="00187613">
            <w:pPr>
              <w:tabs>
                <w:tab w:val="left" w:pos="-720"/>
                <w:tab w:val="left" w:pos="720"/>
                <w:tab w:val="left" w:pos="2610"/>
                <w:tab w:val="left" w:pos="3600"/>
              </w:tabs>
              <w:jc w:val="center"/>
            </w:pPr>
            <w:r>
              <w:t>3.25</w:t>
            </w:r>
          </w:p>
        </w:tc>
        <w:tc>
          <w:tcPr>
            <w:tcW w:w="1924" w:type="dxa"/>
          </w:tcPr>
          <w:p w:rsidRPr="004B61EA" w:rsidR="00187613" w:rsidP="00C93A63" w:rsidRDefault="00187613">
            <w:pPr>
              <w:tabs>
                <w:tab w:val="left" w:pos="-720"/>
                <w:tab w:val="left" w:pos="720"/>
                <w:tab w:val="left" w:pos="2610"/>
                <w:tab w:val="left" w:pos="3600"/>
              </w:tabs>
              <w:jc w:val="center"/>
            </w:pPr>
            <w:r>
              <w:t>20,374</w:t>
            </w:r>
          </w:p>
        </w:tc>
        <w:tc>
          <w:tcPr>
            <w:tcW w:w="2250" w:type="dxa"/>
          </w:tcPr>
          <w:p w:rsidRPr="004B61EA" w:rsidR="00187613" w:rsidP="00187613" w:rsidRDefault="00187613">
            <w:pPr>
              <w:tabs>
                <w:tab w:val="left" w:pos="-720"/>
                <w:tab w:val="left" w:pos="720"/>
                <w:tab w:val="left" w:pos="2610"/>
                <w:tab w:val="left" w:pos="3600"/>
              </w:tabs>
              <w:jc w:val="center"/>
            </w:pPr>
            <w:r>
              <w:t>700,866</w:t>
            </w:r>
          </w:p>
        </w:tc>
      </w:tr>
      <w:tr w:rsidRPr="004B61EA" w:rsidR="00187613" w:rsidTr="00C93A63">
        <w:tc>
          <w:tcPr>
            <w:tcW w:w="2578" w:type="dxa"/>
          </w:tcPr>
          <w:p w:rsidRPr="004B61EA" w:rsidR="00187613" w:rsidP="00C93A63" w:rsidRDefault="00187613">
            <w:pPr>
              <w:tabs>
                <w:tab w:val="left" w:pos="-720"/>
                <w:tab w:val="left" w:pos="720"/>
                <w:tab w:val="left" w:pos="2610"/>
                <w:tab w:val="left" w:pos="3600"/>
              </w:tabs>
            </w:pPr>
            <w:r>
              <w:t>SA-42A-MSBO</w:t>
            </w:r>
          </w:p>
        </w:tc>
        <w:tc>
          <w:tcPr>
            <w:tcW w:w="1581" w:type="dxa"/>
          </w:tcPr>
          <w:p w:rsidRPr="004B61EA" w:rsidR="00187613" w:rsidP="00C93A63" w:rsidRDefault="00187613">
            <w:pPr>
              <w:tabs>
                <w:tab w:val="left" w:pos="-720"/>
                <w:tab w:val="left" w:pos="720"/>
                <w:tab w:val="left" w:pos="2610"/>
                <w:tab w:val="left" w:pos="3600"/>
              </w:tabs>
              <w:jc w:val="center"/>
            </w:pPr>
            <w:r>
              <w:t>926</w:t>
            </w:r>
          </w:p>
        </w:tc>
        <w:tc>
          <w:tcPr>
            <w:tcW w:w="1027" w:type="dxa"/>
          </w:tcPr>
          <w:p w:rsidRPr="004B61EA" w:rsidR="00187613" w:rsidP="00C93A63" w:rsidRDefault="00187613">
            <w:pPr>
              <w:tabs>
                <w:tab w:val="left" w:pos="-720"/>
                <w:tab w:val="left" w:pos="720"/>
                <w:tab w:val="left" w:pos="2610"/>
                <w:tab w:val="left" w:pos="3600"/>
              </w:tabs>
              <w:jc w:val="center"/>
            </w:pPr>
            <w:r>
              <w:t>0.55</w:t>
            </w:r>
          </w:p>
        </w:tc>
        <w:tc>
          <w:tcPr>
            <w:tcW w:w="1924" w:type="dxa"/>
          </w:tcPr>
          <w:p w:rsidRPr="004B61EA" w:rsidR="00187613" w:rsidP="00C93A63" w:rsidRDefault="00187613">
            <w:pPr>
              <w:tabs>
                <w:tab w:val="left" w:pos="-720"/>
                <w:tab w:val="left" w:pos="720"/>
                <w:tab w:val="left" w:pos="2610"/>
                <w:tab w:val="left" w:pos="3600"/>
              </w:tabs>
              <w:jc w:val="center"/>
            </w:pPr>
            <w:r>
              <w:t>509</w:t>
            </w:r>
          </w:p>
        </w:tc>
        <w:tc>
          <w:tcPr>
            <w:tcW w:w="2250" w:type="dxa"/>
          </w:tcPr>
          <w:p w:rsidRPr="004B61EA" w:rsidR="00187613" w:rsidP="00C93A63" w:rsidRDefault="00187613">
            <w:pPr>
              <w:tabs>
                <w:tab w:val="left" w:pos="-720"/>
                <w:tab w:val="left" w:pos="720"/>
                <w:tab w:val="left" w:pos="2610"/>
                <w:tab w:val="left" w:pos="3600"/>
              </w:tabs>
              <w:jc w:val="center"/>
            </w:pPr>
            <w:r>
              <w:t>17,510</w:t>
            </w:r>
          </w:p>
        </w:tc>
      </w:tr>
      <w:tr w:rsidRPr="004B61EA" w:rsidR="00187613" w:rsidTr="00C93A63">
        <w:tc>
          <w:tcPr>
            <w:tcW w:w="2578" w:type="dxa"/>
          </w:tcPr>
          <w:p w:rsidRPr="004B61EA" w:rsidR="00187613" w:rsidP="00C93A63" w:rsidRDefault="00187613">
            <w:pPr>
              <w:tabs>
                <w:tab w:val="left" w:pos="-720"/>
                <w:tab w:val="left" w:pos="720"/>
                <w:tab w:val="left" w:pos="2610"/>
                <w:tab w:val="left" w:pos="3600"/>
              </w:tabs>
            </w:pPr>
            <w:r>
              <w:t>SA-42A-AGBR</w:t>
            </w:r>
          </w:p>
        </w:tc>
        <w:tc>
          <w:tcPr>
            <w:tcW w:w="1581" w:type="dxa"/>
          </w:tcPr>
          <w:p w:rsidRPr="004B61EA" w:rsidR="00187613" w:rsidP="00C93A63" w:rsidRDefault="00187613">
            <w:pPr>
              <w:tabs>
                <w:tab w:val="left" w:pos="-720"/>
                <w:tab w:val="left" w:pos="720"/>
                <w:tab w:val="left" w:pos="2610"/>
                <w:tab w:val="left" w:pos="3600"/>
              </w:tabs>
              <w:jc w:val="center"/>
            </w:pPr>
            <w:r>
              <w:t>548</w:t>
            </w:r>
          </w:p>
        </w:tc>
        <w:tc>
          <w:tcPr>
            <w:tcW w:w="1027" w:type="dxa"/>
          </w:tcPr>
          <w:p w:rsidRPr="004B61EA" w:rsidR="00187613" w:rsidP="00C93A63" w:rsidRDefault="00187613">
            <w:pPr>
              <w:tabs>
                <w:tab w:val="left" w:pos="-720"/>
                <w:tab w:val="left" w:pos="720"/>
                <w:tab w:val="left" w:pos="2610"/>
                <w:tab w:val="left" w:pos="3600"/>
              </w:tabs>
              <w:jc w:val="center"/>
            </w:pPr>
            <w:r>
              <w:t>0.45</w:t>
            </w:r>
          </w:p>
        </w:tc>
        <w:tc>
          <w:tcPr>
            <w:tcW w:w="1924" w:type="dxa"/>
          </w:tcPr>
          <w:p w:rsidRPr="004B61EA" w:rsidR="00187613" w:rsidP="00C93A63" w:rsidRDefault="00187613">
            <w:pPr>
              <w:tabs>
                <w:tab w:val="left" w:pos="-720"/>
                <w:tab w:val="left" w:pos="720"/>
                <w:tab w:val="left" w:pos="2610"/>
                <w:tab w:val="left" w:pos="3600"/>
              </w:tabs>
              <w:jc w:val="center"/>
            </w:pPr>
            <w:r>
              <w:t>247</w:t>
            </w:r>
          </w:p>
        </w:tc>
        <w:tc>
          <w:tcPr>
            <w:tcW w:w="2250" w:type="dxa"/>
          </w:tcPr>
          <w:p w:rsidRPr="004B61EA" w:rsidR="00187613" w:rsidP="00C93A63" w:rsidRDefault="00187613">
            <w:pPr>
              <w:tabs>
                <w:tab w:val="left" w:pos="-720"/>
                <w:tab w:val="left" w:pos="720"/>
                <w:tab w:val="left" w:pos="2610"/>
                <w:tab w:val="left" w:pos="3600"/>
              </w:tabs>
              <w:jc w:val="center"/>
            </w:pPr>
            <w:r>
              <w:t>8,497</w:t>
            </w:r>
          </w:p>
        </w:tc>
      </w:tr>
      <w:tr w:rsidRPr="004B61EA" w:rsidR="00187613" w:rsidTr="00C93A63">
        <w:tc>
          <w:tcPr>
            <w:tcW w:w="2578" w:type="dxa"/>
          </w:tcPr>
          <w:p w:rsidRPr="004B61EA" w:rsidR="00187613" w:rsidP="00C93A63" w:rsidRDefault="00187613">
            <w:pPr>
              <w:tabs>
                <w:tab w:val="left" w:pos="-720"/>
                <w:tab w:val="left" w:pos="720"/>
                <w:tab w:val="left" w:pos="2610"/>
                <w:tab w:val="left" w:pos="3600"/>
              </w:tabs>
              <w:rPr>
                <w:b/>
                <w:i/>
              </w:rPr>
            </w:pPr>
            <w:r w:rsidRPr="004B61EA">
              <w:rPr>
                <w:b/>
                <w:i/>
              </w:rPr>
              <w:t>TOTAL</w:t>
            </w:r>
          </w:p>
        </w:tc>
        <w:tc>
          <w:tcPr>
            <w:tcW w:w="1581" w:type="dxa"/>
          </w:tcPr>
          <w:p w:rsidRPr="004B61EA" w:rsidR="00187613" w:rsidP="00C93A63" w:rsidRDefault="00187613">
            <w:pPr>
              <w:tabs>
                <w:tab w:val="left" w:pos="-720"/>
                <w:tab w:val="left" w:pos="720"/>
                <w:tab w:val="left" w:pos="2610"/>
                <w:tab w:val="left" w:pos="3600"/>
              </w:tabs>
              <w:jc w:val="center"/>
              <w:rPr>
                <w:b/>
                <w:i/>
              </w:rPr>
            </w:pPr>
            <w:r w:rsidRPr="004B61EA">
              <w:rPr>
                <w:b/>
                <w:i/>
              </w:rPr>
              <w:t>7,743</w:t>
            </w:r>
          </w:p>
        </w:tc>
        <w:tc>
          <w:tcPr>
            <w:tcW w:w="1027" w:type="dxa"/>
          </w:tcPr>
          <w:p w:rsidRPr="004B61EA" w:rsidR="00187613" w:rsidP="00C93A63" w:rsidRDefault="00187613">
            <w:pPr>
              <w:tabs>
                <w:tab w:val="left" w:pos="-720"/>
                <w:tab w:val="left" w:pos="720"/>
                <w:tab w:val="left" w:pos="2610"/>
                <w:tab w:val="left" w:pos="3600"/>
              </w:tabs>
              <w:jc w:val="center"/>
              <w:rPr>
                <w:b/>
                <w:i/>
              </w:rPr>
            </w:pPr>
            <w:r w:rsidRPr="004B61EA">
              <w:rPr>
                <w:b/>
                <w:i/>
              </w:rPr>
              <w:t>NA</w:t>
            </w:r>
          </w:p>
        </w:tc>
        <w:tc>
          <w:tcPr>
            <w:tcW w:w="1924" w:type="dxa"/>
          </w:tcPr>
          <w:p w:rsidRPr="004B61EA" w:rsidR="00187613" w:rsidP="00C93A63" w:rsidRDefault="00187613">
            <w:pPr>
              <w:tabs>
                <w:tab w:val="left" w:pos="-720"/>
                <w:tab w:val="left" w:pos="720"/>
                <w:tab w:val="left" w:pos="2610"/>
                <w:tab w:val="left" w:pos="3600"/>
              </w:tabs>
              <w:jc w:val="center"/>
              <w:rPr>
                <w:b/>
                <w:i/>
              </w:rPr>
            </w:pPr>
            <w:r>
              <w:rPr>
                <w:b/>
                <w:i/>
              </w:rPr>
              <w:t>21,130</w:t>
            </w:r>
          </w:p>
        </w:tc>
        <w:tc>
          <w:tcPr>
            <w:tcW w:w="2250" w:type="dxa"/>
          </w:tcPr>
          <w:p w:rsidRPr="004B61EA" w:rsidR="00187613" w:rsidP="00C93A63" w:rsidRDefault="00187613">
            <w:pPr>
              <w:tabs>
                <w:tab w:val="left" w:pos="-720"/>
                <w:tab w:val="left" w:pos="720"/>
                <w:tab w:val="left" w:pos="2610"/>
                <w:tab w:val="left" w:pos="3600"/>
              </w:tabs>
              <w:jc w:val="center"/>
              <w:rPr>
                <w:b/>
                <w:i/>
              </w:rPr>
            </w:pPr>
            <w:r>
              <w:rPr>
                <w:b/>
                <w:i/>
              </w:rPr>
              <w:t>726,873</w:t>
            </w:r>
          </w:p>
        </w:tc>
      </w:tr>
    </w:tbl>
    <w:p w:rsidR="00187613" w:rsidP="007B068D" w:rsidRDefault="00187613">
      <w:pPr>
        <w:tabs>
          <w:tab w:val="left" w:pos="-720"/>
          <w:tab w:val="left" w:pos="720"/>
          <w:tab w:val="left" w:pos="2610"/>
          <w:tab w:val="left" w:pos="3600"/>
        </w:tabs>
        <w:ind w:left="2880" w:hanging="2880"/>
        <w:rPr>
          <w:b/>
        </w:rPr>
      </w:pPr>
    </w:p>
    <w:p w:rsidR="00187613" w:rsidP="007B068D" w:rsidRDefault="00187613">
      <w:pPr>
        <w:tabs>
          <w:tab w:val="left" w:pos="-720"/>
          <w:tab w:val="left" w:pos="720"/>
          <w:tab w:val="left" w:pos="2610"/>
          <w:tab w:val="left" w:pos="3600"/>
        </w:tabs>
        <w:ind w:left="2880" w:hanging="2880"/>
        <w:rPr>
          <w:b/>
          <w:i/>
        </w:rPr>
      </w:pPr>
      <w:r>
        <w:rPr>
          <w:b/>
          <w:i/>
        </w:rPr>
        <w:t xml:space="preserve">NA = Not applicable </w:t>
      </w:r>
    </w:p>
    <w:p w:rsidRPr="00187613" w:rsidR="00187613" w:rsidP="007B068D" w:rsidRDefault="00187613">
      <w:pPr>
        <w:tabs>
          <w:tab w:val="left" w:pos="-720"/>
          <w:tab w:val="left" w:pos="720"/>
          <w:tab w:val="left" w:pos="2610"/>
          <w:tab w:val="left" w:pos="3600"/>
        </w:tabs>
        <w:ind w:left="2880" w:hanging="2880"/>
        <w:rPr>
          <w:b/>
          <w:i/>
        </w:rPr>
      </w:pPr>
    </w:p>
    <w:p w:rsidR="009C411A" w:rsidP="00756F5C" w:rsidRDefault="007B068D">
      <w:pPr>
        <w:tabs>
          <w:tab w:val="left" w:pos="-720"/>
          <w:tab w:val="left" w:pos="720"/>
          <w:tab w:val="left" w:pos="2610"/>
          <w:tab w:val="left" w:pos="4230"/>
        </w:tabs>
      </w:pPr>
      <w:r w:rsidRPr="007023D6">
        <w:t>The three</w:t>
      </w:r>
      <w:r w:rsidR="00187613">
        <w:t>-</w:t>
      </w:r>
      <w:r w:rsidRPr="007023D6">
        <w:t xml:space="preserve">year </w:t>
      </w:r>
      <w:r>
        <w:t>average</w:t>
      </w:r>
      <w:r w:rsidRPr="007023D6">
        <w:t xml:space="preserve"> for burden hours is </w:t>
      </w:r>
      <w:r w:rsidR="00187613">
        <w:t>9,846</w:t>
      </w:r>
      <w:r w:rsidR="00CA0BB0">
        <w:t xml:space="preserve"> hours. </w:t>
      </w:r>
      <w:r w:rsidRPr="007023D6">
        <w:t>The thr</w:t>
      </w:r>
      <w:r w:rsidR="00CA0BB0">
        <w:t>ee-</w:t>
      </w:r>
      <w:r w:rsidRPr="007023D6">
        <w:t xml:space="preserve">year average </w:t>
      </w:r>
      <w:r>
        <w:t xml:space="preserve">cost is </w:t>
      </w:r>
      <w:r w:rsidRPr="007023D6">
        <w:t>$</w:t>
      </w:r>
      <w:r w:rsidR="00CA0BB0">
        <w:t>338,703</w:t>
      </w:r>
      <w:r w:rsidRPr="007023D6">
        <w:t>.</w:t>
      </w:r>
    </w:p>
    <w:p w:rsidR="00E2725E" w:rsidP="00756F5C" w:rsidRDefault="00E2725E">
      <w:pPr>
        <w:tabs>
          <w:tab w:val="left" w:pos="-720"/>
          <w:tab w:val="left" w:pos="720"/>
          <w:tab w:val="left" w:pos="2610"/>
          <w:tab w:val="left" w:pos="4230"/>
        </w:tabs>
      </w:pPr>
    </w:p>
    <w:p w:rsidRPr="00756F5C" w:rsidR="00E2725E" w:rsidP="00756F5C" w:rsidRDefault="00E2725E">
      <w:pPr>
        <w:tabs>
          <w:tab w:val="left" w:pos="-720"/>
          <w:tab w:val="left" w:pos="720"/>
          <w:tab w:val="left" w:pos="2610"/>
          <w:tab w:val="left" w:pos="4230"/>
        </w:tabs>
      </w:pPr>
      <w:r>
        <w:t xml:space="preserve">Note: The </w:t>
      </w:r>
      <w:r w:rsidR="00E56EF4">
        <w:t>figures</w:t>
      </w:r>
      <w:r>
        <w:t xml:space="preserve"> listed above differ from those presented in the pre-submission notice that </w:t>
      </w:r>
      <w:proofErr w:type="gramStart"/>
      <w:r>
        <w:t>was published</w:t>
      </w:r>
      <w:proofErr w:type="gramEnd"/>
      <w:r>
        <w:t xml:space="preserve"> in the Federal Register on Wednesday, June 3, 2020 (Vol. 85, No. 107).</w:t>
      </w:r>
      <w:r w:rsidR="00316C22">
        <w:t xml:space="preserve"> This difference is due to a refinement of the estimates.  </w:t>
      </w:r>
      <w:r>
        <w:t xml:space="preserve">   </w:t>
      </w:r>
    </w:p>
    <w:p w:rsidRPr="00F4421F" w:rsidR="009C411A" w:rsidP="009C411A" w:rsidRDefault="009C411A">
      <w:pPr>
        <w:pStyle w:val="NormalWeb"/>
        <w:rPr>
          <w:b/>
          <w:color w:val="auto"/>
        </w:rPr>
      </w:pPr>
      <w:r w:rsidRPr="00F4421F">
        <w:rPr>
          <w:b/>
          <w:color w:val="auto"/>
          <w:u w:val="single"/>
        </w:rPr>
        <w:t>Question 13. Estimate of Cost Burden</w:t>
      </w:r>
    </w:p>
    <w:p w:rsidRPr="0088597F" w:rsidR="0088597F" w:rsidP="0088597F" w:rsidRDefault="00BE1B76">
      <w:pPr>
        <w:pStyle w:val="NormalWeb"/>
        <w:rPr>
          <w:color w:val="auto"/>
        </w:rPr>
      </w:pPr>
      <w:r>
        <w:rPr>
          <w:color w:val="auto"/>
        </w:rPr>
        <w:t>The Census Bureau d</w:t>
      </w:r>
      <w:r w:rsidRPr="0088597F" w:rsidR="0088597F">
        <w:rPr>
          <w:color w:val="auto"/>
        </w:rPr>
        <w:t>o</w:t>
      </w:r>
      <w:r>
        <w:rPr>
          <w:color w:val="auto"/>
        </w:rPr>
        <w:t>es</w:t>
      </w:r>
      <w:r w:rsidRPr="0088597F" w:rsidR="0088597F">
        <w:rPr>
          <w:color w:val="auto"/>
        </w:rPr>
        <w:t xml:space="preserve"> not expect respondents to incur any costs other than </w:t>
      </w:r>
      <w:r w:rsidR="006D48B1">
        <w:rPr>
          <w:color w:val="auto"/>
        </w:rPr>
        <w:t xml:space="preserve">that of their time to respond. </w:t>
      </w:r>
      <w:r w:rsidRPr="0088597F" w:rsidR="0088597F">
        <w:rPr>
          <w:color w:val="auto"/>
        </w:rPr>
        <w:t>The information requested is of the type and scope normally carried in company records and no special hardware or accounting software or system is necessary to provide answers to this information collection. Therefore, respondents are not expected to incur any capital and start</w:t>
      </w:r>
      <w:r w:rsidRPr="0088597F" w:rsidR="0088597F">
        <w:rPr>
          <w:color w:val="auto"/>
        </w:rPr>
        <w:noBreakHyphen/>
        <w:t>up costs or system ma</w:t>
      </w:r>
      <w:r w:rsidR="0088597F">
        <w:rPr>
          <w:color w:val="auto"/>
        </w:rPr>
        <w:t xml:space="preserve">intenance costs in responding. </w:t>
      </w:r>
      <w:r w:rsidRPr="0088597F" w:rsidR="0088597F">
        <w:rPr>
          <w:color w:val="auto"/>
        </w:rPr>
        <w:t xml:space="preserve">Furthermore, purchasing of outside accounting </w:t>
      </w:r>
      <w:r w:rsidRPr="0088597F" w:rsidR="0088597F">
        <w:rPr>
          <w:color w:val="auto"/>
        </w:rPr>
        <w:lastRenderedPageBreak/>
        <w:t>or information collection services, if performed by the respondent, is part of usual and customary business practices and not specifically required for this information collection.</w:t>
      </w:r>
    </w:p>
    <w:p w:rsidRPr="00F4421F" w:rsidR="009C411A" w:rsidP="009C411A" w:rsidRDefault="009C411A">
      <w:pPr>
        <w:pStyle w:val="NormalWeb"/>
        <w:rPr>
          <w:b/>
          <w:color w:val="auto"/>
        </w:rPr>
      </w:pPr>
      <w:r w:rsidRPr="00F4421F">
        <w:rPr>
          <w:b/>
          <w:color w:val="auto"/>
          <w:u w:val="single"/>
        </w:rPr>
        <w:t>Question 14. Cost to Federal Government</w:t>
      </w:r>
    </w:p>
    <w:p w:rsidRPr="00BE1B76" w:rsidR="00BE1B76" w:rsidP="00BE1B76" w:rsidRDefault="00BE1B76">
      <w:pPr>
        <w:pStyle w:val="NormalWeb"/>
        <w:rPr>
          <w:color w:val="auto"/>
        </w:rPr>
      </w:pPr>
      <w:r w:rsidRPr="00D96424">
        <w:rPr>
          <w:color w:val="auto"/>
        </w:rPr>
        <w:t xml:space="preserve">The total cost to the Federal Government for the AWTS in fiscal year </w:t>
      </w:r>
      <w:r w:rsidRPr="00D96424" w:rsidR="002F647C">
        <w:rPr>
          <w:color w:val="auto"/>
        </w:rPr>
        <w:t>2021</w:t>
      </w:r>
      <w:r w:rsidRPr="00D96424">
        <w:rPr>
          <w:color w:val="auto"/>
        </w:rPr>
        <w:t xml:space="preserve"> </w:t>
      </w:r>
      <w:proofErr w:type="gramStart"/>
      <w:r w:rsidRPr="00D96424">
        <w:rPr>
          <w:color w:val="auto"/>
        </w:rPr>
        <w:t>is expected</w:t>
      </w:r>
      <w:proofErr w:type="gramEnd"/>
      <w:r w:rsidRPr="00D96424">
        <w:rPr>
          <w:color w:val="auto"/>
        </w:rPr>
        <w:t xml:space="preserve"> to be </w:t>
      </w:r>
      <w:r w:rsidR="00B42590">
        <w:rPr>
          <w:bCs/>
          <w:color w:val="auto"/>
        </w:rPr>
        <w:t>$1.9</w:t>
      </w:r>
      <w:r w:rsidRPr="00D96424">
        <w:rPr>
          <w:bCs/>
          <w:color w:val="auto"/>
        </w:rPr>
        <w:t xml:space="preserve"> million </w:t>
      </w:r>
      <w:r w:rsidRPr="00D96424" w:rsidR="002F647C">
        <w:rPr>
          <w:bCs/>
          <w:color w:val="auto"/>
        </w:rPr>
        <w:t>(</w:t>
      </w:r>
      <w:r w:rsidRPr="00D96424">
        <w:rPr>
          <w:color w:val="auto"/>
        </w:rPr>
        <w:t>all borne by the Census Bureau</w:t>
      </w:r>
      <w:r w:rsidRPr="00D96424" w:rsidR="002F647C">
        <w:rPr>
          <w:color w:val="auto"/>
        </w:rPr>
        <w:t>)</w:t>
      </w:r>
      <w:r w:rsidRPr="00D96424">
        <w:rPr>
          <w:color w:val="auto"/>
        </w:rPr>
        <w:t xml:space="preserve">. This includes </w:t>
      </w:r>
      <w:r w:rsidRPr="00D96424" w:rsidR="00553B60">
        <w:rPr>
          <w:color w:val="auto"/>
        </w:rPr>
        <w:t>expenses</w:t>
      </w:r>
      <w:r w:rsidRPr="00D96424">
        <w:rPr>
          <w:color w:val="auto"/>
        </w:rPr>
        <w:t xml:space="preserve"> for data</w:t>
      </w:r>
      <w:r w:rsidRPr="00D96424" w:rsidR="002F647C">
        <w:rPr>
          <w:color w:val="auto"/>
        </w:rPr>
        <w:t xml:space="preserve"> collection, </w:t>
      </w:r>
      <w:r w:rsidR="00D96424">
        <w:rPr>
          <w:color w:val="auto"/>
        </w:rPr>
        <w:t xml:space="preserve">data </w:t>
      </w:r>
      <w:r w:rsidRPr="00D96424" w:rsidR="002F647C">
        <w:rPr>
          <w:color w:val="auto"/>
        </w:rPr>
        <w:t xml:space="preserve">processing, </w:t>
      </w:r>
      <w:r w:rsidR="00D96424">
        <w:rPr>
          <w:color w:val="auto"/>
        </w:rPr>
        <w:t>data review</w:t>
      </w:r>
      <w:r w:rsidRPr="00D96424">
        <w:rPr>
          <w:color w:val="auto"/>
        </w:rPr>
        <w:t>, publication, equipment</w:t>
      </w:r>
      <w:r w:rsidRPr="00D96424" w:rsidR="00553B60">
        <w:rPr>
          <w:color w:val="auto"/>
        </w:rPr>
        <w:t xml:space="preserve">, overhead, and support staff. </w:t>
      </w:r>
      <w:r w:rsidRPr="00D96424" w:rsidR="00D96424">
        <w:rPr>
          <w:color w:val="auto"/>
        </w:rPr>
        <w:t xml:space="preserve">For fiscal years 2022 and 2023, the total cost per year is expected to be comparable to the fiscal </w:t>
      </w:r>
      <w:r w:rsidR="00085945">
        <w:rPr>
          <w:color w:val="auto"/>
        </w:rPr>
        <w:t xml:space="preserve">year </w:t>
      </w:r>
      <w:r w:rsidRPr="00D96424" w:rsidR="00D96424">
        <w:rPr>
          <w:color w:val="auto"/>
        </w:rPr>
        <w:t xml:space="preserve">2021 level. </w:t>
      </w:r>
    </w:p>
    <w:p w:rsidRPr="00F4421F" w:rsidR="009C411A" w:rsidP="009C411A" w:rsidRDefault="009C411A">
      <w:pPr>
        <w:pStyle w:val="NormalWeb"/>
        <w:rPr>
          <w:b/>
          <w:color w:val="auto"/>
        </w:rPr>
      </w:pPr>
      <w:r w:rsidRPr="00F4421F">
        <w:rPr>
          <w:b/>
          <w:color w:val="auto"/>
          <w:u w:val="single"/>
        </w:rPr>
        <w:t>Question 15. Reason for Change in Burden</w:t>
      </w:r>
    </w:p>
    <w:p w:rsidRPr="00351100" w:rsidR="00F70249" w:rsidP="009C411A" w:rsidRDefault="0033600A">
      <w:pPr>
        <w:pStyle w:val="NormalWeb"/>
        <w:rPr>
          <w:color w:val="auto"/>
        </w:rPr>
      </w:pPr>
      <w:r>
        <w:rPr>
          <w:color w:val="auto"/>
        </w:rPr>
        <w:t xml:space="preserve">The current OMB inventory value for total annual burden hours is 4,586. </w:t>
      </w:r>
      <w:r w:rsidR="00CB669A">
        <w:rPr>
          <w:color w:val="auto"/>
        </w:rPr>
        <w:t>As mentioned in the Estimate of Hour Burden section, the three-year average for this request</w:t>
      </w:r>
      <w:r w:rsidR="00E57190">
        <w:rPr>
          <w:color w:val="auto"/>
        </w:rPr>
        <w:t xml:space="preserve"> is</w:t>
      </w:r>
      <w:r w:rsidR="00CB669A">
        <w:rPr>
          <w:color w:val="auto"/>
        </w:rPr>
        <w:t xml:space="preserve"> 9,846 hours. This increase of 5,260 hours </w:t>
      </w:r>
      <w:r w:rsidR="00E57190">
        <w:rPr>
          <w:color w:val="auto"/>
        </w:rPr>
        <w:t>is the result of the variability of the items presented in the questionnaires</w:t>
      </w:r>
      <w:r w:rsidR="00CF133E">
        <w:rPr>
          <w:color w:val="auto"/>
        </w:rPr>
        <w:t xml:space="preserve"> across survey years</w:t>
      </w:r>
      <w:r w:rsidR="00E57190">
        <w:rPr>
          <w:color w:val="auto"/>
        </w:rPr>
        <w:t xml:space="preserve">. Specifically, as outlined in the Necessity of the Information Collection section, the AWTS will collect detailed operating expenses and sales tax information in survey year 2022. (These items </w:t>
      </w:r>
      <w:proofErr w:type="gramStart"/>
      <w:r w:rsidR="00E57190">
        <w:rPr>
          <w:color w:val="auto"/>
        </w:rPr>
        <w:t>are only collected</w:t>
      </w:r>
      <w:proofErr w:type="gramEnd"/>
      <w:r w:rsidR="00E57190">
        <w:rPr>
          <w:color w:val="auto"/>
        </w:rPr>
        <w:t xml:space="preserve"> in survey years ending in </w:t>
      </w:r>
      <w:r w:rsidR="007C4D9E">
        <w:rPr>
          <w:color w:val="auto"/>
        </w:rPr>
        <w:t>“</w:t>
      </w:r>
      <w:r w:rsidR="00E57190">
        <w:rPr>
          <w:color w:val="auto"/>
        </w:rPr>
        <w:t>2</w:t>
      </w:r>
      <w:r w:rsidR="007C4D9E">
        <w:rPr>
          <w:color w:val="auto"/>
        </w:rPr>
        <w:t>”</w:t>
      </w:r>
      <w:r w:rsidR="00E57190">
        <w:rPr>
          <w:color w:val="auto"/>
        </w:rPr>
        <w:t xml:space="preserve"> and </w:t>
      </w:r>
      <w:r w:rsidR="007C4D9E">
        <w:rPr>
          <w:color w:val="auto"/>
        </w:rPr>
        <w:t>“</w:t>
      </w:r>
      <w:r w:rsidR="00E57190">
        <w:rPr>
          <w:color w:val="auto"/>
        </w:rPr>
        <w:t>7</w:t>
      </w:r>
      <w:r w:rsidR="007C4D9E">
        <w:rPr>
          <w:color w:val="auto"/>
        </w:rPr>
        <w:t>”</w:t>
      </w:r>
      <w:r w:rsidR="00E57190">
        <w:rPr>
          <w:color w:val="auto"/>
        </w:rPr>
        <w:t xml:space="preserve">.)  </w:t>
      </w:r>
      <w:r w:rsidR="00CB669A">
        <w:rPr>
          <w:color w:val="auto"/>
        </w:rPr>
        <w:t xml:space="preserve"> </w:t>
      </w:r>
    </w:p>
    <w:p w:rsidRPr="00F4421F" w:rsidR="009C411A" w:rsidP="009C411A" w:rsidRDefault="009C411A">
      <w:pPr>
        <w:pStyle w:val="NormalWeb"/>
        <w:rPr>
          <w:b/>
          <w:color w:val="auto"/>
        </w:rPr>
      </w:pPr>
      <w:r w:rsidRPr="00F4421F">
        <w:rPr>
          <w:b/>
          <w:color w:val="auto"/>
          <w:u w:val="single"/>
        </w:rPr>
        <w:t>Question 16. Project Schedule</w:t>
      </w:r>
    </w:p>
    <w:p w:rsidRPr="00B46C5B" w:rsidR="001A4EC2" w:rsidP="001A4EC2" w:rsidRDefault="006F3E26">
      <w:pPr>
        <w:pStyle w:val="NormalWeb"/>
        <w:rPr>
          <w:color w:val="auto"/>
        </w:rPr>
      </w:pPr>
      <w:r w:rsidRPr="00B46C5B">
        <w:rPr>
          <w:color w:val="auto"/>
        </w:rPr>
        <w:t>The initial letter informing re</w:t>
      </w:r>
      <w:r w:rsidR="00B46C5B">
        <w:rPr>
          <w:color w:val="auto"/>
        </w:rPr>
        <w:t>spondents about</w:t>
      </w:r>
      <w:r w:rsidRPr="00B46C5B">
        <w:rPr>
          <w:color w:val="auto"/>
        </w:rPr>
        <w:t xml:space="preserve"> the survey </w:t>
      </w:r>
      <w:proofErr w:type="gramStart"/>
      <w:r w:rsidRPr="00B46C5B">
        <w:rPr>
          <w:color w:val="auto"/>
        </w:rPr>
        <w:t>is sent</w:t>
      </w:r>
      <w:proofErr w:type="gramEnd"/>
      <w:r w:rsidRPr="00B46C5B">
        <w:rPr>
          <w:color w:val="auto"/>
        </w:rPr>
        <w:t xml:space="preserve"> during the middle of January (i.e., the January after the reference year has concluded). For survey year 2020, these letters are</w:t>
      </w:r>
      <w:r w:rsidRPr="00B46C5B" w:rsidR="00711F15">
        <w:rPr>
          <w:color w:val="auto"/>
        </w:rPr>
        <w:t xml:space="preserve"> tentatively scheduled to be mailed </w:t>
      </w:r>
      <w:r w:rsidRPr="00B46C5B">
        <w:rPr>
          <w:color w:val="auto"/>
        </w:rPr>
        <w:t>on January 14, 2021. Centurion, the online reporting instrument, becomes available to the respondents at the same point in t</w:t>
      </w:r>
      <w:r w:rsidRPr="00B46C5B" w:rsidR="00711F15">
        <w:rPr>
          <w:color w:val="auto"/>
        </w:rPr>
        <w:t>ime. Respondents always have</w:t>
      </w:r>
      <w:r w:rsidRPr="00B46C5B" w:rsidR="001146CC">
        <w:rPr>
          <w:color w:val="auto"/>
        </w:rPr>
        <w:t xml:space="preserve"> at least 30 days </w:t>
      </w:r>
      <w:r w:rsidRPr="00B46C5B" w:rsidR="0087024B">
        <w:rPr>
          <w:color w:val="auto"/>
        </w:rPr>
        <w:t>to complete the survey</w:t>
      </w:r>
      <w:r w:rsidRPr="00B46C5B" w:rsidR="00711F15">
        <w:rPr>
          <w:color w:val="auto"/>
        </w:rPr>
        <w:t xml:space="preserve"> online</w:t>
      </w:r>
      <w:r w:rsidRPr="00B46C5B" w:rsidR="00FD3FCC">
        <w:rPr>
          <w:color w:val="auto"/>
        </w:rPr>
        <w:t xml:space="preserve">, so the due date typically falls towards the end of February. </w:t>
      </w:r>
      <w:r w:rsidRPr="00B46C5B" w:rsidR="0087024B">
        <w:rPr>
          <w:color w:val="auto"/>
        </w:rPr>
        <w:t xml:space="preserve">The provisional due date for survey </w:t>
      </w:r>
      <w:r w:rsidRPr="00B46C5B" w:rsidR="00711F15">
        <w:rPr>
          <w:color w:val="auto"/>
        </w:rPr>
        <w:t>year 2020 is February 23, 202</w:t>
      </w:r>
      <w:r w:rsidRPr="00B46C5B" w:rsidR="00AB1355">
        <w:rPr>
          <w:color w:val="auto"/>
        </w:rPr>
        <w:t>1. Prior to the due date, the agency will send a reminder notification (mailed letter and e-mail)</w:t>
      </w:r>
      <w:r w:rsidR="00CF2FD9">
        <w:rPr>
          <w:color w:val="auto"/>
        </w:rPr>
        <w:t xml:space="preserve"> to companies that have not </w:t>
      </w:r>
      <w:r w:rsidRPr="00B46C5B" w:rsidR="00AB1355">
        <w:rPr>
          <w:color w:val="auto"/>
        </w:rPr>
        <w:t>submitted their data</w:t>
      </w:r>
      <w:r w:rsidR="00CF2FD9">
        <w:rPr>
          <w:color w:val="auto"/>
        </w:rPr>
        <w:t xml:space="preserve"> yet</w:t>
      </w:r>
      <w:r w:rsidRPr="00B46C5B" w:rsidR="00AB1355">
        <w:rPr>
          <w:color w:val="auto"/>
        </w:rPr>
        <w:t xml:space="preserve">. </w:t>
      </w:r>
      <w:r w:rsidRPr="00B46C5B" w:rsidR="00FD3FCC">
        <w:rPr>
          <w:color w:val="auto"/>
        </w:rPr>
        <w:t>If respondents do not submit their data by the due date, the agency continues to remind respondents about the AWTS through various means (e-mails, mailed letters, and/or telephone calls) until they submit the data</w:t>
      </w:r>
      <w:r w:rsidRPr="00B46C5B" w:rsidR="00C83DF1">
        <w:rPr>
          <w:color w:val="auto"/>
        </w:rPr>
        <w:t>. Throughout the processing cycle, analysts review the information provided by companies for accuracy. On occasion, they will contact respondents via secure electronic messages (sent through the Census Bureau’s Respondent Portal) or telephone calls to confirm suspicious data</w:t>
      </w:r>
      <w:r w:rsidR="00EC640E">
        <w:rPr>
          <w:color w:val="auto"/>
        </w:rPr>
        <w:t xml:space="preserve">. </w:t>
      </w:r>
      <w:r w:rsidRPr="00B46C5B" w:rsidR="00910155">
        <w:rPr>
          <w:color w:val="auto"/>
        </w:rPr>
        <w:t>During the fall</w:t>
      </w:r>
      <w:r w:rsidR="00EC640E">
        <w:rPr>
          <w:color w:val="auto"/>
        </w:rPr>
        <w:t xml:space="preserve"> (around October)</w:t>
      </w:r>
      <w:r w:rsidRPr="00B46C5B" w:rsidR="00910155">
        <w:rPr>
          <w:color w:val="auto"/>
        </w:rPr>
        <w:t xml:space="preserve">, the reporting instrument </w:t>
      </w:r>
      <w:r w:rsidRPr="00B46C5B" w:rsidR="00803C75">
        <w:rPr>
          <w:color w:val="auto"/>
        </w:rPr>
        <w:t xml:space="preserve">(Centurion) </w:t>
      </w:r>
      <w:r w:rsidRPr="00B46C5B" w:rsidR="00910155">
        <w:rPr>
          <w:color w:val="auto"/>
        </w:rPr>
        <w:t>is shut down for the survey year. For survey year 2020, this is currently scheduled to occur on September 30, 2021. Once Centurion has closed, respondents can still provide data to analysts over the telephone.</w:t>
      </w:r>
      <w:r w:rsidRPr="00B46C5B" w:rsidR="00803C75">
        <w:rPr>
          <w:color w:val="auto"/>
        </w:rPr>
        <w:t xml:space="preserve"> Around late November, a</w:t>
      </w:r>
      <w:r w:rsidRPr="00B46C5B" w:rsidR="00DA789A">
        <w:rPr>
          <w:color w:val="auto"/>
        </w:rPr>
        <w:t xml:space="preserve">fter months of </w:t>
      </w:r>
      <w:r w:rsidRPr="00B46C5B" w:rsidR="00B27D3C">
        <w:rPr>
          <w:color w:val="auto"/>
        </w:rPr>
        <w:t>analysis</w:t>
      </w:r>
      <w:r w:rsidRPr="00B46C5B" w:rsidR="00DA789A">
        <w:rPr>
          <w:color w:val="auto"/>
        </w:rPr>
        <w:t>, the company-</w:t>
      </w:r>
      <w:r w:rsidR="00EC640E">
        <w:rPr>
          <w:color w:val="auto"/>
        </w:rPr>
        <w:t xml:space="preserve"> and industry-</w:t>
      </w:r>
      <w:r w:rsidRPr="00B46C5B" w:rsidR="00DA789A">
        <w:rPr>
          <w:color w:val="auto"/>
        </w:rPr>
        <w:t>level d</w:t>
      </w:r>
      <w:r w:rsidRPr="00B46C5B" w:rsidR="00803C75">
        <w:rPr>
          <w:color w:val="auto"/>
        </w:rPr>
        <w:t xml:space="preserve">ata </w:t>
      </w:r>
      <w:proofErr w:type="gramStart"/>
      <w:r w:rsidRPr="00B46C5B" w:rsidR="00803C75">
        <w:rPr>
          <w:color w:val="auto"/>
        </w:rPr>
        <w:t>are finalized</w:t>
      </w:r>
      <w:proofErr w:type="gramEnd"/>
      <w:r w:rsidRPr="00B46C5B" w:rsidR="00803C75">
        <w:rPr>
          <w:color w:val="auto"/>
        </w:rPr>
        <w:t xml:space="preserve"> f</w:t>
      </w:r>
      <w:r w:rsidR="00EC640E">
        <w:rPr>
          <w:color w:val="auto"/>
        </w:rPr>
        <w:t>or the year.</w:t>
      </w:r>
      <w:r w:rsidR="00695BB6">
        <w:rPr>
          <w:color w:val="auto"/>
        </w:rPr>
        <w:t xml:space="preserve"> Once the data </w:t>
      </w:r>
      <w:proofErr w:type="gramStart"/>
      <w:r w:rsidR="00695BB6">
        <w:rPr>
          <w:color w:val="auto"/>
        </w:rPr>
        <w:t>are finalized</w:t>
      </w:r>
      <w:proofErr w:type="gramEnd"/>
      <w:r w:rsidR="00695BB6">
        <w:rPr>
          <w:color w:val="auto"/>
        </w:rPr>
        <w:t xml:space="preserve">, the Census Bureau prepares the publication tables. These tables </w:t>
      </w:r>
      <w:proofErr w:type="gramStart"/>
      <w:r w:rsidR="00695BB6">
        <w:rPr>
          <w:color w:val="auto"/>
        </w:rPr>
        <w:t>are then reviewed</w:t>
      </w:r>
      <w:proofErr w:type="gramEnd"/>
      <w:r w:rsidR="00695BB6">
        <w:rPr>
          <w:color w:val="auto"/>
        </w:rPr>
        <w:t xml:space="preserve"> to ensure disclosure avoidance practices have been implemented correctly. </w:t>
      </w:r>
      <w:r w:rsidRPr="00B46C5B" w:rsidR="001A4EC2">
        <w:rPr>
          <w:color w:val="auto"/>
        </w:rPr>
        <w:t xml:space="preserve">The estimates generated from the AWTS </w:t>
      </w:r>
      <w:proofErr w:type="gramStart"/>
      <w:r w:rsidRPr="00B46C5B" w:rsidR="001A4EC2">
        <w:rPr>
          <w:color w:val="auto"/>
        </w:rPr>
        <w:t>are released</w:t>
      </w:r>
      <w:proofErr w:type="gramEnd"/>
      <w:r w:rsidRPr="00B46C5B" w:rsidR="001A4EC2">
        <w:rPr>
          <w:color w:val="auto"/>
        </w:rPr>
        <w:t xml:space="preserve"> to the public approximately 14 months after the reference year has concluded. For survey year 2020, the goa</w:t>
      </w:r>
      <w:r w:rsidR="008830D4">
        <w:rPr>
          <w:color w:val="auto"/>
        </w:rPr>
        <w:t>l is to release the data by the end of</w:t>
      </w:r>
      <w:r w:rsidRPr="00B46C5B" w:rsidR="001A4EC2">
        <w:rPr>
          <w:color w:val="auto"/>
        </w:rPr>
        <w:t xml:space="preserve"> January. These national-level estimates are published (for the various items collected) by NAICS code and type of operation. Currently, the data are disseminated through the </w:t>
      </w:r>
      <w:hyperlink w:history="1" r:id="rId17">
        <w:r w:rsidRPr="00B46C5B" w:rsidR="001A4EC2">
          <w:rPr>
            <w:rStyle w:val="Hyperlink"/>
          </w:rPr>
          <w:t>AWTS website</w:t>
        </w:r>
      </w:hyperlink>
      <w:r w:rsidRPr="00B46C5B" w:rsidR="001A4EC2">
        <w:rPr>
          <w:color w:val="auto"/>
        </w:rPr>
        <w:t xml:space="preserve">. In the future, however, the data </w:t>
      </w:r>
      <w:proofErr w:type="gramStart"/>
      <w:r w:rsidRPr="00B46C5B" w:rsidR="001A4EC2">
        <w:rPr>
          <w:color w:val="auto"/>
        </w:rPr>
        <w:t>will be released</w:t>
      </w:r>
      <w:proofErr w:type="gramEnd"/>
      <w:r w:rsidRPr="00B46C5B" w:rsidR="001A4EC2">
        <w:rPr>
          <w:color w:val="auto"/>
        </w:rPr>
        <w:t xml:space="preserve"> via the Census Bureau’s dissemination platform, </w:t>
      </w:r>
      <w:hyperlink w:history="1" r:id="rId18">
        <w:r w:rsidRPr="00B46C5B" w:rsidR="001A4EC2">
          <w:rPr>
            <w:rStyle w:val="Hyperlink"/>
          </w:rPr>
          <w:t>data.census.gov</w:t>
        </w:r>
      </w:hyperlink>
      <w:r w:rsidRPr="00B46C5B" w:rsidR="001A4EC2">
        <w:rPr>
          <w:color w:val="auto"/>
        </w:rPr>
        <w:t>. The survey year 2020 data pr</w:t>
      </w:r>
      <w:r w:rsidR="002932AF">
        <w:rPr>
          <w:color w:val="auto"/>
        </w:rPr>
        <w:t xml:space="preserve">oducts </w:t>
      </w:r>
      <w:proofErr w:type="gramStart"/>
      <w:r w:rsidR="002932AF">
        <w:rPr>
          <w:color w:val="auto"/>
        </w:rPr>
        <w:t xml:space="preserve">are scheduled to be </w:t>
      </w:r>
      <w:r w:rsidRPr="00B46C5B" w:rsidR="001A4EC2">
        <w:rPr>
          <w:color w:val="auto"/>
        </w:rPr>
        <w:t>released</w:t>
      </w:r>
      <w:proofErr w:type="gramEnd"/>
      <w:r w:rsidRPr="00B46C5B" w:rsidR="001A4EC2">
        <w:rPr>
          <w:color w:val="auto"/>
        </w:rPr>
        <w:t xml:space="preserve"> through </w:t>
      </w:r>
      <w:hyperlink w:history="1" r:id="rId19">
        <w:r w:rsidRPr="0011242D" w:rsidR="001A4EC2">
          <w:rPr>
            <w:rStyle w:val="Hyperlink"/>
          </w:rPr>
          <w:t>data.census.gov</w:t>
        </w:r>
      </w:hyperlink>
      <w:r w:rsidRPr="00B46C5B" w:rsidR="001A4EC2">
        <w:rPr>
          <w:color w:val="auto"/>
        </w:rPr>
        <w:t xml:space="preserve">. </w:t>
      </w:r>
    </w:p>
    <w:p w:rsidR="00496A84" w:rsidP="00496A84" w:rsidRDefault="00AC034D">
      <w:pPr>
        <w:pStyle w:val="NormalWeb"/>
        <w:rPr>
          <w:color w:val="auto"/>
        </w:rPr>
      </w:pPr>
      <w:r w:rsidRPr="00B46C5B">
        <w:rPr>
          <w:color w:val="auto"/>
        </w:rPr>
        <w:t xml:space="preserve">As mentioned in the Assurance of Confidentiality section, </w:t>
      </w:r>
      <w:r w:rsidRPr="00B46C5B" w:rsidR="00496A84">
        <w:rPr>
          <w:color w:val="auto"/>
        </w:rPr>
        <w:t>during 2018, a</w:t>
      </w:r>
      <w:r w:rsidRPr="00B46C5B" w:rsidR="00B46C5B">
        <w:rPr>
          <w:color w:val="auto"/>
        </w:rPr>
        <w:t xml:space="preserve"> NAS</w:t>
      </w:r>
      <w:r w:rsidRPr="00B46C5B" w:rsidR="00496A84">
        <w:rPr>
          <w:color w:val="auto"/>
        </w:rPr>
        <w:t xml:space="preserve"> panel issued </w:t>
      </w:r>
      <w:hyperlink w:history="1" r:id="rId20">
        <w:r w:rsidRPr="002E0872" w:rsidR="00496A84">
          <w:rPr>
            <w:rStyle w:val="Hyperlink"/>
          </w:rPr>
          <w:t>recommendations</w:t>
        </w:r>
      </w:hyperlink>
      <w:r w:rsidRPr="00B46C5B" w:rsidR="00496A84">
        <w:rPr>
          <w:color w:val="auto"/>
        </w:rPr>
        <w:t xml:space="preserve"> for the Census Bureau’s annual economic survey</w:t>
      </w:r>
      <w:r w:rsidRPr="00B46C5B" w:rsidR="00B27D3C">
        <w:rPr>
          <w:color w:val="auto"/>
        </w:rPr>
        <w:t xml:space="preserve">s. </w:t>
      </w:r>
      <w:r w:rsidRPr="00B46C5B" w:rsidR="00496A84">
        <w:rPr>
          <w:color w:val="auto"/>
        </w:rPr>
        <w:t xml:space="preserve">Because of the recommendations, during the 2019 survey year, the Census Bureau started coordinating data collection efforts between the AWTS, </w:t>
      </w:r>
      <w:r w:rsidRPr="00B46C5B" w:rsidR="00B46C5B">
        <w:rPr>
          <w:color w:val="auto"/>
        </w:rPr>
        <w:t>ARTS</w:t>
      </w:r>
      <w:r w:rsidRPr="00B46C5B" w:rsidR="00496A84">
        <w:rPr>
          <w:color w:val="auto"/>
        </w:rPr>
        <w:t xml:space="preserve">, and </w:t>
      </w:r>
      <w:r w:rsidRPr="00B46C5B" w:rsidR="00B46C5B">
        <w:rPr>
          <w:color w:val="auto"/>
        </w:rPr>
        <w:t>S</w:t>
      </w:r>
      <w:r w:rsidRPr="00B46C5B" w:rsidR="00496A84">
        <w:rPr>
          <w:color w:val="auto"/>
        </w:rPr>
        <w:t xml:space="preserve">AS. Specifically, if a company was required to submit the AWTS and at least one of these other surveys, the agency identified a single point of contact for the company and sent the individual a letter mentioning each survey that needed to be submitted. (A select group of companies were excluded from this coordinated collection effort and continued to be contacted separately by the relevant surveys. Some of these companies were removed from the coordinated collection efforts prior to the initial mailing based on previous </w:t>
      </w:r>
      <w:r w:rsidR="00CC52D1">
        <w:rPr>
          <w:color w:val="auto"/>
        </w:rPr>
        <w:t>collection</w:t>
      </w:r>
      <w:r w:rsidRPr="00B46C5B" w:rsidR="00496A84">
        <w:rPr>
          <w:color w:val="auto"/>
        </w:rPr>
        <w:t xml:space="preserve"> experiences and communications with the companies. Other companies reached out to the Census Bureau and asked to be removed at later points in time.)</w:t>
      </w:r>
      <w:r w:rsidRPr="00B46C5B" w:rsidR="00B77029">
        <w:rPr>
          <w:color w:val="auto"/>
        </w:rPr>
        <w:t xml:space="preserve"> Companies that fall under this category are known as “Odyssey companies.”</w:t>
      </w:r>
      <w:r w:rsidRPr="00B46C5B" w:rsidR="00B27D3C">
        <w:rPr>
          <w:color w:val="auto"/>
        </w:rPr>
        <w:t xml:space="preserve"> </w:t>
      </w:r>
      <w:r w:rsidRPr="00B46C5B" w:rsidR="00AB2821">
        <w:rPr>
          <w:color w:val="auto"/>
        </w:rPr>
        <w:t xml:space="preserve">This coordinated effort will continue during this </w:t>
      </w:r>
      <w:r w:rsidR="00B21656">
        <w:rPr>
          <w:color w:val="auto"/>
        </w:rPr>
        <w:t>three</w:t>
      </w:r>
      <w:r w:rsidRPr="00B46C5B" w:rsidR="00AB2821">
        <w:rPr>
          <w:color w:val="auto"/>
        </w:rPr>
        <w:t xml:space="preserve">-year clearance window. </w:t>
      </w:r>
      <w:r w:rsidRPr="00B46C5B" w:rsidR="00B27D3C">
        <w:rPr>
          <w:color w:val="auto"/>
        </w:rPr>
        <w:t xml:space="preserve">The </w:t>
      </w:r>
      <w:r w:rsidRPr="00B46C5B" w:rsidR="00AB2821">
        <w:rPr>
          <w:color w:val="auto"/>
        </w:rPr>
        <w:t>Odyssey companies do</w:t>
      </w:r>
      <w:r w:rsidRPr="00B46C5B" w:rsidR="00B27D3C">
        <w:rPr>
          <w:color w:val="auto"/>
        </w:rPr>
        <w:t xml:space="preserve"> not follow the exact same </w:t>
      </w:r>
      <w:r w:rsidR="00CC52D1">
        <w:rPr>
          <w:color w:val="auto"/>
        </w:rPr>
        <w:t xml:space="preserve">collection </w:t>
      </w:r>
      <w:r w:rsidRPr="00B46C5B" w:rsidR="00B27D3C">
        <w:rPr>
          <w:color w:val="auto"/>
        </w:rPr>
        <w:t>schedule as the non-Odyssey</w:t>
      </w:r>
      <w:r w:rsidRPr="00B46C5B" w:rsidR="00F913C5">
        <w:rPr>
          <w:color w:val="auto"/>
        </w:rPr>
        <w:t xml:space="preserve"> AWTS</w:t>
      </w:r>
      <w:r w:rsidRPr="00B46C5B" w:rsidR="00B27D3C">
        <w:rPr>
          <w:color w:val="auto"/>
        </w:rPr>
        <w:t xml:space="preserve"> cases (which were previous</w:t>
      </w:r>
      <w:r w:rsidRPr="00B46C5B" w:rsidR="00AB2821">
        <w:rPr>
          <w:color w:val="auto"/>
        </w:rPr>
        <w:t>ly discussed). The initial letter will</w:t>
      </w:r>
      <w:r w:rsidR="00CC52D1">
        <w:rPr>
          <w:color w:val="auto"/>
        </w:rPr>
        <w:t xml:space="preserve"> likely</w:t>
      </w:r>
      <w:r w:rsidRPr="00B46C5B" w:rsidR="00AB2821">
        <w:rPr>
          <w:color w:val="auto"/>
        </w:rPr>
        <w:t xml:space="preserve"> not be sent at the same time as the</w:t>
      </w:r>
      <w:r w:rsidRPr="00B46C5B" w:rsidR="00F913C5">
        <w:rPr>
          <w:color w:val="auto"/>
        </w:rPr>
        <w:t xml:space="preserve"> one produced for the</w:t>
      </w:r>
      <w:r w:rsidRPr="00B46C5B" w:rsidR="00AB2821">
        <w:rPr>
          <w:color w:val="auto"/>
        </w:rPr>
        <w:t xml:space="preserve"> non-Odyssey cases. Since respondents sti</w:t>
      </w:r>
      <w:r w:rsidR="00516E01">
        <w:rPr>
          <w:color w:val="auto"/>
        </w:rPr>
        <w:t xml:space="preserve">ll receive at least 30 </w:t>
      </w:r>
      <w:r w:rsidRPr="00B46C5B" w:rsidR="00AB2821">
        <w:rPr>
          <w:color w:val="auto"/>
        </w:rPr>
        <w:t>days to submit their data, the due date for</w:t>
      </w:r>
      <w:r w:rsidR="00FE5222">
        <w:rPr>
          <w:color w:val="auto"/>
        </w:rPr>
        <w:t xml:space="preserve"> these companies will </w:t>
      </w:r>
      <w:r w:rsidRPr="00B46C5B" w:rsidR="00AB2821">
        <w:rPr>
          <w:color w:val="auto"/>
        </w:rPr>
        <w:t>also</w:t>
      </w:r>
      <w:r w:rsidR="00FE5222">
        <w:rPr>
          <w:color w:val="auto"/>
        </w:rPr>
        <w:t xml:space="preserve"> probably be</w:t>
      </w:r>
      <w:r w:rsidRPr="00B46C5B" w:rsidR="00AB2821">
        <w:rPr>
          <w:color w:val="auto"/>
        </w:rPr>
        <w:t xml:space="preserve"> different.</w:t>
      </w:r>
      <w:r w:rsidR="00FE5222">
        <w:rPr>
          <w:color w:val="auto"/>
        </w:rPr>
        <w:t xml:space="preserve"> As of now, it is expected that the due date for </w:t>
      </w:r>
      <w:r w:rsidR="00FB1E96">
        <w:rPr>
          <w:color w:val="auto"/>
        </w:rPr>
        <w:t>the AWTS Odyssey comp</w:t>
      </w:r>
      <w:r w:rsidR="00F5261D">
        <w:rPr>
          <w:color w:val="auto"/>
        </w:rPr>
        <w:t>anies</w:t>
      </w:r>
      <w:r w:rsidR="00FE5222">
        <w:rPr>
          <w:color w:val="auto"/>
        </w:rPr>
        <w:t xml:space="preserve"> will be n</w:t>
      </w:r>
      <w:r w:rsidR="00F5261D">
        <w:rPr>
          <w:color w:val="auto"/>
        </w:rPr>
        <w:t xml:space="preserve">o later than the end of March. However, this is subject to </w:t>
      </w:r>
      <w:r w:rsidR="00FE5222">
        <w:rPr>
          <w:color w:val="auto"/>
        </w:rPr>
        <w:t xml:space="preserve">change. </w:t>
      </w:r>
      <w:r w:rsidR="00606445">
        <w:rPr>
          <w:color w:val="auto"/>
        </w:rPr>
        <w:t>(T</w:t>
      </w:r>
      <w:r w:rsidRPr="00B46C5B" w:rsidR="00AB2821">
        <w:rPr>
          <w:color w:val="auto"/>
        </w:rPr>
        <w:t xml:space="preserve">his means the due date reminder </w:t>
      </w:r>
      <w:r w:rsidR="00FE5222">
        <w:rPr>
          <w:color w:val="auto"/>
        </w:rPr>
        <w:t>will likely be</w:t>
      </w:r>
      <w:r w:rsidRPr="00B46C5B" w:rsidR="00AB2821">
        <w:rPr>
          <w:color w:val="auto"/>
        </w:rPr>
        <w:t xml:space="preserve"> sent at a differ</w:t>
      </w:r>
      <w:r w:rsidRPr="00B46C5B" w:rsidR="00F913C5">
        <w:rPr>
          <w:color w:val="auto"/>
        </w:rPr>
        <w:t xml:space="preserve">ent point in time, too.) If Odyssey respondents do not submit their data by the due date, the agency will also continue to remind them about their reporting obligations through various means (e-mails, mailed letters, and/or telephone calls) until they submit the data. Odyssey respondents use the same reporting instrument as the non-Odyssey cases. For example, for an Odyssey company that is required to </w:t>
      </w:r>
      <w:r w:rsidRPr="00B46C5B" w:rsidR="00B46C5B">
        <w:rPr>
          <w:color w:val="auto"/>
        </w:rPr>
        <w:t>complete the AWTS and the ARTS, the company will complete the AWTS using the AWTS Centurion</w:t>
      </w:r>
      <w:r w:rsidR="00FE5222">
        <w:rPr>
          <w:color w:val="auto"/>
        </w:rPr>
        <w:t xml:space="preserve"> instrument</w:t>
      </w:r>
      <w:r w:rsidRPr="00B46C5B" w:rsidR="00B46C5B">
        <w:rPr>
          <w:color w:val="auto"/>
        </w:rPr>
        <w:t xml:space="preserve">. It will then complete the ARTS via the ARTS Centurion instrument. Hence, the </w:t>
      </w:r>
      <w:r w:rsidR="00FE5222">
        <w:rPr>
          <w:color w:val="auto"/>
        </w:rPr>
        <w:t>AWTS reporting instrument will close</w:t>
      </w:r>
      <w:r w:rsidRPr="00B46C5B" w:rsidR="00B46C5B">
        <w:rPr>
          <w:color w:val="auto"/>
        </w:rPr>
        <w:t xml:space="preserve"> on the same day for both Odys</w:t>
      </w:r>
      <w:r w:rsidR="00A35DC7">
        <w:rPr>
          <w:color w:val="auto"/>
        </w:rPr>
        <w:t xml:space="preserve">sey and non-Odyssey respondents. The Odyssey companies are analyzed, tabulated, and published with the non-Odyssey companies.  </w:t>
      </w:r>
      <w:r w:rsidR="00B46C5B">
        <w:rPr>
          <w:color w:val="auto"/>
        </w:rPr>
        <w:t xml:space="preserve"> </w:t>
      </w:r>
    </w:p>
    <w:p w:rsidRPr="00F4421F" w:rsidR="009C411A" w:rsidP="009C411A" w:rsidRDefault="009C411A">
      <w:pPr>
        <w:pStyle w:val="NormalWeb"/>
        <w:rPr>
          <w:b/>
          <w:color w:val="auto"/>
        </w:rPr>
      </w:pPr>
      <w:r w:rsidRPr="00F4421F">
        <w:rPr>
          <w:b/>
          <w:color w:val="auto"/>
          <w:u w:val="single"/>
        </w:rPr>
        <w:t>Question 17. Request to Not Display Expiration Date</w:t>
      </w:r>
    </w:p>
    <w:p w:rsidR="009C411A" w:rsidP="009C411A" w:rsidRDefault="002F647C">
      <w:pPr>
        <w:pStyle w:val="NormalWeb"/>
        <w:rPr>
          <w:color w:val="auto"/>
        </w:rPr>
      </w:pPr>
      <w:r>
        <w:rPr>
          <w:color w:val="auto"/>
        </w:rPr>
        <w:t xml:space="preserve">The AWTS will continue to display the expiration date within the online collection system (Centurion). </w:t>
      </w:r>
    </w:p>
    <w:p w:rsidRPr="00F4421F" w:rsidR="009C411A" w:rsidP="009C411A" w:rsidRDefault="009C411A">
      <w:pPr>
        <w:pStyle w:val="NormalWeb"/>
        <w:rPr>
          <w:b/>
          <w:color w:val="auto"/>
        </w:rPr>
      </w:pPr>
      <w:r w:rsidRPr="00F4421F">
        <w:rPr>
          <w:b/>
          <w:color w:val="auto"/>
          <w:u w:val="single"/>
        </w:rPr>
        <w:t>Question 18. Exceptions to the Certification</w:t>
      </w:r>
    </w:p>
    <w:p w:rsidRPr="00DC66F9" w:rsidR="00DC66F9" w:rsidP="00DC66F9" w:rsidRDefault="00DC66F9">
      <w:pPr>
        <w:pStyle w:val="NormalWeb"/>
        <w:rPr>
          <w:color w:val="auto"/>
        </w:rPr>
      </w:pPr>
      <w:r w:rsidRPr="00DC66F9">
        <w:rPr>
          <w:color w:val="auto"/>
        </w:rPr>
        <w:t>There are no exceptions</w:t>
      </w:r>
      <w:r>
        <w:rPr>
          <w:color w:val="auto"/>
        </w:rPr>
        <w:t xml:space="preserve"> to the certification statement on OMB Form 83-I. </w:t>
      </w:r>
    </w:p>
    <w:p w:rsidRPr="00F4421F" w:rsidR="009C411A" w:rsidP="009C411A" w:rsidRDefault="009C411A">
      <w:pPr>
        <w:pStyle w:val="NormalWeb"/>
        <w:rPr>
          <w:b/>
          <w:color w:val="auto"/>
        </w:rPr>
      </w:pPr>
      <w:r w:rsidRPr="00F4421F">
        <w:rPr>
          <w:b/>
          <w:color w:val="auto"/>
          <w:u w:val="single"/>
        </w:rPr>
        <w:t xml:space="preserve">Question 19. </w:t>
      </w:r>
      <w:r w:rsidRPr="00F4421F" w:rsidR="00DC66F9">
        <w:rPr>
          <w:b/>
          <w:color w:val="auto"/>
          <w:u w:val="single"/>
        </w:rPr>
        <w:t>NAICS</w:t>
      </w:r>
      <w:r w:rsidRPr="00F4421F">
        <w:rPr>
          <w:b/>
          <w:color w:val="auto"/>
          <w:u w:val="single"/>
        </w:rPr>
        <w:t xml:space="preserve"> Codes Affected</w:t>
      </w:r>
    </w:p>
    <w:p w:rsidRPr="00016065" w:rsidR="00DC66F9" w:rsidP="00DC66F9" w:rsidRDefault="00D75DE8">
      <w:pPr>
        <w:tabs>
          <w:tab w:val="left" w:pos="-720"/>
          <w:tab w:val="left" w:pos="720"/>
          <w:tab w:val="left" w:pos="2610"/>
          <w:tab w:val="left" w:pos="4230"/>
        </w:tabs>
      </w:pPr>
      <w:r>
        <w:t>The following are the 4</w:t>
      </w:r>
      <w:r w:rsidRPr="00016065" w:rsidR="00DC66F9">
        <w:t>-digit NAICS codes for the wholesalers affected</w:t>
      </w:r>
      <w:r w:rsidR="00873021">
        <w:t xml:space="preserve"> by this information collection:</w:t>
      </w:r>
    </w:p>
    <w:p w:rsidR="00DC66F9" w:rsidP="00DC66F9" w:rsidRDefault="00DC66F9">
      <w:pPr>
        <w:tabs>
          <w:tab w:val="left" w:pos="-720"/>
          <w:tab w:val="left" w:pos="720"/>
          <w:tab w:val="left" w:pos="2610"/>
          <w:tab w:val="left" w:pos="4230"/>
        </w:tabs>
        <w:ind w:left="720" w:hanging="720"/>
      </w:pPr>
    </w:p>
    <w:tbl>
      <w:tblPr>
        <w:tblStyle w:val="TableGrid"/>
        <w:tblW w:w="0" w:type="auto"/>
        <w:tblInd w:w="720" w:type="dxa"/>
        <w:tblLook w:val="04A0" w:firstRow="1" w:lastRow="0" w:firstColumn="1" w:lastColumn="0" w:noHBand="0" w:noVBand="1"/>
      </w:tblPr>
      <w:tblGrid>
        <w:gridCol w:w="1975"/>
        <w:gridCol w:w="6255"/>
      </w:tblGrid>
      <w:tr w:rsidR="00873021" w:rsidTr="009572F4">
        <w:tc>
          <w:tcPr>
            <w:tcW w:w="1975" w:type="dxa"/>
          </w:tcPr>
          <w:p w:rsidRPr="00873021" w:rsidR="00873021" w:rsidP="00873021" w:rsidRDefault="00873021">
            <w:pPr>
              <w:tabs>
                <w:tab w:val="left" w:pos="-720"/>
                <w:tab w:val="left" w:pos="720"/>
                <w:tab w:val="left" w:pos="2610"/>
                <w:tab w:val="left" w:pos="4230"/>
              </w:tabs>
              <w:jc w:val="center"/>
              <w:rPr>
                <w:b/>
              </w:rPr>
            </w:pPr>
            <w:r w:rsidRPr="00873021">
              <w:rPr>
                <w:b/>
              </w:rPr>
              <w:lastRenderedPageBreak/>
              <w:t>NAICS Code</w:t>
            </w:r>
          </w:p>
        </w:tc>
        <w:tc>
          <w:tcPr>
            <w:tcW w:w="6255" w:type="dxa"/>
            <w:tcBorders>
              <w:bottom w:val="single" w:color="auto" w:sz="4" w:space="0"/>
            </w:tcBorders>
          </w:tcPr>
          <w:p w:rsidRPr="00873021" w:rsidR="00873021" w:rsidP="00873021" w:rsidRDefault="00873021">
            <w:pPr>
              <w:tabs>
                <w:tab w:val="left" w:pos="-720"/>
                <w:tab w:val="left" w:pos="720"/>
                <w:tab w:val="left" w:pos="2610"/>
                <w:tab w:val="left" w:pos="4230"/>
              </w:tabs>
              <w:jc w:val="center"/>
              <w:rPr>
                <w:b/>
              </w:rPr>
            </w:pPr>
            <w:r w:rsidRPr="00873021">
              <w:rPr>
                <w:b/>
              </w:rPr>
              <w:t>Kind of Business</w:t>
            </w:r>
            <w:r w:rsidR="009572F4">
              <w:rPr>
                <w:b/>
              </w:rPr>
              <w:t xml:space="preserve"> Description</w:t>
            </w:r>
          </w:p>
        </w:tc>
      </w:tr>
      <w:tr w:rsidRPr="00873021" w:rsidR="00382AF8" w:rsidTr="009572F4">
        <w:trPr>
          <w:trHeight w:val="300"/>
        </w:trPr>
        <w:tc>
          <w:tcPr>
            <w:tcW w:w="1975" w:type="dxa"/>
            <w:noWrap/>
            <w:hideMark/>
          </w:tcPr>
          <w:p w:rsidRPr="00873021" w:rsidR="00382AF8" w:rsidP="00382AF8" w:rsidRDefault="00382AF8">
            <w:pPr>
              <w:jc w:val="center"/>
            </w:pPr>
            <w:r w:rsidRPr="00873021">
              <w:t>4231</w:t>
            </w:r>
          </w:p>
        </w:tc>
        <w:tc>
          <w:tcPr>
            <w:tcW w:w="6255" w:type="dxa"/>
            <w:tcBorders>
              <w:top w:val="single" w:color="auto" w:sz="4" w:space="0"/>
              <w:left w:val="nil"/>
              <w:bottom w:val="single" w:color="auto" w:sz="4" w:space="0"/>
              <w:right w:val="single" w:color="auto" w:sz="4" w:space="0"/>
            </w:tcBorders>
            <w:shd w:val="clear" w:color="auto" w:fill="auto"/>
            <w:vAlign w:val="bottom"/>
          </w:tcPr>
          <w:p w:rsidRPr="009572F4" w:rsidR="00382AF8" w:rsidP="00382AF8" w:rsidRDefault="00382AF8">
            <w:r w:rsidRPr="009572F4">
              <w:t>Motor Vehicles and Motor Vehicle Parts and Supplies</w:t>
            </w:r>
          </w:p>
        </w:tc>
      </w:tr>
      <w:tr w:rsidRPr="00873021" w:rsidR="00382AF8" w:rsidTr="009572F4">
        <w:trPr>
          <w:trHeight w:val="300"/>
        </w:trPr>
        <w:tc>
          <w:tcPr>
            <w:tcW w:w="1975" w:type="dxa"/>
            <w:noWrap/>
            <w:hideMark/>
          </w:tcPr>
          <w:p w:rsidRPr="00873021" w:rsidR="00382AF8" w:rsidP="00382AF8" w:rsidRDefault="00382AF8">
            <w:pPr>
              <w:jc w:val="center"/>
            </w:pPr>
            <w:r w:rsidRPr="00873021">
              <w:t>4232</w:t>
            </w:r>
          </w:p>
        </w:tc>
        <w:tc>
          <w:tcPr>
            <w:tcW w:w="0" w:type="auto"/>
            <w:tcBorders>
              <w:top w:val="single" w:color="auto" w:sz="4" w:space="0"/>
              <w:left w:val="nil"/>
              <w:bottom w:val="single" w:color="auto" w:sz="4" w:space="0"/>
              <w:right w:val="single" w:color="auto" w:sz="4" w:space="0"/>
            </w:tcBorders>
            <w:shd w:val="clear" w:color="auto" w:fill="auto"/>
            <w:vAlign w:val="bottom"/>
          </w:tcPr>
          <w:p w:rsidRPr="009572F4" w:rsidR="00382AF8" w:rsidP="00382AF8" w:rsidRDefault="00382AF8">
            <w:r w:rsidRPr="009572F4">
              <w:t>Furniture and Home Furnishings</w:t>
            </w:r>
          </w:p>
        </w:tc>
      </w:tr>
      <w:tr w:rsidRPr="00873021" w:rsidR="00382AF8" w:rsidTr="009572F4">
        <w:trPr>
          <w:trHeight w:val="300"/>
        </w:trPr>
        <w:tc>
          <w:tcPr>
            <w:tcW w:w="1975" w:type="dxa"/>
            <w:noWrap/>
            <w:hideMark/>
          </w:tcPr>
          <w:p w:rsidRPr="00873021" w:rsidR="00382AF8" w:rsidP="00382AF8" w:rsidRDefault="00382AF8">
            <w:pPr>
              <w:jc w:val="center"/>
            </w:pPr>
            <w:r w:rsidRPr="00873021">
              <w:t>4233</w:t>
            </w:r>
          </w:p>
        </w:tc>
        <w:tc>
          <w:tcPr>
            <w:tcW w:w="0" w:type="auto"/>
            <w:tcBorders>
              <w:top w:val="single" w:color="auto" w:sz="4" w:space="0"/>
              <w:left w:val="nil"/>
              <w:bottom w:val="single" w:color="auto" w:sz="4" w:space="0"/>
              <w:right w:val="single" w:color="auto" w:sz="4" w:space="0"/>
            </w:tcBorders>
            <w:shd w:val="clear" w:color="auto" w:fill="auto"/>
            <w:vAlign w:val="bottom"/>
          </w:tcPr>
          <w:p w:rsidRPr="009572F4" w:rsidR="00382AF8" w:rsidP="00382AF8" w:rsidRDefault="00382AF8">
            <w:r w:rsidRPr="009572F4">
              <w:t>Lumber and Other Construction Materials</w:t>
            </w:r>
          </w:p>
        </w:tc>
      </w:tr>
      <w:tr w:rsidRPr="00873021" w:rsidR="00382AF8" w:rsidTr="009572F4">
        <w:trPr>
          <w:trHeight w:val="300"/>
        </w:trPr>
        <w:tc>
          <w:tcPr>
            <w:tcW w:w="1975" w:type="dxa"/>
            <w:noWrap/>
            <w:hideMark/>
          </w:tcPr>
          <w:p w:rsidRPr="00873021" w:rsidR="00382AF8" w:rsidP="00382AF8" w:rsidRDefault="00382AF8">
            <w:pPr>
              <w:jc w:val="center"/>
            </w:pPr>
            <w:r w:rsidRPr="00873021">
              <w:t>4234</w:t>
            </w:r>
          </w:p>
        </w:tc>
        <w:tc>
          <w:tcPr>
            <w:tcW w:w="0" w:type="auto"/>
            <w:tcBorders>
              <w:top w:val="single" w:color="auto" w:sz="4" w:space="0"/>
              <w:left w:val="nil"/>
              <w:bottom w:val="single" w:color="auto" w:sz="4" w:space="0"/>
              <w:right w:val="single" w:color="auto" w:sz="4" w:space="0"/>
            </w:tcBorders>
            <w:shd w:val="clear" w:color="auto" w:fill="auto"/>
            <w:vAlign w:val="bottom"/>
          </w:tcPr>
          <w:p w:rsidRPr="009572F4" w:rsidR="00382AF8" w:rsidP="00382AF8" w:rsidRDefault="00382AF8">
            <w:r w:rsidRPr="009572F4">
              <w:t>Professional and Commercial Equipment and Supplies</w:t>
            </w:r>
          </w:p>
        </w:tc>
      </w:tr>
      <w:tr w:rsidRPr="00873021" w:rsidR="00382AF8" w:rsidTr="009572F4">
        <w:trPr>
          <w:trHeight w:val="300"/>
        </w:trPr>
        <w:tc>
          <w:tcPr>
            <w:tcW w:w="1975" w:type="dxa"/>
            <w:noWrap/>
            <w:hideMark/>
          </w:tcPr>
          <w:p w:rsidRPr="00873021" w:rsidR="00382AF8" w:rsidP="00382AF8" w:rsidRDefault="00382AF8">
            <w:pPr>
              <w:jc w:val="center"/>
            </w:pPr>
            <w:r w:rsidRPr="00873021">
              <w:t>4235</w:t>
            </w:r>
          </w:p>
        </w:tc>
        <w:tc>
          <w:tcPr>
            <w:tcW w:w="0" w:type="auto"/>
            <w:tcBorders>
              <w:top w:val="single" w:color="auto" w:sz="4" w:space="0"/>
              <w:left w:val="nil"/>
              <w:bottom w:val="single" w:color="auto" w:sz="4" w:space="0"/>
              <w:right w:val="single" w:color="auto" w:sz="4" w:space="0"/>
            </w:tcBorders>
            <w:shd w:val="clear" w:color="auto" w:fill="auto"/>
            <w:vAlign w:val="bottom"/>
          </w:tcPr>
          <w:p w:rsidRPr="009572F4" w:rsidR="00382AF8" w:rsidP="00382AF8" w:rsidRDefault="00382AF8">
            <w:r w:rsidRPr="009572F4">
              <w:t>Metals and Minerals, Except Petroleum</w:t>
            </w:r>
          </w:p>
        </w:tc>
      </w:tr>
      <w:tr w:rsidRPr="00873021" w:rsidR="00382AF8" w:rsidTr="009572F4">
        <w:trPr>
          <w:trHeight w:val="300"/>
        </w:trPr>
        <w:tc>
          <w:tcPr>
            <w:tcW w:w="1975" w:type="dxa"/>
            <w:noWrap/>
            <w:hideMark/>
          </w:tcPr>
          <w:p w:rsidRPr="00873021" w:rsidR="00382AF8" w:rsidP="00382AF8" w:rsidRDefault="00382AF8">
            <w:pPr>
              <w:jc w:val="center"/>
            </w:pPr>
            <w:r w:rsidRPr="00873021">
              <w:t>4236</w:t>
            </w:r>
          </w:p>
        </w:tc>
        <w:tc>
          <w:tcPr>
            <w:tcW w:w="0" w:type="auto"/>
            <w:tcBorders>
              <w:top w:val="single" w:color="auto" w:sz="4" w:space="0"/>
              <w:left w:val="nil"/>
              <w:bottom w:val="single" w:color="auto" w:sz="4" w:space="0"/>
              <w:right w:val="single" w:color="auto" w:sz="4" w:space="0"/>
            </w:tcBorders>
            <w:shd w:val="clear" w:color="auto" w:fill="auto"/>
            <w:vAlign w:val="bottom"/>
          </w:tcPr>
          <w:p w:rsidRPr="009572F4" w:rsidR="00382AF8" w:rsidP="00382AF8" w:rsidRDefault="001F450F">
            <w:r>
              <w:t xml:space="preserve">Household Appliances and </w:t>
            </w:r>
            <w:r w:rsidRPr="009572F4" w:rsidR="00382AF8">
              <w:t>Electrical and Electronic Goods</w:t>
            </w:r>
          </w:p>
        </w:tc>
      </w:tr>
      <w:tr w:rsidRPr="00873021" w:rsidR="00382AF8" w:rsidTr="009572F4">
        <w:trPr>
          <w:trHeight w:val="300"/>
        </w:trPr>
        <w:tc>
          <w:tcPr>
            <w:tcW w:w="1975" w:type="dxa"/>
            <w:noWrap/>
            <w:hideMark/>
          </w:tcPr>
          <w:p w:rsidRPr="00873021" w:rsidR="00382AF8" w:rsidP="00382AF8" w:rsidRDefault="00382AF8">
            <w:pPr>
              <w:jc w:val="center"/>
            </w:pPr>
            <w:r w:rsidRPr="00873021">
              <w:t>4237</w:t>
            </w:r>
          </w:p>
        </w:tc>
        <w:tc>
          <w:tcPr>
            <w:tcW w:w="0" w:type="auto"/>
            <w:tcBorders>
              <w:top w:val="single" w:color="auto" w:sz="4" w:space="0"/>
              <w:left w:val="nil"/>
              <w:bottom w:val="single" w:color="auto" w:sz="4" w:space="0"/>
              <w:right w:val="single" w:color="auto" w:sz="4" w:space="0"/>
            </w:tcBorders>
            <w:shd w:val="clear" w:color="auto" w:fill="auto"/>
            <w:vAlign w:val="bottom"/>
          </w:tcPr>
          <w:p w:rsidRPr="009572F4" w:rsidR="00382AF8" w:rsidP="00382AF8" w:rsidRDefault="00382AF8">
            <w:r w:rsidRPr="009572F4">
              <w:t>Hardware, and Plumbing and Heating Equipment and Supplies</w:t>
            </w:r>
          </w:p>
        </w:tc>
      </w:tr>
      <w:tr w:rsidRPr="00873021" w:rsidR="00382AF8" w:rsidTr="009572F4">
        <w:trPr>
          <w:trHeight w:val="300"/>
        </w:trPr>
        <w:tc>
          <w:tcPr>
            <w:tcW w:w="1975" w:type="dxa"/>
            <w:noWrap/>
            <w:hideMark/>
          </w:tcPr>
          <w:p w:rsidRPr="00873021" w:rsidR="00382AF8" w:rsidP="00382AF8" w:rsidRDefault="00382AF8">
            <w:pPr>
              <w:jc w:val="center"/>
            </w:pPr>
            <w:r w:rsidRPr="00873021">
              <w:t>4238</w:t>
            </w:r>
          </w:p>
        </w:tc>
        <w:tc>
          <w:tcPr>
            <w:tcW w:w="0" w:type="auto"/>
            <w:tcBorders>
              <w:top w:val="single" w:color="auto" w:sz="4" w:space="0"/>
              <w:left w:val="nil"/>
              <w:bottom w:val="single" w:color="auto" w:sz="4" w:space="0"/>
              <w:right w:val="single" w:color="auto" w:sz="4" w:space="0"/>
            </w:tcBorders>
            <w:shd w:val="clear" w:color="auto" w:fill="auto"/>
            <w:vAlign w:val="bottom"/>
          </w:tcPr>
          <w:p w:rsidRPr="009572F4" w:rsidR="00382AF8" w:rsidP="00382AF8" w:rsidRDefault="00382AF8">
            <w:r w:rsidRPr="009572F4">
              <w:t>Machinery, Equipment</w:t>
            </w:r>
            <w:r w:rsidR="001F450F">
              <w:t>,</w:t>
            </w:r>
            <w:r w:rsidRPr="009572F4">
              <w:t xml:space="preserve"> and Supplies</w:t>
            </w:r>
          </w:p>
        </w:tc>
      </w:tr>
      <w:tr w:rsidRPr="00873021" w:rsidR="00382AF8" w:rsidTr="009572F4">
        <w:trPr>
          <w:trHeight w:val="300"/>
        </w:trPr>
        <w:tc>
          <w:tcPr>
            <w:tcW w:w="1975" w:type="dxa"/>
            <w:noWrap/>
            <w:hideMark/>
          </w:tcPr>
          <w:p w:rsidRPr="00873021" w:rsidR="00382AF8" w:rsidP="00382AF8" w:rsidRDefault="00382AF8">
            <w:pPr>
              <w:jc w:val="center"/>
            </w:pPr>
            <w:r w:rsidRPr="00873021">
              <w:t>4239</w:t>
            </w:r>
          </w:p>
        </w:tc>
        <w:tc>
          <w:tcPr>
            <w:tcW w:w="0" w:type="auto"/>
            <w:tcBorders>
              <w:top w:val="single" w:color="auto" w:sz="4" w:space="0"/>
              <w:left w:val="nil"/>
              <w:bottom w:val="single" w:color="auto" w:sz="4" w:space="0"/>
              <w:right w:val="single" w:color="auto" w:sz="4" w:space="0"/>
            </w:tcBorders>
            <w:shd w:val="clear" w:color="auto" w:fill="auto"/>
            <w:vAlign w:val="bottom"/>
          </w:tcPr>
          <w:p w:rsidRPr="009572F4" w:rsidR="00382AF8" w:rsidP="00382AF8" w:rsidRDefault="00382AF8">
            <w:r w:rsidRPr="009572F4">
              <w:t>Miscellaneous Durable Goods</w:t>
            </w:r>
          </w:p>
        </w:tc>
      </w:tr>
      <w:tr w:rsidRPr="00873021" w:rsidR="00382AF8" w:rsidTr="009572F4">
        <w:trPr>
          <w:trHeight w:val="300"/>
        </w:trPr>
        <w:tc>
          <w:tcPr>
            <w:tcW w:w="1975" w:type="dxa"/>
            <w:noWrap/>
            <w:hideMark/>
          </w:tcPr>
          <w:p w:rsidRPr="00873021" w:rsidR="00382AF8" w:rsidP="00382AF8" w:rsidRDefault="00382AF8">
            <w:pPr>
              <w:jc w:val="center"/>
            </w:pPr>
            <w:r w:rsidRPr="00873021">
              <w:t>4241</w:t>
            </w:r>
          </w:p>
        </w:tc>
        <w:tc>
          <w:tcPr>
            <w:tcW w:w="0" w:type="auto"/>
            <w:tcBorders>
              <w:top w:val="single" w:color="auto" w:sz="4" w:space="0"/>
              <w:left w:val="nil"/>
              <w:bottom w:val="single" w:color="auto" w:sz="4" w:space="0"/>
              <w:right w:val="single" w:color="auto" w:sz="4" w:space="0"/>
            </w:tcBorders>
            <w:shd w:val="clear" w:color="auto" w:fill="auto"/>
            <w:vAlign w:val="bottom"/>
          </w:tcPr>
          <w:p w:rsidRPr="009572F4" w:rsidR="00382AF8" w:rsidP="00382AF8" w:rsidRDefault="00382AF8">
            <w:r w:rsidRPr="009572F4">
              <w:t>Paper and Paper Products</w:t>
            </w:r>
          </w:p>
        </w:tc>
      </w:tr>
      <w:tr w:rsidRPr="00873021" w:rsidR="00382AF8" w:rsidTr="009572F4">
        <w:trPr>
          <w:trHeight w:val="300"/>
        </w:trPr>
        <w:tc>
          <w:tcPr>
            <w:tcW w:w="1975" w:type="dxa"/>
            <w:noWrap/>
            <w:hideMark/>
          </w:tcPr>
          <w:p w:rsidRPr="00873021" w:rsidR="00382AF8" w:rsidP="00382AF8" w:rsidRDefault="00382AF8">
            <w:pPr>
              <w:jc w:val="center"/>
            </w:pPr>
            <w:r w:rsidRPr="00873021">
              <w:t>4242</w:t>
            </w:r>
          </w:p>
        </w:tc>
        <w:tc>
          <w:tcPr>
            <w:tcW w:w="0" w:type="auto"/>
            <w:tcBorders>
              <w:top w:val="single" w:color="auto" w:sz="4" w:space="0"/>
              <w:left w:val="nil"/>
              <w:bottom w:val="single" w:color="auto" w:sz="4" w:space="0"/>
              <w:right w:val="single" w:color="auto" w:sz="4" w:space="0"/>
            </w:tcBorders>
            <w:shd w:val="clear" w:color="auto" w:fill="auto"/>
            <w:vAlign w:val="bottom"/>
          </w:tcPr>
          <w:p w:rsidRPr="009572F4" w:rsidR="00382AF8" w:rsidP="00382AF8" w:rsidRDefault="00382AF8">
            <w:r w:rsidRPr="009572F4">
              <w:t>Drugs and Druggists’ Sundries</w:t>
            </w:r>
          </w:p>
        </w:tc>
      </w:tr>
      <w:tr w:rsidRPr="00873021" w:rsidR="00382AF8" w:rsidTr="009572F4">
        <w:trPr>
          <w:trHeight w:val="300"/>
        </w:trPr>
        <w:tc>
          <w:tcPr>
            <w:tcW w:w="1975" w:type="dxa"/>
            <w:noWrap/>
            <w:hideMark/>
          </w:tcPr>
          <w:p w:rsidRPr="00873021" w:rsidR="00382AF8" w:rsidP="00382AF8" w:rsidRDefault="00382AF8">
            <w:pPr>
              <w:jc w:val="center"/>
            </w:pPr>
            <w:r w:rsidRPr="00873021">
              <w:t>4243</w:t>
            </w:r>
          </w:p>
        </w:tc>
        <w:tc>
          <w:tcPr>
            <w:tcW w:w="0" w:type="auto"/>
            <w:tcBorders>
              <w:top w:val="single" w:color="auto" w:sz="4" w:space="0"/>
              <w:left w:val="nil"/>
              <w:bottom w:val="single" w:color="auto" w:sz="4" w:space="0"/>
              <w:right w:val="single" w:color="auto" w:sz="4" w:space="0"/>
            </w:tcBorders>
            <w:shd w:val="clear" w:color="auto" w:fill="auto"/>
            <w:vAlign w:val="bottom"/>
          </w:tcPr>
          <w:p w:rsidRPr="009572F4" w:rsidR="00382AF8" w:rsidP="00382AF8" w:rsidRDefault="00382AF8">
            <w:r w:rsidRPr="009572F4">
              <w:t>Apparel, Piece Goods, and Notions</w:t>
            </w:r>
          </w:p>
        </w:tc>
      </w:tr>
      <w:tr w:rsidRPr="00873021" w:rsidR="00382AF8" w:rsidTr="009572F4">
        <w:trPr>
          <w:trHeight w:val="300"/>
        </w:trPr>
        <w:tc>
          <w:tcPr>
            <w:tcW w:w="1975" w:type="dxa"/>
            <w:noWrap/>
            <w:hideMark/>
          </w:tcPr>
          <w:p w:rsidRPr="00873021" w:rsidR="00382AF8" w:rsidP="00382AF8" w:rsidRDefault="00382AF8">
            <w:pPr>
              <w:jc w:val="center"/>
            </w:pPr>
            <w:r w:rsidRPr="00873021">
              <w:t>4244</w:t>
            </w:r>
          </w:p>
        </w:tc>
        <w:tc>
          <w:tcPr>
            <w:tcW w:w="0" w:type="auto"/>
            <w:tcBorders>
              <w:top w:val="single" w:color="auto" w:sz="4" w:space="0"/>
              <w:left w:val="nil"/>
              <w:bottom w:val="single" w:color="auto" w:sz="4" w:space="0"/>
              <w:right w:val="single" w:color="auto" w:sz="4" w:space="0"/>
            </w:tcBorders>
            <w:shd w:val="clear" w:color="auto" w:fill="auto"/>
            <w:vAlign w:val="bottom"/>
          </w:tcPr>
          <w:p w:rsidRPr="009572F4" w:rsidR="00382AF8" w:rsidP="00382AF8" w:rsidRDefault="00382AF8">
            <w:r w:rsidRPr="009572F4">
              <w:t>Groceries and Related Products</w:t>
            </w:r>
          </w:p>
        </w:tc>
      </w:tr>
      <w:tr w:rsidRPr="00873021" w:rsidR="00382AF8" w:rsidTr="009572F4">
        <w:trPr>
          <w:trHeight w:val="300"/>
        </w:trPr>
        <w:tc>
          <w:tcPr>
            <w:tcW w:w="1975" w:type="dxa"/>
            <w:noWrap/>
            <w:hideMark/>
          </w:tcPr>
          <w:p w:rsidRPr="00873021" w:rsidR="00382AF8" w:rsidP="00382AF8" w:rsidRDefault="00382AF8">
            <w:pPr>
              <w:jc w:val="center"/>
            </w:pPr>
            <w:r w:rsidRPr="00873021">
              <w:t>4245</w:t>
            </w:r>
          </w:p>
        </w:tc>
        <w:tc>
          <w:tcPr>
            <w:tcW w:w="0" w:type="auto"/>
            <w:tcBorders>
              <w:top w:val="single" w:color="auto" w:sz="4" w:space="0"/>
              <w:left w:val="nil"/>
              <w:bottom w:val="single" w:color="auto" w:sz="4" w:space="0"/>
              <w:right w:val="single" w:color="auto" w:sz="4" w:space="0"/>
            </w:tcBorders>
            <w:shd w:val="clear" w:color="auto" w:fill="auto"/>
            <w:vAlign w:val="bottom"/>
          </w:tcPr>
          <w:p w:rsidRPr="009572F4" w:rsidR="00382AF8" w:rsidP="00382AF8" w:rsidRDefault="00382AF8">
            <w:r w:rsidRPr="009572F4">
              <w:t>Farm Product Raw Materials</w:t>
            </w:r>
          </w:p>
        </w:tc>
      </w:tr>
      <w:tr w:rsidRPr="00873021" w:rsidR="00382AF8" w:rsidTr="009572F4">
        <w:trPr>
          <w:trHeight w:val="300"/>
        </w:trPr>
        <w:tc>
          <w:tcPr>
            <w:tcW w:w="1975" w:type="dxa"/>
            <w:noWrap/>
            <w:hideMark/>
          </w:tcPr>
          <w:p w:rsidRPr="00873021" w:rsidR="00382AF8" w:rsidP="00382AF8" w:rsidRDefault="00382AF8">
            <w:pPr>
              <w:jc w:val="center"/>
            </w:pPr>
            <w:r w:rsidRPr="00873021">
              <w:t>4246</w:t>
            </w:r>
          </w:p>
        </w:tc>
        <w:tc>
          <w:tcPr>
            <w:tcW w:w="0" w:type="auto"/>
            <w:tcBorders>
              <w:top w:val="single" w:color="auto" w:sz="4" w:space="0"/>
              <w:left w:val="nil"/>
              <w:bottom w:val="single" w:color="auto" w:sz="4" w:space="0"/>
              <w:right w:val="single" w:color="auto" w:sz="4" w:space="0"/>
            </w:tcBorders>
            <w:shd w:val="clear" w:color="auto" w:fill="auto"/>
            <w:vAlign w:val="bottom"/>
          </w:tcPr>
          <w:p w:rsidRPr="009572F4" w:rsidR="00382AF8" w:rsidP="00382AF8" w:rsidRDefault="00382AF8">
            <w:r w:rsidRPr="009572F4">
              <w:t>Chemical and Allied Products</w:t>
            </w:r>
          </w:p>
        </w:tc>
      </w:tr>
      <w:tr w:rsidRPr="00873021" w:rsidR="00382AF8" w:rsidTr="009572F4">
        <w:trPr>
          <w:trHeight w:val="300"/>
        </w:trPr>
        <w:tc>
          <w:tcPr>
            <w:tcW w:w="1975" w:type="dxa"/>
            <w:noWrap/>
            <w:hideMark/>
          </w:tcPr>
          <w:p w:rsidRPr="00873021" w:rsidR="00382AF8" w:rsidP="00382AF8" w:rsidRDefault="00382AF8">
            <w:pPr>
              <w:jc w:val="center"/>
            </w:pPr>
            <w:r w:rsidRPr="00873021">
              <w:t>4247</w:t>
            </w:r>
          </w:p>
        </w:tc>
        <w:tc>
          <w:tcPr>
            <w:tcW w:w="0" w:type="auto"/>
            <w:tcBorders>
              <w:top w:val="single" w:color="auto" w:sz="4" w:space="0"/>
              <w:left w:val="nil"/>
              <w:bottom w:val="single" w:color="auto" w:sz="4" w:space="0"/>
              <w:right w:val="single" w:color="auto" w:sz="4" w:space="0"/>
            </w:tcBorders>
            <w:shd w:val="clear" w:color="auto" w:fill="auto"/>
            <w:vAlign w:val="bottom"/>
          </w:tcPr>
          <w:p w:rsidRPr="009572F4" w:rsidR="00382AF8" w:rsidP="00382AF8" w:rsidRDefault="00382AF8">
            <w:r w:rsidRPr="009572F4">
              <w:t>Petroleum and Petroleum Products</w:t>
            </w:r>
          </w:p>
        </w:tc>
      </w:tr>
      <w:tr w:rsidRPr="00873021" w:rsidR="00382AF8" w:rsidTr="009572F4">
        <w:trPr>
          <w:trHeight w:val="300"/>
        </w:trPr>
        <w:tc>
          <w:tcPr>
            <w:tcW w:w="1975" w:type="dxa"/>
            <w:noWrap/>
            <w:hideMark/>
          </w:tcPr>
          <w:p w:rsidRPr="00873021" w:rsidR="00382AF8" w:rsidP="00382AF8" w:rsidRDefault="00382AF8">
            <w:pPr>
              <w:jc w:val="center"/>
            </w:pPr>
            <w:r w:rsidRPr="00873021">
              <w:t>4248</w:t>
            </w:r>
          </w:p>
        </w:tc>
        <w:tc>
          <w:tcPr>
            <w:tcW w:w="0" w:type="auto"/>
            <w:tcBorders>
              <w:top w:val="single" w:color="auto" w:sz="4" w:space="0"/>
              <w:left w:val="nil"/>
              <w:bottom w:val="single" w:color="auto" w:sz="4" w:space="0"/>
              <w:right w:val="single" w:color="auto" w:sz="4" w:space="0"/>
            </w:tcBorders>
            <w:shd w:val="clear" w:color="auto" w:fill="auto"/>
            <w:vAlign w:val="bottom"/>
          </w:tcPr>
          <w:p w:rsidRPr="009572F4" w:rsidR="00382AF8" w:rsidP="00382AF8" w:rsidRDefault="00382AF8">
            <w:r w:rsidRPr="009572F4">
              <w:t>Beer, Wine</w:t>
            </w:r>
            <w:r w:rsidRPr="009572F4" w:rsidR="009572F4">
              <w:t>,</w:t>
            </w:r>
            <w:r w:rsidRPr="009572F4">
              <w:t xml:space="preserve"> and Distilled Alcoholic Beverages</w:t>
            </w:r>
          </w:p>
        </w:tc>
      </w:tr>
      <w:tr w:rsidRPr="00873021" w:rsidR="00382AF8" w:rsidTr="009572F4">
        <w:trPr>
          <w:trHeight w:val="300"/>
        </w:trPr>
        <w:tc>
          <w:tcPr>
            <w:tcW w:w="1975" w:type="dxa"/>
            <w:noWrap/>
            <w:hideMark/>
          </w:tcPr>
          <w:p w:rsidRPr="00873021" w:rsidR="00382AF8" w:rsidP="00382AF8" w:rsidRDefault="00382AF8">
            <w:pPr>
              <w:jc w:val="center"/>
            </w:pPr>
            <w:r w:rsidRPr="00873021">
              <w:t>4249</w:t>
            </w:r>
          </w:p>
        </w:tc>
        <w:tc>
          <w:tcPr>
            <w:tcW w:w="0" w:type="auto"/>
            <w:tcBorders>
              <w:top w:val="single" w:color="auto" w:sz="4" w:space="0"/>
              <w:left w:val="nil"/>
              <w:bottom w:val="single" w:color="auto" w:sz="4" w:space="0"/>
              <w:right w:val="single" w:color="auto" w:sz="4" w:space="0"/>
            </w:tcBorders>
            <w:shd w:val="clear" w:color="auto" w:fill="auto"/>
            <w:vAlign w:val="bottom"/>
          </w:tcPr>
          <w:p w:rsidRPr="009572F4" w:rsidR="00382AF8" w:rsidP="00382AF8" w:rsidRDefault="00382AF8">
            <w:r w:rsidRPr="009572F4">
              <w:t>Miscellaneous Nondurable Goods</w:t>
            </w:r>
          </w:p>
        </w:tc>
      </w:tr>
      <w:tr w:rsidRPr="00873021" w:rsidR="00382AF8" w:rsidTr="009572F4">
        <w:trPr>
          <w:trHeight w:val="300"/>
        </w:trPr>
        <w:tc>
          <w:tcPr>
            <w:tcW w:w="1975" w:type="dxa"/>
            <w:noWrap/>
            <w:hideMark/>
          </w:tcPr>
          <w:p w:rsidRPr="00873021" w:rsidR="00382AF8" w:rsidP="00382AF8" w:rsidRDefault="00382AF8">
            <w:pPr>
              <w:jc w:val="center"/>
            </w:pPr>
            <w:r w:rsidRPr="00873021">
              <w:t>4251</w:t>
            </w:r>
          </w:p>
        </w:tc>
        <w:tc>
          <w:tcPr>
            <w:tcW w:w="0" w:type="auto"/>
            <w:tcBorders>
              <w:top w:val="single" w:color="auto" w:sz="4" w:space="0"/>
              <w:left w:val="nil"/>
              <w:bottom w:val="single" w:color="auto" w:sz="4" w:space="0"/>
              <w:right w:val="single" w:color="auto" w:sz="4" w:space="0"/>
            </w:tcBorders>
            <w:shd w:val="clear" w:color="auto" w:fill="auto"/>
            <w:vAlign w:val="bottom"/>
          </w:tcPr>
          <w:p w:rsidRPr="009572F4" w:rsidR="00382AF8" w:rsidP="00382AF8" w:rsidRDefault="00382AF8">
            <w:r w:rsidRPr="009572F4">
              <w:t>Wholesale Electronic Markets and Agents and Brokers</w:t>
            </w:r>
          </w:p>
        </w:tc>
      </w:tr>
    </w:tbl>
    <w:p w:rsidR="00873021" w:rsidP="00DC66F9" w:rsidRDefault="00873021">
      <w:pPr>
        <w:tabs>
          <w:tab w:val="left" w:pos="-720"/>
          <w:tab w:val="left" w:pos="720"/>
          <w:tab w:val="left" w:pos="2610"/>
          <w:tab w:val="left" w:pos="4230"/>
        </w:tabs>
        <w:ind w:left="720" w:hanging="720"/>
      </w:pPr>
    </w:p>
    <w:p w:rsidRPr="00016065" w:rsidR="00873021" w:rsidP="00DC66F9" w:rsidRDefault="00873021">
      <w:pPr>
        <w:tabs>
          <w:tab w:val="left" w:pos="-720"/>
          <w:tab w:val="left" w:pos="720"/>
          <w:tab w:val="left" w:pos="2610"/>
          <w:tab w:val="left" w:pos="4230"/>
        </w:tabs>
        <w:ind w:left="720" w:hanging="720"/>
      </w:pPr>
    </w:p>
    <w:p w:rsidR="00DC66F9" w:rsidP="00DC66F9" w:rsidRDefault="00DC66F9">
      <w:pPr>
        <w:tabs>
          <w:tab w:val="left" w:pos="-720"/>
          <w:tab w:val="left" w:pos="720"/>
          <w:tab w:val="left" w:pos="2610"/>
          <w:tab w:val="left" w:pos="4230"/>
        </w:tabs>
        <w:ind w:left="720"/>
      </w:pPr>
    </w:p>
    <w:p w:rsidR="00DC66F9" w:rsidP="00DC66F9" w:rsidRDefault="00DC66F9">
      <w:pPr>
        <w:tabs>
          <w:tab w:val="left" w:pos="-90"/>
          <w:tab w:val="left" w:pos="720"/>
          <w:tab w:val="left" w:pos="2160"/>
        </w:tabs>
        <w:ind w:left="720"/>
      </w:pPr>
    </w:p>
    <w:p w:rsidR="00DC66F9" w:rsidP="00DC66F9" w:rsidRDefault="00DC66F9">
      <w:pPr>
        <w:tabs>
          <w:tab w:val="left" w:pos="-90"/>
          <w:tab w:val="left" w:pos="720"/>
          <w:tab w:val="left" w:pos="2160"/>
        </w:tabs>
        <w:ind w:left="720"/>
      </w:pPr>
    </w:p>
    <w:p w:rsidR="00E1482C" w:rsidP="00F06369" w:rsidRDefault="00C24E81">
      <w:pPr>
        <w:pStyle w:val="NormalWeb"/>
      </w:pPr>
    </w:p>
    <w:sectPr w:rsidR="00E1482C">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2A2" w:rsidRDefault="000262A2" w:rsidP="000262A2">
      <w:r>
        <w:separator/>
      </w:r>
    </w:p>
  </w:endnote>
  <w:endnote w:type="continuationSeparator" w:id="0">
    <w:p w:rsidR="000262A2" w:rsidRDefault="000262A2" w:rsidP="0002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24259"/>
      <w:docPartObj>
        <w:docPartGallery w:val="Page Numbers (Bottom of Page)"/>
        <w:docPartUnique/>
      </w:docPartObj>
    </w:sdtPr>
    <w:sdtEndPr>
      <w:rPr>
        <w:noProof/>
      </w:rPr>
    </w:sdtEndPr>
    <w:sdtContent>
      <w:p w:rsidR="000262A2" w:rsidRDefault="000262A2">
        <w:pPr>
          <w:pStyle w:val="Footer"/>
          <w:jc w:val="center"/>
        </w:pPr>
        <w:r>
          <w:fldChar w:fldCharType="begin"/>
        </w:r>
        <w:r>
          <w:instrText xml:space="preserve"> PAGE   \* MERGEFORMAT </w:instrText>
        </w:r>
        <w:r>
          <w:fldChar w:fldCharType="separate"/>
        </w:r>
        <w:r w:rsidR="00C24E81">
          <w:rPr>
            <w:noProof/>
          </w:rPr>
          <w:t>1</w:t>
        </w:r>
        <w:r>
          <w:rPr>
            <w:noProof/>
          </w:rPr>
          <w:fldChar w:fldCharType="end"/>
        </w:r>
      </w:p>
    </w:sdtContent>
  </w:sdt>
  <w:p w:rsidR="000262A2" w:rsidRDefault="00026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2A2" w:rsidRDefault="000262A2" w:rsidP="000262A2">
      <w:r>
        <w:separator/>
      </w:r>
    </w:p>
  </w:footnote>
  <w:footnote w:type="continuationSeparator" w:id="0">
    <w:p w:rsidR="000262A2" w:rsidRDefault="000262A2" w:rsidP="000262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EC4"/>
    <w:rsid w:val="00013582"/>
    <w:rsid w:val="0001567F"/>
    <w:rsid w:val="00017830"/>
    <w:rsid w:val="00021F75"/>
    <w:rsid w:val="000262A2"/>
    <w:rsid w:val="0003114E"/>
    <w:rsid w:val="00034615"/>
    <w:rsid w:val="00062D3C"/>
    <w:rsid w:val="00085945"/>
    <w:rsid w:val="000932B7"/>
    <w:rsid w:val="000B109A"/>
    <w:rsid w:val="000B127A"/>
    <w:rsid w:val="000D7E2B"/>
    <w:rsid w:val="000F41C7"/>
    <w:rsid w:val="0010221D"/>
    <w:rsid w:val="00103D43"/>
    <w:rsid w:val="00107C3B"/>
    <w:rsid w:val="0011242D"/>
    <w:rsid w:val="00112656"/>
    <w:rsid w:val="001146CC"/>
    <w:rsid w:val="0012089F"/>
    <w:rsid w:val="00121A6E"/>
    <w:rsid w:val="001264F9"/>
    <w:rsid w:val="00133706"/>
    <w:rsid w:val="00162318"/>
    <w:rsid w:val="00166792"/>
    <w:rsid w:val="00174903"/>
    <w:rsid w:val="00180219"/>
    <w:rsid w:val="00187613"/>
    <w:rsid w:val="00194DBF"/>
    <w:rsid w:val="001A4EC2"/>
    <w:rsid w:val="001C2934"/>
    <w:rsid w:val="001D57AC"/>
    <w:rsid w:val="001E0C09"/>
    <w:rsid w:val="001F450F"/>
    <w:rsid w:val="00213DF4"/>
    <w:rsid w:val="00215DE4"/>
    <w:rsid w:val="00236093"/>
    <w:rsid w:val="00237D2A"/>
    <w:rsid w:val="002464C3"/>
    <w:rsid w:val="00262154"/>
    <w:rsid w:val="002630B7"/>
    <w:rsid w:val="0027165D"/>
    <w:rsid w:val="002932AF"/>
    <w:rsid w:val="002A1470"/>
    <w:rsid w:val="002B2E43"/>
    <w:rsid w:val="002C2D04"/>
    <w:rsid w:val="002C439C"/>
    <w:rsid w:val="002D5766"/>
    <w:rsid w:val="002E0872"/>
    <w:rsid w:val="002E425F"/>
    <w:rsid w:val="002F647C"/>
    <w:rsid w:val="00301849"/>
    <w:rsid w:val="00306AB8"/>
    <w:rsid w:val="00306F9B"/>
    <w:rsid w:val="00316C22"/>
    <w:rsid w:val="00327AC6"/>
    <w:rsid w:val="00330822"/>
    <w:rsid w:val="003337B5"/>
    <w:rsid w:val="00333DD7"/>
    <w:rsid w:val="0033600A"/>
    <w:rsid w:val="00351100"/>
    <w:rsid w:val="00352282"/>
    <w:rsid w:val="00356930"/>
    <w:rsid w:val="00377453"/>
    <w:rsid w:val="00382AF8"/>
    <w:rsid w:val="00387584"/>
    <w:rsid w:val="003B4FA3"/>
    <w:rsid w:val="003B7679"/>
    <w:rsid w:val="003D3C8F"/>
    <w:rsid w:val="003F3308"/>
    <w:rsid w:val="004205DC"/>
    <w:rsid w:val="00426469"/>
    <w:rsid w:val="00435C1D"/>
    <w:rsid w:val="00464436"/>
    <w:rsid w:val="00473ED9"/>
    <w:rsid w:val="00477821"/>
    <w:rsid w:val="00494451"/>
    <w:rsid w:val="004948F9"/>
    <w:rsid w:val="00496A84"/>
    <w:rsid w:val="004B61EA"/>
    <w:rsid w:val="004C09C7"/>
    <w:rsid w:val="004C4A3A"/>
    <w:rsid w:val="004D4939"/>
    <w:rsid w:val="004E67C1"/>
    <w:rsid w:val="004F0002"/>
    <w:rsid w:val="00503D58"/>
    <w:rsid w:val="005130F3"/>
    <w:rsid w:val="00516E01"/>
    <w:rsid w:val="00526003"/>
    <w:rsid w:val="0053140A"/>
    <w:rsid w:val="005363CC"/>
    <w:rsid w:val="00544472"/>
    <w:rsid w:val="00545DAB"/>
    <w:rsid w:val="00553B60"/>
    <w:rsid w:val="00556531"/>
    <w:rsid w:val="005750BD"/>
    <w:rsid w:val="00584FDA"/>
    <w:rsid w:val="005960E9"/>
    <w:rsid w:val="005D5B75"/>
    <w:rsid w:val="005E2FEB"/>
    <w:rsid w:val="00606445"/>
    <w:rsid w:val="00610B85"/>
    <w:rsid w:val="00614EA7"/>
    <w:rsid w:val="0062247C"/>
    <w:rsid w:val="00633A87"/>
    <w:rsid w:val="00635EF1"/>
    <w:rsid w:val="00641114"/>
    <w:rsid w:val="00690E7A"/>
    <w:rsid w:val="00695BB6"/>
    <w:rsid w:val="006A2441"/>
    <w:rsid w:val="006A359B"/>
    <w:rsid w:val="006B1028"/>
    <w:rsid w:val="006B55A3"/>
    <w:rsid w:val="006C65FD"/>
    <w:rsid w:val="006D0F46"/>
    <w:rsid w:val="006D48B1"/>
    <w:rsid w:val="006E3465"/>
    <w:rsid w:val="006F3E26"/>
    <w:rsid w:val="007010E4"/>
    <w:rsid w:val="00706CF4"/>
    <w:rsid w:val="00710D34"/>
    <w:rsid w:val="00711F15"/>
    <w:rsid w:val="00714766"/>
    <w:rsid w:val="00723F95"/>
    <w:rsid w:val="00726305"/>
    <w:rsid w:val="00754CF3"/>
    <w:rsid w:val="00756818"/>
    <w:rsid w:val="00756F5C"/>
    <w:rsid w:val="0076069D"/>
    <w:rsid w:val="007627EE"/>
    <w:rsid w:val="00772911"/>
    <w:rsid w:val="00773111"/>
    <w:rsid w:val="00793CB3"/>
    <w:rsid w:val="007A0F12"/>
    <w:rsid w:val="007B068D"/>
    <w:rsid w:val="007C0AA3"/>
    <w:rsid w:val="007C4D9E"/>
    <w:rsid w:val="007E0795"/>
    <w:rsid w:val="007E3AEA"/>
    <w:rsid w:val="00803C75"/>
    <w:rsid w:val="0080404F"/>
    <w:rsid w:val="00806196"/>
    <w:rsid w:val="00832D21"/>
    <w:rsid w:val="00851CAC"/>
    <w:rsid w:val="00853572"/>
    <w:rsid w:val="00857C03"/>
    <w:rsid w:val="008674AA"/>
    <w:rsid w:val="0087024B"/>
    <w:rsid w:val="00873021"/>
    <w:rsid w:val="0088222C"/>
    <w:rsid w:val="008830D4"/>
    <w:rsid w:val="00884CCE"/>
    <w:rsid w:val="0088597F"/>
    <w:rsid w:val="00891817"/>
    <w:rsid w:val="0089621D"/>
    <w:rsid w:val="008A3A12"/>
    <w:rsid w:val="008A4108"/>
    <w:rsid w:val="008A73DA"/>
    <w:rsid w:val="008B09AE"/>
    <w:rsid w:val="008C0751"/>
    <w:rsid w:val="008C4C08"/>
    <w:rsid w:val="008C57BB"/>
    <w:rsid w:val="008D015B"/>
    <w:rsid w:val="008E271A"/>
    <w:rsid w:val="008E36C4"/>
    <w:rsid w:val="008F0D7B"/>
    <w:rsid w:val="008F21ED"/>
    <w:rsid w:val="00910155"/>
    <w:rsid w:val="009108A5"/>
    <w:rsid w:val="009162A5"/>
    <w:rsid w:val="00917CBF"/>
    <w:rsid w:val="009248A4"/>
    <w:rsid w:val="0093358D"/>
    <w:rsid w:val="00950BA8"/>
    <w:rsid w:val="009572F4"/>
    <w:rsid w:val="0096042F"/>
    <w:rsid w:val="00961B00"/>
    <w:rsid w:val="00965F23"/>
    <w:rsid w:val="00965F54"/>
    <w:rsid w:val="00971D3F"/>
    <w:rsid w:val="009963D8"/>
    <w:rsid w:val="00996BA0"/>
    <w:rsid w:val="009B108B"/>
    <w:rsid w:val="009C411A"/>
    <w:rsid w:val="009D41C6"/>
    <w:rsid w:val="009F13F6"/>
    <w:rsid w:val="009F6136"/>
    <w:rsid w:val="00A01A13"/>
    <w:rsid w:val="00A13DBD"/>
    <w:rsid w:val="00A35DC7"/>
    <w:rsid w:val="00A41B24"/>
    <w:rsid w:val="00A45F35"/>
    <w:rsid w:val="00A613AA"/>
    <w:rsid w:val="00A86257"/>
    <w:rsid w:val="00AA1F43"/>
    <w:rsid w:val="00AA20ED"/>
    <w:rsid w:val="00AA75BA"/>
    <w:rsid w:val="00AB0739"/>
    <w:rsid w:val="00AB1355"/>
    <w:rsid w:val="00AB2821"/>
    <w:rsid w:val="00AC034D"/>
    <w:rsid w:val="00AC26C4"/>
    <w:rsid w:val="00AD560C"/>
    <w:rsid w:val="00AE7A2D"/>
    <w:rsid w:val="00AF676F"/>
    <w:rsid w:val="00B118D3"/>
    <w:rsid w:val="00B13E99"/>
    <w:rsid w:val="00B17C6F"/>
    <w:rsid w:val="00B21656"/>
    <w:rsid w:val="00B27D3C"/>
    <w:rsid w:val="00B344A1"/>
    <w:rsid w:val="00B42590"/>
    <w:rsid w:val="00B46C5B"/>
    <w:rsid w:val="00B47746"/>
    <w:rsid w:val="00B57446"/>
    <w:rsid w:val="00B64371"/>
    <w:rsid w:val="00B65F80"/>
    <w:rsid w:val="00B7391F"/>
    <w:rsid w:val="00B7695A"/>
    <w:rsid w:val="00B77029"/>
    <w:rsid w:val="00BA0878"/>
    <w:rsid w:val="00BA58E0"/>
    <w:rsid w:val="00BA6166"/>
    <w:rsid w:val="00BB1B67"/>
    <w:rsid w:val="00BB43F6"/>
    <w:rsid w:val="00BB5EC4"/>
    <w:rsid w:val="00BB6DDD"/>
    <w:rsid w:val="00BD14C3"/>
    <w:rsid w:val="00BE1B76"/>
    <w:rsid w:val="00BF2D50"/>
    <w:rsid w:val="00C24D94"/>
    <w:rsid w:val="00C24E81"/>
    <w:rsid w:val="00C35E2F"/>
    <w:rsid w:val="00C53270"/>
    <w:rsid w:val="00C56F81"/>
    <w:rsid w:val="00C628E4"/>
    <w:rsid w:val="00C83DF1"/>
    <w:rsid w:val="00C946DD"/>
    <w:rsid w:val="00CA0BB0"/>
    <w:rsid w:val="00CA4AA7"/>
    <w:rsid w:val="00CB669A"/>
    <w:rsid w:val="00CC52D1"/>
    <w:rsid w:val="00CD44D4"/>
    <w:rsid w:val="00CF133E"/>
    <w:rsid w:val="00CF1C59"/>
    <w:rsid w:val="00CF2FD9"/>
    <w:rsid w:val="00D23158"/>
    <w:rsid w:val="00D30C59"/>
    <w:rsid w:val="00D318AA"/>
    <w:rsid w:val="00D37FA9"/>
    <w:rsid w:val="00D54C91"/>
    <w:rsid w:val="00D75DE8"/>
    <w:rsid w:val="00D96424"/>
    <w:rsid w:val="00D969AE"/>
    <w:rsid w:val="00DA789A"/>
    <w:rsid w:val="00DB45F2"/>
    <w:rsid w:val="00DC66F9"/>
    <w:rsid w:val="00DD65C1"/>
    <w:rsid w:val="00DE48E0"/>
    <w:rsid w:val="00E035CB"/>
    <w:rsid w:val="00E15B5E"/>
    <w:rsid w:val="00E174D1"/>
    <w:rsid w:val="00E2725E"/>
    <w:rsid w:val="00E564DF"/>
    <w:rsid w:val="00E56EF4"/>
    <w:rsid w:val="00E57190"/>
    <w:rsid w:val="00E5780C"/>
    <w:rsid w:val="00E60163"/>
    <w:rsid w:val="00E92631"/>
    <w:rsid w:val="00E94888"/>
    <w:rsid w:val="00EC4745"/>
    <w:rsid w:val="00EC640E"/>
    <w:rsid w:val="00EF1F06"/>
    <w:rsid w:val="00EF77F2"/>
    <w:rsid w:val="00F06369"/>
    <w:rsid w:val="00F31EFC"/>
    <w:rsid w:val="00F3547D"/>
    <w:rsid w:val="00F3589D"/>
    <w:rsid w:val="00F37163"/>
    <w:rsid w:val="00F4421F"/>
    <w:rsid w:val="00F5261D"/>
    <w:rsid w:val="00F54575"/>
    <w:rsid w:val="00F62DB8"/>
    <w:rsid w:val="00F642A3"/>
    <w:rsid w:val="00F70249"/>
    <w:rsid w:val="00F813E0"/>
    <w:rsid w:val="00F85F91"/>
    <w:rsid w:val="00F913C5"/>
    <w:rsid w:val="00FA3194"/>
    <w:rsid w:val="00FB1E96"/>
    <w:rsid w:val="00FB2AC5"/>
    <w:rsid w:val="00FD3FCC"/>
    <w:rsid w:val="00FD7FE5"/>
    <w:rsid w:val="00FE5222"/>
    <w:rsid w:val="00FF2335"/>
    <w:rsid w:val="00FF3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10E4E"/>
  <w15:chartTrackingRefBased/>
  <w15:docId w15:val="{FFBE758C-25AB-4F39-A064-2125D82D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11A"/>
    <w:pPr>
      <w:spacing w:after="0" w:line="240" w:lineRule="auto"/>
    </w:pPr>
    <w:rPr>
      <w:rFonts w:ascii="Times New Roman" w:eastAsia="Times New Roman" w:hAnsi="Times New Roman" w:cs="Times New Roman"/>
      <w:color w:val="000000"/>
      <w:sz w:val="24"/>
      <w:szCs w:val="24"/>
    </w:rPr>
  </w:style>
  <w:style w:type="paragraph" w:styleId="Heading4">
    <w:name w:val="heading 4"/>
    <w:basedOn w:val="Normal"/>
    <w:next w:val="Normal"/>
    <w:link w:val="Heading4Char"/>
    <w:uiPriority w:val="9"/>
    <w:unhideWhenUsed/>
    <w:qFormat/>
    <w:rsid w:val="009C411A"/>
    <w:pPr>
      <w:keepNext/>
      <w:keepLines/>
      <w:spacing w:before="40"/>
      <w:outlineLvl w:val="3"/>
    </w:pPr>
    <w:rPr>
      <w:rFonts w:eastAsiaTheme="majorEastAsia" w:cstheme="majorBidi"/>
      <w:b/>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C411A"/>
    <w:rPr>
      <w:rFonts w:ascii="Times New Roman" w:eastAsiaTheme="majorEastAsia" w:hAnsi="Times New Roman" w:cstheme="majorBidi"/>
      <w:b/>
      <w:iCs/>
      <w:sz w:val="24"/>
      <w:szCs w:val="24"/>
    </w:rPr>
  </w:style>
  <w:style w:type="paragraph" w:styleId="NormalWeb">
    <w:name w:val="Normal (Web)"/>
    <w:basedOn w:val="Normal"/>
    <w:uiPriority w:val="99"/>
    <w:unhideWhenUsed/>
    <w:rsid w:val="009C411A"/>
    <w:pPr>
      <w:spacing w:before="100" w:beforeAutospacing="1" w:after="100" w:afterAutospacing="1"/>
    </w:pPr>
  </w:style>
  <w:style w:type="paragraph" w:styleId="BlockText">
    <w:name w:val="Block Text"/>
    <w:basedOn w:val="Normal"/>
    <w:uiPriority w:val="99"/>
    <w:semiHidden/>
    <w:unhideWhenUsed/>
    <w:rsid w:val="009C411A"/>
    <w:pPr>
      <w:spacing w:before="100" w:beforeAutospacing="1" w:after="100" w:afterAutospacing="1"/>
      <w:ind w:left="720" w:right="720"/>
    </w:pPr>
    <w:rPr>
      <w:color w:val="008040"/>
    </w:rPr>
  </w:style>
  <w:style w:type="character" w:styleId="Emphasis">
    <w:name w:val="Emphasis"/>
    <w:basedOn w:val="DefaultParagraphFont"/>
    <w:uiPriority w:val="20"/>
    <w:qFormat/>
    <w:rsid w:val="009C411A"/>
    <w:rPr>
      <w:i/>
      <w:iCs/>
    </w:rPr>
  </w:style>
  <w:style w:type="character" w:styleId="Strong">
    <w:name w:val="Strong"/>
    <w:basedOn w:val="DefaultParagraphFont"/>
    <w:uiPriority w:val="22"/>
    <w:qFormat/>
    <w:rsid w:val="009C411A"/>
    <w:rPr>
      <w:b/>
      <w:bCs/>
    </w:rPr>
  </w:style>
  <w:style w:type="table" w:styleId="TableGrid">
    <w:name w:val="Table Grid"/>
    <w:basedOn w:val="TableNormal"/>
    <w:uiPriority w:val="39"/>
    <w:rsid w:val="00853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222C"/>
    <w:rPr>
      <w:color w:val="0563C1" w:themeColor="hyperlink"/>
      <w:u w:val="single"/>
    </w:rPr>
  </w:style>
  <w:style w:type="character" w:styleId="FollowedHyperlink">
    <w:name w:val="FollowedHyperlink"/>
    <w:basedOn w:val="DefaultParagraphFont"/>
    <w:uiPriority w:val="99"/>
    <w:semiHidden/>
    <w:unhideWhenUsed/>
    <w:rsid w:val="0088222C"/>
    <w:rPr>
      <w:color w:val="954F72" w:themeColor="followedHyperlink"/>
      <w:u w:val="single"/>
    </w:rPr>
  </w:style>
  <w:style w:type="character" w:customStyle="1" w:styleId="Hypertext">
    <w:name w:val="Hypertext"/>
    <w:uiPriority w:val="99"/>
    <w:rsid w:val="007B068D"/>
    <w:rPr>
      <w:color w:val="0000FF"/>
      <w:u w:val="single"/>
    </w:rPr>
  </w:style>
  <w:style w:type="character" w:styleId="CommentReference">
    <w:name w:val="annotation reference"/>
    <w:basedOn w:val="DefaultParagraphFont"/>
    <w:uiPriority w:val="99"/>
    <w:semiHidden/>
    <w:unhideWhenUsed/>
    <w:rsid w:val="00F70249"/>
    <w:rPr>
      <w:sz w:val="16"/>
      <w:szCs w:val="16"/>
    </w:rPr>
  </w:style>
  <w:style w:type="paragraph" w:styleId="CommentText">
    <w:name w:val="annotation text"/>
    <w:basedOn w:val="Normal"/>
    <w:link w:val="CommentTextChar"/>
    <w:uiPriority w:val="99"/>
    <w:semiHidden/>
    <w:unhideWhenUsed/>
    <w:rsid w:val="00F70249"/>
    <w:rPr>
      <w:sz w:val="20"/>
      <w:szCs w:val="20"/>
    </w:rPr>
  </w:style>
  <w:style w:type="character" w:customStyle="1" w:styleId="CommentTextChar">
    <w:name w:val="Comment Text Char"/>
    <w:basedOn w:val="DefaultParagraphFont"/>
    <w:link w:val="CommentText"/>
    <w:uiPriority w:val="99"/>
    <w:semiHidden/>
    <w:rsid w:val="00F7024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70249"/>
    <w:rPr>
      <w:b/>
      <w:bCs/>
    </w:rPr>
  </w:style>
  <w:style w:type="character" w:customStyle="1" w:styleId="CommentSubjectChar">
    <w:name w:val="Comment Subject Char"/>
    <w:basedOn w:val="CommentTextChar"/>
    <w:link w:val="CommentSubject"/>
    <w:uiPriority w:val="99"/>
    <w:semiHidden/>
    <w:rsid w:val="00F70249"/>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F702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249"/>
    <w:rPr>
      <w:rFonts w:ascii="Segoe UI" w:eastAsia="Times New Roman" w:hAnsi="Segoe UI" w:cs="Segoe UI"/>
      <w:color w:val="000000"/>
      <w:sz w:val="18"/>
      <w:szCs w:val="18"/>
    </w:rPr>
  </w:style>
  <w:style w:type="paragraph" w:styleId="BodyTextIndent">
    <w:name w:val="Body Text Indent"/>
    <w:basedOn w:val="Normal"/>
    <w:link w:val="BodyTextIndentChar"/>
    <w:uiPriority w:val="99"/>
    <w:semiHidden/>
    <w:unhideWhenUsed/>
    <w:rsid w:val="00DA789A"/>
    <w:pPr>
      <w:spacing w:after="120"/>
      <w:ind w:left="360"/>
    </w:pPr>
  </w:style>
  <w:style w:type="character" w:customStyle="1" w:styleId="BodyTextIndentChar">
    <w:name w:val="Body Text Indent Char"/>
    <w:basedOn w:val="DefaultParagraphFont"/>
    <w:link w:val="BodyTextIndent"/>
    <w:uiPriority w:val="99"/>
    <w:semiHidden/>
    <w:rsid w:val="00DA789A"/>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0262A2"/>
    <w:pPr>
      <w:tabs>
        <w:tab w:val="center" w:pos="4680"/>
        <w:tab w:val="right" w:pos="9360"/>
      </w:tabs>
    </w:pPr>
  </w:style>
  <w:style w:type="character" w:customStyle="1" w:styleId="HeaderChar">
    <w:name w:val="Header Char"/>
    <w:basedOn w:val="DefaultParagraphFont"/>
    <w:link w:val="Header"/>
    <w:uiPriority w:val="99"/>
    <w:rsid w:val="000262A2"/>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0262A2"/>
    <w:pPr>
      <w:tabs>
        <w:tab w:val="center" w:pos="4680"/>
        <w:tab w:val="right" w:pos="9360"/>
      </w:tabs>
    </w:pPr>
  </w:style>
  <w:style w:type="character" w:customStyle="1" w:styleId="FooterChar">
    <w:name w:val="Footer Char"/>
    <w:basedOn w:val="DefaultParagraphFont"/>
    <w:link w:val="Footer"/>
    <w:uiPriority w:val="99"/>
    <w:rsid w:val="000262A2"/>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91653">
      <w:bodyDiv w:val="1"/>
      <w:marLeft w:val="0"/>
      <w:marRight w:val="0"/>
      <w:marTop w:val="0"/>
      <w:marBottom w:val="0"/>
      <w:divBdr>
        <w:top w:val="none" w:sz="0" w:space="0" w:color="auto"/>
        <w:left w:val="none" w:sz="0" w:space="0" w:color="auto"/>
        <w:bottom w:val="none" w:sz="0" w:space="0" w:color="auto"/>
        <w:right w:val="none" w:sz="0" w:space="0" w:color="auto"/>
      </w:divBdr>
    </w:div>
    <w:div w:id="206668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ta.census.gov/cedsci/" TargetMode="External"/><Relationship Id="rId13" Type="http://schemas.openxmlformats.org/officeDocument/2006/relationships/hyperlink" Target="https://www.census.gov/programs-surveys/awts/information.html" TargetMode="External"/><Relationship Id="rId18" Type="http://schemas.openxmlformats.org/officeDocument/2006/relationships/hyperlink" Target="https://data.census.gov/cedsci/"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census.gov/programs-surveys/awts/data/tables.html" TargetMode="External"/><Relationship Id="rId12" Type="http://schemas.openxmlformats.org/officeDocument/2006/relationships/hyperlink" Target="https://www.nap.edu/catalog/25098/reengineering-the-census-bureaus-annual-economic-surveys" TargetMode="External"/><Relationship Id="rId17" Type="http://schemas.openxmlformats.org/officeDocument/2006/relationships/hyperlink" Target="https://www.census.gov/programs-surveys/awts/data/tables.html" TargetMode="External"/><Relationship Id="rId2" Type="http://schemas.openxmlformats.org/officeDocument/2006/relationships/styles" Target="styles.xml"/><Relationship Id="rId16" Type="http://schemas.openxmlformats.org/officeDocument/2006/relationships/hyperlink" Target="https://www.bls.gov/ooh/business-and-financial/accountants-and-auditors.htm" TargetMode="External"/><Relationship Id="rId20" Type="http://schemas.openxmlformats.org/officeDocument/2006/relationships/hyperlink" Target="https://www.nap.edu/catalog/25098/reengineering-the-census-bureaus-annual-economic-survey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ortal.census.gov" TargetMode="External"/><Relationship Id="rId5" Type="http://schemas.openxmlformats.org/officeDocument/2006/relationships/footnotes" Target="footnotes.xml"/><Relationship Id="rId15" Type="http://schemas.openxmlformats.org/officeDocument/2006/relationships/hyperlink" Target="https://www.nap.edu/catalog/25098/reengineering-the-census-bureaus-annual-economic-surveys" TargetMode="External"/><Relationship Id="rId23" Type="http://schemas.openxmlformats.org/officeDocument/2006/relationships/theme" Target="theme/theme1.xml"/><Relationship Id="rId10" Type="http://schemas.openxmlformats.org/officeDocument/2006/relationships/hyperlink" Target="https://portal.census.gov" TargetMode="External"/><Relationship Id="rId19" Type="http://schemas.openxmlformats.org/officeDocument/2006/relationships/hyperlink" Target="https://data.census.gov/cedsci/" TargetMode="External"/><Relationship Id="rId4" Type="http://schemas.openxmlformats.org/officeDocument/2006/relationships/webSettings" Target="webSettings.xml"/><Relationship Id="rId9" Type="http://schemas.openxmlformats.org/officeDocument/2006/relationships/hyperlink" Target="https://data.census.gov/cedsci/" TargetMode="External"/><Relationship Id="rId14" Type="http://schemas.openxmlformats.org/officeDocument/2006/relationships/hyperlink" Target="https://www.census.gov/programs-surveys/awts/about/faq.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B347E-ECFB-481B-B4A9-AF5B5981B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1878</TotalTime>
  <Pages>12</Pages>
  <Words>5071</Words>
  <Characters>28908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33912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Dougherty (CENSUS/EWD FED)</dc:creator>
  <cp:keywords/>
  <dc:description/>
  <cp:lastModifiedBy>John Dougherty (CENSUS/EWD FED)</cp:lastModifiedBy>
  <cp:revision>84</cp:revision>
  <dcterms:created xsi:type="dcterms:W3CDTF">2020-06-05T20:05:00Z</dcterms:created>
  <dcterms:modified xsi:type="dcterms:W3CDTF">2020-09-02T00:01:00Z</dcterms:modified>
</cp:coreProperties>
</file>