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670E" w:rsidR="00E76B61" w:rsidP="00E76B61" w:rsidRDefault="00E76B61">
      <w:pPr>
        <w:pStyle w:val="NormalWeb"/>
        <w:spacing w:before="0" w:beforeAutospacing="0" w:after="0" w:afterAutospacing="0"/>
        <w:jc w:val="center"/>
        <w:rPr>
          <w:b/>
          <w:bCs/>
          <w:color w:val="auto"/>
        </w:rPr>
      </w:pPr>
      <w:bookmarkStart w:name="_GoBack" w:id="0"/>
      <w:bookmarkEnd w:id="0"/>
      <w:r w:rsidRPr="0016670E">
        <w:rPr>
          <w:b/>
          <w:bCs/>
          <w:iCs/>
          <w:color w:val="auto"/>
        </w:rPr>
        <w:t>Department of Commerce</w:t>
      </w:r>
    </w:p>
    <w:p w:rsidR="00E76B61" w:rsidP="00E76B61" w:rsidRDefault="00E76B61">
      <w:pPr>
        <w:pStyle w:val="NormalWeb"/>
        <w:spacing w:before="0" w:beforeAutospacing="0" w:after="0" w:afterAutospacing="0"/>
        <w:jc w:val="center"/>
        <w:rPr>
          <w:b/>
          <w:bCs/>
          <w:color w:val="auto"/>
        </w:rPr>
      </w:pPr>
      <w:r>
        <w:rPr>
          <w:b/>
          <w:bCs/>
          <w:color w:val="auto"/>
        </w:rPr>
        <w:t>U.S. Census Bureau</w:t>
      </w:r>
    </w:p>
    <w:p w:rsidR="00E76B61" w:rsidP="00E76B61" w:rsidRDefault="00E76B61">
      <w:pPr>
        <w:pStyle w:val="NormalWeb"/>
        <w:spacing w:before="0" w:beforeAutospacing="0" w:after="0" w:afterAutospacing="0"/>
        <w:jc w:val="center"/>
        <w:rPr>
          <w:b/>
          <w:bCs/>
          <w:color w:val="auto"/>
        </w:rPr>
      </w:pPr>
      <w:r>
        <w:rPr>
          <w:b/>
          <w:bCs/>
          <w:color w:val="auto"/>
        </w:rPr>
        <w:t>OMB Information Collection Request</w:t>
      </w:r>
    </w:p>
    <w:p w:rsidR="00E76B61" w:rsidP="00E76B61" w:rsidRDefault="00E76B61">
      <w:pPr>
        <w:pStyle w:val="NormalWeb"/>
        <w:spacing w:before="0" w:beforeAutospacing="0" w:after="0" w:afterAutospacing="0"/>
        <w:jc w:val="center"/>
        <w:rPr>
          <w:b/>
          <w:bCs/>
          <w:color w:val="auto"/>
        </w:rPr>
      </w:pPr>
      <w:r>
        <w:rPr>
          <w:b/>
          <w:bCs/>
          <w:color w:val="auto"/>
        </w:rPr>
        <w:t>Annual Wholesale Trade Survey</w:t>
      </w:r>
    </w:p>
    <w:p w:rsidR="00E76B61" w:rsidP="00E76B61" w:rsidRDefault="00E76B61">
      <w:pPr>
        <w:pStyle w:val="NormalWeb"/>
        <w:spacing w:before="0" w:beforeAutospacing="0" w:after="0" w:afterAutospacing="0"/>
        <w:jc w:val="center"/>
        <w:rPr>
          <w:b/>
          <w:bCs/>
          <w:color w:val="auto"/>
        </w:rPr>
      </w:pPr>
      <w:r>
        <w:rPr>
          <w:b/>
          <w:bCs/>
          <w:color w:val="auto"/>
        </w:rPr>
        <w:t>OMB Control Number 0607-0195</w:t>
      </w:r>
    </w:p>
    <w:p w:rsidR="00E76B61" w:rsidP="00E76B61" w:rsidRDefault="00E76B61">
      <w:pPr>
        <w:pStyle w:val="NormalWeb"/>
        <w:spacing w:before="0" w:beforeAutospacing="0" w:after="0" w:afterAutospacing="0"/>
        <w:jc w:val="center"/>
        <w:rPr>
          <w:color w:val="auto"/>
        </w:rPr>
      </w:pPr>
    </w:p>
    <w:p w:rsidRPr="00CD5813" w:rsidR="00E76B61" w:rsidP="00E76B61" w:rsidRDefault="00E76B61">
      <w:pPr>
        <w:pStyle w:val="Heading4"/>
        <w:rPr>
          <w:b w:val="0"/>
        </w:rPr>
      </w:pPr>
      <w:r w:rsidRPr="00CD5813">
        <w:rPr>
          <w:rStyle w:val="Strong"/>
          <w:b/>
        </w:rPr>
        <w:t xml:space="preserve">Part B </w:t>
      </w:r>
      <w:r w:rsidRPr="00CD5813">
        <w:rPr>
          <w:b w:val="0"/>
        </w:rPr>
        <w:t>–</w:t>
      </w:r>
      <w:r w:rsidRPr="00CD5813">
        <w:rPr>
          <w:rStyle w:val="Strong"/>
          <w:b/>
        </w:rPr>
        <w:t xml:space="preserve"> Collections of Information Employing Statistical Methods</w:t>
      </w:r>
    </w:p>
    <w:p w:rsidRPr="00F23167" w:rsidR="00E76B61" w:rsidP="00E76B61" w:rsidRDefault="00E76B61">
      <w:pPr>
        <w:pStyle w:val="NormalWeb"/>
        <w:rPr>
          <w:b/>
          <w:color w:val="auto"/>
          <w:u w:val="single"/>
        </w:rPr>
      </w:pPr>
      <w:r w:rsidRPr="00F23167">
        <w:rPr>
          <w:b/>
          <w:color w:val="auto"/>
          <w:u w:val="single"/>
        </w:rPr>
        <w:t>Question 1. Universe and Respondent Selection</w:t>
      </w:r>
    </w:p>
    <w:p w:rsidR="00EB14ED" w:rsidP="00E76B61" w:rsidRDefault="00EB14ED">
      <w:pPr>
        <w:pStyle w:val="NormalWeb"/>
        <w:rPr>
          <w:b/>
          <w:bCs/>
          <w:color w:val="auto"/>
        </w:rPr>
      </w:pPr>
      <w:r>
        <w:rPr>
          <w:b/>
          <w:bCs/>
          <w:color w:val="auto"/>
        </w:rPr>
        <w:t>Target Population</w:t>
      </w:r>
    </w:p>
    <w:p w:rsidR="00EB14ED" w:rsidP="00E76B61" w:rsidRDefault="00EB14ED">
      <w:pPr>
        <w:pStyle w:val="NormalWeb"/>
        <w:rPr>
          <w:b/>
          <w:bCs/>
          <w:color w:val="auto"/>
        </w:rPr>
      </w:pPr>
      <w:r w:rsidRPr="00EB14ED">
        <w:rPr>
          <w:bCs/>
          <w:color w:val="auto"/>
        </w:rPr>
        <w:t xml:space="preserve">The </w:t>
      </w:r>
      <w:r>
        <w:rPr>
          <w:bCs/>
          <w:color w:val="auto"/>
        </w:rPr>
        <w:t xml:space="preserve">target population of the </w:t>
      </w:r>
      <w:r w:rsidRPr="00EB14ED">
        <w:rPr>
          <w:bCs/>
          <w:color w:val="auto"/>
        </w:rPr>
        <w:t xml:space="preserve">Annual Wholesale Trade Survey (AWTS) </w:t>
      </w:r>
      <w:r>
        <w:rPr>
          <w:bCs/>
          <w:color w:val="auto"/>
        </w:rPr>
        <w:t xml:space="preserve">consists of all United States </w:t>
      </w:r>
      <w:r w:rsidRPr="00EB14ED">
        <w:rPr>
          <w:bCs/>
          <w:color w:val="auto"/>
        </w:rPr>
        <w:t>firms with paid employees that are primarily en</w:t>
      </w:r>
      <w:r>
        <w:rPr>
          <w:bCs/>
          <w:color w:val="auto"/>
        </w:rPr>
        <w:t>gaged in wholesale trade</w:t>
      </w:r>
      <w:r w:rsidRPr="00EB14ED">
        <w:rPr>
          <w:bCs/>
          <w:color w:val="auto"/>
        </w:rPr>
        <w:t>, as defined by the 2012 N</w:t>
      </w:r>
      <w:r>
        <w:rPr>
          <w:bCs/>
          <w:color w:val="auto"/>
        </w:rPr>
        <w:t>orth American Industry Classification System (N</w:t>
      </w:r>
      <w:r w:rsidRPr="00EB14ED">
        <w:rPr>
          <w:bCs/>
          <w:color w:val="auto"/>
        </w:rPr>
        <w:t>AICS</w:t>
      </w:r>
      <w:r>
        <w:rPr>
          <w:bCs/>
          <w:color w:val="auto"/>
        </w:rPr>
        <w:t>).</w:t>
      </w:r>
    </w:p>
    <w:p w:rsidR="009C59CB" w:rsidP="00E76B61" w:rsidRDefault="009C59CB">
      <w:pPr>
        <w:pStyle w:val="NormalWeb"/>
        <w:rPr>
          <w:b/>
          <w:bCs/>
          <w:color w:val="auto"/>
        </w:rPr>
      </w:pPr>
      <w:r>
        <w:rPr>
          <w:b/>
          <w:bCs/>
          <w:color w:val="auto"/>
        </w:rPr>
        <w:t>Sampling Frame</w:t>
      </w:r>
    </w:p>
    <w:p w:rsidRPr="005C1CAE" w:rsidR="00E76B61" w:rsidP="00E76B61" w:rsidRDefault="00FA07DC">
      <w:pPr>
        <w:pStyle w:val="NormalWeb"/>
        <w:rPr>
          <w:bCs/>
          <w:color w:val="auto"/>
        </w:rPr>
      </w:pPr>
      <w:r w:rsidRPr="00FA07DC">
        <w:rPr>
          <w:bCs/>
          <w:color w:val="auto"/>
          <w:lang w:val="en"/>
        </w:rPr>
        <w:t xml:space="preserve">The </w:t>
      </w:r>
      <w:r w:rsidR="00804BF8">
        <w:rPr>
          <w:bCs/>
          <w:color w:val="auto"/>
          <w:lang w:val="en"/>
        </w:rPr>
        <w:t xml:space="preserve">AWTS </w:t>
      </w:r>
      <w:r w:rsidRPr="00FA07DC">
        <w:rPr>
          <w:bCs/>
          <w:color w:val="auto"/>
          <w:lang w:val="en"/>
        </w:rPr>
        <w:t>sampling frame has two types of sampling units represented: single</w:t>
      </w:r>
      <w:r>
        <w:rPr>
          <w:bCs/>
          <w:color w:val="auto"/>
          <w:lang w:val="en"/>
        </w:rPr>
        <w:t>-</w:t>
      </w:r>
      <w:r w:rsidRPr="00FA07DC">
        <w:rPr>
          <w:bCs/>
          <w:color w:val="auto"/>
          <w:lang w:val="en"/>
        </w:rPr>
        <w:t>establishment firms and multiple-establi</w:t>
      </w:r>
      <w:r w:rsidR="005C1CAE">
        <w:rPr>
          <w:bCs/>
          <w:color w:val="auto"/>
          <w:lang w:val="en"/>
        </w:rPr>
        <w:t>shment firms. The information u</w:t>
      </w:r>
      <w:r w:rsidR="00804BF8">
        <w:rPr>
          <w:bCs/>
          <w:color w:val="auto"/>
          <w:lang w:val="en"/>
        </w:rPr>
        <w:t>sed</w:t>
      </w:r>
      <w:r w:rsidRPr="00FA07DC">
        <w:rPr>
          <w:bCs/>
          <w:color w:val="auto"/>
          <w:lang w:val="en"/>
        </w:rPr>
        <w:t xml:space="preserve"> to create these sampling units </w:t>
      </w:r>
      <w:proofErr w:type="gramStart"/>
      <w:r w:rsidRPr="00FA07DC">
        <w:rPr>
          <w:bCs/>
          <w:color w:val="auto"/>
          <w:lang w:val="en"/>
        </w:rPr>
        <w:t>was extracted</w:t>
      </w:r>
      <w:proofErr w:type="gramEnd"/>
      <w:r w:rsidRPr="00FA07DC">
        <w:rPr>
          <w:bCs/>
          <w:color w:val="auto"/>
          <w:lang w:val="en"/>
        </w:rPr>
        <w:t xml:space="preserve"> from data collected </w:t>
      </w:r>
      <w:r w:rsidR="005C1CAE">
        <w:rPr>
          <w:bCs/>
          <w:color w:val="auto"/>
          <w:lang w:val="en"/>
        </w:rPr>
        <w:t>via</w:t>
      </w:r>
      <w:r w:rsidRPr="00FA07DC">
        <w:rPr>
          <w:bCs/>
          <w:color w:val="auto"/>
          <w:lang w:val="en"/>
        </w:rPr>
        <w:t xml:space="preserve"> the 2012 Economic Census and from establishment records contained on the Census Bureau's Business Register </w:t>
      </w:r>
      <w:r w:rsidR="005C1CAE">
        <w:rPr>
          <w:bCs/>
          <w:color w:val="auto"/>
          <w:lang w:val="en"/>
        </w:rPr>
        <w:t>(</w:t>
      </w:r>
      <w:r w:rsidRPr="00FA07DC">
        <w:rPr>
          <w:bCs/>
          <w:color w:val="auto"/>
          <w:lang w:val="en"/>
        </w:rPr>
        <w:t xml:space="preserve">as </w:t>
      </w:r>
      <w:r w:rsidR="005C1CAE">
        <w:rPr>
          <w:bCs/>
          <w:color w:val="auto"/>
          <w:lang w:val="en"/>
        </w:rPr>
        <w:t>of</w:t>
      </w:r>
      <w:r w:rsidRPr="00FA07DC">
        <w:rPr>
          <w:bCs/>
          <w:color w:val="auto"/>
          <w:lang w:val="en"/>
        </w:rPr>
        <w:t xml:space="preserve"> October 2015</w:t>
      </w:r>
      <w:r w:rsidR="005C1CAE">
        <w:rPr>
          <w:bCs/>
          <w:color w:val="auto"/>
          <w:lang w:val="en"/>
        </w:rPr>
        <w:t>)</w:t>
      </w:r>
      <w:r w:rsidRPr="00FA07DC">
        <w:rPr>
          <w:bCs/>
          <w:color w:val="auto"/>
          <w:lang w:val="en"/>
        </w:rPr>
        <w:t>.</w:t>
      </w:r>
      <w:r w:rsidR="005C1CAE">
        <w:rPr>
          <w:b/>
          <w:bCs/>
          <w:color w:val="auto"/>
          <w:lang w:val="en"/>
        </w:rPr>
        <w:t xml:space="preserve"> </w:t>
      </w:r>
      <w:proofErr w:type="spellStart"/>
      <w:r w:rsidR="005C1CAE">
        <w:rPr>
          <w:bCs/>
          <w:color w:val="auto"/>
          <w:lang w:val="en"/>
        </w:rPr>
        <w:t>T</w:t>
      </w:r>
      <w:r w:rsidR="005C1CAE">
        <w:rPr>
          <w:bCs/>
          <w:color w:val="auto"/>
        </w:rPr>
        <w:t>he</w:t>
      </w:r>
      <w:proofErr w:type="spellEnd"/>
      <w:r w:rsidR="005C1CAE">
        <w:rPr>
          <w:bCs/>
          <w:color w:val="auto"/>
        </w:rPr>
        <w:t xml:space="preserve"> Business Register (BR), which </w:t>
      </w:r>
      <w:r w:rsidRPr="005C1CAE" w:rsidR="005C1CAE">
        <w:rPr>
          <w:bCs/>
          <w:color w:val="auto"/>
        </w:rPr>
        <w:t>is the Censu</w:t>
      </w:r>
      <w:r w:rsidR="005C1CAE">
        <w:rPr>
          <w:bCs/>
          <w:color w:val="auto"/>
        </w:rPr>
        <w:t xml:space="preserve">s Bureau’s master business list, </w:t>
      </w:r>
      <w:r w:rsidRPr="005C1CAE" w:rsidR="005C1CAE">
        <w:rPr>
          <w:bCs/>
          <w:color w:val="auto"/>
        </w:rPr>
        <w:t xml:space="preserve">contains basic economic information for more than 7.4 million employer businesses and over 22.5 </w:t>
      </w:r>
      <w:r w:rsidR="005C1CAE">
        <w:rPr>
          <w:bCs/>
          <w:color w:val="auto"/>
        </w:rPr>
        <w:t xml:space="preserve">million </w:t>
      </w:r>
      <w:proofErr w:type="spellStart"/>
      <w:r w:rsidR="005C1CAE">
        <w:rPr>
          <w:bCs/>
          <w:color w:val="auto"/>
        </w:rPr>
        <w:t>nonemployer</w:t>
      </w:r>
      <w:proofErr w:type="spellEnd"/>
      <w:r w:rsidR="005C1CAE">
        <w:rPr>
          <w:bCs/>
          <w:color w:val="auto"/>
        </w:rPr>
        <w:t xml:space="preserve"> businesses. I</w:t>
      </w:r>
      <w:r w:rsidRPr="005C1CAE" w:rsidR="005C1CAE">
        <w:rPr>
          <w:bCs/>
          <w:color w:val="auto"/>
        </w:rPr>
        <w:t xml:space="preserve">t </w:t>
      </w:r>
      <w:proofErr w:type="gramStart"/>
      <w:r w:rsidRPr="005C1CAE" w:rsidR="005C1CAE">
        <w:rPr>
          <w:bCs/>
          <w:color w:val="auto"/>
        </w:rPr>
        <w:t>is updated</w:t>
      </w:r>
      <w:proofErr w:type="gramEnd"/>
      <w:r w:rsidRPr="005C1CAE" w:rsidR="005C1CAE">
        <w:rPr>
          <w:bCs/>
          <w:color w:val="auto"/>
        </w:rPr>
        <w:t xml:space="preserve"> through direct data collections and administrative records from other federal agencies.</w:t>
      </w:r>
    </w:p>
    <w:p w:rsidR="00373916" w:rsidP="00E76B61" w:rsidRDefault="00E76B61">
      <w:pPr>
        <w:pStyle w:val="NormalWeb"/>
        <w:rPr>
          <w:color w:val="auto"/>
        </w:rPr>
      </w:pPr>
      <w:r w:rsidRPr="00E76B61">
        <w:rPr>
          <w:color w:val="auto"/>
        </w:rPr>
        <w:t xml:space="preserve">To create the sampling frame, </w:t>
      </w:r>
      <w:r w:rsidR="00BA1483">
        <w:rPr>
          <w:color w:val="auto"/>
        </w:rPr>
        <w:t xml:space="preserve">the Census Bureau </w:t>
      </w:r>
      <w:r w:rsidRPr="00E76B61">
        <w:rPr>
          <w:color w:val="auto"/>
        </w:rPr>
        <w:t>extract</w:t>
      </w:r>
      <w:r w:rsidR="00BA1483">
        <w:rPr>
          <w:color w:val="auto"/>
        </w:rPr>
        <w:t>s</w:t>
      </w:r>
      <w:r w:rsidRPr="00E76B61">
        <w:rPr>
          <w:color w:val="auto"/>
        </w:rPr>
        <w:t xml:space="preserve"> the records for all employer establishments located in the United States and classified in the wholesale trade sector</w:t>
      </w:r>
      <w:r w:rsidR="001D3D44">
        <w:rPr>
          <w:color w:val="auto"/>
        </w:rPr>
        <w:t>,</w:t>
      </w:r>
      <w:r w:rsidRPr="00E76B61">
        <w:rPr>
          <w:color w:val="auto"/>
        </w:rPr>
        <w:t xml:space="preserve"> as defined by the 2012 </w:t>
      </w:r>
      <w:r w:rsidR="00BA1483">
        <w:rPr>
          <w:color w:val="auto"/>
        </w:rPr>
        <w:t>N</w:t>
      </w:r>
      <w:r w:rsidRPr="00E76B61">
        <w:rPr>
          <w:color w:val="auto"/>
        </w:rPr>
        <w:t>AICS. For these establishments</w:t>
      </w:r>
      <w:r w:rsidR="00BA1483">
        <w:rPr>
          <w:color w:val="auto"/>
        </w:rPr>
        <w:t>,</w:t>
      </w:r>
      <w:r w:rsidR="001D3D44">
        <w:rPr>
          <w:color w:val="auto"/>
        </w:rPr>
        <w:t xml:space="preserve"> the agency</w:t>
      </w:r>
      <w:r w:rsidRPr="00E76B61">
        <w:rPr>
          <w:color w:val="auto"/>
        </w:rPr>
        <w:t xml:space="preserve"> extract</w:t>
      </w:r>
      <w:r w:rsidR="001D3D44">
        <w:rPr>
          <w:color w:val="auto"/>
        </w:rPr>
        <w:t>s</w:t>
      </w:r>
      <w:r w:rsidRPr="00E76B61">
        <w:rPr>
          <w:color w:val="auto"/>
        </w:rPr>
        <w:t xml:space="preserve"> sales, end-of-year inventories, payroll, employment, name and address information, wholesale type of operation code (TOC), primary identifiers</w:t>
      </w:r>
      <w:r w:rsidR="001D3D44">
        <w:rPr>
          <w:color w:val="auto"/>
        </w:rPr>
        <w:t>,</w:t>
      </w:r>
      <w:r w:rsidRPr="00E76B61">
        <w:rPr>
          <w:color w:val="auto"/>
        </w:rPr>
        <w:t xml:space="preserve"> and associate</w:t>
      </w:r>
      <w:r w:rsidR="001D3D44">
        <w:rPr>
          <w:color w:val="auto"/>
        </w:rPr>
        <w:t>d e</w:t>
      </w:r>
      <w:r w:rsidRPr="00E76B61">
        <w:rPr>
          <w:color w:val="auto"/>
        </w:rPr>
        <w:t xml:space="preserve">mployer </w:t>
      </w:r>
      <w:r w:rsidR="001D3D44">
        <w:rPr>
          <w:color w:val="auto"/>
        </w:rPr>
        <w:t>i</w:t>
      </w:r>
      <w:r w:rsidRPr="00E76B61">
        <w:rPr>
          <w:color w:val="auto"/>
        </w:rPr>
        <w:t xml:space="preserve">dentification </w:t>
      </w:r>
      <w:r w:rsidR="001D3D44">
        <w:rPr>
          <w:color w:val="auto"/>
        </w:rPr>
        <w:t>n</w:t>
      </w:r>
      <w:r w:rsidRPr="00E76B61">
        <w:rPr>
          <w:color w:val="auto"/>
        </w:rPr>
        <w:t xml:space="preserve">umbers (EINs). </w:t>
      </w:r>
    </w:p>
    <w:p w:rsidR="00373916" w:rsidP="00E76B61" w:rsidRDefault="001D3D44">
      <w:pPr>
        <w:pStyle w:val="NormalWeb"/>
        <w:rPr>
          <w:color w:val="auto"/>
        </w:rPr>
      </w:pPr>
      <w:r>
        <w:rPr>
          <w:color w:val="auto"/>
        </w:rPr>
        <w:t>For the AWTS, the Census Bureau</w:t>
      </w:r>
      <w:r w:rsidRPr="00E76B61" w:rsidR="00E76B61">
        <w:rPr>
          <w:color w:val="auto"/>
        </w:rPr>
        <w:t xml:space="preserve"> use</w:t>
      </w:r>
      <w:r>
        <w:rPr>
          <w:color w:val="auto"/>
        </w:rPr>
        <w:t>s</w:t>
      </w:r>
      <w:r w:rsidRPr="00E76B61" w:rsidR="00E76B61">
        <w:rPr>
          <w:color w:val="auto"/>
        </w:rPr>
        <w:t xml:space="preserve"> the TOC to distinguish between three different typ</w:t>
      </w:r>
      <w:r w:rsidR="00BA1483">
        <w:rPr>
          <w:color w:val="auto"/>
        </w:rPr>
        <w:t xml:space="preserve">es of wholesale establishments: </w:t>
      </w:r>
    </w:p>
    <w:p w:rsidR="00373916" w:rsidP="00373916" w:rsidRDefault="00E76B61">
      <w:pPr>
        <w:pStyle w:val="NormalWeb"/>
        <w:numPr>
          <w:ilvl w:val="0"/>
          <w:numId w:val="9"/>
        </w:numPr>
        <w:rPr>
          <w:color w:val="auto"/>
        </w:rPr>
      </w:pPr>
      <w:r w:rsidRPr="00E76B61">
        <w:rPr>
          <w:color w:val="auto"/>
        </w:rPr>
        <w:t xml:space="preserve">merchant wholesale establishments, excluding manufacturers’ </w:t>
      </w:r>
      <w:r w:rsidR="001D3D44">
        <w:rPr>
          <w:color w:val="auto"/>
        </w:rPr>
        <w:t xml:space="preserve">sales branches and offices; </w:t>
      </w:r>
    </w:p>
    <w:p w:rsidR="00373916" w:rsidP="00373916" w:rsidRDefault="00E76B61">
      <w:pPr>
        <w:pStyle w:val="NormalWeb"/>
        <w:numPr>
          <w:ilvl w:val="0"/>
          <w:numId w:val="9"/>
        </w:numPr>
        <w:rPr>
          <w:color w:val="auto"/>
        </w:rPr>
      </w:pPr>
      <w:r w:rsidRPr="00E76B61">
        <w:rPr>
          <w:color w:val="auto"/>
        </w:rPr>
        <w:t>manufacturers’ sales branche</w:t>
      </w:r>
      <w:r w:rsidR="001D3D44">
        <w:rPr>
          <w:color w:val="auto"/>
        </w:rPr>
        <w:t xml:space="preserve">s and offices; and </w:t>
      </w:r>
    </w:p>
    <w:p w:rsidR="00373916" w:rsidP="00373916" w:rsidRDefault="00E76B61">
      <w:pPr>
        <w:pStyle w:val="NormalWeb"/>
        <w:numPr>
          <w:ilvl w:val="0"/>
          <w:numId w:val="9"/>
        </w:numPr>
        <w:rPr>
          <w:color w:val="auto"/>
        </w:rPr>
      </w:pPr>
      <w:proofErr w:type="gramStart"/>
      <w:r w:rsidRPr="00E76B61">
        <w:rPr>
          <w:color w:val="auto"/>
        </w:rPr>
        <w:t>agents</w:t>
      </w:r>
      <w:proofErr w:type="gramEnd"/>
      <w:r w:rsidRPr="00E76B61">
        <w:rPr>
          <w:color w:val="auto"/>
        </w:rPr>
        <w:t xml:space="preserve">, brokers, and business electronic markets. </w:t>
      </w:r>
    </w:p>
    <w:p w:rsidRPr="00E76B61" w:rsidR="00E76B61" w:rsidP="00E76B61" w:rsidRDefault="001D3D44">
      <w:pPr>
        <w:pStyle w:val="NormalWeb"/>
        <w:rPr>
          <w:color w:val="auto"/>
        </w:rPr>
      </w:pPr>
      <w:r>
        <w:rPr>
          <w:color w:val="auto"/>
        </w:rPr>
        <w:t>To create the sampling units, the agency</w:t>
      </w:r>
      <w:r w:rsidRPr="00E76B61" w:rsidR="00E76B61">
        <w:rPr>
          <w:color w:val="auto"/>
        </w:rPr>
        <w:t xml:space="preserve"> sum</w:t>
      </w:r>
      <w:r>
        <w:rPr>
          <w:color w:val="auto"/>
        </w:rPr>
        <w:t xml:space="preserve">s </w:t>
      </w:r>
      <w:r w:rsidRPr="00E76B61" w:rsidR="00E76B61">
        <w:rPr>
          <w:color w:val="auto"/>
        </w:rPr>
        <w:t xml:space="preserve">the establishment data for all wholesale establishments associated with the same firm identifier. In some cases, a multi-unit firm has establishments active in more than one wholesale TOC. In these situations, </w:t>
      </w:r>
      <w:r w:rsidR="009C59CB">
        <w:rPr>
          <w:color w:val="auto"/>
        </w:rPr>
        <w:t>the Census Bureau</w:t>
      </w:r>
      <w:r w:rsidRPr="00E76B61" w:rsidR="00E76B61">
        <w:rPr>
          <w:color w:val="auto"/>
        </w:rPr>
        <w:t xml:space="preserve"> create</w:t>
      </w:r>
      <w:r w:rsidR="009C59CB">
        <w:rPr>
          <w:color w:val="auto"/>
        </w:rPr>
        <w:t>s</w:t>
      </w:r>
      <w:r w:rsidRPr="00E76B61" w:rsidR="00E76B61">
        <w:rPr>
          <w:color w:val="auto"/>
        </w:rPr>
        <w:t xml:space="preserve"> firm-level sampling units for each type of operation. No aggregation is necessary to put single-unit establishment information on a firm basis. Thus, the sampling units created for single-unit firms simultaneously represent establishment and firm information.</w:t>
      </w:r>
    </w:p>
    <w:p w:rsidR="009C59CB" w:rsidP="00E76B61" w:rsidRDefault="009C59CB">
      <w:pPr>
        <w:pStyle w:val="NormalWeb"/>
        <w:rPr>
          <w:b/>
          <w:bCs/>
          <w:color w:val="auto"/>
        </w:rPr>
      </w:pPr>
      <w:r>
        <w:rPr>
          <w:b/>
          <w:bCs/>
          <w:color w:val="auto"/>
        </w:rPr>
        <w:lastRenderedPageBreak/>
        <w:t>Stratification</w:t>
      </w:r>
    </w:p>
    <w:p w:rsidRPr="00E76B61" w:rsidR="00E76B61" w:rsidP="00E76B61" w:rsidRDefault="00E76B61">
      <w:pPr>
        <w:pStyle w:val="NormalWeb"/>
        <w:rPr>
          <w:color w:val="auto"/>
        </w:rPr>
      </w:pPr>
      <w:r w:rsidRPr="00E76B61">
        <w:rPr>
          <w:color w:val="auto"/>
        </w:rPr>
        <w:t>The sample for</w:t>
      </w:r>
      <w:r w:rsidR="009C59CB">
        <w:rPr>
          <w:color w:val="auto"/>
        </w:rPr>
        <w:t xml:space="preserve"> the</w:t>
      </w:r>
      <w:r w:rsidRPr="00E76B61">
        <w:rPr>
          <w:color w:val="auto"/>
        </w:rPr>
        <w:t xml:space="preserve"> AWTS consists of three separate samples </w:t>
      </w:r>
      <w:r w:rsidR="009C59CB">
        <w:rPr>
          <w:color w:val="auto"/>
        </w:rPr>
        <w:t>(</w:t>
      </w:r>
      <w:r w:rsidRPr="00E76B61">
        <w:rPr>
          <w:color w:val="auto"/>
        </w:rPr>
        <w:t>one for each wholesale TOC</w:t>
      </w:r>
      <w:r w:rsidR="009C59CB">
        <w:rPr>
          <w:color w:val="auto"/>
        </w:rPr>
        <w:t>)</w:t>
      </w:r>
      <w:r w:rsidRPr="00E76B61">
        <w:rPr>
          <w:color w:val="auto"/>
        </w:rPr>
        <w:t xml:space="preserve">. </w:t>
      </w:r>
      <w:r w:rsidR="009C59CB">
        <w:rPr>
          <w:color w:val="auto"/>
        </w:rPr>
        <w:t xml:space="preserve">This survey </w:t>
      </w:r>
      <w:r w:rsidRPr="00E76B61">
        <w:rPr>
          <w:color w:val="auto"/>
        </w:rPr>
        <w:t>uses a stratified, one-stage design with primary strata defined by industry. There are 83 primary strata: 56 from the merchant wholesale establishments, excluding manufacturers’ sales branches and offices</w:t>
      </w:r>
      <w:r w:rsidR="00DF5BEA">
        <w:rPr>
          <w:color w:val="auto"/>
        </w:rPr>
        <w:t>, sample</w:t>
      </w:r>
      <w:r w:rsidRPr="00E76B61">
        <w:rPr>
          <w:color w:val="auto"/>
        </w:rPr>
        <w:t xml:space="preserve">; 19 from the manufacturers’ sales branches and offices sample; and </w:t>
      </w:r>
      <w:r w:rsidR="00DF5BEA">
        <w:rPr>
          <w:color w:val="auto"/>
        </w:rPr>
        <w:t>8</w:t>
      </w:r>
      <w:r w:rsidRPr="00E76B61">
        <w:rPr>
          <w:color w:val="auto"/>
        </w:rPr>
        <w:t xml:space="preserve"> from the agents, brokers, and business electronic markets sample. </w:t>
      </w:r>
      <w:r w:rsidR="00E672CC">
        <w:rPr>
          <w:color w:val="auto"/>
        </w:rPr>
        <w:t>For the AWTS, the Census Bureau further stratifies</w:t>
      </w:r>
      <w:r w:rsidRPr="00E76B61">
        <w:rPr>
          <w:color w:val="auto"/>
        </w:rPr>
        <w:t xml:space="preserve"> the sampling units within</w:t>
      </w:r>
      <w:r w:rsidR="00E672CC">
        <w:rPr>
          <w:color w:val="auto"/>
        </w:rPr>
        <w:t xml:space="preserve"> each </w:t>
      </w:r>
      <w:r w:rsidRPr="00E76B61">
        <w:rPr>
          <w:color w:val="auto"/>
        </w:rPr>
        <w:t>industry group by a measure of size related to their annual sales</w:t>
      </w:r>
      <w:r w:rsidR="006A74CF">
        <w:rPr>
          <w:color w:val="auto"/>
        </w:rPr>
        <w:t xml:space="preserve"> (i.e., </w:t>
      </w:r>
      <w:proofErr w:type="spellStart"/>
      <w:r w:rsidRPr="00E76B61" w:rsidR="006A74CF">
        <w:rPr>
          <w:color w:val="auto"/>
        </w:rPr>
        <w:t>substratify</w:t>
      </w:r>
      <w:proofErr w:type="spellEnd"/>
      <w:r w:rsidRPr="00E76B61" w:rsidR="006A74CF">
        <w:rPr>
          <w:color w:val="auto"/>
        </w:rPr>
        <w:t>)</w:t>
      </w:r>
      <w:r w:rsidRPr="00E76B61">
        <w:rPr>
          <w:color w:val="auto"/>
        </w:rPr>
        <w:t>. Sampling units</w:t>
      </w:r>
      <w:r w:rsidR="0026601F">
        <w:rPr>
          <w:color w:val="auto"/>
        </w:rPr>
        <w:t xml:space="preserve"> </w:t>
      </w:r>
      <w:r w:rsidRPr="00E76B61">
        <w:rPr>
          <w:color w:val="auto"/>
        </w:rPr>
        <w:t xml:space="preserve">expected to have a large effect on the precision of the sales and end-of-year inventories estimates </w:t>
      </w:r>
      <w:proofErr w:type="gramStart"/>
      <w:r w:rsidR="0026601F">
        <w:rPr>
          <w:color w:val="auto"/>
        </w:rPr>
        <w:t>are</w:t>
      </w:r>
      <w:r w:rsidRPr="00E76B61">
        <w:rPr>
          <w:color w:val="auto"/>
        </w:rPr>
        <w:t xml:space="preserve"> select</w:t>
      </w:r>
      <w:r w:rsidR="0026601F">
        <w:rPr>
          <w:color w:val="auto"/>
        </w:rPr>
        <w:t>ed</w:t>
      </w:r>
      <w:proofErr w:type="gramEnd"/>
      <w:r w:rsidR="0026601F">
        <w:rPr>
          <w:color w:val="auto"/>
        </w:rPr>
        <w:t xml:space="preserve"> </w:t>
      </w:r>
      <w:r w:rsidRPr="00E76B61">
        <w:rPr>
          <w:color w:val="auto"/>
        </w:rPr>
        <w:t xml:space="preserve">“with certainty.” This means they are sure to be selected and will represent only themselves (i.e., have a selection probability of </w:t>
      </w:r>
      <w:proofErr w:type="gramStart"/>
      <w:r w:rsidRPr="00E76B61">
        <w:rPr>
          <w:color w:val="auto"/>
        </w:rPr>
        <w:t>1</w:t>
      </w:r>
      <w:proofErr w:type="gramEnd"/>
      <w:r w:rsidRPr="00E76B61">
        <w:rPr>
          <w:color w:val="auto"/>
        </w:rPr>
        <w:t xml:space="preserve"> and a sampling weight of 1). </w:t>
      </w:r>
      <w:r w:rsidR="0026601F">
        <w:rPr>
          <w:color w:val="auto"/>
        </w:rPr>
        <w:t>Within each industry stratum, the agency</w:t>
      </w:r>
      <w:r w:rsidRPr="00E76B61">
        <w:rPr>
          <w:color w:val="auto"/>
        </w:rPr>
        <w:t xml:space="preserve"> determine</w:t>
      </w:r>
      <w:r w:rsidR="0026601F">
        <w:rPr>
          <w:color w:val="auto"/>
        </w:rPr>
        <w:t>s</w:t>
      </w:r>
      <w:r w:rsidRPr="00E76B61">
        <w:rPr>
          <w:color w:val="auto"/>
        </w:rPr>
        <w:t xml:space="preserve"> a substratum boundary (or cutoff) that divides the certainty units from the </w:t>
      </w:r>
      <w:proofErr w:type="spellStart"/>
      <w:r w:rsidRPr="00E76B61">
        <w:rPr>
          <w:color w:val="auto"/>
        </w:rPr>
        <w:t>noncertainty</w:t>
      </w:r>
      <w:proofErr w:type="spellEnd"/>
      <w:r w:rsidRPr="00E76B61">
        <w:rPr>
          <w:color w:val="auto"/>
        </w:rPr>
        <w:t xml:space="preserve"> units. </w:t>
      </w:r>
      <w:r w:rsidR="0026601F">
        <w:rPr>
          <w:color w:val="auto"/>
        </w:rPr>
        <w:t>T</w:t>
      </w:r>
      <w:r w:rsidRPr="00E76B61">
        <w:rPr>
          <w:color w:val="auto"/>
        </w:rPr>
        <w:t>hese cutoffs</w:t>
      </w:r>
      <w:r w:rsidR="0026601F">
        <w:rPr>
          <w:color w:val="auto"/>
        </w:rPr>
        <w:t xml:space="preserve"> </w:t>
      </w:r>
      <w:proofErr w:type="gramStart"/>
      <w:r w:rsidR="0026601F">
        <w:rPr>
          <w:color w:val="auto"/>
        </w:rPr>
        <w:t xml:space="preserve">are </w:t>
      </w:r>
      <w:r w:rsidR="004A1124">
        <w:rPr>
          <w:color w:val="auto"/>
        </w:rPr>
        <w:t>based</w:t>
      </w:r>
      <w:proofErr w:type="gramEnd"/>
      <w:r w:rsidR="004A1124">
        <w:rPr>
          <w:color w:val="auto"/>
        </w:rPr>
        <w:t xml:space="preserve"> on</w:t>
      </w:r>
      <w:r w:rsidRPr="00E76B61">
        <w:rPr>
          <w:color w:val="auto"/>
        </w:rPr>
        <w:t xml:space="preserve"> a statistical analysis of data from the 2012 Economic Census. Accordingly, these values are on a 2012 sales and end-of-year inventories basis. </w:t>
      </w:r>
      <w:r w:rsidR="004A1124">
        <w:rPr>
          <w:color w:val="auto"/>
        </w:rPr>
        <w:t>For the AWTS, the Census Bureau</w:t>
      </w:r>
      <w:r w:rsidRPr="00E76B61">
        <w:rPr>
          <w:color w:val="auto"/>
        </w:rPr>
        <w:t xml:space="preserve"> also use</w:t>
      </w:r>
      <w:r w:rsidR="004A1124">
        <w:rPr>
          <w:color w:val="auto"/>
        </w:rPr>
        <w:t>s</w:t>
      </w:r>
      <w:r w:rsidRPr="00E76B61">
        <w:rPr>
          <w:color w:val="auto"/>
        </w:rPr>
        <w:t xml:space="preserve"> this analysis to determine the number of size substrata for each industry stratum</w:t>
      </w:r>
      <w:r w:rsidR="005A6FC3">
        <w:rPr>
          <w:color w:val="auto"/>
        </w:rPr>
        <w:t xml:space="preserve">. Furthermore, the analysis </w:t>
      </w:r>
      <w:proofErr w:type="gramStart"/>
      <w:r w:rsidR="005A6FC3">
        <w:rPr>
          <w:color w:val="auto"/>
        </w:rPr>
        <w:t>is u</w:t>
      </w:r>
      <w:r w:rsidR="007474D7">
        <w:rPr>
          <w:color w:val="auto"/>
        </w:rPr>
        <w:t>sed</w:t>
      </w:r>
      <w:proofErr w:type="gramEnd"/>
      <w:r w:rsidR="005A6FC3">
        <w:rPr>
          <w:color w:val="auto"/>
        </w:rPr>
        <w:t xml:space="preserve"> </w:t>
      </w:r>
      <w:r w:rsidRPr="00E76B61">
        <w:rPr>
          <w:color w:val="auto"/>
        </w:rPr>
        <w:t xml:space="preserve">to set preliminary sampling rates needed to achieve specified sampling variability constraints on sales and end-of-year inventories estimates for different industry groups. The size substrata and sampling rates </w:t>
      </w:r>
      <w:proofErr w:type="gramStart"/>
      <w:r w:rsidRPr="00E76B61">
        <w:rPr>
          <w:color w:val="auto"/>
        </w:rPr>
        <w:t>are later updated</w:t>
      </w:r>
      <w:proofErr w:type="gramEnd"/>
      <w:r w:rsidRPr="00E76B61">
        <w:rPr>
          <w:color w:val="auto"/>
        </w:rPr>
        <w:t xml:space="preserve"> through analysis of the sampling frame.</w:t>
      </w:r>
    </w:p>
    <w:p w:rsidR="00265DA4" w:rsidP="00E76B61" w:rsidRDefault="00E76B61">
      <w:pPr>
        <w:pStyle w:val="NormalWeb"/>
        <w:rPr>
          <w:b/>
          <w:bCs/>
          <w:color w:val="auto"/>
        </w:rPr>
      </w:pPr>
      <w:r w:rsidRPr="00E76B61">
        <w:rPr>
          <w:b/>
          <w:bCs/>
          <w:color w:val="auto"/>
        </w:rPr>
        <w:t>Sample Selection</w:t>
      </w:r>
    </w:p>
    <w:p w:rsidRPr="00E76B61" w:rsidR="00E76B61" w:rsidP="00E76B61" w:rsidRDefault="00E76B61">
      <w:pPr>
        <w:pStyle w:val="NormalWeb"/>
        <w:rPr>
          <w:color w:val="auto"/>
        </w:rPr>
      </w:pPr>
      <w:r w:rsidRPr="00E76B61">
        <w:rPr>
          <w:color w:val="auto"/>
        </w:rPr>
        <w:t>The first step in the sample selection</w:t>
      </w:r>
      <w:r w:rsidR="00265DA4">
        <w:rPr>
          <w:color w:val="auto"/>
        </w:rPr>
        <w:t xml:space="preserve"> process</w:t>
      </w:r>
      <w:r w:rsidRPr="00E76B61">
        <w:rPr>
          <w:color w:val="auto"/>
        </w:rPr>
        <w:t xml:space="preserve"> is to identify firms </w:t>
      </w:r>
      <w:r w:rsidR="00265DA4">
        <w:rPr>
          <w:color w:val="auto"/>
        </w:rPr>
        <w:t xml:space="preserve">that </w:t>
      </w:r>
      <w:proofErr w:type="gramStart"/>
      <w:r w:rsidR="00265DA4">
        <w:rPr>
          <w:color w:val="auto"/>
        </w:rPr>
        <w:t xml:space="preserve">will be </w:t>
      </w:r>
      <w:r w:rsidRPr="00E76B61">
        <w:rPr>
          <w:color w:val="auto"/>
        </w:rPr>
        <w:t>selected</w:t>
      </w:r>
      <w:proofErr w:type="gramEnd"/>
      <w:r w:rsidRPr="00E76B61">
        <w:rPr>
          <w:color w:val="auto"/>
        </w:rPr>
        <w:t xml:space="preserve"> with certainty. If a firm’s annual sales or end-of-year inventories are greater than the corresponding certainty cutoff, </w:t>
      </w:r>
      <w:r w:rsidR="00265DA4">
        <w:rPr>
          <w:color w:val="auto"/>
        </w:rPr>
        <w:t>the agency</w:t>
      </w:r>
      <w:r w:rsidR="001B7365">
        <w:rPr>
          <w:color w:val="auto"/>
        </w:rPr>
        <w:t xml:space="preserve"> includes</w:t>
      </w:r>
      <w:r w:rsidRPr="00E76B61">
        <w:rPr>
          <w:color w:val="auto"/>
        </w:rPr>
        <w:t xml:space="preserve"> that firm </w:t>
      </w:r>
      <w:r w:rsidR="001B7365">
        <w:rPr>
          <w:color w:val="auto"/>
        </w:rPr>
        <w:t>in</w:t>
      </w:r>
      <w:r w:rsidRPr="00E76B61">
        <w:rPr>
          <w:color w:val="auto"/>
        </w:rPr>
        <w:t xml:space="preserve"> the AWTS sample with certainty.</w:t>
      </w:r>
    </w:p>
    <w:p w:rsidR="005F5B51" w:rsidP="00E76B61" w:rsidRDefault="00E76B61">
      <w:pPr>
        <w:pStyle w:val="NormalWeb"/>
        <w:rPr>
          <w:color w:val="auto"/>
        </w:rPr>
      </w:pPr>
      <w:r w:rsidRPr="00E76B61">
        <w:rPr>
          <w:color w:val="auto"/>
        </w:rPr>
        <w:t xml:space="preserve">All firms not selected with certainty </w:t>
      </w:r>
      <w:proofErr w:type="gramStart"/>
      <w:r w:rsidR="001B7365">
        <w:rPr>
          <w:color w:val="auto"/>
        </w:rPr>
        <w:t xml:space="preserve">are </w:t>
      </w:r>
      <w:r w:rsidRPr="00E76B61">
        <w:rPr>
          <w:color w:val="auto"/>
        </w:rPr>
        <w:t>subject</w:t>
      </w:r>
      <w:r w:rsidR="001B7365">
        <w:rPr>
          <w:color w:val="auto"/>
        </w:rPr>
        <w:t>ed</w:t>
      </w:r>
      <w:proofErr w:type="gramEnd"/>
      <w:r w:rsidRPr="00E76B61">
        <w:rPr>
          <w:color w:val="auto"/>
        </w:rPr>
        <w:t xml:space="preserve"> to sampling. To be eligible for the initial sampling, a firm had to have nonzero payroll in 2014</w:t>
      </w:r>
      <w:r w:rsidR="00366F91">
        <w:rPr>
          <w:color w:val="auto"/>
        </w:rPr>
        <w:t xml:space="preserve"> (based on the BR as of October 2015)</w:t>
      </w:r>
      <w:r w:rsidRPr="00E76B61">
        <w:rPr>
          <w:color w:val="auto"/>
        </w:rPr>
        <w:t xml:space="preserve">. </w:t>
      </w:r>
      <w:r w:rsidR="00366F91">
        <w:rPr>
          <w:color w:val="auto"/>
        </w:rPr>
        <w:t>The Census Bureau</w:t>
      </w:r>
      <w:r w:rsidRPr="00E76B61">
        <w:rPr>
          <w:color w:val="auto"/>
        </w:rPr>
        <w:t xml:space="preserve"> stratif</w:t>
      </w:r>
      <w:r w:rsidR="00366F91">
        <w:rPr>
          <w:color w:val="auto"/>
        </w:rPr>
        <w:t>ies</w:t>
      </w:r>
      <w:r w:rsidRPr="00E76B61">
        <w:rPr>
          <w:color w:val="auto"/>
        </w:rPr>
        <w:t xml:space="preserve"> the firms according to their major industry and their estimated sales (on a 2012 basis). Within each </w:t>
      </w:r>
      <w:proofErr w:type="spellStart"/>
      <w:r w:rsidRPr="00E76B61">
        <w:rPr>
          <w:color w:val="auto"/>
        </w:rPr>
        <w:t>noncertainty</w:t>
      </w:r>
      <w:proofErr w:type="spellEnd"/>
      <w:r w:rsidRPr="00E76B61">
        <w:rPr>
          <w:color w:val="auto"/>
        </w:rPr>
        <w:t xml:space="preserve"> stratum, </w:t>
      </w:r>
      <w:r w:rsidR="00366F91">
        <w:rPr>
          <w:color w:val="auto"/>
        </w:rPr>
        <w:t>the agency</w:t>
      </w:r>
      <w:r w:rsidRPr="00E76B61">
        <w:rPr>
          <w:color w:val="auto"/>
        </w:rPr>
        <w:t xml:space="preserve"> select</w:t>
      </w:r>
      <w:r w:rsidR="00366F91">
        <w:rPr>
          <w:color w:val="auto"/>
        </w:rPr>
        <w:t>s</w:t>
      </w:r>
      <w:r w:rsidRPr="00E76B61">
        <w:rPr>
          <w:color w:val="auto"/>
        </w:rPr>
        <w:t xml:space="preserve"> a simple random sample of firms without replacement. </w:t>
      </w:r>
      <w:r w:rsidR="00366F91">
        <w:rPr>
          <w:color w:val="auto"/>
        </w:rPr>
        <w:t>T</w:t>
      </w:r>
      <w:r w:rsidRPr="00E76B61">
        <w:rPr>
          <w:color w:val="auto"/>
        </w:rPr>
        <w:t>his process</w:t>
      </w:r>
      <w:r w:rsidR="00366F91">
        <w:rPr>
          <w:color w:val="auto"/>
        </w:rPr>
        <w:t xml:space="preserve"> </w:t>
      </w:r>
      <w:proofErr w:type="gramStart"/>
      <w:r w:rsidR="00366F91">
        <w:rPr>
          <w:color w:val="auto"/>
        </w:rPr>
        <w:t>is conducted</w:t>
      </w:r>
      <w:proofErr w:type="gramEnd"/>
      <w:r w:rsidRPr="00E76B61">
        <w:rPr>
          <w:color w:val="auto"/>
        </w:rPr>
        <w:t xml:space="preserve"> separately for each wholesale TOC.</w:t>
      </w:r>
      <w:r w:rsidR="0082131F">
        <w:rPr>
          <w:color w:val="auto"/>
        </w:rPr>
        <w:t xml:space="preserve"> </w:t>
      </w:r>
      <w:proofErr w:type="spellStart"/>
      <w:r w:rsidR="008E4BA9">
        <w:rPr>
          <w:color w:val="auto"/>
        </w:rPr>
        <w:t>Noncertainty</w:t>
      </w:r>
      <w:proofErr w:type="spellEnd"/>
      <w:r w:rsidR="008E4BA9">
        <w:rPr>
          <w:color w:val="auto"/>
        </w:rPr>
        <w:t xml:space="preserve"> firms from the previous sample </w:t>
      </w:r>
      <w:proofErr w:type="gramStart"/>
      <w:r w:rsidR="008E4BA9">
        <w:rPr>
          <w:color w:val="auto"/>
        </w:rPr>
        <w:t>are placed</w:t>
      </w:r>
      <w:proofErr w:type="gramEnd"/>
      <w:r w:rsidR="008E4BA9">
        <w:rPr>
          <w:color w:val="auto"/>
        </w:rPr>
        <w:t xml:space="preserve"> in a </w:t>
      </w:r>
      <w:proofErr w:type="spellStart"/>
      <w:r w:rsidR="008E4BA9">
        <w:rPr>
          <w:color w:val="auto"/>
        </w:rPr>
        <w:t>nonselection</w:t>
      </w:r>
      <w:proofErr w:type="spellEnd"/>
      <w:r w:rsidR="008E4BA9">
        <w:rPr>
          <w:color w:val="auto"/>
        </w:rPr>
        <w:t xml:space="preserve"> category for the new sample if their exclusion would not bias the sample. This </w:t>
      </w:r>
      <w:proofErr w:type="gramStart"/>
      <w:r w:rsidR="008E4BA9">
        <w:rPr>
          <w:color w:val="auto"/>
        </w:rPr>
        <w:t>is done</w:t>
      </w:r>
      <w:proofErr w:type="gramEnd"/>
      <w:r w:rsidR="008E4BA9">
        <w:rPr>
          <w:color w:val="auto"/>
        </w:rPr>
        <w:t xml:space="preserve"> to re</w:t>
      </w:r>
      <w:r w:rsidR="004E717A">
        <w:rPr>
          <w:color w:val="auto"/>
        </w:rPr>
        <w:t>duce burden on these companies. Overall, t</w:t>
      </w:r>
      <w:r w:rsidRPr="00387584" w:rsidR="004E717A">
        <w:rPr>
          <w:color w:val="auto"/>
        </w:rPr>
        <w:t xml:space="preserve">he effective sampling rate for the small- and </w:t>
      </w:r>
      <w:r w:rsidRPr="00EC4745" w:rsidR="004E717A">
        <w:rPr>
          <w:color w:val="auto"/>
        </w:rPr>
        <w:t>medium-sized firms is approximately 2% of the universe.</w:t>
      </w:r>
    </w:p>
    <w:p w:rsidRPr="00E76B61" w:rsidR="001B7365" w:rsidP="00E76B61" w:rsidRDefault="001B7365">
      <w:pPr>
        <w:pStyle w:val="NormalWeb"/>
        <w:rPr>
          <w:color w:val="auto"/>
        </w:rPr>
      </w:pPr>
      <w:r>
        <w:rPr>
          <w:color w:val="auto"/>
        </w:rPr>
        <w:t xml:space="preserve">For the AWTS, a new sample </w:t>
      </w:r>
      <w:proofErr w:type="gramStart"/>
      <w:r>
        <w:rPr>
          <w:color w:val="auto"/>
        </w:rPr>
        <w:t>is selected</w:t>
      </w:r>
      <w:proofErr w:type="gramEnd"/>
      <w:r>
        <w:rPr>
          <w:color w:val="auto"/>
        </w:rPr>
        <w:t xml:space="preserve"> ap</w:t>
      </w:r>
      <w:r w:rsidR="00366F91">
        <w:rPr>
          <w:color w:val="auto"/>
        </w:rPr>
        <w:t>proximat</w:t>
      </w:r>
      <w:r w:rsidR="003D3AF5">
        <w:rPr>
          <w:color w:val="auto"/>
        </w:rPr>
        <w:t>ely every five to seven</w:t>
      </w:r>
      <w:r w:rsidR="00041377">
        <w:rPr>
          <w:color w:val="auto"/>
        </w:rPr>
        <w:t xml:space="preserve"> years. The AWTS introduced a new sample for survey year 2016. The survey will continue to use this sample throughout this </w:t>
      </w:r>
      <w:r w:rsidR="00CF6D61">
        <w:rPr>
          <w:color w:val="auto"/>
        </w:rPr>
        <w:t>three</w:t>
      </w:r>
      <w:r w:rsidR="00041377">
        <w:rPr>
          <w:color w:val="auto"/>
        </w:rPr>
        <w:t xml:space="preserve">-year clearance period. </w:t>
      </w:r>
      <w:r w:rsidRPr="00E757A3" w:rsidR="00E757A3">
        <w:rPr>
          <w:color w:val="auto"/>
        </w:rPr>
        <w:t xml:space="preserve">Sample sizes </w:t>
      </w:r>
      <w:proofErr w:type="gramStart"/>
      <w:r w:rsidRPr="00E757A3" w:rsidR="00E757A3">
        <w:rPr>
          <w:color w:val="auto"/>
        </w:rPr>
        <w:t>are computed</w:t>
      </w:r>
      <w:proofErr w:type="gramEnd"/>
      <w:r w:rsidRPr="00E757A3" w:rsidR="00E757A3">
        <w:rPr>
          <w:color w:val="auto"/>
        </w:rPr>
        <w:t xml:space="preserve"> to meet multiple coefficient of variation constraints on estimated annual sales totals an</w:t>
      </w:r>
      <w:r w:rsidR="0075324C">
        <w:rPr>
          <w:color w:val="auto"/>
        </w:rPr>
        <w:t xml:space="preserve">d end-of-year inventory totals. </w:t>
      </w:r>
      <w:r w:rsidRPr="00E757A3" w:rsidR="00E757A3">
        <w:rPr>
          <w:color w:val="auto"/>
        </w:rPr>
        <w:t xml:space="preserve">Constraints </w:t>
      </w:r>
      <w:proofErr w:type="gramStart"/>
      <w:r w:rsidRPr="00E757A3" w:rsidR="00E757A3">
        <w:rPr>
          <w:color w:val="auto"/>
        </w:rPr>
        <w:t>are specified</w:t>
      </w:r>
      <w:proofErr w:type="gramEnd"/>
      <w:r w:rsidRPr="00E757A3" w:rsidR="00E757A3">
        <w:rPr>
          <w:color w:val="auto"/>
        </w:rPr>
        <w:t xml:space="preserve"> at detailed industry levels and at broad industry levels (e.g., durable goods, nondurable goods) up to the total wholesale level.</w:t>
      </w:r>
      <w:r w:rsidR="00E757A3">
        <w:rPr>
          <w:color w:val="auto"/>
        </w:rPr>
        <w:t xml:space="preserve"> </w:t>
      </w:r>
      <w:r w:rsidR="0063497C">
        <w:rPr>
          <w:color w:val="auto"/>
        </w:rPr>
        <w:t>The initial sample consi</w:t>
      </w:r>
      <w:r w:rsidR="00041377">
        <w:rPr>
          <w:color w:val="auto"/>
        </w:rPr>
        <w:t>sted of roughly 8,400 firms</w:t>
      </w:r>
      <w:r w:rsidR="00297D23">
        <w:rPr>
          <w:color w:val="auto"/>
        </w:rPr>
        <w:t xml:space="preserve"> (</w:t>
      </w:r>
      <w:r w:rsidRPr="00297D23" w:rsidR="00297D23">
        <w:rPr>
          <w:color w:val="auto"/>
        </w:rPr>
        <w:t xml:space="preserve">6,700 merchant wholesalers, excluding </w:t>
      </w:r>
      <w:r w:rsidR="00297D23">
        <w:rPr>
          <w:color w:val="auto"/>
        </w:rPr>
        <w:t xml:space="preserve">manufacturers’ sales branches and offices; </w:t>
      </w:r>
      <w:r w:rsidRPr="00297D23" w:rsidR="00297D23">
        <w:rPr>
          <w:color w:val="auto"/>
        </w:rPr>
        <w:t xml:space="preserve">1,000 manufacturers’ sales branches and offices; and 700 agents, brokers, </w:t>
      </w:r>
      <w:r w:rsidR="00297D23">
        <w:rPr>
          <w:color w:val="auto"/>
        </w:rPr>
        <w:t xml:space="preserve">and business </w:t>
      </w:r>
      <w:r w:rsidR="00297D23">
        <w:rPr>
          <w:color w:val="auto"/>
        </w:rPr>
        <w:lastRenderedPageBreak/>
        <w:t>electronic markets)</w:t>
      </w:r>
      <w:r w:rsidR="00041377">
        <w:rPr>
          <w:color w:val="auto"/>
        </w:rPr>
        <w:t>. This count change</w:t>
      </w:r>
      <w:r w:rsidR="00332672">
        <w:rPr>
          <w:color w:val="auto"/>
        </w:rPr>
        <w:t>s over the course of a</w:t>
      </w:r>
      <w:r w:rsidR="00041377">
        <w:rPr>
          <w:color w:val="auto"/>
        </w:rPr>
        <w:t xml:space="preserve"> sample due to sample maintenance activities, which </w:t>
      </w:r>
      <w:proofErr w:type="gramStart"/>
      <w:r w:rsidR="00041377">
        <w:rPr>
          <w:color w:val="auto"/>
        </w:rPr>
        <w:t>are discussed</w:t>
      </w:r>
      <w:proofErr w:type="gramEnd"/>
      <w:r w:rsidR="00041377">
        <w:rPr>
          <w:color w:val="auto"/>
        </w:rPr>
        <w:t xml:space="preserve"> in the Sample Maintenance section below.  </w:t>
      </w:r>
    </w:p>
    <w:p w:rsidR="0082131F" w:rsidP="00E76B61" w:rsidRDefault="0082131F">
      <w:pPr>
        <w:pStyle w:val="NormalWeb"/>
        <w:rPr>
          <w:b/>
          <w:bCs/>
          <w:color w:val="auto"/>
        </w:rPr>
      </w:pPr>
      <w:r>
        <w:rPr>
          <w:b/>
          <w:bCs/>
          <w:color w:val="auto"/>
        </w:rPr>
        <w:t>Sample Maintenance</w:t>
      </w:r>
    </w:p>
    <w:p w:rsidR="005F5B51" w:rsidP="005F5B51" w:rsidRDefault="0016300D">
      <w:pPr>
        <w:pStyle w:val="NormalWeb"/>
        <w:rPr>
          <w:color w:val="auto"/>
          <w:lang w:val="en"/>
        </w:rPr>
      </w:pPr>
      <w:r>
        <w:rPr>
          <w:color w:val="auto"/>
        </w:rPr>
        <w:t>T</w:t>
      </w:r>
      <w:r w:rsidRPr="00E76B61" w:rsidR="00E76B61">
        <w:rPr>
          <w:color w:val="auto"/>
        </w:rPr>
        <w:t>he sample</w:t>
      </w:r>
      <w:r w:rsidR="0082131F">
        <w:rPr>
          <w:color w:val="auto"/>
        </w:rPr>
        <w:t xml:space="preserve"> </w:t>
      </w:r>
      <w:proofErr w:type="gramStart"/>
      <w:r w:rsidR="0082131F">
        <w:rPr>
          <w:color w:val="auto"/>
        </w:rPr>
        <w:t>is updated</w:t>
      </w:r>
      <w:proofErr w:type="gramEnd"/>
      <w:r w:rsidRPr="00E76B61" w:rsidR="00E76B61">
        <w:rPr>
          <w:color w:val="auto"/>
        </w:rPr>
        <w:t xml:space="preserve"> </w:t>
      </w:r>
      <w:r w:rsidR="00EE2DE1">
        <w:rPr>
          <w:color w:val="auto"/>
        </w:rPr>
        <w:t xml:space="preserve">on a quarterly basis </w:t>
      </w:r>
      <w:r w:rsidRPr="00E76B61" w:rsidR="00E76B61">
        <w:rPr>
          <w:color w:val="auto"/>
        </w:rPr>
        <w:t>to represent EINs issued since the initial sample selection. These new EINs, called births, are</w:t>
      </w:r>
      <w:r>
        <w:rPr>
          <w:color w:val="auto"/>
        </w:rPr>
        <w:t xml:space="preserve"> EINs</w:t>
      </w:r>
      <w:r w:rsidRPr="00E76B61" w:rsidR="00E76B61">
        <w:rPr>
          <w:color w:val="auto"/>
        </w:rPr>
        <w:t xml:space="preserve"> recently assigned by the Internal Revenue Service (IRS) </w:t>
      </w:r>
      <w:r>
        <w:rPr>
          <w:color w:val="auto"/>
        </w:rPr>
        <w:t xml:space="preserve">that </w:t>
      </w:r>
      <w:r w:rsidRPr="00E76B61" w:rsidR="00E76B61">
        <w:rPr>
          <w:color w:val="auto"/>
        </w:rPr>
        <w:t>have an active payroll filing requirement on the IRS Business Master File (BMF). An active payroll filing requirement indicates that the EIN is required to file payroll for the next quarterly period. The Social Security Administration</w:t>
      </w:r>
      <w:r w:rsidR="00EE2DE1">
        <w:rPr>
          <w:color w:val="auto"/>
        </w:rPr>
        <w:t xml:space="preserve"> (SSA)</w:t>
      </w:r>
      <w:r w:rsidRPr="00E76B61" w:rsidR="00E76B61">
        <w:rPr>
          <w:color w:val="auto"/>
        </w:rPr>
        <w:t xml:space="preserve"> attempts to assign </w:t>
      </w:r>
      <w:r w:rsidR="00EE2DE1">
        <w:rPr>
          <w:color w:val="auto"/>
        </w:rPr>
        <w:t xml:space="preserve">an </w:t>
      </w:r>
      <w:r w:rsidRPr="00E76B61" w:rsidR="00E76B61">
        <w:rPr>
          <w:color w:val="auto"/>
        </w:rPr>
        <w:t>industry classification to each new EIN.</w:t>
      </w:r>
      <w:r>
        <w:rPr>
          <w:color w:val="auto"/>
        </w:rPr>
        <w:t xml:space="preserve"> EINs with an active payroll filing requirement on the IRS BMF </w:t>
      </w:r>
      <w:proofErr w:type="gramStart"/>
      <w:r>
        <w:rPr>
          <w:color w:val="auto"/>
        </w:rPr>
        <w:t>are said</w:t>
      </w:r>
      <w:proofErr w:type="gramEnd"/>
      <w:r>
        <w:rPr>
          <w:color w:val="auto"/>
        </w:rPr>
        <w:t xml:space="preserve"> to be “BMF active,” and EINs with an inactive payroll filing requirement are said to be “BMF inactive.”</w:t>
      </w:r>
      <w:r w:rsidR="005F5B51">
        <w:rPr>
          <w:rFonts w:ascii="Roboto" w:hAnsi="Roboto" w:cs="Helvetica"/>
          <w:lang w:val="en"/>
        </w:rPr>
        <w:t xml:space="preserve"> </w:t>
      </w:r>
      <w:r w:rsidR="00510E08">
        <w:rPr>
          <w:color w:val="auto"/>
          <w:lang w:val="en"/>
        </w:rPr>
        <w:t>Th</w:t>
      </w:r>
      <w:r w:rsidR="005F5B51">
        <w:rPr>
          <w:color w:val="auto"/>
          <w:lang w:val="en"/>
        </w:rPr>
        <w:t>e Census Bureau sam</w:t>
      </w:r>
      <w:r w:rsidRPr="005F5B51" w:rsidR="005F5B51">
        <w:rPr>
          <w:color w:val="auto"/>
          <w:lang w:val="en"/>
        </w:rPr>
        <w:t>ple</w:t>
      </w:r>
      <w:r w:rsidR="005F5B51">
        <w:rPr>
          <w:color w:val="auto"/>
          <w:lang w:val="en"/>
        </w:rPr>
        <w:t>s</w:t>
      </w:r>
      <w:r w:rsidRPr="005F5B51" w:rsidR="005F5B51">
        <w:rPr>
          <w:color w:val="auto"/>
          <w:lang w:val="en"/>
        </w:rPr>
        <w:t xml:space="preserve"> EIN births on a quarterly basis using a</w:t>
      </w:r>
      <w:r w:rsidR="005F5B51">
        <w:rPr>
          <w:color w:val="auto"/>
          <w:lang w:val="en"/>
        </w:rPr>
        <w:t xml:space="preserve"> two-phase selection procedure. </w:t>
      </w:r>
      <w:r w:rsidRPr="005F5B51" w:rsidR="005F5B51">
        <w:rPr>
          <w:color w:val="auto"/>
          <w:lang w:val="en"/>
        </w:rPr>
        <w:t>To be eligible for selection, a birth must either have no industry classification or be classified in an industry within the scope of the Service Annual Survey (SAS), the Annual Retail Trade Survey (ARTS),</w:t>
      </w:r>
      <w:r w:rsidR="00AD5235">
        <w:rPr>
          <w:color w:val="auto"/>
          <w:lang w:val="en"/>
        </w:rPr>
        <w:t xml:space="preserve"> or the AWTS. Additionally, </w:t>
      </w:r>
      <w:r w:rsidRPr="005F5B51" w:rsidR="005F5B51">
        <w:rPr>
          <w:color w:val="auto"/>
          <w:lang w:val="en"/>
        </w:rPr>
        <w:t xml:space="preserve">it must meet certain criteria regarding its quarterly </w:t>
      </w:r>
      <w:r w:rsidR="00AD5235">
        <w:rPr>
          <w:color w:val="auto"/>
          <w:lang w:val="en"/>
        </w:rPr>
        <w:t xml:space="preserve">payroll. In the first phase, the agency stratifies </w:t>
      </w:r>
      <w:r w:rsidRPr="005F5B51" w:rsidR="005F5B51">
        <w:rPr>
          <w:color w:val="auto"/>
          <w:lang w:val="en"/>
        </w:rPr>
        <w:t>births by broad industry groups and a measure of size based on quarterly payroll. A relatively large sample is drawn and canvassed to obtain a more reliable measure of size</w:t>
      </w:r>
      <w:r w:rsidR="008F5FE8">
        <w:rPr>
          <w:color w:val="auto"/>
          <w:lang w:val="en"/>
        </w:rPr>
        <w:t xml:space="preserve"> (</w:t>
      </w:r>
      <w:r w:rsidRPr="005F5B51" w:rsidR="005F5B51">
        <w:rPr>
          <w:color w:val="auto"/>
          <w:lang w:val="en"/>
        </w:rPr>
        <w:t>consisting of revenue in two recent months</w:t>
      </w:r>
      <w:r w:rsidR="008F5FE8">
        <w:rPr>
          <w:color w:val="auto"/>
          <w:lang w:val="en"/>
        </w:rPr>
        <w:t>)</w:t>
      </w:r>
      <w:r w:rsidRPr="005F5B51" w:rsidR="005F5B51">
        <w:rPr>
          <w:color w:val="auto"/>
          <w:lang w:val="en"/>
        </w:rPr>
        <w:t xml:space="preserve"> and a new or more detailed</w:t>
      </w:r>
      <w:r w:rsidR="00AD5235">
        <w:rPr>
          <w:color w:val="auto"/>
          <w:lang w:val="en"/>
        </w:rPr>
        <w:t xml:space="preserve"> industry classification code. B</w:t>
      </w:r>
      <w:r w:rsidRPr="005F5B51" w:rsidR="005F5B51">
        <w:rPr>
          <w:color w:val="auto"/>
          <w:lang w:val="en"/>
        </w:rPr>
        <w:t>irths</w:t>
      </w:r>
      <w:r w:rsidR="00AD5235">
        <w:rPr>
          <w:color w:val="auto"/>
          <w:lang w:val="en"/>
        </w:rPr>
        <w:t xml:space="preserve"> </w:t>
      </w:r>
      <w:proofErr w:type="gramStart"/>
      <w:r w:rsidR="00AD5235">
        <w:rPr>
          <w:color w:val="auto"/>
          <w:lang w:val="en"/>
        </w:rPr>
        <w:t>are contacted</w:t>
      </w:r>
      <w:proofErr w:type="gramEnd"/>
      <w:r w:rsidRPr="005F5B51" w:rsidR="005F5B51">
        <w:rPr>
          <w:color w:val="auto"/>
          <w:lang w:val="en"/>
        </w:rPr>
        <w:t xml:space="preserve"> by telephone if they have</w:t>
      </w:r>
      <w:r w:rsidR="008F5FE8">
        <w:rPr>
          <w:color w:val="auto"/>
          <w:lang w:val="en"/>
        </w:rPr>
        <w:t xml:space="preserve"> not returned their electronic questionnaire</w:t>
      </w:r>
      <w:r w:rsidRPr="005F5B51" w:rsidR="005F5B51">
        <w:rPr>
          <w:color w:val="auto"/>
          <w:lang w:val="en"/>
        </w:rPr>
        <w:t xml:space="preserve"> within 30 days.</w:t>
      </w:r>
      <w:r w:rsidR="00AD5235">
        <w:rPr>
          <w:color w:val="auto"/>
          <w:lang w:val="en"/>
        </w:rPr>
        <w:t xml:space="preserve"> </w:t>
      </w:r>
      <w:r w:rsidRPr="005F5B51" w:rsidR="005F5B51">
        <w:rPr>
          <w:color w:val="auto"/>
          <w:lang w:val="en"/>
        </w:rPr>
        <w:t>Using this more reliable information, in the second phase</w:t>
      </w:r>
      <w:r w:rsidR="00AD5235">
        <w:rPr>
          <w:color w:val="auto"/>
          <w:lang w:val="en"/>
        </w:rPr>
        <w:t>, the Census Bureau</w:t>
      </w:r>
      <w:r w:rsidRPr="005F5B51" w:rsidR="005F5B51">
        <w:rPr>
          <w:color w:val="auto"/>
          <w:lang w:val="en"/>
        </w:rPr>
        <w:t xml:space="preserve"> subject</w:t>
      </w:r>
      <w:r w:rsidR="00AD5235">
        <w:rPr>
          <w:color w:val="auto"/>
          <w:lang w:val="en"/>
        </w:rPr>
        <w:t>s</w:t>
      </w:r>
      <w:r w:rsidRPr="005F5B51" w:rsidR="005F5B51">
        <w:rPr>
          <w:color w:val="auto"/>
          <w:lang w:val="en"/>
        </w:rPr>
        <w:t xml:space="preserve"> the selected births from the first phase to probability proportional-to-size sampling with overall probabilities equivalent to those used in drawing the initial AWTS sample from the </w:t>
      </w:r>
      <w:r w:rsidR="00F24357">
        <w:rPr>
          <w:color w:val="auto"/>
          <w:lang w:val="en"/>
        </w:rPr>
        <w:t>October</w:t>
      </w:r>
      <w:r w:rsidRPr="005F5B51" w:rsidR="005F5B51">
        <w:rPr>
          <w:color w:val="auto"/>
          <w:lang w:val="en"/>
        </w:rPr>
        <w:t xml:space="preserve"> 2015 </w:t>
      </w:r>
      <w:r w:rsidR="00AD5235">
        <w:rPr>
          <w:color w:val="auto"/>
          <w:lang w:val="en"/>
        </w:rPr>
        <w:t>BR</w:t>
      </w:r>
      <w:r w:rsidRPr="005F5B51" w:rsidR="005F5B51">
        <w:rPr>
          <w:color w:val="auto"/>
          <w:lang w:val="en"/>
        </w:rPr>
        <w:t xml:space="preserve">. Because of the </w:t>
      </w:r>
      <w:proofErr w:type="gramStart"/>
      <w:r w:rsidRPr="005F5B51" w:rsidR="005F5B51">
        <w:rPr>
          <w:color w:val="auto"/>
          <w:lang w:val="en"/>
        </w:rPr>
        <w:t>time</w:t>
      </w:r>
      <w:proofErr w:type="gramEnd"/>
      <w:r w:rsidRPr="005F5B51" w:rsidR="005F5B51">
        <w:rPr>
          <w:color w:val="auto"/>
          <w:lang w:val="en"/>
        </w:rPr>
        <w:t xml:space="preserve"> it takes for a new employer firm to acquire an EIN from the IRS and the time needed to accomplish the two-phase </w:t>
      </w:r>
      <w:r w:rsidR="00AD5235">
        <w:rPr>
          <w:color w:val="auto"/>
          <w:lang w:val="en"/>
        </w:rPr>
        <w:t>birth-selection procedure, the Census Bureau</w:t>
      </w:r>
      <w:r w:rsidRPr="005F5B51" w:rsidR="005F5B51">
        <w:rPr>
          <w:color w:val="auto"/>
          <w:lang w:val="en"/>
        </w:rPr>
        <w:t xml:space="preserve"> add</w:t>
      </w:r>
      <w:r w:rsidR="00AD5235">
        <w:rPr>
          <w:color w:val="auto"/>
          <w:lang w:val="en"/>
        </w:rPr>
        <w:t>s</w:t>
      </w:r>
      <w:r w:rsidRPr="005F5B51" w:rsidR="005F5B51">
        <w:rPr>
          <w:color w:val="auto"/>
          <w:lang w:val="en"/>
        </w:rPr>
        <w:t xml:space="preserve"> births to the sample approximately nine months after they begin operation.</w:t>
      </w:r>
    </w:p>
    <w:p w:rsidR="00AE10A8" w:rsidP="005F5B51" w:rsidRDefault="00AE10A8">
      <w:pPr>
        <w:pStyle w:val="NormalWeb"/>
        <w:rPr>
          <w:color w:val="auto"/>
          <w:lang w:val="en"/>
        </w:rPr>
      </w:pPr>
      <w:r w:rsidRPr="00AE10A8">
        <w:rPr>
          <w:color w:val="auto"/>
          <w:lang w:val="en"/>
        </w:rPr>
        <w:t xml:space="preserve">Similarly, each quarter </w:t>
      </w:r>
      <w:r>
        <w:rPr>
          <w:color w:val="auto"/>
          <w:lang w:val="en"/>
        </w:rPr>
        <w:t xml:space="preserve">the agency </w:t>
      </w:r>
      <w:r w:rsidRPr="00AE10A8">
        <w:rPr>
          <w:color w:val="auto"/>
          <w:lang w:val="en"/>
        </w:rPr>
        <w:t>check</w:t>
      </w:r>
      <w:r>
        <w:rPr>
          <w:color w:val="auto"/>
          <w:lang w:val="en"/>
        </w:rPr>
        <w:t xml:space="preserve">s </w:t>
      </w:r>
      <w:r w:rsidRPr="00AE10A8">
        <w:rPr>
          <w:color w:val="auto"/>
          <w:lang w:val="en"/>
        </w:rPr>
        <w:t xml:space="preserve">the </w:t>
      </w:r>
      <w:r>
        <w:rPr>
          <w:color w:val="auto"/>
          <w:lang w:val="en"/>
        </w:rPr>
        <w:t>BR</w:t>
      </w:r>
      <w:r w:rsidRPr="00AE10A8">
        <w:rPr>
          <w:color w:val="auto"/>
          <w:lang w:val="en"/>
        </w:rPr>
        <w:t xml:space="preserve"> to determine if any EINs on the survey have become BMF inactive. Typically, </w:t>
      </w:r>
      <w:r w:rsidR="006C4429">
        <w:rPr>
          <w:color w:val="auto"/>
          <w:lang w:val="en"/>
        </w:rPr>
        <w:t xml:space="preserve">the Census Bureau </w:t>
      </w:r>
      <w:r w:rsidRPr="00AE10A8">
        <w:rPr>
          <w:color w:val="auto"/>
          <w:lang w:val="en"/>
        </w:rPr>
        <w:t>do</w:t>
      </w:r>
      <w:r w:rsidR="006C4429">
        <w:rPr>
          <w:color w:val="auto"/>
          <w:lang w:val="en"/>
        </w:rPr>
        <w:t>es</w:t>
      </w:r>
      <w:r w:rsidRPr="00AE10A8">
        <w:rPr>
          <w:color w:val="auto"/>
          <w:lang w:val="en"/>
        </w:rPr>
        <w:t xml:space="preserve"> not canvass BMF inactive EINs during the reference year. Likewise, if any EIN on the survey was BMF inactive in a previous reference year or was part of an inactive sampling unit in the survey and is now </w:t>
      </w:r>
      <w:r w:rsidR="006C4429">
        <w:rPr>
          <w:color w:val="auto"/>
          <w:lang w:val="en"/>
        </w:rPr>
        <w:t xml:space="preserve">currently </w:t>
      </w:r>
      <w:r w:rsidRPr="00AE10A8">
        <w:rPr>
          <w:color w:val="auto"/>
          <w:lang w:val="en"/>
        </w:rPr>
        <w:t xml:space="preserve">BMF active on the </w:t>
      </w:r>
      <w:r w:rsidR="006C4429">
        <w:rPr>
          <w:color w:val="auto"/>
          <w:lang w:val="en"/>
        </w:rPr>
        <w:t>BR</w:t>
      </w:r>
      <w:r w:rsidRPr="00AE10A8">
        <w:rPr>
          <w:color w:val="auto"/>
          <w:lang w:val="en"/>
        </w:rPr>
        <w:t xml:space="preserve">, </w:t>
      </w:r>
      <w:r w:rsidR="00F24357">
        <w:rPr>
          <w:color w:val="auto"/>
          <w:lang w:val="en"/>
        </w:rPr>
        <w:t>it is</w:t>
      </w:r>
      <w:r w:rsidR="006C4429">
        <w:rPr>
          <w:color w:val="auto"/>
          <w:lang w:val="en"/>
        </w:rPr>
        <w:t xml:space="preserve"> included</w:t>
      </w:r>
      <w:r w:rsidRPr="00AE10A8">
        <w:rPr>
          <w:color w:val="auto"/>
          <w:lang w:val="en"/>
        </w:rPr>
        <w:t xml:space="preserve"> in the canvass</w:t>
      </w:r>
      <w:r w:rsidR="006C4429">
        <w:rPr>
          <w:color w:val="auto"/>
          <w:lang w:val="en"/>
        </w:rPr>
        <w:t xml:space="preserve"> again</w:t>
      </w:r>
      <w:r w:rsidRPr="00AE10A8">
        <w:rPr>
          <w:color w:val="auto"/>
          <w:lang w:val="en"/>
        </w:rPr>
        <w:t xml:space="preserve">. In both cases, </w:t>
      </w:r>
      <w:r w:rsidR="00AC14AA">
        <w:rPr>
          <w:color w:val="auto"/>
          <w:lang w:val="en"/>
        </w:rPr>
        <w:t xml:space="preserve">the AWTS </w:t>
      </w:r>
      <w:r w:rsidRPr="00AE10A8">
        <w:rPr>
          <w:color w:val="auto"/>
          <w:lang w:val="en"/>
        </w:rPr>
        <w:t>only tabulate</w:t>
      </w:r>
      <w:r w:rsidR="00AC14AA">
        <w:rPr>
          <w:color w:val="auto"/>
          <w:lang w:val="en"/>
        </w:rPr>
        <w:t>s</w:t>
      </w:r>
      <w:r w:rsidR="00F24357">
        <w:rPr>
          <w:color w:val="auto"/>
          <w:lang w:val="en"/>
        </w:rPr>
        <w:t xml:space="preserve"> data for the</w:t>
      </w:r>
      <w:r w:rsidRPr="00AE10A8">
        <w:rPr>
          <w:color w:val="auto"/>
          <w:lang w:val="en"/>
        </w:rPr>
        <w:t xml:space="preserve"> portion of the reference year that these EINs reported payroll to the IRS.</w:t>
      </w:r>
    </w:p>
    <w:p w:rsidRPr="005F5B51" w:rsidR="00AD5235" w:rsidP="005F5B51" w:rsidRDefault="00AC14AA">
      <w:pPr>
        <w:pStyle w:val="NormalWeb"/>
        <w:rPr>
          <w:color w:val="auto"/>
          <w:lang w:val="en"/>
        </w:rPr>
      </w:pPr>
      <w:r w:rsidRPr="00AC14AA">
        <w:rPr>
          <w:color w:val="auto"/>
          <w:lang w:val="en"/>
        </w:rPr>
        <w:t>The sample</w:t>
      </w:r>
      <w:r>
        <w:rPr>
          <w:color w:val="auto"/>
          <w:lang w:val="en"/>
        </w:rPr>
        <w:t xml:space="preserve"> </w:t>
      </w:r>
      <w:proofErr w:type="gramStart"/>
      <w:r>
        <w:rPr>
          <w:color w:val="auto"/>
          <w:lang w:val="en"/>
        </w:rPr>
        <w:t>is</w:t>
      </w:r>
      <w:r w:rsidRPr="00AC14AA">
        <w:rPr>
          <w:color w:val="auto"/>
          <w:lang w:val="en"/>
        </w:rPr>
        <w:t xml:space="preserve"> also updated</w:t>
      </w:r>
      <w:proofErr w:type="gramEnd"/>
      <w:r w:rsidRPr="00AC14AA">
        <w:rPr>
          <w:color w:val="auto"/>
          <w:lang w:val="en"/>
        </w:rPr>
        <w:t xml:space="preserve"> to reflect mergers, acquisitions, divestitures, splits, and other changes to the business universe</w:t>
      </w:r>
      <w:r>
        <w:rPr>
          <w:color w:val="auto"/>
          <w:lang w:val="en"/>
        </w:rPr>
        <w:t xml:space="preserve"> thr</w:t>
      </w:r>
      <w:r w:rsidR="00510E08">
        <w:rPr>
          <w:color w:val="auto"/>
          <w:lang w:val="en"/>
        </w:rPr>
        <w:t>oughout the year.</w:t>
      </w:r>
      <w:r w:rsidR="00C57945">
        <w:rPr>
          <w:color w:val="auto"/>
          <w:lang w:val="en"/>
        </w:rPr>
        <w:t xml:space="preserve"> (The Census Bureau </w:t>
      </w:r>
      <w:r w:rsidR="00A15EAF">
        <w:rPr>
          <w:color w:val="auto"/>
          <w:lang w:val="en"/>
        </w:rPr>
        <w:t>l</w:t>
      </w:r>
      <w:r w:rsidR="00C57945">
        <w:rPr>
          <w:color w:val="auto"/>
          <w:lang w:val="en"/>
        </w:rPr>
        <w:t>earn</w:t>
      </w:r>
      <w:r w:rsidR="00A15EAF">
        <w:rPr>
          <w:color w:val="auto"/>
          <w:lang w:val="en"/>
        </w:rPr>
        <w:t>s</w:t>
      </w:r>
      <w:r w:rsidR="00C57945">
        <w:rPr>
          <w:color w:val="auto"/>
          <w:lang w:val="en"/>
        </w:rPr>
        <w:t xml:space="preserve"> about these changes </w:t>
      </w:r>
      <w:r w:rsidR="00A15EAF">
        <w:rPr>
          <w:color w:val="auto"/>
          <w:lang w:val="en"/>
        </w:rPr>
        <w:t>through a variety of means, i</w:t>
      </w:r>
      <w:r w:rsidR="00C57945">
        <w:rPr>
          <w:color w:val="auto"/>
          <w:lang w:val="en"/>
        </w:rPr>
        <w:t>ncluding directly from respondent</w:t>
      </w:r>
      <w:r w:rsidR="00A15EAF">
        <w:rPr>
          <w:color w:val="auto"/>
          <w:lang w:val="en"/>
        </w:rPr>
        <w:t xml:space="preserve">s, and updates the sample accordingly as soon as the information </w:t>
      </w:r>
      <w:proofErr w:type="gramStart"/>
      <w:r w:rsidR="00A15EAF">
        <w:rPr>
          <w:color w:val="auto"/>
          <w:lang w:val="en"/>
        </w:rPr>
        <w:t>is obtained</w:t>
      </w:r>
      <w:proofErr w:type="gramEnd"/>
      <w:r w:rsidR="00C57945">
        <w:rPr>
          <w:color w:val="auto"/>
          <w:lang w:val="en"/>
        </w:rPr>
        <w:t xml:space="preserve">. For example, the AWTS asks about organizational changes on each of its questionnaires. When </w:t>
      </w:r>
      <w:r w:rsidR="00A15EAF">
        <w:rPr>
          <w:color w:val="auto"/>
          <w:lang w:val="en"/>
        </w:rPr>
        <w:t>the</w:t>
      </w:r>
      <w:r w:rsidR="003311F7">
        <w:rPr>
          <w:color w:val="auto"/>
          <w:lang w:val="en"/>
        </w:rPr>
        <w:t xml:space="preserve"> Census Bureau</w:t>
      </w:r>
      <w:r w:rsidR="00A15EAF">
        <w:rPr>
          <w:color w:val="auto"/>
          <w:lang w:val="en"/>
        </w:rPr>
        <w:t xml:space="preserve"> analyst in charge of a company becomes aware of a structural change</w:t>
      </w:r>
      <w:r w:rsidR="00C57945">
        <w:rPr>
          <w:color w:val="auto"/>
          <w:lang w:val="en"/>
        </w:rPr>
        <w:t xml:space="preserve">, he or she will </w:t>
      </w:r>
      <w:r w:rsidR="00A15EAF">
        <w:rPr>
          <w:color w:val="auto"/>
          <w:lang w:val="en"/>
        </w:rPr>
        <w:t xml:space="preserve">immediately </w:t>
      </w:r>
      <w:r w:rsidR="00C57945">
        <w:rPr>
          <w:color w:val="auto"/>
          <w:lang w:val="en"/>
        </w:rPr>
        <w:t>take the appropriate sample maintenance actions to account for this change.</w:t>
      </w:r>
      <w:r w:rsidR="00A15EAF">
        <w:rPr>
          <w:color w:val="auto"/>
          <w:lang w:val="en"/>
        </w:rPr>
        <w:t xml:space="preserve">) </w:t>
      </w:r>
      <w:r w:rsidR="00AD5235">
        <w:rPr>
          <w:color w:val="auto"/>
          <w:lang w:val="en"/>
        </w:rPr>
        <w:t xml:space="preserve">In general, </w:t>
      </w:r>
      <w:r w:rsidRPr="00AD5235" w:rsidR="00AD5235">
        <w:rPr>
          <w:color w:val="auto"/>
          <w:lang w:val="en"/>
        </w:rPr>
        <w:t>any new establishments that a firm acquires, even if under new or different EINs,</w:t>
      </w:r>
      <w:r w:rsidR="00AE10A8">
        <w:rPr>
          <w:color w:val="auto"/>
          <w:lang w:val="en"/>
        </w:rPr>
        <w:t xml:space="preserve"> are included</w:t>
      </w:r>
      <w:r w:rsidRPr="00AD5235" w:rsidR="00AD5235">
        <w:rPr>
          <w:color w:val="auto"/>
          <w:lang w:val="en"/>
        </w:rPr>
        <w:t xml:space="preserve"> in the sample with the same sampling status as the original firm </w:t>
      </w:r>
      <w:r w:rsidR="00AE10A8">
        <w:rPr>
          <w:color w:val="auto"/>
          <w:lang w:val="en"/>
        </w:rPr>
        <w:t>(</w:t>
      </w:r>
      <w:r w:rsidRPr="00AD5235" w:rsidR="00AD5235">
        <w:rPr>
          <w:color w:val="auto"/>
          <w:lang w:val="en"/>
        </w:rPr>
        <w:t>i.e., with the same initial sampling weight</w:t>
      </w:r>
      <w:r w:rsidR="00AE10A8">
        <w:rPr>
          <w:color w:val="auto"/>
          <w:lang w:val="en"/>
        </w:rPr>
        <w:t>)</w:t>
      </w:r>
      <w:r w:rsidRPr="00AD5235" w:rsidR="00AD5235">
        <w:rPr>
          <w:color w:val="auto"/>
          <w:lang w:val="en"/>
        </w:rPr>
        <w:t>.</w:t>
      </w:r>
      <w:r w:rsidR="00AE10A8">
        <w:rPr>
          <w:color w:val="auto"/>
          <w:lang w:val="en"/>
        </w:rPr>
        <w:t xml:space="preserve"> </w:t>
      </w:r>
      <w:r w:rsidRPr="00AD5235" w:rsidR="00AD5235">
        <w:rPr>
          <w:color w:val="auto"/>
          <w:lang w:val="en"/>
        </w:rPr>
        <w:t xml:space="preserve">For </w:t>
      </w:r>
      <w:proofErr w:type="spellStart"/>
      <w:r w:rsidRPr="00AD5235" w:rsidR="00AD5235">
        <w:rPr>
          <w:color w:val="auto"/>
          <w:lang w:val="en"/>
        </w:rPr>
        <w:t>noncertainty</w:t>
      </w:r>
      <w:proofErr w:type="spellEnd"/>
      <w:r w:rsidRPr="00AD5235" w:rsidR="00AD5235">
        <w:rPr>
          <w:color w:val="auto"/>
          <w:lang w:val="en"/>
        </w:rPr>
        <w:t xml:space="preserve"> firms, additional evaluation </w:t>
      </w:r>
      <w:proofErr w:type="gramStart"/>
      <w:r w:rsidRPr="00AD5235" w:rsidR="00AD5235">
        <w:rPr>
          <w:color w:val="auto"/>
          <w:lang w:val="en"/>
        </w:rPr>
        <w:t>may be done</w:t>
      </w:r>
      <w:proofErr w:type="gramEnd"/>
      <w:r w:rsidRPr="00AD5235" w:rsidR="00AD5235">
        <w:rPr>
          <w:color w:val="auto"/>
          <w:lang w:val="en"/>
        </w:rPr>
        <w:t xml:space="preserve"> in some instances to </w:t>
      </w:r>
      <w:r w:rsidRPr="00AD5235" w:rsidR="00AD5235">
        <w:rPr>
          <w:color w:val="auto"/>
          <w:lang w:val="en"/>
        </w:rPr>
        <w:lastRenderedPageBreak/>
        <w:t xml:space="preserve">determine the feasibility of adding the new establishments </w:t>
      </w:r>
      <w:r w:rsidR="00AE10A8">
        <w:rPr>
          <w:color w:val="auto"/>
          <w:lang w:val="en"/>
        </w:rPr>
        <w:t>(</w:t>
      </w:r>
      <w:r w:rsidRPr="00AD5235" w:rsidR="00AD5235">
        <w:rPr>
          <w:color w:val="auto"/>
          <w:lang w:val="en"/>
        </w:rPr>
        <w:t>by evaluating the effect of the new establishments on the industry estimates</w:t>
      </w:r>
      <w:r w:rsidR="00AE10A8">
        <w:rPr>
          <w:color w:val="auto"/>
          <w:lang w:val="en"/>
        </w:rPr>
        <w:t>)</w:t>
      </w:r>
      <w:r w:rsidRPr="00AD5235" w:rsidR="00AD5235">
        <w:rPr>
          <w:color w:val="auto"/>
          <w:lang w:val="en"/>
        </w:rPr>
        <w:t>.</w:t>
      </w:r>
    </w:p>
    <w:p w:rsidR="00E76B61" w:rsidP="00E76B61" w:rsidRDefault="00E76B61">
      <w:pPr>
        <w:pStyle w:val="NormalWeb"/>
        <w:rPr>
          <w:b/>
          <w:color w:val="auto"/>
        </w:rPr>
      </w:pPr>
      <w:r w:rsidRPr="00E76B61">
        <w:rPr>
          <w:color w:val="auto"/>
        </w:rPr>
        <w:fldChar w:fldCharType="begin"/>
      </w:r>
      <w:r w:rsidRPr="00E76B61">
        <w:rPr>
          <w:color w:val="auto"/>
        </w:rPr>
        <w:instrText>ADVANCE \d4</w:instrText>
      </w:r>
      <w:r w:rsidRPr="00E76B61">
        <w:rPr>
          <w:color w:val="auto"/>
        </w:rPr>
        <w:fldChar w:fldCharType="end"/>
      </w:r>
      <w:r w:rsidR="0049272E">
        <w:rPr>
          <w:b/>
          <w:color w:val="auto"/>
        </w:rPr>
        <w:t>Response Rates</w:t>
      </w:r>
    </w:p>
    <w:p w:rsidR="0025378F" w:rsidP="0025378F" w:rsidRDefault="0025378F">
      <w:pPr>
        <w:pStyle w:val="NormalWeb"/>
        <w:rPr>
          <w:color w:val="auto"/>
        </w:rPr>
      </w:pPr>
      <w:r>
        <w:rPr>
          <w:color w:val="auto"/>
        </w:rPr>
        <w:t>The unit response r</w:t>
      </w:r>
      <w:r w:rsidRPr="005D1987">
        <w:rPr>
          <w:color w:val="auto"/>
        </w:rPr>
        <w:t xml:space="preserve">ate is defined as the percentage of active reporting units in the statistical period, based on unweighted </w:t>
      </w:r>
      <w:proofErr w:type="gramStart"/>
      <w:r w:rsidRPr="005D1987">
        <w:rPr>
          <w:color w:val="auto"/>
        </w:rPr>
        <w:t>counts, that</w:t>
      </w:r>
      <w:proofErr w:type="gramEnd"/>
      <w:r w:rsidRPr="005D1987">
        <w:rPr>
          <w:color w:val="auto"/>
        </w:rPr>
        <w:t xml:space="preserve"> were eligible for data collection or of unknown eligibility th</w:t>
      </w:r>
      <w:r>
        <w:rPr>
          <w:color w:val="auto"/>
        </w:rPr>
        <w:t>at responded to the survey. It is an</w:t>
      </w:r>
      <w:r w:rsidRPr="005D1987">
        <w:rPr>
          <w:color w:val="auto"/>
        </w:rPr>
        <w:t xml:space="preserve"> indicator of the performance of data collection for obtaining usable responses.</w:t>
      </w:r>
      <w:r>
        <w:rPr>
          <w:color w:val="auto"/>
        </w:rPr>
        <w:t xml:space="preserve"> The AWTS calculates and monitors the unit response rate during each processing cycle. </w:t>
      </w:r>
      <w:r w:rsidRPr="005D1987">
        <w:rPr>
          <w:color w:val="auto"/>
        </w:rPr>
        <w:t xml:space="preserve">To </w:t>
      </w:r>
      <w:proofErr w:type="gramStart"/>
      <w:r w:rsidRPr="005D1987">
        <w:rPr>
          <w:color w:val="auto"/>
        </w:rPr>
        <w:t>be classified</w:t>
      </w:r>
      <w:proofErr w:type="gramEnd"/>
      <w:r w:rsidRPr="005D1987">
        <w:rPr>
          <w:color w:val="auto"/>
        </w:rPr>
        <w:t xml:space="preserve"> as a response, the respondent for the reporting unit must have provided sufficient data</w:t>
      </w:r>
      <w:r>
        <w:rPr>
          <w:color w:val="auto"/>
        </w:rPr>
        <w:t>,</w:t>
      </w:r>
      <w:r w:rsidRPr="005D1987">
        <w:rPr>
          <w:color w:val="auto"/>
        </w:rPr>
        <w:t xml:space="preserve"> and the da</w:t>
      </w:r>
      <w:r>
        <w:rPr>
          <w:color w:val="auto"/>
        </w:rPr>
        <w:t>ta must satisfy all the edits. Specifically, to be considered a respondent for the</w:t>
      </w:r>
      <w:r w:rsidRPr="005D1987">
        <w:rPr>
          <w:color w:val="auto"/>
        </w:rPr>
        <w:t xml:space="preserve"> AWTS</w:t>
      </w:r>
      <w:r>
        <w:rPr>
          <w:color w:val="auto"/>
        </w:rPr>
        <w:t>:</w:t>
      </w:r>
    </w:p>
    <w:p w:rsidR="0025378F" w:rsidP="0025378F" w:rsidRDefault="0025378F">
      <w:pPr>
        <w:pStyle w:val="NormalWeb"/>
        <w:numPr>
          <w:ilvl w:val="0"/>
          <w:numId w:val="7"/>
        </w:numPr>
        <w:rPr>
          <w:color w:val="auto"/>
        </w:rPr>
      </w:pPr>
      <w:proofErr w:type="gramStart"/>
      <w:r>
        <w:rPr>
          <w:color w:val="auto"/>
        </w:rPr>
        <w:t>merchant</w:t>
      </w:r>
      <w:proofErr w:type="gramEnd"/>
      <w:r>
        <w:rPr>
          <w:color w:val="auto"/>
        </w:rPr>
        <w:t xml:space="preserve"> wholesalers, excluding manufacturers’ sales branches and offices, </w:t>
      </w:r>
      <w:r w:rsidRPr="005D1987">
        <w:rPr>
          <w:color w:val="auto"/>
        </w:rPr>
        <w:t xml:space="preserve">must provide sales, end-of-year inventories, purchases, or total operating expenses. </w:t>
      </w:r>
    </w:p>
    <w:p w:rsidR="0025378F" w:rsidP="0025378F" w:rsidRDefault="0025378F">
      <w:pPr>
        <w:pStyle w:val="NormalWeb"/>
        <w:numPr>
          <w:ilvl w:val="0"/>
          <w:numId w:val="7"/>
        </w:numPr>
        <w:rPr>
          <w:color w:val="auto"/>
        </w:rPr>
      </w:pPr>
      <w:proofErr w:type="gramStart"/>
      <w:r>
        <w:rPr>
          <w:color w:val="auto"/>
        </w:rPr>
        <w:t>manufacturers</w:t>
      </w:r>
      <w:proofErr w:type="gramEnd"/>
      <w:r>
        <w:rPr>
          <w:color w:val="auto"/>
        </w:rPr>
        <w:t>’ sales branches and offices</w:t>
      </w:r>
      <w:r w:rsidRPr="005D1987">
        <w:rPr>
          <w:color w:val="auto"/>
        </w:rPr>
        <w:t xml:space="preserve"> must provide sales, end-of-year inventories, or total operating expenses.</w:t>
      </w:r>
      <w:r>
        <w:rPr>
          <w:color w:val="auto"/>
        </w:rPr>
        <w:t xml:space="preserve"> </w:t>
      </w:r>
    </w:p>
    <w:p w:rsidR="0025378F" w:rsidP="0025378F" w:rsidRDefault="0025378F">
      <w:pPr>
        <w:pStyle w:val="NormalWeb"/>
        <w:numPr>
          <w:ilvl w:val="0"/>
          <w:numId w:val="7"/>
        </w:numPr>
        <w:rPr>
          <w:color w:val="auto"/>
        </w:rPr>
      </w:pPr>
      <w:proofErr w:type="gramStart"/>
      <w:r w:rsidRPr="00441E41">
        <w:rPr>
          <w:color w:val="auto"/>
        </w:rPr>
        <w:t>agents</w:t>
      </w:r>
      <w:proofErr w:type="gramEnd"/>
      <w:r w:rsidRPr="00441E41">
        <w:rPr>
          <w:color w:val="auto"/>
        </w:rPr>
        <w:t xml:space="preserve">, brokers, and business electronic markets must provide commissions, sales, sales on own account, gross selling value, or total operating expenses.  </w:t>
      </w:r>
    </w:p>
    <w:p w:rsidR="007C5B8D" w:rsidP="00E76B61" w:rsidRDefault="002518F5">
      <w:pPr>
        <w:pStyle w:val="NormalWeb"/>
        <w:rPr>
          <w:color w:val="auto"/>
        </w:rPr>
      </w:pPr>
      <w:r>
        <w:rPr>
          <w:color w:val="auto"/>
        </w:rPr>
        <w:t xml:space="preserve">Since the current sample </w:t>
      </w:r>
      <w:proofErr w:type="gramStart"/>
      <w:r>
        <w:rPr>
          <w:color w:val="auto"/>
        </w:rPr>
        <w:t>was launched</w:t>
      </w:r>
      <w:proofErr w:type="gramEnd"/>
      <w:r>
        <w:rPr>
          <w:color w:val="auto"/>
        </w:rPr>
        <w:t xml:space="preserve"> in the 201</w:t>
      </w:r>
      <w:r w:rsidR="00996E45">
        <w:rPr>
          <w:color w:val="auto"/>
        </w:rPr>
        <w:t>6 survey year, there have been three</w:t>
      </w:r>
      <w:r>
        <w:rPr>
          <w:color w:val="auto"/>
        </w:rPr>
        <w:t xml:space="preserve"> AWTS releases (i.e., the 2016 AWTS, 2017 AWTS, and 2018 AWTS). Presently, the 2019 AWTS data are still being </w:t>
      </w:r>
      <w:proofErr w:type="gramStart"/>
      <w:r>
        <w:rPr>
          <w:color w:val="auto"/>
        </w:rPr>
        <w:t>collected</w:t>
      </w:r>
      <w:proofErr w:type="gramEnd"/>
      <w:r>
        <w:rPr>
          <w:color w:val="auto"/>
        </w:rPr>
        <w:t xml:space="preserve"> and processed. The reporting instrument for the 2019 AWTS </w:t>
      </w:r>
      <w:proofErr w:type="gramStart"/>
      <w:r>
        <w:rPr>
          <w:color w:val="auto"/>
        </w:rPr>
        <w:t>will be deactivated</w:t>
      </w:r>
      <w:proofErr w:type="gramEnd"/>
      <w:r>
        <w:rPr>
          <w:color w:val="auto"/>
        </w:rPr>
        <w:t xml:space="preserve"> on October 14, 2020. The table below lists the unit response rate for </w:t>
      </w:r>
      <w:r w:rsidR="008768CE">
        <w:rPr>
          <w:color w:val="auto"/>
        </w:rPr>
        <w:t xml:space="preserve">NAICS code 42 (i.e., the entire wholesale trade sector) </w:t>
      </w:r>
      <w:r>
        <w:rPr>
          <w:color w:val="auto"/>
        </w:rPr>
        <w:t xml:space="preserve">each year. (For the 2016 AWTS, 2017 AWTS, and 2018 AWTS, the value represents the unit response rate </w:t>
      </w:r>
      <w:r w:rsidR="007C5B8D">
        <w:rPr>
          <w:color w:val="auto"/>
        </w:rPr>
        <w:t xml:space="preserve">when the data </w:t>
      </w:r>
      <w:proofErr w:type="gramStart"/>
      <w:r w:rsidR="007C5B8D">
        <w:rPr>
          <w:color w:val="auto"/>
        </w:rPr>
        <w:t>were released</w:t>
      </w:r>
      <w:proofErr w:type="gramEnd"/>
      <w:r w:rsidR="007C5B8D">
        <w:rPr>
          <w:color w:val="auto"/>
        </w:rPr>
        <w:t xml:space="preserve"> to the public for that survey year. For</w:t>
      </w:r>
      <w:r w:rsidR="005D1987">
        <w:rPr>
          <w:color w:val="auto"/>
        </w:rPr>
        <w:t xml:space="preserve"> the</w:t>
      </w:r>
      <w:r w:rsidR="007C5B8D">
        <w:rPr>
          <w:color w:val="auto"/>
        </w:rPr>
        <w:t xml:space="preserve"> 2019 </w:t>
      </w:r>
      <w:r w:rsidR="00CE4184">
        <w:rPr>
          <w:color w:val="auto"/>
        </w:rPr>
        <w:t>AWTS, it is the value as of July</w:t>
      </w:r>
      <w:r w:rsidR="0057718C">
        <w:rPr>
          <w:color w:val="auto"/>
        </w:rPr>
        <w:t xml:space="preserve"> 31</w:t>
      </w:r>
      <w:r w:rsidR="007C5B8D">
        <w:rPr>
          <w:color w:val="auto"/>
        </w:rPr>
        <w:t>, 2020.)</w:t>
      </w:r>
    </w:p>
    <w:tbl>
      <w:tblPr>
        <w:tblW w:w="3840" w:type="dxa"/>
        <w:jc w:val="center"/>
        <w:tblLook w:val="04A0" w:firstRow="1" w:lastRow="0" w:firstColumn="1" w:lastColumn="0" w:noHBand="0" w:noVBand="1"/>
      </w:tblPr>
      <w:tblGrid>
        <w:gridCol w:w="960"/>
        <w:gridCol w:w="960"/>
        <w:gridCol w:w="960"/>
        <w:gridCol w:w="960"/>
      </w:tblGrid>
      <w:tr w:rsidRPr="00351100" w:rsidR="007C5B8D" w:rsidTr="007C5B8D">
        <w:trPr>
          <w:trHeight w:val="300"/>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51100" w:rsidR="007C5B8D" w:rsidP="005301BC" w:rsidRDefault="007C5B8D">
            <w:pPr>
              <w:pStyle w:val="NormalWeb"/>
              <w:jc w:val="center"/>
              <w:rPr>
                <w:b/>
                <w:color w:val="auto"/>
              </w:rPr>
            </w:pPr>
            <w:r w:rsidRPr="00351100">
              <w:rPr>
                <w:b/>
                <w:color w:val="auto"/>
              </w:rPr>
              <w:t>2019</w:t>
            </w:r>
            <w:r w:rsidRPr="007C5B8D">
              <w:rPr>
                <w:b/>
                <w:color w:val="auto"/>
                <w:vertAlign w:val="superscript"/>
              </w:rPr>
              <w:t>1</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351100" w:rsidR="007C5B8D" w:rsidP="005301BC" w:rsidRDefault="007C5B8D">
            <w:pPr>
              <w:pStyle w:val="NormalWeb"/>
              <w:jc w:val="center"/>
              <w:rPr>
                <w:b/>
                <w:color w:val="auto"/>
              </w:rPr>
            </w:pPr>
            <w:r w:rsidRPr="00351100">
              <w:rPr>
                <w:b/>
                <w:color w:val="auto"/>
              </w:rPr>
              <w:t>2018</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351100" w:rsidR="007C5B8D" w:rsidP="005301BC" w:rsidRDefault="007C5B8D">
            <w:pPr>
              <w:pStyle w:val="NormalWeb"/>
              <w:jc w:val="center"/>
              <w:rPr>
                <w:b/>
                <w:color w:val="auto"/>
              </w:rPr>
            </w:pPr>
            <w:r w:rsidRPr="00351100">
              <w:rPr>
                <w:b/>
                <w:color w:val="auto"/>
              </w:rPr>
              <w:t>2017</w:t>
            </w:r>
          </w:p>
        </w:tc>
        <w:tc>
          <w:tcPr>
            <w:tcW w:w="960" w:type="dxa"/>
            <w:tcBorders>
              <w:top w:val="single" w:color="auto" w:sz="4" w:space="0"/>
              <w:left w:val="nil"/>
              <w:bottom w:val="single" w:color="auto" w:sz="4" w:space="0"/>
              <w:right w:val="single" w:color="auto" w:sz="4" w:space="0"/>
            </w:tcBorders>
            <w:vAlign w:val="bottom"/>
          </w:tcPr>
          <w:p w:rsidRPr="00351100" w:rsidR="007C5B8D" w:rsidP="007C5B8D" w:rsidRDefault="007C5B8D">
            <w:pPr>
              <w:pStyle w:val="NormalWeb"/>
              <w:jc w:val="center"/>
              <w:rPr>
                <w:b/>
                <w:color w:val="auto"/>
              </w:rPr>
            </w:pPr>
            <w:r>
              <w:rPr>
                <w:b/>
                <w:color w:val="auto"/>
              </w:rPr>
              <w:t>2016</w:t>
            </w:r>
          </w:p>
        </w:tc>
      </w:tr>
      <w:tr w:rsidRPr="00351100" w:rsidR="007C5B8D" w:rsidTr="00D5473D">
        <w:trPr>
          <w:trHeight w:val="300"/>
          <w:jc w:val="center"/>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351100" w:rsidR="007C5B8D" w:rsidP="00CE4184" w:rsidRDefault="00CE4184">
            <w:pPr>
              <w:pStyle w:val="NormalWeb"/>
              <w:jc w:val="center"/>
              <w:rPr>
                <w:color w:val="auto"/>
              </w:rPr>
            </w:pPr>
            <w:r>
              <w:rPr>
                <w:color w:val="auto"/>
              </w:rPr>
              <w:t>66</w:t>
            </w:r>
            <w:r w:rsidR="008768CE">
              <w:rPr>
                <w:color w:val="auto"/>
              </w:rPr>
              <w:t>.</w:t>
            </w:r>
            <w:r>
              <w:rPr>
                <w:color w:val="auto"/>
              </w:rPr>
              <w:t>7</w:t>
            </w:r>
            <w:r w:rsidR="00D5473D">
              <w:rPr>
                <w:color w:val="auto"/>
              </w:rPr>
              <w:t>%</w:t>
            </w:r>
          </w:p>
        </w:tc>
        <w:tc>
          <w:tcPr>
            <w:tcW w:w="960" w:type="dxa"/>
            <w:tcBorders>
              <w:top w:val="nil"/>
              <w:left w:val="nil"/>
              <w:bottom w:val="single" w:color="auto" w:sz="4" w:space="0"/>
              <w:right w:val="single" w:color="auto" w:sz="4" w:space="0"/>
            </w:tcBorders>
            <w:shd w:val="clear" w:color="auto" w:fill="auto"/>
            <w:noWrap/>
            <w:vAlign w:val="bottom"/>
            <w:hideMark/>
          </w:tcPr>
          <w:p w:rsidRPr="00351100" w:rsidR="007C5B8D" w:rsidP="005301BC" w:rsidRDefault="008768CE">
            <w:pPr>
              <w:pStyle w:val="NormalWeb"/>
              <w:jc w:val="center"/>
              <w:rPr>
                <w:color w:val="auto"/>
              </w:rPr>
            </w:pPr>
            <w:r>
              <w:rPr>
                <w:color w:val="auto"/>
              </w:rPr>
              <w:t>71.3</w:t>
            </w:r>
            <w:r w:rsidR="00D5473D">
              <w:rPr>
                <w:color w:val="auto"/>
              </w:rPr>
              <w:t>%</w:t>
            </w:r>
          </w:p>
        </w:tc>
        <w:tc>
          <w:tcPr>
            <w:tcW w:w="960" w:type="dxa"/>
            <w:tcBorders>
              <w:top w:val="nil"/>
              <w:left w:val="nil"/>
              <w:bottom w:val="single" w:color="auto" w:sz="4" w:space="0"/>
              <w:right w:val="single" w:color="auto" w:sz="4" w:space="0"/>
            </w:tcBorders>
            <w:shd w:val="clear" w:color="auto" w:fill="auto"/>
            <w:noWrap/>
            <w:vAlign w:val="bottom"/>
            <w:hideMark/>
          </w:tcPr>
          <w:p w:rsidRPr="00351100" w:rsidR="007C5B8D" w:rsidP="005301BC" w:rsidRDefault="008768CE">
            <w:pPr>
              <w:pStyle w:val="NormalWeb"/>
              <w:jc w:val="center"/>
              <w:rPr>
                <w:color w:val="auto"/>
              </w:rPr>
            </w:pPr>
            <w:r>
              <w:rPr>
                <w:color w:val="auto"/>
              </w:rPr>
              <w:t>71.1</w:t>
            </w:r>
            <w:r w:rsidR="00D5473D">
              <w:rPr>
                <w:color w:val="auto"/>
              </w:rPr>
              <w:t>%</w:t>
            </w:r>
          </w:p>
        </w:tc>
        <w:tc>
          <w:tcPr>
            <w:tcW w:w="960" w:type="dxa"/>
            <w:tcBorders>
              <w:top w:val="nil"/>
              <w:left w:val="nil"/>
              <w:bottom w:val="single" w:color="auto" w:sz="4" w:space="0"/>
              <w:right w:val="single" w:color="auto" w:sz="4" w:space="0"/>
            </w:tcBorders>
            <w:vAlign w:val="bottom"/>
          </w:tcPr>
          <w:p w:rsidRPr="00351100" w:rsidR="007C5B8D" w:rsidP="005301BC" w:rsidRDefault="008768CE">
            <w:pPr>
              <w:pStyle w:val="NormalWeb"/>
              <w:jc w:val="center"/>
              <w:rPr>
                <w:color w:val="auto"/>
              </w:rPr>
            </w:pPr>
            <w:r>
              <w:rPr>
                <w:color w:val="auto"/>
              </w:rPr>
              <w:t>74.9</w:t>
            </w:r>
            <w:r w:rsidR="00D5473D">
              <w:rPr>
                <w:color w:val="auto"/>
              </w:rPr>
              <w:t>%</w:t>
            </w:r>
          </w:p>
        </w:tc>
      </w:tr>
    </w:tbl>
    <w:p w:rsidRPr="00BA0878" w:rsidR="007C5B8D" w:rsidP="007C5B8D" w:rsidRDefault="002518F5">
      <w:pPr>
        <w:pStyle w:val="NormalWeb"/>
        <w:jc w:val="center"/>
        <w:rPr>
          <w:color w:val="auto"/>
        </w:rPr>
      </w:pPr>
      <w:r>
        <w:rPr>
          <w:color w:val="auto"/>
        </w:rPr>
        <w:t xml:space="preserve"> </w:t>
      </w:r>
      <w:r w:rsidRPr="00BA0878" w:rsidR="007C5B8D">
        <w:rPr>
          <w:color w:val="auto"/>
          <w:vertAlign w:val="superscript"/>
        </w:rPr>
        <w:t>1</w:t>
      </w:r>
      <w:r w:rsidRPr="00BA0878" w:rsidR="007C5B8D">
        <w:rPr>
          <w:color w:val="auto"/>
        </w:rPr>
        <w:t xml:space="preserve">As of </w:t>
      </w:r>
      <w:r w:rsidR="00CE4184">
        <w:rPr>
          <w:color w:val="auto"/>
        </w:rPr>
        <w:t>7</w:t>
      </w:r>
      <w:r w:rsidRPr="00BA0878" w:rsidR="007C5B8D">
        <w:rPr>
          <w:color w:val="auto"/>
        </w:rPr>
        <w:t>/</w:t>
      </w:r>
      <w:r w:rsidR="0057718C">
        <w:rPr>
          <w:color w:val="auto"/>
        </w:rPr>
        <w:t>31</w:t>
      </w:r>
      <w:r w:rsidRPr="00BA0878" w:rsidR="007C5B8D">
        <w:rPr>
          <w:color w:val="auto"/>
        </w:rPr>
        <w:t>/</w:t>
      </w:r>
      <w:r w:rsidR="007C5B8D">
        <w:rPr>
          <w:color w:val="auto"/>
        </w:rPr>
        <w:t>20</w:t>
      </w:r>
      <w:r w:rsidR="008768CE">
        <w:rPr>
          <w:color w:val="auto"/>
        </w:rPr>
        <w:t xml:space="preserve"> (collection ends on 10/14/20)</w:t>
      </w:r>
    </w:p>
    <w:p w:rsidR="00441E41" w:rsidP="00441E41" w:rsidRDefault="00441E41">
      <w:pPr>
        <w:pStyle w:val="NormalWeb"/>
        <w:rPr>
          <w:color w:val="auto"/>
        </w:rPr>
      </w:pPr>
      <w:r>
        <w:rPr>
          <w:color w:val="auto"/>
        </w:rPr>
        <w:t>For the AWTS, the Census Bureau also computes and monitors total quantity response rates. This type of response rate</w:t>
      </w:r>
      <w:r w:rsidRPr="00441E41">
        <w:rPr>
          <w:color w:val="auto"/>
        </w:rPr>
        <w:t xml:space="preserve"> </w:t>
      </w:r>
      <w:proofErr w:type="gramStart"/>
      <w:r w:rsidRPr="00441E41">
        <w:rPr>
          <w:color w:val="auto"/>
        </w:rPr>
        <w:t>is defined</w:t>
      </w:r>
      <w:proofErr w:type="gramEnd"/>
      <w:r w:rsidRPr="00441E41">
        <w:rPr>
          <w:color w:val="auto"/>
        </w:rPr>
        <w:t xml:space="preserve"> as the percentage of the estimated (weighted) total of a given data item reported by the active tabulation units in the statistical period or from sources determined to be equiv</w:t>
      </w:r>
      <w:r w:rsidR="00B55225">
        <w:rPr>
          <w:color w:val="auto"/>
        </w:rPr>
        <w:t>alent-quality-to-reported data. The total quantity response rate</w:t>
      </w:r>
      <w:r w:rsidRPr="00441E41">
        <w:rPr>
          <w:color w:val="auto"/>
        </w:rPr>
        <w:t xml:space="preserve"> is an item-level indicator of the “quality” of each estima</w:t>
      </w:r>
      <w:r w:rsidR="00B55225">
        <w:rPr>
          <w:color w:val="auto"/>
        </w:rPr>
        <w:t>te. In contrast to the unit response rate</w:t>
      </w:r>
      <w:r w:rsidRPr="00441E41">
        <w:rPr>
          <w:color w:val="auto"/>
        </w:rPr>
        <w:t xml:space="preserve">, these weighted response rates </w:t>
      </w:r>
      <w:proofErr w:type="gramStart"/>
      <w:r w:rsidRPr="00441E41">
        <w:rPr>
          <w:color w:val="auto"/>
        </w:rPr>
        <w:t>are computed</w:t>
      </w:r>
      <w:proofErr w:type="gramEnd"/>
      <w:r w:rsidRPr="00441E41">
        <w:rPr>
          <w:color w:val="auto"/>
        </w:rPr>
        <w:t xml:space="preserve"> for individual data items</w:t>
      </w:r>
      <w:r w:rsidR="00B55225">
        <w:rPr>
          <w:color w:val="auto"/>
        </w:rPr>
        <w:t>. Thus, there are several total quantity response rates</w:t>
      </w:r>
      <w:r w:rsidRPr="00441E41">
        <w:rPr>
          <w:color w:val="auto"/>
        </w:rPr>
        <w:t xml:space="preserve"> per statisti</w:t>
      </w:r>
      <w:r w:rsidR="00B55225">
        <w:rPr>
          <w:color w:val="auto"/>
        </w:rPr>
        <w:t xml:space="preserve">cal period and release. The total quantity response rate </w:t>
      </w:r>
      <w:r w:rsidRPr="00441E41">
        <w:rPr>
          <w:color w:val="auto"/>
        </w:rPr>
        <w:t>is a weighted measure that takes the size of the tabulation unit into account as well as the associated sampling</w:t>
      </w:r>
      <w:r w:rsidR="00B55225">
        <w:rPr>
          <w:color w:val="auto"/>
        </w:rPr>
        <w:t xml:space="preserve"> parameters. To compute the total quantity response rate</w:t>
      </w:r>
      <w:r w:rsidRPr="00441E41">
        <w:rPr>
          <w:color w:val="auto"/>
        </w:rPr>
        <w:t xml:space="preserve"> for a particular estimate, it is necessary to determine the source of the final tabulated value of the associated data item for each tabulation unit. This value </w:t>
      </w:r>
      <w:proofErr w:type="gramStart"/>
      <w:r w:rsidRPr="00441E41">
        <w:rPr>
          <w:color w:val="auto"/>
        </w:rPr>
        <w:t>could be directly obtained</w:t>
      </w:r>
      <w:r w:rsidR="00B55225">
        <w:rPr>
          <w:color w:val="auto"/>
        </w:rPr>
        <w:t xml:space="preserve"> from respondent data, indirectly obtained from other reported-equivalent data sources, or imputed</w:t>
      </w:r>
      <w:proofErr w:type="gramEnd"/>
      <w:r w:rsidR="00B55225">
        <w:rPr>
          <w:color w:val="auto"/>
        </w:rPr>
        <w:t xml:space="preserve">. </w:t>
      </w:r>
      <w:r w:rsidRPr="00441E41">
        <w:rPr>
          <w:color w:val="auto"/>
        </w:rPr>
        <w:t xml:space="preserve"> </w:t>
      </w:r>
    </w:p>
    <w:p w:rsidRPr="00F23167" w:rsidR="00E76B61" w:rsidP="00E76B61" w:rsidRDefault="00E76B61">
      <w:pPr>
        <w:pStyle w:val="NormalWeb"/>
        <w:rPr>
          <w:b/>
          <w:color w:val="auto"/>
        </w:rPr>
      </w:pPr>
      <w:r w:rsidRPr="00F23167">
        <w:rPr>
          <w:b/>
          <w:color w:val="auto"/>
          <w:u w:val="single"/>
        </w:rPr>
        <w:lastRenderedPageBreak/>
        <w:t>Question 2. Procedures for Collecting Information</w:t>
      </w:r>
    </w:p>
    <w:p w:rsidR="00297D23" w:rsidP="00297D23" w:rsidRDefault="00297D23">
      <w:pPr>
        <w:pStyle w:val="NormalWeb"/>
        <w:rPr>
          <w:bCs/>
          <w:color w:val="auto"/>
        </w:rPr>
      </w:pPr>
      <w:r>
        <w:rPr>
          <w:bCs/>
          <w:color w:val="auto"/>
        </w:rPr>
        <w:t>In addition to the</w:t>
      </w:r>
      <w:r w:rsidR="00EB6F16">
        <w:rPr>
          <w:bCs/>
          <w:color w:val="auto"/>
        </w:rPr>
        <w:t xml:space="preserve"> following</w:t>
      </w:r>
      <w:r>
        <w:rPr>
          <w:bCs/>
          <w:color w:val="auto"/>
        </w:rPr>
        <w:t xml:space="preserve"> </w:t>
      </w:r>
      <w:r w:rsidR="00EB6F16">
        <w:rPr>
          <w:bCs/>
          <w:color w:val="auto"/>
        </w:rPr>
        <w:t>information</w:t>
      </w:r>
      <w:r>
        <w:rPr>
          <w:bCs/>
          <w:color w:val="auto"/>
        </w:rPr>
        <w:t xml:space="preserve">, please refer to </w:t>
      </w:r>
      <w:r w:rsidR="00EB6F16">
        <w:rPr>
          <w:bCs/>
          <w:color w:val="auto"/>
        </w:rPr>
        <w:t xml:space="preserve">the </w:t>
      </w:r>
      <w:r w:rsidRPr="00CF4A18">
        <w:rPr>
          <w:bCs/>
          <w:color w:val="auto"/>
        </w:rPr>
        <w:t xml:space="preserve">Sampling Frame, Stratification, Sample Selection, and Sample Maintenance </w:t>
      </w:r>
      <w:r>
        <w:rPr>
          <w:bCs/>
          <w:color w:val="auto"/>
        </w:rPr>
        <w:t>segments of the Universe and Respon</w:t>
      </w:r>
      <w:r w:rsidR="008D464C">
        <w:rPr>
          <w:bCs/>
          <w:color w:val="auto"/>
        </w:rPr>
        <w:t>dent</w:t>
      </w:r>
      <w:r>
        <w:rPr>
          <w:bCs/>
          <w:color w:val="auto"/>
        </w:rPr>
        <w:t xml:space="preserve"> Selection section</w:t>
      </w:r>
      <w:r w:rsidR="00EB6F16">
        <w:rPr>
          <w:bCs/>
          <w:color w:val="auto"/>
        </w:rPr>
        <w:t xml:space="preserve"> above. </w:t>
      </w:r>
    </w:p>
    <w:p w:rsidR="004E717A" w:rsidP="004E717A" w:rsidRDefault="004E717A">
      <w:pPr>
        <w:pStyle w:val="NormalWeb"/>
        <w:rPr>
          <w:b/>
          <w:bCs/>
          <w:color w:val="auto"/>
        </w:rPr>
      </w:pPr>
      <w:r>
        <w:rPr>
          <w:b/>
          <w:bCs/>
          <w:color w:val="auto"/>
        </w:rPr>
        <w:t>Data Collection</w:t>
      </w:r>
    </w:p>
    <w:p w:rsidRPr="00BA0878" w:rsidR="004915BC" w:rsidP="004915BC" w:rsidRDefault="004E717A">
      <w:pPr>
        <w:pStyle w:val="NormalWeb"/>
        <w:rPr>
          <w:color w:val="auto"/>
        </w:rPr>
      </w:pPr>
      <w:r w:rsidRPr="00BA0878">
        <w:rPr>
          <w:color w:val="auto"/>
        </w:rPr>
        <w:t xml:space="preserve">The initial letter to respondents identifies the </w:t>
      </w:r>
      <w:r>
        <w:rPr>
          <w:color w:val="auto"/>
        </w:rPr>
        <w:t>s</w:t>
      </w:r>
      <w:r w:rsidRPr="00BA0878">
        <w:rPr>
          <w:color w:val="auto"/>
        </w:rPr>
        <w:t>urvey name,</w:t>
      </w:r>
      <w:r>
        <w:rPr>
          <w:color w:val="auto"/>
        </w:rPr>
        <w:t xml:space="preserve"> due date, instructions for accessing the survey, </w:t>
      </w:r>
      <w:r w:rsidRPr="00BA0878">
        <w:rPr>
          <w:color w:val="auto"/>
        </w:rPr>
        <w:t>authority for collection,</w:t>
      </w:r>
      <w:r>
        <w:rPr>
          <w:color w:val="auto"/>
        </w:rPr>
        <w:t xml:space="preserve"> </w:t>
      </w:r>
      <w:r w:rsidR="001D7D98">
        <w:rPr>
          <w:color w:val="auto"/>
        </w:rPr>
        <w:t xml:space="preserve">and </w:t>
      </w:r>
      <w:r>
        <w:rPr>
          <w:color w:val="auto"/>
        </w:rPr>
        <w:t>burden estimate</w:t>
      </w:r>
      <w:r w:rsidR="001D7D98">
        <w:rPr>
          <w:color w:val="auto"/>
        </w:rPr>
        <w:t>. It also provides</w:t>
      </w:r>
      <w:r w:rsidRPr="00BA0878">
        <w:rPr>
          <w:color w:val="auto"/>
        </w:rPr>
        <w:t xml:space="preserve"> </w:t>
      </w:r>
      <w:r>
        <w:rPr>
          <w:color w:val="auto"/>
        </w:rPr>
        <w:t>a telephone number for those needing assistance</w:t>
      </w:r>
      <w:r w:rsidRPr="00BA0878">
        <w:rPr>
          <w:color w:val="auto"/>
        </w:rPr>
        <w:t xml:space="preserve">. </w:t>
      </w:r>
      <w:r>
        <w:rPr>
          <w:color w:val="auto"/>
        </w:rPr>
        <w:t xml:space="preserve">The initial and follow-up mailings instruct </w:t>
      </w:r>
      <w:r w:rsidRPr="00BA0878">
        <w:rPr>
          <w:color w:val="auto"/>
        </w:rPr>
        <w:t xml:space="preserve">respondents to </w:t>
      </w:r>
      <w:r>
        <w:rPr>
          <w:color w:val="auto"/>
        </w:rPr>
        <w:t>access the Census Bureau’s Respondent Portal (</w:t>
      </w:r>
      <w:hyperlink w:history="1" r:id="rId8">
        <w:r w:rsidRPr="00241336">
          <w:rPr>
            <w:rStyle w:val="Hyperlink"/>
          </w:rPr>
          <w:t>https:/</w:t>
        </w:r>
        <w:r w:rsidRPr="00241336">
          <w:rPr>
            <w:rStyle w:val="Hyperlink"/>
          </w:rPr>
          <w:t>/</w:t>
        </w:r>
        <w:r w:rsidRPr="00241336">
          <w:rPr>
            <w:rStyle w:val="Hyperlink"/>
          </w:rPr>
          <w:t>portal.census.gov</w:t>
        </w:r>
      </w:hyperlink>
      <w:r>
        <w:rPr>
          <w:color w:val="auto"/>
        </w:rPr>
        <w:t>)</w:t>
      </w:r>
      <w:r w:rsidRPr="00BA0878">
        <w:rPr>
          <w:color w:val="auto"/>
        </w:rPr>
        <w:t>.</w:t>
      </w:r>
      <w:r>
        <w:rPr>
          <w:color w:val="auto"/>
        </w:rPr>
        <w:t xml:space="preserve"> The Census Bureau will also periodically send an e-mail reminder, or </w:t>
      </w:r>
      <w:proofErr w:type="spellStart"/>
      <w:r>
        <w:rPr>
          <w:color w:val="auto"/>
        </w:rPr>
        <w:t>eBlast</w:t>
      </w:r>
      <w:proofErr w:type="spellEnd"/>
      <w:r>
        <w:rPr>
          <w:color w:val="auto"/>
        </w:rPr>
        <w:t xml:space="preserve">, to respondents. These e-mail reminders also provide the same instructions. </w:t>
      </w:r>
      <w:r w:rsidRPr="00AB0739">
        <w:rPr>
          <w:color w:val="auto"/>
        </w:rPr>
        <w:t>A telephone</w:t>
      </w:r>
      <w:r w:rsidR="001D7D98">
        <w:rPr>
          <w:color w:val="auto"/>
        </w:rPr>
        <w:t xml:space="preserve"> follow-up </w:t>
      </w:r>
      <w:proofErr w:type="gramStart"/>
      <w:r w:rsidR="001D7D98">
        <w:rPr>
          <w:color w:val="auto"/>
        </w:rPr>
        <w:t>is scheduled</w:t>
      </w:r>
      <w:proofErr w:type="gramEnd"/>
      <w:r w:rsidR="001D7D98">
        <w:rPr>
          <w:color w:val="auto"/>
        </w:rPr>
        <w:t xml:space="preserve"> for </w:t>
      </w:r>
      <w:proofErr w:type="spellStart"/>
      <w:r w:rsidR="001D7D98">
        <w:rPr>
          <w:color w:val="auto"/>
        </w:rPr>
        <w:t>non</w:t>
      </w:r>
      <w:r w:rsidRPr="00AB0739">
        <w:rPr>
          <w:color w:val="auto"/>
        </w:rPr>
        <w:t>respondents</w:t>
      </w:r>
      <w:proofErr w:type="spellEnd"/>
      <w:r>
        <w:rPr>
          <w:color w:val="auto"/>
        </w:rPr>
        <w:t xml:space="preserve">, too. Once the user arrives at </w:t>
      </w:r>
      <w:hyperlink w:history="1" r:id="rId9">
        <w:r w:rsidRPr="00734681" w:rsidR="00734681">
          <w:rPr>
            <w:rStyle w:val="Hyperlink"/>
          </w:rPr>
          <w:t>https:</w:t>
        </w:r>
        <w:r w:rsidRPr="00734681" w:rsidR="00734681">
          <w:rPr>
            <w:rStyle w:val="Hyperlink"/>
          </w:rPr>
          <w:t>/</w:t>
        </w:r>
        <w:r w:rsidRPr="00734681" w:rsidR="00734681">
          <w:rPr>
            <w:rStyle w:val="Hyperlink"/>
          </w:rPr>
          <w:t>/por</w:t>
        </w:r>
        <w:r w:rsidRPr="00734681" w:rsidR="00734681">
          <w:rPr>
            <w:rStyle w:val="Hyperlink"/>
          </w:rPr>
          <w:t>t</w:t>
        </w:r>
        <w:r w:rsidRPr="00734681" w:rsidR="00734681">
          <w:rPr>
            <w:rStyle w:val="Hyperlink"/>
          </w:rPr>
          <w:t>al.census.gov</w:t>
        </w:r>
      </w:hyperlink>
      <w:r>
        <w:rPr>
          <w:color w:val="auto"/>
        </w:rPr>
        <w:t xml:space="preserve">, the individual will create a new account (i.e., register) or sign in to an existing account. </w:t>
      </w:r>
      <w:r w:rsidRPr="00BA0878">
        <w:rPr>
          <w:color w:val="auto"/>
        </w:rPr>
        <w:t xml:space="preserve">The Respondent Portal allows users to add and view all current Census Bureau surveys assigned to them. </w:t>
      </w:r>
      <w:r>
        <w:rPr>
          <w:color w:val="auto"/>
        </w:rPr>
        <w:t xml:space="preserve">Using the Respondent Portal, respondents can access </w:t>
      </w:r>
      <w:r w:rsidR="004915BC">
        <w:rPr>
          <w:color w:val="auto"/>
        </w:rPr>
        <w:t xml:space="preserve">the online reporting system called </w:t>
      </w:r>
      <w:r>
        <w:rPr>
          <w:color w:val="auto"/>
        </w:rPr>
        <w:t>Centurion (by clicking “Report Now” for the appropriate survey</w:t>
      </w:r>
      <w:r w:rsidR="004915BC">
        <w:rPr>
          <w:color w:val="auto"/>
        </w:rPr>
        <w:t>).</w:t>
      </w:r>
      <w:r w:rsidRPr="004915BC" w:rsidR="004915BC">
        <w:rPr>
          <w:color w:val="auto"/>
        </w:rPr>
        <w:t xml:space="preserve"> </w:t>
      </w:r>
      <w:r w:rsidR="004915BC">
        <w:rPr>
          <w:color w:val="auto"/>
        </w:rPr>
        <w:t xml:space="preserve">For the AWTS, electronic reporting is the only advertised reporting option. Nevertheless, the Census Bureau will accept data submitted through other methods. For example, if a company does not have access to the Internet, the Census Bureau can arrange for the business to provide its data to an analyst via telephone. </w:t>
      </w:r>
    </w:p>
    <w:p w:rsidR="004E717A" w:rsidP="004E717A" w:rsidRDefault="004915BC">
      <w:pPr>
        <w:pStyle w:val="NormalWeb"/>
      </w:pPr>
      <w:r>
        <w:t xml:space="preserve">The quarterly birth/death process, removal of out-of-scope cases, and restructuring of reporting units to account for organizational changes (e.g., mergers, acquisitions, etc.) will inevitably cause the number of respondents to fluctuate over time. Historically, the number of respondents typically decreases each year within a given sample. This trend has held true for this sample so far (survey years 2016, 2017, 2018, and 2019). </w:t>
      </w:r>
      <w:r w:rsidR="0002444B">
        <w:t xml:space="preserve">The table below shows the number of </w:t>
      </w:r>
      <w:r w:rsidR="00242ED8">
        <w:t>respondents at the time of the initial mailing for the current sample by year.</w:t>
      </w:r>
    </w:p>
    <w:tbl>
      <w:tblPr>
        <w:tblW w:w="3840" w:type="dxa"/>
        <w:jc w:val="center"/>
        <w:tblLook w:val="04A0" w:firstRow="1" w:lastRow="0" w:firstColumn="1" w:lastColumn="0" w:noHBand="0" w:noVBand="1"/>
      </w:tblPr>
      <w:tblGrid>
        <w:gridCol w:w="960"/>
        <w:gridCol w:w="960"/>
        <w:gridCol w:w="960"/>
        <w:gridCol w:w="960"/>
      </w:tblGrid>
      <w:tr w:rsidRPr="00351100" w:rsidR="00242ED8" w:rsidTr="005301BC">
        <w:trPr>
          <w:trHeight w:val="300"/>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51100" w:rsidR="00242ED8" w:rsidP="005301BC" w:rsidRDefault="00242ED8">
            <w:pPr>
              <w:pStyle w:val="NormalWeb"/>
              <w:jc w:val="center"/>
              <w:rPr>
                <w:b/>
                <w:color w:val="auto"/>
              </w:rPr>
            </w:pPr>
            <w:r w:rsidRPr="00351100">
              <w:rPr>
                <w:b/>
                <w:color w:val="auto"/>
              </w:rPr>
              <w:t>2019</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351100" w:rsidR="00242ED8" w:rsidP="005301BC" w:rsidRDefault="00242ED8">
            <w:pPr>
              <w:pStyle w:val="NormalWeb"/>
              <w:jc w:val="center"/>
              <w:rPr>
                <w:b/>
                <w:color w:val="auto"/>
              </w:rPr>
            </w:pPr>
            <w:r w:rsidRPr="00351100">
              <w:rPr>
                <w:b/>
                <w:color w:val="auto"/>
              </w:rPr>
              <w:t>2018</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351100" w:rsidR="00242ED8" w:rsidP="005301BC" w:rsidRDefault="00242ED8">
            <w:pPr>
              <w:pStyle w:val="NormalWeb"/>
              <w:jc w:val="center"/>
              <w:rPr>
                <w:b/>
                <w:color w:val="auto"/>
              </w:rPr>
            </w:pPr>
            <w:r w:rsidRPr="00351100">
              <w:rPr>
                <w:b/>
                <w:color w:val="auto"/>
              </w:rPr>
              <w:t>2017</w:t>
            </w:r>
          </w:p>
        </w:tc>
        <w:tc>
          <w:tcPr>
            <w:tcW w:w="960" w:type="dxa"/>
            <w:tcBorders>
              <w:top w:val="single" w:color="auto" w:sz="4" w:space="0"/>
              <w:left w:val="nil"/>
              <w:bottom w:val="single" w:color="auto" w:sz="4" w:space="0"/>
              <w:right w:val="single" w:color="auto" w:sz="4" w:space="0"/>
            </w:tcBorders>
            <w:vAlign w:val="bottom"/>
          </w:tcPr>
          <w:p w:rsidRPr="00351100" w:rsidR="00242ED8" w:rsidP="005301BC" w:rsidRDefault="00242ED8">
            <w:pPr>
              <w:pStyle w:val="NormalWeb"/>
              <w:jc w:val="center"/>
              <w:rPr>
                <w:b/>
                <w:color w:val="auto"/>
              </w:rPr>
            </w:pPr>
            <w:r>
              <w:rPr>
                <w:b/>
                <w:color w:val="auto"/>
              </w:rPr>
              <w:t>2016</w:t>
            </w:r>
          </w:p>
        </w:tc>
      </w:tr>
      <w:tr w:rsidRPr="00351100" w:rsidR="00242ED8" w:rsidTr="005301BC">
        <w:trPr>
          <w:trHeight w:val="300"/>
          <w:jc w:val="center"/>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351100" w:rsidR="00242ED8" w:rsidP="005301BC" w:rsidRDefault="00D85DDD">
            <w:pPr>
              <w:pStyle w:val="NormalWeb"/>
              <w:jc w:val="center"/>
              <w:rPr>
                <w:color w:val="auto"/>
              </w:rPr>
            </w:pPr>
            <w:r>
              <w:rPr>
                <w:color w:val="auto"/>
              </w:rPr>
              <w:t>7,629</w:t>
            </w:r>
          </w:p>
        </w:tc>
        <w:tc>
          <w:tcPr>
            <w:tcW w:w="960" w:type="dxa"/>
            <w:tcBorders>
              <w:top w:val="nil"/>
              <w:left w:val="nil"/>
              <w:bottom w:val="single" w:color="auto" w:sz="4" w:space="0"/>
              <w:right w:val="single" w:color="auto" w:sz="4" w:space="0"/>
            </w:tcBorders>
            <w:shd w:val="clear" w:color="auto" w:fill="auto"/>
            <w:noWrap/>
            <w:vAlign w:val="bottom"/>
            <w:hideMark/>
          </w:tcPr>
          <w:p w:rsidRPr="00351100" w:rsidR="00242ED8" w:rsidP="005301BC" w:rsidRDefault="00242ED8">
            <w:pPr>
              <w:pStyle w:val="NormalWeb"/>
              <w:jc w:val="center"/>
              <w:rPr>
                <w:color w:val="auto"/>
              </w:rPr>
            </w:pPr>
            <w:r>
              <w:rPr>
                <w:color w:val="auto"/>
              </w:rPr>
              <w:t>7,960</w:t>
            </w:r>
          </w:p>
        </w:tc>
        <w:tc>
          <w:tcPr>
            <w:tcW w:w="960" w:type="dxa"/>
            <w:tcBorders>
              <w:top w:val="nil"/>
              <w:left w:val="nil"/>
              <w:bottom w:val="single" w:color="auto" w:sz="4" w:space="0"/>
              <w:right w:val="single" w:color="auto" w:sz="4" w:space="0"/>
            </w:tcBorders>
            <w:shd w:val="clear" w:color="auto" w:fill="auto"/>
            <w:noWrap/>
            <w:vAlign w:val="bottom"/>
            <w:hideMark/>
          </w:tcPr>
          <w:p w:rsidRPr="00351100" w:rsidR="00242ED8" w:rsidP="005301BC" w:rsidRDefault="00242ED8">
            <w:pPr>
              <w:pStyle w:val="NormalWeb"/>
              <w:jc w:val="center"/>
              <w:rPr>
                <w:color w:val="auto"/>
              </w:rPr>
            </w:pPr>
            <w:r>
              <w:rPr>
                <w:color w:val="auto"/>
              </w:rPr>
              <w:t>8,417</w:t>
            </w:r>
          </w:p>
        </w:tc>
        <w:tc>
          <w:tcPr>
            <w:tcW w:w="960" w:type="dxa"/>
            <w:tcBorders>
              <w:top w:val="nil"/>
              <w:left w:val="nil"/>
              <w:bottom w:val="single" w:color="auto" w:sz="4" w:space="0"/>
              <w:right w:val="single" w:color="auto" w:sz="4" w:space="0"/>
            </w:tcBorders>
            <w:vAlign w:val="bottom"/>
          </w:tcPr>
          <w:p w:rsidRPr="00351100" w:rsidR="00242ED8" w:rsidP="005301BC" w:rsidRDefault="00E702C6">
            <w:pPr>
              <w:pStyle w:val="NormalWeb"/>
              <w:jc w:val="center"/>
              <w:rPr>
                <w:color w:val="auto"/>
              </w:rPr>
            </w:pPr>
            <w:r>
              <w:rPr>
                <w:color w:val="auto"/>
              </w:rPr>
              <w:t>8,898</w:t>
            </w:r>
          </w:p>
        </w:tc>
      </w:tr>
    </w:tbl>
    <w:p w:rsidR="00242ED8" w:rsidP="004E717A" w:rsidRDefault="00195B3B">
      <w:pPr>
        <w:pStyle w:val="NormalWeb"/>
        <w:rPr>
          <w:b/>
          <w:bCs/>
          <w:color w:val="auto"/>
        </w:rPr>
      </w:pPr>
      <w:r>
        <w:rPr>
          <w:b/>
          <w:bCs/>
          <w:color w:val="auto"/>
        </w:rPr>
        <w:t>Analysis</w:t>
      </w:r>
    </w:p>
    <w:p w:rsidR="00E577F2" w:rsidP="004E717A" w:rsidRDefault="00195B3B">
      <w:pPr>
        <w:pStyle w:val="NormalWeb"/>
        <w:rPr>
          <w:bCs/>
          <w:color w:val="auto"/>
        </w:rPr>
      </w:pPr>
      <w:r>
        <w:rPr>
          <w:bCs/>
          <w:color w:val="auto"/>
        </w:rPr>
        <w:t xml:space="preserve">Census Bureau analysts review the company-level and industry-level </w:t>
      </w:r>
      <w:r w:rsidR="001A0301">
        <w:rPr>
          <w:bCs/>
          <w:color w:val="auto"/>
        </w:rPr>
        <w:t>data</w:t>
      </w:r>
      <w:r>
        <w:rPr>
          <w:bCs/>
          <w:color w:val="auto"/>
        </w:rPr>
        <w:t xml:space="preserve"> for accuracy. The analysis performed includes (but is not limited to) comparing </w:t>
      </w:r>
      <w:r w:rsidR="00D86CE4">
        <w:rPr>
          <w:bCs/>
          <w:color w:val="auto"/>
        </w:rPr>
        <w:t xml:space="preserve">a company’s </w:t>
      </w:r>
      <w:r>
        <w:rPr>
          <w:bCs/>
          <w:color w:val="auto"/>
        </w:rPr>
        <w:t>data for the current year again</w:t>
      </w:r>
      <w:r w:rsidR="00D86CE4">
        <w:rPr>
          <w:bCs/>
          <w:color w:val="auto"/>
        </w:rPr>
        <w:t>st</w:t>
      </w:r>
      <w:r>
        <w:rPr>
          <w:bCs/>
          <w:color w:val="auto"/>
        </w:rPr>
        <w:t xml:space="preserve"> </w:t>
      </w:r>
      <w:r w:rsidR="00D86CE4">
        <w:rPr>
          <w:bCs/>
          <w:color w:val="auto"/>
        </w:rPr>
        <w:t>its historical data</w:t>
      </w:r>
      <w:r>
        <w:rPr>
          <w:bCs/>
          <w:color w:val="auto"/>
        </w:rPr>
        <w:t xml:space="preserve">, investigating differences between the industry-level estimates generated from the Monthly Wholesale Trade Survey (MWTS) and </w:t>
      </w:r>
      <w:r w:rsidR="00DE35D1">
        <w:rPr>
          <w:bCs/>
          <w:color w:val="auto"/>
        </w:rPr>
        <w:t xml:space="preserve">the </w:t>
      </w:r>
      <w:r>
        <w:rPr>
          <w:bCs/>
          <w:color w:val="auto"/>
        </w:rPr>
        <w:t xml:space="preserve">AWTS, and </w:t>
      </w:r>
      <w:r w:rsidR="00D86CE4">
        <w:rPr>
          <w:bCs/>
          <w:color w:val="auto"/>
        </w:rPr>
        <w:t>reviewing records that are displaying unusual behavior (e.g., operating expenses that are greater than sales). When analysts are</w:t>
      </w:r>
      <w:r w:rsidR="00DE35D1">
        <w:rPr>
          <w:bCs/>
          <w:color w:val="auto"/>
        </w:rPr>
        <w:t xml:space="preserve"> unable to validate certain information</w:t>
      </w:r>
      <w:r w:rsidR="00D86CE4">
        <w:rPr>
          <w:bCs/>
          <w:color w:val="auto"/>
        </w:rPr>
        <w:t xml:space="preserve"> through their own research, they sometimes have to contact respondents to </w:t>
      </w:r>
      <w:r w:rsidR="00E577F2">
        <w:rPr>
          <w:bCs/>
          <w:color w:val="auto"/>
        </w:rPr>
        <w:t xml:space="preserve">obtain an </w:t>
      </w:r>
      <w:r w:rsidR="00DE35D1">
        <w:rPr>
          <w:bCs/>
          <w:color w:val="auto"/>
        </w:rPr>
        <w:t>explanation</w:t>
      </w:r>
      <w:r w:rsidR="00E577F2">
        <w:rPr>
          <w:bCs/>
          <w:color w:val="auto"/>
        </w:rPr>
        <w:t>.</w:t>
      </w:r>
    </w:p>
    <w:p w:rsidR="00DD4C90" w:rsidP="00297D23" w:rsidRDefault="00DD4C90">
      <w:pPr>
        <w:pStyle w:val="NormalWeb"/>
        <w:rPr>
          <w:b/>
          <w:bCs/>
          <w:color w:val="auto"/>
        </w:rPr>
      </w:pPr>
    </w:p>
    <w:p w:rsidR="00DD4C90" w:rsidP="00297D23" w:rsidRDefault="00DD4C90">
      <w:pPr>
        <w:pStyle w:val="NormalWeb"/>
        <w:rPr>
          <w:b/>
          <w:bCs/>
          <w:color w:val="auto"/>
        </w:rPr>
      </w:pPr>
    </w:p>
    <w:p w:rsidR="00297D23" w:rsidP="00297D23" w:rsidRDefault="00297D23">
      <w:pPr>
        <w:pStyle w:val="NormalWeb"/>
        <w:rPr>
          <w:b/>
          <w:bCs/>
          <w:color w:val="auto"/>
        </w:rPr>
      </w:pPr>
      <w:r>
        <w:rPr>
          <w:b/>
          <w:bCs/>
          <w:color w:val="auto"/>
        </w:rPr>
        <w:lastRenderedPageBreak/>
        <w:t>Nonresponse</w:t>
      </w:r>
    </w:p>
    <w:p w:rsidRPr="00E76B61" w:rsidR="00297D23" w:rsidP="00297D23" w:rsidRDefault="00297D23">
      <w:pPr>
        <w:pStyle w:val="NormalWeb"/>
        <w:rPr>
          <w:color w:val="auto"/>
        </w:rPr>
      </w:pPr>
      <w:r>
        <w:rPr>
          <w:color w:val="auto"/>
        </w:rPr>
        <w:t xml:space="preserve">The Census Bureau </w:t>
      </w:r>
      <w:r w:rsidRPr="00E76B61">
        <w:rPr>
          <w:color w:val="auto"/>
        </w:rPr>
        <w:t>impute</w:t>
      </w:r>
      <w:r>
        <w:rPr>
          <w:color w:val="auto"/>
        </w:rPr>
        <w:t>s</w:t>
      </w:r>
      <w:r w:rsidRPr="00E76B61">
        <w:rPr>
          <w:color w:val="auto"/>
        </w:rPr>
        <w:t xml:space="preserve"> data using survey data and a</w:t>
      </w:r>
      <w:r>
        <w:rPr>
          <w:color w:val="auto"/>
        </w:rPr>
        <w:t>dministrative data for unit non</w:t>
      </w:r>
      <w:r w:rsidRPr="00E76B61">
        <w:rPr>
          <w:color w:val="auto"/>
        </w:rPr>
        <w:t>response, item nonresponse, and for responses that fail computer or analyst edits.</w:t>
      </w:r>
    </w:p>
    <w:p w:rsidR="00297D23" w:rsidP="00297D23" w:rsidRDefault="00297D23">
      <w:pPr>
        <w:pStyle w:val="NormalWeb"/>
        <w:rPr>
          <w:b/>
          <w:bCs/>
          <w:color w:val="auto"/>
        </w:rPr>
      </w:pPr>
      <w:r>
        <w:rPr>
          <w:b/>
          <w:bCs/>
          <w:color w:val="auto"/>
        </w:rPr>
        <w:t>Estimation Procedures</w:t>
      </w:r>
    </w:p>
    <w:p w:rsidRPr="00E76B61" w:rsidR="00297D23" w:rsidP="00297D23" w:rsidRDefault="00297D23">
      <w:pPr>
        <w:pStyle w:val="NormalWeb"/>
        <w:rPr>
          <w:color w:val="auto"/>
        </w:rPr>
      </w:pPr>
      <w:r w:rsidRPr="003311F7">
        <w:rPr>
          <w:color w:val="auto"/>
          <w:lang w:val="en"/>
        </w:rPr>
        <w:t xml:space="preserve">Total estimates </w:t>
      </w:r>
      <w:proofErr w:type="gramStart"/>
      <w:r w:rsidRPr="003311F7">
        <w:rPr>
          <w:color w:val="auto"/>
          <w:lang w:val="en"/>
        </w:rPr>
        <w:t>are computed</w:t>
      </w:r>
      <w:proofErr w:type="gramEnd"/>
      <w:r w:rsidRPr="003311F7">
        <w:rPr>
          <w:color w:val="auto"/>
          <w:lang w:val="en"/>
        </w:rPr>
        <w:t xml:space="preserve"> using the Horvitz-Th</w:t>
      </w:r>
      <w:r>
        <w:rPr>
          <w:color w:val="auto"/>
          <w:lang w:val="en"/>
        </w:rPr>
        <w:t>ompson estimator (</w:t>
      </w:r>
      <w:r w:rsidRPr="003311F7">
        <w:rPr>
          <w:color w:val="auto"/>
          <w:lang w:val="en"/>
        </w:rPr>
        <w:t>i.e.</w:t>
      </w:r>
      <w:r>
        <w:rPr>
          <w:color w:val="auto"/>
          <w:lang w:val="en"/>
        </w:rPr>
        <w:t>,</w:t>
      </w:r>
      <w:r w:rsidRPr="003311F7">
        <w:rPr>
          <w:color w:val="auto"/>
          <w:lang w:val="en"/>
        </w:rPr>
        <w:t xml:space="preserve"> the sum of wei</w:t>
      </w:r>
      <w:r>
        <w:rPr>
          <w:color w:val="auto"/>
          <w:lang w:val="en"/>
        </w:rPr>
        <w:t xml:space="preserve">ghted reported or imputed data) </w:t>
      </w:r>
      <w:r w:rsidRPr="003311F7">
        <w:rPr>
          <w:color w:val="auto"/>
          <w:lang w:val="en"/>
        </w:rPr>
        <w:t xml:space="preserve">for all selected sampling units that meet the sample canvass and tabulation criteria. The weight for a given sampling unit is the reciprocal of its probability of selection into the AWTS sample. These estimates </w:t>
      </w:r>
      <w:proofErr w:type="gramStart"/>
      <w:r w:rsidRPr="003311F7">
        <w:rPr>
          <w:color w:val="auto"/>
          <w:lang w:val="en"/>
        </w:rPr>
        <w:t xml:space="preserve">are </w:t>
      </w:r>
      <w:r>
        <w:rPr>
          <w:color w:val="auto"/>
          <w:lang w:val="en"/>
        </w:rPr>
        <w:t>then adjusted</w:t>
      </w:r>
      <w:proofErr w:type="gramEnd"/>
      <w:r>
        <w:rPr>
          <w:color w:val="auto"/>
          <w:lang w:val="en"/>
        </w:rPr>
        <w:t xml:space="preserve"> through a benchmarking process. The Census Bureau estimates v</w:t>
      </w:r>
      <w:proofErr w:type="spellStart"/>
      <w:r w:rsidRPr="00E76B61">
        <w:rPr>
          <w:color w:val="auto"/>
        </w:rPr>
        <w:t>a</w:t>
      </w:r>
      <w:r>
        <w:rPr>
          <w:color w:val="auto"/>
        </w:rPr>
        <w:t>riances</w:t>
      </w:r>
      <w:proofErr w:type="spellEnd"/>
      <w:r>
        <w:rPr>
          <w:color w:val="auto"/>
        </w:rPr>
        <w:t xml:space="preserve"> for published statistics </w:t>
      </w:r>
      <w:r w:rsidRPr="00E76B61">
        <w:rPr>
          <w:color w:val="auto"/>
        </w:rPr>
        <w:t>using the method of random groups.</w:t>
      </w:r>
    </w:p>
    <w:p w:rsidR="007F268A" w:rsidP="007F268A" w:rsidRDefault="007F268A">
      <w:pPr>
        <w:pStyle w:val="NormalWeb"/>
      </w:pPr>
      <w:r w:rsidRPr="001A3D4A">
        <w:rPr>
          <w:b/>
          <w:bCs/>
        </w:rPr>
        <w:t>Linking Samples</w:t>
      </w:r>
      <w:r w:rsidRPr="001A3D4A">
        <w:t xml:space="preserve"> </w:t>
      </w:r>
    </w:p>
    <w:p w:rsidRPr="001A3D4A" w:rsidR="007F268A" w:rsidP="007F268A" w:rsidRDefault="007F268A">
      <w:pPr>
        <w:pStyle w:val="NormalWeb"/>
      </w:pPr>
      <w:r w:rsidRPr="001A3D4A">
        <w:t xml:space="preserve">As previously mentioned, the current sample </w:t>
      </w:r>
      <w:proofErr w:type="gramStart"/>
      <w:r w:rsidRPr="001A3D4A">
        <w:t>was introduced</w:t>
      </w:r>
      <w:proofErr w:type="gramEnd"/>
      <w:r w:rsidRPr="001A3D4A">
        <w:t xml:space="preserve"> with the 2016 AWTS. This sample </w:t>
      </w:r>
      <w:proofErr w:type="gramStart"/>
      <w:r w:rsidRPr="001A3D4A">
        <w:t>is designed</w:t>
      </w:r>
      <w:proofErr w:type="gramEnd"/>
      <w:r w:rsidRPr="001A3D4A">
        <w:t xml:space="preserve"> to produce estimates based on the 2012 NAICS. All published estimates from the 2015 AWTS were restated from 2007 NAICS definitions to 2012 NAICS definitions. (Definitions changed for NAICS 4236 and 4237.)</w:t>
      </w:r>
    </w:p>
    <w:p w:rsidRPr="001A3D4A" w:rsidR="007F268A" w:rsidP="007F268A" w:rsidRDefault="007F268A">
      <w:pPr>
        <w:pStyle w:val="NormalWeb"/>
      </w:pPr>
      <w:r w:rsidRPr="001A3D4A">
        <w:t>In order to maintain the time series for</w:t>
      </w:r>
      <w:r>
        <w:t xml:space="preserve"> each industry, an operation </w:t>
      </w:r>
      <w:proofErr w:type="gramStart"/>
      <w:r>
        <w:t>i</w:t>
      </w:r>
      <w:r w:rsidRPr="001A3D4A">
        <w:t>s performed</w:t>
      </w:r>
      <w:proofErr w:type="gramEnd"/>
      <w:r w:rsidRPr="001A3D4A">
        <w:t xml:space="preserve"> to link estimates from the prior and new samples. For the linking operation to occur, two years of data </w:t>
      </w:r>
      <w:proofErr w:type="gramStart"/>
      <w:r w:rsidRPr="001A3D4A">
        <w:t>were collected</w:t>
      </w:r>
      <w:proofErr w:type="gramEnd"/>
      <w:r w:rsidRPr="001A3D4A">
        <w:t xml:space="preserve"> (2015 and 2016) from units in the new sample.</w:t>
      </w:r>
    </w:p>
    <w:p w:rsidRPr="001A3D4A" w:rsidR="007F268A" w:rsidP="007F268A" w:rsidRDefault="007F268A">
      <w:pPr>
        <w:pStyle w:val="NormalWeb"/>
      </w:pPr>
      <w:r w:rsidRPr="001A3D4A">
        <w:t xml:space="preserve">Sales estimates from the new sample for reference year 2015 and subsequent years </w:t>
      </w:r>
      <w:proofErr w:type="gramStart"/>
      <w:r w:rsidRPr="001A3D4A">
        <w:t>are linked</w:t>
      </w:r>
      <w:proofErr w:type="gramEnd"/>
      <w:r w:rsidRPr="001A3D4A">
        <w:t xml:space="preserve"> to the restated prior sample estimates by multiplying the Horvitz-Thompson estimates from the new sample by a ratio. The ratio </w:t>
      </w:r>
      <w:proofErr w:type="gramStart"/>
      <w:r w:rsidRPr="001A3D4A">
        <w:t>is calculated</w:t>
      </w:r>
      <w:proofErr w:type="gramEnd"/>
      <w:r w:rsidRPr="001A3D4A">
        <w:t xml:space="preserve"> as follows:</w:t>
      </w:r>
    </w:p>
    <w:p w:rsidRPr="001A3D4A" w:rsidR="007F268A" w:rsidP="007F268A" w:rsidRDefault="007F268A">
      <w:pPr>
        <w:pStyle w:val="NormalWeb"/>
        <w:numPr>
          <w:ilvl w:val="0"/>
          <w:numId w:val="4"/>
        </w:numPr>
      </w:pPr>
      <w:r w:rsidRPr="001A3D4A">
        <w:t>The numerator is the 2015 published, census-adjusted (based on the 2012 Economic Census) sales estimate for the industry restated on a 2012 NAICS basis from the prior sample.</w:t>
      </w:r>
    </w:p>
    <w:p w:rsidRPr="001A3D4A" w:rsidR="007F268A" w:rsidP="007F268A" w:rsidRDefault="007F268A">
      <w:pPr>
        <w:pStyle w:val="NormalWeb"/>
        <w:numPr>
          <w:ilvl w:val="0"/>
          <w:numId w:val="4"/>
        </w:numPr>
      </w:pPr>
      <w:r w:rsidRPr="001A3D4A">
        <w:t>The denominator is the 2015 Horvitz-Thompson sales estimate for the industry on a 2012 NAICS basis from the new sample.</w:t>
      </w:r>
    </w:p>
    <w:p w:rsidRPr="001A3D4A" w:rsidR="007F268A" w:rsidP="007F268A" w:rsidRDefault="007F268A">
      <w:pPr>
        <w:pStyle w:val="NormalWeb"/>
      </w:pPr>
      <w:r w:rsidRPr="001A3D4A">
        <w:t xml:space="preserve">The resulting sales estimates (called “modified” sales estimates) are implicitly benchmarked to 2012 Economic Census results via this linking procedure. </w:t>
      </w:r>
    </w:p>
    <w:p w:rsidRPr="001A3D4A" w:rsidR="007F268A" w:rsidP="007F268A" w:rsidRDefault="007F268A">
      <w:pPr>
        <w:pStyle w:val="NormalWeb"/>
      </w:pPr>
      <w:r w:rsidRPr="001A3D4A">
        <w:t xml:space="preserve">The following method is used to produce modified estimates for end-of-year inventories, purchases, </w:t>
      </w:r>
      <w:r w:rsidRPr="00A45177">
        <w:rPr>
          <w:rFonts w:ascii="K" w:hAnsi="K"/>
        </w:rPr>
        <w:t>gross selling value, sales on own account,</w:t>
      </w:r>
      <w:r w:rsidRPr="001A3D4A">
        <w:t xml:space="preserve"> and e-commerce. </w:t>
      </w:r>
      <w:r>
        <w:t>First</w:t>
      </w:r>
      <w:r w:rsidRPr="001A3D4A">
        <w:t xml:space="preserve">, the sales ratio described above </w:t>
      </w:r>
      <w:proofErr w:type="gramStart"/>
      <w:r w:rsidRPr="001A3D4A">
        <w:t>is multiplied</w:t>
      </w:r>
      <w:proofErr w:type="gramEnd"/>
      <w:r w:rsidRPr="001A3D4A">
        <w:t xml:space="preserve"> by the Horvitz-Thompson estimate for the given item for</w:t>
      </w:r>
      <w:r>
        <w:t xml:space="preserve"> 2015 and subsequent years. Then</w:t>
      </w:r>
      <w:r w:rsidRPr="001A3D4A">
        <w:t xml:space="preserve">, the published estimates for 2007 through 2015 from the prior sample </w:t>
      </w:r>
      <w:proofErr w:type="gramStart"/>
      <w:r w:rsidRPr="001A3D4A">
        <w:t>are input</w:t>
      </w:r>
      <w:proofErr w:type="gramEnd"/>
      <w:r w:rsidRPr="001A3D4A">
        <w:t xml:space="preserve"> into the benchmarking program. Using this program, the estimates for 2008 through 2015 for each detailed industry </w:t>
      </w:r>
      <w:proofErr w:type="gramStart"/>
      <w:r w:rsidRPr="001A3D4A">
        <w:t>are revised</w:t>
      </w:r>
      <w:proofErr w:type="gramEnd"/>
      <w:r w:rsidRPr="001A3D4A">
        <w:t xml:space="preserve"> in a manner that:</w:t>
      </w:r>
    </w:p>
    <w:p w:rsidRPr="001A3D4A" w:rsidR="007F268A" w:rsidP="007F268A" w:rsidRDefault="007F268A">
      <w:pPr>
        <w:pStyle w:val="NormalWeb"/>
        <w:numPr>
          <w:ilvl w:val="0"/>
          <w:numId w:val="5"/>
        </w:numPr>
      </w:pPr>
      <w:proofErr w:type="gramStart"/>
      <w:r>
        <w:lastRenderedPageBreak/>
        <w:t>u</w:t>
      </w:r>
      <w:r w:rsidRPr="001A3D4A">
        <w:t>ses</w:t>
      </w:r>
      <w:proofErr w:type="gramEnd"/>
      <w:r w:rsidRPr="001A3D4A">
        <w:t xml:space="preserve"> the benchmarked estimate for 2007 from the prior sample as a constraint, resulting in no revision to the 2007 estimate.</w:t>
      </w:r>
    </w:p>
    <w:p w:rsidRPr="001A3D4A" w:rsidR="007F268A" w:rsidP="007F268A" w:rsidRDefault="007F268A">
      <w:pPr>
        <w:pStyle w:val="NormalWeb"/>
        <w:numPr>
          <w:ilvl w:val="0"/>
          <w:numId w:val="5"/>
        </w:numPr>
      </w:pPr>
      <w:proofErr w:type="gramStart"/>
      <w:r>
        <w:t>uses</w:t>
      </w:r>
      <w:proofErr w:type="gramEnd"/>
      <w:r>
        <w:t xml:space="preserve"> the </w:t>
      </w:r>
      <w:r w:rsidRPr="001A3D4A">
        <w:t>modified</w:t>
      </w:r>
      <w:r>
        <w:t xml:space="preserve"> </w:t>
      </w:r>
      <w:r w:rsidRPr="001A3D4A">
        <w:t>estimate for 2015 from the new sample as a constraint.</w:t>
      </w:r>
    </w:p>
    <w:p w:rsidR="007F268A" w:rsidP="007F268A" w:rsidRDefault="007F268A">
      <w:pPr>
        <w:pStyle w:val="NormalWeb"/>
        <w:numPr>
          <w:ilvl w:val="0"/>
          <w:numId w:val="5"/>
        </w:numPr>
      </w:pPr>
      <w:proofErr w:type="gramStart"/>
      <w:r>
        <w:t>m</w:t>
      </w:r>
      <w:r w:rsidRPr="001A3D4A">
        <w:t>inimizes</w:t>
      </w:r>
      <w:proofErr w:type="gramEnd"/>
      <w:r w:rsidRPr="001A3D4A">
        <w:t xml:space="preserve"> the sum of squared differences between the year-to-year changes of the input and revised estimates for 2008 through 2015.</w:t>
      </w:r>
    </w:p>
    <w:p w:rsidRPr="001A3D4A" w:rsidR="007F268A" w:rsidP="007F268A" w:rsidRDefault="007F268A">
      <w:pPr>
        <w:pStyle w:val="NormalWeb"/>
        <w:numPr>
          <w:ilvl w:val="0"/>
          <w:numId w:val="5"/>
        </w:numPr>
      </w:pPr>
      <w:proofErr w:type="gramStart"/>
      <w:r>
        <w:t>for</w:t>
      </w:r>
      <w:proofErr w:type="gramEnd"/>
      <w:r>
        <w:t xml:space="preserve"> agents and brokers, rakes the gross selling value and sales on own account to the sales estimate total for 2008 through 2015.</w:t>
      </w:r>
    </w:p>
    <w:p w:rsidR="007F268A" w:rsidP="007F268A" w:rsidRDefault="007F268A">
      <w:pPr>
        <w:pStyle w:val="NormalWeb"/>
      </w:pPr>
      <w:r w:rsidRPr="001A3D4A">
        <w:t xml:space="preserve">A similar method </w:t>
      </w:r>
      <w:proofErr w:type="gramStart"/>
      <w:r w:rsidRPr="001A3D4A">
        <w:t>is used</w:t>
      </w:r>
      <w:proofErr w:type="gramEnd"/>
      <w:r w:rsidRPr="001A3D4A">
        <w:t xml:space="preserve"> for total operating expenses, only using the benchmarked estimate for 2012 from the prior sample as a constraint instead of 2007.</w:t>
      </w:r>
      <w:r>
        <w:t xml:space="preserve"> </w:t>
      </w:r>
    </w:p>
    <w:p w:rsidRPr="001A3D4A" w:rsidR="007F268A" w:rsidP="007F268A" w:rsidRDefault="007F268A">
      <w:pPr>
        <w:pStyle w:val="NormalWeb"/>
      </w:pPr>
      <w:r>
        <w:t xml:space="preserve">For </w:t>
      </w:r>
      <w:r w:rsidRPr="00441E41">
        <w:t>agents, brokers, and business electronic markets</w:t>
      </w:r>
      <w:r>
        <w:t>,</w:t>
      </w:r>
      <w:r w:rsidRPr="00A24612">
        <w:t xml:space="preserve"> </w:t>
      </w:r>
      <w:r>
        <w:t>to ensure consistency with total sales, the benchmarked gross selling value and the sales on own account are raked to the benchmarked total sales estimate. This is done by calculating the proportion of gross selling value and sales on own account to total</w:t>
      </w:r>
      <w:r w:rsidR="00925B06">
        <w:t xml:space="preserve"> sales and</w:t>
      </w:r>
      <w:r>
        <w:t xml:space="preserve"> then applying each of these proportions to the benchmarked total sales to get the corresponding benchmarked estimates for gross selling value and sales on own account.</w:t>
      </w:r>
    </w:p>
    <w:p w:rsidRPr="001A3D4A" w:rsidR="007F268A" w:rsidP="007F268A" w:rsidRDefault="007F268A">
      <w:pPr>
        <w:pStyle w:val="NormalWeb"/>
      </w:pPr>
      <w:r w:rsidRPr="001A3D4A">
        <w:t xml:space="preserve">Modified estimates at aggregate industry levels </w:t>
      </w:r>
      <w:proofErr w:type="gramStart"/>
      <w:r w:rsidRPr="001A3D4A">
        <w:t>are computed</w:t>
      </w:r>
      <w:proofErr w:type="gramEnd"/>
      <w:r w:rsidRPr="001A3D4A">
        <w:t xml:space="preserve"> by summing the modified estimates for the appropriate detailed industries comprising the aggregates.</w:t>
      </w:r>
    </w:p>
    <w:p w:rsidRPr="00E76B61" w:rsidR="007F268A" w:rsidP="007F268A" w:rsidRDefault="007F268A">
      <w:pPr>
        <w:pStyle w:val="NormalWeb"/>
      </w:pPr>
      <w:r w:rsidRPr="00EB6F16">
        <w:rPr>
          <w:lang w:val="en"/>
        </w:rPr>
        <w:t xml:space="preserve">The AWTS estimates </w:t>
      </w:r>
      <w:proofErr w:type="gramStart"/>
      <w:r w:rsidRPr="00EB6F16">
        <w:rPr>
          <w:lang w:val="en"/>
        </w:rPr>
        <w:t>are also benchmarked</w:t>
      </w:r>
      <w:proofErr w:type="gramEnd"/>
      <w:r w:rsidRPr="00EB6F16">
        <w:rPr>
          <w:lang w:val="en"/>
        </w:rPr>
        <w:t xml:space="preserve"> to the 2017 Economic Census results.  </w:t>
      </w:r>
    </w:p>
    <w:p w:rsidRPr="008C7E6F" w:rsidR="007F268A" w:rsidP="007F268A" w:rsidRDefault="007F268A">
      <w:pPr>
        <w:spacing w:before="100" w:beforeAutospacing="1" w:after="100" w:afterAutospacing="1"/>
        <w:rPr>
          <w:lang w:val="en"/>
        </w:rPr>
      </w:pPr>
      <w:r w:rsidRPr="008C7E6F">
        <w:rPr>
          <w:b/>
          <w:bCs/>
          <w:lang w:val="en"/>
        </w:rPr>
        <w:t>Benchmarking</w:t>
      </w:r>
      <w:r w:rsidRPr="008C7E6F">
        <w:rPr>
          <w:lang w:val="en"/>
        </w:rPr>
        <w:t xml:space="preserve"> </w:t>
      </w:r>
    </w:p>
    <w:p w:rsidR="0085283B" w:rsidP="007F268A" w:rsidRDefault="007F268A">
      <w:pPr>
        <w:spacing w:before="100" w:beforeAutospacing="1" w:after="100" w:afterAutospacing="1"/>
        <w:rPr>
          <w:lang w:val="en"/>
        </w:rPr>
      </w:pPr>
      <w:r>
        <w:rPr>
          <w:lang w:val="en"/>
        </w:rPr>
        <w:t>Results of the 2017</w:t>
      </w:r>
      <w:r w:rsidRPr="008C7E6F">
        <w:rPr>
          <w:lang w:val="en"/>
        </w:rPr>
        <w:t xml:space="preserve"> Economic Census </w:t>
      </w:r>
      <w:proofErr w:type="gramStart"/>
      <w:r w:rsidRPr="008C7E6F">
        <w:rPr>
          <w:lang w:val="en"/>
        </w:rPr>
        <w:t>are used</w:t>
      </w:r>
      <w:proofErr w:type="gramEnd"/>
      <w:r w:rsidRPr="008C7E6F">
        <w:rPr>
          <w:lang w:val="en"/>
        </w:rPr>
        <w:t xml:space="preserve"> to benchmark </w:t>
      </w:r>
      <w:r w:rsidR="0085283B">
        <w:rPr>
          <w:lang w:val="en"/>
        </w:rPr>
        <w:t xml:space="preserve">the </w:t>
      </w:r>
      <w:r w:rsidRPr="008C7E6F">
        <w:rPr>
          <w:lang w:val="en"/>
        </w:rPr>
        <w:t xml:space="preserve">AWTS estimates. </w:t>
      </w:r>
      <w:r>
        <w:rPr>
          <w:lang w:val="en"/>
        </w:rPr>
        <w:t xml:space="preserve">Due to the uncertainties of a new sample, some details described herein could change. </w:t>
      </w:r>
    </w:p>
    <w:p w:rsidRPr="008C7E6F" w:rsidR="007F268A" w:rsidP="007F268A" w:rsidRDefault="007F268A">
      <w:pPr>
        <w:spacing w:before="100" w:beforeAutospacing="1" w:after="100" w:afterAutospacing="1"/>
        <w:rPr>
          <w:lang w:val="en"/>
        </w:rPr>
      </w:pPr>
      <w:r w:rsidRPr="008C7E6F">
        <w:rPr>
          <w:lang w:val="en"/>
        </w:rPr>
        <w:t xml:space="preserve">Sales estimates </w:t>
      </w:r>
      <w:proofErr w:type="gramStart"/>
      <w:r w:rsidRPr="008C7E6F">
        <w:rPr>
          <w:lang w:val="en"/>
        </w:rPr>
        <w:t>are input</w:t>
      </w:r>
      <w:proofErr w:type="gramEnd"/>
      <w:r w:rsidRPr="008C7E6F">
        <w:rPr>
          <w:lang w:val="en"/>
        </w:rPr>
        <w:t xml:space="preserve"> to the benchmarking program and are revised in a manner that:</w:t>
      </w:r>
    </w:p>
    <w:p w:rsidRPr="008C7E6F" w:rsidR="007F268A" w:rsidP="007F268A" w:rsidRDefault="001C5C30">
      <w:pPr>
        <w:numPr>
          <w:ilvl w:val="0"/>
          <w:numId w:val="10"/>
        </w:numPr>
        <w:spacing w:before="100" w:beforeAutospacing="1" w:after="100" w:afterAutospacing="1"/>
        <w:rPr>
          <w:lang w:val="en"/>
        </w:rPr>
      </w:pPr>
      <w:proofErr w:type="gramStart"/>
      <w:r>
        <w:rPr>
          <w:lang w:val="en"/>
        </w:rPr>
        <w:t>u</w:t>
      </w:r>
      <w:r w:rsidR="007F268A">
        <w:rPr>
          <w:lang w:val="en"/>
        </w:rPr>
        <w:t>ses</w:t>
      </w:r>
      <w:proofErr w:type="gramEnd"/>
      <w:r w:rsidR="007F268A">
        <w:rPr>
          <w:lang w:val="en"/>
        </w:rPr>
        <w:t xml:space="preserve"> the 2017 </w:t>
      </w:r>
      <w:r w:rsidRPr="008C7E6F" w:rsidR="007F268A">
        <w:rPr>
          <w:lang w:val="en"/>
        </w:rPr>
        <w:t>Economic Census sales total as a constrai</w:t>
      </w:r>
      <w:r w:rsidR="007F268A">
        <w:rPr>
          <w:lang w:val="en"/>
        </w:rPr>
        <w:t>nt, along with the existing 2012</w:t>
      </w:r>
      <w:r w:rsidRPr="008C7E6F" w:rsidR="007F268A">
        <w:rPr>
          <w:lang w:val="en"/>
        </w:rPr>
        <w:t xml:space="preserve"> modified sales estimate, whi</w:t>
      </w:r>
      <w:r w:rsidR="007F268A">
        <w:rPr>
          <w:lang w:val="en"/>
        </w:rPr>
        <w:t>ch is already linked to the 2012</w:t>
      </w:r>
      <w:r w:rsidRPr="008C7E6F" w:rsidR="007F268A">
        <w:rPr>
          <w:lang w:val="en"/>
        </w:rPr>
        <w:t xml:space="preserve"> Economic Census. </w:t>
      </w:r>
    </w:p>
    <w:p w:rsidRPr="008C7E6F" w:rsidR="007F268A" w:rsidP="007F268A" w:rsidRDefault="001C5C30">
      <w:pPr>
        <w:numPr>
          <w:ilvl w:val="0"/>
          <w:numId w:val="10"/>
        </w:numPr>
        <w:spacing w:before="100" w:beforeAutospacing="1" w:after="100" w:afterAutospacing="1"/>
        <w:rPr>
          <w:lang w:val="en"/>
        </w:rPr>
      </w:pPr>
      <w:proofErr w:type="gramStart"/>
      <w:r>
        <w:rPr>
          <w:lang w:val="en"/>
        </w:rPr>
        <w:t>m</w:t>
      </w:r>
      <w:r w:rsidRPr="008C7E6F" w:rsidR="007F268A">
        <w:rPr>
          <w:lang w:val="en"/>
        </w:rPr>
        <w:t>inimizes</w:t>
      </w:r>
      <w:proofErr w:type="gramEnd"/>
      <w:r w:rsidRPr="008C7E6F" w:rsidR="007F268A">
        <w:rPr>
          <w:lang w:val="en"/>
        </w:rPr>
        <w:t xml:space="preserve"> the sum of squared differences between the year-to-year changes of the inpu</w:t>
      </w:r>
      <w:r w:rsidR="007F268A">
        <w:rPr>
          <w:lang w:val="en"/>
        </w:rPr>
        <w:t>t and revised estimates for 2013 through 2019</w:t>
      </w:r>
      <w:r w:rsidRPr="008C7E6F" w:rsidR="007F268A">
        <w:rPr>
          <w:lang w:val="en"/>
        </w:rPr>
        <w:t xml:space="preserve">. </w:t>
      </w:r>
    </w:p>
    <w:p w:rsidRPr="008C7E6F" w:rsidR="007F268A" w:rsidP="007F268A" w:rsidRDefault="007F268A">
      <w:pPr>
        <w:spacing w:before="100" w:beforeAutospacing="1" w:after="100" w:afterAutospacing="1"/>
        <w:rPr>
          <w:lang w:val="en"/>
        </w:rPr>
      </w:pPr>
      <w:r w:rsidRPr="008C7E6F">
        <w:rPr>
          <w:lang w:val="en"/>
        </w:rPr>
        <w:t xml:space="preserve">The process </w:t>
      </w:r>
      <w:proofErr w:type="gramStart"/>
      <w:r w:rsidRPr="008C7E6F">
        <w:rPr>
          <w:lang w:val="en"/>
        </w:rPr>
        <w:t>is applied</w:t>
      </w:r>
      <w:proofErr w:type="gramEnd"/>
      <w:r w:rsidRPr="008C7E6F">
        <w:rPr>
          <w:lang w:val="en"/>
        </w:rPr>
        <w:t xml:space="preserve"> separately to merchant wholesalers except </w:t>
      </w:r>
      <w:r w:rsidRPr="00E76B61" w:rsidR="0085283B">
        <w:rPr>
          <w:color w:val="auto"/>
        </w:rPr>
        <w:t>manufacturers’ sales branche</w:t>
      </w:r>
      <w:r w:rsidR="0085283B">
        <w:rPr>
          <w:color w:val="auto"/>
        </w:rPr>
        <w:t>s and offices</w:t>
      </w:r>
      <w:r w:rsidR="0085283B">
        <w:rPr>
          <w:lang w:val="en"/>
        </w:rPr>
        <w:t xml:space="preserve"> and to </w:t>
      </w:r>
      <w:r w:rsidRPr="00E76B61" w:rsidR="0085283B">
        <w:rPr>
          <w:color w:val="auto"/>
        </w:rPr>
        <w:t>manufacturers’ sales branche</w:t>
      </w:r>
      <w:r w:rsidR="0085283B">
        <w:rPr>
          <w:color w:val="auto"/>
        </w:rPr>
        <w:t>s and offices</w:t>
      </w:r>
      <w:r w:rsidRPr="008C7E6F">
        <w:rPr>
          <w:lang w:val="en"/>
        </w:rPr>
        <w:t xml:space="preserve">. The same process is applied to </w:t>
      </w:r>
      <w:r w:rsidRPr="00E76B61" w:rsidR="00DC1F4E">
        <w:rPr>
          <w:color w:val="auto"/>
        </w:rPr>
        <w:t>agents, brokers, and business electronic markets</w:t>
      </w:r>
      <w:r w:rsidRPr="008C7E6F" w:rsidR="00DC1F4E">
        <w:rPr>
          <w:lang w:val="en"/>
        </w:rPr>
        <w:t xml:space="preserve"> </w:t>
      </w:r>
      <w:r w:rsidRPr="008C7E6F">
        <w:rPr>
          <w:lang w:val="en"/>
        </w:rPr>
        <w:t xml:space="preserve">(NAICS 425) using sales estimates defined as gross selling value plus </w:t>
      </w:r>
      <w:r>
        <w:rPr>
          <w:lang w:val="en"/>
        </w:rPr>
        <w:t>sales on own account. T</w:t>
      </w:r>
      <w:r w:rsidRPr="008C7E6F">
        <w:rPr>
          <w:lang w:val="en"/>
        </w:rPr>
        <w:t xml:space="preserve">he estimates output from this operation </w:t>
      </w:r>
      <w:proofErr w:type="gramStart"/>
      <w:r>
        <w:rPr>
          <w:lang w:val="en"/>
        </w:rPr>
        <w:t>are referred</w:t>
      </w:r>
      <w:proofErr w:type="gramEnd"/>
      <w:r>
        <w:rPr>
          <w:lang w:val="en"/>
        </w:rPr>
        <w:t xml:space="preserve"> to </w:t>
      </w:r>
      <w:r w:rsidRPr="008C7E6F">
        <w:rPr>
          <w:lang w:val="en"/>
        </w:rPr>
        <w:t xml:space="preserve">as “benchmarked.” </w:t>
      </w:r>
    </w:p>
    <w:p w:rsidRPr="008C7E6F" w:rsidR="007F268A" w:rsidP="007F268A" w:rsidRDefault="007F268A">
      <w:pPr>
        <w:spacing w:before="100" w:beforeAutospacing="1" w:after="100" w:afterAutospacing="1"/>
        <w:rPr>
          <w:lang w:val="en"/>
        </w:rPr>
      </w:pPr>
      <w:r w:rsidRPr="008C7E6F">
        <w:rPr>
          <w:lang w:val="en"/>
        </w:rPr>
        <w:t xml:space="preserve">A similar method to the one for adjusting sales </w:t>
      </w:r>
      <w:proofErr w:type="gramStart"/>
      <w:r w:rsidRPr="008C7E6F">
        <w:rPr>
          <w:lang w:val="en"/>
        </w:rPr>
        <w:t>is used</w:t>
      </w:r>
      <w:proofErr w:type="gramEnd"/>
      <w:r w:rsidRPr="008C7E6F">
        <w:rPr>
          <w:lang w:val="en"/>
        </w:rPr>
        <w:t xml:space="preserve"> to adjust estimates for inventories, purchases, operating expenses, </w:t>
      </w:r>
      <w:r>
        <w:rPr>
          <w:lang w:val="en"/>
        </w:rPr>
        <w:t xml:space="preserve">and </w:t>
      </w:r>
      <w:r w:rsidRPr="008C7E6F">
        <w:rPr>
          <w:lang w:val="en"/>
        </w:rPr>
        <w:t xml:space="preserve">e-commerce. Each of these items </w:t>
      </w:r>
      <w:proofErr w:type="gramStart"/>
      <w:r w:rsidRPr="008C7E6F">
        <w:rPr>
          <w:lang w:val="en"/>
        </w:rPr>
        <w:t>are revised</w:t>
      </w:r>
      <w:proofErr w:type="gramEnd"/>
      <w:r w:rsidRPr="008C7E6F">
        <w:rPr>
          <w:lang w:val="en"/>
        </w:rPr>
        <w:t xml:space="preserve"> in the following manner:</w:t>
      </w:r>
    </w:p>
    <w:p w:rsidRPr="008C7E6F" w:rsidR="007F268A" w:rsidP="007F268A" w:rsidRDefault="007F268A">
      <w:pPr>
        <w:numPr>
          <w:ilvl w:val="0"/>
          <w:numId w:val="11"/>
        </w:numPr>
        <w:spacing w:before="100" w:beforeAutospacing="1" w:after="100" w:afterAutospacing="1"/>
        <w:rPr>
          <w:lang w:val="en"/>
        </w:rPr>
      </w:pPr>
      <w:r>
        <w:rPr>
          <w:lang w:val="en"/>
        </w:rPr>
        <w:lastRenderedPageBreak/>
        <w:t>2012 and 2017</w:t>
      </w:r>
      <w:r w:rsidRPr="008C7E6F">
        <w:rPr>
          <w:lang w:val="en"/>
        </w:rPr>
        <w:t xml:space="preserve"> modified estimates </w:t>
      </w:r>
      <w:proofErr w:type="gramStart"/>
      <w:r w:rsidRPr="008C7E6F">
        <w:rPr>
          <w:lang w:val="en"/>
        </w:rPr>
        <w:t>are multiplied</w:t>
      </w:r>
      <w:proofErr w:type="gramEnd"/>
      <w:r w:rsidRPr="008C7E6F">
        <w:rPr>
          <w:lang w:val="en"/>
        </w:rPr>
        <w:t xml:space="preserve"> by the ratio of benchmarked sales divided by modified sales for the same year. </w:t>
      </w:r>
    </w:p>
    <w:p w:rsidRPr="008C7E6F" w:rsidR="007F268A" w:rsidP="007F268A" w:rsidRDefault="007F268A">
      <w:pPr>
        <w:numPr>
          <w:ilvl w:val="0"/>
          <w:numId w:val="11"/>
        </w:numPr>
        <w:spacing w:before="100" w:beforeAutospacing="1" w:after="100" w:afterAutospacing="1"/>
        <w:rPr>
          <w:lang w:val="en"/>
        </w:rPr>
      </w:pPr>
      <w:r w:rsidRPr="008C7E6F">
        <w:rPr>
          <w:lang w:val="en"/>
        </w:rPr>
        <w:t xml:space="preserve">Modified estimates for each item </w:t>
      </w:r>
      <w:proofErr w:type="gramStart"/>
      <w:r w:rsidRPr="008C7E6F">
        <w:rPr>
          <w:lang w:val="en"/>
        </w:rPr>
        <w:t>are input</w:t>
      </w:r>
      <w:proofErr w:type="gramEnd"/>
      <w:r w:rsidRPr="008C7E6F">
        <w:rPr>
          <w:lang w:val="en"/>
        </w:rPr>
        <w:t xml:space="preserve"> into the benc</w:t>
      </w:r>
      <w:r>
        <w:rPr>
          <w:lang w:val="en"/>
        </w:rPr>
        <w:t>hmarking program using the two</w:t>
      </w:r>
      <w:r w:rsidRPr="008C7E6F">
        <w:rPr>
          <w:lang w:val="en"/>
        </w:rPr>
        <w:t xml:space="preserve"> constraints calculated above. </w:t>
      </w:r>
    </w:p>
    <w:p w:rsidRPr="008C7E6F" w:rsidR="007F268A" w:rsidP="007F268A" w:rsidRDefault="007F268A">
      <w:pPr>
        <w:numPr>
          <w:ilvl w:val="0"/>
          <w:numId w:val="11"/>
        </w:numPr>
        <w:spacing w:before="100" w:beforeAutospacing="1" w:after="100" w:afterAutospacing="1"/>
        <w:rPr>
          <w:lang w:val="en"/>
        </w:rPr>
      </w:pPr>
      <w:r w:rsidRPr="008C7E6F">
        <w:rPr>
          <w:lang w:val="en"/>
        </w:rPr>
        <w:t>The benchmarking program minimizes the sum of squared differences between the year-to-year changes of the inpu</w:t>
      </w:r>
      <w:r>
        <w:rPr>
          <w:lang w:val="en"/>
        </w:rPr>
        <w:t>t and revised estimates for 2013 through 2019</w:t>
      </w:r>
      <w:r w:rsidRPr="008C7E6F">
        <w:rPr>
          <w:lang w:val="en"/>
        </w:rPr>
        <w:t xml:space="preserve">. </w:t>
      </w:r>
    </w:p>
    <w:p w:rsidR="007F268A" w:rsidP="007F268A" w:rsidRDefault="007F268A">
      <w:pPr>
        <w:pStyle w:val="NormalWeb"/>
      </w:pPr>
      <w:r>
        <w:t xml:space="preserve">For </w:t>
      </w:r>
      <w:r w:rsidRPr="00441E41">
        <w:t>agents, brokers, and business electronic markets</w:t>
      </w:r>
      <w:r>
        <w:t>,</w:t>
      </w:r>
      <w:r w:rsidRPr="00A24612">
        <w:t xml:space="preserve"> </w:t>
      </w:r>
      <w:r>
        <w:t>to ensure consistency with total sales, the benchmarked gross selling value and the sales on own account are raked to the benchmarked total sales estimate. This is done by calculating the proportion of gross selling value and sales on own account to total s</w:t>
      </w:r>
      <w:r w:rsidR="003D50FE">
        <w:t>ales and</w:t>
      </w:r>
      <w:r>
        <w:t xml:space="preserve"> then applying each of these proportions to the benchmarked total sales to get the corresponding benchmarked estimates for gross selling value and sales on own account.</w:t>
      </w:r>
    </w:p>
    <w:p w:rsidRPr="001A3D4A" w:rsidR="007F268A" w:rsidP="007F268A" w:rsidRDefault="00DC1F4E">
      <w:pPr>
        <w:pStyle w:val="NormalWeb"/>
      </w:pPr>
      <w:r>
        <w:t xml:space="preserve">For commissions, the 2013 through </w:t>
      </w:r>
      <w:r w:rsidR="007F268A">
        <w:t xml:space="preserve">2019 modified commissions estimates </w:t>
      </w:r>
      <w:proofErr w:type="gramStart"/>
      <w:r w:rsidR="007F268A">
        <w:t>are multiplied</w:t>
      </w:r>
      <w:proofErr w:type="gramEnd"/>
      <w:r w:rsidR="007F268A">
        <w:t xml:space="preserve"> by the ratio of benchmarked </w:t>
      </w:r>
      <w:r w:rsidR="001C5C30">
        <w:t xml:space="preserve">gross selling value divided by </w:t>
      </w:r>
      <w:r w:rsidR="007F268A">
        <w:t>modified gross selling value for the same year.</w:t>
      </w:r>
    </w:p>
    <w:p w:rsidRPr="008C7E6F" w:rsidR="007F268A" w:rsidP="007F268A" w:rsidRDefault="007F268A">
      <w:pPr>
        <w:spacing w:before="100" w:beforeAutospacing="1" w:after="100" w:afterAutospacing="1"/>
        <w:rPr>
          <w:lang w:val="en"/>
        </w:rPr>
      </w:pPr>
      <w:r w:rsidRPr="008C7E6F">
        <w:rPr>
          <w:lang w:val="en"/>
        </w:rPr>
        <w:t xml:space="preserve">Benchmarked estimates at aggregate industry levels </w:t>
      </w:r>
      <w:proofErr w:type="gramStart"/>
      <w:r w:rsidRPr="008C7E6F">
        <w:rPr>
          <w:lang w:val="en"/>
        </w:rPr>
        <w:t>are computed</w:t>
      </w:r>
      <w:proofErr w:type="gramEnd"/>
      <w:r w:rsidRPr="008C7E6F">
        <w:rPr>
          <w:lang w:val="en"/>
        </w:rPr>
        <w:t xml:space="preserve"> by summing the benchmarked estimates for the appropriate detailed industries comprising the aggregate</w:t>
      </w:r>
      <w:r w:rsidR="005D3001">
        <w:rPr>
          <w:lang w:val="en"/>
        </w:rPr>
        <w:t>s</w:t>
      </w:r>
      <w:r w:rsidRPr="008C7E6F">
        <w:rPr>
          <w:lang w:val="en"/>
        </w:rPr>
        <w:t>, and benchmarked estimates for merchant wholesale</w:t>
      </w:r>
      <w:r>
        <w:rPr>
          <w:lang w:val="en"/>
        </w:rPr>
        <w:t>r</w:t>
      </w:r>
      <w:r w:rsidRPr="008C7E6F">
        <w:rPr>
          <w:lang w:val="en"/>
        </w:rPr>
        <w:t xml:space="preserve">s are computed by summing the benchmarked estimates for </w:t>
      </w:r>
      <w:r w:rsidRPr="00E76B61" w:rsidR="005D3001">
        <w:rPr>
          <w:color w:val="auto"/>
        </w:rPr>
        <w:t>manufacturers’ sales branche</w:t>
      </w:r>
      <w:r w:rsidR="005D3001">
        <w:rPr>
          <w:color w:val="auto"/>
        </w:rPr>
        <w:t>s and offices</w:t>
      </w:r>
      <w:r w:rsidRPr="008C7E6F">
        <w:rPr>
          <w:lang w:val="en"/>
        </w:rPr>
        <w:t xml:space="preserve"> and merchant wholesalers except </w:t>
      </w:r>
      <w:r w:rsidRPr="00E76B61" w:rsidR="005D3001">
        <w:rPr>
          <w:color w:val="auto"/>
        </w:rPr>
        <w:t>manufacturers’ sales branche</w:t>
      </w:r>
      <w:r w:rsidR="005D3001">
        <w:rPr>
          <w:color w:val="auto"/>
        </w:rPr>
        <w:t>s and offices</w:t>
      </w:r>
      <w:r w:rsidRPr="008C7E6F">
        <w:rPr>
          <w:lang w:val="en"/>
        </w:rPr>
        <w:t>.</w:t>
      </w:r>
    </w:p>
    <w:p w:rsidR="00297D23" w:rsidP="00E76B61" w:rsidRDefault="0048046E">
      <w:pPr>
        <w:pStyle w:val="NormalWeb"/>
        <w:rPr>
          <w:b/>
          <w:color w:val="auto"/>
        </w:rPr>
      </w:pPr>
      <w:r>
        <w:rPr>
          <w:b/>
          <w:color w:val="auto"/>
        </w:rPr>
        <w:t>Quality Suppre</w:t>
      </w:r>
      <w:r w:rsidR="00D66C8A">
        <w:rPr>
          <w:b/>
          <w:color w:val="auto"/>
        </w:rPr>
        <w:t xml:space="preserve">ssions </w:t>
      </w:r>
    </w:p>
    <w:p w:rsidR="00D66C8A" w:rsidP="00D66C8A" w:rsidRDefault="00D66C8A">
      <w:pPr>
        <w:pStyle w:val="NormalWeb"/>
        <w:rPr>
          <w:color w:val="auto"/>
        </w:rPr>
      </w:pPr>
      <w:r w:rsidRPr="00D66C8A">
        <w:rPr>
          <w:color w:val="auto"/>
        </w:rPr>
        <w:t xml:space="preserve">Estimates </w:t>
      </w:r>
      <w:proofErr w:type="gramStart"/>
      <w:r w:rsidRPr="00D66C8A">
        <w:rPr>
          <w:color w:val="auto"/>
        </w:rPr>
        <w:t xml:space="preserve">can </w:t>
      </w:r>
      <w:r>
        <w:rPr>
          <w:color w:val="auto"/>
        </w:rPr>
        <w:t xml:space="preserve">be </w:t>
      </w:r>
      <w:r w:rsidRPr="00D66C8A">
        <w:rPr>
          <w:color w:val="auto"/>
        </w:rPr>
        <w:t>suppressed</w:t>
      </w:r>
      <w:proofErr w:type="gramEnd"/>
      <w:r w:rsidRPr="00D66C8A">
        <w:rPr>
          <w:color w:val="auto"/>
        </w:rPr>
        <w:t xml:space="preserve"> from p</w:t>
      </w:r>
      <w:r>
        <w:rPr>
          <w:color w:val="auto"/>
        </w:rPr>
        <w:t>ublication for quality reasons. In particular, a</w:t>
      </w:r>
      <w:r w:rsidRPr="00D66C8A">
        <w:rPr>
          <w:color w:val="auto"/>
        </w:rPr>
        <w:t>n estimate with a coefficient of variation greater than 30 percent, with a total quantity re</w:t>
      </w:r>
      <w:r>
        <w:rPr>
          <w:color w:val="auto"/>
        </w:rPr>
        <w:t xml:space="preserve">sponse rate </w:t>
      </w:r>
      <w:r w:rsidRPr="00D66C8A">
        <w:rPr>
          <w:color w:val="auto"/>
        </w:rPr>
        <w:t>less than 50 percent, or with other</w:t>
      </w:r>
      <w:r>
        <w:rPr>
          <w:color w:val="auto"/>
        </w:rPr>
        <w:t xml:space="preserve"> concerns about data quality is suppressed from publication (</w:t>
      </w:r>
      <w:r w:rsidRPr="00D66C8A">
        <w:rPr>
          <w:color w:val="auto"/>
        </w:rPr>
        <w:t xml:space="preserve">unless the estimate has consistently been published for prior years and the </w:t>
      </w:r>
      <w:r>
        <w:rPr>
          <w:color w:val="auto"/>
        </w:rPr>
        <w:t xml:space="preserve">coefficient of variation </w:t>
      </w:r>
      <w:r w:rsidRPr="00D66C8A">
        <w:rPr>
          <w:color w:val="auto"/>
        </w:rPr>
        <w:t>and</w:t>
      </w:r>
      <w:r>
        <w:rPr>
          <w:color w:val="auto"/>
        </w:rPr>
        <w:t xml:space="preserve"> total quantity response rate</w:t>
      </w:r>
      <w:r w:rsidRPr="00D66C8A">
        <w:rPr>
          <w:color w:val="auto"/>
        </w:rPr>
        <w:t xml:space="preserve"> are acceptably close to the thresholds</w:t>
      </w:r>
      <w:r>
        <w:rPr>
          <w:color w:val="auto"/>
        </w:rPr>
        <w:t>)</w:t>
      </w:r>
      <w:r w:rsidRPr="00D66C8A">
        <w:rPr>
          <w:color w:val="auto"/>
        </w:rPr>
        <w:t>.</w:t>
      </w:r>
      <w:r>
        <w:rPr>
          <w:color w:val="auto"/>
        </w:rPr>
        <w:t xml:space="preserve"> </w:t>
      </w:r>
      <w:r w:rsidRPr="00D66C8A">
        <w:rPr>
          <w:color w:val="auto"/>
        </w:rPr>
        <w:t>A suppressed estimate and its corresponding meas</w:t>
      </w:r>
      <w:r>
        <w:rPr>
          <w:color w:val="auto"/>
        </w:rPr>
        <w:t xml:space="preserve">ure of sampling variability </w:t>
      </w:r>
      <w:proofErr w:type="gramStart"/>
      <w:r>
        <w:rPr>
          <w:color w:val="auto"/>
        </w:rPr>
        <w:t>are</w:t>
      </w:r>
      <w:r w:rsidRPr="00D66C8A">
        <w:rPr>
          <w:color w:val="auto"/>
        </w:rPr>
        <w:t xml:space="preserve"> replaced</w:t>
      </w:r>
      <w:proofErr w:type="gramEnd"/>
      <w:r w:rsidRPr="00D66C8A">
        <w:rPr>
          <w:color w:val="auto"/>
        </w:rPr>
        <w:t xml:space="preserve"> with an "S" in the published tables</w:t>
      </w:r>
      <w:r>
        <w:rPr>
          <w:color w:val="auto"/>
        </w:rPr>
        <w:t xml:space="preserve"> when this occurs</w:t>
      </w:r>
      <w:r w:rsidRPr="00D66C8A">
        <w:rPr>
          <w:color w:val="auto"/>
        </w:rPr>
        <w:t>.</w:t>
      </w:r>
      <w:r>
        <w:rPr>
          <w:color w:val="auto"/>
        </w:rPr>
        <w:t xml:space="preserve"> </w:t>
      </w:r>
      <w:r w:rsidRPr="00D66C8A">
        <w:rPr>
          <w:color w:val="auto"/>
        </w:rPr>
        <w:t>For a desc</w:t>
      </w:r>
      <w:r w:rsidR="005F434F">
        <w:rPr>
          <w:color w:val="auto"/>
        </w:rPr>
        <w:t>ription of the Census Bureau's S</w:t>
      </w:r>
      <w:r w:rsidRPr="00D66C8A">
        <w:rPr>
          <w:color w:val="auto"/>
        </w:rPr>
        <w:t xml:space="preserve">tandards for Releasing Information Products, see </w:t>
      </w:r>
      <w:hyperlink w:history="1" r:id="rId10">
        <w:r w:rsidRPr="00D66C8A">
          <w:rPr>
            <w:rStyle w:val="Hyperlink"/>
          </w:rPr>
          <w:t>https://www.cen</w:t>
        </w:r>
        <w:r w:rsidRPr="00D66C8A">
          <w:rPr>
            <w:rStyle w:val="Hyperlink"/>
          </w:rPr>
          <w:t>s</w:t>
        </w:r>
        <w:r w:rsidRPr="00D66C8A">
          <w:rPr>
            <w:rStyle w:val="Hyperlink"/>
          </w:rPr>
          <w:t>us.gov/about/policies/quality/standards/standardf1.html</w:t>
        </w:r>
      </w:hyperlink>
      <w:r w:rsidRPr="00D66C8A">
        <w:rPr>
          <w:color w:val="auto"/>
        </w:rPr>
        <w:t>.</w:t>
      </w:r>
    </w:p>
    <w:p w:rsidR="00D66C8A" w:rsidP="00D66C8A" w:rsidRDefault="00D66C8A">
      <w:pPr>
        <w:pStyle w:val="NormalWeb"/>
        <w:rPr>
          <w:b/>
          <w:color w:val="auto"/>
        </w:rPr>
      </w:pPr>
      <w:r>
        <w:rPr>
          <w:b/>
          <w:color w:val="auto"/>
        </w:rPr>
        <w:t>Disclosure Avoidance</w:t>
      </w:r>
    </w:p>
    <w:p w:rsidRPr="00881854" w:rsidR="00881854" w:rsidP="00881854" w:rsidRDefault="00881854">
      <w:pPr>
        <w:pStyle w:val="NormalWeb"/>
        <w:rPr>
          <w:color w:val="auto"/>
        </w:rPr>
      </w:pPr>
      <w:r w:rsidRPr="00881854">
        <w:rPr>
          <w:color w:val="auto"/>
        </w:rPr>
        <w:t>Disclosure is the release of data that reveals information or permits deduction of information about a particular survey unit through the release of either tables or microdata. Disclosure avoidance is the process used to protect each survey unit’s ide</w:t>
      </w:r>
      <w:r>
        <w:rPr>
          <w:color w:val="auto"/>
        </w:rPr>
        <w:t>ntity and da</w:t>
      </w:r>
      <w:r w:rsidR="009B13B7">
        <w:rPr>
          <w:color w:val="auto"/>
        </w:rPr>
        <w:t>ta from disclosure. The AWTS us</w:t>
      </w:r>
      <w:r>
        <w:rPr>
          <w:color w:val="auto"/>
        </w:rPr>
        <w:t>es</w:t>
      </w:r>
      <w:r w:rsidRPr="00881854">
        <w:rPr>
          <w:color w:val="auto"/>
        </w:rPr>
        <w:t xml:space="preserve"> cell suppression for disclosure avoidance.</w:t>
      </w:r>
    </w:p>
    <w:p w:rsidRPr="00881854" w:rsidR="00881854" w:rsidP="00881854" w:rsidRDefault="00881854">
      <w:pPr>
        <w:pStyle w:val="NormalWeb"/>
        <w:rPr>
          <w:color w:val="auto"/>
        </w:rPr>
      </w:pPr>
      <w:r w:rsidRPr="00881854">
        <w:rPr>
          <w:color w:val="auto"/>
        </w:rPr>
        <w:t xml:space="preserve">Cell suppression is a disclosure avoidance technique that </w:t>
      </w:r>
      <w:r>
        <w:rPr>
          <w:color w:val="auto"/>
        </w:rPr>
        <w:t>protects the confidentiality of</w:t>
      </w:r>
      <w:r w:rsidRPr="00881854">
        <w:rPr>
          <w:color w:val="auto"/>
        </w:rPr>
        <w:t xml:space="preserve"> individual survey units by withholding cell values from release and replacing the cell value</w:t>
      </w:r>
      <w:r w:rsidR="005F434F">
        <w:rPr>
          <w:color w:val="auto"/>
        </w:rPr>
        <w:t>s</w:t>
      </w:r>
      <w:r w:rsidRPr="00881854">
        <w:rPr>
          <w:color w:val="auto"/>
        </w:rPr>
        <w:t xml:space="preserve"> with a symbol</w:t>
      </w:r>
      <w:r>
        <w:rPr>
          <w:color w:val="auto"/>
        </w:rPr>
        <w:t xml:space="preserve"> (</w:t>
      </w:r>
      <w:r w:rsidRPr="00881854">
        <w:rPr>
          <w:color w:val="auto"/>
        </w:rPr>
        <w:t>“D”</w:t>
      </w:r>
      <w:r>
        <w:rPr>
          <w:color w:val="auto"/>
        </w:rPr>
        <w:t xml:space="preserve">). </w:t>
      </w:r>
      <w:r w:rsidRPr="00881854">
        <w:rPr>
          <w:color w:val="auto"/>
        </w:rPr>
        <w:t>If the suppressed cell value</w:t>
      </w:r>
      <w:r w:rsidR="005F434F">
        <w:rPr>
          <w:color w:val="auto"/>
        </w:rPr>
        <w:t>s</w:t>
      </w:r>
      <w:r w:rsidRPr="00881854">
        <w:rPr>
          <w:color w:val="auto"/>
        </w:rPr>
        <w:t xml:space="preserve"> </w:t>
      </w:r>
      <w:proofErr w:type="gramStart"/>
      <w:r w:rsidRPr="00881854">
        <w:rPr>
          <w:color w:val="auto"/>
        </w:rPr>
        <w:t>were known</w:t>
      </w:r>
      <w:proofErr w:type="gramEnd"/>
      <w:r w:rsidRPr="00881854">
        <w:rPr>
          <w:color w:val="auto"/>
        </w:rPr>
        <w:t xml:space="preserve">, </w:t>
      </w:r>
      <w:r w:rsidR="005F434F">
        <w:rPr>
          <w:color w:val="auto"/>
        </w:rPr>
        <w:t xml:space="preserve">one </w:t>
      </w:r>
      <w:r w:rsidRPr="00881854">
        <w:rPr>
          <w:color w:val="auto"/>
        </w:rPr>
        <w:t>would</w:t>
      </w:r>
      <w:r w:rsidR="005F434F">
        <w:rPr>
          <w:color w:val="auto"/>
        </w:rPr>
        <w:t xml:space="preserve"> be able </w:t>
      </w:r>
      <w:r w:rsidRPr="00881854">
        <w:rPr>
          <w:color w:val="auto"/>
        </w:rPr>
        <w:t>to estimate an individual survey unit’s</w:t>
      </w:r>
      <w:r w:rsidR="006F69D6">
        <w:rPr>
          <w:color w:val="auto"/>
        </w:rPr>
        <w:t xml:space="preserve"> data</w:t>
      </w:r>
      <w:r w:rsidRPr="00881854">
        <w:rPr>
          <w:color w:val="auto"/>
        </w:rPr>
        <w:t xml:space="preserve"> too closely.</w:t>
      </w:r>
    </w:p>
    <w:p w:rsidRPr="00881854" w:rsidR="00881854" w:rsidP="00881854" w:rsidRDefault="00881854">
      <w:pPr>
        <w:pStyle w:val="NormalWeb"/>
        <w:rPr>
          <w:color w:val="auto"/>
        </w:rPr>
      </w:pPr>
      <w:r w:rsidRPr="00881854">
        <w:rPr>
          <w:color w:val="auto"/>
        </w:rPr>
        <w:lastRenderedPageBreak/>
        <w:t xml:space="preserve">The cells that </w:t>
      </w:r>
      <w:proofErr w:type="gramStart"/>
      <w:r w:rsidRPr="00881854">
        <w:rPr>
          <w:color w:val="auto"/>
        </w:rPr>
        <w:t>must be protected</w:t>
      </w:r>
      <w:proofErr w:type="gramEnd"/>
      <w:r w:rsidRPr="00881854">
        <w:rPr>
          <w:color w:val="auto"/>
        </w:rPr>
        <w:t xml:space="preserve"> are called </w:t>
      </w:r>
      <w:r w:rsidRPr="006F69D6">
        <w:rPr>
          <w:iCs/>
          <w:color w:val="auto"/>
        </w:rPr>
        <w:t>primary suppressions</w:t>
      </w:r>
      <w:r w:rsidRPr="00881854">
        <w:rPr>
          <w:color w:val="auto"/>
        </w:rPr>
        <w:t>.</w:t>
      </w:r>
      <w:r>
        <w:rPr>
          <w:color w:val="auto"/>
        </w:rPr>
        <w:t xml:space="preserve"> </w:t>
      </w:r>
      <w:r w:rsidRPr="00881854">
        <w:rPr>
          <w:color w:val="auto"/>
        </w:rPr>
        <w:t xml:space="preserve">To make sure the cell values of the primary suppressions cannot be closely estimated by using other published cell </w:t>
      </w:r>
      <w:proofErr w:type="gramStart"/>
      <w:r w:rsidRPr="00881854">
        <w:rPr>
          <w:color w:val="auto"/>
        </w:rPr>
        <w:t>values,</w:t>
      </w:r>
      <w:proofErr w:type="gramEnd"/>
      <w:r w:rsidRPr="00881854">
        <w:rPr>
          <w:color w:val="auto"/>
        </w:rPr>
        <w:t xml:space="preserve"> additional cells may also be suppressed. These additional suppressed cells </w:t>
      </w:r>
      <w:proofErr w:type="gramStart"/>
      <w:r w:rsidRPr="00881854">
        <w:rPr>
          <w:color w:val="auto"/>
        </w:rPr>
        <w:t>are called</w:t>
      </w:r>
      <w:proofErr w:type="gramEnd"/>
      <w:r w:rsidRPr="00881854">
        <w:rPr>
          <w:color w:val="auto"/>
        </w:rPr>
        <w:t xml:space="preserve"> </w:t>
      </w:r>
      <w:r w:rsidRPr="006F69D6">
        <w:rPr>
          <w:iCs/>
          <w:color w:val="auto"/>
        </w:rPr>
        <w:t>complementary suppressions</w:t>
      </w:r>
      <w:r w:rsidRPr="00881854">
        <w:rPr>
          <w:color w:val="auto"/>
        </w:rPr>
        <w:t>.</w:t>
      </w:r>
      <w:r>
        <w:rPr>
          <w:color w:val="auto"/>
        </w:rPr>
        <w:t xml:space="preserve"> </w:t>
      </w:r>
    </w:p>
    <w:p w:rsidRPr="00881854" w:rsidR="00881854" w:rsidP="00881854" w:rsidRDefault="00881854">
      <w:pPr>
        <w:pStyle w:val="NormalWeb"/>
        <w:rPr>
          <w:color w:val="auto"/>
        </w:rPr>
      </w:pPr>
      <w:r w:rsidRPr="00881854">
        <w:rPr>
          <w:color w:val="auto"/>
        </w:rPr>
        <w:t xml:space="preserve">The process of suppression does not usually change the higher-level totals. Values for cells that </w:t>
      </w:r>
      <w:proofErr w:type="gramStart"/>
      <w:r w:rsidRPr="00881854">
        <w:rPr>
          <w:color w:val="auto"/>
        </w:rPr>
        <w:t>are not suppressed</w:t>
      </w:r>
      <w:proofErr w:type="gramEnd"/>
      <w:r w:rsidRPr="00881854">
        <w:rPr>
          <w:color w:val="auto"/>
        </w:rPr>
        <w:t xml:space="preserve"> remain unchanged. Before the Census Bureau releases data, computer programs and analysts ensure primary and complementary suppressions </w:t>
      </w:r>
      <w:proofErr w:type="gramStart"/>
      <w:r w:rsidRPr="00881854">
        <w:rPr>
          <w:color w:val="auto"/>
        </w:rPr>
        <w:t>have been correctly applied</w:t>
      </w:r>
      <w:proofErr w:type="gramEnd"/>
      <w:r w:rsidRPr="00881854">
        <w:rPr>
          <w:color w:val="auto"/>
        </w:rPr>
        <w:t>.</w:t>
      </w:r>
    </w:p>
    <w:p w:rsidRPr="00F23167" w:rsidR="00E76B61" w:rsidP="00E76B61" w:rsidRDefault="00E76B61">
      <w:pPr>
        <w:pStyle w:val="NormalWeb"/>
        <w:rPr>
          <w:b/>
          <w:color w:val="auto"/>
        </w:rPr>
      </w:pPr>
      <w:r w:rsidRPr="00F23167">
        <w:rPr>
          <w:b/>
          <w:color w:val="auto"/>
          <w:u w:val="single"/>
        </w:rPr>
        <w:t>Question 3. Methods to Maximize Response</w:t>
      </w:r>
    </w:p>
    <w:p w:rsidR="00061772" w:rsidP="00E76B61" w:rsidRDefault="00C83042">
      <w:pPr>
        <w:pStyle w:val="NormalWeb"/>
        <w:rPr>
          <w:color w:val="auto"/>
        </w:rPr>
      </w:pPr>
      <w:r>
        <w:rPr>
          <w:color w:val="auto"/>
        </w:rPr>
        <w:t xml:space="preserve">Respondents </w:t>
      </w:r>
      <w:proofErr w:type="gramStart"/>
      <w:r>
        <w:rPr>
          <w:color w:val="auto"/>
        </w:rPr>
        <w:t>are notified</w:t>
      </w:r>
      <w:proofErr w:type="gramEnd"/>
      <w:r>
        <w:rPr>
          <w:color w:val="auto"/>
        </w:rPr>
        <w:t xml:space="preserve"> of their obligation to report via a mailed </w:t>
      </w:r>
      <w:r w:rsidR="00B405F6">
        <w:rPr>
          <w:color w:val="auto"/>
        </w:rPr>
        <w:t>letter</w:t>
      </w:r>
      <w:r>
        <w:rPr>
          <w:color w:val="auto"/>
        </w:rPr>
        <w:t>.</w:t>
      </w:r>
      <w:r w:rsidR="00B405F6">
        <w:rPr>
          <w:color w:val="auto"/>
        </w:rPr>
        <w:t xml:space="preserve"> This letter </w:t>
      </w:r>
      <w:r w:rsidR="00061772">
        <w:rPr>
          <w:color w:val="auto"/>
        </w:rPr>
        <w:t xml:space="preserve">provides a telephone number that companies can call if they have any questions or concerns. </w:t>
      </w:r>
      <w:r>
        <w:rPr>
          <w:color w:val="auto"/>
        </w:rPr>
        <w:t>They receive at least 30 days to complete the AWTS</w:t>
      </w:r>
      <w:r w:rsidR="00B405F6">
        <w:rPr>
          <w:color w:val="auto"/>
        </w:rPr>
        <w:t>. If needed, businesses can request time extensions through the Respondent Portal</w:t>
      </w:r>
      <w:r w:rsidR="00061772">
        <w:rPr>
          <w:color w:val="auto"/>
        </w:rPr>
        <w:t xml:space="preserve">. They can send secure messages to the Census Bureau using the Respondent Portal, too. </w:t>
      </w:r>
    </w:p>
    <w:p w:rsidR="00BE7F8A" w:rsidP="00E76B61" w:rsidRDefault="00202FC0">
      <w:pPr>
        <w:pStyle w:val="NormalWeb"/>
        <w:rPr>
          <w:color w:val="auto"/>
        </w:rPr>
      </w:pPr>
      <w:r>
        <w:rPr>
          <w:color w:val="auto"/>
        </w:rPr>
        <w:t xml:space="preserve">Approximately </w:t>
      </w:r>
      <w:r w:rsidR="00C409FE">
        <w:rPr>
          <w:color w:val="auto"/>
        </w:rPr>
        <w:t>four</w:t>
      </w:r>
      <w:r w:rsidR="00D976F0">
        <w:rPr>
          <w:color w:val="auto"/>
        </w:rPr>
        <w:t xml:space="preserve"> weeks after the initial </w:t>
      </w:r>
      <w:r w:rsidR="00061772">
        <w:rPr>
          <w:color w:val="auto"/>
        </w:rPr>
        <w:t>mailing</w:t>
      </w:r>
      <w:r w:rsidR="00D976F0">
        <w:rPr>
          <w:color w:val="auto"/>
        </w:rPr>
        <w:t xml:space="preserve">, the Census Bureau </w:t>
      </w:r>
      <w:r w:rsidR="00061772">
        <w:rPr>
          <w:color w:val="auto"/>
        </w:rPr>
        <w:t>provides</w:t>
      </w:r>
      <w:r w:rsidR="00D976F0">
        <w:rPr>
          <w:color w:val="auto"/>
        </w:rPr>
        <w:t xml:space="preserve"> </w:t>
      </w:r>
      <w:proofErr w:type="spellStart"/>
      <w:r w:rsidR="00061772">
        <w:rPr>
          <w:color w:val="auto"/>
        </w:rPr>
        <w:t>non</w:t>
      </w:r>
      <w:r w:rsidR="00D976F0">
        <w:rPr>
          <w:color w:val="auto"/>
        </w:rPr>
        <w:t>respondents</w:t>
      </w:r>
      <w:proofErr w:type="spellEnd"/>
      <w:r w:rsidR="00061772">
        <w:rPr>
          <w:color w:val="auto"/>
        </w:rPr>
        <w:t xml:space="preserve"> with</w:t>
      </w:r>
      <w:r w:rsidR="001C5D42">
        <w:rPr>
          <w:color w:val="auto"/>
        </w:rPr>
        <w:t xml:space="preserve"> </w:t>
      </w:r>
      <w:r w:rsidR="00D976F0">
        <w:rPr>
          <w:color w:val="auto"/>
        </w:rPr>
        <w:t xml:space="preserve">a due date reminder letter. </w:t>
      </w:r>
      <w:r w:rsidR="00C409FE">
        <w:rPr>
          <w:color w:val="auto"/>
        </w:rPr>
        <w:t>Roughly one</w:t>
      </w:r>
      <w:r w:rsidR="001C5D42">
        <w:rPr>
          <w:color w:val="auto"/>
        </w:rPr>
        <w:t xml:space="preserve"> week after this, a </w:t>
      </w:r>
      <w:r w:rsidR="00C83042">
        <w:rPr>
          <w:color w:val="auto"/>
        </w:rPr>
        <w:t xml:space="preserve">due date reminder e-mail is </w:t>
      </w:r>
      <w:r w:rsidR="00EF73F5">
        <w:rPr>
          <w:color w:val="auto"/>
        </w:rPr>
        <w:t>transmitted</w:t>
      </w:r>
      <w:r w:rsidR="001C5D42">
        <w:rPr>
          <w:color w:val="auto"/>
        </w:rPr>
        <w:t xml:space="preserve"> to companies that have not reported still.</w:t>
      </w:r>
      <w:r w:rsidR="00C83042">
        <w:rPr>
          <w:color w:val="auto"/>
        </w:rPr>
        <w:t xml:space="preserve"> Once the due date has passed, delinquent companies </w:t>
      </w:r>
      <w:r w:rsidR="008D5335">
        <w:rPr>
          <w:color w:val="auto"/>
        </w:rPr>
        <w:t>receive</w:t>
      </w:r>
      <w:r w:rsidR="000148EC">
        <w:rPr>
          <w:color w:val="auto"/>
        </w:rPr>
        <w:t xml:space="preserve"> their first</w:t>
      </w:r>
      <w:r w:rsidR="00EF73F5">
        <w:rPr>
          <w:color w:val="auto"/>
        </w:rPr>
        <w:t xml:space="preserve"> follo</w:t>
      </w:r>
      <w:r w:rsidR="003C5D0C">
        <w:rPr>
          <w:color w:val="auto"/>
        </w:rPr>
        <w:t>w-up letter. This occurs about three</w:t>
      </w:r>
      <w:r w:rsidR="00EF73F5">
        <w:rPr>
          <w:color w:val="auto"/>
        </w:rPr>
        <w:t xml:space="preserve"> weeks after the due date reminder e-mail</w:t>
      </w:r>
      <w:r w:rsidR="003C5D0C">
        <w:rPr>
          <w:color w:val="auto"/>
        </w:rPr>
        <w:t xml:space="preserve"> and about two</w:t>
      </w:r>
      <w:r w:rsidR="006D3A25">
        <w:rPr>
          <w:color w:val="auto"/>
        </w:rPr>
        <w:t xml:space="preserve"> weeks after the due date</w:t>
      </w:r>
      <w:r w:rsidR="00EF73F5">
        <w:rPr>
          <w:color w:val="auto"/>
        </w:rPr>
        <w:t xml:space="preserve">. About </w:t>
      </w:r>
      <w:r w:rsidR="003C5D0C">
        <w:rPr>
          <w:color w:val="auto"/>
        </w:rPr>
        <w:t>two</w:t>
      </w:r>
      <w:r w:rsidR="00611BC9">
        <w:rPr>
          <w:color w:val="auto"/>
        </w:rPr>
        <w:t xml:space="preserve"> weeks after the fol</w:t>
      </w:r>
      <w:r w:rsidR="000148EC">
        <w:rPr>
          <w:color w:val="auto"/>
        </w:rPr>
        <w:t xml:space="preserve">low-up letter is distributed, the first </w:t>
      </w:r>
      <w:r w:rsidR="00611BC9">
        <w:rPr>
          <w:color w:val="auto"/>
        </w:rPr>
        <w:t>follow-up e-mai</w:t>
      </w:r>
      <w:r w:rsidR="009E4E95">
        <w:rPr>
          <w:color w:val="auto"/>
        </w:rPr>
        <w:t xml:space="preserve">l </w:t>
      </w:r>
      <w:proofErr w:type="gramStart"/>
      <w:r w:rsidR="009E4E95">
        <w:rPr>
          <w:color w:val="auto"/>
        </w:rPr>
        <w:t>is sent</w:t>
      </w:r>
      <w:proofErr w:type="gramEnd"/>
      <w:r w:rsidR="009E4E95">
        <w:rPr>
          <w:color w:val="auto"/>
        </w:rPr>
        <w:t xml:space="preserve"> to nonresponse cases. </w:t>
      </w:r>
      <w:proofErr w:type="gramStart"/>
      <w:r w:rsidR="002D504E">
        <w:rPr>
          <w:color w:val="auto"/>
        </w:rPr>
        <w:t>Roughly</w:t>
      </w:r>
      <w:proofErr w:type="gramEnd"/>
      <w:r w:rsidR="002D504E">
        <w:rPr>
          <w:color w:val="auto"/>
        </w:rPr>
        <w:t xml:space="preserve"> </w:t>
      </w:r>
      <w:r w:rsidR="003C5D0C">
        <w:rPr>
          <w:color w:val="auto"/>
        </w:rPr>
        <w:t>three</w:t>
      </w:r>
      <w:r w:rsidR="009E4E95">
        <w:rPr>
          <w:color w:val="auto"/>
        </w:rPr>
        <w:t xml:space="preserve"> weeks later, outstanding companies receive their second follow-up letter</w:t>
      </w:r>
      <w:r w:rsidR="00B405F6">
        <w:rPr>
          <w:color w:val="auto"/>
        </w:rPr>
        <w:t xml:space="preserve">. This letter is </w:t>
      </w:r>
      <w:r w:rsidR="00157853">
        <w:rPr>
          <w:color w:val="auto"/>
        </w:rPr>
        <w:t>provided</w:t>
      </w:r>
      <w:r w:rsidR="00B405F6">
        <w:rPr>
          <w:color w:val="auto"/>
        </w:rPr>
        <w:t xml:space="preserve"> </w:t>
      </w:r>
      <w:r w:rsidR="00302203">
        <w:rPr>
          <w:color w:val="auto"/>
        </w:rPr>
        <w:t>via certified</w:t>
      </w:r>
      <w:r w:rsidR="00B016E3">
        <w:rPr>
          <w:color w:val="auto"/>
        </w:rPr>
        <w:t xml:space="preserve"> or priority</w:t>
      </w:r>
      <w:r w:rsidR="00302203">
        <w:rPr>
          <w:color w:val="auto"/>
        </w:rPr>
        <w:t xml:space="preserve"> mail</w:t>
      </w:r>
      <w:r w:rsidR="009E4E95">
        <w:rPr>
          <w:color w:val="auto"/>
        </w:rPr>
        <w:t>.</w:t>
      </w:r>
      <w:r w:rsidR="00302203">
        <w:rPr>
          <w:color w:val="auto"/>
        </w:rPr>
        <w:t xml:space="preserve"> </w:t>
      </w:r>
      <w:r w:rsidR="000148EC">
        <w:rPr>
          <w:color w:val="auto"/>
        </w:rPr>
        <w:t>The</w:t>
      </w:r>
      <w:r w:rsidR="008D5335">
        <w:rPr>
          <w:color w:val="auto"/>
        </w:rPr>
        <w:t xml:space="preserve"> Census Bureau sends the </w:t>
      </w:r>
      <w:r w:rsidR="000148EC">
        <w:rPr>
          <w:color w:val="auto"/>
        </w:rPr>
        <w:t xml:space="preserve">second follow-up e-mail to delinquent companies </w:t>
      </w:r>
      <w:r w:rsidR="003C5D0C">
        <w:rPr>
          <w:color w:val="auto"/>
        </w:rPr>
        <w:t>roughly four</w:t>
      </w:r>
      <w:r w:rsidR="00F025D9">
        <w:rPr>
          <w:color w:val="auto"/>
        </w:rPr>
        <w:t xml:space="preserve"> weeks after </w:t>
      </w:r>
      <w:r w:rsidR="008D5335">
        <w:rPr>
          <w:color w:val="auto"/>
        </w:rPr>
        <w:t>this. The agency</w:t>
      </w:r>
      <w:r w:rsidR="00F95D31">
        <w:rPr>
          <w:color w:val="auto"/>
        </w:rPr>
        <w:t xml:space="preserve"> then</w:t>
      </w:r>
      <w:r w:rsidR="008D5335">
        <w:rPr>
          <w:color w:val="auto"/>
        </w:rPr>
        <w:t xml:space="preserve"> attempts </w:t>
      </w:r>
      <w:r w:rsidR="00F025D9">
        <w:rPr>
          <w:color w:val="auto"/>
        </w:rPr>
        <w:t xml:space="preserve">to reach the </w:t>
      </w:r>
      <w:proofErr w:type="spellStart"/>
      <w:r w:rsidR="00F025D9">
        <w:rPr>
          <w:color w:val="auto"/>
        </w:rPr>
        <w:t>nonr</w:t>
      </w:r>
      <w:r w:rsidR="003C5D0C">
        <w:rPr>
          <w:color w:val="auto"/>
        </w:rPr>
        <w:t>espondents</w:t>
      </w:r>
      <w:proofErr w:type="spellEnd"/>
      <w:r w:rsidR="003C5D0C">
        <w:rPr>
          <w:color w:val="auto"/>
        </w:rPr>
        <w:t xml:space="preserve"> via telephone about one</w:t>
      </w:r>
      <w:r w:rsidR="00F025D9">
        <w:rPr>
          <w:color w:val="auto"/>
        </w:rPr>
        <w:t xml:space="preserve"> week after th</w:t>
      </w:r>
      <w:r w:rsidR="00F95D31">
        <w:rPr>
          <w:color w:val="auto"/>
        </w:rPr>
        <w:t>e</w:t>
      </w:r>
      <w:r w:rsidR="00F025D9">
        <w:rPr>
          <w:color w:val="auto"/>
        </w:rPr>
        <w:t xml:space="preserve"> second follow-up e-mail. The telephone follow-up</w:t>
      </w:r>
      <w:r w:rsidR="00157853">
        <w:rPr>
          <w:color w:val="auto"/>
        </w:rPr>
        <w:t xml:space="preserve">s </w:t>
      </w:r>
      <w:proofErr w:type="gramStart"/>
      <w:r w:rsidR="00157853">
        <w:rPr>
          <w:color w:val="auto"/>
        </w:rPr>
        <w:t>are conducted</w:t>
      </w:r>
      <w:proofErr w:type="gramEnd"/>
      <w:r w:rsidR="00157853">
        <w:rPr>
          <w:color w:val="auto"/>
        </w:rPr>
        <w:t xml:space="preserve"> over a period of </w:t>
      </w:r>
      <w:r w:rsidR="00F95D31">
        <w:rPr>
          <w:color w:val="auto"/>
        </w:rPr>
        <w:t>approximately</w:t>
      </w:r>
      <w:r w:rsidR="003C5D0C">
        <w:rPr>
          <w:color w:val="auto"/>
        </w:rPr>
        <w:t xml:space="preserve"> four</w:t>
      </w:r>
      <w:r w:rsidR="00157853">
        <w:rPr>
          <w:color w:val="auto"/>
        </w:rPr>
        <w:t xml:space="preserve"> weeks</w:t>
      </w:r>
      <w:r w:rsidR="003C5D0C">
        <w:rPr>
          <w:color w:val="auto"/>
        </w:rPr>
        <w:t>. About one</w:t>
      </w:r>
      <w:r w:rsidR="00F025D9">
        <w:rPr>
          <w:color w:val="auto"/>
        </w:rPr>
        <w:t xml:space="preserve"> week after the telephone follow-ups conclude, the third e-mail follow-up </w:t>
      </w:r>
      <w:proofErr w:type="gramStart"/>
      <w:r w:rsidR="00F025D9">
        <w:rPr>
          <w:color w:val="auto"/>
        </w:rPr>
        <w:t>is sent</w:t>
      </w:r>
      <w:proofErr w:type="gramEnd"/>
      <w:r w:rsidR="006606A5">
        <w:rPr>
          <w:color w:val="auto"/>
        </w:rPr>
        <w:t>.</w:t>
      </w:r>
      <w:r w:rsidR="00304A21">
        <w:rPr>
          <w:color w:val="auto"/>
        </w:rPr>
        <w:t xml:space="preserve"> Then (roughly two</w:t>
      </w:r>
      <w:r w:rsidR="00203A5E">
        <w:rPr>
          <w:color w:val="auto"/>
        </w:rPr>
        <w:t xml:space="preserve"> weeks later), a third follow-up letter is delivered to respondents.</w:t>
      </w:r>
      <w:r w:rsidR="006606A5">
        <w:rPr>
          <w:color w:val="auto"/>
        </w:rPr>
        <w:t xml:space="preserve"> Delinquent companies receive their fourth follow-up</w:t>
      </w:r>
      <w:r w:rsidR="00203A5E">
        <w:rPr>
          <w:color w:val="auto"/>
        </w:rPr>
        <w:t xml:space="preserve"> e-mail</w:t>
      </w:r>
      <w:r w:rsidR="00304A21">
        <w:rPr>
          <w:color w:val="auto"/>
        </w:rPr>
        <w:t xml:space="preserve"> approximately three</w:t>
      </w:r>
      <w:r w:rsidR="006606A5">
        <w:rPr>
          <w:color w:val="auto"/>
        </w:rPr>
        <w:t xml:space="preserve"> weeks later.</w:t>
      </w:r>
      <w:r w:rsidR="00203A5E">
        <w:rPr>
          <w:color w:val="auto"/>
        </w:rPr>
        <w:t xml:space="preserve"> The fifth follow-up</w:t>
      </w:r>
      <w:r w:rsidR="003C5D0C">
        <w:rPr>
          <w:color w:val="auto"/>
        </w:rPr>
        <w:t xml:space="preserve"> e-mail </w:t>
      </w:r>
      <w:proofErr w:type="gramStart"/>
      <w:r w:rsidR="003C5D0C">
        <w:rPr>
          <w:color w:val="auto"/>
        </w:rPr>
        <w:t>is transmitted</w:t>
      </w:r>
      <w:proofErr w:type="gramEnd"/>
      <w:r w:rsidR="003C5D0C">
        <w:rPr>
          <w:color w:val="auto"/>
        </w:rPr>
        <w:t xml:space="preserve"> roughly four</w:t>
      </w:r>
      <w:r w:rsidR="00203A5E">
        <w:rPr>
          <w:color w:val="auto"/>
        </w:rPr>
        <w:t xml:space="preserve"> weeks</w:t>
      </w:r>
      <w:r w:rsidR="00F95D31">
        <w:rPr>
          <w:color w:val="auto"/>
        </w:rPr>
        <w:t xml:space="preserve"> after</w:t>
      </w:r>
      <w:r w:rsidR="002D504E">
        <w:rPr>
          <w:color w:val="auto"/>
        </w:rPr>
        <w:t xml:space="preserve"> the</w:t>
      </w:r>
      <w:r w:rsidR="00F95D31">
        <w:rPr>
          <w:color w:val="auto"/>
        </w:rPr>
        <w:t xml:space="preserve"> fourth follow-up e-mail. </w:t>
      </w:r>
    </w:p>
    <w:p w:rsidR="000148EC" w:rsidP="00E76B61" w:rsidRDefault="00BE7F8A">
      <w:pPr>
        <w:pStyle w:val="NormalWeb"/>
        <w:rPr>
          <w:color w:val="auto"/>
        </w:rPr>
      </w:pPr>
      <w:r>
        <w:rPr>
          <w:color w:val="auto"/>
        </w:rPr>
        <w:t>Throughout</w:t>
      </w:r>
      <w:r w:rsidR="00F95D31">
        <w:rPr>
          <w:color w:val="auto"/>
        </w:rPr>
        <w:t xml:space="preserve"> the year, the Census Bureau monitors the AWTS response rates (previously discussed in the Universe and Res</w:t>
      </w:r>
      <w:r w:rsidR="00F713B3">
        <w:rPr>
          <w:color w:val="auto"/>
        </w:rPr>
        <w:t xml:space="preserve">pondent Selection section) </w:t>
      </w:r>
      <w:r>
        <w:rPr>
          <w:color w:val="auto"/>
        </w:rPr>
        <w:t xml:space="preserve">to ensure publication standards are satisfied. If </w:t>
      </w:r>
      <w:r w:rsidR="00055165">
        <w:rPr>
          <w:color w:val="auto"/>
        </w:rPr>
        <w:t xml:space="preserve">the response rates fail to meet </w:t>
      </w:r>
      <w:r>
        <w:rPr>
          <w:color w:val="auto"/>
        </w:rPr>
        <w:t>pu</w:t>
      </w:r>
      <w:r w:rsidR="00055165">
        <w:rPr>
          <w:color w:val="auto"/>
        </w:rPr>
        <w:t>blication requirements</w:t>
      </w:r>
      <w:r>
        <w:rPr>
          <w:color w:val="auto"/>
        </w:rPr>
        <w:t xml:space="preserve">, additional follow-ups, such as analyst phone calls or follow-up e-mails, </w:t>
      </w:r>
      <w:proofErr w:type="gramStart"/>
      <w:r>
        <w:rPr>
          <w:color w:val="auto"/>
        </w:rPr>
        <w:t>may be performed</w:t>
      </w:r>
      <w:proofErr w:type="gramEnd"/>
      <w:r>
        <w:rPr>
          <w:color w:val="auto"/>
        </w:rPr>
        <w:t>.</w:t>
      </w:r>
      <w:r w:rsidR="00652056">
        <w:rPr>
          <w:color w:val="auto"/>
        </w:rPr>
        <w:t xml:space="preserve"> </w:t>
      </w:r>
    </w:p>
    <w:p w:rsidR="001072BA" w:rsidP="00E76B61" w:rsidRDefault="00A770FD">
      <w:pPr>
        <w:pStyle w:val="NormalWeb"/>
        <w:rPr>
          <w:color w:val="auto"/>
        </w:rPr>
      </w:pPr>
      <w:r>
        <w:rPr>
          <w:color w:val="auto"/>
        </w:rPr>
        <w:t xml:space="preserve">As discussed in Part A (Project Schedule section), </w:t>
      </w:r>
      <w:r w:rsidR="0086232A">
        <w:rPr>
          <w:color w:val="auto"/>
        </w:rPr>
        <w:t xml:space="preserve">the Odyssey companies, which </w:t>
      </w:r>
      <w:r>
        <w:rPr>
          <w:color w:val="auto"/>
        </w:rPr>
        <w:t>a</w:t>
      </w:r>
      <w:r w:rsidR="0086232A">
        <w:rPr>
          <w:color w:val="auto"/>
        </w:rPr>
        <w:t>re a</w:t>
      </w:r>
      <w:r>
        <w:rPr>
          <w:color w:val="auto"/>
        </w:rPr>
        <w:t xml:space="preserve"> subset of the AWTS </w:t>
      </w:r>
      <w:r w:rsidR="005E679C">
        <w:rPr>
          <w:color w:val="auto"/>
        </w:rPr>
        <w:t>respondents,</w:t>
      </w:r>
      <w:r>
        <w:rPr>
          <w:color w:val="auto"/>
        </w:rPr>
        <w:t xml:space="preserve"> </w:t>
      </w:r>
      <w:r w:rsidR="0086232A">
        <w:rPr>
          <w:color w:val="auto"/>
        </w:rPr>
        <w:t>do</w:t>
      </w:r>
      <w:r w:rsidR="005E679C">
        <w:rPr>
          <w:color w:val="auto"/>
        </w:rPr>
        <w:t xml:space="preserve"> not share</w:t>
      </w:r>
      <w:r>
        <w:rPr>
          <w:color w:val="auto"/>
        </w:rPr>
        <w:t xml:space="preserve"> the same </w:t>
      </w:r>
      <w:r w:rsidR="005E679C">
        <w:rPr>
          <w:color w:val="auto"/>
        </w:rPr>
        <w:t xml:space="preserve">follow-up schedule as the </w:t>
      </w:r>
      <w:r w:rsidR="00777987">
        <w:rPr>
          <w:color w:val="auto"/>
        </w:rPr>
        <w:t>cases</w:t>
      </w:r>
      <w:r w:rsidR="005E679C">
        <w:rPr>
          <w:color w:val="auto"/>
        </w:rPr>
        <w:t xml:space="preserve"> outlined above. </w:t>
      </w:r>
      <w:r w:rsidR="00247AC1">
        <w:rPr>
          <w:color w:val="auto"/>
        </w:rPr>
        <w:t>Nevertheless</w:t>
      </w:r>
      <w:r w:rsidR="005E679C">
        <w:rPr>
          <w:color w:val="auto"/>
        </w:rPr>
        <w:t xml:space="preserve">, the general </w:t>
      </w:r>
      <w:r w:rsidR="00247AC1">
        <w:rPr>
          <w:color w:val="auto"/>
        </w:rPr>
        <w:t xml:space="preserve">follow-up </w:t>
      </w:r>
      <w:r w:rsidR="005E679C">
        <w:rPr>
          <w:color w:val="auto"/>
        </w:rPr>
        <w:t xml:space="preserve">approach will be the same </w:t>
      </w:r>
      <w:r w:rsidR="00777987">
        <w:rPr>
          <w:color w:val="auto"/>
        </w:rPr>
        <w:t>for these companies</w:t>
      </w:r>
      <w:r w:rsidR="005E679C">
        <w:rPr>
          <w:color w:val="auto"/>
        </w:rPr>
        <w:t xml:space="preserve"> (i.e., letters, e-mails, and telephone calls</w:t>
      </w:r>
      <w:r w:rsidR="004F2AD5">
        <w:rPr>
          <w:color w:val="auto"/>
        </w:rPr>
        <w:t xml:space="preserve"> </w:t>
      </w:r>
      <w:r w:rsidR="005E679C">
        <w:rPr>
          <w:color w:val="auto"/>
        </w:rPr>
        <w:t xml:space="preserve">used throughout the </w:t>
      </w:r>
      <w:r w:rsidR="00247AC1">
        <w:rPr>
          <w:color w:val="auto"/>
        </w:rPr>
        <w:t>survey year to acquire responses</w:t>
      </w:r>
      <w:r w:rsidR="005E679C">
        <w:rPr>
          <w:color w:val="auto"/>
        </w:rPr>
        <w:t xml:space="preserve">).  </w:t>
      </w:r>
    </w:p>
    <w:p w:rsidR="00B55FB5" w:rsidP="00E76B61" w:rsidRDefault="004F2AD5">
      <w:pPr>
        <w:pStyle w:val="NormalWeb"/>
        <w:rPr>
          <w:color w:val="auto"/>
        </w:rPr>
      </w:pPr>
      <w:r>
        <w:rPr>
          <w:color w:val="auto"/>
        </w:rPr>
        <w:t xml:space="preserve">Samples of some of the </w:t>
      </w:r>
      <w:r w:rsidR="00B55FB5">
        <w:rPr>
          <w:color w:val="auto"/>
        </w:rPr>
        <w:t xml:space="preserve">correspondence mentioned in this section </w:t>
      </w:r>
      <w:proofErr w:type="gramStart"/>
      <w:r w:rsidR="00B55FB5">
        <w:rPr>
          <w:color w:val="auto"/>
        </w:rPr>
        <w:t>can be viewed</w:t>
      </w:r>
      <w:proofErr w:type="gramEnd"/>
      <w:r w:rsidR="00B55FB5">
        <w:rPr>
          <w:color w:val="auto"/>
        </w:rPr>
        <w:t xml:space="preserve"> in Attachment 2.</w:t>
      </w:r>
      <w:r>
        <w:rPr>
          <w:color w:val="auto"/>
        </w:rPr>
        <w:t xml:space="preserve"> (Please note that the exact language on some of these samples is subject to change.)</w:t>
      </w:r>
    </w:p>
    <w:p w:rsidRPr="00F23167" w:rsidR="00E76B61" w:rsidP="00E76B61" w:rsidRDefault="00E76B61">
      <w:pPr>
        <w:pStyle w:val="NormalWeb"/>
        <w:rPr>
          <w:b/>
          <w:color w:val="auto"/>
        </w:rPr>
      </w:pPr>
      <w:r w:rsidRPr="00F23167">
        <w:rPr>
          <w:b/>
          <w:color w:val="auto"/>
          <w:u w:val="single"/>
        </w:rPr>
        <w:lastRenderedPageBreak/>
        <w:t>Question 4. Tests of Procedures or Methods</w:t>
      </w:r>
      <w:r w:rsidRPr="00F23167" w:rsidR="00213813">
        <w:rPr>
          <w:b/>
          <w:color w:val="auto"/>
          <w:u w:val="single"/>
        </w:rPr>
        <w:t xml:space="preserve"> </w:t>
      </w:r>
    </w:p>
    <w:p w:rsidR="008E5703" w:rsidP="00E76B61" w:rsidRDefault="00BE580D">
      <w:pPr>
        <w:pStyle w:val="NormalWeb"/>
        <w:rPr>
          <w:color w:val="auto"/>
        </w:rPr>
      </w:pPr>
      <w:r>
        <w:rPr>
          <w:color w:val="auto"/>
        </w:rPr>
        <w:t>The Census Bureau check</w:t>
      </w:r>
      <w:r w:rsidR="003A029B">
        <w:rPr>
          <w:color w:val="auto"/>
        </w:rPr>
        <w:t>s</w:t>
      </w:r>
      <w:r>
        <w:rPr>
          <w:color w:val="auto"/>
        </w:rPr>
        <w:t xml:space="preserve"> the procedures employed in every phase of the AWTS – from </w:t>
      </w:r>
      <w:proofErr w:type="spellStart"/>
      <w:r>
        <w:rPr>
          <w:color w:val="auto"/>
        </w:rPr>
        <w:t>mailout</w:t>
      </w:r>
      <w:proofErr w:type="spellEnd"/>
      <w:r>
        <w:rPr>
          <w:color w:val="auto"/>
        </w:rPr>
        <w:t xml:space="preserve"> and data capture to data editing and publication. Employees test the systems used to ensure they are </w:t>
      </w:r>
      <w:r w:rsidR="003A029B">
        <w:rPr>
          <w:color w:val="auto"/>
        </w:rPr>
        <w:t>programmed as expected (i.e., satisfy</w:t>
      </w:r>
      <w:r>
        <w:rPr>
          <w:color w:val="auto"/>
        </w:rPr>
        <w:t xml:space="preserve"> the provided specifications).</w:t>
      </w:r>
      <w:r w:rsidR="00414748">
        <w:rPr>
          <w:color w:val="auto"/>
        </w:rPr>
        <w:t xml:space="preserve"> </w:t>
      </w:r>
      <w:r w:rsidR="00EE5526">
        <w:rPr>
          <w:color w:val="auto"/>
        </w:rPr>
        <w:t>The s</w:t>
      </w:r>
      <w:r w:rsidR="00414748">
        <w:rPr>
          <w:color w:val="auto"/>
        </w:rPr>
        <w:t>taff also regularly review</w:t>
      </w:r>
      <w:r w:rsidR="00EE5526">
        <w:rPr>
          <w:color w:val="auto"/>
        </w:rPr>
        <w:t>s</w:t>
      </w:r>
      <w:r w:rsidR="00414748">
        <w:rPr>
          <w:color w:val="auto"/>
        </w:rPr>
        <w:t xml:space="preserve"> the guiding logic behind </w:t>
      </w:r>
      <w:r w:rsidR="000F6035">
        <w:rPr>
          <w:color w:val="auto"/>
        </w:rPr>
        <w:t>vario</w:t>
      </w:r>
      <w:r w:rsidR="00ED1D41">
        <w:rPr>
          <w:color w:val="auto"/>
        </w:rPr>
        <w:t>us aspects of the AWTS to confirm</w:t>
      </w:r>
      <w:r w:rsidR="000F6035">
        <w:rPr>
          <w:color w:val="auto"/>
        </w:rPr>
        <w:t xml:space="preserve"> that logic is still relevant in the current economy. </w:t>
      </w:r>
    </w:p>
    <w:p w:rsidR="00BE580D" w:rsidP="00E76B61" w:rsidRDefault="00E51BF3">
      <w:pPr>
        <w:pStyle w:val="NormalWeb"/>
        <w:rPr>
          <w:color w:val="auto"/>
        </w:rPr>
      </w:pPr>
      <w:r>
        <w:rPr>
          <w:color w:val="auto"/>
        </w:rPr>
        <w:t>T</w:t>
      </w:r>
      <w:r w:rsidR="008E5703">
        <w:rPr>
          <w:color w:val="auto"/>
        </w:rPr>
        <w:t>he AWTS will continue to use the same sample and collect virtually the sam</w:t>
      </w:r>
      <w:r w:rsidR="00AD2637">
        <w:rPr>
          <w:color w:val="auto"/>
        </w:rPr>
        <w:t xml:space="preserve">e information </w:t>
      </w:r>
      <w:r w:rsidR="00CF6D61">
        <w:rPr>
          <w:color w:val="auto"/>
        </w:rPr>
        <w:t>as the previous three</w:t>
      </w:r>
      <w:r w:rsidR="00AD2637">
        <w:rPr>
          <w:color w:val="auto"/>
        </w:rPr>
        <w:t>-year clearance window</w:t>
      </w:r>
      <w:r w:rsidR="008E5703">
        <w:rPr>
          <w:color w:val="auto"/>
        </w:rPr>
        <w:t>.</w:t>
      </w:r>
      <w:r w:rsidR="00F515FD">
        <w:rPr>
          <w:color w:val="auto"/>
        </w:rPr>
        <w:t xml:space="preserve"> Th</w:t>
      </w:r>
      <w:r w:rsidR="008E5703">
        <w:rPr>
          <w:color w:val="auto"/>
        </w:rPr>
        <w:t xml:space="preserve">e information received from respondents has not revealed issues with the questionnaires. Regardless, </w:t>
      </w:r>
      <w:r w:rsidR="00EE5526">
        <w:rPr>
          <w:color w:val="auto"/>
        </w:rPr>
        <w:t xml:space="preserve">the </w:t>
      </w:r>
      <w:r w:rsidR="008E5703">
        <w:rPr>
          <w:color w:val="auto"/>
        </w:rPr>
        <w:t>sta</w:t>
      </w:r>
      <w:r w:rsidR="00210124">
        <w:rPr>
          <w:color w:val="auto"/>
        </w:rPr>
        <w:t xml:space="preserve">ff </w:t>
      </w:r>
      <w:r w:rsidR="00F515FD">
        <w:rPr>
          <w:color w:val="auto"/>
        </w:rPr>
        <w:t xml:space="preserve">still </w:t>
      </w:r>
      <w:r w:rsidR="00210124">
        <w:rPr>
          <w:color w:val="auto"/>
        </w:rPr>
        <w:t>check</w:t>
      </w:r>
      <w:r w:rsidR="00EE5526">
        <w:rPr>
          <w:color w:val="auto"/>
        </w:rPr>
        <w:t>s</w:t>
      </w:r>
      <w:r w:rsidR="00210124">
        <w:rPr>
          <w:color w:val="auto"/>
        </w:rPr>
        <w:t xml:space="preserve"> the worksheets for accuracy, grammar, and</w:t>
      </w:r>
      <w:r w:rsidR="00CF6D61">
        <w:rPr>
          <w:color w:val="auto"/>
        </w:rPr>
        <w:t xml:space="preserve"> layout each year. During this three</w:t>
      </w:r>
      <w:r w:rsidR="00210124">
        <w:rPr>
          <w:color w:val="auto"/>
        </w:rPr>
        <w:t xml:space="preserve">-year window, Centurion will still be the online reporting tool for respondents. This system </w:t>
      </w:r>
      <w:proofErr w:type="gramStart"/>
      <w:r w:rsidR="00210124">
        <w:rPr>
          <w:color w:val="auto"/>
        </w:rPr>
        <w:t>is tested</w:t>
      </w:r>
      <w:proofErr w:type="gramEnd"/>
      <w:r w:rsidR="00210124">
        <w:rPr>
          <w:color w:val="auto"/>
        </w:rPr>
        <w:t xml:space="preserve"> internally each survey cycle to make sure the correct content is displayed, branching occurs properly, etc</w:t>
      </w:r>
      <w:r>
        <w:rPr>
          <w:color w:val="auto"/>
        </w:rPr>
        <w:t xml:space="preserve">. Additionally, </w:t>
      </w:r>
      <w:r w:rsidR="00EE5526">
        <w:rPr>
          <w:color w:val="auto"/>
        </w:rPr>
        <w:t xml:space="preserve">the </w:t>
      </w:r>
      <w:r>
        <w:rPr>
          <w:color w:val="auto"/>
        </w:rPr>
        <w:t>staff ensure</w:t>
      </w:r>
      <w:r w:rsidR="00EE5526">
        <w:rPr>
          <w:color w:val="auto"/>
        </w:rPr>
        <w:t>s</w:t>
      </w:r>
      <w:r>
        <w:rPr>
          <w:color w:val="auto"/>
        </w:rPr>
        <w:t xml:space="preserve"> the data are transferring to the intern</w:t>
      </w:r>
      <w:r w:rsidR="00305D0B">
        <w:rPr>
          <w:color w:val="auto"/>
        </w:rPr>
        <w:t xml:space="preserve">al processing system correctly. The data edits, imputation, and estimation </w:t>
      </w:r>
      <w:proofErr w:type="gramStart"/>
      <w:r w:rsidR="00305D0B">
        <w:rPr>
          <w:color w:val="auto"/>
        </w:rPr>
        <w:t>are also tested</w:t>
      </w:r>
      <w:proofErr w:type="gramEnd"/>
      <w:r w:rsidR="00305D0B">
        <w:rPr>
          <w:color w:val="auto"/>
        </w:rPr>
        <w:t xml:space="preserve"> annually to </w:t>
      </w:r>
      <w:r w:rsidR="00730B7A">
        <w:rPr>
          <w:color w:val="auto"/>
        </w:rPr>
        <w:t>confirm</w:t>
      </w:r>
      <w:r w:rsidR="00305D0B">
        <w:rPr>
          <w:color w:val="auto"/>
        </w:rPr>
        <w:t xml:space="preserve"> they are functioning </w:t>
      </w:r>
      <w:r w:rsidR="00ED1D41">
        <w:rPr>
          <w:color w:val="auto"/>
        </w:rPr>
        <w:t xml:space="preserve">properly. </w:t>
      </w:r>
      <w:r w:rsidR="00EE5526">
        <w:rPr>
          <w:color w:val="auto"/>
        </w:rPr>
        <w:t>The s</w:t>
      </w:r>
      <w:r w:rsidR="00ED1D41">
        <w:rPr>
          <w:color w:val="auto"/>
        </w:rPr>
        <w:t xml:space="preserve">taff </w:t>
      </w:r>
      <w:r w:rsidR="00305D0B">
        <w:rPr>
          <w:color w:val="auto"/>
        </w:rPr>
        <w:t>review</w:t>
      </w:r>
      <w:r w:rsidR="00EE5526">
        <w:rPr>
          <w:color w:val="auto"/>
        </w:rPr>
        <w:t>s</w:t>
      </w:r>
      <w:r w:rsidR="00305D0B">
        <w:rPr>
          <w:color w:val="auto"/>
        </w:rPr>
        <w:t xml:space="preserve"> the output from the AWTS publication tables program t</w:t>
      </w:r>
      <w:r w:rsidR="00C272E7">
        <w:rPr>
          <w:color w:val="auto"/>
        </w:rPr>
        <w:t xml:space="preserve">o </w:t>
      </w:r>
      <w:r w:rsidR="00730B7A">
        <w:rPr>
          <w:color w:val="auto"/>
        </w:rPr>
        <w:t>determine if</w:t>
      </w:r>
      <w:r w:rsidR="00C272E7">
        <w:rPr>
          <w:color w:val="auto"/>
        </w:rPr>
        <w:t xml:space="preserve"> the tables are displaying the correct values and suppressions/disclosures</w:t>
      </w:r>
      <w:r w:rsidR="00ED1D41">
        <w:rPr>
          <w:color w:val="auto"/>
        </w:rPr>
        <w:t xml:space="preserve">. </w:t>
      </w:r>
      <w:r w:rsidR="004E5786">
        <w:rPr>
          <w:color w:val="auto"/>
        </w:rPr>
        <w:t xml:space="preserve">The general methodology employed for this </w:t>
      </w:r>
      <w:r w:rsidR="00565C8F">
        <w:rPr>
          <w:color w:val="auto"/>
        </w:rPr>
        <w:t>three</w:t>
      </w:r>
      <w:r w:rsidR="004E5786">
        <w:rPr>
          <w:color w:val="auto"/>
        </w:rPr>
        <w:t>-year period will also be the same as the method</w:t>
      </w:r>
      <w:r w:rsidR="00565C8F">
        <w:rPr>
          <w:color w:val="auto"/>
        </w:rPr>
        <w:t>ology u</w:t>
      </w:r>
      <w:r w:rsidR="009B13B7">
        <w:rPr>
          <w:color w:val="auto"/>
        </w:rPr>
        <w:t>sed</w:t>
      </w:r>
      <w:r w:rsidR="00565C8F">
        <w:rPr>
          <w:color w:val="auto"/>
        </w:rPr>
        <w:t xml:space="preserve"> in the previous three</w:t>
      </w:r>
      <w:r w:rsidR="004E5786">
        <w:rPr>
          <w:color w:val="auto"/>
        </w:rPr>
        <w:t xml:space="preserve">-year clearance window. </w:t>
      </w:r>
    </w:p>
    <w:p w:rsidRPr="00F23167" w:rsidR="00E76B61" w:rsidP="00E76B61" w:rsidRDefault="00E76B61">
      <w:pPr>
        <w:pStyle w:val="NormalWeb"/>
        <w:rPr>
          <w:b/>
          <w:color w:val="auto"/>
          <w:u w:val="single"/>
        </w:rPr>
      </w:pPr>
      <w:r w:rsidRPr="00F23167">
        <w:rPr>
          <w:b/>
          <w:color w:val="auto"/>
          <w:u w:val="single"/>
        </w:rPr>
        <w:t>Question 5. Contacts for Statistical Aspects and Data Collection</w:t>
      </w:r>
    </w:p>
    <w:p w:rsidRPr="000055D1" w:rsidR="000055D1" w:rsidP="00E76B61" w:rsidRDefault="000055D1">
      <w:pPr>
        <w:pStyle w:val="NormalWeb"/>
        <w:rPr>
          <w:color w:val="auto"/>
        </w:rPr>
      </w:pPr>
      <w:r>
        <w:rPr>
          <w:color w:val="auto"/>
        </w:rPr>
        <w:t>For question</w:t>
      </w:r>
      <w:r w:rsidR="00730B7A">
        <w:rPr>
          <w:color w:val="auto"/>
        </w:rPr>
        <w:t>s</w:t>
      </w:r>
      <w:r>
        <w:rPr>
          <w:color w:val="auto"/>
        </w:rPr>
        <w:t xml:space="preserve"> regarding the planning and implementation of this survey, please contact John Dougherty, Chief of the Wholesale Trade Branch (Economy-Wide Statistics Division, U.S. Census Bureau), </w:t>
      </w:r>
      <w:r w:rsidR="00730B7A">
        <w:rPr>
          <w:color w:val="auto"/>
        </w:rPr>
        <w:t>at 301-763-8936 or John.Dougherty@census.gov.</w:t>
      </w:r>
    </w:p>
    <w:p w:rsidRPr="000055D1" w:rsidR="000055D1" w:rsidP="00730B7A" w:rsidRDefault="00730B7A">
      <w:pPr>
        <w:widowControl w:val="0"/>
        <w:pBdr>
          <w:top w:val="single" w:color="FFFFFF" w:sz="6" w:space="0"/>
          <w:left w:val="single" w:color="FFFFFF" w:sz="6" w:space="0"/>
          <w:bottom w:val="single" w:color="FFFFFF" w:sz="6" w:space="0"/>
          <w:right w:val="single" w:color="FFFFFF" w:sz="6" w:space="0"/>
        </w:pBdr>
        <w:tabs>
          <w:tab w:val="left" w:pos="720"/>
          <w:tab w:val="left" w:pos="1440"/>
          <w:tab w:val="left" w:pos="1800"/>
          <w:tab w:val="left" w:pos="2880"/>
        </w:tabs>
        <w:autoSpaceDE w:val="0"/>
        <w:autoSpaceDN w:val="0"/>
        <w:adjustRightInd w:val="0"/>
        <w:rPr>
          <w:bCs/>
          <w:color w:val="auto"/>
        </w:rPr>
      </w:pPr>
      <w:r>
        <w:rPr>
          <w:color w:val="auto"/>
        </w:rPr>
        <w:t>For inquir</w:t>
      </w:r>
      <w:r w:rsidR="00055C6E">
        <w:rPr>
          <w:color w:val="auto"/>
        </w:rPr>
        <w:t>i</w:t>
      </w:r>
      <w:r>
        <w:rPr>
          <w:color w:val="auto"/>
        </w:rPr>
        <w:t xml:space="preserve">es about the </w:t>
      </w:r>
      <w:r w:rsidRPr="000055D1" w:rsidR="000055D1">
        <w:rPr>
          <w:bCs/>
          <w:color w:val="auto"/>
        </w:rPr>
        <w:t>methodology</w:t>
      </w:r>
      <w:r>
        <w:rPr>
          <w:bCs/>
          <w:color w:val="auto"/>
        </w:rPr>
        <w:t xml:space="preserve"> for this survey, please contact</w:t>
      </w:r>
      <w:r w:rsidRPr="000055D1" w:rsidR="000055D1">
        <w:rPr>
          <w:bCs/>
          <w:color w:val="auto"/>
        </w:rPr>
        <w:t xml:space="preserve"> Deanna </w:t>
      </w:r>
      <w:proofErr w:type="spellStart"/>
      <w:r w:rsidRPr="000055D1" w:rsidR="000055D1">
        <w:rPr>
          <w:bCs/>
          <w:color w:val="auto"/>
        </w:rPr>
        <w:t>Weidenhamer</w:t>
      </w:r>
      <w:proofErr w:type="spellEnd"/>
      <w:r w:rsidRPr="000055D1" w:rsidR="000055D1">
        <w:rPr>
          <w:bCs/>
          <w:color w:val="auto"/>
        </w:rPr>
        <w:t xml:space="preserve">, Chief of </w:t>
      </w:r>
      <w:r>
        <w:rPr>
          <w:bCs/>
          <w:color w:val="auto"/>
        </w:rPr>
        <w:t xml:space="preserve">the </w:t>
      </w:r>
      <w:r w:rsidRPr="000055D1" w:rsidR="000055D1">
        <w:rPr>
          <w:bCs/>
          <w:color w:val="auto"/>
        </w:rPr>
        <w:t>Retail and Wholesale Surveys Statistical Me</w:t>
      </w:r>
      <w:r>
        <w:rPr>
          <w:bCs/>
          <w:color w:val="auto"/>
        </w:rPr>
        <w:t>thods Branch (</w:t>
      </w:r>
      <w:r w:rsidRPr="000055D1" w:rsidR="000055D1">
        <w:rPr>
          <w:bCs/>
          <w:color w:val="auto"/>
        </w:rPr>
        <w:t>Economic Statistical Methods Division, U.S. Census Bureau</w:t>
      </w:r>
      <w:r>
        <w:rPr>
          <w:bCs/>
          <w:color w:val="auto"/>
        </w:rPr>
        <w:t>)</w:t>
      </w:r>
      <w:r w:rsidRPr="000055D1" w:rsidR="000055D1">
        <w:rPr>
          <w:bCs/>
          <w:color w:val="auto"/>
        </w:rPr>
        <w:t>,</w:t>
      </w:r>
      <w:r>
        <w:rPr>
          <w:bCs/>
          <w:color w:val="auto"/>
        </w:rPr>
        <w:t xml:space="preserve"> at 301-763-7186 or</w:t>
      </w:r>
      <w:r w:rsidRPr="000055D1" w:rsidR="000055D1">
        <w:rPr>
          <w:bCs/>
          <w:color w:val="auto"/>
        </w:rPr>
        <w:t xml:space="preserve"> Deanna.L.Weidenhamer@census.gov.</w:t>
      </w:r>
    </w:p>
    <w:p w:rsidRPr="00F23167" w:rsidR="006D0FA0" w:rsidP="00E76B61" w:rsidRDefault="00E76B61">
      <w:pPr>
        <w:pStyle w:val="NormalWeb"/>
        <w:rPr>
          <w:color w:val="auto"/>
          <w:u w:val="single"/>
        </w:rPr>
      </w:pPr>
      <w:bookmarkStart w:name="Attachments_to_the_Supporting_Statement" w:id="1"/>
      <w:bookmarkEnd w:id="1"/>
      <w:r w:rsidRPr="00F23167">
        <w:rPr>
          <w:rStyle w:val="Strong"/>
          <w:color w:val="auto"/>
          <w:u w:val="single"/>
        </w:rPr>
        <w:t>Attachments to the Supporting Statement</w:t>
      </w:r>
      <w:r w:rsidRPr="00F23167" w:rsidR="006D0FA0">
        <w:rPr>
          <w:color w:val="auto"/>
          <w:u w:val="single"/>
        </w:rPr>
        <w:t xml:space="preserve"> </w:t>
      </w:r>
    </w:p>
    <w:p w:rsidR="006D0FA0" w:rsidP="006D0FA0" w:rsidRDefault="006D0FA0">
      <w:pPr>
        <w:pStyle w:val="NormalWeb"/>
        <w:numPr>
          <w:ilvl w:val="0"/>
          <w:numId w:val="8"/>
        </w:numPr>
        <w:rPr>
          <w:color w:val="auto"/>
        </w:rPr>
      </w:pPr>
      <w:r>
        <w:rPr>
          <w:color w:val="auto"/>
        </w:rPr>
        <w:t>Bu</w:t>
      </w:r>
      <w:r w:rsidR="009C371E">
        <w:rPr>
          <w:color w:val="auto"/>
        </w:rPr>
        <w:t xml:space="preserve">reau of Economic Analysis </w:t>
      </w:r>
      <w:r>
        <w:rPr>
          <w:color w:val="auto"/>
        </w:rPr>
        <w:t>Support Letter</w:t>
      </w:r>
    </w:p>
    <w:p w:rsidR="006D0FA0" w:rsidP="006D0FA0" w:rsidRDefault="006D0FA0">
      <w:pPr>
        <w:pStyle w:val="NormalWeb"/>
        <w:numPr>
          <w:ilvl w:val="0"/>
          <w:numId w:val="8"/>
        </w:numPr>
        <w:rPr>
          <w:color w:val="auto"/>
        </w:rPr>
      </w:pPr>
      <w:r>
        <w:rPr>
          <w:color w:val="auto"/>
        </w:rPr>
        <w:t>Initial Letters and Follow-up Correspondence Examples</w:t>
      </w:r>
    </w:p>
    <w:p w:rsidR="006D0FA0" w:rsidP="006D0FA0" w:rsidRDefault="006D0FA0">
      <w:pPr>
        <w:pStyle w:val="NormalWeb"/>
        <w:numPr>
          <w:ilvl w:val="0"/>
          <w:numId w:val="8"/>
        </w:numPr>
        <w:rPr>
          <w:color w:val="auto"/>
        </w:rPr>
      </w:pPr>
      <w:r>
        <w:rPr>
          <w:color w:val="auto"/>
        </w:rPr>
        <w:t>Centurion</w:t>
      </w:r>
      <w:r w:rsidR="00CA0D83">
        <w:rPr>
          <w:color w:val="auto"/>
        </w:rPr>
        <w:t xml:space="preserve"> (Reporting Instrument)</w:t>
      </w:r>
      <w:r>
        <w:rPr>
          <w:color w:val="auto"/>
        </w:rPr>
        <w:t xml:space="preserve"> Screenshots</w:t>
      </w:r>
    </w:p>
    <w:p w:rsidR="00E76B61" w:rsidP="006D4E92" w:rsidRDefault="009C371E">
      <w:pPr>
        <w:pStyle w:val="NormalWeb"/>
        <w:numPr>
          <w:ilvl w:val="0"/>
          <w:numId w:val="8"/>
        </w:numPr>
        <w:rPr>
          <w:color w:val="auto"/>
        </w:rPr>
      </w:pPr>
      <w:r>
        <w:rPr>
          <w:color w:val="auto"/>
        </w:rPr>
        <w:t>AWTS</w:t>
      </w:r>
      <w:r w:rsidRPr="0032303F" w:rsidR="006D0FA0">
        <w:rPr>
          <w:color w:val="auto"/>
        </w:rPr>
        <w:t xml:space="preserve"> Worksheets </w:t>
      </w:r>
    </w:p>
    <w:p w:rsidR="007F68D6" w:rsidP="006D4E92" w:rsidRDefault="008D443E">
      <w:pPr>
        <w:pStyle w:val="NormalWeb"/>
        <w:numPr>
          <w:ilvl w:val="0"/>
          <w:numId w:val="8"/>
        </w:numPr>
        <w:rPr>
          <w:color w:val="auto"/>
        </w:rPr>
      </w:pPr>
      <w:r>
        <w:rPr>
          <w:color w:val="auto"/>
        </w:rPr>
        <w:t xml:space="preserve">Legal Authority for the AWTS - </w:t>
      </w:r>
      <w:r w:rsidR="007F68D6">
        <w:rPr>
          <w:color w:val="auto"/>
        </w:rPr>
        <w:t>Title 13, United States Code</w:t>
      </w:r>
    </w:p>
    <w:sectPr w:rsidR="007F68D6" w:rsidSect="00607ACD">
      <w:footerReference w:type="default" r:id="rId11"/>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16" w:rsidRDefault="00E05616" w:rsidP="00E05616">
      <w:r>
        <w:separator/>
      </w:r>
    </w:p>
  </w:endnote>
  <w:endnote w:type="continuationSeparator" w:id="0">
    <w:p w:rsidR="00E05616" w:rsidRDefault="00E05616" w:rsidP="00E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88757"/>
      <w:docPartObj>
        <w:docPartGallery w:val="Page Numbers (Bottom of Page)"/>
        <w:docPartUnique/>
      </w:docPartObj>
    </w:sdtPr>
    <w:sdtEndPr>
      <w:rPr>
        <w:noProof/>
      </w:rPr>
    </w:sdtEndPr>
    <w:sdtContent>
      <w:p w:rsidR="00E05616" w:rsidRDefault="00E05616">
        <w:pPr>
          <w:pStyle w:val="Footer"/>
          <w:jc w:val="center"/>
        </w:pPr>
        <w:r>
          <w:fldChar w:fldCharType="begin"/>
        </w:r>
        <w:r>
          <w:instrText xml:space="preserve"> PAGE   \* MERGEFORMAT </w:instrText>
        </w:r>
        <w:r>
          <w:fldChar w:fldCharType="separate"/>
        </w:r>
        <w:r w:rsidR="00734681">
          <w:rPr>
            <w:noProof/>
          </w:rPr>
          <w:t>22</w:t>
        </w:r>
        <w:r>
          <w:rPr>
            <w:noProof/>
          </w:rPr>
          <w:fldChar w:fldCharType="end"/>
        </w:r>
      </w:p>
    </w:sdtContent>
  </w:sdt>
  <w:p w:rsidR="00E05616" w:rsidRDefault="00E0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16" w:rsidRDefault="00E05616" w:rsidP="00E05616">
      <w:r>
        <w:separator/>
      </w:r>
    </w:p>
  </w:footnote>
  <w:footnote w:type="continuationSeparator" w:id="0">
    <w:p w:rsidR="00E05616" w:rsidRDefault="00E05616" w:rsidP="00E0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7CAF"/>
    <w:multiLevelType w:val="multilevel"/>
    <w:tmpl w:val="0EB22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69241B"/>
    <w:multiLevelType w:val="hybridMultilevel"/>
    <w:tmpl w:val="580065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1B79B7"/>
    <w:multiLevelType w:val="multilevel"/>
    <w:tmpl w:val="766A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C682E"/>
    <w:multiLevelType w:val="multilevel"/>
    <w:tmpl w:val="0C50B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771AC"/>
    <w:multiLevelType w:val="multilevel"/>
    <w:tmpl w:val="2FE82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A65FA"/>
    <w:multiLevelType w:val="hybridMultilevel"/>
    <w:tmpl w:val="E95ACF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3C70333"/>
    <w:multiLevelType w:val="multilevel"/>
    <w:tmpl w:val="C96E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20907"/>
    <w:multiLevelType w:val="multilevel"/>
    <w:tmpl w:val="F5E4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46E74"/>
    <w:multiLevelType w:val="hybridMultilevel"/>
    <w:tmpl w:val="3F68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99D"/>
    <w:multiLevelType w:val="hybridMultilevel"/>
    <w:tmpl w:val="DE3C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E3514"/>
    <w:multiLevelType w:val="multilevel"/>
    <w:tmpl w:val="11A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0"/>
  </w:num>
  <w:num w:numId="5">
    <w:abstractNumId w:val="6"/>
  </w:num>
  <w:num w:numId="6">
    <w:abstractNumId w:val="5"/>
  </w:num>
  <w:num w:numId="7">
    <w:abstractNumId w:val="9"/>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61"/>
    <w:rsid w:val="000055D1"/>
    <w:rsid w:val="000148EC"/>
    <w:rsid w:val="0002444B"/>
    <w:rsid w:val="000365B4"/>
    <w:rsid w:val="00041377"/>
    <w:rsid w:val="00055165"/>
    <w:rsid w:val="00055C6E"/>
    <w:rsid w:val="00061772"/>
    <w:rsid w:val="000C2C2E"/>
    <w:rsid w:val="000F6035"/>
    <w:rsid w:val="00100ABF"/>
    <w:rsid w:val="001072BA"/>
    <w:rsid w:val="00133706"/>
    <w:rsid w:val="00157853"/>
    <w:rsid w:val="0016300D"/>
    <w:rsid w:val="00166502"/>
    <w:rsid w:val="00195B3B"/>
    <w:rsid w:val="001A0301"/>
    <w:rsid w:val="001A3D4A"/>
    <w:rsid w:val="001B7365"/>
    <w:rsid w:val="001C5C30"/>
    <w:rsid w:val="001C5D42"/>
    <w:rsid w:val="001D3D44"/>
    <w:rsid w:val="001D7D98"/>
    <w:rsid w:val="001F2F5F"/>
    <w:rsid w:val="00202FC0"/>
    <w:rsid w:val="00203A5E"/>
    <w:rsid w:val="00204367"/>
    <w:rsid w:val="00210124"/>
    <w:rsid w:val="00213813"/>
    <w:rsid w:val="00242ED8"/>
    <w:rsid w:val="00247AC1"/>
    <w:rsid w:val="002518F5"/>
    <w:rsid w:val="0025233B"/>
    <w:rsid w:val="0025378F"/>
    <w:rsid w:val="00265DA4"/>
    <w:rsid w:val="0026601F"/>
    <w:rsid w:val="00290730"/>
    <w:rsid w:val="00296658"/>
    <w:rsid w:val="00297D23"/>
    <w:rsid w:val="002B16D8"/>
    <w:rsid w:val="002C4FC1"/>
    <w:rsid w:val="002D504E"/>
    <w:rsid w:val="002E5EA7"/>
    <w:rsid w:val="00302203"/>
    <w:rsid w:val="00304A21"/>
    <w:rsid w:val="00305D0B"/>
    <w:rsid w:val="0032303F"/>
    <w:rsid w:val="003311F7"/>
    <w:rsid w:val="00331A67"/>
    <w:rsid w:val="00332672"/>
    <w:rsid w:val="00366F91"/>
    <w:rsid w:val="00373916"/>
    <w:rsid w:val="00393C55"/>
    <w:rsid w:val="003A029B"/>
    <w:rsid w:val="003C192F"/>
    <w:rsid w:val="003C5D0C"/>
    <w:rsid w:val="003C6B36"/>
    <w:rsid w:val="003D3AF5"/>
    <w:rsid w:val="003D50FE"/>
    <w:rsid w:val="003E1CB2"/>
    <w:rsid w:val="003E1F7B"/>
    <w:rsid w:val="003F1147"/>
    <w:rsid w:val="00414748"/>
    <w:rsid w:val="00426469"/>
    <w:rsid w:val="00441E41"/>
    <w:rsid w:val="0048046E"/>
    <w:rsid w:val="004915BC"/>
    <w:rsid w:val="0049272E"/>
    <w:rsid w:val="004A1124"/>
    <w:rsid w:val="004E3255"/>
    <w:rsid w:val="004E5786"/>
    <w:rsid w:val="004E717A"/>
    <w:rsid w:val="004F2AD5"/>
    <w:rsid w:val="00500E9D"/>
    <w:rsid w:val="00510E08"/>
    <w:rsid w:val="00565C8F"/>
    <w:rsid w:val="0057718C"/>
    <w:rsid w:val="005A6FC3"/>
    <w:rsid w:val="005B3AD6"/>
    <w:rsid w:val="005C1CAE"/>
    <w:rsid w:val="005D1987"/>
    <w:rsid w:val="005D3001"/>
    <w:rsid w:val="005E679C"/>
    <w:rsid w:val="005F434F"/>
    <w:rsid w:val="005F5B51"/>
    <w:rsid w:val="00607ACD"/>
    <w:rsid w:val="00611BC9"/>
    <w:rsid w:val="0061404F"/>
    <w:rsid w:val="0062429B"/>
    <w:rsid w:val="00630050"/>
    <w:rsid w:val="0063497C"/>
    <w:rsid w:val="00652056"/>
    <w:rsid w:val="006606A5"/>
    <w:rsid w:val="0068094D"/>
    <w:rsid w:val="00680BDE"/>
    <w:rsid w:val="006A74CF"/>
    <w:rsid w:val="006B6411"/>
    <w:rsid w:val="006C4429"/>
    <w:rsid w:val="006D0FA0"/>
    <w:rsid w:val="006D3A25"/>
    <w:rsid w:val="006F69D6"/>
    <w:rsid w:val="00730B7A"/>
    <w:rsid w:val="00734681"/>
    <w:rsid w:val="007474D7"/>
    <w:rsid w:val="0075324C"/>
    <w:rsid w:val="00777987"/>
    <w:rsid w:val="007C5B8D"/>
    <w:rsid w:val="007F268A"/>
    <w:rsid w:val="007F68D6"/>
    <w:rsid w:val="00804BF8"/>
    <w:rsid w:val="00820561"/>
    <w:rsid w:val="0082131F"/>
    <w:rsid w:val="00835BC9"/>
    <w:rsid w:val="0085283B"/>
    <w:rsid w:val="0086232A"/>
    <w:rsid w:val="008768CE"/>
    <w:rsid w:val="00881854"/>
    <w:rsid w:val="0089675F"/>
    <w:rsid w:val="008D443E"/>
    <w:rsid w:val="008D464C"/>
    <w:rsid w:val="008D5335"/>
    <w:rsid w:val="008E4BA9"/>
    <w:rsid w:val="008E5703"/>
    <w:rsid w:val="008F5532"/>
    <w:rsid w:val="008F5FE8"/>
    <w:rsid w:val="00925B06"/>
    <w:rsid w:val="00996E45"/>
    <w:rsid w:val="009B13B7"/>
    <w:rsid w:val="009C371E"/>
    <w:rsid w:val="009C59CB"/>
    <w:rsid w:val="009E4E95"/>
    <w:rsid w:val="00A15EAF"/>
    <w:rsid w:val="00A770FD"/>
    <w:rsid w:val="00AB46AC"/>
    <w:rsid w:val="00AC14AA"/>
    <w:rsid w:val="00AD2637"/>
    <w:rsid w:val="00AD3BA7"/>
    <w:rsid w:val="00AD5235"/>
    <w:rsid w:val="00AE10A8"/>
    <w:rsid w:val="00B016E3"/>
    <w:rsid w:val="00B05FF2"/>
    <w:rsid w:val="00B405F6"/>
    <w:rsid w:val="00B448F9"/>
    <w:rsid w:val="00B47086"/>
    <w:rsid w:val="00B54F91"/>
    <w:rsid w:val="00B55225"/>
    <w:rsid w:val="00B55FB5"/>
    <w:rsid w:val="00B64E67"/>
    <w:rsid w:val="00B70396"/>
    <w:rsid w:val="00BA1483"/>
    <w:rsid w:val="00BB1387"/>
    <w:rsid w:val="00BC286C"/>
    <w:rsid w:val="00BE580D"/>
    <w:rsid w:val="00BE7F8A"/>
    <w:rsid w:val="00BF340F"/>
    <w:rsid w:val="00C24D94"/>
    <w:rsid w:val="00C272E7"/>
    <w:rsid w:val="00C321FC"/>
    <w:rsid w:val="00C409FE"/>
    <w:rsid w:val="00C57945"/>
    <w:rsid w:val="00C83042"/>
    <w:rsid w:val="00CA0D83"/>
    <w:rsid w:val="00CD5813"/>
    <w:rsid w:val="00CE4184"/>
    <w:rsid w:val="00CF4A18"/>
    <w:rsid w:val="00CF6BC6"/>
    <w:rsid w:val="00CF6D61"/>
    <w:rsid w:val="00D37132"/>
    <w:rsid w:val="00D5473D"/>
    <w:rsid w:val="00D614A6"/>
    <w:rsid w:val="00D66C8A"/>
    <w:rsid w:val="00D726AE"/>
    <w:rsid w:val="00D85DDD"/>
    <w:rsid w:val="00D86CE4"/>
    <w:rsid w:val="00D976F0"/>
    <w:rsid w:val="00DC1F4E"/>
    <w:rsid w:val="00DD4C90"/>
    <w:rsid w:val="00DE35D1"/>
    <w:rsid w:val="00DF5BEA"/>
    <w:rsid w:val="00E05616"/>
    <w:rsid w:val="00E05C98"/>
    <w:rsid w:val="00E51BF3"/>
    <w:rsid w:val="00E577F2"/>
    <w:rsid w:val="00E672CC"/>
    <w:rsid w:val="00E702C6"/>
    <w:rsid w:val="00E757A3"/>
    <w:rsid w:val="00E76B61"/>
    <w:rsid w:val="00EB14ED"/>
    <w:rsid w:val="00EB6F16"/>
    <w:rsid w:val="00ED1D41"/>
    <w:rsid w:val="00EE2DE1"/>
    <w:rsid w:val="00EE5526"/>
    <w:rsid w:val="00EF5A09"/>
    <w:rsid w:val="00EF66F4"/>
    <w:rsid w:val="00EF6AC7"/>
    <w:rsid w:val="00EF73F5"/>
    <w:rsid w:val="00F025D9"/>
    <w:rsid w:val="00F23044"/>
    <w:rsid w:val="00F23167"/>
    <w:rsid w:val="00F23A7D"/>
    <w:rsid w:val="00F24357"/>
    <w:rsid w:val="00F41EB6"/>
    <w:rsid w:val="00F515FD"/>
    <w:rsid w:val="00F713B3"/>
    <w:rsid w:val="00F74DB2"/>
    <w:rsid w:val="00F93F52"/>
    <w:rsid w:val="00F95D31"/>
    <w:rsid w:val="00FA07DC"/>
    <w:rsid w:val="00FD1827"/>
    <w:rsid w:val="00FE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B54FD-83C1-440A-ACA5-CB2AA73B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61"/>
    <w:pPr>
      <w:spacing w:after="0" w:line="240" w:lineRule="auto"/>
    </w:pPr>
    <w:rPr>
      <w:rFonts w:ascii="Times New Roman" w:eastAsia="Times New Roman" w:hAnsi="Times New Roman" w:cs="Times New Roman"/>
      <w:color w:val="000000"/>
      <w:sz w:val="24"/>
      <w:szCs w:val="24"/>
    </w:rPr>
  </w:style>
  <w:style w:type="paragraph" w:styleId="Heading4">
    <w:name w:val="heading 4"/>
    <w:basedOn w:val="Normal"/>
    <w:next w:val="Normal"/>
    <w:link w:val="Heading4Char"/>
    <w:uiPriority w:val="9"/>
    <w:unhideWhenUsed/>
    <w:qFormat/>
    <w:rsid w:val="00E76B61"/>
    <w:pPr>
      <w:keepNext/>
      <w:keepLines/>
      <w:spacing w:before="4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6B61"/>
    <w:rPr>
      <w:rFonts w:ascii="Times New Roman" w:eastAsiaTheme="majorEastAsia" w:hAnsi="Times New Roman" w:cstheme="majorBidi"/>
      <w:b/>
      <w:iCs/>
      <w:sz w:val="24"/>
      <w:szCs w:val="24"/>
    </w:rPr>
  </w:style>
  <w:style w:type="character" w:styleId="Hyperlink">
    <w:name w:val="Hyperlink"/>
    <w:basedOn w:val="DefaultParagraphFont"/>
    <w:uiPriority w:val="99"/>
    <w:unhideWhenUsed/>
    <w:rsid w:val="00E76B61"/>
    <w:rPr>
      <w:color w:val="0000FF"/>
      <w:u w:val="single"/>
    </w:rPr>
  </w:style>
  <w:style w:type="paragraph" w:styleId="NormalWeb">
    <w:name w:val="Normal (Web)"/>
    <w:basedOn w:val="Normal"/>
    <w:uiPriority w:val="99"/>
    <w:unhideWhenUsed/>
    <w:rsid w:val="00E76B61"/>
    <w:pPr>
      <w:spacing w:before="100" w:beforeAutospacing="1" w:after="100" w:afterAutospacing="1"/>
    </w:pPr>
  </w:style>
  <w:style w:type="character" w:styleId="Strong">
    <w:name w:val="Strong"/>
    <w:basedOn w:val="DefaultParagraphFont"/>
    <w:uiPriority w:val="22"/>
    <w:qFormat/>
    <w:rsid w:val="00E76B61"/>
    <w:rPr>
      <w:b/>
      <w:bCs/>
    </w:rPr>
  </w:style>
  <w:style w:type="character" w:styleId="FollowedHyperlink">
    <w:name w:val="FollowedHyperlink"/>
    <w:basedOn w:val="DefaultParagraphFont"/>
    <w:uiPriority w:val="99"/>
    <w:semiHidden/>
    <w:unhideWhenUsed/>
    <w:rsid w:val="001D7D98"/>
    <w:rPr>
      <w:color w:val="954F72" w:themeColor="followedHyperlink"/>
      <w:u w:val="single"/>
    </w:rPr>
  </w:style>
  <w:style w:type="paragraph" w:styleId="Header">
    <w:name w:val="header"/>
    <w:basedOn w:val="Normal"/>
    <w:link w:val="HeaderChar"/>
    <w:uiPriority w:val="99"/>
    <w:unhideWhenUsed/>
    <w:rsid w:val="00E05616"/>
    <w:pPr>
      <w:tabs>
        <w:tab w:val="center" w:pos="4680"/>
        <w:tab w:val="right" w:pos="9360"/>
      </w:tabs>
    </w:pPr>
  </w:style>
  <w:style w:type="character" w:customStyle="1" w:styleId="HeaderChar">
    <w:name w:val="Header Char"/>
    <w:basedOn w:val="DefaultParagraphFont"/>
    <w:link w:val="Header"/>
    <w:uiPriority w:val="99"/>
    <w:rsid w:val="00E0561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05616"/>
    <w:pPr>
      <w:tabs>
        <w:tab w:val="center" w:pos="4680"/>
        <w:tab w:val="right" w:pos="9360"/>
      </w:tabs>
    </w:pPr>
  </w:style>
  <w:style w:type="character" w:customStyle="1" w:styleId="FooterChar">
    <w:name w:val="Footer Char"/>
    <w:basedOn w:val="DefaultParagraphFont"/>
    <w:link w:val="Footer"/>
    <w:uiPriority w:val="99"/>
    <w:rsid w:val="00E05616"/>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9018">
      <w:bodyDiv w:val="1"/>
      <w:marLeft w:val="0"/>
      <w:marRight w:val="0"/>
      <w:marTop w:val="0"/>
      <w:marBottom w:val="0"/>
      <w:divBdr>
        <w:top w:val="none" w:sz="0" w:space="0" w:color="auto"/>
        <w:left w:val="none" w:sz="0" w:space="0" w:color="auto"/>
        <w:bottom w:val="none" w:sz="0" w:space="0" w:color="auto"/>
        <w:right w:val="none" w:sz="0" w:space="0" w:color="auto"/>
      </w:divBdr>
    </w:div>
    <w:div w:id="569773680">
      <w:bodyDiv w:val="1"/>
      <w:marLeft w:val="0"/>
      <w:marRight w:val="0"/>
      <w:marTop w:val="0"/>
      <w:marBottom w:val="0"/>
      <w:divBdr>
        <w:top w:val="none" w:sz="0" w:space="0" w:color="auto"/>
        <w:left w:val="none" w:sz="0" w:space="0" w:color="auto"/>
        <w:bottom w:val="none" w:sz="0" w:space="0" w:color="auto"/>
        <w:right w:val="none" w:sz="0" w:space="0" w:color="auto"/>
      </w:divBdr>
    </w:div>
    <w:div w:id="578950024">
      <w:bodyDiv w:val="1"/>
      <w:marLeft w:val="0"/>
      <w:marRight w:val="0"/>
      <w:marTop w:val="0"/>
      <w:marBottom w:val="0"/>
      <w:divBdr>
        <w:top w:val="none" w:sz="0" w:space="0" w:color="auto"/>
        <w:left w:val="none" w:sz="0" w:space="0" w:color="auto"/>
        <w:bottom w:val="none" w:sz="0" w:space="0" w:color="auto"/>
        <w:right w:val="none" w:sz="0" w:space="0" w:color="auto"/>
      </w:divBdr>
    </w:div>
    <w:div w:id="758714138">
      <w:bodyDiv w:val="1"/>
      <w:marLeft w:val="0"/>
      <w:marRight w:val="0"/>
      <w:marTop w:val="0"/>
      <w:marBottom w:val="0"/>
      <w:divBdr>
        <w:top w:val="none" w:sz="0" w:space="0" w:color="auto"/>
        <w:left w:val="none" w:sz="0" w:space="0" w:color="auto"/>
        <w:bottom w:val="none" w:sz="0" w:space="0" w:color="auto"/>
        <w:right w:val="none" w:sz="0" w:space="0" w:color="auto"/>
      </w:divBdr>
    </w:div>
    <w:div w:id="1284849443">
      <w:bodyDiv w:val="1"/>
      <w:marLeft w:val="0"/>
      <w:marRight w:val="0"/>
      <w:marTop w:val="0"/>
      <w:marBottom w:val="0"/>
      <w:divBdr>
        <w:top w:val="none" w:sz="0" w:space="0" w:color="auto"/>
        <w:left w:val="none" w:sz="0" w:space="0" w:color="auto"/>
        <w:bottom w:val="none" w:sz="0" w:space="0" w:color="auto"/>
        <w:right w:val="none" w:sz="0" w:space="0" w:color="auto"/>
      </w:divBdr>
    </w:div>
    <w:div w:id="15855305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2934316">
          <w:marLeft w:val="105"/>
          <w:marRight w:val="105"/>
          <w:marTop w:val="0"/>
          <w:marBottom w:val="0"/>
          <w:divBdr>
            <w:top w:val="none" w:sz="0" w:space="0" w:color="auto"/>
            <w:left w:val="none" w:sz="0" w:space="0" w:color="auto"/>
            <w:bottom w:val="none" w:sz="0" w:space="0" w:color="auto"/>
            <w:right w:val="none" w:sz="0" w:space="0" w:color="auto"/>
          </w:divBdr>
          <w:divsChild>
            <w:div w:id="1183667306">
              <w:marLeft w:val="0"/>
              <w:marRight w:val="0"/>
              <w:marTop w:val="0"/>
              <w:marBottom w:val="0"/>
              <w:divBdr>
                <w:top w:val="none" w:sz="0" w:space="0" w:color="auto"/>
                <w:left w:val="none" w:sz="0" w:space="0" w:color="auto"/>
                <w:bottom w:val="none" w:sz="0" w:space="0" w:color="auto"/>
                <w:right w:val="none" w:sz="0" w:space="0" w:color="auto"/>
              </w:divBdr>
              <w:divsChild>
                <w:div w:id="1902670961">
                  <w:marLeft w:val="-225"/>
                  <w:marRight w:val="-225"/>
                  <w:marTop w:val="0"/>
                  <w:marBottom w:val="0"/>
                  <w:divBdr>
                    <w:top w:val="none" w:sz="0" w:space="0" w:color="auto"/>
                    <w:left w:val="none" w:sz="0" w:space="0" w:color="auto"/>
                    <w:bottom w:val="none" w:sz="0" w:space="0" w:color="auto"/>
                    <w:right w:val="none" w:sz="0" w:space="0" w:color="auto"/>
                  </w:divBdr>
                  <w:divsChild>
                    <w:div w:id="194538853">
                      <w:marLeft w:val="0"/>
                      <w:marRight w:val="0"/>
                      <w:marTop w:val="450"/>
                      <w:marBottom w:val="0"/>
                      <w:divBdr>
                        <w:top w:val="none" w:sz="0" w:space="0" w:color="auto"/>
                        <w:left w:val="none" w:sz="0" w:space="0" w:color="auto"/>
                        <w:bottom w:val="none" w:sz="0" w:space="0" w:color="auto"/>
                        <w:right w:val="none" w:sz="0" w:space="0" w:color="auto"/>
                      </w:divBdr>
                      <w:divsChild>
                        <w:div w:id="1885828625">
                          <w:marLeft w:val="0"/>
                          <w:marRight w:val="0"/>
                          <w:marTop w:val="0"/>
                          <w:marBottom w:val="0"/>
                          <w:divBdr>
                            <w:top w:val="none" w:sz="0" w:space="0" w:color="auto"/>
                            <w:left w:val="none" w:sz="0" w:space="0" w:color="auto"/>
                            <w:bottom w:val="none" w:sz="0" w:space="0" w:color="auto"/>
                            <w:right w:val="none" w:sz="0" w:space="0" w:color="auto"/>
                          </w:divBdr>
                          <w:divsChild>
                            <w:div w:id="188640039">
                              <w:marLeft w:val="0"/>
                              <w:marRight w:val="0"/>
                              <w:marTop w:val="0"/>
                              <w:marBottom w:val="150"/>
                              <w:divBdr>
                                <w:top w:val="none" w:sz="0" w:space="0" w:color="auto"/>
                                <w:left w:val="none" w:sz="0" w:space="0" w:color="auto"/>
                                <w:bottom w:val="none" w:sz="0" w:space="0" w:color="auto"/>
                                <w:right w:val="none" w:sz="0" w:space="0" w:color="auto"/>
                              </w:divBdr>
                              <w:divsChild>
                                <w:div w:id="821777844">
                                  <w:marLeft w:val="0"/>
                                  <w:marRight w:val="0"/>
                                  <w:marTop w:val="0"/>
                                  <w:marBottom w:val="0"/>
                                  <w:divBdr>
                                    <w:top w:val="none" w:sz="0" w:space="0" w:color="auto"/>
                                    <w:left w:val="none" w:sz="0" w:space="0" w:color="auto"/>
                                    <w:bottom w:val="none" w:sz="0" w:space="0" w:color="auto"/>
                                    <w:right w:val="none" w:sz="0" w:space="0" w:color="auto"/>
                                  </w:divBdr>
                                  <w:divsChild>
                                    <w:div w:id="57825401">
                                      <w:marLeft w:val="0"/>
                                      <w:marRight w:val="0"/>
                                      <w:marTop w:val="0"/>
                                      <w:marBottom w:val="0"/>
                                      <w:divBdr>
                                        <w:top w:val="none" w:sz="0" w:space="0" w:color="auto"/>
                                        <w:left w:val="none" w:sz="0" w:space="0" w:color="auto"/>
                                        <w:bottom w:val="none" w:sz="0" w:space="0" w:color="auto"/>
                                        <w:right w:val="none" w:sz="0" w:space="0" w:color="auto"/>
                                      </w:divBdr>
                                      <w:divsChild>
                                        <w:div w:id="954096179">
                                          <w:marLeft w:val="0"/>
                                          <w:marRight w:val="0"/>
                                          <w:marTop w:val="0"/>
                                          <w:marBottom w:val="0"/>
                                          <w:divBdr>
                                            <w:top w:val="none" w:sz="0" w:space="0" w:color="auto"/>
                                            <w:left w:val="none" w:sz="0" w:space="0" w:color="auto"/>
                                            <w:bottom w:val="none" w:sz="0" w:space="0" w:color="auto"/>
                                            <w:right w:val="none" w:sz="0" w:space="0" w:color="auto"/>
                                          </w:divBdr>
                                          <w:divsChild>
                                            <w:div w:id="4240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9614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270194">
          <w:marLeft w:val="105"/>
          <w:marRight w:val="105"/>
          <w:marTop w:val="0"/>
          <w:marBottom w:val="0"/>
          <w:divBdr>
            <w:top w:val="none" w:sz="0" w:space="0" w:color="auto"/>
            <w:left w:val="none" w:sz="0" w:space="0" w:color="auto"/>
            <w:bottom w:val="none" w:sz="0" w:space="0" w:color="auto"/>
            <w:right w:val="none" w:sz="0" w:space="0" w:color="auto"/>
          </w:divBdr>
          <w:divsChild>
            <w:div w:id="909970200">
              <w:marLeft w:val="0"/>
              <w:marRight w:val="0"/>
              <w:marTop w:val="0"/>
              <w:marBottom w:val="0"/>
              <w:divBdr>
                <w:top w:val="none" w:sz="0" w:space="0" w:color="auto"/>
                <w:left w:val="none" w:sz="0" w:space="0" w:color="auto"/>
                <w:bottom w:val="none" w:sz="0" w:space="0" w:color="auto"/>
                <w:right w:val="none" w:sz="0" w:space="0" w:color="auto"/>
              </w:divBdr>
              <w:divsChild>
                <w:div w:id="128208759">
                  <w:marLeft w:val="-225"/>
                  <w:marRight w:val="-225"/>
                  <w:marTop w:val="0"/>
                  <w:marBottom w:val="0"/>
                  <w:divBdr>
                    <w:top w:val="none" w:sz="0" w:space="0" w:color="auto"/>
                    <w:left w:val="none" w:sz="0" w:space="0" w:color="auto"/>
                    <w:bottom w:val="none" w:sz="0" w:space="0" w:color="auto"/>
                    <w:right w:val="none" w:sz="0" w:space="0" w:color="auto"/>
                  </w:divBdr>
                  <w:divsChild>
                    <w:div w:id="896356881">
                      <w:marLeft w:val="0"/>
                      <w:marRight w:val="0"/>
                      <w:marTop w:val="450"/>
                      <w:marBottom w:val="0"/>
                      <w:divBdr>
                        <w:top w:val="none" w:sz="0" w:space="0" w:color="auto"/>
                        <w:left w:val="none" w:sz="0" w:space="0" w:color="auto"/>
                        <w:bottom w:val="none" w:sz="0" w:space="0" w:color="auto"/>
                        <w:right w:val="none" w:sz="0" w:space="0" w:color="auto"/>
                      </w:divBdr>
                      <w:divsChild>
                        <w:div w:id="761295538">
                          <w:marLeft w:val="0"/>
                          <w:marRight w:val="0"/>
                          <w:marTop w:val="0"/>
                          <w:marBottom w:val="0"/>
                          <w:divBdr>
                            <w:top w:val="none" w:sz="0" w:space="0" w:color="auto"/>
                            <w:left w:val="none" w:sz="0" w:space="0" w:color="auto"/>
                            <w:bottom w:val="none" w:sz="0" w:space="0" w:color="auto"/>
                            <w:right w:val="none" w:sz="0" w:space="0" w:color="auto"/>
                          </w:divBdr>
                          <w:divsChild>
                            <w:div w:id="1421946771">
                              <w:marLeft w:val="0"/>
                              <w:marRight w:val="0"/>
                              <w:marTop w:val="0"/>
                              <w:marBottom w:val="150"/>
                              <w:divBdr>
                                <w:top w:val="none" w:sz="0" w:space="0" w:color="auto"/>
                                <w:left w:val="none" w:sz="0" w:space="0" w:color="auto"/>
                                <w:bottom w:val="none" w:sz="0" w:space="0" w:color="auto"/>
                                <w:right w:val="none" w:sz="0" w:space="0" w:color="auto"/>
                              </w:divBdr>
                              <w:divsChild>
                                <w:div w:id="421997199">
                                  <w:marLeft w:val="0"/>
                                  <w:marRight w:val="0"/>
                                  <w:marTop w:val="0"/>
                                  <w:marBottom w:val="0"/>
                                  <w:divBdr>
                                    <w:top w:val="none" w:sz="0" w:space="0" w:color="auto"/>
                                    <w:left w:val="none" w:sz="0" w:space="0" w:color="auto"/>
                                    <w:bottom w:val="none" w:sz="0" w:space="0" w:color="auto"/>
                                    <w:right w:val="none" w:sz="0" w:space="0" w:color="auto"/>
                                  </w:divBdr>
                                  <w:divsChild>
                                    <w:div w:id="1018194071">
                                      <w:marLeft w:val="0"/>
                                      <w:marRight w:val="0"/>
                                      <w:marTop w:val="0"/>
                                      <w:marBottom w:val="0"/>
                                      <w:divBdr>
                                        <w:top w:val="none" w:sz="0" w:space="0" w:color="auto"/>
                                        <w:left w:val="none" w:sz="0" w:space="0" w:color="auto"/>
                                        <w:bottom w:val="none" w:sz="0" w:space="0" w:color="auto"/>
                                        <w:right w:val="none" w:sz="0" w:space="0" w:color="auto"/>
                                      </w:divBdr>
                                      <w:divsChild>
                                        <w:div w:id="164632713">
                                          <w:marLeft w:val="0"/>
                                          <w:marRight w:val="0"/>
                                          <w:marTop w:val="0"/>
                                          <w:marBottom w:val="0"/>
                                          <w:divBdr>
                                            <w:top w:val="none" w:sz="0" w:space="0" w:color="auto"/>
                                            <w:left w:val="none" w:sz="0" w:space="0" w:color="auto"/>
                                            <w:bottom w:val="none" w:sz="0" w:space="0" w:color="auto"/>
                                            <w:right w:val="none" w:sz="0" w:space="0" w:color="auto"/>
                                          </w:divBdr>
                                          <w:divsChild>
                                            <w:div w:id="7905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ensu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ensus.gov/about/policies/quality/standards/standardf1.html" TargetMode="External"/><Relationship Id="rId4" Type="http://schemas.openxmlformats.org/officeDocument/2006/relationships/settings" Target="settings.xml"/><Relationship Id="rId9" Type="http://schemas.openxmlformats.org/officeDocument/2006/relationships/hyperlink" Target="https://portal.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CB4D-EC91-402D-AAF1-E021A34A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10</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Dougherty (CENSUS/EWD FED)</dc:creator>
  <cp:keywords/>
  <dc:description/>
  <cp:lastModifiedBy>John Dougherty (CENSUS/EWD FED)</cp:lastModifiedBy>
  <cp:revision>65</cp:revision>
  <dcterms:created xsi:type="dcterms:W3CDTF">2020-06-13T20:52:00Z</dcterms:created>
  <dcterms:modified xsi:type="dcterms:W3CDTF">2020-08-27T16:17:00Z</dcterms:modified>
</cp:coreProperties>
</file>