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2723" w:rsidR="001263A5" w:rsidP="00342723" w:rsidRDefault="006A4E66" w14:paraId="110B10B2" w14:textId="50F9F3B1">
      <w:pPr>
        <w:pStyle w:val="Heading1"/>
        <w:keepNext w:val="0"/>
        <w:keepLines w:val="0"/>
        <w:spacing w:before="0" w:after="0" w:line="240" w:lineRule="auto"/>
        <w:jc w:val="center"/>
      </w:pPr>
      <w:bookmarkStart w:name="_jb492r6ik0nj" w:colFirst="0" w:colLast="0" w:id="0"/>
      <w:bookmarkEnd w:id="0"/>
      <w:r w:rsidRPr="00342723">
        <w:rPr>
          <w:rFonts w:ascii="Times New Roman" w:hAnsi="Times New Roman" w:cs="Times New Roman"/>
          <w:b/>
          <w:sz w:val="24"/>
          <w:szCs w:val="24"/>
        </w:rPr>
        <w:t>SUPPORTING STATEMENT</w:t>
      </w:r>
    </w:p>
    <w:p w:rsidRPr="00342723" w:rsidR="007D7417" w:rsidP="00342723" w:rsidRDefault="006A4E66" w14:paraId="3FBA6779" w14:textId="42E42AB6">
      <w:pPr>
        <w:spacing w:line="240" w:lineRule="auto"/>
        <w:ind w:firstLine="20"/>
        <w:jc w:val="center"/>
        <w:rPr>
          <w:rFonts w:ascii="Times New Roman" w:hAnsi="Times New Roman" w:cs="Times New Roman"/>
          <w:b/>
          <w:sz w:val="24"/>
          <w:szCs w:val="24"/>
        </w:rPr>
      </w:pPr>
      <w:r w:rsidRPr="00342723">
        <w:rPr>
          <w:rFonts w:ascii="Times New Roman" w:hAnsi="Times New Roman" w:cs="Times New Roman"/>
          <w:b/>
          <w:sz w:val="24"/>
          <w:szCs w:val="24"/>
        </w:rPr>
        <w:t>U.S. Department of Commerce</w:t>
      </w:r>
    </w:p>
    <w:p w:rsidRPr="00342723" w:rsidR="007D7417" w:rsidP="00342723" w:rsidRDefault="006A4E66" w14:paraId="2E30912B" w14:textId="299F9EA3">
      <w:pPr>
        <w:spacing w:line="240" w:lineRule="auto"/>
        <w:ind w:firstLine="20"/>
        <w:jc w:val="center"/>
        <w:rPr>
          <w:rFonts w:ascii="Times New Roman" w:hAnsi="Times New Roman" w:cs="Times New Roman"/>
          <w:b/>
          <w:sz w:val="24"/>
          <w:szCs w:val="24"/>
        </w:rPr>
      </w:pPr>
      <w:r w:rsidRPr="00342723">
        <w:rPr>
          <w:rFonts w:ascii="Times New Roman" w:hAnsi="Times New Roman" w:cs="Times New Roman"/>
          <w:b/>
          <w:sz w:val="24"/>
          <w:szCs w:val="24"/>
        </w:rPr>
        <w:t xml:space="preserve">National Oceanic </w:t>
      </w:r>
      <w:r w:rsidRPr="00342723" w:rsidR="001263A5">
        <w:rPr>
          <w:rFonts w:ascii="Times New Roman" w:hAnsi="Times New Roman" w:cs="Times New Roman"/>
          <w:b/>
          <w:sz w:val="24"/>
          <w:szCs w:val="24"/>
        </w:rPr>
        <w:t>and</w:t>
      </w:r>
      <w:r w:rsidRPr="00342723">
        <w:rPr>
          <w:rFonts w:ascii="Times New Roman" w:hAnsi="Times New Roman" w:cs="Times New Roman"/>
          <w:b/>
          <w:sz w:val="24"/>
          <w:szCs w:val="24"/>
        </w:rPr>
        <w:t xml:space="preserve"> Atmospheric Administration</w:t>
      </w:r>
    </w:p>
    <w:p w:rsidRPr="00342723" w:rsidR="007D7417" w:rsidP="00342723" w:rsidRDefault="00342723" w14:paraId="19AB987C" w14:textId="0B865994">
      <w:pPr>
        <w:spacing w:line="240" w:lineRule="auto"/>
        <w:jc w:val="center"/>
        <w:rPr>
          <w:rFonts w:ascii="Times New Roman" w:hAnsi="Times New Roman" w:cs="Times New Roman"/>
          <w:b/>
          <w:sz w:val="24"/>
          <w:szCs w:val="24"/>
        </w:rPr>
      </w:pPr>
      <w:r w:rsidRPr="00342723">
        <w:rPr>
          <w:rFonts w:ascii="Times New Roman" w:hAnsi="Times New Roman" w:cs="Times New Roman"/>
          <w:b/>
          <w:color w:val="000000"/>
          <w:sz w:val="24"/>
          <w:szCs w:val="24"/>
          <w:shd w:val="clear" w:color="auto" w:fill="FFFFFF"/>
        </w:rPr>
        <w:t>Gear-Marking Requirement for Atlantic Large Whale Take Reduction Plan</w:t>
      </w:r>
    </w:p>
    <w:p w:rsidRPr="00342723" w:rsidR="00D45369" w:rsidP="007D7417" w:rsidRDefault="006A4E66" w14:paraId="3AACBEA0" w14:textId="54D4DF7E">
      <w:pPr>
        <w:spacing w:line="240" w:lineRule="auto"/>
        <w:jc w:val="center"/>
        <w:rPr>
          <w:rFonts w:ascii="Times New Roman" w:hAnsi="Times New Roman" w:cs="Times New Roman"/>
          <w:b/>
          <w:sz w:val="24"/>
          <w:szCs w:val="24"/>
        </w:rPr>
      </w:pPr>
      <w:r w:rsidRPr="00342723">
        <w:rPr>
          <w:rFonts w:ascii="Times New Roman" w:hAnsi="Times New Roman" w:cs="Times New Roman"/>
          <w:b/>
          <w:sz w:val="24"/>
          <w:szCs w:val="24"/>
        </w:rPr>
        <w:t>OMB Control No. 0648-036</w:t>
      </w:r>
      <w:r w:rsidRPr="00342723" w:rsidR="00342723">
        <w:rPr>
          <w:rFonts w:ascii="Times New Roman" w:hAnsi="Times New Roman" w:cs="Times New Roman"/>
          <w:b/>
          <w:sz w:val="24"/>
          <w:szCs w:val="24"/>
        </w:rPr>
        <w:t>4</w:t>
      </w:r>
    </w:p>
    <w:p w:rsidRPr="00342723" w:rsidR="007D7417" w:rsidP="007D7417" w:rsidRDefault="007D7417" w14:paraId="33872A15" w14:textId="782FF278">
      <w:pPr>
        <w:spacing w:line="240" w:lineRule="auto"/>
        <w:rPr>
          <w:rFonts w:ascii="Times New Roman" w:hAnsi="Times New Roman" w:cs="Times New Roman"/>
          <w:b/>
          <w:color w:val="1F497D"/>
          <w:sz w:val="24"/>
          <w:szCs w:val="24"/>
        </w:rPr>
      </w:pPr>
    </w:p>
    <w:p w:rsidRPr="00342723" w:rsidR="007D7417" w:rsidP="007D7417" w:rsidRDefault="007D7417" w14:paraId="6275D4C9" w14:textId="77777777">
      <w:pPr>
        <w:spacing w:line="240" w:lineRule="auto"/>
        <w:rPr>
          <w:rFonts w:ascii="Times New Roman" w:hAnsi="Times New Roman" w:cs="Times New Roman"/>
          <w:b/>
          <w:color w:val="1F497D"/>
          <w:sz w:val="24"/>
          <w:szCs w:val="24"/>
        </w:rPr>
      </w:pPr>
    </w:p>
    <w:p w:rsidRPr="00342723" w:rsidR="00D45369" w:rsidP="007D7417" w:rsidRDefault="006A4E66" w14:paraId="1614A217" w14:textId="6366480F">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Abstract</w:t>
      </w:r>
    </w:p>
    <w:p w:rsidRPr="00342723" w:rsidR="007D7417" w:rsidP="007D7417" w:rsidRDefault="007D7417" w14:paraId="65E75EE2" w14:textId="5D711223">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 </w:t>
      </w:r>
    </w:p>
    <w:p w:rsidRPr="00342723" w:rsidR="00D45369" w:rsidP="007D7417" w:rsidRDefault="006A4E66" w14:paraId="309B0F58" w14:textId="44BB135B">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In 1996, pursuant to section 118 of the MMPA, </w:t>
      </w:r>
      <w:r w:rsidRPr="00342723" w:rsidR="00364F2F">
        <w:rPr>
          <w:rFonts w:ascii="Times New Roman" w:hAnsi="Times New Roman" w:eastAsia="Times New Roman" w:cs="Times New Roman"/>
          <w:sz w:val="24"/>
          <w:szCs w:val="24"/>
        </w:rPr>
        <w:t xml:space="preserve">the </w:t>
      </w:r>
      <w:r w:rsidRPr="00342723">
        <w:rPr>
          <w:rFonts w:ascii="Times New Roman" w:hAnsi="Times New Roman" w:eastAsia="Times New Roman" w:cs="Times New Roman"/>
          <w:sz w:val="24"/>
          <w:szCs w:val="24"/>
        </w:rPr>
        <w:t xml:space="preserve">National Marine Fisheries Service (NMFS) established and convened an Atlantic Large Whale Take Reduction Team (Team) to assist in the development of the Atlantic Large Whale Take Reduction Plan (Plan).  </w:t>
      </w:r>
      <w:r w:rsidRPr="00342723" w:rsidR="00E2644D">
        <w:rPr>
          <w:rFonts w:ascii="Times New Roman" w:hAnsi="Times New Roman" w:eastAsia="Times New Roman" w:cs="Times New Roman"/>
          <w:sz w:val="24"/>
          <w:szCs w:val="24"/>
        </w:rPr>
        <w:t xml:space="preserve">Throughout </w:t>
      </w:r>
      <w:r w:rsidRPr="00342723">
        <w:rPr>
          <w:rFonts w:ascii="Times New Roman" w:hAnsi="Times New Roman" w:eastAsia="Times New Roman" w:cs="Times New Roman"/>
          <w:sz w:val="24"/>
          <w:szCs w:val="24"/>
        </w:rPr>
        <w:t>this process, the Team has provided NMFS with recommended measures designed to reduce serious injury and mortality to North Atlantic right (</w:t>
      </w:r>
      <w:proofErr w:type="spellStart"/>
      <w:r w:rsidRPr="00342723">
        <w:rPr>
          <w:rFonts w:ascii="Times New Roman" w:hAnsi="Times New Roman" w:eastAsia="Times New Roman" w:cs="Times New Roman"/>
          <w:i/>
          <w:sz w:val="24"/>
          <w:szCs w:val="24"/>
        </w:rPr>
        <w:t>Eubalaena</w:t>
      </w:r>
      <w:proofErr w:type="spellEnd"/>
      <w:r w:rsidRPr="00342723">
        <w:rPr>
          <w:rFonts w:ascii="Times New Roman" w:hAnsi="Times New Roman" w:eastAsia="Times New Roman" w:cs="Times New Roman"/>
          <w:i/>
          <w:sz w:val="24"/>
          <w:szCs w:val="24"/>
        </w:rPr>
        <w:t xml:space="preserve"> </w:t>
      </w:r>
      <w:proofErr w:type="spellStart"/>
      <w:r w:rsidRPr="00342723">
        <w:rPr>
          <w:rFonts w:ascii="Times New Roman" w:hAnsi="Times New Roman" w:eastAsia="Times New Roman" w:cs="Times New Roman"/>
          <w:i/>
          <w:sz w:val="24"/>
          <w:szCs w:val="24"/>
        </w:rPr>
        <w:t>glacialis</w:t>
      </w:r>
      <w:proofErr w:type="spellEnd"/>
      <w:r w:rsidRPr="00342723">
        <w:rPr>
          <w:rFonts w:ascii="Times New Roman" w:hAnsi="Times New Roman" w:eastAsia="Times New Roman" w:cs="Times New Roman"/>
          <w:sz w:val="24"/>
          <w:szCs w:val="24"/>
        </w:rPr>
        <w:t xml:space="preserve">), humpback </w:t>
      </w:r>
      <w:r w:rsidRPr="00342723">
        <w:rPr>
          <w:rFonts w:ascii="Times New Roman" w:hAnsi="Times New Roman" w:eastAsia="Times New Roman" w:cs="Times New Roman"/>
          <w:i/>
          <w:sz w:val="24"/>
          <w:szCs w:val="24"/>
        </w:rPr>
        <w:t>(</w:t>
      </w:r>
      <w:proofErr w:type="spellStart"/>
      <w:r w:rsidRPr="00342723">
        <w:rPr>
          <w:rFonts w:ascii="Times New Roman" w:hAnsi="Times New Roman" w:eastAsia="Times New Roman" w:cs="Times New Roman"/>
          <w:i/>
          <w:sz w:val="24"/>
          <w:szCs w:val="24"/>
        </w:rPr>
        <w:t>Megaptera</w:t>
      </w:r>
      <w:proofErr w:type="spellEnd"/>
      <w:r w:rsidRPr="00342723">
        <w:rPr>
          <w:rFonts w:ascii="Times New Roman" w:hAnsi="Times New Roman" w:eastAsia="Times New Roman" w:cs="Times New Roman"/>
          <w:i/>
          <w:sz w:val="24"/>
          <w:szCs w:val="24"/>
        </w:rPr>
        <w:t xml:space="preserve"> </w:t>
      </w:r>
      <w:proofErr w:type="spellStart"/>
      <w:r w:rsidRPr="00342723">
        <w:rPr>
          <w:rFonts w:ascii="Times New Roman" w:hAnsi="Times New Roman" w:eastAsia="Times New Roman" w:cs="Times New Roman"/>
          <w:i/>
          <w:sz w:val="24"/>
          <w:szCs w:val="24"/>
        </w:rPr>
        <w:t>novaeangliae</w:t>
      </w:r>
      <w:proofErr w:type="spellEnd"/>
      <w:r w:rsidRPr="00342723">
        <w:rPr>
          <w:rFonts w:ascii="Times New Roman" w:hAnsi="Times New Roman" w:eastAsia="Times New Roman" w:cs="Times New Roman"/>
          <w:sz w:val="24"/>
          <w:szCs w:val="24"/>
        </w:rPr>
        <w:t xml:space="preserve">), </w:t>
      </w:r>
      <w:proofErr w:type="spellStart"/>
      <w:r w:rsidRPr="00342723">
        <w:rPr>
          <w:rFonts w:ascii="Times New Roman" w:hAnsi="Times New Roman" w:eastAsia="Times New Roman" w:cs="Times New Roman"/>
          <w:sz w:val="24"/>
          <w:szCs w:val="24"/>
        </w:rPr>
        <w:t>minke</w:t>
      </w:r>
      <w:proofErr w:type="spellEnd"/>
      <w:r w:rsidRPr="00342723">
        <w:rPr>
          <w:rFonts w:ascii="Times New Roman" w:hAnsi="Times New Roman" w:eastAsia="Times New Roman" w:cs="Times New Roman"/>
          <w:sz w:val="24"/>
          <w:szCs w:val="24"/>
        </w:rPr>
        <w:t xml:space="preserve"> (</w:t>
      </w:r>
      <w:proofErr w:type="spellStart"/>
      <w:r w:rsidRPr="00342723">
        <w:rPr>
          <w:rFonts w:ascii="Times New Roman" w:hAnsi="Times New Roman" w:eastAsia="Times New Roman" w:cs="Times New Roman"/>
          <w:i/>
          <w:sz w:val="24"/>
          <w:szCs w:val="24"/>
        </w:rPr>
        <w:t>Balaenoptera</w:t>
      </w:r>
      <w:proofErr w:type="spellEnd"/>
      <w:r w:rsidRPr="00342723">
        <w:rPr>
          <w:rFonts w:ascii="Times New Roman" w:hAnsi="Times New Roman" w:eastAsia="Times New Roman" w:cs="Times New Roman"/>
          <w:i/>
          <w:sz w:val="24"/>
          <w:szCs w:val="24"/>
        </w:rPr>
        <w:t xml:space="preserve"> </w:t>
      </w:r>
      <w:proofErr w:type="spellStart"/>
      <w:r w:rsidRPr="00342723">
        <w:rPr>
          <w:rFonts w:ascii="Times New Roman" w:hAnsi="Times New Roman" w:eastAsia="Times New Roman" w:cs="Times New Roman"/>
          <w:i/>
          <w:sz w:val="24"/>
          <w:szCs w:val="24"/>
        </w:rPr>
        <w:t>acutorostrata</w:t>
      </w:r>
      <w:proofErr w:type="spellEnd"/>
      <w:r w:rsidRPr="00342723">
        <w:rPr>
          <w:rFonts w:ascii="Times New Roman" w:hAnsi="Times New Roman" w:eastAsia="Times New Roman" w:cs="Times New Roman"/>
          <w:sz w:val="24"/>
          <w:szCs w:val="24"/>
        </w:rPr>
        <w:t>), and fin (</w:t>
      </w:r>
      <w:proofErr w:type="spellStart"/>
      <w:r w:rsidRPr="00342723">
        <w:rPr>
          <w:rFonts w:ascii="Times New Roman" w:hAnsi="Times New Roman" w:eastAsia="Times New Roman" w:cs="Times New Roman"/>
          <w:i/>
          <w:sz w:val="24"/>
          <w:szCs w:val="24"/>
        </w:rPr>
        <w:t>Balaenoptera</w:t>
      </w:r>
      <w:proofErr w:type="spellEnd"/>
      <w:r w:rsidRPr="00342723">
        <w:rPr>
          <w:rFonts w:ascii="Times New Roman" w:hAnsi="Times New Roman" w:eastAsia="Times New Roman" w:cs="Times New Roman"/>
          <w:i/>
          <w:sz w:val="24"/>
          <w:szCs w:val="24"/>
        </w:rPr>
        <w:t xml:space="preserve"> </w:t>
      </w:r>
      <w:proofErr w:type="spellStart"/>
      <w:r w:rsidRPr="00342723">
        <w:rPr>
          <w:rFonts w:ascii="Times New Roman" w:hAnsi="Times New Roman" w:eastAsia="Times New Roman" w:cs="Times New Roman"/>
          <w:i/>
          <w:sz w:val="24"/>
          <w:szCs w:val="24"/>
        </w:rPr>
        <w:t>physalus</w:t>
      </w:r>
      <w:proofErr w:type="spellEnd"/>
      <w:r w:rsidRPr="00342723">
        <w:rPr>
          <w:rFonts w:ascii="Times New Roman" w:hAnsi="Times New Roman" w:eastAsia="Times New Roman" w:cs="Times New Roman"/>
          <w:sz w:val="24"/>
          <w:szCs w:val="24"/>
        </w:rPr>
        <w:t xml:space="preserve">) whales from incidental interactions with commercial fishing gear.  </w:t>
      </w:r>
      <w:r w:rsidRPr="00342723" w:rsidR="00E2644D">
        <w:rPr>
          <w:rFonts w:ascii="Times New Roman" w:hAnsi="Times New Roman" w:eastAsia="Times New Roman" w:cs="Times New Roman"/>
          <w:sz w:val="24"/>
          <w:szCs w:val="24"/>
        </w:rPr>
        <w:t>In order to attempt to gather information on entanglements, t</w:t>
      </w:r>
      <w:r w:rsidRPr="00342723">
        <w:rPr>
          <w:rFonts w:ascii="Times New Roman" w:hAnsi="Times New Roman" w:eastAsia="Times New Roman" w:cs="Times New Roman"/>
          <w:sz w:val="24"/>
          <w:szCs w:val="24"/>
        </w:rPr>
        <w:t>he Team developed gear marking requirements</w:t>
      </w:r>
      <w:r w:rsidRPr="00342723" w:rsidR="00E2644D">
        <w:rPr>
          <w:rFonts w:ascii="Times New Roman" w:hAnsi="Times New Roman" w:eastAsia="Times New Roman" w:cs="Times New Roman"/>
          <w:sz w:val="24"/>
          <w:szCs w:val="24"/>
        </w:rPr>
        <w:t>. As a result,</w:t>
      </w:r>
      <w:r w:rsidRPr="00342723" w:rsidR="00C919AC">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any person setting trap/pot or gillnet gear to fish commercially in some areas of the Atlantic Ocean are required to paint or otherwise mark their gear with specific color codes, designating the type of gear and area where it is set</w:t>
      </w:r>
      <w:r w:rsidRPr="00342723" w:rsidR="00E034F4">
        <w:rPr>
          <w:rFonts w:ascii="Times New Roman" w:hAnsi="Times New Roman" w:eastAsia="Times New Roman" w:cs="Times New Roman"/>
          <w:sz w:val="24"/>
          <w:szCs w:val="24"/>
        </w:rPr>
        <w:t>, as well as buoy marking requirements</w:t>
      </w:r>
      <w:r w:rsidRPr="00342723">
        <w:rPr>
          <w:rFonts w:ascii="Times New Roman" w:hAnsi="Times New Roman" w:eastAsia="Times New Roman" w:cs="Times New Roman"/>
          <w:sz w:val="24"/>
          <w:szCs w:val="24"/>
        </w:rPr>
        <w:t xml:space="preserve">. </w:t>
      </w:r>
    </w:p>
    <w:p w:rsidRPr="00342723" w:rsidR="007D7417" w:rsidP="007D7417" w:rsidRDefault="007D7417" w14:paraId="2E6B54B8" w14:textId="77777777">
      <w:pPr>
        <w:spacing w:line="240" w:lineRule="auto"/>
        <w:rPr>
          <w:rFonts w:ascii="Times New Roman" w:hAnsi="Times New Roman" w:eastAsia="Times New Roman" w:cs="Times New Roman"/>
          <w:sz w:val="24"/>
          <w:szCs w:val="24"/>
        </w:rPr>
      </w:pPr>
    </w:p>
    <w:p w:rsidRPr="00342723" w:rsidR="00D45369" w:rsidP="007D7417" w:rsidRDefault="006A4E66" w14:paraId="64FC03F9" w14:textId="6151952D">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NMFS is proposing to revise the existing gear marking regulations in Northeast Region Trap/Pot Management Area commercial trap/pot fisheries</w:t>
      </w:r>
      <w:r w:rsidRPr="00342723" w:rsidR="00364F2F">
        <w:rPr>
          <w:rFonts w:ascii="Times New Roman" w:hAnsi="Times New Roman" w:eastAsia="Times New Roman" w:cs="Times New Roman"/>
          <w:sz w:val="24"/>
          <w:szCs w:val="24"/>
        </w:rPr>
        <w:t xml:space="preserve"> because</w:t>
      </w:r>
      <w:r w:rsidRPr="00342723">
        <w:rPr>
          <w:rFonts w:ascii="Times New Roman" w:hAnsi="Times New Roman" w:eastAsia="Times New Roman" w:cs="Times New Roman"/>
          <w:sz w:val="24"/>
          <w:szCs w:val="24"/>
        </w:rPr>
        <w:t xml:space="preserve"> increas</w:t>
      </w:r>
      <w:r w:rsidRPr="00342723" w:rsidR="00364F2F">
        <w:rPr>
          <w:rFonts w:ascii="Times New Roman" w:hAnsi="Times New Roman" w:eastAsia="Times New Roman" w:cs="Times New Roman"/>
          <w:sz w:val="24"/>
          <w:szCs w:val="24"/>
        </w:rPr>
        <w:t>ed</w:t>
      </w:r>
      <w:r w:rsidRPr="00342723">
        <w:rPr>
          <w:rFonts w:ascii="Times New Roman" w:hAnsi="Times New Roman" w:eastAsia="Times New Roman" w:cs="Times New Roman"/>
          <w:sz w:val="24"/>
          <w:szCs w:val="24"/>
        </w:rPr>
        <w:t xml:space="preserve"> gear marking</w:t>
      </w:r>
      <w:r w:rsidRPr="00342723" w:rsidR="00364F2F">
        <w:rPr>
          <w:rFonts w:ascii="Times New Roman" w:hAnsi="Times New Roman" w:eastAsia="Times New Roman" w:cs="Times New Roman"/>
          <w:sz w:val="24"/>
          <w:szCs w:val="24"/>
        </w:rPr>
        <w:t xml:space="preserve"> is necessary</w:t>
      </w:r>
      <w:r w:rsidRPr="00342723">
        <w:rPr>
          <w:rFonts w:ascii="Times New Roman" w:hAnsi="Times New Roman" w:eastAsia="Times New Roman" w:cs="Times New Roman"/>
          <w:sz w:val="24"/>
          <w:szCs w:val="24"/>
        </w:rPr>
        <w:t xml:space="preserve"> to improve our understanding of where entanglement incidents occur (RIN </w:t>
      </w:r>
      <w:r w:rsidR="00673616">
        <w:rPr>
          <w:rFonts w:ascii="Times New Roman" w:hAnsi="Times New Roman" w:eastAsia="Times New Roman" w:cs="Times New Roman"/>
          <w:sz w:val="24"/>
          <w:szCs w:val="24"/>
        </w:rPr>
        <w:t>0</w:t>
      </w:r>
      <w:r w:rsidRPr="00342723">
        <w:rPr>
          <w:rFonts w:ascii="Times New Roman" w:hAnsi="Times New Roman" w:eastAsia="Times New Roman" w:cs="Times New Roman"/>
          <w:sz w:val="24"/>
          <w:szCs w:val="24"/>
        </w:rPr>
        <w:t>648-BJ09).</w:t>
      </w:r>
      <w:r w:rsidRPr="00342723" w:rsidR="00152E86">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The goal of this revision is to further enable NMFS to reduce injuries and deaths of large whales, especially North Atlantic right whales, due to incidental entanglement in United States commercial fishing gear. </w:t>
      </w:r>
      <w:r w:rsidRPr="00342723" w:rsidR="00364F2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In order to develop fair and effective management measures, the Team requires comprehensive data on when, where, and how fixed gear vessels fish, and where whales become entangled in fishing gear.</w:t>
      </w:r>
    </w:p>
    <w:p w:rsidRPr="00342723" w:rsidR="00875654" w:rsidP="007D7417" w:rsidRDefault="00875654" w14:paraId="6A68C2DA" w14:textId="50081177">
      <w:pPr>
        <w:spacing w:line="240" w:lineRule="auto"/>
        <w:rPr>
          <w:rFonts w:ascii="Times New Roman" w:hAnsi="Times New Roman" w:eastAsia="Times New Roman" w:cs="Times New Roman"/>
          <w:sz w:val="24"/>
          <w:szCs w:val="24"/>
        </w:rPr>
      </w:pPr>
    </w:p>
    <w:p w:rsidRPr="00342723" w:rsidR="00875654" w:rsidP="007D7417" w:rsidRDefault="00875654" w14:paraId="715450A7" w14:textId="7A69E8D6">
      <w:pPr>
        <w:spacing w:line="240" w:lineRule="auto"/>
        <w:rPr>
          <w:rFonts w:ascii="Times New Roman" w:hAnsi="Times New Roman" w:eastAsia="Times New Roman" w:cs="Times New Roman"/>
          <w:sz w:val="24"/>
          <w:szCs w:val="24"/>
        </w:rPr>
      </w:pPr>
    </w:p>
    <w:p w:rsidRPr="00342723" w:rsidR="00D45369" w:rsidP="007D7417" w:rsidRDefault="006A4E66" w14:paraId="333152D5" w14:textId="2C4AB159">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Justification</w:t>
      </w:r>
    </w:p>
    <w:p w:rsidRPr="00342723" w:rsidR="009118EA" w:rsidP="007D7417" w:rsidRDefault="009118EA" w14:paraId="48827F58" w14:textId="77777777">
      <w:pPr>
        <w:spacing w:line="240" w:lineRule="auto"/>
        <w:rPr>
          <w:rFonts w:ascii="Times New Roman" w:hAnsi="Times New Roman" w:cs="Times New Roman"/>
          <w:b/>
          <w:sz w:val="24"/>
          <w:szCs w:val="24"/>
        </w:rPr>
      </w:pPr>
    </w:p>
    <w:p w:rsidRPr="00342723" w:rsidR="00D45369" w:rsidP="007D7417" w:rsidRDefault="006A4E66" w14:paraId="06437406" w14:textId="77777777">
      <w:pPr>
        <w:spacing w:line="240" w:lineRule="auto"/>
        <w:rPr>
          <w:rFonts w:ascii="Times New Roman" w:hAnsi="Times New Roman" w:cs="Times New Roman"/>
          <w:b/>
          <w:color w:val="2F5496"/>
          <w:sz w:val="24"/>
          <w:szCs w:val="24"/>
          <w:u w:val="single"/>
        </w:rPr>
      </w:pPr>
      <w:r w:rsidRPr="00342723">
        <w:rPr>
          <w:rFonts w:ascii="Times New Roman" w:hAnsi="Times New Roman" w:cs="Times New Roman"/>
          <w:b/>
          <w:sz w:val="24"/>
          <w:szCs w:val="24"/>
        </w:rPr>
        <w:t>1.</w:t>
      </w:r>
      <w:r w:rsidRPr="00342723">
        <w:rPr>
          <w:rFonts w:ascii="Times New Roman" w:hAnsi="Times New Roman" w:eastAsia="Times New Roman" w:cs="Times New Roman"/>
          <w:sz w:val="24"/>
          <w:szCs w:val="24"/>
        </w:rPr>
        <w:tab/>
      </w:r>
      <w:r w:rsidRPr="00342723">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42723" w:rsidR="009118EA" w:rsidP="007D7417" w:rsidRDefault="009118EA" w14:paraId="19DB8DA1" w14:textId="77777777">
      <w:pPr>
        <w:spacing w:line="240" w:lineRule="auto"/>
        <w:rPr>
          <w:rFonts w:ascii="Times New Roman" w:hAnsi="Times New Roman" w:eastAsia="Times New Roman" w:cs="Times New Roman"/>
          <w:sz w:val="24"/>
          <w:szCs w:val="24"/>
        </w:rPr>
      </w:pPr>
    </w:p>
    <w:p w:rsidRPr="00342723" w:rsidR="00D45369" w:rsidP="007D7417" w:rsidRDefault="00E2644D" w14:paraId="64C6B7F5" w14:textId="08591FB7">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As noted above, in </w:t>
      </w:r>
      <w:r w:rsidRPr="00342723" w:rsidR="006A4E66">
        <w:rPr>
          <w:rFonts w:ascii="Times New Roman" w:hAnsi="Times New Roman" w:eastAsia="Times New Roman" w:cs="Times New Roman"/>
          <w:sz w:val="24"/>
          <w:szCs w:val="24"/>
        </w:rPr>
        <w:t xml:space="preserve">1996, pursuant to section 118 of the MMPA, NMFS established and convened </w:t>
      </w:r>
      <w:r w:rsidRPr="00342723" w:rsidR="00C919AC">
        <w:rPr>
          <w:rFonts w:ascii="Times New Roman" w:hAnsi="Times New Roman" w:eastAsia="Times New Roman" w:cs="Times New Roman"/>
          <w:sz w:val="24"/>
          <w:szCs w:val="24"/>
        </w:rPr>
        <w:t xml:space="preserve">the </w:t>
      </w:r>
      <w:r w:rsidRPr="00342723" w:rsidR="006A4E66">
        <w:rPr>
          <w:rFonts w:ascii="Times New Roman" w:hAnsi="Times New Roman" w:eastAsia="Times New Roman" w:cs="Times New Roman"/>
          <w:sz w:val="24"/>
          <w:szCs w:val="24"/>
        </w:rPr>
        <w:t xml:space="preserve">Team to assist in the development of the </w:t>
      </w:r>
      <w:r w:rsidRPr="00342723" w:rsidR="00C919AC">
        <w:rPr>
          <w:rFonts w:ascii="Times New Roman" w:hAnsi="Times New Roman" w:eastAsia="Times New Roman" w:cs="Times New Roman"/>
          <w:sz w:val="24"/>
          <w:szCs w:val="24"/>
        </w:rPr>
        <w:t xml:space="preserve">Take Reduction </w:t>
      </w:r>
      <w:r w:rsidRPr="00342723" w:rsidR="006A4E66">
        <w:rPr>
          <w:rFonts w:ascii="Times New Roman" w:hAnsi="Times New Roman" w:eastAsia="Times New Roman" w:cs="Times New Roman"/>
          <w:sz w:val="24"/>
          <w:szCs w:val="24"/>
        </w:rPr>
        <w:t>Plan.  During this process, the Team provided NMFS with recommended measures designed to reduce serious injury and mortality to North Atlantic right (</w:t>
      </w:r>
      <w:proofErr w:type="spellStart"/>
      <w:r w:rsidRPr="00342723" w:rsidR="006A4E66">
        <w:rPr>
          <w:rFonts w:ascii="Times New Roman" w:hAnsi="Times New Roman" w:eastAsia="Times New Roman" w:cs="Times New Roman"/>
          <w:i/>
          <w:sz w:val="24"/>
          <w:szCs w:val="24"/>
        </w:rPr>
        <w:t>Eubalaena</w:t>
      </w:r>
      <w:proofErr w:type="spellEnd"/>
      <w:r w:rsidRPr="00342723" w:rsidR="006A4E66">
        <w:rPr>
          <w:rFonts w:ascii="Times New Roman" w:hAnsi="Times New Roman" w:eastAsia="Times New Roman" w:cs="Times New Roman"/>
          <w:i/>
          <w:sz w:val="24"/>
          <w:szCs w:val="24"/>
        </w:rPr>
        <w:t xml:space="preserve"> </w:t>
      </w:r>
      <w:proofErr w:type="spellStart"/>
      <w:r w:rsidRPr="00342723" w:rsidR="006A4E66">
        <w:rPr>
          <w:rFonts w:ascii="Times New Roman" w:hAnsi="Times New Roman" w:eastAsia="Times New Roman" w:cs="Times New Roman"/>
          <w:i/>
          <w:sz w:val="24"/>
          <w:szCs w:val="24"/>
        </w:rPr>
        <w:t>glacialis</w:t>
      </w:r>
      <w:proofErr w:type="spellEnd"/>
      <w:r w:rsidRPr="00342723" w:rsidR="006A4E66">
        <w:rPr>
          <w:rFonts w:ascii="Times New Roman" w:hAnsi="Times New Roman" w:eastAsia="Times New Roman" w:cs="Times New Roman"/>
          <w:sz w:val="24"/>
          <w:szCs w:val="24"/>
        </w:rPr>
        <w:t>), humpback (</w:t>
      </w:r>
      <w:proofErr w:type="spellStart"/>
      <w:r w:rsidRPr="00342723" w:rsidR="006A4E66">
        <w:rPr>
          <w:rFonts w:ascii="Times New Roman" w:hAnsi="Times New Roman" w:eastAsia="Times New Roman" w:cs="Times New Roman"/>
          <w:i/>
          <w:sz w:val="24"/>
          <w:szCs w:val="24"/>
        </w:rPr>
        <w:t>Megaptera</w:t>
      </w:r>
      <w:proofErr w:type="spellEnd"/>
      <w:r w:rsidRPr="00342723" w:rsidR="006A4E66">
        <w:rPr>
          <w:rFonts w:ascii="Times New Roman" w:hAnsi="Times New Roman" w:eastAsia="Times New Roman" w:cs="Times New Roman"/>
          <w:i/>
          <w:sz w:val="24"/>
          <w:szCs w:val="24"/>
        </w:rPr>
        <w:t xml:space="preserve"> </w:t>
      </w:r>
      <w:proofErr w:type="spellStart"/>
      <w:r w:rsidRPr="00342723" w:rsidR="006A4E66">
        <w:rPr>
          <w:rFonts w:ascii="Times New Roman" w:hAnsi="Times New Roman" w:eastAsia="Times New Roman" w:cs="Times New Roman"/>
          <w:i/>
          <w:sz w:val="24"/>
          <w:szCs w:val="24"/>
        </w:rPr>
        <w:t>novaeangliae</w:t>
      </w:r>
      <w:proofErr w:type="spellEnd"/>
      <w:r w:rsidRPr="00342723" w:rsidR="006A4E66">
        <w:rPr>
          <w:rFonts w:ascii="Times New Roman" w:hAnsi="Times New Roman" w:eastAsia="Times New Roman" w:cs="Times New Roman"/>
          <w:sz w:val="24"/>
          <w:szCs w:val="24"/>
        </w:rPr>
        <w:t xml:space="preserve">), </w:t>
      </w:r>
      <w:proofErr w:type="spellStart"/>
      <w:r w:rsidRPr="00342723" w:rsidR="006A4E66">
        <w:rPr>
          <w:rFonts w:ascii="Times New Roman" w:hAnsi="Times New Roman" w:eastAsia="Times New Roman" w:cs="Times New Roman"/>
          <w:sz w:val="24"/>
          <w:szCs w:val="24"/>
        </w:rPr>
        <w:t>minke</w:t>
      </w:r>
      <w:proofErr w:type="spellEnd"/>
      <w:r w:rsidRPr="00342723" w:rsidR="006A4E66">
        <w:rPr>
          <w:rFonts w:ascii="Times New Roman" w:hAnsi="Times New Roman" w:eastAsia="Times New Roman" w:cs="Times New Roman"/>
          <w:sz w:val="24"/>
          <w:szCs w:val="24"/>
        </w:rPr>
        <w:t xml:space="preserve"> (</w:t>
      </w:r>
      <w:proofErr w:type="spellStart"/>
      <w:r w:rsidRPr="00342723" w:rsidR="006A4E66">
        <w:rPr>
          <w:rFonts w:ascii="Times New Roman" w:hAnsi="Times New Roman" w:eastAsia="Times New Roman" w:cs="Times New Roman"/>
          <w:i/>
          <w:sz w:val="24"/>
          <w:szCs w:val="24"/>
        </w:rPr>
        <w:t>Balaenoptera</w:t>
      </w:r>
      <w:proofErr w:type="spellEnd"/>
      <w:r w:rsidRPr="00342723" w:rsidR="006A4E66">
        <w:rPr>
          <w:rFonts w:ascii="Times New Roman" w:hAnsi="Times New Roman" w:eastAsia="Times New Roman" w:cs="Times New Roman"/>
          <w:i/>
          <w:sz w:val="24"/>
          <w:szCs w:val="24"/>
        </w:rPr>
        <w:t xml:space="preserve"> </w:t>
      </w:r>
      <w:proofErr w:type="spellStart"/>
      <w:r w:rsidRPr="00342723" w:rsidR="006A4E66">
        <w:rPr>
          <w:rFonts w:ascii="Times New Roman" w:hAnsi="Times New Roman" w:eastAsia="Times New Roman" w:cs="Times New Roman"/>
          <w:i/>
          <w:sz w:val="24"/>
          <w:szCs w:val="24"/>
        </w:rPr>
        <w:t>acutorostrata</w:t>
      </w:r>
      <w:proofErr w:type="spellEnd"/>
      <w:r w:rsidRPr="00342723" w:rsidR="006A4E66">
        <w:rPr>
          <w:rFonts w:ascii="Times New Roman" w:hAnsi="Times New Roman" w:eastAsia="Times New Roman" w:cs="Times New Roman"/>
          <w:sz w:val="24"/>
          <w:szCs w:val="24"/>
        </w:rPr>
        <w:t>), and fin (</w:t>
      </w:r>
      <w:proofErr w:type="spellStart"/>
      <w:r w:rsidRPr="00342723" w:rsidR="006A4E66">
        <w:rPr>
          <w:rFonts w:ascii="Times New Roman" w:hAnsi="Times New Roman" w:eastAsia="Times New Roman" w:cs="Times New Roman"/>
          <w:i/>
          <w:sz w:val="24"/>
          <w:szCs w:val="24"/>
        </w:rPr>
        <w:t>Balaenoptera</w:t>
      </w:r>
      <w:proofErr w:type="spellEnd"/>
      <w:r w:rsidRPr="00342723" w:rsidR="006A4E66">
        <w:rPr>
          <w:rFonts w:ascii="Times New Roman" w:hAnsi="Times New Roman" w:eastAsia="Times New Roman" w:cs="Times New Roman"/>
          <w:i/>
          <w:sz w:val="24"/>
          <w:szCs w:val="24"/>
        </w:rPr>
        <w:t xml:space="preserve"> </w:t>
      </w:r>
      <w:proofErr w:type="spellStart"/>
      <w:r w:rsidRPr="00342723" w:rsidR="006A4E66">
        <w:rPr>
          <w:rFonts w:ascii="Times New Roman" w:hAnsi="Times New Roman" w:eastAsia="Times New Roman" w:cs="Times New Roman"/>
          <w:i/>
          <w:sz w:val="24"/>
          <w:szCs w:val="24"/>
        </w:rPr>
        <w:t>physalus</w:t>
      </w:r>
      <w:proofErr w:type="spellEnd"/>
      <w:r w:rsidRPr="00342723" w:rsidR="006A4E66">
        <w:rPr>
          <w:rFonts w:ascii="Times New Roman" w:hAnsi="Times New Roman" w:eastAsia="Times New Roman" w:cs="Times New Roman"/>
          <w:sz w:val="24"/>
          <w:szCs w:val="24"/>
        </w:rPr>
        <w:t xml:space="preserve">) whales from incidental interactions with commercial fishing gear.  To address the continued entanglement of large whales in commercial fishing gear, NMFS has reconvened the Team several times and modified the Plan </w:t>
      </w:r>
      <w:r w:rsidRPr="00342723" w:rsidR="00C919AC">
        <w:rPr>
          <w:rFonts w:ascii="Times New Roman" w:hAnsi="Times New Roman" w:eastAsia="Times New Roman" w:cs="Times New Roman"/>
          <w:sz w:val="24"/>
          <w:szCs w:val="24"/>
        </w:rPr>
        <w:t xml:space="preserve">to include additional measures to gain information on the </w:t>
      </w:r>
      <w:r w:rsidRPr="00342723" w:rsidR="00C919AC">
        <w:rPr>
          <w:rFonts w:ascii="Times New Roman" w:hAnsi="Times New Roman" w:eastAsia="Times New Roman" w:cs="Times New Roman"/>
          <w:sz w:val="24"/>
          <w:szCs w:val="24"/>
        </w:rPr>
        <w:lastRenderedPageBreak/>
        <w:t xml:space="preserve">source of entanglements and to reduce serious injury and mortality from entanglement, including amendments </w:t>
      </w:r>
      <w:r w:rsidRPr="00342723" w:rsidR="006A4E66">
        <w:rPr>
          <w:rFonts w:ascii="Times New Roman" w:hAnsi="Times New Roman" w:eastAsia="Times New Roman" w:cs="Times New Roman"/>
          <w:sz w:val="24"/>
          <w:szCs w:val="24"/>
        </w:rPr>
        <w:t xml:space="preserve">in 2007 </w:t>
      </w:r>
      <w:r w:rsidRPr="00342723" w:rsidR="00670E98">
        <w:rPr>
          <w:rFonts w:ascii="Times New Roman" w:hAnsi="Times New Roman" w:eastAsia="Times New Roman" w:cs="Times New Roman"/>
          <w:sz w:val="24"/>
          <w:szCs w:val="24"/>
        </w:rPr>
        <w:t>(</w:t>
      </w:r>
      <w:r w:rsidRPr="00342723" w:rsidR="006A4E66">
        <w:rPr>
          <w:rFonts w:ascii="Times New Roman" w:hAnsi="Times New Roman" w:eastAsia="Times New Roman" w:cs="Times New Roman"/>
          <w:sz w:val="24"/>
          <w:szCs w:val="24"/>
        </w:rPr>
        <w:t>72 FR 57104</w:t>
      </w:r>
      <w:r w:rsidRPr="00342723" w:rsidR="00C919AC">
        <w:rPr>
          <w:rFonts w:ascii="Times New Roman" w:hAnsi="Times New Roman" w:eastAsia="Times New Roman" w:cs="Times New Roman"/>
          <w:sz w:val="24"/>
          <w:szCs w:val="24"/>
        </w:rPr>
        <w:t xml:space="preserve"> which amended</w:t>
      </w:r>
      <w:r w:rsidRPr="00342723" w:rsidR="006A4E66">
        <w:rPr>
          <w:rFonts w:ascii="Times New Roman" w:hAnsi="Times New Roman" w:eastAsia="Times New Roman" w:cs="Times New Roman"/>
          <w:sz w:val="24"/>
          <w:szCs w:val="24"/>
        </w:rPr>
        <w:t xml:space="preserve"> 50</w:t>
      </w:r>
      <w:r w:rsidRPr="00342723" w:rsidR="00C919AC">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CFR</w:t>
      </w:r>
      <w:r w:rsidRPr="00342723" w:rsidR="00C919AC">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229, 50</w:t>
      </w:r>
      <w:r w:rsidRPr="00342723" w:rsidR="00C919AC">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CFR</w:t>
      </w:r>
      <w:r w:rsidRPr="00342723" w:rsidR="00C919AC">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635 and 50</w:t>
      </w:r>
      <w:r w:rsidRPr="00342723" w:rsidR="00C919AC">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CFR</w:t>
      </w:r>
      <w:r w:rsidRPr="00342723" w:rsidR="00C919AC">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648</w:t>
      </w:r>
      <w:r w:rsidRPr="00342723" w:rsidR="00670E98">
        <w:rPr>
          <w:rFonts w:ascii="Times New Roman" w:hAnsi="Times New Roman" w:eastAsia="Times New Roman" w:cs="Times New Roman"/>
          <w:sz w:val="24"/>
          <w:szCs w:val="24"/>
        </w:rPr>
        <w:t>)</w:t>
      </w:r>
      <w:r w:rsidRPr="00342723" w:rsidR="00C919AC">
        <w:rPr>
          <w:rFonts w:ascii="Times New Roman" w:hAnsi="Times New Roman" w:eastAsia="Times New Roman" w:cs="Times New Roman"/>
          <w:sz w:val="24"/>
          <w:szCs w:val="24"/>
        </w:rPr>
        <w:t xml:space="preserve"> and in</w:t>
      </w:r>
      <w:r w:rsidRPr="00342723" w:rsidR="006A4E66">
        <w:rPr>
          <w:rFonts w:ascii="Times New Roman" w:hAnsi="Times New Roman" w:eastAsia="Times New Roman" w:cs="Times New Roman"/>
          <w:sz w:val="24"/>
          <w:szCs w:val="24"/>
        </w:rPr>
        <w:t xml:space="preserve"> 2014 (79 FR 38586</w:t>
      </w:r>
      <w:r w:rsidRPr="00342723" w:rsidR="00C919AC">
        <w:rPr>
          <w:rFonts w:ascii="Times New Roman" w:hAnsi="Times New Roman" w:eastAsia="Times New Roman" w:cs="Times New Roman"/>
          <w:sz w:val="24"/>
          <w:szCs w:val="24"/>
        </w:rPr>
        <w:t xml:space="preserve"> modification to 50 CFR 229</w:t>
      </w:r>
      <w:r w:rsidRPr="00342723" w:rsidR="006A4E66">
        <w:rPr>
          <w:rFonts w:ascii="Times New Roman" w:hAnsi="Times New Roman" w:eastAsia="Times New Roman" w:cs="Times New Roman"/>
          <w:sz w:val="24"/>
          <w:szCs w:val="24"/>
        </w:rPr>
        <w:t>).</w:t>
      </w:r>
      <w:r w:rsidRPr="00342723" w:rsidR="00AA6DB8">
        <w:rPr>
          <w:rFonts w:ascii="Times New Roman" w:hAnsi="Times New Roman" w:eastAsia="Times New Roman" w:cs="Times New Roman"/>
          <w:sz w:val="24"/>
          <w:szCs w:val="24"/>
        </w:rPr>
        <w:t xml:space="preserve"> </w:t>
      </w:r>
      <w:r w:rsidRPr="00342723" w:rsidR="0023396D">
        <w:rPr>
          <w:rFonts w:ascii="Times New Roman" w:hAnsi="Times New Roman" w:eastAsia="Times New Roman" w:cs="Times New Roman"/>
          <w:sz w:val="24"/>
          <w:szCs w:val="24"/>
        </w:rPr>
        <w:t xml:space="preserve"> </w:t>
      </w:r>
      <w:r w:rsidRPr="00342723" w:rsidR="00C919AC">
        <w:rPr>
          <w:rFonts w:ascii="Times New Roman" w:hAnsi="Times New Roman" w:eastAsia="Times New Roman" w:cs="Times New Roman"/>
          <w:sz w:val="24"/>
          <w:szCs w:val="24"/>
        </w:rPr>
        <w:t>M</w:t>
      </w:r>
      <w:r w:rsidRPr="00342723" w:rsidR="006A4E66">
        <w:rPr>
          <w:rFonts w:ascii="Times New Roman" w:hAnsi="Times New Roman" w:eastAsia="Times New Roman" w:cs="Times New Roman"/>
          <w:sz w:val="24"/>
          <w:szCs w:val="24"/>
        </w:rPr>
        <w:t>odifications</w:t>
      </w:r>
      <w:r w:rsidRPr="00342723" w:rsidR="00C919AC">
        <w:rPr>
          <w:rFonts w:ascii="Times New Roman" w:hAnsi="Times New Roman" w:eastAsia="Times New Roman" w:cs="Times New Roman"/>
          <w:sz w:val="24"/>
          <w:szCs w:val="24"/>
        </w:rPr>
        <w:t xml:space="preserve"> included requirements to mark</w:t>
      </w:r>
      <w:r w:rsidRPr="00342723" w:rsidR="006A4E66">
        <w:rPr>
          <w:rFonts w:ascii="Times New Roman" w:hAnsi="Times New Roman" w:eastAsia="Times New Roman" w:cs="Times New Roman"/>
          <w:sz w:val="24"/>
          <w:szCs w:val="24"/>
        </w:rPr>
        <w:t xml:space="preserve"> fishing gear to collect important information on the type of gear involved in the incidental mortality and serious injury of entangled whales.  Specifically, fishers are required to mark surface buoys to identify the vessel registration number, vessel documentation number, Federal permit number, or whatever positive identification marking is required by the vessel’s homeport state. </w:t>
      </w:r>
      <w:r w:rsidRPr="00342723" w:rsidR="0023396D">
        <w:rPr>
          <w:rFonts w:ascii="Times New Roman" w:hAnsi="Times New Roman" w:eastAsia="Times New Roman" w:cs="Times New Roman"/>
          <w:sz w:val="24"/>
          <w:szCs w:val="24"/>
        </w:rPr>
        <w:t xml:space="preserve"> </w:t>
      </w:r>
      <w:r w:rsidRPr="00342723" w:rsidR="00C919AC">
        <w:rPr>
          <w:rFonts w:ascii="Times New Roman" w:hAnsi="Times New Roman" w:eastAsia="Times New Roman" w:cs="Times New Roman"/>
          <w:sz w:val="24"/>
          <w:szCs w:val="24"/>
        </w:rPr>
        <w:t>The rope in v</w:t>
      </w:r>
      <w:r w:rsidRPr="00342723" w:rsidR="006A4E66">
        <w:rPr>
          <w:rFonts w:ascii="Times New Roman" w:hAnsi="Times New Roman" w:eastAsia="Times New Roman" w:cs="Times New Roman"/>
          <w:sz w:val="24"/>
          <w:szCs w:val="24"/>
        </w:rPr>
        <w:t>ertical buoy line</w:t>
      </w:r>
      <w:r w:rsidRPr="00342723" w:rsidR="00C919AC">
        <w:rPr>
          <w:rFonts w:ascii="Times New Roman" w:hAnsi="Times New Roman" w:eastAsia="Times New Roman" w:cs="Times New Roman"/>
          <w:sz w:val="24"/>
          <w:szCs w:val="24"/>
        </w:rPr>
        <w:t xml:space="preserve">s </w:t>
      </w:r>
      <w:r w:rsidRPr="00342723" w:rsidR="00AA6DB8">
        <w:rPr>
          <w:rFonts w:ascii="Times New Roman" w:hAnsi="Times New Roman" w:eastAsia="Times New Roman" w:cs="Times New Roman"/>
          <w:sz w:val="24"/>
          <w:szCs w:val="24"/>
        </w:rPr>
        <w:t>must</w:t>
      </w:r>
      <w:r w:rsidRPr="00342723" w:rsidR="00C919AC">
        <w:rPr>
          <w:rFonts w:ascii="Times New Roman" w:hAnsi="Times New Roman" w:eastAsia="Times New Roman" w:cs="Times New Roman"/>
          <w:sz w:val="24"/>
          <w:szCs w:val="24"/>
        </w:rPr>
        <w:t xml:space="preserve"> also </w:t>
      </w:r>
      <w:r w:rsidRPr="00342723" w:rsidR="00AA6DB8">
        <w:rPr>
          <w:rFonts w:ascii="Times New Roman" w:hAnsi="Times New Roman" w:eastAsia="Times New Roman" w:cs="Times New Roman"/>
          <w:sz w:val="24"/>
          <w:szCs w:val="24"/>
        </w:rPr>
        <w:t xml:space="preserve">be </w:t>
      </w:r>
      <w:r w:rsidRPr="00342723" w:rsidR="00C919AC">
        <w:rPr>
          <w:rFonts w:ascii="Times New Roman" w:hAnsi="Times New Roman" w:eastAsia="Times New Roman" w:cs="Times New Roman"/>
          <w:sz w:val="24"/>
          <w:szCs w:val="24"/>
        </w:rPr>
        <w:t xml:space="preserve">marked; </w:t>
      </w:r>
      <w:r w:rsidRPr="00342723" w:rsidR="006A4E66">
        <w:rPr>
          <w:rFonts w:ascii="Times New Roman" w:hAnsi="Times New Roman" w:eastAsia="Times New Roman" w:cs="Times New Roman"/>
          <w:sz w:val="24"/>
          <w:szCs w:val="24"/>
        </w:rPr>
        <w:t xml:space="preserve">generally </w:t>
      </w:r>
      <w:r w:rsidRPr="00342723" w:rsidR="00C919AC">
        <w:rPr>
          <w:rFonts w:ascii="Times New Roman" w:hAnsi="Times New Roman" w:eastAsia="Times New Roman" w:cs="Times New Roman"/>
          <w:sz w:val="24"/>
          <w:szCs w:val="24"/>
        </w:rPr>
        <w:t xml:space="preserve">requiring three </w:t>
      </w:r>
      <w:r w:rsidRPr="00342723" w:rsidR="006A4E66">
        <w:rPr>
          <w:rFonts w:ascii="Times New Roman" w:hAnsi="Times New Roman" w:eastAsia="Times New Roman" w:cs="Times New Roman"/>
          <w:sz w:val="24"/>
          <w:szCs w:val="24"/>
        </w:rPr>
        <w:t xml:space="preserve">one-foot </w:t>
      </w:r>
      <w:r w:rsidRPr="00342723" w:rsidR="00875654">
        <w:rPr>
          <w:rFonts w:ascii="Times New Roman" w:hAnsi="Times New Roman" w:eastAsia="Times New Roman" w:cs="Times New Roman"/>
          <w:sz w:val="24"/>
          <w:szCs w:val="24"/>
        </w:rPr>
        <w:t xml:space="preserve">(30.5 cm) </w:t>
      </w:r>
      <w:r w:rsidRPr="00342723" w:rsidR="006A4E66">
        <w:rPr>
          <w:rFonts w:ascii="Times New Roman" w:hAnsi="Times New Roman" w:eastAsia="Times New Roman" w:cs="Times New Roman"/>
          <w:sz w:val="24"/>
          <w:szCs w:val="24"/>
        </w:rPr>
        <w:t>marks</w:t>
      </w:r>
      <w:r w:rsidRPr="00342723" w:rsidR="00C919AC">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within the top, middle</w:t>
      </w:r>
      <w:r w:rsidRPr="00342723" w:rsidR="00513E5A">
        <w:rPr>
          <w:rFonts w:ascii="Times New Roman" w:hAnsi="Times New Roman" w:eastAsia="Times New Roman" w:cs="Times New Roman"/>
          <w:sz w:val="24"/>
          <w:szCs w:val="24"/>
        </w:rPr>
        <w:t>,</w:t>
      </w:r>
      <w:r w:rsidRPr="00342723" w:rsidR="006A4E66">
        <w:rPr>
          <w:rFonts w:ascii="Times New Roman" w:hAnsi="Times New Roman" w:eastAsia="Times New Roman" w:cs="Times New Roman"/>
          <w:sz w:val="24"/>
          <w:szCs w:val="24"/>
        </w:rPr>
        <w:t xml:space="preserve"> and bottom of the rope.  Large areas have been exempted from the buoy line marking requirements, primarily in state waters</w:t>
      </w:r>
      <w:r w:rsidRPr="00342723" w:rsidR="009118EA">
        <w:rPr>
          <w:rFonts w:ascii="Times New Roman" w:hAnsi="Times New Roman" w:eastAsia="Times New Roman" w:cs="Times New Roman"/>
          <w:sz w:val="24"/>
          <w:szCs w:val="24"/>
        </w:rPr>
        <w:t>.</w:t>
      </w:r>
    </w:p>
    <w:p w:rsidRPr="00342723" w:rsidR="009118EA" w:rsidP="007D7417" w:rsidRDefault="009118EA" w14:paraId="04629CB3" w14:textId="77777777">
      <w:pPr>
        <w:spacing w:line="240" w:lineRule="auto"/>
        <w:rPr>
          <w:rFonts w:ascii="Times New Roman" w:hAnsi="Times New Roman" w:eastAsia="Times New Roman" w:cs="Times New Roman"/>
          <w:sz w:val="24"/>
          <w:szCs w:val="24"/>
        </w:rPr>
      </w:pPr>
    </w:p>
    <w:p w:rsidRPr="00342723" w:rsidR="00D45369" w:rsidP="007D7417" w:rsidRDefault="006A4E66" w14:paraId="368C3188" w14:textId="3170DE26">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NMFS proposes to amend the regulations to reduce the incidental mortality and serious injury to large whales in Northeast Region Trap/Pot Management Area commercial trap/pot fisheries to meet the goals of the Marine Mammal Protection Act (MMPA) and the Endangered Species Act (ESA).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The proposed changes involve a combination of fishing gear modifications and seasonal area buoy line closures aimed at reducing the risk that large whales will be killed or seriously injured as a result of entanglement in U.S. commercial fishing gear.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Increasing gear marking to improve our understanding of where entanglement incidents occur is also necessary</w:t>
      </w:r>
      <w:r w:rsidRPr="00342723" w:rsidR="00E2644D">
        <w:rPr>
          <w:rFonts w:ascii="Times New Roman" w:hAnsi="Times New Roman" w:eastAsia="Times New Roman" w:cs="Times New Roman"/>
          <w:sz w:val="24"/>
          <w:szCs w:val="24"/>
        </w:rPr>
        <w:t>. W</w:t>
      </w:r>
      <w:r w:rsidRPr="00342723">
        <w:rPr>
          <w:rFonts w:ascii="Times New Roman" w:hAnsi="Times New Roman" w:eastAsia="Times New Roman" w:cs="Times New Roman"/>
          <w:sz w:val="24"/>
          <w:szCs w:val="24"/>
        </w:rPr>
        <w:t>hen entangling gear is present on a whale, it is not always retrieved</w:t>
      </w:r>
      <w:r w:rsidRPr="00342723" w:rsidR="00E2644D">
        <w:rPr>
          <w:rFonts w:ascii="Times New Roman" w:hAnsi="Times New Roman" w:eastAsia="Times New Roman" w:cs="Times New Roman"/>
          <w:sz w:val="24"/>
          <w:szCs w:val="24"/>
        </w:rPr>
        <w:t xml:space="preserve">, and </w:t>
      </w:r>
      <w:r w:rsidRPr="00342723">
        <w:rPr>
          <w:rFonts w:ascii="Times New Roman" w:hAnsi="Times New Roman" w:eastAsia="Times New Roman" w:cs="Times New Roman"/>
          <w:sz w:val="24"/>
          <w:szCs w:val="24"/>
        </w:rPr>
        <w:t>when gear is retrieved, it cannot always be identified to fishery or location.</w:t>
      </w:r>
      <w:r w:rsidRPr="00342723" w:rsidR="00AA6DB8">
        <w:rPr>
          <w:rFonts w:ascii="Times New Roman" w:hAnsi="Times New Roman" w:eastAsia="Times New Roman" w:cs="Times New Roman"/>
          <w:sz w:val="24"/>
          <w:szCs w:val="24"/>
        </w:rPr>
        <w:t xml:space="preserve">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The Team discussed measures to increase visibility of marks from vessels and airplanes as well as requiring marks in all waters including those currently exempt.</w:t>
      </w:r>
      <w:r w:rsidRPr="00342723" w:rsidR="00AA6DB8">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 Therefore, the Team supports efforts to expand gear marking to further improve efforts to determine entanglement location.</w:t>
      </w:r>
    </w:p>
    <w:p w:rsidRPr="00342723" w:rsidR="009118EA" w:rsidP="007D7417" w:rsidRDefault="009118EA" w14:paraId="7B179817" w14:textId="77777777">
      <w:pPr>
        <w:spacing w:line="240" w:lineRule="auto"/>
        <w:rPr>
          <w:rFonts w:ascii="Times New Roman" w:hAnsi="Times New Roman" w:eastAsia="Times New Roman" w:cs="Times New Roman"/>
          <w:sz w:val="24"/>
          <w:szCs w:val="24"/>
        </w:rPr>
      </w:pPr>
    </w:p>
    <w:p w:rsidRPr="00342723" w:rsidR="00D45369" w:rsidP="007D7417" w:rsidRDefault="006A4E66" w14:paraId="3B550E17" w14:textId="052A3A61">
      <w:pPr>
        <w:spacing w:line="240" w:lineRule="auto"/>
        <w:rPr>
          <w:rFonts w:ascii="Times New Roman" w:hAnsi="Times New Roman" w:eastAsia="Times New Roman" w:cs="Times New Roman"/>
          <w:sz w:val="24"/>
          <w:szCs w:val="24"/>
        </w:rPr>
      </w:pPr>
      <w:bookmarkStart w:name="_GoBack" w:id="1"/>
      <w:r w:rsidRPr="00342723">
        <w:rPr>
          <w:rFonts w:ascii="Times New Roman" w:hAnsi="Times New Roman" w:eastAsia="Times New Roman" w:cs="Times New Roman"/>
          <w:sz w:val="24"/>
          <w:szCs w:val="24"/>
        </w:rPr>
        <w:t xml:space="preserve">The gear marking scheme proposed would include the entire Northeast Region from </w:t>
      </w:r>
      <w:r w:rsidRPr="00342723" w:rsidR="00D7544F">
        <w:rPr>
          <w:rFonts w:ascii="Times New Roman" w:hAnsi="Times New Roman" w:eastAsia="Times New Roman" w:cs="Times New Roman"/>
          <w:sz w:val="24"/>
          <w:szCs w:val="24"/>
        </w:rPr>
        <w:t xml:space="preserve">the </w:t>
      </w:r>
      <w:r w:rsidRPr="00342723">
        <w:rPr>
          <w:rFonts w:ascii="Times New Roman" w:hAnsi="Times New Roman" w:eastAsia="Times New Roman" w:cs="Times New Roman"/>
          <w:sz w:val="24"/>
          <w:szCs w:val="24"/>
        </w:rPr>
        <w:t xml:space="preserve">coast through the EEZ, including waters currently exempted from gear marking requirements and would add state-specific color markings to lobster and crab trap/pot fisheries in the Northeast Region. </w:t>
      </w:r>
      <w:r w:rsidRPr="00342723" w:rsidR="00D7544F">
        <w:rPr>
          <w:rFonts w:ascii="Times New Roman" w:hAnsi="Times New Roman" w:eastAsia="Times New Roman" w:cs="Times New Roman"/>
          <w:sz w:val="24"/>
          <w:szCs w:val="24"/>
        </w:rPr>
        <w:t xml:space="preserve"> </w:t>
      </w:r>
      <w:bookmarkEnd w:id="1"/>
      <w:r w:rsidRPr="00342723">
        <w:rPr>
          <w:rFonts w:ascii="Times New Roman" w:hAnsi="Times New Roman" w:eastAsia="Times New Roman" w:cs="Times New Roman"/>
          <w:sz w:val="24"/>
          <w:szCs w:val="24"/>
        </w:rPr>
        <w:t xml:space="preserve">A large three-foot </w:t>
      </w:r>
      <w:r w:rsidRPr="00342723" w:rsidR="001B7F4C">
        <w:rPr>
          <w:rFonts w:ascii="Times New Roman" w:hAnsi="Times New Roman" w:eastAsia="Times New Roman" w:cs="Times New Roman"/>
          <w:sz w:val="24"/>
          <w:szCs w:val="24"/>
        </w:rPr>
        <w:t xml:space="preserve">(91 cm) </w:t>
      </w:r>
      <w:r w:rsidRPr="00342723">
        <w:rPr>
          <w:rFonts w:ascii="Times New Roman" w:hAnsi="Times New Roman" w:eastAsia="Times New Roman" w:cs="Times New Roman"/>
          <w:sz w:val="24"/>
          <w:szCs w:val="24"/>
        </w:rPr>
        <w:t xml:space="preserve">mark would be required within the top two fathoms </w:t>
      </w:r>
      <w:r w:rsidRPr="00342723" w:rsidR="007D7417">
        <w:rPr>
          <w:rFonts w:ascii="Times New Roman" w:hAnsi="Times New Roman" w:eastAsia="Times New Roman" w:cs="Times New Roman"/>
          <w:sz w:val="24"/>
          <w:szCs w:val="24"/>
        </w:rPr>
        <w:t xml:space="preserve">(60.96 cm) </w:t>
      </w:r>
      <w:r w:rsidRPr="00342723">
        <w:rPr>
          <w:rFonts w:ascii="Times New Roman" w:hAnsi="Times New Roman" w:eastAsia="Times New Roman" w:cs="Times New Roman"/>
          <w:sz w:val="24"/>
          <w:szCs w:val="24"/>
        </w:rPr>
        <w:t>of the buoy.  Each color code must be permanently affixed on or along the line</w:t>
      </w:r>
      <w:r w:rsidRPr="00342723" w:rsidR="00E2644D">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and each color code must be clearly visible when the gear is hauled or removed from the water.  Paint, tape</w:t>
      </w:r>
      <w:r w:rsidRPr="00342723" w:rsidR="00D7544F">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and colored ties are the most common gear marking methods used.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Vessels permitted to land lobster in Maine are already required to mark their ropes using this gear marking scheme (Maine D</w:t>
      </w:r>
      <w:r w:rsidRPr="00342723" w:rsidR="0093771B">
        <w:rPr>
          <w:rFonts w:ascii="Times New Roman" w:hAnsi="Times New Roman" w:eastAsia="Times New Roman" w:cs="Times New Roman"/>
          <w:sz w:val="24"/>
          <w:szCs w:val="24"/>
        </w:rPr>
        <w:t xml:space="preserve">ivision of </w:t>
      </w:r>
      <w:r w:rsidRPr="00342723">
        <w:rPr>
          <w:rFonts w:ascii="Times New Roman" w:hAnsi="Times New Roman" w:eastAsia="Times New Roman" w:cs="Times New Roman"/>
          <w:sz w:val="24"/>
          <w:szCs w:val="24"/>
        </w:rPr>
        <w:t>M</w:t>
      </w:r>
      <w:r w:rsidRPr="00342723" w:rsidR="0093771B">
        <w:rPr>
          <w:rFonts w:ascii="Times New Roman" w:hAnsi="Times New Roman" w:eastAsia="Times New Roman" w:cs="Times New Roman"/>
          <w:sz w:val="24"/>
          <w:szCs w:val="24"/>
        </w:rPr>
        <w:t xml:space="preserve">arine </w:t>
      </w:r>
      <w:r w:rsidRPr="00342723">
        <w:rPr>
          <w:rFonts w:ascii="Times New Roman" w:hAnsi="Times New Roman" w:eastAsia="Times New Roman" w:cs="Times New Roman"/>
          <w:sz w:val="24"/>
          <w:szCs w:val="24"/>
        </w:rPr>
        <w:t>R</w:t>
      </w:r>
      <w:r w:rsidRPr="00342723" w:rsidR="0093771B">
        <w:rPr>
          <w:rFonts w:ascii="Times New Roman" w:hAnsi="Times New Roman" w:eastAsia="Times New Roman" w:cs="Times New Roman"/>
          <w:sz w:val="24"/>
          <w:szCs w:val="24"/>
        </w:rPr>
        <w:t>esources,</w:t>
      </w:r>
      <w:r w:rsidRPr="00342723">
        <w:rPr>
          <w:rFonts w:ascii="Times New Roman" w:hAnsi="Times New Roman" w:eastAsia="Times New Roman" w:cs="Times New Roman"/>
          <w:sz w:val="24"/>
          <w:szCs w:val="24"/>
        </w:rPr>
        <w:t xml:space="preserve"> Chapter 75.02</w:t>
      </w:r>
      <w:r w:rsidRPr="00342723" w:rsidR="00E2644D">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therefore</w:t>
      </w:r>
      <w:r w:rsidRPr="00342723" w:rsidR="00E2644D">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these vessels are not included in the cost analysis.</w:t>
      </w:r>
    </w:p>
    <w:p w:rsidRPr="00342723" w:rsidR="009118EA" w:rsidP="007D7417" w:rsidRDefault="009118EA" w14:paraId="57F73697" w14:textId="77777777">
      <w:pPr>
        <w:spacing w:line="240" w:lineRule="auto"/>
        <w:rPr>
          <w:rFonts w:ascii="Times New Roman" w:hAnsi="Times New Roman" w:eastAsia="Times New Roman" w:cs="Times New Roman"/>
          <w:sz w:val="24"/>
          <w:szCs w:val="24"/>
        </w:rPr>
      </w:pPr>
    </w:p>
    <w:p w:rsidRPr="00342723" w:rsidR="00D45369" w:rsidP="007D7417" w:rsidRDefault="00E2644D" w14:paraId="490A6079" w14:textId="2D8F1D5A">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There is</w:t>
      </w:r>
      <w:r w:rsidRPr="00342723" w:rsidR="006A4E66">
        <w:rPr>
          <w:rFonts w:ascii="Times New Roman" w:hAnsi="Times New Roman" w:eastAsia="Times New Roman" w:cs="Times New Roman"/>
          <w:sz w:val="24"/>
          <w:szCs w:val="24"/>
        </w:rPr>
        <w:t xml:space="preserve"> urgency </w:t>
      </w:r>
      <w:r w:rsidRPr="00342723">
        <w:rPr>
          <w:rFonts w:ascii="Times New Roman" w:hAnsi="Times New Roman" w:eastAsia="Times New Roman" w:cs="Times New Roman"/>
          <w:sz w:val="24"/>
          <w:szCs w:val="24"/>
        </w:rPr>
        <w:t>to respond</w:t>
      </w:r>
      <w:r w:rsidRPr="00342723" w:rsidR="006A4E66">
        <w:rPr>
          <w:rFonts w:ascii="Times New Roman" w:hAnsi="Times New Roman" w:eastAsia="Times New Roman" w:cs="Times New Roman"/>
          <w:sz w:val="24"/>
          <w:szCs w:val="24"/>
        </w:rPr>
        <w:t xml:space="preserve"> to the rapid decline in the </w:t>
      </w:r>
      <w:r w:rsidRPr="00342723" w:rsidR="007D7417">
        <w:rPr>
          <w:rFonts w:ascii="Times New Roman" w:hAnsi="Times New Roman" w:eastAsia="Times New Roman" w:cs="Times New Roman"/>
          <w:sz w:val="24"/>
          <w:szCs w:val="24"/>
        </w:rPr>
        <w:t xml:space="preserve">North Atlantic </w:t>
      </w:r>
      <w:r w:rsidRPr="00342723" w:rsidR="006A4E66">
        <w:rPr>
          <w:rFonts w:ascii="Times New Roman" w:hAnsi="Times New Roman" w:eastAsia="Times New Roman" w:cs="Times New Roman"/>
          <w:sz w:val="24"/>
          <w:szCs w:val="24"/>
        </w:rPr>
        <w:t>right whale population, and the fishery source and/or country of serious injury and mortality to right whales cannot be determined in a significant number of documented cases</w:t>
      </w:r>
      <w:r w:rsidRPr="00342723">
        <w:rPr>
          <w:rFonts w:ascii="Times New Roman" w:hAnsi="Times New Roman" w:eastAsia="Times New Roman" w:cs="Times New Roman"/>
          <w:sz w:val="24"/>
          <w:szCs w:val="24"/>
        </w:rPr>
        <w:t xml:space="preserve">. As such, </w:t>
      </w:r>
      <w:r w:rsidRPr="00342723" w:rsidR="006A4E66">
        <w:rPr>
          <w:rFonts w:ascii="Times New Roman" w:hAnsi="Times New Roman" w:eastAsia="Times New Roman" w:cs="Times New Roman"/>
          <w:sz w:val="24"/>
          <w:szCs w:val="24"/>
        </w:rPr>
        <w:t xml:space="preserve">NMFS is focusing the scope of initial modifications to the </w:t>
      </w:r>
      <w:r w:rsidRPr="00342723" w:rsidR="00D7544F">
        <w:rPr>
          <w:rFonts w:ascii="Times New Roman" w:hAnsi="Times New Roman" w:eastAsia="Times New Roman" w:cs="Times New Roman"/>
          <w:sz w:val="24"/>
          <w:szCs w:val="24"/>
        </w:rPr>
        <w:t xml:space="preserve">Plan </w:t>
      </w:r>
      <w:r w:rsidRPr="00342723" w:rsidR="006A4E66">
        <w:rPr>
          <w:rFonts w:ascii="Times New Roman" w:hAnsi="Times New Roman" w:eastAsia="Times New Roman" w:cs="Times New Roman"/>
          <w:sz w:val="24"/>
          <w:szCs w:val="24"/>
        </w:rPr>
        <w:t xml:space="preserve">on Northeast Region lobster and Jonah crab trap/pot fisheries, </w:t>
      </w:r>
      <w:r w:rsidRPr="00342723">
        <w:rPr>
          <w:rFonts w:ascii="Times New Roman" w:hAnsi="Times New Roman" w:eastAsia="Times New Roman" w:cs="Times New Roman"/>
          <w:sz w:val="24"/>
          <w:szCs w:val="24"/>
        </w:rPr>
        <w:t xml:space="preserve">which </w:t>
      </w:r>
      <w:r w:rsidRPr="00342723" w:rsidR="006A4E66">
        <w:rPr>
          <w:rFonts w:ascii="Times New Roman" w:hAnsi="Times New Roman" w:eastAsia="Times New Roman" w:cs="Times New Roman"/>
          <w:sz w:val="24"/>
          <w:szCs w:val="24"/>
        </w:rPr>
        <w:t>represent 93</w:t>
      </w:r>
      <w:r w:rsidRPr="00342723" w:rsidR="00D7544F">
        <w:rPr>
          <w:rFonts w:ascii="Times New Roman" w:hAnsi="Times New Roman" w:eastAsia="Times New Roman" w:cs="Times New Roman"/>
          <w:sz w:val="24"/>
          <w:szCs w:val="24"/>
        </w:rPr>
        <w:t xml:space="preserve"> percent</w:t>
      </w:r>
      <w:r w:rsidRPr="00342723" w:rsidR="006A4E66">
        <w:rPr>
          <w:rFonts w:ascii="Times New Roman" w:hAnsi="Times New Roman" w:eastAsia="Times New Roman" w:cs="Times New Roman"/>
          <w:sz w:val="24"/>
          <w:szCs w:val="24"/>
        </w:rPr>
        <w:t xml:space="preserve"> of the vertical buoy lines fished where right whales occur according to a line model developed for NMFS by </w:t>
      </w:r>
      <w:r w:rsidRPr="00342723" w:rsidR="00D7544F">
        <w:rPr>
          <w:rFonts w:ascii="Times New Roman" w:hAnsi="Times New Roman" w:eastAsia="Times New Roman" w:cs="Times New Roman"/>
          <w:sz w:val="24"/>
          <w:szCs w:val="24"/>
        </w:rPr>
        <w:t xml:space="preserve">Industrial Economics Inc. </w:t>
      </w:r>
      <w:r w:rsidRPr="00342723" w:rsidR="006A4E66">
        <w:rPr>
          <w:rFonts w:ascii="Times New Roman" w:hAnsi="Times New Roman" w:eastAsia="Times New Roman" w:cs="Times New Roman"/>
          <w:sz w:val="24"/>
          <w:szCs w:val="24"/>
        </w:rPr>
        <w:t xml:space="preserve"> </w:t>
      </w:r>
      <w:r w:rsidRPr="00342723" w:rsidR="00D7544F">
        <w:rPr>
          <w:rFonts w:ascii="Times New Roman" w:hAnsi="Times New Roman" w:eastAsia="Times New Roman" w:cs="Times New Roman"/>
          <w:sz w:val="24"/>
          <w:szCs w:val="24"/>
        </w:rPr>
        <w:t>D</w:t>
      </w:r>
      <w:r w:rsidRPr="00342723" w:rsidR="006A4E66">
        <w:rPr>
          <w:rFonts w:ascii="Times New Roman" w:hAnsi="Times New Roman" w:eastAsia="Times New Roman" w:cs="Times New Roman"/>
          <w:sz w:val="24"/>
          <w:szCs w:val="24"/>
        </w:rPr>
        <w:t xml:space="preserve">etermining the magnitude of reduction in serious injury and mortality that is needed is </w:t>
      </w:r>
      <w:r w:rsidRPr="00342723" w:rsidR="00D7544F">
        <w:rPr>
          <w:rFonts w:ascii="Times New Roman" w:hAnsi="Times New Roman" w:eastAsia="Times New Roman" w:cs="Times New Roman"/>
          <w:sz w:val="24"/>
          <w:szCs w:val="24"/>
        </w:rPr>
        <w:t xml:space="preserve">a challenge due to </w:t>
      </w:r>
      <w:r w:rsidRPr="00342723" w:rsidR="006A4E66">
        <w:rPr>
          <w:rFonts w:ascii="Times New Roman" w:hAnsi="Times New Roman" w:eastAsia="Times New Roman" w:cs="Times New Roman"/>
          <w:sz w:val="24"/>
          <w:szCs w:val="24"/>
        </w:rPr>
        <w:t xml:space="preserve">the uncertainty regarding the type of gear that entangles whales and the location and country of origin where the entanglement </w:t>
      </w:r>
      <w:proofErr w:type="gramStart"/>
      <w:r w:rsidRPr="00342723" w:rsidR="006A4E66">
        <w:rPr>
          <w:rFonts w:ascii="Times New Roman" w:hAnsi="Times New Roman" w:eastAsia="Times New Roman" w:cs="Times New Roman"/>
          <w:sz w:val="24"/>
          <w:szCs w:val="24"/>
        </w:rPr>
        <w:t>occurred.</w:t>
      </w:r>
      <w:proofErr w:type="gramEnd"/>
      <w:r w:rsidRPr="00342723" w:rsidR="00D7544F">
        <w:rPr>
          <w:rFonts w:ascii="Times New Roman" w:hAnsi="Times New Roman" w:eastAsia="Times New Roman" w:cs="Times New Roman"/>
          <w:sz w:val="24"/>
          <w:szCs w:val="24"/>
        </w:rPr>
        <w:t xml:space="preserve"> </w:t>
      </w:r>
      <w:r w:rsidRPr="00342723" w:rsidR="006A4E66">
        <w:rPr>
          <w:rFonts w:ascii="Times New Roman" w:hAnsi="Times New Roman" w:eastAsia="Times New Roman" w:cs="Times New Roman"/>
          <w:sz w:val="24"/>
          <w:szCs w:val="24"/>
        </w:rPr>
        <w:t xml:space="preserve"> Many large whale entanglements are never seen, there is often no gear present on whales showing scars, </w:t>
      </w:r>
      <w:r w:rsidRPr="00342723" w:rsidR="00853540">
        <w:rPr>
          <w:rFonts w:ascii="Times New Roman" w:hAnsi="Times New Roman" w:eastAsia="Times New Roman" w:cs="Times New Roman"/>
          <w:sz w:val="24"/>
          <w:szCs w:val="24"/>
        </w:rPr>
        <w:t xml:space="preserve">and </w:t>
      </w:r>
      <w:r w:rsidRPr="00342723" w:rsidR="006A4E66">
        <w:rPr>
          <w:rFonts w:ascii="Times New Roman" w:hAnsi="Times New Roman" w:eastAsia="Times New Roman" w:cs="Times New Roman"/>
          <w:sz w:val="24"/>
          <w:szCs w:val="24"/>
        </w:rPr>
        <w:t xml:space="preserve">gear cannot always be recovered from those whales that are seen entangled. </w:t>
      </w:r>
      <w:r w:rsidRPr="00342723" w:rsidR="00D7544F">
        <w:rPr>
          <w:rFonts w:ascii="Times New Roman" w:hAnsi="Times New Roman" w:eastAsia="Times New Roman" w:cs="Times New Roman"/>
          <w:sz w:val="24"/>
          <w:szCs w:val="24"/>
        </w:rPr>
        <w:t xml:space="preserve"> Further</w:t>
      </w:r>
      <w:r w:rsidRPr="00342723" w:rsidR="006A4E66">
        <w:rPr>
          <w:rFonts w:ascii="Times New Roman" w:hAnsi="Times New Roman" w:eastAsia="Times New Roman" w:cs="Times New Roman"/>
          <w:sz w:val="24"/>
          <w:szCs w:val="24"/>
        </w:rPr>
        <w:t xml:space="preserve">, even when gear is recovered, it can rarely be identified to a source </w:t>
      </w:r>
      <w:r w:rsidRPr="00342723" w:rsidR="006A4E66">
        <w:rPr>
          <w:rFonts w:ascii="Times New Roman" w:hAnsi="Times New Roman" w:eastAsia="Times New Roman" w:cs="Times New Roman"/>
          <w:sz w:val="24"/>
          <w:szCs w:val="24"/>
        </w:rPr>
        <w:lastRenderedPageBreak/>
        <w:t>fishery and even more rarely</w:t>
      </w:r>
      <w:r w:rsidRPr="00342723">
        <w:rPr>
          <w:rFonts w:ascii="Times New Roman" w:hAnsi="Times New Roman" w:eastAsia="Times New Roman" w:cs="Times New Roman"/>
          <w:sz w:val="24"/>
          <w:szCs w:val="24"/>
        </w:rPr>
        <w:t>,</w:t>
      </w:r>
      <w:r w:rsidRPr="00342723" w:rsidR="006A4E66">
        <w:rPr>
          <w:rFonts w:ascii="Times New Roman" w:hAnsi="Times New Roman" w:eastAsia="Times New Roman" w:cs="Times New Roman"/>
          <w:sz w:val="24"/>
          <w:szCs w:val="24"/>
        </w:rPr>
        <w:t xml:space="preserve"> to a precise fishing location.</w:t>
      </w:r>
    </w:p>
    <w:p w:rsidRPr="00342723" w:rsidR="00D45369" w:rsidP="007D7417" w:rsidRDefault="00D45369" w14:paraId="2E23CCD0" w14:textId="77777777">
      <w:pPr>
        <w:tabs>
          <w:tab w:val="left" w:pos="720"/>
          <w:tab w:val="left" w:pos="9270"/>
        </w:tabs>
        <w:spacing w:line="240" w:lineRule="auto"/>
        <w:rPr>
          <w:rFonts w:ascii="Times New Roman" w:hAnsi="Times New Roman" w:eastAsia="Times New Roman" w:cs="Times New Roman"/>
          <w:sz w:val="24"/>
          <w:szCs w:val="24"/>
        </w:rPr>
      </w:pPr>
    </w:p>
    <w:p w:rsidRPr="00342723" w:rsidR="00D45369" w:rsidP="007D7417" w:rsidRDefault="006A4E66" w14:paraId="2E750CA6" w14:textId="6048A9F1">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Table 1: Description of proposed gear marking scheme by state (Maine requirements are shaded</w:t>
      </w:r>
      <w:r w:rsidRPr="00342723" w:rsidR="00145AE5">
        <w:rPr>
          <w:rFonts w:ascii="Times New Roman" w:hAnsi="Times New Roman" w:eastAsia="Times New Roman" w:cs="Times New Roman"/>
          <w:sz w:val="24"/>
          <w:szCs w:val="24"/>
        </w:rPr>
        <w:t xml:space="preserve"> to show existing state regulations. </w:t>
      </w:r>
      <w:r w:rsidRPr="00342723" w:rsidR="0093771B">
        <w:rPr>
          <w:rFonts w:ascii="Times New Roman" w:hAnsi="Times New Roman" w:eastAsia="Times New Roman" w:cs="Times New Roman"/>
          <w:sz w:val="24"/>
          <w:szCs w:val="24"/>
        </w:rPr>
        <w:t xml:space="preserve"> </w:t>
      </w:r>
      <w:r w:rsidRPr="00342723" w:rsidR="00145AE5">
        <w:rPr>
          <w:rFonts w:ascii="Times New Roman" w:hAnsi="Times New Roman" w:eastAsia="Times New Roman" w:cs="Times New Roman"/>
          <w:sz w:val="24"/>
          <w:szCs w:val="24"/>
        </w:rPr>
        <w:t xml:space="preserve">Vessels and economic impacts are not included in this analysis because those costs are incurred under the state rules rather </w:t>
      </w:r>
      <w:r w:rsidRPr="00342723" w:rsidR="004B3B4B">
        <w:rPr>
          <w:rFonts w:ascii="Times New Roman" w:hAnsi="Times New Roman" w:eastAsia="Times New Roman" w:cs="Times New Roman"/>
          <w:sz w:val="24"/>
          <w:szCs w:val="24"/>
        </w:rPr>
        <w:t>than</w:t>
      </w:r>
      <w:r w:rsidRPr="00342723" w:rsidR="00145AE5">
        <w:rPr>
          <w:rFonts w:ascii="Times New Roman" w:hAnsi="Times New Roman" w:eastAsia="Times New Roman" w:cs="Times New Roman"/>
          <w:sz w:val="24"/>
          <w:szCs w:val="24"/>
        </w:rPr>
        <w:t xml:space="preserve"> this rulemaking</w:t>
      </w:r>
      <w:r w:rsidRPr="00342723">
        <w:rPr>
          <w:rFonts w:ascii="Times New Roman" w:hAnsi="Times New Roman" w:eastAsia="Times New Roman" w:cs="Times New Roman"/>
          <w:sz w:val="24"/>
          <w:szCs w:val="24"/>
        </w:rPr>
        <w:t>).</w:t>
      </w:r>
    </w:p>
    <w:p w:rsidRPr="00342723" w:rsidR="002825F7" w:rsidP="007D7417" w:rsidRDefault="002825F7" w14:paraId="6851A03A" w14:textId="77777777">
      <w:pPr>
        <w:widowControl w:val="0"/>
        <w:spacing w:line="240" w:lineRule="auto"/>
        <w:rPr>
          <w:rFonts w:ascii="Times New Roman" w:hAnsi="Times New Roman" w:eastAsia="Times New Roman" w:cs="Times New Roman"/>
          <w:sz w:val="24"/>
          <w:szCs w:val="24"/>
        </w:rPr>
      </w:pP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145"/>
        <w:gridCol w:w="6720"/>
      </w:tblGrid>
      <w:tr w:rsidRPr="00342723" w:rsidR="00D45369" w:rsidTr="00AA6DB8" w14:paraId="0AE19273" w14:textId="77777777">
        <w:trPr>
          <w:trHeight w:val="348"/>
        </w:trPr>
        <w:tc>
          <w:tcPr>
            <w:tcW w:w="21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5B7301E9" w14:textId="77777777">
            <w:pPr>
              <w:widowControl w:val="0"/>
              <w:spacing w:line="240" w:lineRule="auto"/>
              <w:jc w:val="center"/>
              <w:rPr>
                <w:rFonts w:ascii="Times New Roman" w:hAnsi="Times New Roman" w:eastAsia="Times New Roman" w:cs="Times New Roman"/>
                <w:b/>
                <w:sz w:val="24"/>
                <w:szCs w:val="24"/>
              </w:rPr>
            </w:pPr>
            <w:r w:rsidRPr="00342723">
              <w:rPr>
                <w:rFonts w:ascii="Times New Roman" w:hAnsi="Times New Roman" w:eastAsia="Times New Roman" w:cs="Times New Roman"/>
                <w:b/>
                <w:sz w:val="24"/>
                <w:szCs w:val="24"/>
              </w:rPr>
              <w:t>Area</w:t>
            </w:r>
          </w:p>
        </w:tc>
        <w:tc>
          <w:tcPr>
            <w:tcW w:w="672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661D3E07" w14:textId="4A71336E">
            <w:pPr>
              <w:widowControl w:val="0"/>
              <w:spacing w:line="240" w:lineRule="auto"/>
              <w:jc w:val="center"/>
              <w:rPr>
                <w:rFonts w:ascii="Times New Roman" w:hAnsi="Times New Roman" w:eastAsia="Times New Roman" w:cs="Times New Roman"/>
                <w:b/>
                <w:sz w:val="24"/>
                <w:szCs w:val="24"/>
              </w:rPr>
            </w:pPr>
            <w:r w:rsidRPr="00342723">
              <w:rPr>
                <w:rFonts w:ascii="Times New Roman" w:hAnsi="Times New Roman" w:eastAsia="Times New Roman" w:cs="Times New Roman"/>
                <w:b/>
                <w:sz w:val="24"/>
                <w:szCs w:val="24"/>
              </w:rPr>
              <w:t>Proposed Gear Marking Scheme</w:t>
            </w:r>
          </w:p>
        </w:tc>
      </w:tr>
      <w:tr w:rsidRPr="00342723" w:rsidR="00D45369" w:rsidTr="00AA6DB8" w14:paraId="21761086" w14:textId="77777777">
        <w:trPr>
          <w:trHeight w:val="962"/>
        </w:trPr>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0ABBFB94" w14:textId="77777777">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Entire Northeast Region</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Pr="00342723" w:rsidR="00D45369" w:rsidP="00B26E04" w:rsidRDefault="006A4E66" w14:paraId="68AF2046" w14:textId="71CDF892">
            <w:pPr>
              <w:widowControl w:val="0"/>
              <w:spacing w:line="240" w:lineRule="auto"/>
              <w:jc w:val="both"/>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Three-foot </w:t>
            </w:r>
            <w:r w:rsidRPr="00342723" w:rsidR="001B7F4C">
              <w:rPr>
                <w:rFonts w:ascii="Times New Roman" w:hAnsi="Times New Roman" w:eastAsia="Times New Roman" w:cs="Times New Roman"/>
                <w:sz w:val="24"/>
                <w:szCs w:val="24"/>
              </w:rPr>
              <w:t xml:space="preserve">(91 cm) </w:t>
            </w:r>
            <w:r w:rsidRPr="00342723">
              <w:rPr>
                <w:rFonts w:ascii="Times New Roman" w:hAnsi="Times New Roman" w:eastAsia="Times New Roman" w:cs="Times New Roman"/>
                <w:sz w:val="24"/>
                <w:szCs w:val="24"/>
              </w:rPr>
              <w:t xml:space="preserve">long state-specific (see color below) mark within two fathoms (60.96 cm) of the buoy.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In Federal waters, an additional six-inch (15.25 cm) green mark within one foot (30.5 cm) of the long mark in the surface system.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This mark must be solid</w:t>
            </w:r>
            <w:r w:rsidRPr="00342723" w:rsidR="00E2644D">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therefore</w:t>
            </w:r>
            <w:r w:rsidRPr="00342723" w:rsidR="00E2644D">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colored ties are not an allowed gear marking method.</w:t>
            </w:r>
          </w:p>
        </w:tc>
      </w:tr>
      <w:tr w:rsidRPr="00342723" w:rsidR="00D45369" w:rsidTr="00AA6DB8" w14:paraId="07FD8C49" w14:textId="77777777">
        <w:trPr>
          <w:trHeight w:val="710"/>
        </w:trPr>
        <w:tc>
          <w:tcPr>
            <w:tcW w:w="2145" w:type="dxa"/>
            <w:tcBorders>
              <w:top w:val="nil"/>
              <w:left w:val="single" w:color="000000" w:sz="8" w:space="0"/>
              <w:bottom w:val="single" w:color="000000" w:sz="8" w:space="0"/>
              <w:right w:val="single" w:color="000000" w:sz="8" w:space="0"/>
            </w:tcBorders>
            <w:shd w:val="clear" w:color="auto" w:fill="CCCCCC"/>
            <w:tcMar>
              <w:top w:w="100" w:type="dxa"/>
              <w:left w:w="100" w:type="dxa"/>
              <w:bottom w:w="100" w:type="dxa"/>
              <w:right w:w="100" w:type="dxa"/>
            </w:tcMar>
          </w:tcPr>
          <w:p w:rsidRPr="00342723" w:rsidR="00D45369" w:rsidP="007D7417" w:rsidRDefault="006A4E66" w14:paraId="49649828" w14:textId="77777777">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Maine Non-Exempt</w:t>
            </w:r>
          </w:p>
        </w:tc>
        <w:tc>
          <w:tcPr>
            <w:tcW w:w="6720" w:type="dxa"/>
            <w:tcBorders>
              <w:top w:val="nil"/>
              <w:left w:val="nil"/>
              <w:bottom w:val="single" w:color="000000" w:sz="8" w:space="0"/>
              <w:right w:val="single" w:color="000000" w:sz="8" w:space="0"/>
            </w:tcBorders>
            <w:shd w:val="clear" w:color="auto" w:fill="CCCCCC"/>
            <w:tcMar>
              <w:top w:w="100" w:type="dxa"/>
              <w:left w:w="100" w:type="dxa"/>
              <w:bottom w:w="100" w:type="dxa"/>
              <w:right w:w="100" w:type="dxa"/>
            </w:tcMar>
          </w:tcPr>
          <w:p w:rsidRPr="00342723" w:rsidR="00D45369" w:rsidP="007D7417" w:rsidRDefault="006A4E66" w14:paraId="332E0834" w14:textId="7955A621">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Purple.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Three one-foot </w:t>
            </w:r>
            <w:r w:rsidRPr="00342723" w:rsidR="001B7F4C">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marks: at top, middle and bottom of buoy line. In Federal waters, an additional six-inch </w:t>
            </w:r>
            <w:r w:rsidRPr="00342723" w:rsidR="00746452">
              <w:rPr>
                <w:rFonts w:ascii="Times New Roman" w:hAnsi="Times New Roman" w:eastAsia="Times New Roman" w:cs="Times New Roman"/>
                <w:sz w:val="24"/>
                <w:szCs w:val="24"/>
              </w:rPr>
              <w:t xml:space="preserve">(15.25 cm), </w:t>
            </w:r>
            <w:r w:rsidRPr="00342723">
              <w:rPr>
                <w:rFonts w:ascii="Times New Roman" w:hAnsi="Times New Roman" w:eastAsia="Times New Roman" w:cs="Times New Roman"/>
                <w:sz w:val="24"/>
                <w:szCs w:val="24"/>
              </w:rPr>
              <w:t xml:space="preserve">green buoy line mark within two fathoms </w:t>
            </w:r>
            <w:r w:rsidRPr="00342723" w:rsidR="00746452">
              <w:rPr>
                <w:rFonts w:ascii="Times New Roman" w:hAnsi="Times New Roman" w:eastAsia="Times New Roman" w:cs="Times New Roman"/>
                <w:sz w:val="24"/>
                <w:szCs w:val="24"/>
              </w:rPr>
              <w:t xml:space="preserve">(60.96 cm) </w:t>
            </w:r>
            <w:r w:rsidRPr="00342723">
              <w:rPr>
                <w:rFonts w:ascii="Times New Roman" w:hAnsi="Times New Roman" w:eastAsia="Times New Roman" w:cs="Times New Roman"/>
                <w:sz w:val="24"/>
                <w:szCs w:val="24"/>
              </w:rPr>
              <w:t>of</w:t>
            </w:r>
            <w:r w:rsidRPr="00342723" w:rsidR="00746452">
              <w:rPr>
                <w:rFonts w:ascii="Times New Roman" w:hAnsi="Times New Roman" w:eastAsia="Times New Roman" w:cs="Times New Roman"/>
                <w:sz w:val="24"/>
                <w:szCs w:val="24"/>
              </w:rPr>
              <w:t xml:space="preserve"> the</w:t>
            </w:r>
            <w:r w:rsidRPr="00342723">
              <w:rPr>
                <w:rFonts w:ascii="Times New Roman" w:hAnsi="Times New Roman" w:eastAsia="Times New Roman" w:cs="Times New Roman"/>
                <w:sz w:val="24"/>
                <w:szCs w:val="24"/>
              </w:rPr>
              <w:t xml:space="preserve"> buoy.</w:t>
            </w:r>
          </w:p>
        </w:tc>
      </w:tr>
      <w:tr w:rsidRPr="00342723" w:rsidR="00D45369" w:rsidTr="00AA6DB8" w14:paraId="426A3209" w14:textId="77777777">
        <w:trPr>
          <w:trHeight w:val="1232"/>
        </w:trPr>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24FB7462" w14:textId="77777777">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New Hampshire</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5DAC9F5A" w14:textId="65D32EBB">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Yellow.</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 In state waters: two one-foot</w:t>
            </w:r>
            <w:r w:rsidRPr="00342723" w:rsidR="001B7F4C">
              <w:rPr>
                <w:rFonts w:ascii="Times New Roman" w:hAnsi="Times New Roman" w:eastAsia="Times New Roman" w:cs="Times New Roman"/>
                <w:sz w:val="24"/>
                <w:szCs w:val="24"/>
              </w:rPr>
              <w:t xml:space="preserve"> (30.5 cm)</w:t>
            </w:r>
            <w:r w:rsidRPr="00342723">
              <w:rPr>
                <w:rFonts w:ascii="Times New Roman" w:hAnsi="Times New Roman" w:eastAsia="Times New Roman" w:cs="Times New Roman"/>
                <w:sz w:val="24"/>
                <w:szCs w:val="24"/>
              </w:rPr>
              <w:t xml:space="preserve"> marks in top half and bottom half of buoy line. Beyond state waters, three one-foot </w:t>
            </w:r>
            <w:r w:rsidRPr="00342723" w:rsidR="00F42DB2">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marks: at top, middle and bottom of line. In Federal waters, an additional six-inch </w:t>
            </w:r>
            <w:r w:rsidRPr="00342723" w:rsidR="00746452">
              <w:rPr>
                <w:rFonts w:ascii="Times New Roman" w:hAnsi="Times New Roman" w:eastAsia="Times New Roman" w:cs="Times New Roman"/>
                <w:sz w:val="24"/>
                <w:szCs w:val="24"/>
              </w:rPr>
              <w:t xml:space="preserve">(15.25 cm), </w:t>
            </w:r>
            <w:r w:rsidRPr="00342723">
              <w:rPr>
                <w:rFonts w:ascii="Times New Roman" w:hAnsi="Times New Roman" w:eastAsia="Times New Roman" w:cs="Times New Roman"/>
                <w:sz w:val="24"/>
                <w:szCs w:val="24"/>
              </w:rPr>
              <w:t xml:space="preserve">green mark within one foot </w:t>
            </w:r>
            <w:r w:rsidRPr="00342723" w:rsidR="00F42DB2">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of the long mark within two fathoms </w:t>
            </w:r>
            <w:r w:rsidRPr="00342723" w:rsidR="00746452">
              <w:rPr>
                <w:rFonts w:ascii="Times New Roman" w:hAnsi="Times New Roman" w:eastAsia="Times New Roman" w:cs="Times New Roman"/>
                <w:sz w:val="24"/>
                <w:szCs w:val="24"/>
              </w:rPr>
              <w:t xml:space="preserve">(60.96 cm) </w:t>
            </w:r>
            <w:r w:rsidRPr="00342723">
              <w:rPr>
                <w:rFonts w:ascii="Times New Roman" w:hAnsi="Times New Roman" w:eastAsia="Times New Roman" w:cs="Times New Roman"/>
                <w:sz w:val="24"/>
                <w:szCs w:val="24"/>
              </w:rPr>
              <w:t xml:space="preserve">of </w:t>
            </w:r>
            <w:r w:rsidRPr="00342723" w:rsidR="00746452">
              <w:rPr>
                <w:rFonts w:ascii="Times New Roman" w:hAnsi="Times New Roman" w:eastAsia="Times New Roman" w:cs="Times New Roman"/>
                <w:sz w:val="24"/>
                <w:szCs w:val="24"/>
              </w:rPr>
              <w:t xml:space="preserve">the </w:t>
            </w:r>
            <w:r w:rsidRPr="00342723">
              <w:rPr>
                <w:rFonts w:ascii="Times New Roman" w:hAnsi="Times New Roman" w:eastAsia="Times New Roman" w:cs="Times New Roman"/>
                <w:sz w:val="24"/>
                <w:szCs w:val="24"/>
              </w:rPr>
              <w:t>buoy.</w:t>
            </w:r>
          </w:p>
        </w:tc>
      </w:tr>
      <w:tr w:rsidRPr="00342723" w:rsidR="00D45369" w:rsidTr="00AA6DB8" w14:paraId="34983595" w14:textId="77777777">
        <w:trPr>
          <w:trHeight w:val="1160"/>
        </w:trPr>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7F0E6426" w14:textId="77777777">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Massachusetts</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Pr="00342723" w:rsidR="00D45369" w:rsidP="00F42DB2" w:rsidRDefault="006A4E66" w14:paraId="662500AF" w14:textId="3A947F90">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Red.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In state waters: two one-foot</w:t>
            </w:r>
            <w:r w:rsidRPr="00342723" w:rsidR="00F42DB2">
              <w:rPr>
                <w:rFonts w:ascii="Times New Roman" w:hAnsi="Times New Roman" w:eastAsia="Times New Roman" w:cs="Times New Roman"/>
                <w:sz w:val="24"/>
                <w:szCs w:val="24"/>
              </w:rPr>
              <w:t xml:space="preserve"> (30.5 cm) </w:t>
            </w:r>
            <w:r w:rsidRPr="00342723">
              <w:rPr>
                <w:rFonts w:ascii="Times New Roman" w:hAnsi="Times New Roman" w:eastAsia="Times New Roman" w:cs="Times New Roman"/>
                <w:sz w:val="24"/>
                <w:szCs w:val="24"/>
              </w:rPr>
              <w:t xml:space="preserve">marks in top half and bottom half of buoy line. Beyond state waters three one-foot </w:t>
            </w:r>
            <w:r w:rsidRPr="00342723" w:rsidR="00F42DB2">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marks: at top, middle and bottom of line.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In Federal waters, an additional six-inch </w:t>
            </w:r>
            <w:r w:rsidRPr="00342723" w:rsidR="00746452">
              <w:rPr>
                <w:rFonts w:ascii="Times New Roman" w:hAnsi="Times New Roman" w:eastAsia="Times New Roman" w:cs="Times New Roman"/>
                <w:sz w:val="24"/>
                <w:szCs w:val="24"/>
              </w:rPr>
              <w:t xml:space="preserve">(15.25 cm), </w:t>
            </w:r>
            <w:r w:rsidRPr="00342723">
              <w:rPr>
                <w:rFonts w:ascii="Times New Roman" w:hAnsi="Times New Roman" w:eastAsia="Times New Roman" w:cs="Times New Roman"/>
                <w:sz w:val="24"/>
                <w:szCs w:val="24"/>
              </w:rPr>
              <w:t xml:space="preserve">green mark within one foot </w:t>
            </w:r>
            <w:r w:rsidRPr="00342723" w:rsidR="00F42DB2">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of the long mark within two fathoms </w:t>
            </w:r>
            <w:r w:rsidRPr="00342723" w:rsidR="00746452">
              <w:rPr>
                <w:rFonts w:ascii="Times New Roman" w:hAnsi="Times New Roman" w:eastAsia="Times New Roman" w:cs="Times New Roman"/>
                <w:sz w:val="24"/>
                <w:szCs w:val="24"/>
              </w:rPr>
              <w:t xml:space="preserve">(60.96 cm) </w:t>
            </w:r>
            <w:r w:rsidRPr="00342723">
              <w:rPr>
                <w:rFonts w:ascii="Times New Roman" w:hAnsi="Times New Roman" w:eastAsia="Times New Roman" w:cs="Times New Roman"/>
                <w:sz w:val="24"/>
                <w:szCs w:val="24"/>
              </w:rPr>
              <w:t>of</w:t>
            </w:r>
            <w:r w:rsidRPr="00342723" w:rsidR="00746452">
              <w:rPr>
                <w:rFonts w:ascii="Times New Roman" w:hAnsi="Times New Roman" w:eastAsia="Times New Roman" w:cs="Times New Roman"/>
                <w:sz w:val="24"/>
                <w:szCs w:val="24"/>
              </w:rPr>
              <w:t xml:space="preserve"> the</w:t>
            </w:r>
            <w:r w:rsidRPr="00342723">
              <w:rPr>
                <w:rFonts w:ascii="Times New Roman" w:hAnsi="Times New Roman" w:eastAsia="Times New Roman" w:cs="Times New Roman"/>
                <w:sz w:val="24"/>
                <w:szCs w:val="24"/>
              </w:rPr>
              <w:t xml:space="preserve"> buoy</w:t>
            </w:r>
            <w:r w:rsidRPr="00342723" w:rsidR="00746452">
              <w:rPr>
                <w:rFonts w:ascii="Times New Roman" w:hAnsi="Times New Roman" w:eastAsia="Times New Roman" w:cs="Times New Roman"/>
                <w:sz w:val="24"/>
                <w:szCs w:val="24"/>
              </w:rPr>
              <w:t>.</w:t>
            </w:r>
          </w:p>
        </w:tc>
      </w:tr>
      <w:tr w:rsidRPr="00342723" w:rsidR="00D45369" w:rsidTr="00AA6DB8" w14:paraId="049D4923" w14:textId="77777777">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4E4C6035" w14:textId="77777777">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Rhode Island</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Pr="00342723" w:rsidR="00D45369" w:rsidP="007D7417" w:rsidRDefault="006A4E66" w14:paraId="6313AB3E" w14:textId="7579C8DF">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Silver/gray.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In state waters: two one-foot </w:t>
            </w:r>
            <w:r w:rsidRPr="00342723" w:rsidR="00F42DB2">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marks in top half and bottom half of buoy line. Beyond state waters. 3 one-foot marks </w:t>
            </w:r>
            <w:r w:rsidRPr="00342723" w:rsidR="00F42DB2">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at top, middle and bottom of line. </w:t>
            </w:r>
            <w:r w:rsidRPr="00342723" w:rsidR="00D7544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In Federal waters, an additional six-inch </w:t>
            </w:r>
            <w:r w:rsidRPr="00342723" w:rsidR="00746452">
              <w:rPr>
                <w:rFonts w:ascii="Times New Roman" w:hAnsi="Times New Roman" w:eastAsia="Times New Roman" w:cs="Times New Roman"/>
                <w:sz w:val="24"/>
                <w:szCs w:val="24"/>
              </w:rPr>
              <w:t xml:space="preserve">(15.25 cm) </w:t>
            </w:r>
            <w:r w:rsidRPr="00342723">
              <w:rPr>
                <w:rFonts w:ascii="Times New Roman" w:hAnsi="Times New Roman" w:eastAsia="Times New Roman" w:cs="Times New Roman"/>
                <w:sz w:val="24"/>
                <w:szCs w:val="24"/>
              </w:rPr>
              <w:t xml:space="preserve">green mark within one foot </w:t>
            </w:r>
            <w:r w:rsidRPr="00342723" w:rsidR="00F42DB2">
              <w:rPr>
                <w:rFonts w:ascii="Times New Roman" w:hAnsi="Times New Roman" w:eastAsia="Times New Roman" w:cs="Times New Roman"/>
                <w:sz w:val="24"/>
                <w:szCs w:val="24"/>
              </w:rPr>
              <w:t xml:space="preserve">(30.5 cm) </w:t>
            </w:r>
            <w:r w:rsidRPr="00342723">
              <w:rPr>
                <w:rFonts w:ascii="Times New Roman" w:hAnsi="Times New Roman" w:eastAsia="Times New Roman" w:cs="Times New Roman"/>
                <w:sz w:val="24"/>
                <w:szCs w:val="24"/>
              </w:rPr>
              <w:t xml:space="preserve">of the long mark within two fathoms </w:t>
            </w:r>
            <w:r w:rsidRPr="00342723" w:rsidR="00746452">
              <w:rPr>
                <w:rFonts w:ascii="Times New Roman" w:hAnsi="Times New Roman" w:eastAsia="Times New Roman" w:cs="Times New Roman"/>
                <w:sz w:val="24"/>
                <w:szCs w:val="24"/>
              </w:rPr>
              <w:t xml:space="preserve">(60.96 cm) </w:t>
            </w:r>
            <w:r w:rsidRPr="00342723">
              <w:rPr>
                <w:rFonts w:ascii="Times New Roman" w:hAnsi="Times New Roman" w:eastAsia="Times New Roman" w:cs="Times New Roman"/>
                <w:sz w:val="24"/>
                <w:szCs w:val="24"/>
              </w:rPr>
              <w:t>of</w:t>
            </w:r>
            <w:r w:rsidRPr="00342723" w:rsidR="00746452">
              <w:rPr>
                <w:rFonts w:ascii="Times New Roman" w:hAnsi="Times New Roman" w:eastAsia="Times New Roman" w:cs="Times New Roman"/>
                <w:sz w:val="24"/>
                <w:szCs w:val="24"/>
              </w:rPr>
              <w:t xml:space="preserve"> the</w:t>
            </w:r>
            <w:r w:rsidRPr="00342723">
              <w:rPr>
                <w:rFonts w:ascii="Times New Roman" w:hAnsi="Times New Roman" w:eastAsia="Times New Roman" w:cs="Times New Roman"/>
                <w:sz w:val="24"/>
                <w:szCs w:val="24"/>
              </w:rPr>
              <w:t xml:space="preserve"> buoy.</w:t>
            </w:r>
          </w:p>
        </w:tc>
      </w:tr>
      <w:tr w:rsidRPr="00342723" w:rsidR="00AA6DB8" w:rsidTr="00AA6DB8" w14:paraId="64966A5D" w14:textId="77777777">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342723" w:rsidR="00AA6DB8" w:rsidP="007D7417" w:rsidRDefault="00AA6DB8" w14:paraId="1C8F9BDE" w14:textId="3374C5AE">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LMA 3</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Pr="00342723" w:rsidR="00AA6DB8" w:rsidP="007D7417" w:rsidRDefault="00AA6DB8" w14:paraId="4C5B45ED" w14:textId="21D080F9">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Black.  In Federal waters add a three-foot long (91 cm) mark within two fathoms of the buoy, and an additional six-inch (15.25 cm) green mark within one foot (30.5 cm) of the long mark within two fathoms (60.96 cm) of the buoy.  These vessels are already required to mark their rope with three one-foot (30.5 cm) black marks.</w:t>
            </w:r>
          </w:p>
        </w:tc>
      </w:tr>
    </w:tbl>
    <w:p w:rsidRPr="00342723" w:rsidR="00D45369" w:rsidP="007D7417" w:rsidRDefault="00D45369" w14:paraId="7B538008" w14:textId="4C224471">
      <w:pPr>
        <w:spacing w:line="240" w:lineRule="auto"/>
        <w:rPr>
          <w:rFonts w:ascii="Times New Roman" w:hAnsi="Times New Roman" w:cs="Times New Roman"/>
          <w:b/>
          <w:color w:val="2F5496"/>
          <w:sz w:val="24"/>
          <w:szCs w:val="24"/>
          <w:u w:val="single"/>
        </w:rPr>
      </w:pPr>
    </w:p>
    <w:p w:rsidRPr="00342723" w:rsidR="009118EA" w:rsidP="007D7417" w:rsidRDefault="009118EA" w14:paraId="59A87A31" w14:textId="77777777">
      <w:pPr>
        <w:spacing w:line="240" w:lineRule="auto"/>
        <w:rPr>
          <w:rFonts w:ascii="Times New Roman" w:hAnsi="Times New Roman" w:cs="Times New Roman"/>
          <w:b/>
          <w:color w:val="2F5496"/>
          <w:sz w:val="24"/>
          <w:szCs w:val="24"/>
          <w:u w:val="single"/>
        </w:rPr>
      </w:pPr>
    </w:p>
    <w:p w:rsidRPr="00342723" w:rsidR="00D45369" w:rsidP="007D7417" w:rsidRDefault="006A4E66" w14:paraId="4D63BDE6" w14:textId="77777777">
      <w:pPr>
        <w:pStyle w:val="Heading1"/>
        <w:keepNext w:val="0"/>
        <w:keepLines w:val="0"/>
        <w:spacing w:before="0" w:after="0" w:line="240" w:lineRule="auto"/>
        <w:rPr>
          <w:rFonts w:ascii="Times New Roman" w:hAnsi="Times New Roman" w:cs="Times New Roman"/>
          <w:b/>
          <w:sz w:val="24"/>
          <w:szCs w:val="24"/>
        </w:rPr>
      </w:pPr>
      <w:bookmarkStart w:name="_dfur7zhltt36" w:colFirst="0" w:colLast="0" w:id="2"/>
      <w:bookmarkEnd w:id="2"/>
      <w:r w:rsidRPr="00342723">
        <w:rPr>
          <w:rFonts w:ascii="Times New Roman" w:hAnsi="Times New Roman" w:cs="Times New Roman"/>
          <w:b/>
          <w:sz w:val="24"/>
          <w:szCs w:val="24"/>
        </w:rPr>
        <w:lastRenderedPageBreak/>
        <w:t>2.</w:t>
      </w:r>
      <w:r w:rsidRPr="00342723">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Pr="00342723" w:rsidR="009118EA" w:rsidP="007D7417" w:rsidRDefault="009118EA" w14:paraId="1CD5AB88" w14:textId="77777777">
      <w:pPr>
        <w:spacing w:line="240" w:lineRule="auto"/>
        <w:rPr>
          <w:rFonts w:ascii="Times New Roman" w:hAnsi="Times New Roman" w:eastAsia="Times New Roman" w:cs="Times New Roman"/>
          <w:sz w:val="24"/>
          <w:szCs w:val="24"/>
        </w:rPr>
      </w:pPr>
    </w:p>
    <w:p w:rsidRPr="00342723" w:rsidR="00D45369" w:rsidP="007D7417" w:rsidRDefault="006A4E66" w14:paraId="0678F84D" w14:textId="654A100A">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Gear-marking requirements assist NMFS in obtaining detailed information about which fisheries or specific parts of fishing gear are responsible for the incidental mortality and serious injury of North Atlantic right, humpback, </w:t>
      </w:r>
      <w:proofErr w:type="spellStart"/>
      <w:r w:rsidRPr="00342723">
        <w:rPr>
          <w:rFonts w:ascii="Times New Roman" w:hAnsi="Times New Roman" w:eastAsia="Times New Roman" w:cs="Times New Roman"/>
          <w:sz w:val="24"/>
          <w:szCs w:val="24"/>
        </w:rPr>
        <w:t>minke</w:t>
      </w:r>
      <w:proofErr w:type="spellEnd"/>
      <w:r w:rsidRPr="00342723" w:rsidR="00D7544F">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and fin whales.  Generally, when gear is retrieved from an entangled whale, it cannot always be identified to a fishery or location.  Therefore, requiring fishermen to mark surface buoys and the buoy line provides NMFS with an additional source of information, which could then be used to determine the gear responsible for and the location of the entanglement event.  Furthermore, information tracing incidental mortality and serious injury of marine mammals back to specific gear types, gear parts, or fishing locations assist NMFS and the Team in focusing future management measures on specific problem areas and issues, which may avoid unnecessarily regulating fisheries with overly broad measures.  </w:t>
      </w:r>
    </w:p>
    <w:p w:rsidRPr="00342723" w:rsidR="009118EA" w:rsidP="007D7417" w:rsidRDefault="009118EA" w14:paraId="3F880BD3" w14:textId="77777777">
      <w:pPr>
        <w:spacing w:line="240" w:lineRule="auto"/>
        <w:rPr>
          <w:rFonts w:ascii="Times New Roman" w:hAnsi="Times New Roman" w:eastAsia="Times New Roman" w:cs="Times New Roman"/>
          <w:sz w:val="24"/>
          <w:szCs w:val="24"/>
        </w:rPr>
      </w:pPr>
    </w:p>
    <w:p w:rsidRPr="00342723" w:rsidR="00D45369" w:rsidP="007D7417" w:rsidRDefault="006A4E66" w14:paraId="69DA49FB" w14:textId="5330522E">
      <w:pPr>
        <w:widowControl w:val="0"/>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Therefore, requiring fishermen to mark surface buoys and the buoy line provides NMFS with an additional source of information, which could then be used to determine the gear responsible for and the location of the entanglement event.  Gear marking will not reduce bycatch in and of itself, but </w:t>
      </w:r>
      <w:r w:rsidRPr="00342723" w:rsidR="00CB1FCF">
        <w:rPr>
          <w:rFonts w:ascii="Times New Roman" w:hAnsi="Times New Roman" w:eastAsia="Times New Roman" w:cs="Times New Roman"/>
          <w:sz w:val="24"/>
          <w:szCs w:val="24"/>
        </w:rPr>
        <w:t xml:space="preserve">it </w:t>
      </w:r>
      <w:r w:rsidRPr="00342723">
        <w:rPr>
          <w:rFonts w:ascii="Times New Roman" w:hAnsi="Times New Roman" w:eastAsia="Times New Roman" w:cs="Times New Roman"/>
          <w:sz w:val="24"/>
          <w:szCs w:val="24"/>
        </w:rPr>
        <w:t>is expected to facilitate monitoring of entanglement rates and assist in designing future bycatch reduction measures in targeted areas deemed important by the Team.  The frequency of information use</w:t>
      </w:r>
      <w:r w:rsidRPr="00342723" w:rsidR="00CB1FCF">
        <w:rPr>
          <w:rFonts w:ascii="Times New Roman" w:hAnsi="Times New Roman" w:eastAsia="Times New Roman" w:cs="Times New Roman"/>
          <w:sz w:val="24"/>
          <w:szCs w:val="24"/>
        </w:rPr>
        <w:t>d</w:t>
      </w:r>
      <w:r w:rsidRPr="00342723">
        <w:rPr>
          <w:rFonts w:ascii="Times New Roman" w:hAnsi="Times New Roman" w:eastAsia="Times New Roman" w:cs="Times New Roman"/>
          <w:sz w:val="24"/>
          <w:szCs w:val="24"/>
        </w:rPr>
        <w:t xml:space="preserve"> is primarily correlated with the occurrence of entangled whales and/or the recovery of entangled gear.</w:t>
      </w:r>
    </w:p>
    <w:p w:rsidRPr="00342723" w:rsidR="009118EA" w:rsidP="007D7417" w:rsidRDefault="009118EA" w14:paraId="1D03B78F" w14:textId="77777777">
      <w:pPr>
        <w:widowControl w:val="0"/>
        <w:spacing w:line="240" w:lineRule="auto"/>
        <w:rPr>
          <w:rFonts w:ascii="Times New Roman" w:hAnsi="Times New Roman" w:eastAsia="Times New Roman" w:cs="Times New Roman"/>
          <w:sz w:val="24"/>
          <w:szCs w:val="24"/>
        </w:rPr>
      </w:pPr>
    </w:p>
    <w:p w:rsidRPr="00342723" w:rsidR="00D45369" w:rsidP="007D7417" w:rsidRDefault="006A4E66" w14:paraId="7655223C" w14:textId="04B9E2D1">
      <w:pPr>
        <w:tabs>
          <w:tab w:val="left" w:pos="720"/>
          <w:tab w:val="left" w:pos="9270"/>
        </w:tabs>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In developing serious injury and mortality estimates for use in Stock Assessment Reports and by the Team, NMFS attributes definitive source of serious injuries and mortalities only when gear is present and identified to a fishery source. Therefore, the additional regulations that are being considered</w:t>
      </w:r>
      <w:r w:rsidRPr="00342723" w:rsidR="00D710DC">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propose to improve the quantity and quality of data available for future rulemaking and investigating some of the uncertainties discussed above regarding gear type and the country where the entanglement occurred. </w:t>
      </w:r>
    </w:p>
    <w:p w:rsidRPr="00342723" w:rsidR="009118EA" w:rsidP="007D7417" w:rsidRDefault="009118EA" w14:paraId="164974F4" w14:textId="77777777">
      <w:pPr>
        <w:tabs>
          <w:tab w:val="left" w:pos="720"/>
          <w:tab w:val="left" w:pos="9270"/>
        </w:tabs>
        <w:spacing w:line="240" w:lineRule="auto"/>
        <w:rPr>
          <w:rFonts w:ascii="Times New Roman" w:hAnsi="Times New Roman" w:eastAsia="Times New Roman" w:cs="Times New Roman"/>
          <w:sz w:val="24"/>
          <w:szCs w:val="24"/>
        </w:rPr>
      </w:pPr>
    </w:p>
    <w:p w:rsidRPr="00342723" w:rsidR="00D45369" w:rsidP="007D7417" w:rsidRDefault="006A4E66" w14:paraId="3B0F41E5" w14:textId="2ADE6F59">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NMFS has implemented previous gear-marking requirements in as simple a manner as possible and to be as compatible with other state or federal fishery management plans and </w:t>
      </w:r>
      <w:r w:rsidRPr="00342723" w:rsidR="00D710DC">
        <w:rPr>
          <w:rFonts w:ascii="Times New Roman" w:hAnsi="Times New Roman" w:eastAsia="Times New Roman" w:cs="Times New Roman"/>
          <w:sz w:val="24"/>
          <w:szCs w:val="24"/>
        </w:rPr>
        <w:t>take reduction plans</w:t>
      </w:r>
      <w:r w:rsidRPr="00342723">
        <w:rPr>
          <w:rFonts w:ascii="Times New Roman" w:hAnsi="Times New Roman" w:eastAsia="Times New Roman" w:cs="Times New Roman"/>
          <w:sz w:val="24"/>
          <w:szCs w:val="24"/>
        </w:rPr>
        <w:t xml:space="preserve">.  NMFS developed the first gear-marking requirements (72 FR 57104) with the assistance of its fishing industry liaisons, feedback from Team members, and public comments received on a proposed rule in 2005 (70 FR 35894).  These gear marking requirements were subsequently changed </w:t>
      </w:r>
      <w:r w:rsidRPr="00342723" w:rsidR="00853540">
        <w:rPr>
          <w:rFonts w:ascii="Times New Roman" w:hAnsi="Times New Roman" w:eastAsia="Times New Roman" w:cs="Times New Roman"/>
          <w:sz w:val="24"/>
          <w:szCs w:val="24"/>
        </w:rPr>
        <w:t>over time</w:t>
      </w:r>
      <w:r w:rsidRPr="00342723" w:rsidR="00D710DC">
        <w:rPr>
          <w:rFonts w:ascii="Times New Roman" w:hAnsi="Times New Roman" w:eastAsia="Times New Roman" w:cs="Times New Roman"/>
          <w:sz w:val="24"/>
          <w:szCs w:val="24"/>
        </w:rPr>
        <w:t>,</w:t>
      </w:r>
      <w:r w:rsidRPr="00342723" w:rsidR="00853540">
        <w:rPr>
          <w:rFonts w:ascii="Times New Roman" w:hAnsi="Times New Roman" w:eastAsia="Times New Roman" w:cs="Times New Roman"/>
          <w:sz w:val="24"/>
          <w:szCs w:val="24"/>
        </w:rPr>
        <w:t xml:space="preserve"> including most recently </w:t>
      </w:r>
      <w:r w:rsidRPr="00342723">
        <w:rPr>
          <w:rFonts w:ascii="Times New Roman" w:hAnsi="Times New Roman" w:eastAsia="Times New Roman" w:cs="Times New Roman"/>
          <w:sz w:val="24"/>
          <w:szCs w:val="24"/>
        </w:rPr>
        <w:t>in June 2014 (79 FR 36586) to increase the size and frequency of the marks along the buoy line.  The newest revisions to these gear marking requirements will continue to refine the level of information gained from these marks.  Because fishery-related mortality has been difficult to determine and assess, gear-marking requirements may not only assist in obtaining valuable gear interaction information from future entanglement events, but may also be a useful tool for measuring compliance</w:t>
      </w:r>
      <w:r w:rsidRPr="00342723" w:rsidR="00CB1FCF">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therefore</w:t>
      </w:r>
      <w:r w:rsidRPr="00342723" w:rsidR="00CB1FCF">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the gear marking scheme is ever evolving. </w:t>
      </w:r>
    </w:p>
    <w:p w:rsidRPr="00342723" w:rsidR="009118EA" w:rsidP="007D7417" w:rsidRDefault="009118EA" w14:paraId="14955F19" w14:textId="77777777">
      <w:pPr>
        <w:spacing w:line="240" w:lineRule="auto"/>
        <w:rPr>
          <w:rFonts w:ascii="Times New Roman" w:hAnsi="Times New Roman" w:eastAsia="Times New Roman" w:cs="Times New Roman"/>
          <w:sz w:val="24"/>
          <w:szCs w:val="24"/>
        </w:rPr>
      </w:pPr>
    </w:p>
    <w:p w:rsidRPr="00342723" w:rsidR="007D7417" w:rsidP="007D7417" w:rsidRDefault="006A4E66" w14:paraId="7427BA34" w14:textId="38E4948A">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The information collected is disseminated to the public or used to support publicly disseminated information.  N</w:t>
      </w:r>
      <w:r w:rsidRPr="00342723">
        <w:rPr>
          <w:rFonts w:ascii="Times New Roman" w:hAnsi="Times New Roman" w:eastAsia="Times New Roman" w:cs="Times New Roman"/>
          <w:color w:val="222222"/>
          <w:sz w:val="24"/>
          <w:szCs w:val="24"/>
          <w:highlight w:val="white"/>
        </w:rPr>
        <w:t xml:space="preserve">MFS maintains this website </w:t>
      </w:r>
      <w:r w:rsidRPr="00342723" w:rsidR="00CB1FCF">
        <w:rPr>
          <w:rFonts w:ascii="Times New Roman" w:hAnsi="Times New Roman" w:eastAsia="Times New Roman" w:cs="Times New Roman"/>
          <w:color w:val="222222"/>
          <w:sz w:val="24"/>
          <w:szCs w:val="24"/>
          <w:highlight w:val="white"/>
        </w:rPr>
        <w:t>(</w:t>
      </w:r>
      <w:hyperlink w:history="1" r:id="rId7">
        <w:r w:rsidRPr="00342723" w:rsidR="00CB1FCF">
          <w:rPr>
            <w:rStyle w:val="Hyperlink"/>
            <w:rFonts w:ascii="Times New Roman" w:hAnsi="Times New Roman" w:eastAsia="Times New Roman" w:cs="Times New Roman"/>
            <w:sz w:val="24"/>
            <w:szCs w:val="24"/>
          </w:rPr>
          <w:t>https://www.fisheries.noaa.gov/new-england-mid-atlantic/marine-mammal-protection/atlantic-large-whale-take-reduction-plan</w:t>
        </w:r>
      </w:hyperlink>
      <w:r w:rsidRPr="00342723" w:rsidR="00CB1FCF">
        <w:rPr>
          <w:rFonts w:ascii="Times New Roman" w:hAnsi="Times New Roman" w:eastAsia="Times New Roman" w:cs="Times New Roman"/>
          <w:color w:val="222222"/>
          <w:sz w:val="24"/>
          <w:szCs w:val="24"/>
        </w:rPr>
        <w:t xml:space="preserve">) </w:t>
      </w:r>
      <w:r w:rsidRPr="00342723">
        <w:rPr>
          <w:rFonts w:ascii="Times New Roman" w:hAnsi="Times New Roman" w:eastAsia="Times New Roman" w:cs="Times New Roman"/>
          <w:color w:val="222222"/>
          <w:sz w:val="24"/>
          <w:szCs w:val="24"/>
          <w:highlight w:val="white"/>
        </w:rPr>
        <w:t xml:space="preserve">to disseminate </w:t>
      </w:r>
      <w:r w:rsidRPr="00342723">
        <w:rPr>
          <w:rFonts w:ascii="Times New Roman" w:hAnsi="Times New Roman" w:eastAsia="Times New Roman" w:cs="Times New Roman"/>
          <w:color w:val="222222"/>
          <w:sz w:val="24"/>
          <w:szCs w:val="24"/>
          <w:highlight w:val="white"/>
        </w:rPr>
        <w:lastRenderedPageBreak/>
        <w:t>information</w:t>
      </w:r>
      <w:r w:rsidRPr="00342723" w:rsidR="00CB1FCF">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including annual gear analysis information in entanglement reports</w:t>
      </w:r>
      <w:r w:rsidRPr="00342723" w:rsidR="00F3796F">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w:t>
      </w:r>
      <w:r w:rsidRPr="00342723" w:rsidR="00CB1FCF">
        <w:rPr>
          <w:rFonts w:ascii="Times New Roman" w:hAnsi="Times New Roman" w:eastAsia="Times New Roman" w:cs="Times New Roman"/>
          <w:sz w:val="24"/>
          <w:szCs w:val="24"/>
        </w:rPr>
        <w:t xml:space="preserve">which can be found at </w:t>
      </w:r>
      <w:r w:rsidRPr="00342723" w:rsidR="00F3796F">
        <w:rPr>
          <w:rFonts w:ascii="Times New Roman" w:hAnsi="Times New Roman" w:eastAsia="Times New Roman" w:cs="Times New Roman"/>
          <w:sz w:val="24"/>
          <w:szCs w:val="24"/>
        </w:rPr>
        <w:t xml:space="preserve">the following site: </w:t>
      </w:r>
      <w:hyperlink w:history="1" r:id="rId8">
        <w:r w:rsidRPr="00342723" w:rsidR="00F3796F">
          <w:rPr>
            <w:rStyle w:val="Hyperlink"/>
            <w:rFonts w:ascii="Times New Roman" w:hAnsi="Times New Roman" w:eastAsia="Times New Roman" w:cs="Times New Roman"/>
            <w:sz w:val="24"/>
            <w:szCs w:val="24"/>
          </w:rPr>
          <w:t>https://www.greateratlantic.fisheries.noaa.gov/policyseries/index.php/GARPS/article/view/21/16</w:t>
        </w:r>
      </w:hyperlink>
      <w:r w:rsidRPr="00342723">
        <w:rPr>
          <w:rFonts w:ascii="Times New Roman" w:hAnsi="Times New Roman" w:eastAsia="Times New Roman" w:cs="Times New Roman"/>
          <w:sz w:val="24"/>
          <w:szCs w:val="24"/>
        </w:rPr>
        <w:t>.</w:t>
      </w:r>
    </w:p>
    <w:p w:rsidRPr="00342723" w:rsidR="009118EA" w:rsidP="004B3B4B" w:rsidRDefault="004B3B4B" w14:paraId="31726C22" w14:textId="73519C34">
      <w:pPr>
        <w:tabs>
          <w:tab w:val="left" w:pos="3580"/>
        </w:tabs>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ab/>
      </w:r>
    </w:p>
    <w:p w:rsidRPr="00342723" w:rsidR="00D45369" w:rsidP="007D7417" w:rsidRDefault="006A4E66" w14:paraId="535FCFD2" w14:textId="56CB0EC9">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r w:rsidRPr="00342723">
          <w:rPr>
            <w:rFonts w:ascii="Times New Roman" w:hAnsi="Times New Roman" w:eastAsia="Times New Roman" w:cs="Times New Roman"/>
            <w:color w:val="0000FF"/>
            <w:sz w:val="24"/>
            <w:szCs w:val="24"/>
            <w:u w:val="single"/>
          </w:rPr>
          <w:t>Section 515 of Public Law 106-554</w:t>
        </w:r>
      </w:hyperlink>
      <w:r w:rsidRPr="00342723">
        <w:rPr>
          <w:rFonts w:ascii="Times New Roman" w:hAnsi="Times New Roman" w:eastAsia="Times New Roman" w:cs="Times New Roman"/>
          <w:sz w:val="24"/>
          <w:szCs w:val="24"/>
        </w:rPr>
        <w:t>.</w:t>
      </w:r>
    </w:p>
    <w:p w:rsidRPr="00342723" w:rsidR="009118EA" w:rsidP="007D7417" w:rsidRDefault="009118EA" w14:paraId="787FDD58" w14:textId="77777777">
      <w:pPr>
        <w:spacing w:line="240" w:lineRule="auto"/>
        <w:rPr>
          <w:rFonts w:ascii="Times New Roman" w:hAnsi="Times New Roman" w:eastAsia="Times New Roman" w:cs="Times New Roman"/>
          <w:sz w:val="24"/>
          <w:szCs w:val="24"/>
        </w:rPr>
      </w:pPr>
    </w:p>
    <w:p w:rsidRPr="00342723" w:rsidR="00D45369" w:rsidP="007D7417" w:rsidRDefault="006A4E66" w14:paraId="1DB49F21" w14:textId="77777777">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3.</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2723" w:rsidR="009118EA" w:rsidP="007D7417" w:rsidRDefault="009118EA" w14:paraId="3B220BDE" w14:textId="77777777">
      <w:pPr>
        <w:spacing w:line="240" w:lineRule="auto"/>
        <w:rPr>
          <w:rFonts w:ascii="Times New Roman" w:hAnsi="Times New Roman" w:eastAsia="Times New Roman" w:cs="Times New Roman"/>
          <w:sz w:val="24"/>
          <w:szCs w:val="24"/>
        </w:rPr>
      </w:pPr>
    </w:p>
    <w:p w:rsidRPr="00342723" w:rsidR="00D45369" w:rsidP="007D7417" w:rsidRDefault="006A4E66" w14:paraId="354987C9" w14:textId="5C5B719A">
      <w:pPr>
        <w:spacing w:line="240" w:lineRule="auto"/>
        <w:rPr>
          <w:rFonts w:ascii="Times New Roman" w:hAnsi="Times New Roman" w:cs="Times New Roman"/>
          <w:b/>
          <w:color w:val="2F5496"/>
          <w:sz w:val="24"/>
          <w:szCs w:val="24"/>
        </w:rPr>
      </w:pPr>
      <w:r w:rsidRPr="00342723">
        <w:rPr>
          <w:rFonts w:ascii="Times New Roman" w:hAnsi="Times New Roman" w:eastAsia="Times New Roman" w:cs="Times New Roman"/>
          <w:sz w:val="24"/>
          <w:szCs w:val="24"/>
        </w:rPr>
        <w:t>There is no use of automated, electronic, or other technological techniques associated with the gear-marking scheme.</w:t>
      </w:r>
    </w:p>
    <w:p w:rsidRPr="00342723" w:rsidR="00D45369" w:rsidP="007D7417" w:rsidRDefault="00D45369" w14:paraId="60EAF8D8" w14:textId="77777777">
      <w:pPr>
        <w:spacing w:line="240" w:lineRule="auto"/>
        <w:rPr>
          <w:rFonts w:ascii="Times New Roman" w:hAnsi="Times New Roman" w:cs="Times New Roman"/>
          <w:b/>
          <w:color w:val="2F5496"/>
          <w:sz w:val="24"/>
          <w:szCs w:val="24"/>
        </w:rPr>
      </w:pPr>
    </w:p>
    <w:p w:rsidRPr="00342723" w:rsidR="00D45369" w:rsidP="007D7417" w:rsidRDefault="006A4E66" w14:paraId="3159539B" w14:textId="77777777">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4.</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 2</w:t>
      </w:r>
    </w:p>
    <w:p w:rsidRPr="00342723" w:rsidR="009118EA" w:rsidP="007D7417" w:rsidRDefault="009118EA" w14:paraId="195628C4" w14:textId="77777777">
      <w:pPr>
        <w:spacing w:line="240" w:lineRule="auto"/>
        <w:rPr>
          <w:rFonts w:ascii="Times New Roman" w:hAnsi="Times New Roman" w:eastAsia="Times New Roman" w:cs="Times New Roman"/>
          <w:sz w:val="24"/>
          <w:szCs w:val="24"/>
        </w:rPr>
      </w:pPr>
    </w:p>
    <w:p w:rsidRPr="00342723" w:rsidR="00D45369" w:rsidP="007D7417" w:rsidRDefault="006A4E66" w14:paraId="4AE932AE" w14:textId="7774D360">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Presently, marking for trap/pot and gillnet fisheries and their associated surface gear</w:t>
      </w:r>
      <w:r w:rsidRPr="00342723" w:rsidR="00B74091">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is required under several Federal and state fishery management plans. </w:t>
      </w:r>
      <w:r w:rsidRPr="00342723" w:rsidR="00B74091">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NMFS’s requirements complement existing Federal and state fishery management plans and </w:t>
      </w:r>
      <w:r w:rsidRPr="00342723" w:rsidR="00B74091">
        <w:rPr>
          <w:rFonts w:ascii="Times New Roman" w:hAnsi="Times New Roman" w:eastAsia="Times New Roman" w:cs="Times New Roman"/>
          <w:sz w:val="24"/>
          <w:szCs w:val="24"/>
        </w:rPr>
        <w:t>take reduction plans</w:t>
      </w:r>
      <w:r w:rsidRPr="00342723">
        <w:rPr>
          <w:rFonts w:ascii="Times New Roman" w:hAnsi="Times New Roman" w:eastAsia="Times New Roman" w:cs="Times New Roman"/>
          <w:sz w:val="24"/>
          <w:szCs w:val="24"/>
        </w:rPr>
        <w:t>.  Although similar colors ma</w:t>
      </w:r>
      <w:r w:rsidRPr="00342723" w:rsidR="00B74091">
        <w:rPr>
          <w:rFonts w:ascii="Times New Roman" w:hAnsi="Times New Roman" w:eastAsia="Times New Roman" w:cs="Times New Roman"/>
          <w:sz w:val="24"/>
          <w:szCs w:val="24"/>
        </w:rPr>
        <w:t>y</w:t>
      </w:r>
      <w:r w:rsidRPr="00342723">
        <w:rPr>
          <w:rFonts w:ascii="Times New Roman" w:hAnsi="Times New Roman" w:eastAsia="Times New Roman" w:cs="Times New Roman"/>
          <w:sz w:val="24"/>
          <w:szCs w:val="24"/>
        </w:rPr>
        <w:t xml:space="preserve"> be used in other fisheries, color combinations prevent exact duplication.</w:t>
      </w:r>
      <w:r w:rsidRPr="00342723" w:rsidR="009118EA">
        <w:rPr>
          <w:rFonts w:ascii="Times New Roman" w:hAnsi="Times New Roman" w:eastAsia="Times New Roman" w:cs="Times New Roman"/>
          <w:sz w:val="24"/>
          <w:szCs w:val="24"/>
        </w:rPr>
        <w:t xml:space="preserve"> </w:t>
      </w:r>
      <w:r w:rsidRPr="00342723" w:rsidR="00B74091">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Current gear marking requirements are described in depth at</w:t>
      </w:r>
      <w:r w:rsidRPr="00342723" w:rsidR="00F3796F">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w:t>
      </w:r>
      <w:hyperlink w:anchor="outreach" r:id="rId10">
        <w:r w:rsidRPr="00342723">
          <w:rPr>
            <w:rFonts w:ascii="Times New Roman" w:hAnsi="Times New Roman" w:eastAsia="Times New Roman" w:cs="Times New Roman"/>
            <w:color w:val="1155CC"/>
            <w:sz w:val="24"/>
            <w:szCs w:val="24"/>
            <w:u w:val="single"/>
          </w:rPr>
          <w:t>https://www.fisheries.noaa.gov/new-england-mid-atlantic/marine-mammal-protection/atlantic-large-whale-take-reduction-plan#outreach</w:t>
        </w:r>
      </w:hyperlink>
      <w:r w:rsidRPr="00342723">
        <w:rPr>
          <w:rFonts w:ascii="Times New Roman" w:hAnsi="Times New Roman" w:eastAsia="Times New Roman" w:cs="Times New Roman"/>
          <w:sz w:val="24"/>
          <w:szCs w:val="24"/>
        </w:rPr>
        <w:t xml:space="preserve">. </w:t>
      </w:r>
    </w:p>
    <w:p w:rsidRPr="00342723" w:rsidR="00AA6DB8" w:rsidP="007D7417" w:rsidRDefault="00AA6DB8" w14:paraId="16A26291" w14:textId="77777777">
      <w:pPr>
        <w:spacing w:line="240" w:lineRule="auto"/>
        <w:rPr>
          <w:rFonts w:ascii="Times New Roman" w:hAnsi="Times New Roman" w:eastAsia="Times New Roman" w:cs="Times New Roman"/>
          <w:sz w:val="24"/>
          <w:szCs w:val="24"/>
          <w:u w:val="single"/>
        </w:rPr>
      </w:pPr>
    </w:p>
    <w:p w:rsidRPr="00342723" w:rsidR="00D45369" w:rsidP="007D7417" w:rsidRDefault="006A4E66" w14:paraId="6F4A2116" w14:textId="7E1F6CEB">
      <w:pPr>
        <w:spacing w:line="240" w:lineRule="auto"/>
        <w:rPr>
          <w:rFonts w:ascii="Times New Roman" w:hAnsi="Times New Roman" w:eastAsia="Times New Roman" w:cs="Times New Roman"/>
          <w:sz w:val="24"/>
          <w:szCs w:val="24"/>
          <w:u w:val="single"/>
        </w:rPr>
      </w:pPr>
      <w:r w:rsidRPr="00342723">
        <w:rPr>
          <w:rFonts w:ascii="Times New Roman" w:hAnsi="Times New Roman" w:eastAsia="Times New Roman" w:cs="Times New Roman"/>
          <w:sz w:val="24"/>
          <w:szCs w:val="24"/>
          <w:u w:val="single"/>
        </w:rPr>
        <w:t>Current NMFS Trap/Pot Gear Marking Requirements:</w:t>
      </w:r>
    </w:p>
    <w:p w:rsidRPr="00342723" w:rsidR="00D45369" w:rsidP="007D7417" w:rsidRDefault="006A4E66" w14:paraId="09E44E12" w14:textId="12FC8961">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Vertical buoy lines are to be</w:t>
      </w:r>
      <w:r w:rsidRPr="00342723" w:rsidR="00746452">
        <w:rPr>
          <w:rFonts w:ascii="Times New Roman" w:hAnsi="Times New Roman" w:eastAsia="Times New Roman" w:cs="Times New Roman"/>
          <w:sz w:val="24"/>
          <w:szCs w:val="24"/>
        </w:rPr>
        <w:t xml:space="preserve"> marked with three 12</w:t>
      </w:r>
      <w:r w:rsidRPr="00342723" w:rsidR="00B74091">
        <w:rPr>
          <w:rFonts w:ascii="Times New Roman" w:hAnsi="Times New Roman" w:eastAsia="Times New Roman" w:cs="Times New Roman"/>
          <w:sz w:val="24"/>
          <w:szCs w:val="24"/>
        </w:rPr>
        <w:t>-</w:t>
      </w:r>
      <w:r w:rsidRPr="00342723" w:rsidR="00746452">
        <w:rPr>
          <w:rFonts w:ascii="Times New Roman" w:hAnsi="Times New Roman" w:eastAsia="Times New Roman" w:cs="Times New Roman"/>
          <w:sz w:val="24"/>
          <w:szCs w:val="24"/>
        </w:rPr>
        <w:t>inch (30.5</w:t>
      </w:r>
      <w:r w:rsidRPr="00342723">
        <w:rPr>
          <w:rFonts w:ascii="Times New Roman" w:hAnsi="Times New Roman" w:eastAsia="Times New Roman" w:cs="Times New Roman"/>
          <w:sz w:val="24"/>
          <w:szCs w:val="24"/>
        </w:rPr>
        <w:t xml:space="preserve"> cm) colored marks: one at the top of the buoy line, one midway along the buoy line, and one at the bottom of the buoy line. </w:t>
      </w:r>
      <w:r w:rsidRPr="00342723" w:rsidR="00B74091">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If the mark consists of two colors, each color mark may be 6 inches (15.25 cm), for a total mark of 12</w:t>
      </w:r>
      <w:r w:rsidRPr="00342723" w:rsidR="00B74091">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inches</w:t>
      </w:r>
      <w:r w:rsidRPr="00342723" w:rsidR="00F42DB2">
        <w:rPr>
          <w:rFonts w:ascii="Times New Roman" w:hAnsi="Times New Roman" w:eastAsia="Times New Roman" w:cs="Times New Roman"/>
          <w:sz w:val="24"/>
          <w:szCs w:val="24"/>
        </w:rPr>
        <w:t xml:space="preserve"> (30.5 cm)</w:t>
      </w:r>
      <w:r w:rsidRPr="00342723">
        <w:rPr>
          <w:rFonts w:ascii="Times New Roman" w:hAnsi="Times New Roman" w:eastAsia="Times New Roman" w:cs="Times New Roman"/>
          <w:sz w:val="24"/>
          <w:szCs w:val="24"/>
        </w:rPr>
        <w:t xml:space="preserve">. </w:t>
      </w:r>
      <w:r w:rsidRPr="00342723" w:rsidR="00B74091">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Each color code must be permanently affixed on or along the line</w:t>
      </w:r>
      <w:r w:rsidRPr="00342723" w:rsidR="00F3796F">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and each color code must be clearly visible when the gear is hauled or removed from the water.</w:t>
      </w:r>
    </w:p>
    <w:p w:rsidRPr="00342723" w:rsidR="004B3B4B" w:rsidP="007D7417" w:rsidRDefault="004B3B4B" w14:paraId="50B2B9E4" w14:textId="228770C1">
      <w:pPr>
        <w:spacing w:line="240" w:lineRule="auto"/>
        <w:rPr>
          <w:rFonts w:ascii="Times New Roman" w:hAnsi="Times New Roman" w:eastAsia="Times New Roman" w:cs="Times New Roman"/>
          <w:sz w:val="24"/>
          <w:szCs w:val="24"/>
        </w:rPr>
      </w:pPr>
    </w:p>
    <w:p w:rsidRPr="00342723" w:rsidR="004B3B4B" w:rsidP="007D7417" w:rsidRDefault="004B3B4B" w14:paraId="40FD4FF7" w14:textId="661FF90B">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Table 2: Description of NMFS trap/pot gear marking requirements.</w:t>
      </w:r>
    </w:p>
    <w:p w:rsidRPr="00342723" w:rsidR="009118EA" w:rsidP="007D7417" w:rsidRDefault="009118EA" w14:paraId="5EB337AD" w14:textId="77777777">
      <w:pPr>
        <w:spacing w:line="240" w:lineRule="auto"/>
        <w:rPr>
          <w:rFonts w:ascii="Times New Roman" w:hAnsi="Times New Roman" w:eastAsia="Times New Roman" w:cs="Times New Roman"/>
          <w:b/>
          <w:sz w:val="24"/>
          <w:szCs w:val="24"/>
        </w:rPr>
      </w:pP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70"/>
        <w:gridCol w:w="6390"/>
      </w:tblGrid>
      <w:tr w:rsidRPr="00342723" w:rsidR="00D45369" w14:paraId="636816C1" w14:textId="77777777">
        <w:tc>
          <w:tcPr>
            <w:tcW w:w="2970" w:type="dxa"/>
            <w:shd w:val="clear" w:color="auto" w:fill="auto"/>
            <w:tcMar>
              <w:top w:w="100" w:type="dxa"/>
              <w:left w:w="100" w:type="dxa"/>
              <w:bottom w:w="100" w:type="dxa"/>
              <w:right w:w="100" w:type="dxa"/>
            </w:tcMar>
          </w:tcPr>
          <w:p w:rsidRPr="00342723" w:rsidR="00D45369" w:rsidP="007D7417" w:rsidRDefault="006A4E66" w14:paraId="1693AC6F"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sidRPr="00342723">
              <w:rPr>
                <w:rFonts w:ascii="Times New Roman" w:hAnsi="Times New Roman" w:eastAsia="Times New Roman" w:cs="Times New Roman"/>
                <w:b/>
                <w:sz w:val="24"/>
                <w:szCs w:val="24"/>
              </w:rPr>
              <w:t>Gear Marking Color</w:t>
            </w:r>
          </w:p>
        </w:tc>
        <w:tc>
          <w:tcPr>
            <w:tcW w:w="6390" w:type="dxa"/>
            <w:shd w:val="clear" w:color="auto" w:fill="auto"/>
            <w:tcMar>
              <w:top w:w="100" w:type="dxa"/>
              <w:left w:w="100" w:type="dxa"/>
              <w:bottom w:w="100" w:type="dxa"/>
              <w:right w:w="100" w:type="dxa"/>
            </w:tcMar>
          </w:tcPr>
          <w:p w:rsidRPr="00342723" w:rsidR="00D45369" w:rsidP="007D7417" w:rsidRDefault="006A4E66" w14:paraId="3A4AD207"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sidRPr="00342723">
              <w:rPr>
                <w:rFonts w:ascii="Times New Roman" w:hAnsi="Times New Roman" w:eastAsia="Times New Roman" w:cs="Times New Roman"/>
                <w:b/>
                <w:sz w:val="24"/>
                <w:szCs w:val="24"/>
              </w:rPr>
              <w:t xml:space="preserve">Applicable Trap/Pot Management Area </w:t>
            </w:r>
          </w:p>
        </w:tc>
      </w:tr>
      <w:tr w:rsidRPr="00342723" w:rsidR="00D45369" w14:paraId="0C9F71D0" w14:textId="77777777">
        <w:tc>
          <w:tcPr>
            <w:tcW w:w="2970" w:type="dxa"/>
            <w:shd w:val="clear" w:color="auto" w:fill="auto"/>
            <w:tcMar>
              <w:top w:w="100" w:type="dxa"/>
              <w:left w:w="100" w:type="dxa"/>
              <w:bottom w:w="100" w:type="dxa"/>
              <w:right w:w="100" w:type="dxa"/>
            </w:tcMar>
          </w:tcPr>
          <w:p w:rsidRPr="00342723" w:rsidR="00D45369" w:rsidP="007D7417" w:rsidRDefault="006A4E66" w14:paraId="2B3DDD81"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Red</w:t>
            </w:r>
          </w:p>
        </w:tc>
        <w:tc>
          <w:tcPr>
            <w:tcW w:w="6390" w:type="dxa"/>
            <w:shd w:val="clear" w:color="auto" w:fill="auto"/>
            <w:tcMar>
              <w:top w:w="100" w:type="dxa"/>
              <w:left w:w="100" w:type="dxa"/>
              <w:bottom w:w="100" w:type="dxa"/>
              <w:right w:w="100" w:type="dxa"/>
            </w:tcMar>
          </w:tcPr>
          <w:p w:rsidRPr="00342723" w:rsidR="00D45369" w:rsidP="007D7417" w:rsidRDefault="006A4E66" w14:paraId="7F676D35"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Massachusetts Restricted Area</w:t>
            </w:r>
          </w:p>
          <w:p w:rsidRPr="00342723" w:rsidR="00D45369" w:rsidP="007D7417" w:rsidRDefault="006A4E66" w14:paraId="3DD5982B"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Northern Nearshore Trap/Pot Waters</w:t>
            </w:r>
          </w:p>
          <w:p w:rsidRPr="00342723" w:rsidR="00D45369" w:rsidP="007D7417" w:rsidRDefault="006A4E66" w14:paraId="463B84A9"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lastRenderedPageBreak/>
              <w:t>Northern Inshore State Trap/Pot Waters</w:t>
            </w:r>
          </w:p>
          <w:p w:rsidRPr="00342723" w:rsidR="00D45369" w:rsidP="007D7417" w:rsidRDefault="006A4E66" w14:paraId="745D1578"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proofErr w:type="spellStart"/>
            <w:r w:rsidRPr="00342723">
              <w:rPr>
                <w:rFonts w:ascii="Times New Roman" w:hAnsi="Times New Roman" w:eastAsia="Times New Roman" w:cs="Times New Roman"/>
                <w:sz w:val="24"/>
                <w:szCs w:val="24"/>
              </w:rPr>
              <w:t>Stellwagen</w:t>
            </w:r>
            <w:proofErr w:type="spellEnd"/>
            <w:r w:rsidRPr="00342723">
              <w:rPr>
                <w:rFonts w:ascii="Times New Roman" w:hAnsi="Times New Roman" w:eastAsia="Times New Roman" w:cs="Times New Roman"/>
                <w:sz w:val="24"/>
                <w:szCs w:val="24"/>
              </w:rPr>
              <w:t xml:space="preserve"> Bank </w:t>
            </w:r>
            <w:proofErr w:type="spellStart"/>
            <w:r w:rsidRPr="00342723">
              <w:rPr>
                <w:rFonts w:ascii="Times New Roman" w:hAnsi="Times New Roman" w:eastAsia="Times New Roman" w:cs="Times New Roman"/>
                <w:sz w:val="24"/>
                <w:szCs w:val="24"/>
              </w:rPr>
              <w:t>Jeffreys</w:t>
            </w:r>
            <w:proofErr w:type="spellEnd"/>
            <w:r w:rsidRPr="00342723">
              <w:rPr>
                <w:rFonts w:ascii="Times New Roman" w:hAnsi="Times New Roman" w:eastAsia="Times New Roman" w:cs="Times New Roman"/>
                <w:sz w:val="24"/>
                <w:szCs w:val="24"/>
              </w:rPr>
              <w:t xml:space="preserve"> Ledge Restricted Area</w:t>
            </w:r>
          </w:p>
          <w:p w:rsidRPr="00342723" w:rsidR="00D45369" w:rsidP="007D7417" w:rsidRDefault="006A4E66" w14:paraId="320D80C6"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Great South Channel Restricted Area overlapping Lobster</w:t>
            </w:r>
          </w:p>
          <w:p w:rsidRPr="00342723" w:rsidR="00D45369" w:rsidRDefault="006A4E66" w14:paraId="4B120039" w14:textId="531B6B2D">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Management Area (LMA) 2 and/or the Outer Cape LMA</w:t>
            </w:r>
          </w:p>
        </w:tc>
      </w:tr>
      <w:tr w:rsidRPr="00342723" w:rsidR="00D45369" w14:paraId="52FF0639" w14:textId="77777777">
        <w:tc>
          <w:tcPr>
            <w:tcW w:w="2970" w:type="dxa"/>
            <w:shd w:val="clear" w:color="auto" w:fill="auto"/>
            <w:tcMar>
              <w:top w:w="100" w:type="dxa"/>
              <w:left w:w="100" w:type="dxa"/>
              <w:bottom w:w="100" w:type="dxa"/>
              <w:right w:w="100" w:type="dxa"/>
            </w:tcMar>
          </w:tcPr>
          <w:p w:rsidRPr="00342723" w:rsidR="00D45369" w:rsidP="007D7417" w:rsidRDefault="006A4E66" w14:paraId="5BDDE9A4"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lastRenderedPageBreak/>
              <w:t>Red &amp; Blue</w:t>
            </w:r>
          </w:p>
        </w:tc>
        <w:tc>
          <w:tcPr>
            <w:tcW w:w="6390" w:type="dxa"/>
            <w:shd w:val="clear" w:color="auto" w:fill="auto"/>
            <w:tcMar>
              <w:top w:w="100" w:type="dxa"/>
              <w:left w:w="100" w:type="dxa"/>
              <w:bottom w:w="100" w:type="dxa"/>
              <w:right w:w="100" w:type="dxa"/>
            </w:tcMar>
          </w:tcPr>
          <w:p w:rsidRPr="00342723" w:rsidR="00D45369" w:rsidP="007D7417" w:rsidRDefault="006A4E66" w14:paraId="6B591171"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Exempt RI state waters</w:t>
            </w:r>
          </w:p>
        </w:tc>
      </w:tr>
      <w:tr w:rsidRPr="00342723" w:rsidR="00D45369" w14:paraId="3D70DF26" w14:textId="77777777">
        <w:tc>
          <w:tcPr>
            <w:tcW w:w="2970" w:type="dxa"/>
            <w:shd w:val="clear" w:color="auto" w:fill="auto"/>
            <w:tcMar>
              <w:top w:w="100" w:type="dxa"/>
              <w:left w:w="100" w:type="dxa"/>
              <w:bottom w:w="100" w:type="dxa"/>
              <w:right w:w="100" w:type="dxa"/>
            </w:tcMar>
          </w:tcPr>
          <w:p w:rsidRPr="00342723" w:rsidR="00D45369" w:rsidP="007D7417" w:rsidRDefault="006A4E66" w14:paraId="1C9EA162"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Red &amp; White</w:t>
            </w:r>
          </w:p>
        </w:tc>
        <w:tc>
          <w:tcPr>
            <w:tcW w:w="6390" w:type="dxa"/>
            <w:shd w:val="clear" w:color="auto" w:fill="auto"/>
            <w:tcMar>
              <w:top w:w="100" w:type="dxa"/>
              <w:left w:w="100" w:type="dxa"/>
              <w:bottom w:w="100" w:type="dxa"/>
              <w:right w:w="100" w:type="dxa"/>
            </w:tcMar>
          </w:tcPr>
          <w:p w:rsidRPr="00342723" w:rsidR="00D45369" w:rsidP="007D7417" w:rsidRDefault="006A4E66" w14:paraId="0CA1FCEE"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Exempt MA state waters in LMA 1</w:t>
            </w:r>
          </w:p>
        </w:tc>
      </w:tr>
      <w:tr w:rsidRPr="00342723" w:rsidR="00D45369" w14:paraId="76083016" w14:textId="77777777">
        <w:tc>
          <w:tcPr>
            <w:tcW w:w="2970" w:type="dxa"/>
            <w:shd w:val="clear" w:color="auto" w:fill="auto"/>
            <w:tcMar>
              <w:top w:w="100" w:type="dxa"/>
              <w:left w:w="100" w:type="dxa"/>
              <w:bottom w:w="100" w:type="dxa"/>
              <w:right w:w="100" w:type="dxa"/>
            </w:tcMar>
          </w:tcPr>
          <w:p w:rsidRPr="00342723" w:rsidR="00D45369" w:rsidP="007D7417" w:rsidRDefault="006A4E66" w14:paraId="2E2D807C"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Red &amp; Black </w:t>
            </w:r>
          </w:p>
        </w:tc>
        <w:tc>
          <w:tcPr>
            <w:tcW w:w="6390" w:type="dxa"/>
            <w:shd w:val="clear" w:color="auto" w:fill="auto"/>
            <w:tcMar>
              <w:top w:w="100" w:type="dxa"/>
              <w:left w:w="100" w:type="dxa"/>
              <w:bottom w:w="100" w:type="dxa"/>
              <w:right w:w="100" w:type="dxa"/>
            </w:tcMar>
          </w:tcPr>
          <w:p w:rsidRPr="00342723" w:rsidR="00D45369" w:rsidP="007D7417" w:rsidRDefault="006A4E66" w14:paraId="22A6DA0F"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Exempt MA state waters in LMA 2</w:t>
            </w:r>
          </w:p>
        </w:tc>
      </w:tr>
      <w:tr w:rsidRPr="00342723" w:rsidR="00D45369" w14:paraId="77F3AA4F" w14:textId="77777777">
        <w:tc>
          <w:tcPr>
            <w:tcW w:w="2970" w:type="dxa"/>
            <w:shd w:val="clear" w:color="auto" w:fill="auto"/>
            <w:tcMar>
              <w:top w:w="100" w:type="dxa"/>
              <w:left w:w="100" w:type="dxa"/>
              <w:bottom w:w="100" w:type="dxa"/>
              <w:right w:w="100" w:type="dxa"/>
            </w:tcMar>
          </w:tcPr>
          <w:p w:rsidRPr="00342723" w:rsidR="00D45369" w:rsidP="007D7417" w:rsidRDefault="006A4E66" w14:paraId="3329B680"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Red &amp; Yellow</w:t>
            </w:r>
          </w:p>
        </w:tc>
        <w:tc>
          <w:tcPr>
            <w:tcW w:w="6390" w:type="dxa"/>
            <w:shd w:val="clear" w:color="auto" w:fill="auto"/>
            <w:tcMar>
              <w:top w:w="100" w:type="dxa"/>
              <w:left w:w="100" w:type="dxa"/>
              <w:bottom w:w="100" w:type="dxa"/>
              <w:right w:w="100" w:type="dxa"/>
            </w:tcMar>
          </w:tcPr>
          <w:p w:rsidRPr="00342723" w:rsidR="00D45369" w:rsidP="007D7417" w:rsidRDefault="006A4E66" w14:paraId="624B25BD"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Exempt MA state waters Outer Cape</w:t>
            </w:r>
          </w:p>
        </w:tc>
      </w:tr>
      <w:tr w:rsidRPr="00342723" w:rsidR="00D45369" w14:paraId="0577C1A6" w14:textId="77777777">
        <w:tc>
          <w:tcPr>
            <w:tcW w:w="2970" w:type="dxa"/>
            <w:shd w:val="clear" w:color="auto" w:fill="auto"/>
            <w:tcMar>
              <w:top w:w="100" w:type="dxa"/>
              <w:left w:w="100" w:type="dxa"/>
              <w:bottom w:w="100" w:type="dxa"/>
              <w:right w:w="100" w:type="dxa"/>
            </w:tcMar>
          </w:tcPr>
          <w:p w:rsidRPr="00342723" w:rsidR="00D45369" w:rsidP="007D7417" w:rsidRDefault="006A4E66" w14:paraId="59D9930E"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Red &amp; Orange</w:t>
            </w:r>
          </w:p>
        </w:tc>
        <w:tc>
          <w:tcPr>
            <w:tcW w:w="6390" w:type="dxa"/>
            <w:shd w:val="clear" w:color="auto" w:fill="auto"/>
            <w:tcMar>
              <w:top w:w="100" w:type="dxa"/>
              <w:left w:w="100" w:type="dxa"/>
              <w:bottom w:w="100" w:type="dxa"/>
              <w:right w:w="100" w:type="dxa"/>
            </w:tcMar>
          </w:tcPr>
          <w:p w:rsidRPr="00342723" w:rsidR="00D45369" w:rsidP="007D7417" w:rsidRDefault="006A4E66" w14:paraId="0AEB71C1"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Isle of Shoals, Maine</w:t>
            </w:r>
          </w:p>
        </w:tc>
      </w:tr>
      <w:tr w:rsidRPr="00342723" w:rsidR="00D45369" w14:paraId="63929B86" w14:textId="77777777">
        <w:tc>
          <w:tcPr>
            <w:tcW w:w="2970" w:type="dxa"/>
            <w:shd w:val="clear" w:color="auto" w:fill="auto"/>
            <w:tcMar>
              <w:top w:w="100" w:type="dxa"/>
              <w:left w:w="100" w:type="dxa"/>
              <w:bottom w:w="100" w:type="dxa"/>
              <w:right w:w="100" w:type="dxa"/>
            </w:tcMar>
          </w:tcPr>
          <w:p w:rsidRPr="00342723" w:rsidR="00D45369" w:rsidP="007D7417" w:rsidRDefault="006A4E66" w14:paraId="5E4CAA2F"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Red &amp; Purple</w:t>
            </w:r>
          </w:p>
        </w:tc>
        <w:tc>
          <w:tcPr>
            <w:tcW w:w="6390" w:type="dxa"/>
            <w:shd w:val="clear" w:color="auto" w:fill="auto"/>
            <w:tcMar>
              <w:top w:w="100" w:type="dxa"/>
              <w:left w:w="100" w:type="dxa"/>
              <w:bottom w:w="100" w:type="dxa"/>
              <w:right w:w="100" w:type="dxa"/>
            </w:tcMar>
          </w:tcPr>
          <w:p w:rsidRPr="00342723" w:rsidR="00D45369" w:rsidP="007D7417" w:rsidRDefault="006A4E66" w14:paraId="3E29C5B6"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Jordan Basin (Trap/Pot) overlapping LMA 1</w:t>
            </w:r>
          </w:p>
        </w:tc>
      </w:tr>
      <w:tr w:rsidRPr="00342723" w:rsidR="00D45369" w14:paraId="08F77E66" w14:textId="77777777">
        <w:tc>
          <w:tcPr>
            <w:tcW w:w="2970" w:type="dxa"/>
            <w:shd w:val="clear" w:color="auto" w:fill="auto"/>
            <w:tcMar>
              <w:top w:w="100" w:type="dxa"/>
              <w:left w:w="100" w:type="dxa"/>
              <w:bottom w:w="100" w:type="dxa"/>
              <w:right w:w="100" w:type="dxa"/>
            </w:tcMar>
          </w:tcPr>
          <w:p w:rsidRPr="00342723" w:rsidR="00D45369" w:rsidP="007D7417" w:rsidRDefault="006A4E66" w14:paraId="0A655DAB"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Red &amp; Black</w:t>
            </w:r>
          </w:p>
        </w:tc>
        <w:tc>
          <w:tcPr>
            <w:tcW w:w="6390" w:type="dxa"/>
            <w:shd w:val="clear" w:color="auto" w:fill="auto"/>
            <w:tcMar>
              <w:top w:w="100" w:type="dxa"/>
              <w:left w:w="100" w:type="dxa"/>
              <w:bottom w:w="100" w:type="dxa"/>
              <w:right w:w="100" w:type="dxa"/>
            </w:tcMar>
          </w:tcPr>
          <w:p w:rsidRPr="00342723" w:rsidR="00D45369" w:rsidP="007D7417" w:rsidRDefault="006A4E66" w14:paraId="6DC71181"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Jordan Basin (Trap/Pot) overlapping Offshore Trap/Pot Waters</w:t>
            </w:r>
          </w:p>
        </w:tc>
      </w:tr>
      <w:tr w:rsidRPr="00342723" w:rsidR="00D45369" w14:paraId="2C29BCE7" w14:textId="77777777">
        <w:tc>
          <w:tcPr>
            <w:tcW w:w="2970" w:type="dxa"/>
            <w:shd w:val="clear" w:color="auto" w:fill="auto"/>
            <w:tcMar>
              <w:top w:w="100" w:type="dxa"/>
              <w:left w:w="100" w:type="dxa"/>
              <w:bottom w:w="100" w:type="dxa"/>
              <w:right w:w="100" w:type="dxa"/>
            </w:tcMar>
          </w:tcPr>
          <w:p w:rsidRPr="00342723" w:rsidR="00D45369" w:rsidP="007D7417" w:rsidRDefault="006A4E66" w14:paraId="19B8BE56"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Orange</w:t>
            </w:r>
          </w:p>
        </w:tc>
        <w:tc>
          <w:tcPr>
            <w:tcW w:w="6390" w:type="dxa"/>
            <w:shd w:val="clear" w:color="auto" w:fill="auto"/>
            <w:tcMar>
              <w:top w:w="100" w:type="dxa"/>
              <w:left w:w="100" w:type="dxa"/>
              <w:bottom w:w="100" w:type="dxa"/>
              <w:right w:w="100" w:type="dxa"/>
            </w:tcMar>
          </w:tcPr>
          <w:p w:rsidRPr="00342723" w:rsidR="00D45369" w:rsidP="007D7417" w:rsidRDefault="006A4E66" w14:paraId="5F6AB452"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Southern Nearshore Trap/Pot Waters.</w:t>
            </w:r>
          </w:p>
          <w:p w:rsidRPr="00342723" w:rsidR="00D45369" w:rsidP="007D7417" w:rsidRDefault="00D45369" w14:paraId="1B9487C8"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p>
        </w:tc>
      </w:tr>
      <w:tr w:rsidRPr="00342723" w:rsidR="00D45369" w14:paraId="6F96B445" w14:textId="77777777">
        <w:tc>
          <w:tcPr>
            <w:tcW w:w="2970" w:type="dxa"/>
            <w:shd w:val="clear" w:color="auto" w:fill="auto"/>
            <w:tcMar>
              <w:top w:w="100" w:type="dxa"/>
              <w:left w:w="100" w:type="dxa"/>
              <w:bottom w:w="100" w:type="dxa"/>
              <w:right w:w="100" w:type="dxa"/>
            </w:tcMar>
          </w:tcPr>
          <w:p w:rsidRPr="00342723" w:rsidR="00D45369" w:rsidP="007D7417" w:rsidRDefault="006A4E66" w14:paraId="1AB246DF"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Black</w:t>
            </w:r>
          </w:p>
        </w:tc>
        <w:tc>
          <w:tcPr>
            <w:tcW w:w="6390" w:type="dxa"/>
            <w:shd w:val="clear" w:color="auto" w:fill="auto"/>
            <w:tcMar>
              <w:top w:w="100" w:type="dxa"/>
              <w:left w:w="100" w:type="dxa"/>
              <w:bottom w:w="100" w:type="dxa"/>
              <w:right w:w="100" w:type="dxa"/>
            </w:tcMar>
          </w:tcPr>
          <w:p w:rsidRPr="00342723" w:rsidR="00D45369" w:rsidP="007D7417" w:rsidRDefault="006A4E66" w14:paraId="22995676" w14:textId="666FB039">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Offshore Trap/Pot Waters; Great South Channel Restricted Area</w:t>
            </w:r>
            <w:r w:rsidRPr="00342723" w:rsidR="00B74091">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overlapping with the LMA 2/3 Overlap and/or LMA 3</w:t>
            </w:r>
          </w:p>
        </w:tc>
      </w:tr>
      <w:tr w:rsidRPr="00342723" w:rsidR="00D45369" w14:paraId="67367341" w14:textId="77777777">
        <w:tc>
          <w:tcPr>
            <w:tcW w:w="2970" w:type="dxa"/>
            <w:shd w:val="clear" w:color="auto" w:fill="auto"/>
            <w:tcMar>
              <w:top w:w="100" w:type="dxa"/>
              <w:left w:w="100" w:type="dxa"/>
              <w:bottom w:w="100" w:type="dxa"/>
              <w:right w:w="100" w:type="dxa"/>
            </w:tcMar>
          </w:tcPr>
          <w:p w:rsidRPr="00342723" w:rsidR="00D45369" w:rsidP="007D7417" w:rsidRDefault="006A4E66" w14:paraId="038EBF3E"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Blue &amp; Orange</w:t>
            </w:r>
          </w:p>
        </w:tc>
        <w:tc>
          <w:tcPr>
            <w:tcW w:w="6390" w:type="dxa"/>
            <w:shd w:val="clear" w:color="auto" w:fill="auto"/>
            <w:tcMar>
              <w:top w:w="100" w:type="dxa"/>
              <w:left w:w="100" w:type="dxa"/>
              <w:bottom w:w="100" w:type="dxa"/>
              <w:right w:w="100" w:type="dxa"/>
            </w:tcMar>
          </w:tcPr>
          <w:p w:rsidRPr="00342723" w:rsidR="00D45369" w:rsidP="007D7417" w:rsidRDefault="006A4E66" w14:paraId="164B70E3"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Southeast Restricted Area North (state waters)</w:t>
            </w:r>
          </w:p>
        </w:tc>
      </w:tr>
      <w:tr w:rsidRPr="00342723" w:rsidR="00D45369" w14:paraId="4517D9ED" w14:textId="77777777">
        <w:tc>
          <w:tcPr>
            <w:tcW w:w="2970" w:type="dxa"/>
            <w:shd w:val="clear" w:color="auto" w:fill="auto"/>
            <w:tcMar>
              <w:top w:w="100" w:type="dxa"/>
              <w:left w:w="100" w:type="dxa"/>
              <w:bottom w:w="100" w:type="dxa"/>
              <w:right w:w="100" w:type="dxa"/>
            </w:tcMar>
          </w:tcPr>
          <w:p w:rsidRPr="00342723" w:rsidR="00D45369" w:rsidP="007D7417" w:rsidRDefault="006A4E66" w14:paraId="2EF066B2"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Green &amp; Orange </w:t>
            </w:r>
          </w:p>
        </w:tc>
        <w:tc>
          <w:tcPr>
            <w:tcW w:w="6390" w:type="dxa"/>
            <w:shd w:val="clear" w:color="auto" w:fill="auto"/>
            <w:tcMar>
              <w:top w:w="100" w:type="dxa"/>
              <w:left w:w="100" w:type="dxa"/>
              <w:bottom w:w="100" w:type="dxa"/>
              <w:right w:w="100" w:type="dxa"/>
            </w:tcMar>
          </w:tcPr>
          <w:p w:rsidRPr="00342723" w:rsidR="00D45369" w:rsidP="007D7417" w:rsidRDefault="006A4E66" w14:paraId="57A08B96" w14:textId="46ECB1B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Southeast Restricted Area North (Federal waters)</w:t>
            </w:r>
          </w:p>
        </w:tc>
      </w:tr>
    </w:tbl>
    <w:p w:rsidRPr="00342723" w:rsidR="00D45369" w:rsidP="007D7417" w:rsidRDefault="00D45369" w14:paraId="3F102A2C" w14:textId="77777777">
      <w:pPr>
        <w:spacing w:line="240" w:lineRule="auto"/>
        <w:rPr>
          <w:rFonts w:ascii="Times New Roman" w:hAnsi="Times New Roman" w:cs="Times New Roman"/>
          <w:b/>
          <w:sz w:val="24"/>
          <w:szCs w:val="24"/>
        </w:rPr>
      </w:pPr>
    </w:p>
    <w:p w:rsidRPr="00342723" w:rsidR="00D45369" w:rsidP="007D7417" w:rsidRDefault="006A4E66" w14:paraId="6A2EA1FD" w14:textId="03559667">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5.</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If the collection of information impacts small businesses or other small entities, describe any methods used to minimize burden.</w:t>
      </w:r>
    </w:p>
    <w:p w:rsidRPr="00342723" w:rsidR="009118EA" w:rsidP="007D7417" w:rsidRDefault="009118EA" w14:paraId="708D0518" w14:textId="77777777">
      <w:pPr>
        <w:spacing w:line="240" w:lineRule="auto"/>
        <w:rPr>
          <w:rFonts w:ascii="Times New Roman" w:hAnsi="Times New Roman" w:cs="Times New Roman"/>
          <w:b/>
          <w:sz w:val="24"/>
          <w:szCs w:val="24"/>
        </w:rPr>
      </w:pPr>
    </w:p>
    <w:p w:rsidRPr="00342723" w:rsidR="00D45369" w:rsidP="007D7417" w:rsidRDefault="006A4E66" w14:paraId="1A09561B" w14:textId="77777777">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The fisheries affected by this gear marking rule are composed almost entirely of small businesses.  The existing gear marking requirements affect gillnet and trap/pot fisheries in various Plan management areas in state and federal waters, from Maine through Florida.  NMFS minimized the burden on fishermen by evaluating the existing state/federal gear-marking requirements and developing non-duplicative regulations that allow for the continued use of the previously required state and federal marking requirements without promulgating new requirements where they previously existed.  Since the majority of the lobster and crab trap/pot fishermen that would be regulated under this modification to the gear marking requirement already mark their lines and buoys, NMFS assumes that this additional marking requirement places minimal additional burden on fishermen in the form of added maintenance time and minimal material costs.</w:t>
      </w:r>
    </w:p>
    <w:p w:rsidRPr="00342723" w:rsidR="00D45369" w:rsidP="007D7417" w:rsidRDefault="00D45369" w14:paraId="73391290" w14:textId="77777777">
      <w:pPr>
        <w:spacing w:line="240" w:lineRule="auto"/>
        <w:rPr>
          <w:rFonts w:ascii="Times New Roman" w:hAnsi="Times New Roman" w:cs="Times New Roman"/>
          <w:color w:val="2F5496"/>
          <w:sz w:val="24"/>
          <w:szCs w:val="24"/>
        </w:rPr>
      </w:pPr>
    </w:p>
    <w:p w:rsidRPr="00342723" w:rsidR="00D45369" w:rsidP="007D7417" w:rsidRDefault="006A4E66" w14:paraId="6F8A0676" w14:textId="77777777">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6.</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342723" w:rsidR="009118EA" w:rsidP="007D7417" w:rsidRDefault="009118EA" w14:paraId="184F9127" w14:textId="77777777">
      <w:pPr>
        <w:spacing w:line="240" w:lineRule="auto"/>
        <w:rPr>
          <w:rFonts w:ascii="Times New Roman" w:hAnsi="Times New Roman" w:eastAsia="Times New Roman" w:cs="Times New Roman"/>
          <w:sz w:val="24"/>
          <w:szCs w:val="24"/>
        </w:rPr>
      </w:pPr>
    </w:p>
    <w:p w:rsidRPr="00342723" w:rsidR="00D45369" w:rsidP="007D7417" w:rsidRDefault="006A4E66" w14:paraId="1D26C94A" w14:textId="61F0BD5C">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lastRenderedPageBreak/>
        <w:t xml:space="preserve">These gear-marking requirements are designed to help NMFS further improve the quality of information concerning the taking of endangered North Atlantic right, humpback, </w:t>
      </w:r>
      <w:proofErr w:type="spellStart"/>
      <w:r w:rsidRPr="00342723">
        <w:rPr>
          <w:rFonts w:ascii="Times New Roman" w:hAnsi="Times New Roman" w:eastAsia="Times New Roman" w:cs="Times New Roman"/>
          <w:sz w:val="24"/>
          <w:szCs w:val="24"/>
        </w:rPr>
        <w:t>minke</w:t>
      </w:r>
      <w:proofErr w:type="spellEnd"/>
      <w:r w:rsidRPr="00342723" w:rsidR="00B74091">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and fin whales incidental to commercial fishing operations.  Specifically, information collected through gear marking </w:t>
      </w:r>
      <w:r w:rsidRPr="00342723" w:rsidR="007A3944">
        <w:rPr>
          <w:rFonts w:ascii="Times New Roman" w:hAnsi="Times New Roman" w:eastAsia="Times New Roman" w:cs="Times New Roman"/>
          <w:sz w:val="24"/>
          <w:szCs w:val="24"/>
        </w:rPr>
        <w:t>helps</w:t>
      </w:r>
      <w:r w:rsidRPr="00342723">
        <w:rPr>
          <w:rFonts w:ascii="Times New Roman" w:hAnsi="Times New Roman" w:eastAsia="Times New Roman" w:cs="Times New Roman"/>
          <w:sz w:val="24"/>
          <w:szCs w:val="24"/>
        </w:rPr>
        <w:t xml:space="preserve"> NMFS and the Team identify the type and general location of commercial fisheries that interact with federally protected marine mammals and may result in mortality and serious injury. </w:t>
      </w:r>
      <w:r w:rsidRPr="00342723" w:rsidR="002C31D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Accordingly, this information will continue to be used to tailor management measures to reduce the risk of mortality and serious injury of marine mammal</w:t>
      </w:r>
      <w:r w:rsidRPr="00342723" w:rsidR="007A3944">
        <w:rPr>
          <w:rFonts w:ascii="Times New Roman" w:hAnsi="Times New Roman" w:eastAsia="Times New Roman" w:cs="Times New Roman"/>
          <w:sz w:val="24"/>
          <w:szCs w:val="24"/>
        </w:rPr>
        <w:t>s</w:t>
      </w:r>
      <w:r w:rsidRPr="00342723">
        <w:rPr>
          <w:rFonts w:ascii="Times New Roman" w:hAnsi="Times New Roman" w:eastAsia="Times New Roman" w:cs="Times New Roman"/>
          <w:sz w:val="24"/>
          <w:szCs w:val="24"/>
        </w:rPr>
        <w:t xml:space="preserve"> </w:t>
      </w:r>
      <w:r w:rsidRPr="00342723" w:rsidR="007A3944">
        <w:rPr>
          <w:rFonts w:ascii="Times New Roman" w:hAnsi="Times New Roman" w:eastAsia="Times New Roman" w:cs="Times New Roman"/>
          <w:sz w:val="24"/>
          <w:szCs w:val="24"/>
        </w:rPr>
        <w:t>in</w:t>
      </w:r>
      <w:r w:rsidRPr="00342723">
        <w:rPr>
          <w:rFonts w:ascii="Times New Roman" w:hAnsi="Times New Roman" w:eastAsia="Times New Roman" w:cs="Times New Roman"/>
          <w:sz w:val="24"/>
          <w:szCs w:val="24"/>
        </w:rPr>
        <w:t xml:space="preserve"> commercial fishing operations.</w:t>
      </w:r>
    </w:p>
    <w:p w:rsidRPr="00342723" w:rsidR="009118EA" w:rsidP="007D7417" w:rsidRDefault="009118EA" w14:paraId="3776C7AE" w14:textId="77777777">
      <w:pPr>
        <w:spacing w:line="240" w:lineRule="auto"/>
        <w:rPr>
          <w:rFonts w:ascii="Times New Roman" w:hAnsi="Times New Roman" w:eastAsia="Times New Roman" w:cs="Times New Roman"/>
          <w:sz w:val="24"/>
          <w:szCs w:val="24"/>
        </w:rPr>
      </w:pPr>
    </w:p>
    <w:p w:rsidRPr="00342723" w:rsidR="00D45369" w:rsidP="007D7417" w:rsidRDefault="007A3944" w14:paraId="7404EF6D" w14:textId="553F46E1">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w:t>
      </w:r>
      <w:r w:rsidRPr="00342723" w:rsidR="006A4E66">
        <w:rPr>
          <w:rFonts w:ascii="Times New Roman" w:hAnsi="Times New Roman" w:eastAsia="Times New Roman" w:cs="Times New Roman"/>
          <w:sz w:val="24"/>
          <w:szCs w:val="24"/>
        </w:rPr>
        <w:t xml:space="preserve">hese gear-marking requirements </w:t>
      </w:r>
      <w:r w:rsidRPr="00342723" w:rsidR="00991E3C">
        <w:rPr>
          <w:rFonts w:ascii="Times New Roman" w:hAnsi="Times New Roman" w:eastAsia="Times New Roman" w:cs="Times New Roman"/>
          <w:sz w:val="24"/>
          <w:szCs w:val="24"/>
        </w:rPr>
        <w:t xml:space="preserve">would </w:t>
      </w:r>
      <w:r w:rsidRPr="00342723" w:rsidR="006A4E66">
        <w:rPr>
          <w:rFonts w:ascii="Times New Roman" w:hAnsi="Times New Roman" w:eastAsia="Times New Roman" w:cs="Times New Roman"/>
          <w:sz w:val="24"/>
          <w:szCs w:val="24"/>
        </w:rPr>
        <w:t>provid</w:t>
      </w:r>
      <w:r w:rsidRPr="00342723">
        <w:rPr>
          <w:rFonts w:ascii="Times New Roman" w:hAnsi="Times New Roman" w:eastAsia="Times New Roman" w:cs="Times New Roman"/>
          <w:sz w:val="24"/>
          <w:szCs w:val="24"/>
        </w:rPr>
        <w:t>e</w:t>
      </w:r>
      <w:r w:rsidRPr="00342723" w:rsidR="006A4E66">
        <w:rPr>
          <w:rFonts w:ascii="Times New Roman" w:hAnsi="Times New Roman" w:eastAsia="Times New Roman" w:cs="Times New Roman"/>
          <w:sz w:val="24"/>
          <w:szCs w:val="24"/>
        </w:rPr>
        <w:t xml:space="preserve"> </w:t>
      </w:r>
      <w:r w:rsidRPr="00342723" w:rsidR="00B26E04">
        <w:rPr>
          <w:rFonts w:ascii="Times New Roman" w:hAnsi="Times New Roman" w:eastAsia="Times New Roman" w:cs="Times New Roman"/>
          <w:sz w:val="24"/>
          <w:szCs w:val="24"/>
        </w:rPr>
        <w:t>greater detail regarding</w:t>
      </w:r>
      <w:r w:rsidRPr="00342723" w:rsidR="006A4E66">
        <w:rPr>
          <w:rFonts w:ascii="Times New Roman" w:hAnsi="Times New Roman" w:eastAsia="Times New Roman" w:cs="Times New Roman"/>
          <w:sz w:val="24"/>
          <w:szCs w:val="24"/>
        </w:rPr>
        <w:t xml:space="preserve"> where entanglements occur and what type of gear is involved, </w:t>
      </w:r>
      <w:r w:rsidRPr="00342723">
        <w:rPr>
          <w:rFonts w:ascii="Times New Roman" w:hAnsi="Times New Roman" w:eastAsia="Times New Roman" w:cs="Times New Roman"/>
          <w:sz w:val="24"/>
          <w:szCs w:val="24"/>
        </w:rPr>
        <w:t xml:space="preserve">which helps prevent </w:t>
      </w:r>
      <w:r w:rsidRPr="00342723" w:rsidR="006A4E66">
        <w:rPr>
          <w:rFonts w:ascii="Times New Roman" w:hAnsi="Times New Roman" w:eastAsia="Times New Roman" w:cs="Times New Roman"/>
          <w:sz w:val="24"/>
          <w:szCs w:val="24"/>
        </w:rPr>
        <w:t xml:space="preserve">future management measures </w:t>
      </w:r>
      <w:r w:rsidRPr="00342723">
        <w:rPr>
          <w:rFonts w:ascii="Times New Roman" w:hAnsi="Times New Roman" w:eastAsia="Times New Roman" w:cs="Times New Roman"/>
          <w:sz w:val="24"/>
          <w:szCs w:val="24"/>
        </w:rPr>
        <w:t>from being</w:t>
      </w:r>
      <w:r w:rsidRPr="00342723" w:rsidR="006A4E66">
        <w:rPr>
          <w:rFonts w:ascii="Times New Roman" w:hAnsi="Times New Roman" w:eastAsia="Times New Roman" w:cs="Times New Roman"/>
          <w:sz w:val="24"/>
          <w:szCs w:val="24"/>
        </w:rPr>
        <w:t xml:space="preserve"> overly broad and affect</w:t>
      </w:r>
      <w:r w:rsidRPr="00342723">
        <w:rPr>
          <w:rFonts w:ascii="Times New Roman" w:hAnsi="Times New Roman" w:eastAsia="Times New Roman" w:cs="Times New Roman"/>
          <w:sz w:val="24"/>
          <w:szCs w:val="24"/>
        </w:rPr>
        <w:t>ing</w:t>
      </w:r>
      <w:r w:rsidRPr="00342723" w:rsidR="006A4E66">
        <w:rPr>
          <w:rFonts w:ascii="Times New Roman" w:hAnsi="Times New Roman" w:eastAsia="Times New Roman" w:cs="Times New Roman"/>
          <w:sz w:val="24"/>
          <w:szCs w:val="24"/>
        </w:rPr>
        <w:t xml:space="preserve"> more individuals than necessary.  Therefore, knowing which geographic areas and fisheries pose the greatest risk to large whales will minimize the economic impact to fishermen while maximizing the benefits for these species.</w:t>
      </w:r>
    </w:p>
    <w:p w:rsidRPr="00342723" w:rsidR="00D45369" w:rsidP="007D7417" w:rsidRDefault="00D45369" w14:paraId="7C6216BD" w14:textId="77777777">
      <w:pPr>
        <w:spacing w:line="240" w:lineRule="auto"/>
        <w:rPr>
          <w:rFonts w:ascii="Times New Roman" w:hAnsi="Times New Roman" w:cs="Times New Roman"/>
          <w:b/>
          <w:sz w:val="24"/>
          <w:szCs w:val="24"/>
        </w:rPr>
      </w:pPr>
    </w:p>
    <w:p w:rsidRPr="00342723" w:rsidR="00D45369" w:rsidP="007D7417" w:rsidRDefault="006A4E66" w14:paraId="5A0F5176" w14:textId="77777777">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7.</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Explain any special circumstances that would cause an information collection to be conducted in a manner inconsistent with OMB guidelines.</w:t>
      </w:r>
    </w:p>
    <w:p w:rsidRPr="00342723" w:rsidR="009118EA" w:rsidP="007D7417" w:rsidRDefault="009118EA" w14:paraId="7451EA9E" w14:textId="77777777">
      <w:pPr>
        <w:spacing w:line="240" w:lineRule="auto"/>
        <w:rPr>
          <w:rFonts w:ascii="Times New Roman" w:hAnsi="Times New Roman" w:eastAsia="Times New Roman" w:cs="Times New Roman"/>
          <w:sz w:val="24"/>
          <w:szCs w:val="24"/>
        </w:rPr>
      </w:pPr>
    </w:p>
    <w:p w:rsidRPr="00342723" w:rsidR="00D45369" w:rsidP="007D7417" w:rsidRDefault="006A4E66" w14:paraId="18B4FF00" w14:textId="71AEBE16">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There are no special circumstances with this proposed rule that would require the collection of information to be conducted in a manner inconsistent with OMB</w:t>
      </w:r>
      <w:r w:rsidRPr="00342723" w:rsidR="00794071">
        <w:rPr>
          <w:rFonts w:ascii="Times New Roman" w:hAnsi="Times New Roman" w:eastAsia="Times New Roman" w:cs="Times New Roman"/>
          <w:sz w:val="24"/>
          <w:szCs w:val="24"/>
        </w:rPr>
        <w:t xml:space="preserve"> guidelines</w:t>
      </w:r>
      <w:r w:rsidRPr="00342723">
        <w:rPr>
          <w:rFonts w:ascii="Times New Roman" w:hAnsi="Times New Roman" w:eastAsia="Times New Roman" w:cs="Times New Roman"/>
          <w:sz w:val="24"/>
          <w:szCs w:val="24"/>
        </w:rPr>
        <w:t>.</w:t>
      </w:r>
    </w:p>
    <w:p w:rsidRPr="00342723" w:rsidR="00D45369" w:rsidP="007D7417" w:rsidRDefault="00D45369" w14:paraId="21847A47" w14:textId="77777777">
      <w:pPr>
        <w:spacing w:line="240" w:lineRule="auto"/>
        <w:rPr>
          <w:rFonts w:ascii="Times New Roman" w:hAnsi="Times New Roman" w:cs="Times New Roman"/>
          <w:b/>
          <w:sz w:val="24"/>
          <w:szCs w:val="24"/>
        </w:rPr>
      </w:pPr>
    </w:p>
    <w:p w:rsidRPr="00342723" w:rsidR="00D45369" w:rsidP="007D7417" w:rsidRDefault="006A4E66" w14:paraId="7253CA16" w14:textId="77777777">
      <w:pPr>
        <w:spacing w:line="240" w:lineRule="auto"/>
        <w:rPr>
          <w:rFonts w:ascii="Times New Roman" w:hAnsi="Times New Roman" w:cs="Times New Roman"/>
          <w:color w:val="2F5496"/>
          <w:sz w:val="24"/>
          <w:szCs w:val="24"/>
        </w:rPr>
      </w:pPr>
      <w:r w:rsidRPr="00342723">
        <w:rPr>
          <w:rFonts w:ascii="Times New Roman" w:hAnsi="Times New Roman" w:cs="Times New Roman"/>
          <w:b/>
          <w:sz w:val="24"/>
          <w:szCs w:val="24"/>
        </w:rPr>
        <w:t>8.</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42723" w:rsidR="009118EA" w:rsidP="007D7417" w:rsidRDefault="009118EA" w14:paraId="0DC797E4" w14:textId="77777777">
      <w:pPr>
        <w:spacing w:line="240" w:lineRule="auto"/>
        <w:rPr>
          <w:rFonts w:ascii="Times New Roman" w:hAnsi="Times New Roman" w:eastAsia="Times New Roman" w:cs="Times New Roman"/>
          <w:sz w:val="24"/>
          <w:szCs w:val="24"/>
        </w:rPr>
      </w:pPr>
    </w:p>
    <w:p w:rsidRPr="00342723" w:rsidR="00D45369" w:rsidP="007D7417" w:rsidRDefault="006A4E66" w14:paraId="137C9519" w14:textId="1CEC598E">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A proposed rule (RIN </w:t>
      </w:r>
      <w:r w:rsidR="00EC5C02">
        <w:rPr>
          <w:rFonts w:ascii="Times New Roman" w:hAnsi="Times New Roman" w:eastAsia="Times New Roman" w:cs="Times New Roman"/>
          <w:sz w:val="24"/>
          <w:szCs w:val="24"/>
        </w:rPr>
        <w:t>0</w:t>
      </w:r>
      <w:r w:rsidRPr="00342723">
        <w:rPr>
          <w:rFonts w:ascii="Times New Roman" w:hAnsi="Times New Roman" w:eastAsia="Times New Roman" w:cs="Times New Roman"/>
          <w:sz w:val="24"/>
          <w:szCs w:val="24"/>
        </w:rPr>
        <w:t xml:space="preserve">648-BJ09) </w:t>
      </w:r>
      <w:r w:rsidRPr="00342723" w:rsidR="00B26E04">
        <w:rPr>
          <w:rFonts w:ascii="Times New Roman" w:hAnsi="Times New Roman" w:eastAsia="Times New Roman" w:cs="Times New Roman"/>
          <w:sz w:val="24"/>
          <w:szCs w:val="24"/>
        </w:rPr>
        <w:t xml:space="preserve">will be </w:t>
      </w:r>
      <w:r w:rsidRPr="00342723">
        <w:rPr>
          <w:rFonts w:ascii="Times New Roman" w:hAnsi="Times New Roman" w:eastAsia="Times New Roman" w:cs="Times New Roman"/>
          <w:sz w:val="24"/>
          <w:szCs w:val="24"/>
        </w:rPr>
        <w:t xml:space="preserve">submitted to the </w:t>
      </w:r>
      <w:r w:rsidRPr="00342723">
        <w:rPr>
          <w:rFonts w:ascii="Times New Roman" w:hAnsi="Times New Roman" w:eastAsia="Times New Roman" w:cs="Times New Roman"/>
          <w:i/>
          <w:sz w:val="24"/>
          <w:szCs w:val="24"/>
        </w:rPr>
        <w:t>Federal Register</w:t>
      </w:r>
      <w:r w:rsidRPr="00342723">
        <w:rPr>
          <w:rFonts w:ascii="Times New Roman" w:hAnsi="Times New Roman" w:eastAsia="Times New Roman" w:cs="Times New Roman"/>
          <w:sz w:val="24"/>
          <w:szCs w:val="24"/>
        </w:rPr>
        <w:t>, concurrently with this submission to OMB.</w:t>
      </w:r>
    </w:p>
    <w:p w:rsidRPr="00342723" w:rsidR="00D45369" w:rsidP="007D7417" w:rsidRDefault="00D45369" w14:paraId="2D709129" w14:textId="77777777">
      <w:pPr>
        <w:spacing w:line="240" w:lineRule="auto"/>
        <w:rPr>
          <w:rFonts w:ascii="Times New Roman" w:hAnsi="Times New Roman" w:eastAsia="Times New Roman" w:cs="Times New Roman"/>
          <w:sz w:val="24"/>
          <w:szCs w:val="24"/>
        </w:rPr>
      </w:pPr>
    </w:p>
    <w:p w:rsidRPr="00342723" w:rsidR="00D45369" w:rsidP="007D7417" w:rsidRDefault="006A4E66" w14:paraId="527DAAC2" w14:textId="77777777">
      <w:pPr>
        <w:spacing w:line="240" w:lineRule="auto"/>
        <w:rPr>
          <w:rFonts w:ascii="Times New Roman" w:hAnsi="Times New Roman" w:cs="Times New Roman"/>
          <w:color w:val="2F5496"/>
          <w:sz w:val="24"/>
          <w:szCs w:val="24"/>
        </w:rPr>
      </w:pPr>
      <w:r w:rsidRPr="00342723">
        <w:rPr>
          <w:rFonts w:ascii="Times New Roman" w:hAnsi="Times New Roman" w:cs="Times New Roman"/>
          <w:b/>
          <w:sz w:val="24"/>
          <w:szCs w:val="24"/>
        </w:rPr>
        <w:t>9.</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Explain any decision to provide any payment or gift to respondents, other than remuneration of contractors or grantees.</w:t>
      </w:r>
    </w:p>
    <w:p w:rsidRPr="00342723" w:rsidR="009118EA" w:rsidP="007D7417" w:rsidRDefault="009118EA" w14:paraId="46D904C6" w14:textId="77777777">
      <w:pPr>
        <w:spacing w:line="240" w:lineRule="auto"/>
        <w:rPr>
          <w:rFonts w:ascii="Times New Roman" w:hAnsi="Times New Roman" w:eastAsia="Times New Roman" w:cs="Times New Roman"/>
          <w:sz w:val="24"/>
          <w:szCs w:val="24"/>
        </w:rPr>
      </w:pPr>
    </w:p>
    <w:p w:rsidRPr="00342723" w:rsidR="00D45369" w:rsidP="007D7417" w:rsidRDefault="006A4E66" w14:paraId="3A0CBEA7" w14:textId="3D1AC3DF">
      <w:pPr>
        <w:spacing w:line="240" w:lineRule="auto"/>
        <w:rPr>
          <w:rFonts w:ascii="Times New Roman" w:hAnsi="Times New Roman" w:cs="Times New Roman"/>
          <w:color w:val="2F5496"/>
          <w:sz w:val="24"/>
          <w:szCs w:val="24"/>
        </w:rPr>
      </w:pPr>
      <w:r w:rsidRPr="00342723">
        <w:rPr>
          <w:rFonts w:ascii="Times New Roman" w:hAnsi="Times New Roman" w:eastAsia="Times New Roman" w:cs="Times New Roman"/>
          <w:sz w:val="24"/>
          <w:szCs w:val="24"/>
        </w:rPr>
        <w:t>There are no payments or gifts provided to respondents.</w:t>
      </w:r>
    </w:p>
    <w:p w:rsidRPr="00342723" w:rsidR="009118EA" w:rsidP="007D7417" w:rsidRDefault="009118EA" w14:paraId="1CC9F6B7" w14:textId="77777777">
      <w:pPr>
        <w:spacing w:line="240" w:lineRule="auto"/>
        <w:rPr>
          <w:rFonts w:ascii="Times New Roman" w:hAnsi="Times New Roman" w:cs="Times New Roman"/>
          <w:b/>
          <w:sz w:val="24"/>
          <w:szCs w:val="24"/>
        </w:rPr>
      </w:pPr>
    </w:p>
    <w:p w:rsidRPr="00342723" w:rsidR="00D45369" w:rsidP="007D7417" w:rsidRDefault="006A4E66" w14:paraId="15FACEE8" w14:textId="0E98F3B4">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10.</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342723" w:rsidR="009118EA" w:rsidP="007D7417" w:rsidRDefault="009118EA" w14:paraId="3085A406" w14:textId="77777777">
      <w:pPr>
        <w:keepNext/>
        <w:spacing w:line="240" w:lineRule="auto"/>
        <w:rPr>
          <w:rFonts w:ascii="Times New Roman" w:hAnsi="Times New Roman" w:eastAsia="Times New Roman" w:cs="Times New Roman"/>
          <w:sz w:val="24"/>
          <w:szCs w:val="24"/>
        </w:rPr>
      </w:pPr>
    </w:p>
    <w:p w:rsidRPr="00342723" w:rsidR="00D45369" w:rsidP="007D7417" w:rsidRDefault="006A4E66" w14:paraId="51E063A3" w14:textId="274887A9">
      <w:pPr>
        <w:keepNext/>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As stated in </w:t>
      </w:r>
      <w:hyperlink r:id="rId11">
        <w:r w:rsidRPr="00342723">
          <w:rPr>
            <w:rFonts w:ascii="Times New Roman" w:hAnsi="Times New Roman" w:eastAsia="Times New Roman" w:cs="Times New Roman"/>
            <w:color w:val="0000FF"/>
            <w:sz w:val="24"/>
            <w:szCs w:val="24"/>
            <w:u w:val="single"/>
          </w:rPr>
          <w:t>50 CFR 229.11</w:t>
        </w:r>
      </w:hyperlink>
      <w:r w:rsidRPr="00342723">
        <w:rPr>
          <w:rFonts w:ascii="Times New Roman" w:hAnsi="Times New Roman" w:eastAsia="Times New Roman" w:cs="Times New Roman"/>
          <w:sz w:val="24"/>
          <w:szCs w:val="24"/>
        </w:rPr>
        <w:t xml:space="preserve">, Protection of Confidential Fisheries Data, which also references </w:t>
      </w:r>
      <w:hyperlink r:id="rId12">
        <w:r w:rsidRPr="00342723">
          <w:rPr>
            <w:rFonts w:ascii="Times New Roman" w:hAnsi="Times New Roman" w:eastAsia="Times New Roman" w:cs="Times New Roman"/>
            <w:color w:val="0000FF"/>
            <w:sz w:val="24"/>
            <w:szCs w:val="24"/>
            <w:u w:val="single"/>
          </w:rPr>
          <w:t>NOAA Administrative Order 216-100</w:t>
        </w:r>
      </w:hyperlink>
      <w:r w:rsidRPr="00342723">
        <w:rPr>
          <w:rFonts w:ascii="Times New Roman" w:hAnsi="Times New Roman" w:eastAsia="Times New Roman" w:cs="Times New Roman"/>
          <w:sz w:val="24"/>
          <w:szCs w:val="24"/>
        </w:rPr>
        <w:t>, Protection of Confidential Fisheries Statistics, this information and any information leading to identification of the vessel owner is confidential.  The Magnuson-Stevens Fishery Conservation and Management Act, Section 402b</w:t>
      </w:r>
      <w:r w:rsidRPr="00342723" w:rsidR="008B2B74">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also applies. If gear analysis were to be traced to an individual, </w:t>
      </w:r>
      <w:r w:rsidRPr="00342723" w:rsidR="00643E23">
        <w:rPr>
          <w:rFonts w:ascii="Times New Roman" w:hAnsi="Times New Roman" w:eastAsia="Times New Roman" w:cs="Times New Roman"/>
          <w:sz w:val="24"/>
          <w:szCs w:val="24"/>
        </w:rPr>
        <w:t xml:space="preserve">neither </w:t>
      </w:r>
      <w:r w:rsidRPr="00342723">
        <w:rPr>
          <w:rFonts w:ascii="Times New Roman" w:hAnsi="Times New Roman" w:eastAsia="Times New Roman" w:cs="Times New Roman"/>
          <w:sz w:val="24"/>
          <w:szCs w:val="24"/>
        </w:rPr>
        <w:t>NMFS</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or any contractor assisting with </w:t>
      </w:r>
      <w:r w:rsidRPr="00342723">
        <w:rPr>
          <w:rFonts w:ascii="Times New Roman" w:hAnsi="Times New Roman" w:eastAsia="Times New Roman" w:cs="Times New Roman"/>
          <w:sz w:val="24"/>
          <w:szCs w:val="24"/>
        </w:rPr>
        <w:lastRenderedPageBreak/>
        <w:t>gear analysis, will release this information in any format that could allow the public to identify any fisherman individually.</w:t>
      </w:r>
    </w:p>
    <w:p w:rsidRPr="00342723" w:rsidR="00D45369" w:rsidP="007D7417" w:rsidRDefault="00D45369" w14:paraId="285B3763" w14:textId="77777777">
      <w:pPr>
        <w:keepNext/>
        <w:spacing w:line="240" w:lineRule="auto"/>
        <w:ind w:firstLine="720"/>
        <w:rPr>
          <w:rFonts w:ascii="Times New Roman" w:hAnsi="Times New Roman" w:eastAsia="Times New Roman" w:cs="Times New Roman"/>
          <w:sz w:val="24"/>
          <w:szCs w:val="24"/>
        </w:rPr>
      </w:pPr>
    </w:p>
    <w:p w:rsidRPr="00342723" w:rsidR="00D45369" w:rsidP="007D7417" w:rsidRDefault="006A4E66" w14:paraId="4E689C44" w14:textId="77777777">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11.</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42723" w:rsidR="009118EA" w:rsidP="007D7417" w:rsidRDefault="009118EA" w14:paraId="18F2B0F7" w14:textId="77777777">
      <w:pPr>
        <w:spacing w:line="240" w:lineRule="auto"/>
        <w:rPr>
          <w:rFonts w:ascii="Times New Roman" w:hAnsi="Times New Roman" w:eastAsia="Times New Roman" w:cs="Times New Roman"/>
          <w:sz w:val="24"/>
          <w:szCs w:val="24"/>
        </w:rPr>
      </w:pPr>
    </w:p>
    <w:p w:rsidRPr="00342723" w:rsidR="00D45369" w:rsidP="007D7417" w:rsidRDefault="006A4E66" w14:paraId="1E3FCB99" w14:textId="3F62E151">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No questions of a sensitive nature will be asked.</w:t>
      </w:r>
    </w:p>
    <w:p w:rsidRPr="00342723" w:rsidR="009A4A19" w:rsidP="007D7417" w:rsidRDefault="009A4A19" w14:paraId="4A43F083" w14:textId="77777777">
      <w:pPr>
        <w:spacing w:line="240" w:lineRule="auto"/>
        <w:rPr>
          <w:rFonts w:ascii="Times New Roman" w:hAnsi="Times New Roman" w:eastAsia="Times New Roman" w:cs="Times New Roman"/>
          <w:sz w:val="24"/>
          <w:szCs w:val="24"/>
        </w:rPr>
      </w:pPr>
    </w:p>
    <w:p w:rsidRPr="00342723" w:rsidR="00D45369" w:rsidP="007D7417" w:rsidRDefault="006A4E66" w14:paraId="0C8E2DB9" w14:textId="66528D32">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12.</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Provide estimates of the hour burden of the collection of information.</w:t>
      </w:r>
    </w:p>
    <w:p w:rsidRPr="00342723" w:rsidR="002825F7" w:rsidP="007D7417" w:rsidRDefault="002825F7" w14:paraId="03CC9962" w14:textId="77777777">
      <w:pPr>
        <w:spacing w:line="240" w:lineRule="auto"/>
        <w:rPr>
          <w:rFonts w:ascii="Times New Roman" w:hAnsi="Times New Roman" w:eastAsia="Times New Roman" w:cs="Times New Roman"/>
          <w:sz w:val="24"/>
          <w:szCs w:val="24"/>
        </w:rPr>
      </w:pPr>
    </w:p>
    <w:p w:rsidRPr="00342723" w:rsidR="00384CFF" w:rsidP="007D7417" w:rsidRDefault="00384CFF" w14:paraId="560AC196" w14:textId="77777777">
      <w:pPr>
        <w:spacing w:line="240" w:lineRule="auto"/>
        <w:rPr>
          <w:rFonts w:ascii="Times New Roman" w:hAnsi="Times New Roman" w:eastAsia="Times New Roman" w:cs="Times New Roman"/>
          <w:sz w:val="24"/>
          <w:szCs w:val="24"/>
        </w:rPr>
      </w:pPr>
    </w:p>
    <w:tbl>
      <w:tblPr>
        <w:tblStyle w:val="a1"/>
        <w:tblW w:w="9570" w:type="dxa"/>
        <w:tblBorders>
          <w:top w:val="nil"/>
          <w:left w:val="nil"/>
          <w:bottom w:val="nil"/>
          <w:right w:val="nil"/>
          <w:insideH w:val="nil"/>
          <w:insideV w:val="nil"/>
        </w:tblBorders>
        <w:tblLayout w:type="fixed"/>
        <w:tblLook w:val="0600" w:firstRow="0" w:lastRow="0" w:firstColumn="0" w:lastColumn="0" w:noHBand="1" w:noVBand="1"/>
      </w:tblPr>
      <w:tblGrid>
        <w:gridCol w:w="980"/>
        <w:gridCol w:w="990"/>
        <w:gridCol w:w="1240"/>
        <w:gridCol w:w="1215"/>
        <w:gridCol w:w="1200"/>
        <w:gridCol w:w="930"/>
        <w:gridCol w:w="1035"/>
        <w:gridCol w:w="975"/>
        <w:gridCol w:w="1005"/>
      </w:tblGrid>
      <w:tr w:rsidRPr="007D7417" w:rsidR="00D45369" w:rsidTr="00E87A26" w14:paraId="0F295019" w14:textId="77777777">
        <w:trPr>
          <w:trHeight w:val="1565"/>
        </w:trPr>
        <w:tc>
          <w:tcPr>
            <w:tcW w:w="98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457CDB1D"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Information Collection</w:t>
            </w:r>
          </w:p>
        </w:tc>
        <w:tc>
          <w:tcPr>
            <w:tcW w:w="99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61EEB742"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Type of Respondent (e.g., Occupational Title)</w:t>
            </w:r>
          </w:p>
        </w:tc>
        <w:tc>
          <w:tcPr>
            <w:tcW w:w="124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643E23" w:rsidP="007D7417" w:rsidRDefault="00643E23" w14:paraId="297177AA" w14:textId="736118F7">
            <w:pPr>
              <w:spacing w:line="240" w:lineRule="auto"/>
              <w:ind w:left="-20"/>
              <w:jc w:val="center"/>
              <w:rPr>
                <w:rFonts w:ascii="Times New Roman" w:hAnsi="Times New Roman" w:eastAsia="Calibri" w:cs="Times New Roman"/>
                <w:b/>
                <w:sz w:val="14"/>
                <w:szCs w:val="14"/>
              </w:rPr>
            </w:pPr>
            <w:r>
              <w:rPr>
                <w:rFonts w:ascii="Times New Roman" w:hAnsi="Times New Roman" w:eastAsia="Calibri" w:cs="Times New Roman"/>
                <w:b/>
                <w:sz w:val="14"/>
                <w:szCs w:val="14"/>
              </w:rPr>
              <w:t>Number</w:t>
            </w:r>
            <w:r w:rsidRPr="007D7417" w:rsidR="006A4E66">
              <w:rPr>
                <w:rFonts w:ascii="Times New Roman" w:hAnsi="Times New Roman" w:eastAsia="Calibri" w:cs="Times New Roman"/>
                <w:b/>
                <w:sz w:val="14"/>
                <w:szCs w:val="14"/>
              </w:rPr>
              <w:t xml:space="preserve"> of Respondents</w:t>
            </w:r>
            <w:r>
              <w:rPr>
                <w:rFonts w:ascii="Times New Roman" w:hAnsi="Times New Roman" w:eastAsia="Calibri" w:cs="Times New Roman"/>
                <w:b/>
                <w:sz w:val="14"/>
                <w:szCs w:val="14"/>
              </w:rPr>
              <w:t xml:space="preserve"> </w:t>
            </w:r>
            <w:r w:rsidRPr="007D7417" w:rsidR="006A4E66">
              <w:rPr>
                <w:rFonts w:ascii="Times New Roman" w:hAnsi="Times New Roman" w:eastAsia="Calibri" w:cs="Times New Roman"/>
                <w:b/>
                <w:sz w:val="14"/>
                <w:szCs w:val="14"/>
              </w:rPr>
              <w:t>/</w:t>
            </w:r>
          </w:p>
          <w:p w:rsidRPr="007D7417" w:rsidR="00D45369" w:rsidP="007D7417" w:rsidRDefault="00643E23" w14:paraId="1DF94302" w14:textId="5BB13AA4">
            <w:pPr>
              <w:spacing w:line="240" w:lineRule="auto"/>
              <w:ind w:left="-20"/>
              <w:jc w:val="center"/>
              <w:rPr>
                <w:rFonts w:ascii="Times New Roman" w:hAnsi="Times New Roman" w:eastAsia="Calibri" w:cs="Times New Roman"/>
                <w:b/>
                <w:sz w:val="14"/>
                <w:szCs w:val="14"/>
              </w:rPr>
            </w:pPr>
            <w:r>
              <w:rPr>
                <w:rFonts w:ascii="Times New Roman" w:hAnsi="Times New Roman" w:eastAsia="Calibri" w:cs="Times New Roman"/>
                <w:b/>
                <w:sz w:val="14"/>
                <w:szCs w:val="14"/>
              </w:rPr>
              <w:t>Y</w:t>
            </w:r>
            <w:r w:rsidRPr="007D7417" w:rsidR="006A4E66">
              <w:rPr>
                <w:rFonts w:ascii="Times New Roman" w:hAnsi="Times New Roman" w:eastAsia="Calibri" w:cs="Times New Roman"/>
                <w:b/>
                <w:sz w:val="14"/>
                <w:szCs w:val="14"/>
              </w:rPr>
              <w:t>ear</w:t>
            </w:r>
          </w:p>
          <w:p w:rsidRPr="007D7417" w:rsidR="00D45369" w:rsidP="007D7417" w:rsidRDefault="006A4E66" w14:paraId="7E8C6A01"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(a)</w:t>
            </w:r>
          </w:p>
        </w:tc>
        <w:tc>
          <w:tcPr>
            <w:tcW w:w="121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6BCBB719" w14:textId="45A9E5C8">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 xml:space="preserve">Annual </w:t>
            </w:r>
            <w:r w:rsidR="00643E23">
              <w:rPr>
                <w:rFonts w:ascii="Times New Roman" w:hAnsi="Times New Roman" w:eastAsia="Calibri" w:cs="Times New Roman"/>
                <w:b/>
                <w:sz w:val="14"/>
                <w:szCs w:val="14"/>
              </w:rPr>
              <w:t>Number</w:t>
            </w:r>
            <w:r w:rsidRPr="007D7417">
              <w:rPr>
                <w:rFonts w:ascii="Times New Roman" w:hAnsi="Times New Roman" w:eastAsia="Calibri" w:cs="Times New Roman"/>
                <w:b/>
                <w:sz w:val="14"/>
                <w:szCs w:val="14"/>
              </w:rPr>
              <w:t xml:space="preserve"> of Responses / Respondent</w:t>
            </w:r>
          </w:p>
          <w:p w:rsidRPr="007D7417" w:rsidR="00D45369" w:rsidP="007D7417" w:rsidRDefault="00D45369" w14:paraId="013C3B56" w14:textId="77777777">
            <w:pPr>
              <w:spacing w:line="240" w:lineRule="auto"/>
              <w:ind w:left="-20"/>
              <w:jc w:val="center"/>
              <w:rPr>
                <w:rFonts w:ascii="Times New Roman" w:hAnsi="Times New Roman" w:eastAsia="Calibri" w:cs="Times New Roman"/>
                <w:b/>
                <w:sz w:val="14"/>
                <w:szCs w:val="14"/>
              </w:rPr>
            </w:pPr>
          </w:p>
          <w:p w:rsidRPr="007D7417" w:rsidR="00D45369" w:rsidP="007D7417" w:rsidRDefault="006A4E66" w14:paraId="7EBD1274"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(b)</w:t>
            </w:r>
          </w:p>
        </w:tc>
        <w:tc>
          <w:tcPr>
            <w:tcW w:w="120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3679DF88"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 xml:space="preserve"> Total # of Annual Responses</w:t>
            </w:r>
          </w:p>
          <w:p w:rsidRPr="007D7417" w:rsidR="00D45369" w:rsidP="007D7417" w:rsidRDefault="006A4E66" w14:paraId="7C813F4A"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(c) = (a) x (b)</w:t>
            </w:r>
          </w:p>
        </w:tc>
        <w:tc>
          <w:tcPr>
            <w:tcW w:w="93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056606C0"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 xml:space="preserve">Burden </w:t>
            </w:r>
            <w:proofErr w:type="spellStart"/>
            <w:r w:rsidRPr="007D7417">
              <w:rPr>
                <w:rFonts w:ascii="Times New Roman" w:hAnsi="Times New Roman" w:eastAsia="Calibri" w:cs="Times New Roman"/>
                <w:b/>
                <w:sz w:val="14"/>
                <w:szCs w:val="14"/>
              </w:rPr>
              <w:t>Hrs</w:t>
            </w:r>
            <w:proofErr w:type="spellEnd"/>
            <w:r w:rsidRPr="007D7417">
              <w:rPr>
                <w:rFonts w:ascii="Times New Roman" w:hAnsi="Times New Roman" w:eastAsia="Calibri" w:cs="Times New Roman"/>
                <w:b/>
                <w:sz w:val="14"/>
                <w:szCs w:val="14"/>
              </w:rPr>
              <w:t xml:space="preserve"> / Response</w:t>
            </w:r>
          </w:p>
          <w:p w:rsidRPr="007D7417" w:rsidR="00D45369" w:rsidP="007D7417" w:rsidRDefault="006A4E66" w14:paraId="361DB9CF"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(d)</w:t>
            </w:r>
          </w:p>
        </w:tc>
        <w:tc>
          <w:tcPr>
            <w:tcW w:w="103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2D6E0DAC"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 xml:space="preserve">Total Annual Burden </w:t>
            </w:r>
            <w:proofErr w:type="spellStart"/>
            <w:r w:rsidRPr="007D7417">
              <w:rPr>
                <w:rFonts w:ascii="Times New Roman" w:hAnsi="Times New Roman" w:eastAsia="Calibri" w:cs="Times New Roman"/>
                <w:b/>
                <w:sz w:val="14"/>
                <w:szCs w:val="14"/>
              </w:rPr>
              <w:t>Hrs</w:t>
            </w:r>
            <w:proofErr w:type="spellEnd"/>
          </w:p>
          <w:p w:rsidRPr="007D7417" w:rsidR="00D45369" w:rsidP="007D7417" w:rsidRDefault="006A4E66" w14:paraId="720F404B"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(e)  = (c) x (d)</w:t>
            </w:r>
          </w:p>
        </w:tc>
        <w:tc>
          <w:tcPr>
            <w:tcW w:w="97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4E228205"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Hourly Wage Rate  (for Type of Respondent)</w:t>
            </w:r>
          </w:p>
          <w:p w:rsidRPr="007D7417" w:rsidR="00D45369" w:rsidP="007D7417" w:rsidRDefault="006A4E66" w14:paraId="1CE2CE90"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(f)</w:t>
            </w:r>
          </w:p>
        </w:tc>
        <w:tc>
          <w:tcPr>
            <w:tcW w:w="100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441B2E7F"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Total Annual Wage Burden Costs</w:t>
            </w:r>
          </w:p>
          <w:p w:rsidRPr="007D7417" w:rsidR="00D45369" w:rsidP="007D7417" w:rsidRDefault="006A4E66" w14:paraId="61D3A337" w14:textId="77777777">
            <w:pPr>
              <w:spacing w:line="240" w:lineRule="auto"/>
              <w:ind w:left="-2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(g) = (e) x (f)</w:t>
            </w:r>
          </w:p>
        </w:tc>
      </w:tr>
      <w:tr w:rsidRPr="007D7417" w:rsidR="00D45369" w:rsidTr="00E87A26" w14:paraId="12F9E123" w14:textId="77777777">
        <w:trPr>
          <w:trHeight w:val="500"/>
        </w:trPr>
        <w:tc>
          <w:tcPr>
            <w:tcW w:w="9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Pr="00E87A26" w:rsidR="00D45369" w:rsidP="007D7417" w:rsidRDefault="006A4E66" w14:paraId="3EF27DC3" w14:textId="6921D407">
            <w:pPr>
              <w:spacing w:line="240" w:lineRule="auto"/>
              <w:ind w:left="-20"/>
              <w:rPr>
                <w:rFonts w:ascii="Times New Roman" w:hAnsi="Times New Roman" w:eastAsia="Calibri" w:cs="Times New Roman"/>
                <w:b/>
                <w:sz w:val="16"/>
                <w:szCs w:val="16"/>
              </w:rPr>
            </w:pPr>
            <w:r w:rsidRPr="00E87A26">
              <w:rPr>
                <w:rFonts w:ascii="Times New Roman" w:hAnsi="Times New Roman" w:eastAsia="Calibri" w:cs="Times New Roman"/>
                <w:b/>
                <w:sz w:val="16"/>
                <w:szCs w:val="16"/>
              </w:rPr>
              <w:t>Gear marking on vertical buoy lines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E87A26" w:rsidRDefault="006A4E66" w14:paraId="77CF81E5"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Fisherman</w:t>
            </w:r>
          </w:p>
        </w:tc>
        <w:tc>
          <w:tcPr>
            <w:tcW w:w="12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7D7417" w:rsidRDefault="006A4E66" w14:paraId="6EB72925" w14:textId="7AF26001">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1</w:t>
            </w:r>
            <w:r w:rsidR="00643E23">
              <w:rPr>
                <w:rFonts w:ascii="Times New Roman" w:hAnsi="Times New Roman" w:eastAsia="Calibri" w:cs="Times New Roman"/>
                <w:sz w:val="16"/>
                <w:szCs w:val="16"/>
              </w:rPr>
              <w:t>,</w:t>
            </w:r>
            <w:r w:rsidRPr="007D7417">
              <w:rPr>
                <w:rFonts w:ascii="Times New Roman" w:hAnsi="Times New Roman" w:eastAsia="Calibri" w:cs="Times New Roman"/>
                <w:sz w:val="16"/>
                <w:szCs w:val="16"/>
              </w:rPr>
              <w:t>670 Vessels</w:t>
            </w:r>
          </w:p>
        </w:tc>
        <w:tc>
          <w:tcPr>
            <w:tcW w:w="121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E87A26" w:rsidRDefault="006A4E66" w14:paraId="03B2737F" w14:textId="4B546DE5">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334.4 </w:t>
            </w:r>
            <w:r w:rsidR="00643E23">
              <w:rPr>
                <w:rFonts w:ascii="Times New Roman" w:hAnsi="Times New Roman" w:eastAsia="Calibri" w:cs="Times New Roman"/>
                <w:sz w:val="16"/>
                <w:szCs w:val="16"/>
              </w:rPr>
              <w:t>M</w:t>
            </w:r>
            <w:r w:rsidRPr="007D7417">
              <w:rPr>
                <w:rFonts w:ascii="Times New Roman" w:hAnsi="Times New Roman" w:eastAsia="Calibri" w:cs="Times New Roman"/>
                <w:sz w:val="16"/>
                <w:szCs w:val="16"/>
              </w:rPr>
              <w:t>arks per vessel</w:t>
            </w:r>
          </w:p>
        </w:tc>
        <w:tc>
          <w:tcPr>
            <w:tcW w:w="120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7D7417" w:rsidRDefault="006A4E66" w14:paraId="700576C5"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558,448 total marks </w:t>
            </w:r>
          </w:p>
        </w:tc>
        <w:tc>
          <w:tcPr>
            <w:tcW w:w="93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7D7417" w:rsidRDefault="006A4E66" w14:paraId="1CAA6725"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Average 8.4 minutes per mark  </w:t>
            </w:r>
          </w:p>
        </w:tc>
        <w:tc>
          <w:tcPr>
            <w:tcW w:w="103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7D7417" w:rsidRDefault="006A4E66" w14:paraId="5043A86B"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78,182.72 Annual burden hours</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E87A26" w:rsidRDefault="006A4E66" w14:paraId="4EA0F0A1" w14:textId="77777777">
            <w:pPr>
              <w:spacing w:line="240" w:lineRule="auto"/>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$25.15</w:t>
            </w:r>
          </w:p>
        </w:tc>
        <w:tc>
          <w:tcPr>
            <w:tcW w:w="10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E87A26" w:rsidRDefault="006A4E66" w14:paraId="0F3C2F93"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$1,963,949.93 Annual wage burden costs</w:t>
            </w:r>
          </w:p>
        </w:tc>
      </w:tr>
      <w:tr w:rsidRPr="007D7417" w:rsidR="00D45369" w:rsidTr="00E87A26" w14:paraId="32A9A9B4" w14:textId="77777777">
        <w:trPr>
          <w:trHeight w:val="815"/>
        </w:trPr>
        <w:tc>
          <w:tcPr>
            <w:tcW w:w="980" w:type="dxa"/>
            <w:tcBorders>
              <w:top w:val="nil"/>
              <w:left w:val="single" w:color="000000" w:sz="8" w:space="0"/>
              <w:bottom w:val="single" w:color="000000" w:sz="8" w:space="0"/>
              <w:right w:val="single" w:color="000000" w:sz="8" w:space="0"/>
            </w:tcBorders>
            <w:shd w:val="clear" w:color="auto" w:fill="DDEBF7"/>
            <w:tcMar>
              <w:top w:w="100" w:type="dxa"/>
              <w:left w:w="100" w:type="dxa"/>
              <w:bottom w:w="100" w:type="dxa"/>
              <w:right w:w="100" w:type="dxa"/>
            </w:tcMar>
            <w:vAlign w:val="bottom"/>
          </w:tcPr>
          <w:p w:rsidRPr="007D7417" w:rsidR="00D45369" w:rsidRDefault="006A4E66" w14:paraId="173EC12D" w14:textId="539B4B9F">
            <w:pPr>
              <w:spacing w:line="240" w:lineRule="auto"/>
              <w:ind w:left="-20"/>
              <w:rPr>
                <w:rFonts w:ascii="Times New Roman" w:hAnsi="Times New Roman" w:eastAsia="Calibri" w:cs="Times New Roman"/>
                <w:b/>
              </w:rPr>
            </w:pPr>
            <w:r w:rsidRPr="00E87A26">
              <w:rPr>
                <w:rFonts w:ascii="Times New Roman" w:hAnsi="Times New Roman" w:eastAsia="Calibri" w:cs="Times New Roman"/>
                <w:b/>
                <w:sz w:val="16"/>
              </w:rPr>
              <w:t>Total</w:t>
            </w:r>
          </w:p>
        </w:tc>
        <w:tc>
          <w:tcPr>
            <w:tcW w:w="99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Pr="007D7417" w:rsidR="00D45369" w:rsidP="007D7417" w:rsidRDefault="006A4E66" w14:paraId="5D859D6F" w14:textId="77777777">
            <w:pPr>
              <w:spacing w:line="240" w:lineRule="auto"/>
              <w:ind w:left="-20"/>
              <w:rPr>
                <w:rFonts w:ascii="Times New Roman" w:hAnsi="Times New Roman" w:eastAsia="Calibri" w:cs="Times New Roman"/>
                <w:b/>
              </w:rPr>
            </w:pPr>
            <w:r w:rsidRPr="007D7417">
              <w:rPr>
                <w:rFonts w:ascii="Times New Roman" w:hAnsi="Times New Roman" w:eastAsia="Calibri" w:cs="Times New Roman"/>
                <w:b/>
              </w:rPr>
              <w:t xml:space="preserve"> </w:t>
            </w:r>
          </w:p>
        </w:tc>
        <w:tc>
          <w:tcPr>
            <w:tcW w:w="124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Pr="007D7417" w:rsidR="00D45369" w:rsidP="007D7417" w:rsidRDefault="006A4E66" w14:paraId="69F58D1A" w14:textId="77777777">
            <w:pPr>
              <w:spacing w:line="240" w:lineRule="auto"/>
              <w:ind w:left="-20"/>
              <w:rPr>
                <w:rFonts w:ascii="Times New Roman" w:hAnsi="Times New Roman" w:eastAsia="Calibri" w:cs="Times New Roman"/>
                <w:b/>
              </w:rPr>
            </w:pPr>
            <w:r w:rsidRPr="007D7417">
              <w:rPr>
                <w:rFonts w:ascii="Times New Roman" w:hAnsi="Times New Roman" w:eastAsia="Calibri" w:cs="Times New Roman"/>
                <w:b/>
              </w:rPr>
              <w:t xml:space="preserve"> </w:t>
            </w:r>
          </w:p>
        </w:tc>
        <w:tc>
          <w:tcPr>
            <w:tcW w:w="121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Pr="007D7417" w:rsidR="00D45369" w:rsidP="007D7417" w:rsidRDefault="006A4E66" w14:paraId="0C332039" w14:textId="77777777">
            <w:pPr>
              <w:spacing w:line="240" w:lineRule="auto"/>
              <w:ind w:left="-20"/>
              <w:rPr>
                <w:rFonts w:ascii="Times New Roman" w:hAnsi="Times New Roman" w:eastAsia="Calibri" w:cs="Times New Roman"/>
                <w:b/>
              </w:rPr>
            </w:pPr>
            <w:r w:rsidRPr="007D7417">
              <w:rPr>
                <w:rFonts w:ascii="Times New Roman" w:hAnsi="Times New Roman" w:eastAsia="Calibri" w:cs="Times New Roman"/>
                <w:b/>
              </w:rPr>
              <w:t xml:space="preserve"> </w:t>
            </w:r>
          </w:p>
        </w:tc>
        <w:tc>
          <w:tcPr>
            <w:tcW w:w="1200"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Pr="007D7417" w:rsidR="00D45369" w:rsidP="00E87A26" w:rsidRDefault="006A4E66" w14:paraId="2067F543" w14:textId="05C86E78">
            <w:pPr>
              <w:spacing w:line="240" w:lineRule="auto"/>
              <w:ind w:left="-20"/>
              <w:jc w:val="right"/>
              <w:rPr>
                <w:rFonts w:ascii="Times New Roman" w:hAnsi="Times New Roman" w:eastAsia="Calibri" w:cs="Times New Roman"/>
                <w:b/>
              </w:rPr>
            </w:pPr>
            <w:r w:rsidRPr="007D7417">
              <w:rPr>
                <w:rFonts w:ascii="Times New Roman" w:hAnsi="Times New Roman" w:eastAsia="Calibri" w:cs="Times New Roman"/>
                <w:sz w:val="16"/>
                <w:szCs w:val="16"/>
              </w:rPr>
              <w:t xml:space="preserve">558,448 </w:t>
            </w:r>
            <w:r w:rsidR="00643E23">
              <w:rPr>
                <w:rFonts w:ascii="Times New Roman" w:hAnsi="Times New Roman" w:eastAsia="Calibri" w:cs="Times New Roman"/>
                <w:sz w:val="16"/>
                <w:szCs w:val="16"/>
              </w:rPr>
              <w:t>T</w:t>
            </w:r>
            <w:r w:rsidRPr="007D7417">
              <w:rPr>
                <w:rFonts w:ascii="Times New Roman" w:hAnsi="Times New Roman" w:eastAsia="Calibri" w:cs="Times New Roman"/>
                <w:sz w:val="16"/>
                <w:szCs w:val="16"/>
              </w:rPr>
              <w:t xml:space="preserve">otal marks </w:t>
            </w:r>
          </w:p>
        </w:tc>
        <w:tc>
          <w:tcPr>
            <w:tcW w:w="93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Pr="007D7417" w:rsidR="00D45369" w:rsidP="007D7417" w:rsidRDefault="006A4E66" w14:paraId="4F38DAEA" w14:textId="77777777">
            <w:pPr>
              <w:spacing w:line="240" w:lineRule="auto"/>
              <w:ind w:left="-20"/>
              <w:rPr>
                <w:rFonts w:ascii="Times New Roman" w:hAnsi="Times New Roman" w:eastAsia="Calibri" w:cs="Times New Roman"/>
                <w:b/>
              </w:rPr>
            </w:pPr>
            <w:r w:rsidRPr="007D7417">
              <w:rPr>
                <w:rFonts w:ascii="Times New Roman" w:hAnsi="Times New Roman" w:eastAsia="Calibri" w:cs="Times New Roman"/>
                <w:b/>
              </w:rPr>
              <w:t xml:space="preserve"> </w:t>
            </w:r>
          </w:p>
        </w:tc>
        <w:tc>
          <w:tcPr>
            <w:tcW w:w="103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7D7417" w:rsidRDefault="006A4E66" w14:paraId="53331919"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78,182.72 Annual burden hours</w:t>
            </w:r>
          </w:p>
        </w:tc>
        <w:tc>
          <w:tcPr>
            <w:tcW w:w="97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Pr="007D7417" w:rsidR="00D45369" w:rsidP="007D7417" w:rsidRDefault="006A4E66" w14:paraId="6A56C8F8" w14:textId="77777777">
            <w:pPr>
              <w:spacing w:line="240" w:lineRule="auto"/>
              <w:ind w:left="-20"/>
              <w:rPr>
                <w:rFonts w:ascii="Times New Roman" w:hAnsi="Times New Roman" w:eastAsia="Calibri" w:cs="Times New Roman"/>
                <w:b/>
              </w:rPr>
            </w:pPr>
            <w:r w:rsidRPr="007D7417">
              <w:rPr>
                <w:rFonts w:ascii="Times New Roman" w:hAnsi="Times New Roman" w:eastAsia="Calibri" w:cs="Times New Roman"/>
                <w:b/>
              </w:rPr>
              <w:t xml:space="preserve"> </w:t>
            </w:r>
          </w:p>
        </w:tc>
        <w:tc>
          <w:tcPr>
            <w:tcW w:w="1005"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Pr="007D7417" w:rsidR="00D45369" w:rsidP="00E87A26" w:rsidRDefault="006A4E66" w14:paraId="1E68B9B9" w14:textId="77777777">
            <w:pPr>
              <w:spacing w:line="240" w:lineRule="auto"/>
              <w:ind w:left="-20"/>
              <w:jc w:val="right"/>
              <w:rPr>
                <w:rFonts w:ascii="Times New Roman" w:hAnsi="Times New Roman" w:eastAsia="Calibri" w:cs="Times New Roman"/>
                <w:b/>
              </w:rPr>
            </w:pPr>
            <w:r w:rsidRPr="007D7417">
              <w:rPr>
                <w:rFonts w:ascii="Times New Roman" w:hAnsi="Times New Roman" w:eastAsia="Calibri" w:cs="Times New Roman"/>
                <w:b/>
              </w:rPr>
              <w:t xml:space="preserve"> </w:t>
            </w:r>
            <w:r w:rsidRPr="007D7417">
              <w:rPr>
                <w:rFonts w:ascii="Times New Roman" w:hAnsi="Times New Roman" w:eastAsia="Calibri" w:cs="Times New Roman"/>
                <w:sz w:val="16"/>
                <w:szCs w:val="16"/>
              </w:rPr>
              <w:t>$1,963,949.93 Annual wage burden costs</w:t>
            </w:r>
          </w:p>
        </w:tc>
      </w:tr>
    </w:tbl>
    <w:p w:rsidRPr="007D7417" w:rsidR="00D45369" w:rsidP="007D7417" w:rsidRDefault="00D45369" w14:paraId="31E01A69" w14:textId="77777777">
      <w:pPr>
        <w:spacing w:line="240" w:lineRule="auto"/>
        <w:rPr>
          <w:rFonts w:ascii="Times New Roman" w:hAnsi="Times New Roman" w:eastAsia="Times New Roman" w:cs="Times New Roman"/>
          <w:sz w:val="24"/>
          <w:szCs w:val="24"/>
        </w:rPr>
      </w:pPr>
    </w:p>
    <w:p w:rsidRPr="00342723" w:rsidR="009118EA" w:rsidP="007D7417" w:rsidRDefault="006A4E66" w14:paraId="36C88F82" w14:textId="461D8871">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Using information from Atlantic coastal states, federal permitting, and vessel trip reports</w:t>
      </w:r>
      <w:r w:rsidRPr="00342723" w:rsidR="00643E23">
        <w:rPr>
          <w:rFonts w:ascii="Times New Roman" w:hAnsi="Times New Roman" w:eastAsia="Times New Roman" w:cs="Times New Roman"/>
          <w:sz w:val="24"/>
          <w:szCs w:val="24"/>
        </w:rPr>
        <w:t>,</w:t>
      </w:r>
      <w:r w:rsidRPr="00342723">
        <w:rPr>
          <w:rFonts w:ascii="Times New Roman" w:hAnsi="Times New Roman" w:eastAsia="Times New Roman" w:cs="Times New Roman"/>
          <w:sz w:val="24"/>
          <w:szCs w:val="24"/>
        </w:rPr>
        <w:t xml:space="preserve"> NOAA has identified the number of vessels and buoy lines actively fished, as well as the total number of marks required.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As seen in the table below, we estimate that there are approximately 1,670 vessels that need to remark an average of 334.4 marks each year.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Each mark takes approximately 8.4 minutes to apply.  Applying the annual hourly wage rate for fishermen of $</w:t>
      </w:r>
      <w:r w:rsidRPr="00342723" w:rsidR="00643E23">
        <w:rPr>
          <w:rFonts w:ascii="Times New Roman" w:hAnsi="Times New Roman" w:eastAsia="Times New Roman" w:cs="Times New Roman"/>
          <w:sz w:val="24"/>
          <w:szCs w:val="24"/>
        </w:rPr>
        <w:t xml:space="preserve">25.15, </w:t>
      </w:r>
      <w:r w:rsidRPr="00342723">
        <w:rPr>
          <w:rFonts w:ascii="Times New Roman" w:hAnsi="Times New Roman" w:eastAsia="Times New Roman" w:cs="Times New Roman"/>
          <w:sz w:val="24"/>
          <w:szCs w:val="24"/>
        </w:rPr>
        <w:t xml:space="preserve">results in a total estimated annual wage burden cost of $1,963,949.93.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Due to rounding differences in calculations, small differences in the burden cost values have been calculated in the DEIS, calculating the annual wage burden cost at $2,017,282.00.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This minor difference of less than 3% in the estimated value does not impact the overall collection of information.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Because Maine fishermen have marked gear under existing Maine regulations, these calculations do not include Maine vessels and buoy lines.</w:t>
      </w:r>
    </w:p>
    <w:p w:rsidRPr="00342723" w:rsidR="006A4E66" w:rsidP="007D7417" w:rsidRDefault="006A4E66" w14:paraId="0AD7D264" w14:textId="77777777">
      <w:pPr>
        <w:spacing w:line="240" w:lineRule="auto"/>
        <w:rPr>
          <w:rFonts w:ascii="Times New Roman" w:hAnsi="Times New Roman" w:eastAsia="Times New Roman" w:cs="Times New Roman"/>
          <w:sz w:val="24"/>
          <w:szCs w:val="24"/>
        </w:rPr>
      </w:pPr>
    </w:p>
    <w:p w:rsidRPr="00342723" w:rsidR="00D45369" w:rsidP="007D7417" w:rsidRDefault="006A4E66" w14:paraId="31F0A1B7" w14:textId="382630D9">
      <w:pPr>
        <w:widowControl w:val="0"/>
        <w:shd w:val="clear" w:color="auto" w:fill="FFFFFF"/>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The cost model to calculate wage rate assigns an implicit value to fishermen’s time based on labor rates in professions they would pursue if not involved in fishing.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This is the “opportunity cost” of time.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To identify alternative professions, the analysis relies on responses provided to a survey administered by the Gulf of Maine Research Institute in 2005 (GMRI, 2006).</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 The GMRI </w:t>
      </w:r>
      <w:r w:rsidRPr="00342723">
        <w:rPr>
          <w:rFonts w:ascii="Times New Roman" w:hAnsi="Times New Roman" w:eastAsia="Times New Roman" w:cs="Times New Roman"/>
          <w:sz w:val="24"/>
          <w:szCs w:val="24"/>
        </w:rPr>
        <w:lastRenderedPageBreak/>
        <w:t xml:space="preserve">survey asked a sample of 1,158 randomly selected lobstermen a variety of questions regarding education, vessel characteristics, fishing effort, and other aspects of their work.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Compiled and published in 2006, the survey findings guide a number of assumptions in the cost and socioeconomic analysis presented in th</w:t>
      </w:r>
      <w:r w:rsidRPr="00342723" w:rsidR="00643E23">
        <w:rPr>
          <w:rFonts w:ascii="Times New Roman" w:hAnsi="Times New Roman" w:eastAsia="Times New Roman" w:cs="Times New Roman"/>
          <w:sz w:val="24"/>
          <w:szCs w:val="24"/>
        </w:rPr>
        <w:t>e environmental impact analysis</w:t>
      </w:r>
      <w:r w:rsidRPr="00342723">
        <w:rPr>
          <w:rFonts w:ascii="Times New Roman" w:hAnsi="Times New Roman" w:eastAsia="Times New Roman" w:cs="Times New Roman"/>
          <w:sz w:val="24"/>
          <w:szCs w:val="24"/>
        </w:rPr>
        <w:t>.</w:t>
      </w:r>
    </w:p>
    <w:p w:rsidRPr="00342723" w:rsidR="00D45369" w:rsidP="007D7417" w:rsidRDefault="006A4E66" w14:paraId="7778BC20" w14:textId="77777777">
      <w:pPr>
        <w:widowControl w:val="0"/>
        <w:shd w:val="clear" w:color="auto" w:fill="FFFFFF"/>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 </w:t>
      </w:r>
    </w:p>
    <w:p w:rsidRPr="00342723" w:rsidR="00D45369" w:rsidP="007D7417" w:rsidRDefault="006A4E66" w14:paraId="6DD5FEE0" w14:textId="2447556A">
      <w:pPr>
        <w:widowControl w:val="0"/>
        <w:shd w:val="clear" w:color="auto" w:fill="FFFFFF"/>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When asked about alternative professions, the GMRI survey respondents most commonly indicated that they would be involved in carpentry, other trades, vessel maintenance, merchant marine activity, or another aspect of commercial fishing (i.e., harvesting other species, boat maintenance). </w:t>
      </w:r>
      <w:r w:rsidRPr="00342723" w:rsidR="00643E23">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 xml:space="preserve">The cost analysis uses the distribution of responses to develop a weighted average wage rate of $25.15 that reflects the opportunity cost of a fisherman’s time. </w:t>
      </w:r>
    </w:p>
    <w:p w:rsidRPr="00342723" w:rsidR="00D45369" w:rsidP="007D7417" w:rsidRDefault="00D45369" w14:paraId="459FBCE7" w14:textId="77777777">
      <w:pPr>
        <w:spacing w:line="240" w:lineRule="auto"/>
        <w:rPr>
          <w:rFonts w:ascii="Times New Roman" w:hAnsi="Times New Roman" w:eastAsia="Times New Roman" w:cs="Times New Roman"/>
          <w:sz w:val="24"/>
          <w:szCs w:val="24"/>
        </w:rPr>
      </w:pPr>
    </w:p>
    <w:p w:rsidRPr="00342723" w:rsidR="00D45369" w:rsidP="007D7417" w:rsidRDefault="006A4E66" w14:paraId="1C1EC88E" w14:textId="20842CFE">
      <w:pPr>
        <w:spacing w:line="240" w:lineRule="auto"/>
        <w:rPr>
          <w:rFonts w:ascii="Times New Roman" w:hAnsi="Times New Roman" w:eastAsia="Roboto" w:cs="Times New Roman"/>
          <w:color w:val="263238"/>
          <w:sz w:val="24"/>
          <w:szCs w:val="24"/>
        </w:rPr>
      </w:pPr>
      <w:r w:rsidRPr="00342723">
        <w:rPr>
          <w:rFonts w:ascii="Times New Roman" w:hAnsi="Times New Roman" w:eastAsia="Times New Roman" w:cs="Times New Roman"/>
          <w:sz w:val="24"/>
          <w:szCs w:val="24"/>
        </w:rPr>
        <w:t>G</w:t>
      </w:r>
      <w:r w:rsidRPr="00342723" w:rsidR="00A3449A">
        <w:rPr>
          <w:rFonts w:ascii="Times New Roman" w:hAnsi="Times New Roman" w:eastAsia="Times New Roman" w:cs="Times New Roman"/>
          <w:sz w:val="24"/>
          <w:szCs w:val="24"/>
        </w:rPr>
        <w:t>MRI</w:t>
      </w:r>
      <w:r w:rsidRPr="00342723">
        <w:rPr>
          <w:rFonts w:ascii="Times New Roman" w:hAnsi="Times New Roman" w:eastAsia="Times New Roman" w:cs="Times New Roman"/>
          <w:sz w:val="24"/>
          <w:szCs w:val="24"/>
        </w:rPr>
        <w:t>, Lobster Socioeconomic Impact Survey, prepared by Market Decisions, prepared for Laura Taylor Singer and Daniel S. Holland, November 16, 2006.</w:t>
      </w:r>
    </w:p>
    <w:p w:rsidRPr="00342723" w:rsidR="00D45369" w:rsidP="007D7417" w:rsidRDefault="00D45369" w14:paraId="6400B2DF" w14:textId="77777777">
      <w:pPr>
        <w:spacing w:line="240" w:lineRule="auto"/>
        <w:rPr>
          <w:rFonts w:ascii="Times New Roman" w:hAnsi="Times New Roman" w:eastAsia="Roboto" w:cs="Times New Roman"/>
          <w:color w:val="263238"/>
          <w:sz w:val="24"/>
          <w:szCs w:val="24"/>
        </w:rPr>
      </w:pPr>
    </w:p>
    <w:p w:rsidRPr="00342723" w:rsidR="00D45369" w:rsidP="007D7417" w:rsidRDefault="006A4E66" w14:paraId="09DAF333" w14:textId="3FD28BB0">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13.</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342723" w:rsidR="00F93981" w:rsidP="007D7417" w:rsidRDefault="00F93981" w14:paraId="0B45BF73" w14:textId="40327E20">
      <w:pPr>
        <w:spacing w:line="240" w:lineRule="auto"/>
        <w:rPr>
          <w:rFonts w:ascii="Times New Roman" w:hAnsi="Times New Roman" w:cs="Times New Roman"/>
          <w:b/>
          <w:sz w:val="24"/>
          <w:szCs w:val="24"/>
        </w:rPr>
      </w:pPr>
    </w:p>
    <w:p w:rsidRPr="00342723" w:rsidR="00D45369" w:rsidP="007D7417" w:rsidRDefault="00D45369" w14:paraId="2FB0AB5E" w14:textId="77FBEEC1">
      <w:pPr>
        <w:spacing w:line="240" w:lineRule="auto"/>
        <w:rPr>
          <w:rFonts w:ascii="Times New Roman" w:hAnsi="Times New Roman" w:cs="Times New Roman"/>
          <w:b/>
          <w:sz w:val="24"/>
          <w:szCs w:val="24"/>
        </w:rPr>
      </w:pP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1880"/>
        <w:gridCol w:w="1862"/>
        <w:gridCol w:w="1384"/>
        <w:gridCol w:w="1480"/>
        <w:gridCol w:w="1384"/>
        <w:gridCol w:w="1370"/>
      </w:tblGrid>
      <w:tr w:rsidRPr="007D7417" w:rsidR="00D45369" w:rsidTr="00F93981" w14:paraId="7AF891A6" w14:textId="77777777">
        <w:trPr>
          <w:trHeight w:val="1115"/>
        </w:trPr>
        <w:tc>
          <w:tcPr>
            <w:tcW w:w="188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27AB05B3"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Information Collection</w:t>
            </w:r>
          </w:p>
        </w:tc>
        <w:tc>
          <w:tcPr>
            <w:tcW w:w="1862"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A3449A" w14:paraId="6706619E" w14:textId="36989BB9">
            <w:pPr>
              <w:spacing w:line="240" w:lineRule="auto"/>
              <w:ind w:left="-20"/>
              <w:jc w:val="center"/>
              <w:rPr>
                <w:rFonts w:ascii="Times New Roman" w:hAnsi="Times New Roman" w:eastAsia="Calibri" w:cs="Times New Roman"/>
                <w:b/>
                <w:sz w:val="16"/>
                <w:szCs w:val="16"/>
              </w:rPr>
            </w:pPr>
            <w:r>
              <w:rPr>
                <w:rFonts w:ascii="Times New Roman" w:hAnsi="Times New Roman" w:eastAsia="Calibri" w:cs="Times New Roman"/>
                <w:b/>
                <w:sz w:val="16"/>
                <w:szCs w:val="16"/>
              </w:rPr>
              <w:t>Number</w:t>
            </w:r>
            <w:r w:rsidRPr="007D7417" w:rsidR="006A4E66">
              <w:rPr>
                <w:rFonts w:ascii="Times New Roman" w:hAnsi="Times New Roman" w:eastAsia="Calibri" w:cs="Times New Roman"/>
                <w:b/>
                <w:sz w:val="16"/>
                <w:szCs w:val="16"/>
              </w:rPr>
              <w:t xml:space="preserve"> of Respondents/year</w:t>
            </w:r>
          </w:p>
          <w:p w:rsidRPr="007D7417" w:rsidR="00D45369" w:rsidP="007D7417" w:rsidRDefault="006A4E66" w14:paraId="7ADBD013"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(a)</w:t>
            </w:r>
          </w:p>
        </w:tc>
        <w:tc>
          <w:tcPr>
            <w:tcW w:w="1384"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5DCA5566" w14:textId="4E7D6A0F">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 xml:space="preserve">Annual </w:t>
            </w:r>
            <w:r w:rsidR="00A3449A">
              <w:rPr>
                <w:rFonts w:ascii="Times New Roman" w:hAnsi="Times New Roman" w:eastAsia="Calibri" w:cs="Times New Roman"/>
                <w:b/>
                <w:sz w:val="16"/>
                <w:szCs w:val="16"/>
              </w:rPr>
              <w:t>Number</w:t>
            </w:r>
            <w:r w:rsidRPr="007D7417">
              <w:rPr>
                <w:rFonts w:ascii="Times New Roman" w:hAnsi="Times New Roman" w:eastAsia="Calibri" w:cs="Times New Roman"/>
                <w:b/>
                <w:sz w:val="16"/>
                <w:szCs w:val="16"/>
              </w:rPr>
              <w:t xml:space="preserve"> of Responses / Respondent</w:t>
            </w:r>
          </w:p>
          <w:p w:rsidRPr="007D7417" w:rsidR="00D45369" w:rsidP="007D7417" w:rsidRDefault="006A4E66" w14:paraId="363B047E"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(b)</w:t>
            </w:r>
          </w:p>
        </w:tc>
        <w:tc>
          <w:tcPr>
            <w:tcW w:w="148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112838D5" w14:textId="109BEE8F">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 xml:space="preserve"> Total </w:t>
            </w:r>
            <w:r w:rsidR="00A3449A">
              <w:rPr>
                <w:rFonts w:ascii="Times New Roman" w:hAnsi="Times New Roman" w:eastAsia="Calibri" w:cs="Times New Roman"/>
                <w:b/>
                <w:sz w:val="16"/>
                <w:szCs w:val="16"/>
              </w:rPr>
              <w:t>Number</w:t>
            </w:r>
            <w:r w:rsidRPr="007D7417">
              <w:rPr>
                <w:rFonts w:ascii="Times New Roman" w:hAnsi="Times New Roman" w:eastAsia="Calibri" w:cs="Times New Roman"/>
                <w:b/>
                <w:sz w:val="16"/>
                <w:szCs w:val="16"/>
              </w:rPr>
              <w:t xml:space="preserve"> of Annual Responses</w:t>
            </w:r>
          </w:p>
          <w:p w:rsidRPr="007D7417" w:rsidR="00D45369" w:rsidP="007D7417" w:rsidRDefault="006A4E66" w14:paraId="4F18FBCD"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(c) = (a) x (b)</w:t>
            </w:r>
          </w:p>
        </w:tc>
        <w:tc>
          <w:tcPr>
            <w:tcW w:w="1384"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0C80B8B3"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Cost Burden / Respondent</w:t>
            </w:r>
          </w:p>
          <w:p w:rsidRPr="007D7417" w:rsidR="00D45369" w:rsidP="007D7417" w:rsidRDefault="006A4E66" w14:paraId="413A5A9B"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(h)</w:t>
            </w:r>
          </w:p>
        </w:tc>
        <w:tc>
          <w:tcPr>
            <w:tcW w:w="137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Pr="007D7417" w:rsidR="00D45369" w:rsidP="007D7417" w:rsidRDefault="006A4E66" w14:paraId="76B2D342"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Total Annual Cost Burden</w:t>
            </w:r>
          </w:p>
          <w:p w:rsidRPr="007D7417" w:rsidR="00D45369" w:rsidP="007D7417" w:rsidRDefault="006A4E66" w14:paraId="455F7AD8"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w:t>
            </w:r>
            <w:proofErr w:type="spellStart"/>
            <w:r w:rsidRPr="007D7417">
              <w:rPr>
                <w:rFonts w:ascii="Times New Roman" w:hAnsi="Times New Roman" w:eastAsia="Calibri" w:cs="Times New Roman"/>
                <w:b/>
                <w:sz w:val="16"/>
                <w:szCs w:val="16"/>
              </w:rPr>
              <w:t>i</w:t>
            </w:r>
            <w:proofErr w:type="spellEnd"/>
            <w:r w:rsidRPr="007D7417">
              <w:rPr>
                <w:rFonts w:ascii="Times New Roman" w:hAnsi="Times New Roman" w:eastAsia="Calibri" w:cs="Times New Roman"/>
                <w:b/>
                <w:sz w:val="16"/>
                <w:szCs w:val="16"/>
              </w:rPr>
              <w:t>) = (c) x (h)</w:t>
            </w:r>
          </w:p>
        </w:tc>
      </w:tr>
      <w:tr w:rsidRPr="007D7417" w:rsidR="00D45369" w:rsidTr="00F93981" w14:paraId="2D82195B" w14:textId="77777777">
        <w:trPr>
          <w:trHeight w:val="500"/>
        </w:trPr>
        <w:tc>
          <w:tcPr>
            <w:tcW w:w="18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F93981" w:rsidR="00D45369" w:rsidP="00F93981" w:rsidRDefault="006A4E66" w14:paraId="2CF87DB3" w14:textId="77777777">
            <w:pPr>
              <w:spacing w:line="240" w:lineRule="auto"/>
              <w:ind w:left="-20"/>
              <w:rPr>
                <w:rFonts w:ascii="Times New Roman" w:hAnsi="Times New Roman" w:eastAsia="Calibri" w:cs="Times New Roman"/>
                <w:b/>
                <w:sz w:val="16"/>
                <w:szCs w:val="16"/>
              </w:rPr>
            </w:pPr>
            <w:r w:rsidRPr="00F93981">
              <w:rPr>
                <w:rFonts w:ascii="Times New Roman" w:hAnsi="Times New Roman" w:eastAsia="Calibri" w:cs="Times New Roman"/>
                <w:b/>
                <w:sz w:val="16"/>
                <w:szCs w:val="16"/>
              </w:rPr>
              <w:t>Gear marking on vertical buoy lines</w:t>
            </w:r>
          </w:p>
        </w:tc>
        <w:tc>
          <w:tcPr>
            <w:tcW w:w="1862"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Pr="007D7417" w:rsidR="00D45369" w:rsidP="00F93981" w:rsidRDefault="006A4E66" w14:paraId="53FB012F" w14:textId="17044383">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1</w:t>
            </w:r>
            <w:r w:rsidR="00A3449A">
              <w:rPr>
                <w:rFonts w:ascii="Times New Roman" w:hAnsi="Times New Roman" w:eastAsia="Calibri" w:cs="Times New Roman"/>
                <w:sz w:val="16"/>
                <w:szCs w:val="16"/>
              </w:rPr>
              <w:t>,</w:t>
            </w:r>
            <w:r w:rsidRPr="007D7417">
              <w:rPr>
                <w:rFonts w:ascii="Times New Roman" w:hAnsi="Times New Roman" w:eastAsia="Calibri" w:cs="Times New Roman"/>
                <w:sz w:val="16"/>
                <w:szCs w:val="16"/>
              </w:rPr>
              <w:t xml:space="preserve">670 Vessels per year  </w:t>
            </w:r>
          </w:p>
        </w:tc>
        <w:tc>
          <w:tcPr>
            <w:tcW w:w="1384"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F93981" w:rsidRDefault="006A4E66" w14:paraId="5F695B03" w14:textId="735A9023">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Average 546 feet </w:t>
            </w:r>
            <w:r w:rsidR="001B7F4C">
              <w:rPr>
                <w:rFonts w:ascii="Times New Roman" w:hAnsi="Times New Roman" w:eastAsia="Calibri" w:cs="Times New Roman"/>
                <w:sz w:val="16"/>
                <w:szCs w:val="16"/>
              </w:rPr>
              <w:t xml:space="preserve">(166.4 m) </w:t>
            </w:r>
            <w:r w:rsidRPr="007D7417">
              <w:rPr>
                <w:rFonts w:ascii="Times New Roman" w:hAnsi="Times New Roman" w:eastAsia="Calibri" w:cs="Times New Roman"/>
                <w:sz w:val="16"/>
                <w:szCs w:val="16"/>
              </w:rPr>
              <w:t>of marking per vessel</w:t>
            </w:r>
          </w:p>
        </w:tc>
        <w:tc>
          <w:tcPr>
            <w:tcW w:w="148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F93981" w:rsidRDefault="006A4E66" w14:paraId="67D5745A" w14:textId="445F0A92">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911,820 total feet </w:t>
            </w:r>
            <w:r w:rsidR="001B7F4C">
              <w:rPr>
                <w:rFonts w:ascii="Times New Roman" w:hAnsi="Times New Roman" w:eastAsia="Calibri" w:cs="Times New Roman"/>
                <w:sz w:val="16"/>
                <w:szCs w:val="16"/>
              </w:rPr>
              <w:t>(277</w:t>
            </w:r>
            <w:r w:rsidR="00F42DB2">
              <w:rPr>
                <w:rFonts w:ascii="Times New Roman" w:hAnsi="Times New Roman" w:eastAsia="Calibri" w:cs="Times New Roman"/>
                <w:sz w:val="16"/>
                <w:szCs w:val="16"/>
              </w:rPr>
              <w:t>,</w:t>
            </w:r>
            <w:r w:rsidR="001B7F4C">
              <w:rPr>
                <w:rFonts w:ascii="Times New Roman" w:hAnsi="Times New Roman" w:eastAsia="Calibri" w:cs="Times New Roman"/>
                <w:sz w:val="16"/>
                <w:szCs w:val="16"/>
              </w:rPr>
              <w:t xml:space="preserve">922.7 m) </w:t>
            </w:r>
            <w:r w:rsidRPr="007D7417">
              <w:rPr>
                <w:rFonts w:ascii="Times New Roman" w:hAnsi="Times New Roman" w:eastAsia="Calibri" w:cs="Times New Roman"/>
                <w:sz w:val="16"/>
                <w:szCs w:val="16"/>
              </w:rPr>
              <w:t xml:space="preserve">of marking </w:t>
            </w:r>
          </w:p>
        </w:tc>
        <w:tc>
          <w:tcPr>
            <w:tcW w:w="1384"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Pr="007D7417" w:rsidR="00D45369" w:rsidP="00F93981" w:rsidRDefault="006A4E66" w14:paraId="02DDA0FA"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$21.84 per vessel  </w:t>
            </w:r>
          </w:p>
        </w:tc>
        <w:tc>
          <w:tcPr>
            <w:tcW w:w="1370"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Pr="007D7417" w:rsidR="00D45369" w:rsidP="00F93981" w:rsidRDefault="006A4E66" w14:paraId="0B75491A"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$36,472.80 </w:t>
            </w:r>
          </w:p>
        </w:tc>
      </w:tr>
      <w:tr w:rsidRPr="007D7417" w:rsidR="00D45369" w:rsidTr="00F93981" w14:paraId="166BC534" w14:textId="77777777">
        <w:trPr>
          <w:trHeight w:val="515"/>
        </w:trPr>
        <w:tc>
          <w:tcPr>
            <w:tcW w:w="1880" w:type="dxa"/>
            <w:tcBorders>
              <w:top w:val="nil"/>
              <w:left w:val="single" w:color="000000" w:sz="8" w:space="0"/>
              <w:bottom w:val="single" w:color="000000" w:sz="8" w:space="0"/>
              <w:right w:val="single" w:color="000000" w:sz="8" w:space="0"/>
            </w:tcBorders>
            <w:shd w:val="clear" w:color="auto" w:fill="DDEBF7"/>
            <w:tcMar>
              <w:top w:w="100" w:type="dxa"/>
              <w:left w:w="100" w:type="dxa"/>
              <w:bottom w:w="100" w:type="dxa"/>
              <w:right w:w="100" w:type="dxa"/>
            </w:tcMar>
          </w:tcPr>
          <w:p w:rsidRPr="007D7417" w:rsidR="00D45369" w:rsidP="00F93981" w:rsidRDefault="006A4E66" w14:paraId="73137749" w14:textId="5BE6265E">
            <w:pPr>
              <w:spacing w:line="240" w:lineRule="auto"/>
              <w:ind w:left="-20"/>
              <w:rPr>
                <w:rFonts w:ascii="Times New Roman" w:hAnsi="Times New Roman" w:eastAsia="Calibri" w:cs="Times New Roman"/>
                <w:b/>
                <w:sz w:val="16"/>
                <w:szCs w:val="16"/>
              </w:rPr>
            </w:pPr>
            <w:r w:rsidRPr="007D7417">
              <w:rPr>
                <w:rFonts w:ascii="Times New Roman" w:hAnsi="Times New Roman" w:eastAsia="Calibri" w:cs="Times New Roman"/>
                <w:b/>
                <w:sz w:val="16"/>
                <w:szCs w:val="16"/>
              </w:rPr>
              <w:t>TOTAL</w:t>
            </w:r>
          </w:p>
        </w:tc>
        <w:tc>
          <w:tcPr>
            <w:tcW w:w="1862"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Pr="007D7417" w:rsidR="00D45369" w:rsidP="00F93981" w:rsidRDefault="006A4E66" w14:paraId="4CD4282A" w14:textId="199EB25D">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1</w:t>
            </w:r>
            <w:r w:rsidR="00A3449A">
              <w:rPr>
                <w:rFonts w:ascii="Times New Roman" w:hAnsi="Times New Roman" w:eastAsia="Calibri" w:cs="Times New Roman"/>
                <w:sz w:val="16"/>
                <w:szCs w:val="16"/>
              </w:rPr>
              <w:t>,</w:t>
            </w:r>
            <w:r w:rsidRPr="007D7417">
              <w:rPr>
                <w:rFonts w:ascii="Times New Roman" w:hAnsi="Times New Roman" w:eastAsia="Calibri" w:cs="Times New Roman"/>
                <w:sz w:val="16"/>
                <w:szCs w:val="16"/>
              </w:rPr>
              <w:t xml:space="preserve">670 Vessels per year  </w:t>
            </w:r>
          </w:p>
        </w:tc>
        <w:tc>
          <w:tcPr>
            <w:tcW w:w="1384"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F93981" w:rsidRDefault="006A4E66" w14:paraId="0215A010" w14:textId="53370B14">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Average 546 feet </w:t>
            </w:r>
            <w:r w:rsidR="001B7F4C">
              <w:rPr>
                <w:rFonts w:ascii="Times New Roman" w:hAnsi="Times New Roman" w:eastAsia="Calibri" w:cs="Times New Roman"/>
                <w:sz w:val="16"/>
                <w:szCs w:val="16"/>
              </w:rPr>
              <w:t xml:space="preserve">(166.4 m) </w:t>
            </w:r>
            <w:r w:rsidRPr="007D7417">
              <w:rPr>
                <w:rFonts w:ascii="Times New Roman" w:hAnsi="Times New Roman" w:eastAsia="Calibri" w:cs="Times New Roman"/>
                <w:sz w:val="16"/>
                <w:szCs w:val="16"/>
              </w:rPr>
              <w:t>of marking per vessel</w:t>
            </w:r>
          </w:p>
        </w:tc>
        <w:tc>
          <w:tcPr>
            <w:tcW w:w="148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D45369" w:rsidP="00F93981" w:rsidRDefault="006A4E66" w14:paraId="12AA4042" w14:textId="0D255623">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911,820 total feet </w:t>
            </w:r>
            <w:r w:rsidR="001B7F4C">
              <w:rPr>
                <w:rFonts w:ascii="Times New Roman" w:hAnsi="Times New Roman" w:eastAsia="Calibri" w:cs="Times New Roman"/>
                <w:sz w:val="16"/>
                <w:szCs w:val="16"/>
              </w:rPr>
              <w:t>(277</w:t>
            </w:r>
            <w:r w:rsidR="00F42DB2">
              <w:rPr>
                <w:rFonts w:ascii="Times New Roman" w:hAnsi="Times New Roman" w:eastAsia="Calibri" w:cs="Times New Roman"/>
                <w:sz w:val="16"/>
                <w:szCs w:val="16"/>
              </w:rPr>
              <w:t>,</w:t>
            </w:r>
            <w:r w:rsidR="001B7F4C">
              <w:rPr>
                <w:rFonts w:ascii="Times New Roman" w:hAnsi="Times New Roman" w:eastAsia="Calibri" w:cs="Times New Roman"/>
                <w:sz w:val="16"/>
                <w:szCs w:val="16"/>
              </w:rPr>
              <w:t xml:space="preserve">922.7 m) </w:t>
            </w:r>
            <w:r w:rsidRPr="007D7417">
              <w:rPr>
                <w:rFonts w:ascii="Times New Roman" w:hAnsi="Times New Roman" w:eastAsia="Calibri" w:cs="Times New Roman"/>
                <w:sz w:val="16"/>
                <w:szCs w:val="16"/>
              </w:rPr>
              <w:t xml:space="preserve">of marking </w:t>
            </w:r>
          </w:p>
        </w:tc>
        <w:tc>
          <w:tcPr>
            <w:tcW w:w="1384"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Pr="007D7417" w:rsidR="00D45369" w:rsidP="00F93981" w:rsidRDefault="006A4E66" w14:paraId="286FF188"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$21.84 per vessel  </w:t>
            </w:r>
          </w:p>
        </w:tc>
        <w:tc>
          <w:tcPr>
            <w:tcW w:w="1370"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Pr="007D7417" w:rsidR="00D45369" w:rsidP="00F93981" w:rsidRDefault="006A4E66" w14:paraId="6991B8CF"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$36,472.80 </w:t>
            </w:r>
          </w:p>
        </w:tc>
      </w:tr>
    </w:tbl>
    <w:p w:rsidRPr="007D7417" w:rsidR="00D45369" w:rsidP="007D7417" w:rsidRDefault="00D45369" w14:paraId="3F7913DD" w14:textId="77777777">
      <w:pPr>
        <w:spacing w:line="240" w:lineRule="auto"/>
        <w:rPr>
          <w:rFonts w:ascii="Times New Roman" w:hAnsi="Times New Roman" w:cs="Times New Roman"/>
          <w:b/>
        </w:rPr>
      </w:pPr>
    </w:p>
    <w:p w:rsidRPr="00342723" w:rsidR="00D45369" w:rsidP="007D7417" w:rsidRDefault="006A4E66" w14:paraId="22FBD310" w14:textId="022D3A76">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The estimated cost for materials for this information collection is $21.84 per vessel per year. This is based on the cost of standard duct tape, which is approximately $5 for 2” x 60 yards, or $0.17 per square foot. </w:t>
      </w:r>
      <w:r w:rsidRPr="00342723" w:rsidR="00A3449A">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When wrapped around a ⅜</w:t>
      </w:r>
      <w:r w:rsidRPr="00342723" w:rsidR="00A3449A">
        <w:rPr>
          <w:rFonts w:ascii="Times New Roman" w:hAnsi="Times New Roman" w:eastAsia="Times New Roman" w:cs="Times New Roman"/>
          <w:sz w:val="24"/>
          <w:szCs w:val="24"/>
        </w:rPr>
        <w:t>-inch</w:t>
      </w:r>
      <w:r w:rsidRPr="00342723">
        <w:rPr>
          <w:rFonts w:ascii="Times New Roman" w:hAnsi="Times New Roman" w:eastAsia="Times New Roman" w:cs="Times New Roman"/>
          <w:sz w:val="24"/>
          <w:szCs w:val="24"/>
        </w:rPr>
        <w:t xml:space="preserve"> line, one foot of duct tape will cost $0.04 per foot. The total footage of marks for all vessels is 911,820 feet</w:t>
      </w:r>
      <w:r w:rsidRPr="00342723" w:rsidR="001B7F4C">
        <w:rPr>
          <w:rFonts w:ascii="Times New Roman" w:hAnsi="Times New Roman" w:eastAsia="Times New Roman" w:cs="Times New Roman"/>
          <w:sz w:val="24"/>
          <w:szCs w:val="24"/>
        </w:rPr>
        <w:t xml:space="preserve"> (277</w:t>
      </w:r>
      <w:r w:rsidRPr="00342723" w:rsidR="00F42DB2">
        <w:rPr>
          <w:rFonts w:ascii="Times New Roman" w:hAnsi="Times New Roman" w:eastAsia="Times New Roman" w:cs="Times New Roman"/>
          <w:sz w:val="24"/>
          <w:szCs w:val="24"/>
        </w:rPr>
        <w:t>,</w:t>
      </w:r>
      <w:r w:rsidRPr="00342723" w:rsidR="001B7F4C">
        <w:rPr>
          <w:rFonts w:ascii="Times New Roman" w:hAnsi="Times New Roman" w:eastAsia="Times New Roman" w:cs="Times New Roman"/>
          <w:sz w:val="24"/>
          <w:szCs w:val="24"/>
        </w:rPr>
        <w:t>922.7 meters)</w:t>
      </w:r>
      <w:r w:rsidRPr="00342723">
        <w:rPr>
          <w:rFonts w:ascii="Times New Roman" w:hAnsi="Times New Roman" w:eastAsia="Times New Roman" w:cs="Times New Roman"/>
          <w:sz w:val="24"/>
          <w:szCs w:val="24"/>
        </w:rPr>
        <w:t xml:space="preserve">, or an average of 546 feet </w:t>
      </w:r>
      <w:r w:rsidRPr="00342723" w:rsidR="001B7F4C">
        <w:rPr>
          <w:rFonts w:ascii="Times New Roman" w:hAnsi="Times New Roman" w:eastAsia="Times New Roman" w:cs="Times New Roman"/>
          <w:sz w:val="24"/>
          <w:szCs w:val="24"/>
        </w:rPr>
        <w:t>(166.4 meters)</w:t>
      </w:r>
      <w:r w:rsidRPr="00342723" w:rsidR="001B7F4C">
        <w:rPr>
          <w:rFonts w:ascii="Times New Roman" w:hAnsi="Times New Roman" w:eastAsia="Calibri" w:cs="Times New Roman"/>
          <w:sz w:val="24"/>
          <w:szCs w:val="24"/>
        </w:rPr>
        <w:t xml:space="preserve"> </w:t>
      </w:r>
      <w:r w:rsidRPr="00342723">
        <w:rPr>
          <w:rFonts w:ascii="Times New Roman" w:hAnsi="Times New Roman" w:eastAsia="Times New Roman" w:cs="Times New Roman"/>
          <w:sz w:val="24"/>
          <w:szCs w:val="24"/>
        </w:rPr>
        <w:t xml:space="preserve">of marks per vessel. </w:t>
      </w:r>
      <w:r w:rsidRPr="00342723" w:rsidR="00A3449A">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Therefore, the total annual cost burden for all vertical buoy line marking is $36,472.80 per year.</w:t>
      </w:r>
    </w:p>
    <w:p w:rsidRPr="00342723" w:rsidR="00D45369" w:rsidP="007D7417" w:rsidRDefault="00D45369" w14:paraId="31DCD51F" w14:textId="77777777">
      <w:pPr>
        <w:spacing w:line="240" w:lineRule="auto"/>
        <w:rPr>
          <w:rFonts w:ascii="Times New Roman" w:hAnsi="Times New Roman" w:cs="Times New Roman"/>
          <w:sz w:val="24"/>
          <w:szCs w:val="24"/>
        </w:rPr>
      </w:pPr>
    </w:p>
    <w:p w:rsidRPr="00342723" w:rsidR="00D45369" w:rsidP="007D7417" w:rsidRDefault="006A4E66" w14:paraId="7FE8C499" w14:textId="77777777">
      <w:pPr>
        <w:spacing w:line="240" w:lineRule="auto"/>
        <w:rPr>
          <w:rFonts w:ascii="Times New Roman" w:hAnsi="Times New Roman" w:cs="Times New Roman"/>
          <w:sz w:val="24"/>
          <w:szCs w:val="24"/>
        </w:rPr>
      </w:pPr>
      <w:r w:rsidRPr="00342723">
        <w:rPr>
          <w:rFonts w:ascii="Times New Roman" w:hAnsi="Times New Roman" w:eastAsia="Times New Roman" w:cs="Times New Roman"/>
          <w:sz w:val="24"/>
          <w:szCs w:val="24"/>
        </w:rPr>
        <w:t>There is no record keeping burden with this rulemaking.</w:t>
      </w:r>
      <w:r w:rsidRPr="00342723">
        <w:rPr>
          <w:rFonts w:ascii="Times New Roman" w:hAnsi="Times New Roman" w:cs="Times New Roman"/>
          <w:sz w:val="24"/>
          <w:szCs w:val="24"/>
        </w:rPr>
        <w:t xml:space="preserve"> </w:t>
      </w:r>
    </w:p>
    <w:p w:rsidRPr="00342723" w:rsidR="00D45369" w:rsidP="007D7417" w:rsidRDefault="00D45369" w14:paraId="1FCB2695" w14:textId="77777777">
      <w:pPr>
        <w:spacing w:line="240" w:lineRule="auto"/>
        <w:rPr>
          <w:rFonts w:ascii="Times New Roman" w:hAnsi="Times New Roman" w:cs="Times New Roman"/>
          <w:sz w:val="24"/>
          <w:szCs w:val="24"/>
        </w:rPr>
      </w:pPr>
    </w:p>
    <w:p w:rsidRPr="00342723" w:rsidR="00D45369" w:rsidP="007D7417" w:rsidRDefault="006A4E66" w14:paraId="4F93E57D" w14:textId="77777777">
      <w:pPr>
        <w:spacing w:line="240" w:lineRule="auto"/>
        <w:rPr>
          <w:rFonts w:ascii="Times New Roman" w:hAnsi="Times New Roman" w:cs="Times New Roman"/>
          <w:color w:val="2F5496"/>
          <w:sz w:val="24"/>
          <w:szCs w:val="24"/>
        </w:rPr>
      </w:pPr>
      <w:r w:rsidRPr="00342723">
        <w:rPr>
          <w:rFonts w:ascii="Times New Roman" w:hAnsi="Times New Roman" w:cs="Times New Roman"/>
          <w:b/>
          <w:sz w:val="24"/>
          <w:szCs w:val="24"/>
        </w:rPr>
        <w:t>14.</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42723" w:rsidR="009118EA" w:rsidP="007D7417" w:rsidRDefault="009118EA" w14:paraId="09F014E9" w14:textId="77777777">
      <w:pPr>
        <w:spacing w:line="240" w:lineRule="auto"/>
        <w:rPr>
          <w:rFonts w:ascii="Times New Roman" w:hAnsi="Times New Roman" w:eastAsia="Times New Roman" w:cs="Times New Roman"/>
          <w:sz w:val="24"/>
          <w:szCs w:val="24"/>
        </w:rPr>
      </w:pPr>
    </w:p>
    <w:p w:rsidRPr="00342723" w:rsidR="00D45369" w:rsidP="007D7417" w:rsidRDefault="006A4E66" w14:paraId="77D7D18F" w14:textId="2F786358">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lastRenderedPageBreak/>
        <w:t xml:space="preserve">Based on 40 hours of effort and 6 hours of supervisory review per year to prepare this collection of information, the </w:t>
      </w:r>
      <w:r w:rsidRPr="00342723" w:rsidR="009118EA">
        <w:rPr>
          <w:rFonts w:ascii="Times New Roman" w:hAnsi="Times New Roman" w:eastAsia="Times New Roman" w:cs="Times New Roman"/>
          <w:sz w:val="24"/>
          <w:szCs w:val="24"/>
        </w:rPr>
        <w:t>total cost to the government is</w:t>
      </w:r>
      <w:r w:rsidRPr="00342723">
        <w:rPr>
          <w:rFonts w:ascii="Times New Roman" w:hAnsi="Times New Roman" w:eastAsia="Times New Roman" w:cs="Times New Roman"/>
          <w:sz w:val="24"/>
          <w:szCs w:val="24"/>
        </w:rPr>
        <w:t xml:space="preserve"> $2,012.33 per year. </w:t>
      </w:r>
      <w:r w:rsidRPr="00342723" w:rsidR="00A3449A">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The total cost to the government was calculated using the Standard Pay Table for Performance Payout System, for the Boston, MA area Scientific &amp; Technical positions, issued on December 26, 2019.</w:t>
      </w:r>
    </w:p>
    <w:p w:rsidRPr="00342723" w:rsidR="009118EA" w:rsidP="007D7417" w:rsidRDefault="009118EA" w14:paraId="006B657E" w14:textId="77777777">
      <w:pPr>
        <w:spacing w:line="240" w:lineRule="auto"/>
        <w:rPr>
          <w:rFonts w:ascii="Times New Roman" w:hAnsi="Times New Roman" w:cs="Times New Roman"/>
          <w:sz w:val="24"/>
          <w:szCs w:val="24"/>
        </w:rPr>
      </w:pPr>
    </w:p>
    <w:p w:rsidRPr="00342723" w:rsidR="00D45369" w:rsidP="007D7417" w:rsidRDefault="009F2196" w14:paraId="2D8F6365" w14:textId="186F1223">
      <w:pPr>
        <w:spacing w:line="240" w:lineRule="auto"/>
        <w:rPr>
          <w:rFonts w:ascii="Times New Roman" w:hAnsi="Times New Roman" w:eastAsia="Times New Roman" w:cs="Times New Roman"/>
          <w:sz w:val="24"/>
          <w:szCs w:val="24"/>
        </w:rPr>
      </w:pPr>
      <w:hyperlink r:id="rId13">
        <w:r w:rsidRPr="00342723" w:rsidR="006A4E66">
          <w:rPr>
            <w:rFonts w:ascii="Times New Roman" w:hAnsi="Times New Roman" w:eastAsia="Times New Roman" w:cs="Times New Roman"/>
            <w:sz w:val="24"/>
            <w:szCs w:val="24"/>
          </w:rPr>
          <w:t>https://www.commerce.gov/sites/default/files/2020-01/2020%20rpstandard.pdf</w:t>
        </w:r>
      </w:hyperlink>
      <w:r w:rsidRPr="00342723" w:rsidR="006A4E66">
        <w:rPr>
          <w:rFonts w:ascii="Times New Roman" w:hAnsi="Times New Roman" w:eastAsia="Times New Roman" w:cs="Times New Roman"/>
          <w:sz w:val="24"/>
          <w:szCs w:val="24"/>
        </w:rPr>
        <w:t xml:space="preserve"> </w:t>
      </w:r>
    </w:p>
    <w:p w:rsidRPr="00342723" w:rsidR="009118EA" w:rsidP="007D7417" w:rsidRDefault="009118EA" w14:paraId="59DB5282" w14:textId="4DF9206A">
      <w:pPr>
        <w:spacing w:line="240" w:lineRule="auto"/>
        <w:rPr>
          <w:rFonts w:ascii="Times New Roman" w:hAnsi="Times New Roman" w:eastAsia="Times New Roman" w:cs="Times New Roman"/>
          <w:sz w:val="24"/>
          <w:szCs w:val="24"/>
        </w:rPr>
      </w:pPr>
    </w:p>
    <w:p w:rsidRPr="00342723" w:rsidR="009118EA" w:rsidP="007D7417" w:rsidRDefault="00347D2C" w14:paraId="1EB0C296" w14:textId="490EB634">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 xml:space="preserve">Table 5: Estimated annualized cost to the Federal government to prepare the collection of this information. </w:t>
      </w:r>
      <w:r w:rsidRPr="00342723" w:rsidR="0093771B">
        <w:rPr>
          <w:rFonts w:ascii="Times New Roman" w:hAnsi="Times New Roman" w:eastAsia="Times New Roman" w:cs="Times New Roman"/>
          <w:sz w:val="24"/>
          <w:szCs w:val="24"/>
        </w:rPr>
        <w:t xml:space="preserve"> </w:t>
      </w:r>
      <w:r w:rsidRPr="00342723">
        <w:rPr>
          <w:rFonts w:ascii="Times New Roman" w:hAnsi="Times New Roman" w:eastAsia="Times New Roman" w:cs="Times New Roman"/>
          <w:sz w:val="24"/>
          <w:szCs w:val="24"/>
        </w:rPr>
        <w:t>No travel, fringe or other cost</w:t>
      </w:r>
      <w:r w:rsidRPr="00342723" w:rsidR="00C42E7A">
        <w:rPr>
          <w:rFonts w:ascii="Times New Roman" w:hAnsi="Times New Roman" w:eastAsia="Times New Roman" w:cs="Times New Roman"/>
          <w:sz w:val="24"/>
          <w:szCs w:val="24"/>
        </w:rPr>
        <w:t>s</w:t>
      </w:r>
      <w:r w:rsidRPr="00342723">
        <w:rPr>
          <w:rFonts w:ascii="Times New Roman" w:hAnsi="Times New Roman" w:eastAsia="Times New Roman" w:cs="Times New Roman"/>
          <w:sz w:val="24"/>
          <w:szCs w:val="24"/>
        </w:rPr>
        <w:t xml:space="preserve"> outside of salary</w:t>
      </w:r>
      <w:r w:rsidRPr="00342723" w:rsidR="00C42E7A">
        <w:rPr>
          <w:rFonts w:ascii="Times New Roman" w:hAnsi="Times New Roman" w:eastAsia="Times New Roman" w:cs="Times New Roman"/>
          <w:sz w:val="24"/>
          <w:szCs w:val="24"/>
        </w:rPr>
        <w:t xml:space="preserve"> is required. </w:t>
      </w:r>
    </w:p>
    <w:p w:rsidRPr="007D7417" w:rsidR="009118EA" w:rsidP="007D7417" w:rsidRDefault="009118EA" w14:paraId="0499F680" w14:textId="77777777">
      <w:pPr>
        <w:spacing w:line="240" w:lineRule="auto"/>
        <w:rPr>
          <w:rFonts w:ascii="Times New Roman" w:hAnsi="Times New Roman" w:eastAsia="Times New Roman" w:cs="Times New Roman"/>
          <w:sz w:val="24"/>
          <w:szCs w:val="24"/>
        </w:rPr>
      </w:pPr>
    </w:p>
    <w:tbl>
      <w:tblPr>
        <w:tblStyle w:val="a3"/>
        <w:tblW w:w="8250" w:type="dxa"/>
        <w:tblBorders>
          <w:top w:val="nil"/>
          <w:left w:val="nil"/>
          <w:bottom w:val="nil"/>
          <w:right w:val="nil"/>
          <w:insideH w:val="nil"/>
          <w:insideV w:val="nil"/>
        </w:tblBorders>
        <w:tblLayout w:type="fixed"/>
        <w:tblLook w:val="0600" w:firstRow="0" w:lastRow="0" w:firstColumn="0" w:lastColumn="0" w:noHBand="1" w:noVBand="1"/>
      </w:tblPr>
      <w:tblGrid>
        <w:gridCol w:w="2280"/>
        <w:gridCol w:w="1125"/>
        <w:gridCol w:w="1140"/>
        <w:gridCol w:w="1125"/>
        <w:gridCol w:w="1275"/>
        <w:gridCol w:w="1305"/>
      </w:tblGrid>
      <w:tr w:rsidRPr="007D7417" w:rsidR="001A3495" w:rsidTr="001A3495" w14:paraId="62279E2B" w14:textId="6C58EDFB">
        <w:trPr>
          <w:trHeight w:val="650"/>
        </w:trPr>
        <w:tc>
          <w:tcPr>
            <w:tcW w:w="2280" w:type="dxa"/>
            <w:tcBorders>
              <w:top w:val="single" w:color="000000" w:sz="8" w:space="0"/>
              <w:left w:val="single" w:color="000000" w:sz="8" w:space="0"/>
              <w:bottom w:val="nil"/>
              <w:right w:val="single" w:color="000000" w:sz="8" w:space="0"/>
            </w:tcBorders>
            <w:shd w:val="clear" w:color="auto" w:fill="BDD7EE"/>
            <w:tcMar>
              <w:top w:w="100" w:type="dxa"/>
              <w:left w:w="100" w:type="dxa"/>
              <w:bottom w:w="100" w:type="dxa"/>
              <w:right w:w="100" w:type="dxa"/>
            </w:tcMar>
          </w:tcPr>
          <w:p w:rsidRPr="007D7417" w:rsidR="001A3495" w:rsidP="007D7417" w:rsidRDefault="001A3495" w14:paraId="70E4EAB0"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Cost Descriptions</w:t>
            </w:r>
          </w:p>
        </w:tc>
        <w:tc>
          <w:tcPr>
            <w:tcW w:w="112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Pr="007D7417" w:rsidR="001A3495" w:rsidP="007D7417" w:rsidRDefault="001A3495" w14:paraId="190C4957"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Grade/Step</w:t>
            </w:r>
          </w:p>
        </w:tc>
        <w:tc>
          <w:tcPr>
            <w:tcW w:w="1140"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Pr="007D7417" w:rsidR="001A3495" w:rsidP="007D7417" w:rsidRDefault="001A3495" w14:paraId="07665B90" w14:textId="667B837C">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Loaded Salary /</w:t>
            </w:r>
            <w:r>
              <w:rPr>
                <w:rFonts w:ascii="Times New Roman" w:hAnsi="Times New Roman" w:eastAsia="Calibri" w:cs="Times New Roman"/>
                <w:b/>
                <w:sz w:val="16"/>
                <w:szCs w:val="16"/>
              </w:rPr>
              <w:t xml:space="preserve"> </w:t>
            </w:r>
            <w:r w:rsidRPr="007D7417">
              <w:rPr>
                <w:rFonts w:ascii="Times New Roman" w:hAnsi="Times New Roman" w:eastAsia="Calibri" w:cs="Times New Roman"/>
                <w:b/>
                <w:sz w:val="16"/>
                <w:szCs w:val="16"/>
              </w:rPr>
              <w:t>Cost</w:t>
            </w:r>
          </w:p>
        </w:tc>
        <w:tc>
          <w:tcPr>
            <w:tcW w:w="112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Pr="007D7417" w:rsidR="001A3495" w:rsidP="007D7417" w:rsidRDefault="001A3495" w14:paraId="7CD34554" w14:textId="60CB9AA7">
            <w:pPr>
              <w:spacing w:line="240" w:lineRule="auto"/>
              <w:ind w:left="-20"/>
              <w:jc w:val="center"/>
              <w:rPr>
                <w:rFonts w:ascii="Times New Roman" w:hAnsi="Times New Roman" w:eastAsia="Calibri" w:cs="Times New Roman"/>
                <w:b/>
                <w:sz w:val="16"/>
                <w:szCs w:val="16"/>
              </w:rPr>
            </w:pPr>
            <w:r>
              <w:rPr>
                <w:rFonts w:ascii="Times New Roman" w:hAnsi="Times New Roman" w:eastAsia="Calibri" w:cs="Times New Roman"/>
                <w:b/>
                <w:sz w:val="16"/>
                <w:szCs w:val="16"/>
              </w:rPr>
              <w:t>Percent</w:t>
            </w:r>
            <w:r w:rsidRPr="007D7417">
              <w:rPr>
                <w:rFonts w:ascii="Times New Roman" w:hAnsi="Times New Roman" w:eastAsia="Calibri" w:cs="Times New Roman"/>
                <w:b/>
                <w:sz w:val="16"/>
                <w:szCs w:val="16"/>
              </w:rPr>
              <w:t xml:space="preserve"> of Effort</w:t>
            </w:r>
          </w:p>
        </w:tc>
        <w:tc>
          <w:tcPr>
            <w:tcW w:w="127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Pr="007D7417" w:rsidR="001A3495" w:rsidRDefault="001A3495" w14:paraId="50179330" w14:textId="37B0AAA2">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 xml:space="preserve">Fringe (if </w:t>
            </w:r>
            <w:r>
              <w:rPr>
                <w:rFonts w:ascii="Times New Roman" w:hAnsi="Times New Roman" w:eastAsia="Calibri" w:cs="Times New Roman"/>
                <w:b/>
                <w:sz w:val="16"/>
                <w:szCs w:val="16"/>
              </w:rPr>
              <w:t>a</w:t>
            </w:r>
            <w:r w:rsidRPr="007D7417">
              <w:rPr>
                <w:rFonts w:ascii="Times New Roman" w:hAnsi="Times New Roman" w:eastAsia="Calibri" w:cs="Times New Roman"/>
                <w:b/>
                <w:sz w:val="16"/>
                <w:szCs w:val="16"/>
              </w:rPr>
              <w:t>pplicable)</w:t>
            </w:r>
          </w:p>
        </w:tc>
        <w:tc>
          <w:tcPr>
            <w:tcW w:w="130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Pr="007D7417" w:rsidR="001A3495" w:rsidP="007D7417" w:rsidRDefault="001A3495" w14:paraId="33767307"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Total Cost to Government</w:t>
            </w:r>
          </w:p>
        </w:tc>
      </w:tr>
      <w:tr w:rsidRPr="007D7417" w:rsidR="001A3495" w:rsidTr="001A3495" w14:paraId="0344850F" w14:textId="089E0810">
        <w:trPr>
          <w:trHeight w:val="665"/>
        </w:trPr>
        <w:tc>
          <w:tcPr>
            <w:tcW w:w="22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bottom"/>
          </w:tcPr>
          <w:p w:rsidRPr="007D7417" w:rsidR="001A3495" w:rsidP="007D7417" w:rsidRDefault="001A3495" w14:paraId="24EBD487" w14:textId="77777777">
            <w:pPr>
              <w:spacing w:line="240" w:lineRule="auto"/>
              <w:ind w:left="-20"/>
              <w:rPr>
                <w:rFonts w:ascii="Times New Roman" w:hAnsi="Times New Roman" w:eastAsia="Calibri" w:cs="Times New Roman"/>
                <w:b/>
                <w:sz w:val="16"/>
                <w:szCs w:val="16"/>
              </w:rPr>
            </w:pPr>
            <w:r w:rsidRPr="007D7417">
              <w:rPr>
                <w:rFonts w:ascii="Times New Roman" w:hAnsi="Times New Roman" w:eastAsia="Calibri" w:cs="Times New Roman"/>
                <w:b/>
                <w:sz w:val="16"/>
                <w:szCs w:val="16"/>
              </w:rPr>
              <w:t>Federal Oversight</w:t>
            </w:r>
          </w:p>
        </w:tc>
        <w:tc>
          <w:tcPr>
            <w:tcW w:w="1125"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06451105"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40"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22AA955B"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25"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053081CE"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275"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30F062BA"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305"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11083777"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r>
      <w:tr w:rsidRPr="007D7417" w:rsidR="001A3495" w:rsidTr="001A3495" w14:paraId="0959B5F9" w14:textId="143AF196">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Pr="00347D2C" w:rsidR="001A3495" w:rsidP="007D7417" w:rsidRDefault="001A3495" w14:paraId="76B14618" w14:textId="77777777">
            <w:pPr>
              <w:spacing w:line="240" w:lineRule="auto"/>
              <w:ind w:left="-20"/>
              <w:rPr>
                <w:rFonts w:ascii="Times New Roman" w:hAnsi="Times New Roman" w:eastAsia="Calibri" w:cs="Times New Roman"/>
                <w:b/>
                <w:sz w:val="16"/>
                <w:szCs w:val="16"/>
              </w:rPr>
            </w:pPr>
            <w:r w:rsidRPr="00347D2C">
              <w:rPr>
                <w:rFonts w:ascii="Times New Roman" w:hAnsi="Times New Roman" w:eastAsia="Calibri" w:cs="Times New Roman"/>
                <w:b/>
                <w:sz w:val="16"/>
                <w:szCs w:val="16"/>
              </w:rPr>
              <w:t xml:space="preserve">Supervisory review </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09DB0906"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Band 5,</w:t>
            </w:r>
          </w:p>
          <w:p w:rsidRPr="007D7417" w:rsidR="001A3495" w:rsidP="00347D2C" w:rsidRDefault="001A3495" w14:paraId="32F5F0CA"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Step 3</w:t>
            </w:r>
          </w:p>
        </w:tc>
        <w:tc>
          <w:tcPr>
            <w:tcW w:w="11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20234569"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$128,678</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042A8053"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&lt; 1% of annual effort (1 hour)</w:t>
            </w:r>
          </w:p>
        </w:tc>
        <w:tc>
          <w:tcPr>
            <w:tcW w:w="127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6D89A5F3"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54B04526"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$61.77</w:t>
            </w:r>
          </w:p>
        </w:tc>
      </w:tr>
      <w:tr w:rsidRPr="007D7417" w:rsidR="001A3495" w:rsidTr="001A3495" w14:paraId="0695E7DD" w14:textId="64BBEF30">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Pr="00347D2C" w:rsidR="001A3495" w:rsidP="007D7417" w:rsidRDefault="001A3495" w14:paraId="51A6CBE6" w14:textId="77777777">
            <w:pPr>
              <w:spacing w:line="240" w:lineRule="auto"/>
              <w:ind w:left="-20"/>
              <w:rPr>
                <w:rFonts w:ascii="Times New Roman" w:hAnsi="Times New Roman" w:eastAsia="Calibri" w:cs="Times New Roman"/>
                <w:b/>
                <w:sz w:val="16"/>
                <w:szCs w:val="16"/>
              </w:rPr>
            </w:pPr>
            <w:r w:rsidRPr="00347D2C">
              <w:rPr>
                <w:rFonts w:ascii="Times New Roman" w:hAnsi="Times New Roman" w:eastAsia="Calibri" w:cs="Times New Roman"/>
                <w:b/>
                <w:sz w:val="16"/>
                <w:szCs w:val="16"/>
              </w:rPr>
              <w:t>Supervisory review</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06E92A79"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Band 4, </w:t>
            </w:r>
          </w:p>
          <w:p w:rsidRPr="007D7417" w:rsidR="001A3495" w:rsidP="00347D2C" w:rsidRDefault="001A3495" w14:paraId="3A0F175C"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Step 3</w:t>
            </w:r>
          </w:p>
        </w:tc>
        <w:tc>
          <w:tcPr>
            <w:tcW w:w="11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6FFFEF1F"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$106,641.50</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48857C23"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&lt; 1% of annual effort (5 hours)</w:t>
            </w:r>
          </w:p>
        </w:tc>
        <w:tc>
          <w:tcPr>
            <w:tcW w:w="1275"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43F81891"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1FD341F4"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$385.54</w:t>
            </w:r>
          </w:p>
        </w:tc>
      </w:tr>
      <w:tr w:rsidRPr="007D7417" w:rsidR="001A3495" w:rsidTr="001A3495" w14:paraId="0B9720D6" w14:textId="13FD3037">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Pr="00347D2C" w:rsidR="001A3495" w:rsidP="007D7417" w:rsidRDefault="001A3495" w14:paraId="3FECC1EE" w14:textId="77777777">
            <w:pPr>
              <w:spacing w:line="240" w:lineRule="auto"/>
              <w:ind w:left="-20"/>
              <w:rPr>
                <w:rFonts w:ascii="Times New Roman" w:hAnsi="Times New Roman" w:eastAsia="Calibri" w:cs="Times New Roman"/>
                <w:b/>
                <w:sz w:val="16"/>
                <w:szCs w:val="16"/>
              </w:rPr>
            </w:pPr>
            <w:r w:rsidRPr="00347D2C">
              <w:rPr>
                <w:rFonts w:ascii="Times New Roman" w:hAnsi="Times New Roman" w:eastAsia="Calibri" w:cs="Times New Roman"/>
                <w:b/>
                <w:sz w:val="16"/>
                <w:szCs w:val="16"/>
              </w:rPr>
              <w:t>TRT coordinator, economist and support staff preparing materials and economic impact</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78D8AD96"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Band 3, </w:t>
            </w:r>
          </w:p>
          <w:p w:rsidRPr="007D7417" w:rsidR="001A3495" w:rsidP="00347D2C" w:rsidRDefault="001A3495" w14:paraId="2B884370"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Step 3  </w:t>
            </w:r>
          </w:p>
        </w:tc>
        <w:tc>
          <w:tcPr>
            <w:tcW w:w="11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258FE18D"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$81,511.50</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1BCCAB1A"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2% of annual effort (40 hours)</w:t>
            </w:r>
          </w:p>
        </w:tc>
        <w:tc>
          <w:tcPr>
            <w:tcW w:w="127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15CCC5DC"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6BCF5259"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$1,565.02</w:t>
            </w:r>
          </w:p>
        </w:tc>
      </w:tr>
      <w:tr w:rsidRPr="007D7417" w:rsidR="001A3495" w:rsidTr="001A3495" w14:paraId="4D33937E" w14:textId="7F6C4CA0">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Pr="007D7417" w:rsidR="001A3495" w:rsidP="007D7417" w:rsidRDefault="001A3495" w14:paraId="3FD37900" w14:textId="77777777">
            <w:pPr>
              <w:spacing w:line="240" w:lineRule="auto"/>
              <w:ind w:left="-20"/>
              <w:rPr>
                <w:rFonts w:ascii="Times New Roman" w:hAnsi="Times New Roman" w:eastAsia="Calibri" w:cs="Times New Roman"/>
                <w:b/>
                <w:sz w:val="16"/>
                <w:szCs w:val="16"/>
              </w:rPr>
            </w:pPr>
            <w:r w:rsidRPr="007D7417">
              <w:rPr>
                <w:rFonts w:ascii="Times New Roman" w:hAnsi="Times New Roman" w:eastAsia="Calibri" w:cs="Times New Roman"/>
                <w:b/>
                <w:sz w:val="16"/>
                <w:szCs w:val="16"/>
              </w:rPr>
              <w:t>Travel</w:t>
            </w:r>
          </w:p>
        </w:tc>
        <w:tc>
          <w:tcPr>
            <w:tcW w:w="112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2ED5C4E0"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40"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59EE90FA"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2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303CAB3A"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27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228192D5"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5FEAC926"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$0.00</w:t>
            </w:r>
          </w:p>
        </w:tc>
      </w:tr>
      <w:tr w:rsidRPr="007D7417" w:rsidR="001A3495" w:rsidTr="001A3495" w14:paraId="7CA1A104" w14:textId="26C27D8B">
        <w:trPr>
          <w:trHeight w:val="725"/>
        </w:trPr>
        <w:tc>
          <w:tcPr>
            <w:tcW w:w="2280" w:type="dxa"/>
            <w:tcBorders>
              <w:top w:val="nil"/>
              <w:left w:val="single" w:color="000000" w:sz="8" w:space="0"/>
              <w:bottom w:val="nil"/>
              <w:right w:val="single" w:color="000000" w:sz="8" w:space="0"/>
            </w:tcBorders>
            <w:tcMar>
              <w:top w:w="100" w:type="dxa"/>
              <w:left w:w="100" w:type="dxa"/>
              <w:bottom w:w="100" w:type="dxa"/>
              <w:right w:w="100" w:type="dxa"/>
            </w:tcMar>
          </w:tcPr>
          <w:p w:rsidRPr="007D7417" w:rsidR="001A3495" w:rsidRDefault="001A3495" w14:paraId="4EAE16B3" w14:textId="62E90B74">
            <w:pPr>
              <w:spacing w:line="240" w:lineRule="auto"/>
              <w:ind w:left="-20"/>
              <w:rPr>
                <w:rFonts w:ascii="Times New Roman" w:hAnsi="Times New Roman" w:eastAsia="Calibri" w:cs="Times New Roman"/>
                <w:b/>
                <w:sz w:val="16"/>
                <w:szCs w:val="16"/>
              </w:rPr>
            </w:pPr>
            <w:r w:rsidRPr="007D7417">
              <w:rPr>
                <w:rFonts w:ascii="Times New Roman" w:hAnsi="Times New Roman" w:eastAsia="Calibri" w:cs="Times New Roman"/>
                <w:b/>
                <w:sz w:val="16"/>
                <w:szCs w:val="16"/>
              </w:rPr>
              <w:t xml:space="preserve">Other </w:t>
            </w:r>
            <w:r>
              <w:rPr>
                <w:rFonts w:ascii="Times New Roman" w:hAnsi="Times New Roman" w:eastAsia="Calibri" w:cs="Times New Roman"/>
                <w:b/>
                <w:sz w:val="16"/>
                <w:szCs w:val="16"/>
              </w:rPr>
              <w:t>c</w:t>
            </w:r>
            <w:r w:rsidRPr="007D7417">
              <w:rPr>
                <w:rFonts w:ascii="Times New Roman" w:hAnsi="Times New Roman" w:eastAsia="Calibri" w:cs="Times New Roman"/>
                <w:b/>
                <w:sz w:val="16"/>
                <w:szCs w:val="16"/>
              </w:rPr>
              <w:t>osts</w:t>
            </w:r>
          </w:p>
        </w:tc>
        <w:tc>
          <w:tcPr>
            <w:tcW w:w="112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07A9A746"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40"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1282DE88"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25"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419FC06D"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275" w:type="dxa"/>
            <w:tcBorders>
              <w:top w:val="single" w:color="000000" w:sz="8" w:space="0"/>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28A5F834"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Pr="007D7417" w:rsidR="001A3495" w:rsidP="00347D2C" w:rsidRDefault="001A3495" w14:paraId="022FBE3B"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$0.00</w:t>
            </w:r>
          </w:p>
        </w:tc>
      </w:tr>
      <w:tr w:rsidRPr="007D7417" w:rsidR="001A3495" w:rsidTr="001A3495" w14:paraId="11356E44" w14:textId="3B52B081">
        <w:trPr>
          <w:trHeight w:val="515"/>
        </w:trPr>
        <w:tc>
          <w:tcPr>
            <w:tcW w:w="2280" w:type="dxa"/>
            <w:tcBorders>
              <w:top w:val="single" w:color="000000" w:sz="8" w:space="0"/>
              <w:left w:val="single" w:color="000000" w:sz="8" w:space="0"/>
              <w:bottom w:val="single" w:color="000000" w:sz="8" w:space="0"/>
              <w:right w:val="single" w:color="000000" w:sz="8" w:space="0"/>
            </w:tcBorders>
            <w:shd w:val="clear" w:color="auto" w:fill="DDEBF7"/>
            <w:tcMar>
              <w:top w:w="100" w:type="dxa"/>
              <w:left w:w="100" w:type="dxa"/>
              <w:bottom w:w="100" w:type="dxa"/>
              <w:right w:w="100" w:type="dxa"/>
            </w:tcMar>
            <w:vAlign w:val="bottom"/>
          </w:tcPr>
          <w:p w:rsidRPr="007D7417" w:rsidR="001A3495" w:rsidP="007D7417" w:rsidRDefault="001A3495" w14:paraId="5FAB1083" w14:textId="77777777">
            <w:pPr>
              <w:spacing w:line="240" w:lineRule="auto"/>
              <w:ind w:left="-20"/>
              <w:rPr>
                <w:rFonts w:ascii="Times New Roman" w:hAnsi="Times New Roman" w:eastAsia="Calibri" w:cs="Times New Roman"/>
                <w:b/>
                <w:sz w:val="16"/>
                <w:szCs w:val="16"/>
              </w:rPr>
            </w:pPr>
            <w:r w:rsidRPr="007D7417">
              <w:rPr>
                <w:rFonts w:ascii="Times New Roman" w:hAnsi="Times New Roman" w:eastAsia="Calibri" w:cs="Times New Roman"/>
                <w:b/>
                <w:sz w:val="16"/>
                <w:szCs w:val="16"/>
              </w:rPr>
              <w:t>TOTAL</w:t>
            </w:r>
          </w:p>
        </w:tc>
        <w:tc>
          <w:tcPr>
            <w:tcW w:w="112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40A55E50"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40"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231FEC0B"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12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1AAF38B1"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275" w:type="dxa"/>
            <w:tcBorders>
              <w:top w:val="nil"/>
              <w:left w:val="nil"/>
              <w:bottom w:val="single" w:color="000000" w:sz="8" w:space="0"/>
              <w:right w:val="single" w:color="000000" w:sz="8" w:space="0"/>
            </w:tcBorders>
            <w:shd w:val="clear" w:color="auto" w:fill="000000" w:themeFill="text1"/>
            <w:tcMar>
              <w:top w:w="100" w:type="dxa"/>
              <w:left w:w="100" w:type="dxa"/>
              <w:bottom w:w="100" w:type="dxa"/>
              <w:right w:w="100" w:type="dxa"/>
            </w:tcMar>
            <w:vAlign w:val="bottom"/>
          </w:tcPr>
          <w:p w:rsidRPr="007D7417" w:rsidR="001A3495" w:rsidP="007D7417" w:rsidRDefault="001A3495" w14:paraId="4F1E97D8" w14:textId="77777777">
            <w:pPr>
              <w:spacing w:line="240" w:lineRule="auto"/>
              <w:ind w:left="-20"/>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p>
        </w:tc>
        <w:tc>
          <w:tcPr>
            <w:tcW w:w="1305"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Pr="007D7417" w:rsidR="001A3495" w:rsidP="00670E98" w:rsidRDefault="001A3495" w14:paraId="63B4267D"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$2,012.33</w:t>
            </w:r>
          </w:p>
        </w:tc>
      </w:tr>
    </w:tbl>
    <w:p w:rsidRPr="007D7417" w:rsidR="00D45369" w:rsidP="007D7417" w:rsidRDefault="00D45369" w14:paraId="49D3ECE9" w14:textId="77777777">
      <w:pPr>
        <w:spacing w:line="240" w:lineRule="auto"/>
        <w:rPr>
          <w:rFonts w:ascii="Times New Roman" w:hAnsi="Times New Roman" w:cs="Times New Roman"/>
          <w:b/>
        </w:rPr>
      </w:pPr>
    </w:p>
    <w:p w:rsidR="00D45369" w:rsidP="007D7417" w:rsidRDefault="00D45369" w14:paraId="793A8DD8" w14:textId="7E25A737">
      <w:pPr>
        <w:spacing w:line="240" w:lineRule="auto"/>
        <w:rPr>
          <w:rFonts w:ascii="Times New Roman" w:hAnsi="Times New Roman" w:cs="Times New Roman"/>
          <w:b/>
        </w:rPr>
      </w:pPr>
    </w:p>
    <w:p w:rsidR="009118EA" w:rsidP="007D7417" w:rsidRDefault="009118EA" w14:paraId="058CE810" w14:textId="09AF63B1">
      <w:pPr>
        <w:spacing w:line="240" w:lineRule="auto"/>
        <w:rPr>
          <w:rFonts w:ascii="Times New Roman" w:hAnsi="Times New Roman" w:cs="Times New Roman"/>
          <w:b/>
        </w:rPr>
      </w:pPr>
    </w:p>
    <w:p w:rsidRPr="00342723" w:rsidR="00D45369" w:rsidP="007D7417" w:rsidRDefault="006A4E66" w14:paraId="56608503" w14:textId="4178CC02">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15.</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Explain the reasons for any program changes or adjustments reported in ROCIS.</w:t>
      </w:r>
    </w:p>
    <w:p w:rsidRPr="00342723" w:rsidR="008B2B74" w:rsidP="007D7417" w:rsidRDefault="008B2B74" w14:paraId="52373261" w14:textId="2A94A249">
      <w:pPr>
        <w:spacing w:line="240" w:lineRule="auto"/>
        <w:rPr>
          <w:rFonts w:ascii="Times New Roman" w:hAnsi="Times New Roman" w:cs="Times New Roman"/>
          <w:b/>
          <w:sz w:val="24"/>
          <w:szCs w:val="24"/>
        </w:rPr>
      </w:pPr>
    </w:p>
    <w:p w:rsidRPr="00342723" w:rsidR="008B2B74" w:rsidP="007D7417" w:rsidRDefault="008B2B74" w14:paraId="23228557" w14:textId="0F6EB6A5">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The tables below show information related to the information collections including reasons for any changes or adjustments.</w:t>
      </w:r>
    </w:p>
    <w:p w:rsidRPr="00342723" w:rsidR="007C60E3" w:rsidP="007D7417" w:rsidRDefault="007C60E3" w14:paraId="256198E8" w14:textId="37658CB8">
      <w:pPr>
        <w:spacing w:line="240" w:lineRule="auto"/>
        <w:rPr>
          <w:rFonts w:ascii="Times New Roman" w:hAnsi="Times New Roman" w:eastAsia="Times New Roman" w:cs="Times New Roman"/>
          <w:sz w:val="24"/>
          <w:szCs w:val="24"/>
        </w:rPr>
      </w:pPr>
    </w:p>
    <w:p w:rsidRPr="00342723" w:rsidR="00221ABA" w:rsidP="007D7417" w:rsidRDefault="00221ABA" w14:paraId="4DD42DDC" w14:textId="2E52C7EE">
      <w:pPr>
        <w:spacing w:line="240" w:lineRule="auto"/>
        <w:rPr>
          <w:rFonts w:ascii="Times New Roman" w:hAnsi="Times New Roman" w:eastAsia="Times New Roman" w:cs="Times New Roman"/>
          <w:sz w:val="24"/>
          <w:szCs w:val="24"/>
        </w:rPr>
      </w:pPr>
    </w:p>
    <w:p w:rsidRPr="00342723" w:rsidR="00221ABA" w:rsidP="007D7417" w:rsidRDefault="00221ABA" w14:paraId="38CCBF6A" w14:textId="0F2E51F9">
      <w:pPr>
        <w:spacing w:line="240" w:lineRule="auto"/>
        <w:rPr>
          <w:rFonts w:ascii="Times New Roman" w:hAnsi="Times New Roman" w:eastAsia="Times New Roman" w:cs="Times New Roman"/>
          <w:sz w:val="24"/>
          <w:szCs w:val="24"/>
        </w:rPr>
      </w:pPr>
    </w:p>
    <w:p w:rsidRPr="00342723" w:rsidR="00221ABA" w:rsidP="007D7417" w:rsidRDefault="00221ABA" w14:paraId="7F0B85FC" w14:textId="423485B6">
      <w:pPr>
        <w:spacing w:line="240" w:lineRule="auto"/>
        <w:rPr>
          <w:rFonts w:ascii="Times New Roman" w:hAnsi="Times New Roman" w:eastAsia="Times New Roman" w:cs="Times New Roman"/>
          <w:sz w:val="24"/>
          <w:szCs w:val="24"/>
        </w:rPr>
      </w:pPr>
    </w:p>
    <w:p w:rsidRPr="00342723" w:rsidR="00221ABA" w:rsidP="007D7417" w:rsidRDefault="00221ABA" w14:paraId="73FA7D3E" w14:textId="3D49076A">
      <w:pPr>
        <w:spacing w:line="240" w:lineRule="auto"/>
        <w:rPr>
          <w:rFonts w:ascii="Times New Roman" w:hAnsi="Times New Roman" w:eastAsia="Times New Roman" w:cs="Times New Roman"/>
          <w:sz w:val="24"/>
          <w:szCs w:val="24"/>
        </w:rPr>
      </w:pPr>
    </w:p>
    <w:p w:rsidRPr="00342723" w:rsidR="00221ABA" w:rsidP="007D7417" w:rsidRDefault="00221ABA" w14:paraId="35AE483F" w14:textId="76A8EB2A">
      <w:pPr>
        <w:spacing w:line="240" w:lineRule="auto"/>
        <w:rPr>
          <w:rFonts w:ascii="Times New Roman" w:hAnsi="Times New Roman" w:eastAsia="Times New Roman" w:cs="Times New Roman"/>
          <w:sz w:val="24"/>
          <w:szCs w:val="24"/>
        </w:rPr>
      </w:pPr>
    </w:p>
    <w:p w:rsidRPr="00342723" w:rsidR="00221ABA" w:rsidP="007D7417" w:rsidRDefault="00221ABA" w14:paraId="4952A1FE" w14:textId="47B2D508">
      <w:pPr>
        <w:spacing w:line="240" w:lineRule="auto"/>
        <w:rPr>
          <w:rFonts w:ascii="Times New Roman" w:hAnsi="Times New Roman" w:eastAsia="Times New Roman" w:cs="Times New Roman"/>
          <w:sz w:val="24"/>
          <w:szCs w:val="24"/>
        </w:rPr>
      </w:pPr>
    </w:p>
    <w:p w:rsidRPr="00342723" w:rsidR="00221ABA" w:rsidP="007D7417" w:rsidRDefault="00221ABA" w14:paraId="32A35D90" w14:textId="738F91DE">
      <w:pPr>
        <w:spacing w:line="240" w:lineRule="auto"/>
        <w:rPr>
          <w:rFonts w:ascii="Times New Roman" w:hAnsi="Times New Roman" w:eastAsia="Times New Roman" w:cs="Times New Roman"/>
          <w:sz w:val="24"/>
          <w:szCs w:val="24"/>
        </w:rPr>
      </w:pPr>
    </w:p>
    <w:p w:rsidRPr="00342723" w:rsidR="00221ABA" w:rsidP="007D7417" w:rsidRDefault="00221ABA" w14:paraId="65DBE2DD" w14:textId="500BF56A">
      <w:pPr>
        <w:spacing w:line="240" w:lineRule="auto"/>
        <w:rPr>
          <w:rFonts w:ascii="Times New Roman" w:hAnsi="Times New Roman" w:eastAsia="Times New Roman" w:cs="Times New Roman"/>
          <w:sz w:val="24"/>
          <w:szCs w:val="24"/>
        </w:rPr>
      </w:pPr>
    </w:p>
    <w:p w:rsidRPr="00342723" w:rsidR="00221ABA" w:rsidP="007D7417" w:rsidRDefault="00221ABA" w14:paraId="75D2CF7A" w14:textId="0D8F5816">
      <w:pPr>
        <w:spacing w:line="240" w:lineRule="auto"/>
        <w:rPr>
          <w:rFonts w:ascii="Times New Roman" w:hAnsi="Times New Roman" w:eastAsia="Times New Roman" w:cs="Times New Roman"/>
          <w:sz w:val="24"/>
          <w:szCs w:val="24"/>
        </w:rPr>
      </w:pPr>
    </w:p>
    <w:p w:rsidRPr="00342723" w:rsidR="00221ABA" w:rsidP="007D7417" w:rsidRDefault="00221ABA" w14:paraId="4F32F8BE" w14:textId="77777777">
      <w:pPr>
        <w:spacing w:line="240" w:lineRule="auto"/>
        <w:rPr>
          <w:rFonts w:ascii="Times New Roman" w:hAnsi="Times New Roman" w:eastAsia="Times New Roman" w:cs="Times New Roman"/>
          <w:sz w:val="24"/>
          <w:szCs w:val="24"/>
        </w:rPr>
      </w:pPr>
    </w:p>
    <w:p w:rsidRPr="00342723" w:rsidR="007C60E3" w:rsidP="007D7417" w:rsidRDefault="007C60E3" w14:paraId="1B6DE986" w14:textId="6A4F5B95">
      <w:pPr>
        <w:spacing w:line="240" w:lineRule="auto"/>
        <w:rPr>
          <w:rFonts w:ascii="Times New Roman" w:hAnsi="Times New Roman" w:eastAsia="Times New Roman" w:cs="Times New Roman"/>
          <w:sz w:val="24"/>
          <w:szCs w:val="24"/>
        </w:rPr>
      </w:pPr>
      <w:r w:rsidRPr="00342723">
        <w:rPr>
          <w:rFonts w:ascii="Times New Roman" w:hAnsi="Times New Roman" w:eastAsia="Times New Roman" w:cs="Times New Roman"/>
          <w:sz w:val="24"/>
          <w:szCs w:val="24"/>
        </w:rPr>
        <w:t>Table 6: Changes in number of respondents, responses and burden hours between current and previous rulemaking submission.</w:t>
      </w:r>
    </w:p>
    <w:p w:rsidRPr="007D7417" w:rsidR="00D45369" w:rsidP="007D7417" w:rsidRDefault="006A4E66" w14:paraId="4FDBB382" w14:textId="092B54BC">
      <w:pPr>
        <w:spacing w:line="240" w:lineRule="auto"/>
        <w:rPr>
          <w:rFonts w:ascii="Times New Roman" w:hAnsi="Times New Roman" w:cs="Times New Roman"/>
          <w:b/>
        </w:rPr>
      </w:pPr>
      <w:r w:rsidRPr="007D7417">
        <w:rPr>
          <w:rFonts w:ascii="Times New Roman" w:hAnsi="Times New Roman" w:cs="Times New Roman"/>
          <w:b/>
        </w:rPr>
        <w:t xml:space="preserve"> </w:t>
      </w:r>
    </w:p>
    <w:tbl>
      <w:tblPr>
        <w:tblStyle w:val="a4"/>
        <w:tblW w:w="9840" w:type="dxa"/>
        <w:tblBorders>
          <w:top w:val="nil"/>
          <w:left w:val="nil"/>
          <w:bottom w:val="nil"/>
          <w:right w:val="nil"/>
          <w:insideH w:val="nil"/>
          <w:insideV w:val="nil"/>
        </w:tblBorders>
        <w:tblLayout w:type="fixed"/>
        <w:tblLook w:val="0600" w:firstRow="0" w:lastRow="0" w:firstColumn="0" w:lastColumn="0" w:noHBand="1" w:noVBand="1"/>
      </w:tblPr>
      <w:tblGrid>
        <w:gridCol w:w="1785"/>
        <w:gridCol w:w="780"/>
        <w:gridCol w:w="780"/>
        <w:gridCol w:w="810"/>
        <w:gridCol w:w="945"/>
        <w:gridCol w:w="1305"/>
        <w:gridCol w:w="1415"/>
        <w:gridCol w:w="2020"/>
      </w:tblGrid>
      <w:tr w:rsidRPr="007D7417" w:rsidR="00D45369" w:rsidTr="00C42E7A" w14:paraId="551B6950" w14:textId="77777777">
        <w:trPr>
          <w:trHeight w:val="515"/>
        </w:trPr>
        <w:tc>
          <w:tcPr>
            <w:tcW w:w="1785" w:type="dxa"/>
            <w:vMerge w:val="restart"/>
            <w:tcBorders>
              <w:top w:val="single" w:color="000000" w:sz="8" w:space="0"/>
              <w:left w:val="single" w:color="000000" w:sz="8" w:space="0"/>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3A825FE3" w14:textId="77777777">
            <w:pPr>
              <w:spacing w:line="240" w:lineRule="auto"/>
              <w:ind w:left="-46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Information</w:t>
            </w:r>
          </w:p>
          <w:p w:rsidRPr="007D7417" w:rsidR="00D45369" w:rsidP="007D7417" w:rsidRDefault="006A4E66" w14:paraId="36A56341" w14:textId="77777777">
            <w:pPr>
              <w:spacing w:line="240" w:lineRule="auto"/>
              <w:ind w:left="-460"/>
              <w:jc w:val="center"/>
              <w:rPr>
                <w:rFonts w:ascii="Times New Roman" w:hAnsi="Times New Roman" w:cs="Times New Roman"/>
              </w:rPr>
            </w:pPr>
            <w:r w:rsidRPr="007D7417">
              <w:rPr>
                <w:rFonts w:ascii="Times New Roman" w:hAnsi="Times New Roman" w:eastAsia="Calibri" w:cs="Times New Roman"/>
                <w:b/>
                <w:sz w:val="16"/>
                <w:szCs w:val="16"/>
              </w:rPr>
              <w:t xml:space="preserve"> Collection</w:t>
            </w:r>
          </w:p>
        </w:tc>
        <w:tc>
          <w:tcPr>
            <w:tcW w:w="1560"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01DD7BA6" w14:textId="77777777">
            <w:pPr>
              <w:spacing w:line="240" w:lineRule="auto"/>
              <w:ind w:left="-46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Respondents</w:t>
            </w:r>
          </w:p>
        </w:tc>
        <w:tc>
          <w:tcPr>
            <w:tcW w:w="1755"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28DD4A46" w14:textId="77777777">
            <w:pPr>
              <w:spacing w:line="240" w:lineRule="auto"/>
              <w:ind w:left="-46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Responses</w:t>
            </w:r>
          </w:p>
        </w:tc>
        <w:tc>
          <w:tcPr>
            <w:tcW w:w="2720"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4C773766" w14:textId="77777777">
            <w:pPr>
              <w:spacing w:line="240" w:lineRule="auto"/>
              <w:rPr>
                <w:rFonts w:ascii="Times New Roman" w:hAnsi="Times New Roman" w:cs="Times New Roman"/>
                <w:b/>
                <w:sz w:val="16"/>
                <w:szCs w:val="16"/>
              </w:rPr>
            </w:pPr>
            <w:r w:rsidRPr="007D7417">
              <w:rPr>
                <w:rFonts w:ascii="Times New Roman" w:hAnsi="Times New Roman" w:cs="Times New Roman"/>
                <w:b/>
                <w:sz w:val="16"/>
                <w:szCs w:val="16"/>
              </w:rPr>
              <w:t>Burden</w:t>
            </w:r>
          </w:p>
          <w:p w:rsidRPr="007D7417" w:rsidR="00D45369" w:rsidP="007D7417" w:rsidRDefault="006A4E66" w14:paraId="149517FA" w14:textId="77777777">
            <w:pPr>
              <w:spacing w:line="240" w:lineRule="auto"/>
              <w:rPr>
                <w:rFonts w:ascii="Times New Roman" w:hAnsi="Times New Roman" w:cs="Times New Roman"/>
                <w:b/>
                <w:sz w:val="16"/>
                <w:szCs w:val="16"/>
              </w:rPr>
            </w:pPr>
            <w:r w:rsidRPr="007D7417">
              <w:rPr>
                <w:rFonts w:ascii="Times New Roman" w:hAnsi="Times New Roman" w:cs="Times New Roman"/>
                <w:b/>
                <w:sz w:val="16"/>
                <w:szCs w:val="16"/>
              </w:rPr>
              <w:t>Hours</w:t>
            </w:r>
          </w:p>
        </w:tc>
        <w:tc>
          <w:tcPr>
            <w:tcW w:w="2020" w:type="dxa"/>
            <w:vMerge w:val="restart"/>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36C59615" w14:textId="77777777">
            <w:pPr>
              <w:spacing w:line="240" w:lineRule="auto"/>
              <w:rPr>
                <w:rFonts w:ascii="Times New Roman" w:hAnsi="Times New Roman" w:cs="Times New Roman"/>
                <w:b/>
                <w:sz w:val="16"/>
                <w:szCs w:val="16"/>
              </w:rPr>
            </w:pPr>
            <w:r w:rsidRPr="007D7417">
              <w:rPr>
                <w:rFonts w:ascii="Times New Roman" w:hAnsi="Times New Roman" w:cs="Times New Roman"/>
                <w:b/>
                <w:sz w:val="16"/>
                <w:szCs w:val="16"/>
              </w:rPr>
              <w:t>Reason for change or adjustment</w:t>
            </w:r>
          </w:p>
        </w:tc>
      </w:tr>
      <w:tr w:rsidRPr="007D7417" w:rsidR="00D45369" w:rsidTr="00C42E7A" w14:paraId="173BFC63" w14:textId="77777777">
        <w:trPr>
          <w:trHeight w:val="890"/>
        </w:trPr>
        <w:tc>
          <w:tcPr>
            <w:tcW w:w="1785" w:type="dxa"/>
            <w:vMerge/>
            <w:tcBorders>
              <w:bottom w:val="single" w:color="000000" w:sz="8" w:space="0"/>
              <w:right w:val="single" w:color="000000" w:sz="8" w:space="0"/>
            </w:tcBorders>
            <w:shd w:val="clear" w:color="auto" w:fill="auto"/>
            <w:tcMar>
              <w:top w:w="100" w:type="dxa"/>
              <w:left w:w="100" w:type="dxa"/>
              <w:bottom w:w="100" w:type="dxa"/>
              <w:right w:w="100" w:type="dxa"/>
            </w:tcMar>
          </w:tcPr>
          <w:p w:rsidRPr="007D7417" w:rsidR="00D45369" w:rsidP="007D7417" w:rsidRDefault="00D45369" w14:paraId="17A3F90F" w14:textId="77777777">
            <w:pPr>
              <w:spacing w:line="240" w:lineRule="auto"/>
              <w:ind w:left="-460"/>
              <w:rPr>
                <w:rFonts w:ascii="Times New Roman" w:hAnsi="Times New Roman" w:cs="Times New Roman"/>
              </w:rPr>
            </w:pPr>
          </w:p>
        </w:tc>
        <w:tc>
          <w:tcPr>
            <w:tcW w:w="780"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Pr="007D7417" w:rsidR="00D45369" w:rsidP="007D7417" w:rsidRDefault="006A4E66" w14:paraId="08966382"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Current Renewal / Revision</w:t>
            </w:r>
          </w:p>
        </w:tc>
        <w:tc>
          <w:tcPr>
            <w:tcW w:w="780"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Pr="007D7417" w:rsidR="00D45369" w:rsidP="007D7417" w:rsidRDefault="006A4E66" w14:paraId="0C742867"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Previous Renewal / Revision</w:t>
            </w:r>
          </w:p>
        </w:tc>
        <w:tc>
          <w:tcPr>
            <w:tcW w:w="810"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Pr="007D7417" w:rsidR="00D45369" w:rsidP="007D7417" w:rsidRDefault="006A4E66" w14:paraId="5F3EB768"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Current Renewal / Revision</w:t>
            </w:r>
          </w:p>
        </w:tc>
        <w:tc>
          <w:tcPr>
            <w:tcW w:w="945"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Pr="007D7417" w:rsidR="00D45369" w:rsidP="007D7417" w:rsidRDefault="006A4E66" w14:paraId="040EEF45"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Previous Renewal / Revision</w:t>
            </w:r>
          </w:p>
        </w:tc>
        <w:tc>
          <w:tcPr>
            <w:tcW w:w="1305"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Pr="007D7417" w:rsidR="00D45369" w:rsidP="007D7417" w:rsidRDefault="006A4E66" w14:paraId="4BFDDF6A"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Current Renewal / Revision</w:t>
            </w:r>
          </w:p>
        </w:tc>
        <w:tc>
          <w:tcPr>
            <w:tcW w:w="1415"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Pr="007D7417" w:rsidR="00D45369" w:rsidP="007D7417" w:rsidRDefault="006A4E66" w14:paraId="6570CBEF"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Previous Renewal / Revision</w:t>
            </w:r>
          </w:p>
        </w:tc>
        <w:tc>
          <w:tcPr>
            <w:tcW w:w="2020" w:type="dxa"/>
            <w:vMerge/>
            <w:tcBorders>
              <w:bottom w:val="single" w:color="000000" w:sz="8" w:space="0"/>
              <w:right w:val="single" w:color="000000" w:sz="8" w:space="0"/>
            </w:tcBorders>
            <w:shd w:val="clear" w:color="auto" w:fill="auto"/>
            <w:tcMar>
              <w:top w:w="100" w:type="dxa"/>
              <w:left w:w="100" w:type="dxa"/>
              <w:bottom w:w="100" w:type="dxa"/>
              <w:right w:w="100" w:type="dxa"/>
            </w:tcMar>
          </w:tcPr>
          <w:p w:rsidRPr="007D7417" w:rsidR="00D45369" w:rsidP="007D7417" w:rsidRDefault="00D45369" w14:paraId="334C7547" w14:textId="77777777">
            <w:pPr>
              <w:spacing w:line="240" w:lineRule="auto"/>
              <w:ind w:left="-460"/>
              <w:rPr>
                <w:rFonts w:ascii="Times New Roman" w:hAnsi="Times New Roman" w:cs="Times New Roman"/>
              </w:rPr>
            </w:pPr>
          </w:p>
        </w:tc>
      </w:tr>
      <w:tr w:rsidRPr="007D7417" w:rsidR="00D45369" w:rsidTr="00C42E7A" w14:paraId="682D400B" w14:textId="77777777">
        <w:trPr>
          <w:trHeight w:val="515"/>
        </w:trPr>
        <w:tc>
          <w:tcPr>
            <w:tcW w:w="178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42E7A" w:rsidR="00D45369" w:rsidP="007D7417" w:rsidRDefault="006A4E66" w14:paraId="734E2266" w14:textId="77777777">
            <w:pPr>
              <w:spacing w:line="240" w:lineRule="auto"/>
              <w:rPr>
                <w:rFonts w:ascii="Times New Roman" w:hAnsi="Times New Roman" w:eastAsia="Calibri" w:cs="Times New Roman"/>
                <w:b/>
                <w:sz w:val="16"/>
                <w:szCs w:val="16"/>
              </w:rPr>
            </w:pPr>
            <w:r w:rsidRPr="00C42E7A">
              <w:rPr>
                <w:rFonts w:ascii="Times New Roman" w:hAnsi="Times New Roman" w:cs="Times New Roman"/>
                <w:b/>
                <w:sz w:val="16"/>
                <w:szCs w:val="16"/>
              </w:rPr>
              <w:t xml:space="preserve">Gear marking on vertical buoy lines </w:t>
            </w:r>
          </w:p>
        </w:tc>
        <w:tc>
          <w:tcPr>
            <w:tcW w:w="78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C42E7A" w:rsidRDefault="006A4E66" w14:paraId="178AAB5A"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 xml:space="preserve"> 1,670 </w:t>
            </w:r>
          </w:p>
          <w:p w:rsidRPr="007D7417" w:rsidR="00D45369" w:rsidP="00C42E7A" w:rsidRDefault="006A4E66" w14:paraId="3DDC5EC2"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Vessels</w:t>
            </w:r>
          </w:p>
        </w:tc>
        <w:tc>
          <w:tcPr>
            <w:tcW w:w="78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C42E7A" w:rsidRDefault="006A4E66" w14:paraId="4A2C01C2"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 xml:space="preserve"> 3,672 Vessels </w:t>
            </w:r>
          </w:p>
        </w:tc>
        <w:tc>
          <w:tcPr>
            <w:tcW w:w="81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C42E7A" w:rsidRDefault="006A4E66" w14:paraId="154C3BAE"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 xml:space="preserve">558,448 Marks  </w:t>
            </w:r>
          </w:p>
        </w:tc>
        <w:tc>
          <w:tcPr>
            <w:tcW w:w="945"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C42E7A" w:rsidRDefault="006A4E66" w14:paraId="289A51A3"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172,584</w:t>
            </w:r>
          </w:p>
          <w:p w:rsidRPr="007D7417" w:rsidR="00D45369" w:rsidP="00C42E7A" w:rsidRDefault="006A4E66" w14:paraId="433AA25F"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Marks</w:t>
            </w:r>
          </w:p>
          <w:p w:rsidRPr="007D7417" w:rsidR="00D45369" w:rsidP="00C42E7A" w:rsidRDefault="00D45369" w14:paraId="3B73ED47" w14:textId="77777777">
            <w:pPr>
              <w:spacing w:line="240" w:lineRule="auto"/>
              <w:jc w:val="right"/>
              <w:rPr>
                <w:rFonts w:ascii="Times New Roman" w:hAnsi="Times New Roman" w:cs="Times New Roman"/>
                <w:sz w:val="14"/>
                <w:szCs w:val="14"/>
              </w:rPr>
            </w:pPr>
          </w:p>
        </w:tc>
        <w:tc>
          <w:tcPr>
            <w:tcW w:w="130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C42E7A" w:rsidRDefault="006A4E66" w14:paraId="6962A3AB"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78,182.72 Annual burden hours</w:t>
            </w:r>
          </w:p>
        </w:tc>
        <w:tc>
          <w:tcPr>
            <w:tcW w:w="1415" w:type="dxa"/>
            <w:tcBorders>
              <w:top w:val="nil"/>
              <w:left w:val="nil"/>
              <w:bottom w:val="dotted" w:color="000000" w:sz="8" w:space="0"/>
              <w:right w:val="dashed" w:color="000000" w:sz="8" w:space="0"/>
            </w:tcBorders>
            <w:tcMar>
              <w:top w:w="100" w:type="dxa"/>
              <w:left w:w="100" w:type="dxa"/>
              <w:bottom w:w="100" w:type="dxa"/>
              <w:right w:w="100" w:type="dxa"/>
            </w:tcMar>
          </w:tcPr>
          <w:p w:rsidRPr="007D7417" w:rsidR="00D45369" w:rsidP="00673616" w:rsidRDefault="006A4E66" w14:paraId="082DC006" w14:textId="60A9F65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14,</w:t>
            </w:r>
            <w:r w:rsidR="00673616">
              <w:rPr>
                <w:rFonts w:ascii="Times New Roman" w:hAnsi="Times New Roman" w:cs="Times New Roman"/>
                <w:sz w:val="14"/>
                <w:szCs w:val="14"/>
              </w:rPr>
              <w:t>382</w:t>
            </w:r>
            <w:r w:rsidRPr="007D7417">
              <w:rPr>
                <w:rFonts w:ascii="Times New Roman" w:hAnsi="Times New Roman" w:cs="Times New Roman"/>
                <w:sz w:val="14"/>
                <w:szCs w:val="14"/>
              </w:rPr>
              <w:t xml:space="preserve"> Annual burden hours </w:t>
            </w:r>
          </w:p>
        </w:tc>
        <w:tc>
          <w:tcPr>
            <w:tcW w:w="202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7D7417" w:rsidRDefault="006A4E66" w14:paraId="5E2C650B"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This analysis only accounts for vessels using trap/pot gear, while previous collections have also accounted for gear marking for vessels in gillnet fisheries. This analysis also assumes that fishermen will remark all vertical buoy lines every year, instead of once every three years, as past collections have considered. This analysis also encompasses the increased frequency of marks per vertical buoy line.</w:t>
            </w:r>
          </w:p>
        </w:tc>
      </w:tr>
      <w:tr w:rsidRPr="007D7417" w:rsidR="00D45369" w:rsidTr="00C42E7A" w14:paraId="75E1EC84" w14:textId="77777777">
        <w:trPr>
          <w:trHeight w:val="665"/>
        </w:trPr>
        <w:tc>
          <w:tcPr>
            <w:tcW w:w="1785" w:type="dxa"/>
            <w:tcBorders>
              <w:top w:val="nil"/>
              <w:left w:val="single" w:color="000000" w:sz="8" w:space="0"/>
              <w:bottom w:val="nil"/>
              <w:right w:val="single" w:color="000000" w:sz="8" w:space="0"/>
            </w:tcBorders>
            <w:shd w:val="clear" w:color="auto" w:fill="BDD6EE"/>
            <w:tcMar>
              <w:top w:w="100" w:type="dxa"/>
              <w:left w:w="100" w:type="dxa"/>
              <w:bottom w:w="100" w:type="dxa"/>
              <w:right w:w="100" w:type="dxa"/>
            </w:tcMar>
          </w:tcPr>
          <w:p w:rsidRPr="007D7417" w:rsidR="00D45369" w:rsidP="007D7417" w:rsidRDefault="007C60E3" w14:paraId="2AFED92A" w14:textId="25926D17">
            <w:pPr>
              <w:spacing w:line="240" w:lineRule="auto"/>
              <w:ind w:left="-460"/>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   </w:t>
            </w:r>
            <w:r w:rsidRPr="007D7417" w:rsidR="006A4E66">
              <w:rPr>
                <w:rFonts w:ascii="Times New Roman" w:hAnsi="Times New Roman" w:eastAsia="Calibri" w:cs="Times New Roman"/>
                <w:b/>
                <w:sz w:val="16"/>
                <w:szCs w:val="16"/>
              </w:rPr>
              <w:t>Total for Collection</w:t>
            </w:r>
          </w:p>
        </w:tc>
        <w:tc>
          <w:tcPr>
            <w:tcW w:w="78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7C60E3" w:rsidRDefault="006A4E66" w14:paraId="0DDDDAB5"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 xml:space="preserve"> 1,670 </w:t>
            </w:r>
          </w:p>
          <w:p w:rsidRPr="007D7417" w:rsidR="00D45369" w:rsidP="007C60E3" w:rsidRDefault="006A4E66" w14:paraId="131BF8F2"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Vessels</w:t>
            </w:r>
          </w:p>
        </w:tc>
        <w:tc>
          <w:tcPr>
            <w:tcW w:w="78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7C60E3" w:rsidRDefault="006A4E66" w14:paraId="332A0F51"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 xml:space="preserve"> 3,672 Vessels </w:t>
            </w:r>
          </w:p>
        </w:tc>
        <w:tc>
          <w:tcPr>
            <w:tcW w:w="81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7C60E3" w:rsidRDefault="006A4E66" w14:paraId="6F9A6120"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 xml:space="preserve">558,448 Marks  </w:t>
            </w:r>
          </w:p>
        </w:tc>
        <w:tc>
          <w:tcPr>
            <w:tcW w:w="945"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7C60E3" w:rsidRDefault="006A4E66" w14:paraId="108D0C81"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172,584</w:t>
            </w:r>
          </w:p>
          <w:p w:rsidRPr="007D7417" w:rsidR="00D45369" w:rsidP="007C60E3" w:rsidRDefault="006A4E66" w14:paraId="0E25585B" w14:textId="77777777">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Marks</w:t>
            </w:r>
          </w:p>
          <w:p w:rsidRPr="007D7417" w:rsidR="00D45369" w:rsidP="007C60E3" w:rsidRDefault="00D45369" w14:paraId="49BB43F8" w14:textId="77777777">
            <w:pPr>
              <w:spacing w:line="240" w:lineRule="auto"/>
              <w:jc w:val="right"/>
              <w:rPr>
                <w:rFonts w:ascii="Times New Roman" w:hAnsi="Times New Roman" w:cs="Times New Roman"/>
                <w:sz w:val="14"/>
                <w:szCs w:val="14"/>
              </w:rPr>
            </w:pPr>
          </w:p>
        </w:tc>
        <w:tc>
          <w:tcPr>
            <w:tcW w:w="130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673616" w:rsidRDefault="006A4E66" w14:paraId="302B61AD" w14:textId="2BCB5F45">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78,</w:t>
            </w:r>
            <w:r w:rsidR="00673616">
              <w:rPr>
                <w:rFonts w:ascii="Times New Roman" w:hAnsi="Times New Roman" w:cs="Times New Roman"/>
                <w:sz w:val="14"/>
                <w:szCs w:val="14"/>
              </w:rPr>
              <w:t>183</w:t>
            </w:r>
            <w:r w:rsidRPr="007D7417">
              <w:rPr>
                <w:rFonts w:ascii="Times New Roman" w:hAnsi="Times New Roman" w:cs="Times New Roman"/>
                <w:sz w:val="14"/>
                <w:szCs w:val="14"/>
              </w:rPr>
              <w:t xml:space="preserve"> Annual burden hours</w:t>
            </w:r>
          </w:p>
        </w:tc>
        <w:tc>
          <w:tcPr>
            <w:tcW w:w="1415" w:type="dxa"/>
            <w:tcBorders>
              <w:top w:val="nil"/>
              <w:left w:val="nil"/>
              <w:bottom w:val="dotted" w:color="000000" w:sz="8" w:space="0"/>
              <w:right w:val="dashed" w:color="000000" w:sz="8" w:space="0"/>
            </w:tcBorders>
            <w:tcMar>
              <w:top w:w="100" w:type="dxa"/>
              <w:left w:w="100" w:type="dxa"/>
              <w:bottom w:w="100" w:type="dxa"/>
              <w:right w:w="100" w:type="dxa"/>
            </w:tcMar>
          </w:tcPr>
          <w:p w:rsidRPr="007D7417" w:rsidR="00D45369" w:rsidP="00673616" w:rsidRDefault="006A4E66" w14:paraId="0B4F08DC" w14:textId="1FC92894">
            <w:pPr>
              <w:spacing w:line="240" w:lineRule="auto"/>
              <w:jc w:val="right"/>
              <w:rPr>
                <w:rFonts w:ascii="Times New Roman" w:hAnsi="Times New Roman" w:cs="Times New Roman"/>
                <w:sz w:val="14"/>
                <w:szCs w:val="14"/>
              </w:rPr>
            </w:pPr>
            <w:r w:rsidRPr="007D7417">
              <w:rPr>
                <w:rFonts w:ascii="Times New Roman" w:hAnsi="Times New Roman" w:cs="Times New Roman"/>
                <w:sz w:val="14"/>
                <w:szCs w:val="14"/>
              </w:rPr>
              <w:t>14,3</w:t>
            </w:r>
            <w:r w:rsidR="00673616">
              <w:rPr>
                <w:rFonts w:ascii="Times New Roman" w:hAnsi="Times New Roman" w:cs="Times New Roman"/>
                <w:sz w:val="14"/>
                <w:szCs w:val="14"/>
              </w:rPr>
              <w:t>82</w:t>
            </w:r>
            <w:r w:rsidRPr="007D7417">
              <w:rPr>
                <w:rFonts w:ascii="Times New Roman" w:hAnsi="Times New Roman" w:cs="Times New Roman"/>
                <w:sz w:val="14"/>
                <w:szCs w:val="14"/>
              </w:rPr>
              <w:t xml:space="preserve">Annual burden hours </w:t>
            </w:r>
          </w:p>
        </w:tc>
        <w:tc>
          <w:tcPr>
            <w:tcW w:w="2020" w:type="dxa"/>
            <w:tcBorders>
              <w:top w:val="nil"/>
              <w:left w:val="nil"/>
              <w:bottom w:val="nil"/>
              <w:right w:val="single" w:color="000000" w:sz="8" w:space="0"/>
            </w:tcBorders>
            <w:shd w:val="clear" w:color="auto" w:fill="000000"/>
            <w:tcMar>
              <w:top w:w="100" w:type="dxa"/>
              <w:left w:w="100" w:type="dxa"/>
              <w:bottom w:w="100" w:type="dxa"/>
              <w:right w:w="100" w:type="dxa"/>
            </w:tcMar>
          </w:tcPr>
          <w:p w:rsidRPr="007D7417" w:rsidR="00D45369" w:rsidP="007D7417" w:rsidRDefault="006A4E66" w14:paraId="72139FAF" w14:textId="77777777">
            <w:pPr>
              <w:spacing w:line="240" w:lineRule="auto"/>
              <w:ind w:left="-460"/>
              <w:jc w:val="center"/>
              <w:rPr>
                <w:rFonts w:ascii="Times New Roman" w:hAnsi="Times New Roman" w:eastAsia="Calibri" w:cs="Times New Roman"/>
                <w:b/>
                <w:sz w:val="14"/>
                <w:szCs w:val="14"/>
              </w:rPr>
            </w:pPr>
            <w:r w:rsidRPr="007D7417">
              <w:rPr>
                <w:rFonts w:ascii="Times New Roman" w:hAnsi="Times New Roman" w:eastAsia="Calibri" w:cs="Times New Roman"/>
                <w:b/>
                <w:sz w:val="14"/>
                <w:szCs w:val="14"/>
              </w:rPr>
              <w:t xml:space="preserve"> </w:t>
            </w:r>
          </w:p>
        </w:tc>
      </w:tr>
      <w:tr w:rsidRPr="007D7417" w:rsidR="00D45369" w:rsidTr="007C60E3" w14:paraId="79D1F349" w14:textId="77777777">
        <w:trPr>
          <w:trHeight w:val="515"/>
        </w:trPr>
        <w:tc>
          <w:tcPr>
            <w:tcW w:w="1785" w:type="dxa"/>
            <w:tcBorders>
              <w:top w:val="single" w:color="000000" w:sz="8" w:space="0"/>
              <w:left w:val="single" w:color="000000" w:sz="8" w:space="0"/>
              <w:bottom w:val="single" w:color="000000" w:sz="8" w:space="0"/>
              <w:right w:val="nil"/>
            </w:tcBorders>
            <w:shd w:val="clear" w:color="auto" w:fill="FCE4D6"/>
            <w:tcMar>
              <w:top w:w="100" w:type="dxa"/>
              <w:left w:w="100" w:type="dxa"/>
              <w:bottom w:w="100" w:type="dxa"/>
              <w:right w:w="100" w:type="dxa"/>
            </w:tcMar>
          </w:tcPr>
          <w:p w:rsidRPr="007D7417" w:rsidR="00D45369" w:rsidP="007C60E3" w:rsidRDefault="007C60E3" w14:paraId="773B6C2D" w14:textId="7879CF9B">
            <w:pPr>
              <w:spacing w:line="240" w:lineRule="auto"/>
              <w:ind w:left="-460"/>
              <w:rPr>
                <w:rFonts w:ascii="Times New Roman" w:hAnsi="Times New Roman" w:eastAsia="Calibri" w:cs="Times New Roman"/>
                <w:b/>
                <w:sz w:val="16"/>
                <w:szCs w:val="16"/>
              </w:rPr>
            </w:pPr>
            <w:r>
              <w:rPr>
                <w:rFonts w:ascii="Times New Roman" w:hAnsi="Times New Roman" w:eastAsia="Calibri" w:cs="Times New Roman"/>
                <w:b/>
                <w:sz w:val="16"/>
                <w:szCs w:val="16"/>
              </w:rPr>
              <w:t xml:space="preserve">          </w:t>
            </w:r>
            <w:r w:rsidRPr="007D7417" w:rsidR="006A4E66">
              <w:rPr>
                <w:rFonts w:ascii="Times New Roman" w:hAnsi="Times New Roman" w:eastAsia="Calibri" w:cs="Times New Roman"/>
                <w:b/>
                <w:sz w:val="16"/>
                <w:szCs w:val="16"/>
              </w:rPr>
              <w:t>Difference</w:t>
            </w:r>
          </w:p>
        </w:tc>
        <w:tc>
          <w:tcPr>
            <w:tcW w:w="1560" w:type="dxa"/>
            <w:gridSpan w:val="2"/>
            <w:tcBorders>
              <w:top w:val="single" w:color="000000" w:sz="8" w:space="0"/>
              <w:left w:val="single" w:color="000000" w:sz="8" w:space="0"/>
              <w:bottom w:val="single" w:color="000000" w:sz="8" w:space="0"/>
              <w:right w:val="single" w:color="000000" w:sz="8" w:space="0"/>
            </w:tcBorders>
            <w:shd w:val="clear" w:color="auto" w:fill="FCE4D6"/>
            <w:tcMar>
              <w:top w:w="100" w:type="dxa"/>
              <w:left w:w="100" w:type="dxa"/>
              <w:bottom w:w="100" w:type="dxa"/>
              <w:right w:w="100" w:type="dxa"/>
            </w:tcMar>
          </w:tcPr>
          <w:p w:rsidRPr="00673616" w:rsidR="00D45369" w:rsidP="007C60E3" w:rsidRDefault="006A4E66" w14:paraId="3DB1EDAA" w14:textId="55CDF8C2">
            <w:pPr>
              <w:keepNext/>
              <w:spacing w:line="240" w:lineRule="auto"/>
              <w:jc w:val="right"/>
              <w:rPr>
                <w:rFonts w:ascii="Times New Roman" w:hAnsi="Times New Roman" w:eastAsia="Calibri" w:cs="Times New Roman"/>
                <w:sz w:val="20"/>
                <w:szCs w:val="20"/>
              </w:rPr>
            </w:pPr>
            <w:r w:rsidRPr="00673616">
              <w:rPr>
                <w:rFonts w:ascii="Times New Roman" w:hAnsi="Times New Roman" w:eastAsia="Calibri" w:cs="Times New Roman"/>
                <w:sz w:val="20"/>
                <w:szCs w:val="20"/>
              </w:rPr>
              <w:t>-2</w:t>
            </w:r>
            <w:r w:rsidR="00673616">
              <w:rPr>
                <w:rFonts w:ascii="Times New Roman" w:hAnsi="Times New Roman" w:eastAsia="Calibri" w:cs="Times New Roman"/>
                <w:sz w:val="20"/>
                <w:szCs w:val="20"/>
              </w:rPr>
              <w:t>,</w:t>
            </w:r>
            <w:r w:rsidRPr="00673616">
              <w:rPr>
                <w:rFonts w:ascii="Times New Roman" w:hAnsi="Times New Roman" w:eastAsia="Calibri" w:cs="Times New Roman"/>
                <w:sz w:val="20"/>
                <w:szCs w:val="20"/>
              </w:rPr>
              <w:t xml:space="preserve">002 vessels </w:t>
            </w:r>
          </w:p>
        </w:tc>
        <w:tc>
          <w:tcPr>
            <w:tcW w:w="1755" w:type="dxa"/>
            <w:gridSpan w:val="2"/>
            <w:tcBorders>
              <w:top w:val="single" w:color="000000" w:sz="8" w:space="0"/>
              <w:left w:val="nil"/>
              <w:bottom w:val="single" w:color="000000" w:sz="8" w:space="0"/>
              <w:right w:val="single" w:color="000000" w:sz="8" w:space="0"/>
            </w:tcBorders>
            <w:shd w:val="clear" w:color="auto" w:fill="FCE4D6"/>
            <w:tcMar>
              <w:top w:w="100" w:type="dxa"/>
              <w:left w:w="100" w:type="dxa"/>
              <w:bottom w:w="100" w:type="dxa"/>
              <w:right w:w="100" w:type="dxa"/>
            </w:tcMar>
          </w:tcPr>
          <w:p w:rsidRPr="00673616" w:rsidR="00D45369" w:rsidP="007C60E3" w:rsidRDefault="006A4E66" w14:paraId="6DF75B36" w14:textId="77777777">
            <w:pPr>
              <w:spacing w:line="240" w:lineRule="auto"/>
              <w:ind w:left="-460"/>
              <w:jc w:val="right"/>
              <w:rPr>
                <w:rFonts w:ascii="Times New Roman" w:hAnsi="Times New Roman" w:eastAsia="Calibri" w:cs="Times New Roman"/>
                <w:sz w:val="20"/>
                <w:szCs w:val="20"/>
              </w:rPr>
            </w:pPr>
            <w:r w:rsidRPr="00673616">
              <w:rPr>
                <w:rFonts w:ascii="Times New Roman" w:hAnsi="Times New Roman" w:eastAsia="Calibri" w:cs="Times New Roman"/>
                <w:sz w:val="20"/>
                <w:szCs w:val="20"/>
              </w:rPr>
              <w:t xml:space="preserve">+385,864 marks </w:t>
            </w:r>
          </w:p>
        </w:tc>
        <w:tc>
          <w:tcPr>
            <w:tcW w:w="2720" w:type="dxa"/>
            <w:gridSpan w:val="2"/>
            <w:tcBorders>
              <w:top w:val="single" w:color="000000" w:sz="8" w:space="0"/>
              <w:left w:val="nil"/>
              <w:bottom w:val="single" w:color="000000" w:sz="8" w:space="0"/>
              <w:right w:val="single" w:color="000000" w:sz="8" w:space="0"/>
            </w:tcBorders>
            <w:shd w:val="clear" w:color="auto" w:fill="FCE4D6"/>
            <w:tcMar>
              <w:top w:w="100" w:type="dxa"/>
              <w:left w:w="100" w:type="dxa"/>
              <w:bottom w:w="100" w:type="dxa"/>
              <w:right w:w="100" w:type="dxa"/>
            </w:tcMar>
          </w:tcPr>
          <w:p w:rsidRPr="00673616" w:rsidR="00D45369" w:rsidP="00673616" w:rsidRDefault="006A4E66" w14:paraId="45731942" w14:textId="0E012206">
            <w:pPr>
              <w:spacing w:line="240" w:lineRule="auto"/>
              <w:ind w:left="-460"/>
              <w:jc w:val="right"/>
              <w:rPr>
                <w:rFonts w:ascii="Times New Roman" w:hAnsi="Times New Roman" w:eastAsia="Calibri" w:cs="Times New Roman"/>
                <w:sz w:val="20"/>
                <w:szCs w:val="20"/>
              </w:rPr>
            </w:pPr>
            <w:r w:rsidRPr="00673616">
              <w:rPr>
                <w:rFonts w:ascii="Times New Roman" w:hAnsi="Times New Roman" w:eastAsia="Calibri" w:cs="Times New Roman"/>
                <w:sz w:val="20"/>
                <w:szCs w:val="20"/>
              </w:rPr>
              <w:t xml:space="preserve"> + 63,</w:t>
            </w:r>
            <w:r w:rsidRPr="00673616" w:rsidR="00673616">
              <w:rPr>
                <w:rFonts w:ascii="Times New Roman" w:hAnsi="Times New Roman" w:eastAsia="Calibri" w:cs="Times New Roman"/>
                <w:sz w:val="20"/>
                <w:szCs w:val="20"/>
              </w:rPr>
              <w:t>801</w:t>
            </w:r>
            <w:r w:rsidRPr="00673616">
              <w:rPr>
                <w:rFonts w:ascii="Times New Roman" w:hAnsi="Times New Roman" w:eastAsia="Calibri" w:cs="Times New Roman"/>
                <w:sz w:val="20"/>
                <w:szCs w:val="20"/>
              </w:rPr>
              <w:t xml:space="preserve"> hours</w:t>
            </w:r>
          </w:p>
        </w:tc>
        <w:tc>
          <w:tcPr>
            <w:tcW w:w="2020"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Pr="007D7417" w:rsidR="00D45369" w:rsidP="007D7417" w:rsidRDefault="006A4E66" w14:paraId="6B9CCF84" w14:textId="77777777">
            <w:pPr>
              <w:spacing w:line="240" w:lineRule="auto"/>
              <w:ind w:left="-460"/>
              <w:rPr>
                <w:rFonts w:ascii="Times New Roman" w:hAnsi="Times New Roman" w:eastAsia="Calibri" w:cs="Times New Roman"/>
                <w:sz w:val="14"/>
                <w:szCs w:val="14"/>
              </w:rPr>
            </w:pPr>
            <w:r w:rsidRPr="007D7417">
              <w:rPr>
                <w:rFonts w:ascii="Times New Roman" w:hAnsi="Times New Roman" w:eastAsia="Calibri" w:cs="Times New Roman"/>
                <w:sz w:val="14"/>
                <w:szCs w:val="14"/>
              </w:rPr>
              <w:t xml:space="preserve"> </w:t>
            </w:r>
          </w:p>
        </w:tc>
      </w:tr>
    </w:tbl>
    <w:p w:rsidR="00D45369" w:rsidP="007D7417" w:rsidRDefault="006A4E66" w14:paraId="066F2CF0" w14:textId="496EC5D1">
      <w:pPr>
        <w:spacing w:line="240" w:lineRule="auto"/>
        <w:rPr>
          <w:rFonts w:ascii="Times New Roman" w:hAnsi="Times New Roman" w:cs="Times New Roman"/>
          <w:b/>
        </w:rPr>
      </w:pPr>
      <w:r w:rsidRPr="007D7417">
        <w:rPr>
          <w:rFonts w:ascii="Times New Roman" w:hAnsi="Times New Roman" w:cs="Times New Roman"/>
          <w:b/>
        </w:rPr>
        <w:t xml:space="preserve"> </w:t>
      </w:r>
    </w:p>
    <w:p w:rsidR="001A3495" w:rsidP="007D7417" w:rsidRDefault="001A3495" w14:paraId="20DE05CD" w14:textId="77777777">
      <w:pPr>
        <w:spacing w:line="240" w:lineRule="auto"/>
        <w:rPr>
          <w:rFonts w:ascii="Times New Roman" w:hAnsi="Times New Roman" w:cs="Times New Roman"/>
          <w:b/>
        </w:rPr>
      </w:pPr>
    </w:p>
    <w:p w:rsidRPr="007C60E3" w:rsidR="007C60E3" w:rsidP="007D7417" w:rsidRDefault="007C60E3" w14:paraId="2FF75987" w14:textId="07C72011">
      <w:pPr>
        <w:spacing w:line="240" w:lineRule="auto"/>
        <w:rPr>
          <w:rFonts w:ascii="Times New Roman" w:hAnsi="Times New Roman" w:cs="Times New Roman"/>
        </w:rPr>
      </w:pPr>
      <w:r w:rsidRPr="007C60E3">
        <w:rPr>
          <w:rFonts w:ascii="Times New Roman" w:hAnsi="Times New Roman" w:cs="Times New Roman"/>
        </w:rPr>
        <w:t>Table 7: Changes in labor and miscellaneous costs between current and previous rulemaking submission.</w:t>
      </w:r>
    </w:p>
    <w:p w:rsidRPr="007D7417" w:rsidR="007C60E3" w:rsidP="007D7417" w:rsidRDefault="007C60E3" w14:paraId="17A22A7F" w14:textId="77777777">
      <w:pPr>
        <w:spacing w:line="240" w:lineRule="auto"/>
        <w:rPr>
          <w:rFonts w:ascii="Times New Roman" w:hAnsi="Times New Roman" w:cs="Times New Roman"/>
          <w:b/>
          <w:highlight w:val="yellow"/>
        </w:rPr>
      </w:pPr>
    </w:p>
    <w:tbl>
      <w:tblPr>
        <w:tblStyle w:val="a5"/>
        <w:tblW w:w="9825" w:type="dxa"/>
        <w:tblBorders>
          <w:top w:val="nil"/>
          <w:left w:val="nil"/>
          <w:bottom w:val="nil"/>
          <w:right w:val="nil"/>
          <w:insideH w:val="nil"/>
          <w:insideV w:val="nil"/>
        </w:tblBorders>
        <w:tblLayout w:type="fixed"/>
        <w:tblLook w:val="0600" w:firstRow="0" w:lastRow="0" w:firstColumn="0" w:lastColumn="0" w:noHBand="1" w:noVBand="1"/>
      </w:tblPr>
      <w:tblGrid>
        <w:gridCol w:w="1790"/>
        <w:gridCol w:w="1495"/>
        <w:gridCol w:w="1020"/>
        <w:gridCol w:w="1125"/>
        <w:gridCol w:w="960"/>
        <w:gridCol w:w="3435"/>
      </w:tblGrid>
      <w:tr w:rsidRPr="007D7417" w:rsidR="00D45369" w:rsidTr="00C42E7A" w14:paraId="01A46FE7" w14:textId="77777777">
        <w:trPr>
          <w:trHeight w:val="515"/>
        </w:trPr>
        <w:tc>
          <w:tcPr>
            <w:tcW w:w="1790" w:type="dxa"/>
            <w:vMerge w:val="restart"/>
            <w:tcBorders>
              <w:top w:val="single" w:color="000000" w:sz="8" w:space="0"/>
              <w:left w:val="single" w:color="000000" w:sz="8" w:space="0"/>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721B9893"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Information Collection</w:t>
            </w:r>
          </w:p>
        </w:tc>
        <w:tc>
          <w:tcPr>
            <w:tcW w:w="2515"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27B931BF"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Labor Costs</w:t>
            </w:r>
          </w:p>
        </w:tc>
        <w:tc>
          <w:tcPr>
            <w:tcW w:w="2085"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06B6270F"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Miscellaneous Costs</w:t>
            </w:r>
          </w:p>
        </w:tc>
        <w:tc>
          <w:tcPr>
            <w:tcW w:w="3435" w:type="dxa"/>
            <w:vMerge w:val="restart"/>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Pr="007D7417" w:rsidR="00D45369" w:rsidP="007D7417" w:rsidRDefault="006A4E66" w14:paraId="1505268B"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Reason for change or adjustment</w:t>
            </w:r>
          </w:p>
        </w:tc>
      </w:tr>
      <w:tr w:rsidRPr="007D7417" w:rsidR="00D45369" w:rsidTr="00C42E7A" w14:paraId="7AC0226D" w14:textId="77777777">
        <w:trPr>
          <w:trHeight w:val="890"/>
        </w:trPr>
        <w:tc>
          <w:tcPr>
            <w:tcW w:w="1790" w:type="dxa"/>
            <w:vMerge/>
            <w:tcBorders>
              <w:bottom w:val="single" w:color="000000" w:sz="8" w:space="0"/>
              <w:right w:val="single" w:color="000000" w:sz="8" w:space="0"/>
            </w:tcBorders>
            <w:shd w:val="clear" w:color="auto" w:fill="auto"/>
            <w:tcMar>
              <w:top w:w="100" w:type="dxa"/>
              <w:left w:w="100" w:type="dxa"/>
              <w:bottom w:w="100" w:type="dxa"/>
              <w:right w:w="100" w:type="dxa"/>
            </w:tcMar>
          </w:tcPr>
          <w:p w:rsidRPr="007D7417" w:rsidR="00D45369" w:rsidP="007D7417" w:rsidRDefault="00D45369" w14:paraId="1C659662" w14:textId="77777777">
            <w:pPr>
              <w:spacing w:line="240" w:lineRule="auto"/>
              <w:ind w:left="-20"/>
              <w:rPr>
                <w:rFonts w:ascii="Times New Roman" w:hAnsi="Times New Roman" w:cs="Times New Roman"/>
              </w:rPr>
            </w:pPr>
          </w:p>
        </w:tc>
        <w:tc>
          <w:tcPr>
            <w:tcW w:w="1495"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Pr="007D7417" w:rsidR="00D45369" w:rsidP="007D7417" w:rsidRDefault="006A4E66" w14:paraId="0047008D" w14:textId="77777777">
            <w:pPr>
              <w:spacing w:line="240" w:lineRule="auto"/>
              <w:ind w:left="-20"/>
              <w:jc w:val="center"/>
              <w:rPr>
                <w:rFonts w:ascii="Times New Roman" w:hAnsi="Times New Roman" w:eastAsia="Calibri" w:cs="Times New Roman"/>
                <w:sz w:val="16"/>
                <w:szCs w:val="16"/>
              </w:rPr>
            </w:pPr>
            <w:r w:rsidRPr="007D7417">
              <w:rPr>
                <w:rFonts w:ascii="Times New Roman" w:hAnsi="Times New Roman" w:eastAsia="Calibri" w:cs="Times New Roman"/>
                <w:sz w:val="16"/>
                <w:szCs w:val="16"/>
              </w:rPr>
              <w:t>Current</w:t>
            </w:r>
          </w:p>
        </w:tc>
        <w:tc>
          <w:tcPr>
            <w:tcW w:w="1020"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Pr="007D7417" w:rsidR="00D45369" w:rsidP="007D7417" w:rsidRDefault="006A4E66" w14:paraId="3EECE31F" w14:textId="77777777">
            <w:pPr>
              <w:spacing w:line="240" w:lineRule="auto"/>
              <w:ind w:left="-20"/>
              <w:jc w:val="center"/>
              <w:rPr>
                <w:rFonts w:ascii="Times New Roman" w:hAnsi="Times New Roman" w:eastAsia="Calibri" w:cs="Times New Roman"/>
                <w:sz w:val="16"/>
                <w:szCs w:val="16"/>
              </w:rPr>
            </w:pPr>
            <w:r w:rsidRPr="007D7417">
              <w:rPr>
                <w:rFonts w:ascii="Times New Roman" w:hAnsi="Times New Roman" w:eastAsia="Calibri" w:cs="Times New Roman"/>
                <w:sz w:val="16"/>
                <w:szCs w:val="16"/>
              </w:rPr>
              <w:t>Previous</w:t>
            </w:r>
          </w:p>
        </w:tc>
        <w:tc>
          <w:tcPr>
            <w:tcW w:w="1125"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Pr="007D7417" w:rsidR="00D45369" w:rsidP="007D7417" w:rsidRDefault="006A4E66" w14:paraId="20D1FFCF" w14:textId="77777777">
            <w:pPr>
              <w:spacing w:line="240" w:lineRule="auto"/>
              <w:ind w:left="-20"/>
              <w:jc w:val="center"/>
              <w:rPr>
                <w:rFonts w:ascii="Times New Roman" w:hAnsi="Times New Roman" w:eastAsia="Calibri" w:cs="Times New Roman"/>
                <w:sz w:val="16"/>
                <w:szCs w:val="16"/>
              </w:rPr>
            </w:pPr>
            <w:r w:rsidRPr="007D7417">
              <w:rPr>
                <w:rFonts w:ascii="Times New Roman" w:hAnsi="Times New Roman" w:eastAsia="Calibri" w:cs="Times New Roman"/>
                <w:sz w:val="16"/>
                <w:szCs w:val="16"/>
              </w:rPr>
              <w:t>Current</w:t>
            </w:r>
          </w:p>
        </w:tc>
        <w:tc>
          <w:tcPr>
            <w:tcW w:w="960"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Pr="007D7417" w:rsidR="00D45369" w:rsidP="007D7417" w:rsidRDefault="006A4E66" w14:paraId="334F62B8" w14:textId="77777777">
            <w:pPr>
              <w:spacing w:line="240" w:lineRule="auto"/>
              <w:ind w:left="-20"/>
              <w:jc w:val="center"/>
              <w:rPr>
                <w:rFonts w:ascii="Times New Roman" w:hAnsi="Times New Roman" w:eastAsia="Calibri" w:cs="Times New Roman"/>
                <w:sz w:val="16"/>
                <w:szCs w:val="16"/>
              </w:rPr>
            </w:pPr>
            <w:r w:rsidRPr="007D7417">
              <w:rPr>
                <w:rFonts w:ascii="Times New Roman" w:hAnsi="Times New Roman" w:eastAsia="Calibri" w:cs="Times New Roman"/>
                <w:sz w:val="16"/>
                <w:szCs w:val="16"/>
              </w:rPr>
              <w:t>Previous</w:t>
            </w:r>
          </w:p>
        </w:tc>
        <w:tc>
          <w:tcPr>
            <w:tcW w:w="3435" w:type="dxa"/>
            <w:vMerge/>
            <w:tcBorders>
              <w:bottom w:val="single" w:color="000000" w:sz="8" w:space="0"/>
              <w:right w:val="single" w:color="000000" w:sz="8" w:space="0"/>
            </w:tcBorders>
            <w:shd w:val="clear" w:color="auto" w:fill="auto"/>
            <w:tcMar>
              <w:top w:w="100" w:type="dxa"/>
              <w:left w:w="100" w:type="dxa"/>
              <w:bottom w:w="100" w:type="dxa"/>
              <w:right w:w="100" w:type="dxa"/>
            </w:tcMar>
          </w:tcPr>
          <w:p w:rsidRPr="007D7417" w:rsidR="00D45369" w:rsidP="007D7417" w:rsidRDefault="00D45369" w14:paraId="078B015E" w14:textId="77777777">
            <w:pPr>
              <w:spacing w:line="240" w:lineRule="auto"/>
              <w:ind w:left="-20"/>
              <w:rPr>
                <w:rFonts w:ascii="Times New Roman" w:hAnsi="Times New Roman" w:cs="Times New Roman"/>
              </w:rPr>
            </w:pPr>
          </w:p>
        </w:tc>
      </w:tr>
      <w:tr w:rsidRPr="007D7417" w:rsidR="00D45369" w:rsidTr="00464D4F" w14:paraId="3B43D48B" w14:textId="77777777">
        <w:trPr>
          <w:trHeight w:val="515"/>
        </w:trPr>
        <w:tc>
          <w:tcPr>
            <w:tcW w:w="17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42E7A" w:rsidR="00D45369" w:rsidP="007D7417" w:rsidRDefault="006A4E66" w14:paraId="37F5A10A" w14:textId="090FE122">
            <w:pPr>
              <w:spacing w:line="240" w:lineRule="auto"/>
              <w:ind w:left="-20"/>
              <w:rPr>
                <w:rFonts w:ascii="Times New Roman" w:hAnsi="Times New Roman" w:eastAsia="Calibri" w:cs="Times New Roman"/>
                <w:b/>
                <w:sz w:val="16"/>
                <w:szCs w:val="16"/>
              </w:rPr>
            </w:pPr>
            <w:r w:rsidRPr="00C42E7A">
              <w:rPr>
                <w:rFonts w:ascii="Times New Roman" w:hAnsi="Times New Roman" w:eastAsia="Calibri" w:cs="Times New Roman"/>
                <w:b/>
                <w:sz w:val="16"/>
                <w:szCs w:val="16"/>
              </w:rPr>
              <w:t xml:space="preserve">Gear marking on vertical buoy lines </w:t>
            </w:r>
          </w:p>
        </w:tc>
        <w:tc>
          <w:tcPr>
            <w:tcW w:w="1495" w:type="dxa"/>
            <w:tcBorders>
              <w:top w:val="nil"/>
              <w:left w:val="nil"/>
              <w:bottom w:val="single" w:color="000000" w:sz="8" w:space="0"/>
              <w:right w:val="single" w:color="000000" w:sz="8" w:space="0"/>
            </w:tcBorders>
            <w:tcMar>
              <w:top w:w="100" w:type="dxa"/>
              <w:left w:w="100" w:type="dxa"/>
              <w:bottom w:w="100" w:type="dxa"/>
              <w:right w:w="100" w:type="dxa"/>
            </w:tcMar>
          </w:tcPr>
          <w:p w:rsidRPr="007D7417" w:rsidR="00D45369" w:rsidP="00464D4F" w:rsidRDefault="006A4E66" w14:paraId="652FD6C5" w14:textId="77777777">
            <w:pPr>
              <w:spacing w:line="240" w:lineRule="auto"/>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$1,963,949.93 </w:t>
            </w:r>
          </w:p>
        </w:tc>
        <w:tc>
          <w:tcPr>
            <w:tcW w:w="102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670E98" w:rsidRDefault="006A4E66" w14:paraId="774F311C" w14:textId="4598C493">
            <w:pPr>
              <w:spacing w:line="240" w:lineRule="auto"/>
              <w:ind w:left="-20"/>
              <w:jc w:val="right"/>
              <w:rPr>
                <w:rFonts w:ascii="Times New Roman" w:hAnsi="Times New Roman" w:eastAsia="Calibri" w:cs="Times New Roman"/>
                <w:sz w:val="16"/>
                <w:szCs w:val="16"/>
              </w:rPr>
            </w:pPr>
            <w:r w:rsidRPr="007D7417">
              <w:rPr>
                <w:rFonts w:ascii="Times New Roman" w:hAnsi="Times New Roman" w:eastAsia="Times New Roman" w:cs="Times New Roman"/>
                <w:sz w:val="16"/>
                <w:szCs w:val="16"/>
              </w:rPr>
              <w:t>$199,539.89</w:t>
            </w:r>
            <w:r w:rsidRPr="007D7417">
              <w:rPr>
                <w:rFonts w:ascii="Times New Roman" w:hAnsi="Times New Roman" w:eastAsia="Calibri" w:cs="Times New Roman"/>
                <w:sz w:val="16"/>
                <w:szCs w:val="16"/>
              </w:rPr>
              <w:t xml:space="preserve"> </w:t>
            </w:r>
          </w:p>
        </w:tc>
        <w:tc>
          <w:tcPr>
            <w:tcW w:w="112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670E98" w:rsidRDefault="006A4E66" w14:paraId="341BEE71"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$36,472.80 </w:t>
            </w:r>
          </w:p>
        </w:tc>
        <w:tc>
          <w:tcPr>
            <w:tcW w:w="96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673616" w:rsidRDefault="006A4E66" w14:paraId="2E9734DA" w14:textId="1628B189">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r w:rsidRPr="007D7417">
              <w:rPr>
                <w:rFonts w:ascii="Times New Roman" w:hAnsi="Times New Roman" w:eastAsia="Times New Roman" w:cs="Times New Roman"/>
                <w:sz w:val="16"/>
                <w:szCs w:val="16"/>
              </w:rPr>
              <w:t>$10,</w:t>
            </w:r>
            <w:r w:rsidR="00673616">
              <w:rPr>
                <w:rFonts w:ascii="Times New Roman" w:hAnsi="Times New Roman" w:eastAsia="Times New Roman" w:cs="Times New Roman"/>
                <w:sz w:val="16"/>
                <w:szCs w:val="16"/>
              </w:rPr>
              <w:t>355</w:t>
            </w:r>
          </w:p>
        </w:tc>
        <w:tc>
          <w:tcPr>
            <w:tcW w:w="3435"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7D7417" w:rsidRDefault="006A4E66" w14:paraId="79D353D4" w14:textId="77777777">
            <w:pPr>
              <w:spacing w:line="240" w:lineRule="auto"/>
              <w:rPr>
                <w:rFonts w:ascii="Times New Roman" w:hAnsi="Times New Roman" w:cs="Times New Roman"/>
                <w:sz w:val="14"/>
                <w:szCs w:val="14"/>
              </w:rPr>
            </w:pPr>
            <w:r w:rsidRPr="007D7417">
              <w:rPr>
                <w:rFonts w:ascii="Times New Roman" w:hAnsi="Times New Roman" w:cs="Times New Roman"/>
                <w:sz w:val="14"/>
                <w:szCs w:val="14"/>
              </w:rPr>
              <w:t>This analysis also assumes that fishermen will remark all vertical buoy lines every year, instead of once every three years, as past collections have considered. This analysis also encompasses the increased frequency of marks per vertical buoy line.</w:t>
            </w:r>
          </w:p>
        </w:tc>
      </w:tr>
      <w:tr w:rsidRPr="007D7417" w:rsidR="00D45369" w:rsidTr="00464D4F" w14:paraId="14232275" w14:textId="77777777">
        <w:trPr>
          <w:trHeight w:val="665"/>
        </w:trPr>
        <w:tc>
          <w:tcPr>
            <w:tcW w:w="1790" w:type="dxa"/>
            <w:tcBorders>
              <w:top w:val="nil"/>
              <w:left w:val="single" w:color="000000" w:sz="8" w:space="0"/>
              <w:bottom w:val="nil"/>
              <w:right w:val="single" w:color="000000" w:sz="8" w:space="0"/>
            </w:tcBorders>
            <w:shd w:val="clear" w:color="auto" w:fill="BDD6EE"/>
            <w:tcMar>
              <w:top w:w="100" w:type="dxa"/>
              <w:left w:w="100" w:type="dxa"/>
              <w:bottom w:w="100" w:type="dxa"/>
              <w:right w:w="100" w:type="dxa"/>
            </w:tcMar>
          </w:tcPr>
          <w:p w:rsidRPr="007D7417" w:rsidR="00D45369" w:rsidP="00C42E7A" w:rsidRDefault="006A4E66" w14:paraId="343D9AF5" w14:textId="77777777">
            <w:pPr>
              <w:spacing w:line="240" w:lineRule="auto"/>
              <w:ind w:left="-20"/>
              <w:rPr>
                <w:rFonts w:ascii="Times New Roman" w:hAnsi="Times New Roman" w:eastAsia="Calibri" w:cs="Times New Roman"/>
                <w:b/>
                <w:sz w:val="16"/>
                <w:szCs w:val="16"/>
              </w:rPr>
            </w:pPr>
            <w:r w:rsidRPr="007D7417">
              <w:rPr>
                <w:rFonts w:ascii="Times New Roman" w:hAnsi="Times New Roman" w:eastAsia="Calibri" w:cs="Times New Roman"/>
                <w:b/>
                <w:sz w:val="16"/>
                <w:szCs w:val="16"/>
              </w:rPr>
              <w:t>Total for Collection</w:t>
            </w:r>
          </w:p>
        </w:tc>
        <w:tc>
          <w:tcPr>
            <w:tcW w:w="1495" w:type="dxa"/>
            <w:tcBorders>
              <w:top w:val="nil"/>
              <w:left w:val="nil"/>
              <w:bottom w:val="single" w:color="000000" w:sz="8" w:space="0"/>
              <w:right w:val="single" w:color="000000" w:sz="8" w:space="0"/>
            </w:tcBorders>
            <w:tcMar>
              <w:top w:w="100" w:type="dxa"/>
              <w:left w:w="100" w:type="dxa"/>
              <w:bottom w:w="100" w:type="dxa"/>
              <w:right w:w="100" w:type="dxa"/>
            </w:tcMar>
          </w:tcPr>
          <w:p w:rsidRPr="007D7417" w:rsidR="00D45369" w:rsidP="00464D4F" w:rsidRDefault="006A4E66" w14:paraId="3A6E8744" w14:textId="77777777">
            <w:pPr>
              <w:spacing w:line="240" w:lineRule="auto"/>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$1,963,949.93 </w:t>
            </w:r>
          </w:p>
        </w:tc>
        <w:tc>
          <w:tcPr>
            <w:tcW w:w="102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670E98" w:rsidRDefault="006A4E66" w14:paraId="3D480283" w14:textId="77777777">
            <w:pPr>
              <w:spacing w:line="240" w:lineRule="auto"/>
              <w:ind w:left="-20"/>
              <w:jc w:val="right"/>
              <w:rPr>
                <w:rFonts w:ascii="Times New Roman" w:hAnsi="Times New Roman" w:eastAsia="Calibri" w:cs="Times New Roman"/>
                <w:sz w:val="16"/>
                <w:szCs w:val="16"/>
              </w:rPr>
            </w:pPr>
            <w:r w:rsidRPr="007D7417">
              <w:rPr>
                <w:rFonts w:ascii="Times New Roman" w:hAnsi="Times New Roman" w:eastAsia="Times New Roman" w:cs="Times New Roman"/>
                <w:sz w:val="16"/>
                <w:szCs w:val="16"/>
              </w:rPr>
              <w:t>$199,539.89</w:t>
            </w:r>
            <w:r w:rsidRPr="007D7417">
              <w:rPr>
                <w:rFonts w:ascii="Times New Roman" w:hAnsi="Times New Roman" w:eastAsia="Calibri" w:cs="Times New Roman"/>
                <w:sz w:val="16"/>
                <w:szCs w:val="16"/>
              </w:rPr>
              <w:t xml:space="preserve"> </w:t>
            </w:r>
          </w:p>
        </w:tc>
        <w:tc>
          <w:tcPr>
            <w:tcW w:w="112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Pr="007D7417" w:rsidR="00D45369" w:rsidP="00A84D63" w:rsidRDefault="006A4E66" w14:paraId="0E952805" w14:textId="464C1AD4">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$36,</w:t>
            </w:r>
            <w:r w:rsidR="00A84D63">
              <w:rPr>
                <w:rFonts w:ascii="Times New Roman" w:hAnsi="Times New Roman" w:eastAsia="Calibri" w:cs="Times New Roman"/>
                <w:sz w:val="16"/>
                <w:szCs w:val="16"/>
              </w:rPr>
              <w:t>473</w:t>
            </w:r>
            <w:r w:rsidRPr="007D7417">
              <w:rPr>
                <w:rFonts w:ascii="Times New Roman" w:hAnsi="Times New Roman" w:eastAsia="Calibri" w:cs="Times New Roman"/>
                <w:sz w:val="16"/>
                <w:szCs w:val="16"/>
              </w:rPr>
              <w:t xml:space="preserve"> </w:t>
            </w:r>
          </w:p>
        </w:tc>
        <w:tc>
          <w:tcPr>
            <w:tcW w:w="96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Pr="007D7417" w:rsidR="00D45369" w:rsidP="00673616" w:rsidRDefault="006A4E66" w14:paraId="0B2D05C9" w14:textId="2ABA4E09">
            <w:pPr>
              <w:spacing w:line="240" w:lineRule="auto"/>
              <w:ind w:left="-20"/>
              <w:jc w:val="right"/>
              <w:rPr>
                <w:rFonts w:ascii="Times New Roman" w:hAnsi="Times New Roman" w:eastAsia="Calibri" w:cs="Times New Roman"/>
                <w:sz w:val="16"/>
                <w:szCs w:val="16"/>
              </w:rPr>
            </w:pPr>
            <w:r w:rsidRPr="007D7417">
              <w:rPr>
                <w:rFonts w:ascii="Times New Roman" w:hAnsi="Times New Roman" w:eastAsia="Calibri" w:cs="Times New Roman"/>
                <w:sz w:val="16"/>
                <w:szCs w:val="16"/>
              </w:rPr>
              <w:t xml:space="preserve"> </w:t>
            </w:r>
            <w:r w:rsidRPr="007D7417">
              <w:rPr>
                <w:rFonts w:ascii="Times New Roman" w:hAnsi="Times New Roman" w:eastAsia="Times New Roman" w:cs="Times New Roman"/>
                <w:sz w:val="16"/>
                <w:szCs w:val="16"/>
              </w:rPr>
              <w:t>$10,</w:t>
            </w:r>
            <w:r w:rsidR="00673616">
              <w:rPr>
                <w:rFonts w:ascii="Times New Roman" w:hAnsi="Times New Roman" w:eastAsia="Times New Roman" w:cs="Times New Roman"/>
                <w:sz w:val="16"/>
                <w:szCs w:val="16"/>
              </w:rPr>
              <w:t>355</w:t>
            </w:r>
          </w:p>
        </w:tc>
        <w:tc>
          <w:tcPr>
            <w:tcW w:w="3435" w:type="dxa"/>
            <w:tcBorders>
              <w:top w:val="nil"/>
              <w:left w:val="nil"/>
              <w:bottom w:val="nil"/>
              <w:right w:val="single" w:color="000000" w:sz="8" w:space="0"/>
            </w:tcBorders>
            <w:shd w:val="clear" w:color="auto" w:fill="000000"/>
            <w:tcMar>
              <w:top w:w="100" w:type="dxa"/>
              <w:left w:w="100" w:type="dxa"/>
              <w:bottom w:w="100" w:type="dxa"/>
              <w:right w:w="100" w:type="dxa"/>
            </w:tcMar>
          </w:tcPr>
          <w:p w:rsidRPr="007D7417" w:rsidR="00D45369" w:rsidP="007D7417" w:rsidRDefault="006A4E66" w14:paraId="5943ABD0" w14:textId="77777777">
            <w:pPr>
              <w:spacing w:line="240" w:lineRule="auto"/>
              <w:ind w:left="-20"/>
              <w:jc w:val="center"/>
              <w:rPr>
                <w:rFonts w:ascii="Times New Roman" w:hAnsi="Times New Roman" w:eastAsia="Calibri" w:cs="Times New Roman"/>
                <w:b/>
                <w:sz w:val="16"/>
                <w:szCs w:val="16"/>
              </w:rPr>
            </w:pPr>
            <w:r w:rsidRPr="007D7417">
              <w:rPr>
                <w:rFonts w:ascii="Times New Roman" w:hAnsi="Times New Roman" w:eastAsia="Calibri" w:cs="Times New Roman"/>
                <w:b/>
                <w:sz w:val="16"/>
                <w:szCs w:val="16"/>
              </w:rPr>
              <w:t xml:space="preserve"> </w:t>
            </w:r>
          </w:p>
        </w:tc>
      </w:tr>
      <w:tr w:rsidRPr="007D7417" w:rsidR="00D45369" w:rsidTr="007C60E3" w14:paraId="5B3F80CB" w14:textId="77777777">
        <w:trPr>
          <w:trHeight w:val="515"/>
        </w:trPr>
        <w:tc>
          <w:tcPr>
            <w:tcW w:w="1790" w:type="dxa"/>
            <w:tcBorders>
              <w:top w:val="single" w:color="000000" w:sz="8" w:space="0"/>
              <w:left w:val="single" w:color="000000" w:sz="8" w:space="0"/>
              <w:bottom w:val="single" w:color="000000" w:sz="8" w:space="0"/>
              <w:right w:val="nil"/>
            </w:tcBorders>
            <w:shd w:val="clear" w:color="auto" w:fill="FCE4D6"/>
            <w:tcMar>
              <w:top w:w="100" w:type="dxa"/>
              <w:left w:w="100" w:type="dxa"/>
              <w:bottom w:w="100" w:type="dxa"/>
              <w:right w:w="100" w:type="dxa"/>
            </w:tcMar>
          </w:tcPr>
          <w:p w:rsidRPr="004F0A28" w:rsidR="00D45369" w:rsidP="00C42E7A" w:rsidRDefault="006A4E66" w14:paraId="22ED9874" w14:textId="77777777">
            <w:pPr>
              <w:spacing w:line="240" w:lineRule="auto"/>
              <w:ind w:left="-20"/>
              <w:rPr>
                <w:rFonts w:ascii="Times New Roman" w:hAnsi="Times New Roman" w:eastAsia="Calibri" w:cs="Times New Roman"/>
                <w:b/>
                <w:sz w:val="16"/>
                <w:szCs w:val="16"/>
              </w:rPr>
            </w:pPr>
            <w:r w:rsidRPr="004F0A28">
              <w:rPr>
                <w:rFonts w:ascii="Times New Roman" w:hAnsi="Times New Roman" w:eastAsia="Calibri" w:cs="Times New Roman"/>
                <w:b/>
                <w:sz w:val="16"/>
                <w:szCs w:val="16"/>
              </w:rPr>
              <w:lastRenderedPageBreak/>
              <w:t>Difference</w:t>
            </w:r>
          </w:p>
        </w:tc>
        <w:tc>
          <w:tcPr>
            <w:tcW w:w="2515" w:type="dxa"/>
            <w:gridSpan w:val="2"/>
            <w:tcBorders>
              <w:top w:val="single" w:color="000000" w:sz="8" w:space="0"/>
              <w:left w:val="single" w:color="000000" w:sz="8" w:space="0"/>
              <w:bottom w:val="single" w:color="000000" w:sz="8" w:space="0"/>
              <w:right w:val="single" w:color="000000" w:sz="8" w:space="0"/>
            </w:tcBorders>
            <w:shd w:val="clear" w:color="auto" w:fill="FCE4D6"/>
            <w:tcMar>
              <w:top w:w="100" w:type="dxa"/>
              <w:left w:w="100" w:type="dxa"/>
              <w:bottom w:w="100" w:type="dxa"/>
              <w:right w:w="100" w:type="dxa"/>
            </w:tcMar>
          </w:tcPr>
          <w:p w:rsidRPr="00673616" w:rsidR="00D45369" w:rsidP="00673616" w:rsidRDefault="006A4E66" w14:paraId="0FFE6B97" w14:textId="73BFBAC9">
            <w:pPr>
              <w:spacing w:line="240" w:lineRule="auto"/>
              <w:ind w:left="-20"/>
              <w:jc w:val="center"/>
              <w:rPr>
                <w:rFonts w:ascii="Times New Roman" w:hAnsi="Times New Roman" w:eastAsia="Calibri" w:cs="Times New Roman"/>
                <w:sz w:val="20"/>
                <w:szCs w:val="20"/>
              </w:rPr>
            </w:pPr>
            <w:r w:rsidRPr="00673616">
              <w:rPr>
                <w:rFonts w:ascii="Times New Roman" w:hAnsi="Times New Roman" w:eastAsia="Calibri" w:cs="Times New Roman"/>
                <w:sz w:val="20"/>
                <w:szCs w:val="20"/>
              </w:rPr>
              <w:t>+1,764,</w:t>
            </w:r>
            <w:r w:rsidRPr="00673616" w:rsidR="00673616">
              <w:rPr>
                <w:rFonts w:ascii="Times New Roman" w:hAnsi="Times New Roman" w:eastAsia="Calibri" w:cs="Times New Roman"/>
                <w:sz w:val="20"/>
                <w:szCs w:val="20"/>
              </w:rPr>
              <w:t>410</w:t>
            </w:r>
            <w:r w:rsidRPr="00673616">
              <w:rPr>
                <w:rFonts w:ascii="Times New Roman" w:hAnsi="Times New Roman" w:eastAsia="Calibri" w:cs="Times New Roman"/>
                <w:sz w:val="20"/>
                <w:szCs w:val="20"/>
              </w:rPr>
              <w:t xml:space="preserve"> </w:t>
            </w:r>
          </w:p>
        </w:tc>
        <w:tc>
          <w:tcPr>
            <w:tcW w:w="2085" w:type="dxa"/>
            <w:gridSpan w:val="2"/>
            <w:tcBorders>
              <w:top w:val="single" w:color="000000" w:sz="8" w:space="0"/>
              <w:left w:val="nil"/>
              <w:bottom w:val="single" w:color="000000" w:sz="8" w:space="0"/>
              <w:right w:val="single" w:color="000000" w:sz="8" w:space="0"/>
            </w:tcBorders>
            <w:shd w:val="clear" w:color="auto" w:fill="FCE4D6"/>
            <w:tcMar>
              <w:top w:w="100" w:type="dxa"/>
              <w:left w:w="100" w:type="dxa"/>
              <w:bottom w:w="100" w:type="dxa"/>
              <w:right w:w="100" w:type="dxa"/>
            </w:tcMar>
          </w:tcPr>
          <w:p w:rsidRPr="00673616" w:rsidR="00D45369" w:rsidP="00673616" w:rsidRDefault="006A4E66" w14:paraId="2E724457" w14:textId="5F5AE8F4">
            <w:pPr>
              <w:spacing w:line="240" w:lineRule="auto"/>
              <w:ind w:left="-20"/>
              <w:jc w:val="center"/>
              <w:rPr>
                <w:rFonts w:ascii="Times New Roman" w:hAnsi="Times New Roman" w:eastAsia="Calibri" w:cs="Times New Roman"/>
                <w:sz w:val="20"/>
                <w:szCs w:val="20"/>
              </w:rPr>
            </w:pPr>
            <w:r w:rsidRPr="00673616">
              <w:rPr>
                <w:rFonts w:ascii="Times New Roman" w:hAnsi="Times New Roman" w:eastAsia="Calibri" w:cs="Times New Roman"/>
                <w:sz w:val="20"/>
                <w:szCs w:val="20"/>
              </w:rPr>
              <w:t>+</w:t>
            </w:r>
            <w:r w:rsidRPr="00673616" w:rsidR="00673616">
              <w:rPr>
                <w:rFonts w:ascii="Times New Roman" w:hAnsi="Times New Roman" w:eastAsia="Calibri" w:cs="Times New Roman"/>
                <w:sz w:val="20"/>
                <w:szCs w:val="20"/>
              </w:rPr>
              <w:t>26,118</w:t>
            </w:r>
            <w:r w:rsidRPr="00673616">
              <w:rPr>
                <w:rFonts w:ascii="Times New Roman" w:hAnsi="Times New Roman" w:eastAsia="Calibri" w:cs="Times New Roman"/>
                <w:sz w:val="20"/>
                <w:szCs w:val="20"/>
              </w:rPr>
              <w:t xml:space="preserve"> </w:t>
            </w:r>
          </w:p>
        </w:tc>
        <w:tc>
          <w:tcPr>
            <w:tcW w:w="343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Pr="007D7417" w:rsidR="00D45369" w:rsidP="007D7417" w:rsidRDefault="006A4E66" w14:paraId="70B49831" w14:textId="77777777">
            <w:pPr>
              <w:spacing w:line="240" w:lineRule="auto"/>
              <w:ind w:left="-20"/>
              <w:rPr>
                <w:rFonts w:ascii="Times New Roman" w:hAnsi="Times New Roman" w:eastAsia="Calibri" w:cs="Times New Roman"/>
              </w:rPr>
            </w:pPr>
            <w:r w:rsidRPr="007D7417">
              <w:rPr>
                <w:rFonts w:ascii="Times New Roman" w:hAnsi="Times New Roman" w:eastAsia="Calibri" w:cs="Times New Roman"/>
              </w:rPr>
              <w:t xml:space="preserve"> </w:t>
            </w:r>
          </w:p>
        </w:tc>
      </w:tr>
    </w:tbl>
    <w:p w:rsidRPr="007D7417" w:rsidR="00D45369" w:rsidP="007D7417" w:rsidRDefault="006A4E66" w14:paraId="2E3CC24A" w14:textId="77777777">
      <w:pPr>
        <w:spacing w:line="240" w:lineRule="auto"/>
        <w:rPr>
          <w:rFonts w:ascii="Times New Roman" w:hAnsi="Times New Roman" w:cs="Times New Roman"/>
          <w:b/>
        </w:rPr>
      </w:pPr>
      <w:r w:rsidRPr="007D7417">
        <w:rPr>
          <w:rFonts w:ascii="Times New Roman" w:hAnsi="Times New Roman" w:cs="Times New Roman"/>
          <w:b/>
        </w:rPr>
        <w:t xml:space="preserve"> </w:t>
      </w:r>
    </w:p>
    <w:p w:rsidRPr="007D7417" w:rsidR="00D45369" w:rsidP="007D7417" w:rsidRDefault="00D45369" w14:paraId="3D8ED3CB" w14:textId="77777777">
      <w:pPr>
        <w:spacing w:line="240" w:lineRule="auto"/>
        <w:rPr>
          <w:rFonts w:ascii="Times New Roman" w:hAnsi="Times New Roman" w:cs="Times New Roman"/>
          <w:b/>
        </w:rPr>
      </w:pPr>
    </w:p>
    <w:p w:rsidRPr="00342723" w:rsidR="00D45369" w:rsidP="007D7417" w:rsidRDefault="006A4E66" w14:paraId="2B5FF2E1" w14:textId="77777777">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16.</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42723" w:rsidR="009118EA" w:rsidP="007D7417" w:rsidRDefault="009118EA" w14:paraId="401B8755" w14:textId="77777777">
      <w:pPr>
        <w:spacing w:line="240" w:lineRule="auto"/>
        <w:rPr>
          <w:rFonts w:ascii="Times New Roman" w:hAnsi="Times New Roman" w:eastAsia="Times New Roman" w:cs="Times New Roman"/>
          <w:sz w:val="24"/>
          <w:szCs w:val="24"/>
        </w:rPr>
      </w:pPr>
    </w:p>
    <w:p w:rsidRPr="00342723" w:rsidR="00D45369" w:rsidP="007D7417" w:rsidRDefault="006A4E66" w14:paraId="1AF57D4E" w14:textId="771D74EC">
      <w:pPr>
        <w:spacing w:line="240" w:lineRule="auto"/>
        <w:rPr>
          <w:rFonts w:ascii="Times New Roman" w:hAnsi="Times New Roman" w:cs="Times New Roman"/>
          <w:b/>
          <w:sz w:val="24"/>
          <w:szCs w:val="24"/>
        </w:rPr>
      </w:pPr>
      <w:r w:rsidRPr="00342723">
        <w:rPr>
          <w:rFonts w:ascii="Times New Roman" w:hAnsi="Times New Roman" w:eastAsia="Times New Roman" w:cs="Times New Roman"/>
          <w:sz w:val="24"/>
          <w:szCs w:val="24"/>
        </w:rPr>
        <w:t>Collection results will not be published.</w:t>
      </w:r>
    </w:p>
    <w:p w:rsidRPr="00342723" w:rsidR="00D45369" w:rsidP="007D7417" w:rsidRDefault="00D45369" w14:paraId="56D4CB76" w14:textId="77777777">
      <w:pPr>
        <w:spacing w:line="240" w:lineRule="auto"/>
        <w:rPr>
          <w:rFonts w:ascii="Times New Roman" w:hAnsi="Times New Roman" w:cs="Times New Roman"/>
          <w:b/>
          <w:sz w:val="24"/>
          <w:szCs w:val="24"/>
        </w:rPr>
      </w:pPr>
    </w:p>
    <w:p w:rsidRPr="00342723" w:rsidR="00D45369" w:rsidP="007D7417" w:rsidRDefault="006A4E66" w14:paraId="3C8E5B90" w14:textId="7B239C9F">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17.</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342723" w:rsidR="009118EA" w:rsidP="007D7417" w:rsidRDefault="009118EA" w14:paraId="203C6A50" w14:textId="77777777">
      <w:pPr>
        <w:spacing w:line="240" w:lineRule="auto"/>
        <w:rPr>
          <w:rFonts w:ascii="Times New Roman" w:hAnsi="Times New Roman" w:cs="Times New Roman"/>
          <w:b/>
          <w:sz w:val="24"/>
          <w:szCs w:val="24"/>
        </w:rPr>
      </w:pPr>
    </w:p>
    <w:p w:rsidRPr="00342723" w:rsidR="00D45369" w:rsidP="007D7417" w:rsidRDefault="006A4E66" w14:paraId="3C5B7A28" w14:textId="04F51CCA">
      <w:pPr>
        <w:spacing w:line="240" w:lineRule="auto"/>
        <w:rPr>
          <w:rFonts w:ascii="Times New Roman" w:hAnsi="Times New Roman" w:cs="Times New Roman"/>
          <w:i/>
          <w:sz w:val="24"/>
          <w:szCs w:val="24"/>
        </w:rPr>
      </w:pPr>
      <w:r w:rsidRPr="00342723">
        <w:rPr>
          <w:rFonts w:ascii="Times New Roman" w:hAnsi="Times New Roman" w:eastAsia="Times New Roman" w:cs="Times New Roman"/>
          <w:sz w:val="24"/>
          <w:szCs w:val="24"/>
        </w:rPr>
        <w:t>This collection does not involve paper forms, so it is not possible to display the expiration date for OMB approval of the information collection.</w:t>
      </w:r>
    </w:p>
    <w:p w:rsidRPr="00342723" w:rsidR="009118EA" w:rsidP="007D7417" w:rsidRDefault="009118EA" w14:paraId="1E9F9626" w14:textId="77777777">
      <w:pPr>
        <w:spacing w:line="240" w:lineRule="auto"/>
        <w:rPr>
          <w:rFonts w:ascii="Times New Roman" w:hAnsi="Times New Roman" w:cs="Times New Roman"/>
          <w:b/>
          <w:sz w:val="24"/>
          <w:szCs w:val="24"/>
        </w:rPr>
      </w:pPr>
    </w:p>
    <w:p w:rsidRPr="00342723" w:rsidR="00D45369" w:rsidP="007D7417" w:rsidRDefault="006A4E66" w14:paraId="1C6A1804" w14:textId="48C73DED">
      <w:pPr>
        <w:spacing w:line="240" w:lineRule="auto"/>
        <w:rPr>
          <w:rFonts w:ascii="Times New Roman" w:hAnsi="Times New Roman" w:cs="Times New Roman"/>
          <w:b/>
          <w:sz w:val="24"/>
          <w:szCs w:val="24"/>
        </w:rPr>
      </w:pPr>
      <w:r w:rsidRPr="00342723">
        <w:rPr>
          <w:rFonts w:ascii="Times New Roman" w:hAnsi="Times New Roman" w:cs="Times New Roman"/>
          <w:b/>
          <w:sz w:val="24"/>
          <w:szCs w:val="24"/>
        </w:rPr>
        <w:t>18.</w:t>
      </w:r>
      <w:r w:rsidRPr="00342723">
        <w:rPr>
          <w:rFonts w:ascii="Times New Roman" w:hAnsi="Times New Roman" w:eastAsia="Times New Roman" w:cs="Times New Roman"/>
          <w:sz w:val="24"/>
          <w:szCs w:val="24"/>
        </w:rPr>
        <w:t xml:space="preserve"> </w:t>
      </w:r>
      <w:r w:rsidRPr="00342723">
        <w:rPr>
          <w:rFonts w:ascii="Times New Roman" w:hAnsi="Times New Roman" w:cs="Times New Roman"/>
          <w:b/>
          <w:sz w:val="24"/>
          <w:szCs w:val="24"/>
        </w:rPr>
        <w:t>Explain each exception to the certification statement identified in “Certification for Paperwork Reduction Act Submissions."</w:t>
      </w:r>
    </w:p>
    <w:p w:rsidRPr="00342723" w:rsidR="009118EA" w:rsidP="007D7417" w:rsidRDefault="009118EA" w14:paraId="769AA71D" w14:textId="77777777">
      <w:pPr>
        <w:spacing w:line="240" w:lineRule="auto"/>
        <w:jc w:val="both"/>
        <w:rPr>
          <w:rFonts w:ascii="Times New Roman" w:hAnsi="Times New Roman" w:cs="Times New Roman"/>
          <w:sz w:val="24"/>
          <w:szCs w:val="24"/>
        </w:rPr>
      </w:pPr>
    </w:p>
    <w:p w:rsidRPr="00342723" w:rsidR="00D45369" w:rsidP="005D2974" w:rsidRDefault="006A4E66" w14:paraId="0D9E85C8" w14:textId="1BC017E1">
      <w:pPr>
        <w:spacing w:line="240" w:lineRule="auto"/>
        <w:jc w:val="both"/>
        <w:rPr>
          <w:rFonts w:ascii="Times New Roman" w:hAnsi="Times New Roman" w:cs="Times New Roman"/>
          <w:sz w:val="24"/>
          <w:szCs w:val="24"/>
        </w:rPr>
      </w:pPr>
      <w:r w:rsidRPr="00342723">
        <w:rPr>
          <w:rFonts w:ascii="Times New Roman" w:hAnsi="Times New Roman" w:cs="Times New Roman"/>
          <w:sz w:val="24"/>
          <w:szCs w:val="24"/>
        </w:rPr>
        <w:t>The agency certifies compliance with</w:t>
      </w:r>
      <w:hyperlink r:id="rId14">
        <w:r w:rsidRPr="00342723">
          <w:rPr>
            <w:rFonts w:ascii="Times New Roman" w:hAnsi="Times New Roman" w:cs="Times New Roman"/>
            <w:sz w:val="24"/>
            <w:szCs w:val="24"/>
          </w:rPr>
          <w:t xml:space="preserve"> </w:t>
        </w:r>
      </w:hyperlink>
      <w:hyperlink r:id="rId15">
        <w:r w:rsidRPr="00342723">
          <w:rPr>
            <w:rFonts w:ascii="Times New Roman" w:hAnsi="Times New Roman" w:cs="Times New Roman"/>
            <w:color w:val="0563C1"/>
            <w:sz w:val="24"/>
            <w:szCs w:val="24"/>
            <w:u w:val="single"/>
          </w:rPr>
          <w:t>5 CFR 1320.9</w:t>
        </w:r>
      </w:hyperlink>
      <w:r w:rsidRPr="00342723">
        <w:rPr>
          <w:rFonts w:ascii="Times New Roman" w:hAnsi="Times New Roman" w:cs="Times New Roman"/>
          <w:color w:val="0563C1"/>
          <w:sz w:val="24"/>
          <w:szCs w:val="24"/>
        </w:rPr>
        <w:t xml:space="preserve"> </w:t>
      </w:r>
      <w:r w:rsidRPr="00342723">
        <w:rPr>
          <w:rFonts w:ascii="Times New Roman" w:hAnsi="Times New Roman" w:cs="Times New Roman"/>
          <w:sz w:val="24"/>
          <w:szCs w:val="24"/>
        </w:rPr>
        <w:t>and the related provisions of</w:t>
      </w:r>
      <w:hyperlink r:id="rId16">
        <w:r w:rsidRPr="00342723">
          <w:rPr>
            <w:rFonts w:ascii="Times New Roman" w:hAnsi="Times New Roman" w:cs="Times New Roman"/>
            <w:sz w:val="24"/>
            <w:szCs w:val="24"/>
          </w:rPr>
          <w:t xml:space="preserve"> </w:t>
        </w:r>
      </w:hyperlink>
      <w:hyperlink r:id="rId17">
        <w:r w:rsidRPr="00342723">
          <w:rPr>
            <w:rFonts w:ascii="Times New Roman" w:hAnsi="Times New Roman" w:cs="Times New Roman"/>
            <w:color w:val="0563C1"/>
            <w:sz w:val="24"/>
            <w:szCs w:val="24"/>
            <w:u w:val="single"/>
          </w:rPr>
          <w:t>5 CFR</w:t>
        </w:r>
      </w:hyperlink>
      <w:hyperlink r:id="rId18">
        <w:r w:rsidRPr="00342723">
          <w:rPr>
            <w:rFonts w:ascii="Times New Roman" w:hAnsi="Times New Roman" w:cs="Times New Roman"/>
            <w:color w:val="0563C1"/>
            <w:sz w:val="24"/>
            <w:szCs w:val="24"/>
          </w:rPr>
          <w:t xml:space="preserve"> </w:t>
        </w:r>
      </w:hyperlink>
      <w:hyperlink r:id="rId19">
        <w:r w:rsidRPr="00342723">
          <w:rPr>
            <w:rFonts w:ascii="Times New Roman" w:hAnsi="Times New Roman" w:cs="Times New Roman"/>
            <w:color w:val="0563C1"/>
            <w:sz w:val="24"/>
            <w:szCs w:val="24"/>
            <w:u w:val="single"/>
          </w:rPr>
          <w:t>1320.8(b)(3)</w:t>
        </w:r>
      </w:hyperlink>
      <w:r w:rsidRPr="00342723">
        <w:rPr>
          <w:rFonts w:ascii="Times New Roman" w:hAnsi="Times New Roman" w:cs="Times New Roman"/>
          <w:sz w:val="24"/>
          <w:szCs w:val="24"/>
        </w:rPr>
        <w:t>.</w:t>
      </w:r>
    </w:p>
    <w:sectPr w:rsidRPr="00342723" w:rsidR="00D4536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065D" w14:textId="77777777" w:rsidR="009F2196" w:rsidRDefault="009F2196" w:rsidP="001263A5">
      <w:pPr>
        <w:spacing w:line="240" w:lineRule="auto"/>
      </w:pPr>
      <w:r>
        <w:separator/>
      </w:r>
    </w:p>
  </w:endnote>
  <w:endnote w:type="continuationSeparator" w:id="0">
    <w:p w14:paraId="36A67F9D" w14:textId="77777777" w:rsidR="009F2196" w:rsidRDefault="009F2196" w:rsidP="00126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232881"/>
      <w:docPartObj>
        <w:docPartGallery w:val="Page Numbers (Bottom of Page)"/>
        <w:docPartUnique/>
      </w:docPartObj>
    </w:sdtPr>
    <w:sdtEndPr>
      <w:rPr>
        <w:noProof/>
      </w:rPr>
    </w:sdtEndPr>
    <w:sdtContent>
      <w:p w14:paraId="50647637" w14:textId="17267F44" w:rsidR="00C42E7A" w:rsidRDefault="00C42E7A">
        <w:pPr>
          <w:pStyle w:val="Footer"/>
          <w:jc w:val="center"/>
        </w:pPr>
        <w:r>
          <w:fldChar w:fldCharType="begin"/>
        </w:r>
        <w:r>
          <w:instrText xml:space="preserve"> PAGE   \* MERGEFORMAT </w:instrText>
        </w:r>
        <w:r>
          <w:fldChar w:fldCharType="separate"/>
        </w:r>
        <w:r w:rsidR="00A84D63">
          <w:rPr>
            <w:noProof/>
          </w:rPr>
          <w:t>12</w:t>
        </w:r>
        <w:r>
          <w:rPr>
            <w:noProof/>
          </w:rPr>
          <w:fldChar w:fldCharType="end"/>
        </w:r>
      </w:p>
    </w:sdtContent>
  </w:sdt>
  <w:p w14:paraId="18C69451" w14:textId="77777777" w:rsidR="00C42E7A" w:rsidRDefault="00C4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F1AED" w14:textId="77777777" w:rsidR="009F2196" w:rsidRDefault="009F2196" w:rsidP="001263A5">
      <w:pPr>
        <w:spacing w:line="240" w:lineRule="auto"/>
      </w:pPr>
      <w:r>
        <w:separator/>
      </w:r>
    </w:p>
  </w:footnote>
  <w:footnote w:type="continuationSeparator" w:id="0">
    <w:p w14:paraId="08BFBD9E" w14:textId="77777777" w:rsidR="009F2196" w:rsidRDefault="009F2196" w:rsidP="001263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69"/>
    <w:rsid w:val="00125A93"/>
    <w:rsid w:val="001263A5"/>
    <w:rsid w:val="0013323A"/>
    <w:rsid w:val="00145AE5"/>
    <w:rsid w:val="00152E86"/>
    <w:rsid w:val="001A3495"/>
    <w:rsid w:val="001B7F4C"/>
    <w:rsid w:val="001C632E"/>
    <w:rsid w:val="00221ABA"/>
    <w:rsid w:val="0023396D"/>
    <w:rsid w:val="002825F7"/>
    <w:rsid w:val="002C31D3"/>
    <w:rsid w:val="00342723"/>
    <w:rsid w:val="00347D2C"/>
    <w:rsid w:val="00364F2F"/>
    <w:rsid w:val="00384CFF"/>
    <w:rsid w:val="00464D4F"/>
    <w:rsid w:val="004B3B4B"/>
    <w:rsid w:val="004E7808"/>
    <w:rsid w:val="004F0A28"/>
    <w:rsid w:val="00513E5A"/>
    <w:rsid w:val="005D0DE5"/>
    <w:rsid w:val="005D2974"/>
    <w:rsid w:val="00643E23"/>
    <w:rsid w:val="00670E98"/>
    <w:rsid w:val="00673616"/>
    <w:rsid w:val="006A4E66"/>
    <w:rsid w:val="00746452"/>
    <w:rsid w:val="00794071"/>
    <w:rsid w:val="007A3944"/>
    <w:rsid w:val="007C5BE7"/>
    <w:rsid w:val="007C60E3"/>
    <w:rsid w:val="007D7417"/>
    <w:rsid w:val="008504AE"/>
    <w:rsid w:val="00853540"/>
    <w:rsid w:val="00875654"/>
    <w:rsid w:val="008B2B74"/>
    <w:rsid w:val="008C3732"/>
    <w:rsid w:val="008D50AC"/>
    <w:rsid w:val="008E6A9D"/>
    <w:rsid w:val="0090485A"/>
    <w:rsid w:val="009118EA"/>
    <w:rsid w:val="0093771B"/>
    <w:rsid w:val="00991E3C"/>
    <w:rsid w:val="009A4A19"/>
    <w:rsid w:val="009F2196"/>
    <w:rsid w:val="00A3449A"/>
    <w:rsid w:val="00A35542"/>
    <w:rsid w:val="00A84D63"/>
    <w:rsid w:val="00AA6DB8"/>
    <w:rsid w:val="00AF33C7"/>
    <w:rsid w:val="00B26E04"/>
    <w:rsid w:val="00B74091"/>
    <w:rsid w:val="00B96E9E"/>
    <w:rsid w:val="00C42E7A"/>
    <w:rsid w:val="00C919AC"/>
    <w:rsid w:val="00CB1FCF"/>
    <w:rsid w:val="00D45369"/>
    <w:rsid w:val="00D710DC"/>
    <w:rsid w:val="00D7544F"/>
    <w:rsid w:val="00DB0035"/>
    <w:rsid w:val="00E034F4"/>
    <w:rsid w:val="00E17845"/>
    <w:rsid w:val="00E2644D"/>
    <w:rsid w:val="00E87A26"/>
    <w:rsid w:val="00EB605C"/>
    <w:rsid w:val="00EC5C02"/>
    <w:rsid w:val="00F3796F"/>
    <w:rsid w:val="00F42DB2"/>
    <w:rsid w:val="00F9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FF7E"/>
  <w15:docId w15:val="{9FB5E782-6BA4-4B4A-9A45-B810E8A6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78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45"/>
    <w:rPr>
      <w:rFonts w:ascii="Segoe UI" w:hAnsi="Segoe UI" w:cs="Segoe UI"/>
      <w:sz w:val="18"/>
      <w:szCs w:val="18"/>
    </w:rPr>
  </w:style>
  <w:style w:type="paragraph" w:styleId="ListParagraph">
    <w:name w:val="List Paragraph"/>
    <w:basedOn w:val="Normal"/>
    <w:uiPriority w:val="34"/>
    <w:qFormat/>
    <w:rsid w:val="009118EA"/>
    <w:pPr>
      <w:ind w:left="720"/>
      <w:contextualSpacing/>
    </w:pPr>
  </w:style>
  <w:style w:type="paragraph" w:styleId="CommentSubject">
    <w:name w:val="annotation subject"/>
    <w:basedOn w:val="CommentText"/>
    <w:next w:val="CommentText"/>
    <w:link w:val="CommentSubjectChar"/>
    <w:uiPriority w:val="99"/>
    <w:semiHidden/>
    <w:unhideWhenUsed/>
    <w:rsid w:val="001B7F4C"/>
    <w:rPr>
      <w:b/>
      <w:bCs/>
    </w:rPr>
  </w:style>
  <w:style w:type="character" w:customStyle="1" w:styleId="CommentSubjectChar">
    <w:name w:val="Comment Subject Char"/>
    <w:basedOn w:val="CommentTextChar"/>
    <w:link w:val="CommentSubject"/>
    <w:uiPriority w:val="99"/>
    <w:semiHidden/>
    <w:rsid w:val="001B7F4C"/>
    <w:rPr>
      <w:b/>
      <w:bCs/>
      <w:sz w:val="20"/>
      <w:szCs w:val="20"/>
    </w:rPr>
  </w:style>
  <w:style w:type="paragraph" w:styleId="Header">
    <w:name w:val="header"/>
    <w:basedOn w:val="Normal"/>
    <w:link w:val="HeaderChar"/>
    <w:uiPriority w:val="99"/>
    <w:unhideWhenUsed/>
    <w:rsid w:val="001263A5"/>
    <w:pPr>
      <w:tabs>
        <w:tab w:val="center" w:pos="4680"/>
        <w:tab w:val="right" w:pos="9360"/>
      </w:tabs>
      <w:spacing w:line="240" w:lineRule="auto"/>
    </w:pPr>
  </w:style>
  <w:style w:type="character" w:customStyle="1" w:styleId="HeaderChar">
    <w:name w:val="Header Char"/>
    <w:basedOn w:val="DefaultParagraphFont"/>
    <w:link w:val="Header"/>
    <w:uiPriority w:val="99"/>
    <w:rsid w:val="001263A5"/>
  </w:style>
  <w:style w:type="paragraph" w:styleId="Footer">
    <w:name w:val="footer"/>
    <w:basedOn w:val="Normal"/>
    <w:link w:val="FooterChar"/>
    <w:uiPriority w:val="99"/>
    <w:unhideWhenUsed/>
    <w:rsid w:val="001263A5"/>
    <w:pPr>
      <w:tabs>
        <w:tab w:val="center" w:pos="4680"/>
        <w:tab w:val="right" w:pos="9360"/>
      </w:tabs>
      <w:spacing w:line="240" w:lineRule="auto"/>
    </w:pPr>
  </w:style>
  <w:style w:type="character" w:customStyle="1" w:styleId="FooterChar">
    <w:name w:val="Footer Char"/>
    <w:basedOn w:val="DefaultParagraphFont"/>
    <w:link w:val="Footer"/>
    <w:uiPriority w:val="99"/>
    <w:rsid w:val="001263A5"/>
  </w:style>
  <w:style w:type="paragraph" w:styleId="Revision">
    <w:name w:val="Revision"/>
    <w:hidden/>
    <w:uiPriority w:val="99"/>
    <w:semiHidden/>
    <w:rsid w:val="00152E86"/>
    <w:pPr>
      <w:spacing w:line="240" w:lineRule="auto"/>
    </w:pPr>
  </w:style>
  <w:style w:type="character" w:styleId="Hyperlink">
    <w:name w:val="Hyperlink"/>
    <w:basedOn w:val="DefaultParagraphFont"/>
    <w:uiPriority w:val="99"/>
    <w:unhideWhenUsed/>
    <w:rsid w:val="00CB1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eratlantic.fisheries.noaa.gov/policyseries/index.php/GARPS/article/view/21/16" TargetMode="External"/><Relationship Id="rId13" Type="http://schemas.openxmlformats.org/officeDocument/2006/relationships/hyperlink" Target="https://www.commerce.gov/sites/default/files/2020-01/2020%20rpstandard.pdf"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isheries.noaa.gov/new-england-mid-atlantic/marine-mammal-protection/atlantic-large-whale-take-reduction-plan" TargetMode="Externa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hyperlink" Target="http://www.gpo.gov/fdsys/pkg/CFR-2014-title5-vol3/pdf/CFR-2014-title5-vol3-sec1320-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cfr.gov/cgi-bin/text-idx?c=ecfr&amp;SID=a300e10c582730dc2008e29c40a93dbd&amp;rgn=div8&amp;view=text&amp;node=50:11.0.1.3.2.1.1.11&amp;idno=50" TargetMode="External"/><Relationship Id="rId5" Type="http://schemas.openxmlformats.org/officeDocument/2006/relationships/footnotes" Target="footnote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fisheries.noaa.gov/new-england-mid-atlantic/marine-mammal-protection/atlantic-large-whale-take-reduction-plan"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 Id="rId14" Type="http://schemas.openxmlformats.org/officeDocument/2006/relationships/hyperlink" Target="http://www.gpo.gov/fdsys/pkg/CFR-2014-title5-vol3/pdf/CFR-2014-title5-vol3-sec1320-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ED8D-40F5-4762-A2C4-FC2D1CF3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4740</Words>
  <Characters>27022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Ainsley Smith</dc:creator>
  <cp:lastModifiedBy>Janet.Peery</cp:lastModifiedBy>
  <cp:revision>6</cp:revision>
  <dcterms:created xsi:type="dcterms:W3CDTF">2020-09-16T14:09:00Z</dcterms:created>
  <dcterms:modified xsi:type="dcterms:W3CDTF">2020-09-16T20:34:00Z</dcterms:modified>
</cp:coreProperties>
</file>