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EF2" w:rsidRDefault="003C0A74">
      <w:pPr>
        <w:pStyle w:val="c2"/>
        <w:tabs>
          <w:tab w:val="left" w:pos="2568"/>
          <w:tab w:val="left" w:pos="6525"/>
        </w:tabs>
        <w:rPr>
          <w:bCs/>
          <w:u w:val="single"/>
        </w:rPr>
      </w:pPr>
      <w:r w:rsidRPr="003C0A74">
        <w:rPr>
          <w:bCs/>
          <w:u w:val="single"/>
        </w:rPr>
        <w:t>SUPPORTING STATEMENT</w:t>
      </w:r>
    </w:p>
    <w:p w:rsidRPr="003C0A74" w:rsidR="003C0A74" w:rsidRDefault="003C0A74">
      <w:pPr>
        <w:pStyle w:val="c2"/>
        <w:tabs>
          <w:tab w:val="left" w:pos="2568"/>
          <w:tab w:val="left" w:pos="6525"/>
        </w:tabs>
        <w:rPr>
          <w:bCs/>
          <w:u w:val="single"/>
        </w:rPr>
      </w:pPr>
    </w:p>
    <w:p w:rsidRPr="00982E5F" w:rsidR="00F96EF2" w:rsidP="00982E5F" w:rsidRDefault="00982E5F">
      <w:pPr>
        <w:pStyle w:val="c2"/>
        <w:tabs>
          <w:tab w:val="left" w:pos="2568"/>
          <w:tab w:val="left" w:pos="6525"/>
        </w:tabs>
      </w:pPr>
      <w:r>
        <w:rPr>
          <w:bCs/>
          <w:u w:val="single"/>
        </w:rPr>
        <w:t xml:space="preserve">OMB Control Number </w:t>
      </w:r>
      <w:r w:rsidRPr="003C0A74">
        <w:rPr>
          <w:bCs/>
          <w:u w:val="single"/>
        </w:rPr>
        <w:t>0704-0</w:t>
      </w:r>
      <w:r w:rsidR="009A53A2">
        <w:rPr>
          <w:bCs/>
          <w:u w:val="single"/>
        </w:rPr>
        <w:t xml:space="preserve">446 </w:t>
      </w:r>
      <w:r w:rsidR="002E3A8E">
        <w:rPr>
          <w:bCs/>
          <w:u w:val="single"/>
        </w:rPr>
        <w:t>—</w:t>
      </w:r>
      <w:r w:rsidR="009A53A2">
        <w:rPr>
          <w:bCs/>
          <w:u w:val="single"/>
        </w:rPr>
        <w:t xml:space="preserve"> </w:t>
      </w:r>
      <w:r w:rsidRPr="003C0A74" w:rsidR="009A53A2">
        <w:rPr>
          <w:bCs/>
          <w:u w:val="single"/>
        </w:rPr>
        <w:t>Defense Federal Acquisition Regulation Supplement</w:t>
      </w:r>
      <w:r w:rsidR="009A53A2">
        <w:rPr>
          <w:bCs/>
          <w:u w:val="single"/>
        </w:rPr>
        <w:t xml:space="preserve"> (DFARS)</w:t>
      </w:r>
      <w:r w:rsidR="00453A49">
        <w:rPr>
          <w:bCs/>
          <w:u w:val="single"/>
        </w:rPr>
        <w:t>:</w:t>
      </w:r>
      <w:r w:rsidR="004253F1">
        <w:rPr>
          <w:bCs/>
          <w:u w:val="single"/>
        </w:rPr>
        <w:t xml:space="preserve"> </w:t>
      </w:r>
      <w:r w:rsidRPr="009A53A2" w:rsidR="009A53A2">
        <w:rPr>
          <w:u w:val="single"/>
        </w:rPr>
        <w:t xml:space="preserve"> </w:t>
      </w:r>
      <w:r w:rsidRPr="009A53A2" w:rsidR="009A53A2">
        <w:rPr>
          <w:bCs/>
          <w:u w:val="single"/>
        </w:rPr>
        <w:t xml:space="preserve">Evaluation Factor for </w:t>
      </w:r>
      <w:r w:rsidR="00453A49">
        <w:rPr>
          <w:bCs/>
          <w:u w:val="single"/>
        </w:rPr>
        <w:t xml:space="preserve">Use of </w:t>
      </w:r>
      <w:r w:rsidRPr="009A53A2" w:rsidR="009A53A2">
        <w:rPr>
          <w:bCs/>
          <w:u w:val="single"/>
        </w:rPr>
        <w:t xml:space="preserve">Members of the </w:t>
      </w:r>
      <w:r w:rsidR="00453A49">
        <w:rPr>
          <w:bCs/>
          <w:u w:val="single"/>
        </w:rPr>
        <w:t xml:space="preserve">Armed Forces </w:t>
      </w:r>
      <w:r w:rsidRPr="009A53A2" w:rsidR="009A53A2">
        <w:rPr>
          <w:bCs/>
          <w:u w:val="single"/>
        </w:rPr>
        <w:t>Selected Reserve</w:t>
      </w:r>
    </w:p>
    <w:p w:rsidRPr="003C0A74" w:rsidR="00F96EF2" w:rsidRDefault="00F96EF2">
      <w:pPr>
        <w:tabs>
          <w:tab w:val="left" w:pos="2568"/>
          <w:tab w:val="left" w:pos="6525"/>
        </w:tabs>
        <w:rPr>
          <w:b/>
          <w:bCs/>
        </w:rPr>
      </w:pPr>
    </w:p>
    <w:p w:rsidRPr="003C0A74" w:rsidR="00F96EF2" w:rsidP="00E0247D" w:rsidRDefault="00F96EF2">
      <w:pPr>
        <w:pStyle w:val="p3"/>
        <w:tabs>
          <w:tab w:val="clear" w:pos="663"/>
          <w:tab w:val="left" w:pos="360"/>
        </w:tabs>
        <w:spacing w:before="100" w:beforeAutospacing="1" w:after="100" w:afterAutospacing="1"/>
      </w:pPr>
      <w:r w:rsidRPr="003C0A74">
        <w:t xml:space="preserve">A.  </w:t>
      </w:r>
      <w:r w:rsidRPr="003C0A74">
        <w:rPr>
          <w:u w:val="single"/>
        </w:rPr>
        <w:t>J</w:t>
      </w:r>
      <w:r w:rsidR="00114E8D">
        <w:rPr>
          <w:u w:val="single"/>
        </w:rPr>
        <w:t>USTIFICATION</w:t>
      </w:r>
    </w:p>
    <w:p w:rsidRPr="003C0A74" w:rsidR="003C0A74" w:rsidP="00C3527E" w:rsidRDefault="003C0A74">
      <w:pPr>
        <w:widowControl/>
        <w:tabs>
          <w:tab w:val="left" w:pos="360"/>
          <w:tab w:val="left" w:pos="720"/>
          <w:tab w:val="left" w:pos="1080"/>
          <w:tab w:val="left" w:pos="1440"/>
        </w:tabs>
        <w:autoSpaceDE/>
        <w:autoSpaceDN/>
        <w:adjustRightInd/>
        <w:spacing w:before="100" w:beforeAutospacing="1" w:after="100" w:afterAutospacing="1" w:line="288" w:lineRule="atLeast"/>
      </w:pPr>
      <w:bookmarkStart w:name="cp432" w:id="0"/>
      <w:r w:rsidRPr="003C0A74">
        <w:tab/>
        <w:t xml:space="preserve">1.  </w:t>
      </w:r>
      <w:r w:rsidRPr="003C0A74">
        <w:rPr>
          <w:u w:val="single"/>
        </w:rPr>
        <w:t>Need for the Information Collection</w:t>
      </w:r>
    </w:p>
    <w:bookmarkEnd w:id="0"/>
    <w:p w:rsidRPr="00114E8D" w:rsidR="00F96EF2" w:rsidP="00E0247D" w:rsidRDefault="00E0247D">
      <w:pPr>
        <w:pStyle w:val="p3"/>
        <w:widowControl/>
        <w:tabs>
          <w:tab w:val="clear" w:pos="663"/>
          <w:tab w:val="left" w:pos="360"/>
        </w:tabs>
        <w:autoSpaceDE/>
        <w:autoSpaceDN/>
        <w:adjustRightInd/>
        <w:spacing w:before="100" w:beforeAutospacing="1" w:after="100" w:afterAutospacing="1" w:line="288" w:lineRule="atLeast"/>
      </w:pPr>
      <w:r>
        <w:tab/>
      </w:r>
      <w:r>
        <w:tab/>
      </w:r>
      <w:r w:rsidRPr="009B7321" w:rsidR="00114E8D">
        <w:t xml:space="preserve">This </w:t>
      </w:r>
      <w:r w:rsidR="002E3A8E">
        <w:t>supporting statement supports extension</w:t>
      </w:r>
      <w:r w:rsidRPr="009B7321" w:rsidR="00114E8D">
        <w:t xml:space="preserve"> of </w:t>
      </w:r>
      <w:r w:rsidR="00114E8D">
        <w:t>a currently approved</w:t>
      </w:r>
      <w:r w:rsidRPr="009B7321" w:rsidR="00114E8D">
        <w:t xml:space="preserve"> </w:t>
      </w:r>
      <w:r w:rsidR="00114E8D">
        <w:t xml:space="preserve">collection </w:t>
      </w:r>
      <w:r w:rsidRPr="009B7321" w:rsidR="00114E8D">
        <w:t>un</w:t>
      </w:r>
      <w:r w:rsidR="00114E8D">
        <w:t>der OMB Control Number 0704-0</w:t>
      </w:r>
      <w:r w:rsidR="002B5559">
        <w:t>446</w:t>
      </w:r>
      <w:r w:rsidR="009462EB">
        <w:t>,</w:t>
      </w:r>
      <w:r w:rsidR="00DB497B">
        <w:t xml:space="preserve"> Evaluation Factor for Use of Members of the Armed Forces Selected Reserve.</w:t>
      </w:r>
      <w:r w:rsidR="00982E5F">
        <w:t xml:space="preserve">  </w:t>
      </w:r>
      <w:r w:rsidR="00114E8D">
        <w:t>DFARS 2</w:t>
      </w:r>
      <w:r w:rsidR="002B5559">
        <w:t>15</w:t>
      </w:r>
      <w:r w:rsidRPr="00533E4E" w:rsidR="00114E8D">
        <w:t>.</w:t>
      </w:r>
      <w:r w:rsidR="002B5559">
        <w:t>370-3</w:t>
      </w:r>
      <w:r w:rsidRPr="00533E4E" w:rsidR="00114E8D">
        <w:t xml:space="preserve"> prescribes the us</w:t>
      </w:r>
      <w:r w:rsidR="00114E8D">
        <w:t xml:space="preserve">e of the </w:t>
      </w:r>
      <w:r w:rsidR="00E414FD">
        <w:t xml:space="preserve">provision </w:t>
      </w:r>
      <w:r w:rsidR="00114E8D">
        <w:t>at DFARS 252.2</w:t>
      </w:r>
      <w:r w:rsidR="00E414FD">
        <w:t>15-7005</w:t>
      </w:r>
      <w:r w:rsidRPr="00533E4E" w:rsidR="00114E8D">
        <w:t xml:space="preserve">, </w:t>
      </w:r>
      <w:r w:rsidRPr="00E414FD" w:rsidR="00E414FD">
        <w:rPr>
          <w:bCs/>
        </w:rPr>
        <w:t xml:space="preserve">Evaluation Factor for Employing or Subcontracting with Members of the Selected </w:t>
      </w:r>
      <w:r w:rsidRPr="00BB0D99" w:rsidR="00E414FD">
        <w:rPr>
          <w:bCs/>
        </w:rPr>
        <w:t>Reserve</w:t>
      </w:r>
      <w:r w:rsidRPr="00BB0D99" w:rsidR="00114E8D">
        <w:t>,</w:t>
      </w:r>
      <w:r w:rsidRPr="00533E4E" w:rsidR="00114E8D">
        <w:t xml:space="preserve"> </w:t>
      </w:r>
      <w:bookmarkStart w:name="BM205_4" w:id="1"/>
      <w:r w:rsidR="00114E8D">
        <w:t xml:space="preserve">in solicitations </w:t>
      </w:r>
      <w:bookmarkEnd w:id="1"/>
      <w:r w:rsidRPr="00F90069" w:rsidR="00781771">
        <w:rPr>
          <w:rFonts w:cs="Courier New"/>
        </w:rPr>
        <w:t>that include an evaluation factor considering whether an offeror intends to perform the contract using employees or individual subcontractors who are members of the Selected Reserve</w:t>
      </w:r>
      <w:r w:rsidRPr="00533E4E" w:rsidR="00114E8D">
        <w:t xml:space="preserve">. </w:t>
      </w:r>
      <w:r w:rsidR="00E1397D">
        <w:t xml:space="preserve"> </w:t>
      </w:r>
      <w:r w:rsidR="00781771">
        <w:t xml:space="preserve">When an offeror </w:t>
      </w:r>
      <w:r w:rsidRPr="007334C9" w:rsidR="00781771">
        <w:rPr>
          <w:rFonts w:cs="Courier New"/>
        </w:rPr>
        <w:t xml:space="preserve">intends to use employees or individual subcontractors who are members of the Selected Reserve, </w:t>
      </w:r>
      <w:r w:rsidR="00781771">
        <w:rPr>
          <w:rFonts w:cs="Courier New"/>
        </w:rPr>
        <w:t>t</w:t>
      </w:r>
      <w:r w:rsidR="00114E8D">
        <w:t>he</w:t>
      </w:r>
      <w:r w:rsidRPr="00533E4E" w:rsidR="00114E8D">
        <w:t xml:space="preserve"> </w:t>
      </w:r>
      <w:r w:rsidR="00781771">
        <w:t>provision</w:t>
      </w:r>
      <w:r w:rsidRPr="00533E4E" w:rsidR="00114E8D">
        <w:t xml:space="preserve"> requires </w:t>
      </w:r>
      <w:r w:rsidR="00781771">
        <w:t>offerors</w:t>
      </w:r>
      <w:r w:rsidRPr="003C0A74" w:rsidR="00F96EF2">
        <w:t xml:space="preserve"> </w:t>
      </w:r>
      <w:r w:rsidR="00114E8D">
        <w:t xml:space="preserve">to </w:t>
      </w:r>
      <w:r w:rsidR="00781771">
        <w:t>include documentation with</w:t>
      </w:r>
      <w:r w:rsidRPr="007334C9" w:rsidR="00781771">
        <w:rPr>
          <w:rFonts w:cs="Courier New"/>
        </w:rPr>
        <w:t xml:space="preserve"> </w:t>
      </w:r>
      <w:r w:rsidR="00781771">
        <w:rPr>
          <w:rFonts w:cs="Courier New"/>
        </w:rPr>
        <w:t>their</w:t>
      </w:r>
      <w:r w:rsidRPr="007334C9" w:rsidR="00781771">
        <w:rPr>
          <w:rFonts w:cs="Courier New"/>
        </w:rPr>
        <w:t xml:space="preserve"> proposal </w:t>
      </w:r>
      <w:r w:rsidR="00781771">
        <w:rPr>
          <w:rFonts w:cs="Courier New"/>
        </w:rPr>
        <w:t>that supports</w:t>
      </w:r>
      <w:r w:rsidRPr="007334C9" w:rsidR="00781771">
        <w:rPr>
          <w:rFonts w:cs="Courier New"/>
        </w:rPr>
        <w:t xml:space="preserve"> this intent.</w:t>
      </w:r>
      <w:r w:rsidR="00E1397D">
        <w:rPr>
          <w:rFonts w:cs="Courier New"/>
        </w:rPr>
        <w:t xml:space="preserve">  </w:t>
      </w:r>
      <w:r w:rsidRPr="007334C9" w:rsidR="00781771">
        <w:rPr>
          <w:rFonts w:cs="Courier New"/>
        </w:rPr>
        <w:t>Such documentation may</w:t>
      </w:r>
      <w:r w:rsidR="00781771">
        <w:rPr>
          <w:rFonts w:cs="Courier New"/>
        </w:rPr>
        <w:t xml:space="preserve"> include, but is not limited to, existing company documentation indicating the names of the Selected Reserve members</w:t>
      </w:r>
      <w:r w:rsidR="002B1EB0">
        <w:rPr>
          <w:rFonts w:cs="Courier New"/>
        </w:rPr>
        <w:t xml:space="preserve"> who are currently employed by the company</w:t>
      </w:r>
      <w:r w:rsidR="00ED44C4">
        <w:rPr>
          <w:rFonts w:cs="Courier New"/>
        </w:rPr>
        <w:t xml:space="preserve">, or a statement that positions will be set aside to be filled by Selected Reserve members, along with verifying documentation. </w:t>
      </w:r>
      <w:r w:rsidR="00781771">
        <w:rPr>
          <w:rFonts w:cs="Courier New"/>
        </w:rPr>
        <w:t xml:space="preserve"> </w:t>
      </w:r>
      <w:r w:rsidR="00F368E2">
        <w:rPr>
          <w:rFonts w:cs="Courier New"/>
        </w:rPr>
        <w:t xml:space="preserve">This information collection implements a requirement of </w:t>
      </w:r>
      <w:r w:rsidRPr="00F368E2" w:rsidR="00F368E2">
        <w:rPr>
          <w:rFonts w:cs="Courier New"/>
        </w:rPr>
        <w:t xml:space="preserve">section 819 of the National Defense Authorization Act </w:t>
      </w:r>
      <w:r w:rsidR="00336738">
        <w:rPr>
          <w:rFonts w:cs="Courier New"/>
        </w:rPr>
        <w:t xml:space="preserve">(NDAA) </w:t>
      </w:r>
      <w:r w:rsidRPr="00F368E2" w:rsidR="00F368E2">
        <w:rPr>
          <w:rFonts w:cs="Courier New"/>
        </w:rPr>
        <w:t>for Fiscal Year</w:t>
      </w:r>
      <w:r w:rsidR="00336738">
        <w:rPr>
          <w:rFonts w:cs="Courier New"/>
        </w:rPr>
        <w:t xml:space="preserve"> (FY)</w:t>
      </w:r>
      <w:r w:rsidRPr="00F368E2" w:rsidR="00F368E2">
        <w:rPr>
          <w:rFonts w:cs="Courier New"/>
        </w:rPr>
        <w:t xml:space="preserve"> 2006 (Pub. L. 109-163)</w:t>
      </w:r>
      <w:r w:rsidR="00F368E2">
        <w:rPr>
          <w:rFonts w:cs="Courier New"/>
        </w:rPr>
        <w:t>.</w:t>
      </w:r>
    </w:p>
    <w:p w:rsidR="005B5993" w:rsidP="00C3527E" w:rsidRDefault="005B5993">
      <w:pPr>
        <w:pStyle w:val="NormalWeb"/>
        <w:tabs>
          <w:tab w:val="left" w:pos="360"/>
          <w:tab w:val="left" w:pos="720"/>
          <w:tab w:val="left" w:pos="1080"/>
          <w:tab w:val="left" w:pos="1440"/>
        </w:tabs>
        <w:spacing w:line="288" w:lineRule="atLeast"/>
      </w:pPr>
      <w:r>
        <w:tab/>
        <w:t>2.</w:t>
      </w:r>
      <w:r>
        <w:tab/>
      </w:r>
      <w:r>
        <w:rPr>
          <w:u w:val="single"/>
        </w:rPr>
        <w:t>Use of the Information</w:t>
      </w:r>
    </w:p>
    <w:p w:rsidRPr="003C0A74" w:rsidR="00F96EF2" w:rsidP="00E0247D" w:rsidRDefault="00E0247D">
      <w:pPr>
        <w:pStyle w:val="p3"/>
        <w:widowControl/>
        <w:tabs>
          <w:tab w:val="clear" w:pos="663"/>
          <w:tab w:val="left" w:pos="360"/>
        </w:tabs>
        <w:autoSpaceDE/>
        <w:autoSpaceDN/>
        <w:adjustRightInd/>
        <w:spacing w:before="100" w:beforeAutospacing="1" w:after="100" w:afterAutospacing="1" w:line="288" w:lineRule="atLeast"/>
      </w:pPr>
      <w:r>
        <w:tab/>
      </w:r>
      <w:r>
        <w:tab/>
      </w:r>
      <w:r w:rsidRPr="00ED44C4" w:rsidR="00ED44C4">
        <w:t xml:space="preserve">For those acquisitions in which contracting officials decide to use this evaluation factor as one of the several factors normally used to determine award of a contract, the offeror’s information will be used as proof of the offeror’s intent to use Selected Reserve members in the performance of the contract.  </w:t>
      </w:r>
    </w:p>
    <w:p w:rsidR="005A4AC3" w:rsidP="00E0247D" w:rsidRDefault="00E0247D">
      <w:pPr>
        <w:pStyle w:val="p3"/>
        <w:tabs>
          <w:tab w:val="clear" w:pos="663"/>
          <w:tab w:val="left" w:pos="360"/>
        </w:tabs>
        <w:spacing w:before="100" w:beforeAutospacing="1" w:after="100" w:afterAutospacing="1"/>
        <w:rPr>
          <w:b/>
          <w:bCs/>
        </w:rPr>
      </w:pPr>
      <w:r>
        <w:rPr>
          <w:bCs/>
        </w:rPr>
        <w:tab/>
      </w:r>
      <w:r w:rsidRPr="005A4AC3" w:rsidR="00F96EF2">
        <w:rPr>
          <w:bCs/>
        </w:rPr>
        <w:t xml:space="preserve">3.  </w:t>
      </w:r>
      <w:r w:rsidRPr="005A4AC3" w:rsidR="005A4AC3">
        <w:rPr>
          <w:bCs/>
          <w:u w:val="single"/>
        </w:rPr>
        <w:t xml:space="preserve">Use of </w:t>
      </w:r>
      <w:r w:rsidRPr="005A4AC3" w:rsidR="00F96EF2">
        <w:rPr>
          <w:bCs/>
          <w:u w:val="single"/>
        </w:rPr>
        <w:t>Information technology</w:t>
      </w:r>
    </w:p>
    <w:p w:rsidRPr="005A4AC3" w:rsidR="005A4AC3" w:rsidP="00E0247D" w:rsidRDefault="005A4AC3">
      <w:pPr>
        <w:tabs>
          <w:tab w:val="left" w:pos="360"/>
        </w:tabs>
        <w:spacing w:before="100" w:beforeAutospacing="1" w:after="100" w:afterAutospacing="1"/>
      </w:pPr>
      <w:r w:rsidRPr="005A4AC3">
        <w:tab/>
      </w:r>
      <w:r w:rsidRPr="005A4AC3">
        <w:tab/>
      </w:r>
      <w:r w:rsidRPr="005A4AC3">
        <w:rPr>
          <w:bCs/>
        </w:rPr>
        <w:t xml:space="preserve">Information technology is used 100% of the time to reduce burden. </w:t>
      </w:r>
      <w:r w:rsidR="00BC2CD5">
        <w:rPr>
          <w:bCs/>
        </w:rPr>
        <w:t xml:space="preserve"> </w:t>
      </w:r>
      <w:r w:rsidRPr="005A4AC3">
        <w:t>Where both the Government agency and contractors are capable of electronic interchange, contractors may submit this information collection requirement electronically.</w:t>
      </w:r>
      <w:r w:rsidRPr="005A4AC3">
        <w:rPr>
          <w:bCs/>
        </w:rPr>
        <w:t xml:space="preserve">  </w:t>
      </w:r>
    </w:p>
    <w:p w:rsidR="00F96EF2" w:rsidP="00C3527E" w:rsidRDefault="00F8411D">
      <w:pPr>
        <w:pStyle w:val="NormalWeb"/>
        <w:tabs>
          <w:tab w:val="left" w:pos="360"/>
          <w:tab w:val="left" w:pos="720"/>
          <w:tab w:val="left" w:pos="1080"/>
          <w:tab w:val="left" w:pos="1440"/>
        </w:tabs>
        <w:spacing w:line="288" w:lineRule="atLeast"/>
      </w:pPr>
      <w:r>
        <w:tab/>
        <w:t>4.</w:t>
      </w:r>
      <w:r>
        <w:tab/>
      </w:r>
      <w:r>
        <w:rPr>
          <w:u w:val="single"/>
        </w:rPr>
        <w:t>Non-duplication</w:t>
      </w:r>
    </w:p>
    <w:p w:rsidR="007E34C4" w:rsidP="00C3527E" w:rsidRDefault="00F8411D">
      <w:pPr>
        <w:pStyle w:val="NormalWeb"/>
        <w:tabs>
          <w:tab w:val="left" w:pos="360"/>
          <w:tab w:val="left" w:pos="720"/>
          <w:tab w:val="left" w:pos="1080"/>
          <w:tab w:val="left" w:pos="1440"/>
        </w:tabs>
        <w:spacing w:line="288" w:lineRule="atLeast"/>
      </w:pPr>
      <w:r>
        <w:tab/>
      </w:r>
      <w:r>
        <w:tab/>
      </w:r>
      <w:r w:rsidRPr="003525BE">
        <w:t xml:space="preserve">As a matter of policy, DoD reviews the </w:t>
      </w:r>
      <w:r w:rsidR="009F4947">
        <w:t>Federal Acquisition Regulation (</w:t>
      </w:r>
      <w:r w:rsidR="00935D1A">
        <w:t>FAR</w:t>
      </w:r>
      <w:r w:rsidR="009F4947">
        <w:t>)</w:t>
      </w:r>
      <w:r w:rsidRPr="003525BE">
        <w:t xml:space="preserve"> to determine if adequate language already exists.  The language in DFARS part 2</w:t>
      </w:r>
      <w:r w:rsidR="007E34C4">
        <w:t>15</w:t>
      </w:r>
      <w:r w:rsidRPr="003525BE">
        <w:t xml:space="preserve"> applies solely to DoD and is not considered duplicativ</w:t>
      </w:r>
      <w:r w:rsidR="007E34C4">
        <w:t>e of the language in FAR part 15</w:t>
      </w:r>
      <w:r w:rsidRPr="003525BE">
        <w:t xml:space="preserve">.  Since the nature of the </w:t>
      </w:r>
      <w:r w:rsidR="007E34C4">
        <w:t xml:space="preserve">documentation requirement </w:t>
      </w:r>
      <w:r w:rsidRPr="003525BE">
        <w:t xml:space="preserve">is </w:t>
      </w:r>
      <w:r w:rsidR="007E34C4">
        <w:t xml:space="preserve">solicitation and offeror </w:t>
      </w:r>
      <w:r w:rsidRPr="003525BE">
        <w:t>specific, similar information is not readily available.</w:t>
      </w:r>
    </w:p>
    <w:p w:rsidR="00935E63" w:rsidP="00C3527E" w:rsidRDefault="00935E63">
      <w:pPr>
        <w:pStyle w:val="NormalWeb"/>
        <w:tabs>
          <w:tab w:val="left" w:pos="360"/>
          <w:tab w:val="left" w:pos="720"/>
          <w:tab w:val="left" w:pos="1080"/>
          <w:tab w:val="left" w:pos="1440"/>
        </w:tabs>
        <w:spacing w:line="288" w:lineRule="atLeast"/>
        <w:rPr>
          <w:u w:val="single"/>
        </w:rPr>
      </w:pPr>
      <w:r>
        <w:tab/>
        <w:t>5.</w:t>
      </w:r>
      <w:r>
        <w:tab/>
      </w:r>
      <w:r>
        <w:rPr>
          <w:u w:val="single"/>
        </w:rPr>
        <w:t>Burden on Small Business</w:t>
      </w:r>
    </w:p>
    <w:p w:rsidRPr="0051069B" w:rsidR="00F96EF2" w:rsidP="00C3527E" w:rsidRDefault="0051069B">
      <w:pPr>
        <w:pStyle w:val="NormalWeb"/>
        <w:tabs>
          <w:tab w:val="left" w:pos="360"/>
          <w:tab w:val="left" w:pos="720"/>
          <w:tab w:val="left" w:pos="1080"/>
          <w:tab w:val="left" w:pos="1440"/>
        </w:tabs>
        <w:spacing w:line="288" w:lineRule="atLeast"/>
      </w:pPr>
      <w:bookmarkStart w:name="cp441" w:id="2"/>
      <w:r>
        <w:lastRenderedPageBreak/>
        <w:tab/>
      </w:r>
      <w:r>
        <w:tab/>
      </w:r>
      <w:bookmarkEnd w:id="2"/>
      <w:r w:rsidRPr="00AE6FF8">
        <w:t xml:space="preserve">The collection of this information is not expected to have a significant impact on a substantial number of small businesses or other small entities.  The requirements for </w:t>
      </w:r>
      <w:r>
        <w:t xml:space="preserve">this </w:t>
      </w:r>
      <w:r w:rsidRPr="00AE6FF8">
        <w:t xml:space="preserve">information collection are </w:t>
      </w:r>
      <w:r>
        <w:t xml:space="preserve">determined on a case-by-case basis, </w:t>
      </w:r>
      <w:r w:rsidRPr="00AE6FF8">
        <w:t>as the circumstances dictate.</w:t>
      </w:r>
      <w:r w:rsidR="007E34C4">
        <w:t xml:space="preserve"> </w:t>
      </w:r>
      <w:r w:rsidRPr="00AE6FF8">
        <w:t xml:space="preserve"> </w:t>
      </w:r>
      <w:r w:rsidRPr="007E34C4" w:rsidR="007E34C4">
        <w:t>Any impact will apply to lar</w:t>
      </w:r>
      <w:r w:rsidR="00901625">
        <w:t>ge and small businesses equally,</w:t>
      </w:r>
      <w:r w:rsidRPr="007E34C4" w:rsidR="007E34C4">
        <w:t xml:space="preserve"> whenever the solicitation employs an evaluation factor that considers whether an offeror intends to perform the contract using employees or individual subcontractors who are members of the Selected Reserve.</w:t>
      </w:r>
      <w:r w:rsidRPr="00AE6FF8">
        <w:t xml:space="preserve"> </w:t>
      </w:r>
      <w:r w:rsidR="00BC2CD5">
        <w:t xml:space="preserve"> </w:t>
      </w:r>
      <w:r w:rsidRPr="009B7321">
        <w:t xml:space="preserve">The burden applied to small businesses is the minimum consistent with </w:t>
      </w:r>
      <w:r>
        <w:t>applicable laws, Executive o</w:t>
      </w:r>
      <w:r w:rsidRPr="009B7321">
        <w:t>rders, and prudent business practices.</w:t>
      </w:r>
    </w:p>
    <w:p w:rsidRPr="0051069B" w:rsidR="0051069B" w:rsidP="00C3527E" w:rsidRDefault="0051069B">
      <w:pPr>
        <w:pStyle w:val="NormalWeb"/>
        <w:tabs>
          <w:tab w:val="left" w:pos="360"/>
          <w:tab w:val="left" w:pos="720"/>
          <w:tab w:val="left" w:pos="1080"/>
          <w:tab w:val="left" w:pos="1440"/>
        </w:tabs>
        <w:spacing w:line="288" w:lineRule="atLeast"/>
      </w:pPr>
      <w:r>
        <w:tab/>
        <w:t>6.</w:t>
      </w:r>
      <w:r>
        <w:tab/>
      </w:r>
      <w:r>
        <w:rPr>
          <w:u w:val="single"/>
        </w:rPr>
        <w:t>Less Frequent Collection</w:t>
      </w:r>
    </w:p>
    <w:p w:rsidRPr="003C0A74" w:rsidR="00F96EF2" w:rsidP="00E0247D" w:rsidRDefault="00E0247D">
      <w:pPr>
        <w:pStyle w:val="p3"/>
        <w:tabs>
          <w:tab w:val="clear" w:pos="663"/>
          <w:tab w:val="left" w:pos="360"/>
        </w:tabs>
        <w:spacing w:before="100" w:beforeAutospacing="1" w:after="100" w:afterAutospacing="1"/>
      </w:pPr>
      <w:r>
        <w:tab/>
      </w:r>
      <w:r>
        <w:tab/>
      </w:r>
      <w:r w:rsidRPr="003C0A74" w:rsidR="00F96EF2">
        <w:t xml:space="preserve">Every attempt </w:t>
      </w:r>
      <w:r w:rsidR="005D4884">
        <w:t>is</w:t>
      </w:r>
      <w:r w:rsidRPr="003C0A74" w:rsidR="00F96EF2">
        <w:t xml:space="preserve"> made to keep the frequency of </w:t>
      </w:r>
      <w:r w:rsidR="005D4884">
        <w:t xml:space="preserve">this </w:t>
      </w:r>
      <w:r w:rsidRPr="003C0A74" w:rsidR="00F96EF2">
        <w:t>collection to a minimum</w:t>
      </w:r>
      <w:r w:rsidR="005D4884">
        <w:t xml:space="preserve">.  </w:t>
      </w:r>
      <w:r w:rsidRPr="007E34C4" w:rsidR="007E34C4">
        <w:t>The collection is required only when acquisition officials have exercised their discretionary authority to include this criterion as an evaluation factor for award and</w:t>
      </w:r>
      <w:r w:rsidR="00901625">
        <w:t>,</w:t>
      </w:r>
      <w:r w:rsidRPr="007E34C4" w:rsidR="007E34C4">
        <w:t xml:space="preserve"> then</w:t>
      </w:r>
      <w:r w:rsidR="00901625">
        <w:t>,</w:t>
      </w:r>
      <w:r w:rsidRPr="007E34C4" w:rsidR="007E34C4">
        <w:t xml:space="preserve"> only if an offeror states an intent to use Selected Reserve members in the performance of the contract.  Less frequent collection would not permit DoD to evaluate offers in accordance with the provisions of section 819 of </w:t>
      </w:r>
      <w:r w:rsidR="00336738">
        <w:t>the NDAA for FY 2006</w:t>
      </w:r>
      <w:r w:rsidRPr="007E34C4" w:rsidR="007E34C4">
        <w:t>.</w:t>
      </w:r>
    </w:p>
    <w:p w:rsidR="00F96EF2" w:rsidP="00C3527E" w:rsidRDefault="00917705">
      <w:pPr>
        <w:pStyle w:val="NormalWeb"/>
        <w:tabs>
          <w:tab w:val="left" w:pos="360"/>
          <w:tab w:val="left" w:pos="720"/>
          <w:tab w:val="left" w:pos="1080"/>
          <w:tab w:val="left" w:pos="1440"/>
        </w:tabs>
        <w:spacing w:line="288" w:lineRule="atLeast"/>
      </w:pPr>
      <w:r>
        <w:tab/>
        <w:t>7.</w:t>
      </w:r>
      <w:r>
        <w:tab/>
      </w:r>
      <w:r>
        <w:rPr>
          <w:u w:val="single"/>
        </w:rPr>
        <w:t>Paperwork Reduction Act Guidelines</w:t>
      </w:r>
    </w:p>
    <w:p w:rsidR="00917705" w:rsidP="00C3527E" w:rsidRDefault="00917705">
      <w:pPr>
        <w:pStyle w:val="NormalWeb"/>
        <w:tabs>
          <w:tab w:val="left" w:pos="360"/>
          <w:tab w:val="left" w:pos="720"/>
          <w:tab w:val="left" w:pos="1080"/>
          <w:tab w:val="left" w:pos="1440"/>
        </w:tabs>
        <w:spacing w:line="288" w:lineRule="atLeast"/>
      </w:pPr>
      <w:r>
        <w:tab/>
      </w:r>
      <w:r>
        <w:tab/>
      </w:r>
      <w:r w:rsidRPr="000133D0">
        <w:t>There are no special circumstances for collection.  Collection of this information is consistent with the guidelines at 5 CFR 1320.5(d)(2).</w:t>
      </w:r>
    </w:p>
    <w:p w:rsidR="00F96EF2" w:rsidP="00C3527E" w:rsidRDefault="00917705">
      <w:pPr>
        <w:pStyle w:val="NormalWeb"/>
        <w:tabs>
          <w:tab w:val="left" w:pos="360"/>
          <w:tab w:val="left" w:pos="720"/>
          <w:tab w:val="left" w:pos="1080"/>
          <w:tab w:val="left" w:pos="1440"/>
        </w:tabs>
        <w:spacing w:line="288" w:lineRule="atLeast"/>
      </w:pPr>
      <w:r>
        <w:tab/>
        <w:t>8.</w:t>
      </w:r>
      <w:r>
        <w:tab/>
      </w:r>
      <w:r>
        <w:rPr>
          <w:u w:val="single"/>
        </w:rPr>
        <w:t>Consultation and Public Comments</w:t>
      </w:r>
    </w:p>
    <w:p w:rsidRPr="00EB7E10" w:rsidR="00EB7E10" w:rsidP="00C3527E" w:rsidRDefault="00917705">
      <w:pPr>
        <w:pStyle w:val="NormalWeb"/>
        <w:tabs>
          <w:tab w:val="left" w:pos="360"/>
          <w:tab w:val="left" w:pos="720"/>
          <w:tab w:val="left" w:pos="1080"/>
          <w:tab w:val="left" w:pos="1440"/>
        </w:tabs>
        <w:spacing w:line="288" w:lineRule="atLeast"/>
      </w:pPr>
      <w:bookmarkStart w:name="cp447" w:id="3"/>
      <w:r>
        <w:tab/>
      </w:r>
      <w:r>
        <w:tab/>
      </w:r>
      <w:bookmarkEnd w:id="3"/>
      <w:r>
        <w:t xml:space="preserve">a.  </w:t>
      </w:r>
      <w:r w:rsidRPr="00EB7E10" w:rsidR="00EB7E10">
        <w:t>A subject matter expert on DoD policy reviewed the validity of the information collection requirement for the provision to provide estimates of the public burden.  The burden, included in paragraph 12 below, reflects the validation of the need for the collection requirement, judgement, and best estimates of the DoD subject matter expert.</w:t>
      </w:r>
    </w:p>
    <w:p w:rsidRPr="00EB7E10" w:rsidR="00EB7E10" w:rsidP="00C3527E" w:rsidRDefault="00E0247D">
      <w:pPr>
        <w:pStyle w:val="NormalWeb"/>
        <w:tabs>
          <w:tab w:val="left" w:pos="360"/>
          <w:tab w:val="left" w:pos="720"/>
          <w:tab w:val="left" w:pos="1080"/>
          <w:tab w:val="left" w:pos="1440"/>
        </w:tabs>
        <w:spacing w:line="288" w:lineRule="atLeast"/>
      </w:pPr>
      <w:r>
        <w:tab/>
      </w:r>
      <w:r>
        <w:tab/>
      </w:r>
      <w:r w:rsidRPr="00F13F8E" w:rsidR="00917705">
        <w:t xml:space="preserve">b.  </w:t>
      </w:r>
      <w:r w:rsidRPr="00EB7E10" w:rsidR="00EB7E10">
        <w:t xml:space="preserve">This information collection is consistent with the guidelines in 5 CFR 1320.6.  In accordance with 5 CFR 1320.8(d), public comments were solicited in the </w:t>
      </w:r>
      <w:r w:rsidRPr="00EB7E10" w:rsidR="00EB7E10">
        <w:rPr>
          <w:i/>
        </w:rPr>
        <w:t>Federal Register</w:t>
      </w:r>
      <w:r w:rsidRPr="00EB7E10" w:rsidR="00EB7E10">
        <w:t xml:space="preserve"> on </w:t>
      </w:r>
      <w:r w:rsidR="002E3A8E">
        <w:t>September</w:t>
      </w:r>
      <w:r w:rsidR="00701651">
        <w:t xml:space="preserve"> </w:t>
      </w:r>
      <w:r w:rsidR="00A52D50">
        <w:t>10</w:t>
      </w:r>
      <w:r w:rsidR="00701651">
        <w:t xml:space="preserve">, 2020 </w:t>
      </w:r>
      <w:r w:rsidRPr="00EB7E10" w:rsidR="00EB7E10">
        <w:t>(</w:t>
      </w:r>
      <w:hyperlink w:history="1" r:id="rId8">
        <w:r w:rsidRPr="00A52D50" w:rsidR="00A52D50">
          <w:rPr>
            <w:rStyle w:val="Hyperlink"/>
          </w:rPr>
          <w:t xml:space="preserve">85 </w:t>
        </w:r>
        <w:r w:rsidRPr="00A52D50" w:rsidR="00701651">
          <w:rPr>
            <w:rStyle w:val="Hyperlink"/>
          </w:rPr>
          <w:t xml:space="preserve">FR </w:t>
        </w:r>
        <w:r w:rsidRPr="00A52D50" w:rsidR="00A52D50">
          <w:rPr>
            <w:rStyle w:val="Hyperlink"/>
          </w:rPr>
          <w:t>55840</w:t>
        </w:r>
      </w:hyperlink>
      <w:r w:rsidRPr="00EB7E10" w:rsidR="00EB7E10">
        <w:t xml:space="preserve">).  </w:t>
      </w:r>
      <w:r w:rsidR="00A52D50">
        <w:t>DoD received no comments</w:t>
      </w:r>
      <w:r w:rsidRPr="00EB7E10" w:rsidR="00EB7E10">
        <w:t>.</w:t>
      </w:r>
    </w:p>
    <w:p w:rsidR="00CB098C" w:rsidP="00C3527E" w:rsidRDefault="00CB098C">
      <w:pPr>
        <w:pStyle w:val="NormalWeb"/>
        <w:tabs>
          <w:tab w:val="left" w:pos="360"/>
          <w:tab w:val="left" w:pos="720"/>
          <w:tab w:val="left" w:pos="1080"/>
          <w:tab w:val="left" w:pos="1440"/>
        </w:tabs>
        <w:spacing w:line="288" w:lineRule="atLeast"/>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 </w:t>
      </w:r>
      <w:r w:rsidR="002E3A8E">
        <w:t>November</w:t>
      </w:r>
      <w:r w:rsidR="00701651">
        <w:t xml:space="preserve"> </w:t>
      </w:r>
      <w:r w:rsidR="00A21DAD">
        <w:t>20</w:t>
      </w:r>
      <w:r w:rsidR="00701651">
        <w:t>, 2020</w:t>
      </w:r>
      <w:r w:rsidRPr="00267E5F">
        <w:t xml:space="preserve"> (</w:t>
      </w:r>
      <w:hyperlink w:history="1" r:id="rId9">
        <w:r w:rsidRPr="002F22AA" w:rsidR="00A21DAD">
          <w:rPr>
            <w:rStyle w:val="Hyperlink"/>
          </w:rPr>
          <w:t>85</w:t>
        </w:r>
        <w:r w:rsidRPr="002F22AA">
          <w:rPr>
            <w:rStyle w:val="Hyperlink"/>
          </w:rPr>
          <w:t xml:space="preserve"> FR</w:t>
        </w:r>
        <w:r w:rsidRPr="002F22AA">
          <w:rPr>
            <w:rStyle w:val="Hyperlink"/>
          </w:rPr>
          <w:t xml:space="preserve"> </w:t>
        </w:r>
        <w:r w:rsidRPr="002F22AA" w:rsidR="00A21DAD">
          <w:rPr>
            <w:rStyle w:val="Hyperlink"/>
          </w:rPr>
          <w:t>74324</w:t>
        </w:r>
      </w:hyperlink>
      <w:bookmarkStart w:name="_GoBack" w:id="4"/>
      <w:bookmarkEnd w:id="4"/>
      <w:r w:rsidRPr="00267E5F">
        <w:t>).</w:t>
      </w:r>
    </w:p>
    <w:p w:rsidR="00917705" w:rsidP="00C3527E" w:rsidRDefault="00917705">
      <w:pPr>
        <w:pStyle w:val="NormalWeb"/>
        <w:tabs>
          <w:tab w:val="left" w:pos="360"/>
          <w:tab w:val="left" w:pos="720"/>
          <w:tab w:val="left" w:pos="1080"/>
          <w:tab w:val="left" w:pos="1440"/>
        </w:tabs>
        <w:spacing w:line="288" w:lineRule="atLeast"/>
      </w:pPr>
      <w:r>
        <w:tab/>
        <w:t>9.</w:t>
      </w:r>
      <w:r w:rsidR="00F13F8E">
        <w:tab/>
      </w:r>
      <w:r>
        <w:rPr>
          <w:u w:val="single"/>
        </w:rPr>
        <w:t>Gifts or Payment</w:t>
      </w:r>
    </w:p>
    <w:p w:rsidR="00917705" w:rsidP="00C3527E" w:rsidRDefault="00917705">
      <w:pPr>
        <w:pStyle w:val="NormalWeb"/>
        <w:tabs>
          <w:tab w:val="left" w:pos="360"/>
          <w:tab w:val="left" w:pos="720"/>
          <w:tab w:val="left" w:pos="1080"/>
          <w:tab w:val="left" w:pos="1440"/>
        </w:tabs>
        <w:spacing w:line="288" w:lineRule="atLeast"/>
      </w:pPr>
      <w:bookmarkStart w:name="cp450" w:id="5"/>
      <w:r>
        <w:tab/>
      </w:r>
      <w:bookmarkEnd w:id="5"/>
      <w:r w:rsidR="00F13F8E">
        <w:tab/>
      </w:r>
      <w:r w:rsidRPr="009F484F">
        <w:t>DoD will not provide a p</w:t>
      </w:r>
      <w:r>
        <w:t>ayment or gift to respondents of</w:t>
      </w:r>
      <w:r w:rsidRPr="009F484F">
        <w:t xml:space="preserve"> this information collection requirement.</w:t>
      </w:r>
    </w:p>
    <w:p w:rsidR="00917705" w:rsidP="00C3527E" w:rsidRDefault="00917705">
      <w:pPr>
        <w:pStyle w:val="NormalWeb"/>
        <w:tabs>
          <w:tab w:val="left" w:pos="360"/>
          <w:tab w:val="left" w:pos="720"/>
          <w:tab w:val="left" w:pos="1080"/>
          <w:tab w:val="left" w:pos="1440"/>
        </w:tabs>
        <w:spacing w:line="288" w:lineRule="atLeast"/>
      </w:pPr>
      <w:r>
        <w:tab/>
        <w:t>10.</w:t>
      </w:r>
      <w:r w:rsidR="00BC2CD5">
        <w:t xml:space="preserve"> </w:t>
      </w:r>
      <w:r>
        <w:t xml:space="preserve"> </w:t>
      </w:r>
      <w:r>
        <w:rPr>
          <w:u w:val="single"/>
        </w:rPr>
        <w:t>Confidentiality</w:t>
      </w:r>
    </w:p>
    <w:p w:rsidR="00917705" w:rsidP="00C3527E" w:rsidRDefault="00F13F8E">
      <w:pPr>
        <w:pStyle w:val="NormalWeb"/>
        <w:tabs>
          <w:tab w:val="left" w:pos="360"/>
          <w:tab w:val="left" w:pos="720"/>
          <w:tab w:val="left" w:pos="1080"/>
          <w:tab w:val="left" w:pos="1440"/>
        </w:tabs>
        <w:spacing w:line="288" w:lineRule="atLeast"/>
      </w:pPr>
      <w:r>
        <w:tab/>
      </w:r>
      <w:r>
        <w:tab/>
      </w:r>
      <w:r w:rsidRPr="00F05A56" w:rsidR="00917705">
        <w:t xml:space="preserve">This information is disclosed only to the extent consistent with statutory requirements, current regulations, and prudent business practices.  </w:t>
      </w:r>
      <w:r w:rsidRPr="00201783" w:rsidR="00201783">
        <w:t xml:space="preserve">The information collected will be disclosed only to the extent consistent with internal DoD proposal evaluation procedures.  During evaluation, the information will be considered “procurement sensitive” and, if the offeror’s </w:t>
      </w:r>
      <w:r w:rsidRPr="00201783" w:rsidR="00201783">
        <w:lastRenderedPageBreak/>
        <w:t xml:space="preserve">proposal is declared “proprietary” by the offeror, it will be treated as such.  </w:t>
      </w:r>
      <w:r w:rsidRPr="00F05A56" w:rsidR="00917705">
        <w:t xml:space="preserve">The collection of information does not </w:t>
      </w:r>
      <w:r w:rsidR="00901625">
        <w:t>require</w:t>
      </w:r>
      <w:r w:rsidRPr="00F05A56" w:rsidR="00917705">
        <w:t xml:space="preserve"> any personally identifiable information</w:t>
      </w:r>
      <w:r w:rsidR="00336738">
        <w:t xml:space="preserve"> (PII)</w:t>
      </w:r>
      <w:r w:rsidR="00917705">
        <w:t xml:space="preserve"> and records are not retrievable by PII</w:t>
      </w:r>
      <w:r w:rsidRPr="00F05A56" w:rsidR="00917705">
        <w:t>; therefore, no Privacy Impact Assessment or Privacy Act System of Records Notice is required.</w:t>
      </w:r>
    </w:p>
    <w:p w:rsidR="00917705" w:rsidP="00C3527E" w:rsidRDefault="00917705">
      <w:pPr>
        <w:pStyle w:val="NormalWeb"/>
        <w:tabs>
          <w:tab w:val="left" w:pos="360"/>
          <w:tab w:val="left" w:pos="720"/>
          <w:tab w:val="left" w:pos="1080"/>
          <w:tab w:val="left" w:pos="1440"/>
        </w:tabs>
        <w:spacing w:line="288" w:lineRule="atLeast"/>
      </w:pPr>
      <w:r>
        <w:tab/>
        <w:t>11.</w:t>
      </w:r>
      <w:r w:rsidR="00F87D54">
        <w:t xml:space="preserve"> </w:t>
      </w:r>
      <w:r>
        <w:t xml:space="preserve"> </w:t>
      </w:r>
      <w:r>
        <w:rPr>
          <w:u w:val="single"/>
        </w:rPr>
        <w:t>Sensitive Questions</w:t>
      </w:r>
    </w:p>
    <w:p w:rsidR="00917705" w:rsidP="00C3527E" w:rsidRDefault="00F13F8E">
      <w:pPr>
        <w:pStyle w:val="NormalWeb"/>
        <w:tabs>
          <w:tab w:val="left" w:pos="360"/>
          <w:tab w:val="left" w:pos="720"/>
          <w:tab w:val="left" w:pos="1080"/>
          <w:tab w:val="left" w:pos="1440"/>
        </w:tabs>
        <w:spacing w:line="288" w:lineRule="atLeast"/>
      </w:pPr>
      <w:r>
        <w:tab/>
      </w:r>
      <w:r>
        <w:tab/>
      </w:r>
      <w:r w:rsidRPr="009B7321" w:rsidR="00917705">
        <w:t>No sensitive questions are involved</w:t>
      </w:r>
      <w:r w:rsidR="00917705">
        <w:t xml:space="preserve"> in the information collection</w:t>
      </w:r>
      <w:r w:rsidRPr="009B7321" w:rsidR="00917705">
        <w:t>.</w:t>
      </w:r>
    </w:p>
    <w:p w:rsidR="00917705" w:rsidP="00C3527E" w:rsidRDefault="00917705">
      <w:pPr>
        <w:pStyle w:val="NormalWeb"/>
        <w:tabs>
          <w:tab w:val="left" w:pos="360"/>
          <w:tab w:val="left" w:pos="720"/>
          <w:tab w:val="left" w:pos="1080"/>
          <w:tab w:val="left" w:pos="1440"/>
        </w:tabs>
        <w:spacing w:line="288" w:lineRule="atLeast"/>
      </w:pPr>
      <w:r>
        <w:tab/>
        <w:t>12.</w:t>
      </w:r>
      <w:r w:rsidR="00F87D54">
        <w:t xml:space="preserve"> </w:t>
      </w:r>
      <w:r>
        <w:t xml:space="preserve"> </w:t>
      </w:r>
      <w:r>
        <w:rPr>
          <w:u w:val="single"/>
        </w:rPr>
        <w:t>Respondent Burden, and its Labor Costs</w:t>
      </w:r>
    </w:p>
    <w:p w:rsidR="00917705" w:rsidP="00C3527E" w:rsidRDefault="00917705">
      <w:pPr>
        <w:pStyle w:val="NormalWeb"/>
        <w:tabs>
          <w:tab w:val="left" w:pos="360"/>
          <w:tab w:val="left" w:pos="720"/>
          <w:tab w:val="left" w:pos="1080"/>
          <w:tab w:val="left" w:pos="1440"/>
        </w:tabs>
        <w:spacing w:line="288" w:lineRule="atLeast"/>
      </w:pPr>
      <w:r>
        <w:tab/>
      </w:r>
      <w:r>
        <w:tab/>
        <w:t>a.</w:t>
      </w:r>
      <w:r>
        <w:tab/>
      </w:r>
      <w:r>
        <w:rPr>
          <w:u w:val="single"/>
        </w:rPr>
        <w:t>Estimation of Respondent Burden</w:t>
      </w:r>
      <w:r>
        <w:t xml:space="preserve"> </w:t>
      </w:r>
    </w:p>
    <w:p w:rsidR="00A01B3E" w:rsidP="008A6A56" w:rsidRDefault="00E0247D">
      <w:pPr>
        <w:pStyle w:val="p3"/>
        <w:tabs>
          <w:tab w:val="clear" w:pos="663"/>
          <w:tab w:val="left" w:pos="360"/>
        </w:tabs>
        <w:spacing w:before="100" w:beforeAutospacing="1" w:after="100" w:afterAutospacing="1"/>
      </w:pPr>
      <w:r>
        <w:tab/>
      </w:r>
      <w:r>
        <w:tab/>
      </w:r>
      <w:r w:rsidRPr="00C06A4C" w:rsidR="00F96EF2">
        <w:t xml:space="preserve">The estimated </w:t>
      </w:r>
      <w:r w:rsidR="00C06A4C">
        <w:t>respondent burden is</w:t>
      </w:r>
      <w:r w:rsidRPr="00C06A4C" w:rsidR="00F96EF2">
        <w:t xml:space="preserve"> based on information generated from</w:t>
      </w:r>
      <w:r w:rsidRPr="00C06A4C" w:rsidR="00C06A4C">
        <w:t xml:space="preserve"> the F</w:t>
      </w:r>
      <w:r w:rsidR="00C06A4C">
        <w:t xml:space="preserve">ederal </w:t>
      </w:r>
      <w:r w:rsidRPr="00C06A4C" w:rsidR="00C06A4C">
        <w:t>P</w:t>
      </w:r>
      <w:r w:rsidR="00C06A4C">
        <w:t xml:space="preserve">rocurement </w:t>
      </w:r>
      <w:r w:rsidRPr="00C06A4C" w:rsidR="00C06A4C">
        <w:t>D</w:t>
      </w:r>
      <w:r w:rsidR="00C06A4C">
        <w:t xml:space="preserve">ata </w:t>
      </w:r>
      <w:r w:rsidRPr="00C06A4C" w:rsidR="00C06A4C">
        <w:t>S</w:t>
      </w:r>
      <w:r w:rsidR="00C06A4C">
        <w:t>ystem (FPDS)</w:t>
      </w:r>
      <w:r w:rsidR="00935D1A">
        <w:t xml:space="preserve"> using </w:t>
      </w:r>
      <w:r w:rsidR="00C06A4C">
        <w:t>FY</w:t>
      </w:r>
      <w:r w:rsidR="00701651">
        <w:t xml:space="preserve"> 2017 through 2019</w:t>
      </w:r>
      <w:r w:rsidRPr="00C06A4C" w:rsidR="00F96EF2">
        <w:t xml:space="preserve"> data</w:t>
      </w:r>
      <w:r w:rsidR="00901625">
        <w:t xml:space="preserve">, </w:t>
      </w:r>
      <w:r w:rsidR="0014244D">
        <w:t xml:space="preserve">Contract Opportunities (formerly known as </w:t>
      </w:r>
      <w:r w:rsidR="005E7BD6">
        <w:t>Federal Business Opportunities</w:t>
      </w:r>
      <w:r w:rsidR="0014244D">
        <w:t>)</w:t>
      </w:r>
      <w:r w:rsidR="00901625">
        <w:t>,</w:t>
      </w:r>
      <w:r w:rsidR="005E7BD6">
        <w:t xml:space="preserve"> and </w:t>
      </w:r>
      <w:r w:rsidR="00901625">
        <w:t>other</w:t>
      </w:r>
      <w:r w:rsidR="00104A38">
        <w:t xml:space="preserve"> </w:t>
      </w:r>
      <w:r w:rsidR="00901625">
        <w:t>DoD agency</w:t>
      </w:r>
      <w:r w:rsidR="00104A38">
        <w:t xml:space="preserve"> websites</w:t>
      </w:r>
      <w:r w:rsidR="005E7BD6">
        <w:t xml:space="preserve">, as well as </w:t>
      </w:r>
      <w:r w:rsidRPr="00C06A4C" w:rsidR="00F96EF2">
        <w:t xml:space="preserve">estimates of processing times </w:t>
      </w:r>
      <w:r w:rsidR="00C06A4C">
        <w:t>from</w:t>
      </w:r>
      <w:r w:rsidRPr="00C06A4C" w:rsidR="00F96EF2">
        <w:t xml:space="preserve"> </w:t>
      </w:r>
      <w:r w:rsidR="00264854">
        <w:t xml:space="preserve">a DoD </w:t>
      </w:r>
      <w:r w:rsidR="009462EB">
        <w:t>subject matter expert</w:t>
      </w:r>
      <w:r w:rsidRPr="003C0A74" w:rsidR="00F96EF2">
        <w:t xml:space="preserve">.  </w:t>
      </w:r>
    </w:p>
    <w:p w:rsidR="00A01B3E" w:rsidP="008A6A56" w:rsidRDefault="00EB7E10">
      <w:pPr>
        <w:pStyle w:val="p3"/>
        <w:tabs>
          <w:tab w:val="clear" w:pos="663"/>
          <w:tab w:val="left" w:pos="360"/>
        </w:tabs>
        <w:spacing w:before="100" w:beforeAutospacing="1" w:after="100" w:afterAutospacing="1"/>
      </w:pPr>
      <w:r>
        <w:tab/>
      </w:r>
      <w:r w:rsidR="00A404ED">
        <w:t>FPDS tracks data on contract awards, not solicitations; therefore, the</w:t>
      </w:r>
      <w:r w:rsidR="00C06A4C">
        <w:t xml:space="preserve"> number of respondents is based on data from</w:t>
      </w:r>
      <w:r w:rsidRPr="003C0A74" w:rsidR="00F96EF2">
        <w:t xml:space="preserve"> </w:t>
      </w:r>
      <w:r w:rsidR="00453A49">
        <w:t xml:space="preserve">the Electronic Data Access website, in conjunction with </w:t>
      </w:r>
      <w:r w:rsidRPr="003C0A74" w:rsidR="00F96EF2">
        <w:t>FPDS</w:t>
      </w:r>
      <w:r w:rsidR="00453A49">
        <w:t>,</w:t>
      </w:r>
      <w:r w:rsidRPr="003C0A74" w:rsidR="00F96EF2">
        <w:t xml:space="preserve"> </w:t>
      </w:r>
      <w:r w:rsidR="00453A49">
        <w:t>to identify</w:t>
      </w:r>
      <w:r w:rsidR="005E7BD6">
        <w:t xml:space="preserve"> </w:t>
      </w:r>
      <w:r w:rsidR="00701651">
        <w:t xml:space="preserve">the average number of </w:t>
      </w:r>
      <w:r w:rsidR="005E7BD6">
        <w:t xml:space="preserve">DoD contracts awarded </w:t>
      </w:r>
      <w:r w:rsidR="00701651">
        <w:t>annually</w:t>
      </w:r>
      <w:r w:rsidR="005E7BD6">
        <w:t xml:space="preserve"> that </w:t>
      </w:r>
      <w:r w:rsidR="00B47CAD">
        <w:t xml:space="preserve">included DFARS </w:t>
      </w:r>
      <w:r w:rsidR="002E3A8E">
        <w:t xml:space="preserve">clause </w:t>
      </w:r>
      <w:r w:rsidR="00B47CAD">
        <w:t>252.215-7006</w:t>
      </w:r>
      <w:r w:rsidR="002E3A8E">
        <w:t>, Use of Employees or Individual Subcontractors Who Are Members of the Selected Reserve</w:t>
      </w:r>
      <w:r w:rsidR="005E7BD6">
        <w:t>.  DFARS 252.215-7006 is the clause that acco</w:t>
      </w:r>
      <w:r w:rsidR="001E0129">
        <w:t xml:space="preserve">mpanies the subject provision.  The </w:t>
      </w:r>
      <w:r w:rsidR="00A01B3E">
        <w:t xml:space="preserve">DFARS </w:t>
      </w:r>
      <w:r w:rsidR="001E0129">
        <w:t xml:space="preserve">clause is incorporated into a contract award when: </w:t>
      </w:r>
      <w:r w:rsidR="00BC2CD5">
        <w:t xml:space="preserve"> (</w:t>
      </w:r>
      <w:r w:rsidR="001E0129">
        <w:t xml:space="preserve">1) the use of </w:t>
      </w:r>
      <w:r w:rsidRPr="00F90069" w:rsidR="001E0129">
        <w:rPr>
          <w:rFonts w:cs="Courier New"/>
        </w:rPr>
        <w:t>employees or individual subcontractors who are members of the Selected Reserve</w:t>
      </w:r>
      <w:r w:rsidR="001E0129">
        <w:rPr>
          <w:rFonts w:cs="Courier New"/>
        </w:rPr>
        <w:t xml:space="preserve"> was included as an evaluation factor for contract award</w:t>
      </w:r>
      <w:r w:rsidR="00787741">
        <w:rPr>
          <w:rFonts w:cs="Courier New"/>
        </w:rPr>
        <w:t>,</w:t>
      </w:r>
      <w:r w:rsidR="001E0129">
        <w:t xml:space="preserve"> and </w:t>
      </w:r>
      <w:r w:rsidR="00BC2CD5">
        <w:t>(</w:t>
      </w:r>
      <w:r w:rsidR="001E0129">
        <w:t xml:space="preserve">2) the resultant awardee indicated that it </w:t>
      </w:r>
      <w:r w:rsidRPr="007334C9" w:rsidR="001E0129">
        <w:rPr>
          <w:rFonts w:cs="Courier New"/>
        </w:rPr>
        <w:t>intends to use employees or individual subcontractors who are members of the Selected Reserve</w:t>
      </w:r>
      <w:r w:rsidR="001E0129">
        <w:rPr>
          <w:rFonts w:cs="Courier New"/>
        </w:rPr>
        <w:t xml:space="preserve"> during contract execution.</w:t>
      </w:r>
      <w:r w:rsidR="00BC2CD5">
        <w:rPr>
          <w:rFonts w:cs="Courier New"/>
        </w:rPr>
        <w:t xml:space="preserve"> </w:t>
      </w:r>
      <w:r w:rsidR="001E0129">
        <w:rPr>
          <w:rFonts w:cs="Courier New"/>
        </w:rPr>
        <w:t xml:space="preserve"> </w:t>
      </w:r>
      <w:r w:rsidR="007F3523">
        <w:t xml:space="preserve">Of </w:t>
      </w:r>
      <w:r w:rsidR="00B47CAD">
        <w:t>the contracts identified in FPDS</w:t>
      </w:r>
      <w:r w:rsidR="007F3523">
        <w:t xml:space="preserve">, </w:t>
      </w:r>
      <w:r w:rsidR="001E0129">
        <w:t xml:space="preserve">a search of </w:t>
      </w:r>
      <w:r w:rsidR="00787741">
        <w:t xml:space="preserve">Contract </w:t>
      </w:r>
      <w:r w:rsidR="001E0129">
        <w:t xml:space="preserve">Opportunities and </w:t>
      </w:r>
      <w:r w:rsidR="00104A38">
        <w:t>various Government</w:t>
      </w:r>
      <w:r w:rsidR="001E0129">
        <w:t xml:space="preserve"> websites </w:t>
      </w:r>
      <w:r w:rsidR="00FC7272">
        <w:t>identified</w:t>
      </w:r>
      <w:r w:rsidR="001E0129">
        <w:t xml:space="preserve"> </w:t>
      </w:r>
      <w:r w:rsidR="00453A49">
        <w:t xml:space="preserve">approximately 10 </w:t>
      </w:r>
      <w:r w:rsidR="001E0129">
        <w:t xml:space="preserve">solicitations </w:t>
      </w:r>
      <w:r w:rsidR="00FC7272">
        <w:t xml:space="preserve">that </w:t>
      </w:r>
      <w:r w:rsidR="001E0129">
        <w:t xml:space="preserve">may have included </w:t>
      </w:r>
      <w:r w:rsidR="00104A38">
        <w:t>the use of Selected Reserve members as an evaluat</w:t>
      </w:r>
      <w:r w:rsidR="008A6A56">
        <w:t>ion factor for contract award.</w:t>
      </w:r>
    </w:p>
    <w:p w:rsidR="00FC7272" w:rsidP="008A6A56" w:rsidRDefault="00EB7E10">
      <w:pPr>
        <w:pStyle w:val="p3"/>
        <w:tabs>
          <w:tab w:val="clear" w:pos="663"/>
          <w:tab w:val="left" w:pos="360"/>
        </w:tabs>
        <w:spacing w:before="100" w:beforeAutospacing="1" w:after="100" w:afterAutospacing="1"/>
        <w:rPr>
          <w:rFonts w:cs="Courier New"/>
        </w:rPr>
      </w:pPr>
      <w:r>
        <w:rPr>
          <w:rFonts w:cs="Courier New"/>
        </w:rPr>
        <w:tab/>
      </w:r>
      <w:r w:rsidR="00FC7272">
        <w:rPr>
          <w:rFonts w:cs="Courier New"/>
        </w:rPr>
        <w:t xml:space="preserve">For the </w:t>
      </w:r>
      <w:r w:rsidR="00453A49">
        <w:rPr>
          <w:rFonts w:cs="Courier New"/>
        </w:rPr>
        <w:t xml:space="preserve">10 </w:t>
      </w:r>
      <w:r w:rsidR="00FC7272">
        <w:rPr>
          <w:rFonts w:cs="Courier New"/>
        </w:rPr>
        <w:t xml:space="preserve">solicitations that may have </w:t>
      </w:r>
      <w:r w:rsidR="00FC7272">
        <w:t>included the use of Selected Reserve members as an evaluation factor for contract award, FPDS data indicates that, on average, five offers were re</w:t>
      </w:r>
      <w:r w:rsidR="00502FC6">
        <w:t xml:space="preserve">ceived for each solicitation. </w:t>
      </w:r>
      <w:r w:rsidR="00BC2CD5">
        <w:t xml:space="preserve"> </w:t>
      </w:r>
      <w:r w:rsidR="00502FC6">
        <w:t>Therefore, the Governm</w:t>
      </w:r>
      <w:r w:rsidR="00B47CAD">
        <w:t xml:space="preserve">ent estimates that a total of </w:t>
      </w:r>
      <w:r w:rsidR="00453A49">
        <w:t>50</w:t>
      </w:r>
      <w:r w:rsidR="00502FC6">
        <w:t xml:space="preserve"> responses (</w:t>
      </w:r>
      <w:r w:rsidR="00453A49">
        <w:t>10</w:t>
      </w:r>
      <w:r w:rsidR="00502FC6">
        <w:t xml:space="preserve"> solicitations </w:t>
      </w:r>
      <w:r w:rsidR="00B3633E">
        <w:t>*</w:t>
      </w:r>
      <w:r w:rsidR="00502FC6">
        <w:t xml:space="preserve"> 5 responses per solicitation) were received in response to solicitations that </w:t>
      </w:r>
      <w:r w:rsidR="00B47CAD">
        <w:t>incorporated</w:t>
      </w:r>
      <w:r w:rsidR="00502FC6">
        <w:t xml:space="preserve"> </w:t>
      </w:r>
      <w:r w:rsidR="00B3633E">
        <w:t xml:space="preserve">the </w:t>
      </w:r>
      <w:r w:rsidR="00502FC6">
        <w:t xml:space="preserve">DFARS </w:t>
      </w:r>
      <w:r w:rsidR="00B3633E">
        <w:t xml:space="preserve">provision </w:t>
      </w:r>
      <w:r w:rsidR="00502FC6">
        <w:t xml:space="preserve">252.215-7005. </w:t>
      </w:r>
    </w:p>
    <w:p w:rsidR="00774D38" w:rsidP="008A6A56" w:rsidRDefault="00EB7E10">
      <w:pPr>
        <w:pStyle w:val="p3"/>
        <w:tabs>
          <w:tab w:val="clear" w:pos="663"/>
          <w:tab w:val="left" w:pos="360"/>
        </w:tabs>
        <w:spacing w:before="100" w:beforeAutospacing="1" w:after="100" w:afterAutospacing="1"/>
      </w:pPr>
      <w:r>
        <w:tab/>
      </w:r>
      <w:r w:rsidR="00502FC6">
        <w:t>T</w:t>
      </w:r>
      <w:r w:rsidR="00C06A4C">
        <w:t>he Government estimates</w:t>
      </w:r>
      <w:r w:rsidRPr="003C0A74" w:rsidR="00F96EF2">
        <w:t xml:space="preserve"> that </w:t>
      </w:r>
      <w:r w:rsidR="00C06A4C">
        <w:t xml:space="preserve">approximately </w:t>
      </w:r>
      <w:r w:rsidR="00502FC6">
        <w:t>25</w:t>
      </w:r>
      <w:r w:rsidRPr="003C0A74" w:rsidR="00F96EF2">
        <w:t xml:space="preserve"> percent </w:t>
      </w:r>
      <w:r w:rsidR="007F3523">
        <w:t>(</w:t>
      </w:r>
      <w:r w:rsidR="00453A49">
        <w:t>13</w:t>
      </w:r>
      <w:r w:rsidR="007F3523">
        <w:t xml:space="preserve"> </w:t>
      </w:r>
      <w:r w:rsidR="00502FC6">
        <w:t>respondents</w:t>
      </w:r>
      <w:r w:rsidR="007F3523">
        <w:t xml:space="preserve">) </w:t>
      </w:r>
      <w:r w:rsidR="00502FC6">
        <w:t xml:space="preserve">of the offerors that responded to solicitations that included DFARS 252.215-7005 expressed an intention to utilize Selected Reserve personnel in their proposals.  </w:t>
      </w:r>
      <w:r w:rsidR="00F709A6">
        <w:t>The</w:t>
      </w:r>
      <w:r w:rsidR="007F3523">
        <w:t xml:space="preserve"> Government </w:t>
      </w:r>
      <w:r w:rsidRPr="003C0A74" w:rsidR="00F96EF2">
        <w:t>estimate</w:t>
      </w:r>
      <w:r w:rsidR="007F3523">
        <w:t>s</w:t>
      </w:r>
      <w:r w:rsidRPr="003C0A74" w:rsidR="00F96EF2">
        <w:t xml:space="preserve"> </w:t>
      </w:r>
      <w:r w:rsidR="00DD11B4">
        <w:t xml:space="preserve">that it </w:t>
      </w:r>
      <w:r w:rsidR="00502FC6">
        <w:t>will take</w:t>
      </w:r>
      <w:r w:rsidR="00DD11B4">
        <w:t xml:space="preserve"> the </w:t>
      </w:r>
      <w:r w:rsidR="00E6233C">
        <w:t>13</w:t>
      </w:r>
      <w:r w:rsidR="00DD11B4">
        <w:t xml:space="preserve"> </w:t>
      </w:r>
      <w:r w:rsidR="00B47CAD">
        <w:t>offerors 20</w:t>
      </w:r>
      <w:r w:rsidR="00502FC6">
        <w:t xml:space="preserve"> hour</w:t>
      </w:r>
      <w:r w:rsidR="00B47CAD">
        <w:t>s</w:t>
      </w:r>
      <w:r w:rsidR="00502FC6">
        <w:t xml:space="preserve"> to prepare the documentation that supports their proposed use of Selected Reserve personnel.  </w:t>
      </w:r>
      <w:r w:rsidR="00A20EE8">
        <w:t xml:space="preserve">The estimate of 20 hours per response is based on a review of the complexity and dollar value of the contracts resulting from the </w:t>
      </w:r>
      <w:r w:rsidR="00787741">
        <w:t xml:space="preserve">10 </w:t>
      </w:r>
      <w:r w:rsidR="00A20EE8">
        <w:t xml:space="preserve">solicitations that may have included the use of Selected Reserve members as an evaluation factor for contract award.  </w:t>
      </w:r>
    </w:p>
    <w:p w:rsidR="00F96EF2" w:rsidP="008A6A56" w:rsidRDefault="00EB7E10">
      <w:pPr>
        <w:pStyle w:val="p3"/>
        <w:tabs>
          <w:tab w:val="clear" w:pos="663"/>
          <w:tab w:val="left" w:pos="360"/>
        </w:tabs>
        <w:spacing w:before="100" w:beforeAutospacing="1" w:after="100" w:afterAutospacing="1"/>
      </w:pPr>
      <w:r>
        <w:tab/>
      </w:r>
      <w:r w:rsidR="006624FD">
        <w:t>At an estimated cost of $</w:t>
      </w:r>
      <w:r w:rsidR="00701651">
        <w:t>39</w:t>
      </w:r>
      <w:r w:rsidR="00DD11B4">
        <w:t xml:space="preserve"> per hour, the annual respondent burden for initial submissions is estimated to be </w:t>
      </w:r>
      <w:r w:rsidR="004C5EB8">
        <w:t>$</w:t>
      </w:r>
      <w:r w:rsidR="002E3A8E">
        <w:t>10,140</w:t>
      </w:r>
      <w:r w:rsidR="00DD11B4">
        <w:t>.</w:t>
      </w:r>
      <w:r w:rsidR="00774D38">
        <w:t xml:space="preserve">  </w:t>
      </w:r>
      <w:r w:rsidRPr="003C0A74" w:rsidR="00F96EF2">
        <w:t xml:space="preserve">Accordingly, the </w:t>
      </w:r>
      <w:r w:rsidR="00DD11B4">
        <w:t>total estimation of</w:t>
      </w:r>
      <w:r w:rsidRPr="003C0A74" w:rsidR="00F96EF2">
        <w:t xml:space="preserve"> the </w:t>
      </w:r>
      <w:r w:rsidR="00DD11B4">
        <w:t>respondent</w:t>
      </w:r>
      <w:r w:rsidRPr="003C0A74" w:rsidR="00F96EF2">
        <w:t xml:space="preserve"> burden is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78"/>
        <w:gridCol w:w="1405"/>
      </w:tblGrid>
      <w:tr w:rsidRPr="00774D38" w:rsidR="00774D38" w:rsidTr="00E066C3">
        <w:trPr>
          <w:trHeight w:val="341"/>
        </w:trPr>
        <w:tc>
          <w:tcPr>
            <w:tcW w:w="8983" w:type="dxa"/>
            <w:gridSpan w:val="2"/>
            <w:shd w:val="clear" w:color="auto" w:fill="auto"/>
            <w:noWrap/>
            <w:hideMark/>
          </w:tcPr>
          <w:p w:rsidRPr="00774D38" w:rsidR="00774D38" w:rsidP="002C2A4E" w:rsidRDefault="00774D38">
            <w:pPr>
              <w:pStyle w:val="NormalWeb"/>
              <w:tabs>
                <w:tab w:val="left" w:pos="360"/>
                <w:tab w:val="left" w:pos="720"/>
                <w:tab w:val="left" w:pos="1080"/>
                <w:tab w:val="left" w:pos="1440"/>
              </w:tabs>
              <w:jc w:val="center"/>
            </w:pPr>
            <w:bookmarkStart w:name="cp462" w:id="6"/>
            <w:r w:rsidRPr="00774D38">
              <w:lastRenderedPageBreak/>
              <w:t>Estimation of R</w:t>
            </w:r>
            <w:r w:rsidR="00910C8C">
              <w:t>espondent Burden Hours: 252.215-</w:t>
            </w:r>
            <w:r w:rsidRPr="00774D38">
              <w:t>7005</w:t>
            </w:r>
          </w:p>
        </w:tc>
      </w:tr>
      <w:tr w:rsidRPr="00774D38" w:rsidR="00774D38" w:rsidTr="00E066C3">
        <w:trPr>
          <w:trHeight w:val="395"/>
        </w:trPr>
        <w:tc>
          <w:tcPr>
            <w:tcW w:w="7578" w:type="dxa"/>
            <w:shd w:val="clear" w:color="auto" w:fill="auto"/>
            <w:noWrap/>
            <w:hideMark/>
          </w:tcPr>
          <w:p w:rsidRPr="00774D38" w:rsidR="00774D38" w:rsidP="002C2A4E" w:rsidRDefault="00774D38">
            <w:pPr>
              <w:pStyle w:val="NormalWeb"/>
              <w:tabs>
                <w:tab w:val="left" w:pos="360"/>
                <w:tab w:val="left" w:pos="720"/>
                <w:tab w:val="left" w:pos="1080"/>
                <w:tab w:val="left" w:pos="1440"/>
              </w:tabs>
            </w:pPr>
            <w:r w:rsidRPr="00774D38">
              <w:t>Number of respondents</w:t>
            </w:r>
          </w:p>
        </w:tc>
        <w:tc>
          <w:tcPr>
            <w:tcW w:w="1405" w:type="dxa"/>
            <w:shd w:val="clear" w:color="auto" w:fill="auto"/>
            <w:noWrap/>
            <w:hideMark/>
          </w:tcPr>
          <w:p w:rsidRPr="00774D38" w:rsidR="00774D38" w:rsidP="002C2A4E" w:rsidRDefault="00E6233C">
            <w:pPr>
              <w:pStyle w:val="NormalWeb"/>
              <w:tabs>
                <w:tab w:val="left" w:pos="360"/>
                <w:tab w:val="left" w:pos="720"/>
                <w:tab w:val="left" w:pos="1080"/>
                <w:tab w:val="left" w:pos="1440"/>
              </w:tabs>
              <w:jc w:val="right"/>
            </w:pPr>
            <w:r>
              <w:t>13</w:t>
            </w:r>
          </w:p>
        </w:tc>
      </w:tr>
      <w:tr w:rsidRPr="00774D38" w:rsidR="00774D38" w:rsidTr="00E066C3">
        <w:trPr>
          <w:trHeight w:val="359"/>
        </w:trPr>
        <w:tc>
          <w:tcPr>
            <w:tcW w:w="7578" w:type="dxa"/>
            <w:shd w:val="clear" w:color="auto" w:fill="auto"/>
            <w:noWrap/>
            <w:hideMark/>
          </w:tcPr>
          <w:p w:rsidRPr="00774D38" w:rsidR="00774D38" w:rsidP="002C2A4E" w:rsidRDefault="00774D38">
            <w:pPr>
              <w:pStyle w:val="NormalWeb"/>
              <w:tabs>
                <w:tab w:val="left" w:pos="360"/>
                <w:tab w:val="left" w:pos="720"/>
                <w:tab w:val="left" w:pos="1080"/>
                <w:tab w:val="left" w:pos="1440"/>
              </w:tabs>
            </w:pPr>
            <w:r w:rsidRPr="00774D38">
              <w:t>Responses per respondent</w:t>
            </w:r>
          </w:p>
        </w:tc>
        <w:tc>
          <w:tcPr>
            <w:tcW w:w="1405" w:type="dxa"/>
            <w:shd w:val="clear" w:color="auto" w:fill="auto"/>
            <w:noWrap/>
            <w:hideMark/>
          </w:tcPr>
          <w:p w:rsidRPr="00774D38" w:rsidR="00774D38" w:rsidP="002C2A4E" w:rsidRDefault="00774D38">
            <w:pPr>
              <w:pStyle w:val="NormalWeb"/>
              <w:tabs>
                <w:tab w:val="left" w:pos="360"/>
                <w:tab w:val="left" w:pos="720"/>
                <w:tab w:val="left" w:pos="1080"/>
                <w:tab w:val="left" w:pos="1440"/>
              </w:tabs>
              <w:jc w:val="right"/>
            </w:pPr>
            <w:r w:rsidRPr="00774D38">
              <w:t>1</w:t>
            </w:r>
          </w:p>
        </w:tc>
      </w:tr>
      <w:tr w:rsidRPr="00774D38" w:rsidR="00774D38" w:rsidTr="00E066C3">
        <w:trPr>
          <w:trHeight w:val="413"/>
        </w:trPr>
        <w:tc>
          <w:tcPr>
            <w:tcW w:w="7578" w:type="dxa"/>
            <w:shd w:val="clear" w:color="auto" w:fill="auto"/>
            <w:noWrap/>
            <w:hideMark/>
          </w:tcPr>
          <w:p w:rsidRPr="00774D38" w:rsidR="00774D38" w:rsidP="002C2A4E" w:rsidRDefault="00774D38">
            <w:pPr>
              <w:pStyle w:val="NormalWeb"/>
              <w:tabs>
                <w:tab w:val="left" w:pos="360"/>
                <w:tab w:val="left" w:pos="720"/>
                <w:tab w:val="left" w:pos="1080"/>
                <w:tab w:val="left" w:pos="1440"/>
              </w:tabs>
            </w:pPr>
            <w:r w:rsidRPr="00774D38">
              <w:t>Number of responses</w:t>
            </w:r>
          </w:p>
        </w:tc>
        <w:tc>
          <w:tcPr>
            <w:tcW w:w="1405" w:type="dxa"/>
            <w:shd w:val="clear" w:color="auto" w:fill="auto"/>
            <w:noWrap/>
            <w:hideMark/>
          </w:tcPr>
          <w:p w:rsidRPr="00774D38" w:rsidR="00774D38" w:rsidP="002C2A4E" w:rsidRDefault="00E6233C">
            <w:pPr>
              <w:pStyle w:val="NormalWeb"/>
              <w:tabs>
                <w:tab w:val="left" w:pos="360"/>
                <w:tab w:val="left" w:pos="720"/>
                <w:tab w:val="left" w:pos="1080"/>
                <w:tab w:val="left" w:pos="1440"/>
              </w:tabs>
              <w:jc w:val="right"/>
            </w:pPr>
            <w:r>
              <w:t>13</w:t>
            </w:r>
          </w:p>
        </w:tc>
      </w:tr>
      <w:tr w:rsidRPr="00774D38" w:rsidR="00774D38" w:rsidTr="00E066C3">
        <w:trPr>
          <w:trHeight w:val="386"/>
        </w:trPr>
        <w:tc>
          <w:tcPr>
            <w:tcW w:w="7578" w:type="dxa"/>
            <w:shd w:val="clear" w:color="auto" w:fill="auto"/>
            <w:noWrap/>
            <w:hideMark/>
          </w:tcPr>
          <w:p w:rsidRPr="00774D38" w:rsidR="00774D38" w:rsidP="002C2A4E" w:rsidRDefault="00774D38">
            <w:pPr>
              <w:pStyle w:val="NormalWeb"/>
              <w:tabs>
                <w:tab w:val="left" w:pos="360"/>
                <w:tab w:val="left" w:pos="720"/>
                <w:tab w:val="left" w:pos="1080"/>
                <w:tab w:val="left" w:pos="1440"/>
              </w:tabs>
            </w:pPr>
            <w:r w:rsidRPr="00774D38">
              <w:t>Hours per response</w:t>
            </w:r>
          </w:p>
        </w:tc>
        <w:tc>
          <w:tcPr>
            <w:tcW w:w="1405" w:type="dxa"/>
            <w:shd w:val="clear" w:color="auto" w:fill="auto"/>
            <w:noWrap/>
            <w:hideMark/>
          </w:tcPr>
          <w:p w:rsidRPr="00774D38" w:rsidR="00774D38" w:rsidP="002C2A4E" w:rsidRDefault="00B47CAD">
            <w:pPr>
              <w:pStyle w:val="NormalWeb"/>
              <w:tabs>
                <w:tab w:val="left" w:pos="360"/>
                <w:tab w:val="left" w:pos="720"/>
                <w:tab w:val="left" w:pos="1080"/>
                <w:tab w:val="left" w:pos="1440"/>
              </w:tabs>
              <w:jc w:val="right"/>
            </w:pPr>
            <w:r>
              <w:t>20</w:t>
            </w:r>
          </w:p>
        </w:tc>
      </w:tr>
      <w:tr w:rsidRPr="00774D38" w:rsidR="00774D38" w:rsidTr="00E066C3">
        <w:trPr>
          <w:trHeight w:val="350"/>
        </w:trPr>
        <w:tc>
          <w:tcPr>
            <w:tcW w:w="7578" w:type="dxa"/>
            <w:shd w:val="clear" w:color="auto" w:fill="auto"/>
            <w:noWrap/>
            <w:hideMark/>
          </w:tcPr>
          <w:p w:rsidRPr="00774D38" w:rsidR="00774D38" w:rsidP="002C2A4E" w:rsidRDefault="00774D38">
            <w:pPr>
              <w:pStyle w:val="NormalWeb"/>
              <w:tabs>
                <w:tab w:val="left" w:pos="360"/>
                <w:tab w:val="left" w:pos="720"/>
                <w:tab w:val="left" w:pos="1080"/>
                <w:tab w:val="left" w:pos="1440"/>
              </w:tabs>
            </w:pPr>
            <w:r w:rsidRPr="00774D38">
              <w:t>Estimated hours (number of responses multiplied by hours per response)</w:t>
            </w:r>
          </w:p>
        </w:tc>
        <w:tc>
          <w:tcPr>
            <w:tcW w:w="1405" w:type="dxa"/>
            <w:shd w:val="clear" w:color="auto" w:fill="auto"/>
            <w:noWrap/>
            <w:hideMark/>
          </w:tcPr>
          <w:p w:rsidRPr="00774D38" w:rsidR="00774D38" w:rsidP="002C2A4E" w:rsidRDefault="00E6233C">
            <w:pPr>
              <w:pStyle w:val="NormalWeb"/>
              <w:tabs>
                <w:tab w:val="left" w:pos="360"/>
                <w:tab w:val="left" w:pos="720"/>
                <w:tab w:val="left" w:pos="1080"/>
                <w:tab w:val="left" w:pos="1440"/>
              </w:tabs>
              <w:jc w:val="right"/>
            </w:pPr>
            <w:r>
              <w:t>260</w:t>
            </w:r>
          </w:p>
        </w:tc>
      </w:tr>
      <w:tr w:rsidRPr="00774D38" w:rsidR="00774D38" w:rsidTr="00E066C3">
        <w:trPr>
          <w:trHeight w:val="305"/>
        </w:trPr>
        <w:tc>
          <w:tcPr>
            <w:tcW w:w="7578" w:type="dxa"/>
            <w:shd w:val="clear" w:color="auto" w:fill="auto"/>
            <w:noWrap/>
            <w:hideMark/>
          </w:tcPr>
          <w:p w:rsidRPr="00774D38" w:rsidR="00774D38" w:rsidP="002C2A4E" w:rsidRDefault="00774D38">
            <w:pPr>
              <w:pStyle w:val="NormalWeb"/>
              <w:tabs>
                <w:tab w:val="left" w:pos="360"/>
                <w:tab w:val="left" w:pos="720"/>
                <w:tab w:val="left" w:pos="1080"/>
                <w:tab w:val="left" w:pos="1440"/>
              </w:tabs>
            </w:pPr>
            <w:r w:rsidRPr="00774D38">
              <w:t>Cost per hour (hourly wage</w:t>
            </w:r>
            <w:r>
              <w:rPr>
                <w:rStyle w:val="FootnoteReference"/>
              </w:rPr>
              <w:footnoteReference w:id="1"/>
            </w:r>
            <w:r w:rsidRPr="00774D38">
              <w:t>)</w:t>
            </w:r>
          </w:p>
        </w:tc>
        <w:tc>
          <w:tcPr>
            <w:tcW w:w="1405" w:type="dxa"/>
            <w:shd w:val="clear" w:color="auto" w:fill="auto"/>
            <w:noWrap/>
            <w:hideMark/>
          </w:tcPr>
          <w:p w:rsidRPr="00774D38" w:rsidR="00774D38" w:rsidP="00EB7E10" w:rsidRDefault="006624FD">
            <w:pPr>
              <w:pStyle w:val="NormalWeb"/>
              <w:tabs>
                <w:tab w:val="left" w:pos="360"/>
                <w:tab w:val="left" w:pos="720"/>
                <w:tab w:val="left" w:pos="1080"/>
                <w:tab w:val="left" w:pos="1440"/>
              </w:tabs>
              <w:jc w:val="right"/>
            </w:pPr>
            <w:r>
              <w:t>$3</w:t>
            </w:r>
            <w:r w:rsidR="00701651">
              <w:t>9</w:t>
            </w:r>
          </w:p>
        </w:tc>
      </w:tr>
      <w:tr w:rsidRPr="00774D38" w:rsidR="005D5837" w:rsidTr="00BC2CD5">
        <w:trPr>
          <w:trHeight w:val="359"/>
        </w:trPr>
        <w:tc>
          <w:tcPr>
            <w:tcW w:w="7578" w:type="dxa"/>
            <w:shd w:val="clear" w:color="auto" w:fill="auto"/>
            <w:noWrap/>
          </w:tcPr>
          <w:p w:rsidRPr="00774D38" w:rsidR="005D5837" w:rsidP="002C2A4E" w:rsidRDefault="005D5837">
            <w:pPr>
              <w:pStyle w:val="NormalWeb"/>
              <w:tabs>
                <w:tab w:val="left" w:pos="360"/>
                <w:tab w:val="left" w:pos="720"/>
                <w:tab w:val="left" w:pos="1080"/>
                <w:tab w:val="left" w:pos="1440"/>
              </w:tabs>
            </w:pPr>
            <w:r>
              <w:t>Cost per response</w:t>
            </w:r>
          </w:p>
        </w:tc>
        <w:tc>
          <w:tcPr>
            <w:tcW w:w="1405" w:type="dxa"/>
            <w:shd w:val="clear" w:color="auto" w:fill="auto"/>
            <w:noWrap/>
          </w:tcPr>
          <w:p w:rsidRPr="00774D38" w:rsidR="005D5837" w:rsidP="00701651" w:rsidRDefault="005D5837">
            <w:pPr>
              <w:pStyle w:val="NormalWeb"/>
              <w:tabs>
                <w:tab w:val="left" w:pos="360"/>
                <w:tab w:val="left" w:pos="720"/>
                <w:tab w:val="left" w:pos="1080"/>
                <w:tab w:val="left" w:pos="1440"/>
              </w:tabs>
              <w:jc w:val="right"/>
            </w:pPr>
            <w:r>
              <w:t>$780</w:t>
            </w:r>
          </w:p>
        </w:tc>
      </w:tr>
      <w:tr w:rsidRPr="00774D38" w:rsidR="00774D38" w:rsidTr="00BC2CD5">
        <w:trPr>
          <w:trHeight w:val="359"/>
        </w:trPr>
        <w:tc>
          <w:tcPr>
            <w:tcW w:w="7578" w:type="dxa"/>
            <w:shd w:val="clear" w:color="auto" w:fill="auto"/>
            <w:noWrap/>
            <w:hideMark/>
          </w:tcPr>
          <w:p w:rsidRPr="00774D38" w:rsidR="00774D38" w:rsidP="002C2A4E" w:rsidRDefault="00774D38">
            <w:pPr>
              <w:pStyle w:val="NormalWeb"/>
              <w:tabs>
                <w:tab w:val="left" w:pos="360"/>
                <w:tab w:val="left" w:pos="720"/>
                <w:tab w:val="left" w:pos="1080"/>
                <w:tab w:val="left" w:pos="1440"/>
              </w:tabs>
            </w:pPr>
            <w:r w:rsidRPr="00774D38">
              <w:t>Annual public burden (estimated hours multiplied by cost per hour)</w:t>
            </w:r>
          </w:p>
        </w:tc>
        <w:tc>
          <w:tcPr>
            <w:tcW w:w="1405" w:type="dxa"/>
            <w:shd w:val="clear" w:color="auto" w:fill="auto"/>
            <w:noWrap/>
            <w:hideMark/>
          </w:tcPr>
          <w:p w:rsidRPr="00774D38" w:rsidR="00774D38" w:rsidP="00701651" w:rsidRDefault="00774D38">
            <w:pPr>
              <w:pStyle w:val="NormalWeb"/>
              <w:tabs>
                <w:tab w:val="left" w:pos="360"/>
                <w:tab w:val="left" w:pos="720"/>
                <w:tab w:val="left" w:pos="1080"/>
                <w:tab w:val="left" w:pos="1440"/>
              </w:tabs>
              <w:jc w:val="right"/>
            </w:pPr>
            <w:r w:rsidRPr="00774D38">
              <w:t>$</w:t>
            </w:r>
            <w:r w:rsidR="00701651">
              <w:t>10,140</w:t>
            </w:r>
          </w:p>
        </w:tc>
      </w:tr>
    </w:tbl>
    <w:p w:rsidR="008A6A56" w:rsidP="008A6A56" w:rsidRDefault="008A6A56">
      <w:pPr>
        <w:pStyle w:val="NormalWeb"/>
        <w:tabs>
          <w:tab w:val="left" w:pos="360"/>
          <w:tab w:val="left" w:pos="720"/>
          <w:tab w:val="left" w:pos="1080"/>
          <w:tab w:val="left" w:pos="1440"/>
        </w:tabs>
        <w:spacing w:before="0" w:beforeAutospacing="0" w:after="0" w:afterAutospacing="0"/>
      </w:pPr>
    </w:p>
    <w:p w:rsidR="00917705" w:rsidP="008A6A56" w:rsidRDefault="00917705">
      <w:pPr>
        <w:pStyle w:val="NormalWeb"/>
        <w:tabs>
          <w:tab w:val="left" w:pos="360"/>
          <w:tab w:val="left" w:pos="720"/>
          <w:tab w:val="left" w:pos="1080"/>
          <w:tab w:val="left" w:pos="1440"/>
        </w:tabs>
      </w:pPr>
      <w:r>
        <w:tab/>
        <w:t>13.</w:t>
      </w:r>
      <w:r>
        <w:tab/>
      </w:r>
      <w:r>
        <w:rPr>
          <w:u w:val="single"/>
        </w:rPr>
        <w:t>Respondent Costs Other Than Burden Hour Costs</w:t>
      </w:r>
    </w:p>
    <w:p w:rsidRPr="003C0A74" w:rsidR="00F96EF2" w:rsidP="00DD11B4" w:rsidRDefault="00917705">
      <w:pPr>
        <w:pStyle w:val="NormalWeb"/>
        <w:tabs>
          <w:tab w:val="left" w:pos="360"/>
          <w:tab w:val="left" w:pos="720"/>
          <w:tab w:val="left" w:pos="1080"/>
          <w:tab w:val="left" w:pos="1440"/>
        </w:tabs>
        <w:spacing w:line="288" w:lineRule="atLeast"/>
      </w:pPr>
      <w:bookmarkStart w:name="cp464" w:id="7"/>
      <w:bookmarkEnd w:id="6"/>
      <w:r>
        <w:tab/>
      </w:r>
      <w:r>
        <w:tab/>
      </w:r>
      <w:bookmarkEnd w:id="7"/>
      <w:r>
        <w:t xml:space="preserve">It is not anticipated that the information collection will generate any additional annualized costs to respondents other than the labor burden costs addressed in Item 12. </w:t>
      </w:r>
    </w:p>
    <w:p w:rsidR="00917705" w:rsidP="00917705" w:rsidRDefault="00917705">
      <w:pPr>
        <w:pStyle w:val="NormalWeb"/>
        <w:tabs>
          <w:tab w:val="left" w:pos="360"/>
          <w:tab w:val="left" w:pos="720"/>
          <w:tab w:val="left" w:pos="1080"/>
          <w:tab w:val="left" w:pos="1440"/>
        </w:tabs>
        <w:spacing w:line="288" w:lineRule="atLeast"/>
      </w:pPr>
      <w:r>
        <w:tab/>
        <w:t>14.</w:t>
      </w:r>
      <w:r>
        <w:tab/>
      </w:r>
      <w:r>
        <w:rPr>
          <w:u w:val="single"/>
        </w:rPr>
        <w:t>Cost to the Federal Government</w:t>
      </w:r>
    </w:p>
    <w:p w:rsidR="00F96EF2" w:rsidP="008A6A56" w:rsidRDefault="00E0247D">
      <w:pPr>
        <w:tabs>
          <w:tab w:val="left" w:pos="360"/>
        </w:tabs>
        <w:spacing w:before="100" w:beforeAutospacing="1" w:after="100" w:afterAutospacing="1"/>
      </w:pPr>
      <w:r>
        <w:tab/>
      </w:r>
      <w:r>
        <w:tab/>
      </w:r>
      <w:r w:rsidR="00910C8C">
        <w:t>In the table below, the number of respondents and the number of responses are based on the same information and calculated in the same manner as discussed in paragraph 12.  The estimate</w:t>
      </w:r>
      <w:r w:rsidRPr="00E341F7" w:rsidR="00910C8C">
        <w:t xml:space="preserve"> of </w:t>
      </w:r>
      <w:r w:rsidR="00910C8C">
        <w:t>hours spent reviewing and processing</w:t>
      </w:r>
      <w:r w:rsidRPr="00E341F7" w:rsidR="00910C8C">
        <w:t xml:space="preserve"> </w:t>
      </w:r>
      <w:r w:rsidR="00910C8C">
        <w:t xml:space="preserve">the offerors documentation is based on an </w:t>
      </w:r>
      <w:r w:rsidRPr="00E341F7" w:rsidR="00910C8C">
        <w:t>estimate</w:t>
      </w:r>
      <w:r w:rsidR="00910C8C">
        <w:t xml:space="preserve"> from a DoD subject matter expert familiar with the provision requirement</w:t>
      </w:r>
      <w:r w:rsidRPr="00E341F7" w:rsidR="00910C8C">
        <w:t>.</w:t>
      </w:r>
    </w:p>
    <w:p w:rsidR="00910C8C" w:rsidP="00C3527E" w:rsidRDefault="00910C8C">
      <w:pPr>
        <w:tabs>
          <w:tab w:val="left" w:pos="360"/>
        </w:tab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78"/>
        <w:gridCol w:w="1405"/>
      </w:tblGrid>
      <w:tr w:rsidRPr="00774D38" w:rsidR="00910C8C" w:rsidTr="00E066C3">
        <w:trPr>
          <w:trHeight w:val="359"/>
        </w:trPr>
        <w:tc>
          <w:tcPr>
            <w:tcW w:w="8983" w:type="dxa"/>
            <w:gridSpan w:val="2"/>
            <w:shd w:val="clear" w:color="auto" w:fill="auto"/>
            <w:noWrap/>
            <w:hideMark/>
          </w:tcPr>
          <w:p w:rsidRPr="00774D38" w:rsidR="00910C8C" w:rsidP="002C2A4E" w:rsidRDefault="00910C8C">
            <w:pPr>
              <w:pStyle w:val="NormalWeb"/>
              <w:tabs>
                <w:tab w:val="left" w:pos="360"/>
                <w:tab w:val="left" w:pos="720"/>
                <w:tab w:val="left" w:pos="1080"/>
                <w:tab w:val="left" w:pos="1440"/>
              </w:tabs>
              <w:jc w:val="center"/>
            </w:pPr>
            <w:r w:rsidRPr="00774D38">
              <w:t xml:space="preserve">Estimation of </w:t>
            </w:r>
            <w:r>
              <w:t>Government</w:t>
            </w:r>
            <w:r w:rsidR="00336738">
              <w:t xml:space="preserve"> Burden Hours: 252.215-</w:t>
            </w:r>
            <w:r w:rsidRPr="00774D38">
              <w:t>7005</w:t>
            </w:r>
          </w:p>
        </w:tc>
      </w:tr>
      <w:tr w:rsidRPr="00774D38" w:rsidR="00910C8C" w:rsidTr="00E066C3">
        <w:trPr>
          <w:trHeight w:val="323"/>
        </w:trPr>
        <w:tc>
          <w:tcPr>
            <w:tcW w:w="7578" w:type="dxa"/>
            <w:shd w:val="clear" w:color="auto" w:fill="auto"/>
            <w:noWrap/>
            <w:hideMark/>
          </w:tcPr>
          <w:p w:rsidRPr="00774D38" w:rsidR="00910C8C" w:rsidP="002C2A4E" w:rsidRDefault="00910C8C">
            <w:pPr>
              <w:pStyle w:val="NormalWeb"/>
              <w:tabs>
                <w:tab w:val="left" w:pos="360"/>
                <w:tab w:val="left" w:pos="720"/>
                <w:tab w:val="left" w:pos="1080"/>
                <w:tab w:val="left" w:pos="1440"/>
              </w:tabs>
            </w:pPr>
            <w:r w:rsidRPr="00774D38">
              <w:t>Number of respondents</w:t>
            </w:r>
          </w:p>
        </w:tc>
        <w:tc>
          <w:tcPr>
            <w:tcW w:w="1405" w:type="dxa"/>
            <w:shd w:val="clear" w:color="auto" w:fill="auto"/>
            <w:noWrap/>
            <w:hideMark/>
          </w:tcPr>
          <w:p w:rsidRPr="00774D38" w:rsidR="00910C8C" w:rsidP="002C2A4E" w:rsidRDefault="00E6233C">
            <w:pPr>
              <w:pStyle w:val="NormalWeb"/>
              <w:tabs>
                <w:tab w:val="left" w:pos="360"/>
                <w:tab w:val="left" w:pos="720"/>
                <w:tab w:val="left" w:pos="1080"/>
                <w:tab w:val="left" w:pos="1440"/>
              </w:tabs>
              <w:jc w:val="right"/>
            </w:pPr>
            <w:r>
              <w:t>13</w:t>
            </w:r>
          </w:p>
        </w:tc>
      </w:tr>
      <w:tr w:rsidRPr="00774D38" w:rsidR="00910C8C" w:rsidTr="00E066C3">
        <w:trPr>
          <w:trHeight w:val="377"/>
        </w:trPr>
        <w:tc>
          <w:tcPr>
            <w:tcW w:w="7578" w:type="dxa"/>
            <w:shd w:val="clear" w:color="auto" w:fill="auto"/>
            <w:noWrap/>
            <w:hideMark/>
          </w:tcPr>
          <w:p w:rsidRPr="00774D38" w:rsidR="00910C8C" w:rsidP="002C2A4E" w:rsidRDefault="00910C8C">
            <w:pPr>
              <w:pStyle w:val="NormalWeb"/>
              <w:tabs>
                <w:tab w:val="left" w:pos="360"/>
                <w:tab w:val="left" w:pos="720"/>
                <w:tab w:val="left" w:pos="1080"/>
                <w:tab w:val="left" w:pos="1440"/>
              </w:tabs>
            </w:pPr>
            <w:r w:rsidRPr="00774D38">
              <w:t>Responses per respondent</w:t>
            </w:r>
          </w:p>
        </w:tc>
        <w:tc>
          <w:tcPr>
            <w:tcW w:w="1405" w:type="dxa"/>
            <w:shd w:val="clear" w:color="auto" w:fill="auto"/>
            <w:noWrap/>
            <w:hideMark/>
          </w:tcPr>
          <w:p w:rsidRPr="00774D38" w:rsidR="00910C8C" w:rsidP="002C2A4E" w:rsidRDefault="00910C8C">
            <w:pPr>
              <w:pStyle w:val="NormalWeb"/>
              <w:tabs>
                <w:tab w:val="left" w:pos="360"/>
                <w:tab w:val="left" w:pos="720"/>
                <w:tab w:val="left" w:pos="1080"/>
                <w:tab w:val="left" w:pos="1440"/>
              </w:tabs>
              <w:jc w:val="right"/>
            </w:pPr>
            <w:r w:rsidRPr="00774D38">
              <w:t>1</w:t>
            </w:r>
          </w:p>
        </w:tc>
      </w:tr>
      <w:tr w:rsidRPr="00774D38" w:rsidR="00910C8C" w:rsidTr="00E066C3">
        <w:trPr>
          <w:trHeight w:val="251"/>
        </w:trPr>
        <w:tc>
          <w:tcPr>
            <w:tcW w:w="7578" w:type="dxa"/>
            <w:shd w:val="clear" w:color="auto" w:fill="auto"/>
            <w:noWrap/>
            <w:hideMark/>
          </w:tcPr>
          <w:p w:rsidRPr="00774D38" w:rsidR="00910C8C" w:rsidP="002C2A4E" w:rsidRDefault="00910C8C">
            <w:pPr>
              <w:pStyle w:val="NormalWeb"/>
              <w:tabs>
                <w:tab w:val="left" w:pos="360"/>
                <w:tab w:val="left" w:pos="720"/>
                <w:tab w:val="left" w:pos="1080"/>
                <w:tab w:val="left" w:pos="1440"/>
              </w:tabs>
            </w:pPr>
            <w:r w:rsidRPr="00774D38">
              <w:t>Number of responses</w:t>
            </w:r>
          </w:p>
        </w:tc>
        <w:tc>
          <w:tcPr>
            <w:tcW w:w="1405" w:type="dxa"/>
            <w:shd w:val="clear" w:color="auto" w:fill="auto"/>
            <w:noWrap/>
            <w:hideMark/>
          </w:tcPr>
          <w:p w:rsidRPr="00774D38" w:rsidR="00910C8C" w:rsidP="002C2A4E" w:rsidRDefault="00E6233C">
            <w:pPr>
              <w:pStyle w:val="NormalWeb"/>
              <w:tabs>
                <w:tab w:val="left" w:pos="360"/>
                <w:tab w:val="left" w:pos="720"/>
                <w:tab w:val="left" w:pos="1080"/>
                <w:tab w:val="left" w:pos="1440"/>
              </w:tabs>
              <w:jc w:val="right"/>
            </w:pPr>
            <w:r>
              <w:t>13</w:t>
            </w:r>
          </w:p>
        </w:tc>
      </w:tr>
      <w:tr w:rsidRPr="00774D38" w:rsidR="00910C8C" w:rsidTr="00E066C3">
        <w:trPr>
          <w:trHeight w:val="314"/>
        </w:trPr>
        <w:tc>
          <w:tcPr>
            <w:tcW w:w="7578" w:type="dxa"/>
            <w:shd w:val="clear" w:color="auto" w:fill="auto"/>
            <w:noWrap/>
            <w:hideMark/>
          </w:tcPr>
          <w:p w:rsidRPr="00774D38" w:rsidR="00910C8C" w:rsidP="002C2A4E" w:rsidRDefault="00910C8C">
            <w:pPr>
              <w:pStyle w:val="NormalWeb"/>
              <w:tabs>
                <w:tab w:val="left" w:pos="360"/>
                <w:tab w:val="left" w:pos="720"/>
                <w:tab w:val="left" w:pos="1080"/>
                <w:tab w:val="left" w:pos="1440"/>
              </w:tabs>
            </w:pPr>
            <w:r w:rsidRPr="00774D38">
              <w:t>Hours per response</w:t>
            </w:r>
          </w:p>
        </w:tc>
        <w:tc>
          <w:tcPr>
            <w:tcW w:w="1405" w:type="dxa"/>
            <w:shd w:val="clear" w:color="auto" w:fill="auto"/>
            <w:noWrap/>
            <w:hideMark/>
          </w:tcPr>
          <w:p w:rsidRPr="00774D38" w:rsidR="00910C8C" w:rsidP="002C2A4E" w:rsidRDefault="00910C8C">
            <w:pPr>
              <w:pStyle w:val="NormalWeb"/>
              <w:tabs>
                <w:tab w:val="left" w:pos="360"/>
                <w:tab w:val="left" w:pos="720"/>
                <w:tab w:val="left" w:pos="1080"/>
                <w:tab w:val="left" w:pos="1440"/>
              </w:tabs>
              <w:jc w:val="right"/>
            </w:pPr>
            <w:r w:rsidRPr="00774D38">
              <w:t>1</w:t>
            </w:r>
          </w:p>
        </w:tc>
      </w:tr>
      <w:tr w:rsidRPr="00774D38" w:rsidR="00910C8C" w:rsidTr="00E066C3">
        <w:trPr>
          <w:trHeight w:val="368"/>
        </w:trPr>
        <w:tc>
          <w:tcPr>
            <w:tcW w:w="7578" w:type="dxa"/>
            <w:shd w:val="clear" w:color="auto" w:fill="auto"/>
            <w:noWrap/>
            <w:hideMark/>
          </w:tcPr>
          <w:p w:rsidRPr="00774D38" w:rsidR="00910C8C" w:rsidP="002C2A4E" w:rsidRDefault="00910C8C">
            <w:pPr>
              <w:pStyle w:val="NormalWeb"/>
              <w:tabs>
                <w:tab w:val="left" w:pos="360"/>
                <w:tab w:val="left" w:pos="720"/>
                <w:tab w:val="left" w:pos="1080"/>
                <w:tab w:val="left" w:pos="1440"/>
              </w:tabs>
            </w:pPr>
            <w:r w:rsidRPr="00774D38">
              <w:t xml:space="preserve">Estimated hours </w:t>
            </w:r>
          </w:p>
        </w:tc>
        <w:tc>
          <w:tcPr>
            <w:tcW w:w="1405" w:type="dxa"/>
            <w:shd w:val="clear" w:color="auto" w:fill="auto"/>
            <w:noWrap/>
            <w:hideMark/>
          </w:tcPr>
          <w:p w:rsidRPr="00774D38" w:rsidR="00910C8C" w:rsidP="002C2A4E" w:rsidRDefault="00E6233C">
            <w:pPr>
              <w:pStyle w:val="NormalWeb"/>
              <w:tabs>
                <w:tab w:val="left" w:pos="360"/>
                <w:tab w:val="left" w:pos="720"/>
                <w:tab w:val="left" w:pos="1080"/>
                <w:tab w:val="left" w:pos="1440"/>
              </w:tabs>
              <w:jc w:val="right"/>
            </w:pPr>
            <w:r>
              <w:t>13</w:t>
            </w:r>
          </w:p>
        </w:tc>
      </w:tr>
      <w:tr w:rsidRPr="00774D38" w:rsidR="00910C8C" w:rsidTr="002C2A4E">
        <w:trPr>
          <w:trHeight w:val="300"/>
        </w:trPr>
        <w:tc>
          <w:tcPr>
            <w:tcW w:w="7578" w:type="dxa"/>
            <w:shd w:val="clear" w:color="auto" w:fill="auto"/>
            <w:noWrap/>
            <w:hideMark/>
          </w:tcPr>
          <w:p w:rsidRPr="00774D38" w:rsidR="00910C8C" w:rsidP="002C2A4E" w:rsidRDefault="00910C8C">
            <w:pPr>
              <w:pStyle w:val="NormalWeb"/>
              <w:tabs>
                <w:tab w:val="left" w:pos="360"/>
                <w:tab w:val="left" w:pos="720"/>
                <w:tab w:val="left" w:pos="1080"/>
                <w:tab w:val="left" w:pos="1440"/>
              </w:tabs>
            </w:pPr>
            <w:r w:rsidRPr="00774D38">
              <w:t>Cost per hour (hourly wage</w:t>
            </w:r>
            <w:r>
              <w:rPr>
                <w:rStyle w:val="FootnoteReference"/>
              </w:rPr>
              <w:t>1</w:t>
            </w:r>
            <w:r w:rsidRPr="00774D38">
              <w:t>)</w:t>
            </w:r>
          </w:p>
        </w:tc>
        <w:tc>
          <w:tcPr>
            <w:tcW w:w="1405" w:type="dxa"/>
            <w:shd w:val="clear" w:color="auto" w:fill="auto"/>
            <w:noWrap/>
            <w:hideMark/>
          </w:tcPr>
          <w:p w:rsidRPr="00774D38" w:rsidR="00E6233C" w:rsidP="00EB7E10" w:rsidRDefault="00910C8C">
            <w:pPr>
              <w:pStyle w:val="NormalWeb"/>
              <w:tabs>
                <w:tab w:val="left" w:pos="360"/>
                <w:tab w:val="left" w:pos="720"/>
                <w:tab w:val="left" w:pos="1080"/>
                <w:tab w:val="left" w:pos="1440"/>
              </w:tabs>
              <w:jc w:val="right"/>
            </w:pPr>
            <w:r w:rsidRPr="00774D38">
              <w:t>$</w:t>
            </w:r>
            <w:r w:rsidR="006624FD">
              <w:t>3</w:t>
            </w:r>
            <w:r w:rsidR="00701651">
              <w:t>9</w:t>
            </w:r>
          </w:p>
        </w:tc>
      </w:tr>
      <w:tr w:rsidRPr="00774D38" w:rsidR="00910C8C" w:rsidTr="002C2A4E">
        <w:trPr>
          <w:trHeight w:val="300"/>
        </w:trPr>
        <w:tc>
          <w:tcPr>
            <w:tcW w:w="7578" w:type="dxa"/>
            <w:shd w:val="clear" w:color="auto" w:fill="auto"/>
            <w:noWrap/>
            <w:hideMark/>
          </w:tcPr>
          <w:p w:rsidRPr="00774D38" w:rsidR="00910C8C" w:rsidP="002C2A4E" w:rsidRDefault="00910C8C">
            <w:pPr>
              <w:pStyle w:val="NormalWeb"/>
              <w:tabs>
                <w:tab w:val="left" w:pos="360"/>
                <w:tab w:val="left" w:pos="720"/>
                <w:tab w:val="left" w:pos="1080"/>
                <w:tab w:val="left" w:pos="1440"/>
              </w:tabs>
            </w:pPr>
            <w:r w:rsidRPr="00774D38">
              <w:lastRenderedPageBreak/>
              <w:t>Annual public burden (estimated hours multiplied by cost per hour)</w:t>
            </w:r>
          </w:p>
        </w:tc>
        <w:tc>
          <w:tcPr>
            <w:tcW w:w="1405" w:type="dxa"/>
            <w:shd w:val="clear" w:color="auto" w:fill="auto"/>
            <w:noWrap/>
            <w:hideMark/>
          </w:tcPr>
          <w:p w:rsidRPr="00774D38" w:rsidR="00910C8C" w:rsidP="00701651" w:rsidRDefault="00910C8C">
            <w:pPr>
              <w:pStyle w:val="NormalWeb"/>
              <w:tabs>
                <w:tab w:val="left" w:pos="360"/>
                <w:tab w:val="left" w:pos="720"/>
                <w:tab w:val="left" w:pos="1080"/>
                <w:tab w:val="left" w:pos="1440"/>
              </w:tabs>
              <w:jc w:val="right"/>
            </w:pPr>
            <w:r w:rsidRPr="00774D38">
              <w:t>$</w:t>
            </w:r>
            <w:r w:rsidR="00701651">
              <w:t>507</w:t>
            </w:r>
          </w:p>
        </w:tc>
      </w:tr>
    </w:tbl>
    <w:p w:rsidR="008A6A56" w:rsidP="008A6A56" w:rsidRDefault="008A6A56">
      <w:pPr>
        <w:pStyle w:val="NormalWeb"/>
        <w:tabs>
          <w:tab w:val="left" w:pos="360"/>
          <w:tab w:val="left" w:pos="720"/>
          <w:tab w:val="left" w:pos="1080"/>
          <w:tab w:val="left" w:pos="1440"/>
        </w:tabs>
        <w:spacing w:before="0" w:beforeAutospacing="0" w:after="0" w:afterAutospacing="0" w:line="288" w:lineRule="atLeast"/>
      </w:pPr>
    </w:p>
    <w:p w:rsidR="00917705" w:rsidP="00917705" w:rsidRDefault="00FB0357">
      <w:pPr>
        <w:pStyle w:val="NormalWeb"/>
        <w:tabs>
          <w:tab w:val="left" w:pos="360"/>
          <w:tab w:val="left" w:pos="720"/>
          <w:tab w:val="left" w:pos="1080"/>
          <w:tab w:val="left" w:pos="1440"/>
        </w:tabs>
        <w:spacing w:line="288" w:lineRule="atLeast"/>
      </w:pPr>
      <w:r>
        <w:tab/>
      </w:r>
      <w:r w:rsidR="00C3527E">
        <w:t xml:space="preserve">15.  </w:t>
      </w:r>
      <w:r w:rsidR="00917705">
        <w:rPr>
          <w:u w:val="single"/>
        </w:rPr>
        <w:t>Reasons for Change in Burden</w:t>
      </w:r>
    </w:p>
    <w:p w:rsidR="00041550" w:rsidP="00E604D3" w:rsidRDefault="00917705">
      <w:pPr>
        <w:pStyle w:val="NormalWeb"/>
        <w:tabs>
          <w:tab w:val="left" w:pos="360"/>
          <w:tab w:val="left" w:pos="720"/>
          <w:tab w:val="left" w:pos="1080"/>
          <w:tab w:val="left" w:pos="1440"/>
        </w:tabs>
        <w:spacing w:line="288" w:lineRule="atLeast"/>
      </w:pPr>
      <w:r w:rsidRPr="00773EB3">
        <w:tab/>
      </w:r>
      <w:r w:rsidRPr="00773EB3">
        <w:tab/>
      </w:r>
      <w:r w:rsidRPr="00773EB3" w:rsidR="002E0D73">
        <w:t>This is a</w:t>
      </w:r>
      <w:r w:rsidR="00E604D3">
        <w:t>n</w:t>
      </w:r>
      <w:r w:rsidRPr="00773EB3" w:rsidR="002E0D73">
        <w:t xml:space="preserve"> </w:t>
      </w:r>
      <w:r w:rsidR="00E604D3">
        <w:t>extension</w:t>
      </w:r>
      <w:r w:rsidRPr="00773EB3" w:rsidR="002E0D73">
        <w:t xml:space="preserve"> of a currently approved public information collection</w:t>
      </w:r>
      <w:r w:rsidR="002E0D73">
        <w:t xml:space="preserve">.  There has been </w:t>
      </w:r>
      <w:r w:rsidR="00E604D3">
        <w:t>no</w:t>
      </w:r>
      <w:r w:rsidR="002E0D73">
        <w:t xml:space="preserve"> change in burden estimates since the last time this collection was reviewed in </w:t>
      </w:r>
      <w:r w:rsidR="00701651">
        <w:t>2017</w:t>
      </w:r>
      <w:r w:rsidR="002E0D73">
        <w:t>.</w:t>
      </w:r>
      <w:r w:rsidR="00474361">
        <w:t xml:space="preserve"> </w:t>
      </w:r>
    </w:p>
    <w:p w:rsidRPr="0065399F" w:rsidR="00F96EF2" w:rsidP="0065399F" w:rsidRDefault="00351CB0">
      <w:pPr>
        <w:pStyle w:val="NormalWeb"/>
        <w:tabs>
          <w:tab w:val="left" w:pos="360"/>
          <w:tab w:val="left" w:pos="720"/>
          <w:tab w:val="left" w:pos="1080"/>
          <w:tab w:val="left" w:pos="1440"/>
        </w:tabs>
        <w:spacing w:line="288" w:lineRule="atLeast"/>
        <w:rPr>
          <w:highlight w:val="yellow"/>
        </w:rPr>
      </w:pPr>
      <w:r>
        <w:tab/>
      </w:r>
      <w:r w:rsidRPr="00E940FB" w:rsidR="005D4E86">
        <w:t xml:space="preserve">The </w:t>
      </w:r>
      <w:r w:rsidR="005D4E86">
        <w:t xml:space="preserve">cost per hour </w:t>
      </w:r>
      <w:r w:rsidRPr="00E940FB" w:rsidR="005D4E86">
        <w:t xml:space="preserve">for </w:t>
      </w:r>
      <w:r w:rsidR="00787741">
        <w:t>offeror</w:t>
      </w:r>
      <w:r w:rsidRPr="00E940FB" w:rsidR="00787741">
        <w:t xml:space="preserve"> </w:t>
      </w:r>
      <w:r w:rsidRPr="00E940FB" w:rsidR="005D4E86">
        <w:t xml:space="preserve">responses increased </w:t>
      </w:r>
      <w:r w:rsidR="005D4E86">
        <w:t>from $</w:t>
      </w:r>
      <w:r w:rsidR="00847F42">
        <w:t>3</w:t>
      </w:r>
      <w:r w:rsidR="00FB0357">
        <w:t>6</w:t>
      </w:r>
      <w:r w:rsidR="00847F42">
        <w:t xml:space="preserve"> </w:t>
      </w:r>
      <w:r w:rsidR="005D4E86">
        <w:t>to $</w:t>
      </w:r>
      <w:r w:rsidR="00FB0357">
        <w:t>39</w:t>
      </w:r>
      <w:r w:rsidR="005D4E86">
        <w:t xml:space="preserve"> per hour </w:t>
      </w:r>
      <w:r w:rsidRPr="00E940FB" w:rsidR="005D4E86">
        <w:t>because</w:t>
      </w:r>
      <w:r w:rsidR="0040720D">
        <w:t xml:space="preserve"> </w:t>
      </w:r>
      <w:r w:rsidRPr="00E940FB" w:rsidR="005D4E86">
        <w:t xml:space="preserve">OPM increased the GS hourly wage for </w:t>
      </w:r>
      <w:r w:rsidR="005D4E86">
        <w:t xml:space="preserve">a </w:t>
      </w:r>
      <w:r w:rsidR="00847F42">
        <w:t>GS-9, step 5 employee since 201</w:t>
      </w:r>
      <w:r w:rsidR="00FB0357">
        <w:t>7</w:t>
      </w:r>
      <w:r w:rsidR="00847F42">
        <w:t>.</w:t>
      </w:r>
    </w:p>
    <w:p w:rsidRPr="00D141EB" w:rsidR="00917705" w:rsidP="00917705" w:rsidRDefault="00917705">
      <w:pPr>
        <w:pStyle w:val="NormalWeb"/>
        <w:tabs>
          <w:tab w:val="left" w:pos="360"/>
          <w:tab w:val="left" w:pos="720"/>
          <w:tab w:val="left" w:pos="1080"/>
          <w:tab w:val="left" w:pos="1440"/>
        </w:tabs>
        <w:spacing w:line="288" w:lineRule="atLeast"/>
        <w:rPr>
          <w:u w:val="single"/>
        </w:rPr>
      </w:pPr>
      <w:r>
        <w:tab/>
        <w:t>16.</w:t>
      </w:r>
      <w:r w:rsidR="00F87D54">
        <w:t xml:space="preserve"> </w:t>
      </w:r>
      <w:r>
        <w:t xml:space="preserve"> </w:t>
      </w:r>
      <w:r>
        <w:rPr>
          <w:u w:val="single"/>
        </w:rPr>
        <w:t>Publication of Results</w:t>
      </w:r>
    </w:p>
    <w:p w:rsidR="00917705" w:rsidP="00917705" w:rsidRDefault="00917705">
      <w:pPr>
        <w:pStyle w:val="NormalWeb"/>
        <w:tabs>
          <w:tab w:val="left" w:pos="360"/>
          <w:tab w:val="left" w:pos="720"/>
          <w:tab w:val="left" w:pos="1080"/>
          <w:tab w:val="left" w:pos="1440"/>
        </w:tabs>
        <w:spacing w:line="288" w:lineRule="atLeast"/>
      </w:pPr>
      <w:r>
        <w:tab/>
      </w:r>
      <w:r>
        <w:tab/>
      </w:r>
      <w:r w:rsidRPr="00936232">
        <w:t>Results of this collection will not be published.</w:t>
      </w:r>
    </w:p>
    <w:p w:rsidR="00917705" w:rsidP="00917705" w:rsidRDefault="00917705">
      <w:pPr>
        <w:pStyle w:val="NormalWeb"/>
        <w:tabs>
          <w:tab w:val="left" w:pos="360"/>
          <w:tab w:val="left" w:pos="720"/>
          <w:tab w:val="left" w:pos="1080"/>
          <w:tab w:val="left" w:pos="1440"/>
        </w:tabs>
        <w:spacing w:line="288" w:lineRule="atLeast"/>
      </w:pPr>
      <w:r>
        <w:tab/>
        <w:t>17.</w:t>
      </w:r>
      <w:r w:rsidR="00F87D54">
        <w:t xml:space="preserve"> </w:t>
      </w:r>
      <w:r>
        <w:t xml:space="preserve"> </w:t>
      </w:r>
      <w:r>
        <w:rPr>
          <w:u w:val="single"/>
        </w:rPr>
        <w:t>Non-Display of OMB Expiration Date</w:t>
      </w:r>
    </w:p>
    <w:p w:rsidRPr="003C0A74" w:rsidR="00F96EF2" w:rsidP="009C05B4" w:rsidRDefault="00917705">
      <w:pPr>
        <w:pStyle w:val="NormalWeb"/>
        <w:tabs>
          <w:tab w:val="left" w:pos="360"/>
          <w:tab w:val="left" w:pos="720"/>
          <w:tab w:val="left" w:pos="1080"/>
          <w:tab w:val="left" w:pos="1440"/>
        </w:tabs>
        <w:spacing w:line="288" w:lineRule="atLeast"/>
      </w:pPr>
      <w:r>
        <w:tab/>
      </w:r>
      <w:r>
        <w:tab/>
        <w:t>DoD does not</w:t>
      </w:r>
      <w:r w:rsidRPr="00936232">
        <w:t xml:space="preserve"> seek approval to not display the expiration dates for OMB approval of the information collection.</w:t>
      </w:r>
    </w:p>
    <w:p w:rsidR="00917705" w:rsidP="00917705" w:rsidRDefault="00917705">
      <w:pPr>
        <w:pStyle w:val="NormalWeb"/>
        <w:tabs>
          <w:tab w:val="left" w:pos="360"/>
          <w:tab w:val="left" w:pos="720"/>
          <w:tab w:val="left" w:pos="1080"/>
          <w:tab w:val="left" w:pos="1440"/>
        </w:tabs>
        <w:spacing w:line="288" w:lineRule="atLeast"/>
      </w:pPr>
      <w:r>
        <w:tab/>
        <w:t>18.</w:t>
      </w:r>
      <w:r w:rsidR="00F87D54">
        <w:t xml:space="preserve"> </w:t>
      </w:r>
      <w:r>
        <w:t xml:space="preserve"> </w:t>
      </w:r>
      <w:r>
        <w:rPr>
          <w:u w:val="single"/>
        </w:rPr>
        <w:t xml:space="preserve">Exceptions to </w:t>
      </w:r>
      <w:r w:rsidR="00787741">
        <w:rPr>
          <w:u w:val="single"/>
        </w:rPr>
        <w:t>“</w:t>
      </w:r>
      <w:r>
        <w:rPr>
          <w:u w:val="single"/>
        </w:rPr>
        <w:t>Certification for Paperwork Reduction Submissions</w:t>
      </w:r>
      <w:r w:rsidR="00787741">
        <w:rPr>
          <w:u w:val="single"/>
        </w:rPr>
        <w:t>”</w:t>
      </w:r>
    </w:p>
    <w:p w:rsidR="00F96EF2" w:rsidP="00351CB0" w:rsidRDefault="00917705">
      <w:pPr>
        <w:pStyle w:val="NormalWeb"/>
        <w:tabs>
          <w:tab w:val="left" w:pos="360"/>
          <w:tab w:val="left" w:pos="720"/>
          <w:tab w:val="left" w:pos="1080"/>
          <w:tab w:val="left" w:pos="1440"/>
        </w:tabs>
        <w:spacing w:line="288" w:lineRule="atLeast"/>
      </w:pPr>
      <w:bookmarkStart w:name="cp474" w:id="8"/>
      <w:r>
        <w:tab/>
      </w:r>
      <w:r>
        <w:tab/>
      </w:r>
      <w:bookmarkEnd w:id="8"/>
      <w:r w:rsidRPr="00936232">
        <w:t>There are no exceptions to the certification accompanying this Paperwork Reduction Act submission.</w:t>
      </w:r>
    </w:p>
    <w:p w:rsidRPr="00111581" w:rsidR="00C3527E" w:rsidP="00C3527E" w:rsidRDefault="00C3527E">
      <w:pPr>
        <w:pStyle w:val="NormalWeb"/>
        <w:tabs>
          <w:tab w:val="left" w:pos="360"/>
          <w:tab w:val="left" w:pos="720"/>
          <w:tab w:val="left" w:pos="1080"/>
          <w:tab w:val="left" w:pos="1440"/>
        </w:tabs>
        <w:spacing w:line="288" w:lineRule="atLeast"/>
      </w:pPr>
      <w:r w:rsidRPr="00111581">
        <w:rPr>
          <w:rFonts w:cs="Courier New"/>
        </w:rPr>
        <w:t xml:space="preserve">B.  </w:t>
      </w:r>
      <w:r w:rsidRPr="00111581">
        <w:rPr>
          <w:rFonts w:cs="Courier New"/>
          <w:u w:val="single"/>
        </w:rPr>
        <w:t>COLLECTION OF INFORMATION EMPLOYING STATISTICAL METHODS</w:t>
      </w:r>
    </w:p>
    <w:p w:rsidRPr="00370D20" w:rsidR="00C3527E" w:rsidP="008A6A56" w:rsidRDefault="00C3527E">
      <w:pPr>
        <w:tabs>
          <w:tab w:val="left" w:pos="360"/>
        </w:tabs>
        <w:spacing w:before="100" w:beforeAutospacing="1" w:after="100" w:afterAutospacing="1"/>
        <w:rPr>
          <w:rFonts w:cs="Courier New"/>
        </w:rPr>
      </w:pPr>
      <w:r w:rsidRPr="00111581">
        <w:rPr>
          <w:rFonts w:cs="Courier New"/>
        </w:rPr>
        <w:tab/>
        <w:t>Statistical methods will not be employed.</w:t>
      </w:r>
    </w:p>
    <w:p w:rsidR="00C3527E" w:rsidP="00351CB0" w:rsidRDefault="00C3527E">
      <w:pPr>
        <w:pStyle w:val="NormalWeb"/>
        <w:tabs>
          <w:tab w:val="left" w:pos="360"/>
          <w:tab w:val="left" w:pos="720"/>
          <w:tab w:val="left" w:pos="1080"/>
          <w:tab w:val="left" w:pos="1440"/>
        </w:tabs>
        <w:spacing w:line="288" w:lineRule="atLeast"/>
      </w:pPr>
    </w:p>
    <w:sectPr w:rsidR="00C3527E" w:rsidSect="00F96EF2">
      <w:footerReference w:type="default" r:id="rId10"/>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673" w:rsidRDefault="00F02673">
      <w:r>
        <w:separator/>
      </w:r>
    </w:p>
  </w:endnote>
  <w:endnote w:type="continuationSeparator" w:id="0">
    <w:p w:rsidR="00F02673" w:rsidRDefault="00F0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E10" w:rsidRDefault="00EB7E10">
    <w:pPr>
      <w:pStyle w:val="Footer"/>
      <w:jc w:val="center"/>
    </w:pPr>
    <w:r>
      <w:t xml:space="preserve">Page </w:t>
    </w:r>
    <w:r>
      <w:rPr>
        <w:b/>
        <w:bCs/>
      </w:rPr>
      <w:fldChar w:fldCharType="begin"/>
    </w:r>
    <w:r>
      <w:rPr>
        <w:b/>
        <w:bCs/>
      </w:rPr>
      <w:instrText xml:space="preserve"> PAGE </w:instrText>
    </w:r>
    <w:r>
      <w:rPr>
        <w:b/>
        <w:bCs/>
      </w:rPr>
      <w:fldChar w:fldCharType="separate"/>
    </w:r>
    <w:r w:rsidR="002F22AA">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2F22AA">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673" w:rsidRDefault="00F02673">
      <w:r>
        <w:separator/>
      </w:r>
    </w:p>
  </w:footnote>
  <w:footnote w:type="continuationSeparator" w:id="0">
    <w:p w:rsidR="00F02673" w:rsidRDefault="00F02673">
      <w:r>
        <w:continuationSeparator/>
      </w:r>
    </w:p>
  </w:footnote>
  <w:footnote w:id="1">
    <w:p w:rsidR="00774D38" w:rsidRPr="0040720D" w:rsidRDefault="00774D38" w:rsidP="0040720D">
      <w:pPr>
        <w:pStyle w:val="ListParagraph"/>
        <w:ind w:left="0"/>
        <w:rPr>
          <w:rFonts w:ascii="Times New Roman" w:hAnsi="Times New Roman"/>
          <w:sz w:val="20"/>
          <w:szCs w:val="20"/>
          <w:u w:val="single"/>
        </w:rPr>
      </w:pPr>
      <w:r w:rsidRPr="0040720D">
        <w:rPr>
          <w:rStyle w:val="FootnoteReference"/>
          <w:rFonts w:ascii="Times New Roman" w:hAnsi="Times New Roman"/>
          <w:sz w:val="20"/>
          <w:szCs w:val="20"/>
        </w:rPr>
        <w:footnoteRef/>
      </w:r>
      <w:r w:rsidRPr="0040720D">
        <w:rPr>
          <w:rFonts w:ascii="Times New Roman" w:hAnsi="Times New Roman"/>
          <w:sz w:val="20"/>
          <w:szCs w:val="20"/>
        </w:rPr>
        <w:t xml:space="preserve"> </w:t>
      </w:r>
      <w:r w:rsidR="00701651" w:rsidRPr="00701651">
        <w:rPr>
          <w:rFonts w:ascii="Times New Roman" w:hAnsi="Times New Roman"/>
          <w:sz w:val="20"/>
          <w:szCs w:val="20"/>
        </w:rPr>
        <w:t>Based on the 2020 salary table for GS-9/step 5 salary ($28.73 an hour for base salary and locality pay) from the OPM General Schedule for Rest of the United States, plus fringe (36.25%) , equals an hourly rate of $39.14, rounded to the nearest dollar, or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3289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000000CC">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3F6E1C"/>
    <w:multiLevelType w:val="hybridMultilevel"/>
    <w:tmpl w:val="E66A159E"/>
    <w:lvl w:ilvl="0" w:tplc="13A061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1F3844"/>
    <w:multiLevelType w:val="hybridMultilevel"/>
    <w:tmpl w:val="1C6A7E9C"/>
    <w:lvl w:ilvl="0" w:tplc="16B8F4E2">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DF947CE"/>
    <w:multiLevelType w:val="hybridMultilevel"/>
    <w:tmpl w:val="E36E7624"/>
    <w:lvl w:ilvl="0" w:tplc="618EE536">
      <w:start w:val="1"/>
      <w:numFmt w:val="decimal"/>
      <w:lvlText w:val="(%1)"/>
      <w:lvlJc w:val="left"/>
      <w:pPr>
        <w:ind w:left="2740" w:hanging="16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3813D6"/>
    <w:multiLevelType w:val="hybridMultilevel"/>
    <w:tmpl w:val="7666BD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2C3053D"/>
    <w:multiLevelType w:val="hybridMultilevel"/>
    <w:tmpl w:val="CB2857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7D59AD"/>
    <w:multiLevelType w:val="hybridMultilevel"/>
    <w:tmpl w:val="9774DC14"/>
    <w:lvl w:ilvl="0" w:tplc="AEEC265A">
      <w:start w:val="1"/>
      <w:numFmt w:val="upp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9EB04CB"/>
    <w:multiLevelType w:val="multilevel"/>
    <w:tmpl w:val="54AEFAF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D22D92"/>
    <w:multiLevelType w:val="hybridMultilevel"/>
    <w:tmpl w:val="6074BC38"/>
    <w:lvl w:ilvl="0" w:tplc="F6967770">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E2B10ED"/>
    <w:multiLevelType w:val="hybridMultilevel"/>
    <w:tmpl w:val="288CF9A2"/>
    <w:lvl w:ilvl="0" w:tplc="635C4CFE">
      <w:start w:val="1"/>
      <w:numFmt w:val="decimal"/>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2110D6"/>
    <w:multiLevelType w:val="hybridMultilevel"/>
    <w:tmpl w:val="5F42E978"/>
    <w:lvl w:ilvl="0" w:tplc="27D0AF5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BD03F14"/>
    <w:multiLevelType w:val="hybridMultilevel"/>
    <w:tmpl w:val="54AEFAF6"/>
    <w:lvl w:ilvl="0" w:tplc="649E778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F52B85"/>
    <w:multiLevelType w:val="hybridMultilevel"/>
    <w:tmpl w:val="166454B2"/>
    <w:lvl w:ilvl="0" w:tplc="D6F407F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42A136C"/>
    <w:multiLevelType w:val="hybridMultilevel"/>
    <w:tmpl w:val="86586E24"/>
    <w:lvl w:ilvl="0" w:tplc="142AF04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2E6EF0"/>
    <w:multiLevelType w:val="hybridMultilevel"/>
    <w:tmpl w:val="BE7AC60E"/>
    <w:lvl w:ilvl="0" w:tplc="6A8E4A4C">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2D17F5F"/>
    <w:multiLevelType w:val="hybridMultilevel"/>
    <w:tmpl w:val="570CF78C"/>
    <w:lvl w:ilvl="0" w:tplc="96B88FE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BC51063"/>
    <w:multiLevelType w:val="hybridMultilevel"/>
    <w:tmpl w:val="20662B5E"/>
    <w:lvl w:ilvl="0" w:tplc="06B4A9F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C202FB3"/>
    <w:multiLevelType w:val="hybridMultilevel"/>
    <w:tmpl w:val="FDE00310"/>
    <w:lvl w:ilvl="0" w:tplc="2F2898B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5"/>
  </w:num>
  <w:num w:numId="3">
    <w:abstractNumId w:val="13"/>
  </w:num>
  <w:num w:numId="4">
    <w:abstractNumId w:val="12"/>
  </w:num>
  <w:num w:numId="5">
    <w:abstractNumId w:val="0"/>
  </w:num>
  <w:num w:numId="6">
    <w:abstractNumId w:val="1"/>
  </w:num>
  <w:num w:numId="7">
    <w:abstractNumId w:val="2"/>
  </w:num>
  <w:num w:numId="8">
    <w:abstractNumId w:val="3"/>
  </w:num>
  <w:num w:numId="9">
    <w:abstractNumId w:val="23"/>
  </w:num>
  <w:num w:numId="10">
    <w:abstractNumId w:val="25"/>
  </w:num>
  <w:num w:numId="11">
    <w:abstractNumId w:val="16"/>
  </w:num>
  <w:num w:numId="12">
    <w:abstractNumId w:val="20"/>
  </w:num>
  <w:num w:numId="13">
    <w:abstractNumId w:val="17"/>
  </w:num>
  <w:num w:numId="14">
    <w:abstractNumId w:val="22"/>
  </w:num>
  <w:num w:numId="15">
    <w:abstractNumId w:val="11"/>
  </w:num>
  <w:num w:numId="16">
    <w:abstractNumId w:val="10"/>
  </w:num>
  <w:num w:numId="17">
    <w:abstractNumId w:val="14"/>
  </w:num>
  <w:num w:numId="18">
    <w:abstractNumId w:val="24"/>
  </w:num>
  <w:num w:numId="19">
    <w:abstractNumId w:val="18"/>
  </w:num>
  <w:num w:numId="20">
    <w:abstractNumId w:val="21"/>
  </w:num>
  <w:num w:numId="21">
    <w:abstractNumId w:val="4"/>
  </w:num>
  <w:num w:numId="22">
    <w:abstractNumId w:val="5"/>
  </w:num>
  <w:num w:numId="23">
    <w:abstractNumId w:val="6"/>
  </w:num>
  <w:num w:numId="24">
    <w:abstractNumId w:val="7"/>
  </w:num>
  <w:num w:numId="25">
    <w:abstractNumId w:val="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CC"/>
    <w:rsid w:val="00041550"/>
    <w:rsid w:val="00041C18"/>
    <w:rsid w:val="00042CCC"/>
    <w:rsid w:val="000638FB"/>
    <w:rsid w:val="00102F27"/>
    <w:rsid w:val="00104A38"/>
    <w:rsid w:val="001055E1"/>
    <w:rsid w:val="00114E8D"/>
    <w:rsid w:val="0014244D"/>
    <w:rsid w:val="001446B6"/>
    <w:rsid w:val="001A5495"/>
    <w:rsid w:val="001E0129"/>
    <w:rsid w:val="00201783"/>
    <w:rsid w:val="00207E10"/>
    <w:rsid w:val="002104EA"/>
    <w:rsid w:val="002506DD"/>
    <w:rsid w:val="00264854"/>
    <w:rsid w:val="00283C06"/>
    <w:rsid w:val="002B1EB0"/>
    <w:rsid w:val="002B4AC6"/>
    <w:rsid w:val="002B5559"/>
    <w:rsid w:val="002C2A4E"/>
    <w:rsid w:val="002C6138"/>
    <w:rsid w:val="002E0D73"/>
    <w:rsid w:val="002E3A8E"/>
    <w:rsid w:val="002F22AA"/>
    <w:rsid w:val="00336738"/>
    <w:rsid w:val="00336CF6"/>
    <w:rsid w:val="00351CB0"/>
    <w:rsid w:val="003C0A74"/>
    <w:rsid w:val="003D7B44"/>
    <w:rsid w:val="003E25A9"/>
    <w:rsid w:val="00405435"/>
    <w:rsid w:val="0040720D"/>
    <w:rsid w:val="00412E72"/>
    <w:rsid w:val="004253F1"/>
    <w:rsid w:val="00453A49"/>
    <w:rsid w:val="00474361"/>
    <w:rsid w:val="004A43CF"/>
    <w:rsid w:val="004B0EA2"/>
    <w:rsid w:val="004C3217"/>
    <w:rsid w:val="004C5EB8"/>
    <w:rsid w:val="004E4B27"/>
    <w:rsid w:val="00502FC6"/>
    <w:rsid w:val="0051069B"/>
    <w:rsid w:val="00555017"/>
    <w:rsid w:val="005A4AC3"/>
    <w:rsid w:val="005A5000"/>
    <w:rsid w:val="005A6C2B"/>
    <w:rsid w:val="005B5993"/>
    <w:rsid w:val="005C14C6"/>
    <w:rsid w:val="005D4884"/>
    <w:rsid w:val="005D4E86"/>
    <w:rsid w:val="005D5837"/>
    <w:rsid w:val="005E7BD6"/>
    <w:rsid w:val="006233CD"/>
    <w:rsid w:val="0063114F"/>
    <w:rsid w:val="0065399F"/>
    <w:rsid w:val="006574CB"/>
    <w:rsid w:val="006624FD"/>
    <w:rsid w:val="006704CB"/>
    <w:rsid w:val="006E5128"/>
    <w:rsid w:val="00701651"/>
    <w:rsid w:val="0070705D"/>
    <w:rsid w:val="00726BE6"/>
    <w:rsid w:val="00760ED2"/>
    <w:rsid w:val="00774D38"/>
    <w:rsid w:val="00781771"/>
    <w:rsid w:val="00787741"/>
    <w:rsid w:val="007E34C4"/>
    <w:rsid w:val="007F3523"/>
    <w:rsid w:val="00826869"/>
    <w:rsid w:val="00847F42"/>
    <w:rsid w:val="008A2C39"/>
    <w:rsid w:val="008A6A56"/>
    <w:rsid w:val="008C5751"/>
    <w:rsid w:val="008D7AA3"/>
    <w:rsid w:val="00901625"/>
    <w:rsid w:val="00910C8C"/>
    <w:rsid w:val="00917705"/>
    <w:rsid w:val="00935D1A"/>
    <w:rsid w:val="00935E63"/>
    <w:rsid w:val="009462EB"/>
    <w:rsid w:val="00982E5F"/>
    <w:rsid w:val="009A53A2"/>
    <w:rsid w:val="009C05B4"/>
    <w:rsid w:val="009F32FF"/>
    <w:rsid w:val="009F4947"/>
    <w:rsid w:val="00A01B3E"/>
    <w:rsid w:val="00A20EE8"/>
    <w:rsid w:val="00A21DAD"/>
    <w:rsid w:val="00A26F1F"/>
    <w:rsid w:val="00A33454"/>
    <w:rsid w:val="00A404ED"/>
    <w:rsid w:val="00A52D50"/>
    <w:rsid w:val="00A62CBA"/>
    <w:rsid w:val="00A853BC"/>
    <w:rsid w:val="00A940A3"/>
    <w:rsid w:val="00A94362"/>
    <w:rsid w:val="00AF4E17"/>
    <w:rsid w:val="00B24609"/>
    <w:rsid w:val="00B36301"/>
    <w:rsid w:val="00B3633E"/>
    <w:rsid w:val="00B4000E"/>
    <w:rsid w:val="00B47CAD"/>
    <w:rsid w:val="00B53355"/>
    <w:rsid w:val="00BB0D99"/>
    <w:rsid w:val="00BC2CD5"/>
    <w:rsid w:val="00BC6B55"/>
    <w:rsid w:val="00C06A4C"/>
    <w:rsid w:val="00C3527E"/>
    <w:rsid w:val="00C51194"/>
    <w:rsid w:val="00CB098C"/>
    <w:rsid w:val="00D0278C"/>
    <w:rsid w:val="00D06D1D"/>
    <w:rsid w:val="00DB497B"/>
    <w:rsid w:val="00DC430B"/>
    <w:rsid w:val="00DD11B4"/>
    <w:rsid w:val="00DF1FAE"/>
    <w:rsid w:val="00E0247D"/>
    <w:rsid w:val="00E066C3"/>
    <w:rsid w:val="00E1397D"/>
    <w:rsid w:val="00E414FD"/>
    <w:rsid w:val="00E604D3"/>
    <w:rsid w:val="00E6233C"/>
    <w:rsid w:val="00E80453"/>
    <w:rsid w:val="00EB7E10"/>
    <w:rsid w:val="00ED44C4"/>
    <w:rsid w:val="00EF422C"/>
    <w:rsid w:val="00F02673"/>
    <w:rsid w:val="00F13F8E"/>
    <w:rsid w:val="00F368E2"/>
    <w:rsid w:val="00F709A6"/>
    <w:rsid w:val="00F8411D"/>
    <w:rsid w:val="00F87D54"/>
    <w:rsid w:val="00F96EF2"/>
    <w:rsid w:val="00FB0357"/>
    <w:rsid w:val="00FC7272"/>
    <w:rsid w:val="00FC72E3"/>
    <w:rsid w:val="00FD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0DE72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paragraph" w:styleId="FootnoteText">
    <w:name w:val="footnote text"/>
    <w:basedOn w:val="Normal"/>
    <w:link w:val="FootnoteTextChar"/>
    <w:unhideWhenUsed/>
    <w:rsid w:val="00B36301"/>
    <w:pPr>
      <w:widowControl/>
      <w:autoSpaceDE/>
      <w:autoSpaceDN/>
      <w:adjustRightInd/>
    </w:pPr>
    <w:rPr>
      <w:sz w:val="20"/>
      <w:szCs w:val="20"/>
    </w:rPr>
  </w:style>
  <w:style w:type="character" w:customStyle="1" w:styleId="FootnoteTextChar">
    <w:name w:val="Footnote Text Char"/>
    <w:basedOn w:val="DefaultParagraphFont"/>
    <w:link w:val="FootnoteText"/>
    <w:rsid w:val="00B36301"/>
  </w:style>
  <w:style w:type="character" w:styleId="FootnoteReference">
    <w:name w:val="footnote reference"/>
    <w:unhideWhenUsed/>
    <w:rsid w:val="00B36301"/>
    <w:rPr>
      <w:vertAlign w:val="superscript"/>
    </w:rPr>
  </w:style>
  <w:style w:type="paragraph" w:styleId="ListParagraph">
    <w:name w:val="List Paragraph"/>
    <w:basedOn w:val="Normal"/>
    <w:uiPriority w:val="34"/>
    <w:qFormat/>
    <w:rsid w:val="0040720D"/>
    <w:pPr>
      <w:widowControl/>
      <w:autoSpaceDE/>
      <w:autoSpaceDN/>
      <w:adjustRightInd/>
      <w:spacing w:after="160" w:line="259" w:lineRule="auto"/>
      <w:ind w:left="720"/>
      <w:contextualSpacing/>
    </w:pPr>
    <w:rPr>
      <w:rFonts w:ascii="Calibri" w:eastAsia="Calibri" w:hAnsi="Calibri"/>
      <w:sz w:val="22"/>
      <w:szCs w:val="22"/>
    </w:rPr>
  </w:style>
  <w:style w:type="character" w:styleId="FollowedHyperlink">
    <w:name w:val="FollowedHyperlink"/>
    <w:rsid w:val="0040720D"/>
    <w:rPr>
      <w:color w:val="954F72"/>
      <w:u w:val="single"/>
    </w:rPr>
  </w:style>
  <w:style w:type="character" w:customStyle="1" w:styleId="FooterChar">
    <w:name w:val="Footer Char"/>
    <w:link w:val="Footer"/>
    <w:uiPriority w:val="99"/>
    <w:rsid w:val="00EB7E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010">
      <w:bodyDiv w:val="1"/>
      <w:marLeft w:val="0"/>
      <w:marRight w:val="0"/>
      <w:marTop w:val="0"/>
      <w:marBottom w:val="0"/>
      <w:divBdr>
        <w:top w:val="none" w:sz="0" w:space="0" w:color="auto"/>
        <w:left w:val="none" w:sz="0" w:space="0" w:color="auto"/>
        <w:bottom w:val="none" w:sz="0" w:space="0" w:color="auto"/>
        <w:right w:val="none" w:sz="0" w:space="0" w:color="auto"/>
      </w:divBdr>
    </w:div>
    <w:div w:id="116803231">
      <w:bodyDiv w:val="1"/>
      <w:marLeft w:val="0"/>
      <w:marRight w:val="0"/>
      <w:marTop w:val="0"/>
      <w:marBottom w:val="0"/>
      <w:divBdr>
        <w:top w:val="none" w:sz="0" w:space="0" w:color="auto"/>
        <w:left w:val="none" w:sz="0" w:space="0" w:color="auto"/>
        <w:bottom w:val="none" w:sz="0" w:space="0" w:color="auto"/>
        <w:right w:val="none" w:sz="0" w:space="0" w:color="auto"/>
      </w:divBdr>
    </w:div>
    <w:div w:id="239683302">
      <w:bodyDiv w:val="1"/>
      <w:marLeft w:val="0"/>
      <w:marRight w:val="0"/>
      <w:marTop w:val="0"/>
      <w:marBottom w:val="0"/>
      <w:divBdr>
        <w:top w:val="none" w:sz="0" w:space="0" w:color="auto"/>
        <w:left w:val="none" w:sz="0" w:space="0" w:color="auto"/>
        <w:bottom w:val="none" w:sz="0" w:space="0" w:color="auto"/>
        <w:right w:val="none" w:sz="0" w:space="0" w:color="auto"/>
      </w:divBdr>
    </w:div>
    <w:div w:id="560869041">
      <w:bodyDiv w:val="1"/>
      <w:marLeft w:val="0"/>
      <w:marRight w:val="0"/>
      <w:marTop w:val="0"/>
      <w:marBottom w:val="0"/>
      <w:divBdr>
        <w:top w:val="none" w:sz="0" w:space="0" w:color="auto"/>
        <w:left w:val="none" w:sz="0" w:space="0" w:color="auto"/>
        <w:bottom w:val="none" w:sz="0" w:space="0" w:color="auto"/>
        <w:right w:val="none" w:sz="0" w:space="0" w:color="auto"/>
      </w:divBdr>
    </w:div>
    <w:div w:id="681400676">
      <w:bodyDiv w:val="1"/>
      <w:marLeft w:val="0"/>
      <w:marRight w:val="0"/>
      <w:marTop w:val="0"/>
      <w:marBottom w:val="0"/>
      <w:divBdr>
        <w:top w:val="none" w:sz="0" w:space="0" w:color="auto"/>
        <w:left w:val="none" w:sz="0" w:space="0" w:color="auto"/>
        <w:bottom w:val="none" w:sz="0" w:space="0" w:color="auto"/>
        <w:right w:val="none" w:sz="0" w:space="0" w:color="auto"/>
      </w:divBdr>
    </w:div>
    <w:div w:id="984512500">
      <w:bodyDiv w:val="1"/>
      <w:marLeft w:val="0"/>
      <w:marRight w:val="0"/>
      <w:marTop w:val="0"/>
      <w:marBottom w:val="0"/>
      <w:divBdr>
        <w:top w:val="none" w:sz="0" w:space="0" w:color="auto"/>
        <w:left w:val="none" w:sz="0" w:space="0" w:color="auto"/>
        <w:bottom w:val="none" w:sz="0" w:space="0" w:color="auto"/>
        <w:right w:val="none" w:sz="0" w:space="0" w:color="auto"/>
      </w:divBdr>
    </w:div>
    <w:div w:id="1105885520">
      <w:bodyDiv w:val="1"/>
      <w:marLeft w:val="0"/>
      <w:marRight w:val="0"/>
      <w:marTop w:val="0"/>
      <w:marBottom w:val="0"/>
      <w:divBdr>
        <w:top w:val="none" w:sz="0" w:space="0" w:color="auto"/>
        <w:left w:val="none" w:sz="0" w:space="0" w:color="auto"/>
        <w:bottom w:val="none" w:sz="0" w:space="0" w:color="auto"/>
        <w:right w:val="none" w:sz="0" w:space="0" w:color="auto"/>
      </w:divBdr>
    </w:div>
    <w:div w:id="1251768717">
      <w:bodyDiv w:val="1"/>
      <w:marLeft w:val="0"/>
      <w:marRight w:val="0"/>
      <w:marTop w:val="0"/>
      <w:marBottom w:val="0"/>
      <w:divBdr>
        <w:top w:val="none" w:sz="0" w:space="0" w:color="auto"/>
        <w:left w:val="none" w:sz="0" w:space="0" w:color="auto"/>
        <w:bottom w:val="none" w:sz="0" w:space="0" w:color="auto"/>
        <w:right w:val="none" w:sz="0" w:space="0" w:color="auto"/>
      </w:divBdr>
    </w:div>
    <w:div w:id="155728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0-09-10/pdf/2020-1998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info.gov/content/pkg/FR-2020-11-20/pdf/2020-257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5558-BB4F-4EE9-A39D-4969C8BB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2020-11-17T17:58:00Z</dcterms:created>
  <dcterms:modified xsi:type="dcterms:W3CDTF">2020-11-20T15:53:00Z</dcterms:modified>
</cp:coreProperties>
</file>