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BBB" w:rsidP="009A79E1" w:rsidRDefault="00304BBB" w14:paraId="55FE1770" w14:textId="77777777">
      <w:bookmarkStart w:name="_Toc473880015" w:id="0"/>
    </w:p>
    <w:p w:rsidR="00304BBB" w:rsidP="009A79E1" w:rsidRDefault="00304BBB" w14:paraId="55FE1771" w14:textId="77777777"/>
    <w:bookmarkEnd w:id="0"/>
    <w:p w:rsidRPr="004A13E8" w:rsidR="004A13E8" w:rsidP="004A13E8" w:rsidRDefault="00605E54" w14:paraId="55FE1772" w14:textId="613DDF1C">
      <w:pPr>
        <w:pStyle w:val="Heading2"/>
      </w:pPr>
      <w:r>
        <w:t>Enterprise Laboratory Information Management System</w:t>
      </w:r>
    </w:p>
    <w:p w:rsidR="004A13E8" w:rsidP="004A13E8" w:rsidRDefault="004A13E8" w14:paraId="55FE1773" w14:textId="77777777">
      <w:pPr>
        <w:spacing w:after="0" w:line="240" w:lineRule="auto"/>
        <w:jc w:val="center"/>
        <w:rPr>
          <w:b/>
        </w:rPr>
      </w:pPr>
    </w:p>
    <w:p w:rsidRPr="004A13E8" w:rsidR="004A13E8" w:rsidP="004A13E8" w:rsidRDefault="004A13E8" w14:paraId="55FE1774" w14:textId="766E5D8D">
      <w:pPr>
        <w:pStyle w:val="Heading3"/>
      </w:pPr>
      <w:bookmarkStart w:name="_Toc473880016" w:id="1"/>
      <w:r w:rsidRPr="004A13E8">
        <w:t xml:space="preserve">Request for OMB approval of </w:t>
      </w:r>
      <w:bookmarkEnd w:id="1"/>
      <w:r w:rsidR="00DC74EE">
        <w:t xml:space="preserve">an Existing Collection in Use </w:t>
      </w:r>
      <w:r w:rsidR="00D952DF">
        <w:t>without</w:t>
      </w:r>
      <w:r w:rsidR="00605E54">
        <w:t xml:space="preserve"> an OMB Control Number</w:t>
      </w:r>
    </w:p>
    <w:p w:rsidR="004A13E8" w:rsidP="004A13E8" w:rsidRDefault="004A13E8" w14:paraId="55FE1775" w14:textId="77777777">
      <w:pPr>
        <w:spacing w:after="0" w:line="240" w:lineRule="auto"/>
        <w:jc w:val="center"/>
        <w:rPr>
          <w:b/>
        </w:rPr>
      </w:pPr>
    </w:p>
    <w:p w:rsidRPr="004A13E8" w:rsidR="004A13E8" w:rsidP="004A13E8" w:rsidRDefault="00AE6424" w14:paraId="55FE1776" w14:textId="702143D1">
      <w:pPr>
        <w:pStyle w:val="Heading4"/>
      </w:pPr>
      <w:r>
        <w:t>06/0</w:t>
      </w:r>
      <w:r w:rsidR="000721F5">
        <w:t>4</w:t>
      </w:r>
      <w:r>
        <w:t>/2020</w:t>
      </w:r>
    </w:p>
    <w:p w:rsidR="004A13E8" w:rsidP="004A13E8" w:rsidRDefault="004A13E8" w14:paraId="55FE1777" w14:textId="77777777">
      <w:pPr>
        <w:spacing w:after="0" w:line="240" w:lineRule="auto"/>
        <w:jc w:val="center"/>
        <w:rPr>
          <w:b/>
        </w:rPr>
      </w:pPr>
    </w:p>
    <w:p w:rsidR="004A13E8" w:rsidP="009A79E1" w:rsidRDefault="004A13E8" w14:paraId="55FE1778" w14:textId="77777777"/>
    <w:p w:rsidR="004A13E8" w:rsidP="009A79E1" w:rsidRDefault="004A13E8" w14:paraId="55FE1779" w14:textId="77777777"/>
    <w:p w:rsidR="004A13E8" w:rsidP="009A79E1" w:rsidRDefault="004A13E8" w14:paraId="55FE177A" w14:textId="77777777"/>
    <w:p w:rsidR="004A13E8" w:rsidP="004A13E8" w:rsidRDefault="004A13E8" w14:paraId="55FE177E" w14:textId="77777777">
      <w:pPr>
        <w:spacing w:after="0" w:line="240" w:lineRule="auto"/>
        <w:jc w:val="center"/>
        <w:rPr>
          <w:b/>
        </w:rPr>
      </w:pPr>
    </w:p>
    <w:p w:rsidR="004A13E8" w:rsidP="004A13E8" w:rsidRDefault="004A13E8" w14:paraId="55FE177F" w14:textId="77777777">
      <w:pPr>
        <w:pStyle w:val="Heading4"/>
      </w:pPr>
      <w:r>
        <w:t xml:space="preserve">Supporting </w:t>
      </w:r>
      <w:proofErr w:type="gramStart"/>
      <w:r>
        <w:t>Statement</w:t>
      </w:r>
      <w:proofErr w:type="gramEnd"/>
      <w:r>
        <w:t xml:space="preserve"> A</w:t>
      </w:r>
    </w:p>
    <w:p w:rsidR="004A13E8" w:rsidP="004A13E8" w:rsidRDefault="004A13E8" w14:paraId="55FE1780" w14:textId="77777777">
      <w:pPr>
        <w:spacing w:after="0" w:line="240" w:lineRule="auto"/>
        <w:rPr>
          <w:b/>
        </w:rPr>
      </w:pPr>
    </w:p>
    <w:p w:rsidR="004A13E8" w:rsidP="004A13E8" w:rsidRDefault="004A13E8" w14:paraId="55FE1781" w14:textId="77777777">
      <w:pPr>
        <w:spacing w:after="0" w:line="240" w:lineRule="auto"/>
        <w:rPr>
          <w:b/>
        </w:rPr>
      </w:pPr>
    </w:p>
    <w:p w:rsidR="004A13E8" w:rsidP="004A13E8" w:rsidRDefault="004A13E8" w14:paraId="55FE1782" w14:textId="77777777">
      <w:pPr>
        <w:spacing w:after="0" w:line="240" w:lineRule="auto"/>
        <w:rPr>
          <w:b/>
        </w:rPr>
      </w:pPr>
    </w:p>
    <w:p w:rsidR="004A13E8" w:rsidP="004A13E8" w:rsidRDefault="004A13E8" w14:paraId="55FE1783" w14:textId="77777777">
      <w:pPr>
        <w:spacing w:after="0" w:line="240" w:lineRule="auto"/>
        <w:rPr>
          <w:b/>
        </w:rPr>
      </w:pPr>
    </w:p>
    <w:p w:rsidR="004A13E8" w:rsidP="004A13E8" w:rsidRDefault="004A13E8" w14:paraId="55FE1784" w14:textId="77777777">
      <w:pPr>
        <w:spacing w:after="0" w:line="240" w:lineRule="auto"/>
        <w:rPr>
          <w:b/>
        </w:rPr>
      </w:pPr>
    </w:p>
    <w:p w:rsidR="004A13E8" w:rsidP="004A13E8" w:rsidRDefault="004A13E8" w14:paraId="55FE1785" w14:textId="77777777">
      <w:pPr>
        <w:spacing w:after="0" w:line="240" w:lineRule="auto"/>
        <w:rPr>
          <w:b/>
        </w:rPr>
      </w:pPr>
    </w:p>
    <w:p w:rsidR="004A13E8" w:rsidP="004A13E8" w:rsidRDefault="004A13E8" w14:paraId="55FE1786" w14:textId="77777777">
      <w:pPr>
        <w:spacing w:after="0" w:line="240" w:lineRule="auto"/>
        <w:rPr>
          <w:b/>
        </w:rPr>
      </w:pPr>
    </w:p>
    <w:p w:rsidR="004A13E8" w:rsidP="004A13E8" w:rsidRDefault="004A13E8" w14:paraId="55FE1787" w14:textId="77777777">
      <w:pPr>
        <w:spacing w:after="0" w:line="240" w:lineRule="auto"/>
        <w:rPr>
          <w:b/>
        </w:rPr>
      </w:pPr>
    </w:p>
    <w:p w:rsidR="004A13E8" w:rsidP="004A13E8" w:rsidRDefault="004A13E8" w14:paraId="55FE1788" w14:textId="77777777">
      <w:pPr>
        <w:spacing w:after="0" w:line="240" w:lineRule="auto"/>
        <w:rPr>
          <w:b/>
        </w:rPr>
      </w:pPr>
    </w:p>
    <w:p w:rsidR="004A13E8" w:rsidP="004A13E8" w:rsidRDefault="004A13E8" w14:paraId="55FE1789" w14:textId="77777777">
      <w:pPr>
        <w:spacing w:after="0" w:line="240" w:lineRule="auto"/>
        <w:rPr>
          <w:b/>
        </w:rPr>
      </w:pPr>
    </w:p>
    <w:p w:rsidR="00304BBB" w:rsidP="004A13E8" w:rsidRDefault="00304BBB" w14:paraId="55FE178A" w14:textId="77777777">
      <w:pPr>
        <w:spacing w:after="0" w:line="240" w:lineRule="auto"/>
        <w:rPr>
          <w:b/>
        </w:rPr>
      </w:pPr>
    </w:p>
    <w:p w:rsidR="00446A7C" w:rsidP="004A13E8" w:rsidRDefault="00446A7C" w14:paraId="55FE178B" w14:textId="77777777">
      <w:pPr>
        <w:spacing w:after="0" w:line="240" w:lineRule="auto"/>
        <w:rPr>
          <w:b/>
        </w:rPr>
      </w:pPr>
    </w:p>
    <w:p w:rsidR="004A13E8" w:rsidP="004A13E8" w:rsidRDefault="004A13E8" w14:paraId="55FE178D" w14:textId="7C95F727">
      <w:pPr>
        <w:spacing w:after="0" w:line="240" w:lineRule="auto"/>
        <w:rPr>
          <w:b/>
        </w:rPr>
      </w:pPr>
    </w:p>
    <w:p w:rsidR="00F2743C" w:rsidP="004A13E8" w:rsidRDefault="00F2743C" w14:paraId="2037879C" w14:textId="0D5A29A4">
      <w:pPr>
        <w:spacing w:after="0" w:line="240" w:lineRule="auto"/>
        <w:rPr>
          <w:b/>
        </w:rPr>
      </w:pPr>
    </w:p>
    <w:p w:rsidR="00F2743C" w:rsidP="004A13E8" w:rsidRDefault="00F2743C" w14:paraId="56FC345F" w14:textId="2471F868">
      <w:pPr>
        <w:spacing w:after="0" w:line="240" w:lineRule="auto"/>
        <w:rPr>
          <w:b/>
        </w:rPr>
      </w:pPr>
    </w:p>
    <w:p w:rsidR="00F2743C" w:rsidP="004A13E8" w:rsidRDefault="00F2743C" w14:paraId="435363BB" w14:textId="7125CE61">
      <w:pPr>
        <w:spacing w:after="0" w:line="240" w:lineRule="auto"/>
        <w:rPr>
          <w:b/>
        </w:rPr>
      </w:pPr>
    </w:p>
    <w:p w:rsidR="00F2743C" w:rsidP="004A13E8" w:rsidRDefault="00F2743C" w14:paraId="526B4A16" w14:textId="790608BA">
      <w:pPr>
        <w:spacing w:after="0" w:line="240" w:lineRule="auto"/>
        <w:rPr>
          <w:b/>
        </w:rPr>
      </w:pPr>
    </w:p>
    <w:p w:rsidR="00F2743C" w:rsidP="004A13E8" w:rsidRDefault="00F2743C" w14:paraId="7789C67F" w14:textId="7B90EAF2">
      <w:pPr>
        <w:spacing w:after="0" w:line="240" w:lineRule="auto"/>
        <w:rPr>
          <w:b/>
        </w:rPr>
      </w:pPr>
    </w:p>
    <w:p w:rsidR="00F2743C" w:rsidP="004A13E8" w:rsidRDefault="00F2743C" w14:paraId="01924D04" w14:textId="77777777">
      <w:pPr>
        <w:spacing w:after="0" w:line="240" w:lineRule="auto"/>
        <w:rPr>
          <w:b/>
        </w:rPr>
      </w:pPr>
    </w:p>
    <w:p w:rsidR="004A13E8" w:rsidP="004A13E8" w:rsidRDefault="004A13E8" w14:paraId="55FE1792" w14:textId="77777777">
      <w:pPr>
        <w:spacing w:after="0" w:line="240" w:lineRule="auto"/>
        <w:rPr>
          <w:b/>
        </w:rPr>
      </w:pPr>
    </w:p>
    <w:p w:rsidRPr="009A79E1" w:rsidR="004A13E8" w:rsidP="009A79E1" w:rsidRDefault="004A13E8" w14:paraId="55FE1793" w14:textId="77777777">
      <w:pPr>
        <w:pStyle w:val="NoSpacing"/>
        <w:rPr>
          <w:b/>
        </w:rPr>
      </w:pPr>
      <w:r w:rsidRPr="009A79E1">
        <w:rPr>
          <w:b/>
        </w:rPr>
        <w:t xml:space="preserve">Contact: </w:t>
      </w:r>
    </w:p>
    <w:p w:rsidRPr="00782997" w:rsidR="008A5A17" w:rsidP="008A5A17" w:rsidRDefault="00782997" w14:paraId="0A1774E6" w14:textId="05EC3B70">
      <w:pPr>
        <w:pStyle w:val="NoSpacing"/>
      </w:pPr>
      <w:r>
        <w:t>Amy McMillen</w:t>
      </w:r>
    </w:p>
    <w:p w:rsidRPr="00782997" w:rsidR="008A5A17" w:rsidP="008A5A17" w:rsidRDefault="008A5A17" w14:paraId="40EC54F3" w14:textId="77777777">
      <w:pPr>
        <w:pStyle w:val="NoSpacing"/>
      </w:pPr>
      <w:r w:rsidRPr="00782997">
        <w:t>Centers for Disease Control and Prevention</w:t>
      </w:r>
    </w:p>
    <w:p w:rsidRPr="00782997" w:rsidR="008A5A17" w:rsidP="008A5A17" w:rsidRDefault="008A5A17" w14:paraId="4583CD5D" w14:textId="77777777">
      <w:pPr>
        <w:pStyle w:val="NoSpacing"/>
      </w:pPr>
      <w:r w:rsidRPr="00782997">
        <w:t xml:space="preserve">1600 Clifton Road NE </w:t>
      </w:r>
    </w:p>
    <w:p w:rsidRPr="00782997" w:rsidR="008A5A17" w:rsidP="008A5A17" w:rsidRDefault="008A5A17" w14:paraId="6C6A2F84" w14:textId="77777777">
      <w:pPr>
        <w:pStyle w:val="NoSpacing"/>
      </w:pPr>
      <w:r w:rsidRPr="00782997">
        <w:t xml:space="preserve">Atlanta, Georgia 30329-4027 </w:t>
      </w:r>
    </w:p>
    <w:p w:rsidRPr="00782997" w:rsidR="008A5A17" w:rsidP="008A5A17" w:rsidRDefault="008A5A17" w14:paraId="40ADC6C6" w14:textId="5FB503C4">
      <w:pPr>
        <w:pStyle w:val="NoSpacing"/>
      </w:pPr>
      <w:r w:rsidRPr="00782997">
        <w:t>Phone: (</w:t>
      </w:r>
      <w:r w:rsidR="00782997">
        <w:t>404</w:t>
      </w:r>
      <w:r w:rsidRPr="00782997">
        <w:t>)</w:t>
      </w:r>
      <w:r w:rsidR="00782997">
        <w:t xml:space="preserve"> 639-1045</w:t>
      </w:r>
      <w:r w:rsidRPr="00782997">
        <w:t xml:space="preserve"> </w:t>
      </w:r>
    </w:p>
    <w:p w:rsidR="008A5A17" w:rsidP="008A5A17" w:rsidRDefault="008A5A17" w14:paraId="5BF2F61E" w14:textId="0FE2D4BD">
      <w:pPr>
        <w:pStyle w:val="NoSpacing"/>
      </w:pPr>
      <w:proofErr w:type="gramStart"/>
      <w:r w:rsidRPr="00782997">
        <w:t>Email:</w:t>
      </w:r>
      <w:r w:rsidR="00782997">
        <w:t>auh1@cdc.gov</w:t>
      </w:r>
      <w:proofErr w:type="gramEnd"/>
      <w:r w:rsidR="00782997">
        <w:t xml:space="preserve"> </w:t>
      </w:r>
    </w:p>
    <w:p w:rsidR="004A13E8" w:rsidP="008A5A17" w:rsidRDefault="004A13E8" w14:paraId="55FE179A" w14:textId="25DBCEB7">
      <w:pPr>
        <w:pStyle w:val="NoSpacing"/>
      </w:pPr>
    </w:p>
    <w:sdt>
      <w:sdtPr>
        <w:rPr>
          <w:b w:val="0"/>
          <w:sz w:val="28"/>
          <w:szCs w:val="28"/>
        </w:rPr>
        <w:id w:val="1564836290"/>
        <w:docPartObj>
          <w:docPartGallery w:val="Table of Contents"/>
          <w:docPartUnique/>
        </w:docPartObj>
      </w:sdtPr>
      <w:sdtEndPr>
        <w:rPr>
          <w:bCs/>
          <w:noProof/>
          <w:sz w:val="24"/>
          <w:szCs w:val="22"/>
        </w:rPr>
      </w:sdtEndPr>
      <w:sdtContent>
        <w:p w:rsidR="00782997" w:rsidP="004A13E8" w:rsidRDefault="00782997" w14:paraId="2D25FF1E" w14:textId="77777777">
          <w:pPr>
            <w:pStyle w:val="Heading4"/>
            <w:rPr>
              <w:b w:val="0"/>
              <w:sz w:val="28"/>
              <w:szCs w:val="28"/>
            </w:rPr>
          </w:pPr>
        </w:p>
        <w:p w:rsidRPr="00D13EA1" w:rsidR="004A13E8" w:rsidP="004A13E8" w:rsidRDefault="00C90B13" w14:paraId="55FE179B" w14:textId="0C08154E">
          <w:pPr>
            <w:pStyle w:val="Heading4"/>
            <w:rPr>
              <w:sz w:val="28"/>
              <w:szCs w:val="28"/>
            </w:rPr>
          </w:pPr>
          <w:r w:rsidRPr="00D13EA1">
            <w:rPr>
              <w:sz w:val="28"/>
              <w:szCs w:val="28"/>
            </w:rPr>
            <w:lastRenderedPageBreak/>
            <w:t xml:space="preserve">Table of </w:t>
          </w:r>
          <w:r w:rsidRPr="00D13EA1" w:rsidR="004A13E8">
            <w:rPr>
              <w:sz w:val="28"/>
              <w:szCs w:val="28"/>
            </w:rPr>
            <w:t>Contents</w:t>
          </w:r>
        </w:p>
        <w:p w:rsidR="00C90B13" w:rsidP="00C90B13" w:rsidRDefault="004A13E8" w14:paraId="55FE179C" w14:textId="77777777">
          <w:pPr>
            <w:pStyle w:val="TOC2"/>
            <w:tabs>
              <w:tab w:val="right" w:leader="dot" w:pos="10070"/>
            </w:tabs>
            <w:rPr>
              <w:rFonts w:asciiTheme="minorHAnsi" w:hAnsiTheme="minorHAnsi" w:eastAsiaTheme="minorEastAsia"/>
              <w:noProof/>
              <w:sz w:val="22"/>
            </w:rPr>
          </w:pPr>
          <w:r>
            <w:fldChar w:fldCharType="begin"/>
          </w:r>
          <w:r>
            <w:instrText xml:space="preserve"> TOC \o "1-3" \h \z \u </w:instrText>
          </w:r>
          <w:r>
            <w:fldChar w:fldCharType="separate"/>
          </w:r>
        </w:p>
        <w:p w:rsidR="00C90B13" w:rsidRDefault="00EA5E11" w14:paraId="55FE179D" w14:textId="67587401">
          <w:pPr>
            <w:pStyle w:val="TOC1"/>
            <w:tabs>
              <w:tab w:val="left" w:pos="480"/>
              <w:tab w:val="right" w:leader="dot" w:pos="10070"/>
            </w:tabs>
            <w:rPr>
              <w:rFonts w:asciiTheme="minorHAnsi" w:hAnsiTheme="minorHAnsi" w:eastAsiaTheme="minorEastAsia"/>
              <w:noProof/>
              <w:sz w:val="22"/>
            </w:rPr>
          </w:pPr>
          <w:hyperlink w:history="1" w:anchor="_Toc473880017">
            <w:r w:rsidRPr="00804687" w:rsidR="00C90B13">
              <w:rPr>
                <w:rStyle w:val="Hyperlink"/>
                <w:noProof/>
              </w:rPr>
              <w:t>1.</w:t>
            </w:r>
            <w:r w:rsidR="00C90B13">
              <w:rPr>
                <w:rFonts w:asciiTheme="minorHAnsi" w:hAnsiTheme="minorHAnsi" w:eastAsiaTheme="minorEastAsia"/>
                <w:noProof/>
                <w:sz w:val="22"/>
              </w:rPr>
              <w:tab/>
            </w:r>
            <w:r w:rsidRPr="00804687" w:rsidR="00C90B13">
              <w:rPr>
                <w:rStyle w:val="Hyperlink"/>
                <w:noProof/>
              </w:rPr>
              <w:t>Circumstances Making the Collection of Information Necessary</w:t>
            </w:r>
            <w:r w:rsidR="00C90B13">
              <w:rPr>
                <w:noProof/>
                <w:webHidden/>
              </w:rPr>
              <w:tab/>
            </w:r>
            <w:r w:rsidR="00C90B13">
              <w:rPr>
                <w:noProof/>
                <w:webHidden/>
              </w:rPr>
              <w:fldChar w:fldCharType="begin"/>
            </w:r>
            <w:r w:rsidR="00C90B13">
              <w:rPr>
                <w:noProof/>
                <w:webHidden/>
              </w:rPr>
              <w:instrText xml:space="preserve"> PAGEREF _Toc473880017 \h </w:instrText>
            </w:r>
            <w:r w:rsidR="00C90B13">
              <w:rPr>
                <w:noProof/>
                <w:webHidden/>
              </w:rPr>
            </w:r>
            <w:r w:rsidR="00C90B13">
              <w:rPr>
                <w:noProof/>
                <w:webHidden/>
              </w:rPr>
              <w:fldChar w:fldCharType="separate"/>
            </w:r>
            <w:r w:rsidR="00980314">
              <w:rPr>
                <w:noProof/>
                <w:webHidden/>
              </w:rPr>
              <w:t>3</w:t>
            </w:r>
            <w:r w:rsidR="00C90B13">
              <w:rPr>
                <w:noProof/>
                <w:webHidden/>
              </w:rPr>
              <w:fldChar w:fldCharType="end"/>
            </w:r>
          </w:hyperlink>
        </w:p>
        <w:p w:rsidR="00C90B13" w:rsidRDefault="00EA5E11" w14:paraId="55FE179E" w14:textId="7C1A346B">
          <w:pPr>
            <w:pStyle w:val="TOC1"/>
            <w:tabs>
              <w:tab w:val="left" w:pos="480"/>
              <w:tab w:val="right" w:leader="dot" w:pos="10070"/>
            </w:tabs>
            <w:rPr>
              <w:rFonts w:asciiTheme="minorHAnsi" w:hAnsiTheme="minorHAnsi" w:eastAsiaTheme="minorEastAsia"/>
              <w:noProof/>
              <w:sz w:val="22"/>
            </w:rPr>
          </w:pPr>
          <w:hyperlink w:history="1" w:anchor="_Toc473880018">
            <w:r w:rsidRPr="00804687" w:rsidR="00C90B13">
              <w:rPr>
                <w:rStyle w:val="Hyperlink"/>
                <w:noProof/>
              </w:rPr>
              <w:t>2.</w:t>
            </w:r>
            <w:r w:rsidR="00C90B13">
              <w:rPr>
                <w:rFonts w:asciiTheme="minorHAnsi" w:hAnsiTheme="minorHAnsi" w:eastAsiaTheme="minorEastAsia"/>
                <w:noProof/>
                <w:sz w:val="22"/>
              </w:rPr>
              <w:tab/>
            </w:r>
            <w:r w:rsidRPr="00804687" w:rsidR="00C90B13">
              <w:rPr>
                <w:rStyle w:val="Hyperlink"/>
                <w:noProof/>
              </w:rPr>
              <w:t>Purpose and Use of Information Collection</w:t>
            </w:r>
            <w:r w:rsidR="00C90B13">
              <w:rPr>
                <w:noProof/>
                <w:webHidden/>
              </w:rPr>
              <w:tab/>
            </w:r>
            <w:r w:rsidR="00C90B13">
              <w:rPr>
                <w:noProof/>
                <w:webHidden/>
              </w:rPr>
              <w:fldChar w:fldCharType="begin"/>
            </w:r>
            <w:r w:rsidR="00C90B13">
              <w:rPr>
                <w:noProof/>
                <w:webHidden/>
              </w:rPr>
              <w:instrText xml:space="preserve"> PAGEREF _Toc473880018 \h </w:instrText>
            </w:r>
            <w:r w:rsidR="00C90B13">
              <w:rPr>
                <w:noProof/>
                <w:webHidden/>
              </w:rPr>
            </w:r>
            <w:r w:rsidR="00C90B13">
              <w:rPr>
                <w:noProof/>
                <w:webHidden/>
              </w:rPr>
              <w:fldChar w:fldCharType="separate"/>
            </w:r>
            <w:r w:rsidR="00980314">
              <w:rPr>
                <w:noProof/>
                <w:webHidden/>
              </w:rPr>
              <w:t>3</w:t>
            </w:r>
            <w:r w:rsidR="00C90B13">
              <w:rPr>
                <w:noProof/>
                <w:webHidden/>
              </w:rPr>
              <w:fldChar w:fldCharType="end"/>
            </w:r>
          </w:hyperlink>
        </w:p>
        <w:p w:rsidR="00C90B13" w:rsidRDefault="00EA5E11" w14:paraId="55FE179F" w14:textId="57EBCF07">
          <w:pPr>
            <w:pStyle w:val="TOC1"/>
            <w:tabs>
              <w:tab w:val="left" w:pos="480"/>
              <w:tab w:val="right" w:leader="dot" w:pos="10070"/>
            </w:tabs>
            <w:rPr>
              <w:rFonts w:asciiTheme="minorHAnsi" w:hAnsiTheme="minorHAnsi" w:eastAsiaTheme="minorEastAsia"/>
              <w:noProof/>
              <w:sz w:val="22"/>
            </w:rPr>
          </w:pPr>
          <w:hyperlink w:history="1" w:anchor="_Toc473880019">
            <w:r w:rsidRPr="00804687" w:rsidR="00C90B13">
              <w:rPr>
                <w:rStyle w:val="Hyperlink"/>
                <w:noProof/>
              </w:rPr>
              <w:t>3.</w:t>
            </w:r>
            <w:r w:rsidR="00C90B13">
              <w:rPr>
                <w:rFonts w:asciiTheme="minorHAnsi" w:hAnsiTheme="minorHAnsi" w:eastAsiaTheme="minorEastAsia"/>
                <w:noProof/>
                <w:sz w:val="22"/>
              </w:rPr>
              <w:tab/>
            </w:r>
            <w:r w:rsidRPr="00804687" w:rsidR="00C90B13">
              <w:rPr>
                <w:rStyle w:val="Hyperlink"/>
                <w:noProof/>
              </w:rPr>
              <w:t>Use of Improved Information Technology and Burden Reduction</w:t>
            </w:r>
            <w:r w:rsidR="00C90B13">
              <w:rPr>
                <w:noProof/>
                <w:webHidden/>
              </w:rPr>
              <w:tab/>
            </w:r>
            <w:r w:rsidR="00C90B13">
              <w:rPr>
                <w:noProof/>
                <w:webHidden/>
              </w:rPr>
              <w:fldChar w:fldCharType="begin"/>
            </w:r>
            <w:r w:rsidR="00C90B13">
              <w:rPr>
                <w:noProof/>
                <w:webHidden/>
              </w:rPr>
              <w:instrText xml:space="preserve"> PAGEREF _Toc473880019 \h </w:instrText>
            </w:r>
            <w:r w:rsidR="00C90B13">
              <w:rPr>
                <w:noProof/>
                <w:webHidden/>
              </w:rPr>
            </w:r>
            <w:r w:rsidR="00C90B13">
              <w:rPr>
                <w:noProof/>
                <w:webHidden/>
              </w:rPr>
              <w:fldChar w:fldCharType="separate"/>
            </w:r>
            <w:r w:rsidR="00980314">
              <w:rPr>
                <w:noProof/>
                <w:webHidden/>
              </w:rPr>
              <w:t>4</w:t>
            </w:r>
            <w:r w:rsidR="00C90B13">
              <w:rPr>
                <w:noProof/>
                <w:webHidden/>
              </w:rPr>
              <w:fldChar w:fldCharType="end"/>
            </w:r>
          </w:hyperlink>
        </w:p>
        <w:p w:rsidR="00C90B13" w:rsidRDefault="00EA5E11" w14:paraId="55FE17A0" w14:textId="13D98D05">
          <w:pPr>
            <w:pStyle w:val="TOC1"/>
            <w:tabs>
              <w:tab w:val="left" w:pos="480"/>
              <w:tab w:val="right" w:leader="dot" w:pos="10070"/>
            </w:tabs>
            <w:rPr>
              <w:rFonts w:asciiTheme="minorHAnsi" w:hAnsiTheme="minorHAnsi" w:eastAsiaTheme="minorEastAsia"/>
              <w:noProof/>
              <w:sz w:val="22"/>
            </w:rPr>
          </w:pPr>
          <w:hyperlink w:history="1" w:anchor="_Toc473880020">
            <w:r w:rsidRPr="00804687" w:rsidR="00C90B13">
              <w:rPr>
                <w:rStyle w:val="Hyperlink"/>
                <w:noProof/>
              </w:rPr>
              <w:t>4.</w:t>
            </w:r>
            <w:r w:rsidR="00C90B13">
              <w:rPr>
                <w:rFonts w:asciiTheme="minorHAnsi" w:hAnsiTheme="minorHAnsi" w:eastAsiaTheme="minorEastAsia"/>
                <w:noProof/>
                <w:sz w:val="22"/>
              </w:rPr>
              <w:tab/>
            </w:r>
            <w:r w:rsidRPr="00804687" w:rsidR="00C90B13">
              <w:rPr>
                <w:rStyle w:val="Hyperlink"/>
                <w:noProof/>
              </w:rPr>
              <w:t>Efforts to Identify Duplication and Use of Similar Information</w:t>
            </w:r>
            <w:r w:rsidR="00C90B13">
              <w:rPr>
                <w:noProof/>
                <w:webHidden/>
              </w:rPr>
              <w:tab/>
            </w:r>
            <w:r w:rsidR="00C90B13">
              <w:rPr>
                <w:noProof/>
                <w:webHidden/>
              </w:rPr>
              <w:fldChar w:fldCharType="begin"/>
            </w:r>
            <w:r w:rsidR="00C90B13">
              <w:rPr>
                <w:noProof/>
                <w:webHidden/>
              </w:rPr>
              <w:instrText xml:space="preserve"> PAGEREF _Toc473880020 \h </w:instrText>
            </w:r>
            <w:r w:rsidR="00C90B13">
              <w:rPr>
                <w:noProof/>
                <w:webHidden/>
              </w:rPr>
            </w:r>
            <w:r w:rsidR="00C90B13">
              <w:rPr>
                <w:noProof/>
                <w:webHidden/>
              </w:rPr>
              <w:fldChar w:fldCharType="separate"/>
            </w:r>
            <w:r w:rsidR="00980314">
              <w:rPr>
                <w:noProof/>
                <w:webHidden/>
              </w:rPr>
              <w:t>4</w:t>
            </w:r>
            <w:r w:rsidR="00C90B13">
              <w:rPr>
                <w:noProof/>
                <w:webHidden/>
              </w:rPr>
              <w:fldChar w:fldCharType="end"/>
            </w:r>
          </w:hyperlink>
        </w:p>
        <w:p w:rsidR="00C90B13" w:rsidRDefault="00EA5E11" w14:paraId="55FE17A1" w14:textId="581A3B32">
          <w:pPr>
            <w:pStyle w:val="TOC1"/>
            <w:tabs>
              <w:tab w:val="left" w:pos="480"/>
              <w:tab w:val="right" w:leader="dot" w:pos="10070"/>
            </w:tabs>
            <w:rPr>
              <w:rFonts w:asciiTheme="minorHAnsi" w:hAnsiTheme="minorHAnsi" w:eastAsiaTheme="minorEastAsia"/>
              <w:noProof/>
              <w:sz w:val="22"/>
            </w:rPr>
          </w:pPr>
          <w:hyperlink w:history="1" w:anchor="_Toc473880021">
            <w:r w:rsidRPr="00804687" w:rsidR="00C90B13">
              <w:rPr>
                <w:rStyle w:val="Hyperlink"/>
                <w:noProof/>
              </w:rPr>
              <w:t>5.</w:t>
            </w:r>
            <w:r w:rsidR="00C90B13">
              <w:rPr>
                <w:rFonts w:asciiTheme="minorHAnsi" w:hAnsiTheme="minorHAnsi" w:eastAsiaTheme="minorEastAsia"/>
                <w:noProof/>
                <w:sz w:val="22"/>
              </w:rPr>
              <w:tab/>
            </w:r>
            <w:r w:rsidRPr="00804687" w:rsidR="00C90B13">
              <w:rPr>
                <w:rStyle w:val="Hyperlink"/>
                <w:noProof/>
              </w:rPr>
              <w:t>Impact on Small Businesses or Other Small Entities</w:t>
            </w:r>
            <w:r w:rsidR="00C90B13">
              <w:rPr>
                <w:noProof/>
                <w:webHidden/>
              </w:rPr>
              <w:tab/>
            </w:r>
            <w:r w:rsidR="00C90B13">
              <w:rPr>
                <w:noProof/>
                <w:webHidden/>
              </w:rPr>
              <w:fldChar w:fldCharType="begin"/>
            </w:r>
            <w:r w:rsidR="00C90B13">
              <w:rPr>
                <w:noProof/>
                <w:webHidden/>
              </w:rPr>
              <w:instrText xml:space="preserve"> PAGEREF _Toc473880021 \h </w:instrText>
            </w:r>
            <w:r w:rsidR="00C90B13">
              <w:rPr>
                <w:noProof/>
                <w:webHidden/>
              </w:rPr>
            </w:r>
            <w:r w:rsidR="00C90B13">
              <w:rPr>
                <w:noProof/>
                <w:webHidden/>
              </w:rPr>
              <w:fldChar w:fldCharType="separate"/>
            </w:r>
            <w:r w:rsidR="00980314">
              <w:rPr>
                <w:noProof/>
                <w:webHidden/>
              </w:rPr>
              <w:t>4</w:t>
            </w:r>
            <w:r w:rsidR="00C90B13">
              <w:rPr>
                <w:noProof/>
                <w:webHidden/>
              </w:rPr>
              <w:fldChar w:fldCharType="end"/>
            </w:r>
          </w:hyperlink>
        </w:p>
        <w:p w:rsidR="00C90B13" w:rsidRDefault="00EA5E11" w14:paraId="55FE17A2" w14:textId="07AACBE4">
          <w:pPr>
            <w:pStyle w:val="TOC1"/>
            <w:tabs>
              <w:tab w:val="left" w:pos="480"/>
              <w:tab w:val="right" w:leader="dot" w:pos="10070"/>
            </w:tabs>
            <w:rPr>
              <w:rFonts w:asciiTheme="minorHAnsi" w:hAnsiTheme="minorHAnsi" w:eastAsiaTheme="minorEastAsia"/>
              <w:noProof/>
              <w:sz w:val="22"/>
            </w:rPr>
          </w:pPr>
          <w:hyperlink w:history="1" w:anchor="_Toc473880022">
            <w:r w:rsidRPr="00804687" w:rsidR="00C90B13">
              <w:rPr>
                <w:rStyle w:val="Hyperlink"/>
                <w:noProof/>
              </w:rPr>
              <w:t>6.</w:t>
            </w:r>
            <w:r w:rsidR="00C90B13">
              <w:rPr>
                <w:rFonts w:asciiTheme="minorHAnsi" w:hAnsiTheme="minorHAnsi" w:eastAsiaTheme="minorEastAsia"/>
                <w:noProof/>
                <w:sz w:val="22"/>
              </w:rPr>
              <w:tab/>
            </w:r>
            <w:r w:rsidRPr="00804687" w:rsidR="00C90B13">
              <w:rPr>
                <w:rStyle w:val="Hyperlink"/>
                <w:noProof/>
              </w:rPr>
              <w:t>Consequences of Collecting the Information Less Frequently</w:t>
            </w:r>
            <w:r w:rsidR="00C90B13">
              <w:rPr>
                <w:noProof/>
                <w:webHidden/>
              </w:rPr>
              <w:tab/>
            </w:r>
            <w:r w:rsidR="00C90B13">
              <w:rPr>
                <w:noProof/>
                <w:webHidden/>
              </w:rPr>
              <w:fldChar w:fldCharType="begin"/>
            </w:r>
            <w:r w:rsidR="00C90B13">
              <w:rPr>
                <w:noProof/>
                <w:webHidden/>
              </w:rPr>
              <w:instrText xml:space="preserve"> PAGEREF _Toc473880022 \h </w:instrText>
            </w:r>
            <w:r w:rsidR="00C90B13">
              <w:rPr>
                <w:noProof/>
                <w:webHidden/>
              </w:rPr>
            </w:r>
            <w:r w:rsidR="00C90B13">
              <w:rPr>
                <w:noProof/>
                <w:webHidden/>
              </w:rPr>
              <w:fldChar w:fldCharType="separate"/>
            </w:r>
            <w:r w:rsidR="00980314">
              <w:rPr>
                <w:noProof/>
                <w:webHidden/>
              </w:rPr>
              <w:t>5</w:t>
            </w:r>
            <w:r w:rsidR="00C90B13">
              <w:rPr>
                <w:noProof/>
                <w:webHidden/>
              </w:rPr>
              <w:fldChar w:fldCharType="end"/>
            </w:r>
          </w:hyperlink>
        </w:p>
        <w:p w:rsidR="00C90B13" w:rsidRDefault="00EA5E11" w14:paraId="55FE17A3" w14:textId="00AA066C">
          <w:pPr>
            <w:pStyle w:val="TOC1"/>
            <w:tabs>
              <w:tab w:val="left" w:pos="480"/>
              <w:tab w:val="right" w:leader="dot" w:pos="10070"/>
            </w:tabs>
            <w:rPr>
              <w:rFonts w:asciiTheme="minorHAnsi" w:hAnsiTheme="minorHAnsi" w:eastAsiaTheme="minorEastAsia"/>
              <w:noProof/>
              <w:sz w:val="22"/>
            </w:rPr>
          </w:pPr>
          <w:hyperlink w:history="1" w:anchor="_Toc473880023">
            <w:r w:rsidRPr="00804687" w:rsidR="00C90B13">
              <w:rPr>
                <w:rStyle w:val="Hyperlink"/>
                <w:noProof/>
              </w:rPr>
              <w:t>7.</w:t>
            </w:r>
            <w:r w:rsidR="00C90B13">
              <w:rPr>
                <w:rFonts w:asciiTheme="minorHAnsi" w:hAnsiTheme="minorHAnsi" w:eastAsiaTheme="minorEastAsia"/>
                <w:noProof/>
                <w:sz w:val="22"/>
              </w:rPr>
              <w:tab/>
            </w:r>
            <w:r w:rsidRPr="00804687" w:rsidR="00C90B13">
              <w:rPr>
                <w:rStyle w:val="Hyperlink"/>
                <w:noProof/>
              </w:rPr>
              <w:t>Special Circumstances Relating to the Guidelines of 5 CFR 1320.5</w:t>
            </w:r>
            <w:r w:rsidR="00C90B13">
              <w:rPr>
                <w:noProof/>
                <w:webHidden/>
              </w:rPr>
              <w:tab/>
            </w:r>
            <w:r w:rsidR="00C90B13">
              <w:rPr>
                <w:noProof/>
                <w:webHidden/>
              </w:rPr>
              <w:fldChar w:fldCharType="begin"/>
            </w:r>
            <w:r w:rsidR="00C90B13">
              <w:rPr>
                <w:noProof/>
                <w:webHidden/>
              </w:rPr>
              <w:instrText xml:space="preserve"> PAGEREF _Toc473880023 \h </w:instrText>
            </w:r>
            <w:r w:rsidR="00C90B13">
              <w:rPr>
                <w:noProof/>
                <w:webHidden/>
              </w:rPr>
            </w:r>
            <w:r w:rsidR="00C90B13">
              <w:rPr>
                <w:noProof/>
                <w:webHidden/>
              </w:rPr>
              <w:fldChar w:fldCharType="separate"/>
            </w:r>
            <w:r w:rsidR="00980314">
              <w:rPr>
                <w:noProof/>
                <w:webHidden/>
              </w:rPr>
              <w:t>5</w:t>
            </w:r>
            <w:r w:rsidR="00C90B13">
              <w:rPr>
                <w:noProof/>
                <w:webHidden/>
              </w:rPr>
              <w:fldChar w:fldCharType="end"/>
            </w:r>
          </w:hyperlink>
        </w:p>
        <w:p w:rsidR="00C90B13" w:rsidRDefault="00EA5E11" w14:paraId="55FE17A4" w14:textId="41BAA356">
          <w:pPr>
            <w:pStyle w:val="TOC1"/>
            <w:tabs>
              <w:tab w:val="left" w:pos="480"/>
              <w:tab w:val="right" w:leader="dot" w:pos="10070"/>
            </w:tabs>
            <w:rPr>
              <w:rFonts w:asciiTheme="minorHAnsi" w:hAnsiTheme="minorHAnsi" w:eastAsiaTheme="minorEastAsia"/>
              <w:noProof/>
              <w:sz w:val="22"/>
            </w:rPr>
          </w:pPr>
          <w:hyperlink w:history="1" w:anchor="_Toc473880024">
            <w:r w:rsidRPr="00804687" w:rsidR="00C90B13">
              <w:rPr>
                <w:rStyle w:val="Hyperlink"/>
                <w:noProof/>
              </w:rPr>
              <w:t>8.</w:t>
            </w:r>
            <w:r w:rsidR="00C90B13">
              <w:rPr>
                <w:rFonts w:asciiTheme="minorHAnsi" w:hAnsiTheme="minorHAnsi" w:eastAsiaTheme="minorEastAsia"/>
                <w:noProof/>
                <w:sz w:val="22"/>
              </w:rPr>
              <w:tab/>
            </w:r>
            <w:r w:rsidRPr="00804687" w:rsidR="00C90B13">
              <w:rPr>
                <w:rStyle w:val="Hyperlink"/>
                <w:noProof/>
              </w:rPr>
              <w:t>Comments in Response to the Federal Register Notice and Efforts to Consult Outside the Agency</w:t>
            </w:r>
            <w:r w:rsidR="00C90B13">
              <w:rPr>
                <w:noProof/>
                <w:webHidden/>
              </w:rPr>
              <w:tab/>
            </w:r>
            <w:r w:rsidR="00C90B13">
              <w:rPr>
                <w:noProof/>
                <w:webHidden/>
              </w:rPr>
              <w:fldChar w:fldCharType="begin"/>
            </w:r>
            <w:r w:rsidR="00C90B13">
              <w:rPr>
                <w:noProof/>
                <w:webHidden/>
              </w:rPr>
              <w:instrText xml:space="preserve"> PAGEREF _Toc473880024 \h </w:instrText>
            </w:r>
            <w:r w:rsidR="00C90B13">
              <w:rPr>
                <w:noProof/>
                <w:webHidden/>
              </w:rPr>
            </w:r>
            <w:r w:rsidR="00C90B13">
              <w:rPr>
                <w:noProof/>
                <w:webHidden/>
              </w:rPr>
              <w:fldChar w:fldCharType="separate"/>
            </w:r>
            <w:r w:rsidR="00980314">
              <w:rPr>
                <w:noProof/>
                <w:webHidden/>
              </w:rPr>
              <w:t>5</w:t>
            </w:r>
            <w:r w:rsidR="00C90B13">
              <w:rPr>
                <w:noProof/>
                <w:webHidden/>
              </w:rPr>
              <w:fldChar w:fldCharType="end"/>
            </w:r>
          </w:hyperlink>
        </w:p>
        <w:p w:rsidR="00C90B13" w:rsidRDefault="00EA5E11" w14:paraId="55FE17A5" w14:textId="49514014">
          <w:pPr>
            <w:pStyle w:val="TOC1"/>
            <w:tabs>
              <w:tab w:val="left" w:pos="480"/>
              <w:tab w:val="right" w:leader="dot" w:pos="10070"/>
            </w:tabs>
            <w:rPr>
              <w:rFonts w:asciiTheme="minorHAnsi" w:hAnsiTheme="minorHAnsi" w:eastAsiaTheme="minorEastAsia"/>
              <w:noProof/>
              <w:sz w:val="22"/>
            </w:rPr>
          </w:pPr>
          <w:hyperlink w:history="1" w:anchor="_Toc473880025">
            <w:r w:rsidRPr="00804687" w:rsidR="00C90B13">
              <w:rPr>
                <w:rStyle w:val="Hyperlink"/>
                <w:noProof/>
              </w:rPr>
              <w:t>9.</w:t>
            </w:r>
            <w:r w:rsidR="00C90B13">
              <w:rPr>
                <w:rFonts w:asciiTheme="minorHAnsi" w:hAnsiTheme="minorHAnsi" w:eastAsiaTheme="minorEastAsia"/>
                <w:noProof/>
                <w:sz w:val="22"/>
              </w:rPr>
              <w:tab/>
            </w:r>
            <w:r w:rsidRPr="00804687" w:rsidR="00C90B13">
              <w:rPr>
                <w:rStyle w:val="Hyperlink"/>
                <w:noProof/>
              </w:rPr>
              <w:t>Explanation of Any Payment or Gift to Respondents</w:t>
            </w:r>
            <w:r w:rsidR="00C90B13">
              <w:rPr>
                <w:noProof/>
                <w:webHidden/>
              </w:rPr>
              <w:tab/>
            </w:r>
            <w:r w:rsidR="00C90B13">
              <w:rPr>
                <w:noProof/>
                <w:webHidden/>
              </w:rPr>
              <w:fldChar w:fldCharType="begin"/>
            </w:r>
            <w:r w:rsidR="00C90B13">
              <w:rPr>
                <w:noProof/>
                <w:webHidden/>
              </w:rPr>
              <w:instrText xml:space="preserve"> PAGEREF _Toc473880025 \h </w:instrText>
            </w:r>
            <w:r w:rsidR="00C90B13">
              <w:rPr>
                <w:noProof/>
                <w:webHidden/>
              </w:rPr>
            </w:r>
            <w:r w:rsidR="00C90B13">
              <w:rPr>
                <w:noProof/>
                <w:webHidden/>
              </w:rPr>
              <w:fldChar w:fldCharType="separate"/>
            </w:r>
            <w:r w:rsidR="00980314">
              <w:rPr>
                <w:noProof/>
                <w:webHidden/>
              </w:rPr>
              <w:t>5</w:t>
            </w:r>
            <w:r w:rsidR="00C90B13">
              <w:rPr>
                <w:noProof/>
                <w:webHidden/>
              </w:rPr>
              <w:fldChar w:fldCharType="end"/>
            </w:r>
          </w:hyperlink>
        </w:p>
        <w:p w:rsidR="00C90B13" w:rsidRDefault="00EA5E11" w14:paraId="55FE17A6" w14:textId="14CF4C9B">
          <w:pPr>
            <w:pStyle w:val="TOC1"/>
            <w:tabs>
              <w:tab w:val="left" w:pos="660"/>
              <w:tab w:val="right" w:leader="dot" w:pos="10070"/>
            </w:tabs>
            <w:rPr>
              <w:rFonts w:asciiTheme="minorHAnsi" w:hAnsiTheme="minorHAnsi" w:eastAsiaTheme="minorEastAsia"/>
              <w:noProof/>
              <w:sz w:val="22"/>
            </w:rPr>
          </w:pPr>
          <w:hyperlink w:history="1" w:anchor="_Toc473880026">
            <w:r w:rsidRPr="00804687" w:rsidR="00C90B13">
              <w:rPr>
                <w:rStyle w:val="Hyperlink"/>
                <w:noProof/>
              </w:rPr>
              <w:t>10.</w:t>
            </w:r>
            <w:r w:rsidR="00C90B13">
              <w:rPr>
                <w:rFonts w:asciiTheme="minorHAnsi" w:hAnsiTheme="minorHAnsi" w:eastAsiaTheme="minorEastAsia"/>
                <w:noProof/>
                <w:sz w:val="22"/>
              </w:rPr>
              <w:tab/>
            </w:r>
            <w:r w:rsidRPr="00804687" w:rsidR="00C90B13">
              <w:rPr>
                <w:rStyle w:val="Hyperlink"/>
                <w:noProof/>
              </w:rPr>
              <w:t>Protection of the Privacy and Confidentiality of Information Provided by Respondents</w:t>
            </w:r>
            <w:r w:rsidR="00C90B13">
              <w:rPr>
                <w:noProof/>
                <w:webHidden/>
              </w:rPr>
              <w:tab/>
            </w:r>
            <w:r w:rsidR="00C90B13">
              <w:rPr>
                <w:noProof/>
                <w:webHidden/>
              </w:rPr>
              <w:fldChar w:fldCharType="begin"/>
            </w:r>
            <w:r w:rsidR="00C90B13">
              <w:rPr>
                <w:noProof/>
                <w:webHidden/>
              </w:rPr>
              <w:instrText xml:space="preserve"> PAGEREF _Toc473880026 \h </w:instrText>
            </w:r>
            <w:r w:rsidR="00C90B13">
              <w:rPr>
                <w:noProof/>
                <w:webHidden/>
              </w:rPr>
            </w:r>
            <w:r w:rsidR="00C90B13">
              <w:rPr>
                <w:noProof/>
                <w:webHidden/>
              </w:rPr>
              <w:fldChar w:fldCharType="separate"/>
            </w:r>
            <w:r w:rsidR="00980314">
              <w:rPr>
                <w:noProof/>
                <w:webHidden/>
              </w:rPr>
              <w:t>5</w:t>
            </w:r>
            <w:r w:rsidR="00C90B13">
              <w:rPr>
                <w:noProof/>
                <w:webHidden/>
              </w:rPr>
              <w:fldChar w:fldCharType="end"/>
            </w:r>
          </w:hyperlink>
        </w:p>
        <w:p w:rsidR="00C90B13" w:rsidRDefault="00EA5E11" w14:paraId="55FE17A7" w14:textId="6638882B">
          <w:pPr>
            <w:pStyle w:val="TOC1"/>
            <w:tabs>
              <w:tab w:val="left" w:pos="660"/>
              <w:tab w:val="right" w:leader="dot" w:pos="10070"/>
            </w:tabs>
            <w:rPr>
              <w:rFonts w:asciiTheme="minorHAnsi" w:hAnsiTheme="minorHAnsi" w:eastAsiaTheme="minorEastAsia"/>
              <w:noProof/>
              <w:sz w:val="22"/>
            </w:rPr>
          </w:pPr>
          <w:hyperlink w:history="1" w:anchor="_Toc473880027">
            <w:r w:rsidRPr="00804687" w:rsidR="00C90B13">
              <w:rPr>
                <w:rStyle w:val="Hyperlink"/>
                <w:noProof/>
              </w:rPr>
              <w:t>11.</w:t>
            </w:r>
            <w:r w:rsidR="00C90B13">
              <w:rPr>
                <w:rFonts w:asciiTheme="minorHAnsi" w:hAnsiTheme="minorHAnsi" w:eastAsiaTheme="minorEastAsia"/>
                <w:noProof/>
                <w:sz w:val="22"/>
              </w:rPr>
              <w:tab/>
            </w:r>
            <w:r w:rsidRPr="00804687" w:rsidR="00C90B13">
              <w:rPr>
                <w:rStyle w:val="Hyperlink"/>
                <w:noProof/>
              </w:rPr>
              <w:t>Institutional Review Board (IRB) and Justification for Sensitive Questions</w:t>
            </w:r>
            <w:r w:rsidR="00C90B13">
              <w:rPr>
                <w:noProof/>
                <w:webHidden/>
              </w:rPr>
              <w:tab/>
            </w:r>
            <w:r w:rsidR="00C90B13">
              <w:rPr>
                <w:noProof/>
                <w:webHidden/>
              </w:rPr>
              <w:fldChar w:fldCharType="begin"/>
            </w:r>
            <w:r w:rsidR="00C90B13">
              <w:rPr>
                <w:noProof/>
                <w:webHidden/>
              </w:rPr>
              <w:instrText xml:space="preserve"> PAGEREF _Toc473880027 \h </w:instrText>
            </w:r>
            <w:r w:rsidR="00C90B13">
              <w:rPr>
                <w:noProof/>
                <w:webHidden/>
              </w:rPr>
            </w:r>
            <w:r w:rsidR="00C90B13">
              <w:rPr>
                <w:noProof/>
                <w:webHidden/>
              </w:rPr>
              <w:fldChar w:fldCharType="separate"/>
            </w:r>
            <w:r w:rsidR="00980314">
              <w:rPr>
                <w:noProof/>
                <w:webHidden/>
              </w:rPr>
              <w:t>5</w:t>
            </w:r>
            <w:r w:rsidR="00C90B13">
              <w:rPr>
                <w:noProof/>
                <w:webHidden/>
              </w:rPr>
              <w:fldChar w:fldCharType="end"/>
            </w:r>
          </w:hyperlink>
        </w:p>
        <w:p w:rsidR="00C90B13" w:rsidRDefault="00EA5E11" w14:paraId="55FE17A8" w14:textId="4615FBA4">
          <w:pPr>
            <w:pStyle w:val="TOC1"/>
            <w:tabs>
              <w:tab w:val="left" w:pos="660"/>
              <w:tab w:val="right" w:leader="dot" w:pos="10070"/>
            </w:tabs>
            <w:rPr>
              <w:rFonts w:asciiTheme="minorHAnsi" w:hAnsiTheme="minorHAnsi" w:eastAsiaTheme="minorEastAsia"/>
              <w:noProof/>
              <w:sz w:val="22"/>
            </w:rPr>
          </w:pPr>
          <w:hyperlink w:history="1" w:anchor="_Toc473880028">
            <w:r w:rsidRPr="00804687" w:rsidR="00C90B13">
              <w:rPr>
                <w:rStyle w:val="Hyperlink"/>
                <w:noProof/>
              </w:rPr>
              <w:t>12.</w:t>
            </w:r>
            <w:r w:rsidR="00C90B13">
              <w:rPr>
                <w:rFonts w:asciiTheme="minorHAnsi" w:hAnsiTheme="minorHAnsi" w:eastAsiaTheme="minorEastAsia"/>
                <w:noProof/>
                <w:sz w:val="22"/>
              </w:rPr>
              <w:tab/>
            </w:r>
            <w:r w:rsidRPr="00804687" w:rsidR="00C90B13">
              <w:rPr>
                <w:rStyle w:val="Hyperlink"/>
                <w:noProof/>
              </w:rPr>
              <w:t>Estimates of Annualized Burden Hours and Costs</w:t>
            </w:r>
            <w:r w:rsidR="00C90B13">
              <w:rPr>
                <w:noProof/>
                <w:webHidden/>
              </w:rPr>
              <w:tab/>
            </w:r>
            <w:r w:rsidR="00C90B13">
              <w:rPr>
                <w:noProof/>
                <w:webHidden/>
              </w:rPr>
              <w:fldChar w:fldCharType="begin"/>
            </w:r>
            <w:r w:rsidR="00C90B13">
              <w:rPr>
                <w:noProof/>
                <w:webHidden/>
              </w:rPr>
              <w:instrText xml:space="preserve"> PAGEREF _Toc473880028 \h </w:instrText>
            </w:r>
            <w:r w:rsidR="00C90B13">
              <w:rPr>
                <w:noProof/>
                <w:webHidden/>
              </w:rPr>
            </w:r>
            <w:r w:rsidR="00C90B13">
              <w:rPr>
                <w:noProof/>
                <w:webHidden/>
              </w:rPr>
              <w:fldChar w:fldCharType="separate"/>
            </w:r>
            <w:r w:rsidR="00980314">
              <w:rPr>
                <w:noProof/>
                <w:webHidden/>
              </w:rPr>
              <w:t>5</w:t>
            </w:r>
            <w:r w:rsidR="00C90B13">
              <w:rPr>
                <w:noProof/>
                <w:webHidden/>
              </w:rPr>
              <w:fldChar w:fldCharType="end"/>
            </w:r>
          </w:hyperlink>
        </w:p>
        <w:p w:rsidR="00C90B13" w:rsidRDefault="00EA5E11" w14:paraId="55FE17A9" w14:textId="0D0FBF90">
          <w:pPr>
            <w:pStyle w:val="TOC1"/>
            <w:tabs>
              <w:tab w:val="left" w:pos="660"/>
              <w:tab w:val="right" w:leader="dot" w:pos="10070"/>
            </w:tabs>
            <w:rPr>
              <w:rFonts w:asciiTheme="minorHAnsi" w:hAnsiTheme="minorHAnsi" w:eastAsiaTheme="minorEastAsia"/>
              <w:noProof/>
              <w:sz w:val="22"/>
            </w:rPr>
          </w:pPr>
          <w:hyperlink w:history="1" w:anchor="_Toc473880029">
            <w:r w:rsidRPr="00804687" w:rsidR="00C90B13">
              <w:rPr>
                <w:rStyle w:val="Hyperlink"/>
                <w:noProof/>
              </w:rPr>
              <w:t>13.</w:t>
            </w:r>
            <w:r w:rsidR="00C90B13">
              <w:rPr>
                <w:rFonts w:asciiTheme="minorHAnsi" w:hAnsiTheme="minorHAnsi" w:eastAsiaTheme="minorEastAsia"/>
                <w:noProof/>
                <w:sz w:val="22"/>
              </w:rPr>
              <w:tab/>
            </w:r>
            <w:r w:rsidRPr="00804687" w:rsidR="00C90B13">
              <w:rPr>
                <w:rStyle w:val="Hyperlink"/>
                <w:noProof/>
              </w:rPr>
              <w:t>Estimates of Other Total Annual Cost Burden to Respondents or Record Keepers</w:t>
            </w:r>
            <w:r w:rsidR="00C90B13">
              <w:rPr>
                <w:noProof/>
                <w:webHidden/>
              </w:rPr>
              <w:tab/>
            </w:r>
            <w:r w:rsidR="00C90B13">
              <w:rPr>
                <w:noProof/>
                <w:webHidden/>
              </w:rPr>
              <w:fldChar w:fldCharType="begin"/>
            </w:r>
            <w:r w:rsidR="00C90B13">
              <w:rPr>
                <w:noProof/>
                <w:webHidden/>
              </w:rPr>
              <w:instrText xml:space="preserve"> PAGEREF _Toc473880029 \h </w:instrText>
            </w:r>
            <w:r w:rsidR="00C90B13">
              <w:rPr>
                <w:noProof/>
                <w:webHidden/>
              </w:rPr>
            </w:r>
            <w:r w:rsidR="00C90B13">
              <w:rPr>
                <w:noProof/>
                <w:webHidden/>
              </w:rPr>
              <w:fldChar w:fldCharType="separate"/>
            </w:r>
            <w:r w:rsidR="00980314">
              <w:rPr>
                <w:noProof/>
                <w:webHidden/>
              </w:rPr>
              <w:t>7</w:t>
            </w:r>
            <w:r w:rsidR="00C90B13">
              <w:rPr>
                <w:noProof/>
                <w:webHidden/>
              </w:rPr>
              <w:fldChar w:fldCharType="end"/>
            </w:r>
          </w:hyperlink>
        </w:p>
        <w:p w:rsidR="00C90B13" w:rsidRDefault="00EA5E11" w14:paraId="55FE17AA" w14:textId="709CCCA3">
          <w:pPr>
            <w:pStyle w:val="TOC1"/>
            <w:tabs>
              <w:tab w:val="left" w:pos="660"/>
              <w:tab w:val="right" w:leader="dot" w:pos="10070"/>
            </w:tabs>
            <w:rPr>
              <w:rFonts w:asciiTheme="minorHAnsi" w:hAnsiTheme="minorHAnsi" w:eastAsiaTheme="minorEastAsia"/>
              <w:noProof/>
              <w:sz w:val="22"/>
            </w:rPr>
          </w:pPr>
          <w:hyperlink w:history="1" w:anchor="_Toc473880030">
            <w:r w:rsidRPr="00804687" w:rsidR="00C90B13">
              <w:rPr>
                <w:rStyle w:val="Hyperlink"/>
                <w:noProof/>
              </w:rPr>
              <w:t>14.</w:t>
            </w:r>
            <w:r w:rsidR="00C90B13">
              <w:rPr>
                <w:rFonts w:asciiTheme="minorHAnsi" w:hAnsiTheme="minorHAnsi" w:eastAsiaTheme="minorEastAsia"/>
                <w:noProof/>
                <w:sz w:val="22"/>
              </w:rPr>
              <w:tab/>
            </w:r>
            <w:r w:rsidRPr="00804687" w:rsidR="00C90B13">
              <w:rPr>
                <w:rStyle w:val="Hyperlink"/>
                <w:noProof/>
              </w:rPr>
              <w:t>Annualized Cost to the Government</w:t>
            </w:r>
            <w:r w:rsidR="00C90B13">
              <w:rPr>
                <w:noProof/>
                <w:webHidden/>
              </w:rPr>
              <w:tab/>
            </w:r>
            <w:r w:rsidR="00C90B13">
              <w:rPr>
                <w:noProof/>
                <w:webHidden/>
              </w:rPr>
              <w:fldChar w:fldCharType="begin"/>
            </w:r>
            <w:r w:rsidR="00C90B13">
              <w:rPr>
                <w:noProof/>
                <w:webHidden/>
              </w:rPr>
              <w:instrText xml:space="preserve"> PAGEREF _Toc473880030 \h </w:instrText>
            </w:r>
            <w:r w:rsidR="00C90B13">
              <w:rPr>
                <w:noProof/>
                <w:webHidden/>
              </w:rPr>
            </w:r>
            <w:r w:rsidR="00C90B13">
              <w:rPr>
                <w:noProof/>
                <w:webHidden/>
              </w:rPr>
              <w:fldChar w:fldCharType="separate"/>
            </w:r>
            <w:r w:rsidR="00980314">
              <w:rPr>
                <w:noProof/>
                <w:webHidden/>
              </w:rPr>
              <w:t>7</w:t>
            </w:r>
            <w:r w:rsidR="00C90B13">
              <w:rPr>
                <w:noProof/>
                <w:webHidden/>
              </w:rPr>
              <w:fldChar w:fldCharType="end"/>
            </w:r>
          </w:hyperlink>
        </w:p>
        <w:p w:rsidR="00C90B13" w:rsidRDefault="00EA5E11" w14:paraId="55FE17AB" w14:textId="65BE7515">
          <w:pPr>
            <w:pStyle w:val="TOC1"/>
            <w:tabs>
              <w:tab w:val="left" w:pos="660"/>
              <w:tab w:val="right" w:leader="dot" w:pos="10070"/>
            </w:tabs>
            <w:rPr>
              <w:rFonts w:asciiTheme="minorHAnsi" w:hAnsiTheme="minorHAnsi" w:eastAsiaTheme="minorEastAsia"/>
              <w:noProof/>
              <w:sz w:val="22"/>
            </w:rPr>
          </w:pPr>
          <w:hyperlink w:history="1" w:anchor="_Toc473880031">
            <w:r w:rsidRPr="00804687" w:rsidR="00C90B13">
              <w:rPr>
                <w:rStyle w:val="Hyperlink"/>
                <w:noProof/>
              </w:rPr>
              <w:t>15.</w:t>
            </w:r>
            <w:r w:rsidR="00C90B13">
              <w:rPr>
                <w:rFonts w:asciiTheme="minorHAnsi" w:hAnsiTheme="minorHAnsi" w:eastAsiaTheme="minorEastAsia"/>
                <w:noProof/>
                <w:sz w:val="22"/>
              </w:rPr>
              <w:tab/>
            </w:r>
            <w:r w:rsidRPr="00804687" w:rsidR="00C90B13">
              <w:rPr>
                <w:rStyle w:val="Hyperlink"/>
                <w:noProof/>
              </w:rPr>
              <w:t>Explanation for Program Changes or Adjustments</w:t>
            </w:r>
            <w:r w:rsidR="00C90B13">
              <w:rPr>
                <w:noProof/>
                <w:webHidden/>
              </w:rPr>
              <w:tab/>
            </w:r>
            <w:r w:rsidR="00C90B13">
              <w:rPr>
                <w:noProof/>
                <w:webHidden/>
              </w:rPr>
              <w:fldChar w:fldCharType="begin"/>
            </w:r>
            <w:r w:rsidR="00C90B13">
              <w:rPr>
                <w:noProof/>
                <w:webHidden/>
              </w:rPr>
              <w:instrText xml:space="preserve"> PAGEREF _Toc473880031 \h </w:instrText>
            </w:r>
            <w:r w:rsidR="00C90B13">
              <w:rPr>
                <w:noProof/>
                <w:webHidden/>
              </w:rPr>
            </w:r>
            <w:r w:rsidR="00C90B13">
              <w:rPr>
                <w:noProof/>
                <w:webHidden/>
              </w:rPr>
              <w:fldChar w:fldCharType="separate"/>
            </w:r>
            <w:r w:rsidR="00980314">
              <w:rPr>
                <w:noProof/>
                <w:webHidden/>
              </w:rPr>
              <w:t>7</w:t>
            </w:r>
            <w:r w:rsidR="00C90B13">
              <w:rPr>
                <w:noProof/>
                <w:webHidden/>
              </w:rPr>
              <w:fldChar w:fldCharType="end"/>
            </w:r>
          </w:hyperlink>
        </w:p>
        <w:p w:rsidR="00C90B13" w:rsidRDefault="00EA5E11" w14:paraId="55FE17AC" w14:textId="1F75EAEC">
          <w:pPr>
            <w:pStyle w:val="TOC1"/>
            <w:tabs>
              <w:tab w:val="left" w:pos="660"/>
              <w:tab w:val="right" w:leader="dot" w:pos="10070"/>
            </w:tabs>
            <w:rPr>
              <w:rFonts w:asciiTheme="minorHAnsi" w:hAnsiTheme="minorHAnsi" w:eastAsiaTheme="minorEastAsia"/>
              <w:noProof/>
              <w:sz w:val="22"/>
            </w:rPr>
          </w:pPr>
          <w:hyperlink w:history="1" w:anchor="_Toc473880032">
            <w:r w:rsidRPr="00804687" w:rsidR="00C90B13">
              <w:rPr>
                <w:rStyle w:val="Hyperlink"/>
                <w:noProof/>
              </w:rPr>
              <w:t>16.</w:t>
            </w:r>
            <w:r w:rsidR="00C90B13">
              <w:rPr>
                <w:rFonts w:asciiTheme="minorHAnsi" w:hAnsiTheme="minorHAnsi" w:eastAsiaTheme="minorEastAsia"/>
                <w:noProof/>
                <w:sz w:val="22"/>
              </w:rPr>
              <w:tab/>
            </w:r>
            <w:r w:rsidRPr="00804687" w:rsidR="00C90B13">
              <w:rPr>
                <w:rStyle w:val="Hyperlink"/>
                <w:noProof/>
              </w:rPr>
              <w:t>Plans for Tabulation and Publication and Project Time Schedule</w:t>
            </w:r>
            <w:r w:rsidR="00C90B13">
              <w:rPr>
                <w:noProof/>
                <w:webHidden/>
              </w:rPr>
              <w:tab/>
            </w:r>
            <w:r w:rsidR="00C90B13">
              <w:rPr>
                <w:noProof/>
                <w:webHidden/>
              </w:rPr>
              <w:fldChar w:fldCharType="begin"/>
            </w:r>
            <w:r w:rsidR="00C90B13">
              <w:rPr>
                <w:noProof/>
                <w:webHidden/>
              </w:rPr>
              <w:instrText xml:space="preserve"> PAGEREF _Toc473880032 \h </w:instrText>
            </w:r>
            <w:r w:rsidR="00C90B13">
              <w:rPr>
                <w:noProof/>
                <w:webHidden/>
              </w:rPr>
            </w:r>
            <w:r w:rsidR="00C90B13">
              <w:rPr>
                <w:noProof/>
                <w:webHidden/>
              </w:rPr>
              <w:fldChar w:fldCharType="separate"/>
            </w:r>
            <w:r w:rsidR="00980314">
              <w:rPr>
                <w:noProof/>
                <w:webHidden/>
              </w:rPr>
              <w:t>7</w:t>
            </w:r>
            <w:r w:rsidR="00C90B13">
              <w:rPr>
                <w:noProof/>
                <w:webHidden/>
              </w:rPr>
              <w:fldChar w:fldCharType="end"/>
            </w:r>
          </w:hyperlink>
        </w:p>
        <w:p w:rsidR="00C90B13" w:rsidRDefault="00EA5E11" w14:paraId="55FE17AD" w14:textId="7A7835F6">
          <w:pPr>
            <w:pStyle w:val="TOC1"/>
            <w:tabs>
              <w:tab w:val="left" w:pos="660"/>
              <w:tab w:val="right" w:leader="dot" w:pos="10070"/>
            </w:tabs>
            <w:rPr>
              <w:rFonts w:asciiTheme="minorHAnsi" w:hAnsiTheme="minorHAnsi" w:eastAsiaTheme="minorEastAsia"/>
              <w:noProof/>
              <w:sz w:val="22"/>
            </w:rPr>
          </w:pPr>
          <w:hyperlink w:history="1" w:anchor="_Toc473880033">
            <w:r w:rsidRPr="00804687" w:rsidR="00C90B13">
              <w:rPr>
                <w:rStyle w:val="Hyperlink"/>
                <w:noProof/>
              </w:rPr>
              <w:t>17.</w:t>
            </w:r>
            <w:r w:rsidR="00C90B13">
              <w:rPr>
                <w:rFonts w:asciiTheme="minorHAnsi" w:hAnsiTheme="minorHAnsi" w:eastAsiaTheme="minorEastAsia"/>
                <w:noProof/>
                <w:sz w:val="22"/>
              </w:rPr>
              <w:tab/>
            </w:r>
            <w:r w:rsidRPr="00804687" w:rsidR="00C90B13">
              <w:rPr>
                <w:rStyle w:val="Hyperlink"/>
                <w:noProof/>
              </w:rPr>
              <w:t>Reason(s) Display of OMB Expiration Date is Inappropriate</w:t>
            </w:r>
            <w:r w:rsidR="00C90B13">
              <w:rPr>
                <w:noProof/>
                <w:webHidden/>
              </w:rPr>
              <w:tab/>
            </w:r>
            <w:r w:rsidR="00C90B13">
              <w:rPr>
                <w:noProof/>
                <w:webHidden/>
              </w:rPr>
              <w:fldChar w:fldCharType="begin"/>
            </w:r>
            <w:r w:rsidR="00C90B13">
              <w:rPr>
                <w:noProof/>
                <w:webHidden/>
              </w:rPr>
              <w:instrText xml:space="preserve"> PAGEREF _Toc473880033 \h </w:instrText>
            </w:r>
            <w:r w:rsidR="00C90B13">
              <w:rPr>
                <w:noProof/>
                <w:webHidden/>
              </w:rPr>
            </w:r>
            <w:r w:rsidR="00C90B13">
              <w:rPr>
                <w:noProof/>
                <w:webHidden/>
              </w:rPr>
              <w:fldChar w:fldCharType="separate"/>
            </w:r>
            <w:r w:rsidR="00980314">
              <w:rPr>
                <w:noProof/>
                <w:webHidden/>
              </w:rPr>
              <w:t>8</w:t>
            </w:r>
            <w:r w:rsidR="00C90B13">
              <w:rPr>
                <w:noProof/>
                <w:webHidden/>
              </w:rPr>
              <w:fldChar w:fldCharType="end"/>
            </w:r>
          </w:hyperlink>
        </w:p>
        <w:p w:rsidR="00C90B13" w:rsidRDefault="00EA5E11" w14:paraId="55FE17AE" w14:textId="52ED171A">
          <w:pPr>
            <w:pStyle w:val="TOC1"/>
            <w:tabs>
              <w:tab w:val="left" w:pos="660"/>
              <w:tab w:val="right" w:leader="dot" w:pos="10070"/>
            </w:tabs>
            <w:rPr>
              <w:rFonts w:asciiTheme="minorHAnsi" w:hAnsiTheme="minorHAnsi" w:eastAsiaTheme="minorEastAsia"/>
              <w:noProof/>
              <w:sz w:val="22"/>
            </w:rPr>
          </w:pPr>
          <w:hyperlink w:history="1" w:anchor="_Toc473880034">
            <w:r w:rsidRPr="00804687" w:rsidR="00C90B13">
              <w:rPr>
                <w:rStyle w:val="Hyperlink"/>
                <w:noProof/>
              </w:rPr>
              <w:t>18.</w:t>
            </w:r>
            <w:r w:rsidR="00C90B13">
              <w:rPr>
                <w:rFonts w:asciiTheme="minorHAnsi" w:hAnsiTheme="minorHAnsi" w:eastAsiaTheme="minorEastAsia"/>
                <w:noProof/>
                <w:sz w:val="22"/>
              </w:rPr>
              <w:tab/>
            </w:r>
            <w:r w:rsidRPr="00804687" w:rsidR="00C90B13">
              <w:rPr>
                <w:rStyle w:val="Hyperlink"/>
                <w:noProof/>
              </w:rPr>
              <w:t>Exceptions to Certification for Paperwork Reduction Act Submissions</w:t>
            </w:r>
            <w:r w:rsidR="00C90B13">
              <w:rPr>
                <w:noProof/>
                <w:webHidden/>
              </w:rPr>
              <w:tab/>
            </w:r>
            <w:r w:rsidR="00C90B13">
              <w:rPr>
                <w:noProof/>
                <w:webHidden/>
              </w:rPr>
              <w:fldChar w:fldCharType="begin"/>
            </w:r>
            <w:r w:rsidR="00C90B13">
              <w:rPr>
                <w:noProof/>
                <w:webHidden/>
              </w:rPr>
              <w:instrText xml:space="preserve"> PAGEREF _Toc473880034 \h </w:instrText>
            </w:r>
            <w:r w:rsidR="00C90B13">
              <w:rPr>
                <w:noProof/>
                <w:webHidden/>
              </w:rPr>
            </w:r>
            <w:r w:rsidR="00C90B13">
              <w:rPr>
                <w:noProof/>
                <w:webHidden/>
              </w:rPr>
              <w:fldChar w:fldCharType="separate"/>
            </w:r>
            <w:r w:rsidR="00980314">
              <w:rPr>
                <w:noProof/>
                <w:webHidden/>
              </w:rPr>
              <w:t>8</w:t>
            </w:r>
            <w:r w:rsidR="00C90B13">
              <w:rPr>
                <w:noProof/>
                <w:webHidden/>
              </w:rPr>
              <w:fldChar w:fldCharType="end"/>
            </w:r>
          </w:hyperlink>
        </w:p>
        <w:p w:rsidR="00C90B13" w:rsidRDefault="00EA5E11" w14:paraId="55FE17AF" w14:textId="3D0224AC">
          <w:pPr>
            <w:pStyle w:val="TOC1"/>
            <w:tabs>
              <w:tab w:val="right" w:leader="dot" w:pos="10070"/>
            </w:tabs>
            <w:rPr>
              <w:rFonts w:asciiTheme="minorHAnsi" w:hAnsiTheme="minorHAnsi" w:eastAsiaTheme="minorEastAsia"/>
              <w:noProof/>
              <w:sz w:val="22"/>
            </w:rPr>
          </w:pPr>
          <w:hyperlink w:history="1" w:anchor="_Toc473880035">
            <w:r w:rsidRPr="00804687" w:rsidR="00C90B13">
              <w:rPr>
                <w:rStyle w:val="Hyperlink"/>
                <w:noProof/>
              </w:rPr>
              <w:t>Attachments</w:t>
            </w:r>
            <w:r w:rsidR="00C90B13">
              <w:rPr>
                <w:noProof/>
                <w:webHidden/>
              </w:rPr>
              <w:tab/>
            </w:r>
            <w:r w:rsidR="00C90B13">
              <w:rPr>
                <w:noProof/>
                <w:webHidden/>
              </w:rPr>
              <w:fldChar w:fldCharType="begin"/>
            </w:r>
            <w:r w:rsidR="00C90B13">
              <w:rPr>
                <w:noProof/>
                <w:webHidden/>
              </w:rPr>
              <w:instrText xml:space="preserve"> PAGEREF _Toc473880035 \h </w:instrText>
            </w:r>
            <w:r w:rsidR="00C90B13">
              <w:rPr>
                <w:noProof/>
                <w:webHidden/>
              </w:rPr>
            </w:r>
            <w:r w:rsidR="00C90B13">
              <w:rPr>
                <w:noProof/>
                <w:webHidden/>
              </w:rPr>
              <w:fldChar w:fldCharType="separate"/>
            </w:r>
            <w:r w:rsidR="00980314">
              <w:rPr>
                <w:noProof/>
                <w:webHidden/>
              </w:rPr>
              <w:t>8</w:t>
            </w:r>
            <w:r w:rsidR="00C90B13">
              <w:rPr>
                <w:noProof/>
                <w:webHidden/>
              </w:rPr>
              <w:fldChar w:fldCharType="end"/>
            </w:r>
          </w:hyperlink>
        </w:p>
        <w:p w:rsidR="004A13E8" w:rsidRDefault="004A13E8" w14:paraId="55FE17B0" w14:textId="77777777">
          <w:r>
            <w:rPr>
              <w:b/>
              <w:bCs/>
              <w:noProof/>
            </w:rPr>
            <w:fldChar w:fldCharType="end"/>
          </w:r>
        </w:p>
      </w:sdtContent>
    </w:sdt>
    <w:p w:rsidR="004A13E8" w:rsidRDefault="004A13E8" w14:paraId="55FE17B1" w14:textId="77777777">
      <w:r>
        <w:br w:type="page"/>
      </w:r>
    </w:p>
    <w:p w:rsidR="004A13E8" w:rsidP="004A13E8" w:rsidRDefault="00F548DB" w14:paraId="55FE17B2" w14:textId="50F69BDF">
      <w:pPr>
        <w:pStyle w:val="Subtitle"/>
      </w:pPr>
      <w:r w:rsidRPr="006E7652">
        <w:rPr>
          <w:b/>
          <w:noProof/>
        </w:rPr>
        <w:lastRenderedPageBreak/>
        <mc:AlternateContent>
          <mc:Choice Requires="wps">
            <w:drawing>
              <wp:anchor distT="0" distB="0" distL="114300" distR="114300" simplePos="0" relativeHeight="251658240" behindDoc="1" locked="0" layoutInCell="1" allowOverlap="1" wp14:editId="62EDC4D5" wp14:anchorId="55FE182F">
                <wp:simplePos x="0" y="0"/>
                <wp:positionH relativeFrom="margin">
                  <wp:align>left</wp:align>
                </wp:positionH>
                <wp:positionV relativeFrom="margin">
                  <wp:align>top</wp:align>
                </wp:positionV>
                <wp:extent cx="6534150" cy="2447925"/>
                <wp:effectExtent l="0" t="0" r="19050" b="28575"/>
                <wp:wrapTight wrapText="bothSides">
                  <wp:wrapPolygon edited="0">
                    <wp:start x="0" y="0"/>
                    <wp:lineTo x="0" y="21684"/>
                    <wp:lineTo x="21600" y="21684"/>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2447925"/>
                        </a:xfrm>
                        <a:prstGeom prst="rect">
                          <a:avLst/>
                        </a:prstGeom>
                        <a:solidFill>
                          <a:srgbClr val="FFFFFF"/>
                        </a:solidFill>
                        <a:ln w="9525">
                          <a:solidFill>
                            <a:srgbClr val="000000"/>
                          </a:solidFill>
                          <a:miter lim="800000"/>
                          <a:headEnd/>
                          <a:tailEnd/>
                        </a:ln>
                      </wps:spPr>
                      <wps:txbx>
                        <w:txbxContent>
                          <w:p w:rsidRPr="00DA0BBE" w:rsidR="008E421E" w:rsidP="004A13E8" w:rsidRDefault="008E421E" w14:paraId="55FE1837" w14:textId="7EF0D465">
                            <w:pPr>
                              <w:pStyle w:val="Bullets"/>
                              <w:rPr>
                                <w:b/>
                              </w:rPr>
                            </w:pPr>
                            <w:r w:rsidRPr="00DA0BBE">
                              <w:rPr>
                                <w:b/>
                              </w:rPr>
                              <w:t xml:space="preserve">Goal of the study:  </w:t>
                            </w:r>
                            <w:r w:rsidRPr="00DA0BBE">
                              <w:t>To record specimen metadata and patient data related to test order requests submitted by external partners (</w:t>
                            </w:r>
                            <w:r>
                              <w:t>state public health laboratories (SPHLs)</w:t>
                            </w:r>
                            <w:r w:rsidRPr="00DA0BBE">
                              <w:t xml:space="preserve">, International organizations, federal institutions, hospitals, doctor’s offices, etc.) to the CDC Infectious Diseases testing laboratories. </w:t>
                            </w:r>
                          </w:p>
                          <w:p w:rsidRPr="00DA0BBE" w:rsidR="008E421E" w:rsidP="00F100DA" w:rsidRDefault="008E421E" w14:paraId="55FE1838" w14:textId="7130EC09">
                            <w:pPr>
                              <w:pStyle w:val="Bullets"/>
                              <w:rPr>
                                <w:b/>
                              </w:rPr>
                            </w:pPr>
                            <w:r w:rsidRPr="00DA0BBE">
                              <w:rPr>
                                <w:b/>
                              </w:rPr>
                              <w:t xml:space="preserve">Intended use of the resulting data: </w:t>
                            </w:r>
                            <w:r w:rsidRPr="00DA0BBE">
                              <w:t>The collected specimen and patient data are used to help determine the appropriate testing that will be performed by the CDC testing laboratories.</w:t>
                            </w:r>
                          </w:p>
                          <w:p w:rsidRPr="00DA0BBE" w:rsidR="008E421E" w:rsidP="004A13E8" w:rsidRDefault="008E421E" w14:paraId="55FE1839" w14:textId="5BCB62DB">
                            <w:pPr>
                              <w:pStyle w:val="Bullets"/>
                              <w:rPr>
                                <w:b/>
                              </w:rPr>
                            </w:pPr>
                            <w:r w:rsidRPr="00DA0BBE">
                              <w:rPr>
                                <w:b/>
                              </w:rPr>
                              <w:t xml:space="preserve">Methods to be used to collect: </w:t>
                            </w:r>
                            <w:r w:rsidRPr="00DA0BBE">
                              <w:t>1.)</w:t>
                            </w:r>
                            <w:r w:rsidRPr="00DA0BBE">
                              <w:rPr>
                                <w:b/>
                              </w:rPr>
                              <w:t xml:space="preserve"> </w:t>
                            </w:r>
                            <w:r w:rsidRPr="00DA0BBE">
                              <w:rPr>
                                <w:i/>
                              </w:rPr>
                              <w:t>CDC Specimen Submission Form 50.34 v3.</w:t>
                            </w:r>
                            <w:r>
                              <w:rPr>
                                <w:i/>
                              </w:rPr>
                              <w:t>3</w:t>
                            </w:r>
                            <w:r w:rsidRPr="00DA0BBE">
                              <w:rPr>
                                <w:i/>
                              </w:rPr>
                              <w:t>.</w:t>
                            </w:r>
                            <w:r>
                              <w:rPr>
                                <w:i/>
                              </w:rPr>
                              <w:t>3</w:t>
                            </w:r>
                            <w:r w:rsidRPr="00DA0BBE">
                              <w:t xml:space="preserve"> and 2.) </w:t>
                            </w:r>
                            <w:r w:rsidRPr="00DA0BBE">
                              <w:rPr>
                                <w:i/>
                              </w:rPr>
                              <w:t xml:space="preserve">Global File Accessioning Template </w:t>
                            </w:r>
                            <w:r>
                              <w:rPr>
                                <w:i/>
                              </w:rPr>
                              <w:t>v4.7</w:t>
                            </w:r>
                            <w:r w:rsidRPr="00DA0BBE">
                              <w:t>.</w:t>
                            </w:r>
                          </w:p>
                          <w:p w:rsidRPr="00DA0BBE" w:rsidR="008E421E" w:rsidP="004A13E8" w:rsidRDefault="008E421E" w14:paraId="55FE183A" w14:textId="2D39A289">
                            <w:pPr>
                              <w:pStyle w:val="Bullets"/>
                              <w:rPr>
                                <w:b/>
                              </w:rPr>
                            </w:pPr>
                            <w:r w:rsidRPr="00DA0BBE">
                              <w:rPr>
                                <w:b/>
                              </w:rPr>
                              <w:t xml:space="preserve">The subpopulation to be studied: </w:t>
                            </w:r>
                            <w:r w:rsidRPr="00DA0BBE">
                              <w:t>None.</w:t>
                            </w:r>
                          </w:p>
                          <w:p w:rsidRPr="00DA0BBE" w:rsidR="008E421E" w:rsidP="004A13E8" w:rsidRDefault="008E421E" w14:paraId="55FE183C" w14:textId="69716D7F">
                            <w:pPr>
                              <w:pStyle w:val="Bullets"/>
                            </w:pPr>
                            <w:r w:rsidRPr="00DA0BBE">
                              <w:rPr>
                                <w:b/>
                              </w:rPr>
                              <w:t xml:space="preserve">How data will be analyzed: </w:t>
                            </w:r>
                            <w:r w:rsidRPr="00DA0BBE">
                              <w:t>The data will be analyzed based on the type of test order requested, external partner location, accompanying patient history, and epidemiological information provided.</w:t>
                            </w:r>
                          </w:p>
                          <w:p w:rsidR="008E421E" w:rsidP="009A79E1" w:rsidRDefault="008E421E" w14:paraId="622EF39E" w14:textId="594AAC4F"/>
                          <w:p w:rsidR="008E421E" w:rsidP="004A13E8" w:rsidRDefault="008E421E" w14:paraId="55FE183D" w14:textId="7777777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4.5pt;height:192.7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">
                <v:textbox>
                  <w:txbxContent>
                    <w:p w:rsidRPr="00DA0BBE" w:rsidR="008E421E" w:rsidP="004A13E8" w:rsidRDefault="008E421E" w14:paraId="55FE1837" w14:textId="7EF0D465">
                      <w:pPr>
                        <w:pStyle w:val="Bullets"/>
                        <w:rPr>
                          <w:b/>
                        </w:rPr>
                      </w:pPr>
                      <w:r w:rsidRPr="00DA0BBE">
                        <w:rPr>
                          <w:b/>
                        </w:rPr>
                        <w:t xml:space="preserve">Goal of the study:  </w:t>
                      </w:r>
                      <w:r w:rsidRPr="00DA0BBE">
                        <w:t>To record specimen metadata and patient data related to test order requests submitted by external partners (</w:t>
                      </w:r>
                      <w:r>
                        <w:t>state public health laboratories (SPHLs)</w:t>
                      </w:r>
                      <w:r w:rsidRPr="00DA0BBE">
                        <w:t xml:space="preserve">, International organizations, federal institutions, hospitals, doctor’s offices, etc.) to the CDC Infectious Diseases testing laboratories. </w:t>
                      </w:r>
                    </w:p>
                    <w:p w:rsidRPr="00DA0BBE" w:rsidR="008E421E" w:rsidP="00F100DA" w:rsidRDefault="008E421E" w14:paraId="55FE1838" w14:textId="7130EC09">
                      <w:pPr>
                        <w:pStyle w:val="Bullets"/>
                        <w:rPr>
                          <w:b/>
                        </w:rPr>
                      </w:pPr>
                      <w:r w:rsidRPr="00DA0BBE">
                        <w:rPr>
                          <w:b/>
                        </w:rPr>
                        <w:t xml:space="preserve">Intended use of the resulting data: </w:t>
                      </w:r>
                      <w:r w:rsidRPr="00DA0BBE">
                        <w:t>The collected specimen and patient data are used to help determine the appropriate testing that will be performed by the CDC testing laboratories.</w:t>
                      </w:r>
                    </w:p>
                    <w:p w:rsidRPr="00DA0BBE" w:rsidR="008E421E" w:rsidP="004A13E8" w:rsidRDefault="008E421E" w14:paraId="55FE1839" w14:textId="5BCB62DB">
                      <w:pPr>
                        <w:pStyle w:val="Bullets"/>
                        <w:rPr>
                          <w:b/>
                        </w:rPr>
                      </w:pPr>
                      <w:r w:rsidRPr="00DA0BBE">
                        <w:rPr>
                          <w:b/>
                        </w:rPr>
                        <w:t xml:space="preserve">Methods to be used to collect: </w:t>
                      </w:r>
                      <w:r w:rsidRPr="00DA0BBE">
                        <w:t>1.)</w:t>
                      </w:r>
                      <w:r w:rsidRPr="00DA0BBE">
                        <w:rPr>
                          <w:b/>
                        </w:rPr>
                        <w:t xml:space="preserve"> </w:t>
                      </w:r>
                      <w:r w:rsidRPr="00DA0BBE">
                        <w:rPr>
                          <w:i/>
                        </w:rPr>
                        <w:t>CDC Specimen Submission Form 50.34 v3.</w:t>
                      </w:r>
                      <w:r>
                        <w:rPr>
                          <w:i/>
                        </w:rPr>
                        <w:t>3</w:t>
                      </w:r>
                      <w:r w:rsidRPr="00DA0BBE">
                        <w:rPr>
                          <w:i/>
                        </w:rPr>
                        <w:t>.</w:t>
                      </w:r>
                      <w:r>
                        <w:rPr>
                          <w:i/>
                        </w:rPr>
                        <w:t>3</w:t>
                      </w:r>
                      <w:r w:rsidRPr="00DA0BBE">
                        <w:t xml:space="preserve"> and 2.) </w:t>
                      </w:r>
                      <w:r w:rsidRPr="00DA0BBE">
                        <w:rPr>
                          <w:i/>
                        </w:rPr>
                        <w:t xml:space="preserve">Global File Accessioning Template </w:t>
                      </w:r>
                      <w:r>
                        <w:rPr>
                          <w:i/>
                        </w:rPr>
                        <w:t>v4.7</w:t>
                      </w:r>
                      <w:r w:rsidRPr="00DA0BBE">
                        <w:t>.</w:t>
                      </w:r>
                    </w:p>
                    <w:p w:rsidRPr="00DA0BBE" w:rsidR="008E421E" w:rsidP="004A13E8" w:rsidRDefault="008E421E" w14:paraId="55FE183A" w14:textId="2D39A289">
                      <w:pPr>
                        <w:pStyle w:val="Bullets"/>
                        <w:rPr>
                          <w:b/>
                        </w:rPr>
                      </w:pPr>
                      <w:r w:rsidRPr="00DA0BBE">
                        <w:rPr>
                          <w:b/>
                        </w:rPr>
                        <w:t xml:space="preserve">The subpopulation to be studied: </w:t>
                      </w:r>
                      <w:r w:rsidRPr="00DA0BBE">
                        <w:t>None.</w:t>
                      </w:r>
                    </w:p>
                    <w:p w:rsidRPr="00DA0BBE" w:rsidR="008E421E" w:rsidP="004A13E8" w:rsidRDefault="008E421E" w14:paraId="55FE183C" w14:textId="69716D7F">
                      <w:pPr>
                        <w:pStyle w:val="Bullets"/>
                      </w:pPr>
                      <w:r w:rsidRPr="00DA0BBE">
                        <w:rPr>
                          <w:b/>
                        </w:rPr>
                        <w:t xml:space="preserve">How data will be analyzed: </w:t>
                      </w:r>
                      <w:r w:rsidRPr="00DA0BBE">
                        <w:t>The data will be analyzed based on the type of test order requested, external partner location, accompanying patient history, and epidemiological information provided.</w:t>
                      </w:r>
                    </w:p>
                    <w:p w:rsidR="008E421E" w:rsidP="009A79E1" w:rsidRDefault="008E421E" w14:paraId="622EF39E" w14:textId="594AAC4F"/>
                    <w:p w:rsidR="008E421E" w:rsidP="004A13E8" w:rsidRDefault="008E421E" w14:paraId="55FE183D" w14:textId="77777777"/>
                  </w:txbxContent>
                </v:textbox>
                <w10:wrap type="tight" anchorx="margin" anchory="margin"/>
              </v:shape>
            </w:pict>
          </mc:Fallback>
        </mc:AlternateContent>
      </w:r>
    </w:p>
    <w:p w:rsidR="004A13E8" w:rsidP="004A13E8" w:rsidRDefault="004A13E8" w14:paraId="55FE17B3" w14:textId="77777777">
      <w:pPr>
        <w:pStyle w:val="Heading1"/>
      </w:pPr>
      <w:bookmarkStart w:name="_Toc473880017" w:id="2"/>
      <w:r w:rsidRPr="004A13E8">
        <w:t>Circumstances Making the Collection of Information Necessary</w:t>
      </w:r>
      <w:bookmarkEnd w:id="2"/>
    </w:p>
    <w:p w:rsidR="007F46E9" w:rsidP="00605E54" w:rsidRDefault="00605E54" w14:paraId="55FE17B5" w14:textId="3AC3996E">
      <w:r>
        <w:t>This is a</w:t>
      </w:r>
      <w:r w:rsidR="001E1F19">
        <w:t>n</w:t>
      </w:r>
      <w:r>
        <w:t xml:space="preserve"> existing collection in use without an OMB control number. </w:t>
      </w:r>
      <w:r w:rsidR="00433391">
        <w:t>The Centers for Disease Control and Prevention (CDC)</w:t>
      </w:r>
      <w:r>
        <w:t xml:space="preserve"> </w:t>
      </w:r>
      <w:r w:rsidR="00433391">
        <w:t>is</w:t>
      </w:r>
      <w:r>
        <w:t xml:space="preserve"> requesting approval for </w:t>
      </w:r>
      <w:r w:rsidR="00871958">
        <w:t>three years</w:t>
      </w:r>
      <w:r>
        <w:t>.</w:t>
      </w:r>
    </w:p>
    <w:p w:rsidR="00605E54" w:rsidP="00605E54" w:rsidRDefault="00605E54" w14:paraId="434E9E68" w14:textId="7ECEF09C">
      <w:pPr>
        <w:rPr>
          <w:color w:val="000000"/>
        </w:rPr>
      </w:pPr>
      <w:r w:rsidRPr="00F8108D">
        <w:rPr>
          <w:color w:val="000000"/>
        </w:rPr>
        <w:t xml:space="preserve">The CDC Infectious Disease (ID) Laboratories launched a major laboratory informatics project </w:t>
      </w:r>
      <w:r>
        <w:rPr>
          <w:color w:val="000000"/>
        </w:rPr>
        <w:t xml:space="preserve">in </w:t>
      </w:r>
      <w:r w:rsidRPr="00F8108D">
        <w:rPr>
          <w:color w:val="000000"/>
        </w:rPr>
        <w:t xml:space="preserve">2004 to implement a single interoperable Laboratory Information Management System (LIMS), in all </w:t>
      </w:r>
      <w:r w:rsidR="003B349F">
        <w:rPr>
          <w:color w:val="000000"/>
        </w:rPr>
        <w:t xml:space="preserve">infectious diseases </w:t>
      </w:r>
      <w:r>
        <w:rPr>
          <w:color w:val="000000"/>
        </w:rPr>
        <w:t>specimen-testing</w:t>
      </w:r>
      <w:r w:rsidRPr="00F8108D">
        <w:rPr>
          <w:color w:val="000000"/>
        </w:rPr>
        <w:t xml:space="preserve"> laboratories.</w:t>
      </w:r>
      <w:r>
        <w:rPr>
          <w:color w:val="000000"/>
        </w:rPr>
        <w:t xml:space="preserve">  The project was</w:t>
      </w:r>
      <w:r w:rsidR="005A7D15">
        <w:rPr>
          <w:color w:val="000000"/>
        </w:rPr>
        <w:t xml:space="preserve"> </w:t>
      </w:r>
      <w:r>
        <w:rPr>
          <w:color w:val="000000"/>
        </w:rPr>
        <w:t>initiated to resolve challenges in data sharing across laboratories that were encountered during the 2001 anthrax response.</w:t>
      </w:r>
      <w:r w:rsidRPr="00F8108D">
        <w:rPr>
          <w:color w:val="000000"/>
        </w:rPr>
        <w:t xml:space="preserve"> </w:t>
      </w:r>
      <w:r>
        <w:rPr>
          <w:color w:val="000000"/>
        </w:rPr>
        <w:t xml:space="preserve"> Over 90 </w:t>
      </w:r>
      <w:r w:rsidR="003B349F">
        <w:rPr>
          <w:color w:val="000000"/>
        </w:rPr>
        <w:t xml:space="preserve">CDC </w:t>
      </w:r>
      <w:r>
        <w:rPr>
          <w:color w:val="000000"/>
        </w:rPr>
        <w:t>laboratories were identified as needing to use the common LIMS.</w:t>
      </w:r>
    </w:p>
    <w:p w:rsidR="00605E54" w:rsidP="00605E54" w:rsidRDefault="00605E54" w14:paraId="013673EE" w14:textId="76C98C79">
      <w:r>
        <w:rPr>
          <w:color w:val="000000"/>
        </w:rPr>
        <w:t>Today the Enterprise Laboratory Information Management System (ELIMS) is a web-based system that Infectious Diseases laboratorians use to accession specimen data,</w:t>
      </w:r>
      <w:r w:rsidR="003B349F">
        <w:rPr>
          <w:color w:val="000000"/>
        </w:rPr>
        <w:t xml:space="preserve"> patient information,</w:t>
      </w:r>
      <w:r>
        <w:rPr>
          <w:color w:val="000000"/>
        </w:rPr>
        <w:t xml:space="preserve"> record results, report data, and manage other laboratory data and documentation. EILMS supports clinical, research, outbreak, and other relevant response work t</w:t>
      </w:r>
      <w:r w:rsidR="00E028EE">
        <w:rPr>
          <w:color w:val="000000"/>
        </w:rPr>
        <w:t>hrough managing multiple aspect</w:t>
      </w:r>
      <w:r>
        <w:rPr>
          <w:color w:val="000000"/>
        </w:rPr>
        <w:t>s of laboratory informatics. ELIM</w:t>
      </w:r>
      <w:r w:rsidR="00E028EE">
        <w:rPr>
          <w:color w:val="000000"/>
        </w:rPr>
        <w:t>S</w:t>
      </w:r>
      <w:r>
        <w:rPr>
          <w:color w:val="000000"/>
        </w:rPr>
        <w:t xml:space="preserve">’s organizational objectives seek to improve laboratory capacity and capabilities.  </w:t>
      </w:r>
    </w:p>
    <w:p w:rsidRPr="007F46E9" w:rsidR="007F46E9" w:rsidP="007F46E9" w:rsidRDefault="00FE24FB" w14:paraId="55FE17B6" w14:textId="3419A0CE">
      <w:r>
        <w:t>Authorizing legislation (Attachment 1) comes from Section 301 of the Public Health Service Act (42 U.S.C. 241).</w:t>
      </w:r>
    </w:p>
    <w:p w:rsidR="004A13E8" w:rsidP="004A13E8" w:rsidRDefault="004A13E8" w14:paraId="55FE17B7" w14:textId="77777777">
      <w:pPr>
        <w:pStyle w:val="Heading1"/>
      </w:pPr>
      <w:bookmarkStart w:name="_Toc473880018" w:id="3"/>
      <w:r>
        <w:t>Purpose and Use of Information Collection</w:t>
      </w:r>
      <w:bookmarkEnd w:id="3"/>
    </w:p>
    <w:p w:rsidR="003B6356" w:rsidP="003419B3" w:rsidRDefault="003B6356" w14:paraId="071B39C6" w14:textId="157C52E8">
      <w:r>
        <w:t xml:space="preserve">The collection of </w:t>
      </w:r>
      <w:r w:rsidR="00DE7437">
        <w:t xml:space="preserve">specimen </w:t>
      </w:r>
      <w:r>
        <w:t xml:space="preserve">information </w:t>
      </w:r>
      <w:r w:rsidR="00DE7437">
        <w:t xml:space="preserve">designated for testing by the CDC </w:t>
      </w:r>
      <w:r>
        <w:t>occurs</w:t>
      </w:r>
      <w:r w:rsidR="00DE7437">
        <w:t xml:space="preserve"> on a regular and recurring basis (multiple times per day)</w:t>
      </w:r>
      <w:r>
        <w:t xml:space="preserve"> </w:t>
      </w:r>
      <w:r w:rsidR="004F4976">
        <w:t>using</w:t>
      </w:r>
      <w:r>
        <w:t xml:space="preserve"> an electronic</w:t>
      </w:r>
      <w:r w:rsidR="00A976BB">
        <w:t xml:space="preserve"> PDF</w:t>
      </w:r>
      <w:r>
        <w:t xml:space="preserve"> file called the </w:t>
      </w:r>
      <w:r w:rsidRPr="003B6356">
        <w:rPr>
          <w:i/>
        </w:rPr>
        <w:t xml:space="preserve">CDC Specimen Submission </w:t>
      </w:r>
      <w:r w:rsidRPr="003B6356" w:rsidR="005775B1">
        <w:rPr>
          <w:i/>
        </w:rPr>
        <w:t>50.34</w:t>
      </w:r>
      <w:r w:rsidR="005775B1">
        <w:t xml:space="preserve"> </w:t>
      </w:r>
      <w:r w:rsidRPr="003B6356">
        <w:rPr>
          <w:i/>
        </w:rPr>
        <w:t xml:space="preserve">Form </w:t>
      </w:r>
      <w:r>
        <w:t xml:space="preserve">or an electronic </w:t>
      </w:r>
      <w:r w:rsidR="00A976BB">
        <w:t>XSLX</w:t>
      </w:r>
      <w:r>
        <w:t xml:space="preserve"> file called the </w:t>
      </w:r>
      <w:r w:rsidRPr="003B6356">
        <w:rPr>
          <w:i/>
        </w:rPr>
        <w:t xml:space="preserve">Global </w:t>
      </w:r>
      <w:r w:rsidR="00A976BB">
        <w:rPr>
          <w:i/>
        </w:rPr>
        <w:t>F</w:t>
      </w:r>
      <w:r w:rsidRPr="003B6356">
        <w:rPr>
          <w:i/>
        </w:rPr>
        <w:t>ile Accessioning Template</w:t>
      </w:r>
      <w:r>
        <w:t xml:space="preserve">.  </w:t>
      </w:r>
    </w:p>
    <w:p w:rsidR="003B6356" w:rsidP="003419B3" w:rsidRDefault="003B6356" w14:paraId="71A546D2" w14:textId="6B91BB6F">
      <w:r>
        <w:t>Hospitals, doctor offices, medical clinics, commercial testing labs, universities, state public health laborator</w:t>
      </w:r>
      <w:r w:rsidR="00DD7C38">
        <w:t xml:space="preserve">ies, U.S. federal institutions and </w:t>
      </w:r>
      <w:r>
        <w:t xml:space="preserve">foreign institutions use the </w:t>
      </w:r>
      <w:r w:rsidRPr="006C13AE">
        <w:rPr>
          <w:i/>
        </w:rPr>
        <w:t xml:space="preserve">CDC Specimen Submission Form 50.34 </w:t>
      </w:r>
      <w:r w:rsidR="00DD7C38">
        <w:t xml:space="preserve">when submitting </w:t>
      </w:r>
      <w:r>
        <w:t>a single specimen to CDC Infectious Diseases laboratories</w:t>
      </w:r>
      <w:r w:rsidR="005775B1">
        <w:t xml:space="preserve"> for testing.  The </w:t>
      </w:r>
      <w:r w:rsidRPr="006C13AE" w:rsidR="00DD7C38">
        <w:rPr>
          <w:i/>
        </w:rPr>
        <w:t xml:space="preserve">CDC Specimen Submission </w:t>
      </w:r>
      <w:r w:rsidR="005775B1">
        <w:rPr>
          <w:i/>
        </w:rPr>
        <w:t>50.34 Form</w:t>
      </w:r>
      <w:r w:rsidR="00FC0713">
        <w:rPr>
          <w:i/>
        </w:rPr>
        <w:t xml:space="preserve"> </w:t>
      </w:r>
      <w:r w:rsidR="00FC0713">
        <w:t xml:space="preserve">consists of over 200 data entry </w:t>
      </w:r>
      <w:r w:rsidR="00613780">
        <w:t xml:space="preserve">fields </w:t>
      </w:r>
      <w:r w:rsidR="004F4976">
        <w:t xml:space="preserve">(of which </w:t>
      </w:r>
      <w:r w:rsidR="00670BBF">
        <w:t xml:space="preserve">five </w:t>
      </w:r>
      <w:r w:rsidR="00DD7C38">
        <w:t>are mandatory</w:t>
      </w:r>
      <w:r w:rsidR="00FC0713">
        <w:t xml:space="preserve"> </w:t>
      </w:r>
      <w:r w:rsidR="00DD7C38">
        <w:t xml:space="preserve">fields </w:t>
      </w:r>
      <w:r w:rsidR="00FC0713">
        <w:t xml:space="preserve">that </w:t>
      </w:r>
      <w:r w:rsidR="00DD7C38">
        <w:t>must be completed by the submitter</w:t>
      </w:r>
      <w:r w:rsidR="004F4976">
        <w:t>)</w:t>
      </w:r>
      <w:r w:rsidR="005775B1">
        <w:rPr>
          <w:i/>
        </w:rPr>
        <w:t xml:space="preserve"> </w:t>
      </w:r>
      <w:r w:rsidR="004F4976">
        <w:t xml:space="preserve">that </w:t>
      </w:r>
      <w:r w:rsidR="00DD7C38">
        <w:t>captures information about the</w:t>
      </w:r>
      <w:r w:rsidRPr="00FC0713" w:rsidR="00FC0713">
        <w:t xml:space="preserve"> specimen </w:t>
      </w:r>
      <w:r w:rsidR="00DD7C38">
        <w:t xml:space="preserve">being sent </w:t>
      </w:r>
      <w:r w:rsidR="00090804">
        <w:lastRenderedPageBreak/>
        <w:t xml:space="preserve">to the </w:t>
      </w:r>
      <w:r w:rsidRPr="00FC0713" w:rsidR="00FC0713">
        <w:t>CDC for testing</w:t>
      </w:r>
      <w:r w:rsidR="00FC0713">
        <w:t>.</w:t>
      </w:r>
      <w:r w:rsidR="00613780">
        <w:t xml:space="preserve">  The type of data captured on </w:t>
      </w:r>
      <w:r w:rsidR="00DD7C38">
        <w:t xml:space="preserve">the </w:t>
      </w:r>
      <w:r w:rsidRPr="00DD7C38" w:rsidR="00DD7C38">
        <w:rPr>
          <w:i/>
        </w:rPr>
        <w:t>50.34 Form</w:t>
      </w:r>
      <w:r w:rsidR="00613780">
        <w:t xml:space="preserve"> identifies the origin of the specimen (human, animal, food, environmental, medical device or biologic), CDC test order name/code, specimen information, patient information (as applicable), animal information (as applicable) information about the submitting organization requesting the testing, patient history (as applicable), owner information and animal history (as applicable) and epidemiological information</w:t>
      </w:r>
      <w:r w:rsidR="00670BBF">
        <w:t>.</w:t>
      </w:r>
      <w:r w:rsidR="00613780">
        <w:t xml:space="preserve"> </w:t>
      </w:r>
      <w:r w:rsidR="00670BBF">
        <w:t>Th</w:t>
      </w:r>
      <w:r w:rsidR="00DD7C38">
        <w:t>e collection of this type of</w:t>
      </w:r>
      <w:r w:rsidR="00670BBF">
        <w:t xml:space="preserve"> data is pertinent in ensuring a specimen’s testing results are linked to the </w:t>
      </w:r>
      <w:r w:rsidR="00DD7C38">
        <w:t>correct</w:t>
      </w:r>
      <w:r w:rsidR="00540217">
        <w:t xml:space="preserve"> patient</w:t>
      </w:r>
      <w:r w:rsidR="00670BBF">
        <w:t xml:space="preserve"> </w:t>
      </w:r>
      <w:r w:rsidR="00540217">
        <w:t xml:space="preserve">and the final test reports are delivered to </w:t>
      </w:r>
      <w:r w:rsidR="00B446FE">
        <w:t>the appropriate submitting</w:t>
      </w:r>
      <w:r w:rsidR="00670BBF">
        <w:t xml:space="preserve"> organization</w:t>
      </w:r>
      <w:r w:rsidR="00C45225">
        <w:t xml:space="preserve"> to aid in making proper health-related decisions</w:t>
      </w:r>
      <w:r w:rsidR="00B446FE">
        <w:t xml:space="preserve"> related to the patient.</w:t>
      </w:r>
      <w:r w:rsidR="00C45225">
        <w:t xml:space="preserve">  </w:t>
      </w:r>
      <w:r w:rsidR="00540217">
        <w:t xml:space="preserve"> </w:t>
      </w:r>
      <w:r w:rsidR="00217C96">
        <w:t>Furthermore</w:t>
      </w:r>
      <w:r w:rsidR="00670BBF">
        <w:t xml:space="preserve">, </w:t>
      </w:r>
      <w:r w:rsidR="00217C96">
        <w:t xml:space="preserve">the </w:t>
      </w:r>
      <w:r w:rsidR="00670BBF">
        <w:t xml:space="preserve">data </w:t>
      </w:r>
      <w:r w:rsidR="00043704">
        <w:t>provided</w:t>
      </w:r>
      <w:r w:rsidR="00540217">
        <w:t xml:space="preserve"> </w:t>
      </w:r>
      <w:r w:rsidR="00217C96">
        <w:t>on th</w:t>
      </w:r>
      <w:r w:rsidR="00B446FE">
        <w:t>is</w:t>
      </w:r>
      <w:r w:rsidR="00670BBF">
        <w:t xml:space="preserve"> form </w:t>
      </w:r>
      <w:r w:rsidR="00C03CED">
        <w:t>may</w:t>
      </w:r>
      <w:r w:rsidR="00217C96">
        <w:t xml:space="preserve"> be used</w:t>
      </w:r>
      <w:r w:rsidR="00540217">
        <w:t xml:space="preserve"> by</w:t>
      </w:r>
      <w:r w:rsidR="006C13AE">
        <w:t xml:space="preserve"> </w:t>
      </w:r>
      <w:r w:rsidR="00043704">
        <w:t xml:space="preserve">the </w:t>
      </w:r>
      <w:r w:rsidR="006C13AE">
        <w:t xml:space="preserve">CDC </w:t>
      </w:r>
      <w:r w:rsidR="00043704">
        <w:t>to identify</w:t>
      </w:r>
      <w:r w:rsidR="00217C96">
        <w:t xml:space="preserve"> sources of</w:t>
      </w:r>
      <w:r w:rsidR="00670BBF">
        <w:t xml:space="preserve"> </w:t>
      </w:r>
      <w:r w:rsidR="00540217">
        <w:t xml:space="preserve">potential </w:t>
      </w:r>
      <w:r w:rsidR="00670BBF">
        <w:t xml:space="preserve">outbreaks </w:t>
      </w:r>
      <w:r w:rsidR="00C03CED">
        <w:t xml:space="preserve">and </w:t>
      </w:r>
      <w:r w:rsidR="00670BBF">
        <w:t xml:space="preserve">other </w:t>
      </w:r>
      <w:r w:rsidR="00540217">
        <w:t xml:space="preserve">public-health related events. </w:t>
      </w:r>
      <w:r w:rsidR="00962093">
        <w:t xml:space="preserve">When </w:t>
      </w:r>
      <w:r w:rsidR="002C1346">
        <w:t xml:space="preserve">the </w:t>
      </w:r>
      <w:r w:rsidR="00217C96">
        <w:t>form is filled</w:t>
      </w:r>
      <w:r w:rsidR="00C03CED">
        <w:t xml:space="preserve"> out, a </w:t>
      </w:r>
      <w:r w:rsidR="002C1346">
        <w:t xml:space="preserve">user </w:t>
      </w:r>
      <w:r w:rsidR="00C03CED">
        <w:t xml:space="preserve">in the submitting organization </w:t>
      </w:r>
      <w:r w:rsidR="006C13AE">
        <w:t xml:space="preserve">prints </w:t>
      </w:r>
      <w:r w:rsidR="00B24965">
        <w:t xml:space="preserve">a </w:t>
      </w:r>
      <w:r w:rsidR="00217C96">
        <w:t xml:space="preserve">hard </w:t>
      </w:r>
      <w:r w:rsidR="00B24965">
        <w:t xml:space="preserve">copy of </w:t>
      </w:r>
      <w:r w:rsidR="00540217">
        <w:t xml:space="preserve">it </w:t>
      </w:r>
      <w:r w:rsidR="00217C96">
        <w:t>that will be included in</w:t>
      </w:r>
      <w:r w:rsidR="002C1346">
        <w:t xml:space="preserve"> the specimen’s shipping package sent to the CDC.  The </w:t>
      </w:r>
      <w:r w:rsidR="006C13AE">
        <w:t xml:space="preserve">printed </w:t>
      </w:r>
      <w:r w:rsidRPr="006C13AE" w:rsidR="006C13AE">
        <w:t>form</w:t>
      </w:r>
      <w:r w:rsidR="002C1346">
        <w:rPr>
          <w:i/>
        </w:rPr>
        <w:t xml:space="preserve"> </w:t>
      </w:r>
      <w:r w:rsidR="002C1346">
        <w:t xml:space="preserve">has barcodes on it </w:t>
      </w:r>
      <w:r w:rsidR="006C13AE">
        <w:t>that</w:t>
      </w:r>
      <w:r w:rsidR="002C1346">
        <w:t xml:space="preserve"> allow the CDC </w:t>
      </w:r>
      <w:r w:rsidR="00043704">
        <w:t xml:space="preserve">testing </w:t>
      </w:r>
      <w:r w:rsidR="002C1346">
        <w:t xml:space="preserve">laboratory to scan </w:t>
      </w:r>
      <w:r w:rsidR="00217C96">
        <w:t xml:space="preserve">its </w:t>
      </w:r>
      <w:r w:rsidR="002C1346">
        <w:t xml:space="preserve">data directly into ELIMS </w:t>
      </w:r>
      <w:r w:rsidR="00043704">
        <w:t>where the specimen’s testing lifecycle is tracked and managed.</w:t>
      </w:r>
    </w:p>
    <w:p w:rsidRPr="00B24965" w:rsidR="00FE2E21" w:rsidP="007F7BCE" w:rsidRDefault="00A976BB" w14:paraId="66F65084" w14:textId="43B80420">
      <w:r>
        <w:t xml:space="preserve">Likewise, the </w:t>
      </w:r>
      <w:r w:rsidRPr="003B6356">
        <w:rPr>
          <w:i/>
        </w:rPr>
        <w:t xml:space="preserve">Global </w:t>
      </w:r>
      <w:r>
        <w:rPr>
          <w:i/>
        </w:rPr>
        <w:t>F</w:t>
      </w:r>
      <w:r w:rsidRPr="003B6356">
        <w:rPr>
          <w:i/>
        </w:rPr>
        <w:t>ile Accessioning Template</w:t>
      </w:r>
      <w:r>
        <w:rPr>
          <w:i/>
        </w:rPr>
        <w:t xml:space="preserve"> </w:t>
      </w:r>
      <w:r w:rsidR="007F7BCE">
        <w:t>records</w:t>
      </w:r>
      <w:r w:rsidRPr="00A976BB">
        <w:t xml:space="preserve"> </w:t>
      </w:r>
      <w:r w:rsidR="00E568A4">
        <w:t>the same</w:t>
      </w:r>
      <w:r w:rsidRPr="00A976BB">
        <w:t xml:space="preserve"> data as the</w:t>
      </w:r>
      <w:r>
        <w:rPr>
          <w:i/>
        </w:rPr>
        <w:t xml:space="preserve"> 50.34 Form </w:t>
      </w:r>
      <w:r w:rsidRPr="00B24965">
        <w:t xml:space="preserve">but </w:t>
      </w:r>
      <w:r w:rsidR="00D32BD2">
        <w:t xml:space="preserve">provides the capability </w:t>
      </w:r>
      <w:r w:rsidR="007F7BCE">
        <w:t xml:space="preserve">to </w:t>
      </w:r>
      <w:r w:rsidR="00B4260F">
        <w:t xml:space="preserve">submit </w:t>
      </w:r>
      <w:r w:rsidR="00B446FE">
        <w:t xml:space="preserve">information for </w:t>
      </w:r>
      <w:r w:rsidR="00962093">
        <w:t>a</w:t>
      </w:r>
      <w:r w:rsidR="00B24965">
        <w:t xml:space="preserve"> batch of specimens</w:t>
      </w:r>
      <w:r w:rsidR="00043704">
        <w:t xml:space="preserve"> (typically 50-1000 specimens per batch)</w:t>
      </w:r>
      <w:r w:rsidR="00B24965">
        <w:t xml:space="preserve"> </w:t>
      </w:r>
      <w:r w:rsidR="00962093">
        <w:t xml:space="preserve">to </w:t>
      </w:r>
      <w:r w:rsidR="007F7BCE">
        <w:t xml:space="preserve">a specific </w:t>
      </w:r>
      <w:r w:rsidR="00962093">
        <w:t xml:space="preserve">CDC </w:t>
      </w:r>
      <w:r w:rsidR="007F7BCE">
        <w:t xml:space="preserve">laboratory </w:t>
      </w:r>
      <w:r w:rsidR="00962093">
        <w:t xml:space="preserve">for testing. The CDC testing laboratory </w:t>
      </w:r>
      <w:r w:rsidR="007F7BCE">
        <w:t xml:space="preserve">electronically uploads the </w:t>
      </w:r>
      <w:r w:rsidRPr="003B6356" w:rsidR="007F7BCE">
        <w:rPr>
          <w:i/>
        </w:rPr>
        <w:t xml:space="preserve">Global </w:t>
      </w:r>
      <w:r w:rsidR="007F7BCE">
        <w:rPr>
          <w:i/>
        </w:rPr>
        <w:t>F</w:t>
      </w:r>
      <w:r w:rsidRPr="003B6356" w:rsidR="007F7BCE">
        <w:rPr>
          <w:i/>
        </w:rPr>
        <w:t>ile Accessioning Template</w:t>
      </w:r>
      <w:r w:rsidR="007F7BCE">
        <w:rPr>
          <w:i/>
        </w:rPr>
        <w:t xml:space="preserve"> </w:t>
      </w:r>
      <w:r w:rsidR="00962093">
        <w:t xml:space="preserve">into ELIMS </w:t>
      </w:r>
      <w:r w:rsidR="007F7BCE">
        <w:t xml:space="preserve">where the </w:t>
      </w:r>
      <w:r w:rsidR="00B4260F">
        <w:t xml:space="preserve">batch of </w:t>
      </w:r>
      <w:r w:rsidR="007F7BCE">
        <w:t>sp</w:t>
      </w:r>
      <w:r w:rsidR="00B4260F">
        <w:t xml:space="preserve">ecimens are </w:t>
      </w:r>
      <w:r w:rsidR="00C03CED">
        <w:t xml:space="preserve">then </w:t>
      </w:r>
      <w:r w:rsidR="00B4260F">
        <w:t xml:space="preserve">logged and </w:t>
      </w:r>
      <w:r w:rsidR="00C03CED">
        <w:t xml:space="preserve">are ready to be </w:t>
      </w:r>
      <w:r w:rsidR="00B4260F">
        <w:t>tracked through their respective testing and reporting workflow.</w:t>
      </w:r>
    </w:p>
    <w:p w:rsidR="004A13E8" w:rsidP="004A13E8" w:rsidRDefault="004A13E8" w14:paraId="55FE17B9" w14:textId="77777777">
      <w:pPr>
        <w:pStyle w:val="Heading1"/>
      </w:pPr>
      <w:bookmarkStart w:name="_Toc473880019" w:id="4"/>
      <w:r>
        <w:t>Use of Improved Information Technology and Burden Reduction</w:t>
      </w:r>
      <w:bookmarkEnd w:id="4"/>
    </w:p>
    <w:p w:rsidR="00EC462B" w:rsidP="003C0C61" w:rsidRDefault="00EC462B" w14:paraId="4B458681" w14:textId="4C1CCF90">
      <w:r>
        <w:t xml:space="preserve">The collection of information related to the use of the </w:t>
      </w:r>
      <w:r w:rsidRPr="003B6356" w:rsidR="003C0C61">
        <w:rPr>
          <w:i/>
        </w:rPr>
        <w:t>CDC Specimen Submission 50.34</w:t>
      </w:r>
      <w:r w:rsidR="003C0C61">
        <w:t xml:space="preserve"> </w:t>
      </w:r>
      <w:r w:rsidRPr="003B6356" w:rsidR="003C0C61">
        <w:rPr>
          <w:i/>
        </w:rPr>
        <w:t>Form</w:t>
      </w:r>
      <w:r w:rsidR="003C0C61">
        <w:rPr>
          <w:i/>
        </w:rPr>
        <w:t xml:space="preserve"> </w:t>
      </w:r>
      <w:r w:rsidRPr="003C0C61" w:rsidR="003C0C61">
        <w:t>and the</w:t>
      </w:r>
      <w:r w:rsidRPr="003B6356" w:rsidR="003C0C61">
        <w:rPr>
          <w:i/>
        </w:rPr>
        <w:t xml:space="preserve"> Global </w:t>
      </w:r>
      <w:r w:rsidR="003C0C61">
        <w:rPr>
          <w:i/>
        </w:rPr>
        <w:t>F</w:t>
      </w:r>
      <w:r w:rsidRPr="003B6356" w:rsidR="003C0C61">
        <w:rPr>
          <w:i/>
        </w:rPr>
        <w:t>ile Accessioning Template</w:t>
      </w:r>
      <w:r w:rsidR="003C0C61">
        <w:rPr>
          <w:i/>
        </w:rPr>
        <w:t xml:space="preserve"> </w:t>
      </w:r>
      <w:r w:rsidR="00AB5A59">
        <w:t>involve</w:t>
      </w:r>
      <w:r w:rsidR="003C0C61">
        <w:t xml:space="preserve"> the use of Improved Information Technology to reduce the burden in the collection of information</w:t>
      </w:r>
      <w:r w:rsidR="00D9326E">
        <w:t xml:space="preserve"> and </w:t>
      </w:r>
      <w:r w:rsidR="006F5577">
        <w:t>utilize</w:t>
      </w:r>
      <w:r w:rsidR="00D9326E">
        <w:t xml:space="preserve"> existing data exchange capabilities available in the LIMS</w:t>
      </w:r>
      <w:r w:rsidR="00AB5A59">
        <w:t>.</w:t>
      </w:r>
    </w:p>
    <w:p w:rsidRPr="003C0C61" w:rsidR="003C0C61" w:rsidP="003C0C61" w:rsidRDefault="003C0C61" w14:paraId="1B22E1F7" w14:textId="10CA743D">
      <w:pPr>
        <w:pStyle w:val="ListParagraph"/>
        <w:numPr>
          <w:ilvl w:val="0"/>
          <w:numId w:val="5"/>
        </w:numPr>
      </w:pPr>
      <w:r w:rsidRPr="003B6356">
        <w:rPr>
          <w:i/>
        </w:rPr>
        <w:t>CDC Specimen Submission 50.34</w:t>
      </w:r>
      <w:r>
        <w:t xml:space="preserve"> </w:t>
      </w:r>
      <w:r w:rsidRPr="003B6356">
        <w:rPr>
          <w:i/>
        </w:rPr>
        <w:t>Form</w:t>
      </w:r>
    </w:p>
    <w:p w:rsidR="003C0C61" w:rsidP="003C0C61" w:rsidRDefault="00925F03" w14:paraId="41D9FC4F" w14:textId="3FC1819E">
      <w:pPr>
        <w:pStyle w:val="ListParagraph"/>
        <w:numPr>
          <w:ilvl w:val="1"/>
          <w:numId w:val="5"/>
        </w:numPr>
      </w:pPr>
      <w:r w:rsidRPr="00925F03">
        <w:t>Is an e</w:t>
      </w:r>
      <w:r w:rsidRPr="00925F03" w:rsidR="003C0C61">
        <w:t xml:space="preserve">lectronic fillable </w:t>
      </w:r>
      <w:r>
        <w:t>PDF</w:t>
      </w:r>
      <w:r w:rsidRPr="00925F03" w:rsidR="003C0C61">
        <w:t xml:space="preserve"> </w:t>
      </w:r>
      <w:r>
        <w:t>form</w:t>
      </w:r>
      <w:r w:rsidRPr="00925F03" w:rsidR="003C0C61">
        <w:t xml:space="preserve"> </w:t>
      </w:r>
      <w:r w:rsidR="00C77AB0">
        <w:t>with</w:t>
      </w:r>
      <w:r w:rsidRPr="00925F03" w:rsidR="003C0C61">
        <w:t xml:space="preserve"> </w:t>
      </w:r>
      <w:r w:rsidR="00AB5A59">
        <w:t xml:space="preserve">multiple </w:t>
      </w:r>
      <w:r w:rsidRPr="00925F03" w:rsidR="003C0C61">
        <w:t>picklist</w:t>
      </w:r>
      <w:r w:rsidRPr="00925F03">
        <w:t>-enabled</w:t>
      </w:r>
      <w:r w:rsidRPr="00925F03" w:rsidR="003C0C61">
        <w:t xml:space="preserve"> data fields </w:t>
      </w:r>
      <w:r w:rsidR="00C77AB0">
        <w:t>that</w:t>
      </w:r>
      <w:r w:rsidRPr="00925F03" w:rsidR="003C0C61">
        <w:t xml:space="preserve"> enforce </w:t>
      </w:r>
      <w:r w:rsidRPr="00925F03">
        <w:t xml:space="preserve">the use of standardized </w:t>
      </w:r>
      <w:r>
        <w:t xml:space="preserve">values </w:t>
      </w:r>
      <w:r w:rsidR="00D9326E">
        <w:t xml:space="preserve">to promote </w:t>
      </w:r>
      <w:r w:rsidR="00AB5A59">
        <w:t>efficiency,</w:t>
      </w:r>
      <w:r w:rsidRPr="00925F03">
        <w:t xml:space="preserve"> consistency</w:t>
      </w:r>
      <w:r w:rsidR="00AB5A59">
        <w:t>,</w:t>
      </w:r>
      <w:r w:rsidRPr="00925F03">
        <w:t xml:space="preserve"> and quality </w:t>
      </w:r>
      <w:r w:rsidR="00366269">
        <w:t>in</w:t>
      </w:r>
      <w:r w:rsidR="00AB5A59">
        <w:t xml:space="preserve"> the collection of information </w:t>
      </w:r>
      <w:r w:rsidR="00366269">
        <w:t>for a</w:t>
      </w:r>
      <w:r w:rsidR="00AB5A59">
        <w:t xml:space="preserve"> single specimen</w:t>
      </w:r>
      <w:r w:rsidR="006F5577">
        <w:t>.</w:t>
      </w:r>
    </w:p>
    <w:p w:rsidR="00925F03" w:rsidP="003C0C61" w:rsidRDefault="00925F03" w14:paraId="41D33C75" w14:textId="3207FD2B">
      <w:pPr>
        <w:pStyle w:val="ListParagraph"/>
        <w:numPr>
          <w:ilvl w:val="1"/>
          <w:numId w:val="5"/>
        </w:numPr>
      </w:pPr>
      <w:r>
        <w:t xml:space="preserve">Utilizes barcode data encoding technology that </w:t>
      </w:r>
      <w:r w:rsidR="00D9326E">
        <w:t>allows</w:t>
      </w:r>
      <w:r>
        <w:t xml:space="preserve"> </w:t>
      </w:r>
      <w:r w:rsidR="00C77AB0">
        <w:t xml:space="preserve">for </w:t>
      </w:r>
      <w:r>
        <w:t xml:space="preserve">fast and accurate </w:t>
      </w:r>
      <w:r w:rsidR="00C83AF1">
        <w:t xml:space="preserve">electronic </w:t>
      </w:r>
      <w:r>
        <w:t xml:space="preserve">transfer of information from </w:t>
      </w:r>
      <w:r w:rsidR="00366269">
        <w:t xml:space="preserve">the </w:t>
      </w:r>
      <w:r w:rsidR="00C83AF1">
        <w:t xml:space="preserve">paper copy of the </w:t>
      </w:r>
      <w:r>
        <w:t xml:space="preserve">form </w:t>
      </w:r>
      <w:r w:rsidR="00C83AF1">
        <w:t>in</w:t>
      </w:r>
      <w:r>
        <w:t xml:space="preserve">to the LIMS. </w:t>
      </w:r>
    </w:p>
    <w:p w:rsidRPr="00AB5A59" w:rsidR="00925F03" w:rsidP="00AB5A59" w:rsidRDefault="00AB5A59" w14:paraId="54BA5129" w14:textId="5C5BD31B">
      <w:pPr>
        <w:pStyle w:val="ListParagraph"/>
        <w:numPr>
          <w:ilvl w:val="0"/>
          <w:numId w:val="5"/>
        </w:numPr>
      </w:pPr>
      <w:r w:rsidRPr="003B6356">
        <w:rPr>
          <w:i/>
        </w:rPr>
        <w:t xml:space="preserve">Global </w:t>
      </w:r>
      <w:r>
        <w:rPr>
          <w:i/>
        </w:rPr>
        <w:t>F</w:t>
      </w:r>
      <w:r w:rsidRPr="003B6356">
        <w:rPr>
          <w:i/>
        </w:rPr>
        <w:t>ile Accessioning Template</w:t>
      </w:r>
    </w:p>
    <w:p w:rsidR="00AB5A59" w:rsidP="00AB5A59" w:rsidRDefault="00AB5A59" w14:paraId="49BE8B73" w14:textId="13CB2EB4">
      <w:pPr>
        <w:pStyle w:val="ListParagraph"/>
        <w:numPr>
          <w:ilvl w:val="1"/>
          <w:numId w:val="5"/>
        </w:numPr>
      </w:pPr>
      <w:r w:rsidRPr="00925F03">
        <w:t xml:space="preserve">Is an electronic fillable </w:t>
      </w:r>
      <w:r>
        <w:t>XLSX</w:t>
      </w:r>
      <w:r w:rsidRPr="00925F03">
        <w:t xml:space="preserve"> </w:t>
      </w:r>
      <w:r w:rsidR="00D9326E">
        <w:t xml:space="preserve">file </w:t>
      </w:r>
      <w:r w:rsidR="00C77AB0">
        <w:t>with</w:t>
      </w:r>
      <w:r w:rsidRPr="00925F03">
        <w:t xml:space="preserve"> </w:t>
      </w:r>
      <w:r>
        <w:t xml:space="preserve">multiple </w:t>
      </w:r>
      <w:r w:rsidRPr="00925F03">
        <w:t xml:space="preserve">picklist-enabled data fields </w:t>
      </w:r>
      <w:r w:rsidR="00366269">
        <w:t>t</w:t>
      </w:r>
      <w:r w:rsidR="00C77AB0">
        <w:t>hat</w:t>
      </w:r>
      <w:r w:rsidR="00366269">
        <w:t xml:space="preserve"> </w:t>
      </w:r>
      <w:r w:rsidRPr="00925F03">
        <w:t>enforce</w:t>
      </w:r>
      <w:r>
        <w:t xml:space="preserve"> </w:t>
      </w:r>
      <w:r w:rsidRPr="00925F03">
        <w:t xml:space="preserve">the use of standardized </w:t>
      </w:r>
      <w:r>
        <w:t xml:space="preserve">values </w:t>
      </w:r>
      <w:r w:rsidR="00C77AB0">
        <w:t xml:space="preserve">to </w:t>
      </w:r>
      <w:r w:rsidRPr="00925F03">
        <w:t>promot</w:t>
      </w:r>
      <w:r w:rsidR="00C77AB0">
        <w:t>e</w:t>
      </w:r>
      <w:r>
        <w:t xml:space="preserve"> efficiency,</w:t>
      </w:r>
      <w:r w:rsidRPr="00925F03">
        <w:t xml:space="preserve"> consistency</w:t>
      </w:r>
      <w:r>
        <w:t>,</w:t>
      </w:r>
      <w:r w:rsidRPr="00925F03">
        <w:t xml:space="preserve"> and quality in </w:t>
      </w:r>
      <w:r>
        <w:t xml:space="preserve">the collection of information for a </w:t>
      </w:r>
      <w:r w:rsidR="00D9326E">
        <w:t xml:space="preserve">large </w:t>
      </w:r>
      <w:r>
        <w:t xml:space="preserve">batch </w:t>
      </w:r>
      <w:r w:rsidR="00C83AF1">
        <w:t>of</w:t>
      </w:r>
      <w:r>
        <w:t xml:space="preserve"> specimens</w:t>
      </w:r>
      <w:r w:rsidR="00C83AF1">
        <w:t>.</w:t>
      </w:r>
    </w:p>
    <w:p w:rsidRPr="00925F03" w:rsidR="00366269" w:rsidP="00AB5A59" w:rsidRDefault="00366269" w14:paraId="1EA19646" w14:textId="608FF171">
      <w:pPr>
        <w:pStyle w:val="ListParagraph"/>
        <w:numPr>
          <w:ilvl w:val="1"/>
          <w:numId w:val="5"/>
        </w:numPr>
      </w:pPr>
      <w:r>
        <w:t xml:space="preserve">Data in the </w:t>
      </w:r>
      <w:r w:rsidR="00D9326E">
        <w:t xml:space="preserve">XLSX file </w:t>
      </w:r>
      <w:r w:rsidR="006F5577">
        <w:t xml:space="preserve">is </w:t>
      </w:r>
      <w:r w:rsidR="00D9326E">
        <w:t xml:space="preserve">electronically </w:t>
      </w:r>
      <w:r w:rsidR="00C77AB0">
        <w:t xml:space="preserve">uploaded quickly </w:t>
      </w:r>
      <w:r w:rsidR="00D9326E">
        <w:t>and accurately into the LIMS.</w:t>
      </w:r>
    </w:p>
    <w:p w:rsidR="004A13E8" w:rsidP="004A13E8" w:rsidRDefault="004A13E8" w14:paraId="55FE17BC" w14:textId="77777777">
      <w:pPr>
        <w:pStyle w:val="Heading1"/>
      </w:pPr>
      <w:bookmarkStart w:name="_Toc473880020" w:id="5"/>
      <w:r>
        <w:t>Efforts to Identify Duplication and Use of Similar Information</w:t>
      </w:r>
      <w:bookmarkEnd w:id="5"/>
    </w:p>
    <w:p w:rsidRPr="003B2FB4" w:rsidR="003B2FB4" w:rsidP="003B2FB4" w:rsidRDefault="00605E54" w14:paraId="55FE17BE" w14:textId="70C4DB54">
      <w:r>
        <w:t xml:space="preserve">No other similar system </w:t>
      </w:r>
      <w:r w:rsidR="00C46374">
        <w:t xml:space="preserve">or method of data collection </w:t>
      </w:r>
      <w:r>
        <w:t>exists at CDC.</w:t>
      </w:r>
    </w:p>
    <w:p w:rsidR="00DC57CC" w:rsidP="004A13E8" w:rsidRDefault="004A13E8" w14:paraId="55FE17BF" w14:textId="77777777">
      <w:pPr>
        <w:pStyle w:val="Heading1"/>
      </w:pPr>
      <w:bookmarkStart w:name="_Toc473880021" w:id="6"/>
      <w:r>
        <w:t>Impact on Small Businesses or Other Small Entities</w:t>
      </w:r>
      <w:bookmarkEnd w:id="6"/>
    </w:p>
    <w:p w:rsidR="00300162" w:rsidP="002A660E" w:rsidRDefault="00300162" w14:paraId="1C99DEC0" w14:textId="4B8F13DE">
      <w:pPr>
        <w:ind w:left="360"/>
      </w:pPr>
      <w:r>
        <w:lastRenderedPageBreak/>
        <w:t xml:space="preserve">Currently, both the </w:t>
      </w:r>
      <w:r w:rsidRPr="002A660E">
        <w:rPr>
          <w:i/>
        </w:rPr>
        <w:t>CDC Specimen Submission 50.34</w:t>
      </w:r>
      <w:r>
        <w:t xml:space="preserve"> </w:t>
      </w:r>
      <w:r w:rsidRPr="002A660E">
        <w:rPr>
          <w:i/>
        </w:rPr>
        <w:t xml:space="preserve">Form and Global File Accessioning Template </w:t>
      </w:r>
      <w:r>
        <w:t xml:space="preserve">require a minimum number of </w:t>
      </w:r>
      <w:r w:rsidR="000A5009">
        <w:t xml:space="preserve">mandatory </w:t>
      </w:r>
      <w:r>
        <w:t>data fields to be completed in order to submit a specimen to the CDC for testing.</w:t>
      </w:r>
    </w:p>
    <w:p w:rsidR="00300162" w:rsidP="00300162" w:rsidRDefault="00300162" w14:paraId="6D8AF431" w14:textId="24987E6E">
      <w:pPr>
        <w:pStyle w:val="ListParagraph"/>
        <w:numPr>
          <w:ilvl w:val="1"/>
          <w:numId w:val="5"/>
        </w:numPr>
      </w:pPr>
      <w:r>
        <w:t xml:space="preserve">For the </w:t>
      </w:r>
      <w:r w:rsidRPr="003B6356">
        <w:rPr>
          <w:i/>
        </w:rPr>
        <w:t>CDC Specimen Submission 50.34</w:t>
      </w:r>
      <w:r>
        <w:t xml:space="preserve"> </w:t>
      </w:r>
      <w:r w:rsidRPr="003B6356">
        <w:rPr>
          <w:i/>
        </w:rPr>
        <w:t>Form</w:t>
      </w:r>
      <w:r>
        <w:rPr>
          <w:i/>
        </w:rPr>
        <w:t xml:space="preserve"> </w:t>
      </w:r>
      <w:r w:rsidRPr="00300162">
        <w:t>the</w:t>
      </w:r>
      <w:r w:rsidR="000A5009">
        <w:t>se</w:t>
      </w:r>
      <w:r w:rsidRPr="00300162">
        <w:t xml:space="preserve"> fields are</w:t>
      </w:r>
      <w:r>
        <w:rPr>
          <w:i/>
        </w:rPr>
        <w:t xml:space="preserve"> </w:t>
      </w:r>
      <w:r w:rsidRPr="002A660E">
        <w:rPr>
          <w:i/>
        </w:rPr>
        <w:t>Specimen Origin, Test Order Name, Specimen source (type</w:t>
      </w:r>
      <w:r w:rsidRPr="002A660E">
        <w:t>),</w:t>
      </w:r>
      <w:r>
        <w:t xml:space="preserve"> and </w:t>
      </w:r>
      <w:r w:rsidRPr="00300162">
        <w:rPr>
          <w:i/>
        </w:rPr>
        <w:t>Institutional e-mail</w:t>
      </w:r>
      <w:r>
        <w:t>.</w:t>
      </w:r>
    </w:p>
    <w:p w:rsidRPr="000A5009" w:rsidR="002A660E" w:rsidP="00300162" w:rsidRDefault="002A660E" w14:paraId="08EF723F" w14:textId="719EF392">
      <w:pPr>
        <w:pStyle w:val="ListParagraph"/>
        <w:numPr>
          <w:ilvl w:val="1"/>
          <w:numId w:val="5"/>
        </w:numPr>
        <w:rPr>
          <w:i/>
        </w:rPr>
      </w:pPr>
      <w:r>
        <w:t xml:space="preserve">For the </w:t>
      </w:r>
      <w:r w:rsidRPr="002A660E">
        <w:rPr>
          <w:i/>
        </w:rPr>
        <w:t>Global File Accessioning Template</w:t>
      </w:r>
      <w:r w:rsidR="000A5009">
        <w:rPr>
          <w:i/>
        </w:rPr>
        <w:t xml:space="preserve"> </w:t>
      </w:r>
      <w:r w:rsidR="000A5009">
        <w:t xml:space="preserve">these fields are </w:t>
      </w:r>
      <w:r w:rsidRPr="000A5009" w:rsidR="000A5009">
        <w:rPr>
          <w:i/>
        </w:rPr>
        <w:t>Package ID, CDC Sample Identifier (CSID), CDC Unique Identifier (CUID), Origin</w:t>
      </w:r>
      <w:r w:rsidR="000A5009">
        <w:t xml:space="preserve"> </w:t>
      </w:r>
      <w:r w:rsidRPr="00E75461" w:rsidR="000A5009">
        <w:rPr>
          <w:i/>
        </w:rPr>
        <w:t>(specimen)</w:t>
      </w:r>
      <w:r w:rsidR="000A5009">
        <w:t xml:space="preserve">, and </w:t>
      </w:r>
      <w:r w:rsidRPr="000A5009" w:rsidR="000A5009">
        <w:rPr>
          <w:i/>
        </w:rPr>
        <w:t>Test order name.</w:t>
      </w:r>
    </w:p>
    <w:p w:rsidR="000A5009" w:rsidP="000A5009" w:rsidRDefault="000A5009" w14:paraId="79F310DC" w14:textId="1EC2A624">
      <w:pPr>
        <w:ind w:left="360"/>
      </w:pPr>
      <w:r w:rsidRPr="000A5009">
        <w:t xml:space="preserve">Questions and data requirements </w:t>
      </w:r>
      <w:r w:rsidR="00E75461">
        <w:t>for</w:t>
      </w:r>
      <w:r w:rsidRPr="000A5009">
        <w:t xml:space="preserve"> these </w:t>
      </w:r>
      <w:r w:rsidR="00E75461">
        <w:t xml:space="preserve">two </w:t>
      </w:r>
      <w:r w:rsidRPr="000A5009">
        <w:t>forms have been held to the absolute minimum required for the intended use of the information.</w:t>
      </w:r>
    </w:p>
    <w:p w:rsidR="004A13E8" w:rsidP="004A13E8" w:rsidRDefault="004A13E8" w14:paraId="55FE17C3" w14:textId="77777777">
      <w:pPr>
        <w:pStyle w:val="Heading1"/>
      </w:pPr>
      <w:bookmarkStart w:name="_Toc473880022" w:id="7"/>
      <w:r>
        <w:t>Consequences of Collecting the Information Less Frequently</w:t>
      </w:r>
      <w:bookmarkEnd w:id="7"/>
    </w:p>
    <w:p w:rsidRPr="008E0173" w:rsidR="000A5009" w:rsidP="008E0173" w:rsidRDefault="008E0173" w14:paraId="1CB064B6" w14:textId="51100C4A">
      <w:r>
        <w:t xml:space="preserve">The frequency of data collection for both </w:t>
      </w:r>
      <w:r w:rsidR="0050063C">
        <w:t xml:space="preserve">the </w:t>
      </w:r>
      <w:r w:rsidRPr="002A660E">
        <w:rPr>
          <w:i/>
        </w:rPr>
        <w:t>CDC Specimen Submission 50.34</w:t>
      </w:r>
      <w:r>
        <w:t xml:space="preserve"> </w:t>
      </w:r>
      <w:r w:rsidRPr="002A660E">
        <w:rPr>
          <w:i/>
        </w:rPr>
        <w:t>Form and Global File Accessioning Template</w:t>
      </w:r>
      <w:r>
        <w:t xml:space="preserve"> must occur on </w:t>
      </w:r>
      <w:r w:rsidR="0050063C">
        <w:t xml:space="preserve">a daily basis in order to meet the </w:t>
      </w:r>
      <w:r>
        <w:t>operational requirements of health care institutions who are attempting to diagnose disease</w:t>
      </w:r>
      <w:r w:rsidR="00E96B52">
        <w:t xml:space="preserve">s </w:t>
      </w:r>
      <w:r>
        <w:t>and</w:t>
      </w:r>
      <w:r w:rsidR="0050063C">
        <w:t xml:space="preserve"> </w:t>
      </w:r>
      <w:r>
        <w:t>make</w:t>
      </w:r>
      <w:r w:rsidR="00E96B52">
        <w:t xml:space="preserve"> patient</w:t>
      </w:r>
      <w:r>
        <w:t xml:space="preserve"> health care decisions based on specimen testing performed by the CDC.  </w:t>
      </w:r>
    </w:p>
    <w:p w:rsidR="004A13E8" w:rsidP="004A13E8" w:rsidRDefault="004A13E8" w14:paraId="55FE17C6" w14:textId="77777777">
      <w:pPr>
        <w:pStyle w:val="Heading1"/>
      </w:pPr>
      <w:bookmarkStart w:name="_Toc473880023" w:id="8"/>
      <w:r>
        <w:t>Special Circumstances Relating to the Guidelines of 5 CFR 1320.5</w:t>
      </w:r>
      <w:bookmarkEnd w:id="8"/>
    </w:p>
    <w:p w:rsidRPr="004A13E8" w:rsidR="004A13E8" w:rsidP="004A13E8" w:rsidRDefault="004A13E8" w14:paraId="55FE17C7" w14:textId="77777777">
      <w:r>
        <w:t>This request fully complies with the regulation 5 CFR 1320.5.</w:t>
      </w:r>
    </w:p>
    <w:p w:rsidR="004A13E8" w:rsidP="004A13E8" w:rsidRDefault="004A13E8" w14:paraId="55FE17C8" w14:textId="77777777">
      <w:pPr>
        <w:pStyle w:val="Heading1"/>
      </w:pPr>
      <w:bookmarkStart w:name="_Toc473880024" w:id="9"/>
      <w:r>
        <w:t>Comments in Response to the Federal Register Notice and Efforts to Consult Outside the Agency</w:t>
      </w:r>
      <w:bookmarkEnd w:id="9"/>
    </w:p>
    <w:p w:rsidRPr="00FF4A04" w:rsidR="004A13E8" w:rsidP="004A13E8" w:rsidRDefault="004A13E8" w14:paraId="55FE17C9" w14:textId="2F03F883">
      <w:pPr>
        <w:rPr>
          <w:b/>
          <w:bCs/>
        </w:rPr>
      </w:pPr>
      <w:r w:rsidRPr="00FF4A04">
        <w:rPr>
          <w:b/>
          <w:bCs/>
        </w:rPr>
        <w:t xml:space="preserve">A. </w:t>
      </w:r>
      <w:r w:rsidRPr="00FF4A04">
        <w:t xml:space="preserve">A 60-day Federal Register Notice was published in the </w:t>
      </w:r>
      <w:r w:rsidRPr="00FF4A04">
        <w:rPr>
          <w:i/>
        </w:rPr>
        <w:t xml:space="preserve">Federal Register </w:t>
      </w:r>
      <w:r w:rsidRPr="00FF4A04">
        <w:t xml:space="preserve">on </w:t>
      </w:r>
      <w:r w:rsidRPr="00FF4A04" w:rsidR="00F30646">
        <w:t>D</w:t>
      </w:r>
      <w:r w:rsidRPr="00FF4A04" w:rsidR="00FF4A04">
        <w:t>ecember</w:t>
      </w:r>
      <w:r w:rsidRPr="00FF4A04" w:rsidR="00F30646">
        <w:t xml:space="preserve"> 23</w:t>
      </w:r>
      <w:r w:rsidRPr="00FF4A04">
        <w:t xml:space="preserve">, </w:t>
      </w:r>
      <w:r w:rsidRPr="00FF4A04" w:rsidR="00F30646">
        <w:t>2019</w:t>
      </w:r>
      <w:r w:rsidRPr="00FF4A04">
        <w:t xml:space="preserve">, vol. </w:t>
      </w:r>
      <w:r w:rsidRPr="00FF4A04" w:rsidR="00F30646">
        <w:t>84</w:t>
      </w:r>
      <w:r w:rsidRPr="00FF4A04">
        <w:t xml:space="preserve">, No. </w:t>
      </w:r>
      <w:r w:rsidRPr="00FF4A04" w:rsidR="00F30646">
        <w:t>246</w:t>
      </w:r>
      <w:r w:rsidRPr="00FF4A04">
        <w:t xml:space="preserve">, pp. </w:t>
      </w:r>
      <w:r w:rsidRPr="00FF4A04" w:rsidR="00F30646">
        <w:t>70550-70551</w:t>
      </w:r>
      <w:r w:rsidRPr="00FF4A04">
        <w:t xml:space="preserve"> (Attachment 2). CDC did receive public comments related to this notice</w:t>
      </w:r>
      <w:r w:rsidRPr="00FF4A04">
        <w:rPr>
          <w:b/>
          <w:bCs/>
        </w:rPr>
        <w:t>.</w:t>
      </w:r>
      <w:r w:rsidR="00782997">
        <w:rPr>
          <w:b/>
          <w:bCs/>
        </w:rPr>
        <w:t xml:space="preserve"> </w:t>
      </w:r>
      <w:r w:rsidRPr="00782997" w:rsidR="00782997">
        <w:t>(Attachment 2a)</w:t>
      </w:r>
    </w:p>
    <w:p w:rsidRPr="004A13E8" w:rsidR="004A13E8" w:rsidP="004A13E8" w:rsidRDefault="004A13E8" w14:paraId="55FE17CA" w14:textId="549C53B9">
      <w:r>
        <w:t>B. No consult</w:t>
      </w:r>
      <w:r w:rsidR="00E028EE">
        <w:t>ations outside of CDC occurred.</w:t>
      </w:r>
    </w:p>
    <w:p w:rsidR="004A13E8" w:rsidP="004A13E8" w:rsidRDefault="004A13E8" w14:paraId="55FE17CB" w14:textId="68EDF7FE">
      <w:pPr>
        <w:pStyle w:val="Heading1"/>
      </w:pPr>
      <w:bookmarkStart w:name="_Toc473880025" w:id="10"/>
      <w:r>
        <w:t>Explanation of Any Payment or Gift to Respondents</w:t>
      </w:r>
      <w:bookmarkEnd w:id="10"/>
    </w:p>
    <w:p w:rsidRPr="00D4442D" w:rsidR="00E028EE" w:rsidP="0050063C" w:rsidRDefault="00E028EE" w14:paraId="6023E6CE" w14:textId="20029C3C">
      <w:bookmarkStart w:name="_Toc473880026" w:id="11"/>
      <w:r>
        <w:t>No payments, gifts, or incentives will be provided for participation in this collection.</w:t>
      </w:r>
    </w:p>
    <w:p w:rsidR="004A13E8" w:rsidP="004A13E8" w:rsidRDefault="004A13E8" w14:paraId="55FE17CD" w14:textId="77777777">
      <w:pPr>
        <w:pStyle w:val="Heading1"/>
      </w:pPr>
      <w:r>
        <w:t>Protection of the Privacy and Confidentiality of Information Provided by Respondents</w:t>
      </w:r>
      <w:bookmarkEnd w:id="11"/>
    </w:p>
    <w:p w:rsidR="00CB53FF" w:rsidP="00CD2AA4" w:rsidRDefault="007335B2" w14:paraId="1F8AAFBD" w14:textId="77777777">
      <w:r>
        <w:t xml:space="preserve">The National Center for Emerging and Zoonotic Infectious Diseases (NCEZID) </w:t>
      </w:r>
      <w:r w:rsidR="00CD2AA4">
        <w:t>reviewed this submission and determined that the Privacy Act does apply.</w:t>
      </w:r>
      <w:r w:rsidR="00980314">
        <w:t xml:space="preserve">  </w:t>
      </w:r>
    </w:p>
    <w:p w:rsidR="00CB53FF" w:rsidP="00CD2AA4" w:rsidRDefault="00782997" w14:paraId="101FCDEC" w14:textId="419557DF">
      <w:pPr>
        <w:rPr>
          <w:rFonts w:cs="Times New Roman"/>
          <w:color w:val="000000"/>
          <w:szCs w:val="24"/>
        </w:rPr>
      </w:pPr>
      <w:bookmarkStart w:name="_Hlk42170369" w:id="12"/>
      <w:r>
        <w:t xml:space="preserve">The applicable statement of records notice (SORN) </w:t>
      </w:r>
      <w:r w:rsidRPr="00CB53FF" w:rsidR="00CB53FF">
        <w:t>09-20-0106, Specimen Handling for Testing and Related Data</w:t>
      </w:r>
      <w:r w:rsidR="00CB53FF">
        <w:t xml:space="preserve">, </w:t>
      </w:r>
      <w:hyperlink w:history="1" r:id="rId12">
        <w:r w:rsidRPr="00CB53FF" w:rsidR="00CB53FF">
          <w:rPr>
            <w:rStyle w:val="Hyperlink"/>
            <w:rFonts w:cs="Times New Roman"/>
            <w:color w:val="000000"/>
            <w:szCs w:val="24"/>
            <w:u w:val="none"/>
          </w:rPr>
          <w:t>Federal Register: November 24, 1986 Volume 51, Number 226, Pages 42464-42465</w:t>
        </w:r>
      </w:hyperlink>
    </w:p>
    <w:bookmarkEnd w:id="12"/>
    <w:p w:rsidR="00CB53FF" w:rsidP="00CD2AA4" w:rsidRDefault="00CB53FF" w14:paraId="014CCA1C" w14:textId="79F25163">
      <w:pPr>
        <w:rPr>
          <w:rFonts w:cs="Times New Roman"/>
          <w:color w:val="000000"/>
          <w:szCs w:val="24"/>
        </w:rPr>
      </w:pPr>
    </w:p>
    <w:p w:rsidR="00CB53FF" w:rsidP="00CD2AA4" w:rsidRDefault="00CB53FF" w14:paraId="60292C2A" w14:textId="35BDA85B">
      <w:pPr>
        <w:rPr>
          <w:rFonts w:cs="Times New Roman"/>
          <w:color w:val="000000"/>
          <w:szCs w:val="24"/>
        </w:rPr>
      </w:pPr>
    </w:p>
    <w:p w:rsidR="00CB53FF" w:rsidP="00CD2AA4" w:rsidRDefault="00CB53FF" w14:paraId="47F06ABF" w14:textId="77777777">
      <w:pPr>
        <w:rPr>
          <w:highlight w:val="yellow"/>
        </w:rPr>
      </w:pPr>
    </w:p>
    <w:p w:rsidR="004A13E8" w:rsidP="004A13E8" w:rsidRDefault="004A13E8" w14:paraId="55FE17D0" w14:textId="77777777">
      <w:pPr>
        <w:pStyle w:val="Heading1"/>
      </w:pPr>
      <w:bookmarkStart w:name="_Toc473880027" w:id="13"/>
      <w:r>
        <w:t>Institutional Review Board (IRB) and Justification for Sensitive Questions</w:t>
      </w:r>
      <w:bookmarkEnd w:id="13"/>
    </w:p>
    <w:p w:rsidRPr="00EA5E11" w:rsidR="00BA050A" w:rsidP="00194DA9" w:rsidRDefault="00080C08" w14:paraId="3D0ABB92" w14:textId="749D86FF">
      <w:pPr>
        <w:rPr>
          <w:i/>
          <w:iCs/>
        </w:rPr>
      </w:pPr>
      <w:r>
        <w:t xml:space="preserve">An IRB was </w:t>
      </w:r>
      <w:r w:rsidR="00194DA9">
        <w:t xml:space="preserve">never </w:t>
      </w:r>
      <w:r>
        <w:t>conducted for the CDC Specimen Submission 50.34 Form and the Global File Accessioning Template, which have been operational since 2011 and 2005, respectively.  Furthermore, CDC official</w:t>
      </w:r>
      <w:r w:rsidR="00194DA9">
        <w:t>s</w:t>
      </w:r>
      <w:r>
        <w:t xml:space="preserve"> ha</w:t>
      </w:r>
      <w:r w:rsidR="00194DA9">
        <w:t xml:space="preserve">ve </w:t>
      </w:r>
      <w:r>
        <w:t xml:space="preserve">confirmed via email that </w:t>
      </w:r>
      <w:r w:rsidR="00194DA9">
        <w:t xml:space="preserve">the ELIMS system (of which the 50.34 Form and GFAT are components under) “… </w:t>
      </w:r>
      <w:bookmarkStart w:name="_Hlk42171441" w:id="14"/>
      <w:r w:rsidR="00194DA9">
        <w:t>is not a research program, and that the information is not collected for research purposes</w:t>
      </w:r>
      <w:bookmarkEnd w:id="14"/>
      <w:r w:rsidR="00194DA9">
        <w:t xml:space="preserve">.”  </w:t>
      </w:r>
      <w:r w:rsidR="00EA5E11">
        <w:rPr>
          <w:i/>
          <w:iCs/>
        </w:rPr>
        <w:t>Attachment 5</w:t>
      </w:r>
      <w:r w:rsidR="00194DA9">
        <w:rPr>
          <w:i/>
          <w:iCs/>
        </w:rPr>
        <w:t xml:space="preserve"> </w:t>
      </w:r>
    </w:p>
    <w:p w:rsidRPr="0005699B" w:rsidR="008F3C97" w:rsidP="004A13E8" w:rsidRDefault="007313F0" w14:paraId="6488AC1A" w14:textId="7D55B9A2">
      <w:r>
        <w:t xml:space="preserve">Sensitive information </w:t>
      </w:r>
      <w:r w:rsidR="001D1854">
        <w:t>is</w:t>
      </w:r>
      <w:r w:rsidR="00F902C9">
        <w:t xml:space="preserve"> collected i</w:t>
      </w:r>
      <w:r>
        <w:t xml:space="preserve">n these forms </w:t>
      </w:r>
      <w:r w:rsidR="001D1854">
        <w:t>as it relates to</w:t>
      </w:r>
      <w:r>
        <w:t xml:space="preserve"> a patient’s symptoms, underlying illnesses</w:t>
      </w:r>
      <w:r w:rsidR="00594D03">
        <w:t>/</w:t>
      </w:r>
      <w:r>
        <w:t xml:space="preserve"> infections and </w:t>
      </w:r>
      <w:r w:rsidR="00594D03">
        <w:t xml:space="preserve">other noted health </w:t>
      </w:r>
      <w:r>
        <w:t xml:space="preserve">conditions.  This information is necessary to help </w:t>
      </w:r>
      <w:r w:rsidR="00594D03">
        <w:t xml:space="preserve">the CDC determine the type of testing needed to confirm the presence of a suspected </w:t>
      </w:r>
      <w:r>
        <w:t>disease</w:t>
      </w:r>
      <w:r w:rsidR="00594D03">
        <w:t xml:space="preserve">. </w:t>
      </w:r>
    </w:p>
    <w:p w:rsidR="004A13E8" w:rsidP="004A13E8" w:rsidRDefault="004A13E8" w14:paraId="55FE17D7" w14:textId="77777777">
      <w:pPr>
        <w:pStyle w:val="Heading1"/>
      </w:pPr>
      <w:bookmarkStart w:name="_Toc473880028" w:id="15"/>
      <w:r>
        <w:t>Estimates of Annualized Burden Hours and Costs</w:t>
      </w:r>
      <w:bookmarkEnd w:id="15"/>
    </w:p>
    <w:p w:rsidR="00C553B7" w:rsidP="009B0947" w:rsidRDefault="009B0947" w14:paraId="093B700D" w14:textId="77777777">
      <w:r>
        <w:t xml:space="preserve">A. </w:t>
      </w:r>
      <w:r w:rsidR="00C553B7">
        <w:t>Estimated Annualized Burden Hours</w:t>
      </w:r>
      <w:bookmarkStart w:name="_GoBack" w:id="16"/>
      <w:bookmarkEnd w:id="16"/>
    </w:p>
    <w:p w:rsidRPr="00731F41" w:rsidR="00D32BD2" w:rsidP="004A13E8" w:rsidRDefault="00731F41" w14:paraId="559D27CA" w14:textId="2C61642E">
      <w:r>
        <w:t xml:space="preserve">Responders </w:t>
      </w:r>
      <w:r w:rsidR="004F1399">
        <w:t>using the</w:t>
      </w:r>
      <w:r>
        <w:t xml:space="preserve"> </w:t>
      </w:r>
      <w:r w:rsidRPr="002A660E">
        <w:rPr>
          <w:i/>
        </w:rPr>
        <w:t>CDC Specimen Submission 50.34</w:t>
      </w:r>
      <w:r>
        <w:t xml:space="preserve"> </w:t>
      </w:r>
      <w:r w:rsidRPr="002A660E">
        <w:rPr>
          <w:i/>
        </w:rPr>
        <w:t>Form</w:t>
      </w:r>
      <w:r w:rsidRPr="004F1399">
        <w:t xml:space="preserve"> </w:t>
      </w:r>
      <w:r w:rsidR="002C2A33">
        <w:t xml:space="preserve">and </w:t>
      </w:r>
      <w:r w:rsidRPr="004F1399" w:rsidR="002C2A33">
        <w:rPr>
          <w:i/>
        </w:rPr>
        <w:t>Global File Accessioning Template</w:t>
      </w:r>
      <w:r w:rsidR="002C2A33">
        <w:t xml:space="preserve"> </w:t>
      </w:r>
      <w:r w:rsidRPr="004F1399" w:rsidR="004F1399">
        <w:t>typically</w:t>
      </w:r>
      <w:r w:rsidR="004F1399">
        <w:rPr>
          <w:i/>
        </w:rPr>
        <w:t xml:space="preserve"> </w:t>
      </w:r>
      <w:r w:rsidR="004F1399">
        <w:t xml:space="preserve">include </w:t>
      </w:r>
      <w:r w:rsidR="00D32BD2">
        <w:t>medical assistants</w:t>
      </w:r>
      <w:r>
        <w:t xml:space="preserve"> at doctor’s offices and hospitals as well as </w:t>
      </w:r>
      <w:r w:rsidR="000A1D9C">
        <w:t>medical scientists</w:t>
      </w:r>
      <w:r w:rsidR="004F1399">
        <w:t xml:space="preserve"> at State Public Health Laboratories</w:t>
      </w:r>
      <w:r w:rsidR="002C2A33">
        <w:t xml:space="preserve">. </w:t>
      </w:r>
      <w:r w:rsidR="00D32BD2">
        <w:t xml:space="preserve">The burden was calculated using ELIMS database information for specimens submitted to the CDC using the </w:t>
      </w:r>
      <w:r w:rsidRPr="002A660E" w:rsidR="00D32BD2">
        <w:rPr>
          <w:i/>
        </w:rPr>
        <w:t>CDC Specimen Submission 50.34</w:t>
      </w:r>
      <w:r w:rsidR="00D32BD2">
        <w:t xml:space="preserve"> </w:t>
      </w:r>
      <w:r w:rsidRPr="002A660E" w:rsidR="00D32BD2">
        <w:rPr>
          <w:i/>
        </w:rPr>
        <w:t>Form</w:t>
      </w:r>
      <w:r w:rsidRPr="004F1399" w:rsidR="00D32BD2">
        <w:t xml:space="preserve"> </w:t>
      </w:r>
      <w:r w:rsidR="00D32BD2">
        <w:t xml:space="preserve">and </w:t>
      </w:r>
      <w:r w:rsidR="001E4AF3">
        <w:t xml:space="preserve">the number of specimen batches submitted using the </w:t>
      </w:r>
      <w:r w:rsidRPr="004F1399" w:rsidR="00D32BD2">
        <w:rPr>
          <w:i/>
        </w:rPr>
        <w:t>Global File Accessioning Template</w:t>
      </w:r>
      <w:r w:rsidR="00D32BD2">
        <w:t xml:space="preserve"> for </w:t>
      </w:r>
      <w:r w:rsidR="001E4AF3">
        <w:t xml:space="preserve">a </w:t>
      </w:r>
      <w:r w:rsidR="00D32BD2">
        <w:t xml:space="preserve">period of </w:t>
      </w:r>
      <w:r w:rsidR="001E4AF3">
        <w:t>12 months</w:t>
      </w:r>
      <w:r w:rsidR="00D32BD2">
        <w:t>.</w:t>
      </w:r>
    </w:p>
    <w:tbl>
      <w:tblPr>
        <w:tblStyle w:val="TableGrid"/>
        <w:tblW w:w="0" w:type="auto"/>
        <w:tblLook w:val="04A0" w:firstRow="1" w:lastRow="0" w:firstColumn="1" w:lastColumn="0" w:noHBand="0" w:noVBand="1"/>
      </w:tblPr>
      <w:tblGrid>
        <w:gridCol w:w="1836"/>
        <w:gridCol w:w="1661"/>
        <w:gridCol w:w="1661"/>
        <w:gridCol w:w="1654"/>
        <w:gridCol w:w="1634"/>
        <w:gridCol w:w="1624"/>
      </w:tblGrid>
      <w:tr w:rsidR="004A13E8" w:rsidTr="002C2A33" w14:paraId="55FE17E0" w14:textId="77777777">
        <w:trPr>
          <w:trHeight w:val="890"/>
        </w:trPr>
        <w:tc>
          <w:tcPr>
            <w:tcW w:w="1709" w:type="dxa"/>
          </w:tcPr>
          <w:p w:rsidR="004A13E8" w:rsidP="000C376F" w:rsidRDefault="004A13E8" w14:paraId="55FE17DA" w14:textId="77777777">
            <w:r>
              <w:t>Type of Respondent</w:t>
            </w:r>
          </w:p>
        </w:tc>
        <w:tc>
          <w:tcPr>
            <w:tcW w:w="1672" w:type="dxa"/>
          </w:tcPr>
          <w:p w:rsidR="004A13E8" w:rsidP="000C376F" w:rsidRDefault="004A13E8" w14:paraId="55FE17DB" w14:textId="77777777">
            <w:r>
              <w:t>Form Name</w:t>
            </w:r>
          </w:p>
        </w:tc>
        <w:tc>
          <w:tcPr>
            <w:tcW w:w="1675" w:type="dxa"/>
          </w:tcPr>
          <w:p w:rsidR="004A13E8" w:rsidP="000C376F" w:rsidRDefault="004A13E8" w14:paraId="55FE17DC" w14:textId="77777777">
            <w:r>
              <w:t>No. of Respondents</w:t>
            </w:r>
          </w:p>
        </w:tc>
        <w:tc>
          <w:tcPr>
            <w:tcW w:w="1674" w:type="dxa"/>
          </w:tcPr>
          <w:p w:rsidR="004A13E8" w:rsidP="000C376F" w:rsidRDefault="004A13E8" w14:paraId="55FE17DD" w14:textId="77777777">
            <w:r>
              <w:t>No. Responses per Respondent</w:t>
            </w:r>
          </w:p>
        </w:tc>
        <w:tc>
          <w:tcPr>
            <w:tcW w:w="1671" w:type="dxa"/>
          </w:tcPr>
          <w:p w:rsidR="004A13E8" w:rsidP="000C376F" w:rsidRDefault="004A13E8" w14:paraId="55FE17DE" w14:textId="77777777">
            <w:r>
              <w:t>Avg. Burden per response (in hrs.)</w:t>
            </w:r>
          </w:p>
        </w:tc>
        <w:tc>
          <w:tcPr>
            <w:tcW w:w="1669" w:type="dxa"/>
          </w:tcPr>
          <w:p w:rsidR="004A13E8" w:rsidP="000C376F" w:rsidRDefault="004A13E8" w14:paraId="55FE17DF" w14:textId="77777777">
            <w:r>
              <w:t>Total Burden (in hrs.)</w:t>
            </w:r>
          </w:p>
        </w:tc>
      </w:tr>
      <w:tr w:rsidR="004A13E8" w:rsidTr="00DF0CFE" w14:paraId="55FE17E7" w14:textId="77777777">
        <w:trPr>
          <w:trHeight w:val="1178"/>
        </w:trPr>
        <w:tc>
          <w:tcPr>
            <w:tcW w:w="1709" w:type="dxa"/>
          </w:tcPr>
          <w:p w:rsidR="00DD12F2" w:rsidP="00DF0CFE" w:rsidRDefault="00FE0D18" w14:paraId="55FE17E1" w14:textId="6B90C5B1">
            <w:pPr>
              <w:pStyle w:val="ListParagraph"/>
              <w:ind w:left="0"/>
            </w:pPr>
            <w:r>
              <w:t>Medical Assistant</w:t>
            </w:r>
            <w:r w:rsidR="00F902C9">
              <w:t>, Doctor’s Office/Hospital</w:t>
            </w:r>
          </w:p>
        </w:tc>
        <w:tc>
          <w:tcPr>
            <w:tcW w:w="1672" w:type="dxa"/>
          </w:tcPr>
          <w:p w:rsidR="004A13E8" w:rsidP="000C376F" w:rsidRDefault="00F902C9" w14:paraId="55FE17E2" w14:textId="79B735C8">
            <w:r w:rsidRPr="002A660E">
              <w:rPr>
                <w:i/>
              </w:rPr>
              <w:t>CDC Specimen Submission 50.34</w:t>
            </w:r>
            <w:r>
              <w:t xml:space="preserve"> </w:t>
            </w:r>
            <w:r w:rsidRPr="002A660E">
              <w:rPr>
                <w:i/>
              </w:rPr>
              <w:t>Form</w:t>
            </w:r>
          </w:p>
        </w:tc>
        <w:tc>
          <w:tcPr>
            <w:tcW w:w="1675" w:type="dxa"/>
          </w:tcPr>
          <w:p w:rsidR="004A13E8" w:rsidP="000C376F" w:rsidRDefault="00AF2661" w14:paraId="55FE17E3" w14:textId="26213426">
            <w:r>
              <w:t>2</w:t>
            </w:r>
            <w:r w:rsidR="00752D7D">
              <w:t>,</w:t>
            </w:r>
            <w:r>
              <w:t>000</w:t>
            </w:r>
          </w:p>
        </w:tc>
        <w:tc>
          <w:tcPr>
            <w:tcW w:w="1674" w:type="dxa"/>
          </w:tcPr>
          <w:p w:rsidR="004A13E8" w:rsidP="00731F41" w:rsidRDefault="00AF2661" w14:paraId="55FE17E4" w14:textId="1A50EFCE">
            <w:r>
              <w:t>3</w:t>
            </w:r>
          </w:p>
        </w:tc>
        <w:tc>
          <w:tcPr>
            <w:tcW w:w="1671" w:type="dxa"/>
          </w:tcPr>
          <w:p w:rsidR="004A13E8" w:rsidP="00955AF2" w:rsidRDefault="00782997" w14:paraId="55FE17E5" w14:textId="483C3D3E">
            <w:r>
              <w:t>5/60</w:t>
            </w:r>
            <w:r w:rsidR="00DD12F2">
              <w:t xml:space="preserve"> </w:t>
            </w:r>
          </w:p>
        </w:tc>
        <w:tc>
          <w:tcPr>
            <w:tcW w:w="1669" w:type="dxa"/>
          </w:tcPr>
          <w:p w:rsidR="004A13E8" w:rsidP="00955AF2" w:rsidRDefault="0057462F" w14:paraId="55FE17E6" w14:textId="20312BF3">
            <w:r>
              <w:t xml:space="preserve">500 </w:t>
            </w:r>
          </w:p>
        </w:tc>
      </w:tr>
      <w:tr w:rsidR="001D1854" w:rsidTr="002C2A33" w14:paraId="6D94C121" w14:textId="77777777">
        <w:tc>
          <w:tcPr>
            <w:tcW w:w="1709" w:type="dxa"/>
          </w:tcPr>
          <w:p w:rsidR="001D1854" w:rsidP="00731F41" w:rsidRDefault="000A1D9C" w14:paraId="6281F3A6" w14:textId="7293DFEB">
            <w:pPr>
              <w:pStyle w:val="ListParagraph"/>
              <w:ind w:left="0"/>
            </w:pPr>
            <w:r w:rsidRPr="000A1D9C">
              <w:rPr>
                <w:rFonts w:cs="Times New Roman"/>
                <w:szCs w:val="24"/>
              </w:rPr>
              <w:t>19-1042 Medical Scientists, Except Epidemiologists</w:t>
            </w:r>
            <w:r>
              <w:t>, State Public Health Lab</w:t>
            </w:r>
          </w:p>
        </w:tc>
        <w:tc>
          <w:tcPr>
            <w:tcW w:w="1672" w:type="dxa"/>
          </w:tcPr>
          <w:p w:rsidRPr="002A660E" w:rsidR="001D1854" w:rsidP="000C376F" w:rsidRDefault="00731F41" w14:paraId="2E6D0DF5" w14:textId="40B05F1E">
            <w:pPr>
              <w:rPr>
                <w:i/>
              </w:rPr>
            </w:pPr>
            <w:r w:rsidRPr="002A660E">
              <w:rPr>
                <w:i/>
              </w:rPr>
              <w:t>CDC Specimen Submission 50.34</w:t>
            </w:r>
            <w:r>
              <w:t xml:space="preserve"> </w:t>
            </w:r>
            <w:r w:rsidRPr="002A660E">
              <w:rPr>
                <w:i/>
              </w:rPr>
              <w:t>Form</w:t>
            </w:r>
          </w:p>
        </w:tc>
        <w:tc>
          <w:tcPr>
            <w:tcW w:w="1675" w:type="dxa"/>
          </w:tcPr>
          <w:p w:rsidR="001D1854" w:rsidP="00955AF2" w:rsidRDefault="00955AF2" w14:paraId="28BD4400" w14:textId="7B21525B">
            <w:r>
              <w:t>98</w:t>
            </w:r>
          </w:p>
        </w:tc>
        <w:tc>
          <w:tcPr>
            <w:tcW w:w="1674" w:type="dxa"/>
          </w:tcPr>
          <w:p w:rsidR="001D1854" w:rsidP="00955AF2" w:rsidRDefault="00AF2661" w14:paraId="7FE67F39" w14:textId="5FE1B110">
            <w:pPr>
              <w:pStyle w:val="ListParagraph"/>
              <w:ind w:left="0"/>
              <w:jc w:val="both"/>
            </w:pPr>
            <w:r>
              <w:t>193</w:t>
            </w:r>
          </w:p>
        </w:tc>
        <w:tc>
          <w:tcPr>
            <w:tcW w:w="1671" w:type="dxa"/>
          </w:tcPr>
          <w:p w:rsidR="001D1854" w:rsidP="00955AF2" w:rsidRDefault="00782997" w14:paraId="48ABBBFF" w14:textId="6FEC6914">
            <w:r>
              <w:t>5/60</w:t>
            </w:r>
          </w:p>
        </w:tc>
        <w:tc>
          <w:tcPr>
            <w:tcW w:w="1669" w:type="dxa"/>
          </w:tcPr>
          <w:p w:rsidR="001D1854" w:rsidP="000C376F" w:rsidRDefault="0057462F" w14:paraId="7F57FD13" w14:textId="2AC994AD">
            <w:r>
              <w:t>1576</w:t>
            </w:r>
          </w:p>
        </w:tc>
      </w:tr>
      <w:tr w:rsidR="002C2A33" w:rsidTr="00DF0CFE" w14:paraId="563E2619" w14:textId="77777777">
        <w:trPr>
          <w:trHeight w:val="1097"/>
        </w:trPr>
        <w:tc>
          <w:tcPr>
            <w:tcW w:w="1709" w:type="dxa"/>
          </w:tcPr>
          <w:p w:rsidR="002C2A33" w:rsidP="00DF0CFE" w:rsidRDefault="00DF0CFE" w14:paraId="0B1B2BD8" w14:textId="793AA50D">
            <w:pPr>
              <w:pStyle w:val="ListParagraph"/>
              <w:ind w:left="0"/>
            </w:pPr>
            <w:r>
              <w:t>Medical Assistant, Doctor’s Office/Hospital</w:t>
            </w:r>
          </w:p>
        </w:tc>
        <w:tc>
          <w:tcPr>
            <w:tcW w:w="1672" w:type="dxa"/>
          </w:tcPr>
          <w:p w:rsidRPr="002A660E" w:rsidR="002C2A33" w:rsidP="002C2A33" w:rsidRDefault="002C2A33" w14:paraId="2C6DA3FC" w14:textId="1DFCE603">
            <w:pPr>
              <w:rPr>
                <w:i/>
              </w:rPr>
            </w:pPr>
            <w:r w:rsidRPr="004F1399">
              <w:rPr>
                <w:i/>
              </w:rPr>
              <w:t>Global File Accessioning Template</w:t>
            </w:r>
          </w:p>
        </w:tc>
        <w:tc>
          <w:tcPr>
            <w:tcW w:w="1675" w:type="dxa"/>
          </w:tcPr>
          <w:p w:rsidR="002C2A33" w:rsidP="002C2A33" w:rsidRDefault="00ED7ADF" w14:paraId="0538BBF7" w14:textId="36273592">
            <w:r>
              <w:t>15</w:t>
            </w:r>
          </w:p>
        </w:tc>
        <w:tc>
          <w:tcPr>
            <w:tcW w:w="1674" w:type="dxa"/>
          </w:tcPr>
          <w:p w:rsidR="002C2A33" w:rsidP="00E776A3" w:rsidRDefault="00955AF2" w14:paraId="6C8F95CB" w14:textId="4E8D133A">
            <w:pPr>
              <w:pStyle w:val="ListParagraph"/>
              <w:ind w:left="0"/>
            </w:pPr>
            <w:r>
              <w:t>11</w:t>
            </w:r>
          </w:p>
        </w:tc>
        <w:tc>
          <w:tcPr>
            <w:tcW w:w="1671" w:type="dxa"/>
          </w:tcPr>
          <w:p w:rsidR="002C2A33" w:rsidP="00955AF2" w:rsidRDefault="00782997" w14:paraId="5B728D3F" w14:textId="3C974507">
            <w:r>
              <w:t>20/60</w:t>
            </w:r>
          </w:p>
        </w:tc>
        <w:tc>
          <w:tcPr>
            <w:tcW w:w="1669" w:type="dxa"/>
          </w:tcPr>
          <w:p w:rsidR="002C2A33" w:rsidP="002C2A33" w:rsidRDefault="0057462F" w14:paraId="54A19782" w14:textId="12598898">
            <w:r>
              <w:t>55</w:t>
            </w:r>
          </w:p>
        </w:tc>
      </w:tr>
      <w:tr w:rsidR="002C2A33" w:rsidTr="002C2A33" w14:paraId="55FE17EB" w14:textId="77777777">
        <w:tc>
          <w:tcPr>
            <w:tcW w:w="1709" w:type="dxa"/>
          </w:tcPr>
          <w:p w:rsidRPr="00131328" w:rsidR="002C2A33" w:rsidP="002C2A33" w:rsidRDefault="002C2A33" w14:paraId="55FE17E8" w14:textId="77777777">
            <w:pPr>
              <w:rPr>
                <w:b/>
              </w:rPr>
            </w:pPr>
            <w:r>
              <w:rPr>
                <w:b/>
              </w:rPr>
              <w:t>Total</w:t>
            </w:r>
          </w:p>
        </w:tc>
        <w:tc>
          <w:tcPr>
            <w:tcW w:w="6692" w:type="dxa"/>
            <w:gridSpan w:val="4"/>
          </w:tcPr>
          <w:p w:rsidR="002C2A33" w:rsidP="002C2A33" w:rsidRDefault="002C2A33" w14:paraId="55FE17E9" w14:textId="77777777"/>
        </w:tc>
        <w:tc>
          <w:tcPr>
            <w:tcW w:w="1669" w:type="dxa"/>
          </w:tcPr>
          <w:p w:rsidR="002C2A33" w:rsidP="002C2A33" w:rsidRDefault="00746842" w14:paraId="55FE17EA" w14:textId="58FDAB5C">
            <w:r>
              <w:t>2131</w:t>
            </w:r>
          </w:p>
        </w:tc>
      </w:tr>
    </w:tbl>
    <w:p w:rsidR="00CB53FF" w:rsidP="004A13E8" w:rsidRDefault="00CB53FF" w14:paraId="4A001081" w14:textId="77777777">
      <w:pPr>
        <w:spacing w:before="240"/>
      </w:pPr>
    </w:p>
    <w:p w:rsidR="00C553B7" w:rsidP="004A13E8" w:rsidRDefault="004A13E8" w14:paraId="505C920E" w14:textId="1C321FF1">
      <w:pPr>
        <w:spacing w:before="240"/>
      </w:pPr>
      <w:r>
        <w:t>B.</w:t>
      </w:r>
      <w:r w:rsidR="00C553B7">
        <w:t xml:space="preserve"> Estimated Annualized Burden Costs</w:t>
      </w:r>
      <w:r w:rsidR="009B0947">
        <w:t xml:space="preserve"> </w:t>
      </w:r>
    </w:p>
    <w:p w:rsidR="001E4AF3" w:rsidP="001E4AF3" w:rsidRDefault="001E4AF3" w14:paraId="5193A52E" w14:textId="0D02E79F">
      <w:pPr>
        <w:spacing w:before="100" w:beforeAutospacing="1" w:after="150"/>
        <w:outlineLvl w:val="1"/>
        <w:rPr>
          <w:rFonts w:eastAsia="Times New Roman" w:cs="Times New Roman"/>
          <w:kern w:val="36"/>
          <w:szCs w:val="24"/>
        </w:rPr>
      </w:pPr>
      <w:r>
        <w:lastRenderedPageBreak/>
        <w:t xml:space="preserve">The annualized cost to respondents were based upon mean hourly wage rates </w:t>
      </w:r>
      <w:r w:rsidR="000A1D9C">
        <w:t xml:space="preserve">for </w:t>
      </w:r>
      <w:r>
        <w:t xml:space="preserve">medical assistants and </w:t>
      </w:r>
      <w:r w:rsidR="000A1D9C">
        <w:t xml:space="preserve">medical scientists </w:t>
      </w:r>
      <w:r>
        <w:t xml:space="preserve">information published on the </w:t>
      </w:r>
      <w:r w:rsidRPr="001E4AF3">
        <w:rPr>
          <w:i/>
        </w:rPr>
        <w:t>Bureau of Labor Statistics-</w:t>
      </w:r>
      <w:r w:rsidRPr="001E4AF3">
        <w:rPr>
          <w:rFonts w:eastAsia="Times New Roman" w:cs="Times New Roman"/>
          <w:i/>
          <w:kern w:val="36"/>
          <w:szCs w:val="24"/>
        </w:rPr>
        <w:t>May 2018 National Occupational Employment and Wage Estimates</w:t>
      </w:r>
      <w:r>
        <w:rPr>
          <w:rFonts w:eastAsia="Times New Roman" w:cs="Times New Roman"/>
          <w:i/>
          <w:kern w:val="36"/>
          <w:szCs w:val="24"/>
        </w:rPr>
        <w:t xml:space="preserve"> </w:t>
      </w:r>
      <w:r>
        <w:rPr>
          <w:rFonts w:eastAsia="Times New Roman" w:cs="Times New Roman"/>
          <w:kern w:val="36"/>
          <w:szCs w:val="24"/>
        </w:rPr>
        <w:t>website</w:t>
      </w:r>
      <w:r w:rsidR="000A1D9C">
        <w:rPr>
          <w:rFonts w:eastAsia="Times New Roman" w:cs="Times New Roman"/>
          <w:kern w:val="36"/>
          <w:szCs w:val="24"/>
        </w:rPr>
        <w:t xml:space="preserve">, </w:t>
      </w:r>
      <w:hyperlink w:history="1" r:id="rId13">
        <w:r w:rsidRPr="004E6298" w:rsidR="000A1D9C">
          <w:rPr>
            <w:rStyle w:val="Hyperlink"/>
            <w:rFonts w:eastAsia="Times New Roman" w:cs="Times New Roman"/>
            <w:kern w:val="36"/>
            <w:szCs w:val="24"/>
          </w:rPr>
          <w:t>https://www.bls.gov/oes/current/oes_nat.htm</w:t>
        </w:r>
      </w:hyperlink>
      <w:r w:rsidR="000A1D9C">
        <w:rPr>
          <w:rFonts w:eastAsia="Times New Roman" w:cs="Times New Roman"/>
          <w:kern w:val="36"/>
          <w:szCs w:val="24"/>
        </w:rPr>
        <w:t>.</w:t>
      </w:r>
    </w:p>
    <w:p w:rsidRPr="00080EB5" w:rsidR="001E4AF3" w:rsidP="001E4AF3" w:rsidRDefault="001E4AF3" w14:paraId="56B4C42F" w14:textId="2834A729">
      <w:pPr>
        <w:spacing w:before="240"/>
        <w:rPr>
          <w:rFonts w:cs="Times New Roman"/>
          <w:szCs w:val="24"/>
        </w:rPr>
      </w:pPr>
      <w:r w:rsidRPr="00080EB5">
        <w:rPr>
          <w:rFonts w:eastAsia="Times New Roman" w:cs="Times New Roman"/>
          <w:kern w:val="36"/>
          <w:szCs w:val="24"/>
        </w:rPr>
        <w:t>United States</w:t>
      </w:r>
    </w:p>
    <w:tbl>
      <w:tblPr>
        <w:tblStyle w:val="TableGrid"/>
        <w:tblW w:w="10075" w:type="dxa"/>
        <w:tblLook w:val="04A0" w:firstRow="1" w:lastRow="0" w:firstColumn="1" w:lastColumn="0" w:noHBand="0" w:noVBand="1"/>
      </w:tblPr>
      <w:tblGrid>
        <w:gridCol w:w="2015"/>
        <w:gridCol w:w="2015"/>
        <w:gridCol w:w="2015"/>
        <w:gridCol w:w="2015"/>
        <w:gridCol w:w="2015"/>
      </w:tblGrid>
      <w:tr w:rsidR="004A13E8" w:rsidTr="000C376F" w14:paraId="55FE17F2" w14:textId="77777777">
        <w:tc>
          <w:tcPr>
            <w:tcW w:w="2015" w:type="dxa"/>
          </w:tcPr>
          <w:p w:rsidR="004A13E8" w:rsidP="000C376F" w:rsidRDefault="004A13E8" w14:paraId="55FE17ED" w14:textId="77777777">
            <w:r>
              <w:t>Type of Respondent</w:t>
            </w:r>
          </w:p>
        </w:tc>
        <w:tc>
          <w:tcPr>
            <w:tcW w:w="2015" w:type="dxa"/>
          </w:tcPr>
          <w:p w:rsidR="004A13E8" w:rsidP="000C376F" w:rsidRDefault="004A13E8" w14:paraId="55FE17EE" w14:textId="77777777">
            <w:r>
              <w:t>Form Name</w:t>
            </w:r>
          </w:p>
        </w:tc>
        <w:tc>
          <w:tcPr>
            <w:tcW w:w="2015" w:type="dxa"/>
          </w:tcPr>
          <w:p w:rsidR="004A13E8" w:rsidP="000C376F" w:rsidRDefault="004A13E8" w14:paraId="55FE17EF" w14:textId="77777777">
            <w:r>
              <w:t>Total Burden Hours</w:t>
            </w:r>
          </w:p>
        </w:tc>
        <w:tc>
          <w:tcPr>
            <w:tcW w:w="2015" w:type="dxa"/>
          </w:tcPr>
          <w:p w:rsidR="004A13E8" w:rsidP="000C376F" w:rsidRDefault="003C2196" w14:paraId="55FE17F0" w14:textId="6612A9A6">
            <w:r>
              <w:t xml:space="preserve">Mean </w:t>
            </w:r>
            <w:r w:rsidR="004A13E8">
              <w:t>Hourly Wage Rate</w:t>
            </w:r>
          </w:p>
        </w:tc>
        <w:tc>
          <w:tcPr>
            <w:tcW w:w="2015" w:type="dxa"/>
          </w:tcPr>
          <w:p w:rsidR="004A13E8" w:rsidP="000C376F" w:rsidRDefault="004A13E8" w14:paraId="55FE17F1" w14:textId="77777777">
            <w:r>
              <w:t>Total Respondent Costs</w:t>
            </w:r>
          </w:p>
        </w:tc>
      </w:tr>
      <w:tr w:rsidR="00955AF2" w:rsidTr="000C376F" w14:paraId="55FE17F8" w14:textId="77777777">
        <w:tc>
          <w:tcPr>
            <w:tcW w:w="2015" w:type="dxa"/>
          </w:tcPr>
          <w:p w:rsidR="00955AF2" w:rsidP="00955AF2" w:rsidRDefault="00502446" w14:paraId="55FE17F3" w14:textId="2EF24121">
            <w:r w:rsidRPr="00502446">
              <w:rPr>
                <w:rFonts w:cs="Times New Roman"/>
                <w:szCs w:val="24"/>
              </w:rPr>
              <w:t>31-9092</w:t>
            </w:r>
            <w:r>
              <w:rPr>
                <w:rFonts w:ascii="Arial" w:hAnsi="Arial" w:cs="Arial"/>
                <w:sz w:val="32"/>
                <w:szCs w:val="32"/>
              </w:rPr>
              <w:t xml:space="preserve"> </w:t>
            </w:r>
            <w:r w:rsidR="00955AF2">
              <w:t>Medical Assistant, Doctor’s Office/Hospital</w:t>
            </w:r>
          </w:p>
        </w:tc>
        <w:tc>
          <w:tcPr>
            <w:tcW w:w="2015" w:type="dxa"/>
          </w:tcPr>
          <w:p w:rsidR="00955AF2" w:rsidP="00955AF2" w:rsidRDefault="00955AF2" w14:paraId="55FE17F4" w14:textId="490D2696">
            <w:r w:rsidRPr="002A660E">
              <w:rPr>
                <w:i/>
              </w:rPr>
              <w:t>CDC Specimen Submission 50.34</w:t>
            </w:r>
            <w:r>
              <w:t xml:space="preserve"> </w:t>
            </w:r>
            <w:r w:rsidRPr="002A660E">
              <w:rPr>
                <w:i/>
              </w:rPr>
              <w:t>Form</w:t>
            </w:r>
          </w:p>
        </w:tc>
        <w:tc>
          <w:tcPr>
            <w:tcW w:w="2015" w:type="dxa"/>
          </w:tcPr>
          <w:p w:rsidR="00955AF2" w:rsidP="00955AF2" w:rsidRDefault="00746842" w14:paraId="55FE17F5" w14:textId="248B4890">
            <w:r>
              <w:t>500</w:t>
            </w:r>
          </w:p>
        </w:tc>
        <w:tc>
          <w:tcPr>
            <w:tcW w:w="2015" w:type="dxa"/>
          </w:tcPr>
          <w:p w:rsidR="00955AF2" w:rsidP="00955AF2" w:rsidRDefault="003C2196" w14:paraId="55FE17F6" w14:textId="6617C3DC">
            <w:r>
              <w:t>$16.61</w:t>
            </w:r>
          </w:p>
        </w:tc>
        <w:tc>
          <w:tcPr>
            <w:tcW w:w="2015" w:type="dxa"/>
          </w:tcPr>
          <w:p w:rsidR="00955AF2" w:rsidP="003A1746" w:rsidRDefault="000A1D9C" w14:paraId="55FE17F7" w14:textId="62665AC5">
            <w:pPr>
              <w:jc w:val="right"/>
            </w:pPr>
            <w:r>
              <w:t>$</w:t>
            </w:r>
            <w:r w:rsidR="00746842">
              <w:t>8</w:t>
            </w:r>
            <w:r w:rsidR="008E421E">
              <w:t>,</w:t>
            </w:r>
            <w:r w:rsidR="00746842">
              <w:t>305</w:t>
            </w:r>
          </w:p>
        </w:tc>
      </w:tr>
      <w:tr w:rsidR="00955AF2" w:rsidTr="000C376F" w14:paraId="0E054236" w14:textId="77777777">
        <w:tc>
          <w:tcPr>
            <w:tcW w:w="2015" w:type="dxa"/>
          </w:tcPr>
          <w:p w:rsidR="00955AF2" w:rsidP="00955AF2" w:rsidRDefault="000A1D9C" w14:paraId="3FB74C8A" w14:textId="1CD5099A">
            <w:r w:rsidRPr="000A1D9C">
              <w:rPr>
                <w:rFonts w:cs="Times New Roman"/>
                <w:szCs w:val="24"/>
              </w:rPr>
              <w:t>19-1042 Medical Scientists, Except Epidemiologists</w:t>
            </w:r>
            <w:r w:rsidR="00955AF2">
              <w:t>, State Public Health Lab</w:t>
            </w:r>
          </w:p>
        </w:tc>
        <w:tc>
          <w:tcPr>
            <w:tcW w:w="2015" w:type="dxa"/>
          </w:tcPr>
          <w:p w:rsidR="00955AF2" w:rsidP="00955AF2" w:rsidRDefault="00955AF2" w14:paraId="760028EA" w14:textId="2051E258">
            <w:r w:rsidRPr="002A660E">
              <w:rPr>
                <w:i/>
              </w:rPr>
              <w:t>CDC Specimen Submission 50.34</w:t>
            </w:r>
            <w:r>
              <w:t xml:space="preserve"> </w:t>
            </w:r>
            <w:r w:rsidRPr="002A660E">
              <w:rPr>
                <w:i/>
              </w:rPr>
              <w:t>Form</w:t>
            </w:r>
          </w:p>
        </w:tc>
        <w:tc>
          <w:tcPr>
            <w:tcW w:w="2015" w:type="dxa"/>
          </w:tcPr>
          <w:p w:rsidR="00955AF2" w:rsidP="00955AF2" w:rsidRDefault="00746842" w14:paraId="7F2E9097" w14:textId="193009E8">
            <w:r>
              <w:t>1576</w:t>
            </w:r>
          </w:p>
        </w:tc>
        <w:tc>
          <w:tcPr>
            <w:tcW w:w="2015" w:type="dxa"/>
          </w:tcPr>
          <w:p w:rsidRPr="000A1D9C" w:rsidR="00955AF2" w:rsidP="00955AF2" w:rsidRDefault="000A1D9C" w14:paraId="386DED2A" w14:textId="7822C197">
            <w:pPr>
              <w:rPr>
                <w:rFonts w:cs="Times New Roman"/>
                <w:szCs w:val="24"/>
              </w:rPr>
            </w:pPr>
            <w:r w:rsidRPr="000A1D9C">
              <w:rPr>
                <w:rFonts w:cs="Times New Roman"/>
                <w:szCs w:val="24"/>
              </w:rPr>
              <w:t>$46.36</w:t>
            </w:r>
          </w:p>
        </w:tc>
        <w:tc>
          <w:tcPr>
            <w:tcW w:w="2015" w:type="dxa"/>
          </w:tcPr>
          <w:p w:rsidR="00955AF2" w:rsidP="003A1746" w:rsidRDefault="000A1D9C" w14:paraId="6C3024EB" w14:textId="62F8D389">
            <w:pPr>
              <w:jc w:val="right"/>
            </w:pPr>
            <w:r>
              <w:t>$</w:t>
            </w:r>
            <w:r w:rsidR="00746842">
              <w:t>73,06</w:t>
            </w:r>
            <w:r w:rsidR="008E421E">
              <w:t>3</w:t>
            </w:r>
          </w:p>
        </w:tc>
      </w:tr>
      <w:tr w:rsidR="00955AF2" w:rsidTr="000C376F" w14:paraId="0E5C547A" w14:textId="77777777">
        <w:tc>
          <w:tcPr>
            <w:tcW w:w="2015" w:type="dxa"/>
          </w:tcPr>
          <w:p w:rsidR="00955AF2" w:rsidP="00955AF2" w:rsidRDefault="00502446" w14:paraId="00E4DABB" w14:textId="16E7E54B">
            <w:r w:rsidRPr="00502446">
              <w:rPr>
                <w:rFonts w:cs="Times New Roman"/>
                <w:szCs w:val="24"/>
              </w:rPr>
              <w:t>31-9092</w:t>
            </w:r>
            <w:r>
              <w:rPr>
                <w:rFonts w:ascii="Arial" w:hAnsi="Arial" w:cs="Arial"/>
                <w:sz w:val="32"/>
                <w:szCs w:val="32"/>
              </w:rPr>
              <w:t xml:space="preserve"> </w:t>
            </w:r>
            <w:r w:rsidR="00955AF2">
              <w:t>Medical Assistant, Doctor’s Office/Hospital</w:t>
            </w:r>
          </w:p>
        </w:tc>
        <w:tc>
          <w:tcPr>
            <w:tcW w:w="2015" w:type="dxa"/>
          </w:tcPr>
          <w:p w:rsidR="00955AF2" w:rsidP="00955AF2" w:rsidRDefault="00955AF2" w14:paraId="66A7E33D" w14:textId="422458FE">
            <w:r w:rsidRPr="004F1399">
              <w:rPr>
                <w:i/>
              </w:rPr>
              <w:t>Global File Accessioning Template</w:t>
            </w:r>
          </w:p>
        </w:tc>
        <w:tc>
          <w:tcPr>
            <w:tcW w:w="2015" w:type="dxa"/>
          </w:tcPr>
          <w:p w:rsidR="00955AF2" w:rsidP="00955AF2" w:rsidRDefault="00746842" w14:paraId="51C59AEA" w14:textId="7ED808D4">
            <w:r>
              <w:t>55</w:t>
            </w:r>
          </w:p>
        </w:tc>
        <w:tc>
          <w:tcPr>
            <w:tcW w:w="2015" w:type="dxa"/>
          </w:tcPr>
          <w:p w:rsidR="00955AF2" w:rsidP="00955AF2" w:rsidRDefault="003C2196" w14:paraId="24D4DCB3" w14:textId="25B226B0">
            <w:r>
              <w:t>$16.61</w:t>
            </w:r>
          </w:p>
        </w:tc>
        <w:tc>
          <w:tcPr>
            <w:tcW w:w="2015" w:type="dxa"/>
          </w:tcPr>
          <w:p w:rsidR="00955AF2" w:rsidP="003A1746" w:rsidRDefault="000A1D9C" w14:paraId="152382C4" w14:textId="40D7B9F5">
            <w:pPr>
              <w:jc w:val="right"/>
            </w:pPr>
            <w:r>
              <w:t>$</w:t>
            </w:r>
            <w:r w:rsidR="008E421E">
              <w:t>914</w:t>
            </w:r>
          </w:p>
        </w:tc>
      </w:tr>
      <w:tr w:rsidR="00955AF2" w:rsidTr="000C376F" w14:paraId="55FE17FC" w14:textId="77777777">
        <w:tc>
          <w:tcPr>
            <w:tcW w:w="2015" w:type="dxa"/>
          </w:tcPr>
          <w:p w:rsidRPr="00DC08D0" w:rsidR="00955AF2" w:rsidP="00955AF2" w:rsidRDefault="00955AF2" w14:paraId="55FE17F9" w14:textId="77777777">
            <w:pPr>
              <w:rPr>
                <w:b/>
              </w:rPr>
            </w:pPr>
            <w:r>
              <w:rPr>
                <w:b/>
              </w:rPr>
              <w:t>Total</w:t>
            </w:r>
          </w:p>
        </w:tc>
        <w:tc>
          <w:tcPr>
            <w:tcW w:w="6045" w:type="dxa"/>
            <w:gridSpan w:val="3"/>
          </w:tcPr>
          <w:p w:rsidR="00955AF2" w:rsidP="00955AF2" w:rsidRDefault="00955AF2" w14:paraId="55FE17FA" w14:textId="77777777"/>
        </w:tc>
        <w:tc>
          <w:tcPr>
            <w:tcW w:w="2015" w:type="dxa"/>
          </w:tcPr>
          <w:p w:rsidR="00955AF2" w:rsidP="003A1746" w:rsidRDefault="00752D7D" w14:paraId="55FE17FB" w14:textId="2F05B91B">
            <w:pPr>
              <w:jc w:val="right"/>
            </w:pPr>
            <w:r>
              <w:t>$</w:t>
            </w:r>
            <w:r w:rsidR="008E421E">
              <w:t>82,28</w:t>
            </w:r>
            <w:r w:rsidR="00A31473">
              <w:t>2</w:t>
            </w:r>
          </w:p>
        </w:tc>
      </w:tr>
    </w:tbl>
    <w:p w:rsidR="004A13E8" w:rsidP="0025156B" w:rsidRDefault="004A13E8" w14:paraId="55FE17FE" w14:textId="7BD1257A">
      <w:pPr>
        <w:pStyle w:val="Heading1"/>
        <w:spacing w:before="240"/>
      </w:pPr>
      <w:bookmarkStart w:name="_Toc473880029" w:id="17"/>
      <w:r>
        <w:t>Estimates of Other Total Annual Cost Burden to Respondents or Record Keepers</w:t>
      </w:r>
      <w:bookmarkEnd w:id="17"/>
    </w:p>
    <w:p w:rsidR="00C9049B" w:rsidP="004A13E8" w:rsidRDefault="00C9049B" w14:paraId="35652314" w14:textId="25B73193">
      <w:r>
        <w:t>There are no costs to respondents other than their time to participate.</w:t>
      </w:r>
    </w:p>
    <w:p w:rsidR="004A13E8" w:rsidP="004A13E8" w:rsidRDefault="004A13E8" w14:paraId="55FE1801" w14:textId="77777777">
      <w:pPr>
        <w:pStyle w:val="Heading1"/>
      </w:pPr>
      <w:bookmarkStart w:name="_Toc473880030" w:id="18"/>
      <w:r>
        <w:t>Annualized Cost to the Government</w:t>
      </w:r>
      <w:bookmarkEnd w:id="18"/>
    </w:p>
    <w:p w:rsidR="00367FB3" w:rsidP="00DA0BBE" w:rsidRDefault="00E028EE" w14:paraId="3852EB23" w14:textId="6D4D3919">
      <w:r w:rsidRPr="000E1A75">
        <w:t>The average annualized cost to the Federal Government to collect this information is $</w:t>
      </w:r>
      <w:r w:rsidR="003A1746">
        <w:t>132,062.</w:t>
      </w:r>
      <w:r w:rsidRPr="000E1A75">
        <w:t xml:space="preserve"> The federal government personnel </w:t>
      </w:r>
      <w:r w:rsidRPr="000E1A75" w:rsidR="00752D7D">
        <w:t xml:space="preserve">cost </w:t>
      </w:r>
      <w:r w:rsidRPr="000E1A75">
        <w:t xml:space="preserve">estimate is based </w:t>
      </w:r>
      <w:r w:rsidRPr="000E1A75" w:rsidR="00752D7D">
        <w:t xml:space="preserve">on using two resource </w:t>
      </w:r>
      <w:r w:rsidR="000E1A75">
        <w:t>types</w:t>
      </w:r>
      <w:r w:rsidRPr="000E1A75" w:rsidR="00752D7D">
        <w:t xml:space="preserve">  The first </w:t>
      </w:r>
      <w:r w:rsidR="000E1A75">
        <w:t xml:space="preserve">resource </w:t>
      </w:r>
      <w:r w:rsidRPr="000E1A75" w:rsidR="00752D7D">
        <w:t>is a CDC laboratorian (GS-13) who is responsible for barcode scanni</w:t>
      </w:r>
      <w:r w:rsidRPr="000E1A75" w:rsidR="000E1A75">
        <w:t xml:space="preserve">ng 25,170 (annual total count) </w:t>
      </w:r>
      <w:r w:rsidRPr="000E1A75" w:rsidR="00752D7D">
        <w:rPr>
          <w:i/>
        </w:rPr>
        <w:t>CDC Specimen Submission 50.34</w:t>
      </w:r>
      <w:r w:rsidRPr="000E1A75" w:rsidR="00752D7D">
        <w:t xml:space="preserve"> </w:t>
      </w:r>
      <w:r w:rsidR="000E1A75">
        <w:rPr>
          <w:i/>
        </w:rPr>
        <w:t>F</w:t>
      </w:r>
      <w:r w:rsidRPr="000E1A75" w:rsidR="000E1A75">
        <w:rPr>
          <w:i/>
        </w:rPr>
        <w:t>orms</w:t>
      </w:r>
      <w:r w:rsidRPr="000E1A75" w:rsidR="00752D7D">
        <w:t xml:space="preserve"> into ELIMS at </w:t>
      </w:r>
      <w:r w:rsidR="000E1A75">
        <w:t xml:space="preserve">an </w:t>
      </w:r>
      <w:r w:rsidRPr="000E1A75" w:rsidR="00752D7D">
        <w:t>average</w:t>
      </w:r>
      <w:r w:rsidR="000E1A75">
        <w:t xml:space="preserve"> time</w:t>
      </w:r>
      <w:r w:rsidRPr="000E1A75" w:rsidR="00752D7D">
        <w:t xml:space="preserve"> of 1</w:t>
      </w:r>
      <w:r w:rsidR="000E1A75">
        <w:t>2</w:t>
      </w:r>
      <w:r w:rsidRPr="000E1A75" w:rsidR="00752D7D">
        <w:t xml:space="preserve"> seconds per form</w:t>
      </w:r>
      <w:r w:rsidR="000E1A75">
        <w:t xml:space="preserve"> </w:t>
      </w:r>
      <w:r w:rsidR="005D5FF6">
        <w:t>which calculates to 84 hours for all 25,170 forms.</w:t>
      </w:r>
      <w:r w:rsidRPr="000E1A75" w:rsidR="000E1A75">
        <w:t xml:space="preserve"> </w:t>
      </w:r>
      <w:r w:rsidRPr="000E1A75" w:rsidR="00752D7D">
        <w:t xml:space="preserve"> </w:t>
      </w:r>
      <w:r w:rsidRPr="000E1A75" w:rsidR="000E1A75">
        <w:t>The CDC laboratorian</w:t>
      </w:r>
      <w:r w:rsidR="000E1A75">
        <w:t xml:space="preserve"> (GS-13)</w:t>
      </w:r>
      <w:r w:rsidRPr="000E1A75" w:rsidR="000E1A75">
        <w:t xml:space="preserve"> is also responsible for preparing and uploading </w:t>
      </w:r>
      <w:r w:rsidR="000E1A75">
        <w:t xml:space="preserve">3,234 </w:t>
      </w:r>
      <w:r w:rsidRPr="004F1399" w:rsidR="000E1A75">
        <w:rPr>
          <w:i/>
        </w:rPr>
        <w:t xml:space="preserve">Global File Accessioning </w:t>
      </w:r>
      <w:r w:rsidR="000E1A75">
        <w:rPr>
          <w:i/>
        </w:rPr>
        <w:t xml:space="preserve">Templates </w:t>
      </w:r>
      <w:r w:rsidR="000E1A75">
        <w:t xml:space="preserve">into ELIMS at an average time of </w:t>
      </w:r>
      <w:r w:rsidR="005D5FF6">
        <w:t>20 minutes per template.  The total time for processing 3,234 templates is 1,078 hours.</w:t>
      </w:r>
      <w:r w:rsidR="00367FB3">
        <w:t xml:space="preserve">  </w:t>
      </w:r>
    </w:p>
    <w:p w:rsidR="00367FB3" w:rsidP="00DA0BBE" w:rsidRDefault="003A1746" w14:paraId="080AFC2C" w14:textId="0C500548">
      <w:r>
        <w:t xml:space="preserve">The second resource type is an </w:t>
      </w:r>
      <w:r w:rsidR="001114B7">
        <w:t xml:space="preserve">IT Specialist </w:t>
      </w:r>
      <w:r w:rsidR="00DD3382">
        <w:t xml:space="preserve">(contractor) </w:t>
      </w:r>
      <w:r>
        <w:t>that</w:t>
      </w:r>
      <w:r w:rsidR="001114B7">
        <w:t xml:space="preserve"> provides up to </w:t>
      </w:r>
      <w:r>
        <w:t>600</w:t>
      </w:r>
      <w:r w:rsidR="00DD3382">
        <w:t xml:space="preserve"> </w:t>
      </w:r>
      <w:r w:rsidR="001114B7">
        <w:t xml:space="preserve">hours annually to </w:t>
      </w:r>
      <w:r w:rsidR="00C710A6">
        <w:t xml:space="preserve">provide on-going </w:t>
      </w:r>
      <w:r>
        <w:t xml:space="preserve">production </w:t>
      </w:r>
      <w:r w:rsidR="00C710A6">
        <w:t xml:space="preserve">support </w:t>
      </w:r>
      <w:r w:rsidR="00DD3382">
        <w:t>as well as requirements identification, design, development, testing and deployment of new content</w:t>
      </w:r>
      <w:r w:rsidR="00C710A6">
        <w:t xml:space="preserve"> to </w:t>
      </w:r>
      <w:r>
        <w:t xml:space="preserve">both </w:t>
      </w:r>
      <w:r w:rsidR="00502446">
        <w:t xml:space="preserve">the </w:t>
      </w:r>
      <w:r w:rsidRPr="000E1A75">
        <w:rPr>
          <w:i/>
        </w:rPr>
        <w:t>CDC Specimen Submission 50.34</w:t>
      </w:r>
      <w:r w:rsidRPr="000E1A75">
        <w:t xml:space="preserve"> </w:t>
      </w:r>
      <w:r>
        <w:rPr>
          <w:i/>
        </w:rPr>
        <w:t xml:space="preserve">Form </w:t>
      </w:r>
      <w:r>
        <w:t xml:space="preserve">and </w:t>
      </w:r>
      <w:r w:rsidRPr="004F1399">
        <w:rPr>
          <w:i/>
        </w:rPr>
        <w:t xml:space="preserve">Global File Accessioning </w:t>
      </w:r>
      <w:r>
        <w:rPr>
          <w:i/>
        </w:rPr>
        <w:t>Template</w:t>
      </w:r>
      <w:r w:rsidR="001114B7">
        <w:t>.  The average hourly rate cost to the government for a</w:t>
      </w:r>
      <w:r>
        <w:t>n I</w:t>
      </w:r>
      <w:r w:rsidR="001114B7">
        <w:t xml:space="preserve">T </w:t>
      </w:r>
      <w:r>
        <w:t>Specialist to support these activities is $122.00</w:t>
      </w:r>
    </w:p>
    <w:p w:rsidRPr="00CD7BC2" w:rsidR="00E028EE" w:rsidP="00E028EE" w:rsidRDefault="00E028EE" w14:paraId="0E4496DD" w14:textId="71EFC49E">
      <w:pPr>
        <w:pStyle w:val="ExhibitTitle"/>
      </w:pPr>
      <w:r w:rsidRPr="00CD7BC2">
        <w:t>E</w:t>
      </w:r>
      <w:r w:rsidRPr="0034291D">
        <w:t>xhibit A.14.1. Government Costs</w:t>
      </w:r>
    </w:p>
    <w:tbl>
      <w:tblPr>
        <w:tblW w:w="99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111"/>
        <w:gridCol w:w="4907"/>
        <w:gridCol w:w="1425"/>
        <w:gridCol w:w="1535"/>
      </w:tblGrid>
      <w:tr w:rsidRPr="00CD7BC2" w:rsidR="00E028EE" w:rsidTr="000C376F" w14:paraId="2C5681FF" w14:textId="77777777">
        <w:trPr>
          <w:trHeight w:val="546"/>
        </w:trPr>
        <w:tc>
          <w:tcPr>
            <w:tcW w:w="7018" w:type="dxa"/>
            <w:gridSpan w:val="2"/>
          </w:tcPr>
          <w:p w:rsidRPr="00CD7BC2" w:rsidR="00E028EE" w:rsidP="000C376F" w:rsidRDefault="00E028EE" w14:paraId="785C5CCC" w14:textId="77777777"/>
        </w:tc>
        <w:tc>
          <w:tcPr>
            <w:tcW w:w="1425" w:type="dxa"/>
          </w:tcPr>
          <w:p w:rsidRPr="00CD7BC2" w:rsidR="00E028EE" w:rsidP="000C376F" w:rsidRDefault="00E028EE" w14:paraId="0A60FE04" w14:textId="77777777">
            <w:pPr>
              <w:jc w:val="center"/>
              <w:rPr>
                <w:b/>
              </w:rPr>
            </w:pPr>
            <w:r w:rsidRPr="00CD7BC2">
              <w:rPr>
                <w:b/>
              </w:rPr>
              <w:t>Percent Time</w:t>
            </w:r>
          </w:p>
        </w:tc>
        <w:tc>
          <w:tcPr>
            <w:tcW w:w="1535" w:type="dxa"/>
          </w:tcPr>
          <w:p w:rsidRPr="00CD7BC2" w:rsidR="00E028EE" w:rsidP="000C376F" w:rsidRDefault="00E028EE" w14:paraId="45FD9554" w14:textId="77777777">
            <w:pPr>
              <w:jc w:val="center"/>
              <w:rPr>
                <w:b/>
              </w:rPr>
            </w:pPr>
            <w:r w:rsidRPr="00CD7BC2">
              <w:rPr>
                <w:b/>
              </w:rPr>
              <w:t>Total ($)</w:t>
            </w:r>
          </w:p>
        </w:tc>
      </w:tr>
      <w:tr w:rsidRPr="00CD7BC2" w:rsidR="00E028EE" w:rsidTr="000C376F" w14:paraId="3D50B45C" w14:textId="77777777">
        <w:trPr>
          <w:trHeight w:val="395"/>
        </w:trPr>
        <w:tc>
          <w:tcPr>
            <w:tcW w:w="2111" w:type="dxa"/>
            <w:vMerge w:val="restart"/>
          </w:tcPr>
          <w:p w:rsidRPr="00CD7BC2" w:rsidR="00E028EE" w:rsidP="000C376F" w:rsidRDefault="00E028EE" w14:paraId="0DC5DC3F" w14:textId="77777777">
            <w:pPr>
              <w:rPr>
                <w:b/>
              </w:rPr>
            </w:pPr>
            <w:r w:rsidRPr="00CD7BC2">
              <w:rPr>
                <w:b/>
              </w:rPr>
              <w:lastRenderedPageBreak/>
              <w:t>Federal Government</w:t>
            </w:r>
          </w:p>
          <w:p w:rsidRPr="00CD7BC2" w:rsidR="00E028EE" w:rsidP="000C376F" w:rsidRDefault="00E028EE" w14:paraId="7A9F10BC" w14:textId="77777777">
            <w:pPr>
              <w:rPr>
                <w:b/>
              </w:rPr>
            </w:pPr>
            <w:r w:rsidRPr="00CD7BC2">
              <w:rPr>
                <w:b/>
              </w:rPr>
              <w:t>Personnel Costs</w:t>
            </w:r>
          </w:p>
        </w:tc>
        <w:tc>
          <w:tcPr>
            <w:tcW w:w="4907" w:type="dxa"/>
          </w:tcPr>
          <w:p w:rsidRPr="00CD7BC2" w:rsidR="00E028EE" w:rsidP="00C710A6" w:rsidRDefault="00E028EE" w14:paraId="4351F0CF" w14:textId="547C77C0">
            <w:r w:rsidRPr="00CD7BC2">
              <w:t xml:space="preserve">CDC </w:t>
            </w:r>
            <w:r w:rsidR="005D5FF6">
              <w:t>Laboratorian</w:t>
            </w:r>
            <w:r w:rsidRPr="00CD7BC2">
              <w:t xml:space="preserve"> (GS-1</w:t>
            </w:r>
            <w:r>
              <w:t>3</w:t>
            </w:r>
            <w:r w:rsidRPr="00CD7BC2">
              <w:t>)</w:t>
            </w:r>
            <w:r w:rsidR="00367FB3">
              <w:t xml:space="preserve"> (</w:t>
            </w:r>
            <w:r w:rsidR="00C710A6">
              <w:t>u</w:t>
            </w:r>
            <w:r w:rsidR="00367FB3">
              <w:t>sing the annual 2,087-</w:t>
            </w:r>
            <w:r w:rsidR="00C710A6">
              <w:t>h</w:t>
            </w:r>
            <w:r w:rsidR="00367FB3">
              <w:t xml:space="preserve">our </w:t>
            </w:r>
            <w:r w:rsidR="00C710A6">
              <w:t>d</w:t>
            </w:r>
            <w:r w:rsidR="00367FB3">
              <w:t>ivisor</w:t>
            </w:r>
            <w:r w:rsidR="00C710A6">
              <w:t xml:space="preserve"> for federal employees</w:t>
            </w:r>
            <w:r w:rsidR="00367FB3">
              <w:t>)</w:t>
            </w:r>
          </w:p>
        </w:tc>
        <w:tc>
          <w:tcPr>
            <w:tcW w:w="1425" w:type="dxa"/>
          </w:tcPr>
          <w:p w:rsidRPr="00CD7BC2" w:rsidR="00E028EE" w:rsidP="00367FB3" w:rsidRDefault="005D5FF6" w14:paraId="3990206C" w14:textId="1B129376">
            <w:pPr>
              <w:jc w:val="center"/>
            </w:pPr>
            <w:r>
              <w:t>5</w:t>
            </w:r>
            <w:r w:rsidR="00367FB3">
              <w:t>6</w:t>
            </w:r>
            <w:r>
              <w:t>%</w:t>
            </w:r>
          </w:p>
        </w:tc>
        <w:tc>
          <w:tcPr>
            <w:tcW w:w="1535" w:type="dxa"/>
          </w:tcPr>
          <w:p w:rsidRPr="00CD7BC2" w:rsidR="00E028EE" w:rsidP="00367FB3" w:rsidRDefault="00E028EE" w14:paraId="6938A64D" w14:textId="79B66299">
            <w:pPr>
              <w:jc w:val="right"/>
            </w:pPr>
            <w:r>
              <w:t>$</w:t>
            </w:r>
            <w:r w:rsidR="00367FB3">
              <w:t>58,862</w:t>
            </w:r>
          </w:p>
        </w:tc>
      </w:tr>
      <w:tr w:rsidRPr="00CD7BC2" w:rsidR="00E028EE" w:rsidTr="000C376F" w14:paraId="2C9FF521" w14:textId="77777777">
        <w:trPr>
          <w:trHeight w:val="207"/>
        </w:trPr>
        <w:tc>
          <w:tcPr>
            <w:tcW w:w="2111" w:type="dxa"/>
            <w:vMerge/>
          </w:tcPr>
          <w:p w:rsidRPr="00CD7BC2" w:rsidR="00E028EE" w:rsidP="000C376F" w:rsidRDefault="00E028EE" w14:paraId="5C2405D6" w14:textId="77777777">
            <w:pPr>
              <w:rPr>
                <w:b/>
              </w:rPr>
            </w:pPr>
          </w:p>
        </w:tc>
        <w:tc>
          <w:tcPr>
            <w:tcW w:w="4907" w:type="dxa"/>
          </w:tcPr>
          <w:p w:rsidRPr="00CD7BC2" w:rsidR="00E028EE" w:rsidP="003A1746" w:rsidRDefault="00C710A6" w14:paraId="6D00C977" w14:textId="7A8EB01C">
            <w:r>
              <w:t xml:space="preserve">IT </w:t>
            </w:r>
            <w:r w:rsidR="003A1746">
              <w:t>Specialist</w:t>
            </w:r>
            <w:r>
              <w:t xml:space="preserve"> (contractor) (using the annual 1,9</w:t>
            </w:r>
            <w:r w:rsidR="001F3AE0">
              <w:t>60-</w:t>
            </w:r>
            <w:r>
              <w:t>hour divisor for contract staff)</w:t>
            </w:r>
          </w:p>
        </w:tc>
        <w:tc>
          <w:tcPr>
            <w:tcW w:w="1425" w:type="dxa"/>
          </w:tcPr>
          <w:p w:rsidRPr="00CD7BC2" w:rsidR="00E028EE" w:rsidP="000C376F" w:rsidRDefault="003A1746" w14:paraId="523DDB8E" w14:textId="17D0166A">
            <w:pPr>
              <w:jc w:val="center"/>
            </w:pPr>
            <w:r>
              <w:t>31%</w:t>
            </w:r>
          </w:p>
        </w:tc>
        <w:tc>
          <w:tcPr>
            <w:tcW w:w="1535" w:type="dxa"/>
          </w:tcPr>
          <w:p w:rsidRPr="00CD7BC2" w:rsidR="00E028EE" w:rsidP="000C376F" w:rsidRDefault="003A1746" w14:paraId="2A1CC435" w14:textId="0EB75AA7">
            <w:pPr>
              <w:jc w:val="right"/>
            </w:pPr>
            <w:r>
              <w:t>$73,200</w:t>
            </w:r>
          </w:p>
        </w:tc>
      </w:tr>
      <w:tr w:rsidRPr="00CD7BC2" w:rsidR="00E028EE" w:rsidTr="000C376F" w14:paraId="739BE6C6" w14:textId="77777777">
        <w:trPr>
          <w:trHeight w:val="331"/>
        </w:trPr>
        <w:tc>
          <w:tcPr>
            <w:tcW w:w="8443" w:type="dxa"/>
            <w:gridSpan w:val="3"/>
          </w:tcPr>
          <w:p w:rsidRPr="00CD7BC2" w:rsidR="00E028EE" w:rsidP="000C376F" w:rsidRDefault="00E028EE" w14:paraId="2AAD06F0" w14:textId="77777777">
            <w:r w:rsidRPr="00CD7BC2">
              <w:rPr>
                <w:b/>
              </w:rPr>
              <w:t>Total Annualized Cost to Government</w:t>
            </w:r>
          </w:p>
        </w:tc>
        <w:tc>
          <w:tcPr>
            <w:tcW w:w="1535" w:type="dxa"/>
          </w:tcPr>
          <w:p w:rsidRPr="00CD7BC2" w:rsidR="00E028EE" w:rsidP="003A1746" w:rsidRDefault="003A1746" w14:paraId="4AEFFBCE" w14:textId="0970EA10">
            <w:pPr>
              <w:jc w:val="right"/>
            </w:pPr>
            <w:r>
              <w:t>$132,062</w:t>
            </w:r>
          </w:p>
        </w:tc>
      </w:tr>
    </w:tbl>
    <w:p w:rsidR="004A13E8" w:rsidP="0025156B" w:rsidRDefault="004A13E8" w14:paraId="55FE1810" w14:textId="77777777">
      <w:pPr>
        <w:pStyle w:val="Heading1"/>
        <w:spacing w:before="240"/>
      </w:pPr>
      <w:bookmarkStart w:name="_Toc473880031" w:id="19"/>
      <w:r>
        <w:t>Explanation for Program Changes or Adjustments</w:t>
      </w:r>
      <w:bookmarkEnd w:id="19"/>
    </w:p>
    <w:p w:rsidRPr="004A13E8" w:rsidR="004A13E8" w:rsidP="004A13E8" w:rsidRDefault="004A13E8" w14:paraId="55FE1811" w14:textId="7F1B5F42">
      <w:r>
        <w:t xml:space="preserve">This is a </w:t>
      </w:r>
      <w:r w:rsidR="002A0C8C">
        <w:t xml:space="preserve">request </w:t>
      </w:r>
      <w:r w:rsidRPr="004A13E8" w:rsidR="002A0C8C">
        <w:t xml:space="preserve">for OMB approval of </w:t>
      </w:r>
      <w:r w:rsidR="002A0C8C">
        <w:t>an Existing Collection in Use without an OMB Control Number.</w:t>
      </w:r>
    </w:p>
    <w:p w:rsidR="004A13E8" w:rsidP="004A13E8" w:rsidRDefault="004A13E8" w14:paraId="55FE1812" w14:textId="77777777">
      <w:pPr>
        <w:pStyle w:val="Heading1"/>
      </w:pPr>
      <w:bookmarkStart w:name="_Toc473880032" w:id="20"/>
      <w:r>
        <w:t>Plans for Tabulation and Publication and Project Time Schedule</w:t>
      </w:r>
      <w:bookmarkEnd w:id="20"/>
    </w:p>
    <w:p w:rsidRPr="001E1F19" w:rsidR="008F1415" w:rsidP="008F1415" w:rsidRDefault="001E1F19" w14:paraId="55FE1813" w14:textId="0264AE1F">
      <w:r w:rsidRPr="001E1F19">
        <w:t>ELIMS data collection is ongoing and continuous. There are no plans to publish findings.</w:t>
      </w:r>
    </w:p>
    <w:p w:rsidR="004A13E8" w:rsidP="0025156B" w:rsidRDefault="004A13E8" w14:paraId="55FE1826" w14:textId="7AE9B02C">
      <w:pPr>
        <w:pStyle w:val="Heading1"/>
        <w:spacing w:before="240"/>
      </w:pPr>
      <w:bookmarkStart w:name="_Toc473880033" w:id="21"/>
      <w:r>
        <w:t>Reason(s) Display of OMB Expiration Date is Inappropriate</w:t>
      </w:r>
      <w:bookmarkEnd w:id="21"/>
    </w:p>
    <w:p w:rsidRPr="004A13E8" w:rsidR="004A13E8" w:rsidP="004A13E8" w:rsidRDefault="004A13E8" w14:paraId="55FE1827" w14:textId="77777777">
      <w:r>
        <w:t>The display of the OMB Expiration date is not inappropriate.</w:t>
      </w:r>
    </w:p>
    <w:p w:rsidR="004A13E8" w:rsidP="004A13E8" w:rsidRDefault="004A13E8" w14:paraId="55FE1828" w14:textId="77777777">
      <w:pPr>
        <w:pStyle w:val="Heading1"/>
      </w:pPr>
      <w:bookmarkStart w:name="_Toc473880034" w:id="22"/>
      <w:r>
        <w:t>Exceptions to Certification for Paperwork Reduction Act Submissions</w:t>
      </w:r>
      <w:bookmarkEnd w:id="22"/>
    </w:p>
    <w:p w:rsidRPr="004A13E8" w:rsidR="004A13E8" w:rsidP="004A13E8" w:rsidRDefault="004A13E8" w14:paraId="55FE1829" w14:textId="77777777">
      <w:r>
        <w:t>There are no exceptions to the certification.</w:t>
      </w:r>
    </w:p>
    <w:p w:rsidRPr="004A13E8" w:rsidR="004A13E8" w:rsidP="004A13E8" w:rsidRDefault="004A13E8" w14:paraId="55FE182A" w14:textId="77777777">
      <w:pPr>
        <w:pStyle w:val="Heading1"/>
        <w:numPr>
          <w:ilvl w:val="0"/>
          <w:numId w:val="0"/>
        </w:numPr>
      </w:pPr>
      <w:bookmarkStart w:name="_Toc473880035" w:id="23"/>
      <w:r>
        <w:t>Attachments</w:t>
      </w:r>
      <w:bookmarkEnd w:id="23"/>
    </w:p>
    <w:p w:rsidR="004A13E8" w:rsidP="004A0034" w:rsidRDefault="00AD2F36" w14:paraId="55FE182B" w14:textId="77777777">
      <w:pPr>
        <w:pStyle w:val="ListParagraph"/>
        <w:numPr>
          <w:ilvl w:val="0"/>
          <w:numId w:val="3"/>
        </w:numPr>
        <w:ind w:left="360"/>
      </w:pPr>
      <w:r>
        <w:t>Authorizing Legislation</w:t>
      </w:r>
    </w:p>
    <w:p w:rsidR="00AD2F36" w:rsidP="004A0034" w:rsidRDefault="00AD2F36" w14:paraId="55FE182C" w14:textId="185C7786">
      <w:pPr>
        <w:pStyle w:val="ListParagraph"/>
        <w:numPr>
          <w:ilvl w:val="0"/>
          <w:numId w:val="3"/>
        </w:numPr>
        <w:ind w:left="360"/>
      </w:pPr>
      <w:r>
        <w:t>60-Day FRN</w:t>
      </w:r>
    </w:p>
    <w:p w:rsidR="00782997" w:rsidP="00782997" w:rsidRDefault="00782997" w14:paraId="2E620807" w14:textId="1AA57CAF">
      <w:r>
        <w:t>2a. Public Comments</w:t>
      </w:r>
    </w:p>
    <w:p w:rsidR="00AD2F36" w:rsidP="004A0034" w:rsidRDefault="00AD2F36" w14:paraId="55FE182D" w14:textId="762CF57A">
      <w:pPr>
        <w:pStyle w:val="ListParagraph"/>
        <w:numPr>
          <w:ilvl w:val="0"/>
          <w:numId w:val="3"/>
        </w:numPr>
        <w:ind w:left="360"/>
      </w:pPr>
      <w:r>
        <w:t>Information Collection instrument</w:t>
      </w:r>
      <w:r w:rsidR="00183F26">
        <w:t>s</w:t>
      </w:r>
    </w:p>
    <w:p w:rsidR="00183F26" w:rsidP="00183F26" w:rsidRDefault="00183F26" w14:paraId="371BE8BA" w14:textId="02D4C90E">
      <w:pPr>
        <w:pStyle w:val="ListParagraph"/>
        <w:numPr>
          <w:ilvl w:val="1"/>
          <w:numId w:val="3"/>
        </w:numPr>
      </w:pPr>
      <w:r w:rsidRPr="00183F26">
        <w:t>CDC Specimen Submission Form 50.34 v3.</w:t>
      </w:r>
      <w:r w:rsidR="00F30646">
        <w:t>3</w:t>
      </w:r>
      <w:r w:rsidRPr="00183F26">
        <w:t>.</w:t>
      </w:r>
      <w:r w:rsidR="00F30646">
        <w:t>3</w:t>
      </w:r>
    </w:p>
    <w:p w:rsidR="00183F26" w:rsidP="00183F26" w:rsidRDefault="00183F26" w14:paraId="5DF9F5C1" w14:textId="4EA19A63">
      <w:pPr>
        <w:pStyle w:val="ListParagraph"/>
        <w:numPr>
          <w:ilvl w:val="1"/>
          <w:numId w:val="3"/>
        </w:numPr>
      </w:pPr>
      <w:r w:rsidRPr="00183F26">
        <w:t xml:space="preserve">Global File Accessioning Template </w:t>
      </w:r>
      <w:r w:rsidR="00F30646">
        <w:t>v4.7</w:t>
      </w:r>
    </w:p>
    <w:p w:rsidR="00AD2F36" w:rsidP="004A0034" w:rsidRDefault="001433B1" w14:paraId="55FE182E" w14:textId="01636FA5">
      <w:pPr>
        <w:pStyle w:val="ListParagraph"/>
        <w:numPr>
          <w:ilvl w:val="0"/>
          <w:numId w:val="3"/>
        </w:numPr>
        <w:ind w:left="360"/>
      </w:pPr>
      <w:r>
        <w:t>Privacy Impact Asse</w:t>
      </w:r>
      <w:r w:rsidR="001C0DB8">
        <w:t>s</w:t>
      </w:r>
      <w:r>
        <w:t>sment</w:t>
      </w:r>
    </w:p>
    <w:p w:rsidRPr="004A13E8" w:rsidR="008D63A7" w:rsidP="004A0034" w:rsidRDefault="008D63A7" w14:paraId="5EBEC609" w14:textId="69F4BAF0">
      <w:pPr>
        <w:pStyle w:val="ListParagraph"/>
        <w:numPr>
          <w:ilvl w:val="0"/>
          <w:numId w:val="3"/>
        </w:numPr>
        <w:ind w:left="360"/>
      </w:pPr>
      <w:r>
        <w:t>IRB Email</w:t>
      </w:r>
    </w:p>
    <w:sectPr w:rsidRPr="004A13E8" w:rsidR="008D63A7"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E1833" w14:textId="77777777" w:rsidR="008E421E" w:rsidRDefault="008E421E" w:rsidP="008B5D54">
      <w:pPr>
        <w:spacing w:after="0" w:line="240" w:lineRule="auto"/>
      </w:pPr>
      <w:r>
        <w:separator/>
      </w:r>
    </w:p>
  </w:endnote>
  <w:endnote w:type="continuationSeparator" w:id="0">
    <w:p w14:paraId="55FE1834" w14:textId="77777777" w:rsidR="008E421E" w:rsidRDefault="008E421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75931"/>
      <w:docPartObj>
        <w:docPartGallery w:val="Page Numbers (Bottom of Page)"/>
        <w:docPartUnique/>
      </w:docPartObj>
    </w:sdtPr>
    <w:sdtEndPr>
      <w:rPr>
        <w:noProof/>
      </w:rPr>
    </w:sdtEndPr>
    <w:sdtContent>
      <w:p w14:paraId="55FE1835" w14:textId="3F7B2F49" w:rsidR="008E421E" w:rsidRDefault="008E421E">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55FE1836" w14:textId="77777777" w:rsidR="008E421E" w:rsidRDefault="008E4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E1831" w14:textId="77777777" w:rsidR="008E421E" w:rsidRDefault="008E421E" w:rsidP="008B5D54">
      <w:pPr>
        <w:spacing w:after="0" w:line="240" w:lineRule="auto"/>
      </w:pPr>
      <w:r>
        <w:separator/>
      </w:r>
    </w:p>
  </w:footnote>
  <w:footnote w:type="continuationSeparator" w:id="0">
    <w:p w14:paraId="55FE1832" w14:textId="77777777" w:rsidR="008E421E" w:rsidRDefault="008E421E"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A7972"/>
    <w:multiLevelType w:val="hybridMultilevel"/>
    <w:tmpl w:val="F27E7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E78D6"/>
    <w:multiLevelType w:val="hybridMultilevel"/>
    <w:tmpl w:val="7BEEC1E4"/>
    <w:lvl w:ilvl="0" w:tplc="82F21F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5A1BE8"/>
    <w:multiLevelType w:val="hybridMultilevel"/>
    <w:tmpl w:val="E38405A4"/>
    <w:lvl w:ilvl="0" w:tplc="C674DD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4FE0905"/>
    <w:multiLevelType w:val="hybridMultilevel"/>
    <w:tmpl w:val="86D04B7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86A31"/>
    <w:multiLevelType w:val="hybridMultilevel"/>
    <w:tmpl w:val="DDC43CEC"/>
    <w:lvl w:ilvl="0" w:tplc="BA6A0E0C">
      <w:start w:val="1"/>
      <w:numFmt w:val="decimal"/>
      <w:pStyle w:val="Heading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92B41D"/>
    <w:multiLevelType w:val="hybridMultilevel"/>
    <w:tmpl w:val="1F4EDA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07B670C"/>
    <w:multiLevelType w:val="hybridMultilevel"/>
    <w:tmpl w:val="F4A2A8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0"/>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5C1E"/>
    <w:rsid w:val="00043704"/>
    <w:rsid w:val="00054EB3"/>
    <w:rsid w:val="0005699B"/>
    <w:rsid w:val="000721F5"/>
    <w:rsid w:val="00077A77"/>
    <w:rsid w:val="00080C08"/>
    <w:rsid w:val="00080EB5"/>
    <w:rsid w:val="00090804"/>
    <w:rsid w:val="000A1D9C"/>
    <w:rsid w:val="000A5009"/>
    <w:rsid w:val="000C1760"/>
    <w:rsid w:val="000C376F"/>
    <w:rsid w:val="000E1A75"/>
    <w:rsid w:val="001114B7"/>
    <w:rsid w:val="00124128"/>
    <w:rsid w:val="001433B1"/>
    <w:rsid w:val="001523DF"/>
    <w:rsid w:val="00157396"/>
    <w:rsid w:val="00181DB5"/>
    <w:rsid w:val="00183F26"/>
    <w:rsid w:val="00184159"/>
    <w:rsid w:val="00194DA9"/>
    <w:rsid w:val="001A58BE"/>
    <w:rsid w:val="001B2FF2"/>
    <w:rsid w:val="001C0DB8"/>
    <w:rsid w:val="001C1BE7"/>
    <w:rsid w:val="001D1854"/>
    <w:rsid w:val="001E08A8"/>
    <w:rsid w:val="001E1F19"/>
    <w:rsid w:val="001E4AF3"/>
    <w:rsid w:val="001F3AE0"/>
    <w:rsid w:val="0021061F"/>
    <w:rsid w:val="00217C96"/>
    <w:rsid w:val="00237BB7"/>
    <w:rsid w:val="002441B9"/>
    <w:rsid w:val="0025156B"/>
    <w:rsid w:val="00252E6F"/>
    <w:rsid w:val="00290BEE"/>
    <w:rsid w:val="002A0C8C"/>
    <w:rsid w:val="002A15BE"/>
    <w:rsid w:val="002A660E"/>
    <w:rsid w:val="002C1346"/>
    <w:rsid w:val="002C2A33"/>
    <w:rsid w:val="002D0A01"/>
    <w:rsid w:val="002F1B39"/>
    <w:rsid w:val="00300162"/>
    <w:rsid w:val="00304BBB"/>
    <w:rsid w:val="00336335"/>
    <w:rsid w:val="003419B3"/>
    <w:rsid w:val="00364714"/>
    <w:rsid w:val="00365012"/>
    <w:rsid w:val="00366269"/>
    <w:rsid w:val="00367FB3"/>
    <w:rsid w:val="003A1746"/>
    <w:rsid w:val="003B2FB4"/>
    <w:rsid w:val="003B349F"/>
    <w:rsid w:val="003B6356"/>
    <w:rsid w:val="003C0C61"/>
    <w:rsid w:val="003C2196"/>
    <w:rsid w:val="003C64D0"/>
    <w:rsid w:val="003D7271"/>
    <w:rsid w:val="003F60CF"/>
    <w:rsid w:val="00433391"/>
    <w:rsid w:val="0043440D"/>
    <w:rsid w:val="00446A7C"/>
    <w:rsid w:val="004471F1"/>
    <w:rsid w:val="00474A07"/>
    <w:rsid w:val="004841D1"/>
    <w:rsid w:val="0048467C"/>
    <w:rsid w:val="00497F56"/>
    <w:rsid w:val="004A0034"/>
    <w:rsid w:val="004A13E8"/>
    <w:rsid w:val="004C24FD"/>
    <w:rsid w:val="004D0CD2"/>
    <w:rsid w:val="004F1399"/>
    <w:rsid w:val="004F4976"/>
    <w:rsid w:val="0050063C"/>
    <w:rsid w:val="00502446"/>
    <w:rsid w:val="005040DA"/>
    <w:rsid w:val="005260CA"/>
    <w:rsid w:val="00540217"/>
    <w:rsid w:val="0057462F"/>
    <w:rsid w:val="005775B1"/>
    <w:rsid w:val="00594D03"/>
    <w:rsid w:val="005A7D15"/>
    <w:rsid w:val="005D5FF6"/>
    <w:rsid w:val="005F4AD4"/>
    <w:rsid w:val="00605E54"/>
    <w:rsid w:val="00613780"/>
    <w:rsid w:val="00670BBF"/>
    <w:rsid w:val="00674026"/>
    <w:rsid w:val="006C13AE"/>
    <w:rsid w:val="006C6578"/>
    <w:rsid w:val="006E6751"/>
    <w:rsid w:val="006F5577"/>
    <w:rsid w:val="006F679B"/>
    <w:rsid w:val="00713C81"/>
    <w:rsid w:val="007313F0"/>
    <w:rsid w:val="00731F41"/>
    <w:rsid w:val="007335B2"/>
    <w:rsid w:val="00746842"/>
    <w:rsid w:val="00752D7D"/>
    <w:rsid w:val="00766B83"/>
    <w:rsid w:val="00770E01"/>
    <w:rsid w:val="00780DC1"/>
    <w:rsid w:val="00782997"/>
    <w:rsid w:val="00783F60"/>
    <w:rsid w:val="007D5587"/>
    <w:rsid w:val="007F46E9"/>
    <w:rsid w:val="007F7BCE"/>
    <w:rsid w:val="00827F0C"/>
    <w:rsid w:val="00856888"/>
    <w:rsid w:val="00871958"/>
    <w:rsid w:val="00892904"/>
    <w:rsid w:val="008A5A17"/>
    <w:rsid w:val="008B5D54"/>
    <w:rsid w:val="008C2A1E"/>
    <w:rsid w:val="008D5AEA"/>
    <w:rsid w:val="008D63A7"/>
    <w:rsid w:val="008E0173"/>
    <w:rsid w:val="008E421E"/>
    <w:rsid w:val="008F1415"/>
    <w:rsid w:val="008F3C97"/>
    <w:rsid w:val="00911C5B"/>
    <w:rsid w:val="009249CB"/>
    <w:rsid w:val="00925F03"/>
    <w:rsid w:val="00937D6B"/>
    <w:rsid w:val="00955AF2"/>
    <w:rsid w:val="00962093"/>
    <w:rsid w:val="00962245"/>
    <w:rsid w:val="00963E7C"/>
    <w:rsid w:val="00980314"/>
    <w:rsid w:val="00984FE5"/>
    <w:rsid w:val="00991C16"/>
    <w:rsid w:val="009948F1"/>
    <w:rsid w:val="00997D0E"/>
    <w:rsid w:val="009A79E1"/>
    <w:rsid w:val="009B0947"/>
    <w:rsid w:val="009C7DC7"/>
    <w:rsid w:val="00A222B5"/>
    <w:rsid w:val="00A31473"/>
    <w:rsid w:val="00A435BD"/>
    <w:rsid w:val="00A50B3E"/>
    <w:rsid w:val="00A67086"/>
    <w:rsid w:val="00A77839"/>
    <w:rsid w:val="00A976BB"/>
    <w:rsid w:val="00AB5A59"/>
    <w:rsid w:val="00AB5AB3"/>
    <w:rsid w:val="00AD2F36"/>
    <w:rsid w:val="00AE6424"/>
    <w:rsid w:val="00AF2661"/>
    <w:rsid w:val="00B24965"/>
    <w:rsid w:val="00B4260F"/>
    <w:rsid w:val="00B446FE"/>
    <w:rsid w:val="00B55735"/>
    <w:rsid w:val="00B608AC"/>
    <w:rsid w:val="00B64B9E"/>
    <w:rsid w:val="00B91400"/>
    <w:rsid w:val="00BA050A"/>
    <w:rsid w:val="00BA6B1A"/>
    <w:rsid w:val="00BC7BBC"/>
    <w:rsid w:val="00C03CED"/>
    <w:rsid w:val="00C32380"/>
    <w:rsid w:val="00C33629"/>
    <w:rsid w:val="00C45225"/>
    <w:rsid w:val="00C46374"/>
    <w:rsid w:val="00C553B7"/>
    <w:rsid w:val="00C55DB4"/>
    <w:rsid w:val="00C563FC"/>
    <w:rsid w:val="00C5738C"/>
    <w:rsid w:val="00C710A6"/>
    <w:rsid w:val="00C77AB0"/>
    <w:rsid w:val="00C83193"/>
    <w:rsid w:val="00C83AF1"/>
    <w:rsid w:val="00C9049B"/>
    <w:rsid w:val="00C90B13"/>
    <w:rsid w:val="00CB53FF"/>
    <w:rsid w:val="00CD2AA4"/>
    <w:rsid w:val="00CD31E9"/>
    <w:rsid w:val="00D13EA1"/>
    <w:rsid w:val="00D27F1F"/>
    <w:rsid w:val="00D32BD2"/>
    <w:rsid w:val="00D42969"/>
    <w:rsid w:val="00D9326E"/>
    <w:rsid w:val="00D952DF"/>
    <w:rsid w:val="00DA0BBE"/>
    <w:rsid w:val="00DB3430"/>
    <w:rsid w:val="00DC57CC"/>
    <w:rsid w:val="00DC74EE"/>
    <w:rsid w:val="00DD12F2"/>
    <w:rsid w:val="00DD3382"/>
    <w:rsid w:val="00DD7C38"/>
    <w:rsid w:val="00DE7437"/>
    <w:rsid w:val="00DF0CFE"/>
    <w:rsid w:val="00E028EE"/>
    <w:rsid w:val="00E568A4"/>
    <w:rsid w:val="00E75461"/>
    <w:rsid w:val="00E776A3"/>
    <w:rsid w:val="00E80D2C"/>
    <w:rsid w:val="00E94A83"/>
    <w:rsid w:val="00E96B52"/>
    <w:rsid w:val="00EA5E11"/>
    <w:rsid w:val="00EC309D"/>
    <w:rsid w:val="00EC462B"/>
    <w:rsid w:val="00EC7941"/>
    <w:rsid w:val="00ED7ADF"/>
    <w:rsid w:val="00F00226"/>
    <w:rsid w:val="00F100DA"/>
    <w:rsid w:val="00F2743C"/>
    <w:rsid w:val="00F30646"/>
    <w:rsid w:val="00F44D6D"/>
    <w:rsid w:val="00F44DB5"/>
    <w:rsid w:val="00F548DB"/>
    <w:rsid w:val="00F56C86"/>
    <w:rsid w:val="00F64E03"/>
    <w:rsid w:val="00F74D8A"/>
    <w:rsid w:val="00F902C9"/>
    <w:rsid w:val="00FC0713"/>
    <w:rsid w:val="00FD7C3A"/>
    <w:rsid w:val="00FE0398"/>
    <w:rsid w:val="00FE0D18"/>
    <w:rsid w:val="00FE24FB"/>
    <w:rsid w:val="00FE2E21"/>
    <w:rsid w:val="00FF40BC"/>
    <w:rsid w:val="00FF4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odyText">
    <w:name w:val="Body Text"/>
    <w:basedOn w:val="Normal"/>
    <w:link w:val="BodyTextChar"/>
    <w:uiPriority w:val="99"/>
    <w:rsid w:val="00E028EE"/>
    <w:pPr>
      <w:spacing w:after="240" w:line="360" w:lineRule="auto"/>
      <w:ind w:firstLine="720"/>
    </w:pPr>
    <w:rPr>
      <w:rFonts w:eastAsia="Times New Roman" w:cs="Times New Roman"/>
      <w:szCs w:val="24"/>
    </w:rPr>
  </w:style>
  <w:style w:type="character" w:customStyle="1" w:styleId="BodyTextChar">
    <w:name w:val="Body Text Char"/>
    <w:basedOn w:val="DefaultParagraphFont"/>
    <w:link w:val="BodyText"/>
    <w:uiPriority w:val="99"/>
    <w:rsid w:val="00E028E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028EE"/>
    <w:rPr>
      <w:sz w:val="16"/>
      <w:szCs w:val="16"/>
    </w:rPr>
  </w:style>
  <w:style w:type="paragraph" w:styleId="CommentText">
    <w:name w:val="annotation text"/>
    <w:basedOn w:val="Normal"/>
    <w:link w:val="CommentTextChar"/>
    <w:uiPriority w:val="99"/>
    <w:semiHidden/>
    <w:unhideWhenUsed/>
    <w:rsid w:val="00E028EE"/>
    <w:pPr>
      <w:spacing w:line="240" w:lineRule="auto"/>
    </w:pPr>
    <w:rPr>
      <w:sz w:val="20"/>
      <w:szCs w:val="20"/>
    </w:rPr>
  </w:style>
  <w:style w:type="character" w:customStyle="1" w:styleId="CommentTextChar">
    <w:name w:val="Comment Text Char"/>
    <w:basedOn w:val="DefaultParagraphFont"/>
    <w:link w:val="CommentText"/>
    <w:uiPriority w:val="99"/>
    <w:semiHidden/>
    <w:rsid w:val="00E028E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028EE"/>
    <w:rPr>
      <w:b/>
      <w:bCs/>
    </w:rPr>
  </w:style>
  <w:style w:type="character" w:customStyle="1" w:styleId="CommentSubjectChar">
    <w:name w:val="Comment Subject Char"/>
    <w:basedOn w:val="CommentTextChar"/>
    <w:link w:val="CommentSubject"/>
    <w:uiPriority w:val="99"/>
    <w:semiHidden/>
    <w:rsid w:val="00E028EE"/>
    <w:rPr>
      <w:rFonts w:ascii="Times New Roman" w:hAnsi="Times New Roman"/>
      <w:b/>
      <w:bCs/>
      <w:sz w:val="20"/>
      <w:szCs w:val="20"/>
    </w:rPr>
  </w:style>
  <w:style w:type="paragraph" w:styleId="BalloonText">
    <w:name w:val="Balloon Text"/>
    <w:basedOn w:val="Normal"/>
    <w:link w:val="BalloonTextChar"/>
    <w:uiPriority w:val="99"/>
    <w:semiHidden/>
    <w:unhideWhenUsed/>
    <w:rsid w:val="00E028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EE"/>
    <w:rPr>
      <w:rFonts w:ascii="Segoe UI" w:hAnsi="Segoe UI" w:cs="Segoe UI"/>
      <w:sz w:val="18"/>
      <w:szCs w:val="18"/>
    </w:rPr>
  </w:style>
  <w:style w:type="paragraph" w:styleId="Revision">
    <w:name w:val="Revision"/>
    <w:hidden/>
    <w:uiPriority w:val="99"/>
    <w:semiHidden/>
    <w:rsid w:val="00E028EE"/>
    <w:pPr>
      <w:spacing w:after="0" w:line="240" w:lineRule="auto"/>
    </w:pPr>
    <w:rPr>
      <w:rFonts w:ascii="Times New Roman" w:hAnsi="Times New Roman"/>
      <w:sz w:val="24"/>
    </w:rPr>
  </w:style>
  <w:style w:type="paragraph" w:customStyle="1" w:styleId="ExhibitTitle">
    <w:name w:val="Exhibit Title"/>
    <w:basedOn w:val="Normal"/>
    <w:uiPriority w:val="99"/>
    <w:rsid w:val="00E028EE"/>
    <w:pPr>
      <w:keepNext/>
      <w:keepLines/>
      <w:spacing w:before="80" w:after="120" w:line="240" w:lineRule="auto"/>
      <w:ind w:left="1627" w:hanging="1627"/>
    </w:pPr>
    <w:rPr>
      <w:rFonts w:eastAsia="Times New Roman" w:cs="Times New Roman"/>
      <w:b/>
      <w:color w:val="000000"/>
      <w:szCs w:val="24"/>
    </w:rPr>
  </w:style>
  <w:style w:type="character" w:styleId="UnresolvedMention">
    <w:name w:val="Unresolved Mention"/>
    <w:basedOn w:val="DefaultParagraphFont"/>
    <w:uiPriority w:val="99"/>
    <w:semiHidden/>
    <w:unhideWhenUsed/>
    <w:rsid w:val="008A5A17"/>
    <w:rPr>
      <w:color w:val="605E5C"/>
      <w:shd w:val="clear" w:color="auto" w:fill="E1DFDD"/>
    </w:rPr>
  </w:style>
  <w:style w:type="paragraph" w:customStyle="1" w:styleId="Pa17">
    <w:name w:val="Pa17"/>
    <w:basedOn w:val="Normal"/>
    <w:next w:val="Normal"/>
    <w:uiPriority w:val="99"/>
    <w:rsid w:val="000C376F"/>
    <w:pPr>
      <w:autoSpaceDE w:val="0"/>
      <w:autoSpaceDN w:val="0"/>
      <w:adjustRightInd w:val="0"/>
      <w:spacing w:after="0" w:line="221" w:lineRule="atLeast"/>
    </w:pPr>
    <w:rPr>
      <w:rFonts w:ascii="ITC Franklin Gothic Std Book" w:hAnsi="ITC Franklin Gothic Std Book"/>
      <w:szCs w:val="24"/>
    </w:rPr>
  </w:style>
  <w:style w:type="paragraph" w:customStyle="1" w:styleId="Default">
    <w:name w:val="Default"/>
    <w:rsid w:val="003C64D0"/>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2D0A01"/>
    <w:pPr>
      <w:spacing w:line="221" w:lineRule="atLeast"/>
    </w:pPr>
    <w:rPr>
      <w:rFonts w:cstheme="minorBidi"/>
      <w:color w:val="auto"/>
    </w:rPr>
  </w:style>
  <w:style w:type="character" w:customStyle="1" w:styleId="A8">
    <w:name w:val="A8"/>
    <w:uiPriority w:val="99"/>
    <w:rsid w:val="002D0A01"/>
    <w:rPr>
      <w:rFonts w:ascii="ITC Franklin Gothic Std Med" w:hAnsi="ITC Franklin Gothic Std Med" w:cs="ITC Franklin Gothic Std Med"/>
      <w:i/>
      <w:iCs/>
      <w:color w:val="000000"/>
      <w:sz w:val="22"/>
      <w:szCs w:val="22"/>
      <w:u w:val="single"/>
    </w:rPr>
  </w:style>
  <w:style w:type="paragraph" w:customStyle="1" w:styleId="Pa24">
    <w:name w:val="Pa24"/>
    <w:basedOn w:val="Default"/>
    <w:next w:val="Default"/>
    <w:uiPriority w:val="99"/>
    <w:rsid w:val="002D0A01"/>
    <w:pPr>
      <w:spacing w:line="241" w:lineRule="atLeast"/>
    </w:pPr>
    <w:rPr>
      <w:rFonts w:cstheme="minorBidi"/>
      <w:color w:val="auto"/>
    </w:rPr>
  </w:style>
  <w:style w:type="character" w:customStyle="1" w:styleId="A9">
    <w:name w:val="A9"/>
    <w:uiPriority w:val="99"/>
    <w:rsid w:val="002D0A01"/>
    <w:rPr>
      <w:rFonts w:cs="ITC Franklin Gothic Std Book"/>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1311668211">
      <w:bodyDiv w:val="1"/>
      <w:marLeft w:val="0"/>
      <w:marRight w:val="0"/>
      <w:marTop w:val="0"/>
      <w:marBottom w:val="0"/>
      <w:divBdr>
        <w:top w:val="none" w:sz="0" w:space="0" w:color="auto"/>
        <w:left w:val="none" w:sz="0" w:space="0" w:color="auto"/>
        <w:bottom w:val="none" w:sz="0" w:space="0" w:color="auto"/>
        <w:right w:val="none" w:sz="0" w:space="0" w:color="auto"/>
      </w:divBdr>
      <w:divsChild>
        <w:div w:id="1895316389">
          <w:marLeft w:val="0"/>
          <w:marRight w:val="0"/>
          <w:marTop w:val="0"/>
          <w:marBottom w:val="0"/>
          <w:divBdr>
            <w:top w:val="none" w:sz="0" w:space="0" w:color="auto"/>
            <w:left w:val="none" w:sz="0" w:space="0" w:color="auto"/>
            <w:bottom w:val="none" w:sz="0" w:space="0" w:color="auto"/>
            <w:right w:val="none" w:sz="0" w:space="0" w:color="auto"/>
          </w:divBdr>
          <w:divsChild>
            <w:div w:id="502820247">
              <w:marLeft w:val="0"/>
              <w:marRight w:val="0"/>
              <w:marTop w:val="0"/>
              <w:marBottom w:val="0"/>
              <w:divBdr>
                <w:top w:val="none" w:sz="0" w:space="0" w:color="auto"/>
                <w:left w:val="single" w:sz="6" w:space="0" w:color="E2E2E2"/>
                <w:bottom w:val="none" w:sz="0" w:space="0" w:color="auto"/>
                <w:right w:val="single" w:sz="6" w:space="0" w:color="E2E2E2"/>
              </w:divBdr>
              <w:divsChild>
                <w:div w:id="1354187688">
                  <w:marLeft w:val="0"/>
                  <w:marRight w:val="0"/>
                  <w:marTop w:val="0"/>
                  <w:marBottom w:val="0"/>
                  <w:divBdr>
                    <w:top w:val="none" w:sz="0" w:space="0" w:color="auto"/>
                    <w:left w:val="none" w:sz="0" w:space="0" w:color="auto"/>
                    <w:bottom w:val="none" w:sz="0" w:space="0" w:color="auto"/>
                    <w:right w:val="none" w:sz="0" w:space="0" w:color="auto"/>
                  </w:divBdr>
                  <w:divsChild>
                    <w:div w:id="14015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46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dc.gov/SORNnotice/FedReg/fedreg_doc09-20-0106.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PFY6PPX2AYTS-1630823389-41</_dlc_DocId>
    <_dlc_DocIdUrl xmlns="81daf041-c113-401c-bf82-107f5d396711">
      <Url>https://esp.cdc.gov/sites/ncezid/OD/policy/PRA/_layouts/15/DocIdRedir.aspx?ID=PFY6PPX2AYTS-1630823389-41</Url>
      <Description>PFY6PPX2AYTS-1630823389-41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3.xml><?xml version="1.0" encoding="utf-8"?>
<ds:datastoreItem xmlns:ds="http://schemas.openxmlformats.org/officeDocument/2006/customXml" ds:itemID="{D024AB8F-3D93-4C53-A399-ACA1A7C3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9D13A-A765-489B-AC65-A1B5B3A55FEF}">
  <ds:schemaRefs>
    <ds:schemaRef ds:uri="http://schemas.microsoft.com/office/2006/documentManagement/types"/>
    <ds:schemaRef ds:uri="http://schemas.microsoft.com/office/2006/metadata/properties"/>
    <ds:schemaRef ds:uri="http://www.w3.org/XML/1998/namespace"/>
    <ds:schemaRef ds:uri="81daf041-c113-401c-bf82-107f5d396711"/>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7878DE19-1C3A-401F-8B2C-19D677BC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Sims, Thelma (CDC/DDPHSS/OS/OSI)</cp:lastModifiedBy>
  <cp:revision>2</cp:revision>
  <cp:lastPrinted>2020-04-16T16:15:00Z</cp:lastPrinted>
  <dcterms:created xsi:type="dcterms:W3CDTF">2020-08-13T21:00:00Z</dcterms:created>
  <dcterms:modified xsi:type="dcterms:W3CDTF">2020-08-13T21:00:00Z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e28d4fa4-bae3-4cdf-93ea-0dd5dc1c0e99</vt:lpwstr>
  </property>
</Properties>
</file>