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4CD3" w:rsidR="000F6DD7" w:rsidP="008A1964" w:rsidRDefault="00416604" w14:paraId="45294BB4" w14:textId="77777777">
      <w:pPr>
        <w:pStyle w:val="Body"/>
        <w:spacing w:line="240" w:lineRule="auto"/>
        <w:rPr>
          <w:color w:val="000000" w:themeColor="text1"/>
        </w:rPr>
      </w:pPr>
      <w:r w:rsidRPr="008A1964">
        <w:rPr>
          <w:color w:val="000000" w:themeColor="text1"/>
        </w:rPr>
        <w:t xml:space="preserve"> </w:t>
      </w:r>
    </w:p>
    <w:p w:rsidRPr="00E14CD3" w:rsidR="008C7E7D" w:rsidP="008A1964" w:rsidRDefault="008C7E7D" w14:paraId="5C4A19DF" w14:textId="77777777">
      <w:pPr>
        <w:spacing w:line="240" w:lineRule="auto"/>
        <w:jc w:val="center"/>
        <w:rPr>
          <w:bCs/>
          <w:iCs/>
          <w:color w:val="000000" w:themeColor="text1"/>
        </w:rPr>
      </w:pPr>
    </w:p>
    <w:p w:rsidRPr="00E14CD3" w:rsidR="008C7E7D" w:rsidP="008A1964" w:rsidRDefault="008C7E7D" w14:paraId="21CF65EB" w14:textId="77777777">
      <w:pPr>
        <w:spacing w:line="240" w:lineRule="auto"/>
        <w:jc w:val="center"/>
        <w:rPr>
          <w:bCs/>
          <w:iCs/>
          <w:color w:val="000000" w:themeColor="text1"/>
        </w:rPr>
      </w:pPr>
    </w:p>
    <w:p w:rsidRPr="00E14CD3" w:rsidR="008C7E7D" w:rsidP="008A1964" w:rsidRDefault="008C7E7D" w14:paraId="2C859D0C" w14:textId="77777777">
      <w:pPr>
        <w:spacing w:line="240" w:lineRule="auto"/>
        <w:jc w:val="center"/>
        <w:rPr>
          <w:bCs/>
          <w:iCs/>
          <w:color w:val="000000" w:themeColor="text1"/>
        </w:rPr>
      </w:pPr>
    </w:p>
    <w:p w:rsidR="006F5CDB" w:rsidP="00E572F8" w:rsidRDefault="00330E3E" w14:paraId="1CE6A370" w14:textId="0C5CF50A">
      <w:pPr>
        <w:spacing w:line="240" w:lineRule="auto"/>
        <w:rPr>
          <w:bCs/>
          <w:iCs/>
          <w:color w:val="000000" w:themeColor="text1"/>
        </w:rPr>
      </w:pPr>
      <w:r w:rsidRPr="00E14CD3">
        <w:rPr>
          <w:bCs/>
          <w:iCs/>
          <w:color w:val="000000" w:themeColor="text1"/>
        </w:rPr>
        <w:t>“</w:t>
      </w:r>
      <w:r w:rsidRPr="00AB7183" w:rsidR="00835E63">
        <w:rPr>
          <w:b/>
          <w:sz w:val="20"/>
          <w:szCs w:val="20"/>
        </w:rPr>
        <w:t>Promoting Adolescent Health through School-Based HIV/STD Prevention Reporting Templates</w:t>
      </w:r>
      <w:r w:rsidRPr="00E14CD3">
        <w:rPr>
          <w:bCs/>
          <w:iCs/>
          <w:color w:val="000000" w:themeColor="text1"/>
        </w:rPr>
        <w:t>”</w:t>
      </w:r>
    </w:p>
    <w:p w:rsidR="00AB7183" w:rsidP="00AB7183" w:rsidRDefault="00AB7183" w14:paraId="65314B42" w14:textId="31821766">
      <w:pPr>
        <w:spacing w:line="240" w:lineRule="auto"/>
        <w:jc w:val="center"/>
        <w:rPr>
          <w:bCs/>
          <w:iCs/>
          <w:color w:val="000000" w:themeColor="text1"/>
        </w:rPr>
      </w:pPr>
      <w:r>
        <w:rPr>
          <w:bCs/>
          <w:iCs/>
          <w:color w:val="000000" w:themeColor="text1"/>
        </w:rPr>
        <w:t>OMB #0920-###</w:t>
      </w:r>
    </w:p>
    <w:p w:rsidRPr="00E14CD3" w:rsidR="00AB7183" w:rsidP="00AB7183" w:rsidRDefault="00AB7183" w14:paraId="462BF70E" w14:textId="6082E294">
      <w:pPr>
        <w:spacing w:line="240" w:lineRule="auto"/>
        <w:jc w:val="center"/>
        <w:rPr>
          <w:color w:val="000000" w:themeColor="text1"/>
        </w:rPr>
      </w:pPr>
      <w:r>
        <w:rPr>
          <w:bCs/>
          <w:iCs/>
          <w:color w:val="000000" w:themeColor="text1"/>
        </w:rPr>
        <w:t>Expiration Date:  ##/##/####</w:t>
      </w:r>
    </w:p>
    <w:p w:rsidRPr="00E14CD3" w:rsidR="006F5CDB" w:rsidP="008A1964" w:rsidRDefault="006F5CDB" w14:paraId="5718BD81" w14:textId="77777777">
      <w:pPr>
        <w:spacing w:line="240" w:lineRule="auto"/>
        <w:rPr>
          <w:color w:val="000000" w:themeColor="text1"/>
        </w:rPr>
      </w:pPr>
    </w:p>
    <w:p w:rsidRPr="00E14CD3" w:rsidR="000E4EE5" w:rsidP="008A1964" w:rsidRDefault="000E4EE5" w14:paraId="6B2AD215" w14:textId="77777777">
      <w:pPr>
        <w:spacing w:line="240" w:lineRule="auto"/>
        <w:jc w:val="center"/>
        <w:rPr>
          <w:color w:val="000000" w:themeColor="text1"/>
        </w:rPr>
      </w:pPr>
    </w:p>
    <w:p w:rsidRPr="00E14CD3" w:rsidR="000E4EE5" w:rsidP="008A1964" w:rsidRDefault="000E4EE5" w14:paraId="64CA4FC3" w14:textId="77777777">
      <w:pPr>
        <w:spacing w:line="240" w:lineRule="auto"/>
        <w:jc w:val="center"/>
        <w:rPr>
          <w:bCs/>
          <w:iCs/>
          <w:color w:val="000000" w:themeColor="text1"/>
        </w:rPr>
      </w:pPr>
    </w:p>
    <w:p w:rsidRPr="00E14CD3" w:rsidR="000E4EE5" w:rsidP="008A1964" w:rsidRDefault="000E4EE5" w14:paraId="4062C77A" w14:textId="77777777">
      <w:pPr>
        <w:spacing w:line="240" w:lineRule="auto"/>
        <w:jc w:val="center"/>
        <w:rPr>
          <w:bCs/>
          <w:iCs/>
          <w:color w:val="000000" w:themeColor="text1"/>
        </w:rPr>
      </w:pPr>
    </w:p>
    <w:p w:rsidRPr="00E14CD3" w:rsidR="00083F51" w:rsidP="008A1964" w:rsidRDefault="000E4EE5" w14:paraId="281C8CDE" w14:textId="77777777">
      <w:pPr>
        <w:spacing w:line="240" w:lineRule="auto"/>
        <w:jc w:val="center"/>
        <w:rPr>
          <w:bCs/>
          <w:iCs/>
          <w:color w:val="000000" w:themeColor="text1"/>
        </w:rPr>
      </w:pPr>
      <w:r w:rsidRPr="00E14CD3">
        <w:rPr>
          <w:bCs/>
          <w:iCs/>
          <w:color w:val="000000" w:themeColor="text1"/>
        </w:rPr>
        <w:t xml:space="preserve">Supporting </w:t>
      </w:r>
      <w:r w:rsidRPr="00E14CD3" w:rsidR="00082D49">
        <w:rPr>
          <w:bCs/>
          <w:iCs/>
          <w:color w:val="000000" w:themeColor="text1"/>
        </w:rPr>
        <w:t xml:space="preserve">Statement </w:t>
      </w:r>
      <w:proofErr w:type="gramStart"/>
      <w:r w:rsidRPr="00E14CD3">
        <w:rPr>
          <w:bCs/>
          <w:iCs/>
          <w:color w:val="000000" w:themeColor="text1"/>
        </w:rPr>
        <w:t>Part</w:t>
      </w:r>
      <w:proofErr w:type="gramEnd"/>
      <w:r w:rsidRPr="00E14CD3">
        <w:rPr>
          <w:bCs/>
          <w:iCs/>
          <w:color w:val="000000" w:themeColor="text1"/>
        </w:rPr>
        <w:t xml:space="preserve"> </w:t>
      </w:r>
      <w:r w:rsidRPr="00E14CD3" w:rsidR="00082D49">
        <w:rPr>
          <w:bCs/>
          <w:iCs/>
          <w:color w:val="000000" w:themeColor="text1"/>
        </w:rPr>
        <w:t>A</w:t>
      </w:r>
    </w:p>
    <w:p w:rsidRPr="00E14CD3" w:rsidR="00082D49" w:rsidP="008A1964" w:rsidRDefault="00082D49" w14:paraId="6A54E49B" w14:textId="77777777">
      <w:pPr>
        <w:spacing w:line="240" w:lineRule="auto"/>
        <w:jc w:val="center"/>
        <w:rPr>
          <w:bCs/>
          <w:iCs/>
          <w:color w:val="000000" w:themeColor="text1"/>
        </w:rPr>
      </w:pPr>
    </w:p>
    <w:p w:rsidRPr="00E14CD3" w:rsidR="00082D49" w:rsidP="008A1964" w:rsidRDefault="00082D49" w14:paraId="1B6DB9F3" w14:textId="77777777">
      <w:pPr>
        <w:spacing w:line="240" w:lineRule="auto"/>
        <w:rPr>
          <w:color w:val="000000" w:themeColor="text1"/>
        </w:rPr>
      </w:pPr>
    </w:p>
    <w:p w:rsidRPr="00E14CD3" w:rsidR="00330E3E" w:rsidP="008A1964" w:rsidRDefault="00330E3E" w14:paraId="5B834CD5" w14:textId="77777777">
      <w:pPr>
        <w:spacing w:line="240" w:lineRule="auto"/>
        <w:rPr>
          <w:color w:val="000000" w:themeColor="text1"/>
        </w:rPr>
      </w:pPr>
    </w:p>
    <w:p w:rsidRPr="00E14CD3" w:rsidR="00330E3E" w:rsidP="008A1964" w:rsidRDefault="00F44C9E" w14:paraId="57277200" w14:textId="75103B8F">
      <w:pPr>
        <w:spacing w:line="240" w:lineRule="auto"/>
        <w:jc w:val="center"/>
        <w:rPr>
          <w:color w:val="000000" w:themeColor="text1"/>
        </w:rPr>
      </w:pPr>
      <w:r>
        <w:rPr>
          <w:color w:val="000000" w:themeColor="text1"/>
        </w:rPr>
        <w:t>May 29,</w:t>
      </w:r>
      <w:r w:rsidR="00741D8F">
        <w:rPr>
          <w:color w:val="000000" w:themeColor="text1"/>
        </w:rPr>
        <w:t xml:space="preserve"> 2020</w:t>
      </w:r>
    </w:p>
    <w:p w:rsidRPr="00E14CD3" w:rsidR="00330E3E" w:rsidP="008A1964" w:rsidRDefault="00330E3E" w14:paraId="1F4D560D" w14:textId="77777777">
      <w:pPr>
        <w:spacing w:line="240" w:lineRule="auto"/>
        <w:rPr>
          <w:color w:val="000000" w:themeColor="text1"/>
        </w:rPr>
      </w:pPr>
    </w:p>
    <w:p w:rsidRPr="00E14CD3" w:rsidR="00330E3E" w:rsidP="008A1964" w:rsidRDefault="00330E3E" w14:paraId="74EAE159" w14:textId="77777777">
      <w:pPr>
        <w:spacing w:line="240" w:lineRule="auto"/>
        <w:rPr>
          <w:color w:val="000000" w:themeColor="text1"/>
        </w:rPr>
      </w:pPr>
    </w:p>
    <w:p w:rsidRPr="00E14CD3" w:rsidR="00082D49" w:rsidP="008A1964" w:rsidRDefault="00082D49" w14:paraId="71D40F1C" w14:textId="77777777">
      <w:pPr>
        <w:spacing w:line="240" w:lineRule="auto"/>
        <w:rPr>
          <w:color w:val="000000" w:themeColor="text1"/>
        </w:rPr>
      </w:pPr>
    </w:p>
    <w:p w:rsidRPr="00E14CD3" w:rsidR="000E4EE5" w:rsidP="008A1964" w:rsidRDefault="000E4EE5" w14:paraId="6F54A812" w14:textId="77777777">
      <w:pPr>
        <w:spacing w:line="240" w:lineRule="auto"/>
        <w:jc w:val="center"/>
        <w:rPr>
          <w:color w:val="000000" w:themeColor="text1"/>
        </w:rPr>
      </w:pPr>
      <w:r w:rsidRPr="00E14CD3">
        <w:rPr>
          <w:color w:val="000000" w:themeColor="text1"/>
        </w:rPr>
        <w:t>Supported by:</w:t>
      </w:r>
    </w:p>
    <w:p w:rsidRPr="00E14CD3" w:rsidR="000E4EE5" w:rsidP="008A1964" w:rsidRDefault="000E4EE5" w14:paraId="1DC0A0F8" w14:textId="77777777">
      <w:pPr>
        <w:spacing w:line="240" w:lineRule="auto"/>
        <w:jc w:val="center"/>
        <w:rPr>
          <w:color w:val="000000" w:themeColor="text1"/>
        </w:rPr>
      </w:pPr>
    </w:p>
    <w:p w:rsidRPr="00E14CD3" w:rsidR="00082D49" w:rsidP="008A1964" w:rsidRDefault="00082D49" w14:paraId="01EC0943" w14:textId="77777777">
      <w:pPr>
        <w:spacing w:line="240" w:lineRule="auto"/>
        <w:jc w:val="center"/>
        <w:rPr>
          <w:color w:val="000000" w:themeColor="text1"/>
        </w:rPr>
      </w:pPr>
    </w:p>
    <w:p w:rsidRPr="00E14CD3" w:rsidR="001903A5" w:rsidP="001903A5" w:rsidRDefault="001903A5" w14:paraId="572C0789" w14:textId="77777777">
      <w:pPr>
        <w:jc w:val="center"/>
        <w:rPr>
          <w:color w:val="000000" w:themeColor="text1"/>
        </w:rPr>
      </w:pPr>
      <w:r w:rsidRPr="00E14CD3">
        <w:rPr>
          <w:color w:val="000000" w:themeColor="text1"/>
        </w:rPr>
        <w:t>Division of Adolescent and School Health</w:t>
      </w:r>
    </w:p>
    <w:p w:rsidRPr="00E14CD3" w:rsidR="001903A5" w:rsidP="001903A5" w:rsidRDefault="001903A5" w14:paraId="4F29F574" w14:textId="77777777">
      <w:pPr>
        <w:jc w:val="center"/>
        <w:rPr>
          <w:color w:val="000000" w:themeColor="text1"/>
        </w:rPr>
      </w:pPr>
      <w:r w:rsidRPr="00E14CD3">
        <w:rPr>
          <w:color w:val="000000" w:themeColor="text1"/>
        </w:rPr>
        <w:t>Centers for Disease Control and Prevention</w:t>
      </w:r>
    </w:p>
    <w:p w:rsidRPr="00E14CD3" w:rsidR="001903A5" w:rsidP="001903A5" w:rsidRDefault="001903A5" w14:paraId="17BA3617" w14:textId="77777777">
      <w:pPr>
        <w:jc w:val="center"/>
        <w:rPr>
          <w:color w:val="000000" w:themeColor="text1"/>
        </w:rPr>
      </w:pPr>
    </w:p>
    <w:p w:rsidRPr="00E14CD3" w:rsidR="00DF7064" w:rsidP="008A1964" w:rsidRDefault="00835E63" w14:paraId="5DB9C6C0" w14:textId="77777777">
      <w:pPr>
        <w:tabs>
          <w:tab w:val="left" w:leader="dot" w:pos="7200"/>
        </w:tabs>
        <w:spacing w:line="240" w:lineRule="auto"/>
        <w:jc w:val="center"/>
        <w:rPr>
          <w:color w:val="000000" w:themeColor="text1"/>
        </w:rPr>
      </w:pPr>
      <w:r w:rsidRPr="00E14CD3">
        <w:rPr>
          <w:color w:val="000000" w:themeColor="text1"/>
        </w:rPr>
        <w:t>John Canfield, M.Ed. CHES</w:t>
      </w:r>
    </w:p>
    <w:p w:rsidRPr="00E14CD3" w:rsidR="00FB4F6F" w:rsidP="00FB4F6F" w:rsidRDefault="00FB4F6F" w14:paraId="3B0AAF02" w14:textId="77777777">
      <w:pPr>
        <w:tabs>
          <w:tab w:val="left" w:leader="dot" w:pos="7200"/>
        </w:tabs>
        <w:spacing w:line="240" w:lineRule="auto"/>
        <w:jc w:val="center"/>
        <w:rPr>
          <w:color w:val="000000" w:themeColor="text1"/>
        </w:rPr>
      </w:pPr>
      <w:r w:rsidRPr="00E14CD3">
        <w:rPr>
          <w:color w:val="000000" w:themeColor="text1"/>
        </w:rPr>
        <w:t>CDC/</w:t>
      </w:r>
      <w:r w:rsidRPr="00E14CD3" w:rsidR="00835E63">
        <w:rPr>
          <w:color w:val="000000" w:themeColor="text1"/>
        </w:rPr>
        <w:t>DDI</w:t>
      </w:r>
      <w:r w:rsidRPr="00E14CD3">
        <w:rPr>
          <w:color w:val="000000" w:themeColor="text1"/>
        </w:rPr>
        <w:t>D/</w:t>
      </w:r>
      <w:r w:rsidRPr="00E14CD3" w:rsidR="00835E63">
        <w:rPr>
          <w:color w:val="000000" w:themeColor="text1"/>
        </w:rPr>
        <w:t>NCHHSTP, Health Education Specialist</w:t>
      </w:r>
    </w:p>
    <w:p w:rsidRPr="00E14CD3" w:rsidR="00DF7064" w:rsidP="008A1964" w:rsidRDefault="00FB4F6F" w14:paraId="23E8B1DA" w14:textId="77777777">
      <w:pPr>
        <w:tabs>
          <w:tab w:val="left" w:leader="dot" w:pos="7200"/>
        </w:tabs>
        <w:spacing w:line="240" w:lineRule="auto"/>
        <w:jc w:val="center"/>
        <w:rPr>
          <w:color w:val="000000" w:themeColor="text1"/>
        </w:rPr>
      </w:pPr>
      <w:r w:rsidRPr="00E14CD3">
        <w:rPr>
          <w:color w:val="000000" w:themeColor="text1"/>
        </w:rPr>
        <w:t>(404) 718-8</w:t>
      </w:r>
      <w:r w:rsidRPr="00E14CD3" w:rsidR="00835E63">
        <w:rPr>
          <w:color w:val="000000" w:themeColor="text1"/>
        </w:rPr>
        <w:t>333</w:t>
      </w:r>
    </w:p>
    <w:p w:rsidRPr="00E14CD3" w:rsidR="00ED558A" w:rsidP="00835E63" w:rsidRDefault="00835E63" w14:paraId="30FBAEAB" w14:textId="77777777">
      <w:pPr>
        <w:tabs>
          <w:tab w:val="left" w:leader="dot" w:pos="7200"/>
        </w:tabs>
        <w:spacing w:line="240" w:lineRule="auto"/>
        <w:jc w:val="center"/>
        <w:rPr>
          <w:color w:val="000000" w:themeColor="text1"/>
        </w:rPr>
      </w:pPr>
      <w:r w:rsidRPr="00E14CD3">
        <w:rPr>
          <w:rStyle w:val="Hyperlink"/>
        </w:rPr>
        <w:t>qzc6@cdc.gov</w:t>
      </w:r>
      <w:r w:rsidRPr="00E14CD3">
        <w:rPr>
          <w:color w:val="000000" w:themeColor="text1"/>
        </w:rPr>
        <w:t xml:space="preserve"> </w:t>
      </w:r>
    </w:p>
    <w:p w:rsidRPr="00E14CD3" w:rsidR="00ED558A" w:rsidP="008A1964" w:rsidRDefault="00ED558A" w14:paraId="4268B1FC" w14:textId="77777777">
      <w:pPr>
        <w:tabs>
          <w:tab w:val="left" w:leader="dot" w:pos="7200"/>
        </w:tabs>
        <w:spacing w:line="240" w:lineRule="auto"/>
        <w:jc w:val="center"/>
        <w:rPr>
          <w:color w:val="000000" w:themeColor="text1"/>
        </w:rPr>
      </w:pPr>
    </w:p>
    <w:p w:rsidRPr="00E14CD3" w:rsidR="00CC43F0" w:rsidP="009D79CC" w:rsidRDefault="00CC43F0" w14:paraId="4580DE8C"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color w:val="000000" w:themeColor="text1"/>
        </w:rPr>
      </w:pPr>
    </w:p>
    <w:p w:rsidRPr="00E14CD3" w:rsidR="00CC43F0" w:rsidP="008A1964" w:rsidRDefault="00CC43F0" w14:paraId="7BE67E11"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rsidRPr="00E14CD3" w:rsidR="00CC43F0" w:rsidP="008A1964" w:rsidRDefault="00CC43F0" w14:paraId="547F50E1"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rsidRPr="00E14CD3" w:rsidR="00FB76A1" w:rsidP="008A1964" w:rsidRDefault="006F5CDB" w14:paraId="334EA793" w14:textId="77777777">
      <w:pPr>
        <w:spacing w:before="120" w:line="240" w:lineRule="auto"/>
        <w:rPr>
          <w:color w:val="000000" w:themeColor="text1"/>
        </w:rPr>
      </w:pPr>
      <w:r w:rsidRPr="00E14CD3">
        <w:rPr>
          <w:color w:val="000000" w:themeColor="text1"/>
        </w:rPr>
        <w:br w:type="page"/>
      </w:r>
      <w:bookmarkStart w:name="_Toc227033740" w:id="0"/>
    </w:p>
    <w:bookmarkStart w:name="_Toc352670576" w:displacedByCustomXml="next" w:id="1"/>
    <w:sdt>
      <w:sdtPr>
        <w:rPr>
          <w:bCs/>
          <w:color w:val="000000" w:themeColor="text1"/>
        </w:rPr>
        <w:id w:val="1550837655"/>
        <w:docPartObj>
          <w:docPartGallery w:val="Table of Contents"/>
          <w:docPartUnique/>
        </w:docPartObj>
      </w:sdtPr>
      <w:sdtEndPr>
        <w:rPr>
          <w:bCs w:val="0"/>
        </w:rPr>
      </w:sdtEndPr>
      <w:sdtContent>
        <w:p w:rsidRPr="00E14CD3" w:rsidR="000E4EE5" w:rsidP="008A1964" w:rsidRDefault="000E4EE5" w14:paraId="6B7F7217" w14:textId="77777777">
          <w:pPr>
            <w:spacing w:before="120" w:line="240" w:lineRule="auto"/>
            <w:jc w:val="center"/>
            <w:rPr>
              <w:color w:val="000000" w:themeColor="text1"/>
            </w:rPr>
          </w:pPr>
          <w:r w:rsidRPr="00E14CD3">
            <w:rPr>
              <w:bCs/>
              <w:color w:val="000000" w:themeColor="text1"/>
            </w:rPr>
            <w:t xml:space="preserve">Table of </w:t>
          </w:r>
          <w:r w:rsidRPr="00E14CD3" w:rsidR="00FB76A1">
            <w:rPr>
              <w:color w:val="000000" w:themeColor="text1"/>
            </w:rPr>
            <w:t>Contents</w:t>
          </w:r>
        </w:p>
        <w:p w:rsidRPr="00E14CD3" w:rsidR="00BE0AF6" w:rsidP="008A1964" w:rsidRDefault="00BE0AF6" w14:paraId="1348C555" w14:textId="77777777">
          <w:pPr>
            <w:spacing w:before="120" w:line="240" w:lineRule="auto"/>
            <w:jc w:val="center"/>
            <w:rPr>
              <w:rFonts w:eastAsiaTheme="majorEastAsia"/>
              <w:bCs/>
              <w:color w:val="000000" w:themeColor="text1"/>
            </w:rPr>
          </w:pPr>
        </w:p>
        <w:p w:rsidRPr="00427CED" w:rsidR="001E66B2" w:rsidRDefault="001E66B2" w14:paraId="69C713C9" w14:textId="77777777">
          <w:pPr>
            <w:pStyle w:val="TOC1"/>
            <w:rPr>
              <w:rFonts w:eastAsiaTheme="minorEastAsia"/>
              <w:b w:val="0"/>
              <w:sz w:val="22"/>
              <w:szCs w:val="22"/>
            </w:rPr>
          </w:pPr>
          <w:r w:rsidRPr="00E14CD3">
            <w:rPr>
              <w:rFonts w:eastAsiaTheme="majorEastAsia"/>
              <w:b w:val="0"/>
              <w:bCs/>
              <w:color w:val="000000" w:themeColor="text1"/>
            </w:rPr>
            <w:fldChar w:fldCharType="begin"/>
          </w:r>
          <w:r w:rsidRPr="00E14CD3">
            <w:rPr>
              <w:rFonts w:eastAsiaTheme="majorEastAsia"/>
              <w:b w:val="0"/>
              <w:bCs/>
              <w:color w:val="000000" w:themeColor="text1"/>
            </w:rPr>
            <w:instrText xml:space="preserve"> TOC \o "1-3" \n \h \z \u </w:instrText>
          </w:r>
          <w:r w:rsidRPr="00E14CD3">
            <w:rPr>
              <w:rFonts w:eastAsiaTheme="majorEastAsia"/>
              <w:b w:val="0"/>
              <w:bCs/>
              <w:color w:val="000000" w:themeColor="text1"/>
            </w:rPr>
            <w:fldChar w:fldCharType="separate"/>
          </w:r>
          <w:hyperlink w:history="1" w:anchor="_Toc507658992">
            <w:r w:rsidRPr="00E14CD3">
              <w:rPr>
                <w:rStyle w:val="Hyperlink"/>
                <w:b w:val="0"/>
              </w:rPr>
              <w:t>A. 1</w:t>
            </w:r>
            <w:r w:rsidRPr="00427CED">
              <w:rPr>
                <w:rFonts w:eastAsiaTheme="minorEastAsia"/>
                <w:b w:val="0"/>
                <w:sz w:val="22"/>
                <w:szCs w:val="22"/>
              </w:rPr>
              <w:tab/>
            </w:r>
            <w:r w:rsidRPr="00E14CD3">
              <w:rPr>
                <w:rStyle w:val="Hyperlink"/>
                <w:b w:val="0"/>
              </w:rPr>
              <w:t>Circumstances Making the Collection of Information Necessary</w:t>
            </w:r>
          </w:hyperlink>
        </w:p>
        <w:p w:rsidRPr="00427CED" w:rsidR="001E66B2" w:rsidRDefault="006C6C43" w14:paraId="154EF1EB" w14:textId="77777777">
          <w:pPr>
            <w:pStyle w:val="TOC1"/>
            <w:rPr>
              <w:rFonts w:eastAsiaTheme="minorEastAsia"/>
              <w:b w:val="0"/>
              <w:sz w:val="22"/>
              <w:szCs w:val="22"/>
            </w:rPr>
          </w:pPr>
          <w:hyperlink w:history="1" w:anchor="_Toc507658993">
            <w:r w:rsidRPr="00E14CD3" w:rsidR="001E66B2">
              <w:rPr>
                <w:rStyle w:val="Hyperlink"/>
                <w:b w:val="0"/>
              </w:rPr>
              <w:t>A. 2</w:t>
            </w:r>
            <w:r w:rsidRPr="00427CED" w:rsidR="001E66B2">
              <w:rPr>
                <w:rFonts w:eastAsiaTheme="minorEastAsia"/>
                <w:b w:val="0"/>
                <w:sz w:val="22"/>
                <w:szCs w:val="22"/>
              </w:rPr>
              <w:tab/>
            </w:r>
            <w:r w:rsidRPr="00E14CD3" w:rsidR="001E66B2">
              <w:rPr>
                <w:rStyle w:val="Hyperlink"/>
                <w:b w:val="0"/>
              </w:rPr>
              <w:t>Purpose and Use of Information Collection</w:t>
            </w:r>
          </w:hyperlink>
        </w:p>
        <w:p w:rsidRPr="00427CED" w:rsidR="001E66B2" w:rsidRDefault="006C6C43" w14:paraId="10A38D6E" w14:textId="77777777">
          <w:pPr>
            <w:pStyle w:val="TOC1"/>
            <w:rPr>
              <w:rFonts w:eastAsiaTheme="minorEastAsia"/>
              <w:b w:val="0"/>
              <w:sz w:val="22"/>
              <w:szCs w:val="22"/>
            </w:rPr>
          </w:pPr>
          <w:hyperlink w:history="1" w:anchor="_Toc507658994">
            <w:r w:rsidRPr="00E14CD3" w:rsidR="001E66B2">
              <w:rPr>
                <w:rStyle w:val="Hyperlink"/>
                <w:b w:val="0"/>
              </w:rPr>
              <w:t>A. 3</w:t>
            </w:r>
            <w:r w:rsidRPr="00427CED" w:rsidR="001E66B2">
              <w:rPr>
                <w:rFonts w:eastAsiaTheme="minorEastAsia"/>
                <w:b w:val="0"/>
                <w:sz w:val="22"/>
                <w:szCs w:val="22"/>
              </w:rPr>
              <w:tab/>
            </w:r>
            <w:r w:rsidRPr="00E14CD3" w:rsidR="001E66B2">
              <w:rPr>
                <w:rStyle w:val="Hyperlink"/>
                <w:b w:val="0"/>
              </w:rPr>
              <w:t>Use of Improved Information Technology and Burden Reduction</w:t>
            </w:r>
          </w:hyperlink>
        </w:p>
        <w:p w:rsidRPr="00427CED" w:rsidR="001E66B2" w:rsidRDefault="006C6C43" w14:paraId="6D756C41" w14:textId="77777777">
          <w:pPr>
            <w:pStyle w:val="TOC1"/>
            <w:rPr>
              <w:rFonts w:eastAsiaTheme="minorEastAsia"/>
              <w:b w:val="0"/>
              <w:sz w:val="22"/>
              <w:szCs w:val="22"/>
            </w:rPr>
          </w:pPr>
          <w:hyperlink w:history="1" w:anchor="_Toc507658995">
            <w:r w:rsidRPr="00E14CD3" w:rsidR="001E66B2">
              <w:rPr>
                <w:rStyle w:val="Hyperlink"/>
                <w:b w:val="0"/>
              </w:rPr>
              <w:t>A. 4</w:t>
            </w:r>
            <w:r w:rsidRPr="00427CED" w:rsidR="001E66B2">
              <w:rPr>
                <w:rFonts w:eastAsiaTheme="minorEastAsia"/>
                <w:b w:val="0"/>
                <w:sz w:val="22"/>
                <w:szCs w:val="22"/>
              </w:rPr>
              <w:tab/>
            </w:r>
            <w:r w:rsidRPr="00E14CD3" w:rsidR="001E66B2">
              <w:rPr>
                <w:rStyle w:val="Hyperlink"/>
                <w:b w:val="0"/>
              </w:rPr>
              <w:t>Efforts to Identify and Use of Similar Information</w:t>
            </w:r>
          </w:hyperlink>
        </w:p>
        <w:p w:rsidRPr="00427CED" w:rsidR="001E66B2" w:rsidRDefault="006C6C43" w14:paraId="4CC6FBC3" w14:textId="77777777">
          <w:pPr>
            <w:pStyle w:val="TOC1"/>
            <w:rPr>
              <w:rFonts w:eastAsiaTheme="minorEastAsia"/>
              <w:b w:val="0"/>
              <w:sz w:val="22"/>
              <w:szCs w:val="22"/>
            </w:rPr>
          </w:pPr>
          <w:hyperlink w:history="1" w:anchor="_Toc507658996">
            <w:r w:rsidRPr="00E14CD3" w:rsidR="001E66B2">
              <w:rPr>
                <w:rStyle w:val="Hyperlink"/>
                <w:b w:val="0"/>
              </w:rPr>
              <w:t>A. 5</w:t>
            </w:r>
            <w:r w:rsidRPr="00427CED" w:rsidR="001E66B2">
              <w:rPr>
                <w:rFonts w:eastAsiaTheme="minorEastAsia"/>
                <w:b w:val="0"/>
                <w:sz w:val="22"/>
                <w:szCs w:val="22"/>
              </w:rPr>
              <w:tab/>
            </w:r>
            <w:r w:rsidRPr="00E14CD3" w:rsidR="001E66B2">
              <w:rPr>
                <w:rStyle w:val="Hyperlink"/>
                <w:b w:val="0"/>
              </w:rPr>
              <w:t>Impact o</w:t>
            </w:r>
            <w:r w:rsidRPr="00E14CD3" w:rsidR="008C34F1">
              <w:rPr>
                <w:rStyle w:val="Hyperlink"/>
                <w:b w:val="0"/>
              </w:rPr>
              <w:t>n</w:t>
            </w:r>
            <w:r w:rsidRPr="00E14CD3" w:rsidR="001E66B2">
              <w:rPr>
                <w:rStyle w:val="Hyperlink"/>
                <w:b w:val="0"/>
              </w:rPr>
              <w:t xml:space="preserve"> Small Businesses or Other Small Entities</w:t>
            </w:r>
          </w:hyperlink>
        </w:p>
        <w:p w:rsidRPr="00427CED" w:rsidR="001E66B2" w:rsidRDefault="006C6C43" w14:paraId="08B55550" w14:textId="77777777">
          <w:pPr>
            <w:pStyle w:val="TOC1"/>
            <w:rPr>
              <w:rFonts w:eastAsiaTheme="minorEastAsia"/>
              <w:b w:val="0"/>
              <w:sz w:val="22"/>
              <w:szCs w:val="22"/>
            </w:rPr>
          </w:pPr>
          <w:hyperlink w:history="1" w:anchor="_Toc507658997">
            <w:r w:rsidRPr="00E14CD3" w:rsidR="001E66B2">
              <w:rPr>
                <w:rStyle w:val="Hyperlink"/>
                <w:b w:val="0"/>
              </w:rPr>
              <w:t>A. 6</w:t>
            </w:r>
            <w:r w:rsidRPr="00427CED" w:rsidR="001E66B2">
              <w:rPr>
                <w:rFonts w:eastAsiaTheme="minorEastAsia"/>
                <w:b w:val="0"/>
                <w:sz w:val="22"/>
                <w:szCs w:val="22"/>
              </w:rPr>
              <w:tab/>
            </w:r>
            <w:r w:rsidRPr="00E14CD3" w:rsidR="001E66B2">
              <w:rPr>
                <w:rStyle w:val="Hyperlink"/>
                <w:b w:val="0"/>
              </w:rPr>
              <w:t>Consequences of Collecting the Information Less Frequently</w:t>
            </w:r>
          </w:hyperlink>
        </w:p>
        <w:p w:rsidRPr="00427CED" w:rsidR="001E66B2" w:rsidRDefault="006C6C43" w14:paraId="2F96A000" w14:textId="77777777">
          <w:pPr>
            <w:pStyle w:val="TOC1"/>
            <w:rPr>
              <w:rFonts w:eastAsiaTheme="minorEastAsia"/>
              <w:b w:val="0"/>
              <w:sz w:val="22"/>
              <w:szCs w:val="22"/>
            </w:rPr>
          </w:pPr>
          <w:hyperlink w:history="1" w:anchor="_Toc507658998">
            <w:r w:rsidRPr="00E14CD3" w:rsidR="001E66B2">
              <w:rPr>
                <w:rStyle w:val="Hyperlink"/>
                <w:b w:val="0"/>
              </w:rPr>
              <w:t>A. 7</w:t>
            </w:r>
            <w:r w:rsidRPr="00427CED" w:rsidR="001E66B2">
              <w:rPr>
                <w:rFonts w:eastAsiaTheme="minorEastAsia"/>
                <w:b w:val="0"/>
                <w:sz w:val="22"/>
                <w:szCs w:val="22"/>
              </w:rPr>
              <w:tab/>
            </w:r>
            <w:r w:rsidRPr="00E14CD3" w:rsidR="001E66B2">
              <w:rPr>
                <w:rStyle w:val="Hyperlink"/>
                <w:b w:val="0"/>
              </w:rPr>
              <w:t>Special Circumstances Relating to the Guidelines of 5 CFR 1320.5</w:t>
            </w:r>
          </w:hyperlink>
        </w:p>
        <w:p w:rsidRPr="00427CED" w:rsidR="001E66B2" w:rsidRDefault="006C6C43" w14:paraId="4084F3D8" w14:textId="77777777">
          <w:pPr>
            <w:pStyle w:val="TOC1"/>
            <w:rPr>
              <w:rFonts w:eastAsiaTheme="minorEastAsia"/>
              <w:b w:val="0"/>
              <w:sz w:val="22"/>
              <w:szCs w:val="22"/>
            </w:rPr>
          </w:pPr>
          <w:hyperlink w:history="1" w:anchor="_Toc507658999">
            <w:r w:rsidRPr="00E14CD3" w:rsidR="001E66B2">
              <w:rPr>
                <w:rStyle w:val="Hyperlink"/>
                <w:b w:val="0"/>
              </w:rPr>
              <w:t>A. 8</w:t>
            </w:r>
            <w:r w:rsidRPr="00427CED" w:rsidR="001E66B2">
              <w:rPr>
                <w:rFonts w:eastAsiaTheme="minorEastAsia"/>
                <w:b w:val="0"/>
                <w:sz w:val="22"/>
                <w:szCs w:val="22"/>
              </w:rPr>
              <w:tab/>
            </w:r>
            <w:r w:rsidRPr="00E14CD3" w:rsidR="001E66B2">
              <w:rPr>
                <w:rStyle w:val="Hyperlink"/>
                <w:b w:val="0"/>
              </w:rPr>
              <w:t>Comments in Response to the Federal Register Notice and Efforts to Consult Outside the Agency</w:t>
            </w:r>
          </w:hyperlink>
        </w:p>
        <w:p w:rsidRPr="00427CED" w:rsidR="001E66B2" w:rsidRDefault="006C6C43" w14:paraId="478B8920" w14:textId="77777777">
          <w:pPr>
            <w:pStyle w:val="TOC1"/>
            <w:rPr>
              <w:rFonts w:eastAsiaTheme="minorEastAsia"/>
              <w:b w:val="0"/>
              <w:sz w:val="22"/>
              <w:szCs w:val="22"/>
            </w:rPr>
          </w:pPr>
          <w:hyperlink w:history="1" w:anchor="_Toc507659000">
            <w:r w:rsidRPr="00E14CD3" w:rsidR="001E66B2">
              <w:rPr>
                <w:rStyle w:val="Hyperlink"/>
                <w:b w:val="0"/>
              </w:rPr>
              <w:t>A. 9</w:t>
            </w:r>
            <w:r w:rsidRPr="00427CED" w:rsidR="001E66B2">
              <w:rPr>
                <w:rFonts w:eastAsiaTheme="minorEastAsia"/>
                <w:b w:val="0"/>
                <w:sz w:val="22"/>
                <w:szCs w:val="22"/>
              </w:rPr>
              <w:tab/>
            </w:r>
            <w:r w:rsidRPr="00E14CD3" w:rsidR="001E66B2">
              <w:rPr>
                <w:rStyle w:val="Hyperlink"/>
                <w:b w:val="0"/>
              </w:rPr>
              <w:t>Explanation of Any Payment or Gift to Respondents</w:t>
            </w:r>
          </w:hyperlink>
        </w:p>
        <w:p w:rsidRPr="00427CED" w:rsidR="001E66B2" w:rsidRDefault="006C6C43" w14:paraId="4F185A6E" w14:textId="77777777">
          <w:pPr>
            <w:pStyle w:val="TOC1"/>
            <w:rPr>
              <w:rFonts w:eastAsiaTheme="minorEastAsia"/>
              <w:b w:val="0"/>
              <w:sz w:val="22"/>
              <w:szCs w:val="22"/>
            </w:rPr>
          </w:pPr>
          <w:hyperlink w:history="1" w:anchor="_Toc507659001">
            <w:r w:rsidRPr="00E14CD3" w:rsidR="001E66B2">
              <w:rPr>
                <w:rStyle w:val="Hyperlink"/>
                <w:b w:val="0"/>
              </w:rPr>
              <w:t>A. 10</w:t>
            </w:r>
            <w:r w:rsidRPr="00427CED" w:rsidR="001E66B2">
              <w:rPr>
                <w:rStyle w:val="Hyperlink"/>
                <w:rFonts w:eastAsiaTheme="minorEastAsia"/>
                <w:b w:val="0"/>
                <w:sz w:val="22"/>
                <w:szCs w:val="22"/>
              </w:rPr>
              <w:tab/>
            </w:r>
            <w:r w:rsidRPr="00E14CD3" w:rsidR="00A01DE9">
              <w:rPr>
                <w:rStyle w:val="Hyperlink"/>
                <w:b w:val="0"/>
              </w:rPr>
              <w:t>Protection of the Privacy and Confi dentiality of Information Provided by Respondents</w:t>
            </w:r>
          </w:hyperlink>
        </w:p>
        <w:p w:rsidRPr="00427CED" w:rsidR="001E66B2" w:rsidRDefault="006C6C43" w14:paraId="74520493" w14:textId="77777777">
          <w:pPr>
            <w:pStyle w:val="TOC1"/>
            <w:rPr>
              <w:rFonts w:eastAsiaTheme="minorEastAsia"/>
              <w:b w:val="0"/>
              <w:sz w:val="22"/>
              <w:szCs w:val="22"/>
            </w:rPr>
          </w:pPr>
          <w:hyperlink w:history="1" w:anchor="_Toc507659002">
            <w:r w:rsidRPr="00E14CD3" w:rsidR="001E66B2">
              <w:rPr>
                <w:rStyle w:val="Hyperlink"/>
                <w:b w:val="0"/>
              </w:rPr>
              <w:t>A. 11</w:t>
            </w:r>
            <w:r w:rsidRPr="00427CED" w:rsidR="001E66B2">
              <w:rPr>
                <w:rFonts w:eastAsiaTheme="minorEastAsia"/>
                <w:b w:val="0"/>
                <w:sz w:val="22"/>
                <w:szCs w:val="22"/>
              </w:rPr>
              <w:tab/>
            </w:r>
            <w:r w:rsidRPr="00E14CD3" w:rsidR="001E66B2">
              <w:rPr>
                <w:rStyle w:val="Hyperlink"/>
                <w:b w:val="0"/>
              </w:rPr>
              <w:t>Institutional Review Board (IRB) and Justification for Sensitive Questions</w:t>
            </w:r>
          </w:hyperlink>
        </w:p>
        <w:p w:rsidRPr="00427CED" w:rsidR="001E66B2" w:rsidRDefault="006C6C43" w14:paraId="09867AB6" w14:textId="77777777">
          <w:pPr>
            <w:pStyle w:val="TOC1"/>
            <w:rPr>
              <w:rFonts w:eastAsiaTheme="minorEastAsia"/>
              <w:b w:val="0"/>
              <w:sz w:val="22"/>
              <w:szCs w:val="22"/>
            </w:rPr>
          </w:pPr>
          <w:hyperlink w:history="1" w:anchor="_Toc507659003">
            <w:r w:rsidRPr="00E14CD3" w:rsidR="001E66B2">
              <w:rPr>
                <w:rStyle w:val="Hyperlink"/>
                <w:b w:val="0"/>
              </w:rPr>
              <w:t>A. 12</w:t>
            </w:r>
            <w:r w:rsidRPr="00427CED" w:rsidR="001E66B2">
              <w:rPr>
                <w:rFonts w:eastAsiaTheme="minorEastAsia"/>
                <w:b w:val="0"/>
                <w:sz w:val="22"/>
                <w:szCs w:val="22"/>
              </w:rPr>
              <w:tab/>
            </w:r>
            <w:r w:rsidRPr="00E14CD3" w:rsidR="001E66B2">
              <w:rPr>
                <w:rStyle w:val="Hyperlink"/>
                <w:b w:val="0"/>
              </w:rPr>
              <w:t>Estimates of Annualized Burden Hours and Costs</w:t>
            </w:r>
          </w:hyperlink>
        </w:p>
        <w:p w:rsidRPr="00427CED" w:rsidR="001E66B2" w:rsidRDefault="006C6C43" w14:paraId="071E3C9C" w14:textId="77777777">
          <w:pPr>
            <w:pStyle w:val="TOC1"/>
            <w:rPr>
              <w:rFonts w:eastAsiaTheme="minorEastAsia"/>
              <w:b w:val="0"/>
              <w:sz w:val="22"/>
              <w:szCs w:val="22"/>
            </w:rPr>
          </w:pPr>
          <w:hyperlink w:history="1" w:anchor="_Toc507659004">
            <w:r w:rsidRPr="00E14CD3" w:rsidR="001E66B2">
              <w:rPr>
                <w:rStyle w:val="Hyperlink"/>
                <w:b w:val="0"/>
              </w:rPr>
              <w:t>A. 13</w:t>
            </w:r>
            <w:r w:rsidRPr="00427CED" w:rsidR="001E66B2">
              <w:rPr>
                <w:rFonts w:eastAsiaTheme="minorEastAsia"/>
                <w:b w:val="0"/>
                <w:sz w:val="22"/>
                <w:szCs w:val="22"/>
              </w:rPr>
              <w:tab/>
            </w:r>
            <w:r w:rsidRPr="00E14CD3" w:rsidR="001E66B2">
              <w:rPr>
                <w:rStyle w:val="Hyperlink"/>
                <w:b w:val="0"/>
              </w:rPr>
              <w:t>Estimates of Other Annual Cost Burden to Respondents or Record Keepers</w:t>
            </w:r>
          </w:hyperlink>
        </w:p>
        <w:p w:rsidRPr="00427CED" w:rsidR="001E66B2" w:rsidRDefault="006C6C43" w14:paraId="2E07F1C2" w14:textId="77777777">
          <w:pPr>
            <w:pStyle w:val="TOC1"/>
            <w:rPr>
              <w:rFonts w:eastAsiaTheme="minorEastAsia"/>
              <w:b w:val="0"/>
              <w:sz w:val="22"/>
              <w:szCs w:val="22"/>
            </w:rPr>
          </w:pPr>
          <w:hyperlink w:history="1" w:anchor="_Toc507659005">
            <w:r w:rsidRPr="00E14CD3" w:rsidR="001E66B2">
              <w:rPr>
                <w:rStyle w:val="Hyperlink"/>
                <w:b w:val="0"/>
              </w:rPr>
              <w:t>A. 14</w:t>
            </w:r>
            <w:r w:rsidRPr="00427CED" w:rsidR="001E66B2">
              <w:rPr>
                <w:rFonts w:eastAsiaTheme="minorEastAsia"/>
                <w:b w:val="0"/>
                <w:sz w:val="22"/>
                <w:szCs w:val="22"/>
              </w:rPr>
              <w:tab/>
            </w:r>
            <w:r w:rsidRPr="00E14CD3" w:rsidR="001E66B2">
              <w:rPr>
                <w:rStyle w:val="Hyperlink"/>
                <w:b w:val="0"/>
              </w:rPr>
              <w:t>Annualized Cost to Federal Government</w:t>
            </w:r>
          </w:hyperlink>
        </w:p>
        <w:p w:rsidRPr="00427CED" w:rsidR="001E66B2" w:rsidRDefault="006C6C43" w14:paraId="01D26517" w14:textId="77777777">
          <w:pPr>
            <w:pStyle w:val="TOC1"/>
            <w:rPr>
              <w:rFonts w:eastAsiaTheme="minorEastAsia"/>
              <w:b w:val="0"/>
              <w:sz w:val="22"/>
              <w:szCs w:val="22"/>
            </w:rPr>
          </w:pPr>
          <w:hyperlink w:history="1" w:anchor="_Toc507659006">
            <w:r w:rsidRPr="00E14CD3" w:rsidR="001E66B2">
              <w:rPr>
                <w:rStyle w:val="Hyperlink"/>
                <w:b w:val="0"/>
              </w:rPr>
              <w:t>A. 15</w:t>
            </w:r>
            <w:r w:rsidRPr="00427CED" w:rsidR="001E66B2">
              <w:rPr>
                <w:rFonts w:eastAsiaTheme="minorEastAsia"/>
                <w:b w:val="0"/>
                <w:sz w:val="22"/>
                <w:szCs w:val="22"/>
              </w:rPr>
              <w:tab/>
            </w:r>
            <w:r w:rsidRPr="00E14CD3" w:rsidR="001E66B2">
              <w:rPr>
                <w:rStyle w:val="Hyperlink"/>
                <w:b w:val="0"/>
              </w:rPr>
              <w:t>Explanation for Program Changes or Adjustments</w:t>
            </w:r>
          </w:hyperlink>
        </w:p>
        <w:p w:rsidRPr="00427CED" w:rsidR="001E66B2" w:rsidRDefault="006C6C43" w14:paraId="7F7CCD03" w14:textId="77777777">
          <w:pPr>
            <w:pStyle w:val="TOC1"/>
            <w:rPr>
              <w:rFonts w:eastAsiaTheme="minorEastAsia"/>
              <w:b w:val="0"/>
              <w:sz w:val="22"/>
              <w:szCs w:val="22"/>
            </w:rPr>
          </w:pPr>
          <w:hyperlink w:history="1" w:anchor="_Toc507659007">
            <w:r w:rsidRPr="00E14CD3" w:rsidR="001E66B2">
              <w:rPr>
                <w:rStyle w:val="Hyperlink"/>
                <w:b w:val="0"/>
              </w:rPr>
              <w:t>A. 16</w:t>
            </w:r>
            <w:r w:rsidRPr="00427CED" w:rsidR="001E66B2">
              <w:rPr>
                <w:rFonts w:eastAsiaTheme="minorEastAsia"/>
                <w:b w:val="0"/>
                <w:sz w:val="22"/>
                <w:szCs w:val="22"/>
              </w:rPr>
              <w:tab/>
            </w:r>
            <w:r w:rsidRPr="00E14CD3" w:rsidR="001E66B2">
              <w:rPr>
                <w:rStyle w:val="Hyperlink"/>
                <w:b w:val="0"/>
              </w:rPr>
              <w:t>Plans for Tabulation and Publication and Project Time Schedule</w:t>
            </w:r>
          </w:hyperlink>
        </w:p>
        <w:p w:rsidRPr="00427CED" w:rsidR="001E66B2" w:rsidRDefault="006C6C43" w14:paraId="71D1EBFE" w14:textId="77777777">
          <w:pPr>
            <w:pStyle w:val="TOC1"/>
            <w:rPr>
              <w:rFonts w:eastAsiaTheme="minorEastAsia"/>
              <w:b w:val="0"/>
              <w:sz w:val="22"/>
              <w:szCs w:val="22"/>
            </w:rPr>
          </w:pPr>
          <w:hyperlink w:history="1" w:anchor="_Toc507659008">
            <w:r w:rsidRPr="00E14CD3" w:rsidR="001E66B2">
              <w:rPr>
                <w:rStyle w:val="Hyperlink"/>
                <w:b w:val="0"/>
              </w:rPr>
              <w:t>A. 17</w:t>
            </w:r>
            <w:r w:rsidRPr="00427CED" w:rsidR="001E66B2">
              <w:rPr>
                <w:rFonts w:eastAsiaTheme="minorEastAsia"/>
                <w:b w:val="0"/>
                <w:sz w:val="22"/>
                <w:szCs w:val="22"/>
              </w:rPr>
              <w:tab/>
            </w:r>
            <w:r w:rsidRPr="00E14CD3" w:rsidR="001E66B2">
              <w:rPr>
                <w:rStyle w:val="Hyperlink"/>
                <w:b w:val="0"/>
              </w:rPr>
              <w:t>Reason(s) Display of OMB Expiration Date is Inappropriate</w:t>
            </w:r>
          </w:hyperlink>
        </w:p>
        <w:p w:rsidRPr="00427CED" w:rsidR="001E66B2" w:rsidRDefault="006C6C43" w14:paraId="1D576271" w14:textId="77777777">
          <w:pPr>
            <w:pStyle w:val="TOC1"/>
            <w:rPr>
              <w:rFonts w:eastAsiaTheme="minorEastAsia"/>
              <w:b w:val="0"/>
              <w:sz w:val="22"/>
              <w:szCs w:val="22"/>
            </w:rPr>
          </w:pPr>
          <w:hyperlink w:history="1" w:anchor="_Toc507659009">
            <w:r w:rsidRPr="00E14CD3" w:rsidR="001E66B2">
              <w:rPr>
                <w:rStyle w:val="Hyperlink"/>
                <w:b w:val="0"/>
              </w:rPr>
              <w:t>A. 18</w:t>
            </w:r>
            <w:r w:rsidRPr="00427CED" w:rsidR="001E66B2">
              <w:rPr>
                <w:rFonts w:eastAsiaTheme="minorEastAsia"/>
                <w:b w:val="0"/>
                <w:sz w:val="22"/>
                <w:szCs w:val="22"/>
              </w:rPr>
              <w:tab/>
            </w:r>
            <w:r w:rsidRPr="00E14CD3" w:rsidR="001E66B2">
              <w:rPr>
                <w:rStyle w:val="Hyperlink"/>
                <w:b w:val="0"/>
              </w:rPr>
              <w:t>Exceptions to Certification for Paperwork Reduction Act Submissions</w:t>
            </w:r>
          </w:hyperlink>
        </w:p>
        <w:p w:rsidRPr="00E14CD3" w:rsidR="00FB76A1" w:rsidP="008A1964" w:rsidRDefault="001E66B2" w14:paraId="3C684392" w14:textId="77777777">
          <w:pPr>
            <w:spacing w:before="120" w:line="240" w:lineRule="auto"/>
            <w:rPr>
              <w:color w:val="000000" w:themeColor="text1"/>
            </w:rPr>
          </w:pPr>
          <w:r w:rsidRPr="00E14CD3">
            <w:rPr>
              <w:rFonts w:eastAsiaTheme="majorEastAsia"/>
              <w:bCs/>
              <w:noProof/>
              <w:color w:val="000000" w:themeColor="text1"/>
            </w:rPr>
            <w:fldChar w:fldCharType="end"/>
          </w:r>
        </w:p>
      </w:sdtContent>
    </w:sdt>
    <w:p w:rsidRPr="00E14CD3" w:rsidR="009A4CE8" w:rsidP="009A4CE8" w:rsidRDefault="009A4CE8" w14:paraId="06F50C90" w14:textId="77777777">
      <w:pPr>
        <w:pStyle w:val="TOC1"/>
        <w:rPr>
          <w:rFonts w:eastAsiaTheme="minorEastAsia"/>
          <w:b w:val="0"/>
          <w:color w:val="000000" w:themeColor="text1"/>
        </w:rPr>
      </w:pPr>
      <w:r w:rsidRPr="00E14CD3">
        <w:rPr>
          <w:rFonts w:eastAsiaTheme="majorEastAsia"/>
          <w:b w:val="0"/>
          <w:bCs/>
          <w:color w:val="000000" w:themeColor="text1"/>
        </w:rPr>
        <w:fldChar w:fldCharType="begin"/>
      </w:r>
      <w:r w:rsidRPr="00E14CD3">
        <w:rPr>
          <w:b w:val="0"/>
          <w:color w:val="000000" w:themeColor="text1"/>
        </w:rPr>
        <w:instrText xml:space="preserve"> TOC \o "1-3" \h \z \u </w:instrText>
      </w:r>
      <w:r w:rsidRPr="00E14CD3">
        <w:rPr>
          <w:rFonts w:eastAsiaTheme="majorEastAsia"/>
          <w:b w:val="0"/>
          <w:bCs/>
          <w:color w:val="000000" w:themeColor="text1"/>
        </w:rPr>
        <w:fldChar w:fldCharType="separate"/>
      </w:r>
      <w:hyperlink w:history="1" w:anchor="_Toc387668758">
        <w:r w:rsidRPr="00E14CD3">
          <w:rPr>
            <w:rStyle w:val="Hyperlink"/>
            <w:b w:val="0"/>
            <w:color w:val="000000" w:themeColor="text1"/>
          </w:rPr>
          <w:t>B.1</w:t>
        </w:r>
        <w:r w:rsidRPr="00E14CD3">
          <w:rPr>
            <w:rFonts w:eastAsiaTheme="minorEastAsia"/>
            <w:b w:val="0"/>
            <w:color w:val="000000" w:themeColor="text1"/>
          </w:rPr>
          <w:tab/>
        </w:r>
        <w:r w:rsidRPr="00E14CD3">
          <w:rPr>
            <w:rStyle w:val="Hyperlink"/>
            <w:b w:val="0"/>
            <w:color w:val="000000" w:themeColor="text1"/>
          </w:rPr>
          <w:t>Respondent Universe and Sampling Methods</w:t>
        </w:r>
        <w:r w:rsidRPr="00E14CD3">
          <w:rPr>
            <w:b w:val="0"/>
            <w:webHidden/>
            <w:color w:val="000000" w:themeColor="text1"/>
          </w:rPr>
          <w:tab/>
        </w:r>
      </w:hyperlink>
    </w:p>
    <w:p w:rsidRPr="00E14CD3" w:rsidR="009A4CE8" w:rsidP="009A4CE8" w:rsidRDefault="006C6C43" w14:paraId="01EF9F99" w14:textId="77777777">
      <w:pPr>
        <w:pStyle w:val="TOC1"/>
        <w:rPr>
          <w:rFonts w:eastAsiaTheme="minorEastAsia"/>
          <w:b w:val="0"/>
          <w:color w:val="000000" w:themeColor="text1"/>
        </w:rPr>
      </w:pPr>
      <w:hyperlink w:history="1" w:anchor="_Toc387668759">
        <w:r w:rsidRPr="00E14CD3" w:rsidR="009A4CE8">
          <w:rPr>
            <w:rStyle w:val="Hyperlink"/>
            <w:b w:val="0"/>
            <w:color w:val="000000" w:themeColor="text1"/>
          </w:rPr>
          <w:t>B.2</w:t>
        </w:r>
        <w:r w:rsidRPr="00E14CD3" w:rsidR="009A4CE8">
          <w:rPr>
            <w:rFonts w:eastAsiaTheme="minorEastAsia"/>
            <w:b w:val="0"/>
            <w:color w:val="000000" w:themeColor="text1"/>
          </w:rPr>
          <w:tab/>
        </w:r>
        <w:r w:rsidRPr="00E14CD3" w:rsidR="009A4CE8">
          <w:rPr>
            <w:rStyle w:val="Hyperlink"/>
            <w:b w:val="0"/>
            <w:color w:val="000000" w:themeColor="text1"/>
          </w:rPr>
          <w:t>Procedures for the Collection of Information</w:t>
        </w:r>
        <w:r w:rsidRPr="00E14CD3" w:rsidR="009A4CE8">
          <w:rPr>
            <w:b w:val="0"/>
            <w:webHidden/>
            <w:color w:val="000000" w:themeColor="text1"/>
          </w:rPr>
          <w:tab/>
        </w:r>
      </w:hyperlink>
    </w:p>
    <w:p w:rsidRPr="00E14CD3" w:rsidR="009A4CE8" w:rsidP="009A4CE8" w:rsidRDefault="006C6C43" w14:paraId="60CA554C" w14:textId="77777777">
      <w:pPr>
        <w:pStyle w:val="TOC1"/>
        <w:rPr>
          <w:rFonts w:eastAsiaTheme="minorEastAsia"/>
          <w:b w:val="0"/>
          <w:color w:val="000000" w:themeColor="text1"/>
        </w:rPr>
      </w:pPr>
      <w:hyperlink w:history="1" w:anchor="_Toc387668760">
        <w:r w:rsidRPr="00E14CD3" w:rsidR="009A4CE8">
          <w:rPr>
            <w:rStyle w:val="Hyperlink"/>
            <w:b w:val="0"/>
            <w:color w:val="000000" w:themeColor="text1"/>
          </w:rPr>
          <w:t>B.3</w:t>
        </w:r>
        <w:r w:rsidRPr="00E14CD3" w:rsidR="009A4CE8">
          <w:rPr>
            <w:rFonts w:eastAsiaTheme="minorEastAsia"/>
            <w:b w:val="0"/>
            <w:color w:val="000000" w:themeColor="text1"/>
          </w:rPr>
          <w:tab/>
        </w:r>
        <w:r w:rsidRPr="00E14CD3" w:rsidR="009A4CE8">
          <w:rPr>
            <w:rStyle w:val="Hyperlink"/>
            <w:b w:val="0"/>
            <w:color w:val="000000" w:themeColor="text1"/>
          </w:rPr>
          <w:t>Methods to Maximize Response Rates and Deal with No Response</w:t>
        </w:r>
        <w:r w:rsidRPr="00E14CD3" w:rsidR="009A4CE8">
          <w:rPr>
            <w:b w:val="0"/>
            <w:webHidden/>
            <w:color w:val="000000" w:themeColor="text1"/>
          </w:rPr>
          <w:tab/>
        </w:r>
      </w:hyperlink>
    </w:p>
    <w:p w:rsidRPr="00E14CD3" w:rsidR="009A4CE8" w:rsidP="009A4CE8" w:rsidRDefault="006C6C43" w14:paraId="4D371E9A" w14:textId="77777777">
      <w:pPr>
        <w:pStyle w:val="TOC1"/>
        <w:rPr>
          <w:rFonts w:eastAsiaTheme="minorEastAsia"/>
          <w:b w:val="0"/>
          <w:color w:val="000000" w:themeColor="text1"/>
        </w:rPr>
      </w:pPr>
      <w:hyperlink w:history="1" w:anchor="_Toc387668761">
        <w:r w:rsidRPr="00E14CD3" w:rsidR="009A4CE8">
          <w:rPr>
            <w:rStyle w:val="Hyperlink"/>
            <w:b w:val="0"/>
            <w:color w:val="000000" w:themeColor="text1"/>
          </w:rPr>
          <w:t>B.4</w:t>
        </w:r>
        <w:r w:rsidRPr="00E14CD3" w:rsidR="009A4CE8">
          <w:rPr>
            <w:rFonts w:eastAsiaTheme="minorEastAsia"/>
            <w:b w:val="0"/>
            <w:color w:val="000000" w:themeColor="text1"/>
          </w:rPr>
          <w:tab/>
        </w:r>
        <w:r w:rsidRPr="00E14CD3" w:rsidR="009A4CE8">
          <w:rPr>
            <w:rStyle w:val="Hyperlink"/>
            <w:b w:val="0"/>
            <w:color w:val="000000" w:themeColor="text1"/>
          </w:rPr>
          <w:t>Tests of Procedures or Methods to be Undertaken</w:t>
        </w:r>
        <w:r w:rsidRPr="00E14CD3" w:rsidR="009A4CE8">
          <w:rPr>
            <w:b w:val="0"/>
            <w:webHidden/>
            <w:color w:val="000000" w:themeColor="text1"/>
          </w:rPr>
          <w:tab/>
        </w:r>
      </w:hyperlink>
    </w:p>
    <w:p w:rsidRPr="00E14CD3" w:rsidR="009A4CE8" w:rsidP="009A4CE8" w:rsidRDefault="006C6C43" w14:paraId="569DCA31" w14:textId="77777777">
      <w:pPr>
        <w:pStyle w:val="TOC1"/>
        <w:rPr>
          <w:rFonts w:eastAsiaTheme="minorEastAsia"/>
          <w:b w:val="0"/>
          <w:color w:val="000000" w:themeColor="text1"/>
        </w:rPr>
      </w:pPr>
      <w:hyperlink w:history="1" w:anchor="_Toc387668762">
        <w:r w:rsidRPr="00E14CD3" w:rsidR="009A4CE8">
          <w:rPr>
            <w:rStyle w:val="Hyperlink"/>
            <w:b w:val="0"/>
            <w:color w:val="000000" w:themeColor="text1"/>
          </w:rPr>
          <w:t>B.5</w:t>
        </w:r>
        <w:r w:rsidRPr="00E14CD3" w:rsidR="009A4CE8">
          <w:rPr>
            <w:rFonts w:eastAsiaTheme="minorEastAsia"/>
            <w:b w:val="0"/>
            <w:color w:val="000000" w:themeColor="text1"/>
          </w:rPr>
          <w:tab/>
        </w:r>
        <w:r w:rsidRPr="00E14CD3" w:rsidR="009A4CE8">
          <w:rPr>
            <w:rStyle w:val="Hyperlink"/>
            <w:b w:val="0"/>
            <w:color w:val="000000" w:themeColor="text1"/>
          </w:rPr>
          <w:t>Individuals Consulted on Statistical Aspects and Individuals Collecting and/or Analyzing Data</w:t>
        </w:r>
        <w:r w:rsidRPr="00E14CD3" w:rsidR="009A4CE8">
          <w:rPr>
            <w:b w:val="0"/>
            <w:webHidden/>
            <w:color w:val="000000" w:themeColor="text1"/>
          </w:rPr>
          <w:tab/>
        </w:r>
      </w:hyperlink>
    </w:p>
    <w:p w:rsidRPr="00E14CD3" w:rsidR="009A4CE8" w:rsidP="009A4CE8" w:rsidRDefault="009A4CE8" w14:paraId="7E62A83E" w14:textId="77777777">
      <w:pPr>
        <w:rPr>
          <w:color w:val="000000" w:themeColor="text1"/>
        </w:rPr>
      </w:pPr>
      <w:r w:rsidRPr="00E14CD3">
        <w:rPr>
          <w:color w:val="000000" w:themeColor="text1"/>
        </w:rPr>
        <w:fldChar w:fldCharType="end"/>
      </w:r>
    </w:p>
    <w:p w:rsidRPr="00E14CD3" w:rsidR="009A4CE8" w:rsidRDefault="009A4CE8" w14:paraId="29DD48B0" w14:textId="77777777">
      <w:pPr>
        <w:widowControl/>
        <w:autoSpaceDE/>
        <w:autoSpaceDN/>
        <w:adjustRightInd/>
        <w:spacing w:line="240" w:lineRule="auto"/>
        <w:rPr>
          <w:b/>
          <w:color w:val="000000" w:themeColor="text1"/>
        </w:rPr>
      </w:pPr>
    </w:p>
    <w:p w:rsidRPr="00E14CD3" w:rsidR="009A4CE8" w:rsidRDefault="009A4CE8" w14:paraId="293A4CA6" w14:textId="77777777">
      <w:pPr>
        <w:widowControl/>
        <w:autoSpaceDE/>
        <w:autoSpaceDN/>
        <w:adjustRightInd/>
        <w:spacing w:line="240" w:lineRule="auto"/>
        <w:rPr>
          <w:b/>
          <w:color w:val="000000" w:themeColor="text1"/>
        </w:rPr>
      </w:pPr>
      <w:r w:rsidRPr="00E14CD3">
        <w:rPr>
          <w:b/>
          <w:color w:val="000000" w:themeColor="text1"/>
        </w:rPr>
        <w:br w:type="page"/>
      </w:r>
    </w:p>
    <w:p w:rsidRPr="00E14CD3" w:rsidR="00330E3E" w:rsidP="008A1964" w:rsidRDefault="00BE0AF6" w14:paraId="3C9B456F" w14:textId="77777777">
      <w:pPr>
        <w:spacing w:before="120" w:line="240" w:lineRule="auto"/>
        <w:jc w:val="center"/>
        <w:rPr>
          <w:b/>
          <w:color w:val="000000" w:themeColor="text1"/>
        </w:rPr>
      </w:pPr>
      <w:r w:rsidRPr="00E14CD3">
        <w:rPr>
          <w:b/>
          <w:color w:val="000000" w:themeColor="text1"/>
        </w:rPr>
        <w:lastRenderedPageBreak/>
        <w:t>List of Attachments</w:t>
      </w:r>
    </w:p>
    <w:tbl>
      <w:tblPr>
        <w:tblW w:w="7452" w:type="dxa"/>
        <w:tblInd w:w="198" w:type="dxa"/>
        <w:tblLook w:val="0000" w:firstRow="0" w:lastRow="0" w:firstColumn="0" w:lastColumn="0" w:noHBand="0" w:noVBand="0"/>
      </w:tblPr>
      <w:tblGrid>
        <w:gridCol w:w="1440"/>
        <w:gridCol w:w="6012"/>
      </w:tblGrid>
      <w:tr w:rsidRPr="00E14CD3" w:rsidR="007266A2" w:rsidTr="001E66B2" w14:paraId="3D87F51B" w14:textId="77777777">
        <w:trPr>
          <w:trHeight w:val="255"/>
        </w:trPr>
        <w:tc>
          <w:tcPr>
            <w:tcW w:w="1440" w:type="dxa"/>
            <w:tcBorders>
              <w:top w:val="nil"/>
              <w:left w:val="nil"/>
              <w:bottom w:val="nil"/>
              <w:right w:val="nil"/>
            </w:tcBorders>
            <w:noWrap/>
            <w:vAlign w:val="bottom"/>
          </w:tcPr>
          <w:p w:rsidRPr="00E14CD3" w:rsidR="00085A3E" w:rsidP="008A1964" w:rsidRDefault="00085A3E" w14:paraId="2BC397F4" w14:textId="77777777">
            <w:pPr>
              <w:spacing w:before="120" w:line="240" w:lineRule="auto"/>
              <w:jc w:val="center"/>
              <w:rPr>
                <w:rFonts w:eastAsia="SimSun"/>
                <w:bCs/>
                <w:color w:val="000000" w:themeColor="text1"/>
                <w:lang w:eastAsia="zh-CN"/>
              </w:rPr>
            </w:pPr>
            <w:r w:rsidRPr="00E14CD3">
              <w:rPr>
                <w:rFonts w:eastAsia="SimSun"/>
                <w:bCs/>
                <w:color w:val="000000" w:themeColor="text1"/>
                <w:lang w:eastAsia="zh-CN"/>
              </w:rPr>
              <w:t>Attachment Number</w:t>
            </w:r>
          </w:p>
        </w:tc>
        <w:tc>
          <w:tcPr>
            <w:tcW w:w="6012" w:type="dxa"/>
            <w:tcBorders>
              <w:top w:val="nil"/>
              <w:left w:val="nil"/>
              <w:bottom w:val="nil"/>
              <w:right w:val="nil"/>
            </w:tcBorders>
            <w:noWrap/>
            <w:vAlign w:val="bottom"/>
          </w:tcPr>
          <w:p w:rsidRPr="00E14CD3" w:rsidR="00085A3E" w:rsidP="008A1964" w:rsidRDefault="00085A3E" w14:paraId="09A9434F" w14:textId="77777777">
            <w:pPr>
              <w:spacing w:before="120" w:line="240" w:lineRule="auto"/>
              <w:rPr>
                <w:rFonts w:eastAsia="SimSun"/>
                <w:bCs/>
                <w:color w:val="000000" w:themeColor="text1"/>
                <w:lang w:eastAsia="zh-CN"/>
              </w:rPr>
            </w:pPr>
            <w:r w:rsidRPr="00E14CD3">
              <w:rPr>
                <w:rFonts w:eastAsia="SimSun"/>
                <w:bCs/>
                <w:color w:val="000000" w:themeColor="text1"/>
                <w:lang w:eastAsia="zh-CN"/>
              </w:rPr>
              <w:t>Document Description</w:t>
            </w:r>
          </w:p>
        </w:tc>
      </w:tr>
      <w:tr w:rsidRPr="00E14CD3" w:rsidR="00865DCD" w:rsidTr="001E66B2" w14:paraId="53221F6A"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865DCD" w:rsidP="00EC3019" w:rsidRDefault="00EC3019" w14:paraId="23D2EA9F" w14:textId="39BAEA5C">
            <w:pPr>
              <w:spacing w:before="120" w:line="240" w:lineRule="auto"/>
              <w:jc w:val="center"/>
              <w:rPr>
                <w:rFonts w:eastAsia="SimSun"/>
                <w:color w:val="000000" w:themeColor="text1"/>
                <w:lang w:eastAsia="zh-CN"/>
              </w:rPr>
            </w:pPr>
            <w:r w:rsidRPr="00E14CD3">
              <w:rPr>
                <w:rFonts w:eastAsia="SimSun"/>
                <w:color w:val="000000" w:themeColor="text1"/>
                <w:lang w:eastAsia="zh-CN"/>
              </w:rPr>
              <w:t>1</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865DCD" w:rsidP="008A1964" w:rsidRDefault="00865DCD" w14:paraId="6D7F991F" w14:textId="77777777">
            <w:pPr>
              <w:spacing w:before="120" w:line="240" w:lineRule="auto"/>
              <w:rPr>
                <w:color w:val="000000" w:themeColor="text1"/>
              </w:rPr>
            </w:pPr>
            <w:r w:rsidRPr="00E14CD3">
              <w:rPr>
                <w:rFonts w:eastAsia="SimSun"/>
                <w:color w:val="000000" w:themeColor="text1"/>
                <w:lang w:eastAsia="zh-CN"/>
              </w:rPr>
              <w:t>Public Health Service Act</w:t>
            </w:r>
            <w:r w:rsidRPr="00E14CD3">
              <w:rPr>
                <w:color w:val="000000" w:themeColor="text1"/>
              </w:rPr>
              <w:t xml:space="preserve"> Legislation</w:t>
            </w:r>
          </w:p>
        </w:tc>
      </w:tr>
      <w:tr w:rsidRPr="00E14CD3" w:rsidR="00865DCD" w:rsidTr="001E66B2" w14:paraId="2D8A1282"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865DCD" w:rsidP="00EC3019" w:rsidRDefault="00EC3019" w14:paraId="5F1C07BD" w14:textId="2F891851">
            <w:pPr>
              <w:spacing w:before="120" w:line="240" w:lineRule="auto"/>
              <w:jc w:val="center"/>
              <w:rPr>
                <w:rFonts w:eastAsia="SimSun"/>
                <w:color w:val="000000" w:themeColor="text1"/>
                <w:lang w:eastAsia="zh-CN"/>
              </w:rPr>
            </w:pPr>
            <w:r w:rsidRPr="00E14CD3">
              <w:rPr>
                <w:rFonts w:eastAsia="SimSun"/>
                <w:color w:val="000000" w:themeColor="text1"/>
                <w:lang w:eastAsia="zh-CN"/>
              </w:rPr>
              <w:t>2</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865DCD" w:rsidP="008A1964" w:rsidRDefault="000959B0" w14:paraId="5161BC85" w14:textId="77777777">
            <w:pPr>
              <w:spacing w:before="120" w:line="240" w:lineRule="auto"/>
              <w:rPr>
                <w:color w:val="000000" w:themeColor="text1"/>
              </w:rPr>
            </w:pPr>
            <w:r w:rsidRPr="00E14CD3">
              <w:rPr>
                <w:color w:val="000000" w:themeColor="text1"/>
              </w:rPr>
              <w:t>60 Day FRN</w:t>
            </w:r>
          </w:p>
        </w:tc>
      </w:tr>
      <w:tr w:rsidRPr="00E14CD3" w:rsidR="000959B0" w:rsidTr="001E66B2" w14:paraId="4E07FBEC"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0959B0" w:rsidP="00EC3019" w:rsidRDefault="00EC3019" w14:paraId="24F4D70D" w14:textId="2132B4DF">
            <w:pPr>
              <w:spacing w:before="120" w:line="240" w:lineRule="auto"/>
              <w:jc w:val="center"/>
              <w:rPr>
                <w:rFonts w:eastAsia="SimSun"/>
                <w:color w:val="000000" w:themeColor="text1"/>
                <w:lang w:eastAsia="zh-CN"/>
              </w:rPr>
            </w:pPr>
            <w:r w:rsidRPr="00E14CD3">
              <w:rPr>
                <w:rFonts w:eastAsia="SimSun"/>
                <w:color w:val="000000" w:themeColor="text1"/>
                <w:lang w:eastAsia="zh-CN"/>
              </w:rPr>
              <w:t>3</w:t>
            </w:r>
          </w:p>
        </w:tc>
        <w:tc>
          <w:tcPr>
            <w:tcW w:w="6012" w:type="dxa"/>
            <w:tcBorders>
              <w:top w:val="single" w:color="auto" w:sz="4" w:space="0"/>
              <w:left w:val="single" w:color="auto" w:sz="4" w:space="0"/>
              <w:bottom w:val="single" w:color="auto" w:sz="4" w:space="0"/>
              <w:right w:val="single" w:color="auto" w:sz="4" w:space="0"/>
            </w:tcBorders>
            <w:noWrap/>
            <w:vAlign w:val="bottom"/>
          </w:tcPr>
          <w:p w:rsidRPr="00E572F8" w:rsidR="000959B0" w:rsidP="008A1964" w:rsidRDefault="00835E63" w14:paraId="5FEACEAF" w14:textId="77777777">
            <w:pPr>
              <w:spacing w:before="120" w:line="240" w:lineRule="auto"/>
              <w:rPr>
                <w:color w:val="000000" w:themeColor="text1"/>
                <w:sz w:val="20"/>
                <w:szCs w:val="20"/>
              </w:rPr>
            </w:pPr>
            <w:r w:rsidRPr="00E572F8">
              <w:rPr>
                <w:color w:val="000000" w:themeColor="text1"/>
                <w:sz w:val="20"/>
                <w:szCs w:val="20"/>
              </w:rPr>
              <w:t>Component 1 Reporting Template</w:t>
            </w:r>
          </w:p>
        </w:tc>
      </w:tr>
      <w:tr w:rsidRPr="00E14CD3" w:rsidR="00865DCD" w:rsidTr="001E66B2" w14:paraId="13AEFCC2"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865DCD" w:rsidP="00EC3019" w:rsidRDefault="00EC3019" w14:paraId="2358593D" w14:textId="5CBBB962">
            <w:pPr>
              <w:spacing w:before="120" w:line="240" w:lineRule="auto"/>
              <w:jc w:val="center"/>
              <w:rPr>
                <w:rFonts w:eastAsia="SimSun"/>
                <w:color w:val="000000" w:themeColor="text1"/>
                <w:lang w:eastAsia="zh-CN"/>
              </w:rPr>
            </w:pPr>
            <w:r w:rsidRPr="00E14CD3">
              <w:rPr>
                <w:rFonts w:eastAsia="SimSun"/>
                <w:color w:val="000000" w:themeColor="text1"/>
                <w:lang w:eastAsia="zh-CN"/>
              </w:rPr>
              <w:t>4</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865DCD" w:rsidP="00835E63" w:rsidRDefault="00835E63" w14:paraId="0F643E19" w14:textId="77777777">
            <w:pPr>
              <w:spacing w:before="120" w:line="240" w:lineRule="auto"/>
              <w:rPr>
                <w:color w:val="000000" w:themeColor="text1"/>
              </w:rPr>
            </w:pPr>
            <w:r w:rsidRPr="00E14CD3">
              <w:rPr>
                <w:color w:val="000000" w:themeColor="text1"/>
              </w:rPr>
              <w:t>Component 2 Reporting Template</w:t>
            </w:r>
          </w:p>
        </w:tc>
      </w:tr>
      <w:tr w:rsidRPr="00E14CD3" w:rsidR="001A5FB8" w:rsidTr="001E66B2" w14:paraId="395E61A1"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1A5FB8" w:rsidP="00EC3019" w:rsidRDefault="001A5FB8" w14:paraId="28D2638C" w14:textId="54ACEEDC">
            <w:pPr>
              <w:spacing w:before="120" w:line="240" w:lineRule="auto"/>
              <w:jc w:val="center"/>
              <w:rPr>
                <w:rFonts w:eastAsia="SimSun"/>
                <w:color w:val="000000" w:themeColor="text1"/>
                <w:lang w:eastAsia="zh-CN"/>
              </w:rPr>
            </w:pPr>
            <w:r w:rsidRPr="00E14CD3">
              <w:rPr>
                <w:rFonts w:eastAsia="SimSun"/>
                <w:color w:val="000000" w:themeColor="text1"/>
                <w:lang w:eastAsia="zh-CN"/>
              </w:rPr>
              <w:t>5</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1A5FB8" w:rsidP="00835E63" w:rsidRDefault="001A5FB8" w14:paraId="2A41CCE6" w14:textId="082A68E9">
            <w:pPr>
              <w:spacing w:before="120" w:line="240" w:lineRule="auto"/>
              <w:rPr>
                <w:color w:val="000000" w:themeColor="text1"/>
              </w:rPr>
            </w:pPr>
            <w:r w:rsidRPr="00E14CD3">
              <w:rPr>
                <w:color w:val="000000" w:themeColor="text1"/>
              </w:rPr>
              <w:t xml:space="preserve">Component 1 </w:t>
            </w:r>
            <w:r w:rsidRPr="00E14CD3" w:rsidR="00F93682">
              <w:rPr>
                <w:color w:val="000000" w:themeColor="text1"/>
              </w:rPr>
              <w:t xml:space="preserve">Required Programmatic Activities </w:t>
            </w:r>
            <w:r w:rsidRPr="00E14CD3">
              <w:rPr>
                <w:color w:val="000000" w:themeColor="text1"/>
              </w:rPr>
              <w:t>Work Plan</w:t>
            </w:r>
          </w:p>
        </w:tc>
      </w:tr>
      <w:tr w:rsidRPr="00E14CD3" w:rsidR="001A5FB8" w:rsidTr="001E66B2" w14:paraId="6B0C5F32"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1A5FB8" w:rsidP="00EC3019" w:rsidRDefault="001A5FB8" w14:paraId="1AEE16BE" w14:textId="095444C4">
            <w:pPr>
              <w:spacing w:before="120" w:line="240" w:lineRule="auto"/>
              <w:jc w:val="center"/>
              <w:rPr>
                <w:rFonts w:eastAsia="SimSun"/>
                <w:color w:val="000000" w:themeColor="text1"/>
                <w:lang w:eastAsia="zh-CN"/>
              </w:rPr>
            </w:pPr>
            <w:r w:rsidRPr="00E14CD3">
              <w:rPr>
                <w:rFonts w:eastAsia="SimSun"/>
                <w:color w:val="000000" w:themeColor="text1"/>
                <w:lang w:eastAsia="zh-CN"/>
              </w:rPr>
              <w:t>6</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1A5FB8" w:rsidP="00835E63" w:rsidRDefault="001A5FB8" w14:paraId="3AEB2C39" w14:textId="284542EF">
            <w:pPr>
              <w:spacing w:before="120" w:line="240" w:lineRule="auto"/>
              <w:rPr>
                <w:color w:val="000000" w:themeColor="text1"/>
              </w:rPr>
            </w:pPr>
            <w:r w:rsidRPr="00E14CD3">
              <w:rPr>
                <w:color w:val="000000" w:themeColor="text1"/>
              </w:rPr>
              <w:t xml:space="preserve">Component 2 </w:t>
            </w:r>
            <w:r w:rsidRPr="00E14CD3" w:rsidR="00F93682">
              <w:rPr>
                <w:color w:val="000000" w:themeColor="text1"/>
              </w:rPr>
              <w:t xml:space="preserve">Required Programmatic Activities </w:t>
            </w:r>
            <w:r w:rsidRPr="00E14CD3">
              <w:rPr>
                <w:color w:val="000000" w:themeColor="text1"/>
              </w:rPr>
              <w:t>Work Plan</w:t>
            </w:r>
          </w:p>
        </w:tc>
      </w:tr>
      <w:tr w:rsidRPr="00E14CD3" w:rsidR="00063473" w:rsidTr="001E66B2" w14:paraId="2FC6B75F" w14:textId="77777777">
        <w:trPr>
          <w:trHeight w:val="255"/>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063473" w:rsidP="00EC3019" w:rsidRDefault="00063473" w14:paraId="34FAA210" w14:textId="75758D87">
            <w:pPr>
              <w:spacing w:before="120" w:line="240" w:lineRule="auto"/>
              <w:jc w:val="center"/>
              <w:rPr>
                <w:rFonts w:eastAsia="SimSun"/>
                <w:color w:val="000000" w:themeColor="text1"/>
                <w:lang w:eastAsia="zh-CN"/>
              </w:rPr>
            </w:pPr>
            <w:r w:rsidRPr="00E14CD3">
              <w:rPr>
                <w:rFonts w:eastAsia="SimSun"/>
                <w:color w:val="000000" w:themeColor="text1"/>
                <w:lang w:eastAsia="zh-CN"/>
              </w:rPr>
              <w:t>7</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063473" w:rsidP="00835E63" w:rsidRDefault="00063473" w14:paraId="0E28014E" w14:textId="0B711C6E">
            <w:pPr>
              <w:spacing w:before="120" w:line="240" w:lineRule="auto"/>
              <w:rPr>
                <w:color w:val="000000" w:themeColor="text1"/>
              </w:rPr>
            </w:pPr>
            <w:r w:rsidRPr="00E14CD3">
              <w:rPr>
                <w:color w:val="000000" w:themeColor="text1"/>
              </w:rPr>
              <w:t>Component 2 Professional Development Work Plan</w:t>
            </w:r>
          </w:p>
        </w:tc>
      </w:tr>
      <w:tr w:rsidRPr="00E14CD3" w:rsidR="00F44C9E" w:rsidTr="00F44C9E" w14:paraId="3AD86DC5" w14:textId="77777777">
        <w:trPr>
          <w:trHeight w:val="170"/>
        </w:trPr>
        <w:tc>
          <w:tcPr>
            <w:tcW w:w="1440" w:type="dxa"/>
            <w:tcBorders>
              <w:top w:val="single" w:color="auto" w:sz="4" w:space="0"/>
              <w:left w:val="single" w:color="auto" w:sz="4" w:space="0"/>
              <w:bottom w:val="single" w:color="auto" w:sz="4" w:space="0"/>
              <w:right w:val="single" w:color="auto" w:sz="4" w:space="0"/>
            </w:tcBorders>
            <w:noWrap/>
            <w:vAlign w:val="bottom"/>
          </w:tcPr>
          <w:p w:rsidRPr="00E14CD3" w:rsidR="00F44C9E" w:rsidP="00EC3019" w:rsidRDefault="00F44C9E" w14:paraId="5F85F8F2" w14:textId="1BF802F9">
            <w:pPr>
              <w:spacing w:before="120" w:line="240" w:lineRule="auto"/>
              <w:jc w:val="center"/>
              <w:rPr>
                <w:rFonts w:eastAsia="SimSun"/>
                <w:color w:val="000000" w:themeColor="text1"/>
                <w:lang w:eastAsia="zh-CN"/>
              </w:rPr>
            </w:pPr>
            <w:r>
              <w:rPr>
                <w:rFonts w:eastAsia="SimSun"/>
                <w:color w:val="000000" w:themeColor="text1"/>
                <w:lang w:eastAsia="zh-CN"/>
              </w:rPr>
              <w:t>8</w:t>
            </w:r>
          </w:p>
        </w:tc>
        <w:tc>
          <w:tcPr>
            <w:tcW w:w="6012" w:type="dxa"/>
            <w:tcBorders>
              <w:top w:val="single" w:color="auto" w:sz="4" w:space="0"/>
              <w:left w:val="single" w:color="auto" w:sz="4" w:space="0"/>
              <w:bottom w:val="single" w:color="auto" w:sz="4" w:space="0"/>
              <w:right w:val="single" w:color="auto" w:sz="4" w:space="0"/>
            </w:tcBorders>
            <w:noWrap/>
            <w:vAlign w:val="bottom"/>
          </w:tcPr>
          <w:p w:rsidRPr="00E14CD3" w:rsidR="00F44C9E" w:rsidP="00835E63" w:rsidRDefault="00F44C9E" w14:paraId="31AC5227" w14:textId="2223192C">
            <w:pPr>
              <w:spacing w:before="120" w:line="240" w:lineRule="auto"/>
              <w:rPr>
                <w:color w:val="000000" w:themeColor="text1"/>
              </w:rPr>
            </w:pPr>
            <w:r>
              <w:rPr>
                <w:color w:val="000000" w:themeColor="text1"/>
              </w:rPr>
              <w:t>Privacy Impact Assessment (PIA)</w:t>
            </w:r>
          </w:p>
        </w:tc>
      </w:tr>
    </w:tbl>
    <w:p w:rsidRPr="00E14CD3" w:rsidR="009C67B5" w:rsidP="008A1964" w:rsidRDefault="009C67B5" w14:paraId="3B235061" w14:textId="77777777">
      <w:pPr>
        <w:spacing w:before="120" w:line="240" w:lineRule="auto"/>
        <w:rPr>
          <w:b/>
          <w:color w:val="000000" w:themeColor="text1"/>
        </w:rPr>
      </w:pPr>
      <w:bookmarkStart w:name="_Toc352670664" w:id="2"/>
    </w:p>
    <w:p w:rsidRPr="00E14CD3" w:rsidR="009C67B5" w:rsidP="008A1964" w:rsidRDefault="009C67B5" w14:paraId="54CF7207" w14:textId="77777777">
      <w:pPr>
        <w:widowControl/>
        <w:autoSpaceDE/>
        <w:autoSpaceDN/>
        <w:adjustRightInd/>
        <w:spacing w:before="120" w:line="240" w:lineRule="auto"/>
        <w:rPr>
          <w:b/>
          <w:color w:val="000000" w:themeColor="text1"/>
        </w:rPr>
      </w:pPr>
      <w:r w:rsidRPr="00E14CD3">
        <w:rPr>
          <w:b/>
          <w:color w:val="000000" w:themeColor="text1"/>
        </w:rPr>
        <w:br w:type="page"/>
      </w:r>
    </w:p>
    <w:p w:rsidRPr="00E14CD3" w:rsidR="002A4B64" w:rsidP="008A1964" w:rsidRDefault="002A4B64" w14:paraId="355659C0" w14:textId="77777777">
      <w:pPr>
        <w:spacing w:before="120" w:line="240" w:lineRule="auto"/>
        <w:rPr>
          <w:b/>
          <w:color w:val="000000" w:themeColor="text1"/>
        </w:rPr>
      </w:pPr>
      <w:r w:rsidRPr="00E14CD3">
        <w:rPr>
          <w:b/>
          <w:color w:val="000000" w:themeColor="text1"/>
        </w:rPr>
        <w:lastRenderedPageBreak/>
        <w:t>Section A: Justification for Information Collection</w:t>
      </w:r>
    </w:p>
    <w:p w:rsidRPr="00E14CD3" w:rsidR="009B3132" w:rsidP="009B3132" w:rsidRDefault="009B3132" w14:paraId="4CBDE11B" w14:textId="77777777">
      <w:pPr>
        <w:spacing w:line="240" w:lineRule="auto"/>
      </w:pPr>
    </w:p>
    <w:p w:rsidRPr="00E14CD3" w:rsidR="009B3132" w:rsidP="009B3132" w:rsidRDefault="004236F2" w14:paraId="2B71B827" w14:textId="77777777">
      <w:r w:rsidRPr="00E14CD3">
        <w:rPr>
          <w:noProof/>
        </w:rPr>
        <mc:AlternateContent>
          <mc:Choice Requires="wps">
            <w:drawing>
              <wp:anchor distT="0" distB="0" distL="114300" distR="114300" simplePos="0" relativeHeight="251658240" behindDoc="0" locked="0" layoutInCell="1" allowOverlap="1" wp14:editId="378E59BF" wp14:anchorId="02543DB1">
                <wp:simplePos x="0" y="0"/>
                <wp:positionH relativeFrom="margin">
                  <wp:align>left</wp:align>
                </wp:positionH>
                <wp:positionV relativeFrom="paragraph">
                  <wp:posOffset>11430</wp:posOffset>
                </wp:positionV>
                <wp:extent cx="6162675" cy="6562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562725"/>
                        </a:xfrm>
                        <a:prstGeom prst="rect">
                          <a:avLst/>
                        </a:prstGeom>
                        <a:solidFill>
                          <a:srgbClr val="FFFFFF"/>
                        </a:solidFill>
                        <a:ln w="9525">
                          <a:solidFill>
                            <a:srgbClr val="000000"/>
                          </a:solidFill>
                          <a:miter lim="800000"/>
                          <a:headEnd/>
                          <a:tailEnd/>
                        </a:ln>
                      </wps:spPr>
                      <wps:txbx>
                        <w:txbxContent>
                          <w:p w:rsidR="002F68FB" w:rsidP="00644496" w:rsidRDefault="002F68FB" w14:paraId="6E7E2C96" w14:textId="1145BE61">
                            <w:pPr>
                              <w:widowControl/>
                              <w:tabs>
                                <w:tab w:val="right" w:pos="9360"/>
                              </w:tabs>
                              <w:autoSpaceDE/>
                              <w:autoSpaceDN/>
                              <w:adjustRightInd/>
                              <w:spacing w:after="200" w:line="240" w:lineRule="auto"/>
                              <w:contextualSpacing/>
                            </w:pPr>
                            <w:r w:rsidRPr="002801B2">
                              <w:rPr>
                                <w:b/>
                              </w:rPr>
                              <w:t>Goal:</w:t>
                            </w:r>
                            <w:r w:rsidRPr="002801B2">
                              <w:t xml:space="preserve"> </w:t>
                            </w:r>
                            <w:r>
                              <w:t>The goal of t</w:t>
                            </w:r>
                            <w:r w:rsidRPr="00607715">
                              <w:t>h</w:t>
                            </w:r>
                            <w:r>
                              <w:t>is</w:t>
                            </w:r>
                            <w:r w:rsidRPr="00607715">
                              <w:t xml:space="preserve"> </w:t>
                            </w:r>
                            <w:r>
                              <w:t xml:space="preserve">information </w:t>
                            </w:r>
                            <w:r w:rsidRPr="00607715">
                              <w:t xml:space="preserve">collection is to obtain specific and consistent </w:t>
                            </w:r>
                            <w:r>
                              <w:t xml:space="preserve">data that will be used to </w:t>
                            </w:r>
                            <w:r w:rsidRPr="00B579F3">
                              <w:rPr>
                                <w:rFonts w:asciiTheme="majorHAnsi" w:hAnsiTheme="majorHAnsi" w:eastAsiaTheme="minorEastAsia"/>
                                <w:bCs/>
                                <w:sz w:val="22"/>
                                <w:szCs w:val="22"/>
                              </w:rPr>
                              <w:t xml:space="preserve">assess </w:t>
                            </w:r>
                            <w:r>
                              <w:rPr>
                                <w:rFonts w:asciiTheme="majorHAnsi" w:hAnsiTheme="majorHAnsi" w:eastAsiaTheme="minorEastAsia"/>
                                <w:bCs/>
                                <w:sz w:val="22"/>
                                <w:szCs w:val="22"/>
                              </w:rPr>
                              <w:t xml:space="preserve">the extent to which recipients of </w:t>
                            </w:r>
                            <w:r>
                              <w:t xml:space="preserve">PS18-1807: </w:t>
                            </w:r>
                            <w:r w:rsidRPr="00607715">
                              <w:t>Promoting Adolescent Health through School-Based HIV/STD</w:t>
                            </w:r>
                            <w:r>
                              <w:t>,</w:t>
                            </w:r>
                            <w:r w:rsidRPr="00607715">
                              <w:t xml:space="preserve"> </w:t>
                            </w:r>
                            <w:r>
                              <w:t>are successful in collecting surveillance data (Component 1); and, successful in implementing the required programmatic activities (</w:t>
                            </w:r>
                            <w:r>
                              <w:rPr>
                                <w:rFonts w:asciiTheme="majorHAnsi" w:hAnsiTheme="majorHAnsi" w:eastAsiaTheme="minorEastAsia"/>
                                <w:bCs/>
                                <w:sz w:val="22"/>
                                <w:szCs w:val="22"/>
                              </w:rPr>
                              <w:t xml:space="preserve">Component 2).  The </w:t>
                            </w:r>
                            <w:r>
                              <w:t xml:space="preserve">Component 1 recipients include state, territorial, local, and tribal education and </w:t>
                            </w:r>
                            <w:r w:rsidRPr="001C201F">
                              <w:t xml:space="preserve">health </w:t>
                            </w:r>
                            <w:r>
                              <w:t>a</w:t>
                            </w:r>
                            <w:r w:rsidRPr="001C201F">
                              <w:t>gencies</w:t>
                            </w:r>
                            <w:r>
                              <w:t xml:space="preserve">. Component 2 recipients include local education agencies (LEAs). Data will be collected using different work plans and reporting templates for each component. </w:t>
                            </w:r>
                            <w:r w:rsidRPr="009E7E3D">
                              <w:t xml:space="preserve">Component 2 will have two work plans: </w:t>
                            </w:r>
                            <w:r>
                              <w:t xml:space="preserve">a </w:t>
                            </w:r>
                            <w:proofErr w:type="gramStart"/>
                            <w:r w:rsidRPr="009E7E3D">
                              <w:t>required programmatic activities</w:t>
                            </w:r>
                            <w:proofErr w:type="gramEnd"/>
                            <w:r w:rsidRPr="009E7E3D">
                              <w:t xml:space="preserve"> work plan and a professional development work plan. Component 1 will only have a </w:t>
                            </w:r>
                            <w:proofErr w:type="gramStart"/>
                            <w:r w:rsidRPr="009E7E3D">
                              <w:t>required programmatic activities</w:t>
                            </w:r>
                            <w:proofErr w:type="gramEnd"/>
                            <w:r w:rsidRPr="009E7E3D">
                              <w:t xml:space="preserve"> work plan. Both Component 1 and 2 will have separate reporting template</w:t>
                            </w:r>
                            <w:r>
                              <w:t>s</w:t>
                            </w:r>
                            <w:r w:rsidRPr="009E7E3D">
                              <w:t xml:space="preserve">. </w:t>
                            </w:r>
                            <w:proofErr w:type="gramStart"/>
                            <w:r>
                              <w:t>Using  structured</w:t>
                            </w:r>
                            <w:proofErr w:type="gramEnd"/>
                            <w:r>
                              <w:t xml:space="preserve"> work plans and a reporting template for each component will provide uniformity in planning and reporting by the recipients for DASH to better understand and analyze the successes, challenges, and need for program support. </w:t>
                            </w:r>
                          </w:p>
                          <w:p w:rsidRPr="00B579F3" w:rsidR="002F68FB" w:rsidP="00311218" w:rsidRDefault="002F68FB" w14:paraId="4EE129FE" w14:textId="77777777">
                            <w:pPr>
                              <w:widowControl/>
                              <w:tabs>
                                <w:tab w:val="right" w:pos="9360"/>
                              </w:tabs>
                              <w:autoSpaceDE/>
                              <w:autoSpaceDN/>
                              <w:adjustRightInd/>
                              <w:spacing w:after="200" w:line="240" w:lineRule="auto"/>
                              <w:ind w:left="360"/>
                              <w:contextualSpacing/>
                              <w:rPr>
                                <w:rFonts w:asciiTheme="majorHAnsi" w:hAnsiTheme="majorHAnsi" w:eastAsiaTheme="minorEastAsia"/>
                                <w:sz w:val="22"/>
                                <w:szCs w:val="22"/>
                              </w:rPr>
                            </w:pPr>
                          </w:p>
                          <w:p w:rsidRPr="001C201F" w:rsidR="002F68FB" w:rsidP="001C201F" w:rsidRDefault="002F68FB" w14:paraId="263C3D73" w14:textId="0F2FFCA2">
                            <w:pPr>
                              <w:spacing w:line="240" w:lineRule="auto"/>
                            </w:pPr>
                            <w:r w:rsidRPr="002801B2">
                              <w:rPr>
                                <w:b/>
                              </w:rPr>
                              <w:t>Inten</w:t>
                            </w:r>
                            <w:r>
                              <w:rPr>
                                <w:b/>
                              </w:rPr>
                              <w:t xml:space="preserve">ded use of resulting data: </w:t>
                            </w:r>
                            <w:r w:rsidRPr="006872E1">
                              <w:t>Th</w:t>
                            </w:r>
                            <w:r>
                              <w:t>e</w:t>
                            </w:r>
                            <w:r w:rsidRPr="006872E1">
                              <w:t xml:space="preserve"> </w:t>
                            </w:r>
                            <w:r>
                              <w:t xml:space="preserve">information collections </w:t>
                            </w:r>
                            <w:r w:rsidRPr="006872E1">
                              <w:t>will provide</w:t>
                            </w:r>
                            <w:r>
                              <w:rPr>
                                <w:b/>
                              </w:rPr>
                              <w:t xml:space="preserve"> </w:t>
                            </w:r>
                            <w:r w:rsidRPr="001C201F">
                              <w:t>DASH wi</w:t>
                            </w:r>
                            <w:r>
                              <w:t>th</w:t>
                            </w:r>
                            <w:r w:rsidRPr="001C201F">
                              <w:t xml:space="preserve"> data </w:t>
                            </w:r>
                            <w:r>
                              <w:t xml:space="preserve">to generate internal </w:t>
                            </w:r>
                            <w:r w:rsidRPr="001C201F">
                              <w:t xml:space="preserve">reports </w:t>
                            </w:r>
                            <w:r>
                              <w:t>that will</w:t>
                            </w:r>
                            <w:r w:rsidRPr="001C201F">
                              <w:t xml:space="preserve"> identify </w:t>
                            </w:r>
                            <w:r>
                              <w:t>successful and problematic surveillance and programmatic</w:t>
                            </w:r>
                            <w:r w:rsidRPr="001C201F">
                              <w:t xml:space="preserve"> areas. In addition, </w:t>
                            </w:r>
                            <w:r>
                              <w:t xml:space="preserve">both information collections </w:t>
                            </w:r>
                            <w:r w:rsidRPr="001C201F">
                              <w:t xml:space="preserve">will allow </w:t>
                            </w:r>
                            <w:r>
                              <w:t>DASH</w:t>
                            </w:r>
                            <w:r w:rsidRPr="001C201F">
                              <w:t xml:space="preserve"> to determine </w:t>
                            </w:r>
                            <w:r>
                              <w:t xml:space="preserve">if recipient agencies are completing the required activities of the NOFO on time, as well as identifying problems in implementation.  With this information, DASH can ascertain if additional technical assistance is needed to help recipients improve their surveillance or program implementation </w:t>
                            </w:r>
                            <w:r w:rsidRPr="001C201F">
                              <w:t>if necessary.</w:t>
                            </w:r>
                            <w:r>
                              <w:t xml:space="preserve"> </w:t>
                            </w:r>
                          </w:p>
                          <w:p w:rsidR="002F68FB" w:rsidP="00B50CBB" w:rsidRDefault="002F68FB" w14:paraId="67E205FD" w14:textId="380628C4">
                            <w:pPr>
                              <w:spacing w:line="240" w:lineRule="auto"/>
                            </w:pPr>
                            <w:r>
                              <w:rPr>
                                <w:b/>
                              </w:rPr>
                              <w:br/>
                            </w:r>
                            <w:r w:rsidRPr="002801B2">
                              <w:rPr>
                                <w:b/>
                              </w:rPr>
                              <w:t xml:space="preserve">Methods: </w:t>
                            </w:r>
                            <w:r w:rsidRPr="00B50CBB">
                              <w:t>Components 1 and 2 recipients</w:t>
                            </w:r>
                            <w:r w:rsidRPr="001C201F">
                              <w:t xml:space="preserve"> will complete </w:t>
                            </w:r>
                            <w:r>
                              <w:t xml:space="preserve">their appropriate </w:t>
                            </w:r>
                            <w:r w:rsidRPr="001C201F">
                              <w:t>reporting template every six (6) months under this approval.</w:t>
                            </w:r>
                            <w:r w:rsidRPr="00EE3FF7">
                              <w:t xml:space="preserve"> </w:t>
                            </w:r>
                            <w:r>
                              <w:t xml:space="preserve">Additionally, </w:t>
                            </w:r>
                            <w:r w:rsidRPr="00B50CBB">
                              <w:t>Components 1 and 2 recipients</w:t>
                            </w:r>
                            <w:r w:rsidRPr="001C201F">
                              <w:t xml:space="preserve"> will complete </w:t>
                            </w:r>
                            <w:r>
                              <w:t xml:space="preserve">their appropriate required programmatic activities work plan </w:t>
                            </w:r>
                            <w:r w:rsidRPr="001C201F">
                              <w:t xml:space="preserve">every </w:t>
                            </w:r>
                            <w:r>
                              <w:t xml:space="preserve">twelve </w:t>
                            </w:r>
                            <w:r w:rsidRPr="001C201F">
                              <w:t>(</w:t>
                            </w:r>
                            <w:r>
                              <w:t>12</w:t>
                            </w:r>
                            <w:r w:rsidRPr="001C201F">
                              <w:t>) months under this approval</w:t>
                            </w:r>
                            <w:r>
                              <w:t xml:space="preserve">; and Component 2 recipients will complete their appropriate professional development work plan every twelve (12) months under this </w:t>
                            </w:r>
                            <w:proofErr w:type="gramStart"/>
                            <w:r>
                              <w:t xml:space="preserve">approval </w:t>
                            </w:r>
                            <w:r w:rsidRPr="001C201F">
                              <w:t>.</w:t>
                            </w:r>
                            <w:proofErr w:type="gramEnd"/>
                            <w:r>
                              <w:t xml:space="preserve"> Component 1 includes eighty </w:t>
                            </w:r>
                            <w:r w:rsidRPr="001C201F">
                              <w:t>(</w:t>
                            </w:r>
                            <w:r>
                              <w:t>80</w:t>
                            </w:r>
                            <w:r w:rsidRPr="001C201F">
                              <w:t xml:space="preserve">) </w:t>
                            </w:r>
                            <w:r>
                              <w:t xml:space="preserve">education and health agency recipients; Component 2 includes </w:t>
                            </w:r>
                            <w:r w:rsidRPr="001C201F">
                              <w:t>twenty-</w:t>
                            </w:r>
                            <w:r>
                              <w:t>five</w:t>
                            </w:r>
                            <w:r w:rsidRPr="001C201F">
                              <w:t xml:space="preserve"> (2</w:t>
                            </w:r>
                            <w:r>
                              <w:t>5</w:t>
                            </w:r>
                            <w:r w:rsidRPr="001C201F">
                              <w:t xml:space="preserve">) </w:t>
                            </w:r>
                            <w:r>
                              <w:t>LEAs.  The reporting templates will be completed by the Program Manager of each recipient and returned to DASH Program Consultants.</w:t>
                            </w:r>
                          </w:p>
                          <w:p w:rsidRPr="001C201F" w:rsidR="002F68FB" w:rsidP="00B50CBB" w:rsidRDefault="002F68FB" w14:paraId="0DEE94D9" w14:textId="77777777">
                            <w:pPr>
                              <w:spacing w:line="240" w:lineRule="auto"/>
                            </w:pPr>
                          </w:p>
                          <w:p w:rsidR="002F68FB" w:rsidP="006400D7" w:rsidRDefault="002F68FB" w14:paraId="650CB7D0" w14:textId="18CFF542">
                            <w:pPr>
                              <w:spacing w:line="240" w:lineRule="auto"/>
                              <w:rPr>
                                <w:color w:val="000000" w:themeColor="text1"/>
                              </w:rPr>
                            </w:pPr>
                            <w:r w:rsidRPr="002801B2">
                              <w:rPr>
                                <w:b/>
                              </w:rPr>
                              <w:t>Data analysis:</w:t>
                            </w:r>
                            <w:r w:rsidRPr="008A1964">
                              <w:rPr>
                                <w:color w:val="000000" w:themeColor="text1"/>
                              </w:rPr>
                              <w:t xml:space="preserve"> </w:t>
                            </w:r>
                            <w:r>
                              <w:rPr>
                                <w:color w:val="000000" w:themeColor="text1"/>
                              </w:rPr>
                              <w:t>DASH Program Consultants will analyze the completed templates and work plans (required programmatic activities work plan and professional development work plan) to identify the following: number of required activities that have been completed, are in progress, or have not yet started; and, descriptive statistics (such as mean, median, mode, and percentages) will be calculated for each activity.</w:t>
                            </w:r>
                          </w:p>
                          <w:p w:rsidR="002F68FB" w:rsidP="009B5DE0" w:rsidRDefault="002F68FB" w14:paraId="33F49EE6"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543DB1">
                <v:stroke joinstyle="miter"/>
                <v:path gradientshapeok="t" o:connecttype="rect"/>
              </v:shapetype>
              <v:shape id="Text Box 2" style="position:absolute;margin-left:0;margin-top:.9pt;width:485.25pt;height:51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">
                <v:textbox>
                  <w:txbxContent>
                    <w:p w:rsidR="002F68FB" w:rsidP="00644496" w:rsidRDefault="002F68FB" w14:paraId="6E7E2C96" w14:textId="1145BE61">
                      <w:pPr>
                        <w:widowControl/>
                        <w:tabs>
                          <w:tab w:val="right" w:pos="9360"/>
                        </w:tabs>
                        <w:autoSpaceDE/>
                        <w:autoSpaceDN/>
                        <w:adjustRightInd/>
                        <w:spacing w:after="200" w:line="240" w:lineRule="auto"/>
                        <w:contextualSpacing/>
                      </w:pPr>
                      <w:r w:rsidRPr="002801B2">
                        <w:rPr>
                          <w:b/>
                        </w:rPr>
                        <w:t>Goal:</w:t>
                      </w:r>
                      <w:r w:rsidRPr="002801B2">
                        <w:t xml:space="preserve"> </w:t>
                      </w:r>
                      <w:r>
                        <w:t>The goal of t</w:t>
                      </w:r>
                      <w:r w:rsidRPr="00607715">
                        <w:t>h</w:t>
                      </w:r>
                      <w:r>
                        <w:t>is</w:t>
                      </w:r>
                      <w:r w:rsidRPr="00607715">
                        <w:t xml:space="preserve"> </w:t>
                      </w:r>
                      <w:r>
                        <w:t xml:space="preserve">information </w:t>
                      </w:r>
                      <w:r w:rsidRPr="00607715">
                        <w:t xml:space="preserve">collection is to obtain specific and consistent </w:t>
                      </w:r>
                      <w:r>
                        <w:t xml:space="preserve">data that will be used to </w:t>
                      </w:r>
                      <w:r w:rsidRPr="00B579F3">
                        <w:rPr>
                          <w:rFonts w:asciiTheme="majorHAnsi" w:hAnsiTheme="majorHAnsi" w:eastAsiaTheme="minorEastAsia"/>
                          <w:bCs/>
                          <w:sz w:val="22"/>
                          <w:szCs w:val="22"/>
                        </w:rPr>
                        <w:t xml:space="preserve">assess </w:t>
                      </w:r>
                      <w:r>
                        <w:rPr>
                          <w:rFonts w:asciiTheme="majorHAnsi" w:hAnsiTheme="majorHAnsi" w:eastAsiaTheme="minorEastAsia"/>
                          <w:bCs/>
                          <w:sz w:val="22"/>
                          <w:szCs w:val="22"/>
                        </w:rPr>
                        <w:t xml:space="preserve">the extent to which recipients of </w:t>
                      </w:r>
                      <w:r>
                        <w:t xml:space="preserve">PS18-1807: </w:t>
                      </w:r>
                      <w:r w:rsidRPr="00607715">
                        <w:t>Promoting Adolescent Health through School-Based HIV/STD</w:t>
                      </w:r>
                      <w:r>
                        <w:t>,</w:t>
                      </w:r>
                      <w:r w:rsidRPr="00607715">
                        <w:t xml:space="preserve"> </w:t>
                      </w:r>
                      <w:r>
                        <w:t>are successful in collecting surveillance data (Component 1); and, successful in implementing the required programmatic activities (</w:t>
                      </w:r>
                      <w:r>
                        <w:rPr>
                          <w:rFonts w:asciiTheme="majorHAnsi" w:hAnsiTheme="majorHAnsi" w:eastAsiaTheme="minorEastAsia"/>
                          <w:bCs/>
                          <w:sz w:val="22"/>
                          <w:szCs w:val="22"/>
                        </w:rPr>
                        <w:t xml:space="preserve">Component 2).  The </w:t>
                      </w:r>
                      <w:r>
                        <w:t xml:space="preserve">Component 1 recipients include state, territorial, local, and tribal education and </w:t>
                      </w:r>
                      <w:r w:rsidRPr="001C201F">
                        <w:t xml:space="preserve">health </w:t>
                      </w:r>
                      <w:r>
                        <w:t>a</w:t>
                      </w:r>
                      <w:r w:rsidRPr="001C201F">
                        <w:t>gencies</w:t>
                      </w:r>
                      <w:r>
                        <w:t xml:space="preserve">. Component 2 recipients include local education agencies (LEAs). Data will be collected using different work plans and reporting templates for each component. </w:t>
                      </w:r>
                      <w:r w:rsidRPr="009E7E3D">
                        <w:t xml:space="preserve">Component 2 will have two work plans: </w:t>
                      </w:r>
                      <w:r>
                        <w:t xml:space="preserve">a </w:t>
                      </w:r>
                      <w:proofErr w:type="gramStart"/>
                      <w:r w:rsidRPr="009E7E3D">
                        <w:t>required programmatic activities</w:t>
                      </w:r>
                      <w:proofErr w:type="gramEnd"/>
                      <w:r w:rsidRPr="009E7E3D">
                        <w:t xml:space="preserve"> work plan and a professional development work plan. Component 1 will only have a </w:t>
                      </w:r>
                      <w:proofErr w:type="gramStart"/>
                      <w:r w:rsidRPr="009E7E3D">
                        <w:t>required programmatic activities</w:t>
                      </w:r>
                      <w:proofErr w:type="gramEnd"/>
                      <w:r w:rsidRPr="009E7E3D">
                        <w:t xml:space="preserve"> work plan. Both Component 1 and 2 will have separate reporting template</w:t>
                      </w:r>
                      <w:r>
                        <w:t>s</w:t>
                      </w:r>
                      <w:r w:rsidRPr="009E7E3D">
                        <w:t xml:space="preserve">. </w:t>
                      </w:r>
                      <w:proofErr w:type="gramStart"/>
                      <w:r>
                        <w:t>Using  structured</w:t>
                      </w:r>
                      <w:proofErr w:type="gramEnd"/>
                      <w:r>
                        <w:t xml:space="preserve"> work plans and a reporting template for each component will provide uniformity in planning and reporting by the recipients for DASH to better understand and analyze the successes, challenges, and need for program support. </w:t>
                      </w:r>
                    </w:p>
                    <w:p w:rsidRPr="00B579F3" w:rsidR="002F68FB" w:rsidP="00311218" w:rsidRDefault="002F68FB" w14:paraId="4EE129FE" w14:textId="77777777">
                      <w:pPr>
                        <w:widowControl/>
                        <w:tabs>
                          <w:tab w:val="right" w:pos="9360"/>
                        </w:tabs>
                        <w:autoSpaceDE/>
                        <w:autoSpaceDN/>
                        <w:adjustRightInd/>
                        <w:spacing w:after="200" w:line="240" w:lineRule="auto"/>
                        <w:ind w:left="360"/>
                        <w:contextualSpacing/>
                        <w:rPr>
                          <w:rFonts w:asciiTheme="majorHAnsi" w:hAnsiTheme="majorHAnsi" w:eastAsiaTheme="minorEastAsia"/>
                          <w:sz w:val="22"/>
                          <w:szCs w:val="22"/>
                        </w:rPr>
                      </w:pPr>
                    </w:p>
                    <w:p w:rsidRPr="001C201F" w:rsidR="002F68FB" w:rsidP="001C201F" w:rsidRDefault="002F68FB" w14:paraId="263C3D73" w14:textId="0F2FFCA2">
                      <w:pPr>
                        <w:spacing w:line="240" w:lineRule="auto"/>
                      </w:pPr>
                      <w:r w:rsidRPr="002801B2">
                        <w:rPr>
                          <w:b/>
                        </w:rPr>
                        <w:t>Inten</w:t>
                      </w:r>
                      <w:r>
                        <w:rPr>
                          <w:b/>
                        </w:rPr>
                        <w:t xml:space="preserve">ded use of resulting data: </w:t>
                      </w:r>
                      <w:r w:rsidRPr="006872E1">
                        <w:t>Th</w:t>
                      </w:r>
                      <w:r>
                        <w:t>e</w:t>
                      </w:r>
                      <w:r w:rsidRPr="006872E1">
                        <w:t xml:space="preserve"> </w:t>
                      </w:r>
                      <w:r>
                        <w:t xml:space="preserve">information collections </w:t>
                      </w:r>
                      <w:r w:rsidRPr="006872E1">
                        <w:t>will provide</w:t>
                      </w:r>
                      <w:r>
                        <w:rPr>
                          <w:b/>
                        </w:rPr>
                        <w:t xml:space="preserve"> </w:t>
                      </w:r>
                      <w:r w:rsidRPr="001C201F">
                        <w:t>DASH wi</w:t>
                      </w:r>
                      <w:r>
                        <w:t>th</w:t>
                      </w:r>
                      <w:r w:rsidRPr="001C201F">
                        <w:t xml:space="preserve"> data </w:t>
                      </w:r>
                      <w:r>
                        <w:t xml:space="preserve">to generate internal </w:t>
                      </w:r>
                      <w:r w:rsidRPr="001C201F">
                        <w:t xml:space="preserve">reports </w:t>
                      </w:r>
                      <w:r>
                        <w:t>that will</w:t>
                      </w:r>
                      <w:r w:rsidRPr="001C201F">
                        <w:t xml:space="preserve"> identify </w:t>
                      </w:r>
                      <w:r>
                        <w:t>successful and problematic surveillance and programmatic</w:t>
                      </w:r>
                      <w:r w:rsidRPr="001C201F">
                        <w:t xml:space="preserve"> areas. In addition, </w:t>
                      </w:r>
                      <w:r>
                        <w:t xml:space="preserve">both information collections </w:t>
                      </w:r>
                      <w:r w:rsidRPr="001C201F">
                        <w:t xml:space="preserve">will allow </w:t>
                      </w:r>
                      <w:r>
                        <w:t>DASH</w:t>
                      </w:r>
                      <w:r w:rsidRPr="001C201F">
                        <w:t xml:space="preserve"> to determine </w:t>
                      </w:r>
                      <w:r>
                        <w:t xml:space="preserve">if recipient agencies are completing the required activities of the NOFO on time, as well as identifying problems in implementation.  With this information, DASH can ascertain if additional technical assistance is needed to help recipients improve their surveillance or program implementation </w:t>
                      </w:r>
                      <w:r w:rsidRPr="001C201F">
                        <w:t>if necessary.</w:t>
                      </w:r>
                      <w:r>
                        <w:t xml:space="preserve"> </w:t>
                      </w:r>
                    </w:p>
                    <w:p w:rsidR="002F68FB" w:rsidP="00B50CBB" w:rsidRDefault="002F68FB" w14:paraId="67E205FD" w14:textId="380628C4">
                      <w:pPr>
                        <w:spacing w:line="240" w:lineRule="auto"/>
                      </w:pPr>
                      <w:r>
                        <w:rPr>
                          <w:b/>
                        </w:rPr>
                        <w:br/>
                      </w:r>
                      <w:r w:rsidRPr="002801B2">
                        <w:rPr>
                          <w:b/>
                        </w:rPr>
                        <w:t xml:space="preserve">Methods: </w:t>
                      </w:r>
                      <w:r w:rsidRPr="00B50CBB">
                        <w:t>Components 1 and 2 recipients</w:t>
                      </w:r>
                      <w:r w:rsidRPr="001C201F">
                        <w:t xml:space="preserve"> will complete </w:t>
                      </w:r>
                      <w:r>
                        <w:t xml:space="preserve">their appropriate </w:t>
                      </w:r>
                      <w:r w:rsidRPr="001C201F">
                        <w:t>reporting template every six (6) months under this approval.</w:t>
                      </w:r>
                      <w:r w:rsidRPr="00EE3FF7">
                        <w:t xml:space="preserve"> </w:t>
                      </w:r>
                      <w:r>
                        <w:t xml:space="preserve">Additionally, </w:t>
                      </w:r>
                      <w:r w:rsidRPr="00B50CBB">
                        <w:t>Components 1 and 2 recipients</w:t>
                      </w:r>
                      <w:r w:rsidRPr="001C201F">
                        <w:t xml:space="preserve"> will complete </w:t>
                      </w:r>
                      <w:r>
                        <w:t xml:space="preserve">their appropriate required programmatic activities work plan </w:t>
                      </w:r>
                      <w:r w:rsidRPr="001C201F">
                        <w:t xml:space="preserve">every </w:t>
                      </w:r>
                      <w:r>
                        <w:t xml:space="preserve">twelve </w:t>
                      </w:r>
                      <w:r w:rsidRPr="001C201F">
                        <w:t>(</w:t>
                      </w:r>
                      <w:r>
                        <w:t>12</w:t>
                      </w:r>
                      <w:r w:rsidRPr="001C201F">
                        <w:t>) months under this approval</w:t>
                      </w:r>
                      <w:r>
                        <w:t xml:space="preserve">; and Component 2 recipients will complete their appropriate professional development work plan every twelve (12) months under this </w:t>
                      </w:r>
                      <w:proofErr w:type="gramStart"/>
                      <w:r>
                        <w:t xml:space="preserve">approval </w:t>
                      </w:r>
                      <w:r w:rsidRPr="001C201F">
                        <w:t>.</w:t>
                      </w:r>
                      <w:proofErr w:type="gramEnd"/>
                      <w:r>
                        <w:t xml:space="preserve"> Component 1 includes eighty </w:t>
                      </w:r>
                      <w:r w:rsidRPr="001C201F">
                        <w:t>(</w:t>
                      </w:r>
                      <w:r>
                        <w:t>80</w:t>
                      </w:r>
                      <w:r w:rsidRPr="001C201F">
                        <w:t xml:space="preserve">) </w:t>
                      </w:r>
                      <w:r>
                        <w:t xml:space="preserve">education and health agency recipients; Component 2 includes </w:t>
                      </w:r>
                      <w:r w:rsidRPr="001C201F">
                        <w:t>twenty-</w:t>
                      </w:r>
                      <w:r>
                        <w:t>five</w:t>
                      </w:r>
                      <w:r w:rsidRPr="001C201F">
                        <w:t xml:space="preserve"> (2</w:t>
                      </w:r>
                      <w:r>
                        <w:t>5</w:t>
                      </w:r>
                      <w:r w:rsidRPr="001C201F">
                        <w:t xml:space="preserve">) </w:t>
                      </w:r>
                      <w:r>
                        <w:t>LEAs.  The reporting templates will be completed by the Program Manager of each recipient and returned to DASH Program Consultants.</w:t>
                      </w:r>
                    </w:p>
                    <w:p w:rsidRPr="001C201F" w:rsidR="002F68FB" w:rsidP="00B50CBB" w:rsidRDefault="002F68FB" w14:paraId="0DEE94D9" w14:textId="77777777">
                      <w:pPr>
                        <w:spacing w:line="240" w:lineRule="auto"/>
                      </w:pPr>
                    </w:p>
                    <w:p w:rsidR="002F68FB" w:rsidP="006400D7" w:rsidRDefault="002F68FB" w14:paraId="650CB7D0" w14:textId="18CFF542">
                      <w:pPr>
                        <w:spacing w:line="240" w:lineRule="auto"/>
                        <w:rPr>
                          <w:color w:val="000000" w:themeColor="text1"/>
                        </w:rPr>
                      </w:pPr>
                      <w:r w:rsidRPr="002801B2">
                        <w:rPr>
                          <w:b/>
                        </w:rPr>
                        <w:t>Data analysis:</w:t>
                      </w:r>
                      <w:r w:rsidRPr="008A1964">
                        <w:rPr>
                          <w:color w:val="000000" w:themeColor="text1"/>
                        </w:rPr>
                        <w:t xml:space="preserve"> </w:t>
                      </w:r>
                      <w:r>
                        <w:rPr>
                          <w:color w:val="000000" w:themeColor="text1"/>
                        </w:rPr>
                        <w:t>DASH Program Consultants will analyze the completed templates and work plans (required programmatic activities work plan and professional development work plan) to identify the following: number of required activities that have been completed, are in progress, or have not yet started; and, descriptive statistics (such as mean, median, mode, and percentages) will be calculated for each activity.</w:t>
                      </w:r>
                    </w:p>
                    <w:p w:rsidR="002F68FB" w:rsidP="009B5DE0" w:rsidRDefault="002F68FB" w14:paraId="33F49EE6" w14:textId="77777777">
                      <w:pPr>
                        <w:spacing w:line="240" w:lineRule="auto"/>
                      </w:pPr>
                    </w:p>
                  </w:txbxContent>
                </v:textbox>
                <w10:wrap anchorx="margin"/>
              </v:shape>
            </w:pict>
          </mc:Fallback>
        </mc:AlternateContent>
      </w:r>
    </w:p>
    <w:p w:rsidRPr="00E14CD3" w:rsidR="009B3132" w:rsidP="009B3132" w:rsidRDefault="009B3132" w14:paraId="44B286DC" w14:textId="77777777"/>
    <w:p w:rsidRPr="00E14CD3" w:rsidR="009B3132" w:rsidP="009B3132" w:rsidRDefault="009B3132" w14:paraId="0FEC85D5" w14:textId="77777777"/>
    <w:p w:rsidRPr="00E14CD3" w:rsidR="009B3132" w:rsidP="009B3132" w:rsidRDefault="009B3132" w14:paraId="7FD70308" w14:textId="77777777"/>
    <w:p w:rsidRPr="00E14CD3" w:rsidR="009B3132" w:rsidP="009B3132" w:rsidRDefault="009B3132" w14:paraId="769C551F" w14:textId="77777777"/>
    <w:p w:rsidRPr="00E14CD3" w:rsidR="009B3132" w:rsidP="009B3132" w:rsidRDefault="009B3132" w14:paraId="667A72FB" w14:textId="77777777"/>
    <w:p w:rsidRPr="00E14CD3" w:rsidR="009B3132" w:rsidP="009B3132" w:rsidRDefault="009B3132" w14:paraId="0299F69B" w14:textId="77777777"/>
    <w:p w:rsidRPr="00E14CD3" w:rsidR="009B3132" w:rsidP="009B3132" w:rsidRDefault="009B3132" w14:paraId="67964F9B" w14:textId="77777777"/>
    <w:p w:rsidRPr="00E14CD3" w:rsidR="009B3132" w:rsidP="009B3132" w:rsidRDefault="009B3132" w14:paraId="0C78C91A" w14:textId="77777777">
      <w:pPr>
        <w:spacing w:before="120" w:line="240" w:lineRule="auto"/>
        <w:rPr>
          <w:b/>
        </w:rPr>
      </w:pPr>
    </w:p>
    <w:p w:rsidRPr="00E14CD3" w:rsidR="009B3132" w:rsidP="009B3132" w:rsidRDefault="009B3132" w14:paraId="10C7A21F" w14:textId="77777777">
      <w:pPr>
        <w:spacing w:before="120" w:line="240" w:lineRule="auto"/>
        <w:rPr>
          <w:b/>
        </w:rPr>
      </w:pPr>
    </w:p>
    <w:p w:rsidRPr="00E14CD3" w:rsidR="009B3132" w:rsidP="009B3132" w:rsidRDefault="009B3132" w14:paraId="55A3312A" w14:textId="77777777">
      <w:pPr>
        <w:spacing w:before="120" w:line="240" w:lineRule="auto"/>
        <w:rPr>
          <w:b/>
        </w:rPr>
      </w:pPr>
    </w:p>
    <w:p w:rsidRPr="00E14CD3" w:rsidR="009B3132" w:rsidP="009B3132" w:rsidRDefault="009B3132" w14:paraId="70A1F10C" w14:textId="77777777">
      <w:pPr>
        <w:spacing w:before="120" w:line="240" w:lineRule="auto"/>
      </w:pPr>
    </w:p>
    <w:p w:rsidRPr="00E14CD3" w:rsidR="009B3132" w:rsidP="009B3132" w:rsidRDefault="009B3132" w14:paraId="0FA93C91" w14:textId="77777777">
      <w:pPr>
        <w:spacing w:before="120" w:line="240" w:lineRule="auto"/>
      </w:pPr>
    </w:p>
    <w:p w:rsidRPr="00E14CD3" w:rsidR="009B3132" w:rsidP="009B3132" w:rsidRDefault="009B3132" w14:paraId="6A854D08" w14:textId="77777777">
      <w:pPr>
        <w:spacing w:before="120" w:line="240" w:lineRule="auto"/>
      </w:pPr>
    </w:p>
    <w:p w:rsidRPr="00E14CD3" w:rsidR="009B3132" w:rsidP="009B3132" w:rsidRDefault="009B3132" w14:paraId="16E91B41" w14:textId="77777777">
      <w:pPr>
        <w:spacing w:before="120" w:line="240" w:lineRule="auto"/>
      </w:pPr>
    </w:p>
    <w:p w:rsidRPr="00E14CD3" w:rsidR="009B3132" w:rsidP="009B3132" w:rsidRDefault="009B3132" w14:paraId="07C73CF2" w14:textId="77777777">
      <w:pPr>
        <w:spacing w:before="120" w:line="240" w:lineRule="auto"/>
      </w:pPr>
    </w:p>
    <w:p w:rsidRPr="00E14CD3" w:rsidR="009B3132" w:rsidP="009B3132" w:rsidRDefault="009B3132" w14:paraId="0179C977" w14:textId="77777777">
      <w:pPr>
        <w:spacing w:before="120" w:line="240" w:lineRule="auto"/>
      </w:pPr>
    </w:p>
    <w:p w:rsidRPr="00E14CD3" w:rsidR="009B3132" w:rsidP="009B3132" w:rsidRDefault="009B3132" w14:paraId="38327A86" w14:textId="77777777">
      <w:pPr>
        <w:spacing w:before="120" w:line="240" w:lineRule="auto"/>
      </w:pPr>
    </w:p>
    <w:p w:rsidRPr="00E14CD3" w:rsidR="009B3132" w:rsidP="009B3132" w:rsidRDefault="009B3132" w14:paraId="03934B8A" w14:textId="77777777">
      <w:pPr>
        <w:spacing w:before="120" w:line="240" w:lineRule="auto"/>
      </w:pPr>
    </w:p>
    <w:p w:rsidRPr="00E14CD3" w:rsidR="009B3132" w:rsidP="009B3132" w:rsidRDefault="009B3132" w14:paraId="44C59871" w14:textId="77777777">
      <w:pPr>
        <w:spacing w:before="120" w:line="240" w:lineRule="auto"/>
      </w:pPr>
    </w:p>
    <w:p w:rsidRPr="00E14CD3" w:rsidR="009B3132" w:rsidP="009B3132" w:rsidRDefault="009B3132" w14:paraId="6B760070" w14:textId="77777777">
      <w:pPr>
        <w:spacing w:before="120" w:line="240" w:lineRule="auto"/>
      </w:pPr>
    </w:p>
    <w:p w:rsidRPr="00E14CD3" w:rsidR="004236F2" w:rsidRDefault="004236F2" w14:paraId="28FBBD47" w14:textId="77777777">
      <w:pPr>
        <w:widowControl/>
        <w:autoSpaceDE/>
        <w:autoSpaceDN/>
        <w:adjustRightInd/>
        <w:spacing w:line="240" w:lineRule="auto"/>
        <w:rPr>
          <w:b/>
          <w:color w:val="000000" w:themeColor="text1"/>
        </w:rPr>
      </w:pPr>
      <w:r w:rsidRPr="00E14CD3">
        <w:rPr>
          <w:b/>
          <w:color w:val="000000" w:themeColor="text1"/>
        </w:rPr>
        <w:br w:type="page"/>
      </w:r>
    </w:p>
    <w:p w:rsidRPr="00E14CD3" w:rsidR="00466F1D" w:rsidP="008A1964" w:rsidRDefault="00466F1D" w14:paraId="5C99188B" w14:textId="77777777">
      <w:pPr>
        <w:spacing w:before="120" w:line="240" w:lineRule="auto"/>
        <w:rPr>
          <w:b/>
          <w:color w:val="000000" w:themeColor="text1"/>
        </w:rPr>
      </w:pPr>
    </w:p>
    <w:p w:rsidRPr="00E14CD3" w:rsidR="00D753B1" w:rsidP="00893AB7" w:rsidRDefault="00F17675" w14:paraId="784F7ED5" w14:textId="77777777">
      <w:pPr>
        <w:pStyle w:val="Heading1"/>
        <w:spacing w:before="120" w:after="0" w:line="240" w:lineRule="auto"/>
        <w:ind w:left="0" w:firstLine="0"/>
        <w:rPr>
          <w:rFonts w:cs="Times New Roman"/>
          <w:color w:val="000000" w:themeColor="text1"/>
          <w:szCs w:val="24"/>
        </w:rPr>
      </w:pPr>
      <w:bookmarkStart w:name="_Toc507658992" w:id="3"/>
      <w:bookmarkEnd w:id="0"/>
      <w:bookmarkEnd w:id="2"/>
      <w:bookmarkEnd w:id="1"/>
      <w:r w:rsidRPr="00E14CD3">
        <w:rPr>
          <w:rFonts w:cs="Times New Roman"/>
          <w:color w:val="000000" w:themeColor="text1"/>
          <w:szCs w:val="24"/>
        </w:rPr>
        <w:t>Circumstances Making the Collection of Information Necessary</w:t>
      </w:r>
      <w:bookmarkEnd w:id="3"/>
    </w:p>
    <w:p w:rsidRPr="00E14CD3" w:rsidR="001D020F" w:rsidP="00261418" w:rsidRDefault="009B1596" w14:paraId="1CC1B8A0" w14:textId="2F056B22">
      <w:pPr>
        <w:spacing w:before="120" w:line="240" w:lineRule="auto"/>
        <w:ind w:firstLine="720"/>
      </w:pPr>
      <w:r>
        <w:t xml:space="preserve">The </w:t>
      </w:r>
      <w:r w:rsidRPr="00AB7183" w:rsidR="00AB7183">
        <w:t>Centers for Disease Control and Prevention (CDC), National Center for HIV/AIDS, Viral Hepatitis, STD, and TB Prevention (NCHHSTP), Division of Adolescent and School Health (D</w:t>
      </w:r>
      <w:r w:rsidR="00AB7183">
        <w:t>A</w:t>
      </w:r>
      <w:r w:rsidRPr="00AB7183" w:rsidR="00AB7183">
        <w:t>S</w:t>
      </w:r>
      <w:r w:rsidR="00AB7183">
        <w:t>H</w:t>
      </w:r>
      <w:r w:rsidRPr="00AB7183" w:rsidR="00AB7183">
        <w:t xml:space="preserve">), requests a 3-year </w:t>
      </w:r>
      <w:r>
        <w:t xml:space="preserve">OMB </w:t>
      </w:r>
      <w:r w:rsidRPr="00AB7183" w:rsidR="00AB7183">
        <w:t>approval for a new data collection entitled</w:t>
      </w:r>
      <w:r w:rsidR="00AB7183">
        <w:t>, “</w:t>
      </w:r>
      <w:r w:rsidRPr="00AB7183" w:rsidR="00AB7183">
        <w:t xml:space="preserve">Promoting Adolescent Health through School-Based HIV/STD Prevention Reporting Templates </w:t>
      </w:r>
      <w:r w:rsidR="00AB7183">
        <w:t xml:space="preserve">“. </w:t>
      </w:r>
      <w:r w:rsidRPr="00E14CD3" w:rsidR="00794067">
        <w:t xml:space="preserve">Notice of Funding Opportunity (NOFO) </w:t>
      </w:r>
      <w:r w:rsidRPr="00E14CD3" w:rsidR="001D020F">
        <w:t xml:space="preserve">PS18-1807 Promoting Adolescent Health through School-Based HIV/STD Prevention was awarded August 1, 2018 with a </w:t>
      </w:r>
      <w:proofErr w:type="gramStart"/>
      <w:r w:rsidRPr="00E14CD3" w:rsidR="001D020F">
        <w:t>five year</w:t>
      </w:r>
      <w:proofErr w:type="gramEnd"/>
      <w:r w:rsidRPr="00E14CD3" w:rsidR="001D020F">
        <w:t xml:space="preserve"> project period.  It is funded through the </w:t>
      </w:r>
      <w:r w:rsidRPr="00E14CD3" w:rsidR="00893AB7">
        <w:t xml:space="preserve">Centers for Disease Control and Prevention (CDC), </w:t>
      </w:r>
      <w:r w:rsidRPr="00E14CD3" w:rsidR="001D020F">
        <w:t>Division of Adolescent and School Health</w:t>
      </w:r>
      <w:r w:rsidRPr="00E14CD3" w:rsidR="00261418">
        <w:t xml:space="preserve"> </w:t>
      </w:r>
      <w:r w:rsidRPr="00E14CD3" w:rsidR="00794067">
        <w:t xml:space="preserve">(DASH) </w:t>
      </w:r>
      <w:r w:rsidRPr="00E14CD3" w:rsidR="00261418">
        <w:t xml:space="preserve">and provides cooperative agreements to </w:t>
      </w:r>
      <w:r w:rsidRPr="00E14CD3" w:rsidR="00EF386A">
        <w:t>86</w:t>
      </w:r>
      <w:r w:rsidRPr="00E14CD3" w:rsidR="00261418">
        <w:t xml:space="preserve"> agencies</w:t>
      </w:r>
      <w:r w:rsidRPr="00E14CD3" w:rsidR="001D020F">
        <w:t>.</w:t>
      </w:r>
      <w:r w:rsidRPr="00E14CD3" w:rsidR="00893AB7">
        <w:t xml:space="preserve">  Agency types are state, local, territorial, and tribal education and health agencies. </w:t>
      </w:r>
      <w:r w:rsidRPr="009B1596">
        <w:t xml:space="preserve">This activity is authorized under </w:t>
      </w:r>
      <w:r>
        <w:t>(</w:t>
      </w:r>
      <w:r w:rsidRPr="00E14CD3">
        <w:rPr>
          <w:color w:val="000000" w:themeColor="text1"/>
        </w:rPr>
        <w:t>42 USC 241</w:t>
      </w:r>
      <w:r>
        <w:rPr>
          <w:color w:val="000000" w:themeColor="text1"/>
        </w:rPr>
        <w:t xml:space="preserve">) </w:t>
      </w:r>
      <w:r w:rsidRPr="009B1596">
        <w:t>of the Public Health Service Act (</w:t>
      </w:r>
      <w:r w:rsidRPr="009B1596">
        <w:rPr>
          <w:b/>
          <w:bCs/>
        </w:rPr>
        <w:t>Attachment 1</w:t>
      </w:r>
      <w:r w:rsidRPr="009B1596">
        <w:t>).</w:t>
      </w:r>
    </w:p>
    <w:p w:rsidRPr="00E14CD3" w:rsidR="008D4791" w:rsidP="006400D7" w:rsidRDefault="00813A66" w14:paraId="7064A13A" w14:textId="5BCA931E">
      <w:pPr>
        <w:spacing w:before="120" w:line="240" w:lineRule="auto"/>
        <w:rPr>
          <w:color w:val="000000" w:themeColor="text1"/>
        </w:rPr>
      </w:pPr>
      <w:r w:rsidRPr="00E14CD3">
        <w:rPr>
          <w:color w:val="000000" w:themeColor="text1"/>
        </w:rPr>
        <w:t>In addition to this legislation, there are several national initiatives and programs that this data co</w:t>
      </w:r>
      <w:r w:rsidRPr="00E14CD3" w:rsidR="00016FAA">
        <w:rPr>
          <w:color w:val="000000" w:themeColor="text1"/>
        </w:rPr>
        <w:t>ll</w:t>
      </w:r>
      <w:r w:rsidRPr="00E14CD3" w:rsidR="009D5BD5">
        <w:rPr>
          <w:color w:val="000000" w:themeColor="text1"/>
        </w:rPr>
        <w:t xml:space="preserve">ection would serve to support, including but not limited to: </w:t>
      </w:r>
    </w:p>
    <w:p w:rsidRPr="00E14CD3" w:rsidR="008D4791" w:rsidP="008A1964" w:rsidRDefault="008D4791" w14:paraId="5F8A3085" w14:textId="6DE70908">
      <w:pPr>
        <w:pStyle w:val="ListParagraph"/>
        <w:numPr>
          <w:ilvl w:val="0"/>
          <w:numId w:val="7"/>
        </w:numPr>
        <w:spacing w:before="120" w:line="240" w:lineRule="auto"/>
        <w:rPr>
          <w:rFonts w:eastAsia="Calibri"/>
          <w:color w:val="000000" w:themeColor="text1"/>
        </w:rPr>
      </w:pPr>
      <w:r w:rsidRPr="00E14CD3">
        <w:rPr>
          <w:rFonts w:eastAsia="Calibri"/>
          <w:i/>
          <w:iCs/>
          <w:color w:val="000000" w:themeColor="text1"/>
        </w:rPr>
        <w:t>Healthy People 2020</w:t>
      </w:r>
      <w:r w:rsidRPr="00E14CD3" w:rsidR="009D5BD5">
        <w:rPr>
          <w:rFonts w:eastAsia="Calibri"/>
          <w:i/>
          <w:iCs/>
          <w:color w:val="000000" w:themeColor="text1"/>
        </w:rPr>
        <w:t xml:space="preserve">, </w:t>
      </w:r>
      <w:r w:rsidRPr="00E14CD3" w:rsidR="009D5BD5">
        <w:rPr>
          <w:rFonts w:eastAsia="Calibri"/>
          <w:iCs/>
          <w:color w:val="000000" w:themeColor="text1"/>
        </w:rPr>
        <w:t>which provides</w:t>
      </w:r>
      <w:r w:rsidRPr="00E14CD3">
        <w:rPr>
          <w:rFonts w:eastAsia="Calibri"/>
          <w:color w:val="000000" w:themeColor="text1"/>
        </w:rPr>
        <w:t xml:space="preserve"> national health objectives </w:t>
      </w:r>
      <w:r w:rsidRPr="00E14CD3" w:rsidR="009D5BD5">
        <w:rPr>
          <w:rFonts w:eastAsia="Calibri"/>
          <w:color w:val="000000" w:themeColor="text1"/>
        </w:rPr>
        <w:t xml:space="preserve">and </w:t>
      </w:r>
      <w:r w:rsidRPr="00E14CD3">
        <w:rPr>
          <w:rFonts w:eastAsia="Calibri"/>
          <w:color w:val="000000" w:themeColor="text1"/>
        </w:rPr>
        <w:t>outline</w:t>
      </w:r>
      <w:r w:rsidRPr="00E14CD3" w:rsidR="002812A6">
        <w:rPr>
          <w:rFonts w:eastAsia="Calibri"/>
          <w:color w:val="000000" w:themeColor="text1"/>
        </w:rPr>
        <w:t>s</w:t>
      </w:r>
      <w:r w:rsidRPr="00E14CD3">
        <w:rPr>
          <w:rFonts w:eastAsia="Calibri"/>
          <w:color w:val="000000" w:themeColor="text1"/>
        </w:rPr>
        <w:t xml:space="preserve"> a comprehensive plan for health promotion and disease prevention in the United States. Of the Healthy People 2020 objectives, 31 objecti</w:t>
      </w:r>
      <w:r w:rsidRPr="00E14CD3" w:rsidR="00016FAA">
        <w:rPr>
          <w:rFonts w:eastAsia="Calibri"/>
          <w:color w:val="000000" w:themeColor="text1"/>
        </w:rPr>
        <w:t xml:space="preserve">ves align specifically </w:t>
      </w:r>
      <w:r w:rsidRPr="00E14CD3" w:rsidR="009D5BD5">
        <w:rPr>
          <w:rFonts w:eastAsia="Calibri"/>
          <w:color w:val="000000" w:themeColor="text1"/>
        </w:rPr>
        <w:t xml:space="preserve">with </w:t>
      </w:r>
      <w:r w:rsidRPr="00E14CD3" w:rsidR="00AD3135">
        <w:rPr>
          <w:rFonts w:eastAsia="Calibri"/>
          <w:color w:val="000000" w:themeColor="text1"/>
        </w:rPr>
        <w:t>PS1</w:t>
      </w:r>
      <w:r w:rsidRPr="00E14CD3" w:rsidR="004E02F7">
        <w:rPr>
          <w:rFonts w:eastAsia="Calibri"/>
          <w:color w:val="000000" w:themeColor="text1"/>
        </w:rPr>
        <w:t>8</w:t>
      </w:r>
      <w:r w:rsidRPr="00E14CD3" w:rsidR="00AD3135">
        <w:rPr>
          <w:rFonts w:eastAsia="Calibri"/>
          <w:color w:val="000000" w:themeColor="text1"/>
        </w:rPr>
        <w:t>-1</w:t>
      </w:r>
      <w:r w:rsidRPr="00E14CD3" w:rsidR="004E02F7">
        <w:rPr>
          <w:rFonts w:eastAsia="Calibri"/>
          <w:color w:val="000000" w:themeColor="text1"/>
        </w:rPr>
        <w:t>8</w:t>
      </w:r>
      <w:r w:rsidRPr="00E14CD3" w:rsidR="00AD3135">
        <w:rPr>
          <w:rFonts w:eastAsia="Calibri"/>
          <w:color w:val="000000" w:themeColor="text1"/>
        </w:rPr>
        <w:t>0</w:t>
      </w:r>
      <w:r w:rsidRPr="00E14CD3" w:rsidR="004E02F7">
        <w:rPr>
          <w:rFonts w:eastAsia="Calibri"/>
          <w:color w:val="000000" w:themeColor="text1"/>
        </w:rPr>
        <w:t>7</w:t>
      </w:r>
      <w:r w:rsidRPr="00E14CD3">
        <w:rPr>
          <w:rFonts w:eastAsia="Calibri"/>
          <w:color w:val="000000" w:themeColor="text1"/>
        </w:rPr>
        <w:t xml:space="preserve"> </w:t>
      </w:r>
      <w:r w:rsidRPr="00E14CD3" w:rsidR="00016FAA">
        <w:rPr>
          <w:rFonts w:eastAsia="Calibri"/>
          <w:color w:val="000000" w:themeColor="text1"/>
        </w:rPr>
        <w:t xml:space="preserve">activities </w:t>
      </w:r>
      <w:r w:rsidRPr="00E14CD3">
        <w:rPr>
          <w:rFonts w:eastAsia="Calibri"/>
          <w:color w:val="000000" w:themeColor="text1"/>
        </w:rPr>
        <w:t>related to reducing HIV infection, other STD, a</w:t>
      </w:r>
      <w:r w:rsidRPr="00E14CD3" w:rsidR="009D5BD5">
        <w:rPr>
          <w:rFonts w:eastAsia="Calibri"/>
          <w:color w:val="000000" w:themeColor="text1"/>
        </w:rPr>
        <w:t>nd pregnancy among adolescents.</w:t>
      </w:r>
      <w:r w:rsidRPr="00E14CD3" w:rsidR="00F8286D">
        <w:rPr>
          <w:rFonts w:eastAsia="Calibri"/>
          <w:color w:val="000000" w:themeColor="text1"/>
          <w:vertAlign w:val="superscript"/>
        </w:rPr>
        <w:t>1</w:t>
      </w:r>
    </w:p>
    <w:p w:rsidRPr="00E14CD3" w:rsidR="008D4791" w:rsidP="008A1964" w:rsidRDefault="008D4791" w14:paraId="5374414C" w14:textId="77777777">
      <w:pPr>
        <w:pStyle w:val="ListParagraph"/>
        <w:numPr>
          <w:ilvl w:val="0"/>
          <w:numId w:val="7"/>
        </w:numPr>
        <w:spacing w:before="120" w:line="240" w:lineRule="auto"/>
        <w:rPr>
          <w:rFonts w:eastAsia="Calibri"/>
          <w:color w:val="000000" w:themeColor="text1"/>
        </w:rPr>
      </w:pPr>
      <w:r w:rsidRPr="00E14CD3">
        <w:rPr>
          <w:rFonts w:eastAsia="Calibri"/>
          <w:color w:val="000000" w:themeColor="text1"/>
        </w:rPr>
        <w:t xml:space="preserve">The </w:t>
      </w:r>
      <w:r w:rsidRPr="00E14CD3">
        <w:rPr>
          <w:rFonts w:eastAsia="Calibri"/>
          <w:i/>
          <w:iCs/>
          <w:color w:val="000000" w:themeColor="text1"/>
        </w:rPr>
        <w:t xml:space="preserve">National Prevention Strategy </w:t>
      </w:r>
      <w:r w:rsidRPr="00E14CD3">
        <w:rPr>
          <w:rFonts w:eastAsia="Calibri"/>
          <w:iCs/>
          <w:color w:val="000000" w:themeColor="text1"/>
        </w:rPr>
        <w:t>(</w:t>
      </w:r>
      <w:r w:rsidRPr="00E14CD3">
        <w:rPr>
          <w:rFonts w:eastAsia="Calibri"/>
          <w:color w:val="000000" w:themeColor="text1"/>
        </w:rPr>
        <w:t>NPS</w:t>
      </w:r>
      <w:r w:rsidRPr="00E14CD3">
        <w:rPr>
          <w:rFonts w:eastAsia="Calibri"/>
          <w:i/>
          <w:iCs/>
          <w:color w:val="000000" w:themeColor="text1"/>
        </w:rPr>
        <w:t>)</w:t>
      </w:r>
      <w:r w:rsidRPr="00E14CD3">
        <w:rPr>
          <w:rFonts w:eastAsia="Calibri"/>
          <w:color w:val="000000" w:themeColor="text1"/>
        </w:rPr>
        <w:t xml:space="preserve"> calls for “medically accurate, dev</w:t>
      </w:r>
      <w:r w:rsidRPr="00E14CD3" w:rsidR="00016FAA">
        <w:rPr>
          <w:rFonts w:eastAsia="Calibri"/>
          <w:color w:val="000000" w:themeColor="text1"/>
        </w:rPr>
        <w:t>elopmentally appropriate, and evidence-based</w:t>
      </w:r>
      <w:r w:rsidRPr="00E14CD3">
        <w:rPr>
          <w:rFonts w:eastAsia="Calibri"/>
          <w:color w:val="000000" w:themeColor="text1"/>
        </w:rPr>
        <w:t xml:space="preserve"> sexual health education.” The NPS encourages the involvement of parents in educating their children about sexual health, the provision of sexual and reproductive health services, and the reduction of intimate partner violence.</w:t>
      </w:r>
      <w:r w:rsidRPr="00E14CD3" w:rsidR="00F8286D">
        <w:rPr>
          <w:rFonts w:eastAsia="Calibri"/>
          <w:color w:val="000000" w:themeColor="text1"/>
          <w:vertAlign w:val="superscript"/>
        </w:rPr>
        <w:t>2</w:t>
      </w:r>
      <w:r w:rsidRPr="00E14CD3">
        <w:rPr>
          <w:rFonts w:eastAsia="Calibri"/>
          <w:color w:val="000000" w:themeColor="text1"/>
          <w:vertAlign w:val="superscript"/>
        </w:rPr>
        <w:t xml:space="preserve"> </w:t>
      </w:r>
    </w:p>
    <w:p w:rsidRPr="00E14CD3" w:rsidR="008D4791" w:rsidP="008A1964" w:rsidRDefault="008D4791" w14:paraId="2DF9D86D" w14:textId="77777777">
      <w:pPr>
        <w:pStyle w:val="ListParagraph"/>
        <w:numPr>
          <w:ilvl w:val="0"/>
          <w:numId w:val="7"/>
        </w:numPr>
        <w:spacing w:before="120" w:line="240" w:lineRule="auto"/>
        <w:rPr>
          <w:rFonts w:eastAsia="Calibri"/>
          <w:color w:val="000000" w:themeColor="text1"/>
        </w:rPr>
      </w:pPr>
      <w:r w:rsidRPr="00E14CD3">
        <w:rPr>
          <w:rFonts w:eastAsia="Calibri"/>
          <w:color w:val="000000" w:themeColor="text1"/>
        </w:rPr>
        <w:t xml:space="preserve">The U.S. Department of Health and Human Services’ (DHHS) </w:t>
      </w:r>
      <w:r w:rsidRPr="00E14CD3">
        <w:rPr>
          <w:rFonts w:eastAsia="Calibri"/>
          <w:i/>
          <w:iCs/>
          <w:color w:val="000000" w:themeColor="text1"/>
        </w:rPr>
        <w:t>Teen Pregnancy Prevention Initiative</w:t>
      </w:r>
      <w:r w:rsidRPr="00E14CD3">
        <w:rPr>
          <w:rFonts w:eastAsia="Calibri"/>
          <w:color w:val="000000" w:themeColor="text1"/>
        </w:rPr>
        <w:t xml:space="preserve"> supports the replication of teen pregnancy prevention (TPP) programs that have been shown to be effective through rigorous research as well as the testing of new, innovative program activities to combat teen pregnancy.</w:t>
      </w:r>
      <w:r w:rsidRPr="00E14CD3" w:rsidR="00F8286D">
        <w:rPr>
          <w:rFonts w:eastAsia="Calibri"/>
          <w:color w:val="000000" w:themeColor="text1"/>
          <w:vertAlign w:val="superscript"/>
        </w:rPr>
        <w:t>3</w:t>
      </w:r>
      <w:r w:rsidRPr="00E14CD3">
        <w:rPr>
          <w:rFonts w:eastAsia="Calibri"/>
          <w:color w:val="000000" w:themeColor="text1"/>
          <w:vertAlign w:val="superscript"/>
        </w:rPr>
        <w:t xml:space="preserve"> </w:t>
      </w:r>
    </w:p>
    <w:p w:rsidRPr="00E14CD3" w:rsidR="008D4791" w:rsidP="008A1964" w:rsidRDefault="00231F71" w14:paraId="64F0A2F0" w14:textId="77777777">
      <w:pPr>
        <w:pStyle w:val="ListParagraph"/>
        <w:numPr>
          <w:ilvl w:val="0"/>
          <w:numId w:val="7"/>
        </w:numPr>
        <w:spacing w:before="120" w:line="240" w:lineRule="auto"/>
        <w:rPr>
          <w:rFonts w:eastAsia="Calibri"/>
          <w:color w:val="000000" w:themeColor="text1"/>
        </w:rPr>
      </w:pPr>
      <w:r w:rsidRPr="00E14CD3">
        <w:rPr>
          <w:rFonts w:eastAsia="Calibri"/>
          <w:color w:val="000000" w:themeColor="text1"/>
        </w:rPr>
        <w:t>The</w:t>
      </w:r>
      <w:r w:rsidRPr="00E14CD3" w:rsidR="008D4791">
        <w:rPr>
          <w:rFonts w:eastAsia="Calibri"/>
          <w:color w:val="000000" w:themeColor="text1"/>
        </w:rPr>
        <w:t xml:space="preserve"> NCHHSTP program imperative call</w:t>
      </w:r>
      <w:r w:rsidRPr="00E14CD3" w:rsidR="009D5BD5">
        <w:rPr>
          <w:rFonts w:eastAsia="Calibri"/>
          <w:color w:val="000000" w:themeColor="text1"/>
        </w:rPr>
        <w:t>s</w:t>
      </w:r>
      <w:r w:rsidRPr="00E14CD3" w:rsidR="008D4791">
        <w:rPr>
          <w:rFonts w:eastAsia="Calibri"/>
          <w:color w:val="000000" w:themeColor="text1"/>
        </w:rPr>
        <w:t xml:space="preserve"> for </w:t>
      </w:r>
      <w:r w:rsidRPr="00E14CD3" w:rsidR="008D4791">
        <w:rPr>
          <w:rFonts w:eastAsia="Calibri"/>
          <w:i/>
          <w:iCs/>
          <w:color w:val="000000" w:themeColor="text1"/>
        </w:rPr>
        <w:t>Program Collaboration and Service Integration (</w:t>
      </w:r>
      <w:r w:rsidRPr="00E14CD3" w:rsidR="008D4791">
        <w:rPr>
          <w:rFonts w:eastAsia="Calibri"/>
          <w:color w:val="000000" w:themeColor="text1"/>
        </w:rPr>
        <w:t>PCSI</w:t>
      </w:r>
      <w:r w:rsidRPr="00E14CD3" w:rsidR="008D4791">
        <w:rPr>
          <w:rFonts w:eastAsia="Calibri"/>
          <w:i/>
          <w:iCs/>
          <w:color w:val="000000" w:themeColor="text1"/>
        </w:rPr>
        <w:t>)</w:t>
      </w:r>
      <w:r w:rsidRPr="00E14CD3" w:rsidR="008D4791">
        <w:rPr>
          <w:rFonts w:eastAsia="Calibri"/>
          <w:color w:val="000000" w:themeColor="text1"/>
        </w:rPr>
        <w:t xml:space="preserve"> to provide improved integration of HIV, viral hepatitis, STD, and TB prevention and treatment services at the user level.</w:t>
      </w:r>
      <w:r w:rsidRPr="00E14CD3" w:rsidR="00F8286D">
        <w:rPr>
          <w:rFonts w:eastAsia="Calibri"/>
          <w:color w:val="000000" w:themeColor="text1"/>
          <w:vertAlign w:val="superscript"/>
        </w:rPr>
        <w:t>4</w:t>
      </w:r>
      <w:r w:rsidRPr="00E14CD3" w:rsidR="008D4791">
        <w:rPr>
          <w:rFonts w:eastAsia="Calibri"/>
          <w:color w:val="000000" w:themeColor="text1"/>
          <w:vertAlign w:val="superscript"/>
        </w:rPr>
        <w:t xml:space="preserve"> </w:t>
      </w:r>
    </w:p>
    <w:p w:rsidRPr="00E14CD3" w:rsidR="008A1964" w:rsidP="006400D7" w:rsidRDefault="007230F0" w14:paraId="7EA7CD1E" w14:textId="6D38ABF2">
      <w:pPr>
        <w:spacing w:before="120" w:line="240" w:lineRule="auto"/>
        <w:ind w:firstLine="720"/>
      </w:pPr>
      <w:r w:rsidRPr="00E14CD3">
        <w:rPr>
          <w:color w:val="000000" w:themeColor="text1"/>
        </w:rPr>
        <w:t xml:space="preserve">The information collection system consists of </w:t>
      </w:r>
      <w:r w:rsidRPr="00E14CD3" w:rsidR="002A14B0">
        <w:rPr>
          <w:color w:val="000000" w:themeColor="text1"/>
        </w:rPr>
        <w:t xml:space="preserve">two </w:t>
      </w:r>
      <w:r w:rsidRPr="00E14CD3" w:rsidR="002848EA">
        <w:rPr>
          <w:color w:val="000000" w:themeColor="text1"/>
        </w:rPr>
        <w:t xml:space="preserve">reporting templates for </w:t>
      </w:r>
      <w:r w:rsidRPr="00E14CD3" w:rsidR="004D1DAC">
        <w:rPr>
          <w:color w:val="000000" w:themeColor="text1"/>
        </w:rPr>
        <w:t>Component</w:t>
      </w:r>
      <w:r w:rsidRPr="00E14CD3" w:rsidR="001730C6">
        <w:rPr>
          <w:color w:val="000000" w:themeColor="text1"/>
        </w:rPr>
        <w:t xml:space="preserve"> 1 and </w:t>
      </w:r>
      <w:r w:rsidRPr="00E14CD3" w:rsidR="004D1DAC">
        <w:rPr>
          <w:color w:val="000000" w:themeColor="text1"/>
        </w:rPr>
        <w:t>Component</w:t>
      </w:r>
      <w:r w:rsidRPr="00E14CD3" w:rsidR="001730C6">
        <w:rPr>
          <w:color w:val="000000" w:themeColor="text1"/>
        </w:rPr>
        <w:t xml:space="preserve"> 2 </w:t>
      </w:r>
      <w:r w:rsidRPr="00E14CD3" w:rsidR="002848EA">
        <w:rPr>
          <w:color w:val="000000" w:themeColor="text1"/>
        </w:rPr>
        <w:t xml:space="preserve">recipients </w:t>
      </w:r>
      <w:r w:rsidRPr="00E14CD3" w:rsidR="00E60039">
        <w:rPr>
          <w:color w:val="000000" w:themeColor="text1"/>
        </w:rPr>
        <w:t xml:space="preserve">of </w:t>
      </w:r>
      <w:r w:rsidRPr="00E14CD3" w:rsidR="001730C6">
        <w:rPr>
          <w:color w:val="000000" w:themeColor="text1"/>
        </w:rPr>
        <w:t>PS18-1807 (see</w:t>
      </w:r>
      <w:r w:rsidRPr="00E14CD3" w:rsidR="00E03D23">
        <w:rPr>
          <w:color w:val="000000" w:themeColor="text1"/>
        </w:rPr>
        <w:t xml:space="preserve"> </w:t>
      </w:r>
      <w:r w:rsidRPr="00E14CD3" w:rsidR="00C9726F">
        <w:rPr>
          <w:b/>
          <w:color w:val="000000" w:themeColor="text1"/>
        </w:rPr>
        <w:t xml:space="preserve">Attachment </w:t>
      </w:r>
      <w:r w:rsidRPr="00E14CD3" w:rsidR="00EC3019">
        <w:rPr>
          <w:b/>
          <w:color w:val="000000" w:themeColor="text1"/>
        </w:rPr>
        <w:t>3</w:t>
      </w:r>
      <w:r w:rsidRPr="00E14CD3" w:rsidR="001730C6">
        <w:rPr>
          <w:b/>
          <w:color w:val="000000" w:themeColor="text1"/>
        </w:rPr>
        <w:t xml:space="preserve"> and Attachment </w:t>
      </w:r>
      <w:r w:rsidRPr="00E14CD3" w:rsidR="00EC3019">
        <w:rPr>
          <w:b/>
          <w:color w:val="000000" w:themeColor="text1"/>
        </w:rPr>
        <w:t>4</w:t>
      </w:r>
      <w:r w:rsidRPr="00E14CD3" w:rsidR="001730C6">
        <w:rPr>
          <w:b/>
          <w:color w:val="000000" w:themeColor="text1"/>
        </w:rPr>
        <w:t>)</w:t>
      </w:r>
      <w:r w:rsidRPr="00E14CD3" w:rsidR="001730C6">
        <w:rPr>
          <w:color w:val="000000" w:themeColor="text1"/>
        </w:rPr>
        <w:t>.</w:t>
      </w:r>
      <w:r w:rsidRPr="00E14CD3" w:rsidR="00E03D23">
        <w:t xml:space="preserve"> </w:t>
      </w:r>
      <w:r w:rsidRPr="00E14CD3" w:rsidR="00311218">
        <w:t xml:space="preserve">Using a structured </w:t>
      </w:r>
      <w:r w:rsidRPr="00E14CD3" w:rsidR="00EF386A">
        <w:t xml:space="preserve">reporting </w:t>
      </w:r>
      <w:r w:rsidRPr="00E14CD3" w:rsidR="00311218">
        <w:t>template for each set of recipients will provide uniformity in reporting for DASH to better understand and analyze the success</w:t>
      </w:r>
      <w:r w:rsidRPr="00E14CD3" w:rsidR="00DB5EC8">
        <w:t>es</w:t>
      </w:r>
      <w:r w:rsidRPr="00E14CD3" w:rsidR="00311218">
        <w:t xml:space="preserve">, challenges, and </w:t>
      </w:r>
      <w:r w:rsidRPr="00E14CD3" w:rsidR="00DB5EC8">
        <w:t xml:space="preserve">need for </w:t>
      </w:r>
      <w:r w:rsidRPr="00E14CD3" w:rsidR="00311218">
        <w:t>program support.</w:t>
      </w:r>
      <w:r w:rsidRPr="00E14CD3" w:rsidR="00EF386A">
        <w:t xml:space="preserve">  Additionally, the Component 1 and Component 2 recipients will complete a </w:t>
      </w:r>
      <w:proofErr w:type="gramStart"/>
      <w:r w:rsidRPr="00E14CD3" w:rsidR="00EF386A">
        <w:t>struct</w:t>
      </w:r>
      <w:r w:rsidRPr="00E14CD3" w:rsidR="0032060F">
        <w:t>ur</w:t>
      </w:r>
      <w:r w:rsidRPr="00E14CD3" w:rsidR="00EF386A">
        <w:t xml:space="preserve">ed and uniform </w:t>
      </w:r>
      <w:r w:rsidRPr="00E14CD3" w:rsidR="00D0798C">
        <w:t>programmatic activities</w:t>
      </w:r>
      <w:proofErr w:type="gramEnd"/>
      <w:r w:rsidRPr="00E14CD3" w:rsidR="00D0798C">
        <w:t xml:space="preserve"> </w:t>
      </w:r>
      <w:r w:rsidRPr="00E14CD3" w:rsidR="00EF386A">
        <w:t>work plan template that will describe their intended work around each required activity of PS18-1807</w:t>
      </w:r>
      <w:r w:rsidRPr="00E14CD3" w:rsidR="001A5FB8">
        <w:t xml:space="preserve"> </w:t>
      </w:r>
      <w:r w:rsidRPr="00E14CD3" w:rsidR="001A5FB8">
        <w:rPr>
          <w:color w:val="000000" w:themeColor="text1"/>
        </w:rPr>
        <w:t xml:space="preserve">(see </w:t>
      </w:r>
      <w:r w:rsidRPr="00E14CD3" w:rsidR="001A5FB8">
        <w:rPr>
          <w:b/>
          <w:color w:val="000000" w:themeColor="text1"/>
        </w:rPr>
        <w:t>Attachment 5 and Attachment 6)</w:t>
      </w:r>
      <w:r w:rsidRPr="00E14CD3" w:rsidR="00EF386A">
        <w:t>.</w:t>
      </w:r>
      <w:r w:rsidRPr="00E14CD3" w:rsidR="00D0798C">
        <w:t xml:space="preserve"> Component 2 recipients will also complete a structured and uniform professional development work plan template that will describe their intended professional development activities for PS18-1807 </w:t>
      </w:r>
      <w:r w:rsidRPr="00E14CD3" w:rsidR="00D0798C">
        <w:rPr>
          <w:color w:val="000000" w:themeColor="text1"/>
        </w:rPr>
        <w:t xml:space="preserve">(see </w:t>
      </w:r>
      <w:r w:rsidRPr="00E14CD3" w:rsidR="00D0798C">
        <w:rPr>
          <w:b/>
          <w:color w:val="000000" w:themeColor="text1"/>
        </w:rPr>
        <w:t>Attachment 7</w:t>
      </w:r>
      <w:r w:rsidRPr="00427CED" w:rsidR="00D0798C">
        <w:rPr>
          <w:color w:val="000000" w:themeColor="text1"/>
        </w:rPr>
        <w:t>)</w:t>
      </w:r>
      <w:r w:rsidRPr="00E14CD3" w:rsidR="00D0798C">
        <w:t>.</w:t>
      </w:r>
    </w:p>
    <w:p w:rsidRPr="00E14CD3" w:rsidR="00AB2B21" w:rsidP="006400D7" w:rsidRDefault="00AB2B21" w14:paraId="421DE09B" w14:textId="77777777">
      <w:pPr>
        <w:spacing w:before="120" w:line="240" w:lineRule="auto"/>
        <w:ind w:firstLine="720"/>
      </w:pPr>
    </w:p>
    <w:p w:rsidRPr="00E14CD3" w:rsidR="00AB13AF" w:rsidP="008B372F" w:rsidRDefault="002848EA" w14:paraId="0FAA1CFD" w14:textId="072EA53F">
      <w:pPr>
        <w:widowControl/>
        <w:numPr>
          <w:ilvl w:val="0"/>
          <w:numId w:val="22"/>
        </w:numPr>
        <w:autoSpaceDE/>
        <w:autoSpaceDN/>
        <w:adjustRightInd/>
        <w:spacing w:before="120" w:after="200" w:line="240" w:lineRule="auto"/>
        <w:ind w:left="720"/>
        <w:contextualSpacing/>
        <w:rPr>
          <w:color w:val="000000" w:themeColor="text1"/>
        </w:rPr>
      </w:pPr>
      <w:r w:rsidRPr="00E14CD3">
        <w:rPr>
          <w:color w:val="000000" w:themeColor="text1"/>
        </w:rPr>
        <w:t>The Component 1 information collection uses a self-administered</w:t>
      </w:r>
      <w:r w:rsidRPr="00E14CD3" w:rsidR="001730C6">
        <w:rPr>
          <w:color w:val="000000" w:themeColor="text1"/>
        </w:rPr>
        <w:t>, web-based</w:t>
      </w:r>
      <w:r w:rsidRPr="00E14CD3">
        <w:rPr>
          <w:color w:val="000000" w:themeColor="text1"/>
        </w:rPr>
        <w:t xml:space="preserve"> reporting template to assess </w:t>
      </w:r>
      <w:r w:rsidRPr="00E14CD3" w:rsidR="002A14B0">
        <w:rPr>
          <w:color w:val="000000" w:themeColor="text1"/>
        </w:rPr>
        <w:t xml:space="preserve">the </w:t>
      </w:r>
      <w:r w:rsidRPr="00E14CD3">
        <w:rPr>
          <w:color w:val="000000" w:themeColor="text1"/>
        </w:rPr>
        <w:t xml:space="preserve">surveillance activities conducted by recipient </w:t>
      </w:r>
      <w:r w:rsidRPr="00E14CD3" w:rsidR="00DB5EC8">
        <w:rPr>
          <w:color w:val="000000" w:themeColor="text1"/>
        </w:rPr>
        <w:t xml:space="preserve">education and </w:t>
      </w:r>
      <w:r w:rsidRPr="00E14CD3">
        <w:rPr>
          <w:color w:val="000000" w:themeColor="text1"/>
        </w:rPr>
        <w:t>health agencies</w:t>
      </w:r>
      <w:r w:rsidRPr="00E14CD3" w:rsidR="00216DF3">
        <w:rPr>
          <w:color w:val="000000" w:themeColor="text1"/>
        </w:rPr>
        <w:t>.</w:t>
      </w:r>
      <w:r w:rsidRPr="00E14CD3">
        <w:rPr>
          <w:color w:val="000000" w:themeColor="text1"/>
        </w:rPr>
        <w:t xml:space="preserve"> </w:t>
      </w:r>
      <w:r w:rsidRPr="00E14CD3" w:rsidR="0032060F">
        <w:rPr>
          <w:color w:val="000000" w:themeColor="text1"/>
        </w:rPr>
        <w:t xml:space="preserve">Additionally, the Component 1 recipients will complete a structured and uniform </w:t>
      </w:r>
      <w:r w:rsidRPr="00E14CD3" w:rsidR="008509E9">
        <w:rPr>
          <w:color w:val="000000" w:themeColor="text1"/>
        </w:rPr>
        <w:lastRenderedPageBreak/>
        <w:t xml:space="preserve">required programmatic activities </w:t>
      </w:r>
      <w:r w:rsidRPr="00E14CD3" w:rsidR="0032060F">
        <w:rPr>
          <w:color w:val="000000" w:themeColor="text1"/>
        </w:rPr>
        <w:t xml:space="preserve">work plan template that will describe their intended work around each required activity of PS18-1807. </w:t>
      </w:r>
      <w:r w:rsidRPr="00E14CD3" w:rsidR="00893AB7">
        <w:rPr>
          <w:color w:val="000000" w:themeColor="text1"/>
        </w:rPr>
        <w:t xml:space="preserve">The </w:t>
      </w:r>
      <w:r w:rsidRPr="00E14CD3" w:rsidR="0032060F">
        <w:rPr>
          <w:color w:val="000000" w:themeColor="text1"/>
        </w:rPr>
        <w:t xml:space="preserve">work plan and </w:t>
      </w:r>
      <w:r w:rsidRPr="00E14CD3" w:rsidR="00893AB7">
        <w:rPr>
          <w:color w:val="000000" w:themeColor="text1"/>
        </w:rPr>
        <w:t xml:space="preserve">reporting template will be completed by </w:t>
      </w:r>
      <w:r w:rsidRPr="00E14CD3" w:rsidR="000334D0">
        <w:rPr>
          <w:color w:val="000000" w:themeColor="text1"/>
        </w:rPr>
        <w:t xml:space="preserve">the </w:t>
      </w:r>
      <w:r w:rsidRPr="00E14CD3" w:rsidR="00893AB7">
        <w:rPr>
          <w:color w:val="000000" w:themeColor="text1"/>
        </w:rPr>
        <w:t xml:space="preserve">Project </w:t>
      </w:r>
      <w:r w:rsidRPr="00E14CD3" w:rsidR="00F13CAE">
        <w:rPr>
          <w:color w:val="000000" w:themeColor="text1"/>
        </w:rPr>
        <w:t>Manager</w:t>
      </w:r>
      <w:r w:rsidRPr="00E14CD3" w:rsidR="00893AB7">
        <w:rPr>
          <w:color w:val="000000" w:themeColor="text1"/>
        </w:rPr>
        <w:t xml:space="preserve"> of the funded agency.</w:t>
      </w:r>
      <w:r w:rsidRPr="00E14CD3" w:rsidR="00E03D23">
        <w:rPr>
          <w:color w:val="000000" w:themeColor="text1"/>
        </w:rPr>
        <w:t xml:space="preserve"> No personally identifiable information will be collected. </w:t>
      </w:r>
      <w:r w:rsidRPr="00E14CD3">
        <w:rPr>
          <w:color w:val="000000" w:themeColor="text1"/>
        </w:rPr>
        <w:t xml:space="preserve"> </w:t>
      </w:r>
      <w:r w:rsidRPr="00E14CD3" w:rsidR="00E03D23">
        <w:rPr>
          <w:color w:val="000000" w:themeColor="text1"/>
        </w:rPr>
        <w:t xml:space="preserve">The template will include questions on the following topics: </w:t>
      </w:r>
      <w:r w:rsidRPr="00E14CD3" w:rsidR="00216DF3">
        <w:rPr>
          <w:color w:val="000000" w:themeColor="text1"/>
        </w:rPr>
        <w:t xml:space="preserve">completion of the </w:t>
      </w:r>
      <w:r w:rsidRPr="00E14CD3" w:rsidR="00E03D23">
        <w:rPr>
          <w:color w:val="000000" w:themeColor="text1"/>
        </w:rPr>
        <w:t xml:space="preserve">Youth Risk Behavior Survey </w:t>
      </w:r>
      <w:r w:rsidRPr="00E14CD3" w:rsidR="008550A3">
        <w:rPr>
          <w:color w:val="000000" w:themeColor="text1"/>
        </w:rPr>
        <w:t xml:space="preserve">(YRBS) </w:t>
      </w:r>
      <w:r w:rsidRPr="00E14CD3" w:rsidR="00E03D23">
        <w:rPr>
          <w:color w:val="000000" w:themeColor="text1"/>
        </w:rPr>
        <w:t xml:space="preserve">and </w:t>
      </w:r>
      <w:r w:rsidRPr="00E14CD3" w:rsidR="00216DF3">
        <w:rPr>
          <w:color w:val="000000" w:themeColor="text1"/>
        </w:rPr>
        <w:t xml:space="preserve">completion of the </w:t>
      </w:r>
      <w:r w:rsidRPr="00E14CD3" w:rsidR="00E03D23">
        <w:rPr>
          <w:color w:val="000000" w:themeColor="text1"/>
        </w:rPr>
        <w:t>School Health Profiles (Profiles).</w:t>
      </w:r>
      <w:r w:rsidRPr="00E14CD3" w:rsidR="00EF386A">
        <w:rPr>
          <w:color w:val="000000" w:themeColor="text1"/>
        </w:rPr>
        <w:t xml:space="preserve">  </w:t>
      </w:r>
    </w:p>
    <w:p w:rsidRPr="00E14CD3" w:rsidR="00AB13AF" w:rsidP="00AB13AF" w:rsidRDefault="00AB13AF" w14:paraId="6C6D8E5F" w14:textId="77777777">
      <w:pPr>
        <w:widowControl/>
        <w:autoSpaceDE/>
        <w:autoSpaceDN/>
        <w:adjustRightInd/>
        <w:spacing w:before="120" w:after="200" w:line="240" w:lineRule="auto"/>
        <w:ind w:left="720"/>
        <w:contextualSpacing/>
        <w:rPr>
          <w:color w:val="000000" w:themeColor="text1"/>
        </w:rPr>
      </w:pPr>
    </w:p>
    <w:p w:rsidRPr="00E14CD3" w:rsidR="006E029B" w:rsidP="008B372F" w:rsidRDefault="002848EA" w14:paraId="747B76DD" w14:textId="192272FB">
      <w:pPr>
        <w:widowControl/>
        <w:numPr>
          <w:ilvl w:val="0"/>
          <w:numId w:val="22"/>
        </w:numPr>
        <w:autoSpaceDE/>
        <w:autoSpaceDN/>
        <w:adjustRightInd/>
        <w:spacing w:before="120" w:after="200" w:line="240" w:lineRule="auto"/>
        <w:ind w:left="720"/>
        <w:contextualSpacing/>
        <w:rPr>
          <w:color w:val="000000" w:themeColor="text1"/>
        </w:rPr>
      </w:pPr>
      <w:r w:rsidRPr="00E14CD3">
        <w:rPr>
          <w:color w:val="000000" w:themeColor="text1"/>
        </w:rPr>
        <w:t>The Component 2 information collection uses a self-administered</w:t>
      </w:r>
      <w:r w:rsidRPr="00E14CD3" w:rsidR="007861BE">
        <w:rPr>
          <w:color w:val="000000" w:themeColor="text1"/>
        </w:rPr>
        <w:t>, web-based</w:t>
      </w:r>
      <w:r w:rsidRPr="00E14CD3">
        <w:rPr>
          <w:color w:val="000000" w:themeColor="text1"/>
        </w:rPr>
        <w:t xml:space="preserve"> reporting template to assess HIV and STD prevention efforts conducted by </w:t>
      </w:r>
      <w:r w:rsidRPr="00E14CD3" w:rsidR="007861BE">
        <w:rPr>
          <w:color w:val="000000" w:themeColor="text1"/>
        </w:rPr>
        <w:t xml:space="preserve">recipient </w:t>
      </w:r>
      <w:r w:rsidRPr="00E14CD3">
        <w:rPr>
          <w:color w:val="000000" w:themeColor="text1"/>
        </w:rPr>
        <w:t>LEA</w:t>
      </w:r>
      <w:r w:rsidRPr="00E14CD3" w:rsidR="007861BE">
        <w:rPr>
          <w:color w:val="000000" w:themeColor="text1"/>
        </w:rPr>
        <w:t>s</w:t>
      </w:r>
      <w:r w:rsidRPr="00E14CD3">
        <w:rPr>
          <w:color w:val="000000" w:themeColor="text1"/>
        </w:rPr>
        <w:t xml:space="preserve">. </w:t>
      </w:r>
      <w:r w:rsidRPr="00E14CD3" w:rsidR="0032060F">
        <w:rPr>
          <w:color w:val="000000" w:themeColor="text1"/>
        </w:rPr>
        <w:t xml:space="preserve">Additionally, the Component 2 recipients will complete a structured and uniform </w:t>
      </w:r>
      <w:r w:rsidRPr="00E14CD3" w:rsidR="008509E9">
        <w:rPr>
          <w:color w:val="000000" w:themeColor="text1"/>
        </w:rPr>
        <w:t xml:space="preserve">required programmatic activities </w:t>
      </w:r>
      <w:r w:rsidRPr="00E14CD3" w:rsidR="0032060F">
        <w:rPr>
          <w:color w:val="000000" w:themeColor="text1"/>
        </w:rPr>
        <w:t>work plan template that will describe their intended work around each required activity of PS18-1807</w:t>
      </w:r>
      <w:r w:rsidRPr="00E14CD3" w:rsidR="00F12C0B">
        <w:rPr>
          <w:color w:val="000000" w:themeColor="text1"/>
        </w:rPr>
        <w:t>; they will also complete a struct</w:t>
      </w:r>
      <w:r w:rsidRPr="00E14CD3" w:rsidR="003E284F">
        <w:rPr>
          <w:color w:val="000000" w:themeColor="text1"/>
        </w:rPr>
        <w:t>ur</w:t>
      </w:r>
      <w:r w:rsidRPr="00E14CD3" w:rsidR="00F12C0B">
        <w:rPr>
          <w:color w:val="000000" w:themeColor="text1"/>
        </w:rPr>
        <w:t>ed and uniform professional development work plan template that will describe their intended professional development activities for PS18-1807</w:t>
      </w:r>
      <w:r w:rsidRPr="00E14CD3" w:rsidR="0032060F">
        <w:rPr>
          <w:color w:val="000000" w:themeColor="text1"/>
        </w:rPr>
        <w:t xml:space="preserve">. </w:t>
      </w:r>
      <w:r w:rsidRPr="00E14CD3" w:rsidR="00893AB7">
        <w:rPr>
          <w:color w:val="000000" w:themeColor="text1"/>
        </w:rPr>
        <w:t xml:space="preserve">The </w:t>
      </w:r>
      <w:r w:rsidRPr="00E14CD3" w:rsidR="0032060F">
        <w:rPr>
          <w:color w:val="000000" w:themeColor="text1"/>
        </w:rPr>
        <w:t>work plan</w:t>
      </w:r>
      <w:r w:rsidRPr="00E14CD3" w:rsidR="00996518">
        <w:rPr>
          <w:color w:val="000000" w:themeColor="text1"/>
        </w:rPr>
        <w:t>s</w:t>
      </w:r>
      <w:r w:rsidRPr="00E14CD3" w:rsidR="0032060F">
        <w:rPr>
          <w:color w:val="000000" w:themeColor="text1"/>
        </w:rPr>
        <w:t xml:space="preserve"> and reporting </w:t>
      </w:r>
      <w:r w:rsidRPr="00E14CD3" w:rsidR="00893AB7">
        <w:rPr>
          <w:color w:val="000000" w:themeColor="text1"/>
        </w:rPr>
        <w:t xml:space="preserve">template will be completed by the </w:t>
      </w:r>
      <w:r w:rsidRPr="00E14CD3" w:rsidR="004D1DAC">
        <w:rPr>
          <w:color w:val="000000" w:themeColor="text1"/>
        </w:rPr>
        <w:t>Program Manager</w:t>
      </w:r>
      <w:r w:rsidRPr="00E14CD3" w:rsidR="00893AB7">
        <w:rPr>
          <w:color w:val="000000" w:themeColor="text1"/>
        </w:rPr>
        <w:t xml:space="preserve"> of the </w:t>
      </w:r>
      <w:r w:rsidRPr="00E14CD3" w:rsidR="000334D0">
        <w:rPr>
          <w:color w:val="000000" w:themeColor="text1"/>
        </w:rPr>
        <w:t>LEA.</w:t>
      </w:r>
      <w:r w:rsidRPr="00E14CD3">
        <w:rPr>
          <w:color w:val="000000" w:themeColor="text1"/>
        </w:rPr>
        <w:t xml:space="preserve"> Th</w:t>
      </w:r>
      <w:r w:rsidRPr="00E14CD3" w:rsidR="000334D0">
        <w:rPr>
          <w:color w:val="000000" w:themeColor="text1"/>
        </w:rPr>
        <w:t>e</w:t>
      </w:r>
      <w:r w:rsidRPr="00E14CD3">
        <w:rPr>
          <w:color w:val="000000" w:themeColor="text1"/>
        </w:rPr>
        <w:t xml:space="preserve"> </w:t>
      </w:r>
      <w:r w:rsidRPr="00E14CD3" w:rsidR="00840C2A">
        <w:rPr>
          <w:color w:val="000000" w:themeColor="text1"/>
        </w:rPr>
        <w:t>template</w:t>
      </w:r>
      <w:r w:rsidRPr="00E14CD3" w:rsidR="00996518">
        <w:rPr>
          <w:color w:val="000000" w:themeColor="text1"/>
        </w:rPr>
        <w:t>s</w:t>
      </w:r>
      <w:r w:rsidRPr="00E14CD3" w:rsidR="00840C2A">
        <w:rPr>
          <w:color w:val="000000" w:themeColor="text1"/>
        </w:rPr>
        <w:t xml:space="preserve"> will include questions </w:t>
      </w:r>
      <w:r w:rsidRPr="00E14CD3" w:rsidR="00DF0BC0">
        <w:rPr>
          <w:color w:val="000000" w:themeColor="text1"/>
        </w:rPr>
        <w:t xml:space="preserve">that </w:t>
      </w:r>
      <w:r w:rsidRPr="00E14CD3" w:rsidR="00840C2A">
        <w:rPr>
          <w:color w:val="000000" w:themeColor="text1"/>
        </w:rPr>
        <w:t xml:space="preserve">ask the </w:t>
      </w:r>
      <w:r w:rsidRPr="00E14CD3" w:rsidR="000334D0">
        <w:rPr>
          <w:color w:val="000000" w:themeColor="text1"/>
        </w:rPr>
        <w:t>Program Manage</w:t>
      </w:r>
      <w:r w:rsidRPr="00E14CD3" w:rsidR="00DB5EC8">
        <w:rPr>
          <w:color w:val="000000" w:themeColor="text1"/>
        </w:rPr>
        <w:t>r</w:t>
      </w:r>
      <w:r w:rsidRPr="00E14CD3" w:rsidR="000334D0">
        <w:rPr>
          <w:color w:val="000000" w:themeColor="text1"/>
        </w:rPr>
        <w:t xml:space="preserve"> </w:t>
      </w:r>
      <w:r w:rsidRPr="00E14CD3" w:rsidR="00840C2A">
        <w:rPr>
          <w:color w:val="000000" w:themeColor="text1"/>
        </w:rPr>
        <w:t xml:space="preserve">to </w:t>
      </w:r>
      <w:r w:rsidRPr="00E14CD3" w:rsidR="00DB5EC8">
        <w:rPr>
          <w:color w:val="000000" w:themeColor="text1"/>
        </w:rPr>
        <w:t xml:space="preserve">assess </w:t>
      </w:r>
      <w:r w:rsidRPr="00E14CD3" w:rsidR="00840C2A">
        <w:rPr>
          <w:color w:val="000000" w:themeColor="text1"/>
        </w:rPr>
        <w:t>program</w:t>
      </w:r>
      <w:r w:rsidRPr="00E14CD3" w:rsidR="00150E78">
        <w:rPr>
          <w:color w:val="000000" w:themeColor="text1"/>
        </w:rPr>
        <w:t xml:space="preserve"> </w:t>
      </w:r>
      <w:r w:rsidRPr="00E14CD3" w:rsidR="00DB5EC8">
        <w:rPr>
          <w:color w:val="000000" w:themeColor="text1"/>
        </w:rPr>
        <w:t>completion of required activities</w:t>
      </w:r>
      <w:r w:rsidRPr="00E14CD3" w:rsidR="008752D1">
        <w:rPr>
          <w:color w:val="000000" w:themeColor="text1"/>
        </w:rPr>
        <w:t>:</w:t>
      </w:r>
      <w:r w:rsidRPr="00E14CD3" w:rsidR="00DB5EC8">
        <w:rPr>
          <w:color w:val="000000" w:themeColor="text1"/>
        </w:rPr>
        <w:t xml:space="preserve"> </w:t>
      </w:r>
      <w:r w:rsidRPr="00E14CD3">
        <w:rPr>
          <w:color w:val="000000" w:themeColor="text1"/>
        </w:rPr>
        <w:t xml:space="preserve">sexual health education (SHE), sexual health services (SHS), safe and supportive environments (SSE) required and additional </w:t>
      </w:r>
      <w:r w:rsidRPr="00E14CD3" w:rsidR="008550A3">
        <w:rPr>
          <w:color w:val="000000" w:themeColor="text1"/>
        </w:rPr>
        <w:t xml:space="preserve">activities </w:t>
      </w:r>
      <w:r w:rsidRPr="00E14CD3" w:rsidR="008752D1">
        <w:rPr>
          <w:color w:val="000000" w:themeColor="text1"/>
        </w:rPr>
        <w:t>the LEA chooses to implement</w:t>
      </w:r>
      <w:r w:rsidRPr="00E14CD3">
        <w:rPr>
          <w:color w:val="000000" w:themeColor="text1"/>
        </w:rPr>
        <w:t>. No personally identifiable information will be collected.</w:t>
      </w:r>
      <w:r w:rsidRPr="00E14CD3" w:rsidR="0032060F">
        <w:rPr>
          <w:color w:val="000000" w:themeColor="text1"/>
        </w:rPr>
        <w:t xml:space="preserve">  </w:t>
      </w:r>
    </w:p>
    <w:p w:rsidRPr="00E14CD3" w:rsidR="00AB13AF" w:rsidP="009D3319" w:rsidRDefault="00AB13AF" w14:paraId="09EB7F6F" w14:textId="77777777">
      <w:pPr>
        <w:widowControl/>
        <w:autoSpaceDE/>
        <w:autoSpaceDN/>
        <w:adjustRightInd/>
        <w:spacing w:before="120" w:line="240" w:lineRule="auto"/>
        <w:rPr>
          <w:color w:val="000000" w:themeColor="text1"/>
          <w:u w:val="single"/>
        </w:rPr>
      </w:pPr>
    </w:p>
    <w:p w:rsidRPr="00E14CD3" w:rsidR="008A1964" w:rsidP="009D3319" w:rsidRDefault="00082D49" w14:paraId="3F8BF332" w14:textId="515D78AE">
      <w:pPr>
        <w:widowControl/>
        <w:autoSpaceDE/>
        <w:autoSpaceDN/>
        <w:adjustRightInd/>
        <w:spacing w:before="120" w:line="240" w:lineRule="auto"/>
        <w:rPr>
          <w:color w:val="000000" w:themeColor="text1"/>
          <w:u w:val="single"/>
        </w:rPr>
      </w:pPr>
      <w:r w:rsidRPr="00E14CD3">
        <w:rPr>
          <w:color w:val="000000" w:themeColor="text1"/>
          <w:u w:val="single"/>
        </w:rPr>
        <w:t xml:space="preserve">Items of Information to be </w:t>
      </w:r>
      <w:r w:rsidRPr="00E14CD3" w:rsidR="005C2FAC">
        <w:rPr>
          <w:color w:val="000000" w:themeColor="text1"/>
          <w:u w:val="single"/>
        </w:rPr>
        <w:t>collected</w:t>
      </w:r>
    </w:p>
    <w:p w:rsidRPr="00E14CD3" w:rsidR="0054352D" w:rsidP="002848EA" w:rsidRDefault="002848EA" w14:paraId="76FDA931" w14:textId="4F71B365">
      <w:pPr>
        <w:spacing w:before="120" w:line="240" w:lineRule="auto"/>
        <w:ind w:firstLine="360"/>
        <w:rPr>
          <w:color w:val="000000" w:themeColor="text1"/>
        </w:rPr>
      </w:pPr>
      <w:r w:rsidRPr="00E14CD3">
        <w:rPr>
          <w:color w:val="000000" w:themeColor="text1"/>
        </w:rPr>
        <w:t xml:space="preserve">The Component 1 reporting template </w:t>
      </w:r>
      <w:r w:rsidRPr="00E14CD3" w:rsidR="0032060F">
        <w:rPr>
          <w:color w:val="000000" w:themeColor="text1"/>
        </w:rPr>
        <w:t xml:space="preserve">and work plan </w:t>
      </w:r>
      <w:r w:rsidRPr="00E14CD3">
        <w:rPr>
          <w:color w:val="000000" w:themeColor="text1"/>
        </w:rPr>
        <w:t>w</w:t>
      </w:r>
      <w:r w:rsidRPr="00E14CD3" w:rsidR="0054352D">
        <w:rPr>
          <w:color w:val="000000" w:themeColor="text1"/>
        </w:rPr>
        <w:t>ill collect information on the following:</w:t>
      </w:r>
    </w:p>
    <w:p w:rsidRPr="00E14CD3" w:rsidR="002848EA" w:rsidP="0054352D" w:rsidRDefault="003054E1" w14:paraId="7C50A972" w14:textId="3A257C0B">
      <w:pPr>
        <w:pStyle w:val="ListParagraph"/>
        <w:widowControl/>
        <w:numPr>
          <w:ilvl w:val="0"/>
          <w:numId w:val="19"/>
        </w:numPr>
        <w:autoSpaceDE/>
        <w:autoSpaceDN/>
        <w:adjustRightInd/>
        <w:spacing w:before="120" w:line="240" w:lineRule="auto"/>
        <w:rPr>
          <w:color w:val="000000" w:themeColor="text1"/>
        </w:rPr>
      </w:pPr>
      <w:r w:rsidRPr="00E14CD3">
        <w:rPr>
          <w:color w:val="000000" w:themeColor="text1"/>
        </w:rPr>
        <w:t xml:space="preserve">Completion </w:t>
      </w:r>
      <w:proofErr w:type="gramStart"/>
      <w:r w:rsidRPr="00E14CD3">
        <w:rPr>
          <w:color w:val="000000" w:themeColor="text1"/>
        </w:rPr>
        <w:t>of  the</w:t>
      </w:r>
      <w:proofErr w:type="gramEnd"/>
      <w:r w:rsidRPr="00E14CD3">
        <w:rPr>
          <w:color w:val="000000" w:themeColor="text1"/>
        </w:rPr>
        <w:t xml:space="preserve"> </w:t>
      </w:r>
      <w:r w:rsidRPr="00E14CD3" w:rsidR="002848EA">
        <w:rPr>
          <w:color w:val="000000" w:themeColor="text1"/>
        </w:rPr>
        <w:t>Y</w:t>
      </w:r>
      <w:r w:rsidRPr="00E14CD3" w:rsidR="009827B5">
        <w:rPr>
          <w:color w:val="000000" w:themeColor="text1"/>
        </w:rPr>
        <w:t>outh Risk Behavior Survey</w:t>
      </w:r>
    </w:p>
    <w:p w:rsidRPr="00E14CD3" w:rsidR="007266A2" w:rsidP="002848EA" w:rsidRDefault="003054E1" w14:paraId="3D8162F1" w14:textId="63A6FBC3">
      <w:pPr>
        <w:pStyle w:val="ListParagraph"/>
        <w:widowControl/>
        <w:numPr>
          <w:ilvl w:val="0"/>
          <w:numId w:val="19"/>
        </w:numPr>
        <w:autoSpaceDE/>
        <w:autoSpaceDN/>
        <w:adjustRightInd/>
        <w:spacing w:before="120" w:line="240" w:lineRule="auto"/>
        <w:rPr>
          <w:rFonts w:eastAsia="Calibri"/>
          <w:color w:val="000000" w:themeColor="text1"/>
        </w:rPr>
      </w:pPr>
      <w:r w:rsidRPr="00E14CD3">
        <w:rPr>
          <w:color w:val="000000" w:themeColor="text1"/>
        </w:rPr>
        <w:t xml:space="preserve">Completion </w:t>
      </w:r>
      <w:proofErr w:type="gramStart"/>
      <w:r w:rsidRPr="00E14CD3">
        <w:rPr>
          <w:color w:val="000000" w:themeColor="text1"/>
        </w:rPr>
        <w:t>of  the</w:t>
      </w:r>
      <w:proofErr w:type="gramEnd"/>
      <w:r w:rsidRPr="00E14CD3">
        <w:rPr>
          <w:color w:val="000000" w:themeColor="text1"/>
        </w:rPr>
        <w:t xml:space="preserve"> </w:t>
      </w:r>
      <w:r w:rsidRPr="00E14CD3" w:rsidR="002848EA">
        <w:rPr>
          <w:color w:val="000000" w:themeColor="text1"/>
        </w:rPr>
        <w:t>School Health Profiles (Profiles)</w:t>
      </w:r>
    </w:p>
    <w:p w:rsidRPr="00E14CD3" w:rsidR="002848EA" w:rsidP="002848EA" w:rsidRDefault="002848EA" w14:paraId="27BD7A04" w14:textId="77777777">
      <w:pPr>
        <w:widowControl/>
        <w:autoSpaceDE/>
        <w:autoSpaceDN/>
        <w:adjustRightInd/>
        <w:spacing w:before="120" w:line="240" w:lineRule="auto"/>
        <w:rPr>
          <w:rFonts w:eastAsia="Calibri"/>
          <w:color w:val="000000" w:themeColor="text1"/>
        </w:rPr>
      </w:pPr>
    </w:p>
    <w:p w:rsidRPr="00E14CD3" w:rsidR="002848EA" w:rsidP="002848EA" w:rsidRDefault="002848EA" w14:paraId="2AFEA35A" w14:textId="255DC996">
      <w:pPr>
        <w:widowControl/>
        <w:autoSpaceDE/>
        <w:autoSpaceDN/>
        <w:adjustRightInd/>
        <w:spacing w:before="120" w:line="240" w:lineRule="auto"/>
        <w:ind w:left="360"/>
        <w:rPr>
          <w:color w:val="000000" w:themeColor="text1"/>
        </w:rPr>
      </w:pPr>
      <w:r w:rsidRPr="00E14CD3">
        <w:rPr>
          <w:rFonts w:eastAsia="Calibri"/>
          <w:color w:val="000000" w:themeColor="text1"/>
        </w:rPr>
        <w:t xml:space="preserve">The Component 2 </w:t>
      </w:r>
      <w:r w:rsidRPr="00E14CD3">
        <w:rPr>
          <w:color w:val="000000" w:themeColor="text1"/>
        </w:rPr>
        <w:t xml:space="preserve">reporting template </w:t>
      </w:r>
      <w:r w:rsidRPr="00E14CD3" w:rsidR="0032060F">
        <w:rPr>
          <w:color w:val="000000" w:themeColor="text1"/>
        </w:rPr>
        <w:t xml:space="preserve">and </w:t>
      </w:r>
      <w:r w:rsidRPr="00E14CD3" w:rsidR="009306D6">
        <w:rPr>
          <w:color w:val="000000" w:themeColor="text1"/>
        </w:rPr>
        <w:t xml:space="preserve">required programmatic activities </w:t>
      </w:r>
      <w:r w:rsidRPr="00E14CD3" w:rsidR="0032060F">
        <w:rPr>
          <w:color w:val="000000" w:themeColor="text1"/>
        </w:rPr>
        <w:t xml:space="preserve">work plan </w:t>
      </w:r>
      <w:r w:rsidRPr="00E14CD3">
        <w:rPr>
          <w:color w:val="000000" w:themeColor="text1"/>
        </w:rPr>
        <w:t>will collect information on the following:</w:t>
      </w:r>
    </w:p>
    <w:p w:rsidRPr="00E14CD3" w:rsidR="002848EA" w:rsidP="002848EA" w:rsidRDefault="00C03F09" w14:paraId="05CD7A82" w14:textId="66BC8206">
      <w:pPr>
        <w:pStyle w:val="ListParagraph"/>
        <w:widowControl/>
        <w:numPr>
          <w:ilvl w:val="0"/>
          <w:numId w:val="20"/>
        </w:numPr>
        <w:autoSpaceDE/>
        <w:autoSpaceDN/>
        <w:adjustRightInd/>
        <w:spacing w:before="120" w:line="240" w:lineRule="auto"/>
        <w:rPr>
          <w:rFonts w:eastAsia="Calibri"/>
          <w:color w:val="000000" w:themeColor="text1"/>
        </w:rPr>
      </w:pPr>
      <w:r w:rsidRPr="00E14CD3">
        <w:rPr>
          <w:rFonts w:eastAsia="Calibri"/>
          <w:color w:val="000000" w:themeColor="text1"/>
        </w:rPr>
        <w:t xml:space="preserve">Completion of the </w:t>
      </w:r>
      <w:r w:rsidRPr="00E14CD3" w:rsidR="002848EA">
        <w:rPr>
          <w:rFonts w:eastAsia="Calibri"/>
          <w:color w:val="000000" w:themeColor="text1"/>
        </w:rPr>
        <w:t>sexual health education (SHE) activity requirements</w:t>
      </w:r>
    </w:p>
    <w:p w:rsidRPr="00E14CD3" w:rsidR="002848EA" w:rsidP="002848EA" w:rsidRDefault="00C03F09" w14:paraId="36E1734B" w14:textId="45A4E26D">
      <w:pPr>
        <w:pStyle w:val="ListParagraph"/>
        <w:widowControl/>
        <w:numPr>
          <w:ilvl w:val="0"/>
          <w:numId w:val="20"/>
        </w:numPr>
        <w:autoSpaceDE/>
        <w:autoSpaceDN/>
        <w:adjustRightInd/>
        <w:spacing w:before="120" w:line="240" w:lineRule="auto"/>
        <w:rPr>
          <w:rFonts w:eastAsia="Calibri"/>
          <w:color w:val="000000" w:themeColor="text1"/>
        </w:rPr>
      </w:pPr>
      <w:r w:rsidRPr="00E14CD3">
        <w:rPr>
          <w:rFonts w:eastAsia="Calibri"/>
          <w:color w:val="000000" w:themeColor="text1"/>
        </w:rPr>
        <w:t xml:space="preserve">Completion of the </w:t>
      </w:r>
      <w:r w:rsidRPr="00E14CD3" w:rsidR="002848EA">
        <w:rPr>
          <w:rFonts w:eastAsia="Calibri"/>
          <w:color w:val="000000" w:themeColor="text1"/>
        </w:rPr>
        <w:t>sexual health services (SHS) activity requirements</w:t>
      </w:r>
    </w:p>
    <w:p w:rsidRPr="00E14CD3" w:rsidR="009306D6" w:rsidP="009306D6" w:rsidRDefault="00C03F09" w14:paraId="0722834D" w14:textId="77777777">
      <w:pPr>
        <w:pStyle w:val="ListParagraph"/>
        <w:widowControl/>
        <w:numPr>
          <w:ilvl w:val="0"/>
          <w:numId w:val="20"/>
        </w:numPr>
        <w:autoSpaceDE/>
        <w:autoSpaceDN/>
        <w:adjustRightInd/>
        <w:spacing w:before="120" w:line="240" w:lineRule="auto"/>
        <w:rPr>
          <w:rFonts w:eastAsia="Calibri"/>
          <w:color w:val="000000" w:themeColor="text1"/>
        </w:rPr>
      </w:pPr>
      <w:r w:rsidRPr="00E14CD3">
        <w:rPr>
          <w:rFonts w:eastAsia="Calibri"/>
          <w:color w:val="000000" w:themeColor="text1"/>
        </w:rPr>
        <w:t xml:space="preserve">Completion of the </w:t>
      </w:r>
      <w:r w:rsidRPr="00E14CD3" w:rsidR="002848EA">
        <w:rPr>
          <w:rFonts w:eastAsia="Calibri"/>
          <w:color w:val="000000" w:themeColor="text1"/>
        </w:rPr>
        <w:t>safe and supportive environments (SSE) activity requirements</w:t>
      </w:r>
    </w:p>
    <w:p w:rsidRPr="00427CED" w:rsidR="009306D6" w:rsidP="00427CED" w:rsidRDefault="009306D6" w14:paraId="6B359C20" w14:textId="4C03DB18">
      <w:pPr>
        <w:widowControl/>
        <w:autoSpaceDE/>
        <w:autoSpaceDN/>
        <w:adjustRightInd/>
        <w:spacing w:before="120" w:line="240" w:lineRule="auto"/>
        <w:ind w:left="360"/>
        <w:rPr>
          <w:rFonts w:eastAsia="Calibri"/>
          <w:color w:val="000000" w:themeColor="text1"/>
        </w:rPr>
      </w:pPr>
      <w:r w:rsidRPr="00427CED">
        <w:rPr>
          <w:rFonts w:eastAsia="Calibri"/>
          <w:color w:val="000000" w:themeColor="text1"/>
        </w:rPr>
        <w:br/>
        <w:t>The Component 2 professional development work plan will collect information on intended professional development activities</w:t>
      </w:r>
      <w:r w:rsidRPr="00E14CD3">
        <w:rPr>
          <w:rFonts w:eastAsia="Calibri"/>
          <w:color w:val="000000" w:themeColor="text1"/>
        </w:rPr>
        <w:t>.</w:t>
      </w:r>
    </w:p>
    <w:p w:rsidRPr="00E14CD3" w:rsidR="002848EA" w:rsidP="009306D6" w:rsidRDefault="002848EA" w14:paraId="57F773C6" w14:textId="77777777">
      <w:pPr>
        <w:widowControl/>
        <w:autoSpaceDE/>
        <w:autoSpaceDN/>
        <w:adjustRightInd/>
        <w:spacing w:before="120" w:line="240" w:lineRule="auto"/>
        <w:rPr>
          <w:rFonts w:eastAsia="Calibri"/>
          <w:color w:val="000000" w:themeColor="text1"/>
        </w:rPr>
      </w:pPr>
    </w:p>
    <w:p w:rsidRPr="00E14CD3" w:rsidR="00B6728A" w:rsidP="004236F2" w:rsidRDefault="00A510BA" w14:paraId="4B214AD3" w14:textId="7045D89A">
      <w:pPr>
        <w:pStyle w:val="Heading1"/>
        <w:spacing w:before="120" w:after="0" w:line="240" w:lineRule="auto"/>
        <w:ind w:left="0" w:firstLine="0"/>
        <w:rPr>
          <w:rFonts w:cs="Times New Roman"/>
          <w:color w:val="000000" w:themeColor="text1"/>
          <w:szCs w:val="24"/>
        </w:rPr>
      </w:pPr>
      <w:bookmarkStart w:name="_Toc507658993" w:id="4"/>
      <w:r w:rsidRPr="00E14CD3">
        <w:rPr>
          <w:rFonts w:cs="Times New Roman"/>
          <w:color w:val="000000" w:themeColor="text1"/>
          <w:szCs w:val="24"/>
        </w:rPr>
        <w:t xml:space="preserve">Purpose and </w:t>
      </w:r>
      <w:r w:rsidRPr="00E14CD3" w:rsidR="007811F1">
        <w:rPr>
          <w:rFonts w:cs="Times New Roman"/>
          <w:color w:val="000000" w:themeColor="text1"/>
          <w:szCs w:val="24"/>
        </w:rPr>
        <w:t>U</w:t>
      </w:r>
      <w:r w:rsidRPr="00E14CD3">
        <w:rPr>
          <w:rFonts w:cs="Times New Roman"/>
          <w:color w:val="000000" w:themeColor="text1"/>
          <w:szCs w:val="24"/>
        </w:rPr>
        <w:t>se of Information Collection</w:t>
      </w:r>
      <w:bookmarkEnd w:id="4"/>
    </w:p>
    <w:p w:rsidRPr="00E14CD3" w:rsidR="009827B5" w:rsidP="009827B5" w:rsidRDefault="009827B5" w14:paraId="42937D63" w14:textId="77777777"/>
    <w:p w:rsidRPr="00E14CD3" w:rsidR="00C03F09" w:rsidP="00CB2A6F" w:rsidRDefault="00C03F09" w14:paraId="78917DDA" w14:textId="7BDA0746">
      <w:pPr>
        <w:widowControl/>
        <w:tabs>
          <w:tab w:val="right" w:pos="9360"/>
        </w:tabs>
        <w:autoSpaceDE/>
        <w:autoSpaceDN/>
        <w:adjustRightInd/>
        <w:spacing w:after="200" w:line="240" w:lineRule="auto"/>
        <w:ind w:firstLine="720"/>
        <w:contextualSpacing/>
      </w:pPr>
      <w:r w:rsidRPr="00E14CD3">
        <w:t xml:space="preserve">The purpose of this information collection is to obtain specific and consistent data that will be used to </w:t>
      </w:r>
      <w:r w:rsidRPr="00427CED">
        <w:rPr>
          <w:rFonts w:eastAsiaTheme="minorEastAsia"/>
          <w:bCs/>
        </w:rPr>
        <w:t xml:space="preserve">assess the extent to which recipients of </w:t>
      </w:r>
      <w:r w:rsidRPr="00E14CD3">
        <w:t>PS18-1807: Promoting Adolescent Health through School-Based HIV/STD, are successful in collecting surveillance data (</w:t>
      </w:r>
      <w:r w:rsidRPr="00E14CD3" w:rsidR="004D1DAC">
        <w:t>Component</w:t>
      </w:r>
      <w:r w:rsidRPr="00E14CD3">
        <w:t xml:space="preserve"> 1); and, implementing the required program</w:t>
      </w:r>
      <w:r w:rsidRPr="00E14CD3" w:rsidR="00434A3B">
        <w:t xml:space="preserve">matic activities </w:t>
      </w:r>
      <w:r w:rsidRPr="00E14CD3">
        <w:t xml:space="preserve"> </w:t>
      </w:r>
      <w:r w:rsidRPr="00427CED">
        <w:rPr>
          <w:rFonts w:eastAsiaTheme="minorEastAsia"/>
          <w:bCs/>
        </w:rPr>
        <w:t xml:space="preserve">successfully (Component 2).  The </w:t>
      </w:r>
      <w:r w:rsidRPr="00E14CD3">
        <w:t xml:space="preserve">Component 1 recipients include </w:t>
      </w:r>
      <w:r w:rsidRPr="00E14CD3" w:rsidR="00CB2A6F">
        <w:t xml:space="preserve">state, territorial, local, and tribal education and </w:t>
      </w:r>
      <w:r w:rsidRPr="00E14CD3">
        <w:t>health agencies.</w:t>
      </w:r>
      <w:r w:rsidRPr="00E14CD3" w:rsidR="00CB2A6F">
        <w:t xml:space="preserve"> </w:t>
      </w:r>
      <w:r w:rsidRPr="00E14CD3">
        <w:t xml:space="preserve"> Component 2 recipients include </w:t>
      </w:r>
      <w:r w:rsidRPr="00E14CD3" w:rsidR="00CB2A6F">
        <w:t>l</w:t>
      </w:r>
      <w:r w:rsidRPr="00E14CD3">
        <w:t xml:space="preserve">ocal </w:t>
      </w:r>
      <w:r w:rsidRPr="00E14CD3" w:rsidR="00CB2A6F">
        <w:t>e</w:t>
      </w:r>
      <w:r w:rsidRPr="00E14CD3">
        <w:t xml:space="preserve">ducation </w:t>
      </w:r>
      <w:r w:rsidRPr="00E14CD3" w:rsidR="00CB2A6F">
        <w:t>a</w:t>
      </w:r>
      <w:r w:rsidRPr="00E14CD3">
        <w:t xml:space="preserve">gencies. Data will be </w:t>
      </w:r>
      <w:r w:rsidRPr="00E14CD3" w:rsidR="004D1DAC">
        <w:t>collected</w:t>
      </w:r>
      <w:r w:rsidRPr="00E14CD3">
        <w:t xml:space="preserve"> using different </w:t>
      </w:r>
      <w:r w:rsidRPr="00E14CD3">
        <w:lastRenderedPageBreak/>
        <w:t xml:space="preserve">templates for each </w:t>
      </w:r>
      <w:r w:rsidRPr="00E14CD3" w:rsidR="00CB2A6F">
        <w:t>component</w:t>
      </w:r>
      <w:r w:rsidRPr="00E14CD3">
        <w:t>.</w:t>
      </w:r>
      <w:r w:rsidRPr="00E14CD3" w:rsidR="00CB2A6F">
        <w:t xml:space="preserve"> </w:t>
      </w:r>
      <w:r w:rsidRPr="00E14CD3">
        <w:t xml:space="preserve"> Using a structured </w:t>
      </w:r>
      <w:r w:rsidRPr="00E14CD3" w:rsidR="0032060F">
        <w:t xml:space="preserve">reporting </w:t>
      </w:r>
      <w:r w:rsidRPr="00E14CD3">
        <w:t xml:space="preserve">template </w:t>
      </w:r>
      <w:r w:rsidRPr="00E14CD3" w:rsidR="0032060F">
        <w:t>and work plan</w:t>
      </w:r>
      <w:r w:rsidRPr="00E14CD3" w:rsidR="00434A3B">
        <w:t>s</w:t>
      </w:r>
      <w:r w:rsidRPr="00E14CD3" w:rsidR="0032060F">
        <w:t xml:space="preserve"> </w:t>
      </w:r>
      <w:r w:rsidRPr="00E14CD3" w:rsidR="00434A3B">
        <w:t xml:space="preserve">(required programmatic activities work plan and professional development work plan) </w:t>
      </w:r>
      <w:r w:rsidRPr="00E14CD3">
        <w:t xml:space="preserve">for each set of recipients will provide uniformity in reporting for DASH to better understand and analyze the successes, challenges, and need for program support. </w:t>
      </w:r>
    </w:p>
    <w:p w:rsidRPr="00E14CD3" w:rsidR="00C03F09" w:rsidP="00C03F09" w:rsidRDefault="00C03F09" w14:paraId="15C8E439" w14:textId="77777777">
      <w:pPr>
        <w:widowControl/>
        <w:tabs>
          <w:tab w:val="right" w:pos="9360"/>
        </w:tabs>
        <w:autoSpaceDE/>
        <w:autoSpaceDN/>
        <w:adjustRightInd/>
        <w:spacing w:after="200" w:line="240" w:lineRule="auto"/>
        <w:ind w:left="360"/>
        <w:contextualSpacing/>
      </w:pPr>
    </w:p>
    <w:p w:rsidRPr="00E14CD3" w:rsidR="00CB2A6F" w:rsidP="003755E5" w:rsidRDefault="003755E5" w14:paraId="6ECAFA67" w14:textId="5CDB2914">
      <w:pPr>
        <w:spacing w:before="120" w:line="240" w:lineRule="auto"/>
        <w:ind w:firstLine="720"/>
        <w:rPr>
          <w:color w:val="000000" w:themeColor="text1"/>
        </w:rPr>
      </w:pPr>
      <w:r w:rsidRPr="00E14CD3">
        <w:rPr>
          <w:color w:val="000000" w:themeColor="text1"/>
        </w:rPr>
        <w:t>DASH will conduct t</w:t>
      </w:r>
      <w:r w:rsidRPr="00E14CD3" w:rsidR="00434A3B">
        <w:rPr>
          <w:color w:val="000000" w:themeColor="text1"/>
        </w:rPr>
        <w:t>hree</w:t>
      </w:r>
      <w:r w:rsidRPr="00E14CD3">
        <w:rPr>
          <w:color w:val="000000" w:themeColor="text1"/>
        </w:rPr>
        <w:t xml:space="preserve"> (</w:t>
      </w:r>
      <w:r w:rsidRPr="00E14CD3" w:rsidR="00434A3B">
        <w:rPr>
          <w:color w:val="000000" w:themeColor="text1"/>
        </w:rPr>
        <w:t>3</w:t>
      </w:r>
      <w:r w:rsidRPr="00E14CD3">
        <w:rPr>
          <w:color w:val="000000" w:themeColor="text1"/>
        </w:rPr>
        <w:t xml:space="preserve">) information collections entitled, “Promoting Adolescent Health through School-Based HIV/STD Prevention Reporting Templates.” There are separate templates for Component 1 reporting and for Component 2 reporting. </w:t>
      </w:r>
      <w:r w:rsidRPr="00E14CD3" w:rsidR="001A5FB8">
        <w:rPr>
          <w:color w:val="000000" w:themeColor="text1"/>
        </w:rPr>
        <w:t xml:space="preserve">Eighty </w:t>
      </w:r>
      <w:r w:rsidRPr="00E14CD3">
        <w:rPr>
          <w:color w:val="000000" w:themeColor="text1"/>
        </w:rPr>
        <w:t>(</w:t>
      </w:r>
      <w:r w:rsidRPr="00E14CD3" w:rsidR="001A5FB8">
        <w:rPr>
          <w:color w:val="000000" w:themeColor="text1"/>
        </w:rPr>
        <w:t>80</w:t>
      </w:r>
      <w:r w:rsidRPr="00E14CD3">
        <w:rPr>
          <w:color w:val="000000" w:themeColor="text1"/>
        </w:rPr>
        <w:t xml:space="preserve">) </w:t>
      </w:r>
      <w:r w:rsidRPr="00E14CD3" w:rsidR="00944A6B">
        <w:rPr>
          <w:color w:val="000000" w:themeColor="text1"/>
        </w:rPr>
        <w:t xml:space="preserve">recipient </w:t>
      </w:r>
      <w:r w:rsidRPr="00E14CD3" w:rsidR="0056501C">
        <w:rPr>
          <w:color w:val="000000" w:themeColor="text1"/>
        </w:rPr>
        <w:t xml:space="preserve">education and health </w:t>
      </w:r>
      <w:r w:rsidRPr="00E14CD3" w:rsidR="003F5F4B">
        <w:rPr>
          <w:color w:val="000000" w:themeColor="text1"/>
        </w:rPr>
        <w:t xml:space="preserve">agencies </w:t>
      </w:r>
      <w:r w:rsidRPr="00E14CD3">
        <w:rPr>
          <w:color w:val="000000" w:themeColor="text1"/>
        </w:rPr>
        <w:t xml:space="preserve">will </w:t>
      </w:r>
      <w:r w:rsidRPr="00E14CD3" w:rsidR="003F5F4B">
        <w:rPr>
          <w:color w:val="000000" w:themeColor="text1"/>
        </w:rPr>
        <w:t xml:space="preserve">complete </w:t>
      </w:r>
      <w:r w:rsidRPr="00E14CD3">
        <w:rPr>
          <w:color w:val="000000" w:themeColor="text1"/>
        </w:rPr>
        <w:t xml:space="preserve">the Component 1 </w:t>
      </w:r>
      <w:r w:rsidRPr="00E14CD3" w:rsidR="0032060F">
        <w:rPr>
          <w:color w:val="000000" w:themeColor="text1"/>
        </w:rPr>
        <w:t xml:space="preserve">reporting </w:t>
      </w:r>
      <w:r w:rsidRPr="00E14CD3">
        <w:rPr>
          <w:color w:val="000000" w:themeColor="text1"/>
        </w:rPr>
        <w:t>template</w:t>
      </w:r>
      <w:r w:rsidRPr="00E14CD3" w:rsidR="0032060F">
        <w:rPr>
          <w:color w:val="000000" w:themeColor="text1"/>
        </w:rPr>
        <w:t xml:space="preserve"> and work plan</w:t>
      </w:r>
      <w:r w:rsidRPr="00E14CD3">
        <w:rPr>
          <w:color w:val="000000" w:themeColor="text1"/>
        </w:rPr>
        <w:t xml:space="preserve">; </w:t>
      </w:r>
      <w:r w:rsidRPr="00E14CD3" w:rsidR="003F5F4B">
        <w:rPr>
          <w:color w:val="000000" w:themeColor="text1"/>
        </w:rPr>
        <w:t xml:space="preserve">and, </w:t>
      </w:r>
      <w:r w:rsidRPr="00E14CD3">
        <w:rPr>
          <w:color w:val="000000" w:themeColor="text1"/>
        </w:rPr>
        <w:t>twenty-</w:t>
      </w:r>
      <w:r w:rsidRPr="00E14CD3" w:rsidR="0032060F">
        <w:rPr>
          <w:color w:val="000000" w:themeColor="text1"/>
        </w:rPr>
        <w:t xml:space="preserve">five </w:t>
      </w:r>
      <w:r w:rsidRPr="00E14CD3">
        <w:rPr>
          <w:color w:val="000000" w:themeColor="text1"/>
        </w:rPr>
        <w:t>(2</w:t>
      </w:r>
      <w:r w:rsidRPr="00E14CD3" w:rsidR="0032060F">
        <w:rPr>
          <w:color w:val="000000" w:themeColor="text1"/>
        </w:rPr>
        <w:t>5</w:t>
      </w:r>
      <w:r w:rsidRPr="00E14CD3">
        <w:rPr>
          <w:color w:val="000000" w:themeColor="text1"/>
        </w:rPr>
        <w:t xml:space="preserve">) will </w:t>
      </w:r>
      <w:r w:rsidRPr="00E14CD3" w:rsidR="003F5F4B">
        <w:rPr>
          <w:color w:val="000000" w:themeColor="text1"/>
        </w:rPr>
        <w:t xml:space="preserve">complete </w:t>
      </w:r>
      <w:r w:rsidRPr="00E14CD3">
        <w:rPr>
          <w:color w:val="000000" w:themeColor="text1"/>
        </w:rPr>
        <w:t xml:space="preserve">the Component 2 </w:t>
      </w:r>
      <w:r w:rsidRPr="00E14CD3" w:rsidR="0032060F">
        <w:rPr>
          <w:color w:val="000000" w:themeColor="text1"/>
        </w:rPr>
        <w:t xml:space="preserve">reporting </w:t>
      </w:r>
      <w:r w:rsidRPr="00E14CD3">
        <w:rPr>
          <w:color w:val="000000" w:themeColor="text1"/>
        </w:rPr>
        <w:t>template</w:t>
      </w:r>
      <w:r w:rsidRPr="00E14CD3" w:rsidR="0032060F">
        <w:rPr>
          <w:color w:val="000000" w:themeColor="text1"/>
        </w:rPr>
        <w:t xml:space="preserve"> and work plan</w:t>
      </w:r>
      <w:r w:rsidRPr="00E14CD3" w:rsidR="00434A3B">
        <w:rPr>
          <w:color w:val="000000" w:themeColor="text1"/>
        </w:rPr>
        <w:t xml:space="preserve">s </w:t>
      </w:r>
      <w:r w:rsidRPr="00E14CD3" w:rsidR="00434A3B">
        <w:t>(required programmatic activities work plan and professional development work plan)</w:t>
      </w:r>
      <w:r w:rsidRPr="00E14CD3">
        <w:rPr>
          <w:color w:val="000000" w:themeColor="text1"/>
        </w:rPr>
        <w:t>.</w:t>
      </w:r>
      <w:r w:rsidRPr="00E14CD3" w:rsidR="00CB2A6F">
        <w:rPr>
          <w:color w:val="000000" w:themeColor="text1"/>
        </w:rPr>
        <w:t xml:space="preserve"> </w:t>
      </w:r>
      <w:r w:rsidRPr="00E14CD3">
        <w:rPr>
          <w:color w:val="000000" w:themeColor="text1"/>
        </w:rPr>
        <w:t xml:space="preserve"> </w:t>
      </w:r>
      <w:r w:rsidRPr="00E14CD3" w:rsidR="00C16ADE">
        <w:rPr>
          <w:color w:val="000000" w:themeColor="text1"/>
        </w:rPr>
        <w:t xml:space="preserve">Without this data collection, </w:t>
      </w:r>
      <w:r w:rsidRPr="00E14CD3" w:rsidR="0056501C">
        <w:rPr>
          <w:color w:val="000000" w:themeColor="text1"/>
        </w:rPr>
        <w:t>Program Managers might not routinely</w:t>
      </w:r>
      <w:r w:rsidRPr="00E14CD3" w:rsidR="008F7CB4">
        <w:rPr>
          <w:color w:val="000000" w:themeColor="text1"/>
        </w:rPr>
        <w:t xml:space="preserve"> </w:t>
      </w:r>
      <w:r w:rsidRPr="00E14CD3" w:rsidR="0056501C">
        <w:rPr>
          <w:color w:val="000000" w:themeColor="text1"/>
        </w:rPr>
        <w:t>assess</w:t>
      </w:r>
      <w:r w:rsidRPr="00E14CD3" w:rsidR="008F7CB4">
        <w:rPr>
          <w:color w:val="000000" w:themeColor="text1"/>
        </w:rPr>
        <w:t xml:space="preserve"> their </w:t>
      </w:r>
      <w:r w:rsidRPr="00E14CD3" w:rsidR="0056501C">
        <w:rPr>
          <w:color w:val="000000" w:themeColor="text1"/>
        </w:rPr>
        <w:t xml:space="preserve">own </w:t>
      </w:r>
      <w:r w:rsidRPr="00E14CD3" w:rsidR="008F7CB4">
        <w:rPr>
          <w:color w:val="000000" w:themeColor="text1"/>
        </w:rPr>
        <w:t xml:space="preserve">program </w:t>
      </w:r>
      <w:r w:rsidRPr="00E14CD3" w:rsidR="00DA3A5D">
        <w:rPr>
          <w:color w:val="000000" w:themeColor="text1"/>
        </w:rPr>
        <w:t xml:space="preserve">completion of </w:t>
      </w:r>
      <w:r w:rsidRPr="00E14CD3" w:rsidR="008F7CB4">
        <w:rPr>
          <w:color w:val="000000" w:themeColor="text1"/>
        </w:rPr>
        <w:t>activities</w:t>
      </w:r>
      <w:r w:rsidRPr="00E14CD3" w:rsidR="00DA3A5D">
        <w:rPr>
          <w:color w:val="000000" w:themeColor="text1"/>
        </w:rPr>
        <w:t xml:space="preserve">.  This could </w:t>
      </w:r>
      <w:r w:rsidRPr="00E14CD3" w:rsidR="008F7CB4">
        <w:rPr>
          <w:color w:val="000000" w:themeColor="text1"/>
        </w:rPr>
        <w:t xml:space="preserve">limit their ability to </w:t>
      </w:r>
      <w:r w:rsidRPr="00E14CD3" w:rsidR="00DA3A5D">
        <w:rPr>
          <w:color w:val="000000" w:themeColor="text1"/>
        </w:rPr>
        <w:t xml:space="preserve">monitor and improve </w:t>
      </w:r>
      <w:r w:rsidRPr="00E14CD3" w:rsidR="00D73CEF">
        <w:rPr>
          <w:color w:val="000000" w:themeColor="text1"/>
        </w:rPr>
        <w:t>their</w:t>
      </w:r>
      <w:r w:rsidRPr="00E14CD3" w:rsidR="008021C8">
        <w:rPr>
          <w:color w:val="000000" w:themeColor="text1"/>
        </w:rPr>
        <w:t xml:space="preserve"> </w:t>
      </w:r>
      <w:r w:rsidRPr="00E14CD3" w:rsidR="00DA3A5D">
        <w:rPr>
          <w:color w:val="000000" w:themeColor="text1"/>
        </w:rPr>
        <w:t xml:space="preserve">implementation of </w:t>
      </w:r>
      <w:r w:rsidRPr="00E14CD3">
        <w:rPr>
          <w:color w:val="000000" w:themeColor="text1"/>
        </w:rPr>
        <w:t xml:space="preserve">sexual health education, sexual </w:t>
      </w:r>
      <w:r w:rsidRPr="00E14CD3" w:rsidR="00ED0A22">
        <w:rPr>
          <w:color w:val="000000" w:themeColor="text1"/>
        </w:rPr>
        <w:t>health service</w:t>
      </w:r>
      <w:r w:rsidRPr="00E14CD3">
        <w:rPr>
          <w:color w:val="000000" w:themeColor="text1"/>
        </w:rPr>
        <w:t>s, and safe and supportive environment</w:t>
      </w:r>
      <w:r w:rsidRPr="00E14CD3" w:rsidR="00DA3A5D">
        <w:rPr>
          <w:color w:val="000000" w:themeColor="text1"/>
        </w:rPr>
        <w:t xml:space="preserve"> required </w:t>
      </w:r>
      <w:r w:rsidRPr="00E14CD3" w:rsidR="008021C8">
        <w:rPr>
          <w:color w:val="000000" w:themeColor="text1"/>
        </w:rPr>
        <w:t>activities</w:t>
      </w:r>
      <w:r w:rsidRPr="00E14CD3" w:rsidR="00DA3A5D">
        <w:rPr>
          <w:color w:val="000000" w:themeColor="text1"/>
        </w:rPr>
        <w:t>.</w:t>
      </w:r>
      <w:r w:rsidRPr="00E14CD3" w:rsidR="00D73CEF">
        <w:rPr>
          <w:color w:val="000000" w:themeColor="text1"/>
        </w:rPr>
        <w:t xml:space="preserve">  </w:t>
      </w:r>
      <w:r w:rsidRPr="00E14CD3" w:rsidR="00C16ADE">
        <w:rPr>
          <w:color w:val="000000" w:themeColor="text1"/>
        </w:rPr>
        <w:t>In addition, without collecting this dat</w:t>
      </w:r>
      <w:r w:rsidRPr="00E14CD3" w:rsidR="00D73CEF">
        <w:rPr>
          <w:color w:val="000000" w:themeColor="text1"/>
        </w:rPr>
        <w:t xml:space="preserve">a, </w:t>
      </w:r>
      <w:r w:rsidRPr="00E14CD3" w:rsidR="00DA3A5D">
        <w:rPr>
          <w:color w:val="000000" w:themeColor="text1"/>
        </w:rPr>
        <w:t xml:space="preserve">DASH </w:t>
      </w:r>
      <w:r w:rsidRPr="00E14CD3" w:rsidR="00D73CEF">
        <w:rPr>
          <w:color w:val="000000" w:themeColor="text1"/>
        </w:rPr>
        <w:t xml:space="preserve">would have reduced </w:t>
      </w:r>
      <w:r w:rsidRPr="00E14CD3" w:rsidR="00DA3A5D">
        <w:rPr>
          <w:color w:val="000000" w:themeColor="text1"/>
        </w:rPr>
        <w:t xml:space="preserve">documentation </w:t>
      </w:r>
      <w:r w:rsidRPr="00E14CD3" w:rsidR="00D73CEF">
        <w:rPr>
          <w:color w:val="000000" w:themeColor="text1"/>
        </w:rPr>
        <w:t xml:space="preserve">of </w:t>
      </w:r>
      <w:r w:rsidRPr="00E14CD3">
        <w:rPr>
          <w:color w:val="000000" w:themeColor="text1"/>
        </w:rPr>
        <w:t xml:space="preserve">what PS18-1807 recipients </w:t>
      </w:r>
      <w:r w:rsidRPr="00E14CD3" w:rsidR="00DA3A5D">
        <w:rPr>
          <w:color w:val="000000" w:themeColor="text1"/>
        </w:rPr>
        <w:t xml:space="preserve">have </w:t>
      </w:r>
      <w:r w:rsidRPr="00E14CD3">
        <w:rPr>
          <w:color w:val="000000" w:themeColor="text1"/>
        </w:rPr>
        <w:t>accomplished each budget period</w:t>
      </w:r>
      <w:r w:rsidRPr="00E14CD3" w:rsidR="00C16ADE">
        <w:rPr>
          <w:color w:val="000000" w:themeColor="text1"/>
        </w:rPr>
        <w:t>.</w:t>
      </w:r>
    </w:p>
    <w:p w:rsidRPr="00E14CD3" w:rsidR="00C41B78" w:rsidP="003755E5" w:rsidRDefault="00230CF2" w14:paraId="58EDFBB0" w14:textId="3552E445">
      <w:pPr>
        <w:spacing w:before="120" w:line="240" w:lineRule="auto"/>
        <w:ind w:firstLine="720"/>
        <w:rPr>
          <w:color w:val="000000" w:themeColor="text1"/>
        </w:rPr>
      </w:pPr>
      <w:r w:rsidRPr="00E14CD3">
        <w:rPr>
          <w:color w:val="000000" w:themeColor="text1"/>
        </w:rPr>
        <w:t xml:space="preserve">Each </w:t>
      </w:r>
      <w:r w:rsidRPr="00E14CD3" w:rsidR="0032060F">
        <w:rPr>
          <w:color w:val="000000" w:themeColor="text1"/>
        </w:rPr>
        <w:t xml:space="preserve">reporting template </w:t>
      </w:r>
      <w:r w:rsidRPr="00E14CD3">
        <w:rPr>
          <w:color w:val="000000" w:themeColor="text1"/>
        </w:rPr>
        <w:t xml:space="preserve">data collection will be completed </w:t>
      </w:r>
      <w:r w:rsidRPr="00E14CD3" w:rsidR="00415317">
        <w:rPr>
          <w:color w:val="000000" w:themeColor="text1"/>
        </w:rPr>
        <w:t xml:space="preserve">for </w:t>
      </w:r>
      <w:r w:rsidRPr="00E14CD3">
        <w:rPr>
          <w:color w:val="000000" w:themeColor="text1"/>
        </w:rPr>
        <w:t>every six months of work for the three-year OMB approval.  The first reporting period is from August 1, 20</w:t>
      </w:r>
      <w:r w:rsidRPr="00E14CD3" w:rsidR="0032060F">
        <w:rPr>
          <w:color w:val="000000" w:themeColor="text1"/>
        </w:rPr>
        <w:t>20</w:t>
      </w:r>
      <w:r w:rsidRPr="00E14CD3">
        <w:rPr>
          <w:color w:val="000000" w:themeColor="text1"/>
        </w:rPr>
        <w:t xml:space="preserve"> – January 31, 202</w:t>
      </w:r>
      <w:r w:rsidRPr="00E14CD3" w:rsidR="0032060F">
        <w:rPr>
          <w:color w:val="000000" w:themeColor="text1"/>
        </w:rPr>
        <w:t>1</w:t>
      </w:r>
      <w:r w:rsidRPr="00E14CD3">
        <w:rPr>
          <w:color w:val="000000" w:themeColor="text1"/>
        </w:rPr>
        <w:t xml:space="preserve">; the second reporting period is </w:t>
      </w:r>
      <w:r w:rsidRPr="00E14CD3" w:rsidR="00415317">
        <w:rPr>
          <w:color w:val="000000" w:themeColor="text1"/>
        </w:rPr>
        <w:t>February 1, 202</w:t>
      </w:r>
      <w:r w:rsidRPr="00E14CD3" w:rsidR="0032060F">
        <w:rPr>
          <w:color w:val="000000" w:themeColor="text1"/>
        </w:rPr>
        <w:t>1</w:t>
      </w:r>
      <w:r w:rsidRPr="00E14CD3" w:rsidR="00415317">
        <w:rPr>
          <w:color w:val="000000" w:themeColor="text1"/>
        </w:rPr>
        <w:t xml:space="preserve"> – July 31, 202</w:t>
      </w:r>
      <w:r w:rsidRPr="00E14CD3" w:rsidR="0032060F">
        <w:rPr>
          <w:color w:val="000000" w:themeColor="text1"/>
        </w:rPr>
        <w:t>1</w:t>
      </w:r>
      <w:r w:rsidRPr="00E14CD3" w:rsidR="00415317">
        <w:rPr>
          <w:color w:val="000000" w:themeColor="text1"/>
        </w:rPr>
        <w:t xml:space="preserve">.  This cycle repeats </w:t>
      </w:r>
      <w:r w:rsidRPr="00E14CD3" w:rsidR="00944A6B">
        <w:rPr>
          <w:color w:val="000000" w:themeColor="text1"/>
        </w:rPr>
        <w:t xml:space="preserve">for both reporting periods </w:t>
      </w:r>
      <w:r w:rsidRPr="00E14CD3" w:rsidR="00415317">
        <w:rPr>
          <w:color w:val="000000" w:themeColor="text1"/>
        </w:rPr>
        <w:t>for two more years.</w:t>
      </w:r>
      <w:r w:rsidRPr="00E14CD3" w:rsidR="0032060F">
        <w:rPr>
          <w:color w:val="000000" w:themeColor="text1"/>
        </w:rPr>
        <w:t xml:space="preserve">  </w:t>
      </w:r>
      <w:proofErr w:type="gramStart"/>
      <w:r w:rsidRPr="00E14CD3" w:rsidR="0032060F">
        <w:rPr>
          <w:color w:val="000000" w:themeColor="text1"/>
        </w:rPr>
        <w:t>The  work</w:t>
      </w:r>
      <w:proofErr w:type="gramEnd"/>
      <w:r w:rsidRPr="00E14CD3" w:rsidR="0032060F">
        <w:rPr>
          <w:color w:val="000000" w:themeColor="text1"/>
        </w:rPr>
        <w:t xml:space="preserve"> plan</w:t>
      </w:r>
      <w:r w:rsidRPr="00E14CD3" w:rsidR="00434A3B">
        <w:rPr>
          <w:color w:val="000000" w:themeColor="text1"/>
        </w:rPr>
        <w:t xml:space="preserve">s </w:t>
      </w:r>
      <w:r w:rsidRPr="00E14CD3" w:rsidR="00434A3B">
        <w:t>(required programmatic activities work plan and professional development work plan)</w:t>
      </w:r>
      <w:r w:rsidRPr="00E14CD3" w:rsidR="0032060F">
        <w:rPr>
          <w:color w:val="000000" w:themeColor="text1"/>
        </w:rPr>
        <w:t xml:space="preserve"> wi</w:t>
      </w:r>
      <w:r w:rsidRPr="00E14CD3" w:rsidR="009B4235">
        <w:rPr>
          <w:color w:val="000000" w:themeColor="text1"/>
        </w:rPr>
        <w:t>ll</w:t>
      </w:r>
      <w:r w:rsidRPr="00E14CD3" w:rsidR="0032060F">
        <w:rPr>
          <w:color w:val="000000" w:themeColor="text1"/>
        </w:rPr>
        <w:t xml:space="preserve"> collect proposed work plan activities for a one year period (August 1 – July 31) and then repeat annually for the remainder of the OMB approval.</w:t>
      </w:r>
    </w:p>
    <w:p w:rsidRPr="00E14CD3" w:rsidR="00F926E4" w:rsidP="00E53553" w:rsidRDefault="00F926E4" w14:paraId="5C9C4CF7" w14:textId="77777777">
      <w:pPr>
        <w:spacing w:before="120" w:line="240" w:lineRule="auto"/>
        <w:rPr>
          <w:color w:val="000000" w:themeColor="text1"/>
        </w:rPr>
      </w:pPr>
    </w:p>
    <w:p w:rsidRPr="00E14CD3" w:rsidR="0025413D" w:rsidP="004236F2" w:rsidRDefault="00A510BA" w14:paraId="73419870" w14:textId="77777777">
      <w:pPr>
        <w:pStyle w:val="Heading1"/>
        <w:spacing w:before="120" w:after="0" w:line="240" w:lineRule="auto"/>
        <w:ind w:left="0" w:firstLine="0"/>
        <w:rPr>
          <w:rFonts w:cs="Times New Roman"/>
          <w:color w:val="000000" w:themeColor="text1"/>
          <w:szCs w:val="24"/>
        </w:rPr>
      </w:pPr>
      <w:bookmarkStart w:name="_Toc507658994" w:id="5"/>
      <w:r w:rsidRPr="00E14CD3">
        <w:rPr>
          <w:rFonts w:cs="Times New Roman"/>
          <w:color w:val="000000" w:themeColor="text1"/>
          <w:szCs w:val="24"/>
        </w:rPr>
        <w:t>Use of Improved Inf</w:t>
      </w:r>
      <w:r w:rsidRPr="00E14CD3" w:rsidR="007811F1">
        <w:rPr>
          <w:rFonts w:cs="Times New Roman"/>
          <w:color w:val="000000" w:themeColor="text1"/>
          <w:szCs w:val="24"/>
        </w:rPr>
        <w:t>ormation Technology and Burden R</w:t>
      </w:r>
      <w:r w:rsidRPr="00E14CD3">
        <w:rPr>
          <w:rFonts w:cs="Times New Roman"/>
          <w:color w:val="000000" w:themeColor="text1"/>
          <w:szCs w:val="24"/>
        </w:rPr>
        <w:t>eduction</w:t>
      </w:r>
      <w:bookmarkEnd w:id="5"/>
    </w:p>
    <w:p w:rsidRPr="00E14CD3" w:rsidR="00C16ADE" w:rsidP="008A1964" w:rsidRDefault="00F67939" w14:paraId="3681F26E" w14:textId="4E84531B">
      <w:pPr>
        <w:spacing w:before="120" w:line="240" w:lineRule="auto"/>
        <w:ind w:firstLine="720"/>
        <w:rPr>
          <w:color w:val="000000" w:themeColor="text1"/>
        </w:rPr>
      </w:pPr>
      <w:r w:rsidRPr="00E14CD3">
        <w:rPr>
          <w:color w:val="000000" w:themeColor="text1"/>
        </w:rPr>
        <w:t xml:space="preserve">The reporting templates </w:t>
      </w:r>
      <w:r w:rsidRPr="00E14CD3" w:rsidR="00BB0C65">
        <w:rPr>
          <w:color w:val="000000" w:themeColor="text1"/>
        </w:rPr>
        <w:t xml:space="preserve">and work plans </w:t>
      </w:r>
      <w:r w:rsidRPr="00E14CD3" w:rsidR="00434A3B">
        <w:t xml:space="preserve">(required programmatic activities work plan and professional development work plan) </w:t>
      </w:r>
      <w:r w:rsidRPr="00E14CD3" w:rsidR="00C16ADE">
        <w:rPr>
          <w:color w:val="000000" w:themeColor="text1"/>
        </w:rPr>
        <w:t xml:space="preserve">will </w:t>
      </w:r>
      <w:r w:rsidRPr="00E14CD3" w:rsidR="00C847E3">
        <w:rPr>
          <w:color w:val="000000" w:themeColor="text1"/>
        </w:rPr>
        <w:t xml:space="preserve">be </w:t>
      </w:r>
      <w:r w:rsidRPr="00E14CD3">
        <w:rPr>
          <w:color w:val="000000" w:themeColor="text1"/>
        </w:rPr>
        <w:t>available online</w:t>
      </w:r>
      <w:r w:rsidRPr="00E14CD3" w:rsidR="000E612F">
        <w:rPr>
          <w:color w:val="000000" w:themeColor="text1"/>
        </w:rPr>
        <w:t xml:space="preserve"> as fillable </w:t>
      </w:r>
      <w:proofErr w:type="gramStart"/>
      <w:r w:rsidRPr="00E14CD3" w:rsidR="00BC04AC">
        <w:rPr>
          <w:color w:val="000000" w:themeColor="text1"/>
        </w:rPr>
        <w:t xml:space="preserve">webpages </w:t>
      </w:r>
      <w:r w:rsidRPr="00E14CD3">
        <w:rPr>
          <w:color w:val="000000" w:themeColor="text1"/>
        </w:rPr>
        <w:t xml:space="preserve"> </w:t>
      </w:r>
      <w:r w:rsidRPr="00E14CD3" w:rsidR="00415317">
        <w:rPr>
          <w:color w:val="000000" w:themeColor="text1"/>
        </w:rPr>
        <w:t>through</w:t>
      </w:r>
      <w:proofErr w:type="gramEnd"/>
      <w:r w:rsidRPr="00E14CD3" w:rsidR="00415317">
        <w:rPr>
          <w:color w:val="000000" w:themeColor="text1"/>
        </w:rPr>
        <w:t xml:space="preserve"> DASH’s website; templates </w:t>
      </w:r>
      <w:r w:rsidRPr="00E14CD3" w:rsidR="00C847E3">
        <w:rPr>
          <w:color w:val="000000" w:themeColor="text1"/>
        </w:rPr>
        <w:t xml:space="preserve">will be completed by the PS18-1807 </w:t>
      </w:r>
      <w:r w:rsidRPr="00E14CD3" w:rsidR="00A46BDD">
        <w:rPr>
          <w:color w:val="000000" w:themeColor="text1"/>
        </w:rPr>
        <w:t xml:space="preserve">Program Managers </w:t>
      </w:r>
      <w:r w:rsidRPr="00E14CD3" w:rsidR="00C847E3">
        <w:rPr>
          <w:color w:val="000000" w:themeColor="text1"/>
        </w:rPr>
        <w:t xml:space="preserve">responsible </w:t>
      </w:r>
      <w:r w:rsidRPr="00E14CD3" w:rsidR="00415317">
        <w:rPr>
          <w:color w:val="000000" w:themeColor="text1"/>
        </w:rPr>
        <w:t xml:space="preserve">for </w:t>
      </w:r>
      <w:r w:rsidRPr="00E14CD3" w:rsidR="00C847E3">
        <w:rPr>
          <w:color w:val="000000" w:themeColor="text1"/>
        </w:rPr>
        <w:t>meeting the reporting requirements of PS18-1807</w:t>
      </w:r>
      <w:r w:rsidRPr="00E14CD3" w:rsidR="00C16ADE">
        <w:rPr>
          <w:color w:val="000000" w:themeColor="text1"/>
        </w:rPr>
        <w:t xml:space="preserve">.  </w:t>
      </w:r>
      <w:r w:rsidRPr="00E14CD3" w:rsidR="00E37CE0">
        <w:rPr>
          <w:color w:val="000000" w:themeColor="text1"/>
        </w:rPr>
        <w:t xml:space="preserve">Data can be filled out </w:t>
      </w:r>
      <w:r w:rsidRPr="00E14CD3" w:rsidR="00BC04AC">
        <w:rPr>
          <w:color w:val="000000" w:themeColor="text1"/>
        </w:rPr>
        <w:t xml:space="preserve">on-line </w:t>
      </w:r>
      <w:r w:rsidRPr="00E14CD3" w:rsidR="00415317">
        <w:rPr>
          <w:color w:val="000000" w:themeColor="text1"/>
        </w:rPr>
        <w:t xml:space="preserve">and saved </w:t>
      </w:r>
      <w:r w:rsidRPr="00E14CD3" w:rsidR="00E37CE0">
        <w:rPr>
          <w:color w:val="000000" w:themeColor="text1"/>
        </w:rPr>
        <w:t>as required activities are completed</w:t>
      </w:r>
      <w:r w:rsidRPr="00E14CD3" w:rsidR="000E612F">
        <w:rPr>
          <w:color w:val="000000" w:themeColor="text1"/>
        </w:rPr>
        <w:t xml:space="preserve"> over each </w:t>
      </w:r>
      <w:proofErr w:type="gramStart"/>
      <w:r w:rsidRPr="00E14CD3" w:rsidR="000E612F">
        <w:rPr>
          <w:color w:val="000000" w:themeColor="text1"/>
        </w:rPr>
        <w:t>six month</w:t>
      </w:r>
      <w:proofErr w:type="gramEnd"/>
      <w:r w:rsidRPr="00E14CD3" w:rsidR="000E612F">
        <w:rPr>
          <w:color w:val="000000" w:themeColor="text1"/>
        </w:rPr>
        <w:t xml:space="preserve"> reporting period</w:t>
      </w:r>
      <w:r w:rsidRPr="00E14CD3" w:rsidR="00E37CE0">
        <w:rPr>
          <w:color w:val="000000" w:themeColor="text1"/>
        </w:rPr>
        <w:t>.</w:t>
      </w:r>
      <w:r w:rsidRPr="00E14CD3" w:rsidR="00415317">
        <w:rPr>
          <w:color w:val="000000" w:themeColor="text1"/>
        </w:rPr>
        <w:t xml:space="preserve">  </w:t>
      </w:r>
      <w:r w:rsidRPr="00E14CD3" w:rsidR="000E612F">
        <w:rPr>
          <w:color w:val="000000" w:themeColor="text1"/>
        </w:rPr>
        <w:t xml:space="preserve">Once completed, the reporting templates </w:t>
      </w:r>
      <w:r w:rsidRPr="00E14CD3" w:rsidR="00BC04AC">
        <w:rPr>
          <w:color w:val="000000" w:themeColor="text1"/>
        </w:rPr>
        <w:t>and work plan</w:t>
      </w:r>
      <w:r w:rsidRPr="00E14CD3" w:rsidR="00434A3B">
        <w:rPr>
          <w:color w:val="000000" w:themeColor="text1"/>
        </w:rPr>
        <w:t>s</w:t>
      </w:r>
      <w:r w:rsidRPr="00E14CD3" w:rsidR="00BC04AC">
        <w:rPr>
          <w:color w:val="000000" w:themeColor="text1"/>
        </w:rPr>
        <w:t xml:space="preserve"> </w:t>
      </w:r>
      <w:r w:rsidRPr="00E14CD3" w:rsidR="00434A3B">
        <w:t xml:space="preserve">(required programmatic activities work plan and professional development work plan) </w:t>
      </w:r>
      <w:r w:rsidRPr="00E14CD3" w:rsidR="000E612F">
        <w:rPr>
          <w:color w:val="000000" w:themeColor="text1"/>
        </w:rPr>
        <w:t xml:space="preserve">would be submitted to GrantSolutions.gov for review by DASH </w:t>
      </w:r>
      <w:r w:rsidRPr="00E14CD3" w:rsidR="00A46BDD">
        <w:rPr>
          <w:color w:val="000000" w:themeColor="text1"/>
        </w:rPr>
        <w:t xml:space="preserve">Program </w:t>
      </w:r>
      <w:r w:rsidRPr="00E14CD3" w:rsidR="004D1DAC">
        <w:rPr>
          <w:color w:val="000000" w:themeColor="text1"/>
        </w:rPr>
        <w:t>Consultants</w:t>
      </w:r>
      <w:r w:rsidRPr="00E14CD3" w:rsidR="000E612F">
        <w:rPr>
          <w:color w:val="000000" w:themeColor="text1"/>
        </w:rPr>
        <w:t>.</w:t>
      </w:r>
    </w:p>
    <w:p w:rsidRPr="00E14CD3" w:rsidR="00685034" w:rsidP="008A1964" w:rsidRDefault="009347AB" w14:paraId="323E359C" w14:textId="77777777">
      <w:pPr>
        <w:pStyle w:val="Style1"/>
        <w:spacing w:before="120" w:after="0"/>
        <w:ind w:firstLine="720"/>
        <w:rPr>
          <w:color w:val="000000" w:themeColor="text1"/>
        </w:rPr>
      </w:pPr>
      <w:r w:rsidRPr="00E14CD3">
        <w:rPr>
          <w:color w:val="000000" w:themeColor="text1"/>
        </w:rPr>
        <w:t xml:space="preserve"> </w:t>
      </w:r>
    </w:p>
    <w:p w:rsidRPr="00E14CD3" w:rsidR="008A1964" w:rsidP="004236F2" w:rsidRDefault="007811F1" w14:paraId="179B7EBC" w14:textId="77777777">
      <w:pPr>
        <w:pStyle w:val="Heading1"/>
        <w:spacing w:before="120" w:after="0" w:line="240" w:lineRule="auto"/>
        <w:ind w:left="0" w:firstLine="0"/>
        <w:rPr>
          <w:rFonts w:cs="Times New Roman"/>
          <w:color w:val="000000" w:themeColor="text1"/>
          <w:szCs w:val="24"/>
        </w:rPr>
      </w:pPr>
      <w:bookmarkStart w:name="_Toc507658995" w:id="6"/>
      <w:r w:rsidRPr="00E14CD3">
        <w:rPr>
          <w:rFonts w:cs="Times New Roman"/>
          <w:color w:val="000000" w:themeColor="text1"/>
          <w:szCs w:val="24"/>
        </w:rPr>
        <w:t>Efforts t</w:t>
      </w:r>
      <w:r w:rsidRPr="00E14CD3" w:rsidR="00A510BA">
        <w:rPr>
          <w:rFonts w:cs="Times New Roman"/>
          <w:color w:val="000000" w:themeColor="text1"/>
          <w:szCs w:val="24"/>
        </w:rPr>
        <w:t>o Identify and Use of Similar Information</w:t>
      </w:r>
      <w:bookmarkEnd w:id="6"/>
    </w:p>
    <w:p w:rsidRPr="00E14CD3" w:rsidR="00A10ACB" w:rsidP="00A10ACB" w:rsidRDefault="00A10ACB" w14:paraId="4359BCB3" w14:textId="02A1AE91">
      <w:pPr>
        <w:spacing w:before="120" w:line="240" w:lineRule="auto"/>
        <w:ind w:firstLine="720"/>
        <w:rPr>
          <w:color w:val="000000" w:themeColor="text1"/>
        </w:rPr>
      </w:pPr>
      <w:r w:rsidRPr="00E14CD3">
        <w:rPr>
          <w:color w:val="000000" w:themeColor="text1"/>
        </w:rPr>
        <w:t xml:space="preserve">In preparation for collection of data from </w:t>
      </w:r>
      <w:r w:rsidRPr="00E14CD3" w:rsidR="007B1212">
        <w:rPr>
          <w:color w:val="000000" w:themeColor="text1"/>
        </w:rPr>
        <w:t>PS18-1807 recipients</w:t>
      </w:r>
      <w:r w:rsidRPr="00E14CD3">
        <w:rPr>
          <w:color w:val="000000" w:themeColor="text1"/>
        </w:rPr>
        <w:t xml:space="preserve">, </w:t>
      </w:r>
      <w:r w:rsidRPr="00E14CD3" w:rsidR="007B1212">
        <w:rPr>
          <w:color w:val="000000" w:themeColor="text1"/>
        </w:rPr>
        <w:t>DASH staff reviewed all other reporting guidelines</w:t>
      </w:r>
      <w:r w:rsidRPr="00E14CD3" w:rsidR="001B37D6">
        <w:rPr>
          <w:color w:val="000000" w:themeColor="text1"/>
        </w:rPr>
        <w:t xml:space="preserve"> </w:t>
      </w:r>
      <w:r w:rsidRPr="00E14CD3" w:rsidR="007B1212">
        <w:rPr>
          <w:color w:val="000000" w:themeColor="text1"/>
        </w:rPr>
        <w:t xml:space="preserve">and </w:t>
      </w:r>
      <w:r w:rsidRPr="00E14CD3">
        <w:rPr>
          <w:color w:val="000000" w:themeColor="text1"/>
        </w:rPr>
        <w:t xml:space="preserve">did not find any other source of information that can provide the relevant in-depth information </w:t>
      </w:r>
      <w:r w:rsidRPr="00E14CD3" w:rsidR="007B1212">
        <w:rPr>
          <w:color w:val="000000" w:themeColor="text1"/>
        </w:rPr>
        <w:t>of the completion of activities required under PS18-1807</w:t>
      </w:r>
      <w:r w:rsidRPr="00E14CD3">
        <w:rPr>
          <w:color w:val="000000" w:themeColor="text1"/>
        </w:rPr>
        <w:t>.</w:t>
      </w:r>
      <w:r w:rsidRPr="00E14CD3" w:rsidR="000E612F">
        <w:rPr>
          <w:color w:val="000000" w:themeColor="text1"/>
        </w:rPr>
        <w:t xml:space="preserve">  The data collected is specific to the work completed by the PS18-1807 </w:t>
      </w:r>
      <w:r w:rsidRPr="00E14CD3" w:rsidR="004D1DAC">
        <w:rPr>
          <w:color w:val="000000" w:themeColor="text1"/>
        </w:rPr>
        <w:t>recipients</w:t>
      </w:r>
      <w:r w:rsidRPr="00E14CD3" w:rsidR="000E612F">
        <w:rPr>
          <w:color w:val="000000" w:themeColor="text1"/>
        </w:rPr>
        <w:t>.</w:t>
      </w:r>
    </w:p>
    <w:p w:rsidRPr="00E14CD3" w:rsidR="00F926E4" w:rsidP="008A1964" w:rsidRDefault="00F926E4" w14:paraId="64A90707" w14:textId="77777777">
      <w:pPr>
        <w:spacing w:before="120" w:line="240" w:lineRule="auto"/>
        <w:rPr>
          <w:color w:val="000000" w:themeColor="text1"/>
        </w:rPr>
      </w:pPr>
    </w:p>
    <w:p w:rsidRPr="00E14CD3" w:rsidR="00B6728A" w:rsidP="004236F2" w:rsidRDefault="00A510BA" w14:paraId="437F75E1" w14:textId="77777777">
      <w:pPr>
        <w:pStyle w:val="Heading1"/>
        <w:spacing w:before="120" w:after="0" w:line="240" w:lineRule="auto"/>
        <w:ind w:left="0" w:firstLine="0"/>
        <w:rPr>
          <w:rFonts w:cs="Times New Roman"/>
          <w:color w:val="000000" w:themeColor="text1"/>
          <w:szCs w:val="24"/>
        </w:rPr>
      </w:pPr>
      <w:bookmarkStart w:name="_Toc507658996" w:id="7"/>
      <w:r w:rsidRPr="00E14CD3">
        <w:rPr>
          <w:rFonts w:cs="Times New Roman"/>
          <w:color w:val="000000" w:themeColor="text1"/>
          <w:szCs w:val="24"/>
        </w:rPr>
        <w:t>Impact o</w:t>
      </w:r>
      <w:r w:rsidRPr="00E14CD3" w:rsidR="004236F2">
        <w:rPr>
          <w:rFonts w:cs="Times New Roman"/>
          <w:color w:val="000000" w:themeColor="text1"/>
          <w:szCs w:val="24"/>
        </w:rPr>
        <w:t>n</w:t>
      </w:r>
      <w:r w:rsidRPr="00E14CD3">
        <w:rPr>
          <w:rFonts w:cs="Times New Roman"/>
          <w:color w:val="000000" w:themeColor="text1"/>
          <w:szCs w:val="24"/>
        </w:rPr>
        <w:t xml:space="preserve"> Small Businesses or Other Small Entities</w:t>
      </w:r>
      <w:bookmarkEnd w:id="7"/>
    </w:p>
    <w:p w:rsidRPr="00E14CD3" w:rsidR="00731459" w:rsidP="008A1964" w:rsidRDefault="00685034" w14:paraId="0BDA0684" w14:textId="77777777">
      <w:pPr>
        <w:spacing w:before="120" w:line="240" w:lineRule="auto"/>
        <w:ind w:firstLine="720"/>
        <w:rPr>
          <w:color w:val="000000" w:themeColor="text1"/>
        </w:rPr>
      </w:pPr>
      <w:bookmarkStart w:name="_Toc227033746" w:id="8"/>
      <w:bookmarkStart w:name="_Toc322357314" w:id="9"/>
      <w:r w:rsidRPr="00E14CD3">
        <w:rPr>
          <w:color w:val="000000" w:themeColor="text1"/>
        </w:rPr>
        <w:t>This data collection will not involve small businesses.</w:t>
      </w:r>
    </w:p>
    <w:p w:rsidRPr="00E14CD3" w:rsidR="00F926E4" w:rsidP="008A1964" w:rsidRDefault="00F926E4" w14:paraId="4638BE42" w14:textId="77777777">
      <w:pPr>
        <w:spacing w:before="120" w:line="240" w:lineRule="auto"/>
        <w:rPr>
          <w:color w:val="000000" w:themeColor="text1"/>
        </w:rPr>
      </w:pPr>
    </w:p>
    <w:p w:rsidRPr="00E14CD3" w:rsidR="00B6728A" w:rsidP="004236F2" w:rsidRDefault="00A510BA" w14:paraId="09E7CEAF" w14:textId="77777777">
      <w:pPr>
        <w:pStyle w:val="Heading1"/>
        <w:spacing w:before="120" w:after="0" w:line="240" w:lineRule="auto"/>
        <w:ind w:left="0" w:firstLine="0"/>
        <w:rPr>
          <w:rFonts w:cs="Times New Roman"/>
          <w:color w:val="000000" w:themeColor="text1"/>
          <w:szCs w:val="24"/>
        </w:rPr>
      </w:pPr>
      <w:bookmarkStart w:name="_Toc507658997" w:id="10"/>
      <w:bookmarkEnd w:id="8"/>
      <w:bookmarkEnd w:id="9"/>
      <w:r w:rsidRPr="00E14CD3">
        <w:rPr>
          <w:rFonts w:cs="Times New Roman"/>
          <w:color w:val="000000" w:themeColor="text1"/>
          <w:szCs w:val="24"/>
        </w:rPr>
        <w:lastRenderedPageBreak/>
        <w:t>Consequences of Collecting the Information Less Frequently</w:t>
      </w:r>
      <w:bookmarkEnd w:id="10"/>
    </w:p>
    <w:p w:rsidRPr="00E14CD3" w:rsidR="00685034" w:rsidP="008A1964" w:rsidRDefault="00C16ADE" w14:paraId="1CF0C7D9" w14:textId="53B71734">
      <w:pPr>
        <w:spacing w:before="120" w:line="240" w:lineRule="auto"/>
        <w:ind w:firstLine="720"/>
        <w:rPr>
          <w:color w:val="000000" w:themeColor="text1"/>
        </w:rPr>
      </w:pPr>
      <w:r w:rsidRPr="00E14CD3">
        <w:rPr>
          <w:color w:val="000000" w:themeColor="text1"/>
          <w:shd w:val="clear" w:color="auto" w:fill="FFFFFF" w:themeFill="background1"/>
        </w:rPr>
        <w:t xml:space="preserve">This </w:t>
      </w:r>
      <w:r w:rsidRPr="00E14CD3" w:rsidR="00BC04AC">
        <w:rPr>
          <w:color w:val="000000" w:themeColor="text1"/>
          <w:shd w:val="clear" w:color="auto" w:fill="FFFFFF" w:themeFill="background1"/>
        </w:rPr>
        <w:t xml:space="preserve">reporting </w:t>
      </w:r>
      <w:r w:rsidRPr="00E14CD3">
        <w:rPr>
          <w:color w:val="000000" w:themeColor="text1"/>
          <w:shd w:val="clear" w:color="auto" w:fill="FFFFFF" w:themeFill="background1"/>
        </w:rPr>
        <w:t xml:space="preserve">information collection is scheduled </w:t>
      </w:r>
      <w:r w:rsidRPr="00E14CD3" w:rsidR="007B1212">
        <w:rPr>
          <w:color w:val="000000" w:themeColor="text1"/>
          <w:shd w:val="clear" w:color="auto" w:fill="FFFFFF" w:themeFill="background1"/>
        </w:rPr>
        <w:t xml:space="preserve">every six months </w:t>
      </w:r>
      <w:r w:rsidRPr="00E14CD3" w:rsidR="009E1B6B">
        <w:rPr>
          <w:color w:val="000000" w:themeColor="text1"/>
          <w:shd w:val="clear" w:color="auto" w:fill="FFFFFF" w:themeFill="background1"/>
        </w:rPr>
        <w:t xml:space="preserve">during </w:t>
      </w:r>
      <w:r w:rsidRPr="00E14CD3" w:rsidR="007B1212">
        <w:rPr>
          <w:color w:val="000000" w:themeColor="text1"/>
          <w:shd w:val="clear" w:color="auto" w:fill="FFFFFF" w:themeFill="background1"/>
        </w:rPr>
        <w:t>the 5-year funding period as required by the Notice of Funding Opportunity (NOFO) and the Notice of Award (NOA) letter</w:t>
      </w:r>
      <w:r w:rsidRPr="00E14CD3" w:rsidR="00E9429A">
        <w:rPr>
          <w:color w:val="000000" w:themeColor="text1"/>
          <w:shd w:val="clear" w:color="auto" w:fill="FFFFFF" w:themeFill="background1"/>
        </w:rPr>
        <w:t xml:space="preserve">. </w:t>
      </w:r>
      <w:r w:rsidRPr="00E14CD3" w:rsidR="00BC04AC">
        <w:rPr>
          <w:color w:val="000000" w:themeColor="text1"/>
          <w:shd w:val="clear" w:color="auto" w:fill="FFFFFF" w:themeFill="background1"/>
        </w:rPr>
        <w:t>The work plan</w:t>
      </w:r>
      <w:r w:rsidRPr="00E14CD3" w:rsidR="00434A3B">
        <w:rPr>
          <w:color w:val="000000" w:themeColor="text1"/>
          <w:shd w:val="clear" w:color="auto" w:fill="FFFFFF" w:themeFill="background1"/>
        </w:rPr>
        <w:t>s</w:t>
      </w:r>
      <w:r w:rsidRPr="00E14CD3" w:rsidR="00BC04AC">
        <w:rPr>
          <w:color w:val="000000" w:themeColor="text1"/>
          <w:shd w:val="clear" w:color="auto" w:fill="FFFFFF" w:themeFill="background1"/>
        </w:rPr>
        <w:t xml:space="preserve"> </w:t>
      </w:r>
      <w:r w:rsidRPr="00E14CD3" w:rsidR="00434A3B">
        <w:t xml:space="preserve">(required programmatic activities work plan and professional development work plan) </w:t>
      </w:r>
      <w:r w:rsidRPr="00E14CD3" w:rsidR="00BC04AC">
        <w:rPr>
          <w:color w:val="000000" w:themeColor="text1"/>
          <w:shd w:val="clear" w:color="auto" w:fill="FFFFFF" w:themeFill="background1"/>
        </w:rPr>
        <w:t>information collection is scheduled every twelve months during the 5-year funding period as required by the Notice of Funding Opportunity (NOFO) and the Notice of Award (NOA) letter.</w:t>
      </w:r>
      <w:r w:rsidRPr="00E14CD3" w:rsidR="00570E83">
        <w:rPr>
          <w:color w:val="000000" w:themeColor="text1"/>
          <w:shd w:val="clear" w:color="auto" w:fill="FFFFFF" w:themeFill="background1"/>
        </w:rPr>
        <w:t xml:space="preserve">  </w:t>
      </w:r>
      <w:r w:rsidRPr="00E14CD3" w:rsidR="00685034">
        <w:rPr>
          <w:color w:val="000000" w:themeColor="text1"/>
          <w:shd w:val="clear" w:color="auto" w:fill="FFFFFF" w:themeFill="background1"/>
        </w:rPr>
        <w:t xml:space="preserve">Collecting the data less frequently would mean not collecting the data at all, and there would be </w:t>
      </w:r>
      <w:proofErr w:type="gramStart"/>
      <w:r w:rsidRPr="00E14CD3" w:rsidR="00685034">
        <w:rPr>
          <w:color w:val="000000" w:themeColor="text1"/>
          <w:shd w:val="clear" w:color="auto" w:fill="FFFFFF" w:themeFill="background1"/>
        </w:rPr>
        <w:t>a number of</w:t>
      </w:r>
      <w:proofErr w:type="gramEnd"/>
      <w:r w:rsidRPr="00E14CD3" w:rsidR="00685034">
        <w:rPr>
          <w:color w:val="000000" w:themeColor="text1"/>
          <w:shd w:val="clear" w:color="auto" w:fill="FFFFFF" w:themeFill="background1"/>
        </w:rPr>
        <w:t xml:space="preserve"> negative con</w:t>
      </w:r>
      <w:r w:rsidRPr="00E14CD3" w:rsidR="00D00D5A">
        <w:rPr>
          <w:color w:val="000000" w:themeColor="text1"/>
          <w:shd w:val="clear" w:color="auto" w:fill="FFFFFF" w:themeFill="background1"/>
        </w:rPr>
        <w:t xml:space="preserve">sequences to this.  First, </w:t>
      </w:r>
      <w:r w:rsidRPr="00E14CD3" w:rsidR="007B1212">
        <w:rPr>
          <w:color w:val="000000" w:themeColor="text1"/>
          <w:shd w:val="clear" w:color="auto" w:fill="FFFFFF" w:themeFill="background1"/>
        </w:rPr>
        <w:t>PS18-1</w:t>
      </w:r>
      <w:r w:rsidRPr="00E14CD3" w:rsidR="00A46BDD">
        <w:rPr>
          <w:color w:val="000000" w:themeColor="text1"/>
          <w:shd w:val="clear" w:color="auto" w:fill="FFFFFF" w:themeFill="background1"/>
        </w:rPr>
        <w:t>8</w:t>
      </w:r>
      <w:r w:rsidRPr="00E14CD3" w:rsidR="007B1212">
        <w:rPr>
          <w:color w:val="000000" w:themeColor="text1"/>
          <w:shd w:val="clear" w:color="auto" w:fill="FFFFFF" w:themeFill="background1"/>
        </w:rPr>
        <w:t xml:space="preserve">07 </w:t>
      </w:r>
      <w:r w:rsidRPr="00E14CD3" w:rsidR="004D1DAC">
        <w:rPr>
          <w:color w:val="000000" w:themeColor="text1"/>
          <w:shd w:val="clear" w:color="auto" w:fill="FFFFFF" w:themeFill="background1"/>
        </w:rPr>
        <w:t>recipients</w:t>
      </w:r>
      <w:r w:rsidRPr="00E14CD3" w:rsidR="007B1212">
        <w:rPr>
          <w:color w:val="000000" w:themeColor="text1"/>
          <w:shd w:val="clear" w:color="auto" w:fill="FFFFFF" w:themeFill="background1"/>
        </w:rPr>
        <w:t xml:space="preserve"> </w:t>
      </w:r>
      <w:r w:rsidRPr="00E14CD3" w:rsidR="00A46BDD">
        <w:rPr>
          <w:color w:val="000000" w:themeColor="text1"/>
        </w:rPr>
        <w:t>might not routinely assess their own program completion of activities.  This could limit their ability to monitor and improve their implementation of sexual health education, sexual health services, and safe and supportive environment required activities.</w:t>
      </w:r>
      <w:r w:rsidRPr="00E14CD3" w:rsidR="00E9429A">
        <w:rPr>
          <w:color w:val="000000" w:themeColor="text1"/>
          <w:shd w:val="clear" w:color="auto" w:fill="FFFFFF" w:themeFill="background1"/>
        </w:rPr>
        <w:t xml:space="preserve"> </w:t>
      </w:r>
      <w:r w:rsidRPr="00E14CD3" w:rsidR="00A46BDD">
        <w:rPr>
          <w:color w:val="000000" w:themeColor="text1"/>
          <w:shd w:val="clear" w:color="auto" w:fill="FFFFFF" w:themeFill="background1"/>
        </w:rPr>
        <w:t>Additionally, w</w:t>
      </w:r>
      <w:r w:rsidRPr="00E14CD3" w:rsidR="00685034">
        <w:rPr>
          <w:color w:val="000000" w:themeColor="text1"/>
          <w:shd w:val="clear" w:color="auto" w:fill="FFFFFF" w:themeFill="background1"/>
        </w:rPr>
        <w:t>ithout this critical informatio</w:t>
      </w:r>
      <w:r w:rsidRPr="00E14CD3" w:rsidR="00D00D5A">
        <w:rPr>
          <w:color w:val="000000" w:themeColor="text1"/>
          <w:shd w:val="clear" w:color="auto" w:fill="FFFFFF" w:themeFill="background1"/>
        </w:rPr>
        <w:t xml:space="preserve">n from </w:t>
      </w:r>
      <w:r w:rsidRPr="00E14CD3" w:rsidR="007B1212">
        <w:rPr>
          <w:color w:val="000000" w:themeColor="text1"/>
          <w:shd w:val="clear" w:color="auto" w:fill="FFFFFF" w:themeFill="background1"/>
        </w:rPr>
        <w:t>the PS18-1807 recipients</w:t>
      </w:r>
      <w:r w:rsidRPr="00E14CD3" w:rsidR="00570E83">
        <w:rPr>
          <w:color w:val="000000" w:themeColor="text1"/>
          <w:shd w:val="clear" w:color="auto" w:fill="FFFFFF" w:themeFill="background1"/>
        </w:rPr>
        <w:t>,</w:t>
      </w:r>
      <w:r w:rsidRPr="00E14CD3" w:rsidR="00685034">
        <w:rPr>
          <w:color w:val="000000" w:themeColor="text1"/>
          <w:shd w:val="clear" w:color="auto" w:fill="FFFFFF" w:themeFill="background1"/>
        </w:rPr>
        <w:t xml:space="preserve"> the </w:t>
      </w:r>
      <w:r w:rsidRPr="00E14CD3" w:rsidR="007B1212">
        <w:rPr>
          <w:color w:val="000000" w:themeColor="text1"/>
          <w:shd w:val="clear" w:color="auto" w:fill="FFFFFF" w:themeFill="background1"/>
        </w:rPr>
        <w:t xml:space="preserve">funded </w:t>
      </w:r>
      <w:r w:rsidRPr="00E14CD3" w:rsidR="00685034">
        <w:rPr>
          <w:color w:val="000000" w:themeColor="text1"/>
          <w:shd w:val="clear" w:color="auto" w:fill="FFFFFF" w:themeFill="background1"/>
        </w:rPr>
        <w:t>program</w:t>
      </w:r>
      <w:r w:rsidRPr="00E14CD3" w:rsidR="00A46BDD">
        <w:rPr>
          <w:color w:val="000000" w:themeColor="text1"/>
          <w:shd w:val="clear" w:color="auto" w:fill="FFFFFF" w:themeFill="background1"/>
        </w:rPr>
        <w:t>s</w:t>
      </w:r>
      <w:r w:rsidRPr="00E14CD3" w:rsidR="00685034">
        <w:rPr>
          <w:color w:val="000000" w:themeColor="text1"/>
          <w:shd w:val="clear" w:color="auto" w:fill="FFFFFF" w:themeFill="background1"/>
        </w:rPr>
        <w:t xml:space="preserve"> might not be able to achieve </w:t>
      </w:r>
      <w:r w:rsidRPr="00E14CD3" w:rsidR="00A46BDD">
        <w:rPr>
          <w:color w:val="000000" w:themeColor="text1"/>
          <w:shd w:val="clear" w:color="auto" w:fill="FFFFFF" w:themeFill="background1"/>
        </w:rPr>
        <w:t xml:space="preserve">their </w:t>
      </w:r>
      <w:r w:rsidRPr="00E14CD3" w:rsidR="00685034">
        <w:rPr>
          <w:color w:val="000000" w:themeColor="text1"/>
          <w:shd w:val="clear" w:color="auto" w:fill="FFFFFF" w:themeFill="background1"/>
        </w:rPr>
        <w:t xml:space="preserve">full potential.  In addition, CDC would miss a valuable opportunity to develop a more in-depth understanding </w:t>
      </w:r>
      <w:r w:rsidRPr="00E14CD3" w:rsidR="00D25F6C">
        <w:rPr>
          <w:color w:val="000000" w:themeColor="text1"/>
          <w:shd w:val="clear" w:color="auto" w:fill="FFFFFF" w:themeFill="background1"/>
        </w:rPr>
        <w:t xml:space="preserve">of </w:t>
      </w:r>
      <w:r w:rsidRPr="00E14CD3" w:rsidR="00B749DA">
        <w:rPr>
          <w:color w:val="000000" w:themeColor="text1"/>
          <w:shd w:val="clear" w:color="auto" w:fill="FFFFFF" w:themeFill="background1"/>
        </w:rPr>
        <w:t xml:space="preserve">this unique model </w:t>
      </w:r>
      <w:r w:rsidRPr="00E14CD3" w:rsidR="007B1212">
        <w:rPr>
          <w:color w:val="000000" w:themeColor="text1"/>
          <w:shd w:val="clear" w:color="auto" w:fill="FFFFFF" w:themeFill="background1"/>
        </w:rPr>
        <w:t>of funding to education agencies and other organizations</w:t>
      </w:r>
      <w:r w:rsidRPr="00E14CD3" w:rsidR="00685034">
        <w:rPr>
          <w:color w:val="000000" w:themeColor="text1"/>
          <w:shd w:val="clear" w:color="auto" w:fill="FFFFFF" w:themeFill="background1"/>
        </w:rPr>
        <w:t>.</w:t>
      </w:r>
      <w:r w:rsidRPr="00E14CD3" w:rsidR="00685034">
        <w:rPr>
          <w:color w:val="000000" w:themeColor="text1"/>
        </w:rPr>
        <w:t xml:space="preserve"> </w:t>
      </w:r>
    </w:p>
    <w:p w:rsidRPr="00E14CD3" w:rsidR="000D67A3" w:rsidP="008A1964" w:rsidRDefault="000D67A3" w14:paraId="5C2F931E" w14:textId="77777777">
      <w:pPr>
        <w:spacing w:before="120" w:line="240" w:lineRule="auto"/>
        <w:ind w:firstLine="720"/>
        <w:rPr>
          <w:color w:val="000000" w:themeColor="text1"/>
        </w:rPr>
      </w:pPr>
    </w:p>
    <w:p w:rsidRPr="00E14CD3" w:rsidR="00B6728A" w:rsidP="004236F2" w:rsidRDefault="00B6728A" w14:paraId="282BC416" w14:textId="77777777">
      <w:pPr>
        <w:pStyle w:val="Heading1"/>
        <w:spacing w:before="120" w:after="0" w:line="240" w:lineRule="auto"/>
        <w:ind w:left="0" w:firstLine="0"/>
        <w:rPr>
          <w:rFonts w:cs="Times New Roman"/>
          <w:color w:val="000000" w:themeColor="text1"/>
          <w:szCs w:val="24"/>
        </w:rPr>
      </w:pPr>
      <w:bookmarkStart w:name="_Toc227033747" w:id="11"/>
      <w:bookmarkStart w:name="_Toc322357315" w:id="12"/>
      <w:bookmarkStart w:name="_Toc507658998" w:id="13"/>
      <w:r w:rsidRPr="00E14CD3">
        <w:rPr>
          <w:rFonts w:cs="Times New Roman"/>
          <w:color w:val="000000" w:themeColor="text1"/>
          <w:szCs w:val="24"/>
        </w:rPr>
        <w:t>Special Circumstance</w:t>
      </w:r>
      <w:bookmarkEnd w:id="11"/>
      <w:bookmarkEnd w:id="12"/>
      <w:r w:rsidRPr="00E14CD3" w:rsidR="007811F1">
        <w:rPr>
          <w:rFonts w:cs="Times New Roman"/>
          <w:color w:val="000000" w:themeColor="text1"/>
          <w:szCs w:val="24"/>
        </w:rPr>
        <w:t>s Relating to the G</w:t>
      </w:r>
      <w:r w:rsidRPr="00E14CD3" w:rsidR="00470C36">
        <w:rPr>
          <w:rFonts w:cs="Times New Roman"/>
          <w:color w:val="000000" w:themeColor="text1"/>
          <w:szCs w:val="24"/>
        </w:rPr>
        <w:t>uidelines of 5 CFR</w:t>
      </w:r>
      <w:r w:rsidRPr="00E14CD3" w:rsidR="002C4654">
        <w:rPr>
          <w:rFonts w:cs="Times New Roman"/>
          <w:color w:val="000000" w:themeColor="text1"/>
          <w:szCs w:val="24"/>
        </w:rPr>
        <w:t xml:space="preserve"> 1320.5</w:t>
      </w:r>
      <w:bookmarkEnd w:id="13"/>
    </w:p>
    <w:p w:rsidRPr="00E14CD3" w:rsidR="00C16ADE" w:rsidP="000E612F" w:rsidRDefault="00C16ADE" w14:paraId="320E3FD5" w14:textId="77777777">
      <w:pPr>
        <w:spacing w:before="120" w:line="240" w:lineRule="auto"/>
        <w:ind w:firstLine="720"/>
        <w:rPr>
          <w:color w:val="000000" w:themeColor="text1"/>
        </w:rPr>
      </w:pPr>
      <w:r w:rsidRPr="00E14CD3">
        <w:rPr>
          <w:color w:val="000000" w:themeColor="text1"/>
        </w:rPr>
        <w:t>There are no special circumstances with this information collection package. This request fully complies with the regulation 5 CFR 1320.5 and will be voluntary.</w:t>
      </w:r>
    </w:p>
    <w:p w:rsidRPr="00E14CD3" w:rsidR="00F926E4" w:rsidP="008A1964" w:rsidRDefault="00F926E4" w14:paraId="67B39EED" w14:textId="77777777">
      <w:pPr>
        <w:spacing w:before="120" w:line="240" w:lineRule="auto"/>
        <w:rPr>
          <w:color w:val="000000" w:themeColor="text1"/>
        </w:rPr>
      </w:pPr>
    </w:p>
    <w:p w:rsidRPr="002F68FB" w:rsidR="00B6728A" w:rsidP="004236F2" w:rsidRDefault="00A510BA" w14:paraId="70E4CE0D" w14:textId="77777777">
      <w:pPr>
        <w:pStyle w:val="Heading1"/>
        <w:spacing w:before="120" w:after="0" w:line="240" w:lineRule="auto"/>
        <w:ind w:left="0" w:firstLine="0"/>
        <w:rPr>
          <w:rFonts w:cs="Times New Roman"/>
          <w:color w:val="000000" w:themeColor="text1"/>
          <w:szCs w:val="24"/>
        </w:rPr>
      </w:pPr>
      <w:bookmarkStart w:name="_Toc507658999" w:id="14"/>
      <w:r w:rsidRPr="002F68FB">
        <w:rPr>
          <w:rFonts w:cs="Times New Roman"/>
          <w:color w:val="000000" w:themeColor="text1"/>
          <w:szCs w:val="24"/>
        </w:rPr>
        <w:t>Comments in Response to the Federal Register Notice and Efforts to Consult Outside the Agency</w:t>
      </w:r>
      <w:bookmarkEnd w:id="14"/>
    </w:p>
    <w:p w:rsidRPr="002F68FB" w:rsidR="00470C36" w:rsidP="002F68FB" w:rsidRDefault="00412E82" w14:paraId="654C6BA0" w14:textId="6E29A6A1">
      <w:pPr>
        <w:spacing w:before="120" w:line="240" w:lineRule="auto"/>
        <w:ind w:firstLine="720"/>
        <w:rPr>
          <w:color w:val="000000" w:themeColor="text1"/>
        </w:rPr>
      </w:pPr>
      <w:r w:rsidRPr="002F68FB">
        <w:rPr>
          <w:bCs/>
          <w:color w:val="000000" w:themeColor="text1"/>
        </w:rPr>
        <w:t>T</w:t>
      </w:r>
      <w:r w:rsidRPr="002F68FB" w:rsidR="00583058">
        <w:rPr>
          <w:color w:val="000000" w:themeColor="text1"/>
        </w:rPr>
        <w:t xml:space="preserve">he Federal Register notice was published for this collection on </w:t>
      </w:r>
      <w:r w:rsidRPr="002F68FB" w:rsidR="00AC3832">
        <w:rPr>
          <w:color w:val="000000" w:themeColor="text1"/>
        </w:rPr>
        <w:t>March 9, 2020</w:t>
      </w:r>
      <w:r w:rsidRPr="002F68FB" w:rsidR="00583058">
        <w:rPr>
          <w:color w:val="000000" w:themeColor="text1"/>
        </w:rPr>
        <w:t xml:space="preserve">, </w:t>
      </w:r>
      <w:r w:rsidRPr="002F68FB" w:rsidR="00AC3832">
        <w:rPr>
          <w:color w:val="000000" w:themeColor="text1"/>
        </w:rPr>
        <w:t>Vol. 85, No. 46</w:t>
      </w:r>
      <w:r w:rsidRPr="002F68FB" w:rsidR="00583058">
        <w:rPr>
          <w:color w:val="000000" w:themeColor="text1"/>
        </w:rPr>
        <w:t xml:space="preserve">, pp. </w:t>
      </w:r>
      <w:r w:rsidRPr="002F68FB" w:rsidR="00AC3832">
        <w:rPr>
          <w:color w:val="000000" w:themeColor="text1"/>
        </w:rPr>
        <w:t xml:space="preserve">13651. </w:t>
      </w:r>
      <w:r w:rsidRPr="002F68FB" w:rsidR="00583058">
        <w:rPr>
          <w:color w:val="000000" w:themeColor="text1"/>
        </w:rPr>
        <w:t>(</w:t>
      </w:r>
      <w:r w:rsidRPr="002F68FB" w:rsidR="009F36CC">
        <w:rPr>
          <w:b/>
          <w:color w:val="000000" w:themeColor="text1"/>
        </w:rPr>
        <w:t xml:space="preserve">Attachment </w:t>
      </w:r>
      <w:r w:rsidRPr="002F68FB" w:rsidR="00D6697A">
        <w:rPr>
          <w:b/>
          <w:color w:val="000000" w:themeColor="text1"/>
        </w:rPr>
        <w:t>2</w:t>
      </w:r>
      <w:r w:rsidRPr="002F68FB" w:rsidR="00583058">
        <w:rPr>
          <w:color w:val="000000" w:themeColor="text1"/>
        </w:rPr>
        <w:t xml:space="preserve">)  </w:t>
      </w:r>
      <w:r w:rsidRPr="002F68FB" w:rsidR="002F68FB">
        <w:rPr>
          <w:color w:val="000000" w:themeColor="text1"/>
        </w:rPr>
        <w:t xml:space="preserve"> One public comment was received.  No CDC response was sent because no contact information was provided for this non-substantive comment. </w:t>
      </w:r>
    </w:p>
    <w:p w:rsidRPr="00E14CD3" w:rsidR="00C16ADE" w:rsidP="00DA42B0" w:rsidRDefault="00470C36" w14:paraId="3FC9BA88" w14:textId="77777777">
      <w:pPr>
        <w:spacing w:before="120" w:line="240" w:lineRule="auto"/>
        <w:ind w:firstLine="720"/>
        <w:rPr>
          <w:color w:val="000000" w:themeColor="text1"/>
        </w:rPr>
      </w:pPr>
      <w:r w:rsidRPr="002F68FB">
        <w:rPr>
          <w:b/>
          <w:color w:val="000000" w:themeColor="text1"/>
        </w:rPr>
        <w:t>B</w:t>
      </w:r>
      <w:r w:rsidRPr="002F68FB">
        <w:rPr>
          <w:color w:val="000000" w:themeColor="text1"/>
        </w:rPr>
        <w:t>.</w:t>
      </w:r>
      <w:r w:rsidRPr="002F68FB" w:rsidR="001B37D6">
        <w:rPr>
          <w:color w:val="000000" w:themeColor="text1"/>
        </w:rPr>
        <w:tab/>
        <w:t xml:space="preserve">Consultation outside of CDC did not occur as the </w:t>
      </w:r>
      <w:r w:rsidRPr="002F68FB" w:rsidR="00236C48">
        <w:rPr>
          <w:color w:val="000000" w:themeColor="text1"/>
        </w:rPr>
        <w:t>required activities are specific to NOFO PS18-1807.</w:t>
      </w:r>
    </w:p>
    <w:p w:rsidRPr="00E14CD3" w:rsidR="00181FAC" w:rsidP="008A1964" w:rsidRDefault="00181FAC" w14:paraId="3905D257" w14:textId="77777777">
      <w:pPr>
        <w:spacing w:before="120" w:line="240" w:lineRule="auto"/>
        <w:rPr>
          <w:color w:val="000000" w:themeColor="text1"/>
        </w:rPr>
      </w:pPr>
    </w:p>
    <w:p w:rsidRPr="00E14CD3" w:rsidR="008A1964" w:rsidP="004236F2" w:rsidRDefault="00A510BA" w14:paraId="2F6332C4" w14:textId="77777777">
      <w:pPr>
        <w:pStyle w:val="Heading1"/>
        <w:spacing w:before="120" w:after="0" w:line="240" w:lineRule="auto"/>
        <w:ind w:left="0" w:firstLine="0"/>
        <w:rPr>
          <w:rFonts w:cs="Times New Roman"/>
          <w:color w:val="000000" w:themeColor="text1"/>
          <w:szCs w:val="24"/>
        </w:rPr>
      </w:pPr>
      <w:bookmarkStart w:name="_Toc507659000" w:id="15"/>
      <w:r w:rsidRPr="00E14CD3">
        <w:rPr>
          <w:rFonts w:cs="Times New Roman"/>
          <w:color w:val="000000" w:themeColor="text1"/>
          <w:szCs w:val="24"/>
        </w:rPr>
        <w:t>Explanation of Any Payment or Gift to Respondents</w:t>
      </w:r>
      <w:bookmarkEnd w:id="15"/>
    </w:p>
    <w:p w:rsidRPr="00E14CD3" w:rsidR="00AB2320" w:rsidP="00980556" w:rsidRDefault="00C50783" w14:paraId="0B9F56E8" w14:textId="77777777">
      <w:pPr>
        <w:spacing w:before="120" w:line="240" w:lineRule="auto"/>
        <w:ind w:firstLine="720"/>
        <w:rPr>
          <w:color w:val="000000" w:themeColor="text1"/>
        </w:rPr>
      </w:pPr>
      <w:r w:rsidRPr="00E14CD3">
        <w:rPr>
          <w:color w:val="000000" w:themeColor="text1"/>
        </w:rPr>
        <w:t xml:space="preserve">No payment </w:t>
      </w:r>
      <w:r w:rsidRPr="00E14CD3" w:rsidR="00585A0D">
        <w:rPr>
          <w:color w:val="000000" w:themeColor="text1"/>
        </w:rPr>
        <w:t>or gifts to respondents are provided.  Completing reporting is a requirement of the funding.</w:t>
      </w:r>
    </w:p>
    <w:p w:rsidRPr="00E14CD3" w:rsidR="00F926E4" w:rsidP="00540DCC" w:rsidRDefault="00F926E4" w14:paraId="7AD5C39E" w14:textId="77777777">
      <w:pPr>
        <w:spacing w:before="120" w:line="240" w:lineRule="auto"/>
        <w:jc w:val="center"/>
        <w:rPr>
          <w:color w:val="000000" w:themeColor="text1"/>
        </w:rPr>
      </w:pPr>
    </w:p>
    <w:p w:rsidRPr="00E14CD3" w:rsidR="00B6728A" w:rsidP="004236F2" w:rsidRDefault="00A01DE9" w14:paraId="75BE6D38" w14:textId="7C24A65E">
      <w:pPr>
        <w:pStyle w:val="Heading1"/>
        <w:spacing w:before="120" w:after="0" w:line="240" w:lineRule="auto"/>
        <w:ind w:left="0" w:firstLine="0"/>
        <w:rPr>
          <w:rFonts w:cs="Times New Roman"/>
          <w:color w:val="000000" w:themeColor="text1"/>
          <w:szCs w:val="24"/>
        </w:rPr>
      </w:pPr>
      <w:bookmarkStart w:name="_Toc507659001" w:id="16"/>
      <w:r w:rsidRPr="00E14CD3">
        <w:rPr>
          <w:rFonts w:cs="Times New Roman"/>
          <w:color w:val="000000" w:themeColor="text1"/>
          <w:szCs w:val="24"/>
        </w:rPr>
        <w:t>Protection of the Privacy and Confidentiality of Information Provided by Respondents</w:t>
      </w:r>
      <w:bookmarkEnd w:id="16"/>
    </w:p>
    <w:p w:rsidRPr="00427CED" w:rsidR="00AF19E6" w:rsidP="00427CED" w:rsidRDefault="005C4C9E" w14:paraId="7D1B0866" w14:textId="4219EBEB">
      <w:pPr>
        <w:widowControl/>
        <w:shd w:val="clear" w:color="auto" w:fill="FFFFFF"/>
        <w:autoSpaceDE/>
        <w:autoSpaceDN/>
        <w:adjustRightInd/>
        <w:spacing w:line="240" w:lineRule="auto"/>
        <w:rPr>
          <w:color w:val="1D2129"/>
          <w:sz w:val="21"/>
          <w:szCs w:val="21"/>
        </w:rPr>
      </w:pPr>
      <w:bookmarkStart w:name="_Toc227033751" w:id="17"/>
      <w:bookmarkStart w:name="_Toc322357319" w:id="18"/>
      <w:r w:rsidRPr="005C4C9E">
        <w:rPr>
          <w:color w:val="000000" w:themeColor="text1"/>
        </w:rPr>
        <w:t xml:space="preserve">The CDC </w:t>
      </w:r>
      <w:r w:rsidRPr="002266A1" w:rsidR="002266A1">
        <w:rPr>
          <w:color w:val="000000" w:themeColor="text1"/>
        </w:rPr>
        <w:t xml:space="preserve">Information Systems Security Officer (ISSO) </w:t>
      </w:r>
      <w:r w:rsidRPr="005C4C9E">
        <w:rPr>
          <w:color w:val="000000" w:themeColor="text1"/>
        </w:rPr>
        <w:t xml:space="preserve">has assessed this package for applicability of 5 U.S.C. § </w:t>
      </w:r>
      <w:proofErr w:type="gramStart"/>
      <w:r w:rsidRPr="005C4C9E">
        <w:rPr>
          <w:color w:val="000000" w:themeColor="text1"/>
        </w:rPr>
        <w:t>552a, and</w:t>
      </w:r>
      <w:proofErr w:type="gramEnd"/>
      <w:r w:rsidRPr="005C4C9E">
        <w:rPr>
          <w:color w:val="000000" w:themeColor="text1"/>
        </w:rPr>
        <w:t xml:space="preserve"> determined that the Privacy Act </w:t>
      </w:r>
      <w:r w:rsidR="002266A1">
        <w:rPr>
          <w:color w:val="000000" w:themeColor="text1"/>
        </w:rPr>
        <w:t xml:space="preserve">does not </w:t>
      </w:r>
      <w:r w:rsidRPr="005C4C9E">
        <w:rPr>
          <w:color w:val="000000" w:themeColor="text1"/>
        </w:rPr>
        <w:t>appl</w:t>
      </w:r>
      <w:r w:rsidR="002266A1">
        <w:rPr>
          <w:color w:val="000000" w:themeColor="text1"/>
        </w:rPr>
        <w:t>y</w:t>
      </w:r>
      <w:r w:rsidRPr="005C4C9E">
        <w:rPr>
          <w:color w:val="000000" w:themeColor="text1"/>
        </w:rPr>
        <w:t xml:space="preserve"> to the overall information collection because </w:t>
      </w:r>
      <w:r w:rsidR="002266A1">
        <w:rPr>
          <w:color w:val="000000" w:themeColor="text1"/>
        </w:rPr>
        <w:t>n</w:t>
      </w:r>
      <w:r w:rsidRPr="00E14CD3" w:rsidR="00C16ADE">
        <w:rPr>
          <w:color w:val="000000" w:themeColor="text1"/>
        </w:rPr>
        <w:t>o individually identifiable information is being collected</w:t>
      </w:r>
      <w:r w:rsidRPr="00E14CD3" w:rsidR="009A6BAB">
        <w:rPr>
          <w:color w:val="000000" w:themeColor="text1"/>
        </w:rPr>
        <w:t xml:space="preserve"> from respondents in </w:t>
      </w:r>
      <w:r w:rsidRPr="00E14CD3" w:rsidR="00585A0D">
        <w:rPr>
          <w:color w:val="000000" w:themeColor="text1"/>
        </w:rPr>
        <w:t>the reporting templates</w:t>
      </w:r>
      <w:r w:rsidRPr="00E14CD3" w:rsidR="00C16ADE">
        <w:rPr>
          <w:color w:val="000000" w:themeColor="text1"/>
        </w:rPr>
        <w:t xml:space="preserve">. </w:t>
      </w:r>
      <w:r w:rsidRPr="00E14CD3" w:rsidR="00585A0D">
        <w:rPr>
          <w:color w:val="000000" w:themeColor="text1"/>
        </w:rPr>
        <w:t>The data collected is in the context of</w:t>
      </w:r>
      <w:r w:rsidRPr="00E14CD3" w:rsidR="00DA42B0">
        <w:rPr>
          <w:color w:val="000000" w:themeColor="text1"/>
        </w:rPr>
        <w:t xml:space="preserve"> completion of required activities</w:t>
      </w:r>
      <w:r w:rsidRPr="00E14CD3" w:rsidR="00585A0D">
        <w:rPr>
          <w:color w:val="000000" w:themeColor="text1"/>
        </w:rPr>
        <w:t xml:space="preserve"> of the </w:t>
      </w:r>
      <w:r w:rsidRPr="00E14CD3" w:rsidR="00DA42B0">
        <w:rPr>
          <w:color w:val="000000" w:themeColor="text1"/>
        </w:rPr>
        <w:t xml:space="preserve">PS18-1807 </w:t>
      </w:r>
      <w:r w:rsidRPr="00E14CD3" w:rsidR="00585A0D">
        <w:rPr>
          <w:color w:val="000000" w:themeColor="text1"/>
        </w:rPr>
        <w:t>funding by the recipient agency.</w:t>
      </w:r>
      <w:r w:rsidRPr="00E14CD3" w:rsidR="00DA42B0">
        <w:rPr>
          <w:color w:val="000000" w:themeColor="text1"/>
        </w:rPr>
        <w:t xml:space="preserve">  The recipient </w:t>
      </w:r>
      <w:r w:rsidRPr="00E14CD3" w:rsidR="004D1DAC">
        <w:rPr>
          <w:color w:val="000000" w:themeColor="text1"/>
        </w:rPr>
        <w:t>agencies</w:t>
      </w:r>
      <w:r w:rsidRPr="00E14CD3" w:rsidR="00E82D8C">
        <w:rPr>
          <w:color w:val="000000" w:themeColor="text1"/>
        </w:rPr>
        <w:t xml:space="preserve"> will be identified by agency name, but none of their staff will be identified in the reporting template</w:t>
      </w:r>
      <w:r w:rsidRPr="00E14CD3" w:rsidR="00121085">
        <w:rPr>
          <w:color w:val="000000" w:themeColor="text1"/>
        </w:rPr>
        <w:t xml:space="preserve"> or </w:t>
      </w:r>
      <w:r w:rsidRPr="00E14CD3" w:rsidR="00121085">
        <w:rPr>
          <w:color w:val="000000" w:themeColor="text1"/>
        </w:rPr>
        <w:lastRenderedPageBreak/>
        <w:t>the work plan</w:t>
      </w:r>
      <w:r w:rsidRPr="00E14CD3" w:rsidR="008A692E">
        <w:rPr>
          <w:color w:val="000000" w:themeColor="text1"/>
        </w:rPr>
        <w:t xml:space="preserve">s </w:t>
      </w:r>
      <w:r w:rsidRPr="00E14CD3" w:rsidR="00AF19E6">
        <w:t>(required programmatic activities work plan and professional development work plan).</w:t>
      </w:r>
    </w:p>
    <w:p w:rsidRPr="00E14CD3" w:rsidR="00F45495" w:rsidP="00F45495" w:rsidRDefault="00E82D8C" w14:paraId="2571020B" w14:textId="5A2A4DF1">
      <w:pPr>
        <w:spacing w:before="120" w:line="240" w:lineRule="auto"/>
        <w:ind w:firstLine="720"/>
        <w:rPr>
          <w:color w:val="000000" w:themeColor="text1"/>
        </w:rPr>
      </w:pPr>
      <w:r w:rsidRPr="00E14CD3">
        <w:rPr>
          <w:color w:val="000000" w:themeColor="text1"/>
        </w:rPr>
        <w:t>.</w:t>
      </w:r>
    </w:p>
    <w:p w:rsidRPr="00427CED" w:rsidR="002D2B45" w:rsidP="004236F2" w:rsidRDefault="002D2B45" w14:paraId="7B682DD8" w14:textId="77777777">
      <w:pPr>
        <w:pStyle w:val="Heading1"/>
        <w:ind w:left="0" w:firstLine="0"/>
        <w:rPr>
          <w:rFonts w:cs="Times New Roman"/>
        </w:rPr>
      </w:pPr>
      <w:bookmarkStart w:name="_Toc507659002" w:id="19"/>
      <w:bookmarkEnd w:id="17"/>
      <w:bookmarkEnd w:id="18"/>
      <w:r w:rsidRPr="00427CED">
        <w:rPr>
          <w:rFonts w:cs="Times New Roman"/>
        </w:rPr>
        <w:t>Institutiona</w:t>
      </w:r>
      <w:r w:rsidRPr="00427CED" w:rsidR="00D60AEA">
        <w:rPr>
          <w:rFonts w:cs="Times New Roman"/>
        </w:rPr>
        <w:t>l Review Board (IRB) and Justi</w:t>
      </w:r>
      <w:r w:rsidRPr="00427CED" w:rsidR="00D60AEA">
        <w:rPr>
          <w:rFonts w:cs="Times New Roman"/>
        </w:rPr>
        <w:softHyphen/>
        <w:t>fi</w:t>
      </w:r>
      <w:r w:rsidRPr="00427CED">
        <w:rPr>
          <w:rFonts w:cs="Times New Roman"/>
        </w:rPr>
        <w:t>cation for Sensitive Questions</w:t>
      </w:r>
      <w:bookmarkEnd w:id="19"/>
      <w:r w:rsidRPr="00427CED">
        <w:rPr>
          <w:rFonts w:cs="Times New Roman"/>
        </w:rPr>
        <w:t xml:space="preserve"> </w:t>
      </w:r>
    </w:p>
    <w:p w:rsidRPr="00E14CD3" w:rsidR="00F606A7" w:rsidP="008A1964" w:rsidRDefault="00F606A7" w14:paraId="66B3AD1B" w14:textId="77777777">
      <w:pPr>
        <w:spacing w:before="120" w:line="240" w:lineRule="auto"/>
        <w:ind w:firstLine="720"/>
        <w:rPr>
          <w:color w:val="000000" w:themeColor="text1"/>
        </w:rPr>
      </w:pPr>
      <w:r w:rsidRPr="00E14CD3">
        <w:rPr>
          <w:color w:val="000000" w:themeColor="text1"/>
        </w:rPr>
        <w:t>IRB Approval</w:t>
      </w:r>
    </w:p>
    <w:p w:rsidRPr="00E14CD3" w:rsidR="00585A0D" w:rsidP="00597B22" w:rsidRDefault="00585A0D" w14:paraId="501B2C14" w14:textId="77777777">
      <w:pPr>
        <w:spacing w:before="120" w:line="240" w:lineRule="auto"/>
        <w:ind w:firstLine="720"/>
        <w:rPr>
          <w:color w:val="000000" w:themeColor="text1"/>
        </w:rPr>
      </w:pPr>
    </w:p>
    <w:p w:rsidRPr="00E14CD3" w:rsidR="00F606A7" w:rsidP="008A1964" w:rsidRDefault="00F606A7" w14:paraId="3D76D927" w14:textId="77777777">
      <w:pPr>
        <w:spacing w:before="120" w:line="240" w:lineRule="auto"/>
        <w:ind w:firstLine="720"/>
        <w:rPr>
          <w:color w:val="000000" w:themeColor="text1"/>
        </w:rPr>
      </w:pPr>
      <w:r w:rsidRPr="00E14CD3">
        <w:rPr>
          <w:color w:val="000000" w:themeColor="text1"/>
        </w:rPr>
        <w:t>Sensitive Questions</w:t>
      </w:r>
    </w:p>
    <w:p w:rsidRPr="00E14CD3" w:rsidR="00C16ADE" w:rsidP="008A1964" w:rsidRDefault="00F45495" w14:paraId="13757780" w14:textId="77777777">
      <w:pPr>
        <w:spacing w:before="120" w:line="240" w:lineRule="auto"/>
        <w:ind w:firstLine="720"/>
        <w:rPr>
          <w:color w:val="000000" w:themeColor="text1"/>
        </w:rPr>
      </w:pPr>
      <w:r w:rsidRPr="00E14CD3">
        <w:rPr>
          <w:color w:val="000000" w:themeColor="text1"/>
        </w:rPr>
        <w:t>No sensitive or individually identifiable information i</w:t>
      </w:r>
      <w:r w:rsidRPr="00E14CD3" w:rsidR="008B4B7B">
        <w:rPr>
          <w:color w:val="000000" w:themeColor="text1"/>
        </w:rPr>
        <w:t xml:space="preserve">s being collected in the </w:t>
      </w:r>
      <w:r w:rsidRPr="00E14CD3" w:rsidR="00585A0D">
        <w:rPr>
          <w:color w:val="000000" w:themeColor="text1"/>
        </w:rPr>
        <w:t>reporting templates</w:t>
      </w:r>
      <w:r w:rsidRPr="00E14CD3">
        <w:rPr>
          <w:color w:val="000000" w:themeColor="text1"/>
        </w:rPr>
        <w:t>.</w:t>
      </w:r>
    </w:p>
    <w:p w:rsidRPr="00E14CD3" w:rsidR="00F926E4" w:rsidP="008A1964" w:rsidRDefault="00F926E4" w14:paraId="1C76242C" w14:textId="77777777">
      <w:pPr>
        <w:spacing w:before="120" w:line="240" w:lineRule="auto"/>
        <w:rPr>
          <w:color w:val="000000" w:themeColor="text1"/>
        </w:rPr>
      </w:pPr>
    </w:p>
    <w:p w:rsidRPr="00E14CD3" w:rsidR="00B6728A" w:rsidP="004236F2" w:rsidRDefault="00875AA9" w14:paraId="7B566813" w14:textId="77777777">
      <w:pPr>
        <w:pStyle w:val="Heading1"/>
        <w:spacing w:before="120" w:after="0" w:line="240" w:lineRule="auto"/>
        <w:ind w:left="0" w:firstLine="0"/>
        <w:rPr>
          <w:rFonts w:cs="Times New Roman"/>
          <w:color w:val="000000" w:themeColor="text1"/>
          <w:szCs w:val="24"/>
        </w:rPr>
      </w:pPr>
      <w:bookmarkStart w:name="_Toc507659003" w:id="20"/>
      <w:r w:rsidRPr="00E14CD3">
        <w:rPr>
          <w:rFonts w:cs="Times New Roman"/>
          <w:color w:val="000000" w:themeColor="text1"/>
          <w:szCs w:val="24"/>
        </w:rPr>
        <w:t>Estimates of Annualized Burden Hours and Costs</w:t>
      </w:r>
      <w:bookmarkEnd w:id="20"/>
    </w:p>
    <w:p w:rsidRPr="00E14CD3" w:rsidR="00C16ADE" w:rsidP="008A1964" w:rsidRDefault="00C16ADE" w14:paraId="3CE394AB" w14:textId="77777777">
      <w:pPr>
        <w:spacing w:before="120" w:line="240" w:lineRule="auto"/>
        <w:ind w:firstLine="720"/>
        <w:rPr>
          <w:color w:val="000000" w:themeColor="text1"/>
        </w:rPr>
      </w:pPr>
      <w:r w:rsidRPr="00E14CD3">
        <w:rPr>
          <w:color w:val="000000" w:themeColor="text1"/>
        </w:rPr>
        <w:t xml:space="preserve">The estimate for burden hours is based on </w:t>
      </w:r>
      <w:r w:rsidRPr="00E14CD3" w:rsidR="00D6668B">
        <w:rPr>
          <w:color w:val="000000" w:themeColor="text1"/>
        </w:rPr>
        <w:t>informal reviews by individuals with experience c</w:t>
      </w:r>
      <w:r w:rsidRPr="00E14CD3" w:rsidR="00F5644F">
        <w:rPr>
          <w:color w:val="000000" w:themeColor="text1"/>
        </w:rPr>
        <w:t>ompleting reporting templates</w:t>
      </w:r>
      <w:r w:rsidRPr="00E14CD3" w:rsidR="00D6668B">
        <w:rPr>
          <w:color w:val="000000" w:themeColor="text1"/>
        </w:rPr>
        <w:t xml:space="preserve">. </w:t>
      </w:r>
    </w:p>
    <w:p w:rsidRPr="00E14CD3" w:rsidR="00D6668B" w:rsidP="008A1964" w:rsidRDefault="00D6668B" w14:paraId="01CB3007" w14:textId="77777777">
      <w:pPr>
        <w:spacing w:before="120" w:line="240" w:lineRule="auto"/>
        <w:rPr>
          <w:b/>
          <w:color w:val="000000" w:themeColor="text1"/>
        </w:rPr>
      </w:pPr>
    </w:p>
    <w:p w:rsidRPr="00E14CD3" w:rsidR="00E84352" w:rsidP="008A1964" w:rsidRDefault="00E84352" w14:paraId="6AFE3017" w14:textId="77777777">
      <w:pPr>
        <w:spacing w:before="120" w:line="240" w:lineRule="auto"/>
        <w:rPr>
          <w:b/>
          <w:color w:val="000000" w:themeColor="text1"/>
        </w:rPr>
      </w:pPr>
      <w:r w:rsidRPr="00E14CD3">
        <w:rPr>
          <w:b/>
          <w:color w:val="000000" w:themeColor="text1"/>
        </w:rPr>
        <w:t>Table A.12-1 Estimated Annualize Burden to Respondents</w:t>
      </w:r>
    </w:p>
    <w:tbl>
      <w:tblPr>
        <w:tblStyle w:val="TableGrid"/>
        <w:tblW w:w="9625" w:type="dxa"/>
        <w:tblLook w:val="04A0" w:firstRow="1" w:lastRow="0" w:firstColumn="1" w:lastColumn="0" w:noHBand="0" w:noVBand="1"/>
      </w:tblPr>
      <w:tblGrid>
        <w:gridCol w:w="1448"/>
        <w:gridCol w:w="2663"/>
        <w:gridCol w:w="1443"/>
        <w:gridCol w:w="1621"/>
        <w:gridCol w:w="1341"/>
        <w:gridCol w:w="1109"/>
      </w:tblGrid>
      <w:tr w:rsidRPr="00E14CD3" w:rsidR="007266A2" w:rsidTr="004054A8" w14:paraId="7ED351C1" w14:textId="77777777">
        <w:trPr>
          <w:cantSplit/>
          <w:trHeight w:val="1394"/>
        </w:trPr>
        <w:tc>
          <w:tcPr>
            <w:tcW w:w="0" w:type="auto"/>
            <w:vAlign w:val="center"/>
          </w:tcPr>
          <w:p w:rsidRPr="00E14CD3" w:rsidR="00E84352" w:rsidP="008A1964" w:rsidRDefault="00E84352" w14:paraId="3487E15D" w14:textId="77777777">
            <w:pPr>
              <w:spacing w:before="120" w:line="240" w:lineRule="auto"/>
              <w:rPr>
                <w:color w:val="000000" w:themeColor="text1"/>
              </w:rPr>
            </w:pPr>
            <w:r w:rsidRPr="00E14CD3">
              <w:rPr>
                <w:color w:val="000000" w:themeColor="text1"/>
              </w:rPr>
              <w:t>Respondents</w:t>
            </w:r>
          </w:p>
        </w:tc>
        <w:tc>
          <w:tcPr>
            <w:tcW w:w="2663" w:type="dxa"/>
            <w:vAlign w:val="center"/>
          </w:tcPr>
          <w:p w:rsidRPr="00E14CD3" w:rsidR="00E84352" w:rsidP="008A1964" w:rsidRDefault="00E84352" w14:paraId="5BDD72B1" w14:textId="77777777">
            <w:pPr>
              <w:spacing w:before="120" w:line="240" w:lineRule="auto"/>
              <w:rPr>
                <w:color w:val="000000" w:themeColor="text1"/>
              </w:rPr>
            </w:pPr>
            <w:r w:rsidRPr="00E14CD3">
              <w:rPr>
                <w:color w:val="000000" w:themeColor="text1"/>
              </w:rPr>
              <w:t>Form Name</w:t>
            </w:r>
          </w:p>
        </w:tc>
        <w:tc>
          <w:tcPr>
            <w:tcW w:w="1443" w:type="dxa"/>
            <w:vAlign w:val="center"/>
          </w:tcPr>
          <w:p w:rsidRPr="00E14CD3" w:rsidR="00E84352" w:rsidP="008A1964" w:rsidRDefault="00E84352" w14:paraId="5985DC32" w14:textId="77777777">
            <w:pPr>
              <w:spacing w:before="120" w:line="240" w:lineRule="auto"/>
              <w:rPr>
                <w:color w:val="000000" w:themeColor="text1"/>
              </w:rPr>
            </w:pPr>
            <w:r w:rsidRPr="00E14CD3">
              <w:rPr>
                <w:color w:val="000000" w:themeColor="text1"/>
              </w:rPr>
              <w:t>Number of Respondents</w:t>
            </w:r>
          </w:p>
        </w:tc>
        <w:tc>
          <w:tcPr>
            <w:tcW w:w="1621" w:type="dxa"/>
            <w:vAlign w:val="center"/>
          </w:tcPr>
          <w:p w:rsidRPr="00E14CD3" w:rsidR="00E84352" w:rsidP="008A1964" w:rsidRDefault="00E84352" w14:paraId="7F5D5994" w14:textId="77777777">
            <w:pPr>
              <w:spacing w:before="120" w:line="240" w:lineRule="auto"/>
              <w:rPr>
                <w:color w:val="000000" w:themeColor="text1"/>
              </w:rPr>
            </w:pPr>
            <w:r w:rsidRPr="00E14CD3">
              <w:rPr>
                <w:color w:val="000000" w:themeColor="text1"/>
              </w:rPr>
              <w:t>Number of Responses per Respondent</w:t>
            </w:r>
          </w:p>
        </w:tc>
        <w:tc>
          <w:tcPr>
            <w:tcW w:w="1341" w:type="dxa"/>
            <w:vAlign w:val="center"/>
          </w:tcPr>
          <w:p w:rsidRPr="00E14CD3" w:rsidR="00E84352" w:rsidP="008A1964" w:rsidRDefault="00E84352" w14:paraId="3B4286CA" w14:textId="77777777">
            <w:pPr>
              <w:spacing w:before="120" w:line="240" w:lineRule="auto"/>
              <w:rPr>
                <w:color w:val="000000" w:themeColor="text1"/>
              </w:rPr>
            </w:pPr>
            <w:r w:rsidRPr="00E14CD3">
              <w:rPr>
                <w:color w:val="000000" w:themeColor="text1"/>
              </w:rPr>
              <w:t>Average Burden per Response (in hours)</w:t>
            </w:r>
          </w:p>
        </w:tc>
        <w:tc>
          <w:tcPr>
            <w:tcW w:w="1109" w:type="dxa"/>
            <w:vAlign w:val="center"/>
          </w:tcPr>
          <w:p w:rsidRPr="00E14CD3" w:rsidR="00E84352" w:rsidP="008A1964" w:rsidRDefault="00E84352" w14:paraId="0239CF53" w14:textId="77777777">
            <w:pPr>
              <w:spacing w:before="120" w:line="240" w:lineRule="auto"/>
              <w:rPr>
                <w:color w:val="000000" w:themeColor="text1"/>
              </w:rPr>
            </w:pPr>
            <w:r w:rsidRPr="00E14CD3">
              <w:rPr>
                <w:color w:val="000000" w:themeColor="text1"/>
              </w:rPr>
              <w:t>Total Burden (in hours)</w:t>
            </w:r>
          </w:p>
        </w:tc>
      </w:tr>
      <w:tr w:rsidRPr="00E14CD3" w:rsidR="007266A2" w:rsidTr="004054A8" w14:paraId="56294BE3" w14:textId="77777777">
        <w:trPr>
          <w:cantSplit/>
          <w:trHeight w:val="449"/>
        </w:trPr>
        <w:tc>
          <w:tcPr>
            <w:tcW w:w="0" w:type="auto"/>
            <w:vAlign w:val="center"/>
          </w:tcPr>
          <w:p w:rsidRPr="00E14CD3" w:rsidR="005F1598" w:rsidP="008A1964" w:rsidRDefault="00F5644F" w14:paraId="0BF45892" w14:textId="1EF20DBB">
            <w:pPr>
              <w:spacing w:before="120" w:line="240" w:lineRule="auto"/>
              <w:rPr>
                <w:color w:val="000000" w:themeColor="text1"/>
              </w:rPr>
            </w:pPr>
            <w:r w:rsidRPr="00E14CD3">
              <w:rPr>
                <w:color w:val="000000" w:themeColor="text1"/>
              </w:rPr>
              <w:t>Surveillance recipients</w:t>
            </w:r>
            <w:r w:rsidRPr="00E14CD3" w:rsidR="004D1DAC">
              <w:rPr>
                <w:color w:val="000000" w:themeColor="text1"/>
              </w:rPr>
              <w:t xml:space="preserve"> (Program Managers)</w:t>
            </w:r>
          </w:p>
        </w:tc>
        <w:tc>
          <w:tcPr>
            <w:tcW w:w="2663" w:type="dxa"/>
          </w:tcPr>
          <w:p w:rsidRPr="00E14CD3" w:rsidR="00332597" w:rsidP="00BB655D" w:rsidRDefault="00F5644F" w14:paraId="37F6A265" w14:textId="0CCC6DC7">
            <w:pPr>
              <w:spacing w:before="120" w:line="240" w:lineRule="auto"/>
              <w:rPr>
                <w:color w:val="000000" w:themeColor="text1"/>
              </w:rPr>
            </w:pPr>
            <w:r w:rsidRPr="00E14CD3">
              <w:t>Component 1 Reporting Template</w:t>
            </w:r>
            <w:r w:rsidRPr="00E14CD3" w:rsidR="00D1396B">
              <w:t xml:space="preserve"> and Work Plan</w:t>
            </w:r>
            <w:r w:rsidRPr="00E14CD3" w:rsidR="00AF19E6">
              <w:t>s</w:t>
            </w:r>
            <w:r w:rsidR="004054A8">
              <w:t xml:space="preserve"> Att3</w:t>
            </w:r>
            <w:bookmarkStart w:name="_GoBack" w:id="21"/>
            <w:bookmarkEnd w:id="21"/>
            <w:r w:rsidR="00CE0035">
              <w:t xml:space="preserve"> </w:t>
            </w:r>
          </w:p>
        </w:tc>
        <w:tc>
          <w:tcPr>
            <w:tcW w:w="1443" w:type="dxa"/>
            <w:vAlign w:val="center"/>
          </w:tcPr>
          <w:p w:rsidRPr="00E14CD3" w:rsidR="005F1598" w:rsidP="008A1964" w:rsidRDefault="001A5FB8" w14:paraId="0BC0CFDE" w14:textId="43B04BBA">
            <w:pPr>
              <w:spacing w:before="120" w:line="240" w:lineRule="auto"/>
              <w:jc w:val="center"/>
              <w:rPr>
                <w:color w:val="000000" w:themeColor="text1"/>
              </w:rPr>
            </w:pPr>
            <w:r w:rsidRPr="00E14CD3">
              <w:rPr>
                <w:color w:val="000000" w:themeColor="text1"/>
              </w:rPr>
              <w:t>80</w:t>
            </w:r>
          </w:p>
        </w:tc>
        <w:tc>
          <w:tcPr>
            <w:tcW w:w="1621" w:type="dxa"/>
            <w:vAlign w:val="center"/>
          </w:tcPr>
          <w:p w:rsidRPr="00E14CD3" w:rsidR="005F1598" w:rsidP="00F5644F" w:rsidRDefault="00D1396B" w14:paraId="7EF31C96" w14:textId="0E580C05">
            <w:pPr>
              <w:spacing w:before="120" w:line="240" w:lineRule="auto"/>
              <w:jc w:val="center"/>
              <w:rPr>
                <w:color w:val="000000" w:themeColor="text1"/>
              </w:rPr>
            </w:pPr>
            <w:r w:rsidRPr="00E14CD3">
              <w:rPr>
                <w:color w:val="000000" w:themeColor="text1"/>
              </w:rPr>
              <w:t>3</w:t>
            </w:r>
          </w:p>
        </w:tc>
        <w:tc>
          <w:tcPr>
            <w:tcW w:w="1341" w:type="dxa"/>
            <w:vAlign w:val="center"/>
          </w:tcPr>
          <w:p w:rsidRPr="00E14CD3" w:rsidR="005F1598" w:rsidP="00F5644F" w:rsidRDefault="00F5644F" w14:paraId="4F9C9563" w14:textId="77777777">
            <w:pPr>
              <w:spacing w:before="120" w:line="240" w:lineRule="auto"/>
              <w:jc w:val="center"/>
              <w:rPr>
                <w:color w:val="000000" w:themeColor="text1"/>
              </w:rPr>
            </w:pPr>
            <w:r w:rsidRPr="00E14CD3">
              <w:rPr>
                <w:color w:val="000000" w:themeColor="text1"/>
              </w:rPr>
              <w:t>8</w:t>
            </w:r>
          </w:p>
        </w:tc>
        <w:tc>
          <w:tcPr>
            <w:tcW w:w="1109" w:type="dxa"/>
            <w:vAlign w:val="center"/>
          </w:tcPr>
          <w:p w:rsidRPr="00E14CD3" w:rsidR="005F1598" w:rsidP="008A1964" w:rsidRDefault="00F5644F" w14:paraId="451BCA36" w14:textId="36A03B19">
            <w:pPr>
              <w:spacing w:before="120" w:line="240" w:lineRule="auto"/>
              <w:jc w:val="center"/>
              <w:rPr>
                <w:color w:val="000000" w:themeColor="text1"/>
              </w:rPr>
            </w:pPr>
            <w:r w:rsidRPr="00E14CD3">
              <w:rPr>
                <w:color w:val="000000" w:themeColor="text1"/>
              </w:rPr>
              <w:t>1,</w:t>
            </w:r>
            <w:r w:rsidRPr="00E14CD3" w:rsidR="001A5FB8">
              <w:rPr>
                <w:color w:val="000000" w:themeColor="text1"/>
              </w:rPr>
              <w:t>920</w:t>
            </w:r>
          </w:p>
        </w:tc>
      </w:tr>
      <w:tr w:rsidRPr="00E14CD3" w:rsidR="00F5644F" w:rsidTr="004054A8" w14:paraId="0665E7C6" w14:textId="77777777">
        <w:trPr>
          <w:cantSplit/>
          <w:trHeight w:val="449"/>
        </w:trPr>
        <w:tc>
          <w:tcPr>
            <w:tcW w:w="0" w:type="auto"/>
            <w:vAlign w:val="center"/>
          </w:tcPr>
          <w:p w:rsidRPr="00E14CD3" w:rsidR="00F5644F" w:rsidP="008A1964" w:rsidRDefault="00F5644F" w14:paraId="09512E3E" w14:textId="0AF553D4">
            <w:pPr>
              <w:spacing w:before="120" w:line="240" w:lineRule="auto"/>
              <w:rPr>
                <w:color w:val="000000" w:themeColor="text1"/>
              </w:rPr>
            </w:pPr>
            <w:r w:rsidRPr="00E14CD3">
              <w:rPr>
                <w:color w:val="000000" w:themeColor="text1"/>
              </w:rPr>
              <w:t>Local education agency HIV prevention recipients</w:t>
            </w:r>
            <w:r w:rsidRPr="00E14CD3" w:rsidR="004D1DAC">
              <w:rPr>
                <w:color w:val="000000" w:themeColor="text1"/>
              </w:rPr>
              <w:t xml:space="preserve"> (Program Managers)</w:t>
            </w:r>
          </w:p>
        </w:tc>
        <w:tc>
          <w:tcPr>
            <w:tcW w:w="2663" w:type="dxa"/>
          </w:tcPr>
          <w:p w:rsidRPr="00427CED" w:rsidR="00F5644F" w:rsidP="00F5644F" w:rsidRDefault="00F5644F" w14:paraId="0A67ADC9" w14:textId="027A7377">
            <w:pPr>
              <w:spacing w:before="120" w:line="240" w:lineRule="auto"/>
              <w:rPr>
                <w:sz w:val="22"/>
              </w:rPr>
            </w:pPr>
            <w:r w:rsidRPr="00E14CD3">
              <w:t>Component 2 Reporting Template</w:t>
            </w:r>
            <w:r w:rsidRPr="00E14CD3" w:rsidR="00D1396B">
              <w:t xml:space="preserve"> and Work Plan</w:t>
            </w:r>
            <w:r w:rsidRPr="00E14CD3" w:rsidR="00AF19E6">
              <w:t>s (required programmatic activities work plan and professional development work plan)</w:t>
            </w:r>
          </w:p>
        </w:tc>
        <w:tc>
          <w:tcPr>
            <w:tcW w:w="1443" w:type="dxa"/>
            <w:vAlign w:val="center"/>
          </w:tcPr>
          <w:p w:rsidRPr="00E14CD3" w:rsidR="00F5644F" w:rsidP="008A1964" w:rsidRDefault="00F5644F" w14:paraId="4682A068" w14:textId="448EAC59">
            <w:pPr>
              <w:spacing w:before="120" w:line="240" w:lineRule="auto"/>
              <w:jc w:val="center"/>
              <w:rPr>
                <w:color w:val="000000" w:themeColor="text1"/>
              </w:rPr>
            </w:pPr>
            <w:r w:rsidRPr="00E14CD3">
              <w:rPr>
                <w:color w:val="000000" w:themeColor="text1"/>
              </w:rPr>
              <w:t>2</w:t>
            </w:r>
            <w:r w:rsidRPr="00E14CD3" w:rsidR="00A6292D">
              <w:rPr>
                <w:color w:val="000000" w:themeColor="text1"/>
              </w:rPr>
              <w:t>5</w:t>
            </w:r>
          </w:p>
        </w:tc>
        <w:tc>
          <w:tcPr>
            <w:tcW w:w="1621" w:type="dxa"/>
            <w:vAlign w:val="center"/>
          </w:tcPr>
          <w:p w:rsidRPr="00E14CD3" w:rsidR="00F5644F" w:rsidP="00F5644F" w:rsidRDefault="00AF19E6" w14:paraId="1C508BF4" w14:textId="480BED01">
            <w:pPr>
              <w:spacing w:before="120" w:line="240" w:lineRule="auto"/>
              <w:jc w:val="center"/>
              <w:rPr>
                <w:color w:val="000000" w:themeColor="text1"/>
              </w:rPr>
            </w:pPr>
            <w:r w:rsidRPr="00E14CD3">
              <w:rPr>
                <w:color w:val="000000" w:themeColor="text1"/>
              </w:rPr>
              <w:t>4</w:t>
            </w:r>
          </w:p>
        </w:tc>
        <w:tc>
          <w:tcPr>
            <w:tcW w:w="1341" w:type="dxa"/>
            <w:vAlign w:val="center"/>
          </w:tcPr>
          <w:p w:rsidRPr="00427CED" w:rsidR="00F5644F" w:rsidP="00F5644F" w:rsidRDefault="00F5644F" w14:paraId="5915BEC5" w14:textId="0C901336">
            <w:pPr>
              <w:spacing w:before="120" w:line="240" w:lineRule="auto"/>
              <w:jc w:val="center"/>
              <w:rPr>
                <w:color w:val="000000" w:themeColor="text1"/>
              </w:rPr>
            </w:pPr>
            <w:r w:rsidRPr="00427CED">
              <w:rPr>
                <w:color w:val="000000" w:themeColor="text1"/>
              </w:rPr>
              <w:t>1</w:t>
            </w:r>
            <w:r w:rsidRPr="00427CED" w:rsidR="00AF19E6">
              <w:rPr>
                <w:color w:val="000000" w:themeColor="text1"/>
              </w:rPr>
              <w:t>4</w:t>
            </w:r>
          </w:p>
        </w:tc>
        <w:tc>
          <w:tcPr>
            <w:tcW w:w="1109" w:type="dxa"/>
            <w:vAlign w:val="center"/>
          </w:tcPr>
          <w:p w:rsidRPr="00E14CD3" w:rsidR="00F5644F" w:rsidP="008A1964" w:rsidRDefault="00AF19E6" w14:paraId="32446F13" w14:textId="715EA372">
            <w:pPr>
              <w:spacing w:before="120" w:line="240" w:lineRule="auto"/>
              <w:jc w:val="center"/>
              <w:rPr>
                <w:color w:val="000000" w:themeColor="text1"/>
              </w:rPr>
            </w:pPr>
            <w:r w:rsidRPr="00E14CD3">
              <w:rPr>
                <w:color w:val="000000" w:themeColor="text1"/>
              </w:rPr>
              <w:t>1</w:t>
            </w:r>
            <w:r w:rsidR="00427CED">
              <w:rPr>
                <w:color w:val="000000" w:themeColor="text1"/>
              </w:rPr>
              <w:t>,</w:t>
            </w:r>
            <w:r w:rsidRPr="00E14CD3">
              <w:rPr>
                <w:color w:val="000000" w:themeColor="text1"/>
              </w:rPr>
              <w:t>4</w:t>
            </w:r>
            <w:r w:rsidRPr="00E14CD3" w:rsidR="00A6292D">
              <w:rPr>
                <w:color w:val="000000" w:themeColor="text1"/>
              </w:rPr>
              <w:t>00</w:t>
            </w:r>
          </w:p>
        </w:tc>
      </w:tr>
      <w:tr w:rsidRPr="00E14CD3" w:rsidR="00E96BCC" w:rsidTr="004054A8" w14:paraId="27047735" w14:textId="77777777">
        <w:trPr>
          <w:cantSplit/>
          <w:trHeight w:val="476"/>
        </w:trPr>
        <w:tc>
          <w:tcPr>
            <w:tcW w:w="0" w:type="auto"/>
            <w:gridSpan w:val="5"/>
            <w:vAlign w:val="center"/>
          </w:tcPr>
          <w:p w:rsidRPr="00E14CD3" w:rsidR="00E96BCC" w:rsidP="00E96BCC" w:rsidRDefault="00E96BCC" w14:paraId="0E794F6E" w14:textId="77777777">
            <w:pPr>
              <w:spacing w:before="120" w:line="240" w:lineRule="auto"/>
              <w:rPr>
                <w:color w:val="000000" w:themeColor="text1"/>
              </w:rPr>
            </w:pPr>
            <w:r w:rsidRPr="00E14CD3">
              <w:rPr>
                <w:color w:val="000000" w:themeColor="text1"/>
              </w:rPr>
              <w:t>Total</w:t>
            </w:r>
          </w:p>
        </w:tc>
        <w:tc>
          <w:tcPr>
            <w:tcW w:w="1109" w:type="dxa"/>
            <w:vAlign w:val="center"/>
          </w:tcPr>
          <w:p w:rsidRPr="00E14CD3" w:rsidR="00E96BCC" w:rsidP="00E96BCC" w:rsidRDefault="00AF19E6" w14:paraId="5EE8E0C9" w14:textId="6A5980A1">
            <w:pPr>
              <w:spacing w:before="120" w:line="240" w:lineRule="auto"/>
              <w:jc w:val="center"/>
              <w:rPr>
                <w:color w:val="000000" w:themeColor="text1"/>
              </w:rPr>
            </w:pPr>
            <w:r w:rsidRPr="00E14CD3">
              <w:rPr>
                <w:color w:val="000000" w:themeColor="text1"/>
              </w:rPr>
              <w:t>3</w:t>
            </w:r>
            <w:r w:rsidRPr="00E14CD3" w:rsidR="00E14CD3">
              <w:rPr>
                <w:color w:val="000000" w:themeColor="text1"/>
              </w:rPr>
              <w:t>,</w:t>
            </w:r>
            <w:r w:rsidRPr="00E14CD3">
              <w:rPr>
                <w:color w:val="000000" w:themeColor="text1"/>
              </w:rPr>
              <w:t>320</w:t>
            </w:r>
          </w:p>
        </w:tc>
      </w:tr>
    </w:tbl>
    <w:p w:rsidRPr="00E14CD3" w:rsidR="00E84352" w:rsidP="008A1964" w:rsidRDefault="00C50562" w14:paraId="715DED37" w14:textId="0BE7B1F8">
      <w:pPr>
        <w:spacing w:before="120" w:line="240" w:lineRule="auto"/>
        <w:rPr>
          <w:color w:val="000000" w:themeColor="text1"/>
        </w:rPr>
      </w:pPr>
      <w:r w:rsidRPr="00E14CD3">
        <w:t xml:space="preserve">Annualizing this collection over </w:t>
      </w:r>
      <w:proofErr w:type="gramStart"/>
      <w:r w:rsidRPr="00E14CD3" w:rsidR="009A64A1">
        <w:t>one year</w:t>
      </w:r>
      <w:proofErr w:type="gramEnd"/>
      <w:r w:rsidRPr="00E14CD3">
        <w:t xml:space="preserve"> results in an estimated annualized burden of </w:t>
      </w:r>
      <w:r w:rsidRPr="00E14CD3" w:rsidR="00AF19E6">
        <w:t>3,320</w:t>
      </w:r>
      <w:r w:rsidRPr="00E14CD3" w:rsidR="00E96BCC">
        <w:t xml:space="preserve"> </w:t>
      </w:r>
      <w:r w:rsidRPr="00E14CD3">
        <w:t>hours.</w:t>
      </w:r>
    </w:p>
    <w:p w:rsidRPr="00E14CD3" w:rsidR="00912AB2" w:rsidP="008A1964" w:rsidRDefault="00DC2BCF" w14:paraId="3B624354" w14:textId="77777777">
      <w:pPr>
        <w:pStyle w:val="ListParagraph"/>
        <w:spacing w:before="120" w:line="240" w:lineRule="auto"/>
        <w:ind w:left="0"/>
        <w:rPr>
          <w:color w:val="000000" w:themeColor="text1"/>
          <w:u w:val="single"/>
        </w:rPr>
      </w:pPr>
      <w:r w:rsidRPr="00E14CD3">
        <w:rPr>
          <w:color w:val="000000" w:themeColor="text1"/>
          <w:u w:val="single"/>
        </w:rPr>
        <w:t xml:space="preserve">Annualized </w:t>
      </w:r>
      <w:r w:rsidRPr="00E14CD3" w:rsidR="00EF0D80">
        <w:rPr>
          <w:color w:val="000000" w:themeColor="text1"/>
          <w:u w:val="single"/>
        </w:rPr>
        <w:t>c</w:t>
      </w:r>
      <w:r w:rsidRPr="00E14CD3" w:rsidR="00036B1E">
        <w:rPr>
          <w:color w:val="000000" w:themeColor="text1"/>
          <w:u w:val="single"/>
        </w:rPr>
        <w:t>ost</w:t>
      </w:r>
      <w:r w:rsidRPr="00E14CD3" w:rsidR="00EF0D80">
        <w:rPr>
          <w:color w:val="000000" w:themeColor="text1"/>
          <w:u w:val="single"/>
        </w:rPr>
        <w:t xml:space="preserve">.  </w:t>
      </w:r>
    </w:p>
    <w:p w:rsidRPr="00E14CD3" w:rsidR="001864CF" w:rsidP="00FC5AA2" w:rsidRDefault="00EF0D80" w14:paraId="43BDBA2B" w14:textId="77777777">
      <w:pPr>
        <w:pStyle w:val="ListParagraph"/>
        <w:spacing w:before="120" w:line="240" w:lineRule="auto"/>
        <w:ind w:left="0" w:firstLine="720"/>
        <w:rPr>
          <w:color w:val="000000" w:themeColor="text1"/>
        </w:rPr>
      </w:pPr>
      <w:r w:rsidRPr="00E14CD3">
        <w:rPr>
          <w:b/>
          <w:color w:val="000000" w:themeColor="text1"/>
        </w:rPr>
        <w:t>Table A.12-2</w:t>
      </w:r>
      <w:r w:rsidRPr="00E14CD3">
        <w:rPr>
          <w:color w:val="000000" w:themeColor="text1"/>
        </w:rPr>
        <w:t xml:space="preserve"> provides estimates of the annualized cost to respondents for the collection of </w:t>
      </w:r>
      <w:r w:rsidRPr="00E14CD3" w:rsidR="00F5132D">
        <w:rPr>
          <w:color w:val="000000" w:themeColor="text1"/>
        </w:rPr>
        <w:t xml:space="preserve">data.  </w:t>
      </w:r>
    </w:p>
    <w:p w:rsidRPr="00E14CD3" w:rsidR="001864CF" w:rsidP="00A56102" w:rsidRDefault="00A56102" w14:paraId="609BD67D" w14:textId="03FD9E32">
      <w:pPr>
        <w:spacing w:before="120" w:line="240" w:lineRule="auto"/>
        <w:ind w:firstLine="720"/>
        <w:rPr>
          <w:color w:val="000000" w:themeColor="text1"/>
        </w:rPr>
      </w:pPr>
      <w:r w:rsidRPr="00E14CD3">
        <w:t>The reporting templates will be filled out by the agenc</w:t>
      </w:r>
      <w:r w:rsidRPr="00E14CD3" w:rsidR="001818A2">
        <w:t>y’s</w:t>
      </w:r>
      <w:r w:rsidRPr="00E14CD3">
        <w:t xml:space="preserve"> Pro</w:t>
      </w:r>
      <w:r w:rsidRPr="00E14CD3" w:rsidR="004D1DAC">
        <w:t>gram Manager</w:t>
      </w:r>
      <w:r w:rsidRPr="00E14CD3">
        <w:t xml:space="preserve">.  The average </w:t>
      </w:r>
      <w:r w:rsidRPr="00E14CD3">
        <w:lastRenderedPageBreak/>
        <w:t>salary of a Pro</w:t>
      </w:r>
      <w:r w:rsidRPr="00E14CD3" w:rsidR="004D1DAC">
        <w:t>gram</w:t>
      </w:r>
      <w:r w:rsidRPr="00E14CD3">
        <w:t xml:space="preserve"> </w:t>
      </w:r>
      <w:r w:rsidRPr="00E14CD3" w:rsidR="004D1DAC">
        <w:t>Manager</w:t>
      </w:r>
      <w:r w:rsidRPr="00E14CD3">
        <w:t xml:space="preserve"> is $62,400 a year with a</w:t>
      </w:r>
      <w:r w:rsidRPr="00E14CD3" w:rsidR="001818A2">
        <w:t>n</w:t>
      </w:r>
      <w:r w:rsidRPr="00E14CD3">
        <w:t xml:space="preserve"> hourly rate of $30 per hour for a </w:t>
      </w:r>
      <w:proofErr w:type="gramStart"/>
      <w:r w:rsidRPr="00E14CD3">
        <w:t>forty hour</w:t>
      </w:r>
      <w:proofErr w:type="gramEnd"/>
      <w:r w:rsidRPr="00E14CD3">
        <w:t xml:space="preserve"> work week. </w:t>
      </w:r>
      <w:r w:rsidRPr="00E14CD3" w:rsidR="002503C0">
        <w:rPr>
          <w:color w:val="000000" w:themeColor="text1"/>
        </w:rPr>
        <w:t>Table A-12 shows estimated burden and cost information.</w:t>
      </w:r>
    </w:p>
    <w:p w:rsidRPr="00E14CD3" w:rsidR="00E96BCC" w:rsidP="00865794" w:rsidRDefault="00E96BCC" w14:paraId="55807591" w14:textId="77777777">
      <w:pPr>
        <w:spacing w:before="120" w:line="240" w:lineRule="auto"/>
        <w:rPr>
          <w:color w:val="000000" w:themeColor="text1"/>
        </w:rPr>
      </w:pPr>
    </w:p>
    <w:p w:rsidRPr="00E14CD3" w:rsidR="00966BF2" w:rsidP="008A1964" w:rsidRDefault="006772F9" w14:paraId="3C2B14B1" w14:textId="77777777">
      <w:pPr>
        <w:spacing w:before="120" w:line="240" w:lineRule="auto"/>
        <w:rPr>
          <w:b/>
          <w:color w:val="000000" w:themeColor="text1"/>
        </w:rPr>
      </w:pPr>
      <w:r w:rsidRPr="00E14CD3">
        <w:rPr>
          <w:b/>
          <w:color w:val="000000" w:themeColor="text1"/>
        </w:rPr>
        <w:t>Table A.12-2 Annualized Costs to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5"/>
        <w:gridCol w:w="1645"/>
        <w:gridCol w:w="1445"/>
        <w:gridCol w:w="1352"/>
        <w:gridCol w:w="1138"/>
        <w:gridCol w:w="1031"/>
        <w:gridCol w:w="1214"/>
      </w:tblGrid>
      <w:tr w:rsidRPr="00E14CD3" w:rsidR="00DE7168" w:rsidTr="00E82D8C" w14:paraId="0D286CE7" w14:textId="77777777">
        <w:trPr>
          <w:cantSplit/>
          <w:tblHeader/>
        </w:trPr>
        <w:tc>
          <w:tcPr>
            <w:tcW w:w="1525" w:type="dxa"/>
            <w:vAlign w:val="center"/>
          </w:tcPr>
          <w:p w:rsidRPr="00E14CD3" w:rsidR="006772F9" w:rsidP="008A1964" w:rsidRDefault="006772F9" w14:paraId="5BC59C0C" w14:textId="77777777">
            <w:pPr>
              <w:spacing w:before="120" w:line="240" w:lineRule="auto"/>
              <w:rPr>
                <w:color w:val="000000" w:themeColor="text1"/>
              </w:rPr>
            </w:pPr>
            <w:r w:rsidRPr="00E14CD3">
              <w:rPr>
                <w:color w:val="000000" w:themeColor="text1"/>
              </w:rPr>
              <w:t>Respondent</w:t>
            </w:r>
          </w:p>
        </w:tc>
        <w:tc>
          <w:tcPr>
            <w:tcW w:w="1645" w:type="dxa"/>
            <w:vAlign w:val="center"/>
          </w:tcPr>
          <w:p w:rsidRPr="00E14CD3" w:rsidR="006772F9" w:rsidP="008A1964" w:rsidRDefault="006772F9" w14:paraId="470058B8" w14:textId="77777777">
            <w:pPr>
              <w:spacing w:before="120" w:line="240" w:lineRule="auto"/>
              <w:rPr>
                <w:color w:val="000000" w:themeColor="text1"/>
              </w:rPr>
            </w:pPr>
            <w:r w:rsidRPr="00E14CD3">
              <w:rPr>
                <w:color w:val="000000" w:themeColor="text1"/>
              </w:rPr>
              <w:t>Form Name</w:t>
            </w:r>
          </w:p>
        </w:tc>
        <w:tc>
          <w:tcPr>
            <w:tcW w:w="1445" w:type="dxa"/>
            <w:vAlign w:val="center"/>
          </w:tcPr>
          <w:p w:rsidRPr="00E14CD3" w:rsidR="006772F9" w:rsidP="008A1964" w:rsidRDefault="006772F9" w14:paraId="735854F2" w14:textId="77777777">
            <w:pPr>
              <w:spacing w:before="120" w:line="240" w:lineRule="auto"/>
              <w:rPr>
                <w:color w:val="000000" w:themeColor="text1"/>
              </w:rPr>
            </w:pPr>
            <w:r w:rsidRPr="00E14CD3">
              <w:rPr>
                <w:color w:val="000000" w:themeColor="text1"/>
              </w:rPr>
              <w:t>Number of Respondents</w:t>
            </w:r>
          </w:p>
        </w:tc>
        <w:tc>
          <w:tcPr>
            <w:tcW w:w="1352" w:type="dxa"/>
            <w:vAlign w:val="center"/>
          </w:tcPr>
          <w:p w:rsidRPr="00E14CD3" w:rsidR="006772F9" w:rsidP="008A1964" w:rsidRDefault="006772F9" w14:paraId="1EBFBA68" w14:textId="77777777">
            <w:pPr>
              <w:spacing w:before="120" w:line="240" w:lineRule="auto"/>
              <w:rPr>
                <w:color w:val="000000" w:themeColor="text1"/>
              </w:rPr>
            </w:pPr>
            <w:r w:rsidRPr="00E14CD3">
              <w:rPr>
                <w:color w:val="000000" w:themeColor="text1"/>
              </w:rPr>
              <w:t xml:space="preserve">Number </w:t>
            </w:r>
            <w:proofErr w:type="gramStart"/>
            <w:r w:rsidRPr="00E14CD3">
              <w:rPr>
                <w:color w:val="000000" w:themeColor="text1"/>
              </w:rPr>
              <w:t>of  Responses</w:t>
            </w:r>
            <w:proofErr w:type="gramEnd"/>
            <w:r w:rsidRPr="00E14CD3">
              <w:rPr>
                <w:color w:val="000000" w:themeColor="text1"/>
              </w:rPr>
              <w:t xml:space="preserve"> per Respondent</w:t>
            </w:r>
          </w:p>
        </w:tc>
        <w:tc>
          <w:tcPr>
            <w:tcW w:w="1138" w:type="dxa"/>
            <w:vAlign w:val="center"/>
          </w:tcPr>
          <w:p w:rsidRPr="00E14CD3" w:rsidR="006772F9" w:rsidP="008A1964" w:rsidRDefault="006772F9" w14:paraId="3C5EF03D" w14:textId="77777777">
            <w:pPr>
              <w:spacing w:before="120" w:line="240" w:lineRule="auto"/>
              <w:rPr>
                <w:color w:val="000000" w:themeColor="text1"/>
              </w:rPr>
            </w:pPr>
            <w:r w:rsidRPr="00E14CD3">
              <w:rPr>
                <w:color w:val="000000" w:themeColor="text1"/>
              </w:rPr>
              <w:t>Average Burden per Response</w:t>
            </w:r>
          </w:p>
          <w:p w:rsidRPr="00E14CD3" w:rsidR="006772F9" w:rsidP="008A1964" w:rsidRDefault="006772F9" w14:paraId="21332070" w14:textId="77777777">
            <w:pPr>
              <w:spacing w:before="120" w:line="240" w:lineRule="auto"/>
              <w:rPr>
                <w:color w:val="000000" w:themeColor="text1"/>
              </w:rPr>
            </w:pPr>
            <w:r w:rsidRPr="00E14CD3">
              <w:rPr>
                <w:color w:val="000000" w:themeColor="text1"/>
              </w:rPr>
              <w:t>(in hours)</w:t>
            </w:r>
          </w:p>
        </w:tc>
        <w:tc>
          <w:tcPr>
            <w:tcW w:w="1031" w:type="dxa"/>
            <w:vAlign w:val="center"/>
          </w:tcPr>
          <w:p w:rsidRPr="00E14CD3" w:rsidR="006772F9" w:rsidP="008A1964" w:rsidRDefault="006772F9" w14:paraId="41703F14" w14:textId="77777777">
            <w:pPr>
              <w:spacing w:before="120" w:line="240" w:lineRule="auto"/>
              <w:rPr>
                <w:color w:val="000000" w:themeColor="text1"/>
              </w:rPr>
            </w:pPr>
            <w:r w:rsidRPr="00E14CD3">
              <w:rPr>
                <w:color w:val="000000" w:themeColor="text1"/>
              </w:rPr>
              <w:t>Average Hourly Wage Rate</w:t>
            </w:r>
          </w:p>
        </w:tc>
        <w:tc>
          <w:tcPr>
            <w:tcW w:w="1214" w:type="dxa"/>
            <w:vAlign w:val="center"/>
          </w:tcPr>
          <w:p w:rsidRPr="00E14CD3" w:rsidR="006772F9" w:rsidP="008A1964" w:rsidRDefault="006772F9" w14:paraId="0A30CCAB" w14:textId="77777777">
            <w:pPr>
              <w:spacing w:before="120" w:line="240" w:lineRule="auto"/>
              <w:rPr>
                <w:color w:val="000000" w:themeColor="text1"/>
              </w:rPr>
            </w:pPr>
            <w:r w:rsidRPr="00E14CD3">
              <w:rPr>
                <w:color w:val="000000" w:themeColor="text1"/>
              </w:rPr>
              <w:t>Total Cost</w:t>
            </w:r>
          </w:p>
        </w:tc>
      </w:tr>
      <w:tr w:rsidRPr="00E14CD3" w:rsidR="001864CF" w:rsidTr="00E82D8C" w14:paraId="38C2BAED" w14:textId="77777777">
        <w:trPr>
          <w:cantSplit/>
        </w:trPr>
        <w:tc>
          <w:tcPr>
            <w:tcW w:w="1525" w:type="dxa"/>
            <w:vAlign w:val="center"/>
          </w:tcPr>
          <w:p w:rsidRPr="00E14CD3" w:rsidR="001864CF" w:rsidP="001864CF" w:rsidRDefault="00A35BB4" w14:paraId="62E696E8" w14:textId="6E472B3E">
            <w:pPr>
              <w:spacing w:before="120" w:line="240" w:lineRule="auto"/>
              <w:rPr>
                <w:color w:val="000000" w:themeColor="text1"/>
              </w:rPr>
            </w:pPr>
            <w:r w:rsidRPr="00E14CD3">
              <w:rPr>
                <w:color w:val="000000" w:themeColor="text1"/>
              </w:rPr>
              <w:t>Surveillance recipients</w:t>
            </w:r>
            <w:r w:rsidRPr="00E14CD3" w:rsidR="004D1DAC">
              <w:rPr>
                <w:color w:val="000000" w:themeColor="text1"/>
              </w:rPr>
              <w:t xml:space="preserve"> (Program Manager)</w:t>
            </w:r>
          </w:p>
        </w:tc>
        <w:tc>
          <w:tcPr>
            <w:tcW w:w="1645" w:type="dxa"/>
          </w:tcPr>
          <w:p w:rsidRPr="00E14CD3" w:rsidR="001864CF" w:rsidP="00E96BCC" w:rsidRDefault="00A35BB4" w14:paraId="43383CF0" w14:textId="300D73B3">
            <w:pPr>
              <w:spacing w:before="120" w:line="240" w:lineRule="auto"/>
              <w:rPr>
                <w:color w:val="000000" w:themeColor="text1"/>
              </w:rPr>
            </w:pPr>
            <w:r w:rsidRPr="00E14CD3">
              <w:t>Promoting Adolescent Health through School-Based HIV/STD Prevention Component 1 Reporting Template</w:t>
            </w:r>
            <w:r w:rsidRPr="00E14CD3" w:rsidR="00D1396B">
              <w:t xml:space="preserve"> and Work Plan</w:t>
            </w:r>
          </w:p>
        </w:tc>
        <w:tc>
          <w:tcPr>
            <w:tcW w:w="1445" w:type="dxa"/>
            <w:vAlign w:val="center"/>
          </w:tcPr>
          <w:p w:rsidRPr="00E14CD3" w:rsidR="001864CF" w:rsidP="001864CF" w:rsidRDefault="001A5FB8" w14:paraId="5F86AA4A" w14:textId="3AFEFBAD">
            <w:pPr>
              <w:spacing w:before="120" w:line="240" w:lineRule="auto"/>
              <w:jc w:val="center"/>
              <w:rPr>
                <w:color w:val="000000" w:themeColor="text1"/>
              </w:rPr>
            </w:pPr>
            <w:r w:rsidRPr="00E14CD3">
              <w:rPr>
                <w:color w:val="000000" w:themeColor="text1"/>
              </w:rPr>
              <w:t>80</w:t>
            </w:r>
          </w:p>
        </w:tc>
        <w:tc>
          <w:tcPr>
            <w:tcW w:w="1352" w:type="dxa"/>
            <w:vAlign w:val="center"/>
          </w:tcPr>
          <w:p w:rsidRPr="00E14CD3" w:rsidR="001864CF" w:rsidP="001864CF" w:rsidRDefault="00D1396B" w14:paraId="4C3FB053" w14:textId="146B0E2F">
            <w:pPr>
              <w:spacing w:before="120" w:line="240" w:lineRule="auto"/>
              <w:jc w:val="center"/>
              <w:rPr>
                <w:color w:val="000000" w:themeColor="text1"/>
              </w:rPr>
            </w:pPr>
            <w:r w:rsidRPr="00E14CD3">
              <w:rPr>
                <w:color w:val="000000" w:themeColor="text1"/>
              </w:rPr>
              <w:t>3</w:t>
            </w:r>
          </w:p>
        </w:tc>
        <w:tc>
          <w:tcPr>
            <w:tcW w:w="1138" w:type="dxa"/>
            <w:vAlign w:val="center"/>
          </w:tcPr>
          <w:p w:rsidRPr="00E14CD3" w:rsidR="001864CF" w:rsidP="00A35BB4" w:rsidRDefault="00A35BB4" w14:paraId="425C3904" w14:textId="77777777">
            <w:pPr>
              <w:spacing w:before="120" w:line="240" w:lineRule="auto"/>
              <w:jc w:val="center"/>
              <w:rPr>
                <w:color w:val="000000" w:themeColor="text1"/>
              </w:rPr>
            </w:pPr>
            <w:r w:rsidRPr="00E14CD3">
              <w:rPr>
                <w:color w:val="000000" w:themeColor="text1"/>
              </w:rPr>
              <w:t>8</w:t>
            </w:r>
          </w:p>
        </w:tc>
        <w:tc>
          <w:tcPr>
            <w:tcW w:w="1031" w:type="dxa"/>
            <w:vAlign w:val="center"/>
          </w:tcPr>
          <w:p w:rsidRPr="00E14CD3" w:rsidR="001864CF" w:rsidP="00A35BB4" w:rsidRDefault="001864CF" w14:paraId="670438A0" w14:textId="77777777">
            <w:pPr>
              <w:spacing w:before="120" w:line="240" w:lineRule="auto"/>
              <w:jc w:val="center"/>
              <w:rPr>
                <w:color w:val="000000" w:themeColor="text1"/>
              </w:rPr>
            </w:pPr>
            <w:r w:rsidRPr="00E14CD3">
              <w:rPr>
                <w:color w:val="000000" w:themeColor="text1"/>
              </w:rPr>
              <w:t>$</w:t>
            </w:r>
            <w:r w:rsidRPr="00E14CD3" w:rsidR="00A35BB4">
              <w:rPr>
                <w:color w:val="000000" w:themeColor="text1"/>
              </w:rPr>
              <w:t>30</w:t>
            </w:r>
          </w:p>
        </w:tc>
        <w:tc>
          <w:tcPr>
            <w:tcW w:w="1214" w:type="dxa"/>
            <w:vAlign w:val="center"/>
          </w:tcPr>
          <w:p w:rsidRPr="00E14CD3" w:rsidR="001864CF" w:rsidP="00A35BB4" w:rsidRDefault="001864CF" w14:paraId="27FD3ABA" w14:textId="57055074">
            <w:pPr>
              <w:spacing w:before="120" w:line="240" w:lineRule="auto"/>
              <w:jc w:val="center"/>
              <w:rPr>
                <w:color w:val="000000" w:themeColor="text1"/>
              </w:rPr>
            </w:pPr>
            <w:r w:rsidRPr="00E14CD3">
              <w:rPr>
                <w:color w:val="000000" w:themeColor="text1"/>
              </w:rPr>
              <w:t>$</w:t>
            </w:r>
            <w:r w:rsidRPr="00E14CD3" w:rsidR="00A35BB4">
              <w:rPr>
                <w:color w:val="000000" w:themeColor="text1"/>
              </w:rPr>
              <w:t>5</w:t>
            </w:r>
            <w:r w:rsidRPr="00E14CD3" w:rsidR="001A5FB8">
              <w:rPr>
                <w:color w:val="000000" w:themeColor="text1"/>
              </w:rPr>
              <w:t>7</w:t>
            </w:r>
            <w:r w:rsidRPr="00E14CD3" w:rsidR="00D1396B">
              <w:rPr>
                <w:color w:val="000000" w:themeColor="text1"/>
              </w:rPr>
              <w:t>,</w:t>
            </w:r>
            <w:r w:rsidRPr="00E14CD3" w:rsidR="001A5FB8">
              <w:rPr>
                <w:color w:val="000000" w:themeColor="text1"/>
              </w:rPr>
              <w:t>600</w:t>
            </w:r>
          </w:p>
        </w:tc>
      </w:tr>
      <w:tr w:rsidRPr="00E14CD3" w:rsidR="00A35BB4" w:rsidTr="00E82D8C" w14:paraId="7AD8CDEF" w14:textId="77777777">
        <w:trPr>
          <w:cantSplit/>
        </w:trPr>
        <w:tc>
          <w:tcPr>
            <w:tcW w:w="1525" w:type="dxa"/>
            <w:vAlign w:val="center"/>
          </w:tcPr>
          <w:p w:rsidRPr="00E14CD3" w:rsidR="00A35BB4" w:rsidP="001864CF" w:rsidRDefault="00A35BB4" w14:paraId="2189E945" w14:textId="45D5E28E">
            <w:pPr>
              <w:spacing w:before="120" w:line="240" w:lineRule="auto"/>
              <w:rPr>
                <w:color w:val="000000" w:themeColor="text1"/>
              </w:rPr>
            </w:pPr>
            <w:r w:rsidRPr="00E14CD3">
              <w:rPr>
                <w:color w:val="000000" w:themeColor="text1"/>
              </w:rPr>
              <w:t>Local education agency HIV prevention recipients</w:t>
            </w:r>
            <w:r w:rsidRPr="00E14CD3" w:rsidR="004D1DAC">
              <w:rPr>
                <w:color w:val="000000" w:themeColor="text1"/>
              </w:rPr>
              <w:t xml:space="preserve"> (Program Manager)</w:t>
            </w:r>
          </w:p>
        </w:tc>
        <w:tc>
          <w:tcPr>
            <w:tcW w:w="1645" w:type="dxa"/>
          </w:tcPr>
          <w:p w:rsidRPr="00E14CD3" w:rsidR="00A35BB4" w:rsidP="00E96BCC" w:rsidRDefault="00A35BB4" w14:paraId="42C6C75F" w14:textId="14D02285">
            <w:pPr>
              <w:spacing w:before="120" w:line="240" w:lineRule="auto"/>
            </w:pPr>
            <w:r w:rsidRPr="00E14CD3">
              <w:t>Promoting Adolescent Health through School-Based HIV/STD Prevention Component 1 Reporting Template</w:t>
            </w:r>
            <w:r w:rsidRPr="00E14CD3" w:rsidR="00D1396B">
              <w:t xml:space="preserve"> and Work Plan</w:t>
            </w:r>
            <w:r w:rsidRPr="00E14CD3" w:rsidR="00AF19E6">
              <w:t>s (required programmatic activities work plan and professional development work plan)</w:t>
            </w:r>
          </w:p>
        </w:tc>
        <w:tc>
          <w:tcPr>
            <w:tcW w:w="1445" w:type="dxa"/>
            <w:vAlign w:val="center"/>
          </w:tcPr>
          <w:p w:rsidRPr="00E14CD3" w:rsidR="00A35BB4" w:rsidP="001864CF" w:rsidRDefault="00A35BB4" w14:paraId="5EDB500A" w14:textId="728F99A7">
            <w:pPr>
              <w:spacing w:before="120" w:line="240" w:lineRule="auto"/>
              <w:jc w:val="center"/>
              <w:rPr>
                <w:color w:val="000000" w:themeColor="text1"/>
              </w:rPr>
            </w:pPr>
            <w:r w:rsidRPr="00E14CD3">
              <w:rPr>
                <w:color w:val="000000" w:themeColor="text1"/>
              </w:rPr>
              <w:t>2</w:t>
            </w:r>
            <w:r w:rsidRPr="00E14CD3" w:rsidR="00D1396B">
              <w:rPr>
                <w:color w:val="000000" w:themeColor="text1"/>
              </w:rPr>
              <w:t>5</w:t>
            </w:r>
          </w:p>
        </w:tc>
        <w:tc>
          <w:tcPr>
            <w:tcW w:w="1352" w:type="dxa"/>
            <w:vAlign w:val="center"/>
          </w:tcPr>
          <w:p w:rsidRPr="00E14CD3" w:rsidR="00A35BB4" w:rsidP="001864CF" w:rsidRDefault="00AF19E6" w14:paraId="1E9A893E" w14:textId="52A340D3">
            <w:pPr>
              <w:spacing w:before="120" w:line="240" w:lineRule="auto"/>
              <w:jc w:val="center"/>
              <w:rPr>
                <w:color w:val="000000" w:themeColor="text1"/>
              </w:rPr>
            </w:pPr>
            <w:r w:rsidRPr="00E14CD3">
              <w:rPr>
                <w:color w:val="000000" w:themeColor="text1"/>
              </w:rPr>
              <w:t>4</w:t>
            </w:r>
          </w:p>
        </w:tc>
        <w:tc>
          <w:tcPr>
            <w:tcW w:w="1138" w:type="dxa"/>
            <w:vAlign w:val="center"/>
          </w:tcPr>
          <w:p w:rsidRPr="00E14CD3" w:rsidR="00A35BB4" w:rsidP="00A35BB4" w:rsidRDefault="00A35BB4" w14:paraId="298FE1CC" w14:textId="5BFAAE4D">
            <w:pPr>
              <w:spacing w:before="120" w:line="240" w:lineRule="auto"/>
              <w:jc w:val="center"/>
              <w:rPr>
                <w:color w:val="000000" w:themeColor="text1"/>
              </w:rPr>
            </w:pPr>
            <w:r w:rsidRPr="00E14CD3">
              <w:rPr>
                <w:color w:val="000000" w:themeColor="text1"/>
              </w:rPr>
              <w:t>1</w:t>
            </w:r>
            <w:r w:rsidRPr="00E14CD3" w:rsidR="00AF19E6">
              <w:rPr>
                <w:color w:val="000000" w:themeColor="text1"/>
              </w:rPr>
              <w:t>4</w:t>
            </w:r>
          </w:p>
        </w:tc>
        <w:tc>
          <w:tcPr>
            <w:tcW w:w="1031" w:type="dxa"/>
            <w:vAlign w:val="center"/>
          </w:tcPr>
          <w:p w:rsidRPr="00E14CD3" w:rsidR="00A35BB4" w:rsidP="00A35BB4" w:rsidRDefault="00A35BB4" w14:paraId="0FD61386" w14:textId="77777777">
            <w:pPr>
              <w:spacing w:before="120" w:line="240" w:lineRule="auto"/>
              <w:jc w:val="center"/>
              <w:rPr>
                <w:color w:val="000000" w:themeColor="text1"/>
              </w:rPr>
            </w:pPr>
            <w:r w:rsidRPr="00E14CD3">
              <w:rPr>
                <w:color w:val="000000" w:themeColor="text1"/>
              </w:rPr>
              <w:t>$30</w:t>
            </w:r>
          </w:p>
        </w:tc>
        <w:tc>
          <w:tcPr>
            <w:tcW w:w="1214" w:type="dxa"/>
            <w:vAlign w:val="center"/>
          </w:tcPr>
          <w:p w:rsidRPr="00E14CD3" w:rsidR="00A35BB4" w:rsidP="00A35BB4" w:rsidRDefault="00A35BB4" w14:paraId="22B7A8F0" w14:textId="2E7E2CAD">
            <w:pPr>
              <w:spacing w:before="120" w:line="240" w:lineRule="auto"/>
              <w:jc w:val="center"/>
              <w:rPr>
                <w:color w:val="000000" w:themeColor="text1"/>
              </w:rPr>
            </w:pPr>
            <w:r w:rsidRPr="00E14CD3">
              <w:rPr>
                <w:color w:val="000000" w:themeColor="text1"/>
              </w:rPr>
              <w:t>$</w:t>
            </w:r>
            <w:r w:rsidRPr="00E14CD3" w:rsidR="00AF19E6">
              <w:rPr>
                <w:color w:val="000000" w:themeColor="text1"/>
              </w:rPr>
              <w:t>42</w:t>
            </w:r>
            <w:r w:rsidRPr="00E14CD3">
              <w:rPr>
                <w:color w:val="000000" w:themeColor="text1"/>
              </w:rPr>
              <w:t>,</w:t>
            </w:r>
            <w:r w:rsidRPr="00E14CD3" w:rsidR="00D1396B">
              <w:rPr>
                <w:color w:val="000000" w:themeColor="text1"/>
              </w:rPr>
              <w:t>00</w:t>
            </w:r>
            <w:r w:rsidRPr="00E14CD3">
              <w:rPr>
                <w:color w:val="000000" w:themeColor="text1"/>
              </w:rPr>
              <w:t>0</w:t>
            </w:r>
          </w:p>
        </w:tc>
      </w:tr>
      <w:tr w:rsidRPr="00E14CD3" w:rsidR="00E00B73" w:rsidTr="006400D7" w14:paraId="72A35277" w14:textId="77777777">
        <w:trPr>
          <w:cantSplit/>
        </w:trPr>
        <w:tc>
          <w:tcPr>
            <w:tcW w:w="8136" w:type="dxa"/>
            <w:gridSpan w:val="6"/>
            <w:vAlign w:val="center"/>
          </w:tcPr>
          <w:p w:rsidRPr="00E14CD3" w:rsidR="00E00B73" w:rsidP="00E00B73" w:rsidRDefault="00E00B73" w14:paraId="6A61465A" w14:textId="77777777">
            <w:pPr>
              <w:spacing w:before="120" w:line="240" w:lineRule="auto"/>
              <w:rPr>
                <w:color w:val="000000" w:themeColor="text1"/>
              </w:rPr>
            </w:pPr>
            <w:r w:rsidRPr="00E14CD3">
              <w:rPr>
                <w:color w:val="000000" w:themeColor="text1"/>
              </w:rPr>
              <w:t>Total</w:t>
            </w:r>
          </w:p>
        </w:tc>
        <w:tc>
          <w:tcPr>
            <w:tcW w:w="1214" w:type="dxa"/>
            <w:vAlign w:val="center"/>
          </w:tcPr>
          <w:p w:rsidRPr="00E14CD3" w:rsidR="00E00B73" w:rsidP="00A35BB4" w:rsidRDefault="00E00B73" w14:paraId="30D4E6B4" w14:textId="318D3562">
            <w:pPr>
              <w:spacing w:before="120" w:line="240" w:lineRule="auto"/>
              <w:jc w:val="center"/>
              <w:rPr>
                <w:color w:val="000000" w:themeColor="text1"/>
              </w:rPr>
            </w:pPr>
            <w:r w:rsidRPr="00E14CD3">
              <w:rPr>
                <w:color w:val="000000" w:themeColor="text1"/>
              </w:rPr>
              <w:t>$</w:t>
            </w:r>
            <w:r w:rsidRPr="00E14CD3" w:rsidR="00AF19E6">
              <w:rPr>
                <w:color w:val="000000" w:themeColor="text1"/>
              </w:rPr>
              <w:t>99</w:t>
            </w:r>
            <w:r w:rsidRPr="00E14CD3" w:rsidR="00A35BB4">
              <w:rPr>
                <w:color w:val="000000" w:themeColor="text1"/>
              </w:rPr>
              <w:t>,</w:t>
            </w:r>
            <w:r w:rsidRPr="00E14CD3" w:rsidR="001A5FB8">
              <w:rPr>
                <w:color w:val="000000" w:themeColor="text1"/>
              </w:rPr>
              <w:t>600</w:t>
            </w:r>
          </w:p>
        </w:tc>
      </w:tr>
    </w:tbl>
    <w:p w:rsidRPr="00E14CD3" w:rsidR="006772F9" w:rsidP="008A1964" w:rsidRDefault="006772F9" w14:paraId="7E9F9F94" w14:textId="77777777">
      <w:pPr>
        <w:spacing w:before="120" w:line="240" w:lineRule="auto"/>
        <w:rPr>
          <w:b/>
          <w:color w:val="000000" w:themeColor="text1"/>
        </w:rPr>
      </w:pPr>
    </w:p>
    <w:p w:rsidRPr="00E14CD3" w:rsidR="00B6728A" w:rsidP="004236F2" w:rsidRDefault="00875AA9" w14:paraId="4CB9F6D0" w14:textId="77777777">
      <w:pPr>
        <w:pStyle w:val="Heading1"/>
        <w:spacing w:before="120" w:after="0" w:line="240" w:lineRule="auto"/>
        <w:ind w:left="0" w:firstLine="0"/>
        <w:rPr>
          <w:rFonts w:cs="Times New Roman"/>
          <w:color w:val="000000" w:themeColor="text1"/>
          <w:szCs w:val="24"/>
        </w:rPr>
      </w:pPr>
      <w:bookmarkStart w:name="_Toc507659004" w:id="22"/>
      <w:r w:rsidRPr="00E14CD3">
        <w:rPr>
          <w:rFonts w:cs="Times New Roman"/>
          <w:color w:val="000000" w:themeColor="text1"/>
          <w:szCs w:val="24"/>
        </w:rPr>
        <w:lastRenderedPageBreak/>
        <w:t>Estimates of Other Annual Cost Burden to Respondents or Record Keepers</w:t>
      </w:r>
      <w:bookmarkEnd w:id="22"/>
    </w:p>
    <w:p w:rsidRPr="00E14CD3" w:rsidR="005F1598" w:rsidP="008A1964" w:rsidRDefault="005F1598" w14:paraId="153E61C2" w14:textId="77777777">
      <w:pPr>
        <w:spacing w:before="120" w:line="240" w:lineRule="auto"/>
        <w:ind w:firstLine="720"/>
        <w:rPr>
          <w:color w:val="000000" w:themeColor="text1"/>
        </w:rPr>
      </w:pPr>
      <w:r w:rsidRPr="00E14CD3">
        <w:rPr>
          <w:color w:val="000000" w:themeColor="text1"/>
        </w:rPr>
        <w:t xml:space="preserve">There will be no direct costs to the </w:t>
      </w:r>
      <w:r w:rsidRPr="00E14CD3" w:rsidR="00DF4600">
        <w:rPr>
          <w:color w:val="000000" w:themeColor="text1"/>
        </w:rPr>
        <w:t>respondents</w:t>
      </w:r>
      <w:r w:rsidRPr="00E14CD3">
        <w:rPr>
          <w:color w:val="000000" w:themeColor="text1"/>
        </w:rPr>
        <w:t xml:space="preserve"> other than their time to participate in each information collection.</w:t>
      </w:r>
    </w:p>
    <w:p w:rsidRPr="00E14CD3" w:rsidR="00B6728A" w:rsidP="004236F2" w:rsidRDefault="00875AA9" w14:paraId="45FF8A26" w14:textId="77777777">
      <w:pPr>
        <w:pStyle w:val="Heading1"/>
        <w:spacing w:before="120" w:after="0" w:line="240" w:lineRule="auto"/>
        <w:ind w:left="0" w:firstLine="0"/>
        <w:rPr>
          <w:rFonts w:cs="Times New Roman"/>
          <w:color w:val="000000" w:themeColor="text1"/>
          <w:szCs w:val="24"/>
        </w:rPr>
      </w:pPr>
      <w:bookmarkStart w:name="_Toc227033754" w:id="23"/>
      <w:bookmarkStart w:name="_Toc322357324" w:id="24"/>
      <w:bookmarkStart w:name="_Toc507659005" w:id="25"/>
      <w:r w:rsidRPr="00E14CD3">
        <w:rPr>
          <w:rFonts w:cs="Times New Roman"/>
          <w:color w:val="000000" w:themeColor="text1"/>
          <w:szCs w:val="24"/>
        </w:rPr>
        <w:t xml:space="preserve">Annualized </w:t>
      </w:r>
      <w:r w:rsidRPr="00E14CD3" w:rsidR="00B6728A">
        <w:rPr>
          <w:rFonts w:cs="Times New Roman"/>
          <w:color w:val="000000" w:themeColor="text1"/>
          <w:szCs w:val="24"/>
        </w:rPr>
        <w:t>Cost to Federal Government</w:t>
      </w:r>
      <w:bookmarkEnd w:id="23"/>
      <w:bookmarkEnd w:id="24"/>
      <w:bookmarkEnd w:id="25"/>
      <w:r w:rsidRPr="00E14CD3" w:rsidR="00B6728A">
        <w:rPr>
          <w:rFonts w:cs="Times New Roman"/>
          <w:color w:val="000000" w:themeColor="text1"/>
          <w:szCs w:val="24"/>
        </w:rPr>
        <w:t xml:space="preserve">  </w:t>
      </w:r>
    </w:p>
    <w:p w:rsidRPr="00E14CD3" w:rsidR="005F1598" w:rsidP="008A1964" w:rsidRDefault="008A1964" w14:paraId="7763C026"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b/>
      </w:r>
      <w:r w:rsidRPr="00E14CD3" w:rsidR="005F1598">
        <w:rPr>
          <w:color w:val="000000" w:themeColor="text1"/>
        </w:rPr>
        <w:t xml:space="preserve">Cost will be incurred by the government in personnel time for overseeing the project.  CDC time and effort with data collection and answering questions posed by the </w:t>
      </w:r>
      <w:r w:rsidRPr="00E14CD3" w:rsidR="00AB1195">
        <w:rPr>
          <w:color w:val="000000" w:themeColor="text1"/>
        </w:rPr>
        <w:t xml:space="preserve">recipients </w:t>
      </w:r>
      <w:r w:rsidRPr="00E14CD3" w:rsidR="005F1598">
        <w:rPr>
          <w:color w:val="000000" w:themeColor="text1"/>
        </w:rPr>
        <w:t>are estimated at 6% for</w:t>
      </w:r>
      <w:r w:rsidRPr="00E14CD3" w:rsidR="00FD3622">
        <w:rPr>
          <w:color w:val="000000" w:themeColor="text1"/>
        </w:rPr>
        <w:t xml:space="preserve"> </w:t>
      </w:r>
      <w:r w:rsidRPr="00E14CD3" w:rsidR="006216B7">
        <w:rPr>
          <w:color w:val="000000" w:themeColor="text1"/>
        </w:rPr>
        <w:t xml:space="preserve">a </w:t>
      </w:r>
      <w:r w:rsidRPr="00E14CD3" w:rsidR="005F1598">
        <w:rPr>
          <w:color w:val="000000" w:themeColor="text1"/>
        </w:rPr>
        <w:t>GS-1</w:t>
      </w:r>
      <w:r w:rsidRPr="00E14CD3" w:rsidR="006216B7">
        <w:rPr>
          <w:color w:val="000000" w:themeColor="text1"/>
        </w:rPr>
        <w:t>3</w:t>
      </w:r>
      <w:r w:rsidRPr="00E14CD3" w:rsidR="005F1598">
        <w:rPr>
          <w:color w:val="000000" w:themeColor="text1"/>
        </w:rPr>
        <w:t xml:space="preserve"> </w:t>
      </w:r>
      <w:r w:rsidRPr="00E14CD3" w:rsidR="00DF4600">
        <w:rPr>
          <w:color w:val="000000" w:themeColor="text1"/>
        </w:rPr>
        <w:t>(step 6</w:t>
      </w:r>
      <w:r w:rsidRPr="00E14CD3" w:rsidR="001E4F4C">
        <w:rPr>
          <w:color w:val="000000" w:themeColor="text1"/>
        </w:rPr>
        <w:t xml:space="preserve">) </w:t>
      </w:r>
      <w:r w:rsidRPr="00E14CD3" w:rsidR="005F1598">
        <w:rPr>
          <w:color w:val="000000" w:themeColor="text1"/>
        </w:rPr>
        <w:t>level</w:t>
      </w:r>
      <w:r w:rsidRPr="00E14CD3" w:rsidR="001E4F4C">
        <w:rPr>
          <w:color w:val="000000" w:themeColor="text1"/>
        </w:rPr>
        <w:t xml:space="preserve"> Atlanta-based</w:t>
      </w:r>
      <w:r w:rsidRPr="00E14CD3" w:rsidR="005F1598">
        <w:rPr>
          <w:color w:val="000000" w:themeColor="text1"/>
        </w:rPr>
        <w:t xml:space="preserve"> CDC employee a year.  </w:t>
      </w:r>
      <w:r w:rsidRPr="00E14CD3" w:rsidR="001E4F4C">
        <w:rPr>
          <w:color w:val="000000" w:themeColor="text1"/>
        </w:rPr>
        <w:t xml:space="preserve">The grade and step levels were determined based on the experience levels of the staff currently </w:t>
      </w:r>
      <w:r w:rsidRPr="00E14CD3" w:rsidR="00FD3622">
        <w:rPr>
          <w:color w:val="000000" w:themeColor="text1"/>
        </w:rPr>
        <w:t xml:space="preserve">working </w:t>
      </w:r>
      <w:r w:rsidRPr="00E14CD3" w:rsidR="00DF4600">
        <w:rPr>
          <w:color w:val="000000" w:themeColor="text1"/>
        </w:rPr>
        <w:t xml:space="preserve">on the project.  </w:t>
      </w:r>
      <w:r w:rsidRPr="00E14CD3" w:rsidR="005F1598">
        <w:rPr>
          <w:color w:val="000000" w:themeColor="text1"/>
        </w:rPr>
        <w:t>The average annual cost to the federal government for oversight and project management is $</w:t>
      </w:r>
      <w:r w:rsidRPr="00E14CD3" w:rsidR="006216B7">
        <w:rPr>
          <w:color w:val="000000" w:themeColor="text1"/>
        </w:rPr>
        <w:t>7</w:t>
      </w:r>
      <w:r w:rsidRPr="00E14CD3" w:rsidR="00A16D3C">
        <w:rPr>
          <w:color w:val="000000" w:themeColor="text1"/>
        </w:rPr>
        <w:t>,</w:t>
      </w:r>
      <w:r w:rsidRPr="00E14CD3" w:rsidR="006216B7">
        <w:rPr>
          <w:color w:val="000000" w:themeColor="text1"/>
        </w:rPr>
        <w:t>580</w:t>
      </w:r>
      <w:r w:rsidRPr="00E14CD3" w:rsidR="005F1598">
        <w:rPr>
          <w:color w:val="000000" w:themeColor="text1"/>
        </w:rPr>
        <w:t xml:space="preserve"> (</w:t>
      </w:r>
      <w:r w:rsidRPr="00E14CD3" w:rsidR="005F1598">
        <w:rPr>
          <w:b/>
          <w:color w:val="000000" w:themeColor="text1"/>
        </w:rPr>
        <w:t>Table A-14</w:t>
      </w:r>
      <w:r w:rsidRPr="00E14CD3" w:rsidR="004634EB">
        <w:rPr>
          <w:b/>
          <w:color w:val="000000" w:themeColor="text1"/>
        </w:rPr>
        <w:t>-1</w:t>
      </w:r>
      <w:r w:rsidRPr="00E14CD3" w:rsidR="005F1598">
        <w:rPr>
          <w:b/>
          <w:color w:val="000000" w:themeColor="text1"/>
        </w:rPr>
        <w:t>)</w:t>
      </w:r>
      <w:r w:rsidRPr="00E14CD3" w:rsidR="005F1598">
        <w:rPr>
          <w:color w:val="000000" w:themeColor="text1"/>
        </w:rPr>
        <w:t>.</w:t>
      </w:r>
    </w:p>
    <w:p w:rsidRPr="00E14CD3" w:rsidR="005F1598" w:rsidP="006216B7" w:rsidRDefault="005F1598" w14:paraId="48CF64AB" w14:textId="77777777">
      <w:pPr>
        <w:spacing w:before="120" w:line="240" w:lineRule="auto"/>
        <w:ind w:firstLine="720"/>
        <w:rPr>
          <w:b/>
          <w:color w:val="000000" w:themeColor="text1"/>
        </w:rPr>
      </w:pPr>
      <w:r w:rsidRPr="00E14CD3">
        <w:rPr>
          <w:color w:val="000000" w:themeColor="text1"/>
        </w:rPr>
        <w:t xml:space="preserve">  </w:t>
      </w:r>
    </w:p>
    <w:p w:rsidRPr="00E14CD3" w:rsidR="00EA572E" w:rsidP="008A1964" w:rsidRDefault="00EA572E" w14:paraId="5755DF7E" w14:textId="7CA2DE6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E14CD3">
        <w:rPr>
          <w:b/>
          <w:color w:val="000000" w:themeColor="text1"/>
        </w:rPr>
        <w:t>Table A.14-</w:t>
      </w:r>
      <w:r w:rsidRPr="00E14CD3" w:rsidR="00B97639">
        <w:rPr>
          <w:b/>
          <w:color w:val="000000" w:themeColor="text1"/>
        </w:rPr>
        <w:fldChar w:fldCharType="begin"/>
      </w:r>
      <w:r w:rsidRPr="00E14CD3">
        <w:rPr>
          <w:b/>
          <w:color w:val="000000" w:themeColor="text1"/>
        </w:rPr>
        <w:instrText xml:space="preserve"> SEQ Table \* ARABIC </w:instrText>
      </w:r>
      <w:r w:rsidRPr="00E14CD3" w:rsidR="00B97639">
        <w:rPr>
          <w:b/>
          <w:color w:val="000000" w:themeColor="text1"/>
        </w:rPr>
        <w:fldChar w:fldCharType="separate"/>
      </w:r>
      <w:r w:rsidRPr="00E14CD3" w:rsidR="00082161">
        <w:rPr>
          <w:b/>
          <w:noProof/>
          <w:color w:val="000000" w:themeColor="text1"/>
        </w:rPr>
        <w:t>1</w:t>
      </w:r>
      <w:r w:rsidRPr="00E14CD3" w:rsidR="00B97639">
        <w:rPr>
          <w:b/>
          <w:color w:val="000000" w:themeColor="text1"/>
        </w:rPr>
        <w:fldChar w:fldCharType="end"/>
      </w:r>
      <w:r w:rsidRPr="00E14CD3">
        <w:rPr>
          <w:b/>
          <w:color w:val="000000" w:themeColor="text1"/>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Pr="00E14CD3" w:rsidR="007266A2" w:rsidTr="00EA572E" w14:paraId="4C044AE1" w14:textId="77777777">
        <w:trPr>
          <w:cantSplit/>
        </w:trPr>
        <w:tc>
          <w:tcPr>
            <w:tcW w:w="3420" w:type="dxa"/>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E14CD3" w:rsidR="00EA572E" w:rsidP="008A1964" w:rsidRDefault="00EA572E" w14:paraId="146BC9C8" w14:textId="77777777">
            <w:pPr>
              <w:spacing w:before="120" w:line="240" w:lineRule="auto"/>
              <w:rPr>
                <w:b/>
                <w:bCs/>
                <w:color w:val="000000" w:themeColor="text1"/>
              </w:rPr>
            </w:pPr>
            <w:r w:rsidRPr="00E14CD3">
              <w:rPr>
                <w:b/>
                <w:bCs/>
                <w:color w:val="000000" w:themeColor="text1"/>
              </w:rPr>
              <w:t>Expense Type</w:t>
            </w:r>
          </w:p>
        </w:tc>
        <w:tc>
          <w:tcPr>
            <w:tcW w:w="34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E14CD3" w:rsidR="00EA572E" w:rsidP="008A1964" w:rsidRDefault="00EA572E" w14:paraId="0628AB71" w14:textId="77777777">
            <w:pPr>
              <w:spacing w:before="120" w:line="240" w:lineRule="auto"/>
              <w:rPr>
                <w:b/>
                <w:bCs/>
                <w:color w:val="000000" w:themeColor="text1"/>
              </w:rPr>
            </w:pPr>
            <w:r w:rsidRPr="00E14CD3">
              <w:rPr>
                <w:b/>
                <w:bCs/>
                <w:color w:val="000000" w:themeColor="text1"/>
              </w:rPr>
              <w:t xml:space="preserve">Expense Explanation </w:t>
            </w:r>
          </w:p>
        </w:tc>
        <w:tc>
          <w:tcPr>
            <w:tcW w:w="25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E14CD3" w:rsidR="00EA572E" w:rsidP="008A1964" w:rsidRDefault="00EA572E" w14:paraId="6145C0DA" w14:textId="77777777">
            <w:pPr>
              <w:spacing w:before="120" w:line="240" w:lineRule="auto"/>
              <w:rPr>
                <w:b/>
                <w:bCs/>
                <w:color w:val="000000" w:themeColor="text1"/>
              </w:rPr>
            </w:pPr>
            <w:r w:rsidRPr="00E14CD3">
              <w:rPr>
                <w:b/>
                <w:bCs/>
                <w:color w:val="000000" w:themeColor="text1"/>
              </w:rPr>
              <w:t>Annual Costs (dollars)</w:t>
            </w:r>
          </w:p>
        </w:tc>
      </w:tr>
      <w:tr w:rsidRPr="00E14CD3" w:rsidR="007266A2" w:rsidTr="00EA572E" w14:paraId="7451A969" w14:textId="77777777">
        <w:trPr>
          <w:cantSplit/>
        </w:trPr>
        <w:tc>
          <w:tcPr>
            <w:tcW w:w="9360" w:type="dxa"/>
            <w:gridSpan w:val="3"/>
            <w:tcBorders>
              <w:top w:val="nil"/>
              <w:left w:val="single" w:color="auto" w:sz="8" w:space="0"/>
              <w:bottom w:val="single" w:color="auto" w:sz="8" w:space="0"/>
              <w:right w:val="single" w:color="auto" w:sz="8" w:space="0"/>
            </w:tcBorders>
            <w:shd w:val="clear" w:color="auto" w:fill="D9D9D9" w:themeFill="background1" w:themeFillShade="D9"/>
            <w:tcMar>
              <w:top w:w="0" w:type="dxa"/>
              <w:left w:w="115" w:type="dxa"/>
              <w:bottom w:w="0" w:type="dxa"/>
              <w:right w:w="115" w:type="dxa"/>
            </w:tcMar>
            <w:vAlign w:val="center"/>
            <w:hideMark/>
          </w:tcPr>
          <w:p w:rsidRPr="00E14CD3" w:rsidR="00EA572E" w:rsidP="008A1964" w:rsidRDefault="00EA572E" w14:paraId="5BB971DA" w14:textId="77777777">
            <w:pPr>
              <w:spacing w:before="120" w:line="240" w:lineRule="auto"/>
              <w:rPr>
                <w:i/>
                <w:iCs/>
                <w:color w:val="000000" w:themeColor="text1"/>
              </w:rPr>
            </w:pPr>
            <w:r w:rsidRPr="00E14CD3">
              <w:rPr>
                <w:b/>
                <w:bCs/>
                <w:i/>
                <w:iCs/>
                <w:color w:val="000000" w:themeColor="text1"/>
              </w:rPr>
              <w:t>Direct Cost to the Federal Government</w:t>
            </w:r>
          </w:p>
        </w:tc>
      </w:tr>
      <w:tr w:rsidRPr="00E14CD3" w:rsidR="007266A2" w:rsidTr="00EA572E" w14:paraId="76E455D2"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E14CD3" w:rsidR="00EA572E" w:rsidP="008E2A9B" w:rsidRDefault="00EA572E" w14:paraId="7BDD0C97" w14:textId="77777777">
            <w:pPr>
              <w:spacing w:before="120" w:line="240" w:lineRule="auto"/>
              <w:rPr>
                <w:b/>
                <w:bCs/>
                <w:color w:val="000000" w:themeColor="text1"/>
              </w:rPr>
            </w:pPr>
            <w:r w:rsidRPr="00E14CD3">
              <w:rPr>
                <w:color w:val="000000" w:themeColor="text1"/>
              </w:rPr>
              <w:t xml:space="preserve">CDC </w:t>
            </w:r>
            <w:r w:rsidRPr="00E14CD3" w:rsidR="008E2A9B">
              <w:rPr>
                <w:color w:val="000000" w:themeColor="text1"/>
              </w:rPr>
              <w:t>oversight of the project</w:t>
            </w:r>
          </w:p>
        </w:tc>
        <w:tc>
          <w:tcPr>
            <w:tcW w:w="34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E14CD3" w:rsidR="00EA572E" w:rsidP="006216B7" w:rsidRDefault="009524EB" w14:paraId="6A38E8FA" w14:textId="77777777">
            <w:pPr>
              <w:spacing w:before="120" w:line="240" w:lineRule="auto"/>
              <w:rPr>
                <w:color w:val="000000" w:themeColor="text1"/>
              </w:rPr>
            </w:pPr>
            <w:r w:rsidRPr="00E14CD3">
              <w:rPr>
                <w:color w:val="000000" w:themeColor="text1"/>
              </w:rPr>
              <w:t xml:space="preserve">1 </w:t>
            </w:r>
            <w:r w:rsidRPr="00E14CD3" w:rsidR="005F1598">
              <w:rPr>
                <w:color w:val="000000" w:themeColor="text1"/>
              </w:rPr>
              <w:t xml:space="preserve">CDC Health </w:t>
            </w:r>
            <w:r w:rsidRPr="00E14CD3" w:rsidR="006216B7">
              <w:rPr>
                <w:color w:val="000000" w:themeColor="text1"/>
              </w:rPr>
              <w:t xml:space="preserve">Education Specialist </w:t>
            </w:r>
            <w:r w:rsidRPr="00E14CD3">
              <w:rPr>
                <w:color w:val="000000" w:themeColor="text1"/>
              </w:rPr>
              <w:t xml:space="preserve">at </w:t>
            </w:r>
            <w:r w:rsidRPr="00E14CD3" w:rsidR="008E2A9B">
              <w:rPr>
                <w:color w:val="000000" w:themeColor="text1"/>
              </w:rPr>
              <w:t>6</w:t>
            </w:r>
            <w:r w:rsidRPr="00E14CD3">
              <w:rPr>
                <w:color w:val="000000" w:themeColor="text1"/>
              </w:rPr>
              <w:t xml:space="preserve">% time </w:t>
            </w:r>
            <w:r w:rsidRPr="00E14CD3" w:rsidR="005F1598">
              <w:rPr>
                <w:color w:val="000000" w:themeColor="text1"/>
              </w:rPr>
              <w:t>(GS-</w:t>
            </w:r>
            <w:r w:rsidRPr="00E14CD3" w:rsidR="004C6F2F">
              <w:rPr>
                <w:color w:val="000000" w:themeColor="text1"/>
              </w:rPr>
              <w:t>1</w:t>
            </w:r>
            <w:r w:rsidRPr="00E14CD3" w:rsidR="006216B7">
              <w:rPr>
                <w:color w:val="000000" w:themeColor="text1"/>
              </w:rPr>
              <w:t>3</w:t>
            </w:r>
            <w:r w:rsidRPr="00E14CD3" w:rsidR="005F1598">
              <w:rPr>
                <w:color w:val="000000" w:themeColor="text1"/>
              </w:rPr>
              <w:t>)</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E14CD3" w:rsidR="00EA572E" w:rsidP="004C6F2F" w:rsidRDefault="00EA572E" w14:paraId="244E9CDB" w14:textId="77777777">
            <w:pPr>
              <w:spacing w:before="120" w:line="240" w:lineRule="auto"/>
              <w:rPr>
                <w:color w:val="000000" w:themeColor="text1"/>
              </w:rPr>
            </w:pPr>
            <w:r w:rsidRPr="00E14CD3">
              <w:rPr>
                <w:color w:val="000000" w:themeColor="text1"/>
              </w:rPr>
              <w:t>$</w:t>
            </w:r>
            <w:r w:rsidRPr="00E14CD3" w:rsidR="00FD3622">
              <w:rPr>
                <w:color w:val="000000" w:themeColor="text1"/>
              </w:rPr>
              <w:t>7,</w:t>
            </w:r>
            <w:r w:rsidRPr="00E14CD3" w:rsidR="004C6F2F">
              <w:rPr>
                <w:color w:val="000000" w:themeColor="text1"/>
              </w:rPr>
              <w:t>580</w:t>
            </w:r>
          </w:p>
        </w:tc>
      </w:tr>
      <w:tr w:rsidRPr="00E14CD3" w:rsidR="007266A2" w:rsidTr="00EA572E" w14:paraId="18BCEC35" w14:textId="77777777">
        <w:trPr>
          <w:cantSplit/>
        </w:trPr>
        <w:tc>
          <w:tcPr>
            <w:tcW w:w="6840"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E14CD3" w:rsidR="00EA572E" w:rsidP="008A1964" w:rsidRDefault="00EA572E" w14:paraId="30BD5872" w14:textId="77777777">
            <w:pPr>
              <w:spacing w:before="120" w:line="240" w:lineRule="auto"/>
              <w:rPr>
                <w:b/>
                <w:iCs/>
                <w:color w:val="000000" w:themeColor="text1"/>
              </w:rPr>
            </w:pPr>
            <w:r w:rsidRPr="00E14CD3">
              <w:rPr>
                <w:b/>
                <w:iCs/>
                <w:color w:val="000000" w:themeColor="text1"/>
              </w:rPr>
              <w:t>Subtotal, Direct Costs to the Government per year</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E14CD3" w:rsidR="00EA572E" w:rsidP="006216B7" w:rsidRDefault="00EA572E" w14:paraId="6AF6CA54" w14:textId="77777777">
            <w:pPr>
              <w:spacing w:before="120" w:line="240" w:lineRule="auto"/>
              <w:rPr>
                <w:b/>
                <w:iCs/>
                <w:color w:val="000000" w:themeColor="text1"/>
              </w:rPr>
            </w:pPr>
            <w:r w:rsidRPr="00E14CD3">
              <w:rPr>
                <w:b/>
                <w:iCs/>
                <w:color w:val="000000" w:themeColor="text1"/>
              </w:rPr>
              <w:t>$</w:t>
            </w:r>
            <w:r w:rsidRPr="00E14CD3" w:rsidR="006216B7">
              <w:rPr>
                <w:b/>
                <w:iCs/>
                <w:color w:val="000000" w:themeColor="text1"/>
              </w:rPr>
              <w:t>7</w:t>
            </w:r>
            <w:r w:rsidRPr="00E14CD3" w:rsidR="00FD3622">
              <w:rPr>
                <w:b/>
                <w:iCs/>
                <w:color w:val="000000" w:themeColor="text1"/>
              </w:rPr>
              <w:t>,</w:t>
            </w:r>
            <w:r w:rsidRPr="00E14CD3" w:rsidR="006216B7">
              <w:rPr>
                <w:b/>
                <w:iCs/>
                <w:color w:val="000000" w:themeColor="text1"/>
              </w:rPr>
              <w:t>580</w:t>
            </w:r>
          </w:p>
        </w:tc>
      </w:tr>
    </w:tbl>
    <w:p w:rsidRPr="00E14CD3" w:rsidR="00912AB2" w:rsidP="008A1964" w:rsidRDefault="00912AB2" w14:paraId="22BE721D" w14:textId="77777777">
      <w:pPr>
        <w:pStyle w:val="Heading1"/>
        <w:numPr>
          <w:ilvl w:val="0"/>
          <w:numId w:val="0"/>
        </w:numPr>
        <w:spacing w:before="120" w:after="0" w:line="240" w:lineRule="auto"/>
        <w:rPr>
          <w:rFonts w:cs="Times New Roman"/>
          <w:color w:val="000000" w:themeColor="text1"/>
          <w:szCs w:val="24"/>
        </w:rPr>
      </w:pPr>
    </w:p>
    <w:p w:rsidRPr="00E14CD3" w:rsidR="00B6728A" w:rsidP="004236F2" w:rsidRDefault="00875AA9" w14:paraId="7F2C9999" w14:textId="77777777">
      <w:pPr>
        <w:pStyle w:val="Heading1"/>
        <w:spacing w:before="120" w:after="0" w:line="240" w:lineRule="auto"/>
        <w:ind w:left="0" w:firstLine="0"/>
        <w:rPr>
          <w:rFonts w:cs="Times New Roman"/>
          <w:color w:val="000000" w:themeColor="text1"/>
          <w:szCs w:val="24"/>
        </w:rPr>
      </w:pPr>
      <w:bookmarkStart w:name="_Toc507659006" w:id="26"/>
      <w:r w:rsidRPr="00E14CD3">
        <w:rPr>
          <w:rFonts w:cs="Times New Roman"/>
          <w:color w:val="000000" w:themeColor="text1"/>
          <w:szCs w:val="24"/>
        </w:rPr>
        <w:t>Expl</w:t>
      </w:r>
      <w:r w:rsidRPr="00E14CD3" w:rsidR="007811F1">
        <w:rPr>
          <w:rFonts w:cs="Times New Roman"/>
          <w:color w:val="000000" w:themeColor="text1"/>
          <w:szCs w:val="24"/>
        </w:rPr>
        <w:t>anation for Program Changes or A</w:t>
      </w:r>
      <w:r w:rsidRPr="00E14CD3">
        <w:rPr>
          <w:rFonts w:cs="Times New Roman"/>
          <w:color w:val="000000" w:themeColor="text1"/>
          <w:szCs w:val="24"/>
        </w:rPr>
        <w:t>djustments</w:t>
      </w:r>
      <w:bookmarkEnd w:id="26"/>
    </w:p>
    <w:p w:rsidRPr="00E14CD3" w:rsidR="00351F65" w:rsidP="008A1964" w:rsidRDefault="00CC0B17" w14:paraId="6D0D8554" w14:textId="77777777">
      <w:pPr>
        <w:spacing w:before="120" w:line="240" w:lineRule="auto"/>
        <w:ind w:firstLine="720"/>
        <w:rPr>
          <w:color w:val="000000" w:themeColor="text1"/>
        </w:rPr>
      </w:pPr>
      <w:bookmarkStart w:name="_Toc227033756" w:id="27"/>
      <w:bookmarkStart w:name="_Toc322357326" w:id="28"/>
      <w:r w:rsidRPr="00E14CD3">
        <w:rPr>
          <w:color w:val="000000" w:themeColor="text1"/>
        </w:rPr>
        <w:t xml:space="preserve">This is a new </w:t>
      </w:r>
      <w:r w:rsidRPr="00E14CD3" w:rsidR="00EA16DD">
        <w:rPr>
          <w:color w:val="000000" w:themeColor="text1"/>
        </w:rPr>
        <w:t>data/</w:t>
      </w:r>
      <w:r w:rsidRPr="00E14CD3" w:rsidR="005F1598">
        <w:rPr>
          <w:color w:val="000000" w:themeColor="text1"/>
        </w:rPr>
        <w:t>information</w:t>
      </w:r>
      <w:r w:rsidRPr="00E14CD3">
        <w:rPr>
          <w:color w:val="000000" w:themeColor="text1"/>
        </w:rPr>
        <w:t xml:space="preserve"> collection.</w:t>
      </w:r>
    </w:p>
    <w:p w:rsidRPr="00E14CD3" w:rsidR="00912AB2" w:rsidP="008A1964" w:rsidRDefault="00912AB2" w14:paraId="3AC0E65F" w14:textId="77777777">
      <w:pPr>
        <w:spacing w:before="120" w:line="240" w:lineRule="auto"/>
        <w:rPr>
          <w:color w:val="000000" w:themeColor="text1"/>
        </w:rPr>
      </w:pPr>
    </w:p>
    <w:p w:rsidRPr="00E14CD3" w:rsidR="00B6728A" w:rsidP="004236F2" w:rsidRDefault="00875AA9" w14:paraId="155291EC" w14:textId="77777777">
      <w:pPr>
        <w:pStyle w:val="Heading1"/>
        <w:spacing w:before="120" w:after="0" w:line="240" w:lineRule="auto"/>
        <w:ind w:left="0" w:firstLine="0"/>
        <w:rPr>
          <w:rFonts w:cs="Times New Roman"/>
          <w:color w:val="000000" w:themeColor="text1"/>
          <w:szCs w:val="24"/>
        </w:rPr>
      </w:pPr>
      <w:bookmarkStart w:name="_Toc507659007" w:id="29"/>
      <w:bookmarkEnd w:id="27"/>
      <w:bookmarkEnd w:id="28"/>
      <w:r w:rsidRPr="00E14CD3">
        <w:rPr>
          <w:rFonts w:cs="Times New Roman"/>
          <w:color w:val="000000" w:themeColor="text1"/>
          <w:szCs w:val="24"/>
        </w:rPr>
        <w:t xml:space="preserve">Plans for </w:t>
      </w:r>
      <w:r w:rsidRPr="00E14CD3" w:rsidR="00201205">
        <w:rPr>
          <w:rFonts w:cs="Times New Roman"/>
          <w:color w:val="000000" w:themeColor="text1"/>
          <w:szCs w:val="24"/>
        </w:rPr>
        <w:t>Tabulation</w:t>
      </w:r>
      <w:r w:rsidRPr="00E14CD3">
        <w:rPr>
          <w:rFonts w:cs="Times New Roman"/>
          <w:color w:val="000000" w:themeColor="text1"/>
          <w:szCs w:val="24"/>
        </w:rPr>
        <w:t xml:space="preserve"> and Publication and Project Time Schedule</w:t>
      </w:r>
      <w:bookmarkEnd w:id="29"/>
      <w:r w:rsidRPr="00E14CD3" w:rsidR="00B6728A">
        <w:rPr>
          <w:rFonts w:cs="Times New Roman"/>
          <w:color w:val="000000" w:themeColor="text1"/>
          <w:szCs w:val="24"/>
        </w:rPr>
        <w:t xml:space="preserve">  </w:t>
      </w:r>
    </w:p>
    <w:p w:rsidRPr="00E14CD3" w:rsidR="00796C00" w:rsidP="008A1964" w:rsidRDefault="008A1964" w14:paraId="1BB4C22F"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b/>
      </w:r>
      <w:r w:rsidRPr="00E14CD3" w:rsidR="005F1598">
        <w:rPr>
          <w:color w:val="000000" w:themeColor="text1"/>
        </w:rPr>
        <w:t xml:space="preserve">Current plans for tabulation and publication of data from this information collection include </w:t>
      </w:r>
      <w:r w:rsidRPr="00E14CD3" w:rsidR="00BE1184">
        <w:rPr>
          <w:color w:val="000000" w:themeColor="text1"/>
        </w:rPr>
        <w:t>developm</w:t>
      </w:r>
      <w:r w:rsidRPr="00E14CD3" w:rsidR="008B4B7B">
        <w:rPr>
          <w:color w:val="000000" w:themeColor="text1"/>
        </w:rPr>
        <w:t xml:space="preserve">ent of summary reports for </w:t>
      </w:r>
      <w:r w:rsidRPr="00E14CD3" w:rsidR="006216B7">
        <w:rPr>
          <w:color w:val="000000" w:themeColor="text1"/>
        </w:rPr>
        <w:t xml:space="preserve">all PS18-1807 recipients </w:t>
      </w:r>
      <w:r w:rsidRPr="00E14CD3" w:rsidR="00BE1184">
        <w:rPr>
          <w:color w:val="000000" w:themeColor="text1"/>
        </w:rPr>
        <w:t>that de</w:t>
      </w:r>
      <w:r w:rsidRPr="00E14CD3" w:rsidR="008B4B7B">
        <w:rPr>
          <w:color w:val="000000" w:themeColor="text1"/>
        </w:rPr>
        <w:t xml:space="preserve">scribe </w:t>
      </w:r>
      <w:r w:rsidRPr="00E14CD3" w:rsidR="006216B7">
        <w:rPr>
          <w:color w:val="000000" w:themeColor="text1"/>
        </w:rPr>
        <w:t>the completion of the required activities</w:t>
      </w:r>
      <w:r w:rsidRPr="00E14CD3" w:rsidR="00BE1184">
        <w:rPr>
          <w:color w:val="000000" w:themeColor="text1"/>
        </w:rPr>
        <w:t xml:space="preserve">.  </w:t>
      </w:r>
      <w:r w:rsidRPr="00E14CD3" w:rsidR="00EA16DD">
        <w:rPr>
          <w:color w:val="000000" w:themeColor="text1"/>
        </w:rPr>
        <w:t>DASH Program Consultants will analyze the completed templates to identify the following: number of required activities that have been completed; and, descriptive statistics (such as mean, median, mode, and percentages) will be calculated for each activity.</w:t>
      </w:r>
    </w:p>
    <w:p w:rsidRPr="00E14CD3" w:rsidR="00796C00" w:rsidP="006400D7" w:rsidRDefault="005F1598" w14:paraId="008A4870" w14:textId="77777777">
      <w:pPr>
        <w:spacing w:before="120" w:line="240" w:lineRule="auto"/>
        <w:ind w:firstLine="720"/>
        <w:rPr>
          <w:color w:val="000000" w:themeColor="text1"/>
        </w:rPr>
      </w:pPr>
      <w:r w:rsidRPr="00E14CD3">
        <w:rPr>
          <w:color w:val="000000" w:themeColor="text1"/>
        </w:rPr>
        <w:t xml:space="preserve">Findings from the data will be summarized into written reports for </w:t>
      </w:r>
      <w:r w:rsidRPr="00E14CD3" w:rsidR="00EA16DD">
        <w:rPr>
          <w:color w:val="000000" w:themeColor="text1"/>
        </w:rPr>
        <w:t xml:space="preserve">DASH staff and management </w:t>
      </w:r>
      <w:r w:rsidRPr="00E14CD3">
        <w:rPr>
          <w:color w:val="000000" w:themeColor="text1"/>
        </w:rPr>
        <w:t xml:space="preserve">and may be shared with </w:t>
      </w:r>
      <w:r w:rsidRPr="00E14CD3" w:rsidR="00EA16DD">
        <w:rPr>
          <w:color w:val="000000" w:themeColor="text1"/>
        </w:rPr>
        <w:t xml:space="preserve">PS18-1807 recipients </w:t>
      </w:r>
      <w:r w:rsidRPr="00E14CD3">
        <w:rPr>
          <w:color w:val="000000" w:themeColor="text1"/>
        </w:rPr>
        <w:t>through mechanisms such as presentations</w:t>
      </w:r>
      <w:r w:rsidRPr="00E14CD3" w:rsidR="00EA16DD">
        <w:rPr>
          <w:color w:val="000000" w:themeColor="text1"/>
        </w:rPr>
        <w:t xml:space="preserve"> and summative reports</w:t>
      </w:r>
      <w:r w:rsidRPr="00E14CD3">
        <w:rPr>
          <w:color w:val="000000" w:themeColor="text1"/>
        </w:rPr>
        <w:t xml:space="preserve">.  </w:t>
      </w:r>
    </w:p>
    <w:p w:rsidRPr="00E14CD3" w:rsidR="001B6301" w:rsidP="008A1964" w:rsidRDefault="008A1964" w14:paraId="5409AF7A" w14:textId="10C82A5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b/>
      </w:r>
      <w:r w:rsidRPr="00E14CD3" w:rsidR="00654DB1">
        <w:rPr>
          <w:color w:val="000000" w:themeColor="text1"/>
        </w:rPr>
        <w:t>Data collection is s</w:t>
      </w:r>
      <w:r w:rsidRPr="00E14CD3" w:rsidR="008B4B7B">
        <w:rPr>
          <w:color w:val="000000" w:themeColor="text1"/>
        </w:rPr>
        <w:t>cheduled to begin in 20</w:t>
      </w:r>
      <w:r w:rsidRPr="00E14CD3" w:rsidR="00D1396B">
        <w:rPr>
          <w:color w:val="000000" w:themeColor="text1"/>
        </w:rPr>
        <w:t>20</w:t>
      </w:r>
      <w:r w:rsidRPr="00E14CD3" w:rsidR="00654DB1">
        <w:rPr>
          <w:color w:val="000000" w:themeColor="text1"/>
        </w:rPr>
        <w:t xml:space="preserve">.  </w:t>
      </w:r>
      <w:r w:rsidRPr="00E14CD3" w:rsidR="001B6301">
        <w:rPr>
          <w:color w:val="000000" w:themeColor="text1"/>
        </w:rPr>
        <w:t xml:space="preserve">A </w:t>
      </w:r>
      <w:proofErr w:type="gramStart"/>
      <w:r w:rsidRPr="00E14CD3" w:rsidR="00262150">
        <w:rPr>
          <w:color w:val="000000" w:themeColor="text1"/>
        </w:rPr>
        <w:t xml:space="preserve">three </w:t>
      </w:r>
      <w:r w:rsidRPr="00E14CD3" w:rsidR="001B6301">
        <w:rPr>
          <w:color w:val="000000" w:themeColor="text1"/>
        </w:rPr>
        <w:t>year</w:t>
      </w:r>
      <w:proofErr w:type="gramEnd"/>
      <w:r w:rsidRPr="00E14CD3" w:rsidR="001B6301">
        <w:rPr>
          <w:color w:val="000000" w:themeColor="text1"/>
        </w:rPr>
        <w:t xml:space="preserve"> clearance is being requested</w:t>
      </w:r>
      <w:r w:rsidRPr="00E14CD3" w:rsidR="008638F5">
        <w:rPr>
          <w:color w:val="000000" w:themeColor="text1"/>
        </w:rPr>
        <w:t xml:space="preserve">.  </w:t>
      </w:r>
    </w:p>
    <w:p w:rsidRPr="00E14CD3" w:rsidR="004236F2" w:rsidP="008A1964" w:rsidRDefault="004236F2" w14:paraId="129DBD68" w14:textId="77777777">
      <w:pPr>
        <w:spacing w:before="120" w:line="240" w:lineRule="auto"/>
        <w:rPr>
          <w:b/>
          <w:color w:val="000000" w:themeColor="text1"/>
        </w:rPr>
      </w:pPr>
    </w:p>
    <w:p w:rsidRPr="00E14CD3" w:rsidR="004236F2" w:rsidP="008A1964" w:rsidRDefault="005445E7" w14:paraId="4877F4CE" w14:textId="77777777">
      <w:pPr>
        <w:spacing w:before="120" w:line="240" w:lineRule="auto"/>
        <w:rPr>
          <w:b/>
          <w:color w:val="000000" w:themeColor="text1"/>
        </w:rPr>
      </w:pPr>
      <w:r w:rsidRPr="00E14CD3">
        <w:rPr>
          <w:b/>
          <w:color w:val="000000" w:themeColor="text1"/>
        </w:rPr>
        <w:t>Figure A.16-1: Project Time Schedule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20"/>
        <w:gridCol w:w="3702"/>
      </w:tblGrid>
      <w:tr w:rsidRPr="00E14CD3" w:rsidR="005F1598" w:rsidTr="00ED4EA6" w14:paraId="2A512DC9" w14:textId="77777777">
        <w:trPr>
          <w:tblHeader/>
        </w:trPr>
        <w:tc>
          <w:tcPr>
            <w:tcW w:w="4820" w:type="dxa"/>
            <w:tcBorders>
              <w:bottom w:val="single" w:color="auto" w:sz="4" w:space="0"/>
            </w:tcBorders>
            <w:vAlign w:val="center"/>
          </w:tcPr>
          <w:p w:rsidRPr="00E14CD3" w:rsidR="005F1598" w:rsidP="008A1964" w:rsidRDefault="005F1598" w14:paraId="3CF75B40" w14:textId="77777777">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E14CD3">
              <w:rPr>
                <w:b/>
                <w:color w:val="000000" w:themeColor="text1"/>
              </w:rPr>
              <w:lastRenderedPageBreak/>
              <w:t>Activity</w:t>
            </w:r>
          </w:p>
        </w:tc>
        <w:tc>
          <w:tcPr>
            <w:tcW w:w="3702" w:type="dxa"/>
            <w:tcBorders>
              <w:bottom w:val="single" w:color="auto" w:sz="4" w:space="0"/>
            </w:tcBorders>
            <w:vAlign w:val="center"/>
          </w:tcPr>
          <w:p w:rsidRPr="00E14CD3" w:rsidR="005F1598" w:rsidP="008A1964" w:rsidRDefault="005F1598" w14:paraId="78748CF9" w14:textId="77777777">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E14CD3">
              <w:rPr>
                <w:b/>
                <w:color w:val="000000" w:themeColor="text1"/>
              </w:rPr>
              <w:t>Time Schedule</w:t>
            </w:r>
          </w:p>
        </w:tc>
      </w:tr>
      <w:tr w:rsidRPr="00E14CD3" w:rsidR="005F1598" w:rsidTr="00ED4EA6" w14:paraId="5DF7A9B9" w14:textId="77777777">
        <w:trPr>
          <w:tblHeader/>
        </w:trPr>
        <w:tc>
          <w:tcPr>
            <w:tcW w:w="4820" w:type="dxa"/>
          </w:tcPr>
          <w:p w:rsidRPr="00E14CD3" w:rsidR="005F1598" w:rsidP="006F171E" w:rsidRDefault="005F1598" w14:paraId="07563F48" w14:textId="2FED4C86">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Design </w:t>
            </w:r>
            <w:r w:rsidRPr="00E14CD3" w:rsidR="004D1DAC">
              <w:rPr>
                <w:color w:val="000000" w:themeColor="text1"/>
              </w:rPr>
              <w:t>reporting</w:t>
            </w:r>
            <w:r w:rsidRPr="00E14CD3" w:rsidR="006F171E">
              <w:rPr>
                <w:color w:val="000000" w:themeColor="text1"/>
              </w:rPr>
              <w:t xml:space="preserve"> templates</w:t>
            </w:r>
          </w:p>
        </w:tc>
        <w:tc>
          <w:tcPr>
            <w:tcW w:w="3702" w:type="dxa"/>
          </w:tcPr>
          <w:p w:rsidRPr="00E14CD3" w:rsidR="005F1598" w:rsidP="008A1964" w:rsidRDefault="005F1598" w14:paraId="12C656AB" w14:textId="77777777">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Complete</w:t>
            </w:r>
          </w:p>
        </w:tc>
      </w:tr>
      <w:tr w:rsidRPr="00E14CD3" w:rsidR="005F1598" w:rsidTr="00ED4EA6" w14:paraId="68DA7CE1" w14:textId="77777777">
        <w:trPr>
          <w:tblHeader/>
        </w:trPr>
        <w:tc>
          <w:tcPr>
            <w:tcW w:w="4820" w:type="dxa"/>
          </w:tcPr>
          <w:p w:rsidRPr="00E14CD3" w:rsidR="005F1598" w:rsidP="008A1964" w:rsidRDefault="005F1598" w14:paraId="0137029D"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Prepare OMB package</w:t>
            </w:r>
          </w:p>
        </w:tc>
        <w:tc>
          <w:tcPr>
            <w:tcW w:w="3702" w:type="dxa"/>
          </w:tcPr>
          <w:p w:rsidRPr="00E14CD3" w:rsidR="005F1598" w:rsidP="008A1964" w:rsidRDefault="005F1598" w14:paraId="366C03CC" w14:textId="77777777">
            <w:pPr>
              <w:spacing w:before="120" w:line="240" w:lineRule="auto"/>
              <w:jc w:val="center"/>
              <w:rPr>
                <w:color w:val="000000" w:themeColor="text1"/>
              </w:rPr>
            </w:pPr>
            <w:r w:rsidRPr="00E14CD3">
              <w:rPr>
                <w:color w:val="000000" w:themeColor="text1"/>
              </w:rPr>
              <w:t>Complete</w:t>
            </w:r>
          </w:p>
        </w:tc>
      </w:tr>
      <w:tr w:rsidRPr="00E14CD3" w:rsidR="005F1598" w:rsidTr="00ED4EA6" w14:paraId="47F88B32" w14:textId="77777777">
        <w:trPr>
          <w:tblHeader/>
        </w:trPr>
        <w:tc>
          <w:tcPr>
            <w:tcW w:w="4820" w:type="dxa"/>
          </w:tcPr>
          <w:p w:rsidRPr="00E14CD3" w:rsidR="005F1598" w:rsidP="008A1964" w:rsidRDefault="005F1598" w14:paraId="20F5ABE4"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Receive OMB approval</w:t>
            </w:r>
          </w:p>
        </w:tc>
        <w:tc>
          <w:tcPr>
            <w:tcW w:w="3702" w:type="dxa"/>
          </w:tcPr>
          <w:p w:rsidRPr="00E14CD3" w:rsidR="005F1598" w:rsidP="008A1964" w:rsidRDefault="005F1598" w14:paraId="0BD00FBD" w14:textId="77777777">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TBD</w:t>
            </w:r>
          </w:p>
        </w:tc>
      </w:tr>
      <w:tr w:rsidRPr="00E14CD3" w:rsidR="005F1598" w:rsidTr="00ED4EA6" w14:paraId="735B7226" w14:textId="77777777">
        <w:trPr>
          <w:tblHeader/>
        </w:trPr>
        <w:tc>
          <w:tcPr>
            <w:tcW w:w="4820" w:type="dxa"/>
          </w:tcPr>
          <w:p w:rsidRPr="00E14CD3" w:rsidR="005F1598" w:rsidP="0058283A" w:rsidRDefault="00BA2B2D" w14:paraId="2500C639" w14:textId="7991A4E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Year </w:t>
            </w:r>
            <w:r w:rsidRPr="00E14CD3" w:rsidR="00F9460D">
              <w:rPr>
                <w:color w:val="000000" w:themeColor="text1"/>
              </w:rPr>
              <w:t>20</w:t>
            </w:r>
            <w:r w:rsidRPr="00E14CD3">
              <w:rPr>
                <w:color w:val="000000" w:themeColor="text1"/>
              </w:rPr>
              <w:t>1</w:t>
            </w:r>
            <w:r w:rsidRPr="00E14CD3" w:rsidR="00F9460D">
              <w:rPr>
                <w:color w:val="000000" w:themeColor="text1"/>
              </w:rPr>
              <w:t>9</w:t>
            </w:r>
            <w:r w:rsidRPr="00E14CD3" w:rsidR="00825A2C">
              <w:rPr>
                <w:color w:val="000000" w:themeColor="text1"/>
              </w:rPr>
              <w:t>-</w:t>
            </w:r>
            <w:r w:rsidRPr="00E14CD3" w:rsidR="00F9460D">
              <w:rPr>
                <w:color w:val="000000" w:themeColor="text1"/>
              </w:rPr>
              <w:t>2020</w:t>
            </w:r>
            <w:r w:rsidRPr="00E14CD3">
              <w:rPr>
                <w:color w:val="000000" w:themeColor="text1"/>
              </w:rPr>
              <w:t xml:space="preserve"> 1</w:t>
            </w:r>
            <w:r w:rsidRPr="00E14CD3">
              <w:rPr>
                <w:color w:val="000000" w:themeColor="text1"/>
                <w:vertAlign w:val="superscript"/>
              </w:rPr>
              <w:t>st</w:t>
            </w:r>
            <w:r w:rsidRPr="00E14CD3">
              <w:rPr>
                <w:color w:val="000000" w:themeColor="text1"/>
              </w:rPr>
              <w:t xml:space="preserve"> six month reporting </w:t>
            </w:r>
            <w:proofErr w:type="gramStart"/>
            <w:r w:rsidRPr="00E14CD3" w:rsidR="001A5FB8">
              <w:rPr>
                <w:color w:val="000000" w:themeColor="text1"/>
              </w:rPr>
              <w:t xml:space="preserve">template </w:t>
            </w:r>
            <w:r w:rsidRPr="00E14CD3">
              <w:rPr>
                <w:color w:val="000000" w:themeColor="text1"/>
              </w:rPr>
              <w:t xml:space="preserve"> (</w:t>
            </w:r>
            <w:proofErr w:type="gramEnd"/>
            <w:r w:rsidRPr="00E14CD3">
              <w:rPr>
                <w:color w:val="000000" w:themeColor="text1"/>
              </w:rPr>
              <w:t>August 1, 20</w:t>
            </w:r>
            <w:r w:rsidRPr="00E14CD3" w:rsidR="00594C41">
              <w:rPr>
                <w:color w:val="000000" w:themeColor="text1"/>
              </w:rPr>
              <w:t>19</w:t>
            </w:r>
            <w:r w:rsidRPr="00E14CD3">
              <w:rPr>
                <w:color w:val="000000" w:themeColor="text1"/>
              </w:rPr>
              <w:t xml:space="preserve"> – January 31, 20</w:t>
            </w:r>
            <w:r w:rsidRPr="00E14CD3" w:rsidR="001A5FB8">
              <w:rPr>
                <w:color w:val="000000" w:themeColor="text1"/>
              </w:rPr>
              <w:t>2</w:t>
            </w:r>
            <w:r w:rsidRPr="00E14CD3" w:rsidR="00594C41">
              <w:rPr>
                <w:color w:val="000000" w:themeColor="text1"/>
              </w:rPr>
              <w:t>0</w:t>
            </w:r>
            <w:r w:rsidRPr="00E14CD3">
              <w:rPr>
                <w:color w:val="000000" w:themeColor="text1"/>
              </w:rPr>
              <w:t xml:space="preserve">) </w:t>
            </w:r>
          </w:p>
        </w:tc>
        <w:tc>
          <w:tcPr>
            <w:tcW w:w="3702" w:type="dxa"/>
          </w:tcPr>
          <w:p w:rsidRPr="00E14CD3" w:rsidR="005F1598" w:rsidP="00BA2B2D" w:rsidRDefault="00BA2B2D" w14:paraId="29C13001" w14:textId="2E419C5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w:t>
            </w:r>
            <w:r w:rsidRPr="00E14CD3" w:rsidR="00C667DE">
              <w:rPr>
                <w:color w:val="000000" w:themeColor="text1"/>
              </w:rPr>
              <w:t>20</w:t>
            </w:r>
          </w:p>
        </w:tc>
      </w:tr>
      <w:tr w:rsidRPr="00E14CD3" w:rsidR="001A5FB8" w:rsidTr="00ED4EA6" w14:paraId="580D2DFE" w14:textId="77777777">
        <w:trPr>
          <w:tblHeader/>
        </w:trPr>
        <w:tc>
          <w:tcPr>
            <w:tcW w:w="4820" w:type="dxa"/>
          </w:tcPr>
          <w:p w:rsidRPr="00E14CD3" w:rsidR="001A5FB8" w:rsidP="0058283A" w:rsidRDefault="001A5FB8" w14:paraId="3C815826" w14:textId="3C68DDC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Year </w:t>
            </w:r>
            <w:r w:rsidRPr="00E14CD3" w:rsidR="00825A2C">
              <w:rPr>
                <w:color w:val="000000" w:themeColor="text1"/>
              </w:rPr>
              <w:t>2020-202</w:t>
            </w:r>
            <w:r w:rsidRPr="00E14CD3">
              <w:rPr>
                <w:color w:val="000000" w:themeColor="text1"/>
              </w:rPr>
              <w:t xml:space="preserve">1 work plan </w:t>
            </w:r>
            <w:r w:rsidRPr="00E14CD3" w:rsidR="00312CC5">
              <w:t>(required programmatic activities work plan and professional development work plan)</w:t>
            </w:r>
            <w:r w:rsidRPr="00E14CD3" w:rsidR="00312CC5">
              <w:rPr>
                <w:color w:val="000000" w:themeColor="text1"/>
              </w:rPr>
              <w:t xml:space="preserve"> </w:t>
            </w:r>
            <w:r w:rsidRPr="00E14CD3">
              <w:rPr>
                <w:color w:val="000000" w:themeColor="text1"/>
              </w:rPr>
              <w:t>(August 1, 2020 – July 31, 2021</w:t>
            </w:r>
            <w:r w:rsidRPr="00E14CD3" w:rsidR="00825A2C">
              <w:rPr>
                <w:color w:val="000000" w:themeColor="text1"/>
              </w:rPr>
              <w:t>)</w:t>
            </w:r>
          </w:p>
        </w:tc>
        <w:tc>
          <w:tcPr>
            <w:tcW w:w="3702" w:type="dxa"/>
          </w:tcPr>
          <w:p w:rsidRPr="00E14CD3" w:rsidR="001A5FB8" w:rsidP="00BA2B2D" w:rsidRDefault="001A5FB8" w14:paraId="491F7D0D" w14:textId="27877BD3">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2020</w:t>
            </w:r>
          </w:p>
        </w:tc>
      </w:tr>
      <w:tr w:rsidRPr="00E14CD3" w:rsidR="005F1598" w:rsidTr="00ED4EA6" w14:paraId="473B31E3" w14:textId="77777777">
        <w:trPr>
          <w:tblHeader/>
        </w:trPr>
        <w:tc>
          <w:tcPr>
            <w:tcW w:w="4820" w:type="dxa"/>
          </w:tcPr>
          <w:p w:rsidRPr="00E14CD3" w:rsidR="005F1598" w:rsidP="00FC5AA2" w:rsidRDefault="00BA2B2D" w14:paraId="16370934" w14:textId="50CBAD5A">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Analyze reporting </w:t>
            </w:r>
            <w:r w:rsidRPr="00E14CD3" w:rsidR="00825A2C">
              <w:rPr>
                <w:color w:val="000000" w:themeColor="text1"/>
              </w:rPr>
              <w:t xml:space="preserve">and work plan </w:t>
            </w:r>
            <w:r w:rsidRPr="00E14CD3">
              <w:rPr>
                <w:color w:val="000000" w:themeColor="text1"/>
              </w:rPr>
              <w:t>data</w:t>
            </w:r>
          </w:p>
        </w:tc>
        <w:tc>
          <w:tcPr>
            <w:tcW w:w="3702" w:type="dxa"/>
          </w:tcPr>
          <w:p w:rsidRPr="00E14CD3" w:rsidR="00BA2B2D" w:rsidP="00BA2B2D" w:rsidRDefault="00BA2B2D" w14:paraId="5868CADC" w14:textId="27D048F9">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May 31, 20</w:t>
            </w:r>
            <w:r w:rsidRPr="00E14CD3" w:rsidR="00C667DE">
              <w:rPr>
                <w:color w:val="000000" w:themeColor="text1"/>
              </w:rPr>
              <w:t>20</w:t>
            </w:r>
          </w:p>
        </w:tc>
      </w:tr>
      <w:tr w:rsidRPr="00E14CD3" w:rsidR="005F1598" w:rsidTr="00ED4EA6" w14:paraId="760AC156" w14:textId="77777777">
        <w:trPr>
          <w:tblHeader/>
        </w:trPr>
        <w:tc>
          <w:tcPr>
            <w:tcW w:w="4820" w:type="dxa"/>
          </w:tcPr>
          <w:p w:rsidRPr="00E14CD3" w:rsidR="005F1598" w:rsidP="00FC5AA2" w:rsidRDefault="00BA2B2D" w14:paraId="44F5B4BF"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5F1598" w:rsidP="00BA2B2D" w:rsidRDefault="00BA2B2D" w14:paraId="2123D0B7" w14:textId="0568D325">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June 30, 20</w:t>
            </w:r>
            <w:r w:rsidRPr="00E14CD3" w:rsidR="00C667DE">
              <w:rPr>
                <w:color w:val="000000" w:themeColor="text1"/>
              </w:rPr>
              <w:t>20</w:t>
            </w:r>
          </w:p>
        </w:tc>
      </w:tr>
      <w:tr w:rsidRPr="00E14CD3" w:rsidR="005F1598" w:rsidTr="00ED4EA6" w14:paraId="7DF7822A" w14:textId="77777777">
        <w:trPr>
          <w:tblHeader/>
        </w:trPr>
        <w:tc>
          <w:tcPr>
            <w:tcW w:w="4820" w:type="dxa"/>
          </w:tcPr>
          <w:p w:rsidRPr="00E14CD3" w:rsidR="005F1598" w:rsidP="0058283A" w:rsidRDefault="00D02926" w14:paraId="15A7FDAD" w14:textId="3772DD7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Year </w:t>
            </w:r>
            <w:r w:rsidRPr="00E14CD3" w:rsidR="00825A2C">
              <w:rPr>
                <w:color w:val="000000" w:themeColor="text1"/>
              </w:rPr>
              <w:t>2019-2020</w:t>
            </w:r>
            <w:r w:rsidRPr="00E14CD3">
              <w:rPr>
                <w:color w:val="000000" w:themeColor="text1"/>
              </w:rPr>
              <w:t xml:space="preserve"> </w:t>
            </w:r>
            <w:r w:rsidRPr="00E14CD3" w:rsidR="00BA2B2D">
              <w:rPr>
                <w:color w:val="000000" w:themeColor="text1"/>
              </w:rPr>
              <w:t>2</w:t>
            </w:r>
            <w:r w:rsidRPr="00E14CD3" w:rsidR="00BA2B2D">
              <w:rPr>
                <w:color w:val="000000" w:themeColor="text1"/>
                <w:vertAlign w:val="superscript"/>
              </w:rPr>
              <w:t>nd</w:t>
            </w:r>
            <w:r w:rsidRPr="00E14CD3" w:rsidR="00BA2B2D">
              <w:rPr>
                <w:color w:val="000000" w:themeColor="text1"/>
              </w:rPr>
              <w:t xml:space="preserve"> </w:t>
            </w:r>
            <w:proofErr w:type="gramStart"/>
            <w:r w:rsidRPr="00E14CD3" w:rsidR="00BA2B2D">
              <w:rPr>
                <w:color w:val="000000" w:themeColor="text1"/>
              </w:rPr>
              <w:t>six month</w:t>
            </w:r>
            <w:proofErr w:type="gramEnd"/>
            <w:r w:rsidRPr="00E14CD3" w:rsidR="00BA2B2D">
              <w:rPr>
                <w:color w:val="000000" w:themeColor="text1"/>
              </w:rPr>
              <w:t xml:space="preserve"> reporting </w:t>
            </w:r>
            <w:r w:rsidRPr="00E14CD3" w:rsidR="001A5FB8">
              <w:rPr>
                <w:color w:val="000000" w:themeColor="text1"/>
              </w:rPr>
              <w:t>template</w:t>
            </w:r>
            <w:r w:rsidRPr="00E14CD3" w:rsidR="00BA2B2D">
              <w:rPr>
                <w:color w:val="000000" w:themeColor="text1"/>
              </w:rPr>
              <w:t xml:space="preserve"> (February 1, 20</w:t>
            </w:r>
            <w:r w:rsidRPr="00E14CD3" w:rsidR="001A5FB8">
              <w:rPr>
                <w:color w:val="000000" w:themeColor="text1"/>
              </w:rPr>
              <w:t>2</w:t>
            </w:r>
            <w:r w:rsidRPr="00E14CD3" w:rsidR="00594C41">
              <w:rPr>
                <w:color w:val="000000" w:themeColor="text1"/>
              </w:rPr>
              <w:t>0</w:t>
            </w:r>
            <w:r w:rsidRPr="00E14CD3" w:rsidR="00BA2B2D">
              <w:rPr>
                <w:color w:val="000000" w:themeColor="text1"/>
              </w:rPr>
              <w:t xml:space="preserve"> – July 31, 20</w:t>
            </w:r>
            <w:r w:rsidRPr="00E14CD3" w:rsidR="001A5FB8">
              <w:rPr>
                <w:color w:val="000000" w:themeColor="text1"/>
              </w:rPr>
              <w:t>20</w:t>
            </w:r>
            <w:r w:rsidRPr="00E14CD3" w:rsidR="00BA2B2D">
              <w:rPr>
                <w:color w:val="000000" w:themeColor="text1"/>
              </w:rPr>
              <w:t>)</w:t>
            </w:r>
          </w:p>
        </w:tc>
        <w:tc>
          <w:tcPr>
            <w:tcW w:w="3702" w:type="dxa"/>
          </w:tcPr>
          <w:p w:rsidRPr="00E14CD3" w:rsidR="005F1598" w:rsidP="00BA2B2D" w:rsidRDefault="00BA2B2D" w14:paraId="68BB8C05" w14:textId="26DE04FD">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August 31, 20</w:t>
            </w:r>
            <w:r w:rsidRPr="00E14CD3" w:rsidR="00C667DE">
              <w:rPr>
                <w:color w:val="000000" w:themeColor="text1"/>
              </w:rPr>
              <w:t>20</w:t>
            </w:r>
          </w:p>
        </w:tc>
      </w:tr>
      <w:tr w:rsidRPr="00E14CD3" w:rsidR="00BA2B2D" w:rsidTr="00ED4EA6" w14:paraId="2030F99E" w14:textId="77777777">
        <w:trPr>
          <w:tblHeader/>
        </w:trPr>
        <w:tc>
          <w:tcPr>
            <w:tcW w:w="4820" w:type="dxa"/>
          </w:tcPr>
          <w:p w:rsidRPr="00E14CD3" w:rsidR="00BA2B2D" w:rsidP="00BA2B2D" w:rsidRDefault="00BA2B2D" w14:paraId="1B498A1C"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Analyze reporting data</w:t>
            </w:r>
          </w:p>
        </w:tc>
        <w:tc>
          <w:tcPr>
            <w:tcW w:w="3702" w:type="dxa"/>
          </w:tcPr>
          <w:p w:rsidRPr="00E14CD3" w:rsidR="00BA2B2D" w:rsidP="00BA2B2D" w:rsidRDefault="00BA2B2D" w14:paraId="6F440998" w14:textId="14F54D86">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September 30, 20</w:t>
            </w:r>
            <w:r w:rsidRPr="00E14CD3" w:rsidR="00C667DE">
              <w:rPr>
                <w:color w:val="000000" w:themeColor="text1"/>
              </w:rPr>
              <w:t>20</w:t>
            </w:r>
          </w:p>
        </w:tc>
      </w:tr>
      <w:tr w:rsidRPr="00E14CD3" w:rsidR="00BA2B2D" w:rsidTr="00ED4EA6" w14:paraId="5A0836D0" w14:textId="77777777">
        <w:trPr>
          <w:tblHeader/>
        </w:trPr>
        <w:tc>
          <w:tcPr>
            <w:tcW w:w="4820" w:type="dxa"/>
          </w:tcPr>
          <w:p w:rsidRPr="00E14CD3" w:rsidR="00BA2B2D" w:rsidP="00BA2B2D" w:rsidRDefault="00BA2B2D" w14:paraId="11E4DD5F"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BA2B2D" w:rsidP="00BA2B2D" w:rsidRDefault="00BA2B2D" w14:paraId="140D371E" w14:textId="31FEE785">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October 31, 20</w:t>
            </w:r>
            <w:r w:rsidRPr="00E14CD3" w:rsidR="00C667DE">
              <w:rPr>
                <w:color w:val="000000" w:themeColor="text1"/>
              </w:rPr>
              <w:t>20</w:t>
            </w:r>
          </w:p>
        </w:tc>
      </w:tr>
      <w:tr w:rsidRPr="00E14CD3" w:rsidR="00BA2B2D" w:rsidTr="00ED4EA6" w14:paraId="01789807" w14:textId="77777777">
        <w:trPr>
          <w:tblHeader/>
        </w:trPr>
        <w:tc>
          <w:tcPr>
            <w:tcW w:w="4820" w:type="dxa"/>
          </w:tcPr>
          <w:p w:rsidRPr="00E14CD3" w:rsidR="00BA2B2D" w:rsidP="0058283A" w:rsidRDefault="00BA2B2D" w14:paraId="082BBD41" w14:textId="09D0381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Year 2</w:t>
            </w:r>
            <w:r w:rsidRPr="00E14CD3" w:rsidR="00825A2C">
              <w:rPr>
                <w:color w:val="000000" w:themeColor="text1"/>
              </w:rPr>
              <w:t>020-2021</w:t>
            </w:r>
            <w:r w:rsidRPr="00E14CD3">
              <w:rPr>
                <w:color w:val="000000" w:themeColor="text1"/>
              </w:rPr>
              <w:t xml:space="preserve"> 1</w:t>
            </w:r>
            <w:r w:rsidRPr="00E14CD3">
              <w:rPr>
                <w:color w:val="000000" w:themeColor="text1"/>
                <w:vertAlign w:val="superscript"/>
              </w:rPr>
              <w:t>st</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period (August 1, 20</w:t>
            </w:r>
            <w:r w:rsidRPr="00E14CD3" w:rsidR="001A5FB8">
              <w:rPr>
                <w:color w:val="000000" w:themeColor="text1"/>
              </w:rPr>
              <w:t>2</w:t>
            </w:r>
            <w:r w:rsidRPr="00E14CD3" w:rsidR="00594C41">
              <w:rPr>
                <w:color w:val="000000" w:themeColor="text1"/>
              </w:rPr>
              <w:t>0</w:t>
            </w:r>
            <w:r w:rsidRPr="00E14CD3">
              <w:rPr>
                <w:color w:val="000000" w:themeColor="text1"/>
              </w:rPr>
              <w:t xml:space="preserve"> – January 31, 202</w:t>
            </w:r>
            <w:r w:rsidRPr="00E14CD3" w:rsidR="00594C41">
              <w:rPr>
                <w:color w:val="000000" w:themeColor="text1"/>
              </w:rPr>
              <w:t>1</w:t>
            </w:r>
            <w:r w:rsidRPr="00E14CD3">
              <w:rPr>
                <w:color w:val="000000" w:themeColor="text1"/>
              </w:rPr>
              <w:t>)</w:t>
            </w:r>
          </w:p>
        </w:tc>
        <w:tc>
          <w:tcPr>
            <w:tcW w:w="3702" w:type="dxa"/>
          </w:tcPr>
          <w:p w:rsidRPr="00E14CD3" w:rsidR="00BA2B2D" w:rsidP="00BA2B2D" w:rsidRDefault="00BA2B2D" w14:paraId="11082B7A" w14:textId="1F11CEEE">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w:t>
            </w:r>
            <w:r w:rsidRPr="00E14CD3" w:rsidR="00C667DE">
              <w:rPr>
                <w:color w:val="000000" w:themeColor="text1"/>
              </w:rPr>
              <w:t>1</w:t>
            </w:r>
          </w:p>
        </w:tc>
      </w:tr>
      <w:tr w:rsidRPr="00E14CD3" w:rsidR="001A5FB8" w:rsidTr="00ED4EA6" w14:paraId="2E5ABDDD" w14:textId="77777777">
        <w:trPr>
          <w:tblHeader/>
        </w:trPr>
        <w:tc>
          <w:tcPr>
            <w:tcW w:w="4820" w:type="dxa"/>
          </w:tcPr>
          <w:p w:rsidRPr="00E14CD3" w:rsidR="001A5FB8" w:rsidP="0058283A" w:rsidRDefault="00594C41" w14:paraId="5DAB4CCE" w14:textId="458505C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Year </w:t>
            </w:r>
            <w:r w:rsidRPr="00E14CD3" w:rsidR="00F9460D">
              <w:rPr>
                <w:color w:val="000000" w:themeColor="text1"/>
              </w:rPr>
              <w:t>2</w:t>
            </w:r>
            <w:r w:rsidRPr="00E14CD3" w:rsidR="00825A2C">
              <w:rPr>
                <w:color w:val="000000" w:themeColor="text1"/>
              </w:rPr>
              <w:t>021-2022</w:t>
            </w:r>
            <w:r w:rsidRPr="00E14CD3">
              <w:rPr>
                <w:color w:val="000000" w:themeColor="text1"/>
              </w:rPr>
              <w:t xml:space="preserve"> work plan </w:t>
            </w:r>
            <w:r w:rsidRPr="00E14CD3" w:rsidR="00BD1CA8">
              <w:t>(required programmatic activities work plan and professional development work plan)</w:t>
            </w:r>
            <w:r w:rsidRPr="00E14CD3" w:rsidR="00BD1CA8">
              <w:rPr>
                <w:color w:val="000000" w:themeColor="text1"/>
              </w:rPr>
              <w:t xml:space="preserve"> </w:t>
            </w:r>
            <w:r w:rsidRPr="00E14CD3">
              <w:rPr>
                <w:color w:val="000000" w:themeColor="text1"/>
              </w:rPr>
              <w:t>(August 1, 2021 – July 31, 2022</w:t>
            </w:r>
            <w:r w:rsidRPr="00E14CD3" w:rsidR="00825A2C">
              <w:rPr>
                <w:color w:val="000000" w:themeColor="text1"/>
              </w:rPr>
              <w:t>)</w:t>
            </w:r>
          </w:p>
        </w:tc>
        <w:tc>
          <w:tcPr>
            <w:tcW w:w="3702" w:type="dxa"/>
          </w:tcPr>
          <w:p w:rsidRPr="00E14CD3" w:rsidR="001A5FB8" w:rsidP="00BA2B2D" w:rsidRDefault="00594C41" w14:paraId="0FAE5760" w14:textId="6896A4F0">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2021</w:t>
            </w:r>
          </w:p>
        </w:tc>
      </w:tr>
      <w:tr w:rsidRPr="00E14CD3" w:rsidR="00BA2B2D" w:rsidTr="00ED4EA6" w14:paraId="42941595" w14:textId="77777777">
        <w:trPr>
          <w:tblHeader/>
        </w:trPr>
        <w:tc>
          <w:tcPr>
            <w:tcW w:w="4820" w:type="dxa"/>
          </w:tcPr>
          <w:p w:rsidRPr="00E14CD3" w:rsidR="00BA2B2D" w:rsidP="00BA2B2D" w:rsidRDefault="00BA2B2D" w14:paraId="0A6CFA92" w14:textId="0A2C73C8">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Analyze reporting </w:t>
            </w:r>
            <w:r w:rsidRPr="00E14CD3" w:rsidR="00825A2C">
              <w:rPr>
                <w:color w:val="000000" w:themeColor="text1"/>
              </w:rPr>
              <w:t xml:space="preserve">and work plan </w:t>
            </w:r>
            <w:r w:rsidRPr="00E14CD3">
              <w:rPr>
                <w:color w:val="000000" w:themeColor="text1"/>
              </w:rPr>
              <w:t>data</w:t>
            </w:r>
          </w:p>
        </w:tc>
        <w:tc>
          <w:tcPr>
            <w:tcW w:w="3702" w:type="dxa"/>
          </w:tcPr>
          <w:p w:rsidRPr="00E14CD3" w:rsidR="00BA2B2D" w:rsidP="00BA2B2D" w:rsidRDefault="00BA2B2D" w14:paraId="11D56518" w14:textId="6648085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May 31, 202</w:t>
            </w:r>
            <w:r w:rsidRPr="00E14CD3" w:rsidR="00C667DE">
              <w:rPr>
                <w:color w:val="000000" w:themeColor="text1"/>
              </w:rPr>
              <w:t>1</w:t>
            </w:r>
          </w:p>
        </w:tc>
      </w:tr>
      <w:tr w:rsidRPr="00E14CD3" w:rsidR="00BA2B2D" w:rsidTr="00ED4EA6" w14:paraId="3A9CC7A4" w14:textId="77777777">
        <w:trPr>
          <w:tblHeader/>
        </w:trPr>
        <w:tc>
          <w:tcPr>
            <w:tcW w:w="4820" w:type="dxa"/>
          </w:tcPr>
          <w:p w:rsidRPr="00E14CD3" w:rsidR="00BA2B2D" w:rsidP="00BA2B2D" w:rsidRDefault="00BA2B2D" w14:paraId="460CDEBE"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BA2B2D" w:rsidP="00BA2B2D" w:rsidRDefault="00BA2B2D" w14:paraId="76C9E681" w14:textId="5B07EB0C">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June 30, 202</w:t>
            </w:r>
            <w:r w:rsidRPr="00E14CD3" w:rsidR="00C667DE">
              <w:rPr>
                <w:color w:val="000000" w:themeColor="text1"/>
              </w:rPr>
              <w:t>1</w:t>
            </w:r>
          </w:p>
        </w:tc>
      </w:tr>
      <w:tr w:rsidRPr="00E14CD3" w:rsidR="00BA2B2D" w:rsidTr="00ED4EA6" w14:paraId="36D1B29C" w14:textId="77777777">
        <w:trPr>
          <w:tblHeader/>
        </w:trPr>
        <w:tc>
          <w:tcPr>
            <w:tcW w:w="4820" w:type="dxa"/>
          </w:tcPr>
          <w:p w:rsidRPr="00E14CD3" w:rsidR="00BA2B2D" w:rsidP="0058283A" w:rsidRDefault="00BA2B2D" w14:paraId="2BA3C442" w14:textId="4F42EC3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Year 2</w:t>
            </w:r>
            <w:r w:rsidRPr="00E14CD3" w:rsidR="00825A2C">
              <w:rPr>
                <w:color w:val="000000" w:themeColor="text1"/>
              </w:rPr>
              <w:t>020-2021</w:t>
            </w:r>
            <w:r w:rsidRPr="00E14CD3">
              <w:rPr>
                <w:color w:val="000000" w:themeColor="text1"/>
              </w:rPr>
              <w:t xml:space="preserve"> 2</w:t>
            </w:r>
            <w:r w:rsidRPr="00E14CD3">
              <w:rPr>
                <w:color w:val="000000" w:themeColor="text1"/>
                <w:vertAlign w:val="superscript"/>
              </w:rPr>
              <w:t>nd</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w:t>
            </w:r>
            <w:r w:rsidRPr="00E14CD3" w:rsidR="00594C41">
              <w:rPr>
                <w:color w:val="000000" w:themeColor="text1"/>
              </w:rPr>
              <w:t xml:space="preserve">template </w:t>
            </w:r>
            <w:r w:rsidRPr="00E14CD3">
              <w:rPr>
                <w:color w:val="000000" w:themeColor="text1"/>
              </w:rPr>
              <w:t>(February 1, 202</w:t>
            </w:r>
            <w:r w:rsidRPr="00E14CD3" w:rsidR="00594C41">
              <w:rPr>
                <w:color w:val="000000" w:themeColor="text1"/>
              </w:rPr>
              <w:t>1</w:t>
            </w:r>
            <w:r w:rsidRPr="00E14CD3">
              <w:rPr>
                <w:color w:val="000000" w:themeColor="text1"/>
              </w:rPr>
              <w:t xml:space="preserve"> – July 31, 202</w:t>
            </w:r>
            <w:r w:rsidRPr="00E14CD3" w:rsidR="00594C41">
              <w:rPr>
                <w:color w:val="000000" w:themeColor="text1"/>
              </w:rPr>
              <w:t>1</w:t>
            </w:r>
            <w:r w:rsidRPr="00E14CD3">
              <w:rPr>
                <w:color w:val="000000" w:themeColor="text1"/>
              </w:rPr>
              <w:t>)</w:t>
            </w:r>
          </w:p>
        </w:tc>
        <w:tc>
          <w:tcPr>
            <w:tcW w:w="3702" w:type="dxa"/>
          </w:tcPr>
          <w:p w:rsidRPr="00E14CD3" w:rsidR="00BA2B2D" w:rsidP="00BA2B2D" w:rsidRDefault="00BA2B2D" w14:paraId="44ACDE1C" w14:textId="448D3282">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August 31, 202</w:t>
            </w:r>
            <w:r w:rsidRPr="00E14CD3" w:rsidR="00C667DE">
              <w:rPr>
                <w:color w:val="000000" w:themeColor="text1"/>
              </w:rPr>
              <w:t>1</w:t>
            </w:r>
          </w:p>
        </w:tc>
      </w:tr>
      <w:tr w:rsidRPr="00E14CD3" w:rsidR="00BA2B2D" w:rsidTr="00ED4EA6" w14:paraId="32338F48" w14:textId="77777777">
        <w:trPr>
          <w:tblHeader/>
        </w:trPr>
        <w:tc>
          <w:tcPr>
            <w:tcW w:w="4820" w:type="dxa"/>
          </w:tcPr>
          <w:p w:rsidRPr="00E14CD3" w:rsidR="00BA2B2D" w:rsidP="00BA2B2D" w:rsidRDefault="00BA2B2D" w14:paraId="25BDEDBB"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Analyze reporting data</w:t>
            </w:r>
          </w:p>
        </w:tc>
        <w:tc>
          <w:tcPr>
            <w:tcW w:w="3702" w:type="dxa"/>
          </w:tcPr>
          <w:p w:rsidRPr="00E14CD3" w:rsidR="00BA2B2D" w:rsidP="00BA2B2D" w:rsidRDefault="00BA2B2D" w14:paraId="0255D75C" w14:textId="200D4E0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September 30, 202</w:t>
            </w:r>
            <w:r w:rsidRPr="00E14CD3" w:rsidR="00C667DE">
              <w:rPr>
                <w:color w:val="000000" w:themeColor="text1"/>
              </w:rPr>
              <w:t>1</w:t>
            </w:r>
          </w:p>
        </w:tc>
      </w:tr>
      <w:tr w:rsidRPr="00E14CD3" w:rsidR="00BA2B2D" w:rsidTr="00ED4EA6" w14:paraId="22975426" w14:textId="77777777">
        <w:trPr>
          <w:tblHeader/>
        </w:trPr>
        <w:tc>
          <w:tcPr>
            <w:tcW w:w="4820" w:type="dxa"/>
          </w:tcPr>
          <w:p w:rsidRPr="00E14CD3" w:rsidR="00BA2B2D" w:rsidP="00BA2B2D" w:rsidRDefault="00BA2B2D" w14:paraId="7F0C9319"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BA2B2D" w:rsidP="00BA2B2D" w:rsidRDefault="00BA2B2D" w14:paraId="2074240A" w14:textId="3F430A40">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October 31, 202</w:t>
            </w:r>
            <w:r w:rsidRPr="00E14CD3" w:rsidR="00C667DE">
              <w:rPr>
                <w:color w:val="000000" w:themeColor="text1"/>
              </w:rPr>
              <w:t>1</w:t>
            </w:r>
          </w:p>
        </w:tc>
      </w:tr>
      <w:tr w:rsidRPr="00E14CD3" w:rsidR="00D02926" w:rsidTr="00ED4EA6" w14:paraId="5CA2026D" w14:textId="77777777">
        <w:trPr>
          <w:tblHeader/>
        </w:trPr>
        <w:tc>
          <w:tcPr>
            <w:tcW w:w="4820" w:type="dxa"/>
          </w:tcPr>
          <w:p w:rsidRPr="00E14CD3" w:rsidR="00D02926" w:rsidP="0058283A" w:rsidRDefault="00D02926" w14:paraId="2283F858" w14:textId="4B650D8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Year </w:t>
            </w:r>
            <w:r w:rsidRPr="00E14CD3" w:rsidR="00825A2C">
              <w:rPr>
                <w:color w:val="000000" w:themeColor="text1"/>
              </w:rPr>
              <w:t>2021-2022</w:t>
            </w:r>
            <w:r w:rsidRPr="00E14CD3">
              <w:rPr>
                <w:color w:val="000000" w:themeColor="text1"/>
              </w:rPr>
              <w:t xml:space="preserve"> 1</w:t>
            </w:r>
            <w:r w:rsidRPr="00E14CD3">
              <w:rPr>
                <w:color w:val="000000" w:themeColor="text1"/>
                <w:vertAlign w:val="superscript"/>
              </w:rPr>
              <w:t>st</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w:t>
            </w:r>
            <w:r w:rsidRPr="00E14CD3" w:rsidR="00594C41">
              <w:rPr>
                <w:color w:val="000000" w:themeColor="text1"/>
              </w:rPr>
              <w:t>template</w:t>
            </w:r>
            <w:r w:rsidRPr="00E14CD3">
              <w:rPr>
                <w:color w:val="000000" w:themeColor="text1"/>
              </w:rPr>
              <w:t xml:space="preserve"> (August 1, 202</w:t>
            </w:r>
            <w:r w:rsidRPr="00E14CD3" w:rsidR="00594C41">
              <w:rPr>
                <w:color w:val="000000" w:themeColor="text1"/>
              </w:rPr>
              <w:t>1</w:t>
            </w:r>
            <w:r w:rsidRPr="00E14CD3">
              <w:rPr>
                <w:color w:val="000000" w:themeColor="text1"/>
              </w:rPr>
              <w:t xml:space="preserve"> – January 31, 202</w:t>
            </w:r>
            <w:r w:rsidRPr="00E14CD3" w:rsidR="00594C41">
              <w:rPr>
                <w:color w:val="000000" w:themeColor="text1"/>
              </w:rPr>
              <w:t>2</w:t>
            </w:r>
            <w:r w:rsidRPr="00E14CD3">
              <w:rPr>
                <w:color w:val="000000" w:themeColor="text1"/>
              </w:rPr>
              <w:t>)</w:t>
            </w:r>
          </w:p>
        </w:tc>
        <w:tc>
          <w:tcPr>
            <w:tcW w:w="3702" w:type="dxa"/>
          </w:tcPr>
          <w:p w:rsidRPr="00E14CD3" w:rsidR="00D02926" w:rsidP="0058283A" w:rsidRDefault="00D02926" w14:paraId="3BDB06D6" w14:textId="66FC6B49">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w:t>
            </w:r>
            <w:r w:rsidRPr="00E14CD3" w:rsidR="00C667DE">
              <w:rPr>
                <w:color w:val="000000" w:themeColor="text1"/>
              </w:rPr>
              <w:t>2</w:t>
            </w:r>
          </w:p>
        </w:tc>
      </w:tr>
      <w:tr w:rsidRPr="00E14CD3" w:rsidR="00F9460D" w:rsidTr="00ED4EA6" w14:paraId="65412F9F" w14:textId="77777777">
        <w:trPr>
          <w:tblHeader/>
        </w:trPr>
        <w:tc>
          <w:tcPr>
            <w:tcW w:w="4820" w:type="dxa"/>
          </w:tcPr>
          <w:p w:rsidRPr="00E14CD3" w:rsidR="00F9460D" w:rsidP="00F9460D" w:rsidRDefault="00F9460D" w14:paraId="7DAA8443" w14:textId="542DF3A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Year 2</w:t>
            </w:r>
            <w:r w:rsidRPr="00E14CD3" w:rsidR="00825A2C">
              <w:rPr>
                <w:color w:val="000000" w:themeColor="text1"/>
              </w:rPr>
              <w:t>022-2023</w:t>
            </w:r>
            <w:r w:rsidRPr="00E14CD3">
              <w:rPr>
                <w:color w:val="000000" w:themeColor="text1"/>
              </w:rPr>
              <w:t xml:space="preserve"> work plan </w:t>
            </w:r>
            <w:r w:rsidRPr="00E14CD3" w:rsidR="00BD1CA8">
              <w:t>(required programmatic activities work plan and professional development work plan)</w:t>
            </w:r>
            <w:r w:rsidRPr="00E14CD3" w:rsidR="00BD1CA8">
              <w:rPr>
                <w:color w:val="000000" w:themeColor="text1"/>
              </w:rPr>
              <w:t xml:space="preserve"> </w:t>
            </w:r>
            <w:r w:rsidRPr="00E14CD3">
              <w:rPr>
                <w:color w:val="000000" w:themeColor="text1"/>
              </w:rPr>
              <w:t>(August 1, 2022 – July 31, 2023</w:t>
            </w:r>
            <w:r w:rsidRPr="00E14CD3" w:rsidR="00825A2C">
              <w:rPr>
                <w:color w:val="000000" w:themeColor="text1"/>
              </w:rPr>
              <w:t>)</w:t>
            </w:r>
          </w:p>
        </w:tc>
        <w:tc>
          <w:tcPr>
            <w:tcW w:w="3702" w:type="dxa"/>
          </w:tcPr>
          <w:p w:rsidRPr="00E14CD3" w:rsidR="00F9460D" w:rsidP="00F9460D" w:rsidRDefault="00F9460D" w14:paraId="11A0EA17" w14:textId="0351C69E">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2022</w:t>
            </w:r>
          </w:p>
        </w:tc>
      </w:tr>
      <w:tr w:rsidRPr="00E14CD3" w:rsidR="00F9460D" w:rsidTr="00ED4EA6" w14:paraId="600654DB" w14:textId="77777777">
        <w:trPr>
          <w:tblHeader/>
        </w:trPr>
        <w:tc>
          <w:tcPr>
            <w:tcW w:w="4820" w:type="dxa"/>
          </w:tcPr>
          <w:p w:rsidRPr="00E14CD3" w:rsidR="00F9460D" w:rsidP="00F9460D" w:rsidRDefault="00F9460D" w14:paraId="4E4402C3" w14:textId="3A09D4F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 xml:space="preserve">Analyze reporting </w:t>
            </w:r>
            <w:r w:rsidRPr="00E14CD3" w:rsidR="00825A2C">
              <w:rPr>
                <w:color w:val="000000" w:themeColor="text1"/>
              </w:rPr>
              <w:t xml:space="preserve">and work </w:t>
            </w:r>
            <w:r w:rsidRPr="00E14CD3" w:rsidR="00076E78">
              <w:rPr>
                <w:color w:val="000000" w:themeColor="text1"/>
              </w:rPr>
              <w:t xml:space="preserve">plan </w:t>
            </w:r>
            <w:r w:rsidRPr="00E14CD3">
              <w:rPr>
                <w:color w:val="000000" w:themeColor="text1"/>
              </w:rPr>
              <w:t>data</w:t>
            </w:r>
          </w:p>
        </w:tc>
        <w:tc>
          <w:tcPr>
            <w:tcW w:w="3702" w:type="dxa"/>
          </w:tcPr>
          <w:p w:rsidRPr="00E14CD3" w:rsidR="00F9460D" w:rsidP="00F9460D" w:rsidRDefault="00F9460D" w14:paraId="222AD3A6" w14:textId="0814F2A6">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May 31, 2022</w:t>
            </w:r>
          </w:p>
        </w:tc>
      </w:tr>
      <w:tr w:rsidRPr="00E14CD3" w:rsidR="00F9460D" w:rsidTr="00ED4EA6" w14:paraId="62CDA824" w14:textId="77777777">
        <w:trPr>
          <w:tblHeader/>
        </w:trPr>
        <w:tc>
          <w:tcPr>
            <w:tcW w:w="4820" w:type="dxa"/>
          </w:tcPr>
          <w:p w:rsidRPr="00E14CD3" w:rsidR="00F9460D" w:rsidP="00F9460D" w:rsidRDefault="00F9460D" w14:paraId="6DF22F52"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F9460D" w:rsidP="00F9460D" w:rsidRDefault="00F9460D" w14:paraId="7F0E4DDA" w14:textId="168DDAD2">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June 30, 202</w:t>
            </w:r>
            <w:r w:rsidRPr="00E14CD3" w:rsidR="00825A2C">
              <w:rPr>
                <w:color w:val="000000" w:themeColor="text1"/>
              </w:rPr>
              <w:t>2</w:t>
            </w:r>
          </w:p>
        </w:tc>
      </w:tr>
      <w:tr w:rsidRPr="00E14CD3" w:rsidR="00F9460D" w:rsidTr="00ED4EA6" w14:paraId="47E1359F" w14:textId="77777777">
        <w:trPr>
          <w:tblHeader/>
        </w:trPr>
        <w:tc>
          <w:tcPr>
            <w:tcW w:w="4820" w:type="dxa"/>
          </w:tcPr>
          <w:p w:rsidRPr="00E14CD3" w:rsidR="00F9460D" w:rsidP="00F9460D" w:rsidRDefault="00F9460D" w14:paraId="06B86857" w14:textId="5F85C38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lastRenderedPageBreak/>
              <w:t xml:space="preserve">Year </w:t>
            </w:r>
            <w:r w:rsidRPr="00E14CD3" w:rsidR="00825A2C">
              <w:rPr>
                <w:color w:val="000000" w:themeColor="text1"/>
              </w:rPr>
              <w:t>2021-2022</w:t>
            </w:r>
            <w:r w:rsidRPr="00E14CD3">
              <w:rPr>
                <w:color w:val="000000" w:themeColor="text1"/>
              </w:rPr>
              <w:t xml:space="preserve"> 2</w:t>
            </w:r>
            <w:r w:rsidRPr="00E14CD3">
              <w:rPr>
                <w:color w:val="000000" w:themeColor="text1"/>
                <w:vertAlign w:val="superscript"/>
              </w:rPr>
              <w:t>nd</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template (February 1, 2022 – July 31, 202</w:t>
            </w:r>
            <w:r w:rsidRPr="00E14CD3" w:rsidR="00825A2C">
              <w:rPr>
                <w:color w:val="000000" w:themeColor="text1"/>
              </w:rPr>
              <w:t>2</w:t>
            </w:r>
            <w:r w:rsidRPr="00E14CD3">
              <w:rPr>
                <w:color w:val="000000" w:themeColor="text1"/>
              </w:rPr>
              <w:t>)</w:t>
            </w:r>
          </w:p>
        </w:tc>
        <w:tc>
          <w:tcPr>
            <w:tcW w:w="3702" w:type="dxa"/>
          </w:tcPr>
          <w:p w:rsidRPr="00E14CD3" w:rsidR="00F9460D" w:rsidP="00F9460D" w:rsidRDefault="00F9460D" w14:paraId="6B877D5C" w14:textId="1ECA2FC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August 31, 202</w:t>
            </w:r>
            <w:r w:rsidRPr="00E14CD3" w:rsidR="00825A2C">
              <w:rPr>
                <w:color w:val="000000" w:themeColor="text1"/>
              </w:rPr>
              <w:t>2</w:t>
            </w:r>
          </w:p>
        </w:tc>
      </w:tr>
      <w:tr w:rsidRPr="00E14CD3" w:rsidR="00F9460D" w:rsidTr="00ED4EA6" w14:paraId="59332ABA" w14:textId="77777777">
        <w:trPr>
          <w:tblHeader/>
        </w:trPr>
        <w:tc>
          <w:tcPr>
            <w:tcW w:w="4820" w:type="dxa"/>
          </w:tcPr>
          <w:p w:rsidRPr="00E14CD3" w:rsidR="00F9460D" w:rsidP="00F9460D" w:rsidRDefault="00F9460D" w14:paraId="25D2F0B3"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Analyze reporting data</w:t>
            </w:r>
          </w:p>
        </w:tc>
        <w:tc>
          <w:tcPr>
            <w:tcW w:w="3702" w:type="dxa"/>
          </w:tcPr>
          <w:p w:rsidRPr="00E14CD3" w:rsidR="00F9460D" w:rsidP="00F9460D" w:rsidRDefault="00F9460D" w14:paraId="2868D7FF" w14:textId="608CA03E">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September 30, 202</w:t>
            </w:r>
            <w:r w:rsidRPr="00E14CD3" w:rsidR="00825A2C">
              <w:rPr>
                <w:color w:val="000000" w:themeColor="text1"/>
              </w:rPr>
              <w:t>2</w:t>
            </w:r>
          </w:p>
        </w:tc>
      </w:tr>
      <w:tr w:rsidRPr="00E14CD3" w:rsidR="00F9460D" w:rsidTr="00ED4EA6" w14:paraId="7AB742F4" w14:textId="77777777">
        <w:trPr>
          <w:tblHeader/>
        </w:trPr>
        <w:tc>
          <w:tcPr>
            <w:tcW w:w="4820" w:type="dxa"/>
          </w:tcPr>
          <w:p w:rsidRPr="00E14CD3" w:rsidR="00F9460D" w:rsidP="00F9460D" w:rsidRDefault="00F9460D" w14:paraId="1AFAFA4A"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F9460D" w:rsidP="00F9460D" w:rsidRDefault="00F9460D" w14:paraId="29609EC2" w14:textId="3EBF1629">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October 31, 202</w:t>
            </w:r>
            <w:r w:rsidRPr="00E14CD3" w:rsidR="00825A2C">
              <w:rPr>
                <w:color w:val="000000" w:themeColor="text1"/>
              </w:rPr>
              <w:t>2</w:t>
            </w:r>
          </w:p>
        </w:tc>
      </w:tr>
      <w:tr w:rsidRPr="00E14CD3" w:rsidR="00825A2C" w:rsidTr="00ED4EA6" w14:paraId="1C6A34DF" w14:textId="77777777">
        <w:trPr>
          <w:tblHeader/>
        </w:trPr>
        <w:tc>
          <w:tcPr>
            <w:tcW w:w="4820" w:type="dxa"/>
          </w:tcPr>
          <w:p w:rsidRPr="00E14CD3" w:rsidR="00825A2C" w:rsidP="00825A2C" w:rsidRDefault="00825A2C" w14:paraId="139EF8F4" w14:textId="01AD4768">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Year 2022-2023 1</w:t>
            </w:r>
            <w:r w:rsidRPr="00E14CD3">
              <w:rPr>
                <w:color w:val="000000" w:themeColor="text1"/>
                <w:vertAlign w:val="superscript"/>
              </w:rPr>
              <w:t>st</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template (August 1, 2022 – January 31, 2023)</w:t>
            </w:r>
          </w:p>
        </w:tc>
        <w:tc>
          <w:tcPr>
            <w:tcW w:w="3702" w:type="dxa"/>
          </w:tcPr>
          <w:p w:rsidRPr="00E14CD3" w:rsidR="00825A2C" w:rsidP="00825A2C" w:rsidRDefault="00825A2C" w14:paraId="54C1731E" w14:textId="6099636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April 1, 2023</w:t>
            </w:r>
          </w:p>
        </w:tc>
      </w:tr>
      <w:tr w:rsidRPr="00E14CD3" w:rsidR="00825A2C" w:rsidTr="00ED4EA6" w14:paraId="795FEAB4" w14:textId="77777777">
        <w:trPr>
          <w:tblHeader/>
        </w:trPr>
        <w:tc>
          <w:tcPr>
            <w:tcW w:w="4820" w:type="dxa"/>
          </w:tcPr>
          <w:p w:rsidRPr="00E14CD3" w:rsidR="00825A2C" w:rsidP="00825A2C" w:rsidRDefault="00825A2C" w14:paraId="43E520EC" w14:textId="30B9A77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Analyze reporting data</w:t>
            </w:r>
          </w:p>
        </w:tc>
        <w:tc>
          <w:tcPr>
            <w:tcW w:w="3702" w:type="dxa"/>
          </w:tcPr>
          <w:p w:rsidRPr="00E14CD3" w:rsidR="00825A2C" w:rsidP="00825A2C" w:rsidRDefault="00825A2C" w14:paraId="482CCA76" w14:textId="2AD8C02D">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May 31, 2023</w:t>
            </w:r>
          </w:p>
        </w:tc>
      </w:tr>
      <w:tr w:rsidRPr="00E14CD3" w:rsidR="00825A2C" w:rsidTr="00ED4EA6" w14:paraId="455195C7" w14:textId="77777777">
        <w:trPr>
          <w:tblHeader/>
        </w:trPr>
        <w:tc>
          <w:tcPr>
            <w:tcW w:w="4820" w:type="dxa"/>
          </w:tcPr>
          <w:p w:rsidRPr="00E14CD3" w:rsidR="00825A2C" w:rsidP="00825A2C" w:rsidRDefault="00825A2C" w14:paraId="38C3D711" w14:textId="190049B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825A2C" w:rsidP="00825A2C" w:rsidRDefault="00825A2C" w14:paraId="4C1E6691" w14:textId="43F8D7E0">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June 30, 2023</w:t>
            </w:r>
          </w:p>
        </w:tc>
      </w:tr>
      <w:tr w:rsidRPr="00E14CD3" w:rsidR="00825A2C" w:rsidTr="00ED4EA6" w14:paraId="3BF9DAE9" w14:textId="77777777">
        <w:trPr>
          <w:tblHeader/>
        </w:trPr>
        <w:tc>
          <w:tcPr>
            <w:tcW w:w="4820" w:type="dxa"/>
          </w:tcPr>
          <w:p w:rsidRPr="00E14CD3" w:rsidR="00825A2C" w:rsidP="00825A2C" w:rsidRDefault="00825A2C" w14:paraId="4D7C805F" w14:textId="3D94A36C">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Year 2023-2023 2</w:t>
            </w:r>
            <w:r w:rsidRPr="00E14CD3">
              <w:rPr>
                <w:color w:val="000000" w:themeColor="text1"/>
                <w:vertAlign w:val="superscript"/>
              </w:rPr>
              <w:t>nd</w:t>
            </w:r>
            <w:r w:rsidRPr="00E14CD3">
              <w:rPr>
                <w:color w:val="000000" w:themeColor="text1"/>
              </w:rPr>
              <w:t xml:space="preserve"> </w:t>
            </w:r>
            <w:proofErr w:type="gramStart"/>
            <w:r w:rsidRPr="00E14CD3">
              <w:rPr>
                <w:color w:val="000000" w:themeColor="text1"/>
              </w:rPr>
              <w:t>six month</w:t>
            </w:r>
            <w:proofErr w:type="gramEnd"/>
            <w:r w:rsidRPr="00E14CD3">
              <w:rPr>
                <w:color w:val="000000" w:themeColor="text1"/>
              </w:rPr>
              <w:t xml:space="preserve"> reporting template (February 1, 2023 – July 31, 2023)</w:t>
            </w:r>
          </w:p>
        </w:tc>
        <w:tc>
          <w:tcPr>
            <w:tcW w:w="3702" w:type="dxa"/>
          </w:tcPr>
          <w:p w:rsidRPr="00E14CD3" w:rsidR="00825A2C" w:rsidP="00825A2C" w:rsidRDefault="00825A2C" w14:paraId="3C55A077" w14:textId="5EAD499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August 31, 2023</w:t>
            </w:r>
          </w:p>
        </w:tc>
      </w:tr>
      <w:tr w:rsidRPr="00E14CD3" w:rsidR="00825A2C" w:rsidTr="00ED4EA6" w14:paraId="7DF6F2B7" w14:textId="77777777">
        <w:trPr>
          <w:tblHeader/>
        </w:trPr>
        <w:tc>
          <w:tcPr>
            <w:tcW w:w="4820" w:type="dxa"/>
          </w:tcPr>
          <w:p w:rsidRPr="00E14CD3" w:rsidR="00825A2C" w:rsidP="00825A2C" w:rsidRDefault="00825A2C" w14:paraId="4FCE13A4" w14:textId="79A8F1F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Analyze reporting data</w:t>
            </w:r>
          </w:p>
        </w:tc>
        <w:tc>
          <w:tcPr>
            <w:tcW w:w="3702" w:type="dxa"/>
          </w:tcPr>
          <w:p w:rsidRPr="00E14CD3" w:rsidR="00825A2C" w:rsidP="00825A2C" w:rsidRDefault="00825A2C" w14:paraId="2FD448BB" w14:textId="60749783">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September 30, 2023</w:t>
            </w:r>
          </w:p>
        </w:tc>
      </w:tr>
      <w:tr w:rsidRPr="00E14CD3" w:rsidR="00825A2C" w:rsidTr="00ED4EA6" w14:paraId="7E646ECC" w14:textId="77777777">
        <w:trPr>
          <w:tblHeader/>
        </w:trPr>
        <w:tc>
          <w:tcPr>
            <w:tcW w:w="4820" w:type="dxa"/>
          </w:tcPr>
          <w:p w:rsidRPr="00E14CD3" w:rsidR="00825A2C" w:rsidP="00825A2C" w:rsidRDefault="00825A2C" w14:paraId="5B83E95C" w14:textId="0D8193B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E14CD3">
              <w:rPr>
                <w:color w:val="000000" w:themeColor="text1"/>
              </w:rPr>
              <w:t>Create summary reports</w:t>
            </w:r>
          </w:p>
        </w:tc>
        <w:tc>
          <w:tcPr>
            <w:tcW w:w="3702" w:type="dxa"/>
          </w:tcPr>
          <w:p w:rsidRPr="00E14CD3" w:rsidR="00825A2C" w:rsidP="00825A2C" w:rsidRDefault="00825A2C" w14:paraId="6E9C548C" w14:textId="44DD55D5">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E14CD3">
              <w:rPr>
                <w:color w:val="000000" w:themeColor="text1"/>
              </w:rPr>
              <w:t>October 31, 2023</w:t>
            </w:r>
          </w:p>
        </w:tc>
      </w:tr>
    </w:tbl>
    <w:p w:rsidRPr="00E14CD3" w:rsidR="008A1964" w:rsidP="008A1964" w:rsidRDefault="008A1964" w14:paraId="6390799C" w14:textId="77777777">
      <w:pPr>
        <w:spacing w:before="120" w:line="240" w:lineRule="auto"/>
        <w:ind w:firstLine="720"/>
        <w:rPr>
          <w:rFonts w:eastAsia="Calibri"/>
          <w:color w:val="000000" w:themeColor="text1"/>
        </w:rPr>
      </w:pPr>
    </w:p>
    <w:p w:rsidRPr="00E14CD3" w:rsidR="005F1598" w:rsidP="008A1964" w:rsidRDefault="005F1598" w14:paraId="38962FF6" w14:textId="18595075">
      <w:pPr>
        <w:spacing w:before="120" w:line="240" w:lineRule="auto"/>
        <w:ind w:firstLine="720"/>
        <w:rPr>
          <w:rFonts w:eastAsia="Calibri"/>
          <w:color w:val="000000" w:themeColor="text1"/>
        </w:rPr>
      </w:pPr>
      <w:r w:rsidRPr="00E14CD3">
        <w:rPr>
          <w:rFonts w:eastAsia="Calibri"/>
          <w:color w:val="000000" w:themeColor="text1"/>
        </w:rPr>
        <w:t xml:space="preserve">CDC staff will develop </w:t>
      </w:r>
      <w:r w:rsidRPr="00E14CD3" w:rsidR="00EA44E3">
        <w:rPr>
          <w:rFonts w:eastAsia="Calibri"/>
          <w:color w:val="000000" w:themeColor="text1"/>
        </w:rPr>
        <w:t xml:space="preserve">summary </w:t>
      </w:r>
      <w:r w:rsidRPr="00E14CD3">
        <w:rPr>
          <w:rFonts w:eastAsia="Calibri"/>
          <w:color w:val="000000" w:themeColor="text1"/>
        </w:rPr>
        <w:t xml:space="preserve">reports for </w:t>
      </w:r>
      <w:r w:rsidRPr="00E14CD3" w:rsidR="00E00425">
        <w:rPr>
          <w:rFonts w:eastAsia="Calibri"/>
          <w:color w:val="000000" w:themeColor="text1"/>
        </w:rPr>
        <w:t xml:space="preserve">DASH management and staff as well as PS18-1807 </w:t>
      </w:r>
      <w:r w:rsidRPr="00E14CD3" w:rsidR="004D1DAC">
        <w:rPr>
          <w:rFonts w:eastAsia="Calibri"/>
          <w:color w:val="000000" w:themeColor="text1"/>
        </w:rPr>
        <w:t>recipients’</w:t>
      </w:r>
      <w:r w:rsidRPr="00E14CD3" w:rsidR="00E00425">
        <w:rPr>
          <w:rFonts w:eastAsia="Calibri"/>
          <w:color w:val="000000" w:themeColor="text1"/>
        </w:rPr>
        <w:t xml:space="preserve"> staff </w:t>
      </w:r>
      <w:r w:rsidRPr="00E14CD3">
        <w:rPr>
          <w:rFonts w:eastAsia="Calibri"/>
          <w:color w:val="000000" w:themeColor="text1"/>
        </w:rPr>
        <w:t xml:space="preserve">to use for program </w:t>
      </w:r>
      <w:r w:rsidRPr="00E14CD3" w:rsidR="009A6BAB">
        <w:rPr>
          <w:rFonts w:eastAsia="Calibri"/>
          <w:color w:val="000000" w:themeColor="text1"/>
        </w:rPr>
        <w:t>refinement</w:t>
      </w:r>
      <w:r w:rsidRPr="00E14CD3">
        <w:rPr>
          <w:rFonts w:eastAsia="Calibri"/>
          <w:color w:val="000000" w:themeColor="text1"/>
        </w:rPr>
        <w:t xml:space="preserve">.  CDC will use the findings </w:t>
      </w:r>
      <w:r w:rsidRPr="00E14CD3" w:rsidR="008B4B7B">
        <w:rPr>
          <w:rFonts w:eastAsia="Calibri"/>
          <w:color w:val="000000" w:themeColor="text1"/>
        </w:rPr>
        <w:t xml:space="preserve">to </w:t>
      </w:r>
      <w:r w:rsidRPr="00E14CD3" w:rsidR="00487DDF">
        <w:rPr>
          <w:rFonts w:eastAsia="Calibri"/>
          <w:color w:val="000000" w:themeColor="text1"/>
        </w:rPr>
        <w:t xml:space="preserve">revise or </w:t>
      </w:r>
      <w:r w:rsidRPr="00E14CD3">
        <w:rPr>
          <w:rFonts w:eastAsia="Calibri"/>
          <w:color w:val="000000" w:themeColor="text1"/>
        </w:rPr>
        <w:t xml:space="preserve">establish key recommendations for </w:t>
      </w:r>
      <w:r w:rsidRPr="00E14CD3" w:rsidR="00E00425">
        <w:rPr>
          <w:rFonts w:eastAsia="Calibri"/>
          <w:color w:val="000000" w:themeColor="text1"/>
        </w:rPr>
        <w:t xml:space="preserve">funded recipients </w:t>
      </w:r>
      <w:r w:rsidRPr="00E14CD3">
        <w:rPr>
          <w:rFonts w:eastAsia="Calibri"/>
          <w:color w:val="000000" w:themeColor="text1"/>
        </w:rPr>
        <w:t xml:space="preserve">on continued program </w:t>
      </w:r>
      <w:r w:rsidRPr="00E14CD3" w:rsidR="00D14A56">
        <w:rPr>
          <w:rFonts w:eastAsia="Calibri"/>
          <w:color w:val="000000" w:themeColor="text1"/>
        </w:rPr>
        <w:t>refinement</w:t>
      </w:r>
      <w:r w:rsidRPr="00E14CD3">
        <w:rPr>
          <w:rFonts w:eastAsia="Calibri"/>
          <w:color w:val="000000" w:themeColor="text1"/>
        </w:rPr>
        <w:t xml:space="preserve">. </w:t>
      </w:r>
    </w:p>
    <w:p w:rsidRPr="00E14CD3" w:rsidR="00912AB2" w:rsidP="008A1964" w:rsidRDefault="00912AB2" w14:paraId="74BAC57C" w14:textId="77777777">
      <w:pPr>
        <w:spacing w:before="120" w:line="240" w:lineRule="auto"/>
        <w:rPr>
          <w:b/>
          <w:color w:val="000000" w:themeColor="text1"/>
        </w:rPr>
      </w:pPr>
    </w:p>
    <w:p w:rsidRPr="00E14CD3" w:rsidR="00B6728A" w:rsidP="0073200A" w:rsidRDefault="00E4005C" w14:paraId="3C370D13" w14:textId="77777777">
      <w:pPr>
        <w:pStyle w:val="Heading1"/>
        <w:spacing w:before="120" w:after="0" w:line="240" w:lineRule="auto"/>
        <w:ind w:left="0" w:firstLine="0"/>
        <w:rPr>
          <w:rFonts w:cs="Times New Roman"/>
          <w:color w:val="000000" w:themeColor="text1"/>
          <w:szCs w:val="24"/>
        </w:rPr>
      </w:pPr>
      <w:bookmarkStart w:name="_Toc507659008" w:id="30"/>
      <w:r w:rsidRPr="00E14CD3">
        <w:rPr>
          <w:rFonts w:cs="Times New Roman"/>
          <w:color w:val="000000" w:themeColor="text1"/>
          <w:szCs w:val="24"/>
        </w:rPr>
        <w:t>Reason(s) Display of OMB Expiration Date is Inappropriate</w:t>
      </w:r>
      <w:bookmarkEnd w:id="30"/>
      <w:r w:rsidRPr="00E14CD3">
        <w:rPr>
          <w:rFonts w:cs="Times New Roman"/>
          <w:color w:val="000000" w:themeColor="text1"/>
          <w:szCs w:val="24"/>
        </w:rPr>
        <w:t xml:space="preserve">  </w:t>
      </w:r>
    </w:p>
    <w:p w:rsidRPr="00E14CD3" w:rsidR="0080238B" w:rsidP="008A1964" w:rsidRDefault="00535177" w14:paraId="26FD6274" w14:textId="77777777">
      <w:pPr>
        <w:spacing w:before="120" w:line="240" w:lineRule="auto"/>
        <w:ind w:firstLine="720"/>
        <w:rPr>
          <w:color w:val="000000" w:themeColor="text1"/>
        </w:rPr>
      </w:pPr>
      <w:r w:rsidRPr="00E14CD3">
        <w:rPr>
          <w:color w:val="000000" w:themeColor="text1"/>
        </w:rPr>
        <w:t>The display of the OMB expiration date is not inappropriate.</w:t>
      </w:r>
      <w:r w:rsidRPr="00E14CD3" w:rsidR="00E4005C">
        <w:rPr>
          <w:color w:val="000000" w:themeColor="text1"/>
        </w:rPr>
        <w:t xml:space="preserve"> All data collection instruments will display the expiration date for OMB approval of the information collection. </w:t>
      </w:r>
      <w:r w:rsidRPr="00E14CD3" w:rsidR="0080238B">
        <w:rPr>
          <w:color w:val="000000" w:themeColor="text1"/>
        </w:rPr>
        <w:t>We are requesting no exemption.</w:t>
      </w:r>
    </w:p>
    <w:p w:rsidRPr="00E14CD3" w:rsidR="003C046F" w:rsidP="008A1964" w:rsidRDefault="003C046F" w14:paraId="61B6B9BB" w14:textId="77777777">
      <w:pPr>
        <w:spacing w:before="120" w:line="240" w:lineRule="auto"/>
        <w:ind w:firstLine="720"/>
        <w:rPr>
          <w:color w:val="000000" w:themeColor="text1"/>
        </w:rPr>
      </w:pPr>
    </w:p>
    <w:p w:rsidRPr="00E14CD3" w:rsidR="00B6728A" w:rsidP="0073200A" w:rsidRDefault="00E4005C" w14:paraId="3A00209D" w14:textId="77777777">
      <w:pPr>
        <w:pStyle w:val="Heading1"/>
        <w:spacing w:before="120" w:after="0" w:line="240" w:lineRule="auto"/>
        <w:ind w:left="0" w:firstLine="0"/>
        <w:rPr>
          <w:rFonts w:cs="Times New Roman"/>
          <w:color w:val="000000" w:themeColor="text1"/>
          <w:szCs w:val="24"/>
        </w:rPr>
      </w:pPr>
      <w:bookmarkStart w:name="_Toc507659009" w:id="31"/>
      <w:r w:rsidRPr="00E14CD3">
        <w:rPr>
          <w:rFonts w:cs="Times New Roman"/>
          <w:color w:val="000000" w:themeColor="text1"/>
          <w:szCs w:val="24"/>
        </w:rPr>
        <w:t>Exceptions to Certification for Paperwork Reduction Act Submissions</w:t>
      </w:r>
      <w:bookmarkEnd w:id="31"/>
      <w:r w:rsidRPr="00E14CD3">
        <w:rPr>
          <w:rFonts w:cs="Times New Roman"/>
          <w:color w:val="000000" w:themeColor="text1"/>
          <w:szCs w:val="24"/>
        </w:rPr>
        <w:t xml:space="preserve">  </w:t>
      </w:r>
    </w:p>
    <w:p w:rsidRPr="00E14CD3" w:rsidR="00D447FD" w:rsidP="00D447FD" w:rsidRDefault="0080238B" w14:paraId="31EFED2B" w14:textId="77777777">
      <w:pPr>
        <w:spacing w:before="120" w:line="240" w:lineRule="auto"/>
        <w:ind w:firstLine="720"/>
        <w:rPr>
          <w:color w:val="000000" w:themeColor="text1"/>
        </w:rPr>
      </w:pPr>
      <w:r w:rsidRPr="00E14CD3">
        <w:rPr>
          <w:color w:val="000000" w:themeColor="text1"/>
        </w:rPr>
        <w:t>There are no exceptions to the certification.  These activities comply with the requirements in 5 CFR 1320.9.</w:t>
      </w:r>
    </w:p>
    <w:p w:rsidRPr="00E14CD3" w:rsidR="00D447FD" w:rsidP="00D447FD" w:rsidRDefault="00D447FD" w14:paraId="5C6A650F" w14:textId="77777777">
      <w:pPr>
        <w:spacing w:before="120" w:line="240" w:lineRule="auto"/>
        <w:ind w:firstLine="720"/>
        <w:rPr>
          <w:color w:val="000000" w:themeColor="text1"/>
        </w:rPr>
      </w:pPr>
    </w:p>
    <w:p w:rsidRPr="00E14CD3" w:rsidR="004A6988" w:rsidP="0073200A" w:rsidRDefault="004A6988" w14:paraId="78B3D380" w14:textId="77777777">
      <w:pPr>
        <w:spacing w:before="120" w:line="240" w:lineRule="auto"/>
        <w:rPr>
          <w:color w:val="000000" w:themeColor="text1"/>
        </w:rPr>
      </w:pPr>
      <w:r w:rsidRPr="00E14CD3">
        <w:rPr>
          <w:b/>
          <w:color w:val="000000" w:themeColor="text1"/>
        </w:rPr>
        <w:t>References</w:t>
      </w:r>
    </w:p>
    <w:p w:rsidRPr="00E14CD3" w:rsidR="008D46BB" w:rsidP="007F45DD" w:rsidRDefault="008D46BB" w14:paraId="25C5DAA6" w14:textId="77777777">
      <w:pPr>
        <w:pStyle w:val="Default"/>
        <w:spacing w:before="240"/>
        <w:ind w:left="720" w:hanging="720"/>
        <w:rPr>
          <w:rFonts w:ascii="Times New Roman" w:hAnsi="Times New Roman" w:cs="Times New Roman"/>
          <w:color w:val="000000" w:themeColor="text1"/>
        </w:rPr>
      </w:pPr>
      <w:r w:rsidRPr="00E14CD3">
        <w:rPr>
          <w:rFonts w:ascii="Times New Roman" w:hAnsi="Times New Roman" w:cs="Times New Roman"/>
          <w:color w:val="auto"/>
        </w:rPr>
        <w:t xml:space="preserve"> </w:t>
      </w:r>
      <w:r w:rsidRPr="00E14CD3">
        <w:rPr>
          <w:rFonts w:ascii="Times New Roman" w:hAnsi="Times New Roman" w:cs="Times New Roman"/>
          <w:color w:val="000000" w:themeColor="text1"/>
        </w:rPr>
        <w:t>[</w:t>
      </w:r>
      <w:r w:rsidRPr="00E14CD3" w:rsidR="007F45DD">
        <w:rPr>
          <w:rFonts w:ascii="Times New Roman" w:hAnsi="Times New Roman" w:cs="Times New Roman"/>
          <w:color w:val="000000" w:themeColor="text1"/>
        </w:rPr>
        <w:t>1</w:t>
      </w:r>
      <w:r w:rsidRPr="00E14CD3">
        <w:rPr>
          <w:rFonts w:ascii="Times New Roman" w:hAnsi="Times New Roman" w:cs="Times New Roman"/>
          <w:color w:val="000000" w:themeColor="text1"/>
        </w:rPr>
        <w:t xml:space="preserve">] </w:t>
      </w:r>
      <w:r w:rsidRPr="00E14CD3">
        <w:rPr>
          <w:rFonts w:ascii="Times New Roman" w:hAnsi="Times New Roman" w:cs="Times New Roman"/>
          <w:color w:val="000000" w:themeColor="text1"/>
        </w:rPr>
        <w:tab/>
        <w:t>U.S. Department of Health and Human Services, Office of Disease Prevention and Health Promotion. (2016). Adolescent Health. Retrieved January 7, 2016, from: http://www.healthypeople.gov/2020/topics-objectives/topic/Adolescent-Health/objectives</w:t>
      </w:r>
    </w:p>
    <w:p w:rsidRPr="00E14CD3" w:rsidR="008D46BB" w:rsidP="008D46BB" w:rsidRDefault="008D46BB" w14:paraId="3261E39A" w14:textId="77777777">
      <w:pPr>
        <w:pStyle w:val="Default"/>
        <w:spacing w:before="240"/>
        <w:ind w:left="720" w:hanging="720"/>
        <w:rPr>
          <w:rFonts w:ascii="Times New Roman" w:hAnsi="Times New Roman" w:eastAsia="Calibri" w:cs="Times New Roman"/>
        </w:rPr>
      </w:pPr>
      <w:r w:rsidRPr="00E14CD3">
        <w:rPr>
          <w:rFonts w:ascii="Times New Roman" w:hAnsi="Times New Roman" w:cs="Times New Roman"/>
        </w:rPr>
        <w:t>[</w:t>
      </w:r>
      <w:r w:rsidRPr="00E14CD3" w:rsidR="007F45DD">
        <w:rPr>
          <w:rFonts w:ascii="Times New Roman" w:hAnsi="Times New Roman" w:cs="Times New Roman"/>
        </w:rPr>
        <w:t>2</w:t>
      </w:r>
      <w:r w:rsidRPr="00E14CD3">
        <w:rPr>
          <w:rFonts w:ascii="Times New Roman" w:hAnsi="Times New Roman" w:cs="Times New Roman"/>
        </w:rPr>
        <w:t>]</w:t>
      </w:r>
      <w:r w:rsidRPr="00E14CD3">
        <w:rPr>
          <w:rFonts w:ascii="Times New Roman" w:hAnsi="Times New Roman" w:cs="Times New Roman"/>
        </w:rPr>
        <w:tab/>
      </w:r>
      <w:r w:rsidRPr="00E14CD3">
        <w:rPr>
          <w:rFonts w:ascii="Times New Roman" w:hAnsi="Times New Roman" w:eastAsia="Calibri" w:cs="Times New Roman"/>
        </w:rPr>
        <w:t xml:space="preserve">National Prevention Council. (2011). </w:t>
      </w:r>
      <w:r w:rsidRPr="00E14CD3">
        <w:rPr>
          <w:rFonts w:ascii="Times New Roman" w:hAnsi="Times New Roman" w:eastAsia="Calibri" w:cs="Times New Roman"/>
          <w:i/>
          <w:iCs/>
        </w:rPr>
        <w:t>National Prevention Strategy</w:t>
      </w:r>
      <w:r w:rsidRPr="00E14CD3">
        <w:rPr>
          <w:rFonts w:ascii="Times New Roman" w:hAnsi="Times New Roman" w:eastAsia="Calibri" w:cs="Times New Roman"/>
        </w:rPr>
        <w:t>, Washington, DC: U.S. Department of Health and Human Services, Office of the Surgeon General. Retrieved January 7, 2016, from: http://www.surgeongeneral.gov/priorities/prevention/strategy/report.pdf</w:t>
      </w:r>
    </w:p>
    <w:p w:rsidRPr="00E14CD3" w:rsidR="008D46BB" w:rsidP="008D46BB" w:rsidRDefault="008D46BB" w14:paraId="706567DB" w14:textId="77777777">
      <w:pPr>
        <w:pStyle w:val="Default"/>
        <w:spacing w:before="240"/>
        <w:ind w:left="720" w:hanging="720"/>
        <w:rPr>
          <w:rFonts w:ascii="Times New Roman" w:hAnsi="Times New Roman" w:eastAsia="Calibri" w:cs="Times New Roman"/>
        </w:rPr>
      </w:pPr>
      <w:r w:rsidRPr="00E14CD3">
        <w:rPr>
          <w:rFonts w:ascii="Times New Roman" w:hAnsi="Times New Roman" w:cs="Times New Roman"/>
        </w:rPr>
        <w:lastRenderedPageBreak/>
        <w:t>[</w:t>
      </w:r>
      <w:r w:rsidRPr="00E14CD3" w:rsidR="007F45DD">
        <w:rPr>
          <w:rFonts w:ascii="Times New Roman" w:hAnsi="Times New Roman" w:cs="Times New Roman"/>
        </w:rPr>
        <w:t>3</w:t>
      </w:r>
      <w:r w:rsidRPr="00E14CD3">
        <w:rPr>
          <w:rFonts w:ascii="Times New Roman" w:hAnsi="Times New Roman" w:cs="Times New Roman"/>
        </w:rPr>
        <w:t>]</w:t>
      </w:r>
      <w:r w:rsidRPr="00E14CD3">
        <w:rPr>
          <w:rFonts w:ascii="Times New Roman" w:hAnsi="Times New Roman" w:cs="Times New Roman"/>
        </w:rPr>
        <w:tab/>
      </w:r>
      <w:r w:rsidRPr="00E14CD3">
        <w:rPr>
          <w:rFonts w:ascii="Times New Roman" w:hAnsi="Times New Roman" w:eastAsia="Calibri" w:cs="Times New Roman"/>
        </w:rPr>
        <w:t xml:space="preserve">Office of Adolescent Health. (2016). National Evidence-based Teen Pregnancy Program. Retrieved January 7, 2016, from: http://www.hhs.gov/ash/oah/oah-initiatives/tpp_program/ </w:t>
      </w:r>
    </w:p>
    <w:p w:rsidRPr="00E14CD3" w:rsidR="00750FF5" w:rsidP="00750FF5" w:rsidRDefault="008D46BB" w14:paraId="7D4E1F63" w14:textId="77777777">
      <w:pPr>
        <w:pStyle w:val="Default"/>
        <w:spacing w:before="240"/>
        <w:ind w:left="720" w:hanging="720"/>
        <w:rPr>
          <w:rFonts w:ascii="Times New Roman" w:hAnsi="Times New Roman" w:eastAsia="Calibri" w:cs="Times New Roman"/>
        </w:rPr>
      </w:pPr>
      <w:r w:rsidRPr="00E14CD3">
        <w:rPr>
          <w:rFonts w:ascii="Times New Roman" w:hAnsi="Times New Roman" w:cs="Times New Roman"/>
        </w:rPr>
        <w:t>[</w:t>
      </w:r>
      <w:r w:rsidRPr="00E14CD3" w:rsidR="007F45DD">
        <w:rPr>
          <w:rFonts w:ascii="Times New Roman" w:hAnsi="Times New Roman" w:cs="Times New Roman"/>
        </w:rPr>
        <w:t>4</w:t>
      </w:r>
      <w:r w:rsidRPr="00E14CD3">
        <w:rPr>
          <w:rFonts w:ascii="Times New Roman" w:hAnsi="Times New Roman" w:cs="Times New Roman"/>
        </w:rPr>
        <w:t xml:space="preserve">] </w:t>
      </w:r>
      <w:r w:rsidRPr="00E14CD3">
        <w:rPr>
          <w:rFonts w:ascii="Times New Roman" w:hAnsi="Times New Roman" w:cs="Times New Roman"/>
        </w:rPr>
        <w:tab/>
      </w:r>
      <w:r w:rsidRPr="00E14CD3">
        <w:rPr>
          <w:rFonts w:ascii="Times New Roman" w:hAnsi="Times New Roman" w:eastAsia="Calibri" w:cs="Times New Roman"/>
        </w:rPr>
        <w:t>Centers for Disease Control and Prevention. (2009). Program collaboration and service integration: Enhancing the prevention and control of HIV/AIDS, viral hepatitis, sexually transmitted diseases, and tuberculosis in the United States.  Retrieved January 7, 2016, from: http://www.cdc.gov/nchhstp/ProgramIntegration/docs/207181-C_NCHH</w:t>
      </w:r>
      <w:r w:rsidRPr="00E14CD3" w:rsidR="00750FF5">
        <w:rPr>
          <w:rFonts w:ascii="Times New Roman" w:hAnsi="Times New Roman" w:eastAsia="Calibri" w:cs="Times New Roman"/>
        </w:rPr>
        <w:t xml:space="preserve">STP_PCSI%20WhitePaper-508c.pdf </w:t>
      </w:r>
    </w:p>
    <w:p w:rsidRPr="009669C0" w:rsidR="008D46BB" w:rsidP="008D46BB" w:rsidRDefault="008D46BB" w14:paraId="39170948" w14:textId="77777777">
      <w:pPr>
        <w:spacing w:before="240" w:line="240" w:lineRule="auto"/>
        <w:ind w:left="720" w:hanging="720"/>
        <w:rPr>
          <w:color w:val="000000" w:themeColor="text1"/>
        </w:rPr>
      </w:pPr>
    </w:p>
    <w:p w:rsidRPr="008A1964" w:rsidR="004A6988" w:rsidP="008D46BB" w:rsidRDefault="004A6988" w14:paraId="43CBF3C9" w14:textId="77777777">
      <w:pPr>
        <w:spacing w:before="240" w:line="240" w:lineRule="auto"/>
        <w:ind w:left="720" w:hanging="720"/>
        <w:rPr>
          <w:rFonts w:eastAsia="Calibri"/>
          <w:color w:val="000000" w:themeColor="text1"/>
        </w:rPr>
      </w:pPr>
    </w:p>
    <w:sectPr w:rsidRPr="008A1964" w:rsidR="004A6988" w:rsidSect="00957A9B">
      <w:footerReference w:type="defaul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92F3" w14:textId="77777777" w:rsidR="00197267" w:rsidRDefault="00197267" w:rsidP="00036B1E">
      <w:r>
        <w:separator/>
      </w:r>
    </w:p>
    <w:p w14:paraId="0EBB183F" w14:textId="77777777" w:rsidR="00197267" w:rsidRDefault="00197267" w:rsidP="00036B1E"/>
    <w:p w14:paraId="3A9DE38E" w14:textId="77777777" w:rsidR="00197267" w:rsidRDefault="00197267" w:rsidP="00036B1E"/>
    <w:p w14:paraId="562FA10A" w14:textId="77777777" w:rsidR="00197267" w:rsidRDefault="00197267" w:rsidP="00036B1E"/>
    <w:p w14:paraId="7C41F065" w14:textId="77777777" w:rsidR="00197267" w:rsidRDefault="00197267" w:rsidP="00036B1E"/>
  </w:endnote>
  <w:endnote w:type="continuationSeparator" w:id="0">
    <w:p w14:paraId="6D4F650B" w14:textId="77777777" w:rsidR="00197267" w:rsidRDefault="00197267" w:rsidP="00036B1E">
      <w:r>
        <w:continuationSeparator/>
      </w:r>
    </w:p>
    <w:p w14:paraId="19E45A20" w14:textId="77777777" w:rsidR="00197267" w:rsidRDefault="00197267" w:rsidP="00036B1E"/>
    <w:p w14:paraId="68622C4E" w14:textId="77777777" w:rsidR="00197267" w:rsidRDefault="00197267" w:rsidP="00036B1E"/>
    <w:p w14:paraId="194A8C66" w14:textId="77777777" w:rsidR="00197267" w:rsidRDefault="00197267" w:rsidP="00036B1E"/>
    <w:p w14:paraId="5BF8D349" w14:textId="77777777" w:rsidR="00197267" w:rsidRDefault="00197267"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36B8" w14:textId="20BAABB2" w:rsidR="002F68FB" w:rsidRDefault="002F68FB" w:rsidP="00E572F8">
    <w:pPr>
      <w:pStyle w:val="Footer"/>
      <w:jc w:val="center"/>
    </w:pP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1584A" w14:textId="77777777" w:rsidR="00197267" w:rsidRDefault="00197267" w:rsidP="00036B1E">
      <w:r>
        <w:separator/>
      </w:r>
    </w:p>
  </w:footnote>
  <w:footnote w:type="continuationSeparator" w:id="0">
    <w:p w14:paraId="6CD57480" w14:textId="77777777" w:rsidR="00197267" w:rsidRDefault="00197267" w:rsidP="00036B1E">
      <w:r>
        <w:continuationSeparator/>
      </w:r>
    </w:p>
    <w:p w14:paraId="53E34F8E" w14:textId="77777777" w:rsidR="00197267" w:rsidRDefault="00197267" w:rsidP="00036B1E"/>
    <w:p w14:paraId="526FDA91" w14:textId="77777777" w:rsidR="00197267" w:rsidRDefault="00197267" w:rsidP="00036B1E"/>
    <w:p w14:paraId="2820E0AB" w14:textId="77777777" w:rsidR="00197267" w:rsidRDefault="00197267" w:rsidP="00036B1E"/>
    <w:p w14:paraId="1057BA7E" w14:textId="77777777" w:rsidR="00197267" w:rsidRDefault="00197267" w:rsidP="00036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E3074"/>
    <w:multiLevelType w:val="hybridMultilevel"/>
    <w:tmpl w:val="4D8E8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F0FA1"/>
    <w:multiLevelType w:val="hybridMultilevel"/>
    <w:tmpl w:val="0E9CCA0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E10AB6FC">
      <w:start w:val="1"/>
      <w:numFmt w:val="decimal"/>
      <w:lvlText w:val="%3."/>
      <w:lvlJc w:val="left"/>
      <w:pPr>
        <w:ind w:left="27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4" w15:restartNumberingAfterBreak="0">
    <w:nsid w:val="41D00BF2"/>
    <w:multiLevelType w:val="hybridMultilevel"/>
    <w:tmpl w:val="7D023F84"/>
    <w:lvl w:ilvl="0" w:tplc="AB4C246A">
      <w:start w:val="1"/>
      <w:numFmt w:val="decimal"/>
      <w:pStyle w:val="Heading1"/>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6"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451613B"/>
    <w:multiLevelType w:val="hybridMultilevel"/>
    <w:tmpl w:val="D988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C5733"/>
    <w:multiLevelType w:val="hybridMultilevel"/>
    <w:tmpl w:val="12860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4"/>
  </w:num>
  <w:num w:numId="5">
    <w:abstractNumId w:val="4"/>
  </w:num>
  <w:num w:numId="6">
    <w:abstractNumId w:val="13"/>
  </w:num>
  <w:num w:numId="7">
    <w:abstractNumId w:val="2"/>
  </w:num>
  <w:num w:numId="8">
    <w:abstractNumId w:val="3"/>
  </w:num>
  <w:num w:numId="9">
    <w:abstractNumId w:val="10"/>
  </w:num>
  <w:num w:numId="10">
    <w:abstractNumId w:val="20"/>
  </w:num>
  <w:num w:numId="11">
    <w:abstractNumId w:val="7"/>
  </w:num>
  <w:num w:numId="12">
    <w:abstractNumId w:val="19"/>
  </w:num>
  <w:num w:numId="13">
    <w:abstractNumId w:val="1"/>
  </w:num>
  <w:num w:numId="14">
    <w:abstractNumId w:val="12"/>
  </w:num>
  <w:num w:numId="15">
    <w:abstractNumId w:val="0"/>
  </w:num>
  <w:num w:numId="16">
    <w:abstractNumId w:val="5"/>
  </w:num>
  <w:num w:numId="17">
    <w:abstractNumId w:val="9"/>
  </w:num>
  <w:num w:numId="18">
    <w:abstractNumId w:val="18"/>
  </w:num>
  <w:num w:numId="19">
    <w:abstractNumId w:val="6"/>
  </w:num>
  <w:num w:numId="20">
    <w:abstractNumId w:val="21"/>
  </w:num>
  <w:num w:numId="21">
    <w:abstractNumId w:val="11"/>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6A3"/>
    <w:rsid w:val="00001DB7"/>
    <w:rsid w:val="00002FE5"/>
    <w:rsid w:val="00003217"/>
    <w:rsid w:val="00005253"/>
    <w:rsid w:val="000064EE"/>
    <w:rsid w:val="0000684D"/>
    <w:rsid w:val="00007F45"/>
    <w:rsid w:val="00010CCF"/>
    <w:rsid w:val="00013E25"/>
    <w:rsid w:val="00015735"/>
    <w:rsid w:val="00016FAA"/>
    <w:rsid w:val="00017113"/>
    <w:rsid w:val="0001715C"/>
    <w:rsid w:val="000218BE"/>
    <w:rsid w:val="000221C9"/>
    <w:rsid w:val="00024201"/>
    <w:rsid w:val="0002568B"/>
    <w:rsid w:val="00025AD9"/>
    <w:rsid w:val="00027127"/>
    <w:rsid w:val="000302A1"/>
    <w:rsid w:val="0003284A"/>
    <w:rsid w:val="000334D0"/>
    <w:rsid w:val="000352C7"/>
    <w:rsid w:val="000362AA"/>
    <w:rsid w:val="00036B1E"/>
    <w:rsid w:val="00041206"/>
    <w:rsid w:val="000414AE"/>
    <w:rsid w:val="000417D0"/>
    <w:rsid w:val="00041E9C"/>
    <w:rsid w:val="00042D88"/>
    <w:rsid w:val="00044387"/>
    <w:rsid w:val="000454D4"/>
    <w:rsid w:val="000465D0"/>
    <w:rsid w:val="00051A54"/>
    <w:rsid w:val="000549F6"/>
    <w:rsid w:val="00054C56"/>
    <w:rsid w:val="00063473"/>
    <w:rsid w:val="000635F4"/>
    <w:rsid w:val="000639DE"/>
    <w:rsid w:val="00065F76"/>
    <w:rsid w:val="00066265"/>
    <w:rsid w:val="000674F0"/>
    <w:rsid w:val="0007229D"/>
    <w:rsid w:val="0007277D"/>
    <w:rsid w:val="00074812"/>
    <w:rsid w:val="00074864"/>
    <w:rsid w:val="000761A1"/>
    <w:rsid w:val="00076E78"/>
    <w:rsid w:val="0007705A"/>
    <w:rsid w:val="0007779E"/>
    <w:rsid w:val="0008013B"/>
    <w:rsid w:val="00080E04"/>
    <w:rsid w:val="000812D8"/>
    <w:rsid w:val="00082161"/>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59B0"/>
    <w:rsid w:val="0009705C"/>
    <w:rsid w:val="000978FA"/>
    <w:rsid w:val="00097A54"/>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0D32"/>
    <w:rsid w:val="000B1286"/>
    <w:rsid w:val="000B2EB2"/>
    <w:rsid w:val="000B4695"/>
    <w:rsid w:val="000B699B"/>
    <w:rsid w:val="000B7655"/>
    <w:rsid w:val="000C01F0"/>
    <w:rsid w:val="000C248A"/>
    <w:rsid w:val="000C2831"/>
    <w:rsid w:val="000C2C78"/>
    <w:rsid w:val="000C3FB6"/>
    <w:rsid w:val="000C46D5"/>
    <w:rsid w:val="000C474E"/>
    <w:rsid w:val="000C4950"/>
    <w:rsid w:val="000D3460"/>
    <w:rsid w:val="000D37F0"/>
    <w:rsid w:val="000D42B8"/>
    <w:rsid w:val="000D5175"/>
    <w:rsid w:val="000D54E0"/>
    <w:rsid w:val="000D5CD9"/>
    <w:rsid w:val="000D6132"/>
    <w:rsid w:val="000D67A3"/>
    <w:rsid w:val="000D7B54"/>
    <w:rsid w:val="000E0044"/>
    <w:rsid w:val="000E00AE"/>
    <w:rsid w:val="000E13C1"/>
    <w:rsid w:val="000E2A87"/>
    <w:rsid w:val="000E3043"/>
    <w:rsid w:val="000E3BC1"/>
    <w:rsid w:val="000E4EE5"/>
    <w:rsid w:val="000E5B81"/>
    <w:rsid w:val="000E5C45"/>
    <w:rsid w:val="000E612F"/>
    <w:rsid w:val="000E65D4"/>
    <w:rsid w:val="000F203C"/>
    <w:rsid w:val="000F4983"/>
    <w:rsid w:val="000F5A59"/>
    <w:rsid w:val="000F6DD7"/>
    <w:rsid w:val="000F7453"/>
    <w:rsid w:val="000F7A4C"/>
    <w:rsid w:val="000F7E7F"/>
    <w:rsid w:val="00101744"/>
    <w:rsid w:val="001042C3"/>
    <w:rsid w:val="00104E97"/>
    <w:rsid w:val="001052FE"/>
    <w:rsid w:val="0010636A"/>
    <w:rsid w:val="00106D25"/>
    <w:rsid w:val="00111290"/>
    <w:rsid w:val="0011144B"/>
    <w:rsid w:val="001158C2"/>
    <w:rsid w:val="0012023B"/>
    <w:rsid w:val="00121085"/>
    <w:rsid w:val="00121ADB"/>
    <w:rsid w:val="00121E8C"/>
    <w:rsid w:val="001230F4"/>
    <w:rsid w:val="001231F1"/>
    <w:rsid w:val="00125019"/>
    <w:rsid w:val="00125848"/>
    <w:rsid w:val="00126B4F"/>
    <w:rsid w:val="00127734"/>
    <w:rsid w:val="001278CF"/>
    <w:rsid w:val="00132839"/>
    <w:rsid w:val="001335A2"/>
    <w:rsid w:val="001342E1"/>
    <w:rsid w:val="00137EC5"/>
    <w:rsid w:val="0014310C"/>
    <w:rsid w:val="001442DC"/>
    <w:rsid w:val="001448DF"/>
    <w:rsid w:val="00144F71"/>
    <w:rsid w:val="00146139"/>
    <w:rsid w:val="00146F6C"/>
    <w:rsid w:val="001474FA"/>
    <w:rsid w:val="00150760"/>
    <w:rsid w:val="00150E78"/>
    <w:rsid w:val="00152486"/>
    <w:rsid w:val="00154557"/>
    <w:rsid w:val="00154EAD"/>
    <w:rsid w:val="00155131"/>
    <w:rsid w:val="00155716"/>
    <w:rsid w:val="00156D46"/>
    <w:rsid w:val="00157AB2"/>
    <w:rsid w:val="00157B98"/>
    <w:rsid w:val="00163909"/>
    <w:rsid w:val="00164D25"/>
    <w:rsid w:val="00166642"/>
    <w:rsid w:val="0016698A"/>
    <w:rsid w:val="001669F0"/>
    <w:rsid w:val="0016750B"/>
    <w:rsid w:val="00170034"/>
    <w:rsid w:val="00171387"/>
    <w:rsid w:val="001713FB"/>
    <w:rsid w:val="001730C6"/>
    <w:rsid w:val="00173BDF"/>
    <w:rsid w:val="001745DD"/>
    <w:rsid w:val="00174699"/>
    <w:rsid w:val="00174EC1"/>
    <w:rsid w:val="001753F3"/>
    <w:rsid w:val="001758F9"/>
    <w:rsid w:val="00175C44"/>
    <w:rsid w:val="0017767F"/>
    <w:rsid w:val="00177F4C"/>
    <w:rsid w:val="001802B2"/>
    <w:rsid w:val="001818A2"/>
    <w:rsid w:val="00181D7D"/>
    <w:rsid w:val="00181FAC"/>
    <w:rsid w:val="00183085"/>
    <w:rsid w:val="00184D40"/>
    <w:rsid w:val="00185A24"/>
    <w:rsid w:val="00185C77"/>
    <w:rsid w:val="001864CF"/>
    <w:rsid w:val="00186D6B"/>
    <w:rsid w:val="00187692"/>
    <w:rsid w:val="001902D0"/>
    <w:rsid w:val="001903A5"/>
    <w:rsid w:val="001903CD"/>
    <w:rsid w:val="001939B4"/>
    <w:rsid w:val="00196350"/>
    <w:rsid w:val="00197267"/>
    <w:rsid w:val="0019727A"/>
    <w:rsid w:val="001A1101"/>
    <w:rsid w:val="001A18B3"/>
    <w:rsid w:val="001A28D6"/>
    <w:rsid w:val="001A3229"/>
    <w:rsid w:val="001A341B"/>
    <w:rsid w:val="001A4996"/>
    <w:rsid w:val="001A53EC"/>
    <w:rsid w:val="001A53F4"/>
    <w:rsid w:val="001A5D32"/>
    <w:rsid w:val="001A5F48"/>
    <w:rsid w:val="001A5F79"/>
    <w:rsid w:val="001A5FB8"/>
    <w:rsid w:val="001A6501"/>
    <w:rsid w:val="001A6558"/>
    <w:rsid w:val="001A7A5C"/>
    <w:rsid w:val="001B19A9"/>
    <w:rsid w:val="001B37D6"/>
    <w:rsid w:val="001B3D09"/>
    <w:rsid w:val="001B6301"/>
    <w:rsid w:val="001C0E7E"/>
    <w:rsid w:val="001C1706"/>
    <w:rsid w:val="001C1F6A"/>
    <w:rsid w:val="001C201F"/>
    <w:rsid w:val="001C3E04"/>
    <w:rsid w:val="001C5122"/>
    <w:rsid w:val="001C78B5"/>
    <w:rsid w:val="001D020F"/>
    <w:rsid w:val="001D0212"/>
    <w:rsid w:val="001D0308"/>
    <w:rsid w:val="001D08D3"/>
    <w:rsid w:val="001D09DC"/>
    <w:rsid w:val="001D3469"/>
    <w:rsid w:val="001D4596"/>
    <w:rsid w:val="001D4E09"/>
    <w:rsid w:val="001D5442"/>
    <w:rsid w:val="001D71B9"/>
    <w:rsid w:val="001D7725"/>
    <w:rsid w:val="001E00F1"/>
    <w:rsid w:val="001E070B"/>
    <w:rsid w:val="001E11F3"/>
    <w:rsid w:val="001E1FEE"/>
    <w:rsid w:val="001E2DF7"/>
    <w:rsid w:val="001E2F26"/>
    <w:rsid w:val="001E3675"/>
    <w:rsid w:val="001E4F4C"/>
    <w:rsid w:val="001E66B2"/>
    <w:rsid w:val="001F1E5B"/>
    <w:rsid w:val="001F1E87"/>
    <w:rsid w:val="001F2933"/>
    <w:rsid w:val="001F40B3"/>
    <w:rsid w:val="001F4ED9"/>
    <w:rsid w:val="001F6554"/>
    <w:rsid w:val="00201205"/>
    <w:rsid w:val="00201904"/>
    <w:rsid w:val="00201A21"/>
    <w:rsid w:val="00201BE1"/>
    <w:rsid w:val="00203BD6"/>
    <w:rsid w:val="002048C6"/>
    <w:rsid w:val="0020558A"/>
    <w:rsid w:val="00205A50"/>
    <w:rsid w:val="002104F7"/>
    <w:rsid w:val="00210CE7"/>
    <w:rsid w:val="00211DB0"/>
    <w:rsid w:val="00213A61"/>
    <w:rsid w:val="002142AC"/>
    <w:rsid w:val="0021449D"/>
    <w:rsid w:val="00216DF3"/>
    <w:rsid w:val="002170C2"/>
    <w:rsid w:val="00217684"/>
    <w:rsid w:val="0022007D"/>
    <w:rsid w:val="00221EDB"/>
    <w:rsid w:val="00224A28"/>
    <w:rsid w:val="00225734"/>
    <w:rsid w:val="0022624D"/>
    <w:rsid w:val="002266A1"/>
    <w:rsid w:val="0022772E"/>
    <w:rsid w:val="002301D7"/>
    <w:rsid w:val="002303DE"/>
    <w:rsid w:val="0023047A"/>
    <w:rsid w:val="00230CF2"/>
    <w:rsid w:val="00231F71"/>
    <w:rsid w:val="00232940"/>
    <w:rsid w:val="002330AA"/>
    <w:rsid w:val="002331C4"/>
    <w:rsid w:val="00233843"/>
    <w:rsid w:val="00233E0D"/>
    <w:rsid w:val="0023478C"/>
    <w:rsid w:val="002355F2"/>
    <w:rsid w:val="00235D0C"/>
    <w:rsid w:val="002367DC"/>
    <w:rsid w:val="00236C48"/>
    <w:rsid w:val="00237820"/>
    <w:rsid w:val="002379E1"/>
    <w:rsid w:val="0024133A"/>
    <w:rsid w:val="00241660"/>
    <w:rsid w:val="002425F7"/>
    <w:rsid w:val="00242602"/>
    <w:rsid w:val="0024297A"/>
    <w:rsid w:val="002433E7"/>
    <w:rsid w:val="002440DE"/>
    <w:rsid w:val="00245326"/>
    <w:rsid w:val="00247137"/>
    <w:rsid w:val="00247E1F"/>
    <w:rsid w:val="002503C0"/>
    <w:rsid w:val="0025154E"/>
    <w:rsid w:val="00253434"/>
    <w:rsid w:val="0025413D"/>
    <w:rsid w:val="00254597"/>
    <w:rsid w:val="0025503D"/>
    <w:rsid w:val="00255336"/>
    <w:rsid w:val="002557D3"/>
    <w:rsid w:val="00256B90"/>
    <w:rsid w:val="00256C36"/>
    <w:rsid w:val="00257DEA"/>
    <w:rsid w:val="00257F6F"/>
    <w:rsid w:val="00260AD8"/>
    <w:rsid w:val="00260D84"/>
    <w:rsid w:val="0026128B"/>
    <w:rsid w:val="00261418"/>
    <w:rsid w:val="0026183C"/>
    <w:rsid w:val="002619A1"/>
    <w:rsid w:val="00262150"/>
    <w:rsid w:val="002644F8"/>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1B2"/>
    <w:rsid w:val="00280355"/>
    <w:rsid w:val="002812A6"/>
    <w:rsid w:val="00281C9D"/>
    <w:rsid w:val="00282337"/>
    <w:rsid w:val="00283D05"/>
    <w:rsid w:val="002848EA"/>
    <w:rsid w:val="002866EE"/>
    <w:rsid w:val="00286BDB"/>
    <w:rsid w:val="002870DC"/>
    <w:rsid w:val="0028727A"/>
    <w:rsid w:val="00287979"/>
    <w:rsid w:val="0029051D"/>
    <w:rsid w:val="002921E2"/>
    <w:rsid w:val="00293E77"/>
    <w:rsid w:val="002948AC"/>
    <w:rsid w:val="00295E73"/>
    <w:rsid w:val="00296919"/>
    <w:rsid w:val="00296ADC"/>
    <w:rsid w:val="00297AB9"/>
    <w:rsid w:val="002A01CC"/>
    <w:rsid w:val="002A0619"/>
    <w:rsid w:val="002A0632"/>
    <w:rsid w:val="002A0D10"/>
    <w:rsid w:val="002A14B0"/>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3804"/>
    <w:rsid w:val="002B4C68"/>
    <w:rsid w:val="002B5409"/>
    <w:rsid w:val="002B5D78"/>
    <w:rsid w:val="002B5ED3"/>
    <w:rsid w:val="002B76C3"/>
    <w:rsid w:val="002C113E"/>
    <w:rsid w:val="002C1EBD"/>
    <w:rsid w:val="002C44B9"/>
    <w:rsid w:val="002C4654"/>
    <w:rsid w:val="002C4848"/>
    <w:rsid w:val="002C4F78"/>
    <w:rsid w:val="002C5513"/>
    <w:rsid w:val="002C5B7E"/>
    <w:rsid w:val="002C681C"/>
    <w:rsid w:val="002C6CC5"/>
    <w:rsid w:val="002C70E9"/>
    <w:rsid w:val="002C7F89"/>
    <w:rsid w:val="002D27B4"/>
    <w:rsid w:val="002D2B45"/>
    <w:rsid w:val="002D5F9C"/>
    <w:rsid w:val="002D6150"/>
    <w:rsid w:val="002D7A24"/>
    <w:rsid w:val="002E401B"/>
    <w:rsid w:val="002E40F7"/>
    <w:rsid w:val="002E43CF"/>
    <w:rsid w:val="002E6F82"/>
    <w:rsid w:val="002F0D86"/>
    <w:rsid w:val="002F0DB1"/>
    <w:rsid w:val="002F1DF4"/>
    <w:rsid w:val="002F2AD5"/>
    <w:rsid w:val="002F3E1A"/>
    <w:rsid w:val="002F425A"/>
    <w:rsid w:val="002F4AC3"/>
    <w:rsid w:val="002F68FB"/>
    <w:rsid w:val="002F722E"/>
    <w:rsid w:val="002F7270"/>
    <w:rsid w:val="00300593"/>
    <w:rsid w:val="00300A74"/>
    <w:rsid w:val="0030122D"/>
    <w:rsid w:val="003014D7"/>
    <w:rsid w:val="00301628"/>
    <w:rsid w:val="00301A5F"/>
    <w:rsid w:val="0030209F"/>
    <w:rsid w:val="0030230F"/>
    <w:rsid w:val="00302EB2"/>
    <w:rsid w:val="00303BB7"/>
    <w:rsid w:val="00304272"/>
    <w:rsid w:val="003054E1"/>
    <w:rsid w:val="00305C6C"/>
    <w:rsid w:val="00311218"/>
    <w:rsid w:val="00311F37"/>
    <w:rsid w:val="00312CC5"/>
    <w:rsid w:val="00312E64"/>
    <w:rsid w:val="0031419C"/>
    <w:rsid w:val="00314498"/>
    <w:rsid w:val="00316420"/>
    <w:rsid w:val="00317FD4"/>
    <w:rsid w:val="0032060F"/>
    <w:rsid w:val="00320CAD"/>
    <w:rsid w:val="00321C29"/>
    <w:rsid w:val="00322D38"/>
    <w:rsid w:val="0032750A"/>
    <w:rsid w:val="00327936"/>
    <w:rsid w:val="00327FE2"/>
    <w:rsid w:val="00330B51"/>
    <w:rsid w:val="00330E3E"/>
    <w:rsid w:val="00332597"/>
    <w:rsid w:val="0033537C"/>
    <w:rsid w:val="00335A38"/>
    <w:rsid w:val="00336148"/>
    <w:rsid w:val="003361E3"/>
    <w:rsid w:val="003402FA"/>
    <w:rsid w:val="00340811"/>
    <w:rsid w:val="00340DE3"/>
    <w:rsid w:val="00343BEF"/>
    <w:rsid w:val="0034577B"/>
    <w:rsid w:val="003465C5"/>
    <w:rsid w:val="00346CAC"/>
    <w:rsid w:val="003479C0"/>
    <w:rsid w:val="00347B47"/>
    <w:rsid w:val="00351444"/>
    <w:rsid w:val="003519AD"/>
    <w:rsid w:val="00351F65"/>
    <w:rsid w:val="00353C78"/>
    <w:rsid w:val="00353CD8"/>
    <w:rsid w:val="003541F4"/>
    <w:rsid w:val="0035502C"/>
    <w:rsid w:val="0035503E"/>
    <w:rsid w:val="00355352"/>
    <w:rsid w:val="003554B0"/>
    <w:rsid w:val="00355834"/>
    <w:rsid w:val="00355E82"/>
    <w:rsid w:val="00357438"/>
    <w:rsid w:val="00360496"/>
    <w:rsid w:val="00362134"/>
    <w:rsid w:val="00364800"/>
    <w:rsid w:val="00364D04"/>
    <w:rsid w:val="00365CB8"/>
    <w:rsid w:val="003755E5"/>
    <w:rsid w:val="0038153A"/>
    <w:rsid w:val="00382F45"/>
    <w:rsid w:val="00384DB1"/>
    <w:rsid w:val="0038521D"/>
    <w:rsid w:val="003863D7"/>
    <w:rsid w:val="0038675F"/>
    <w:rsid w:val="00387D79"/>
    <w:rsid w:val="00387F7E"/>
    <w:rsid w:val="0039169A"/>
    <w:rsid w:val="00391772"/>
    <w:rsid w:val="003920C9"/>
    <w:rsid w:val="0039254E"/>
    <w:rsid w:val="00392759"/>
    <w:rsid w:val="00392EEE"/>
    <w:rsid w:val="003931DA"/>
    <w:rsid w:val="00394692"/>
    <w:rsid w:val="00395D22"/>
    <w:rsid w:val="00396D2B"/>
    <w:rsid w:val="003972C2"/>
    <w:rsid w:val="003979EA"/>
    <w:rsid w:val="003A12F1"/>
    <w:rsid w:val="003A1AE5"/>
    <w:rsid w:val="003A249A"/>
    <w:rsid w:val="003A4A34"/>
    <w:rsid w:val="003A5C59"/>
    <w:rsid w:val="003A5DFD"/>
    <w:rsid w:val="003A668E"/>
    <w:rsid w:val="003B04FB"/>
    <w:rsid w:val="003B23BD"/>
    <w:rsid w:val="003B26E1"/>
    <w:rsid w:val="003B2CC0"/>
    <w:rsid w:val="003B59AF"/>
    <w:rsid w:val="003B5B28"/>
    <w:rsid w:val="003B6EF1"/>
    <w:rsid w:val="003C046F"/>
    <w:rsid w:val="003C0E78"/>
    <w:rsid w:val="003C1081"/>
    <w:rsid w:val="003C181B"/>
    <w:rsid w:val="003C467D"/>
    <w:rsid w:val="003C4707"/>
    <w:rsid w:val="003C4AC4"/>
    <w:rsid w:val="003C4F7D"/>
    <w:rsid w:val="003C5942"/>
    <w:rsid w:val="003C5EE6"/>
    <w:rsid w:val="003C67EE"/>
    <w:rsid w:val="003C73CE"/>
    <w:rsid w:val="003D0783"/>
    <w:rsid w:val="003D0993"/>
    <w:rsid w:val="003D0BAF"/>
    <w:rsid w:val="003D0F64"/>
    <w:rsid w:val="003D143E"/>
    <w:rsid w:val="003D15A7"/>
    <w:rsid w:val="003D1F64"/>
    <w:rsid w:val="003D26D9"/>
    <w:rsid w:val="003D2769"/>
    <w:rsid w:val="003D35EE"/>
    <w:rsid w:val="003D4B05"/>
    <w:rsid w:val="003D564F"/>
    <w:rsid w:val="003D5827"/>
    <w:rsid w:val="003D5EAD"/>
    <w:rsid w:val="003D6C5A"/>
    <w:rsid w:val="003E1D6A"/>
    <w:rsid w:val="003E20A2"/>
    <w:rsid w:val="003E23A7"/>
    <w:rsid w:val="003E284F"/>
    <w:rsid w:val="003E3066"/>
    <w:rsid w:val="003E3733"/>
    <w:rsid w:val="003E436C"/>
    <w:rsid w:val="003E4BE6"/>
    <w:rsid w:val="003E73B0"/>
    <w:rsid w:val="003F01F1"/>
    <w:rsid w:val="003F4216"/>
    <w:rsid w:val="003F5F4B"/>
    <w:rsid w:val="003F69B4"/>
    <w:rsid w:val="003F6CD5"/>
    <w:rsid w:val="004009CC"/>
    <w:rsid w:val="00401AB4"/>
    <w:rsid w:val="00403C53"/>
    <w:rsid w:val="004054A8"/>
    <w:rsid w:val="00407079"/>
    <w:rsid w:val="00411528"/>
    <w:rsid w:val="004118C6"/>
    <w:rsid w:val="00412388"/>
    <w:rsid w:val="0041285A"/>
    <w:rsid w:val="00412E54"/>
    <w:rsid w:val="00412E82"/>
    <w:rsid w:val="00413723"/>
    <w:rsid w:val="004142E9"/>
    <w:rsid w:val="00414ED3"/>
    <w:rsid w:val="00415317"/>
    <w:rsid w:val="004160C4"/>
    <w:rsid w:val="004162CF"/>
    <w:rsid w:val="0041646D"/>
    <w:rsid w:val="00416604"/>
    <w:rsid w:val="00416A0A"/>
    <w:rsid w:val="00417BA8"/>
    <w:rsid w:val="0042095C"/>
    <w:rsid w:val="00420DFE"/>
    <w:rsid w:val="00420EAC"/>
    <w:rsid w:val="00420FA6"/>
    <w:rsid w:val="00422355"/>
    <w:rsid w:val="0042258D"/>
    <w:rsid w:val="004236F2"/>
    <w:rsid w:val="00423F82"/>
    <w:rsid w:val="00425340"/>
    <w:rsid w:val="0042628C"/>
    <w:rsid w:val="00427CED"/>
    <w:rsid w:val="0043098A"/>
    <w:rsid w:val="004311D7"/>
    <w:rsid w:val="00431481"/>
    <w:rsid w:val="0043150F"/>
    <w:rsid w:val="00432255"/>
    <w:rsid w:val="0043228A"/>
    <w:rsid w:val="00432515"/>
    <w:rsid w:val="00434A3B"/>
    <w:rsid w:val="0043618D"/>
    <w:rsid w:val="0043626B"/>
    <w:rsid w:val="004362D0"/>
    <w:rsid w:val="0043633A"/>
    <w:rsid w:val="00436770"/>
    <w:rsid w:val="00436D01"/>
    <w:rsid w:val="00436EAC"/>
    <w:rsid w:val="00437D15"/>
    <w:rsid w:val="00440680"/>
    <w:rsid w:val="00441104"/>
    <w:rsid w:val="00442D28"/>
    <w:rsid w:val="00443459"/>
    <w:rsid w:val="0044413A"/>
    <w:rsid w:val="00444234"/>
    <w:rsid w:val="004457BA"/>
    <w:rsid w:val="00446382"/>
    <w:rsid w:val="00446489"/>
    <w:rsid w:val="004479F0"/>
    <w:rsid w:val="00451DF2"/>
    <w:rsid w:val="004523AA"/>
    <w:rsid w:val="004529FE"/>
    <w:rsid w:val="0045357A"/>
    <w:rsid w:val="0045688D"/>
    <w:rsid w:val="0045790F"/>
    <w:rsid w:val="00462C22"/>
    <w:rsid w:val="00463008"/>
    <w:rsid w:val="004634EB"/>
    <w:rsid w:val="00464FAB"/>
    <w:rsid w:val="00465266"/>
    <w:rsid w:val="00465818"/>
    <w:rsid w:val="00466F1D"/>
    <w:rsid w:val="0046732A"/>
    <w:rsid w:val="00470C36"/>
    <w:rsid w:val="00470FEF"/>
    <w:rsid w:val="00472460"/>
    <w:rsid w:val="00472FC8"/>
    <w:rsid w:val="004731E8"/>
    <w:rsid w:val="00473A7A"/>
    <w:rsid w:val="00473DE1"/>
    <w:rsid w:val="00475241"/>
    <w:rsid w:val="00476C4D"/>
    <w:rsid w:val="0048217C"/>
    <w:rsid w:val="00482304"/>
    <w:rsid w:val="00483DA6"/>
    <w:rsid w:val="00484543"/>
    <w:rsid w:val="004845E9"/>
    <w:rsid w:val="004846C9"/>
    <w:rsid w:val="00484A26"/>
    <w:rsid w:val="004868C0"/>
    <w:rsid w:val="00486D9A"/>
    <w:rsid w:val="004876D6"/>
    <w:rsid w:val="00487DDF"/>
    <w:rsid w:val="004912F1"/>
    <w:rsid w:val="004923C8"/>
    <w:rsid w:val="00494C6E"/>
    <w:rsid w:val="0049630A"/>
    <w:rsid w:val="00496554"/>
    <w:rsid w:val="004965D7"/>
    <w:rsid w:val="00497F00"/>
    <w:rsid w:val="004A0BAB"/>
    <w:rsid w:val="004A319B"/>
    <w:rsid w:val="004A3B91"/>
    <w:rsid w:val="004A47B0"/>
    <w:rsid w:val="004A48E5"/>
    <w:rsid w:val="004A6988"/>
    <w:rsid w:val="004B1450"/>
    <w:rsid w:val="004B2261"/>
    <w:rsid w:val="004B415B"/>
    <w:rsid w:val="004B5D34"/>
    <w:rsid w:val="004B679A"/>
    <w:rsid w:val="004B7991"/>
    <w:rsid w:val="004C1BC8"/>
    <w:rsid w:val="004C2F06"/>
    <w:rsid w:val="004C3C1E"/>
    <w:rsid w:val="004C3E01"/>
    <w:rsid w:val="004C411E"/>
    <w:rsid w:val="004C4780"/>
    <w:rsid w:val="004C56EB"/>
    <w:rsid w:val="004C679B"/>
    <w:rsid w:val="004C6F2F"/>
    <w:rsid w:val="004D0171"/>
    <w:rsid w:val="004D0ED8"/>
    <w:rsid w:val="004D1CCB"/>
    <w:rsid w:val="004D1DAC"/>
    <w:rsid w:val="004D262A"/>
    <w:rsid w:val="004D31F0"/>
    <w:rsid w:val="004D3960"/>
    <w:rsid w:val="004D6C32"/>
    <w:rsid w:val="004E02F7"/>
    <w:rsid w:val="004E073D"/>
    <w:rsid w:val="004E157B"/>
    <w:rsid w:val="004E1BDC"/>
    <w:rsid w:val="004E2868"/>
    <w:rsid w:val="004E6018"/>
    <w:rsid w:val="004F0FEC"/>
    <w:rsid w:val="004F23CB"/>
    <w:rsid w:val="004F2B14"/>
    <w:rsid w:val="004F2FE3"/>
    <w:rsid w:val="004F3761"/>
    <w:rsid w:val="004F3E47"/>
    <w:rsid w:val="004F510B"/>
    <w:rsid w:val="004F745C"/>
    <w:rsid w:val="005005FD"/>
    <w:rsid w:val="00503EB1"/>
    <w:rsid w:val="00505EED"/>
    <w:rsid w:val="00505FB0"/>
    <w:rsid w:val="005068EC"/>
    <w:rsid w:val="00507B49"/>
    <w:rsid w:val="0051090B"/>
    <w:rsid w:val="0052055F"/>
    <w:rsid w:val="00521443"/>
    <w:rsid w:val="00521690"/>
    <w:rsid w:val="00522A27"/>
    <w:rsid w:val="005232F9"/>
    <w:rsid w:val="0052685A"/>
    <w:rsid w:val="00527153"/>
    <w:rsid w:val="00527618"/>
    <w:rsid w:val="00527A0B"/>
    <w:rsid w:val="00527BCA"/>
    <w:rsid w:val="00527C26"/>
    <w:rsid w:val="00527C7C"/>
    <w:rsid w:val="00530E9A"/>
    <w:rsid w:val="00530F5D"/>
    <w:rsid w:val="00531EA8"/>
    <w:rsid w:val="00533FA9"/>
    <w:rsid w:val="005350C4"/>
    <w:rsid w:val="00535177"/>
    <w:rsid w:val="005359F8"/>
    <w:rsid w:val="0053614A"/>
    <w:rsid w:val="0053676B"/>
    <w:rsid w:val="00536A88"/>
    <w:rsid w:val="00536DBE"/>
    <w:rsid w:val="00537368"/>
    <w:rsid w:val="0054060B"/>
    <w:rsid w:val="00540DCC"/>
    <w:rsid w:val="0054352D"/>
    <w:rsid w:val="005445E7"/>
    <w:rsid w:val="005446D6"/>
    <w:rsid w:val="00544C65"/>
    <w:rsid w:val="00547111"/>
    <w:rsid w:val="00547B32"/>
    <w:rsid w:val="0055109D"/>
    <w:rsid w:val="0055256E"/>
    <w:rsid w:val="00552E42"/>
    <w:rsid w:val="005530CB"/>
    <w:rsid w:val="00553CC6"/>
    <w:rsid w:val="00553F8B"/>
    <w:rsid w:val="00554729"/>
    <w:rsid w:val="00554D74"/>
    <w:rsid w:val="00555460"/>
    <w:rsid w:val="005565EE"/>
    <w:rsid w:val="00560270"/>
    <w:rsid w:val="00560B3D"/>
    <w:rsid w:val="0056457D"/>
    <w:rsid w:val="00564645"/>
    <w:rsid w:val="00564B1E"/>
    <w:rsid w:val="0056501C"/>
    <w:rsid w:val="005665D4"/>
    <w:rsid w:val="005707C7"/>
    <w:rsid w:val="00570E83"/>
    <w:rsid w:val="005733D2"/>
    <w:rsid w:val="005738EE"/>
    <w:rsid w:val="00573E6A"/>
    <w:rsid w:val="0057428A"/>
    <w:rsid w:val="00574DF0"/>
    <w:rsid w:val="005759BC"/>
    <w:rsid w:val="00575A96"/>
    <w:rsid w:val="00575F42"/>
    <w:rsid w:val="00576095"/>
    <w:rsid w:val="005771E7"/>
    <w:rsid w:val="0058283A"/>
    <w:rsid w:val="00583058"/>
    <w:rsid w:val="00583EB8"/>
    <w:rsid w:val="0058423A"/>
    <w:rsid w:val="005848C0"/>
    <w:rsid w:val="00585A0D"/>
    <w:rsid w:val="00585E63"/>
    <w:rsid w:val="00587087"/>
    <w:rsid w:val="0059386F"/>
    <w:rsid w:val="00594C41"/>
    <w:rsid w:val="00597B22"/>
    <w:rsid w:val="005A0BAA"/>
    <w:rsid w:val="005A117F"/>
    <w:rsid w:val="005A285E"/>
    <w:rsid w:val="005A36B9"/>
    <w:rsid w:val="005A5C90"/>
    <w:rsid w:val="005A6C8C"/>
    <w:rsid w:val="005B02A7"/>
    <w:rsid w:val="005B0EC2"/>
    <w:rsid w:val="005B30C3"/>
    <w:rsid w:val="005B3430"/>
    <w:rsid w:val="005B3B1F"/>
    <w:rsid w:val="005B4CBF"/>
    <w:rsid w:val="005B55C8"/>
    <w:rsid w:val="005B6F7E"/>
    <w:rsid w:val="005B72C4"/>
    <w:rsid w:val="005C088F"/>
    <w:rsid w:val="005C2FAC"/>
    <w:rsid w:val="005C4C9E"/>
    <w:rsid w:val="005C7A03"/>
    <w:rsid w:val="005D037F"/>
    <w:rsid w:val="005D068F"/>
    <w:rsid w:val="005D0C3B"/>
    <w:rsid w:val="005D28F1"/>
    <w:rsid w:val="005D2DAF"/>
    <w:rsid w:val="005D4294"/>
    <w:rsid w:val="005D6F64"/>
    <w:rsid w:val="005D75A1"/>
    <w:rsid w:val="005E12E0"/>
    <w:rsid w:val="005E3142"/>
    <w:rsid w:val="005E3472"/>
    <w:rsid w:val="005E5A1A"/>
    <w:rsid w:val="005E6252"/>
    <w:rsid w:val="005E66FB"/>
    <w:rsid w:val="005E6DD1"/>
    <w:rsid w:val="005E7F42"/>
    <w:rsid w:val="005E7FA5"/>
    <w:rsid w:val="005F1598"/>
    <w:rsid w:val="005F2FA8"/>
    <w:rsid w:val="005F3A68"/>
    <w:rsid w:val="005F483C"/>
    <w:rsid w:val="005F6EBA"/>
    <w:rsid w:val="005F7179"/>
    <w:rsid w:val="00600B1C"/>
    <w:rsid w:val="00601786"/>
    <w:rsid w:val="00602096"/>
    <w:rsid w:val="00603282"/>
    <w:rsid w:val="00604B70"/>
    <w:rsid w:val="00605449"/>
    <w:rsid w:val="006055D0"/>
    <w:rsid w:val="00607539"/>
    <w:rsid w:val="00607715"/>
    <w:rsid w:val="00607869"/>
    <w:rsid w:val="00610080"/>
    <w:rsid w:val="00611395"/>
    <w:rsid w:val="006134DC"/>
    <w:rsid w:val="00614B05"/>
    <w:rsid w:val="00614FB8"/>
    <w:rsid w:val="00621242"/>
    <w:rsid w:val="006216B7"/>
    <w:rsid w:val="006217A8"/>
    <w:rsid w:val="0062269B"/>
    <w:rsid w:val="0062483E"/>
    <w:rsid w:val="00631DA6"/>
    <w:rsid w:val="006355ED"/>
    <w:rsid w:val="006400D7"/>
    <w:rsid w:val="00643F08"/>
    <w:rsid w:val="0064423E"/>
    <w:rsid w:val="00644496"/>
    <w:rsid w:val="00645B4D"/>
    <w:rsid w:val="00645CA5"/>
    <w:rsid w:val="00647990"/>
    <w:rsid w:val="00647EC4"/>
    <w:rsid w:val="00652785"/>
    <w:rsid w:val="006530F2"/>
    <w:rsid w:val="00654461"/>
    <w:rsid w:val="0065456F"/>
    <w:rsid w:val="0065473D"/>
    <w:rsid w:val="00654ABE"/>
    <w:rsid w:val="00654DB1"/>
    <w:rsid w:val="00655CF4"/>
    <w:rsid w:val="00661E87"/>
    <w:rsid w:val="00662162"/>
    <w:rsid w:val="006650AC"/>
    <w:rsid w:val="006652A8"/>
    <w:rsid w:val="0066533B"/>
    <w:rsid w:val="00665BE6"/>
    <w:rsid w:val="00665E7E"/>
    <w:rsid w:val="00666396"/>
    <w:rsid w:val="0066640B"/>
    <w:rsid w:val="00667F2E"/>
    <w:rsid w:val="006728B4"/>
    <w:rsid w:val="00673D69"/>
    <w:rsid w:val="00673E4B"/>
    <w:rsid w:val="00674119"/>
    <w:rsid w:val="00674CF0"/>
    <w:rsid w:val="00674F27"/>
    <w:rsid w:val="00676AAF"/>
    <w:rsid w:val="00676BCD"/>
    <w:rsid w:val="006772F9"/>
    <w:rsid w:val="006778A4"/>
    <w:rsid w:val="00677911"/>
    <w:rsid w:val="00680057"/>
    <w:rsid w:val="00681EEF"/>
    <w:rsid w:val="00683151"/>
    <w:rsid w:val="006849A5"/>
    <w:rsid w:val="00685034"/>
    <w:rsid w:val="00685B08"/>
    <w:rsid w:val="006872E1"/>
    <w:rsid w:val="00687A84"/>
    <w:rsid w:val="00687D01"/>
    <w:rsid w:val="006901A4"/>
    <w:rsid w:val="006910AF"/>
    <w:rsid w:val="00692290"/>
    <w:rsid w:val="00692E7B"/>
    <w:rsid w:val="00693136"/>
    <w:rsid w:val="00693967"/>
    <w:rsid w:val="00693B1F"/>
    <w:rsid w:val="00694862"/>
    <w:rsid w:val="006956AB"/>
    <w:rsid w:val="00695DE4"/>
    <w:rsid w:val="00695E41"/>
    <w:rsid w:val="006965C9"/>
    <w:rsid w:val="0069758D"/>
    <w:rsid w:val="00697BFD"/>
    <w:rsid w:val="006A2DE5"/>
    <w:rsid w:val="006A32DB"/>
    <w:rsid w:val="006A3ACF"/>
    <w:rsid w:val="006A4740"/>
    <w:rsid w:val="006A4E7A"/>
    <w:rsid w:val="006A6E14"/>
    <w:rsid w:val="006A79AB"/>
    <w:rsid w:val="006B2A81"/>
    <w:rsid w:val="006B53E2"/>
    <w:rsid w:val="006B637C"/>
    <w:rsid w:val="006B6B17"/>
    <w:rsid w:val="006B7C2C"/>
    <w:rsid w:val="006C08C9"/>
    <w:rsid w:val="006C1265"/>
    <w:rsid w:val="006C1599"/>
    <w:rsid w:val="006C237A"/>
    <w:rsid w:val="006C6C30"/>
    <w:rsid w:val="006C6C43"/>
    <w:rsid w:val="006C7530"/>
    <w:rsid w:val="006C7AAB"/>
    <w:rsid w:val="006D0127"/>
    <w:rsid w:val="006D0F58"/>
    <w:rsid w:val="006D1289"/>
    <w:rsid w:val="006D1DD3"/>
    <w:rsid w:val="006D3968"/>
    <w:rsid w:val="006D3A76"/>
    <w:rsid w:val="006D4D35"/>
    <w:rsid w:val="006D5621"/>
    <w:rsid w:val="006D61ED"/>
    <w:rsid w:val="006D7415"/>
    <w:rsid w:val="006D754B"/>
    <w:rsid w:val="006D7BF6"/>
    <w:rsid w:val="006E029B"/>
    <w:rsid w:val="006E0DA9"/>
    <w:rsid w:val="006E0F57"/>
    <w:rsid w:val="006E4F6D"/>
    <w:rsid w:val="006E5312"/>
    <w:rsid w:val="006E6B84"/>
    <w:rsid w:val="006E71B1"/>
    <w:rsid w:val="006F150A"/>
    <w:rsid w:val="006F171E"/>
    <w:rsid w:val="006F350A"/>
    <w:rsid w:val="006F3B03"/>
    <w:rsid w:val="006F52E5"/>
    <w:rsid w:val="006F5CDB"/>
    <w:rsid w:val="007018BD"/>
    <w:rsid w:val="007018D7"/>
    <w:rsid w:val="00702D38"/>
    <w:rsid w:val="00703510"/>
    <w:rsid w:val="007046A6"/>
    <w:rsid w:val="00704720"/>
    <w:rsid w:val="00704AD1"/>
    <w:rsid w:val="00704C3D"/>
    <w:rsid w:val="00704CA8"/>
    <w:rsid w:val="00705B95"/>
    <w:rsid w:val="00706DFB"/>
    <w:rsid w:val="00707566"/>
    <w:rsid w:val="007100A4"/>
    <w:rsid w:val="00711153"/>
    <w:rsid w:val="00712317"/>
    <w:rsid w:val="00712D5E"/>
    <w:rsid w:val="007134B4"/>
    <w:rsid w:val="0071500E"/>
    <w:rsid w:val="00720639"/>
    <w:rsid w:val="00722924"/>
    <w:rsid w:val="007230F0"/>
    <w:rsid w:val="0072483F"/>
    <w:rsid w:val="007266A2"/>
    <w:rsid w:val="00727368"/>
    <w:rsid w:val="0072776E"/>
    <w:rsid w:val="00730A03"/>
    <w:rsid w:val="00730B36"/>
    <w:rsid w:val="00730E56"/>
    <w:rsid w:val="00731459"/>
    <w:rsid w:val="0073200A"/>
    <w:rsid w:val="00733404"/>
    <w:rsid w:val="00733C85"/>
    <w:rsid w:val="00735814"/>
    <w:rsid w:val="00740C9E"/>
    <w:rsid w:val="00741D8F"/>
    <w:rsid w:val="00744A85"/>
    <w:rsid w:val="00745988"/>
    <w:rsid w:val="007503F4"/>
    <w:rsid w:val="00750FF5"/>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3B83"/>
    <w:rsid w:val="007747FB"/>
    <w:rsid w:val="00775EBB"/>
    <w:rsid w:val="007811F1"/>
    <w:rsid w:val="00781CF8"/>
    <w:rsid w:val="007830DA"/>
    <w:rsid w:val="00785870"/>
    <w:rsid w:val="00786106"/>
    <w:rsid w:val="007861BE"/>
    <w:rsid w:val="00787AF2"/>
    <w:rsid w:val="00790D31"/>
    <w:rsid w:val="00791FA0"/>
    <w:rsid w:val="00794067"/>
    <w:rsid w:val="00795154"/>
    <w:rsid w:val="0079620D"/>
    <w:rsid w:val="00796C00"/>
    <w:rsid w:val="007A0D5F"/>
    <w:rsid w:val="007A1938"/>
    <w:rsid w:val="007A1CCA"/>
    <w:rsid w:val="007A5C83"/>
    <w:rsid w:val="007B0493"/>
    <w:rsid w:val="007B04AC"/>
    <w:rsid w:val="007B0FC0"/>
    <w:rsid w:val="007B1212"/>
    <w:rsid w:val="007B47DB"/>
    <w:rsid w:val="007B72CA"/>
    <w:rsid w:val="007C2F91"/>
    <w:rsid w:val="007C53FF"/>
    <w:rsid w:val="007C5DC4"/>
    <w:rsid w:val="007C74D0"/>
    <w:rsid w:val="007D2224"/>
    <w:rsid w:val="007D51F9"/>
    <w:rsid w:val="007E1FFE"/>
    <w:rsid w:val="007E3B66"/>
    <w:rsid w:val="007E3EAE"/>
    <w:rsid w:val="007E4D54"/>
    <w:rsid w:val="007E5554"/>
    <w:rsid w:val="007E59D5"/>
    <w:rsid w:val="007E5B87"/>
    <w:rsid w:val="007E62C1"/>
    <w:rsid w:val="007E7F7A"/>
    <w:rsid w:val="007F0C50"/>
    <w:rsid w:val="007F1CD6"/>
    <w:rsid w:val="007F1DE6"/>
    <w:rsid w:val="007F45DD"/>
    <w:rsid w:val="00800148"/>
    <w:rsid w:val="008005AD"/>
    <w:rsid w:val="0080069A"/>
    <w:rsid w:val="008021C8"/>
    <w:rsid w:val="0080238B"/>
    <w:rsid w:val="008031F3"/>
    <w:rsid w:val="008044EB"/>
    <w:rsid w:val="00804512"/>
    <w:rsid w:val="0080532B"/>
    <w:rsid w:val="00812254"/>
    <w:rsid w:val="00812CEB"/>
    <w:rsid w:val="0081387F"/>
    <w:rsid w:val="00813A66"/>
    <w:rsid w:val="008148A7"/>
    <w:rsid w:val="008215E5"/>
    <w:rsid w:val="0082166E"/>
    <w:rsid w:val="00823980"/>
    <w:rsid w:val="008239F9"/>
    <w:rsid w:val="0082409E"/>
    <w:rsid w:val="0082435A"/>
    <w:rsid w:val="00825A2C"/>
    <w:rsid w:val="00825F81"/>
    <w:rsid w:val="00826C46"/>
    <w:rsid w:val="008307E0"/>
    <w:rsid w:val="008313AA"/>
    <w:rsid w:val="00831443"/>
    <w:rsid w:val="00831525"/>
    <w:rsid w:val="00831738"/>
    <w:rsid w:val="008326A3"/>
    <w:rsid w:val="0083316A"/>
    <w:rsid w:val="00833409"/>
    <w:rsid w:val="008346F9"/>
    <w:rsid w:val="00835E63"/>
    <w:rsid w:val="00836A0B"/>
    <w:rsid w:val="00837CEF"/>
    <w:rsid w:val="00840C2A"/>
    <w:rsid w:val="00841A2B"/>
    <w:rsid w:val="008435B7"/>
    <w:rsid w:val="00843B59"/>
    <w:rsid w:val="00845258"/>
    <w:rsid w:val="008452A0"/>
    <w:rsid w:val="008454D9"/>
    <w:rsid w:val="00845C97"/>
    <w:rsid w:val="00846462"/>
    <w:rsid w:val="0084765B"/>
    <w:rsid w:val="00847FAA"/>
    <w:rsid w:val="008509E9"/>
    <w:rsid w:val="008534C7"/>
    <w:rsid w:val="008550A3"/>
    <w:rsid w:val="008564BF"/>
    <w:rsid w:val="00856538"/>
    <w:rsid w:val="00856F48"/>
    <w:rsid w:val="0085723B"/>
    <w:rsid w:val="0085777B"/>
    <w:rsid w:val="00857EC0"/>
    <w:rsid w:val="008614D7"/>
    <w:rsid w:val="00862517"/>
    <w:rsid w:val="008637F1"/>
    <w:rsid w:val="008638F5"/>
    <w:rsid w:val="00863B06"/>
    <w:rsid w:val="00864323"/>
    <w:rsid w:val="00864D92"/>
    <w:rsid w:val="00865794"/>
    <w:rsid w:val="00865DCD"/>
    <w:rsid w:val="0086647F"/>
    <w:rsid w:val="00866672"/>
    <w:rsid w:val="0087148A"/>
    <w:rsid w:val="00871C0A"/>
    <w:rsid w:val="00873BC0"/>
    <w:rsid w:val="008744FD"/>
    <w:rsid w:val="008747A2"/>
    <w:rsid w:val="00874BD0"/>
    <w:rsid w:val="008752D1"/>
    <w:rsid w:val="00875AA9"/>
    <w:rsid w:val="00877216"/>
    <w:rsid w:val="00877265"/>
    <w:rsid w:val="008806B8"/>
    <w:rsid w:val="00880E26"/>
    <w:rsid w:val="0088117D"/>
    <w:rsid w:val="00884133"/>
    <w:rsid w:val="00885CD4"/>
    <w:rsid w:val="008903A6"/>
    <w:rsid w:val="0089109D"/>
    <w:rsid w:val="00891137"/>
    <w:rsid w:val="00891BB6"/>
    <w:rsid w:val="00892585"/>
    <w:rsid w:val="00892F11"/>
    <w:rsid w:val="0089345A"/>
    <w:rsid w:val="00893AB7"/>
    <w:rsid w:val="00894A46"/>
    <w:rsid w:val="00897217"/>
    <w:rsid w:val="008A13A5"/>
    <w:rsid w:val="008A1964"/>
    <w:rsid w:val="008A1D50"/>
    <w:rsid w:val="008A1EC9"/>
    <w:rsid w:val="008A20D8"/>
    <w:rsid w:val="008A25C3"/>
    <w:rsid w:val="008A3213"/>
    <w:rsid w:val="008A49D0"/>
    <w:rsid w:val="008A4F38"/>
    <w:rsid w:val="008A54FE"/>
    <w:rsid w:val="008A5A74"/>
    <w:rsid w:val="008A692E"/>
    <w:rsid w:val="008A7967"/>
    <w:rsid w:val="008A7F4E"/>
    <w:rsid w:val="008B053C"/>
    <w:rsid w:val="008B0BCB"/>
    <w:rsid w:val="008B372F"/>
    <w:rsid w:val="008B375D"/>
    <w:rsid w:val="008B3CD5"/>
    <w:rsid w:val="008B45BF"/>
    <w:rsid w:val="008B4B7B"/>
    <w:rsid w:val="008B4ED3"/>
    <w:rsid w:val="008B573F"/>
    <w:rsid w:val="008B5806"/>
    <w:rsid w:val="008B61DA"/>
    <w:rsid w:val="008B78A0"/>
    <w:rsid w:val="008B7D38"/>
    <w:rsid w:val="008C068F"/>
    <w:rsid w:val="008C1012"/>
    <w:rsid w:val="008C1F4E"/>
    <w:rsid w:val="008C2357"/>
    <w:rsid w:val="008C34F1"/>
    <w:rsid w:val="008C396D"/>
    <w:rsid w:val="008C4C94"/>
    <w:rsid w:val="008C5653"/>
    <w:rsid w:val="008C6A21"/>
    <w:rsid w:val="008C7E7D"/>
    <w:rsid w:val="008D1B40"/>
    <w:rsid w:val="008D3CD4"/>
    <w:rsid w:val="008D46BB"/>
    <w:rsid w:val="008D4791"/>
    <w:rsid w:val="008D50EE"/>
    <w:rsid w:val="008D563A"/>
    <w:rsid w:val="008D5DE3"/>
    <w:rsid w:val="008D5E10"/>
    <w:rsid w:val="008D5F41"/>
    <w:rsid w:val="008D6CA1"/>
    <w:rsid w:val="008D6D96"/>
    <w:rsid w:val="008E240A"/>
    <w:rsid w:val="008E2A9B"/>
    <w:rsid w:val="008E3A4B"/>
    <w:rsid w:val="008E4202"/>
    <w:rsid w:val="008E5D94"/>
    <w:rsid w:val="008F13A4"/>
    <w:rsid w:val="008F1662"/>
    <w:rsid w:val="008F1F88"/>
    <w:rsid w:val="008F2E31"/>
    <w:rsid w:val="008F33C4"/>
    <w:rsid w:val="008F37F4"/>
    <w:rsid w:val="008F5148"/>
    <w:rsid w:val="008F5347"/>
    <w:rsid w:val="008F7CB4"/>
    <w:rsid w:val="009019B2"/>
    <w:rsid w:val="009021C6"/>
    <w:rsid w:val="00902598"/>
    <w:rsid w:val="00903E1D"/>
    <w:rsid w:val="00904B01"/>
    <w:rsid w:val="0090667B"/>
    <w:rsid w:val="00906714"/>
    <w:rsid w:val="009073EC"/>
    <w:rsid w:val="00912AB2"/>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06D6"/>
    <w:rsid w:val="009313B1"/>
    <w:rsid w:val="00931A19"/>
    <w:rsid w:val="00933B9C"/>
    <w:rsid w:val="009347AB"/>
    <w:rsid w:val="00934EFC"/>
    <w:rsid w:val="00935CD1"/>
    <w:rsid w:val="00937BB3"/>
    <w:rsid w:val="00937FDD"/>
    <w:rsid w:val="0094041B"/>
    <w:rsid w:val="009404ED"/>
    <w:rsid w:val="00940A82"/>
    <w:rsid w:val="00940EFA"/>
    <w:rsid w:val="00941274"/>
    <w:rsid w:val="00941285"/>
    <w:rsid w:val="00941BD6"/>
    <w:rsid w:val="00942561"/>
    <w:rsid w:val="00942BFD"/>
    <w:rsid w:val="00944A6B"/>
    <w:rsid w:val="00944E15"/>
    <w:rsid w:val="00945108"/>
    <w:rsid w:val="00945F56"/>
    <w:rsid w:val="0094613C"/>
    <w:rsid w:val="0094767D"/>
    <w:rsid w:val="00950167"/>
    <w:rsid w:val="009507AA"/>
    <w:rsid w:val="009524EB"/>
    <w:rsid w:val="00952AB6"/>
    <w:rsid w:val="00954B24"/>
    <w:rsid w:val="00957A9B"/>
    <w:rsid w:val="009614EB"/>
    <w:rsid w:val="00962E2F"/>
    <w:rsid w:val="009645D8"/>
    <w:rsid w:val="00964C88"/>
    <w:rsid w:val="009655BC"/>
    <w:rsid w:val="00966BF2"/>
    <w:rsid w:val="00967D5F"/>
    <w:rsid w:val="00972829"/>
    <w:rsid w:val="0097283E"/>
    <w:rsid w:val="00974254"/>
    <w:rsid w:val="00975708"/>
    <w:rsid w:val="00975A69"/>
    <w:rsid w:val="0097707D"/>
    <w:rsid w:val="0097743C"/>
    <w:rsid w:val="00977BCC"/>
    <w:rsid w:val="00980091"/>
    <w:rsid w:val="00980556"/>
    <w:rsid w:val="009814A1"/>
    <w:rsid w:val="00981567"/>
    <w:rsid w:val="00981D0B"/>
    <w:rsid w:val="009827B5"/>
    <w:rsid w:val="0098314C"/>
    <w:rsid w:val="0098354B"/>
    <w:rsid w:val="009838A3"/>
    <w:rsid w:val="009847CF"/>
    <w:rsid w:val="00984BCB"/>
    <w:rsid w:val="00986803"/>
    <w:rsid w:val="009870C4"/>
    <w:rsid w:val="00990976"/>
    <w:rsid w:val="009909CC"/>
    <w:rsid w:val="00991224"/>
    <w:rsid w:val="0099250D"/>
    <w:rsid w:val="00992B44"/>
    <w:rsid w:val="00995815"/>
    <w:rsid w:val="00996068"/>
    <w:rsid w:val="00996518"/>
    <w:rsid w:val="00996F86"/>
    <w:rsid w:val="009A3736"/>
    <w:rsid w:val="009A4CE8"/>
    <w:rsid w:val="009A56E6"/>
    <w:rsid w:val="009A64A1"/>
    <w:rsid w:val="009A6BAB"/>
    <w:rsid w:val="009B14BF"/>
    <w:rsid w:val="009B1596"/>
    <w:rsid w:val="009B25E2"/>
    <w:rsid w:val="009B3132"/>
    <w:rsid w:val="009B4235"/>
    <w:rsid w:val="009B5DE0"/>
    <w:rsid w:val="009B6E14"/>
    <w:rsid w:val="009C23F9"/>
    <w:rsid w:val="009C30E6"/>
    <w:rsid w:val="009C4E10"/>
    <w:rsid w:val="009C55BD"/>
    <w:rsid w:val="009C67B5"/>
    <w:rsid w:val="009C72E3"/>
    <w:rsid w:val="009C75C9"/>
    <w:rsid w:val="009C7DE3"/>
    <w:rsid w:val="009D03F3"/>
    <w:rsid w:val="009D2143"/>
    <w:rsid w:val="009D2271"/>
    <w:rsid w:val="009D2BA7"/>
    <w:rsid w:val="009D3319"/>
    <w:rsid w:val="009D35BE"/>
    <w:rsid w:val="009D3D2C"/>
    <w:rsid w:val="009D42C5"/>
    <w:rsid w:val="009D4501"/>
    <w:rsid w:val="009D56E8"/>
    <w:rsid w:val="009D5849"/>
    <w:rsid w:val="009D5BD5"/>
    <w:rsid w:val="009D6F97"/>
    <w:rsid w:val="009D73BC"/>
    <w:rsid w:val="009D79CC"/>
    <w:rsid w:val="009D7A19"/>
    <w:rsid w:val="009E1052"/>
    <w:rsid w:val="009E1647"/>
    <w:rsid w:val="009E1B6B"/>
    <w:rsid w:val="009E5C6E"/>
    <w:rsid w:val="009E66CF"/>
    <w:rsid w:val="009E70D2"/>
    <w:rsid w:val="009E7E3D"/>
    <w:rsid w:val="009F001E"/>
    <w:rsid w:val="009F009F"/>
    <w:rsid w:val="009F050B"/>
    <w:rsid w:val="009F15E4"/>
    <w:rsid w:val="009F1F9C"/>
    <w:rsid w:val="009F28D8"/>
    <w:rsid w:val="009F3214"/>
    <w:rsid w:val="009F36CC"/>
    <w:rsid w:val="009F767D"/>
    <w:rsid w:val="009F7B45"/>
    <w:rsid w:val="00A01DE9"/>
    <w:rsid w:val="00A02428"/>
    <w:rsid w:val="00A02EEA"/>
    <w:rsid w:val="00A04E5F"/>
    <w:rsid w:val="00A0577B"/>
    <w:rsid w:val="00A071D4"/>
    <w:rsid w:val="00A07D2B"/>
    <w:rsid w:val="00A10ACB"/>
    <w:rsid w:val="00A11FAB"/>
    <w:rsid w:val="00A142A1"/>
    <w:rsid w:val="00A15371"/>
    <w:rsid w:val="00A16D3C"/>
    <w:rsid w:val="00A17FDF"/>
    <w:rsid w:val="00A20662"/>
    <w:rsid w:val="00A20C41"/>
    <w:rsid w:val="00A23C36"/>
    <w:rsid w:val="00A23E5D"/>
    <w:rsid w:val="00A26110"/>
    <w:rsid w:val="00A27694"/>
    <w:rsid w:val="00A27C47"/>
    <w:rsid w:val="00A30183"/>
    <w:rsid w:val="00A32D00"/>
    <w:rsid w:val="00A33404"/>
    <w:rsid w:val="00A344C7"/>
    <w:rsid w:val="00A3524F"/>
    <w:rsid w:val="00A354C1"/>
    <w:rsid w:val="00A35BB4"/>
    <w:rsid w:val="00A379DD"/>
    <w:rsid w:val="00A37F0A"/>
    <w:rsid w:val="00A40DBC"/>
    <w:rsid w:val="00A41ED1"/>
    <w:rsid w:val="00A43FCF"/>
    <w:rsid w:val="00A44113"/>
    <w:rsid w:val="00A44F9A"/>
    <w:rsid w:val="00A451CB"/>
    <w:rsid w:val="00A46268"/>
    <w:rsid w:val="00A46BDD"/>
    <w:rsid w:val="00A50230"/>
    <w:rsid w:val="00A510BA"/>
    <w:rsid w:val="00A51B68"/>
    <w:rsid w:val="00A53AA9"/>
    <w:rsid w:val="00A547EA"/>
    <w:rsid w:val="00A54D7A"/>
    <w:rsid w:val="00A551D2"/>
    <w:rsid w:val="00A56102"/>
    <w:rsid w:val="00A573E8"/>
    <w:rsid w:val="00A5773E"/>
    <w:rsid w:val="00A610B3"/>
    <w:rsid w:val="00A61486"/>
    <w:rsid w:val="00A621D9"/>
    <w:rsid w:val="00A62448"/>
    <w:rsid w:val="00A6292D"/>
    <w:rsid w:val="00A63C0F"/>
    <w:rsid w:val="00A65E0D"/>
    <w:rsid w:val="00A66306"/>
    <w:rsid w:val="00A66512"/>
    <w:rsid w:val="00A6695F"/>
    <w:rsid w:val="00A66C89"/>
    <w:rsid w:val="00A719A1"/>
    <w:rsid w:val="00A72EEF"/>
    <w:rsid w:val="00A80129"/>
    <w:rsid w:val="00A81E7C"/>
    <w:rsid w:val="00A828D9"/>
    <w:rsid w:val="00A829C3"/>
    <w:rsid w:val="00A845B3"/>
    <w:rsid w:val="00A865A2"/>
    <w:rsid w:val="00A87BC0"/>
    <w:rsid w:val="00A91E0F"/>
    <w:rsid w:val="00A936DB"/>
    <w:rsid w:val="00A972D8"/>
    <w:rsid w:val="00A974CE"/>
    <w:rsid w:val="00AA1BDA"/>
    <w:rsid w:val="00AA3EEC"/>
    <w:rsid w:val="00AA469F"/>
    <w:rsid w:val="00AA4DAE"/>
    <w:rsid w:val="00AA5FB2"/>
    <w:rsid w:val="00AA625A"/>
    <w:rsid w:val="00AA6392"/>
    <w:rsid w:val="00AB1195"/>
    <w:rsid w:val="00AB13AF"/>
    <w:rsid w:val="00AB1CFA"/>
    <w:rsid w:val="00AB2320"/>
    <w:rsid w:val="00AB2B21"/>
    <w:rsid w:val="00AB7183"/>
    <w:rsid w:val="00AB71BC"/>
    <w:rsid w:val="00AC1EA9"/>
    <w:rsid w:val="00AC2F05"/>
    <w:rsid w:val="00AC3619"/>
    <w:rsid w:val="00AC3832"/>
    <w:rsid w:val="00AC4DC8"/>
    <w:rsid w:val="00AC6C74"/>
    <w:rsid w:val="00AD03ED"/>
    <w:rsid w:val="00AD0D05"/>
    <w:rsid w:val="00AD3135"/>
    <w:rsid w:val="00AD3407"/>
    <w:rsid w:val="00AD34E9"/>
    <w:rsid w:val="00AD4B18"/>
    <w:rsid w:val="00AD512F"/>
    <w:rsid w:val="00AD5CA5"/>
    <w:rsid w:val="00AE0071"/>
    <w:rsid w:val="00AE206C"/>
    <w:rsid w:val="00AE78A7"/>
    <w:rsid w:val="00AF0AC3"/>
    <w:rsid w:val="00AF0F71"/>
    <w:rsid w:val="00AF17AC"/>
    <w:rsid w:val="00AF19E6"/>
    <w:rsid w:val="00AF2DEB"/>
    <w:rsid w:val="00AF2E9D"/>
    <w:rsid w:val="00AF30A6"/>
    <w:rsid w:val="00AF30C2"/>
    <w:rsid w:val="00AF34E0"/>
    <w:rsid w:val="00AF3751"/>
    <w:rsid w:val="00AF3A59"/>
    <w:rsid w:val="00AF461E"/>
    <w:rsid w:val="00AF5463"/>
    <w:rsid w:val="00AF6992"/>
    <w:rsid w:val="00AF6CC6"/>
    <w:rsid w:val="00AF707B"/>
    <w:rsid w:val="00B00D37"/>
    <w:rsid w:val="00B025DE"/>
    <w:rsid w:val="00B03300"/>
    <w:rsid w:val="00B049F1"/>
    <w:rsid w:val="00B04DAA"/>
    <w:rsid w:val="00B05018"/>
    <w:rsid w:val="00B0572E"/>
    <w:rsid w:val="00B0598F"/>
    <w:rsid w:val="00B06016"/>
    <w:rsid w:val="00B070B2"/>
    <w:rsid w:val="00B108AD"/>
    <w:rsid w:val="00B117D7"/>
    <w:rsid w:val="00B15D49"/>
    <w:rsid w:val="00B16C61"/>
    <w:rsid w:val="00B16E17"/>
    <w:rsid w:val="00B174FB"/>
    <w:rsid w:val="00B1778C"/>
    <w:rsid w:val="00B20954"/>
    <w:rsid w:val="00B20F37"/>
    <w:rsid w:val="00B21C19"/>
    <w:rsid w:val="00B21D16"/>
    <w:rsid w:val="00B23D46"/>
    <w:rsid w:val="00B24C44"/>
    <w:rsid w:val="00B25208"/>
    <w:rsid w:val="00B2792E"/>
    <w:rsid w:val="00B27C65"/>
    <w:rsid w:val="00B27F27"/>
    <w:rsid w:val="00B3035C"/>
    <w:rsid w:val="00B30903"/>
    <w:rsid w:val="00B3216F"/>
    <w:rsid w:val="00B321C4"/>
    <w:rsid w:val="00B32A4D"/>
    <w:rsid w:val="00B33A79"/>
    <w:rsid w:val="00B34245"/>
    <w:rsid w:val="00B34516"/>
    <w:rsid w:val="00B35669"/>
    <w:rsid w:val="00B357DA"/>
    <w:rsid w:val="00B375CB"/>
    <w:rsid w:val="00B37E21"/>
    <w:rsid w:val="00B44F8B"/>
    <w:rsid w:val="00B451A8"/>
    <w:rsid w:val="00B452A7"/>
    <w:rsid w:val="00B47069"/>
    <w:rsid w:val="00B4781C"/>
    <w:rsid w:val="00B50CBB"/>
    <w:rsid w:val="00B51DB4"/>
    <w:rsid w:val="00B52424"/>
    <w:rsid w:val="00B5290B"/>
    <w:rsid w:val="00B53A4D"/>
    <w:rsid w:val="00B54568"/>
    <w:rsid w:val="00B553EC"/>
    <w:rsid w:val="00B5567F"/>
    <w:rsid w:val="00B56646"/>
    <w:rsid w:val="00B5781A"/>
    <w:rsid w:val="00B579F3"/>
    <w:rsid w:val="00B57EE8"/>
    <w:rsid w:val="00B635BF"/>
    <w:rsid w:val="00B63955"/>
    <w:rsid w:val="00B63A44"/>
    <w:rsid w:val="00B64464"/>
    <w:rsid w:val="00B6728A"/>
    <w:rsid w:val="00B71D81"/>
    <w:rsid w:val="00B74387"/>
    <w:rsid w:val="00B749DA"/>
    <w:rsid w:val="00B754BF"/>
    <w:rsid w:val="00B75C9E"/>
    <w:rsid w:val="00B7705C"/>
    <w:rsid w:val="00B80A39"/>
    <w:rsid w:val="00B80ADB"/>
    <w:rsid w:val="00B812BD"/>
    <w:rsid w:val="00B822F9"/>
    <w:rsid w:val="00B82CFB"/>
    <w:rsid w:val="00B831EB"/>
    <w:rsid w:val="00B83DC4"/>
    <w:rsid w:val="00B85225"/>
    <w:rsid w:val="00B86021"/>
    <w:rsid w:val="00B9079E"/>
    <w:rsid w:val="00B91287"/>
    <w:rsid w:val="00B92A41"/>
    <w:rsid w:val="00B92FBA"/>
    <w:rsid w:val="00B94F0D"/>
    <w:rsid w:val="00B95461"/>
    <w:rsid w:val="00B95A6D"/>
    <w:rsid w:val="00B96856"/>
    <w:rsid w:val="00B97639"/>
    <w:rsid w:val="00B97A61"/>
    <w:rsid w:val="00BA1114"/>
    <w:rsid w:val="00BA1EB0"/>
    <w:rsid w:val="00BA1F65"/>
    <w:rsid w:val="00BA28AF"/>
    <w:rsid w:val="00BA2B2D"/>
    <w:rsid w:val="00BA3B91"/>
    <w:rsid w:val="00BA51A6"/>
    <w:rsid w:val="00BA548C"/>
    <w:rsid w:val="00BA5B20"/>
    <w:rsid w:val="00BA7653"/>
    <w:rsid w:val="00BB0A40"/>
    <w:rsid w:val="00BB0C65"/>
    <w:rsid w:val="00BB15CC"/>
    <w:rsid w:val="00BB254C"/>
    <w:rsid w:val="00BB282B"/>
    <w:rsid w:val="00BB3B89"/>
    <w:rsid w:val="00BB6446"/>
    <w:rsid w:val="00BB655D"/>
    <w:rsid w:val="00BB682D"/>
    <w:rsid w:val="00BC04AC"/>
    <w:rsid w:val="00BC0903"/>
    <w:rsid w:val="00BC0956"/>
    <w:rsid w:val="00BC0A60"/>
    <w:rsid w:val="00BC1055"/>
    <w:rsid w:val="00BC216F"/>
    <w:rsid w:val="00BC347F"/>
    <w:rsid w:val="00BC380C"/>
    <w:rsid w:val="00BC3B86"/>
    <w:rsid w:val="00BC3F46"/>
    <w:rsid w:val="00BC42AB"/>
    <w:rsid w:val="00BC4D09"/>
    <w:rsid w:val="00BC66A5"/>
    <w:rsid w:val="00BD1214"/>
    <w:rsid w:val="00BD1CA8"/>
    <w:rsid w:val="00BD21BB"/>
    <w:rsid w:val="00BD39E4"/>
    <w:rsid w:val="00BD5A82"/>
    <w:rsid w:val="00BD61FD"/>
    <w:rsid w:val="00BE0AF6"/>
    <w:rsid w:val="00BE1184"/>
    <w:rsid w:val="00BE249D"/>
    <w:rsid w:val="00BE390D"/>
    <w:rsid w:val="00BE3E2A"/>
    <w:rsid w:val="00BE3F28"/>
    <w:rsid w:val="00BE46BC"/>
    <w:rsid w:val="00BE4D8F"/>
    <w:rsid w:val="00BE57FC"/>
    <w:rsid w:val="00BE6668"/>
    <w:rsid w:val="00BF1059"/>
    <w:rsid w:val="00BF377E"/>
    <w:rsid w:val="00BF46D3"/>
    <w:rsid w:val="00BF5B67"/>
    <w:rsid w:val="00BF5DD2"/>
    <w:rsid w:val="00BF68E1"/>
    <w:rsid w:val="00C0007B"/>
    <w:rsid w:val="00C01C6F"/>
    <w:rsid w:val="00C025BD"/>
    <w:rsid w:val="00C02DFE"/>
    <w:rsid w:val="00C03BEB"/>
    <w:rsid w:val="00C03CEB"/>
    <w:rsid w:val="00C03F09"/>
    <w:rsid w:val="00C05BEF"/>
    <w:rsid w:val="00C05F1A"/>
    <w:rsid w:val="00C06439"/>
    <w:rsid w:val="00C06B79"/>
    <w:rsid w:val="00C10310"/>
    <w:rsid w:val="00C10AB4"/>
    <w:rsid w:val="00C138A9"/>
    <w:rsid w:val="00C16ADE"/>
    <w:rsid w:val="00C217C3"/>
    <w:rsid w:val="00C219B4"/>
    <w:rsid w:val="00C22044"/>
    <w:rsid w:val="00C23441"/>
    <w:rsid w:val="00C23F8B"/>
    <w:rsid w:val="00C2564B"/>
    <w:rsid w:val="00C25C11"/>
    <w:rsid w:val="00C27811"/>
    <w:rsid w:val="00C27EAE"/>
    <w:rsid w:val="00C32069"/>
    <w:rsid w:val="00C32436"/>
    <w:rsid w:val="00C332DD"/>
    <w:rsid w:val="00C3340B"/>
    <w:rsid w:val="00C33C1F"/>
    <w:rsid w:val="00C34B07"/>
    <w:rsid w:val="00C37715"/>
    <w:rsid w:val="00C37CBD"/>
    <w:rsid w:val="00C41B78"/>
    <w:rsid w:val="00C42896"/>
    <w:rsid w:val="00C43670"/>
    <w:rsid w:val="00C4460B"/>
    <w:rsid w:val="00C465B1"/>
    <w:rsid w:val="00C465C4"/>
    <w:rsid w:val="00C46F0B"/>
    <w:rsid w:val="00C50562"/>
    <w:rsid w:val="00C50783"/>
    <w:rsid w:val="00C50F3F"/>
    <w:rsid w:val="00C53CA8"/>
    <w:rsid w:val="00C547FB"/>
    <w:rsid w:val="00C548D4"/>
    <w:rsid w:val="00C5608A"/>
    <w:rsid w:val="00C6034D"/>
    <w:rsid w:val="00C60844"/>
    <w:rsid w:val="00C63635"/>
    <w:rsid w:val="00C63925"/>
    <w:rsid w:val="00C641E5"/>
    <w:rsid w:val="00C64606"/>
    <w:rsid w:val="00C64765"/>
    <w:rsid w:val="00C660EA"/>
    <w:rsid w:val="00C665E4"/>
    <w:rsid w:val="00C667DE"/>
    <w:rsid w:val="00C66E1A"/>
    <w:rsid w:val="00C70BF6"/>
    <w:rsid w:val="00C71E07"/>
    <w:rsid w:val="00C7436E"/>
    <w:rsid w:val="00C75DC8"/>
    <w:rsid w:val="00C847E3"/>
    <w:rsid w:val="00C84DC6"/>
    <w:rsid w:val="00C85367"/>
    <w:rsid w:val="00C87578"/>
    <w:rsid w:val="00C87BA3"/>
    <w:rsid w:val="00C90537"/>
    <w:rsid w:val="00C90A86"/>
    <w:rsid w:val="00C91B33"/>
    <w:rsid w:val="00C91DA4"/>
    <w:rsid w:val="00C92326"/>
    <w:rsid w:val="00C94DE3"/>
    <w:rsid w:val="00C967CC"/>
    <w:rsid w:val="00C9726F"/>
    <w:rsid w:val="00C97C33"/>
    <w:rsid w:val="00CA0C93"/>
    <w:rsid w:val="00CA0CF8"/>
    <w:rsid w:val="00CA10AF"/>
    <w:rsid w:val="00CA13E6"/>
    <w:rsid w:val="00CA25DF"/>
    <w:rsid w:val="00CA42F5"/>
    <w:rsid w:val="00CA6281"/>
    <w:rsid w:val="00CA6A49"/>
    <w:rsid w:val="00CB068D"/>
    <w:rsid w:val="00CB2691"/>
    <w:rsid w:val="00CB29AA"/>
    <w:rsid w:val="00CB2A6F"/>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15A3"/>
    <w:rsid w:val="00CD1EF3"/>
    <w:rsid w:val="00CD21DA"/>
    <w:rsid w:val="00CD2EF3"/>
    <w:rsid w:val="00CD4354"/>
    <w:rsid w:val="00CD47E4"/>
    <w:rsid w:val="00CD4D74"/>
    <w:rsid w:val="00CD57B4"/>
    <w:rsid w:val="00CD5BD6"/>
    <w:rsid w:val="00CD5E67"/>
    <w:rsid w:val="00CD61D4"/>
    <w:rsid w:val="00CD678E"/>
    <w:rsid w:val="00CD6C40"/>
    <w:rsid w:val="00CD6E5D"/>
    <w:rsid w:val="00CD743D"/>
    <w:rsid w:val="00CE0035"/>
    <w:rsid w:val="00CE00E1"/>
    <w:rsid w:val="00CE0DB0"/>
    <w:rsid w:val="00CE248E"/>
    <w:rsid w:val="00CE3907"/>
    <w:rsid w:val="00CE66EB"/>
    <w:rsid w:val="00CF07F1"/>
    <w:rsid w:val="00CF0C0F"/>
    <w:rsid w:val="00CF20B9"/>
    <w:rsid w:val="00CF3A61"/>
    <w:rsid w:val="00CF3E33"/>
    <w:rsid w:val="00CF4CF4"/>
    <w:rsid w:val="00D00B0E"/>
    <w:rsid w:val="00D00D5A"/>
    <w:rsid w:val="00D014D3"/>
    <w:rsid w:val="00D022F6"/>
    <w:rsid w:val="00D02926"/>
    <w:rsid w:val="00D04F78"/>
    <w:rsid w:val="00D066C4"/>
    <w:rsid w:val="00D0798C"/>
    <w:rsid w:val="00D10216"/>
    <w:rsid w:val="00D1396B"/>
    <w:rsid w:val="00D14161"/>
    <w:rsid w:val="00D14A56"/>
    <w:rsid w:val="00D15EAD"/>
    <w:rsid w:val="00D166C1"/>
    <w:rsid w:val="00D16BDB"/>
    <w:rsid w:val="00D224B2"/>
    <w:rsid w:val="00D224EC"/>
    <w:rsid w:val="00D22864"/>
    <w:rsid w:val="00D25C92"/>
    <w:rsid w:val="00D25F6C"/>
    <w:rsid w:val="00D317BB"/>
    <w:rsid w:val="00D31850"/>
    <w:rsid w:val="00D31B77"/>
    <w:rsid w:val="00D31E9C"/>
    <w:rsid w:val="00D32082"/>
    <w:rsid w:val="00D33887"/>
    <w:rsid w:val="00D3799E"/>
    <w:rsid w:val="00D379B9"/>
    <w:rsid w:val="00D40468"/>
    <w:rsid w:val="00D405AB"/>
    <w:rsid w:val="00D40FB4"/>
    <w:rsid w:val="00D4118A"/>
    <w:rsid w:val="00D41277"/>
    <w:rsid w:val="00D412C0"/>
    <w:rsid w:val="00D4136F"/>
    <w:rsid w:val="00D4162D"/>
    <w:rsid w:val="00D447FD"/>
    <w:rsid w:val="00D45F81"/>
    <w:rsid w:val="00D47CC0"/>
    <w:rsid w:val="00D5052C"/>
    <w:rsid w:val="00D511D8"/>
    <w:rsid w:val="00D51618"/>
    <w:rsid w:val="00D51B01"/>
    <w:rsid w:val="00D51E26"/>
    <w:rsid w:val="00D52CA1"/>
    <w:rsid w:val="00D546CB"/>
    <w:rsid w:val="00D55054"/>
    <w:rsid w:val="00D55285"/>
    <w:rsid w:val="00D557AC"/>
    <w:rsid w:val="00D57741"/>
    <w:rsid w:val="00D60AEA"/>
    <w:rsid w:val="00D617B9"/>
    <w:rsid w:val="00D61D03"/>
    <w:rsid w:val="00D61DE1"/>
    <w:rsid w:val="00D6223E"/>
    <w:rsid w:val="00D62948"/>
    <w:rsid w:val="00D65D9A"/>
    <w:rsid w:val="00D6668B"/>
    <w:rsid w:val="00D6697A"/>
    <w:rsid w:val="00D669ED"/>
    <w:rsid w:val="00D73CEF"/>
    <w:rsid w:val="00D747FB"/>
    <w:rsid w:val="00D75385"/>
    <w:rsid w:val="00D753B1"/>
    <w:rsid w:val="00D76FC0"/>
    <w:rsid w:val="00D77513"/>
    <w:rsid w:val="00D77FA0"/>
    <w:rsid w:val="00D800D8"/>
    <w:rsid w:val="00D84E20"/>
    <w:rsid w:val="00D85E20"/>
    <w:rsid w:val="00D862D2"/>
    <w:rsid w:val="00D868F5"/>
    <w:rsid w:val="00D86AD7"/>
    <w:rsid w:val="00D90F0C"/>
    <w:rsid w:val="00D915C2"/>
    <w:rsid w:val="00D91600"/>
    <w:rsid w:val="00D91B97"/>
    <w:rsid w:val="00D9258B"/>
    <w:rsid w:val="00D9414D"/>
    <w:rsid w:val="00D9724B"/>
    <w:rsid w:val="00DA2111"/>
    <w:rsid w:val="00DA2B48"/>
    <w:rsid w:val="00DA31D3"/>
    <w:rsid w:val="00DA3A5D"/>
    <w:rsid w:val="00DA42B0"/>
    <w:rsid w:val="00DA6D1C"/>
    <w:rsid w:val="00DA7039"/>
    <w:rsid w:val="00DA7D59"/>
    <w:rsid w:val="00DB003A"/>
    <w:rsid w:val="00DB0603"/>
    <w:rsid w:val="00DB0C0C"/>
    <w:rsid w:val="00DB1A4F"/>
    <w:rsid w:val="00DB5548"/>
    <w:rsid w:val="00DB5EC8"/>
    <w:rsid w:val="00DB7620"/>
    <w:rsid w:val="00DC0B6F"/>
    <w:rsid w:val="00DC2BCF"/>
    <w:rsid w:val="00DC635D"/>
    <w:rsid w:val="00DC79B6"/>
    <w:rsid w:val="00DD011B"/>
    <w:rsid w:val="00DD1B31"/>
    <w:rsid w:val="00DD3B65"/>
    <w:rsid w:val="00DD53BA"/>
    <w:rsid w:val="00DD71A3"/>
    <w:rsid w:val="00DD7B17"/>
    <w:rsid w:val="00DE0715"/>
    <w:rsid w:val="00DE21E2"/>
    <w:rsid w:val="00DE2706"/>
    <w:rsid w:val="00DE542D"/>
    <w:rsid w:val="00DE63B7"/>
    <w:rsid w:val="00DE7168"/>
    <w:rsid w:val="00DF020D"/>
    <w:rsid w:val="00DF0BC0"/>
    <w:rsid w:val="00DF1BA2"/>
    <w:rsid w:val="00DF1BDF"/>
    <w:rsid w:val="00DF2761"/>
    <w:rsid w:val="00DF286D"/>
    <w:rsid w:val="00DF3A88"/>
    <w:rsid w:val="00DF4600"/>
    <w:rsid w:val="00DF7064"/>
    <w:rsid w:val="00DF73A8"/>
    <w:rsid w:val="00DF794D"/>
    <w:rsid w:val="00DF79B5"/>
    <w:rsid w:val="00DF7E90"/>
    <w:rsid w:val="00E00425"/>
    <w:rsid w:val="00E00B73"/>
    <w:rsid w:val="00E02360"/>
    <w:rsid w:val="00E03D23"/>
    <w:rsid w:val="00E06674"/>
    <w:rsid w:val="00E067A3"/>
    <w:rsid w:val="00E071A9"/>
    <w:rsid w:val="00E073F6"/>
    <w:rsid w:val="00E07F42"/>
    <w:rsid w:val="00E10AE0"/>
    <w:rsid w:val="00E10CE2"/>
    <w:rsid w:val="00E14449"/>
    <w:rsid w:val="00E14CD3"/>
    <w:rsid w:val="00E1624A"/>
    <w:rsid w:val="00E1676C"/>
    <w:rsid w:val="00E168FE"/>
    <w:rsid w:val="00E1795F"/>
    <w:rsid w:val="00E17C88"/>
    <w:rsid w:val="00E22E90"/>
    <w:rsid w:val="00E24424"/>
    <w:rsid w:val="00E24653"/>
    <w:rsid w:val="00E24944"/>
    <w:rsid w:val="00E24A3B"/>
    <w:rsid w:val="00E305B7"/>
    <w:rsid w:val="00E35112"/>
    <w:rsid w:val="00E36F9F"/>
    <w:rsid w:val="00E3739B"/>
    <w:rsid w:val="00E3783B"/>
    <w:rsid w:val="00E37CE0"/>
    <w:rsid w:val="00E37D9F"/>
    <w:rsid w:val="00E4005C"/>
    <w:rsid w:val="00E40CFC"/>
    <w:rsid w:val="00E41B3E"/>
    <w:rsid w:val="00E42B88"/>
    <w:rsid w:val="00E43C98"/>
    <w:rsid w:val="00E50484"/>
    <w:rsid w:val="00E50BBA"/>
    <w:rsid w:val="00E53553"/>
    <w:rsid w:val="00E53EE8"/>
    <w:rsid w:val="00E557A2"/>
    <w:rsid w:val="00E572F8"/>
    <w:rsid w:val="00E575F6"/>
    <w:rsid w:val="00E57B00"/>
    <w:rsid w:val="00E60039"/>
    <w:rsid w:val="00E60443"/>
    <w:rsid w:val="00E60CBF"/>
    <w:rsid w:val="00E61BFE"/>
    <w:rsid w:val="00E620F3"/>
    <w:rsid w:val="00E62D52"/>
    <w:rsid w:val="00E64846"/>
    <w:rsid w:val="00E654E5"/>
    <w:rsid w:val="00E658CB"/>
    <w:rsid w:val="00E65C60"/>
    <w:rsid w:val="00E665BB"/>
    <w:rsid w:val="00E66BDA"/>
    <w:rsid w:val="00E70338"/>
    <w:rsid w:val="00E727B7"/>
    <w:rsid w:val="00E72CAD"/>
    <w:rsid w:val="00E73569"/>
    <w:rsid w:val="00E75C43"/>
    <w:rsid w:val="00E7630A"/>
    <w:rsid w:val="00E764C1"/>
    <w:rsid w:val="00E77D44"/>
    <w:rsid w:val="00E77E20"/>
    <w:rsid w:val="00E8035F"/>
    <w:rsid w:val="00E811E6"/>
    <w:rsid w:val="00E81FC2"/>
    <w:rsid w:val="00E8269F"/>
    <w:rsid w:val="00E82D8C"/>
    <w:rsid w:val="00E84352"/>
    <w:rsid w:val="00E84623"/>
    <w:rsid w:val="00E84FD4"/>
    <w:rsid w:val="00E865AC"/>
    <w:rsid w:val="00E872E6"/>
    <w:rsid w:val="00E879A4"/>
    <w:rsid w:val="00E9103A"/>
    <w:rsid w:val="00E913E1"/>
    <w:rsid w:val="00E9429A"/>
    <w:rsid w:val="00E96228"/>
    <w:rsid w:val="00E96381"/>
    <w:rsid w:val="00E96BCC"/>
    <w:rsid w:val="00E97762"/>
    <w:rsid w:val="00E9797A"/>
    <w:rsid w:val="00EA05A7"/>
    <w:rsid w:val="00EA0E94"/>
    <w:rsid w:val="00EA16DD"/>
    <w:rsid w:val="00EA1E86"/>
    <w:rsid w:val="00EA2D28"/>
    <w:rsid w:val="00EA3D21"/>
    <w:rsid w:val="00EA44E3"/>
    <w:rsid w:val="00EA572E"/>
    <w:rsid w:val="00EA60E3"/>
    <w:rsid w:val="00EA670F"/>
    <w:rsid w:val="00EA6C00"/>
    <w:rsid w:val="00EA6C95"/>
    <w:rsid w:val="00EB034B"/>
    <w:rsid w:val="00EB0E70"/>
    <w:rsid w:val="00EB208A"/>
    <w:rsid w:val="00EB2519"/>
    <w:rsid w:val="00EB46C4"/>
    <w:rsid w:val="00EB5A1D"/>
    <w:rsid w:val="00EB6E00"/>
    <w:rsid w:val="00EC09FA"/>
    <w:rsid w:val="00EC0EDD"/>
    <w:rsid w:val="00EC3019"/>
    <w:rsid w:val="00EC3131"/>
    <w:rsid w:val="00EC4201"/>
    <w:rsid w:val="00EC422F"/>
    <w:rsid w:val="00EC4AC9"/>
    <w:rsid w:val="00EC6299"/>
    <w:rsid w:val="00EC7684"/>
    <w:rsid w:val="00EC78CE"/>
    <w:rsid w:val="00EC7E3A"/>
    <w:rsid w:val="00ED0484"/>
    <w:rsid w:val="00ED0699"/>
    <w:rsid w:val="00ED06C3"/>
    <w:rsid w:val="00ED0A22"/>
    <w:rsid w:val="00ED215A"/>
    <w:rsid w:val="00ED48F3"/>
    <w:rsid w:val="00ED4EA6"/>
    <w:rsid w:val="00ED558A"/>
    <w:rsid w:val="00EE0536"/>
    <w:rsid w:val="00EE0D0A"/>
    <w:rsid w:val="00EE11C2"/>
    <w:rsid w:val="00EE2239"/>
    <w:rsid w:val="00EE3FE1"/>
    <w:rsid w:val="00EE3FF7"/>
    <w:rsid w:val="00EE563E"/>
    <w:rsid w:val="00EE566A"/>
    <w:rsid w:val="00EE6206"/>
    <w:rsid w:val="00EE6869"/>
    <w:rsid w:val="00EE7012"/>
    <w:rsid w:val="00EF0D80"/>
    <w:rsid w:val="00EF386A"/>
    <w:rsid w:val="00EF450A"/>
    <w:rsid w:val="00EF5DF7"/>
    <w:rsid w:val="00EF6805"/>
    <w:rsid w:val="00EF6851"/>
    <w:rsid w:val="00EF71A3"/>
    <w:rsid w:val="00EF76AB"/>
    <w:rsid w:val="00EF7D70"/>
    <w:rsid w:val="00F00EA1"/>
    <w:rsid w:val="00F011BB"/>
    <w:rsid w:val="00F03013"/>
    <w:rsid w:val="00F03F2B"/>
    <w:rsid w:val="00F042A6"/>
    <w:rsid w:val="00F0551D"/>
    <w:rsid w:val="00F05D6A"/>
    <w:rsid w:val="00F0707A"/>
    <w:rsid w:val="00F07681"/>
    <w:rsid w:val="00F1112F"/>
    <w:rsid w:val="00F12C0B"/>
    <w:rsid w:val="00F12EDA"/>
    <w:rsid w:val="00F13122"/>
    <w:rsid w:val="00F13CAE"/>
    <w:rsid w:val="00F155E5"/>
    <w:rsid w:val="00F17675"/>
    <w:rsid w:val="00F20B92"/>
    <w:rsid w:val="00F20CDC"/>
    <w:rsid w:val="00F213C5"/>
    <w:rsid w:val="00F226B4"/>
    <w:rsid w:val="00F2576F"/>
    <w:rsid w:val="00F27E5E"/>
    <w:rsid w:val="00F300AE"/>
    <w:rsid w:val="00F30178"/>
    <w:rsid w:val="00F327B3"/>
    <w:rsid w:val="00F32A54"/>
    <w:rsid w:val="00F34EB0"/>
    <w:rsid w:val="00F373C6"/>
    <w:rsid w:val="00F41DD3"/>
    <w:rsid w:val="00F42907"/>
    <w:rsid w:val="00F43F09"/>
    <w:rsid w:val="00F44C9E"/>
    <w:rsid w:val="00F45495"/>
    <w:rsid w:val="00F46E77"/>
    <w:rsid w:val="00F474F2"/>
    <w:rsid w:val="00F4784E"/>
    <w:rsid w:val="00F508A8"/>
    <w:rsid w:val="00F508A9"/>
    <w:rsid w:val="00F51052"/>
    <w:rsid w:val="00F5132D"/>
    <w:rsid w:val="00F52C33"/>
    <w:rsid w:val="00F53D4B"/>
    <w:rsid w:val="00F54376"/>
    <w:rsid w:val="00F55468"/>
    <w:rsid w:val="00F5553C"/>
    <w:rsid w:val="00F555C3"/>
    <w:rsid w:val="00F555FA"/>
    <w:rsid w:val="00F5644F"/>
    <w:rsid w:val="00F56E55"/>
    <w:rsid w:val="00F606A7"/>
    <w:rsid w:val="00F60BEC"/>
    <w:rsid w:val="00F61616"/>
    <w:rsid w:val="00F61C49"/>
    <w:rsid w:val="00F64E3A"/>
    <w:rsid w:val="00F6623A"/>
    <w:rsid w:val="00F66707"/>
    <w:rsid w:val="00F67939"/>
    <w:rsid w:val="00F6797F"/>
    <w:rsid w:val="00F70B8B"/>
    <w:rsid w:val="00F71997"/>
    <w:rsid w:val="00F71DA8"/>
    <w:rsid w:val="00F72409"/>
    <w:rsid w:val="00F737DC"/>
    <w:rsid w:val="00F74B2F"/>
    <w:rsid w:val="00F754EB"/>
    <w:rsid w:val="00F75A7F"/>
    <w:rsid w:val="00F76279"/>
    <w:rsid w:val="00F8056F"/>
    <w:rsid w:val="00F80BEA"/>
    <w:rsid w:val="00F8286D"/>
    <w:rsid w:val="00F844C0"/>
    <w:rsid w:val="00F8467E"/>
    <w:rsid w:val="00F86935"/>
    <w:rsid w:val="00F86C32"/>
    <w:rsid w:val="00F86E45"/>
    <w:rsid w:val="00F86FB8"/>
    <w:rsid w:val="00F9182B"/>
    <w:rsid w:val="00F926E4"/>
    <w:rsid w:val="00F93682"/>
    <w:rsid w:val="00F9450D"/>
    <w:rsid w:val="00F9460D"/>
    <w:rsid w:val="00F95A5E"/>
    <w:rsid w:val="00F97479"/>
    <w:rsid w:val="00F974A0"/>
    <w:rsid w:val="00FA15AF"/>
    <w:rsid w:val="00FA2E12"/>
    <w:rsid w:val="00FA44FF"/>
    <w:rsid w:val="00FA68C8"/>
    <w:rsid w:val="00FB107C"/>
    <w:rsid w:val="00FB1730"/>
    <w:rsid w:val="00FB2476"/>
    <w:rsid w:val="00FB4F6F"/>
    <w:rsid w:val="00FB5EDF"/>
    <w:rsid w:val="00FB5EE2"/>
    <w:rsid w:val="00FB5EE6"/>
    <w:rsid w:val="00FB6635"/>
    <w:rsid w:val="00FB76A1"/>
    <w:rsid w:val="00FC0C9E"/>
    <w:rsid w:val="00FC0EB3"/>
    <w:rsid w:val="00FC28F1"/>
    <w:rsid w:val="00FC3F1A"/>
    <w:rsid w:val="00FC487B"/>
    <w:rsid w:val="00FC492C"/>
    <w:rsid w:val="00FC543C"/>
    <w:rsid w:val="00FC5AA2"/>
    <w:rsid w:val="00FC7F28"/>
    <w:rsid w:val="00FD3595"/>
    <w:rsid w:val="00FD3622"/>
    <w:rsid w:val="00FD3AB3"/>
    <w:rsid w:val="00FD3F78"/>
    <w:rsid w:val="00FD5338"/>
    <w:rsid w:val="00FD5CDE"/>
    <w:rsid w:val="00FD6741"/>
    <w:rsid w:val="00FD7F7B"/>
    <w:rsid w:val="00FE2F2B"/>
    <w:rsid w:val="00FE3D55"/>
    <w:rsid w:val="00FE5435"/>
    <w:rsid w:val="00FE5947"/>
    <w:rsid w:val="00FE5FCB"/>
    <w:rsid w:val="00FE78CA"/>
    <w:rsid w:val="00FF0257"/>
    <w:rsid w:val="00FF11B6"/>
    <w:rsid w:val="00FF1F94"/>
    <w:rsid w:val="00FF35F3"/>
    <w:rsid w:val="00FF41EA"/>
    <w:rsid w:val="00FF4299"/>
    <w:rsid w:val="00FF5D02"/>
    <w:rsid w:val="00FF7526"/>
    <w:rsid w:val="00FF7761"/>
    <w:rsid w:val="00FF7B98"/>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B0FAF8"/>
  <w15:docId w15:val="{A0FE07F3-E439-40FA-B93A-47B9B901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72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4">
    <w:name w:val="heading 4"/>
    <w:basedOn w:val="ListParagraph"/>
    <w:next w:val="Normal"/>
    <w:link w:val="Heading4Char"/>
    <w:uiPriority w:val="9"/>
    <w:unhideWhenUsed/>
    <w:qFormat/>
    <w:rsid w:val="00B579F3"/>
    <w:pPr>
      <w:widowControl/>
      <w:numPr>
        <w:numId w:val="21"/>
      </w:numPr>
      <w:tabs>
        <w:tab w:val="right" w:pos="9360"/>
      </w:tabs>
      <w:autoSpaceDE/>
      <w:autoSpaceDN/>
      <w:adjustRightInd/>
      <w:spacing w:after="120"/>
      <w:outlineLvl w:val="3"/>
    </w:pPr>
    <w:rPr>
      <w:rFonts w:asciiTheme="majorHAnsi" w:eastAsiaTheme="minorEastAsia" w:hAnsiTheme="majorHAnsi" w:cstheme="minorBidi"/>
      <w:b/>
      <w:sz w:val="22"/>
      <w:szCs w:val="22"/>
    </w:r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 w:type="character" w:customStyle="1" w:styleId="Heading4Char">
    <w:name w:val="Heading 4 Char"/>
    <w:basedOn w:val="DefaultParagraphFont"/>
    <w:link w:val="Heading4"/>
    <w:uiPriority w:val="9"/>
    <w:rsid w:val="00B579F3"/>
    <w:rPr>
      <w:rFonts w:asciiTheme="majorHAnsi" w:eastAsiaTheme="minorEastAsia" w:hAnsiTheme="maj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11940535">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27046876">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9" ma:contentTypeDescription="Create a new document." ma:contentTypeScope="" ma:versionID="cff12b5c3b1ef702db2fa54b8a124c3b">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784aa1b2faa4cc9faf845f7cf406c9d5"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A50C-9210-4DCC-858B-A2FFF95CF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FC6A5-1924-4488-9109-693ACDEC43F5}">
  <ds:schemaRefs>
    <ds:schemaRef ds:uri="http://schemas.openxmlformats.org/officeDocument/2006/bibliography"/>
  </ds:schemaRefs>
</ds:datastoreItem>
</file>

<file path=customXml/itemProps3.xml><?xml version="1.0" encoding="utf-8"?>
<ds:datastoreItem xmlns:ds="http://schemas.openxmlformats.org/officeDocument/2006/customXml" ds:itemID="{A3CDBC11-B0EF-456B-8680-85109E302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84CE4-7525-418C-B9F5-889BE1D8A730}">
  <ds:schemaRefs>
    <ds:schemaRef ds:uri="http://schemas.microsoft.com/sharepoint/v3/contenttype/forms"/>
  </ds:schemaRefs>
</ds:datastoreItem>
</file>

<file path=customXml/itemProps5.xml><?xml version="1.0" encoding="utf-8"?>
<ds:datastoreItem xmlns:ds="http://schemas.openxmlformats.org/officeDocument/2006/customXml" ds:itemID="{DA507E7B-A9CC-43CE-941C-839D75CA7142}">
  <ds:schemaRefs>
    <ds:schemaRef ds:uri="http://schemas.openxmlformats.org/officeDocument/2006/bibliography"/>
  </ds:schemaRefs>
</ds:datastoreItem>
</file>

<file path=customXml/itemProps6.xml><?xml version="1.0" encoding="utf-8"?>
<ds:datastoreItem xmlns:ds="http://schemas.openxmlformats.org/officeDocument/2006/customXml" ds:itemID="{AC2CF780-7B99-47A4-9836-373CEE9CB2C2}">
  <ds:schemaRefs>
    <ds:schemaRef ds:uri="http://schemas.openxmlformats.org/officeDocument/2006/bibliography"/>
  </ds:schemaRefs>
</ds:datastoreItem>
</file>

<file path=customXml/itemProps7.xml><?xml version="1.0" encoding="utf-8"?>
<ds:datastoreItem xmlns:ds="http://schemas.openxmlformats.org/officeDocument/2006/customXml" ds:itemID="{C9E1F8EB-358F-4FE6-AC12-ED5A1097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23320</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Bleechington</dc:creator>
  <cp:keywords/>
  <dc:description/>
  <cp:lastModifiedBy>Sims, Thelma (CDC/DDPHSS/OS/OSI)</cp:lastModifiedBy>
  <cp:revision>2</cp:revision>
  <cp:lastPrinted>2019-11-21T18:37:00Z</cp:lastPrinted>
  <dcterms:created xsi:type="dcterms:W3CDTF">2020-09-17T11:38:00Z</dcterms:created>
  <dcterms:modified xsi:type="dcterms:W3CDTF">2020-09-17T11:38:00Z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0x010100CB28FDE79D0528429484B39D788D9B11</vt:lpwstr>
  </property>
</Properties>
</file>