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3164" w:rsidR="00380670" w:rsidP="00CB16C7" w:rsidRDefault="006A23F1" w14:paraId="159E6DEF" w14:textId="77777777">
      <w:pPr>
        <w:widowControl w:val="0"/>
        <w:tabs>
          <w:tab w:val="center" w:pos="4680"/>
        </w:tabs>
        <w:rPr>
          <w:sz w:val="20"/>
        </w:rPr>
      </w:pPr>
      <w:r w:rsidRPr="00113164">
        <w:rPr>
          <w:sz w:val="20"/>
        </w:rPr>
        <w:t xml:space="preserve">                                       </w:t>
      </w:r>
    </w:p>
    <w:p w:rsidRPr="00113164" w:rsidR="00380670" w:rsidP="00CB16C7" w:rsidRDefault="00380670" w14:paraId="79EC2850" w14:textId="77777777">
      <w:pPr>
        <w:widowControl w:val="0"/>
        <w:tabs>
          <w:tab w:val="center" w:pos="4680"/>
        </w:tabs>
        <w:rPr>
          <w:sz w:val="20"/>
        </w:rPr>
      </w:pPr>
    </w:p>
    <w:p w:rsidRPr="00113164" w:rsidR="00380670" w:rsidP="00CB16C7" w:rsidRDefault="00380670" w14:paraId="73D371A1" w14:textId="77777777">
      <w:pPr>
        <w:widowControl w:val="0"/>
        <w:tabs>
          <w:tab w:val="center" w:pos="4680"/>
        </w:tabs>
        <w:rPr>
          <w:sz w:val="20"/>
        </w:rPr>
      </w:pPr>
    </w:p>
    <w:p w:rsidRPr="00113164" w:rsidR="00380670" w:rsidP="00CB16C7" w:rsidRDefault="00380670" w14:paraId="11BB3556" w14:textId="77777777">
      <w:pPr>
        <w:widowControl w:val="0"/>
        <w:tabs>
          <w:tab w:val="center" w:pos="4680"/>
        </w:tabs>
        <w:rPr>
          <w:sz w:val="20"/>
        </w:rPr>
      </w:pPr>
    </w:p>
    <w:p w:rsidRPr="00113164" w:rsidR="00380670" w:rsidP="00CB16C7" w:rsidRDefault="00380670" w14:paraId="55F9E3DB" w14:textId="77777777">
      <w:pPr>
        <w:widowControl w:val="0"/>
        <w:tabs>
          <w:tab w:val="center" w:pos="4680"/>
        </w:tabs>
        <w:rPr>
          <w:sz w:val="20"/>
        </w:rPr>
      </w:pPr>
    </w:p>
    <w:p w:rsidRPr="00113164" w:rsidR="00380670" w:rsidP="00CB16C7" w:rsidRDefault="00380670" w14:paraId="6EA72A90" w14:textId="77777777">
      <w:pPr>
        <w:widowControl w:val="0"/>
        <w:tabs>
          <w:tab w:val="center" w:pos="4680"/>
        </w:tabs>
        <w:rPr>
          <w:sz w:val="20"/>
        </w:rPr>
      </w:pPr>
    </w:p>
    <w:p w:rsidRPr="00113164" w:rsidR="00380670" w:rsidP="00CB16C7" w:rsidRDefault="00380670" w14:paraId="1E18C6A2" w14:textId="77777777">
      <w:pPr>
        <w:widowControl w:val="0"/>
        <w:tabs>
          <w:tab w:val="center" w:pos="4680"/>
        </w:tabs>
        <w:rPr>
          <w:sz w:val="20"/>
        </w:rPr>
      </w:pPr>
    </w:p>
    <w:p w:rsidRPr="00113164" w:rsidR="00380670" w:rsidP="00CB16C7" w:rsidRDefault="00380670" w14:paraId="3788F31E" w14:textId="77777777">
      <w:pPr>
        <w:widowControl w:val="0"/>
        <w:tabs>
          <w:tab w:val="center" w:pos="4680"/>
        </w:tabs>
        <w:rPr>
          <w:sz w:val="20"/>
        </w:rPr>
      </w:pPr>
    </w:p>
    <w:p w:rsidRPr="00113164" w:rsidR="00380670" w:rsidP="00CB16C7" w:rsidRDefault="00380670" w14:paraId="1BE39D91" w14:textId="77777777">
      <w:pPr>
        <w:widowControl w:val="0"/>
        <w:tabs>
          <w:tab w:val="center" w:pos="4680"/>
        </w:tabs>
        <w:rPr>
          <w:sz w:val="20"/>
        </w:rPr>
      </w:pPr>
    </w:p>
    <w:p w:rsidRPr="00113164" w:rsidR="00380670" w:rsidP="00CB16C7" w:rsidRDefault="00380670" w14:paraId="06208B16" w14:textId="77777777">
      <w:pPr>
        <w:widowControl w:val="0"/>
        <w:tabs>
          <w:tab w:val="center" w:pos="4680"/>
        </w:tabs>
        <w:rPr>
          <w:sz w:val="20"/>
        </w:rPr>
      </w:pPr>
    </w:p>
    <w:p w:rsidRPr="00113164" w:rsidR="00F101A6" w:rsidP="00CB16C7" w:rsidRDefault="006A23F1" w14:paraId="29848271" w14:textId="77777777">
      <w:pPr>
        <w:widowControl w:val="0"/>
        <w:tabs>
          <w:tab w:val="center" w:pos="4680"/>
        </w:tabs>
      </w:pPr>
      <w:r w:rsidRPr="00113164">
        <w:rPr>
          <w:sz w:val="20"/>
        </w:rPr>
        <w:t xml:space="preserve">                                      </w:t>
      </w:r>
      <w:r w:rsidRPr="00113164" w:rsidR="00BF26EE">
        <w:tab/>
      </w:r>
    </w:p>
    <w:p w:rsidRPr="00113164" w:rsidR="00F101A6" w:rsidP="00686453" w:rsidRDefault="00F101A6" w14:paraId="5B8CEC69" w14:textId="77777777"/>
    <w:p w:rsidRPr="00113164" w:rsidR="009E7A29" w:rsidP="00380670" w:rsidRDefault="00361100" w14:paraId="48565D4C" w14:textId="37BB7513">
      <w:pPr>
        <w:widowControl w:val="0"/>
        <w:tabs>
          <w:tab w:val="center" w:pos="4680"/>
        </w:tabs>
        <w:jc w:val="center"/>
        <w:rPr>
          <w:b/>
          <w:bCs/>
          <w:sz w:val="28"/>
          <w:szCs w:val="28"/>
        </w:rPr>
      </w:pPr>
      <w:r w:rsidRPr="00113164">
        <w:rPr>
          <w:b/>
          <w:bCs/>
          <w:sz w:val="28"/>
          <w:szCs w:val="28"/>
        </w:rPr>
        <w:t>Understanding Long-term Respiratory Morbidity in Former Styrene-Exposed Workers</w:t>
      </w:r>
      <w:r w:rsidR="00AD7B8C">
        <w:rPr>
          <w:b/>
          <w:bCs/>
          <w:sz w:val="28"/>
          <w:szCs w:val="28"/>
        </w:rPr>
        <w:t>:</w:t>
      </w:r>
      <w:r w:rsidR="00660BE6">
        <w:rPr>
          <w:b/>
          <w:bCs/>
          <w:sz w:val="28"/>
          <w:szCs w:val="28"/>
        </w:rPr>
        <w:t xml:space="preserve"> Medical Survey</w:t>
      </w:r>
    </w:p>
    <w:p w:rsidRPr="00113164" w:rsidR="00101640" w:rsidP="00101640" w:rsidRDefault="00101640" w14:paraId="34460EB1" w14:textId="77777777">
      <w:pPr>
        <w:widowControl w:val="0"/>
      </w:pPr>
    </w:p>
    <w:p w:rsidRPr="00113164" w:rsidR="00101640" w:rsidP="00101640" w:rsidRDefault="00380670" w14:paraId="7EAE6D38" w14:textId="77777777">
      <w:pPr>
        <w:jc w:val="center"/>
        <w:rPr>
          <w:b/>
        </w:rPr>
      </w:pPr>
      <w:r w:rsidRPr="00113164">
        <w:rPr>
          <w:b/>
        </w:rPr>
        <w:t xml:space="preserve">Request for </w:t>
      </w:r>
      <w:r w:rsidRPr="00113164" w:rsidR="00101640">
        <w:rPr>
          <w:b/>
        </w:rPr>
        <w:t xml:space="preserve">Office of Management and Budget Review and Approval </w:t>
      </w:r>
    </w:p>
    <w:p w:rsidRPr="00113164" w:rsidR="00101640" w:rsidP="00101640" w:rsidRDefault="00101640" w14:paraId="04A10425" w14:textId="77777777">
      <w:pPr>
        <w:jc w:val="center"/>
        <w:rPr>
          <w:b/>
        </w:rPr>
      </w:pPr>
      <w:r w:rsidRPr="00113164">
        <w:rPr>
          <w:b/>
        </w:rPr>
        <w:t>for Federally Sponsored Data Collection</w:t>
      </w:r>
    </w:p>
    <w:p w:rsidRPr="00113164" w:rsidR="00380670" w:rsidP="00101640" w:rsidRDefault="00380670" w14:paraId="3028AA3A" w14:textId="77777777">
      <w:pPr>
        <w:jc w:val="center"/>
        <w:rPr>
          <w:szCs w:val="24"/>
        </w:rPr>
      </w:pPr>
      <w:r w:rsidRPr="00113164">
        <w:rPr>
          <w:szCs w:val="24"/>
        </w:rPr>
        <w:t xml:space="preserve">OMB Control # </w:t>
      </w:r>
      <w:r w:rsidRPr="00113164">
        <w:rPr>
          <w:szCs w:val="24"/>
          <w:highlight w:val="yellow"/>
        </w:rPr>
        <w:t>XXXX-XXXX</w:t>
      </w:r>
      <w:r w:rsidRPr="00113164">
        <w:rPr>
          <w:szCs w:val="24"/>
        </w:rPr>
        <w:t xml:space="preserve">; expiration date </w:t>
      </w:r>
      <w:r w:rsidRPr="00113164">
        <w:rPr>
          <w:szCs w:val="24"/>
          <w:highlight w:val="yellow"/>
        </w:rPr>
        <w:t>x/xx/xxxx</w:t>
      </w:r>
    </w:p>
    <w:p w:rsidRPr="00113164" w:rsidR="00101640" w:rsidP="00101640" w:rsidRDefault="00101640" w14:paraId="2317420C" w14:textId="77777777">
      <w:pPr>
        <w:jc w:val="center"/>
      </w:pPr>
    </w:p>
    <w:p w:rsidRPr="00113164" w:rsidR="00101640" w:rsidP="00101640" w:rsidRDefault="00101640" w14:paraId="4E4D8B11" w14:textId="77777777">
      <w:pPr>
        <w:jc w:val="center"/>
      </w:pPr>
    </w:p>
    <w:p w:rsidRPr="00113164" w:rsidR="009E7A29" w:rsidP="009E7A29" w:rsidRDefault="00A94170" w14:paraId="0FDCFAAC" w14:textId="77777777">
      <w:pPr>
        <w:jc w:val="center"/>
        <w:rPr>
          <w:sz w:val="36"/>
          <w:szCs w:val="36"/>
        </w:rPr>
      </w:pPr>
      <w:r w:rsidRPr="00113164">
        <w:rPr>
          <w:b/>
          <w:sz w:val="36"/>
          <w:szCs w:val="36"/>
        </w:rPr>
        <w:t>Supporting Statement</w:t>
      </w:r>
      <w:r w:rsidRPr="00113164" w:rsidR="009E7A29">
        <w:rPr>
          <w:b/>
          <w:sz w:val="36"/>
          <w:szCs w:val="36"/>
        </w:rPr>
        <w:t xml:space="preserve"> A </w:t>
      </w:r>
    </w:p>
    <w:p w:rsidRPr="00113164" w:rsidR="00101640" w:rsidP="00101640" w:rsidRDefault="00101640" w14:paraId="2B8956C0" w14:textId="77777777">
      <w:pPr>
        <w:jc w:val="center"/>
      </w:pPr>
    </w:p>
    <w:p w:rsidRPr="00113164" w:rsidR="00380670" w:rsidP="00380670" w:rsidRDefault="00380670" w14:paraId="4ED1DB6A" w14:textId="77777777">
      <w:pPr>
        <w:jc w:val="center"/>
        <w:rPr>
          <w:szCs w:val="24"/>
        </w:rPr>
      </w:pPr>
      <w:r w:rsidRPr="00113164">
        <w:rPr>
          <w:szCs w:val="24"/>
        </w:rPr>
        <w:t>Project officers: Suzanne E Tomasi, DVM, MPH, DACVPM</w:t>
      </w:r>
    </w:p>
    <w:p w:rsidRPr="00113164" w:rsidR="00380670" w:rsidP="00380670" w:rsidRDefault="00380670" w14:paraId="63DB5F47" w14:textId="77777777">
      <w:pPr>
        <w:jc w:val="center"/>
        <w:rPr>
          <w:szCs w:val="24"/>
        </w:rPr>
      </w:pPr>
      <w:r w:rsidRPr="00113164">
        <w:rPr>
          <w:szCs w:val="24"/>
        </w:rPr>
        <w:t>Epidemiologist</w:t>
      </w:r>
    </w:p>
    <w:p w:rsidRPr="00113164" w:rsidR="00380670" w:rsidP="00380670" w:rsidRDefault="00380670" w14:paraId="71E3049A" w14:textId="77777777">
      <w:pPr>
        <w:jc w:val="center"/>
        <w:rPr>
          <w:szCs w:val="24"/>
        </w:rPr>
      </w:pPr>
      <w:r w:rsidRPr="00113164">
        <w:rPr>
          <w:szCs w:val="24"/>
        </w:rPr>
        <w:t>Field Studies Branch</w:t>
      </w:r>
    </w:p>
    <w:p w:rsidRPr="00113164" w:rsidR="00380670" w:rsidP="00380670" w:rsidRDefault="00380670" w14:paraId="2D3471AC" w14:textId="77777777">
      <w:pPr>
        <w:rPr>
          <w:szCs w:val="24"/>
        </w:rPr>
      </w:pPr>
    </w:p>
    <w:p w:rsidRPr="00113164" w:rsidR="00380670" w:rsidP="00380670" w:rsidRDefault="00B94DE5" w14:paraId="4FF99259" w14:textId="77777777">
      <w:pPr>
        <w:jc w:val="center"/>
        <w:rPr>
          <w:szCs w:val="24"/>
        </w:rPr>
      </w:pPr>
      <w:r w:rsidRPr="00113164">
        <w:rPr>
          <w:szCs w:val="24"/>
        </w:rPr>
        <w:t>Centers for Disease Control and Prevention (CDC)</w:t>
      </w:r>
    </w:p>
    <w:p w:rsidRPr="00113164" w:rsidR="00380670" w:rsidP="00380670" w:rsidRDefault="00380670" w14:paraId="34704962" w14:textId="77777777">
      <w:pPr>
        <w:jc w:val="center"/>
        <w:rPr>
          <w:szCs w:val="24"/>
        </w:rPr>
      </w:pPr>
      <w:r w:rsidRPr="00113164">
        <w:rPr>
          <w:szCs w:val="24"/>
        </w:rPr>
        <w:t>National Institute for Occupational Safety and Health</w:t>
      </w:r>
      <w:r w:rsidRPr="00113164" w:rsidR="00B94DE5">
        <w:rPr>
          <w:szCs w:val="24"/>
        </w:rPr>
        <w:t xml:space="preserve"> (NIOSH)</w:t>
      </w:r>
    </w:p>
    <w:p w:rsidRPr="00113164" w:rsidR="00380670" w:rsidP="00380670" w:rsidRDefault="00380670" w14:paraId="52BC0167" w14:textId="77777777">
      <w:pPr>
        <w:jc w:val="center"/>
        <w:rPr>
          <w:szCs w:val="24"/>
        </w:rPr>
      </w:pPr>
      <w:r w:rsidRPr="00113164">
        <w:rPr>
          <w:szCs w:val="24"/>
        </w:rPr>
        <w:t>Respiratory Health Division</w:t>
      </w:r>
      <w:r w:rsidRPr="00113164" w:rsidR="00B94DE5">
        <w:rPr>
          <w:szCs w:val="24"/>
        </w:rPr>
        <w:t xml:space="preserve"> (RHD)</w:t>
      </w:r>
    </w:p>
    <w:p w:rsidRPr="00113164" w:rsidR="00380670" w:rsidP="00380670" w:rsidRDefault="00380670" w14:paraId="118EAD3A" w14:textId="77777777">
      <w:pPr>
        <w:jc w:val="center"/>
        <w:rPr>
          <w:szCs w:val="24"/>
        </w:rPr>
      </w:pPr>
      <w:r w:rsidRPr="00113164">
        <w:rPr>
          <w:szCs w:val="24"/>
        </w:rPr>
        <w:t>1095 Willowdale Road, MS H2800</w:t>
      </w:r>
    </w:p>
    <w:p w:rsidRPr="00113164" w:rsidR="00380670" w:rsidP="00380670" w:rsidRDefault="00380670" w14:paraId="2998579F" w14:textId="77777777">
      <w:pPr>
        <w:jc w:val="center"/>
        <w:rPr>
          <w:szCs w:val="24"/>
        </w:rPr>
      </w:pPr>
      <w:r w:rsidRPr="00113164">
        <w:rPr>
          <w:szCs w:val="24"/>
        </w:rPr>
        <w:t>Morgantown, WV, 26505</w:t>
      </w:r>
    </w:p>
    <w:p w:rsidRPr="00113164" w:rsidR="00380670" w:rsidP="00380670" w:rsidRDefault="00380670" w14:paraId="54664886" w14:textId="77777777">
      <w:pPr>
        <w:jc w:val="center"/>
        <w:rPr>
          <w:szCs w:val="24"/>
        </w:rPr>
      </w:pPr>
    </w:p>
    <w:p w:rsidRPr="00113164" w:rsidR="00380670" w:rsidP="00380670" w:rsidRDefault="00380670" w14:paraId="72F92DBE" w14:textId="77777777">
      <w:pPr>
        <w:jc w:val="center"/>
        <w:rPr>
          <w:szCs w:val="24"/>
        </w:rPr>
      </w:pPr>
      <w:r w:rsidRPr="00113164">
        <w:rPr>
          <w:szCs w:val="24"/>
        </w:rPr>
        <w:t>Phone: 304-285-6115</w:t>
      </w:r>
    </w:p>
    <w:p w:rsidRPr="00113164" w:rsidR="00380670" w:rsidP="00380670" w:rsidRDefault="00380670" w14:paraId="5C5CD5E5" w14:textId="77777777">
      <w:pPr>
        <w:jc w:val="center"/>
        <w:rPr>
          <w:szCs w:val="24"/>
        </w:rPr>
      </w:pPr>
      <w:r w:rsidRPr="00113164">
        <w:rPr>
          <w:szCs w:val="24"/>
        </w:rPr>
        <w:t>Fax: 304-285-5820</w:t>
      </w:r>
    </w:p>
    <w:p w:rsidRPr="00113164" w:rsidR="00380670" w:rsidP="00380670" w:rsidRDefault="00380670" w14:paraId="7086A667" w14:textId="6CA5CF2A">
      <w:pPr>
        <w:jc w:val="center"/>
        <w:rPr>
          <w:szCs w:val="24"/>
        </w:rPr>
      </w:pPr>
      <w:r w:rsidRPr="00113164">
        <w:rPr>
          <w:szCs w:val="24"/>
        </w:rPr>
        <w:t xml:space="preserve">E-mail: </w:t>
      </w:r>
      <w:r w:rsidRPr="001719D2">
        <w:rPr>
          <w:szCs w:val="24"/>
        </w:rPr>
        <w:t>yxc4@cdc.gov</w:t>
      </w:r>
    </w:p>
    <w:p w:rsidRPr="00113164" w:rsidR="00101640" w:rsidP="00101640" w:rsidRDefault="00101640" w14:paraId="78AAB30D" w14:textId="77777777">
      <w:pPr>
        <w:jc w:val="center"/>
      </w:pPr>
    </w:p>
    <w:p w:rsidRPr="00113164" w:rsidR="00101640" w:rsidP="00101640" w:rsidRDefault="00101640" w14:paraId="47A400D1" w14:textId="77777777">
      <w:pPr>
        <w:jc w:val="center"/>
      </w:pPr>
    </w:p>
    <w:p w:rsidRPr="00113164" w:rsidR="00101640" w:rsidP="00101640" w:rsidRDefault="00101640" w14:paraId="79C03EF1" w14:textId="77777777">
      <w:pPr>
        <w:jc w:val="center"/>
      </w:pPr>
    </w:p>
    <w:p w:rsidRPr="00113164" w:rsidR="00101640" w:rsidP="00101640" w:rsidRDefault="00101640" w14:paraId="5F3BAEC4" w14:textId="77777777">
      <w:pPr>
        <w:jc w:val="center"/>
      </w:pPr>
    </w:p>
    <w:p w:rsidRPr="00113164" w:rsidR="00101640" w:rsidP="00101640" w:rsidRDefault="00101640" w14:paraId="0FAC81ED" w14:textId="77777777">
      <w:pPr>
        <w:jc w:val="center"/>
      </w:pPr>
    </w:p>
    <w:p w:rsidRPr="00113164" w:rsidR="00101640" w:rsidP="00101640" w:rsidRDefault="00101640" w14:paraId="68012A13" w14:textId="77777777"/>
    <w:p w:rsidRPr="00113164" w:rsidR="00101640" w:rsidP="00101640" w:rsidRDefault="00101640" w14:paraId="0FB817F6" w14:textId="77777777">
      <w:pPr>
        <w:ind w:left="2880"/>
      </w:pPr>
    </w:p>
    <w:p w:rsidRPr="00113164" w:rsidR="00E20DEC" w:rsidP="00E20DEC" w:rsidRDefault="00E20DEC" w14:paraId="247BF1EA" w14:textId="77777777"/>
    <w:p w:rsidRPr="00113164" w:rsidR="00E20DEC" w:rsidP="00E20DEC" w:rsidRDefault="00E20DEC" w14:paraId="41FC64AA" w14:textId="77777777"/>
    <w:p w:rsidRPr="00113164" w:rsidR="00E20DEC" w:rsidP="00E20DEC" w:rsidRDefault="00E20DEC" w14:paraId="0AAEB29D" w14:textId="77777777"/>
    <w:p w:rsidRPr="00113164" w:rsidR="00E20DEC" w:rsidP="00E20DEC" w:rsidRDefault="00E20DEC" w14:paraId="6B06F73E" w14:textId="77777777"/>
    <w:p w:rsidRPr="00113164" w:rsidR="00E20DEC" w:rsidP="00E20DEC" w:rsidRDefault="00B61383" w14:paraId="0547E6EF" w14:textId="77777777">
      <w:r w:rsidRPr="00113164">
        <w:rPr>
          <w:rFonts w:eastAsiaTheme="minorHAnsi"/>
          <w:noProof/>
          <w:sz w:val="22"/>
          <w:szCs w:val="22"/>
        </w:rPr>
        <w:lastRenderedPageBreak/>
        <mc:AlternateContent>
          <mc:Choice Requires="wps">
            <w:drawing>
              <wp:anchor distT="0" distB="0" distL="114300" distR="114300" simplePos="0" relativeHeight="251661312" behindDoc="0" locked="0" layoutInCell="1" allowOverlap="1" wp14:editId="33DC6B77" wp14:anchorId="461F2508">
                <wp:simplePos x="0" y="0"/>
                <wp:positionH relativeFrom="column">
                  <wp:posOffset>-171450</wp:posOffset>
                </wp:positionH>
                <wp:positionV relativeFrom="margin">
                  <wp:align>top</wp:align>
                </wp:positionV>
                <wp:extent cx="6330315" cy="6076950"/>
                <wp:effectExtent l="0" t="0" r="133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6076950"/>
                        </a:xfrm>
                        <a:prstGeom prst="rect">
                          <a:avLst/>
                        </a:prstGeom>
                        <a:solidFill>
                          <a:srgbClr val="FFFFFF"/>
                        </a:solidFill>
                        <a:ln w="9525">
                          <a:solidFill>
                            <a:srgbClr val="000000"/>
                          </a:solidFill>
                          <a:miter lim="800000"/>
                          <a:headEnd/>
                          <a:tailEnd/>
                        </a:ln>
                      </wps:spPr>
                      <wps:txbx>
                        <w:txbxContent>
                          <w:p w:rsidRPr="00B61383" w:rsidR="00B46F2A" w:rsidP="001163D1" w:rsidRDefault="00B46F2A" w14:paraId="0D8D2728"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Goal of the study:  </w:t>
                            </w:r>
                            <w:r w:rsidRPr="00B61383">
                              <w:rPr>
                                <w:rFonts w:ascii="Times New Roman" w:hAnsi="Times New Roman"/>
                                <w:sz w:val="24"/>
                              </w:rPr>
                              <w:t xml:space="preserve">The goal of the proposed project is to understand the long-term respiratory health effects of styrene-exposed workers. The objective of the proposed study is: (1) to characterize work exposures by acquiring job histories and comparing with historical exposure levels obtained from a past industrial hygiene survey, (2) to examine the prevalence of respiratory morbidity by duration and level of styrene exposure, (3) to apply research biomarkers of lung injury to a styrene-exposed workforce, and (4) to describe the prevalence of color vision impairment in former workers no longer exposed to styrene and the association of color vision impairment with the presence of respiratory morbidity. </w:t>
                            </w:r>
                          </w:p>
                          <w:p w:rsidRPr="00B61383" w:rsidR="00B46F2A" w:rsidP="001163D1" w:rsidRDefault="00B46F2A" w14:paraId="7B23F13C" w14:textId="77777777">
                            <w:pPr>
                              <w:pStyle w:val="ListParagraph"/>
                              <w:ind w:left="360"/>
                              <w:rPr>
                                <w:rFonts w:ascii="Times New Roman" w:hAnsi="Times New Roman"/>
                                <w:sz w:val="24"/>
                              </w:rPr>
                            </w:pPr>
                          </w:p>
                          <w:p w:rsidRPr="00B61383" w:rsidR="00B46F2A" w:rsidP="001163D1" w:rsidRDefault="00B46F2A" w14:paraId="2CEA847B"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Intended use of the resulting data:  </w:t>
                            </w:r>
                            <w:r w:rsidRPr="00B61383">
                              <w:rPr>
                                <w:rFonts w:ascii="Times New Roman" w:hAnsi="Times New Roman"/>
                                <w:sz w:val="24"/>
                              </w:rPr>
                              <w:t xml:space="preserve">The study finding will </w:t>
                            </w:r>
                            <w:r>
                              <w:rPr>
                                <w:rFonts w:ascii="Times New Roman" w:hAnsi="Times New Roman"/>
                                <w:sz w:val="24"/>
                              </w:rPr>
                              <w:t xml:space="preserve">be </w:t>
                            </w:r>
                            <w:r w:rsidRPr="00B61383">
                              <w:rPr>
                                <w:rFonts w:ascii="Times New Roman" w:hAnsi="Times New Roman"/>
                                <w:sz w:val="24"/>
                              </w:rPr>
                              <w:t xml:space="preserve">used to develop effective prevention strategies for styrene exposed workers and be distributed to the medical and scientific communities, labor groups, and industry through the following mechanisms: 1) conference presentations, 2) peer-reviewed scientific journals, 3) worker fact sheets; 4) CDC styrene website; 5) NIOSH Science Blog; 6) Twitter messages; and 7) Facebook messages. Fact sheets will be disseminated to workers through labor unions and made available to state health departments.  </w:t>
                            </w:r>
                          </w:p>
                          <w:p w:rsidRPr="00B61383" w:rsidR="00B46F2A" w:rsidP="001163D1" w:rsidRDefault="00B46F2A" w14:paraId="3BE93BEC" w14:textId="77777777">
                            <w:pPr>
                              <w:spacing w:line="276" w:lineRule="auto"/>
                              <w:rPr>
                                <w:b/>
                                <w:szCs w:val="24"/>
                              </w:rPr>
                            </w:pPr>
                          </w:p>
                          <w:p w:rsidRPr="00B61383" w:rsidR="00B46F2A" w:rsidP="001163D1" w:rsidRDefault="00B46F2A" w14:paraId="7DACB362" w14:textId="2D871ED6">
                            <w:pPr>
                              <w:pStyle w:val="ListParagraph"/>
                              <w:numPr>
                                <w:ilvl w:val="0"/>
                                <w:numId w:val="1"/>
                              </w:numPr>
                              <w:spacing w:line="276" w:lineRule="auto"/>
                              <w:rPr>
                                <w:rFonts w:ascii="Times New Roman" w:hAnsi="Times New Roman"/>
                                <w:sz w:val="24"/>
                              </w:rPr>
                            </w:pPr>
                            <w:r w:rsidRPr="00B61383">
                              <w:rPr>
                                <w:rFonts w:ascii="Times New Roman" w:hAnsi="Times New Roman"/>
                                <w:b/>
                                <w:sz w:val="24"/>
                              </w:rPr>
                              <w:t xml:space="preserve">Methods to be used to collect:  </w:t>
                            </w:r>
                            <w:r>
                              <w:rPr>
                                <w:rFonts w:ascii="Times New Roman" w:hAnsi="Times New Roman"/>
                                <w:sz w:val="24"/>
                              </w:rPr>
                              <w:t>S</w:t>
                            </w:r>
                            <w:r w:rsidRPr="00B61383">
                              <w:rPr>
                                <w:rFonts w:ascii="Times New Roman" w:hAnsi="Times New Roman"/>
                                <w:sz w:val="24"/>
                              </w:rPr>
                              <w:t>tandardized questionnaire, lung function testing (spirometry, impulse oscillometry, multiple-breath washout, bronchodilator reversibility), blood collection, , and color vision assessment</w:t>
                            </w:r>
                          </w:p>
                          <w:p w:rsidRPr="00B61383" w:rsidR="00B46F2A" w:rsidP="001163D1" w:rsidRDefault="00B46F2A" w14:paraId="656AB0F5" w14:textId="77777777">
                            <w:pPr>
                              <w:spacing w:line="276" w:lineRule="auto"/>
                              <w:rPr>
                                <w:szCs w:val="24"/>
                              </w:rPr>
                            </w:pPr>
                          </w:p>
                          <w:p w:rsidRPr="00B61383" w:rsidR="00B46F2A" w:rsidP="001163D1" w:rsidRDefault="00B46F2A" w14:paraId="491398AB"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The subpopulation to be studied:  </w:t>
                            </w:r>
                            <w:r w:rsidRPr="00B61383">
                              <w:rPr>
                                <w:rFonts w:ascii="Times New Roman" w:hAnsi="Times New Roman"/>
                                <w:sz w:val="24"/>
                              </w:rPr>
                              <w:t>Styrene-exposed workers employed ≥1 day at a Washington boatbuilding plant during Jan 1, 1959–September 30, 1978.</w:t>
                            </w:r>
                            <w:r w:rsidRPr="00B61383">
                              <w:rPr>
                                <w:rFonts w:ascii="Times New Roman" w:hAnsi="Times New Roman"/>
                                <w:b/>
                                <w:sz w:val="24"/>
                              </w:rPr>
                              <w:t xml:space="preserve"> </w:t>
                            </w:r>
                          </w:p>
                          <w:p w:rsidRPr="00B61383" w:rsidR="00B46F2A" w:rsidP="001163D1" w:rsidRDefault="00B46F2A" w14:paraId="0FD4C705" w14:textId="77777777">
                            <w:pPr>
                              <w:pStyle w:val="ListParagraph"/>
                              <w:ind w:left="360"/>
                              <w:rPr>
                                <w:rFonts w:ascii="Times New Roman" w:hAnsi="Times New Roman"/>
                                <w:b/>
                                <w:sz w:val="24"/>
                              </w:rPr>
                            </w:pPr>
                          </w:p>
                          <w:p w:rsidRPr="00B61383" w:rsidR="00B46F2A" w:rsidP="001163D1" w:rsidRDefault="00B46F2A" w14:paraId="70E3B7B2"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How data will be analyzed: </w:t>
                            </w:r>
                            <w:r w:rsidRPr="00B61383">
                              <w:rPr>
                                <w:rFonts w:ascii="Times New Roman" w:hAnsi="Times New Roman"/>
                                <w:sz w:val="24"/>
                              </w:rPr>
                              <w:t xml:space="preserve">We will compare the prevalence of symptoms and lung function abnormalities among styrene workers and a sample of the general population using NHANES data adjusting for sex, age, race/ethnicity, and smoking. We will compare the prevalence of respiratory symptoms and lung function abnormalities to previous styrene exposure levels using prevalence ratio regression modeling and generalized linear modeling. </w:t>
                            </w:r>
                          </w:p>
                          <w:p w:rsidR="00B46F2A" w:rsidP="001163D1" w:rsidRDefault="00B46F2A" w14:paraId="6B0B204C" w14:textId="77777777">
                            <w:pPr>
                              <w:spacing w:line="276" w:lineRule="auto"/>
                            </w:pPr>
                          </w:p>
                          <w:p w:rsidR="00B46F2A" w:rsidP="001163D1" w:rsidRDefault="00B46F2A" w14:paraId="24E2EE89" w14:textId="77777777">
                            <w:pPr>
                              <w:spacing w:line="276" w:lineRule="auto"/>
                            </w:pPr>
                          </w:p>
                          <w:p w:rsidR="00B46F2A" w:rsidP="001163D1" w:rsidRDefault="00B46F2A" w14:paraId="30E5B90A" w14:textId="77777777">
                            <w:pPr>
                              <w:spacing w:line="276" w:lineRule="auto"/>
                            </w:pPr>
                          </w:p>
                          <w:p w:rsidR="00B46F2A" w:rsidP="001163D1" w:rsidRDefault="00B46F2A" w14:paraId="77F8821B" w14:textId="77777777">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1F2508">
                <v:stroke joinstyle="miter"/>
                <v:path gradientshapeok="t" o:connecttype="rect"/>
              </v:shapetype>
              <v:shape id="Text Box 2" style="position:absolute;margin-left:-13.5pt;margin-top:0;width:498.45pt;height:478.5pt;z-index:2516613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">
                <v:textbox>
                  <w:txbxContent>
                    <w:p w:rsidRPr="00B61383" w:rsidR="00B46F2A" w:rsidP="001163D1" w:rsidRDefault="00B46F2A" w14:paraId="0D8D2728"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Goal of the study:  </w:t>
                      </w:r>
                      <w:r w:rsidRPr="00B61383">
                        <w:rPr>
                          <w:rFonts w:ascii="Times New Roman" w:hAnsi="Times New Roman"/>
                          <w:sz w:val="24"/>
                        </w:rPr>
                        <w:t xml:space="preserve">The goal of the proposed project is to understand the long-term respiratory health effects of styrene-exposed workers. The objective of the proposed study is: (1) to characterize work exposures by acquiring job histories and comparing with historical exposure levels obtained from a past industrial hygiene survey, (2) to examine the prevalence of respiratory morbidity by duration and level of styrene exposure, (3) to apply research biomarkers of lung injury to a styrene-exposed workforce, and (4) to describe the prevalence of color vision impairment in former workers no longer exposed to styrene and the association of color vision impairment with the presence of respiratory morbidity. </w:t>
                      </w:r>
                    </w:p>
                    <w:p w:rsidRPr="00B61383" w:rsidR="00B46F2A" w:rsidP="001163D1" w:rsidRDefault="00B46F2A" w14:paraId="7B23F13C" w14:textId="77777777">
                      <w:pPr>
                        <w:pStyle w:val="ListParagraph"/>
                        <w:ind w:left="360"/>
                        <w:rPr>
                          <w:rFonts w:ascii="Times New Roman" w:hAnsi="Times New Roman"/>
                          <w:sz w:val="24"/>
                        </w:rPr>
                      </w:pPr>
                    </w:p>
                    <w:p w:rsidRPr="00B61383" w:rsidR="00B46F2A" w:rsidP="001163D1" w:rsidRDefault="00B46F2A" w14:paraId="2CEA847B"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Intended use of the resulting data:  </w:t>
                      </w:r>
                      <w:r w:rsidRPr="00B61383">
                        <w:rPr>
                          <w:rFonts w:ascii="Times New Roman" w:hAnsi="Times New Roman"/>
                          <w:sz w:val="24"/>
                        </w:rPr>
                        <w:t xml:space="preserve">The study finding will </w:t>
                      </w:r>
                      <w:r>
                        <w:rPr>
                          <w:rFonts w:ascii="Times New Roman" w:hAnsi="Times New Roman"/>
                          <w:sz w:val="24"/>
                        </w:rPr>
                        <w:t xml:space="preserve">be </w:t>
                      </w:r>
                      <w:r w:rsidRPr="00B61383">
                        <w:rPr>
                          <w:rFonts w:ascii="Times New Roman" w:hAnsi="Times New Roman"/>
                          <w:sz w:val="24"/>
                        </w:rPr>
                        <w:t xml:space="preserve">used to develop effective prevention strategies for styrene exposed workers and be distributed to the medical and scientific communities, labor groups, and industry through the following mechanisms: 1) conference presentations, 2) peer-reviewed scientific journals, 3) worker fact sheets; 4) CDC styrene website; 5) NIOSH Science Blog; 6) Twitter messages; and 7) Facebook messages. Fact sheets will be disseminated to workers through labor unions and made available to state health departments.  </w:t>
                      </w:r>
                    </w:p>
                    <w:p w:rsidRPr="00B61383" w:rsidR="00B46F2A" w:rsidP="001163D1" w:rsidRDefault="00B46F2A" w14:paraId="3BE93BEC" w14:textId="77777777">
                      <w:pPr>
                        <w:spacing w:line="276" w:lineRule="auto"/>
                        <w:rPr>
                          <w:b/>
                          <w:szCs w:val="24"/>
                        </w:rPr>
                      </w:pPr>
                    </w:p>
                    <w:p w:rsidRPr="00B61383" w:rsidR="00B46F2A" w:rsidP="001163D1" w:rsidRDefault="00B46F2A" w14:paraId="7DACB362" w14:textId="2D871ED6">
                      <w:pPr>
                        <w:pStyle w:val="ListParagraph"/>
                        <w:numPr>
                          <w:ilvl w:val="0"/>
                          <w:numId w:val="1"/>
                        </w:numPr>
                        <w:spacing w:line="276" w:lineRule="auto"/>
                        <w:rPr>
                          <w:rFonts w:ascii="Times New Roman" w:hAnsi="Times New Roman"/>
                          <w:sz w:val="24"/>
                        </w:rPr>
                      </w:pPr>
                      <w:r w:rsidRPr="00B61383">
                        <w:rPr>
                          <w:rFonts w:ascii="Times New Roman" w:hAnsi="Times New Roman"/>
                          <w:b/>
                          <w:sz w:val="24"/>
                        </w:rPr>
                        <w:t xml:space="preserve">Methods to be used to collect:  </w:t>
                      </w:r>
                      <w:r>
                        <w:rPr>
                          <w:rFonts w:ascii="Times New Roman" w:hAnsi="Times New Roman"/>
                          <w:sz w:val="24"/>
                        </w:rPr>
                        <w:t>S</w:t>
                      </w:r>
                      <w:r w:rsidRPr="00B61383">
                        <w:rPr>
                          <w:rFonts w:ascii="Times New Roman" w:hAnsi="Times New Roman"/>
                          <w:sz w:val="24"/>
                        </w:rPr>
                        <w:t>tandardized questionnaire, lung function testing (spirometry, impulse oscillometry, multiple-breath washout, bronchodilator reversibility), blood collection, , and color vision assessment</w:t>
                      </w:r>
                    </w:p>
                    <w:p w:rsidRPr="00B61383" w:rsidR="00B46F2A" w:rsidP="001163D1" w:rsidRDefault="00B46F2A" w14:paraId="656AB0F5" w14:textId="77777777">
                      <w:pPr>
                        <w:spacing w:line="276" w:lineRule="auto"/>
                        <w:rPr>
                          <w:szCs w:val="24"/>
                        </w:rPr>
                      </w:pPr>
                    </w:p>
                    <w:p w:rsidRPr="00B61383" w:rsidR="00B46F2A" w:rsidP="001163D1" w:rsidRDefault="00B46F2A" w14:paraId="491398AB"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The subpopulation to be studied:  </w:t>
                      </w:r>
                      <w:r w:rsidRPr="00B61383">
                        <w:rPr>
                          <w:rFonts w:ascii="Times New Roman" w:hAnsi="Times New Roman"/>
                          <w:sz w:val="24"/>
                        </w:rPr>
                        <w:t>Styrene-exposed workers employed ≥1 day at a Washington boatbuilding plant during Jan 1, 1959–September 30, 1978.</w:t>
                      </w:r>
                      <w:r w:rsidRPr="00B61383">
                        <w:rPr>
                          <w:rFonts w:ascii="Times New Roman" w:hAnsi="Times New Roman"/>
                          <w:b/>
                          <w:sz w:val="24"/>
                        </w:rPr>
                        <w:t xml:space="preserve"> </w:t>
                      </w:r>
                    </w:p>
                    <w:p w:rsidRPr="00B61383" w:rsidR="00B46F2A" w:rsidP="001163D1" w:rsidRDefault="00B46F2A" w14:paraId="0FD4C705" w14:textId="77777777">
                      <w:pPr>
                        <w:pStyle w:val="ListParagraph"/>
                        <w:ind w:left="360"/>
                        <w:rPr>
                          <w:rFonts w:ascii="Times New Roman" w:hAnsi="Times New Roman"/>
                          <w:b/>
                          <w:sz w:val="24"/>
                        </w:rPr>
                      </w:pPr>
                    </w:p>
                    <w:p w:rsidRPr="00B61383" w:rsidR="00B46F2A" w:rsidP="001163D1" w:rsidRDefault="00B46F2A" w14:paraId="70E3B7B2" w14:textId="77777777">
                      <w:pPr>
                        <w:pStyle w:val="ListParagraph"/>
                        <w:numPr>
                          <w:ilvl w:val="0"/>
                          <w:numId w:val="1"/>
                        </w:numPr>
                        <w:spacing w:line="276" w:lineRule="auto"/>
                        <w:rPr>
                          <w:rFonts w:ascii="Times New Roman" w:hAnsi="Times New Roman"/>
                          <w:b/>
                          <w:sz w:val="24"/>
                        </w:rPr>
                      </w:pPr>
                      <w:r w:rsidRPr="00B61383">
                        <w:rPr>
                          <w:rFonts w:ascii="Times New Roman" w:hAnsi="Times New Roman"/>
                          <w:b/>
                          <w:sz w:val="24"/>
                        </w:rPr>
                        <w:t xml:space="preserve">How data will be analyzed: </w:t>
                      </w:r>
                      <w:r w:rsidRPr="00B61383">
                        <w:rPr>
                          <w:rFonts w:ascii="Times New Roman" w:hAnsi="Times New Roman"/>
                          <w:sz w:val="24"/>
                        </w:rPr>
                        <w:t xml:space="preserve">We will compare the prevalence of symptoms and lung function abnormalities among styrene workers and a sample of the general population using NHANES data adjusting for sex, age, race/ethnicity, and smoking. We will compare the prevalence of respiratory symptoms and lung function abnormalities to previous styrene exposure levels using prevalence ratio regression modeling and generalized linear modeling. </w:t>
                      </w:r>
                    </w:p>
                    <w:p w:rsidR="00B46F2A" w:rsidP="001163D1" w:rsidRDefault="00B46F2A" w14:paraId="6B0B204C" w14:textId="77777777">
                      <w:pPr>
                        <w:spacing w:line="276" w:lineRule="auto"/>
                      </w:pPr>
                    </w:p>
                    <w:p w:rsidR="00B46F2A" w:rsidP="001163D1" w:rsidRDefault="00B46F2A" w14:paraId="24E2EE89" w14:textId="77777777">
                      <w:pPr>
                        <w:spacing w:line="276" w:lineRule="auto"/>
                      </w:pPr>
                    </w:p>
                    <w:p w:rsidR="00B46F2A" w:rsidP="001163D1" w:rsidRDefault="00B46F2A" w14:paraId="30E5B90A" w14:textId="77777777">
                      <w:pPr>
                        <w:spacing w:line="276" w:lineRule="auto"/>
                      </w:pPr>
                    </w:p>
                    <w:p w:rsidR="00B46F2A" w:rsidP="001163D1" w:rsidRDefault="00B46F2A" w14:paraId="77F8821B" w14:textId="77777777">
                      <w:pPr>
                        <w:spacing w:line="276" w:lineRule="auto"/>
                      </w:pPr>
                    </w:p>
                  </w:txbxContent>
                </v:textbox>
                <w10:wrap anchory="margin"/>
              </v:shape>
            </w:pict>
          </mc:Fallback>
        </mc:AlternateContent>
      </w:r>
    </w:p>
    <w:p w:rsidRPr="00113164" w:rsidR="001163D1" w:rsidP="006348A9" w:rsidRDefault="001163D1" w14:paraId="32731765" w14:textId="77777777">
      <w:pPr>
        <w:jc w:val="center"/>
        <w:rPr>
          <w:b/>
          <w:u w:val="single"/>
        </w:rPr>
      </w:pPr>
    </w:p>
    <w:p w:rsidRPr="00113164" w:rsidR="001163D1" w:rsidP="006348A9" w:rsidRDefault="001163D1" w14:paraId="04555CDB" w14:textId="77777777">
      <w:pPr>
        <w:jc w:val="center"/>
        <w:rPr>
          <w:b/>
          <w:u w:val="single"/>
        </w:rPr>
      </w:pPr>
    </w:p>
    <w:p w:rsidRPr="00113164" w:rsidR="001163D1" w:rsidP="006348A9" w:rsidRDefault="001163D1" w14:paraId="59D7E4E5" w14:textId="77777777">
      <w:pPr>
        <w:jc w:val="center"/>
        <w:rPr>
          <w:b/>
          <w:u w:val="single"/>
        </w:rPr>
      </w:pPr>
    </w:p>
    <w:p w:rsidRPr="00113164" w:rsidR="001163D1" w:rsidP="006348A9" w:rsidRDefault="001163D1" w14:paraId="4A750CE4" w14:textId="77777777">
      <w:pPr>
        <w:jc w:val="center"/>
        <w:rPr>
          <w:b/>
          <w:u w:val="single"/>
        </w:rPr>
      </w:pPr>
    </w:p>
    <w:p w:rsidRPr="00113164" w:rsidR="001163D1" w:rsidP="006348A9" w:rsidRDefault="001163D1" w14:paraId="077C6FA8" w14:textId="77777777">
      <w:pPr>
        <w:jc w:val="center"/>
        <w:rPr>
          <w:b/>
          <w:u w:val="single"/>
        </w:rPr>
      </w:pPr>
    </w:p>
    <w:p w:rsidRPr="00113164" w:rsidR="001163D1" w:rsidP="006348A9" w:rsidRDefault="001163D1" w14:paraId="4BD437ED" w14:textId="77777777">
      <w:pPr>
        <w:jc w:val="center"/>
        <w:rPr>
          <w:b/>
          <w:u w:val="single"/>
        </w:rPr>
      </w:pPr>
    </w:p>
    <w:p w:rsidRPr="00113164" w:rsidR="001163D1" w:rsidP="006348A9" w:rsidRDefault="001163D1" w14:paraId="27726C45" w14:textId="77777777">
      <w:pPr>
        <w:jc w:val="center"/>
        <w:rPr>
          <w:b/>
          <w:u w:val="single"/>
        </w:rPr>
      </w:pPr>
    </w:p>
    <w:p w:rsidRPr="00113164" w:rsidR="001163D1" w:rsidP="006348A9" w:rsidRDefault="001163D1" w14:paraId="6BB05F7E" w14:textId="77777777">
      <w:pPr>
        <w:jc w:val="center"/>
        <w:rPr>
          <w:b/>
          <w:u w:val="single"/>
        </w:rPr>
      </w:pPr>
    </w:p>
    <w:p w:rsidRPr="00113164" w:rsidR="001163D1" w:rsidP="006348A9" w:rsidRDefault="001163D1" w14:paraId="684C491A" w14:textId="77777777">
      <w:pPr>
        <w:jc w:val="center"/>
        <w:rPr>
          <w:b/>
          <w:u w:val="single"/>
        </w:rPr>
      </w:pPr>
    </w:p>
    <w:p w:rsidRPr="00113164" w:rsidR="001163D1" w:rsidP="006348A9" w:rsidRDefault="001163D1" w14:paraId="519D4CAD" w14:textId="77777777">
      <w:pPr>
        <w:jc w:val="center"/>
        <w:rPr>
          <w:b/>
          <w:u w:val="single"/>
        </w:rPr>
      </w:pPr>
    </w:p>
    <w:p w:rsidRPr="00113164" w:rsidR="001163D1" w:rsidP="006348A9" w:rsidRDefault="001163D1" w14:paraId="1A9367B6" w14:textId="77777777">
      <w:pPr>
        <w:jc w:val="center"/>
        <w:rPr>
          <w:b/>
          <w:u w:val="single"/>
        </w:rPr>
      </w:pPr>
    </w:p>
    <w:p w:rsidRPr="00113164" w:rsidR="001163D1" w:rsidP="006348A9" w:rsidRDefault="001163D1" w14:paraId="23FE62F2" w14:textId="77777777">
      <w:pPr>
        <w:jc w:val="center"/>
        <w:rPr>
          <w:b/>
          <w:u w:val="single"/>
        </w:rPr>
      </w:pPr>
    </w:p>
    <w:p w:rsidRPr="00113164" w:rsidR="001163D1" w:rsidP="006348A9" w:rsidRDefault="001163D1" w14:paraId="7126AFBC" w14:textId="77777777">
      <w:pPr>
        <w:jc w:val="center"/>
        <w:rPr>
          <w:b/>
          <w:u w:val="single"/>
        </w:rPr>
      </w:pPr>
    </w:p>
    <w:p w:rsidRPr="00113164" w:rsidR="001163D1" w:rsidP="006348A9" w:rsidRDefault="001163D1" w14:paraId="7430A69F" w14:textId="77777777">
      <w:pPr>
        <w:jc w:val="center"/>
        <w:rPr>
          <w:b/>
          <w:u w:val="single"/>
        </w:rPr>
      </w:pPr>
    </w:p>
    <w:p w:rsidRPr="00113164" w:rsidR="001163D1" w:rsidP="006348A9" w:rsidRDefault="001163D1" w14:paraId="09750E30" w14:textId="77777777">
      <w:pPr>
        <w:jc w:val="center"/>
        <w:rPr>
          <w:b/>
          <w:u w:val="single"/>
        </w:rPr>
      </w:pPr>
    </w:p>
    <w:p w:rsidRPr="00113164" w:rsidR="001163D1" w:rsidP="006348A9" w:rsidRDefault="001163D1" w14:paraId="6AADF49E" w14:textId="77777777">
      <w:pPr>
        <w:jc w:val="center"/>
        <w:rPr>
          <w:b/>
          <w:u w:val="single"/>
        </w:rPr>
      </w:pPr>
    </w:p>
    <w:p w:rsidRPr="00113164" w:rsidR="001163D1" w:rsidP="006348A9" w:rsidRDefault="001163D1" w14:paraId="2E8E3F8B" w14:textId="77777777">
      <w:pPr>
        <w:jc w:val="center"/>
        <w:rPr>
          <w:b/>
          <w:u w:val="single"/>
        </w:rPr>
      </w:pPr>
    </w:p>
    <w:p w:rsidRPr="00113164" w:rsidR="001163D1" w:rsidP="006348A9" w:rsidRDefault="001163D1" w14:paraId="222891C9" w14:textId="77777777">
      <w:pPr>
        <w:jc w:val="center"/>
        <w:rPr>
          <w:b/>
          <w:u w:val="single"/>
        </w:rPr>
      </w:pPr>
    </w:p>
    <w:p w:rsidRPr="00113164" w:rsidR="001163D1" w:rsidP="006348A9" w:rsidRDefault="001163D1" w14:paraId="096DA124" w14:textId="77777777">
      <w:pPr>
        <w:jc w:val="center"/>
        <w:rPr>
          <w:b/>
          <w:u w:val="single"/>
        </w:rPr>
      </w:pPr>
    </w:p>
    <w:p w:rsidRPr="00113164" w:rsidR="001163D1" w:rsidP="006348A9" w:rsidRDefault="001163D1" w14:paraId="4DCBA2BE" w14:textId="77777777">
      <w:pPr>
        <w:jc w:val="center"/>
        <w:rPr>
          <w:b/>
          <w:u w:val="single"/>
        </w:rPr>
      </w:pPr>
    </w:p>
    <w:p w:rsidRPr="00113164" w:rsidR="001163D1" w:rsidP="006348A9" w:rsidRDefault="001163D1" w14:paraId="182F2380" w14:textId="77777777">
      <w:pPr>
        <w:jc w:val="center"/>
        <w:rPr>
          <w:b/>
          <w:u w:val="single"/>
        </w:rPr>
      </w:pPr>
    </w:p>
    <w:p w:rsidRPr="00113164" w:rsidR="001163D1" w:rsidP="006348A9" w:rsidRDefault="001163D1" w14:paraId="63719C1F" w14:textId="77777777">
      <w:pPr>
        <w:jc w:val="center"/>
        <w:rPr>
          <w:b/>
          <w:u w:val="single"/>
        </w:rPr>
      </w:pPr>
    </w:p>
    <w:p w:rsidRPr="00113164" w:rsidR="001163D1" w:rsidP="006348A9" w:rsidRDefault="001163D1" w14:paraId="187F3B10" w14:textId="77777777">
      <w:pPr>
        <w:jc w:val="center"/>
        <w:rPr>
          <w:b/>
          <w:u w:val="single"/>
        </w:rPr>
      </w:pPr>
    </w:p>
    <w:p w:rsidRPr="00113164" w:rsidR="001163D1" w:rsidP="006348A9" w:rsidRDefault="001163D1" w14:paraId="64099A92" w14:textId="77777777">
      <w:pPr>
        <w:jc w:val="center"/>
        <w:rPr>
          <w:b/>
          <w:u w:val="single"/>
        </w:rPr>
      </w:pPr>
    </w:p>
    <w:p w:rsidRPr="00113164" w:rsidR="001163D1" w:rsidP="006348A9" w:rsidRDefault="001163D1" w14:paraId="5F7BB0FF" w14:textId="77777777">
      <w:pPr>
        <w:jc w:val="center"/>
        <w:rPr>
          <w:b/>
          <w:u w:val="single"/>
        </w:rPr>
      </w:pPr>
    </w:p>
    <w:p w:rsidRPr="00113164" w:rsidR="001163D1" w:rsidP="006348A9" w:rsidRDefault="001163D1" w14:paraId="27421E4D" w14:textId="77777777">
      <w:pPr>
        <w:jc w:val="center"/>
        <w:rPr>
          <w:b/>
          <w:u w:val="single"/>
        </w:rPr>
      </w:pPr>
    </w:p>
    <w:p w:rsidRPr="00113164" w:rsidR="001163D1" w:rsidP="006348A9" w:rsidRDefault="001163D1" w14:paraId="2E912686" w14:textId="77777777">
      <w:pPr>
        <w:jc w:val="center"/>
        <w:rPr>
          <w:b/>
          <w:u w:val="single"/>
        </w:rPr>
      </w:pPr>
    </w:p>
    <w:p w:rsidRPr="00113164" w:rsidR="001163D1" w:rsidP="006348A9" w:rsidRDefault="001163D1" w14:paraId="117F9F26" w14:textId="77777777">
      <w:pPr>
        <w:jc w:val="center"/>
        <w:rPr>
          <w:b/>
          <w:u w:val="single"/>
        </w:rPr>
      </w:pPr>
    </w:p>
    <w:p w:rsidRPr="00113164" w:rsidR="001163D1" w:rsidP="006348A9" w:rsidRDefault="001163D1" w14:paraId="68093EAF" w14:textId="77777777">
      <w:pPr>
        <w:jc w:val="center"/>
        <w:rPr>
          <w:b/>
          <w:u w:val="single"/>
        </w:rPr>
      </w:pPr>
    </w:p>
    <w:p w:rsidRPr="00113164" w:rsidR="001163D1" w:rsidP="006348A9" w:rsidRDefault="001163D1" w14:paraId="45B69D29" w14:textId="77777777">
      <w:pPr>
        <w:jc w:val="center"/>
        <w:rPr>
          <w:b/>
          <w:u w:val="single"/>
        </w:rPr>
      </w:pPr>
    </w:p>
    <w:p w:rsidRPr="00113164" w:rsidR="001163D1" w:rsidP="006348A9" w:rsidRDefault="001163D1" w14:paraId="09B802B8" w14:textId="77777777">
      <w:pPr>
        <w:jc w:val="center"/>
        <w:rPr>
          <w:b/>
          <w:u w:val="single"/>
        </w:rPr>
      </w:pPr>
    </w:p>
    <w:p w:rsidRPr="00113164" w:rsidR="001163D1" w:rsidP="006348A9" w:rsidRDefault="001163D1" w14:paraId="734CF1A1" w14:textId="77777777">
      <w:pPr>
        <w:jc w:val="center"/>
        <w:rPr>
          <w:b/>
          <w:u w:val="single"/>
        </w:rPr>
      </w:pPr>
    </w:p>
    <w:p w:rsidRPr="00113164" w:rsidR="001163D1" w:rsidP="006348A9" w:rsidRDefault="001163D1" w14:paraId="69DEB4CE" w14:textId="77777777">
      <w:pPr>
        <w:jc w:val="center"/>
        <w:rPr>
          <w:b/>
          <w:u w:val="single"/>
        </w:rPr>
      </w:pPr>
    </w:p>
    <w:p w:rsidRPr="00113164" w:rsidR="001163D1" w:rsidP="006348A9" w:rsidRDefault="001163D1" w14:paraId="1FCB44D7" w14:textId="77777777">
      <w:pPr>
        <w:jc w:val="center"/>
        <w:rPr>
          <w:b/>
          <w:u w:val="single"/>
        </w:rPr>
      </w:pPr>
    </w:p>
    <w:p w:rsidRPr="00113164" w:rsidR="001163D1" w:rsidP="006348A9" w:rsidRDefault="001163D1" w14:paraId="541CA533" w14:textId="77777777">
      <w:pPr>
        <w:jc w:val="center"/>
        <w:rPr>
          <w:b/>
          <w:u w:val="single"/>
        </w:rPr>
      </w:pPr>
    </w:p>
    <w:p w:rsidRPr="00113164" w:rsidR="001163D1" w:rsidP="006348A9" w:rsidRDefault="001163D1" w14:paraId="69FA7F19" w14:textId="77777777">
      <w:pPr>
        <w:jc w:val="center"/>
        <w:rPr>
          <w:b/>
          <w:u w:val="single"/>
        </w:rPr>
      </w:pPr>
    </w:p>
    <w:p w:rsidRPr="00113164" w:rsidR="001163D1" w:rsidP="006348A9" w:rsidRDefault="001163D1" w14:paraId="49EADFA9" w14:textId="77777777">
      <w:pPr>
        <w:jc w:val="center"/>
        <w:rPr>
          <w:b/>
          <w:u w:val="single"/>
        </w:rPr>
      </w:pPr>
    </w:p>
    <w:p w:rsidRPr="00113164" w:rsidR="001163D1" w:rsidP="006348A9" w:rsidRDefault="001163D1" w14:paraId="529340B8" w14:textId="77777777">
      <w:pPr>
        <w:jc w:val="center"/>
        <w:rPr>
          <w:b/>
          <w:u w:val="single"/>
        </w:rPr>
      </w:pPr>
    </w:p>
    <w:p w:rsidRPr="00113164" w:rsidR="00AE60A5" w:rsidP="006348A9" w:rsidRDefault="00AE60A5" w14:paraId="7626A304" w14:textId="77777777">
      <w:pPr>
        <w:jc w:val="center"/>
        <w:rPr>
          <w:highlight w:val="yellow"/>
        </w:rPr>
      </w:pPr>
      <w:r w:rsidRPr="00113164">
        <w:rPr>
          <w:b/>
          <w:u w:val="single"/>
        </w:rPr>
        <w:t>Table of Contents</w:t>
      </w:r>
    </w:p>
    <w:p w:rsidRPr="00113164" w:rsidR="00AE60A5" w:rsidP="00AE60A5" w:rsidRDefault="00AE60A5" w14:paraId="4348B7EE" w14:textId="77777777">
      <w:pPr>
        <w:jc w:val="center"/>
      </w:pPr>
    </w:p>
    <w:p w:rsidRPr="00113164" w:rsidR="00AE60A5" w:rsidP="00AE60A5" w:rsidRDefault="002A7193" w14:paraId="57C4F974" w14:textId="77777777">
      <w:pPr>
        <w:rPr>
          <w:b/>
        </w:rPr>
      </w:pPr>
      <w:r w:rsidRPr="00113164">
        <w:rPr>
          <w:b/>
        </w:rPr>
        <w:t xml:space="preserve">Section A. </w:t>
      </w:r>
      <w:r w:rsidRPr="00113164" w:rsidR="00AE60A5">
        <w:rPr>
          <w:b/>
        </w:rPr>
        <w:t>Justification</w:t>
      </w:r>
      <w:r w:rsidRPr="00113164" w:rsidR="00AE60A5">
        <w:rPr>
          <w:b/>
        </w:rPr>
        <w:tab/>
      </w:r>
      <w:r w:rsidRPr="00113164" w:rsidR="00AE60A5">
        <w:rPr>
          <w:b/>
        </w:rPr>
        <w:tab/>
      </w:r>
      <w:r w:rsidRPr="00113164" w:rsidR="00AE60A5">
        <w:rPr>
          <w:b/>
        </w:rPr>
        <w:tab/>
      </w:r>
      <w:r w:rsidRPr="00113164" w:rsidR="00AE60A5">
        <w:rPr>
          <w:b/>
        </w:rPr>
        <w:tab/>
      </w:r>
      <w:r w:rsidRPr="00113164" w:rsidR="00AE60A5">
        <w:rPr>
          <w:b/>
        </w:rPr>
        <w:tab/>
      </w:r>
      <w:r w:rsidRPr="00113164" w:rsidR="00AE60A5">
        <w:rPr>
          <w:b/>
        </w:rPr>
        <w:tab/>
        <w:t xml:space="preserve">      </w:t>
      </w:r>
      <w:r w:rsidRPr="00113164" w:rsidR="00AE60A5">
        <w:rPr>
          <w:b/>
        </w:rPr>
        <w:tab/>
      </w:r>
      <w:r w:rsidRPr="00113164" w:rsidR="00AE60A5">
        <w:rPr>
          <w:b/>
        </w:rPr>
        <w:tab/>
        <w:t xml:space="preserve">Page No. </w:t>
      </w:r>
    </w:p>
    <w:p w:rsidRPr="00113164" w:rsidR="00AE60A5" w:rsidP="00AE60A5" w:rsidRDefault="00AE60A5" w14:paraId="3AA2C8BC" w14:textId="77777777">
      <w:pPr>
        <w:rPr>
          <w:b/>
        </w:rPr>
      </w:pPr>
    </w:p>
    <w:p w:rsidRPr="001C5975" w:rsidR="00AE60A5" w:rsidP="00AE60A5" w:rsidRDefault="00AE60A5" w14:paraId="11FB95DD" w14:textId="77777777">
      <w:pPr>
        <w:jc w:val="both"/>
      </w:pPr>
      <w:r w:rsidRPr="001C5975">
        <w:t>A1.</w:t>
      </w:r>
      <w:r w:rsidRPr="001C5975">
        <w:tab/>
        <w:t>Circumstances Making the Collecti</w:t>
      </w:r>
      <w:r w:rsidRPr="001C5975" w:rsidR="00B77B80">
        <w:t>on of Information Necessary</w:t>
      </w:r>
      <w:r w:rsidRPr="001C5975" w:rsidR="00B77B80">
        <w:tab/>
      </w:r>
      <w:r w:rsidRPr="001C5975" w:rsidR="00B77B80">
        <w:tab/>
      </w:r>
      <w:r w:rsidRPr="001C5975" w:rsidR="00B77B80">
        <w:tab/>
      </w:r>
      <w:r w:rsidRPr="001C5975">
        <w:t>5</w:t>
      </w:r>
    </w:p>
    <w:p w:rsidRPr="001C5975" w:rsidR="00AE60A5" w:rsidP="00AE60A5" w:rsidRDefault="00AE60A5" w14:paraId="7BB0F049" w14:textId="77777777">
      <w:pPr>
        <w:jc w:val="both"/>
      </w:pPr>
      <w:r w:rsidRPr="001C5975">
        <w:t>A2.</w:t>
      </w:r>
      <w:r w:rsidRPr="001C5975">
        <w:tab/>
        <w:t>Purpose and Use o</w:t>
      </w:r>
      <w:r w:rsidRPr="001C5975" w:rsidR="00B77B80">
        <w:t>f Information Collection</w:t>
      </w:r>
      <w:r w:rsidRPr="001C5975" w:rsidR="00B77B80">
        <w:tab/>
      </w:r>
      <w:r w:rsidRPr="001C5975" w:rsidR="00B77B80">
        <w:tab/>
      </w:r>
      <w:r w:rsidRPr="001C5975" w:rsidR="00B77B80">
        <w:tab/>
      </w:r>
      <w:r w:rsidRPr="001C5975" w:rsidR="00B77B80">
        <w:tab/>
      </w:r>
      <w:r w:rsidRPr="001C5975" w:rsidR="00B77B80">
        <w:tab/>
      </w:r>
      <w:r w:rsidRPr="001C5975" w:rsidR="00B77B80">
        <w:tab/>
      </w:r>
      <w:r w:rsidRPr="001C5975">
        <w:t>6</w:t>
      </w:r>
    </w:p>
    <w:p w:rsidRPr="001C5975" w:rsidR="00AE60A5" w:rsidP="00AE60A5" w:rsidRDefault="00AE60A5" w14:paraId="4DFF18C7" w14:textId="3F3B548F">
      <w:pPr>
        <w:jc w:val="both"/>
      </w:pPr>
      <w:r w:rsidRPr="001C5975">
        <w:t>A3.</w:t>
      </w:r>
      <w:r w:rsidRPr="001C5975">
        <w:tab/>
        <w:t>Use of Improved Information Tech</w:t>
      </w:r>
      <w:r w:rsidRPr="001C5975" w:rsidR="00B77B80">
        <w:t>nology and Burden Reduction</w:t>
      </w:r>
      <w:r w:rsidRPr="001C5975" w:rsidR="00B77B80">
        <w:tab/>
      </w:r>
      <w:r w:rsidRPr="001C5975" w:rsidR="00B77B80">
        <w:tab/>
      </w:r>
      <w:r w:rsidRPr="001C5975" w:rsidR="00B77B80">
        <w:tab/>
      </w:r>
      <w:r w:rsidR="00633F8D">
        <w:t>9</w:t>
      </w:r>
    </w:p>
    <w:p w:rsidRPr="001C5975" w:rsidR="00AE60A5" w:rsidP="00AE60A5" w:rsidRDefault="00AE60A5" w14:paraId="4E6678A9" w14:textId="26F5A3B5">
      <w:pPr>
        <w:jc w:val="both"/>
      </w:pPr>
      <w:r w:rsidRPr="001C5975">
        <w:t>A4.</w:t>
      </w:r>
      <w:r w:rsidRPr="001C5975">
        <w:tab/>
        <w:t>Efforts to Identify Duplication and Use of Similar Information</w:t>
      </w:r>
      <w:r w:rsidRPr="001C5975" w:rsidR="00B77B80">
        <w:tab/>
      </w:r>
      <w:r w:rsidRPr="001C5975" w:rsidR="00B77B80">
        <w:tab/>
      </w:r>
      <w:r w:rsidRPr="001C5975" w:rsidR="00B77B80">
        <w:tab/>
      </w:r>
      <w:r w:rsidR="00633F8D">
        <w:t>9</w:t>
      </w:r>
    </w:p>
    <w:p w:rsidRPr="001C5975" w:rsidR="00AE60A5" w:rsidP="00AE60A5" w:rsidRDefault="00AE60A5" w14:paraId="4C2FDA96" w14:textId="77777777">
      <w:pPr>
        <w:jc w:val="both"/>
      </w:pPr>
      <w:r w:rsidRPr="001C5975">
        <w:t>A5.</w:t>
      </w:r>
      <w:r w:rsidRPr="001C5975">
        <w:tab/>
        <w:t>Impact on Small Businesses or Other Small Entities</w:t>
      </w:r>
      <w:r w:rsidRPr="001C5975">
        <w:tab/>
      </w:r>
      <w:r w:rsidRPr="001C5975">
        <w:tab/>
      </w:r>
      <w:r w:rsidRPr="001C5975">
        <w:tab/>
      </w:r>
      <w:r w:rsidRPr="001C5975">
        <w:tab/>
      </w:r>
      <w:r w:rsidRPr="001C5975">
        <w:tab/>
      </w:r>
      <w:r w:rsidRPr="001C5975" w:rsidR="005E2D64">
        <w:t>10</w:t>
      </w:r>
    </w:p>
    <w:p w:rsidRPr="001C5975" w:rsidR="00AE60A5" w:rsidP="00AE60A5" w:rsidRDefault="00AE60A5" w14:paraId="62E19B9C" w14:textId="77777777">
      <w:pPr>
        <w:jc w:val="both"/>
      </w:pPr>
      <w:r w:rsidRPr="001C5975">
        <w:t>A6.</w:t>
      </w:r>
      <w:r w:rsidRPr="001C5975">
        <w:tab/>
        <w:t>Consequences of Collecting Information Less Frequently</w:t>
      </w:r>
      <w:r w:rsidRPr="001C5975">
        <w:tab/>
      </w:r>
      <w:r w:rsidRPr="001C5975">
        <w:tab/>
      </w:r>
      <w:r w:rsidRPr="001C5975">
        <w:tab/>
      </w:r>
      <w:r w:rsidRPr="001C5975">
        <w:tab/>
      </w:r>
      <w:r w:rsidRPr="001C5975" w:rsidR="005E2D64">
        <w:t>10</w:t>
      </w:r>
      <w:r w:rsidRPr="001C5975">
        <w:t xml:space="preserve"> </w:t>
      </w:r>
    </w:p>
    <w:p w:rsidRPr="001C5975" w:rsidR="00AE60A5" w:rsidP="00AE60A5" w:rsidRDefault="00AE60A5" w14:paraId="041B97D4" w14:textId="77777777">
      <w:pPr>
        <w:jc w:val="both"/>
      </w:pPr>
      <w:r w:rsidRPr="001C5975">
        <w:t>A7.</w:t>
      </w:r>
      <w:r w:rsidRPr="001C5975">
        <w:tab/>
        <w:t>Special Circumstances Relating to the</w:t>
      </w:r>
      <w:r w:rsidRPr="001C5975" w:rsidR="002A7193">
        <w:t xml:space="preserve"> Guidelines of 5 CFR 1320.5</w:t>
      </w:r>
      <w:r w:rsidRPr="001C5975" w:rsidR="002A7193">
        <w:tab/>
      </w:r>
      <w:r w:rsidRPr="001C5975" w:rsidR="002A7193">
        <w:tab/>
      </w:r>
      <w:r w:rsidRPr="001C5975" w:rsidR="002A7193">
        <w:tab/>
      </w:r>
      <w:r w:rsidRPr="001C5975" w:rsidR="005E2D64">
        <w:t>10</w:t>
      </w:r>
    </w:p>
    <w:p w:rsidRPr="001C5975" w:rsidR="00AE60A5" w:rsidP="00AE60A5" w:rsidRDefault="00AE60A5" w14:paraId="319C3F90" w14:textId="77777777">
      <w:r w:rsidRPr="001C5975">
        <w:t>A8.</w:t>
      </w:r>
      <w:r w:rsidRPr="001C5975">
        <w:tab/>
        <w:t>Comments in Response to the Federal Register Notice and</w:t>
      </w:r>
    </w:p>
    <w:p w:rsidRPr="001C5975" w:rsidR="00AE60A5" w:rsidP="00AE60A5" w:rsidRDefault="00AE60A5" w14:paraId="523F3CD8" w14:textId="77777777">
      <w:pPr>
        <w:ind w:firstLine="720"/>
      </w:pPr>
      <w:r w:rsidRPr="001C5975">
        <w:t>Efforts to Consult Outside of the Agency</w:t>
      </w:r>
      <w:r w:rsidRPr="001C5975">
        <w:tab/>
      </w:r>
      <w:r w:rsidRPr="001C5975">
        <w:tab/>
      </w:r>
      <w:r w:rsidRPr="001C5975">
        <w:tab/>
      </w:r>
      <w:r w:rsidRPr="001C5975">
        <w:tab/>
      </w:r>
      <w:r w:rsidRPr="001C5975">
        <w:tab/>
      </w:r>
      <w:r w:rsidRPr="001C5975">
        <w:tab/>
      </w:r>
      <w:r w:rsidRPr="001C5975" w:rsidR="005E2D64">
        <w:t>10</w:t>
      </w:r>
    </w:p>
    <w:p w:rsidRPr="001C5975" w:rsidR="00AE60A5" w:rsidP="00AE60A5" w:rsidRDefault="00AE60A5" w14:paraId="5F0E19E3" w14:textId="77777777">
      <w:r w:rsidRPr="001C5975">
        <w:t>A9.</w:t>
      </w:r>
      <w:r w:rsidRPr="001C5975">
        <w:tab/>
        <w:t>Explanation of any Payment or Gifts to Respondents</w:t>
      </w:r>
      <w:r w:rsidRPr="001C5975">
        <w:tab/>
      </w:r>
      <w:r w:rsidRPr="001C5975">
        <w:tab/>
      </w:r>
      <w:r w:rsidRPr="001C5975">
        <w:tab/>
      </w:r>
      <w:r w:rsidRPr="001C5975">
        <w:tab/>
      </w:r>
      <w:r w:rsidRPr="001C5975" w:rsidR="00AF0D97">
        <w:t>11</w:t>
      </w:r>
    </w:p>
    <w:p w:rsidRPr="001C5975" w:rsidR="00AE60A5" w:rsidP="00AE60A5" w:rsidRDefault="00AE60A5" w14:paraId="3B03F720" w14:textId="77777777">
      <w:r w:rsidRPr="001C5975">
        <w:t>A10.</w:t>
      </w:r>
      <w:r w:rsidRPr="001C5975">
        <w:tab/>
      </w:r>
      <w:r w:rsidRPr="001C5975" w:rsidR="000A7F70">
        <w:t>Assurance of</w:t>
      </w:r>
      <w:r w:rsidRPr="001C5975">
        <w:t xml:space="preserve"> Confidentiality Provided</w:t>
      </w:r>
      <w:r w:rsidRPr="001C5975" w:rsidR="000A7F70">
        <w:t xml:space="preserve"> to</w:t>
      </w:r>
      <w:r w:rsidRPr="001C5975">
        <w:t xml:space="preserve"> Respondents</w:t>
      </w:r>
      <w:r w:rsidRPr="001C5975">
        <w:tab/>
      </w:r>
      <w:r w:rsidRPr="001C5975">
        <w:tab/>
      </w:r>
      <w:r w:rsidRPr="001C5975">
        <w:tab/>
      </w:r>
      <w:r w:rsidRPr="001C5975">
        <w:tab/>
      </w:r>
      <w:r w:rsidRPr="001C5975" w:rsidR="00AF0D97">
        <w:t>11</w:t>
      </w:r>
    </w:p>
    <w:p w:rsidRPr="001C5975" w:rsidR="00AE60A5" w:rsidP="00AE60A5" w:rsidRDefault="00AE60A5" w14:paraId="222C626A" w14:textId="77777777">
      <w:r w:rsidRPr="001C5975">
        <w:t>A11.</w:t>
      </w:r>
      <w:r w:rsidRPr="001C5975">
        <w:tab/>
        <w:t>Justification for Sensitive Questions</w:t>
      </w:r>
      <w:r w:rsidRPr="001C5975">
        <w:tab/>
      </w:r>
      <w:r w:rsidRPr="001C5975" w:rsidR="002A7193">
        <w:tab/>
      </w:r>
      <w:r w:rsidRPr="001C5975" w:rsidR="002A7193">
        <w:tab/>
      </w:r>
      <w:r w:rsidRPr="001C5975" w:rsidR="002A7193">
        <w:tab/>
      </w:r>
      <w:r w:rsidRPr="001C5975" w:rsidR="002A7193">
        <w:tab/>
      </w:r>
      <w:r w:rsidRPr="001C5975" w:rsidR="002A7193">
        <w:tab/>
      </w:r>
      <w:r w:rsidRPr="001C5975" w:rsidR="002A7193">
        <w:tab/>
        <w:t>1</w:t>
      </w:r>
      <w:r w:rsidRPr="001C5975" w:rsidR="00C42072">
        <w:t>2</w:t>
      </w:r>
    </w:p>
    <w:p w:rsidRPr="001C5975" w:rsidR="00AE60A5" w:rsidP="00AE60A5" w:rsidRDefault="00AE60A5" w14:paraId="1BC8438B" w14:textId="77777777">
      <w:r w:rsidRPr="001C5975">
        <w:t>A12.</w:t>
      </w:r>
      <w:r w:rsidRPr="001C5975">
        <w:tab/>
        <w:t>Estimates of Annualized Burden Hours and Costs</w:t>
      </w:r>
      <w:r w:rsidRPr="001C5975">
        <w:tab/>
      </w:r>
      <w:r w:rsidRPr="001C5975">
        <w:tab/>
      </w:r>
      <w:r w:rsidRPr="001C5975">
        <w:tab/>
      </w:r>
      <w:r w:rsidRPr="001C5975">
        <w:tab/>
      </w:r>
      <w:r w:rsidRPr="001C5975">
        <w:tab/>
      </w:r>
      <w:r w:rsidRPr="001C5975" w:rsidR="002A7193">
        <w:t>1</w:t>
      </w:r>
      <w:r w:rsidRPr="001C5975" w:rsidR="00C42072">
        <w:t>2</w:t>
      </w:r>
    </w:p>
    <w:p w:rsidRPr="001C5975" w:rsidR="00AE60A5" w:rsidP="00AE60A5" w:rsidRDefault="00AE60A5" w14:paraId="6CD3E676" w14:textId="77777777">
      <w:pPr>
        <w:ind w:firstLine="720"/>
      </w:pPr>
      <w:r w:rsidRPr="001C5975">
        <w:t>Estima</w:t>
      </w:r>
      <w:r w:rsidRPr="001C5975" w:rsidR="00B77B80">
        <w:t>ted Annual Burden Hours</w:t>
      </w:r>
      <w:r w:rsidRPr="001C5975" w:rsidR="00B77B80">
        <w:tab/>
      </w:r>
      <w:r w:rsidRPr="001C5975" w:rsidR="00B77B80">
        <w:tab/>
      </w:r>
      <w:r w:rsidRPr="001C5975" w:rsidR="00B77B80">
        <w:tab/>
      </w:r>
      <w:r w:rsidRPr="001C5975" w:rsidR="00B77B80">
        <w:tab/>
      </w:r>
      <w:r w:rsidRPr="001C5975" w:rsidR="00B77B80">
        <w:tab/>
      </w:r>
      <w:r w:rsidRPr="001C5975" w:rsidR="00B77B80">
        <w:tab/>
      </w:r>
      <w:r w:rsidRPr="001C5975" w:rsidR="00B77B80">
        <w:tab/>
        <w:t>1</w:t>
      </w:r>
      <w:r w:rsidRPr="001C5975" w:rsidR="006B7D74">
        <w:t>3</w:t>
      </w:r>
    </w:p>
    <w:p w:rsidRPr="001C5975" w:rsidR="00AE60A5" w:rsidP="00AE60A5" w:rsidRDefault="00AE60A5" w14:paraId="183D3B33" w14:textId="77777777">
      <w:pPr>
        <w:ind w:firstLine="720"/>
      </w:pPr>
      <w:r w:rsidRPr="001C5975">
        <w:t>Estima</w:t>
      </w:r>
      <w:r w:rsidRPr="001C5975" w:rsidR="00B77B80">
        <w:t>ted Annual Burden Costs</w:t>
      </w:r>
      <w:r w:rsidRPr="001C5975" w:rsidR="00B77B80">
        <w:tab/>
      </w:r>
      <w:r w:rsidRPr="001C5975" w:rsidR="00B77B80">
        <w:tab/>
      </w:r>
      <w:r w:rsidRPr="001C5975" w:rsidR="00B77B80">
        <w:tab/>
      </w:r>
      <w:r w:rsidRPr="001C5975" w:rsidR="00B77B80">
        <w:tab/>
      </w:r>
      <w:r w:rsidRPr="001C5975" w:rsidR="00B77B80">
        <w:tab/>
      </w:r>
      <w:r w:rsidRPr="001C5975" w:rsidR="00B77B80">
        <w:tab/>
      </w:r>
      <w:r w:rsidRPr="001C5975" w:rsidR="00B77B80">
        <w:tab/>
        <w:t>1</w:t>
      </w:r>
      <w:r w:rsidRPr="001C5975" w:rsidR="006B7D74">
        <w:t>4</w:t>
      </w:r>
    </w:p>
    <w:p w:rsidRPr="001C5975" w:rsidR="00AE60A5" w:rsidP="00AE60A5" w:rsidRDefault="00AE60A5" w14:paraId="0014D099" w14:textId="77777777">
      <w:pPr>
        <w:ind w:left="720" w:hanging="720"/>
      </w:pPr>
      <w:r w:rsidRPr="001C5975">
        <w:t>A13.</w:t>
      </w:r>
      <w:r w:rsidRPr="001C5975">
        <w:tab/>
        <w:t>Estimates of Other Total Annual Cost Burden to Respondents or Record Ke</w:t>
      </w:r>
      <w:r w:rsidRPr="001C5975" w:rsidR="00B77B80">
        <w:t>epers</w:t>
      </w:r>
      <w:r w:rsidRPr="001C5975" w:rsidR="00B77B80">
        <w:tab/>
        <w:t>1</w:t>
      </w:r>
      <w:r w:rsidRPr="001C5975" w:rsidR="007B1A4E">
        <w:t>5</w:t>
      </w:r>
    </w:p>
    <w:p w:rsidRPr="001C5975" w:rsidR="00AE60A5" w:rsidP="00AE60A5" w:rsidRDefault="00AE60A5" w14:paraId="3993327B" w14:textId="77777777">
      <w:r w:rsidRPr="001C5975">
        <w:t>A14.</w:t>
      </w:r>
      <w:r w:rsidRPr="001C5975">
        <w:tab/>
        <w:t>Annualized</w:t>
      </w:r>
      <w:r w:rsidRPr="001C5975" w:rsidR="00B77B80">
        <w:t xml:space="preserve"> Cost to the Government</w:t>
      </w:r>
      <w:r w:rsidRPr="001C5975" w:rsidR="00B77B80">
        <w:tab/>
      </w:r>
      <w:r w:rsidRPr="001C5975" w:rsidR="00B77B80">
        <w:tab/>
      </w:r>
      <w:r w:rsidRPr="001C5975" w:rsidR="00B77B80">
        <w:tab/>
      </w:r>
      <w:r w:rsidRPr="001C5975" w:rsidR="00B77B80">
        <w:tab/>
      </w:r>
      <w:r w:rsidRPr="001C5975" w:rsidR="00B77B80">
        <w:tab/>
      </w:r>
      <w:r w:rsidRPr="001C5975" w:rsidR="00B77B80">
        <w:tab/>
      </w:r>
      <w:r w:rsidRPr="001C5975" w:rsidR="00B77B80">
        <w:tab/>
        <w:t>1</w:t>
      </w:r>
      <w:r w:rsidRPr="001C5975" w:rsidR="007B1A4E">
        <w:t>5</w:t>
      </w:r>
    </w:p>
    <w:p w:rsidRPr="001C5975" w:rsidR="00AE60A5" w:rsidP="00AE60A5" w:rsidRDefault="00AE60A5" w14:paraId="5F047BAA" w14:textId="77777777">
      <w:r w:rsidRPr="001C5975">
        <w:t>A15.</w:t>
      </w:r>
      <w:r w:rsidRPr="001C5975">
        <w:tab/>
        <w:t>Explanation for Prog</w:t>
      </w:r>
      <w:r w:rsidRPr="001C5975" w:rsidR="00B77B80">
        <w:t>ram Changes or Adjustments</w:t>
      </w:r>
      <w:r w:rsidRPr="001C5975" w:rsidR="00B77B80">
        <w:tab/>
      </w:r>
      <w:r w:rsidRPr="001C5975" w:rsidR="00B77B80">
        <w:tab/>
      </w:r>
      <w:r w:rsidRPr="001C5975" w:rsidR="00B77B80">
        <w:tab/>
      </w:r>
      <w:r w:rsidRPr="001C5975" w:rsidR="00B77B80">
        <w:tab/>
      </w:r>
      <w:r w:rsidRPr="001C5975" w:rsidR="00B77B80">
        <w:tab/>
        <w:t>1</w:t>
      </w:r>
      <w:r w:rsidRPr="001C5975" w:rsidR="007B1A4E">
        <w:t>5</w:t>
      </w:r>
    </w:p>
    <w:p w:rsidRPr="001C5975" w:rsidR="00AE60A5" w:rsidP="00AE60A5" w:rsidRDefault="00AE60A5" w14:paraId="4A090E36" w14:textId="77777777">
      <w:r w:rsidRPr="001C5975">
        <w:t>A16.</w:t>
      </w:r>
      <w:r w:rsidRPr="001C5975">
        <w:tab/>
        <w:t>Plans for Tabulation and Publicati</w:t>
      </w:r>
      <w:r w:rsidRPr="001C5975" w:rsidR="00B77B80">
        <w:t>on and Project Time Schedule</w:t>
      </w:r>
      <w:r w:rsidRPr="001C5975" w:rsidR="00B77B80">
        <w:tab/>
      </w:r>
      <w:r w:rsidRPr="001C5975" w:rsidR="00B77B80">
        <w:tab/>
      </w:r>
      <w:r w:rsidRPr="001C5975" w:rsidR="00B77B80">
        <w:tab/>
        <w:t>1</w:t>
      </w:r>
      <w:r w:rsidRPr="001C5975" w:rsidR="007B1A4E">
        <w:t>5</w:t>
      </w:r>
    </w:p>
    <w:p w:rsidRPr="001C5975" w:rsidR="00AE60A5" w:rsidP="00AE60A5" w:rsidRDefault="00AE60A5" w14:paraId="58730535" w14:textId="77777777">
      <w:r w:rsidRPr="001C5975">
        <w:t>A17.</w:t>
      </w:r>
      <w:r w:rsidRPr="001C5975">
        <w:tab/>
        <w:t>Reason(s) Display of OMB Expir</w:t>
      </w:r>
      <w:r w:rsidRPr="001C5975" w:rsidR="00B77B80">
        <w:t>ation Date is Inappropriate</w:t>
      </w:r>
      <w:r w:rsidRPr="001C5975" w:rsidR="00B77B80">
        <w:tab/>
      </w:r>
      <w:r w:rsidRPr="001C5975" w:rsidR="00B77B80">
        <w:tab/>
      </w:r>
      <w:r w:rsidRPr="001C5975" w:rsidR="00B77B80">
        <w:tab/>
        <w:t>1</w:t>
      </w:r>
      <w:r w:rsidRPr="001C5975" w:rsidR="00835D11">
        <w:t>7</w:t>
      </w:r>
    </w:p>
    <w:p w:rsidRPr="001C5975" w:rsidR="00156715" w:rsidP="00AE60A5" w:rsidRDefault="00AE60A5" w14:paraId="2094EE8A" w14:textId="0BDE9F66">
      <w:r w:rsidRPr="001C5975">
        <w:t>A18.</w:t>
      </w:r>
      <w:r w:rsidRPr="001C5975">
        <w:tab/>
        <w:t>Exceptions to Certification for Paperwo</w:t>
      </w:r>
      <w:r w:rsidRPr="001C5975" w:rsidR="00D37221">
        <w:t>rk Reduction Act Submissions</w:t>
      </w:r>
      <w:r w:rsidRPr="001C5975" w:rsidR="00D37221">
        <w:tab/>
      </w:r>
      <w:r w:rsidRPr="001C5975" w:rsidR="00D37221">
        <w:tab/>
        <w:t>1</w:t>
      </w:r>
      <w:r w:rsidRPr="001C5975" w:rsidR="00835D11">
        <w:t>8</w:t>
      </w:r>
    </w:p>
    <w:p w:rsidRPr="00113164" w:rsidR="000F52CA" w:rsidP="000F52CA" w:rsidRDefault="000F52CA" w14:paraId="21B16005" w14:textId="7695D3C2">
      <w:r w:rsidRPr="001C5975">
        <w:t xml:space="preserve">A19. </w:t>
      </w:r>
      <w:r w:rsidRPr="001C5975">
        <w:tab/>
        <w:t>References</w:t>
      </w:r>
      <w:r w:rsidRPr="001C5975" w:rsidR="00D37221">
        <w:tab/>
      </w:r>
      <w:r w:rsidRPr="001C5975" w:rsidR="00D37221">
        <w:tab/>
      </w:r>
      <w:r w:rsidRPr="001C5975" w:rsidR="00D37221">
        <w:tab/>
      </w:r>
      <w:r w:rsidRPr="001C5975" w:rsidR="00D37221">
        <w:tab/>
      </w:r>
      <w:r w:rsidRPr="001C5975" w:rsidR="00D37221">
        <w:tab/>
      </w:r>
      <w:r w:rsidRPr="001C5975" w:rsidR="00D37221">
        <w:tab/>
      </w:r>
      <w:r w:rsidRPr="001C5975" w:rsidR="00D37221">
        <w:tab/>
      </w:r>
      <w:r w:rsidRPr="001C5975" w:rsidR="00D37221">
        <w:tab/>
      </w:r>
      <w:r w:rsidRPr="001C5975" w:rsidR="00D37221">
        <w:tab/>
      </w:r>
      <w:r w:rsidRPr="001C5975" w:rsidR="00D37221">
        <w:tab/>
        <w:t>1</w:t>
      </w:r>
      <w:r w:rsidRPr="001C5975" w:rsidR="00835D11">
        <w:t>8</w:t>
      </w:r>
    </w:p>
    <w:p w:rsidRPr="00113164" w:rsidR="00AE60A5" w:rsidP="00AE60A5" w:rsidRDefault="00AE60A5" w14:paraId="2CBD62CE" w14:textId="77777777">
      <w:pPr>
        <w:widowControl w:val="0"/>
        <w:tabs>
          <w:tab w:val="center" w:pos="4680"/>
        </w:tabs>
      </w:pPr>
    </w:p>
    <w:p w:rsidRPr="00113164" w:rsidR="00AE60A5" w:rsidP="00CB16C7" w:rsidRDefault="00AE60A5" w14:paraId="78843B25" w14:textId="77777777">
      <w:pPr>
        <w:widowControl w:val="0"/>
        <w:tabs>
          <w:tab w:val="center" w:pos="4680"/>
        </w:tabs>
      </w:pPr>
    </w:p>
    <w:p w:rsidRPr="00EA2137" w:rsidR="003C0959" w:rsidP="0063365B" w:rsidRDefault="003C0959" w14:paraId="03DDF122" w14:textId="77777777">
      <w:pPr>
        <w:rPr>
          <w:b/>
          <w:u w:val="single"/>
        </w:rPr>
      </w:pPr>
      <w:r w:rsidRPr="00EA2137">
        <w:rPr>
          <w:b/>
          <w:u w:val="single"/>
        </w:rPr>
        <w:t>List of Attachments</w:t>
      </w:r>
    </w:p>
    <w:p w:rsidRPr="00EA2137" w:rsidR="003C0959" w:rsidP="003C0959" w:rsidRDefault="003C0959" w14:paraId="74784E09" w14:textId="77777777"/>
    <w:p w:rsidRPr="00EA2137" w:rsidR="003C0959" w:rsidP="003023DE" w:rsidRDefault="0047648D" w14:paraId="4656A14F" w14:textId="77777777">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3C0959">
        <w:rPr>
          <w:rFonts w:ascii="Times New Roman" w:hAnsi="Times New Roman"/>
          <w:sz w:val="24"/>
        </w:rPr>
        <w:t xml:space="preserve">Applicable Laws and Regulations </w:t>
      </w:r>
    </w:p>
    <w:p w:rsidRPr="00EA2137" w:rsidR="00B55699" w:rsidP="00B55699" w:rsidRDefault="0047648D" w14:paraId="41C12DE5" w14:textId="77777777">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3964B3">
        <w:rPr>
          <w:rFonts w:ascii="Times New Roman" w:hAnsi="Times New Roman"/>
          <w:sz w:val="24"/>
        </w:rPr>
        <w:t xml:space="preserve">60 Day Federal Register Notice </w:t>
      </w:r>
      <w:r w:rsidRPr="00EA2137" w:rsidR="00583B9B">
        <w:rPr>
          <w:rFonts w:ascii="Times New Roman" w:hAnsi="Times New Roman"/>
          <w:sz w:val="24"/>
        </w:rPr>
        <w:t xml:space="preserve">    </w:t>
      </w:r>
    </w:p>
    <w:p w:rsidRPr="00EA2137" w:rsidR="00171FD8" w:rsidP="00592DDD" w:rsidRDefault="00530760" w14:paraId="04773F3A" w14:textId="20C5B03A">
      <w:r w:rsidRPr="00EA2137">
        <w:t>2.1 Public</w:t>
      </w:r>
      <w:r w:rsidRPr="00EA2137" w:rsidR="00583B9B">
        <w:t xml:space="preserve"> Comment</w:t>
      </w:r>
    </w:p>
    <w:p w:rsidRPr="00EA2137" w:rsidR="003C0959" w:rsidP="003023DE" w:rsidRDefault="0047648D" w14:paraId="6DC13A48" w14:textId="33C4E698">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3C0959">
        <w:rPr>
          <w:rFonts w:ascii="Times New Roman" w:hAnsi="Times New Roman"/>
          <w:sz w:val="24"/>
        </w:rPr>
        <w:t>Questionnaire</w:t>
      </w:r>
    </w:p>
    <w:p w:rsidRPr="00EA2137" w:rsidR="00957C2A" w:rsidP="003023DE" w:rsidRDefault="00957C2A" w14:paraId="28E5CE6C" w14:textId="010B6AF6">
      <w:pPr>
        <w:pStyle w:val="ListParagraph"/>
        <w:numPr>
          <w:ilvl w:val="0"/>
          <w:numId w:val="6"/>
        </w:numPr>
        <w:rPr>
          <w:rFonts w:ascii="Times New Roman" w:hAnsi="Times New Roman"/>
          <w:sz w:val="24"/>
        </w:rPr>
      </w:pPr>
      <w:r w:rsidRPr="00EA2137">
        <w:rPr>
          <w:rFonts w:ascii="Times New Roman" w:hAnsi="Times New Roman"/>
          <w:sz w:val="24"/>
        </w:rPr>
        <w:t xml:space="preserve"> S</w:t>
      </w:r>
      <w:r w:rsidRPr="00EA2137" w:rsidR="00AA281A">
        <w:rPr>
          <w:rFonts w:ascii="Times New Roman" w:hAnsi="Times New Roman"/>
          <w:sz w:val="24"/>
        </w:rPr>
        <w:t>tandard operating procedure</w:t>
      </w:r>
      <w:r w:rsidRPr="00EA2137" w:rsidR="000E0660">
        <w:rPr>
          <w:rFonts w:ascii="Times New Roman" w:hAnsi="Times New Roman"/>
          <w:sz w:val="24"/>
        </w:rPr>
        <w:t xml:space="preserve"> for </w:t>
      </w:r>
      <w:r w:rsidRPr="00EA2137" w:rsidR="00EF52BF">
        <w:rPr>
          <w:rFonts w:ascii="Times New Roman" w:hAnsi="Times New Roman"/>
          <w:sz w:val="24"/>
        </w:rPr>
        <w:t xml:space="preserve">Exhaled Nitric Oxide </w:t>
      </w:r>
    </w:p>
    <w:p w:rsidRPr="00EA2137" w:rsidR="00957C2A" w:rsidP="003023DE" w:rsidRDefault="00957C2A" w14:paraId="132CDF3A" w14:textId="00EB0764">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AB293F">
        <w:rPr>
          <w:rFonts w:ascii="Times New Roman" w:hAnsi="Times New Roman"/>
          <w:sz w:val="24"/>
        </w:rPr>
        <w:t xml:space="preserve">Medical survey </w:t>
      </w:r>
      <w:r w:rsidRPr="00EA2137">
        <w:rPr>
          <w:rFonts w:ascii="Times New Roman" w:hAnsi="Times New Roman"/>
          <w:sz w:val="24"/>
        </w:rPr>
        <w:t>Control card</w:t>
      </w:r>
    </w:p>
    <w:p w:rsidRPr="00EA2137" w:rsidR="00957C2A" w:rsidP="00B24A82" w:rsidRDefault="00537310" w14:paraId="3B7C6D51" w14:textId="3E338844">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7025EA">
        <w:rPr>
          <w:rFonts w:ascii="Times New Roman" w:hAnsi="Times New Roman"/>
          <w:sz w:val="24"/>
        </w:rPr>
        <w:t>Standard operating procedure</w:t>
      </w:r>
      <w:r w:rsidRPr="00EA2137" w:rsidR="000E0660">
        <w:rPr>
          <w:rFonts w:ascii="Times New Roman" w:hAnsi="Times New Roman"/>
          <w:sz w:val="24"/>
        </w:rPr>
        <w:t xml:space="preserve"> for </w:t>
      </w:r>
      <w:r w:rsidRPr="00EA2137" w:rsidR="00EF52BF">
        <w:rPr>
          <w:rFonts w:ascii="Times New Roman" w:hAnsi="Times New Roman"/>
          <w:sz w:val="24"/>
        </w:rPr>
        <w:t xml:space="preserve">Impulse </w:t>
      </w:r>
      <w:r w:rsidRPr="00EA2137" w:rsidR="000E0660">
        <w:rPr>
          <w:rFonts w:ascii="Times New Roman" w:hAnsi="Times New Roman"/>
          <w:sz w:val="24"/>
        </w:rPr>
        <w:t>Oscillometry</w:t>
      </w:r>
    </w:p>
    <w:p w:rsidRPr="00EA2137" w:rsidR="00957C2A" w:rsidP="00B24A82" w:rsidRDefault="00957C2A" w14:paraId="2F7A8D93" w14:textId="44763FEF">
      <w:pPr>
        <w:pStyle w:val="ListParagraph"/>
        <w:numPr>
          <w:ilvl w:val="0"/>
          <w:numId w:val="6"/>
        </w:numPr>
        <w:rPr>
          <w:rFonts w:ascii="Times New Roman" w:hAnsi="Times New Roman"/>
          <w:sz w:val="24"/>
        </w:rPr>
      </w:pPr>
      <w:r w:rsidRPr="00EA2137">
        <w:rPr>
          <w:rFonts w:ascii="Times New Roman" w:hAnsi="Times New Roman"/>
          <w:sz w:val="24"/>
        </w:rPr>
        <w:lastRenderedPageBreak/>
        <w:t xml:space="preserve"> </w:t>
      </w:r>
      <w:r w:rsidRPr="00EA2137" w:rsidR="00290F61">
        <w:rPr>
          <w:rFonts w:ascii="Times New Roman" w:hAnsi="Times New Roman"/>
          <w:sz w:val="24"/>
        </w:rPr>
        <w:t>Standard operating procedure</w:t>
      </w:r>
      <w:r w:rsidRPr="00EA2137" w:rsidR="000E0660">
        <w:rPr>
          <w:rFonts w:ascii="Times New Roman" w:hAnsi="Times New Roman"/>
          <w:sz w:val="24"/>
        </w:rPr>
        <w:t xml:space="preserve"> for Nitrogen Multiple</w:t>
      </w:r>
      <w:r w:rsidRPr="00EA2137" w:rsidR="004B3B98">
        <w:rPr>
          <w:rFonts w:ascii="Times New Roman" w:hAnsi="Times New Roman"/>
          <w:sz w:val="24"/>
        </w:rPr>
        <w:t xml:space="preserve"> B</w:t>
      </w:r>
      <w:r w:rsidRPr="00EA2137" w:rsidR="000E0660">
        <w:rPr>
          <w:rFonts w:ascii="Times New Roman" w:hAnsi="Times New Roman"/>
          <w:sz w:val="24"/>
        </w:rPr>
        <w:t>reath Washout</w:t>
      </w:r>
    </w:p>
    <w:p w:rsidRPr="00EA2137" w:rsidR="00957C2A" w:rsidP="00B24A82" w:rsidRDefault="005B7984" w14:paraId="0B960F61" w14:textId="5BA453A9">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AE2FE9">
        <w:rPr>
          <w:rFonts w:ascii="Times New Roman" w:hAnsi="Times New Roman"/>
          <w:sz w:val="24"/>
        </w:rPr>
        <w:t>Standard</w:t>
      </w:r>
      <w:r w:rsidRPr="00EA2137" w:rsidR="007025EA">
        <w:rPr>
          <w:rFonts w:ascii="Times New Roman" w:hAnsi="Times New Roman"/>
          <w:sz w:val="24"/>
        </w:rPr>
        <w:t xml:space="preserve"> operating procedure</w:t>
      </w:r>
      <w:r w:rsidRPr="00EA2137">
        <w:rPr>
          <w:rFonts w:ascii="Times New Roman" w:hAnsi="Times New Roman"/>
          <w:sz w:val="24"/>
        </w:rPr>
        <w:t xml:space="preserve"> for Spirometry</w:t>
      </w:r>
    </w:p>
    <w:p w:rsidRPr="00EA2137" w:rsidR="008D7B6B" w:rsidP="005F26AA" w:rsidRDefault="005F26AA" w14:paraId="4A2A6EAF" w14:textId="74A7A846">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8D7B6B">
        <w:rPr>
          <w:rFonts w:ascii="Times New Roman" w:hAnsi="Times New Roman"/>
          <w:sz w:val="24"/>
        </w:rPr>
        <w:t>Albuterol drug information</w:t>
      </w:r>
    </w:p>
    <w:p w:rsidRPr="00EA2137" w:rsidR="00957C2A" w:rsidP="00B24A82" w:rsidRDefault="00957C2A" w14:paraId="16D8C0F3" w14:textId="4D2D2B27">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7025EA">
        <w:rPr>
          <w:rFonts w:ascii="Times New Roman" w:hAnsi="Times New Roman"/>
          <w:sz w:val="24"/>
        </w:rPr>
        <w:t>Standard operating procedure</w:t>
      </w:r>
      <w:r w:rsidRPr="00EA2137" w:rsidR="0069316D">
        <w:rPr>
          <w:rFonts w:ascii="Times New Roman" w:hAnsi="Times New Roman"/>
          <w:sz w:val="24"/>
        </w:rPr>
        <w:t xml:space="preserve"> for Bronchodilator </w:t>
      </w:r>
      <w:r w:rsidRPr="00EA2137" w:rsidR="00492C59">
        <w:rPr>
          <w:rFonts w:ascii="Times New Roman" w:hAnsi="Times New Roman"/>
          <w:sz w:val="24"/>
        </w:rPr>
        <w:t>t</w:t>
      </w:r>
      <w:r w:rsidRPr="00EA2137" w:rsidR="0069316D">
        <w:rPr>
          <w:rFonts w:ascii="Times New Roman" w:hAnsi="Times New Roman"/>
          <w:sz w:val="24"/>
        </w:rPr>
        <w:t>est</w:t>
      </w:r>
    </w:p>
    <w:p w:rsidRPr="00EA2137" w:rsidR="00B55699" w:rsidP="00B24A82" w:rsidRDefault="00B55699" w14:paraId="58DD4731" w14:textId="148CD0E2">
      <w:pPr>
        <w:pStyle w:val="ListParagraph"/>
        <w:numPr>
          <w:ilvl w:val="0"/>
          <w:numId w:val="6"/>
        </w:numPr>
        <w:rPr>
          <w:rFonts w:ascii="Times New Roman" w:hAnsi="Times New Roman"/>
          <w:sz w:val="24"/>
        </w:rPr>
      </w:pPr>
      <w:r w:rsidRPr="00EA2137">
        <w:rPr>
          <w:rFonts w:ascii="Times New Roman" w:hAnsi="Times New Roman"/>
          <w:sz w:val="24"/>
        </w:rPr>
        <w:t xml:space="preserve"> FDA Package Insert</w:t>
      </w:r>
    </w:p>
    <w:p w:rsidRPr="00EA2137" w:rsidR="001C5975" w:rsidP="001C5975" w:rsidRDefault="00D31442" w14:paraId="19A629E7" w14:textId="26C81723">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7025EA">
        <w:rPr>
          <w:rFonts w:ascii="Times New Roman" w:hAnsi="Times New Roman"/>
          <w:sz w:val="24"/>
        </w:rPr>
        <w:t>Standard operating procedure</w:t>
      </w:r>
      <w:r w:rsidRPr="00EA2137" w:rsidR="00FD77D7">
        <w:rPr>
          <w:rFonts w:ascii="Times New Roman" w:hAnsi="Times New Roman"/>
          <w:sz w:val="24"/>
        </w:rPr>
        <w:t xml:space="preserve"> for Color vision test</w:t>
      </w:r>
    </w:p>
    <w:p w:rsidRPr="00EA2137" w:rsidR="00794C5F" w:rsidP="001C5975" w:rsidRDefault="00957C2A" w14:paraId="64CFE31E" w14:textId="3CD6DB41">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794C5F">
        <w:rPr>
          <w:rFonts w:ascii="Times New Roman" w:hAnsi="Times New Roman"/>
          <w:sz w:val="24"/>
        </w:rPr>
        <w:t>Color vision results form</w:t>
      </w:r>
    </w:p>
    <w:p w:rsidRPr="00EA2137" w:rsidR="009A203C" w:rsidP="00B24A82" w:rsidRDefault="009A203C" w14:paraId="08149392" w14:textId="744EBD81">
      <w:pPr>
        <w:pStyle w:val="ListParagraph"/>
        <w:numPr>
          <w:ilvl w:val="0"/>
          <w:numId w:val="6"/>
        </w:numPr>
        <w:rPr>
          <w:rFonts w:ascii="Times New Roman" w:hAnsi="Times New Roman"/>
          <w:sz w:val="24"/>
        </w:rPr>
      </w:pPr>
      <w:r w:rsidRPr="00EA2137">
        <w:rPr>
          <w:rFonts w:ascii="Times New Roman" w:hAnsi="Times New Roman"/>
          <w:sz w:val="24"/>
        </w:rPr>
        <w:t xml:space="preserve"> Information session power point presentation</w:t>
      </w:r>
    </w:p>
    <w:p w:rsidRPr="00EA2137" w:rsidR="00794C5F" w:rsidP="00B24A82" w:rsidRDefault="00794C5F" w14:paraId="1648E1B9" w14:textId="0BC8E498">
      <w:pPr>
        <w:pStyle w:val="ListParagraph"/>
        <w:numPr>
          <w:ilvl w:val="0"/>
          <w:numId w:val="6"/>
        </w:numPr>
        <w:rPr>
          <w:rFonts w:ascii="Times New Roman" w:hAnsi="Times New Roman"/>
          <w:sz w:val="24"/>
        </w:rPr>
      </w:pPr>
      <w:r w:rsidRPr="00EA2137">
        <w:rPr>
          <w:rFonts w:ascii="Times New Roman" w:hAnsi="Times New Roman"/>
          <w:sz w:val="24"/>
        </w:rPr>
        <w:t xml:space="preserve"> Information sheet</w:t>
      </w:r>
    </w:p>
    <w:p w:rsidRPr="00EA2137" w:rsidR="009A203C" w:rsidP="009A203C" w:rsidRDefault="00D31442" w14:paraId="34F64FE5" w14:textId="2B4F9306">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9A203C">
        <w:rPr>
          <w:rFonts w:ascii="Times New Roman" w:hAnsi="Times New Roman"/>
          <w:sz w:val="24"/>
        </w:rPr>
        <w:t>Standard operating procedure for Blood test</w:t>
      </w:r>
    </w:p>
    <w:p w:rsidRPr="00EA2137" w:rsidR="00794C5F" w:rsidP="00B24A82" w:rsidRDefault="00794C5F" w14:paraId="0508384C" w14:textId="108FEBC3">
      <w:pPr>
        <w:pStyle w:val="ListParagraph"/>
        <w:numPr>
          <w:ilvl w:val="0"/>
          <w:numId w:val="6"/>
        </w:numPr>
        <w:rPr>
          <w:rFonts w:ascii="Times New Roman" w:hAnsi="Times New Roman"/>
          <w:sz w:val="24"/>
        </w:rPr>
      </w:pPr>
      <w:r w:rsidRPr="00EA2137">
        <w:rPr>
          <w:rFonts w:ascii="Times New Roman" w:hAnsi="Times New Roman"/>
          <w:sz w:val="24"/>
        </w:rPr>
        <w:t xml:space="preserve"> General Invitation letter</w:t>
      </w:r>
    </w:p>
    <w:p w:rsidRPr="00EA2137" w:rsidR="005F26AA" w:rsidP="00B24A82" w:rsidRDefault="00D31442" w14:paraId="7C544A90" w14:textId="652C6EE8">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5F26AA">
        <w:rPr>
          <w:rFonts w:ascii="Times New Roman" w:hAnsi="Times New Roman"/>
          <w:sz w:val="24"/>
        </w:rPr>
        <w:t>Medical survey information sheet</w:t>
      </w:r>
    </w:p>
    <w:p w:rsidRPr="00EA2137" w:rsidR="00A81F4B" w:rsidP="00A81F4B" w:rsidRDefault="00794C5F" w14:paraId="4B190198" w14:textId="77777777">
      <w:pPr>
        <w:pStyle w:val="ListParagraph"/>
        <w:numPr>
          <w:ilvl w:val="0"/>
          <w:numId w:val="6"/>
        </w:numPr>
        <w:rPr>
          <w:rFonts w:ascii="Times New Roman" w:hAnsi="Times New Roman"/>
          <w:sz w:val="24"/>
        </w:rPr>
      </w:pPr>
      <w:r w:rsidRPr="00EA2137">
        <w:rPr>
          <w:rFonts w:ascii="Times New Roman" w:hAnsi="Times New Roman"/>
          <w:sz w:val="24"/>
        </w:rPr>
        <w:t xml:space="preserve"> </w:t>
      </w:r>
      <w:r w:rsidRPr="00EA2137" w:rsidR="006F04A7">
        <w:rPr>
          <w:rFonts w:ascii="Times New Roman" w:hAnsi="Times New Roman"/>
          <w:sz w:val="24"/>
        </w:rPr>
        <w:t xml:space="preserve">Questionnaire and medical </w:t>
      </w:r>
      <w:r w:rsidRPr="00EA2137" w:rsidR="001242F9">
        <w:rPr>
          <w:rFonts w:ascii="Times New Roman" w:hAnsi="Times New Roman"/>
          <w:sz w:val="24"/>
        </w:rPr>
        <w:t>survey</w:t>
      </w:r>
      <w:r w:rsidRPr="00EA2137" w:rsidR="006F04A7">
        <w:rPr>
          <w:rFonts w:ascii="Times New Roman" w:hAnsi="Times New Roman"/>
          <w:sz w:val="24"/>
        </w:rPr>
        <w:t xml:space="preserve"> c</w:t>
      </w:r>
      <w:r w:rsidRPr="00EA2137">
        <w:rPr>
          <w:rFonts w:ascii="Times New Roman" w:hAnsi="Times New Roman"/>
          <w:sz w:val="24"/>
        </w:rPr>
        <w:t>onsent form</w:t>
      </w:r>
    </w:p>
    <w:p w:rsidRPr="00EA2137" w:rsidR="00794C5F" w:rsidP="00A81F4B" w:rsidRDefault="00794C5F" w14:paraId="38F2AE0F" w14:textId="2BF402B7">
      <w:pPr>
        <w:pStyle w:val="ListParagraph"/>
        <w:numPr>
          <w:ilvl w:val="0"/>
          <w:numId w:val="6"/>
        </w:numPr>
        <w:rPr>
          <w:rFonts w:ascii="Times New Roman" w:hAnsi="Times New Roman"/>
          <w:sz w:val="24"/>
        </w:rPr>
      </w:pPr>
      <w:r w:rsidRPr="00EA2137">
        <w:rPr>
          <w:rFonts w:ascii="Times New Roman" w:hAnsi="Times New Roman"/>
          <w:sz w:val="24"/>
        </w:rPr>
        <w:t xml:space="preserve"> Notification letter</w:t>
      </w:r>
    </w:p>
    <w:p w:rsidRPr="00EA2137" w:rsidR="003C0959" w:rsidP="00B24A82" w:rsidRDefault="003C0959" w14:paraId="510C57D4" w14:textId="594D691B">
      <w:pPr>
        <w:pStyle w:val="ListParagraph"/>
        <w:numPr>
          <w:ilvl w:val="0"/>
          <w:numId w:val="6"/>
        </w:numPr>
        <w:rPr>
          <w:rFonts w:ascii="Times New Roman" w:hAnsi="Times New Roman"/>
          <w:sz w:val="24"/>
        </w:rPr>
      </w:pPr>
      <w:r w:rsidRPr="00EA2137">
        <w:rPr>
          <w:rFonts w:ascii="Times New Roman" w:hAnsi="Times New Roman"/>
          <w:sz w:val="24"/>
        </w:rPr>
        <w:t xml:space="preserve"> I</w:t>
      </w:r>
      <w:r w:rsidRPr="00EA2137" w:rsidR="00891A7B">
        <w:rPr>
          <w:rFonts w:ascii="Times New Roman" w:hAnsi="Times New Roman"/>
          <w:sz w:val="24"/>
        </w:rPr>
        <w:t>nstitutional Review Board</w:t>
      </w:r>
      <w:r w:rsidRPr="00EA2137">
        <w:rPr>
          <w:rFonts w:ascii="Times New Roman" w:hAnsi="Times New Roman"/>
          <w:sz w:val="24"/>
        </w:rPr>
        <w:t xml:space="preserve"> approval lette</w:t>
      </w:r>
      <w:r w:rsidRPr="00EA2137" w:rsidR="00F52F40">
        <w:rPr>
          <w:rFonts w:ascii="Times New Roman" w:hAnsi="Times New Roman"/>
          <w:sz w:val="24"/>
        </w:rPr>
        <w:t>r</w:t>
      </w:r>
    </w:p>
    <w:p w:rsidRPr="00EA2137" w:rsidR="00E7659F" w:rsidP="00B24A82" w:rsidRDefault="00E7659F" w14:paraId="09C61391" w14:textId="0EB4A89F">
      <w:pPr>
        <w:pStyle w:val="ListParagraph"/>
        <w:numPr>
          <w:ilvl w:val="0"/>
          <w:numId w:val="6"/>
        </w:numPr>
        <w:rPr>
          <w:rFonts w:ascii="Times New Roman" w:hAnsi="Times New Roman"/>
          <w:sz w:val="24"/>
        </w:rPr>
      </w:pPr>
      <w:r w:rsidRPr="00EA2137">
        <w:rPr>
          <w:rFonts w:ascii="Times New Roman" w:hAnsi="Times New Roman"/>
          <w:sz w:val="24"/>
        </w:rPr>
        <w:t>PIA form</w:t>
      </w:r>
    </w:p>
    <w:p w:rsidR="00D30DEE" w:rsidP="00D30DEE" w:rsidRDefault="00D30DEE" w14:paraId="61924CCF" w14:textId="77777777"/>
    <w:p w:rsidRPr="00113164" w:rsidR="003C0959" w:rsidP="003C0959" w:rsidRDefault="00A75675" w14:paraId="44999783" w14:textId="77777777">
      <w:pPr>
        <w:sectPr w:rsidRPr="00113164" w:rsidR="003C0959" w:rsidSect="00C84EA8">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440" w:right="1440" w:bottom="1440" w:left="1440" w:header="720" w:footer="144" w:gutter="0"/>
          <w:pgBorders w:offsetFrom="page">
            <w:top w:val="single" w:color="FFFFFF" w:sz="4" w:space="24"/>
            <w:left w:val="single" w:color="FFFFFF" w:sz="4" w:space="24"/>
            <w:bottom w:val="single" w:color="FFFFFF" w:sz="4" w:space="24"/>
            <w:right w:val="single" w:color="FFFFFF" w:sz="4" w:space="24"/>
          </w:pgBorders>
          <w:cols w:space="720"/>
          <w:titlePg/>
          <w:docGrid w:linePitch="326"/>
        </w:sectPr>
      </w:pPr>
      <w:r>
        <w:br w:type="page"/>
      </w:r>
    </w:p>
    <w:p w:rsidRPr="00113164" w:rsidR="00563DE6" w:rsidP="000F52CA" w:rsidRDefault="00563DE6" w14:paraId="53564F29" w14:textId="77777777">
      <w:pPr>
        <w:rPr>
          <w:b/>
          <w:szCs w:val="24"/>
        </w:rPr>
      </w:pPr>
    </w:p>
    <w:p w:rsidRPr="00113164" w:rsidR="00563DE6" w:rsidP="00D51ACF" w:rsidRDefault="00563DE6" w14:paraId="3127B82E" w14:textId="77777777">
      <w:pPr>
        <w:pStyle w:val="Quick1"/>
        <w:numPr>
          <w:ilvl w:val="0"/>
          <w:numId w:val="4"/>
        </w:numPr>
        <w:spacing w:line="240" w:lineRule="auto"/>
        <w:rPr>
          <w:b/>
        </w:rPr>
      </w:pPr>
      <w:r w:rsidRPr="00113164">
        <w:rPr>
          <w:b/>
        </w:rPr>
        <w:t>Justification</w:t>
      </w:r>
    </w:p>
    <w:p w:rsidRPr="00113164" w:rsidR="00D51ACF" w:rsidP="00D51ACF" w:rsidRDefault="00D51ACF" w14:paraId="5BD17FD8" w14:textId="77777777">
      <w:pPr>
        <w:pStyle w:val="Quick1"/>
        <w:spacing w:line="240" w:lineRule="auto"/>
        <w:ind w:left="1080"/>
        <w:rPr>
          <w:b/>
        </w:rPr>
      </w:pPr>
    </w:p>
    <w:p w:rsidRPr="00113164" w:rsidR="005B07EE" w:rsidP="005D6E1E" w:rsidRDefault="005B07EE" w14:paraId="0F227815" w14:textId="77777777">
      <w:pPr>
        <w:ind w:firstLine="720"/>
        <w:rPr>
          <w:b/>
          <w:szCs w:val="24"/>
        </w:rPr>
      </w:pPr>
      <w:r w:rsidRPr="00113164">
        <w:rPr>
          <w:b/>
          <w:szCs w:val="24"/>
        </w:rPr>
        <w:t>1</w:t>
      </w:r>
      <w:r w:rsidRPr="00113164" w:rsidR="005D6E1E">
        <w:rPr>
          <w:b/>
          <w:szCs w:val="24"/>
        </w:rPr>
        <w:t>.</w:t>
      </w:r>
      <w:r w:rsidRPr="00113164">
        <w:rPr>
          <w:b/>
          <w:szCs w:val="24"/>
        </w:rPr>
        <w:tab/>
        <w:t xml:space="preserve">Circumstances Making the Collection of Information Necessary </w:t>
      </w:r>
    </w:p>
    <w:p w:rsidRPr="00113164" w:rsidR="005B07EE" w:rsidP="006D44A3" w:rsidRDefault="005B07EE" w14:paraId="386585B6" w14:textId="77777777">
      <w:pPr>
        <w:ind w:firstLine="720"/>
        <w:rPr>
          <w:szCs w:val="24"/>
        </w:rPr>
      </w:pPr>
    </w:p>
    <w:p w:rsidRPr="00113164" w:rsidR="00284951" w:rsidP="004A403C" w:rsidRDefault="005B07EE" w14:paraId="29C766EB" w14:textId="61858524">
      <w:r w:rsidRPr="00113164">
        <w:rPr>
          <w:szCs w:val="24"/>
        </w:rPr>
        <w:t>This is a new Information Collection Request (ICR)</w:t>
      </w:r>
      <w:r w:rsidR="00185095">
        <w:rPr>
          <w:szCs w:val="24"/>
        </w:rPr>
        <w:t xml:space="preserve"> </w:t>
      </w:r>
      <w:r w:rsidRPr="00113164">
        <w:rPr>
          <w:szCs w:val="24"/>
        </w:rPr>
        <w:t xml:space="preserve">from the National Institute for Occupational Safety and Health (NIOSH), Centers for Disease Control and Prevention. </w:t>
      </w:r>
      <w:r w:rsidRPr="00113164" w:rsidR="00284951">
        <w:rPr>
          <w:szCs w:val="24"/>
        </w:rPr>
        <w:t>Under Section 20(a) (1) of the Occupational Safety and Health</w:t>
      </w:r>
      <w:r w:rsidRPr="00113164" w:rsidR="00232C30">
        <w:rPr>
          <w:szCs w:val="24"/>
        </w:rPr>
        <w:t xml:space="preserve"> Act (29 U.S.C. 669) (Appendix</w:t>
      </w:r>
      <w:r w:rsidRPr="00113164" w:rsidR="00284951">
        <w:rPr>
          <w:szCs w:val="24"/>
        </w:rPr>
        <w:t xml:space="preserve"> A), NIOSH has the responsibility to conduct research to prevent occupational illness.  </w:t>
      </w:r>
      <w:r w:rsidR="00185095">
        <w:rPr>
          <w:szCs w:val="24"/>
        </w:rPr>
        <w:t>NIOSH is requesting a two year approval from OMB.</w:t>
      </w:r>
    </w:p>
    <w:p w:rsidRPr="00113164" w:rsidR="00AE60A5" w:rsidP="00AE60A5" w:rsidRDefault="00AE60A5" w14:paraId="61C40A01" w14:textId="77777777">
      <w:pPr>
        <w:ind w:right="-180"/>
        <w:rPr>
          <w:lang w:eastAsia="ja-JP"/>
        </w:rPr>
      </w:pPr>
    </w:p>
    <w:p w:rsidRPr="00113164" w:rsidR="00AE60A5" w:rsidP="004A403C" w:rsidRDefault="00AE60A5" w14:paraId="38C0B0E4" w14:textId="77777777">
      <w:pPr>
        <w:ind w:right="-180"/>
        <w:rPr>
          <w:lang w:eastAsia="ja-JP"/>
        </w:rPr>
      </w:pPr>
      <w:r w:rsidRPr="00113164">
        <w:rPr>
          <w:lang w:eastAsia="ja-JP"/>
        </w:rPr>
        <w:t xml:space="preserve">In the United States, an estimated 1.6 million persons suffer work-related chronic obstructive pulmonary disease (COPD) and over 2 million suffer work-related asthma, at an annual cost of over $6.5 billion. Styrene is a common chemical used in the manufacturing of reinforced plastics and synthetic rubbers </w:t>
      </w:r>
      <w:r w:rsidRPr="00113164">
        <w:rPr>
          <w:noProof/>
          <w:lang w:eastAsia="ja-JP"/>
        </w:rPr>
        <w:t>[1]</w:t>
      </w:r>
      <w:r w:rsidRPr="00113164">
        <w:rPr>
          <w:lang w:eastAsia="ja-JP"/>
        </w:rPr>
        <w:t xml:space="preserve">. Styrene is used in the production of automobile parts, boats, computer housings, food containers, wind energy components, and many other products </w:t>
      </w:r>
      <w:r w:rsidRPr="00113164">
        <w:rPr>
          <w:noProof/>
          <w:lang w:eastAsia="ja-JP"/>
        </w:rPr>
        <w:t>[2-4]</w:t>
      </w:r>
      <w:r w:rsidRPr="00113164">
        <w:rPr>
          <w:lang w:eastAsia="ja-JP"/>
        </w:rPr>
        <w:t xml:space="preserve">. In 2008, over 12 billion pounds of styrene were produced in the United States. An estimated 90,000 U.S. workers are potentially exposed to styrene at more than 5,000 U.S. manufacturing plants </w:t>
      </w:r>
      <w:r w:rsidRPr="00113164">
        <w:rPr>
          <w:noProof/>
          <w:lang w:eastAsia="ja-JP"/>
        </w:rPr>
        <w:t>[5]</w:t>
      </w:r>
      <w:r w:rsidRPr="00113164">
        <w:rPr>
          <w:lang w:eastAsia="ja-JP"/>
        </w:rPr>
        <w:t xml:space="preserve">. Occupational exposure to styrene has been associated with deleterious health effects, including changes in color vision, mucous membrane irritation, hearing loss, and neurocognitive impairment </w:t>
      </w:r>
      <w:r w:rsidRPr="00113164" w:rsidR="006512E2">
        <w:rPr>
          <w:noProof/>
          <w:lang w:eastAsia="ja-JP"/>
        </w:rPr>
        <w:t>[2, 6, 7</w:t>
      </w:r>
      <w:r w:rsidRPr="00113164">
        <w:rPr>
          <w:noProof/>
          <w:lang w:eastAsia="ja-JP"/>
        </w:rPr>
        <w:t>]</w:t>
      </w:r>
      <w:r w:rsidRPr="00113164">
        <w:rPr>
          <w:lang w:eastAsia="ja-JP"/>
        </w:rPr>
        <w:t xml:space="preserve">. Styrene is also considered possibly carcinogenic to humans </w:t>
      </w:r>
      <w:r w:rsidRPr="00113164" w:rsidR="007E1D64">
        <w:rPr>
          <w:noProof/>
          <w:lang w:eastAsia="ja-JP"/>
        </w:rPr>
        <w:t>[8, 9</w:t>
      </w:r>
      <w:r w:rsidRPr="00113164">
        <w:rPr>
          <w:noProof/>
          <w:lang w:eastAsia="ja-JP"/>
        </w:rPr>
        <w:t>]</w:t>
      </w:r>
      <w:r w:rsidRPr="00113164">
        <w:rPr>
          <w:lang w:eastAsia="ja-JP"/>
        </w:rPr>
        <w:t xml:space="preserve">. Workplace exposure to styrene has also been associated with cases of non-malignant respiratory disease (NMRD) </w:t>
      </w:r>
      <w:r w:rsidRPr="00113164" w:rsidR="006512E2">
        <w:rPr>
          <w:noProof/>
          <w:lang w:eastAsia="ja-JP"/>
        </w:rPr>
        <w:t>[10-22</w:t>
      </w:r>
      <w:r w:rsidRPr="00113164">
        <w:rPr>
          <w:noProof/>
          <w:lang w:eastAsia="ja-JP"/>
        </w:rPr>
        <w:t>]</w:t>
      </w:r>
      <w:r w:rsidRPr="00113164">
        <w:rPr>
          <w:lang w:eastAsia="ja-JP"/>
        </w:rPr>
        <w:t xml:space="preserve">. </w:t>
      </w:r>
    </w:p>
    <w:p w:rsidRPr="00113164" w:rsidR="0047729A" w:rsidP="004A403C" w:rsidRDefault="0047729A" w14:paraId="534EDD37" w14:textId="77777777">
      <w:pPr>
        <w:ind w:right="-180"/>
        <w:rPr>
          <w:lang w:eastAsia="ja-JP"/>
        </w:rPr>
      </w:pPr>
    </w:p>
    <w:p w:rsidRPr="00113164" w:rsidR="0047729A" w:rsidP="004A403C" w:rsidRDefault="0047729A" w14:paraId="13895E46" w14:textId="4794F853">
      <w:pPr>
        <w:widowControl w:val="0"/>
        <w:rPr>
          <w:szCs w:val="24"/>
        </w:rPr>
      </w:pPr>
      <w:r w:rsidRPr="00113164">
        <w:rPr>
          <w:szCs w:val="24"/>
        </w:rPr>
        <w:t xml:space="preserve">Workplace styrene exposure most commonly occurs through inhalation and skin contact </w:t>
      </w:r>
      <w:r w:rsidRPr="00113164" w:rsidR="00C46A54">
        <w:rPr>
          <w:noProof/>
          <w:szCs w:val="24"/>
        </w:rPr>
        <w:t>[10</w:t>
      </w:r>
      <w:r w:rsidRPr="00113164" w:rsidR="00932928">
        <w:rPr>
          <w:noProof/>
          <w:szCs w:val="24"/>
        </w:rPr>
        <w:t>, 11</w:t>
      </w:r>
      <w:r w:rsidRPr="00113164">
        <w:rPr>
          <w:noProof/>
          <w:szCs w:val="24"/>
        </w:rPr>
        <w:t xml:space="preserve">, </w:t>
      </w:r>
      <w:r w:rsidRPr="00113164" w:rsidR="00932928">
        <w:rPr>
          <w:noProof/>
          <w:szCs w:val="24"/>
        </w:rPr>
        <w:t>23</w:t>
      </w:r>
      <w:r w:rsidRPr="00113164" w:rsidR="00C46A54">
        <w:rPr>
          <w:szCs w:val="24"/>
        </w:rPr>
        <w:t>]</w:t>
      </w:r>
      <w:r w:rsidRPr="00113164">
        <w:rPr>
          <w:szCs w:val="24"/>
        </w:rPr>
        <w:t xml:space="preserve">. Additionally, research has attributed styrene exposure to the development of upper and lower respiratory inflammation, and non-malignant respiratory diseases </w:t>
      </w:r>
      <w:r w:rsidRPr="00113164" w:rsidR="00C46A54">
        <w:rPr>
          <w:noProof/>
          <w:szCs w:val="24"/>
        </w:rPr>
        <w:t>[</w:t>
      </w:r>
      <w:r w:rsidRPr="00113164" w:rsidR="001566C2">
        <w:rPr>
          <w:noProof/>
          <w:szCs w:val="24"/>
        </w:rPr>
        <w:t xml:space="preserve">1-3, </w:t>
      </w:r>
      <w:r w:rsidRPr="00113164">
        <w:rPr>
          <w:noProof/>
          <w:szCs w:val="24"/>
        </w:rPr>
        <w:t>1</w:t>
      </w:r>
      <w:r w:rsidRPr="00113164" w:rsidR="004223DE">
        <w:rPr>
          <w:noProof/>
          <w:szCs w:val="24"/>
        </w:rPr>
        <w:t>2</w:t>
      </w:r>
      <w:r w:rsidRPr="00113164">
        <w:rPr>
          <w:noProof/>
          <w:szCs w:val="24"/>
        </w:rPr>
        <w:t>-1</w:t>
      </w:r>
      <w:r w:rsidRPr="00113164" w:rsidR="004223DE">
        <w:rPr>
          <w:noProof/>
          <w:szCs w:val="24"/>
        </w:rPr>
        <w:t>4</w:t>
      </w:r>
      <w:r w:rsidRPr="00113164" w:rsidR="00932928">
        <w:rPr>
          <w:noProof/>
          <w:szCs w:val="24"/>
        </w:rPr>
        <w:t>, 23</w:t>
      </w:r>
      <w:r w:rsidRPr="00113164" w:rsidR="00C46A54">
        <w:rPr>
          <w:noProof/>
          <w:szCs w:val="24"/>
        </w:rPr>
        <w:t>]</w:t>
      </w:r>
      <w:r w:rsidRPr="00113164">
        <w:rPr>
          <w:szCs w:val="24"/>
        </w:rPr>
        <w:t xml:space="preserve">. Case reports have documented an association of obliterative bronchiolitis, eosinophilic bronchitis, and asthma diagnoses with occupational styrene exposure </w:t>
      </w:r>
      <w:r w:rsidRPr="00113164" w:rsidR="004223DE">
        <w:rPr>
          <w:noProof/>
          <w:szCs w:val="24"/>
        </w:rPr>
        <w:t>[</w:t>
      </w:r>
      <w:r w:rsidRPr="00113164">
        <w:rPr>
          <w:noProof/>
          <w:szCs w:val="24"/>
        </w:rPr>
        <w:t>1-3, 1</w:t>
      </w:r>
      <w:r w:rsidRPr="00113164" w:rsidR="004223DE">
        <w:rPr>
          <w:noProof/>
          <w:szCs w:val="24"/>
        </w:rPr>
        <w:t>2</w:t>
      </w:r>
      <w:r w:rsidRPr="00113164">
        <w:rPr>
          <w:noProof/>
          <w:szCs w:val="24"/>
        </w:rPr>
        <w:t>-1</w:t>
      </w:r>
      <w:r w:rsidRPr="00113164" w:rsidR="004223DE">
        <w:rPr>
          <w:noProof/>
          <w:szCs w:val="24"/>
        </w:rPr>
        <w:t>4]</w:t>
      </w:r>
      <w:r w:rsidRPr="00113164">
        <w:rPr>
          <w:szCs w:val="24"/>
        </w:rPr>
        <w:t xml:space="preserve">. However, the mechanisms by which styrene produces an inflammatory response that progresses into lung diseases are still not well understood </w:t>
      </w:r>
      <w:r w:rsidRPr="00113164" w:rsidR="004223DE">
        <w:rPr>
          <w:noProof/>
          <w:szCs w:val="24"/>
        </w:rPr>
        <w:t>[</w:t>
      </w:r>
      <w:r w:rsidRPr="00113164">
        <w:rPr>
          <w:noProof/>
          <w:szCs w:val="24"/>
        </w:rPr>
        <w:t>2</w:t>
      </w:r>
      <w:r w:rsidRPr="00113164" w:rsidR="004223DE">
        <w:rPr>
          <w:noProof/>
          <w:szCs w:val="24"/>
        </w:rPr>
        <w:t>]</w:t>
      </w:r>
      <w:r w:rsidRPr="00113164">
        <w:rPr>
          <w:szCs w:val="24"/>
        </w:rPr>
        <w:t>.</w:t>
      </w:r>
    </w:p>
    <w:p w:rsidRPr="00113164" w:rsidR="006D44A3" w:rsidP="004A403C" w:rsidRDefault="006D44A3" w14:paraId="17F26E5C" w14:textId="77777777">
      <w:pPr>
        <w:widowControl w:val="0"/>
        <w:rPr>
          <w:szCs w:val="24"/>
        </w:rPr>
      </w:pPr>
    </w:p>
    <w:p w:rsidRPr="00113164" w:rsidR="00BF26EE" w:rsidP="004A403C" w:rsidRDefault="00F93787" w14:paraId="4A808B79" w14:textId="77777777">
      <w:pPr>
        <w:widowControl w:val="0"/>
      </w:pPr>
      <w:r w:rsidRPr="00113164">
        <w:rPr>
          <w:szCs w:val="24"/>
        </w:rPr>
        <w:t xml:space="preserve">Styrene exposure has been associated with non-malignant respiratory disease. NIOSH investigators have conducted mortality analyses for a cohort of 5,204 workers exposed to styrene at two reinforced plastic boatbuilding plants in Washington during 1959–1978 </w:t>
      </w:r>
      <w:r w:rsidRPr="00113164">
        <w:rPr>
          <w:noProof/>
          <w:szCs w:val="24"/>
        </w:rPr>
        <w:t>[2</w:t>
      </w:r>
      <w:r w:rsidRPr="00113164" w:rsidR="001677FB">
        <w:rPr>
          <w:noProof/>
          <w:szCs w:val="24"/>
        </w:rPr>
        <w:t>4</w:t>
      </w:r>
      <w:r w:rsidRPr="00113164">
        <w:rPr>
          <w:noProof/>
          <w:szCs w:val="24"/>
        </w:rPr>
        <w:t>-2</w:t>
      </w:r>
      <w:r w:rsidRPr="00113164" w:rsidR="001677FB">
        <w:rPr>
          <w:noProof/>
          <w:szCs w:val="24"/>
        </w:rPr>
        <w:t>6</w:t>
      </w:r>
      <w:r w:rsidRPr="00113164">
        <w:rPr>
          <w:noProof/>
          <w:szCs w:val="24"/>
        </w:rPr>
        <w:t>]</w:t>
      </w:r>
      <w:r w:rsidRPr="00113164">
        <w:rPr>
          <w:szCs w:val="24"/>
        </w:rPr>
        <w:t xml:space="preserve">. Workers with high styrene exposures (≥5 parts per million), and tenure &lt;1 year and ≥1 year had 2.6 and 2.0 times higher mortality rates from chronic obstructive pulmonary disease, respectively, compared with the general population </w:t>
      </w:r>
      <w:r w:rsidRPr="00113164">
        <w:rPr>
          <w:noProof/>
          <w:szCs w:val="24"/>
        </w:rPr>
        <w:t>[2</w:t>
      </w:r>
      <w:r w:rsidRPr="00113164" w:rsidR="001677FB">
        <w:rPr>
          <w:noProof/>
          <w:szCs w:val="24"/>
        </w:rPr>
        <w:t>5</w:t>
      </w:r>
      <w:r w:rsidRPr="00113164">
        <w:rPr>
          <w:noProof/>
          <w:szCs w:val="24"/>
        </w:rPr>
        <w:t>]</w:t>
      </w:r>
      <w:r w:rsidRPr="00113164">
        <w:rPr>
          <w:szCs w:val="24"/>
        </w:rPr>
        <w:t xml:space="preserve">. Previous epidemiologic studies of styrene exposure and respiratory disease have been limited to case reports, cross-sectional studies of current workers, and mortality studies </w:t>
      </w:r>
      <w:r w:rsidRPr="00113164">
        <w:rPr>
          <w:noProof/>
          <w:szCs w:val="24"/>
        </w:rPr>
        <w:t>[2</w:t>
      </w:r>
      <w:r w:rsidRPr="00113164" w:rsidR="001677FB">
        <w:rPr>
          <w:noProof/>
          <w:szCs w:val="24"/>
        </w:rPr>
        <w:t>7</w:t>
      </w:r>
      <w:r w:rsidRPr="00113164">
        <w:rPr>
          <w:noProof/>
          <w:szCs w:val="24"/>
        </w:rPr>
        <w:t>]</w:t>
      </w:r>
      <w:r w:rsidRPr="00113164">
        <w:rPr>
          <w:szCs w:val="24"/>
        </w:rPr>
        <w:t>. Each of these types of studies had important limitations. NIOSH’s understanding of the long-term respiratory health effects of styrene is limited, but critical to developing effective prevention strategies</w:t>
      </w:r>
    </w:p>
    <w:p w:rsidRPr="00113164" w:rsidR="000B0749" w:rsidP="004A403C" w:rsidRDefault="000B0749" w14:paraId="407388C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113164" w:rsidR="005D6E1E" w:rsidP="00D51ACF" w:rsidRDefault="005D6E1E" w14:paraId="2B543D99" w14:textId="77777777">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sidRPr="00113164">
        <w:rPr>
          <w:rFonts w:ascii="Times New Roman" w:hAnsi="Times New Roman"/>
          <w:b/>
          <w:sz w:val="24"/>
        </w:rPr>
        <w:t>Privacy Impact Assessment</w:t>
      </w:r>
    </w:p>
    <w:p w:rsidRPr="00113164" w:rsidR="000300D7" w:rsidP="004A403C" w:rsidRDefault="000300D7" w14:paraId="59CBEC99"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b/>
          <w:sz w:val="24"/>
          <w:u w:val="single"/>
        </w:rPr>
      </w:pPr>
    </w:p>
    <w:p w:rsidRPr="00113164" w:rsidR="005D6E1E" w:rsidP="004A403C" w:rsidRDefault="005D6E1E" w14:paraId="7F40978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13164">
        <w:rPr>
          <w:szCs w:val="24"/>
        </w:rPr>
        <w:t xml:space="preserve">NIOSH proposes a one-time information collection </w:t>
      </w:r>
      <w:r w:rsidRPr="00113164" w:rsidR="0075407A">
        <w:rPr>
          <w:szCs w:val="24"/>
        </w:rPr>
        <w:t>using a questionnaire (</w:t>
      </w:r>
      <w:r w:rsidRPr="00113164" w:rsidR="008A22E7">
        <w:rPr>
          <w:szCs w:val="24"/>
        </w:rPr>
        <w:t xml:space="preserve">Attachment </w:t>
      </w:r>
      <w:r w:rsidR="0020479C">
        <w:rPr>
          <w:szCs w:val="24"/>
        </w:rPr>
        <w:t>3</w:t>
      </w:r>
      <w:r w:rsidRPr="00113164" w:rsidR="0075407A">
        <w:rPr>
          <w:szCs w:val="24"/>
        </w:rPr>
        <w:t xml:space="preserve">). The </w:t>
      </w:r>
      <w:r w:rsidRPr="00113164" w:rsidR="0075407A">
        <w:rPr>
          <w:szCs w:val="24"/>
        </w:rPr>
        <w:lastRenderedPageBreak/>
        <w:t xml:space="preserve">questionnaire will be administered by trained NIOSH staff at the medical survey sites in Bellingham, WA and Kelso, WA. Each participant will be interviewed individually in a private room. Responses will be entered into a laptop computer by the interviewer. All data collected will be maintained according to CDC record schedule. </w:t>
      </w:r>
    </w:p>
    <w:p w:rsidRPr="00113164" w:rsidR="0075407A" w:rsidP="004A403C" w:rsidRDefault="0075407A" w14:paraId="6C00F53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113164" w:rsidR="0075407A" w:rsidP="004A403C" w:rsidRDefault="0075407A" w14:paraId="7BCD538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113164">
        <w:rPr>
          <w:szCs w:val="24"/>
        </w:rPr>
        <w:t xml:space="preserve">Questionnaire data to be collected includes: </w:t>
      </w:r>
    </w:p>
    <w:p w:rsidRPr="00113164" w:rsidR="0075407A" w:rsidP="00D51ACF" w:rsidRDefault="0075407A" w14:paraId="0F09E2DF" w14:textId="7777777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113164">
        <w:rPr>
          <w:rFonts w:ascii="Times New Roman" w:hAnsi="Times New Roman"/>
          <w:sz w:val="24"/>
        </w:rPr>
        <w:t>Individually identifiable information (name, date of birth, mailing address, and phone number, along with the name, address, and phone number of a friend or relative who can be contacted if the participant cannot be reached)</w:t>
      </w:r>
    </w:p>
    <w:p w:rsidRPr="00113164" w:rsidR="0075407A" w:rsidP="00D51ACF" w:rsidRDefault="0075407A" w14:paraId="0951387E" w14:textId="7777777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113164">
        <w:rPr>
          <w:rFonts w:ascii="Times New Roman" w:hAnsi="Times New Roman"/>
          <w:sz w:val="24"/>
        </w:rPr>
        <w:t>Demographic data</w:t>
      </w:r>
    </w:p>
    <w:p w:rsidRPr="00113164" w:rsidR="0075407A" w:rsidP="00D51ACF" w:rsidRDefault="0075407A" w14:paraId="0BF0E516" w14:textId="7777777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113164">
        <w:rPr>
          <w:rFonts w:ascii="Times New Roman" w:hAnsi="Times New Roman"/>
          <w:sz w:val="24"/>
        </w:rPr>
        <w:t>Medical information</w:t>
      </w:r>
    </w:p>
    <w:p w:rsidRPr="00113164" w:rsidR="0075407A" w:rsidP="00D51ACF" w:rsidRDefault="0075407A" w14:paraId="33913005" w14:textId="7777777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113164">
        <w:rPr>
          <w:rFonts w:ascii="Times New Roman" w:hAnsi="Times New Roman"/>
          <w:sz w:val="24"/>
        </w:rPr>
        <w:t>Employment information</w:t>
      </w:r>
    </w:p>
    <w:p w:rsidRPr="00113164" w:rsidR="0075407A" w:rsidP="00D51ACF" w:rsidRDefault="0075407A" w14:paraId="63EBFE0A" w14:textId="7777777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113164">
        <w:rPr>
          <w:rFonts w:ascii="Times New Roman" w:hAnsi="Times New Roman"/>
          <w:sz w:val="24"/>
        </w:rPr>
        <w:t>Smoking history</w:t>
      </w:r>
    </w:p>
    <w:p w:rsidRPr="00113164" w:rsidR="006943BB" w:rsidP="004A403C" w:rsidRDefault="006943BB" w14:paraId="6F7DB7B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113164" w:rsidR="006943BB" w:rsidP="004A403C" w:rsidRDefault="006943BB" w14:paraId="44FF0C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13164">
        <w:t>The questionnaire is quite similar to one used by NIOSH’s Health Hazard Evaluation program during f</w:t>
      </w:r>
      <w:r w:rsidRPr="00113164" w:rsidR="00C333D0">
        <w:t xml:space="preserve">ield investigations under OMB Approval No. </w:t>
      </w:r>
      <w:r w:rsidRPr="00113164" w:rsidR="008A7E39">
        <w:t>0920–0260</w:t>
      </w:r>
      <w:r w:rsidRPr="00113164" w:rsidR="008159B9">
        <w:t xml:space="preserve">, expiration </w:t>
      </w:r>
      <w:r w:rsidRPr="00113164" w:rsidR="00841CF9">
        <w:t>10/31</w:t>
      </w:r>
      <w:r w:rsidRPr="00113164" w:rsidR="008159B9">
        <w:t>/</w:t>
      </w:r>
      <w:r w:rsidRPr="00113164" w:rsidR="00841CF9">
        <w:t>2020</w:t>
      </w:r>
      <w:r w:rsidRPr="00113164" w:rsidR="008159B9">
        <w:t>.</w:t>
      </w:r>
    </w:p>
    <w:p w:rsidRPr="00113164" w:rsidR="008159B9" w:rsidP="004A403C" w:rsidRDefault="008159B9" w14:paraId="07981C9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113164" w:rsidR="008A7E39" w:rsidP="004A403C" w:rsidRDefault="008159B9" w14:paraId="718E2266" w14:textId="5EE1B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13164">
        <w:t xml:space="preserve">In addition to the collection of information in the questionnaire, the study includes medical testing (spirometry, impulse oscillometry, fraction of exhaled nitric oxide, multiple-breath washout, bronchodilator reversibility testing for impulse oscillometry and </w:t>
      </w:r>
      <w:r w:rsidRPr="00113164" w:rsidR="000613BC">
        <w:t>spirometry, and</w:t>
      </w:r>
      <w:r w:rsidRPr="00113164">
        <w:t xml:space="preserve"> blood biomarkers of inflammation). Participation </w:t>
      </w:r>
      <w:r w:rsidRPr="00113164" w:rsidR="008A7E39">
        <w:t>is voluntary. Research participants</w:t>
      </w:r>
      <w:r w:rsidRPr="00113164">
        <w:t xml:space="preserve"> will be recruited </w:t>
      </w:r>
      <w:r w:rsidRPr="00113164" w:rsidR="008A7E39">
        <w:t>to participate in the study through</w:t>
      </w:r>
      <w:r w:rsidRPr="00113164">
        <w:t xml:space="preserve"> an information session, an invitation letter (</w:t>
      </w:r>
      <w:r w:rsidRPr="00113164" w:rsidR="002F2555">
        <w:t>A</w:t>
      </w:r>
      <w:r w:rsidRPr="00113164" w:rsidR="008A22E7">
        <w:t xml:space="preserve">ttachment </w:t>
      </w:r>
      <w:r w:rsidR="000613BC">
        <w:t>17</w:t>
      </w:r>
      <w:r w:rsidRPr="00113164" w:rsidR="000613BC">
        <w:t>)</w:t>
      </w:r>
      <w:r w:rsidRPr="00113164">
        <w:t>,</w:t>
      </w:r>
      <w:r w:rsidRPr="00113164" w:rsidR="008A7E39">
        <w:t xml:space="preserve"> and the</w:t>
      </w:r>
      <w:r w:rsidRPr="00113164">
        <w:t xml:space="preserve"> </w:t>
      </w:r>
      <w:r w:rsidRPr="00113164" w:rsidR="008A7E39">
        <w:t>telephone</w:t>
      </w:r>
      <w:r w:rsidRPr="00113164">
        <w:t xml:space="preserve">. </w:t>
      </w:r>
      <w:r w:rsidRPr="00113164" w:rsidR="008A7E39">
        <w:t>To participate in the medical testing (including the questionnaire), each research participant will be required to review and sign an informed consent document (</w:t>
      </w:r>
      <w:r w:rsidRPr="00113164" w:rsidR="003C0959">
        <w:t xml:space="preserve">Attachment </w:t>
      </w:r>
      <w:r w:rsidR="005227C3">
        <w:t>1</w:t>
      </w:r>
      <w:r w:rsidR="00D93B6D">
        <w:t>9</w:t>
      </w:r>
      <w:r w:rsidRPr="00113164" w:rsidR="008A7E39">
        <w:t>).</w:t>
      </w:r>
    </w:p>
    <w:p w:rsidRPr="00113164" w:rsidR="008A7E39" w:rsidP="004A403C" w:rsidRDefault="008A7E39" w14:paraId="74CA96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113164" w:rsidR="008159B9" w:rsidP="004A403C" w:rsidRDefault="008A7E39" w14:paraId="1B08C2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13164">
        <w:t>This proj</w:t>
      </w:r>
      <w:r w:rsidRPr="00113164" w:rsidR="003E20B1">
        <w:t>ect does not involve any web-based data collection methods with content directed at children under 13 years of age.</w:t>
      </w:r>
      <w:r w:rsidRPr="00113164">
        <w:t xml:space="preserve"> </w:t>
      </w:r>
      <w:r w:rsidRPr="00113164" w:rsidR="008159B9">
        <w:t xml:space="preserve"> </w:t>
      </w:r>
    </w:p>
    <w:p w:rsidRPr="00113164" w:rsidR="008159B9" w:rsidP="004A403C" w:rsidRDefault="008159B9" w14:paraId="3A0EAB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113164" w:rsidR="00437531" w:rsidP="004A403C" w:rsidRDefault="00AE60A5" w14:paraId="5FE143FD" w14:textId="77777777">
      <w:pPr>
        <w:pStyle w:val="Quick1"/>
        <w:spacing w:line="240" w:lineRule="auto"/>
        <w:rPr>
          <w:b/>
        </w:rPr>
      </w:pPr>
      <w:r w:rsidRPr="00113164">
        <w:rPr>
          <w:b/>
        </w:rPr>
        <w:t>A.2</w:t>
      </w:r>
      <w:r w:rsidRPr="00113164" w:rsidR="00BF26EE">
        <w:rPr>
          <w:b/>
        </w:rPr>
        <w:tab/>
        <w:t>Purpose and Use of Information</w:t>
      </w:r>
      <w:r w:rsidRPr="00113164" w:rsidR="00FE497E">
        <w:rPr>
          <w:b/>
        </w:rPr>
        <w:t xml:space="preserve"> Collection</w:t>
      </w:r>
    </w:p>
    <w:p w:rsidRPr="00113164" w:rsidR="0000680A" w:rsidP="004A403C" w:rsidRDefault="0000680A" w14:paraId="5FFA386B" w14:textId="77777777">
      <w:pPr>
        <w:pStyle w:val="Quick1"/>
        <w:spacing w:line="240" w:lineRule="auto"/>
        <w:rPr>
          <w:b/>
        </w:rPr>
      </w:pPr>
    </w:p>
    <w:p w:rsidRPr="00113164" w:rsidR="0000680A" w:rsidP="004A403C" w:rsidRDefault="0000680A" w14:paraId="1D535636" w14:textId="77777777">
      <w:pPr>
        <w:pStyle w:val="Quick1"/>
        <w:spacing w:line="240" w:lineRule="auto"/>
        <w:rPr>
          <w:szCs w:val="24"/>
        </w:rPr>
      </w:pPr>
      <w:r w:rsidRPr="00113164">
        <w:rPr>
          <w:szCs w:val="24"/>
        </w:rPr>
        <w:t xml:space="preserve">This research project is funded through 2022 by the National Occupational Research Agenda (NORA) to understand the long-term respiratory health effects of occupational styrene exposure. Data collection will be carried out by NIOSH staff </w:t>
      </w:r>
      <w:r w:rsidRPr="00113164" w:rsidR="00841CF9">
        <w:rPr>
          <w:szCs w:val="24"/>
        </w:rPr>
        <w:t>and will only be performed one time. The data collected in this study will be analyzed by NIOSH researchers to</w:t>
      </w:r>
      <w:r w:rsidRPr="00113164" w:rsidR="00FC56F8">
        <w:rPr>
          <w:szCs w:val="24"/>
        </w:rPr>
        <w:t xml:space="preserve"> evaluate the</w:t>
      </w:r>
      <w:r w:rsidRPr="00113164" w:rsidR="00841CF9">
        <w:rPr>
          <w:szCs w:val="24"/>
        </w:rPr>
        <w:t xml:space="preserve"> relationship between</w:t>
      </w:r>
      <w:r w:rsidRPr="00113164" w:rsidR="00FC56F8">
        <w:rPr>
          <w:szCs w:val="24"/>
        </w:rPr>
        <w:t xml:space="preserve"> </w:t>
      </w:r>
      <w:r w:rsidRPr="00113164" w:rsidR="00841CF9">
        <w:rPr>
          <w:szCs w:val="24"/>
        </w:rPr>
        <w:t>styrene</w:t>
      </w:r>
      <w:r w:rsidRPr="00113164" w:rsidR="00FC56F8">
        <w:rPr>
          <w:szCs w:val="24"/>
        </w:rPr>
        <w:t xml:space="preserve"> exposures and</w:t>
      </w:r>
      <w:r w:rsidRPr="00113164" w:rsidR="00841CF9">
        <w:rPr>
          <w:szCs w:val="24"/>
        </w:rPr>
        <w:t xml:space="preserve"> respiratory </w:t>
      </w:r>
      <w:r w:rsidRPr="00113164" w:rsidR="00FC56F8">
        <w:rPr>
          <w:szCs w:val="24"/>
        </w:rPr>
        <w:t>disease</w:t>
      </w:r>
      <w:r w:rsidRPr="00113164" w:rsidR="00841CF9">
        <w:rPr>
          <w:szCs w:val="24"/>
        </w:rPr>
        <w:t xml:space="preserve">. </w:t>
      </w:r>
      <w:r w:rsidRPr="00113164" w:rsidR="00FC56F8">
        <w:rPr>
          <w:szCs w:val="24"/>
        </w:rPr>
        <w:t>These findings will be used to better understand the long-term respiratory health effects of styrene and develop ef</w:t>
      </w:r>
      <w:r w:rsidRPr="00113164" w:rsidR="009870F7">
        <w:rPr>
          <w:szCs w:val="24"/>
        </w:rPr>
        <w:t xml:space="preserve">fective prevention </w:t>
      </w:r>
      <w:r w:rsidRPr="00113164" w:rsidR="009870F7">
        <w:rPr>
          <w:szCs w:val="24"/>
        </w:rPr>
        <w:lastRenderedPageBreak/>
        <w:t xml:space="preserve">strategies. Findings will be disseminated to the medical and scientific communities, labor groups, and industry through scientific presentations, peer-reviewed publications in the scientific literature, fact sheets targeted at workers in industries using styrene, and </w:t>
      </w:r>
      <w:r w:rsidRPr="00113164" w:rsidR="00B51964">
        <w:rPr>
          <w:szCs w:val="24"/>
        </w:rPr>
        <w:t xml:space="preserve">messages on NIOSH’s Facebook and Twitter accounts. </w:t>
      </w:r>
    </w:p>
    <w:p w:rsidRPr="00113164" w:rsidR="00A37435" w:rsidP="004A403C" w:rsidRDefault="00A37435" w14:paraId="211F1A54" w14:textId="77777777">
      <w:pPr>
        <w:pStyle w:val="Quick1"/>
        <w:spacing w:line="240" w:lineRule="auto"/>
        <w:rPr>
          <w:szCs w:val="24"/>
        </w:rPr>
      </w:pPr>
    </w:p>
    <w:p w:rsidRPr="00113164" w:rsidR="00A37435" w:rsidP="00A37435" w:rsidRDefault="00A37435" w14:paraId="4141D1A5" w14:textId="77777777">
      <w:pPr>
        <w:rPr>
          <w:szCs w:val="24"/>
        </w:rPr>
      </w:pPr>
      <w:r w:rsidRPr="00113164">
        <w:rPr>
          <w:szCs w:val="24"/>
        </w:rPr>
        <w:t>Previous epidemiologic studies of styrene exposure and respiratory disease have been limited to case reports, cross-sectional studies of current workers, and mortality studies. Each study type has important limitations. Case reports have limited strength of evidence. Cross-sectional studies provide unreliable estimates of the health of a cohort of workers becau</w:t>
      </w:r>
      <w:r w:rsidRPr="00113164" w:rsidR="00A747D8">
        <w:rPr>
          <w:szCs w:val="24"/>
        </w:rPr>
        <w:t>se of the healthy worker effect</w:t>
      </w:r>
      <w:r w:rsidRPr="00113164">
        <w:rPr>
          <w:szCs w:val="24"/>
        </w:rPr>
        <w:t xml:space="preserve">, and likely underestimate the respiratory morbidity associated with styrene exposure as ill workers leave the workforce earlier. Mortality studies rely on death certificate data, which have limited sensitivity for detecting occupational lung diseases. Furthermore, obliterative bronchiolitis does not have a specific diagnostic code. Thus, workers who died from recognized obliterative bronchiolitis were likely to have had their diagnosis misclassified on death certificates as chronic obstructive pulmonary disease, which is often attributed solely to tobacco use </w:t>
      </w:r>
      <w:r w:rsidRPr="00113164" w:rsidR="00A747D8">
        <w:rPr>
          <w:szCs w:val="24"/>
        </w:rPr>
        <w:t>and not occupational exposures</w:t>
      </w:r>
      <w:r w:rsidRPr="00113164">
        <w:rPr>
          <w:szCs w:val="24"/>
        </w:rPr>
        <w:t xml:space="preserve">. </w:t>
      </w:r>
    </w:p>
    <w:p w:rsidRPr="00113164" w:rsidR="00A37435" w:rsidP="00A37435" w:rsidRDefault="00A37435" w14:paraId="15148B93" w14:textId="77777777">
      <w:pPr>
        <w:rPr>
          <w:b/>
          <w:szCs w:val="24"/>
        </w:rPr>
      </w:pPr>
    </w:p>
    <w:p w:rsidR="00A37435" w:rsidP="000B2696" w:rsidRDefault="00A37435" w14:paraId="503B37B4" w14:textId="297CC42D">
      <w:pPr>
        <w:rPr>
          <w:szCs w:val="24"/>
        </w:rPr>
      </w:pPr>
      <w:r w:rsidRPr="00113164">
        <w:rPr>
          <w:szCs w:val="24"/>
        </w:rPr>
        <w:t xml:space="preserve">An understanding of the long-term respiratory morbidity of former styrene-exposed workers, and the impact of styrene exposure on ensuing respiratory disease processes would help to better inform stakeholders regarding the respiratory health risks associated with inhalational exposure to styrene. These data would also (1) help determine the risk to workers with styrene exposures below the NIOSH recommended exposure limit; (2) inform stakeholders about whether additional preventive efforts are necessary to further reduce worker exposure to styrene; </w:t>
      </w:r>
      <w:r w:rsidR="00F17EDA">
        <w:rPr>
          <w:szCs w:val="24"/>
        </w:rPr>
        <w:t xml:space="preserve">and </w:t>
      </w:r>
      <w:r w:rsidRPr="00113164">
        <w:rPr>
          <w:szCs w:val="24"/>
        </w:rPr>
        <w:t>(3)serve to evaluate the utility of blood specimen testing as a method of surveillance for workers at high-risk of occupational lung disease. In total, this project will help evaluate both traditional (e.g., spirometry) and less-often used (e.g., impulse oscillometry) technologies that can potentially be used to screen workers for small airways and other lung disease across multiple industries.</w:t>
      </w:r>
    </w:p>
    <w:p w:rsidR="004237C3" w:rsidP="000B2696" w:rsidRDefault="004237C3" w14:paraId="0AD4E22A" w14:textId="77777777">
      <w:pPr>
        <w:rPr>
          <w:szCs w:val="24"/>
        </w:rPr>
      </w:pPr>
    </w:p>
    <w:p w:rsidR="004237C3" w:rsidP="000B2696" w:rsidRDefault="004237C3" w14:paraId="23F51CB5" w14:textId="77777777">
      <w:pPr>
        <w:rPr>
          <w:szCs w:val="24"/>
        </w:rPr>
      </w:pPr>
      <w:r>
        <w:rPr>
          <w:szCs w:val="24"/>
        </w:rPr>
        <w:t>Data collection instruments for this research project:</w:t>
      </w:r>
    </w:p>
    <w:p w:rsidR="004237C3" w:rsidP="000B2696" w:rsidRDefault="004237C3" w14:paraId="0D5B0F1E" w14:textId="77777777">
      <w:pPr>
        <w:rPr>
          <w:szCs w:val="24"/>
        </w:rPr>
      </w:pPr>
    </w:p>
    <w:p w:rsidR="00BD0B61" w:rsidP="000B2696" w:rsidRDefault="004237C3" w14:paraId="795FB0AF" w14:textId="77777777">
      <w:pPr>
        <w:rPr>
          <w:u w:val="single"/>
        </w:rPr>
      </w:pPr>
      <w:r w:rsidRPr="004237C3">
        <w:rPr>
          <w:u w:val="single"/>
        </w:rPr>
        <w:t>Questionnaire</w:t>
      </w:r>
      <w:r>
        <w:rPr>
          <w:u w:val="single"/>
        </w:rPr>
        <w:t xml:space="preserve"> (</w:t>
      </w:r>
      <w:r w:rsidRPr="004237C3">
        <w:rPr>
          <w:b/>
          <w:u w:val="single"/>
        </w:rPr>
        <w:t>Attachment 3</w:t>
      </w:r>
      <w:r>
        <w:rPr>
          <w:u w:val="single"/>
        </w:rPr>
        <w:t>)</w:t>
      </w:r>
    </w:p>
    <w:p w:rsidRPr="002644DA" w:rsidR="00BD0B61" w:rsidP="000B2696" w:rsidRDefault="00CB5A66" w14:paraId="670A3204" w14:textId="77777777">
      <w:r w:rsidRPr="00001E2F">
        <w:rPr>
          <w:szCs w:val="24"/>
        </w:rPr>
        <w:t>NIOSH interviewers trained in administering standardized questionnaires will administer a computerized questionnaire to collect demographic information, detailed job history during and after the worker’s tenure at the boatbuilding plant, upper and lower respiratory symptoms, physician diagnoses of respiratory diseases, history of hearing loss, cigarette smoking history, and medication use</w:t>
      </w:r>
      <w:r>
        <w:rPr>
          <w:szCs w:val="24"/>
        </w:rPr>
        <w:t xml:space="preserve">. </w:t>
      </w:r>
      <w:r w:rsidRPr="002644DA" w:rsidR="002644DA">
        <w:t xml:space="preserve">The questionnaire should take about 45 minutes. </w:t>
      </w:r>
    </w:p>
    <w:p w:rsidR="00FE62A7" w:rsidP="00823A5D" w:rsidRDefault="00FE62A7" w14:paraId="0D2DBAD1" w14:textId="77777777">
      <w:pPr>
        <w:rPr>
          <w:u w:val="single"/>
        </w:rPr>
      </w:pPr>
    </w:p>
    <w:p w:rsidR="00633F8D" w:rsidP="000B2696" w:rsidRDefault="00633F8D" w14:paraId="10C72543" w14:textId="77777777">
      <w:pPr>
        <w:rPr>
          <w:u w:val="single"/>
        </w:rPr>
      </w:pPr>
    </w:p>
    <w:p w:rsidRPr="00FE62A7" w:rsidR="00516640" w:rsidP="000B2696" w:rsidRDefault="00823A5D" w14:paraId="2E64A4F7" w14:textId="42ECC826">
      <w:pPr>
        <w:rPr>
          <w:u w:val="single"/>
        </w:rPr>
      </w:pPr>
      <w:r w:rsidRPr="00823A5D">
        <w:rPr>
          <w:u w:val="single"/>
        </w:rPr>
        <w:t xml:space="preserve">Standard operating procedure for </w:t>
      </w:r>
      <w:r w:rsidR="0077469C">
        <w:rPr>
          <w:u w:val="single"/>
        </w:rPr>
        <w:t xml:space="preserve">Exhaled Nitric Oxide (FeNO) </w:t>
      </w:r>
      <w:r>
        <w:rPr>
          <w:u w:val="single"/>
        </w:rPr>
        <w:t>(</w:t>
      </w:r>
      <w:r w:rsidRPr="00CA7B5E">
        <w:rPr>
          <w:b/>
          <w:u w:val="single"/>
        </w:rPr>
        <w:t>Attachment 4</w:t>
      </w:r>
      <w:r>
        <w:rPr>
          <w:u w:val="single"/>
        </w:rPr>
        <w:t>)</w:t>
      </w:r>
    </w:p>
    <w:p w:rsidR="00BD0B61" w:rsidP="000B2696" w:rsidRDefault="00105851" w14:paraId="661964AE" w14:textId="77777777">
      <w:pPr>
        <w:rPr>
          <w:szCs w:val="24"/>
          <w:u w:val="single"/>
        </w:rPr>
      </w:pPr>
      <w:r>
        <w:rPr>
          <w:szCs w:val="24"/>
        </w:rPr>
        <w:t>NIOSH technicians trained in administering lung function tests</w:t>
      </w:r>
      <w:r w:rsidRPr="00001E2F">
        <w:rPr>
          <w:szCs w:val="24"/>
        </w:rPr>
        <w:t xml:space="preserve"> will use a NIOX Mino device (Aerocrine; Solna, Sweden) to measure the </w:t>
      </w:r>
      <w:r>
        <w:rPr>
          <w:szCs w:val="24"/>
        </w:rPr>
        <w:t>FeNO</w:t>
      </w:r>
      <w:r w:rsidRPr="00001E2F">
        <w:rPr>
          <w:szCs w:val="24"/>
        </w:rPr>
        <w:t xml:space="preserve"> using American</w:t>
      </w:r>
      <w:r>
        <w:rPr>
          <w:szCs w:val="24"/>
        </w:rPr>
        <w:t xml:space="preserve"> Thoracic Society guidelines and NIOSH/RHD’s SOP. </w:t>
      </w:r>
      <w:r w:rsidR="00043BFE">
        <w:rPr>
          <w:szCs w:val="24"/>
        </w:rPr>
        <w:t>This test takes about 5 minutes.</w:t>
      </w:r>
    </w:p>
    <w:p w:rsidRPr="004237C3" w:rsidR="00CD776E" w:rsidP="000B2696" w:rsidRDefault="00CD776E" w14:paraId="773855F4" w14:textId="77777777">
      <w:pPr>
        <w:rPr>
          <w:szCs w:val="24"/>
          <w:u w:val="single"/>
        </w:rPr>
      </w:pPr>
    </w:p>
    <w:p w:rsidR="00CD776E" w:rsidP="00CD776E" w:rsidRDefault="00CD776E" w14:paraId="47465D50" w14:textId="422A4F99">
      <w:pPr>
        <w:rPr>
          <w:u w:val="single"/>
        </w:rPr>
      </w:pPr>
      <w:r w:rsidRPr="00CD776E">
        <w:rPr>
          <w:u w:val="single"/>
        </w:rPr>
        <w:t xml:space="preserve">Standard operating procedure for </w:t>
      </w:r>
      <w:r w:rsidR="00500C9F">
        <w:rPr>
          <w:u w:val="single"/>
        </w:rPr>
        <w:t xml:space="preserve">Impulse </w:t>
      </w:r>
      <w:r w:rsidRPr="00CD776E">
        <w:rPr>
          <w:u w:val="single"/>
        </w:rPr>
        <w:t>Oscillometry</w:t>
      </w:r>
      <w:r>
        <w:rPr>
          <w:u w:val="single"/>
        </w:rPr>
        <w:t xml:space="preserve"> (</w:t>
      </w:r>
      <w:r w:rsidRPr="00CD776E">
        <w:rPr>
          <w:b/>
          <w:u w:val="single"/>
        </w:rPr>
        <w:t>Attachment 6</w:t>
      </w:r>
      <w:r>
        <w:rPr>
          <w:u w:val="single"/>
        </w:rPr>
        <w:t>)</w:t>
      </w:r>
    </w:p>
    <w:p w:rsidR="00CD776E" w:rsidP="00CD776E" w:rsidRDefault="00E37397" w14:paraId="7176A0A6" w14:textId="77777777">
      <w:pPr>
        <w:rPr>
          <w:u w:val="single"/>
        </w:rPr>
      </w:pPr>
      <w:r>
        <w:rPr>
          <w:szCs w:val="24"/>
        </w:rPr>
        <w:t>NIOSH technicians trained in administering lung function tests</w:t>
      </w:r>
      <w:r w:rsidRPr="00001E2F">
        <w:rPr>
          <w:szCs w:val="24"/>
        </w:rPr>
        <w:t xml:space="preserve"> will use an impulse oscillometry machine (CareFusion Corp., San Diego, CA) </w:t>
      </w:r>
      <w:r>
        <w:rPr>
          <w:szCs w:val="24"/>
        </w:rPr>
        <w:t xml:space="preserve">following the manual and NIOSH/RHD SOP </w:t>
      </w:r>
      <w:r w:rsidRPr="00001E2F">
        <w:rPr>
          <w:szCs w:val="24"/>
        </w:rPr>
        <w:t>to perform impulse oscillometry</w:t>
      </w:r>
      <w:r w:rsidR="00516640">
        <w:rPr>
          <w:szCs w:val="24"/>
        </w:rPr>
        <w:t xml:space="preserve">. </w:t>
      </w:r>
      <w:r w:rsidR="00E356A6">
        <w:rPr>
          <w:szCs w:val="24"/>
        </w:rPr>
        <w:t>This test takes about 10 minutes.</w:t>
      </w:r>
    </w:p>
    <w:p w:rsidRPr="00CD776E" w:rsidR="00CD776E" w:rsidP="00CD776E" w:rsidRDefault="00CD776E" w14:paraId="6EFDF14B" w14:textId="77777777">
      <w:pPr>
        <w:rPr>
          <w:u w:val="single"/>
        </w:rPr>
      </w:pPr>
    </w:p>
    <w:p w:rsidR="00CD776E" w:rsidP="00CD776E" w:rsidRDefault="00CD776E" w14:paraId="1F1EC727" w14:textId="5F61665D">
      <w:pPr>
        <w:rPr>
          <w:u w:val="single"/>
        </w:rPr>
      </w:pPr>
      <w:r w:rsidRPr="00CD776E">
        <w:rPr>
          <w:u w:val="single"/>
        </w:rPr>
        <w:t>Standard operating procedure for Nitrogen Multiple</w:t>
      </w:r>
      <w:r w:rsidR="007F1300">
        <w:rPr>
          <w:u w:val="single"/>
        </w:rPr>
        <w:t xml:space="preserve"> B</w:t>
      </w:r>
      <w:r w:rsidRPr="00CD776E">
        <w:rPr>
          <w:u w:val="single"/>
        </w:rPr>
        <w:t>reath Washout</w:t>
      </w:r>
      <w:r>
        <w:rPr>
          <w:u w:val="single"/>
        </w:rPr>
        <w:t xml:space="preserve"> (</w:t>
      </w:r>
      <w:r w:rsidRPr="00CD776E">
        <w:rPr>
          <w:b/>
          <w:u w:val="single"/>
        </w:rPr>
        <w:t>Attachment 7</w:t>
      </w:r>
      <w:r>
        <w:rPr>
          <w:u w:val="single"/>
        </w:rPr>
        <w:t>)</w:t>
      </w:r>
    </w:p>
    <w:p w:rsidR="00171E6A" w:rsidP="00171E6A" w:rsidRDefault="00E80A7C" w14:paraId="7ACAF536" w14:textId="77777777">
      <w:pPr>
        <w:rPr>
          <w:u w:val="single"/>
        </w:rPr>
      </w:pPr>
      <w:r>
        <w:rPr>
          <w:szCs w:val="24"/>
        </w:rPr>
        <w:t>NIOSH technicians trained in administering lung function tests</w:t>
      </w:r>
      <w:r w:rsidRPr="00001E2F">
        <w:rPr>
          <w:szCs w:val="24"/>
        </w:rPr>
        <w:t xml:space="preserve"> </w:t>
      </w:r>
      <w:r>
        <w:rPr>
          <w:szCs w:val="24"/>
        </w:rPr>
        <w:t>will use</w:t>
      </w:r>
      <w:r w:rsidRPr="00001E2F">
        <w:rPr>
          <w:szCs w:val="24"/>
        </w:rPr>
        <w:t xml:space="preserve"> a portable lung function machine (ndd Medical Technologies, Inc., Andover, MA) to perform a multiple-breath washout test</w:t>
      </w:r>
      <w:r>
        <w:rPr>
          <w:szCs w:val="24"/>
        </w:rPr>
        <w:t xml:space="preserve"> following the NIOSH/RHD SOP. </w:t>
      </w:r>
      <w:r w:rsidR="00171E6A">
        <w:rPr>
          <w:szCs w:val="24"/>
        </w:rPr>
        <w:t>This test takes about 30 minutes.</w:t>
      </w:r>
    </w:p>
    <w:p w:rsidRPr="00CD776E" w:rsidR="00CD776E" w:rsidP="00CD776E" w:rsidRDefault="00CD776E" w14:paraId="572E14D9" w14:textId="77777777">
      <w:pPr>
        <w:rPr>
          <w:u w:val="single"/>
        </w:rPr>
      </w:pPr>
    </w:p>
    <w:p w:rsidR="00CD776E" w:rsidP="00CD776E" w:rsidRDefault="00CD776E" w14:paraId="1DE2A8F8" w14:textId="77777777">
      <w:pPr>
        <w:rPr>
          <w:u w:val="single"/>
        </w:rPr>
      </w:pPr>
      <w:r w:rsidRPr="00CD776E">
        <w:rPr>
          <w:u w:val="single"/>
        </w:rPr>
        <w:t>Standard operating procedure for Spirometry</w:t>
      </w:r>
      <w:r w:rsidR="001E7D49">
        <w:rPr>
          <w:u w:val="single"/>
        </w:rPr>
        <w:t xml:space="preserve"> (</w:t>
      </w:r>
      <w:r w:rsidRPr="001E7D49" w:rsidR="001E7D49">
        <w:rPr>
          <w:b/>
          <w:u w:val="single"/>
        </w:rPr>
        <w:t>Attachment 8</w:t>
      </w:r>
      <w:r w:rsidR="001E7D49">
        <w:rPr>
          <w:u w:val="single"/>
        </w:rPr>
        <w:t>)</w:t>
      </w:r>
    </w:p>
    <w:p w:rsidR="007F0B04" w:rsidP="007F0B04" w:rsidRDefault="00C055BE" w14:paraId="1B78E74C" w14:textId="77777777">
      <w:pPr>
        <w:rPr>
          <w:u w:val="single"/>
        </w:rPr>
      </w:pPr>
      <w:r>
        <w:rPr>
          <w:szCs w:val="24"/>
        </w:rPr>
        <w:t>NIOSH Certified</w:t>
      </w:r>
      <w:r w:rsidRPr="00001E2F">
        <w:rPr>
          <w:szCs w:val="24"/>
        </w:rPr>
        <w:t xml:space="preserve"> and experienced NIOSH technicians will administer</w:t>
      </w:r>
      <w:r>
        <w:rPr>
          <w:szCs w:val="24"/>
        </w:rPr>
        <w:t xml:space="preserve"> the</w:t>
      </w:r>
      <w:r w:rsidRPr="00001E2F">
        <w:rPr>
          <w:szCs w:val="24"/>
        </w:rPr>
        <w:t xml:space="preserve"> spirometry tests</w:t>
      </w:r>
      <w:r>
        <w:rPr>
          <w:szCs w:val="24"/>
        </w:rPr>
        <w:t xml:space="preserve"> following the NIOSH/RHD SOP and </w:t>
      </w:r>
      <w:r w:rsidRPr="00001E2F">
        <w:rPr>
          <w:szCs w:val="24"/>
        </w:rPr>
        <w:t>using a dry rolling-seal spirometer interfaced t</w:t>
      </w:r>
      <w:r>
        <w:rPr>
          <w:szCs w:val="24"/>
        </w:rPr>
        <w:t xml:space="preserve">o a personal </w:t>
      </w:r>
      <w:r w:rsidRPr="003D7CF4">
        <w:rPr>
          <w:szCs w:val="24"/>
        </w:rPr>
        <w:t>computer</w:t>
      </w:r>
      <w:r>
        <w:rPr>
          <w:szCs w:val="24"/>
        </w:rPr>
        <w:t xml:space="preserve">. </w:t>
      </w:r>
      <w:r w:rsidR="007F0B04">
        <w:rPr>
          <w:szCs w:val="24"/>
        </w:rPr>
        <w:t>This test takes about 10 minutes.</w:t>
      </w:r>
    </w:p>
    <w:p w:rsidRPr="00CD776E" w:rsidR="00CD776E" w:rsidP="00CD776E" w:rsidRDefault="00CD776E" w14:paraId="084E00BD" w14:textId="77777777">
      <w:pPr>
        <w:rPr>
          <w:u w:val="single"/>
        </w:rPr>
      </w:pPr>
    </w:p>
    <w:p w:rsidRPr="00FE62A7" w:rsidR="004237C3" w:rsidP="000B2696" w:rsidRDefault="00CD776E" w14:paraId="337F19FE" w14:textId="327EB4BC">
      <w:pPr>
        <w:rPr>
          <w:u w:val="single"/>
        </w:rPr>
      </w:pPr>
      <w:r w:rsidRPr="00CD776E">
        <w:rPr>
          <w:u w:val="single"/>
        </w:rPr>
        <w:t xml:space="preserve">Standard operating procedure for Bronchodilator </w:t>
      </w:r>
      <w:r w:rsidR="006F1734">
        <w:rPr>
          <w:u w:val="single"/>
        </w:rPr>
        <w:t>t</w:t>
      </w:r>
      <w:r w:rsidRPr="00CD776E">
        <w:rPr>
          <w:u w:val="single"/>
        </w:rPr>
        <w:t>est</w:t>
      </w:r>
      <w:r w:rsidR="001E7D49">
        <w:rPr>
          <w:u w:val="single"/>
        </w:rPr>
        <w:t xml:space="preserve"> (</w:t>
      </w:r>
      <w:r w:rsidRPr="001E7D49" w:rsidR="001E7D49">
        <w:rPr>
          <w:b/>
          <w:u w:val="single"/>
        </w:rPr>
        <w:t xml:space="preserve">Attachment </w:t>
      </w:r>
      <w:r w:rsidR="0014476C">
        <w:rPr>
          <w:b/>
          <w:u w:val="single"/>
        </w:rPr>
        <w:t>10</w:t>
      </w:r>
      <w:r w:rsidR="001E7D49">
        <w:rPr>
          <w:u w:val="single"/>
        </w:rPr>
        <w:t>)</w:t>
      </w:r>
    </w:p>
    <w:p w:rsidR="007F0B04" w:rsidP="007F0B04" w:rsidRDefault="007B71C4" w14:paraId="2E14FC1E" w14:textId="62468163">
      <w:pPr>
        <w:rPr>
          <w:u w:val="single"/>
        </w:rPr>
      </w:pPr>
      <w:r w:rsidRPr="00001E2F">
        <w:rPr>
          <w:szCs w:val="24"/>
        </w:rPr>
        <w:t xml:space="preserve">If a </w:t>
      </w:r>
      <w:r>
        <w:rPr>
          <w:szCs w:val="24"/>
        </w:rPr>
        <w:t>study participant</w:t>
      </w:r>
      <w:r w:rsidRPr="00001E2F">
        <w:rPr>
          <w:szCs w:val="24"/>
        </w:rPr>
        <w:t xml:space="preserve"> has </w:t>
      </w:r>
      <w:r>
        <w:rPr>
          <w:szCs w:val="24"/>
        </w:rPr>
        <w:t xml:space="preserve">an </w:t>
      </w:r>
      <w:r w:rsidRPr="00001E2F">
        <w:rPr>
          <w:szCs w:val="24"/>
        </w:rPr>
        <w:t>abnormal spirometry</w:t>
      </w:r>
      <w:r>
        <w:rPr>
          <w:szCs w:val="24"/>
        </w:rPr>
        <w:t xml:space="preserve"> test</w:t>
      </w:r>
      <w:r w:rsidR="005470EF">
        <w:rPr>
          <w:szCs w:val="24"/>
        </w:rPr>
        <w:t xml:space="preserve"> (only a small percentage of study participants will qualify for the bronchodilator reversibly test)</w:t>
      </w:r>
      <w:r w:rsidRPr="00001E2F">
        <w:rPr>
          <w:szCs w:val="24"/>
        </w:rPr>
        <w:t xml:space="preserve">, </w:t>
      </w:r>
      <w:r>
        <w:rPr>
          <w:szCs w:val="24"/>
        </w:rPr>
        <w:t xml:space="preserve">the participant will be administered </w:t>
      </w:r>
      <w:r w:rsidRPr="00001E2F">
        <w:rPr>
          <w:szCs w:val="24"/>
        </w:rPr>
        <w:t>a bronchodilator inhaler medication (i.e., albuterol), which can open the airways in some persons (e.g., asthmatics)</w:t>
      </w:r>
      <w:r>
        <w:rPr>
          <w:szCs w:val="24"/>
        </w:rPr>
        <w:t xml:space="preserve">, after which spirometry and </w:t>
      </w:r>
      <w:r w:rsidRPr="00001E2F">
        <w:rPr>
          <w:szCs w:val="24"/>
        </w:rPr>
        <w:t>impulse oscillometry</w:t>
      </w:r>
      <w:r>
        <w:rPr>
          <w:szCs w:val="24"/>
        </w:rPr>
        <w:t xml:space="preserve"> will be repeated</w:t>
      </w:r>
      <w:r w:rsidRPr="00001E2F">
        <w:rPr>
          <w:szCs w:val="24"/>
        </w:rPr>
        <w:t>.</w:t>
      </w:r>
      <w:r>
        <w:rPr>
          <w:szCs w:val="24"/>
        </w:rPr>
        <w:t xml:space="preserve"> Study participants with baseline spirometry results within the normal range will not be </w:t>
      </w:r>
      <w:r w:rsidRPr="003D7CF4">
        <w:rPr>
          <w:szCs w:val="24"/>
        </w:rPr>
        <w:t>offered the bronchodilator reversibility test. To administer the bronchodilator (albuterol) the NIOSH/RHD SOP will be used</w:t>
      </w:r>
      <w:r w:rsidR="007402F6">
        <w:rPr>
          <w:szCs w:val="24"/>
        </w:rPr>
        <w:t xml:space="preserve">. </w:t>
      </w:r>
      <w:r w:rsidR="007F0B04">
        <w:rPr>
          <w:szCs w:val="24"/>
        </w:rPr>
        <w:t>This test takes about 20 minutes.</w:t>
      </w:r>
    </w:p>
    <w:p w:rsidR="00EE028E" w:rsidP="004A403C" w:rsidRDefault="00EE028E" w14:paraId="7618D261" w14:textId="77777777">
      <w:pPr>
        <w:pStyle w:val="Quick1"/>
        <w:spacing w:line="240" w:lineRule="auto"/>
        <w:rPr>
          <w:szCs w:val="24"/>
        </w:rPr>
      </w:pPr>
    </w:p>
    <w:p w:rsidR="00EE028E" w:rsidP="004A403C" w:rsidRDefault="00EE028E" w14:paraId="314BB805" w14:textId="41E86797">
      <w:pPr>
        <w:pStyle w:val="Quick1"/>
        <w:spacing w:line="240" w:lineRule="auto"/>
        <w:rPr>
          <w:u w:val="single"/>
        </w:rPr>
      </w:pPr>
      <w:r w:rsidRPr="00EE028E">
        <w:rPr>
          <w:u w:val="single"/>
        </w:rPr>
        <w:t>Standard operating procedure for Color vision test (</w:t>
      </w:r>
      <w:r w:rsidRPr="00EE028E">
        <w:rPr>
          <w:b/>
          <w:u w:val="single"/>
        </w:rPr>
        <w:t>Attachment 1</w:t>
      </w:r>
      <w:r w:rsidR="0014476C">
        <w:rPr>
          <w:b/>
          <w:u w:val="single"/>
        </w:rPr>
        <w:t>2</w:t>
      </w:r>
      <w:r w:rsidRPr="00EE028E">
        <w:rPr>
          <w:u w:val="single"/>
        </w:rPr>
        <w:t>)</w:t>
      </w:r>
    </w:p>
    <w:p w:rsidR="006C3038" w:rsidP="006C64C9" w:rsidRDefault="006A1A36" w14:paraId="40DF5722" w14:textId="5B634965">
      <w:pPr>
        <w:rPr>
          <w:szCs w:val="24"/>
        </w:rPr>
      </w:pPr>
      <w:r>
        <w:rPr>
          <w:szCs w:val="24"/>
        </w:rPr>
        <w:t xml:space="preserve">NIOSH trained technicians </w:t>
      </w:r>
      <w:r w:rsidRPr="00001E2F">
        <w:rPr>
          <w:szCs w:val="24"/>
        </w:rPr>
        <w:t>will use</w:t>
      </w:r>
      <w:r w:rsidRPr="00B72616">
        <w:t xml:space="preserve"> the Lanthony D-15 Color Test (desaturated) (Richmond Products, Albuquer</w:t>
      </w:r>
      <w:r>
        <w:t>que, NM)</w:t>
      </w:r>
      <w:r w:rsidRPr="00001E2F">
        <w:rPr>
          <w:szCs w:val="24"/>
        </w:rPr>
        <w:t xml:space="preserve"> to perform </w:t>
      </w:r>
      <w:r>
        <w:rPr>
          <w:szCs w:val="24"/>
        </w:rPr>
        <w:t>vision assessment following the NIOSH/RHD SOP. This test takes about 5 minutes</w:t>
      </w:r>
      <w:r w:rsidR="006C64C9">
        <w:rPr>
          <w:szCs w:val="24"/>
        </w:rPr>
        <w:t>.</w:t>
      </w:r>
    </w:p>
    <w:p w:rsidR="003906F4" w:rsidP="006C64C9" w:rsidRDefault="003906F4" w14:paraId="0B0383DC" w14:textId="20E64313">
      <w:pPr>
        <w:rPr>
          <w:szCs w:val="24"/>
        </w:rPr>
      </w:pPr>
    </w:p>
    <w:p w:rsidR="003906F4" w:rsidP="003906F4" w:rsidRDefault="003906F4" w14:paraId="1237B5FB" w14:textId="77777777">
      <w:pPr>
        <w:pStyle w:val="Quick1"/>
        <w:spacing w:line="240" w:lineRule="auto"/>
        <w:rPr>
          <w:szCs w:val="24"/>
          <w:u w:val="single"/>
        </w:rPr>
      </w:pPr>
      <w:r w:rsidRPr="00EE028E">
        <w:rPr>
          <w:u w:val="single"/>
        </w:rPr>
        <w:t xml:space="preserve">Standard operating procedure </w:t>
      </w:r>
      <w:r>
        <w:rPr>
          <w:u w:val="single"/>
        </w:rPr>
        <w:t xml:space="preserve">for </w:t>
      </w:r>
      <w:r>
        <w:rPr>
          <w:szCs w:val="24"/>
          <w:u w:val="single"/>
        </w:rPr>
        <w:t>Blood test (</w:t>
      </w:r>
      <w:r w:rsidRPr="00D85738">
        <w:rPr>
          <w:b/>
          <w:szCs w:val="24"/>
          <w:u w:val="single"/>
        </w:rPr>
        <w:t xml:space="preserve">Attachment </w:t>
      </w:r>
      <w:r>
        <w:rPr>
          <w:b/>
          <w:szCs w:val="24"/>
          <w:u w:val="single"/>
        </w:rPr>
        <w:t>16</w:t>
      </w:r>
      <w:r>
        <w:rPr>
          <w:szCs w:val="24"/>
          <w:u w:val="single"/>
        </w:rPr>
        <w:t>)</w:t>
      </w:r>
    </w:p>
    <w:p w:rsidRPr="00AD7D52" w:rsidR="003906F4" w:rsidP="003906F4" w:rsidRDefault="003906F4" w14:paraId="7E4D096A" w14:textId="77777777">
      <w:pPr>
        <w:pStyle w:val="Quick1"/>
        <w:spacing w:line="240" w:lineRule="auto"/>
        <w:rPr>
          <w:szCs w:val="24"/>
        </w:rPr>
      </w:pPr>
      <w:r w:rsidRPr="00AD7D52">
        <w:rPr>
          <w:szCs w:val="24"/>
        </w:rPr>
        <w:t>NIOSH experienced certified phlebotomist will collect blood samples following the</w:t>
      </w:r>
      <w:r>
        <w:rPr>
          <w:szCs w:val="24"/>
        </w:rPr>
        <w:t xml:space="preserve"> </w:t>
      </w:r>
      <w:r w:rsidRPr="00AD7D52">
        <w:rPr>
          <w:szCs w:val="24"/>
        </w:rPr>
        <w:t>NIOSH/RHD SOP</w:t>
      </w:r>
      <w:r>
        <w:rPr>
          <w:szCs w:val="24"/>
        </w:rPr>
        <w:t>. This takes about 5 minutes.</w:t>
      </w:r>
    </w:p>
    <w:p w:rsidR="003906F4" w:rsidP="006C64C9" w:rsidRDefault="003906F4" w14:paraId="3CA7F390" w14:textId="77777777">
      <w:pPr>
        <w:rPr>
          <w:szCs w:val="24"/>
        </w:rPr>
      </w:pPr>
    </w:p>
    <w:p w:rsidR="00633F8D" w:rsidP="00FE62A7" w:rsidRDefault="00633F8D" w14:paraId="304C7B85" w14:textId="77777777">
      <w:pPr>
        <w:rPr>
          <w:szCs w:val="24"/>
          <w:u w:val="single"/>
        </w:rPr>
      </w:pPr>
    </w:p>
    <w:p w:rsidR="00633F8D" w:rsidP="00FE62A7" w:rsidRDefault="00633F8D" w14:paraId="7A6D57E0" w14:textId="77777777">
      <w:pPr>
        <w:rPr>
          <w:szCs w:val="24"/>
          <w:u w:val="single"/>
        </w:rPr>
      </w:pPr>
    </w:p>
    <w:p w:rsidRPr="00FE62A7" w:rsidR="00EE028E" w:rsidP="00FE62A7" w:rsidRDefault="000F67DC" w14:paraId="5327647C" w14:textId="012B6FD1">
      <w:pPr>
        <w:rPr>
          <w:szCs w:val="24"/>
        </w:rPr>
      </w:pPr>
      <w:r w:rsidRPr="000F67DC">
        <w:rPr>
          <w:szCs w:val="24"/>
          <w:u w:val="single"/>
        </w:rPr>
        <w:t xml:space="preserve">Questionnaire and medical </w:t>
      </w:r>
      <w:r w:rsidR="00057729">
        <w:rPr>
          <w:szCs w:val="24"/>
          <w:u w:val="single"/>
        </w:rPr>
        <w:t>survey</w:t>
      </w:r>
      <w:r w:rsidRPr="000F67DC">
        <w:rPr>
          <w:szCs w:val="24"/>
          <w:u w:val="single"/>
        </w:rPr>
        <w:t xml:space="preserve"> </w:t>
      </w:r>
      <w:r w:rsidR="004E78D7">
        <w:rPr>
          <w:szCs w:val="24"/>
          <w:u w:val="single"/>
        </w:rPr>
        <w:t>C</w:t>
      </w:r>
      <w:r w:rsidRPr="000F67DC" w:rsidR="001F53D9">
        <w:rPr>
          <w:szCs w:val="24"/>
          <w:u w:val="single"/>
        </w:rPr>
        <w:t>onsent form (</w:t>
      </w:r>
      <w:r w:rsidRPr="000F67DC" w:rsidR="001F53D9">
        <w:rPr>
          <w:b/>
          <w:szCs w:val="24"/>
          <w:u w:val="single"/>
        </w:rPr>
        <w:t>Attachment 1</w:t>
      </w:r>
      <w:r w:rsidR="0014476C">
        <w:rPr>
          <w:b/>
          <w:szCs w:val="24"/>
          <w:u w:val="single"/>
        </w:rPr>
        <w:t>9</w:t>
      </w:r>
      <w:r w:rsidRPr="000F67DC" w:rsidR="001F53D9">
        <w:rPr>
          <w:szCs w:val="24"/>
          <w:u w:val="single"/>
        </w:rPr>
        <w:t>)</w:t>
      </w:r>
    </w:p>
    <w:p w:rsidRPr="00633F8D" w:rsidR="001E7D49" w:rsidP="004A403C" w:rsidRDefault="00F2428F" w14:paraId="3563C076" w14:textId="42ED2B72">
      <w:pPr>
        <w:pStyle w:val="Quick1"/>
        <w:spacing w:line="240" w:lineRule="auto"/>
        <w:rPr>
          <w:szCs w:val="24"/>
          <w:u w:val="single"/>
        </w:rPr>
      </w:pPr>
      <w:r w:rsidRPr="00F2428F">
        <w:rPr>
          <w:szCs w:val="24"/>
        </w:rPr>
        <w:t>Before being allowed to participate, each research participant must give his or her written informed consent</w:t>
      </w:r>
      <w:r>
        <w:rPr>
          <w:szCs w:val="24"/>
        </w:rPr>
        <w:t xml:space="preserve">. </w:t>
      </w:r>
      <w:r w:rsidRPr="00F2428F">
        <w:rPr>
          <w:szCs w:val="24"/>
        </w:rPr>
        <w:t xml:space="preserve">Each potential research participant will meet privately with an experienced NIOSH investigator familiar with administering informed consent forms before study participation begins. The NIOSH investigator will verbally explain the purpose of the study, study procedures, risks to participating in the study, and answer any questions from the research participant. </w:t>
      </w:r>
      <w:r w:rsidR="00F12CC0">
        <w:rPr>
          <w:szCs w:val="24"/>
        </w:rPr>
        <w:t>This take</w:t>
      </w:r>
      <w:r w:rsidR="00AE05F6">
        <w:rPr>
          <w:szCs w:val="24"/>
        </w:rPr>
        <w:t>s</w:t>
      </w:r>
      <w:r w:rsidR="00F12CC0">
        <w:rPr>
          <w:szCs w:val="24"/>
        </w:rPr>
        <w:t xml:space="preserve"> about 15 minutes. </w:t>
      </w:r>
    </w:p>
    <w:p w:rsidRPr="00113164" w:rsidR="00633F8D" w:rsidP="004A403C" w:rsidRDefault="00633F8D" w14:paraId="23DF2720" w14:textId="77777777">
      <w:pPr>
        <w:pStyle w:val="Quick1"/>
        <w:spacing w:line="240" w:lineRule="auto"/>
        <w:rPr>
          <w:szCs w:val="24"/>
        </w:rPr>
      </w:pPr>
    </w:p>
    <w:p w:rsidRPr="00113164" w:rsidR="005671DD" w:rsidP="004A403C" w:rsidRDefault="005671DD" w14:paraId="4EDB3347" w14:textId="77777777">
      <w:pPr>
        <w:pStyle w:val="Quick1"/>
        <w:spacing w:line="240" w:lineRule="auto"/>
        <w:ind w:firstLine="720"/>
        <w:rPr>
          <w:b/>
          <w:szCs w:val="24"/>
          <w:u w:val="single"/>
        </w:rPr>
      </w:pPr>
      <w:r w:rsidRPr="00113164">
        <w:rPr>
          <w:b/>
          <w:szCs w:val="24"/>
        </w:rPr>
        <w:t>2.1 Privacy Impact Assessment</w:t>
      </w:r>
    </w:p>
    <w:p w:rsidRPr="00113164" w:rsidR="005671DD" w:rsidP="004A403C" w:rsidRDefault="005671DD" w14:paraId="4A4AFE6A" w14:textId="77777777">
      <w:pPr>
        <w:pStyle w:val="Quick1"/>
        <w:spacing w:line="240" w:lineRule="auto"/>
        <w:rPr>
          <w:szCs w:val="24"/>
        </w:rPr>
      </w:pPr>
      <w:r w:rsidRPr="00113164">
        <w:rPr>
          <w:szCs w:val="24"/>
        </w:rPr>
        <w:tab/>
      </w:r>
    </w:p>
    <w:p w:rsidRPr="00113164" w:rsidR="009E158F" w:rsidP="004A403C" w:rsidRDefault="00AB77DA" w14:paraId="3A0EF742" w14:textId="77777777">
      <w:pPr>
        <w:rPr>
          <w:szCs w:val="24"/>
        </w:rPr>
      </w:pPr>
      <w:r w:rsidRPr="00113164">
        <w:rPr>
          <w:szCs w:val="24"/>
        </w:rPr>
        <w:t>Some identifiable personal information (i.e., names, addresses, phone numbers, and date of birth) will be collected during this study. In addition, data such as information on current and past employment and health state will be taken. This information could have an effect on the respondent’s privacy if there were a breach of security. Therefore, privacy will be assured by using subject numbers and codes in all analysis work. In addition, individual level data from participants will only be available to study personnel. Subject files will be kept in a separate file location and any data entered into computer data bases will be entered only by subject number and code. Privacy is also enhanced through controlled access to the NIOSH facility and the office where the files will be stored along with the rest of the Field Studies Branch human subject data. The specific information derived from the participants in this study will be kept secure and will not be disclosed to others without written consent except as required by law. This information will be used for statistical and research purposes in such manner that no individual can be identified.</w:t>
      </w:r>
    </w:p>
    <w:p w:rsidRPr="00113164" w:rsidR="00BF26EE" w:rsidP="004A403C" w:rsidRDefault="00BF26EE" w14:paraId="6B307524" w14:textId="77777777">
      <w:pPr>
        <w:widowControl w:val="0"/>
      </w:pPr>
    </w:p>
    <w:p w:rsidRPr="00113164" w:rsidR="00973A22" w:rsidP="004A403C" w:rsidRDefault="00AE60A5" w14:paraId="3D0AE1EF" w14:textId="77777777">
      <w:pPr>
        <w:widowControl w:val="0"/>
      </w:pPr>
      <w:r w:rsidRPr="00113164">
        <w:rPr>
          <w:b/>
        </w:rPr>
        <w:t>A.</w:t>
      </w:r>
      <w:r w:rsidRPr="00113164" w:rsidR="00437531">
        <w:rPr>
          <w:b/>
        </w:rPr>
        <w:t>3</w:t>
      </w:r>
      <w:r w:rsidRPr="00113164" w:rsidR="00437531">
        <w:t xml:space="preserve"> </w:t>
      </w:r>
      <w:r w:rsidRPr="00113164" w:rsidR="00437531">
        <w:tab/>
      </w:r>
      <w:r w:rsidRPr="00113164" w:rsidR="00437531">
        <w:rPr>
          <w:b/>
        </w:rPr>
        <w:t>Use of Improved Information Technology and Burden Reduction</w:t>
      </w:r>
    </w:p>
    <w:p w:rsidRPr="00113164" w:rsidR="004A403C" w:rsidP="004A403C" w:rsidRDefault="004A403C" w14:paraId="658A7167" w14:textId="77777777">
      <w:pPr>
        <w:rPr>
          <w:szCs w:val="24"/>
        </w:rPr>
      </w:pPr>
    </w:p>
    <w:p w:rsidRPr="00113164" w:rsidR="004A403C" w:rsidP="004A403C" w:rsidRDefault="004A403C" w14:paraId="0B2D659F" w14:textId="77777777">
      <w:pPr>
        <w:rPr>
          <w:szCs w:val="24"/>
        </w:rPr>
      </w:pPr>
      <w:r w:rsidRPr="00113164">
        <w:rPr>
          <w:szCs w:val="24"/>
        </w:rPr>
        <w:t xml:space="preserve">NIOSH interviewers will use a computer-based questionnaire (Attachment </w:t>
      </w:r>
      <w:r w:rsidR="00FF730E">
        <w:rPr>
          <w:szCs w:val="24"/>
        </w:rPr>
        <w:t>3</w:t>
      </w:r>
      <w:r w:rsidRPr="00113164">
        <w:rPr>
          <w:szCs w:val="24"/>
        </w:rPr>
        <w:t xml:space="preserve">) to complete all interviews with participants. Responses will be recorded by the NIOSH interviewer directly into a laptop computer. This approach reduces the burden of participation and ensures accurate data collection. </w:t>
      </w:r>
    </w:p>
    <w:p w:rsidRPr="00113164" w:rsidR="00437531" w:rsidP="008B2F21" w:rsidRDefault="00437531" w14:paraId="67A03922" w14:textId="77777777">
      <w:pPr>
        <w:widowControl w:val="0"/>
        <w:jc w:val="both"/>
      </w:pPr>
    </w:p>
    <w:p w:rsidRPr="00113164" w:rsidR="00437531" w:rsidP="008B2F21" w:rsidRDefault="00AE60A5" w14:paraId="08BCCC49" w14:textId="77777777">
      <w:pPr>
        <w:widowControl w:val="0"/>
        <w:jc w:val="both"/>
        <w:rPr>
          <w:b/>
        </w:rPr>
      </w:pPr>
      <w:r w:rsidRPr="00113164">
        <w:rPr>
          <w:b/>
        </w:rPr>
        <w:t>A.4</w:t>
      </w:r>
      <w:r w:rsidRPr="00113164" w:rsidR="00437531">
        <w:rPr>
          <w:b/>
        </w:rPr>
        <w:t xml:space="preserve"> </w:t>
      </w:r>
      <w:r w:rsidRPr="00113164" w:rsidR="00437531">
        <w:rPr>
          <w:b/>
        </w:rPr>
        <w:tab/>
        <w:t>Efforts to Identify Duplication and Use of Similar Information</w:t>
      </w:r>
    </w:p>
    <w:p w:rsidRPr="00113164" w:rsidR="00A747D8" w:rsidP="008B2F21" w:rsidRDefault="00A747D8" w14:paraId="4DF5B475" w14:textId="77777777">
      <w:pPr>
        <w:widowControl w:val="0"/>
        <w:jc w:val="both"/>
        <w:rPr>
          <w:b/>
        </w:rPr>
      </w:pPr>
    </w:p>
    <w:p w:rsidRPr="00113164" w:rsidR="007C6F30" w:rsidP="000D3DD3" w:rsidRDefault="00FA207C" w14:paraId="6618BF39" w14:textId="77777777">
      <w:pPr>
        <w:ind w:right="-180"/>
        <w:rPr>
          <w:highlight w:val="cyan"/>
          <w:lang w:eastAsia="ja-JP"/>
        </w:rPr>
      </w:pPr>
      <w:r w:rsidRPr="00113164">
        <w:t>NIOSH researchers have conducted</w:t>
      </w:r>
      <w:r w:rsidRPr="00113164" w:rsidR="00B97E73">
        <w:t xml:space="preserve"> a</w:t>
      </w:r>
      <w:r w:rsidRPr="00113164">
        <w:t xml:space="preserve"> thorough literature review of all on </w:t>
      </w:r>
      <w:r w:rsidRPr="00113164" w:rsidR="007C6F30">
        <w:t>NMRD</w:t>
      </w:r>
      <w:r w:rsidRPr="00113164">
        <w:t xml:space="preserve"> among styrene-exposed workers. </w:t>
      </w:r>
      <w:r w:rsidRPr="00113164" w:rsidR="000D3DD3">
        <w:t xml:space="preserve">Previous epidemiologic studies </w:t>
      </w:r>
      <w:r w:rsidRPr="00113164" w:rsidR="000D3DD3">
        <w:rPr>
          <w:szCs w:val="24"/>
        </w:rPr>
        <w:t xml:space="preserve">of styrene exposure and respiratory disease have </w:t>
      </w:r>
      <w:r w:rsidRPr="00113164" w:rsidR="000D3DD3">
        <w:rPr>
          <w:szCs w:val="24"/>
        </w:rPr>
        <w:lastRenderedPageBreak/>
        <w:t xml:space="preserve">been limited to case reports, cross-sectional studies of current workers, and mortality studies </w:t>
      </w:r>
      <w:r w:rsidRPr="00113164" w:rsidR="00E5279A">
        <w:rPr>
          <w:noProof/>
          <w:szCs w:val="24"/>
        </w:rPr>
        <w:t>[27</w:t>
      </w:r>
      <w:r w:rsidRPr="00113164" w:rsidR="000D3DD3">
        <w:rPr>
          <w:noProof/>
          <w:szCs w:val="24"/>
        </w:rPr>
        <w:t>]</w:t>
      </w:r>
      <w:r w:rsidRPr="00113164" w:rsidR="000D3DD3">
        <w:rPr>
          <w:szCs w:val="24"/>
        </w:rPr>
        <w:t xml:space="preserve">. Each study type has important limitations. </w:t>
      </w:r>
      <w:r w:rsidRPr="00113164" w:rsidR="0093365F">
        <w:rPr>
          <w:szCs w:val="24"/>
        </w:rPr>
        <w:t xml:space="preserve">Furthermore, </w:t>
      </w:r>
      <w:r w:rsidRPr="00113164" w:rsidR="00A747D8">
        <w:rPr>
          <w:lang w:eastAsia="ja-JP"/>
        </w:rPr>
        <w:t xml:space="preserve">NIOSH </w:t>
      </w:r>
      <w:r w:rsidRPr="00113164" w:rsidR="007C6F30">
        <w:rPr>
          <w:lang w:eastAsia="ja-JP"/>
        </w:rPr>
        <w:t>researchers</w:t>
      </w:r>
      <w:r w:rsidRPr="00113164" w:rsidR="00A747D8">
        <w:rPr>
          <w:lang w:eastAsia="ja-JP"/>
        </w:rPr>
        <w:t xml:space="preserve"> have </w:t>
      </w:r>
      <w:r w:rsidRPr="00113164" w:rsidR="007C6F30">
        <w:rPr>
          <w:lang w:eastAsia="ja-JP"/>
        </w:rPr>
        <w:t>followed a</w:t>
      </w:r>
      <w:r w:rsidRPr="00113164" w:rsidR="00A747D8">
        <w:rPr>
          <w:lang w:eastAsia="ja-JP"/>
        </w:rPr>
        <w:t xml:space="preserve"> cohort of 5,204 workers exposed to styrene at two reinforced plastic boatbuilding plants in Washington State during 1959–1978 </w:t>
      </w:r>
      <w:r w:rsidRPr="00113164" w:rsidR="00A747D8">
        <w:rPr>
          <w:noProof/>
          <w:lang w:eastAsia="ja-JP"/>
        </w:rPr>
        <w:t>[2</w:t>
      </w:r>
      <w:r w:rsidRPr="00113164" w:rsidR="00E5279A">
        <w:rPr>
          <w:noProof/>
          <w:lang w:eastAsia="ja-JP"/>
        </w:rPr>
        <w:t>4-26</w:t>
      </w:r>
      <w:r w:rsidRPr="00113164" w:rsidR="00A747D8">
        <w:rPr>
          <w:noProof/>
          <w:lang w:eastAsia="ja-JP"/>
        </w:rPr>
        <w:t>]</w:t>
      </w:r>
      <w:r w:rsidRPr="00113164" w:rsidR="00A747D8">
        <w:rPr>
          <w:lang w:eastAsia="ja-JP"/>
        </w:rPr>
        <w:t xml:space="preserve">. </w:t>
      </w:r>
      <w:r w:rsidRPr="00113164" w:rsidR="001632F5">
        <w:rPr>
          <w:szCs w:val="24"/>
        </w:rPr>
        <w:t>In a recent mortality analysis</w:t>
      </w:r>
      <w:r w:rsidRPr="00113164" w:rsidR="00FD099C">
        <w:rPr>
          <w:szCs w:val="24"/>
        </w:rPr>
        <w:t xml:space="preserve"> of the boatbuilders’ cohort</w:t>
      </w:r>
      <w:r w:rsidRPr="00113164" w:rsidR="001632F5">
        <w:rPr>
          <w:szCs w:val="24"/>
        </w:rPr>
        <w:t xml:space="preserve">, workers with high styrene exposures had a greater than two times higher mortality rate from COPD compared with the general population </w:t>
      </w:r>
      <w:r w:rsidRPr="00113164" w:rsidR="00E5279A">
        <w:rPr>
          <w:noProof/>
          <w:szCs w:val="24"/>
        </w:rPr>
        <w:t>[25</w:t>
      </w:r>
      <w:r w:rsidRPr="00113164" w:rsidR="001632F5">
        <w:rPr>
          <w:noProof/>
          <w:szCs w:val="24"/>
        </w:rPr>
        <w:t>]</w:t>
      </w:r>
      <w:r w:rsidRPr="00113164" w:rsidR="001632F5">
        <w:rPr>
          <w:szCs w:val="24"/>
        </w:rPr>
        <w:t>.</w:t>
      </w:r>
      <w:r w:rsidRPr="00113164" w:rsidR="00FD099C">
        <w:t xml:space="preserve"> </w:t>
      </w:r>
      <w:r w:rsidRPr="00113164" w:rsidR="0093365F">
        <w:t xml:space="preserve">Additionally, the number of decedents from COPD under the age of 55 was </w:t>
      </w:r>
      <w:r w:rsidRPr="00113164" w:rsidR="00CA19F1">
        <w:t xml:space="preserve">higher </w:t>
      </w:r>
      <w:r w:rsidRPr="00113164" w:rsidR="0093365F">
        <w:t xml:space="preserve">than expected based on the U.S. death rate from COPD during 1968–2011; suggesting </w:t>
      </w:r>
      <w:r w:rsidRPr="00113164" w:rsidR="0093365F">
        <w:rPr>
          <w:szCs w:val="24"/>
        </w:rPr>
        <w:t xml:space="preserve">these deaths were unlikely to be attributable solely to tobacco use. </w:t>
      </w:r>
      <w:r w:rsidRPr="00113164" w:rsidR="000D3DD3">
        <w:rPr>
          <w:szCs w:val="24"/>
        </w:rPr>
        <w:t>Currently, no studies have evaluated the long-term respiratory morbidity in styrene-exposed workers.</w:t>
      </w:r>
    </w:p>
    <w:p w:rsidRPr="00113164" w:rsidR="00437531" w:rsidP="008B2F21" w:rsidRDefault="00437531" w14:paraId="5E6CDBED" w14:textId="77777777">
      <w:pPr>
        <w:widowControl w:val="0"/>
        <w:jc w:val="both"/>
        <w:rPr>
          <w:b/>
        </w:rPr>
      </w:pPr>
    </w:p>
    <w:p w:rsidRPr="00113164" w:rsidR="00437531" w:rsidP="008B2F21" w:rsidRDefault="00AE60A5" w14:paraId="113DF45C" w14:textId="77777777">
      <w:pPr>
        <w:widowControl w:val="0"/>
        <w:jc w:val="both"/>
        <w:rPr>
          <w:b/>
          <w:u w:val="single"/>
        </w:rPr>
      </w:pPr>
      <w:r w:rsidRPr="00113164">
        <w:rPr>
          <w:b/>
        </w:rPr>
        <w:t>A.</w:t>
      </w:r>
      <w:r w:rsidRPr="00113164" w:rsidR="00437531">
        <w:rPr>
          <w:b/>
        </w:rPr>
        <w:t>5</w:t>
      </w:r>
      <w:r w:rsidRPr="00113164" w:rsidR="00437531">
        <w:tab/>
      </w:r>
      <w:r w:rsidRPr="00113164" w:rsidR="00437531">
        <w:rPr>
          <w:b/>
        </w:rPr>
        <w:t>Impact on Small Businesses or Other Small Entities</w:t>
      </w:r>
    </w:p>
    <w:p w:rsidRPr="00113164" w:rsidR="00437531" w:rsidP="008B2F21" w:rsidRDefault="00437531" w14:paraId="10D4180F" w14:textId="77777777">
      <w:pPr>
        <w:widowControl w:val="0"/>
        <w:jc w:val="both"/>
      </w:pPr>
    </w:p>
    <w:p w:rsidRPr="00113164" w:rsidR="00437531" w:rsidP="008B2F21" w:rsidRDefault="00437531" w14:paraId="33ABB87D" w14:textId="77777777">
      <w:pPr>
        <w:widowControl w:val="0"/>
        <w:jc w:val="both"/>
      </w:pPr>
      <w:r w:rsidRPr="00113164">
        <w:t>No small businesses will be involved in this data collection</w:t>
      </w:r>
    </w:p>
    <w:p w:rsidRPr="00113164" w:rsidR="00437531" w:rsidP="008B2F21" w:rsidRDefault="00437531" w14:paraId="5DD1605C" w14:textId="77777777">
      <w:pPr>
        <w:widowControl w:val="0"/>
        <w:jc w:val="both"/>
      </w:pPr>
    </w:p>
    <w:p w:rsidRPr="00113164" w:rsidR="00437531" w:rsidP="008B2F21" w:rsidRDefault="00AE60A5" w14:paraId="446A982A" w14:textId="77777777">
      <w:pPr>
        <w:widowControl w:val="0"/>
        <w:jc w:val="both"/>
        <w:rPr>
          <w:b/>
        </w:rPr>
      </w:pPr>
      <w:r w:rsidRPr="00113164">
        <w:rPr>
          <w:b/>
        </w:rPr>
        <w:t>A.6</w:t>
      </w:r>
      <w:r w:rsidRPr="00113164" w:rsidR="00437531">
        <w:rPr>
          <w:b/>
        </w:rPr>
        <w:tab/>
        <w:t>Consequences of Collecting the Information Less Frequently</w:t>
      </w:r>
    </w:p>
    <w:p w:rsidRPr="00113164" w:rsidR="00437531" w:rsidP="008B2F21" w:rsidRDefault="00437531" w14:paraId="485C6EEE" w14:textId="77777777">
      <w:pPr>
        <w:widowControl w:val="0"/>
        <w:jc w:val="both"/>
      </w:pPr>
    </w:p>
    <w:p w:rsidRPr="00113164" w:rsidR="00437531" w:rsidP="008B2F21" w:rsidRDefault="00437531" w14:paraId="1D187AFA" w14:textId="77777777">
      <w:pPr>
        <w:widowControl w:val="0"/>
        <w:jc w:val="both"/>
      </w:pPr>
      <w:r w:rsidRPr="00113164">
        <w:t>This request is for a one time data collection.</w:t>
      </w:r>
    </w:p>
    <w:p w:rsidRPr="00113164" w:rsidR="00437531" w:rsidP="008B2F21" w:rsidRDefault="00437531" w14:paraId="4F328C7B" w14:textId="77777777">
      <w:pPr>
        <w:widowControl w:val="0"/>
        <w:jc w:val="both"/>
        <w:rPr>
          <w:b/>
        </w:rPr>
      </w:pPr>
    </w:p>
    <w:p w:rsidRPr="00113164" w:rsidR="00437531" w:rsidP="008B2F21" w:rsidRDefault="00F75383" w14:paraId="61442558" w14:textId="77777777">
      <w:pPr>
        <w:widowControl w:val="0"/>
        <w:jc w:val="both"/>
        <w:rPr>
          <w:b/>
        </w:rPr>
      </w:pPr>
      <w:r w:rsidRPr="00113164">
        <w:rPr>
          <w:b/>
        </w:rPr>
        <w:t>A.7</w:t>
      </w:r>
      <w:r w:rsidRPr="00113164" w:rsidR="00437531">
        <w:rPr>
          <w:b/>
        </w:rPr>
        <w:t xml:space="preserve"> </w:t>
      </w:r>
      <w:r w:rsidRPr="00113164" w:rsidR="00437531">
        <w:rPr>
          <w:b/>
        </w:rPr>
        <w:tab/>
        <w:t>Special Circumstances Relating to the Guidelines of 5 CFR 1320.5</w:t>
      </w:r>
    </w:p>
    <w:p w:rsidRPr="00113164" w:rsidR="00F75383" w:rsidP="008B2F21" w:rsidRDefault="00F75383" w14:paraId="0E5998EF" w14:textId="77777777">
      <w:pPr>
        <w:widowControl w:val="0"/>
        <w:jc w:val="both"/>
      </w:pPr>
    </w:p>
    <w:p w:rsidRPr="00113164" w:rsidR="00437531" w:rsidP="008B2F21" w:rsidRDefault="00437531" w14:paraId="1E4CB4E2" w14:textId="77777777">
      <w:pPr>
        <w:widowControl w:val="0"/>
        <w:jc w:val="both"/>
      </w:pPr>
      <w:r w:rsidRPr="00113164">
        <w:t>This request fully complies with the regulation 5 CFR 1320.5.</w:t>
      </w:r>
    </w:p>
    <w:p w:rsidRPr="00113164" w:rsidR="00D514D6" w:rsidP="008B2F21" w:rsidRDefault="00D514D6" w14:paraId="7FC41472" w14:textId="77777777">
      <w:pPr>
        <w:widowControl w:val="0"/>
        <w:jc w:val="both"/>
        <w:rPr>
          <w:b/>
        </w:rPr>
      </w:pPr>
    </w:p>
    <w:p w:rsidRPr="00113164" w:rsidR="00C74A2D" w:rsidP="00A710FF" w:rsidRDefault="00D514D6" w14:paraId="1DA6F587" w14:textId="13B92C1D">
      <w:pPr>
        <w:widowControl w:val="0"/>
        <w:ind w:left="720" w:hanging="720"/>
        <w:jc w:val="both"/>
      </w:pPr>
      <w:r w:rsidRPr="00113164">
        <w:rPr>
          <w:b/>
        </w:rPr>
        <w:t xml:space="preserve">A.8 </w:t>
      </w:r>
      <w:r w:rsidRPr="00113164">
        <w:rPr>
          <w:b/>
        </w:rPr>
        <w:tab/>
        <w:t>Comments in Response to the Federal Register Notice and Efforts to Consult Outside the Agency</w:t>
      </w:r>
      <w:r w:rsidRPr="00113164" w:rsidR="00437531">
        <w:t xml:space="preserve"> </w:t>
      </w:r>
    </w:p>
    <w:p w:rsidRPr="002776FF" w:rsidR="00102D86" w:rsidP="00B072A4" w:rsidRDefault="00102D86" w14:paraId="71C67791" w14:textId="77777777">
      <w:pPr>
        <w:pStyle w:val="Heading2"/>
        <w:jc w:val="left"/>
        <w:rPr>
          <w:bCs w:val="0"/>
          <w:sz w:val="24"/>
        </w:rPr>
      </w:pPr>
      <w:r w:rsidRPr="002776FF">
        <w:rPr>
          <w:bCs w:val="0"/>
          <w:sz w:val="24"/>
        </w:rPr>
        <w:t>A</w:t>
      </w:r>
    </w:p>
    <w:p w:rsidRPr="002E00A8" w:rsidR="002776FF" w:rsidP="00102D86" w:rsidRDefault="00102D86" w14:paraId="634B547C" w14:textId="0B9C89DC">
      <w:r w:rsidRPr="002E00A8">
        <w:t xml:space="preserve">A 60-day Federal Register Notice was </w:t>
      </w:r>
      <w:r w:rsidRPr="00352540">
        <w:t xml:space="preserve">published in the </w:t>
      </w:r>
      <w:r w:rsidRPr="00352540">
        <w:rPr>
          <w:i/>
        </w:rPr>
        <w:t>Federal Register</w:t>
      </w:r>
      <w:r w:rsidRPr="00352540">
        <w:t xml:space="preserve"> on </w:t>
      </w:r>
      <w:r>
        <w:t>February 28</w:t>
      </w:r>
      <w:r w:rsidRPr="00352540">
        <w:t>, 20</w:t>
      </w:r>
      <w:r>
        <w:t>20</w:t>
      </w:r>
      <w:r w:rsidRPr="00352540">
        <w:t xml:space="preserve"> vol. 8</w:t>
      </w:r>
      <w:r>
        <w:t>5</w:t>
      </w:r>
      <w:r w:rsidRPr="00352540">
        <w:t xml:space="preserve">, No. </w:t>
      </w:r>
      <w:r>
        <w:t>40</w:t>
      </w:r>
      <w:r w:rsidRPr="00352540">
        <w:t>, pp. 1</w:t>
      </w:r>
      <w:r>
        <w:t>1988</w:t>
      </w:r>
      <w:r w:rsidRPr="00352540">
        <w:t>-1</w:t>
      </w:r>
      <w:r>
        <w:t>1990</w:t>
      </w:r>
      <w:r w:rsidRPr="00352540">
        <w:t xml:space="preserve"> (see A</w:t>
      </w:r>
      <w:r>
        <w:t>ttachment</w:t>
      </w:r>
      <w:r w:rsidRPr="00352540">
        <w:t xml:space="preserve"> </w:t>
      </w:r>
      <w:r>
        <w:t>2</w:t>
      </w:r>
      <w:r w:rsidRPr="00352540">
        <w:t>).  One public comment was received</w:t>
      </w:r>
      <w:r>
        <w:t xml:space="preserve"> (A</w:t>
      </w:r>
      <w:r w:rsidR="00E47052">
        <w:t>ttachment</w:t>
      </w:r>
      <w:r>
        <w:t xml:space="preserve"> </w:t>
      </w:r>
      <w:r w:rsidR="00E47052">
        <w:t>2.1</w:t>
      </w:r>
      <w:r>
        <w:t>)</w:t>
      </w:r>
      <w:r w:rsidRPr="00352540">
        <w:t>. The comment</w:t>
      </w:r>
      <w:r w:rsidR="001D2371">
        <w:t xml:space="preserve"> </w:t>
      </w:r>
      <w:r w:rsidR="00B51306">
        <w:t xml:space="preserve">outlined the </w:t>
      </w:r>
      <w:r w:rsidR="002776FF">
        <w:t xml:space="preserve">concerns regarding collecting data from individuals exposed to styrene over 30 years ago and recommended </w:t>
      </w:r>
      <w:r w:rsidR="00546866">
        <w:t xml:space="preserve">the </w:t>
      </w:r>
      <w:r w:rsidR="001D2371">
        <w:t>CDC</w:t>
      </w:r>
      <w:r w:rsidR="001C11E0">
        <w:t xml:space="preserve"> identify a population of workers at a current operating reinforced plastic plant and follow overtime in a longitudinal </w:t>
      </w:r>
      <w:r w:rsidR="00546866">
        <w:t>study</w:t>
      </w:r>
      <w:r w:rsidR="001C11E0">
        <w:t xml:space="preserve">.  </w:t>
      </w:r>
      <w:r w:rsidR="00B86629">
        <w:t>N</w:t>
      </w:r>
      <w:r w:rsidR="00F553D0">
        <w:t>IOSH agrees with the limits of a retrospective study</w:t>
      </w:r>
      <w:r w:rsidR="00F36A9F">
        <w:t>. T</w:t>
      </w:r>
      <w:r w:rsidR="00480C54">
        <w:t xml:space="preserve">he </w:t>
      </w:r>
      <w:r w:rsidR="00F36A9F">
        <w:t xml:space="preserve">study </w:t>
      </w:r>
      <w:r w:rsidR="00480C54">
        <w:t>limitations were considered during study design</w:t>
      </w:r>
      <w:r w:rsidR="00F36A9F">
        <w:t xml:space="preserve"> and will be addressed during data analysis. </w:t>
      </w:r>
    </w:p>
    <w:p w:rsidRPr="00B86629" w:rsidR="00102D86" w:rsidP="00B072A4" w:rsidRDefault="00102D86" w14:paraId="40EE77BB" w14:textId="77777777">
      <w:pPr>
        <w:pStyle w:val="Heading2"/>
        <w:jc w:val="left"/>
        <w:rPr>
          <w:bCs w:val="0"/>
          <w:sz w:val="24"/>
        </w:rPr>
      </w:pPr>
      <w:r w:rsidRPr="00B86629">
        <w:rPr>
          <w:bCs w:val="0"/>
          <w:sz w:val="24"/>
        </w:rPr>
        <w:t xml:space="preserve">B </w:t>
      </w:r>
    </w:p>
    <w:p w:rsidR="00102D86" w:rsidP="00102D86" w:rsidRDefault="00102D86" w14:paraId="17741CCC" w14:textId="3992D388">
      <w:r w:rsidRPr="00B51306">
        <w:t>There were no personal consults outside NIOSH.</w:t>
      </w:r>
      <w:r w:rsidRPr="002E00A8">
        <w:t xml:space="preserve"> </w:t>
      </w:r>
    </w:p>
    <w:p w:rsidR="00D514D6" w:rsidP="008B2F21" w:rsidRDefault="00D514D6" w14:paraId="2B05C856" w14:textId="2B60BD09">
      <w:pPr>
        <w:widowControl w:val="0"/>
        <w:jc w:val="both"/>
      </w:pPr>
    </w:p>
    <w:p w:rsidR="00A710FF" w:rsidP="008B2F21" w:rsidRDefault="00A710FF" w14:paraId="3940BEBD" w14:textId="03E2228B">
      <w:pPr>
        <w:widowControl w:val="0"/>
        <w:jc w:val="both"/>
      </w:pPr>
    </w:p>
    <w:p w:rsidR="00A710FF" w:rsidP="008B2F21" w:rsidRDefault="00A710FF" w14:paraId="1553E5B9" w14:textId="41DE169F">
      <w:pPr>
        <w:widowControl w:val="0"/>
        <w:jc w:val="both"/>
      </w:pPr>
    </w:p>
    <w:p w:rsidRPr="00113164" w:rsidR="00A710FF" w:rsidP="008B2F21" w:rsidRDefault="00A710FF" w14:paraId="0016B38C" w14:textId="77777777">
      <w:pPr>
        <w:widowControl w:val="0"/>
        <w:jc w:val="both"/>
      </w:pPr>
    </w:p>
    <w:p w:rsidRPr="00113164" w:rsidR="00D514D6" w:rsidP="00D514D6" w:rsidRDefault="00D514D6" w14:paraId="17E34CE2" w14:textId="77777777">
      <w:pPr>
        <w:widowControl w:val="0"/>
        <w:jc w:val="both"/>
      </w:pPr>
      <w:r w:rsidRPr="00113164">
        <w:rPr>
          <w:b/>
        </w:rPr>
        <w:t xml:space="preserve">A.9 </w:t>
      </w:r>
      <w:r w:rsidRPr="00113164">
        <w:rPr>
          <w:b/>
        </w:rPr>
        <w:tab/>
        <w:t>Explanation of Any Payment or Gift to Respondents</w:t>
      </w:r>
      <w:r w:rsidRPr="00113164">
        <w:t xml:space="preserve"> </w:t>
      </w:r>
    </w:p>
    <w:p w:rsidRPr="00113164" w:rsidR="00D514D6" w:rsidP="008B2F21" w:rsidRDefault="00D514D6" w14:paraId="06093214" w14:textId="77777777">
      <w:pPr>
        <w:widowControl w:val="0"/>
        <w:jc w:val="both"/>
      </w:pPr>
    </w:p>
    <w:p w:rsidRPr="00113164" w:rsidR="00D514D6" w:rsidP="005D541E" w:rsidRDefault="005D541E" w14:paraId="29D2D0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13164">
        <w:rPr>
          <w:szCs w:val="24"/>
        </w:rPr>
        <w:t>Respondents will be offered a $50 gift card to offset some of the financial challenges of traveling to the medical survey site.</w:t>
      </w:r>
    </w:p>
    <w:p w:rsidRPr="00113164" w:rsidR="005D541E" w:rsidP="005D541E" w:rsidRDefault="005D541E" w14:paraId="179C6B8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D514D6" w:rsidP="00D514D6" w:rsidRDefault="00D514D6" w14:paraId="66D58BA8" w14:textId="77777777">
      <w:pPr>
        <w:widowControl w:val="0"/>
        <w:jc w:val="both"/>
      </w:pPr>
      <w:r w:rsidRPr="00113164">
        <w:rPr>
          <w:b/>
        </w:rPr>
        <w:t xml:space="preserve">A.10 </w:t>
      </w:r>
      <w:r w:rsidRPr="00113164">
        <w:rPr>
          <w:b/>
        </w:rPr>
        <w:tab/>
        <w:t>Assurance of Confidentiality Provided to Respondents</w:t>
      </w:r>
      <w:r w:rsidRPr="00113164">
        <w:t xml:space="preserve"> </w:t>
      </w:r>
    </w:p>
    <w:p w:rsidRPr="00113164" w:rsidR="00F16462" w:rsidP="00D514D6" w:rsidRDefault="00F16462" w14:paraId="295B8AAB" w14:textId="77777777">
      <w:pPr>
        <w:widowControl w:val="0"/>
        <w:jc w:val="both"/>
      </w:pPr>
    </w:p>
    <w:p w:rsidRPr="00113164" w:rsidR="00D514D6" w:rsidP="00BF4D9F" w:rsidRDefault="00D514D6" w14:paraId="37E38568" w14:textId="77F301A3">
      <w:r w:rsidRPr="00113164">
        <w:t>This submission has been reviewed by I</w:t>
      </w:r>
      <w:r w:rsidR="002F6CB6">
        <w:t>SSO</w:t>
      </w:r>
      <w:r w:rsidRPr="00113164">
        <w:t>, who has determined that the Privacy Act does apply</w:t>
      </w:r>
      <w:r w:rsidR="00AE5E96">
        <w:t xml:space="preserve"> (Attachment 2</w:t>
      </w:r>
      <w:r w:rsidR="00E7659F">
        <w:t>2</w:t>
      </w:r>
      <w:r w:rsidR="00AE5E96">
        <w:t>)</w:t>
      </w:r>
      <w:r w:rsidRPr="00113164">
        <w:t xml:space="preserve">. The applicable System of Records Notice is 09-20-0147, “Occupational Health Epidemiological Studies.” The data collection will involve collecting individually identifiable information, including name, date of birth, mailing address, and phone number. All collected data will be transmitted to NIOSH. Data will be treated in a secure manner and will not be disclosed, unless otherwise compelled by law.    </w:t>
      </w:r>
    </w:p>
    <w:p w:rsidRPr="00113164" w:rsidR="00824782" w:rsidP="00BE6D0C" w:rsidRDefault="00824782" w14:paraId="2E81C4F8" w14:textId="77777777">
      <w:pPr>
        <w:pStyle w:val="StyleStyleHeading3NotBold1NotBold"/>
        <w:rPr>
          <w:rFonts w:ascii="Times New Roman" w:hAnsi="Times New Roman" w:cs="Times New Roman"/>
        </w:rPr>
      </w:pPr>
    </w:p>
    <w:p w:rsidRPr="00113164" w:rsidR="00D514D6" w:rsidP="00BF4D9F" w:rsidRDefault="00D514D6" w14:paraId="436E1DEF" w14:textId="77777777">
      <w:r w:rsidRPr="00113164">
        <w:t>On the day of data collection, each participant wi</w:t>
      </w:r>
      <w:r w:rsidR="00072E92">
        <w:t xml:space="preserve">ll </w:t>
      </w:r>
      <w:r w:rsidRPr="00113164">
        <w:t xml:space="preserve">be assigned a subject identification (ID) number. Response data will be collected in identifiable form but de-linked from identifiers and subsequently retrieved by NIOSH data analysts using the subject ID number. NIOSH will maintain the linkage between name and ID number in a secure network file. The linkage will be maintained for as long as the records are maintained per the CDC record schedule.  </w:t>
      </w:r>
    </w:p>
    <w:p w:rsidRPr="00113164" w:rsidR="00824782" w:rsidP="00BE6D0C" w:rsidRDefault="00824782" w14:paraId="727F2A5F" w14:textId="77777777">
      <w:pPr>
        <w:pStyle w:val="StyleStyleHeading3NotBold1NotBold"/>
        <w:rPr>
          <w:rFonts w:ascii="Times New Roman" w:hAnsi="Times New Roman" w:cs="Times New Roman"/>
        </w:rPr>
      </w:pPr>
    </w:p>
    <w:p w:rsidRPr="00113164" w:rsidR="00D514D6" w:rsidP="00BF4D9F" w:rsidRDefault="00D514D6" w14:paraId="13896278" w14:textId="32D945B5">
      <w:r w:rsidRPr="00113164">
        <w:t xml:space="preserve">NIOSH owns the data and collaborators will not have access to the linking information. Blood samples will be analyzed by contract laboratories. The contract laboratories will receive de-identified samples labeled only with the assigned code (subject identification number). The contract laboratories will report results to NIOSH using the assigned code. </w:t>
      </w:r>
    </w:p>
    <w:p w:rsidRPr="00113164" w:rsidR="00824782" w:rsidP="00BE6D0C" w:rsidRDefault="00824782" w14:paraId="18935510" w14:textId="77777777">
      <w:pPr>
        <w:pStyle w:val="StyleStyleHeading3NotBold1NotBold"/>
        <w:rPr>
          <w:rFonts w:ascii="Times New Roman" w:hAnsi="Times New Roman" w:cs="Times New Roman"/>
        </w:rPr>
      </w:pPr>
    </w:p>
    <w:p w:rsidR="00104ACC" w:rsidP="007852CF" w:rsidRDefault="00D514D6" w14:paraId="6732F484" w14:textId="375538D2">
      <w:r w:rsidRPr="00853DFC">
        <w:t>The data collection has been reviewed and approved by the NIOSH Institutional Review Board (IRB). A copy of the approval letter is included (</w:t>
      </w:r>
      <w:r w:rsidRPr="00853DFC" w:rsidR="003C0959">
        <w:t xml:space="preserve">Attachment </w:t>
      </w:r>
      <w:r w:rsidRPr="00853DFC" w:rsidR="00665546">
        <w:t>21</w:t>
      </w:r>
      <w:r w:rsidRPr="00853DFC">
        <w:t>).</w:t>
      </w:r>
      <w:r w:rsidRPr="00113164">
        <w:t xml:space="preserve">  </w:t>
      </w:r>
    </w:p>
    <w:p w:rsidRPr="00113164" w:rsidR="00422159" w:rsidP="007852CF" w:rsidRDefault="00422159" w14:paraId="28DB6484" w14:textId="77777777"/>
    <w:p w:rsidRPr="00113164" w:rsidR="00104ACC" w:rsidP="00BE6D0C" w:rsidRDefault="00104ACC" w14:paraId="03ABD966" w14:textId="77777777">
      <w:pPr>
        <w:pStyle w:val="StyleStyleHeading3NotBold1NotBold"/>
        <w:rPr>
          <w:rFonts w:ascii="Times New Roman" w:hAnsi="Times New Roman" w:cs="Times New Roman"/>
        </w:rPr>
      </w:pPr>
      <w:r w:rsidRPr="00113164">
        <w:rPr>
          <w:rFonts w:ascii="Times New Roman" w:hAnsi="Times New Roman" w:cs="Times New Roman"/>
        </w:rPr>
        <w:t>10.1 Privacy Impact Assessment</w:t>
      </w:r>
    </w:p>
    <w:p w:rsidRPr="00113164" w:rsidR="00824782" w:rsidP="00BE6D0C" w:rsidRDefault="00824782" w14:paraId="72BFCF6E" w14:textId="77777777">
      <w:pPr>
        <w:pStyle w:val="StyleStyleHeading3NotBold1NotBold"/>
        <w:rPr>
          <w:rFonts w:ascii="Times New Roman" w:hAnsi="Times New Roman" w:cs="Times New Roman"/>
        </w:rPr>
      </w:pPr>
    </w:p>
    <w:p w:rsidRPr="00113164" w:rsidR="00104ACC" w:rsidP="007852CF" w:rsidRDefault="00104ACC" w14:paraId="4385A3B3" w14:textId="1E96EAC1">
      <w:r w:rsidRPr="00113164">
        <w:t xml:space="preserve">Individuals are informed that participation is voluntary in the informed consent document for the questionnaire and medical </w:t>
      </w:r>
      <w:r w:rsidRPr="00CC1244">
        <w:t>testing (</w:t>
      </w:r>
      <w:r w:rsidRPr="00CC1244" w:rsidR="003C0959">
        <w:t xml:space="preserve">Attachment </w:t>
      </w:r>
      <w:r w:rsidRPr="00CC1244" w:rsidR="006F04A7">
        <w:t>1</w:t>
      </w:r>
      <w:r w:rsidR="00665546">
        <w:t>9</w:t>
      </w:r>
      <w:r w:rsidRPr="00CC1244" w:rsidR="003833A1">
        <w:t>)</w:t>
      </w:r>
      <w:r w:rsidR="008E660B">
        <w:t>.</w:t>
      </w:r>
      <w:r w:rsidRPr="00CC1244" w:rsidR="003833A1">
        <w:t xml:space="preserve"> </w:t>
      </w:r>
    </w:p>
    <w:p w:rsidRPr="00113164" w:rsidR="00824782" w:rsidP="00BE6D0C" w:rsidRDefault="00824782" w14:paraId="78E5E3DD" w14:textId="77777777">
      <w:pPr>
        <w:pStyle w:val="StyleStyleHeading3NotBold1NotBold"/>
        <w:rPr>
          <w:rFonts w:ascii="Times New Roman" w:hAnsi="Times New Roman" w:cs="Times New Roman"/>
        </w:rPr>
      </w:pPr>
    </w:p>
    <w:p w:rsidRPr="00113164" w:rsidR="005D5717" w:rsidP="00BF4D9F" w:rsidRDefault="00104ACC" w14:paraId="26638D52" w14:textId="3563C887">
      <w:r w:rsidRPr="00113164">
        <w:t>NIOSH will use multiple methods to ensure the security and privacy of the</w:t>
      </w:r>
      <w:r w:rsidRPr="00113164" w:rsidR="005D5717">
        <w:t xml:space="preserve"> data. </w:t>
      </w:r>
      <w:r w:rsidRPr="00113164">
        <w:t xml:space="preserve">All data with personal identifiers will be stored on password protected computers; </w:t>
      </w:r>
      <w:r w:rsidR="00755F3F">
        <w:t>no</w:t>
      </w:r>
      <w:r w:rsidRPr="00113164">
        <w:t xml:space="preserve"> </w:t>
      </w:r>
      <w:r w:rsidR="002F6CB6">
        <w:t>hard</w:t>
      </w:r>
      <w:r w:rsidRPr="00113164">
        <w:t xml:space="preserve"> copies with </w:t>
      </w:r>
      <w:r w:rsidRPr="00113164">
        <w:lastRenderedPageBreak/>
        <w:t xml:space="preserve">personal identifying information </w:t>
      </w:r>
      <w:r w:rsidR="00755F3F">
        <w:t>will be retained at NIOSH</w:t>
      </w:r>
      <w:r w:rsidRPr="00113164">
        <w:t>; data access will be restricted to only NIOSH staff involved in the study.</w:t>
      </w:r>
      <w:r w:rsidRPr="00113164" w:rsidR="005D5717">
        <w:t xml:space="preserve"> </w:t>
      </w:r>
      <w:r w:rsidRPr="00113164">
        <w:t>Security is also enhanced through controlled access to the NIOSH facility.</w:t>
      </w:r>
    </w:p>
    <w:p w:rsidRPr="00113164" w:rsidR="00824782" w:rsidP="00BE6D0C" w:rsidRDefault="00824782" w14:paraId="54315C54" w14:textId="77777777">
      <w:pPr>
        <w:pStyle w:val="StyleStyleHeading3NotBold1NotBold"/>
        <w:rPr>
          <w:rFonts w:ascii="Times New Roman" w:hAnsi="Times New Roman" w:cs="Times New Roman"/>
        </w:rPr>
      </w:pPr>
    </w:p>
    <w:p w:rsidRPr="00113164" w:rsidR="005D5717" w:rsidP="007852CF" w:rsidRDefault="00104ACC" w14:paraId="04AFDEAE" w14:textId="5DD82CA3">
      <w:r w:rsidRPr="00113164">
        <w:t>T</w:t>
      </w:r>
      <w:r w:rsidR="00755F3F">
        <w:t>he</w:t>
      </w:r>
      <w:r w:rsidRPr="00113164">
        <w:t xml:space="preserve"> </w:t>
      </w:r>
      <w:r w:rsidR="00755F3F">
        <w:t xml:space="preserve">data </w:t>
      </w:r>
      <w:r w:rsidRPr="00113164">
        <w:t>collected in this study</w:t>
      </w:r>
      <w:r w:rsidR="00755F3F">
        <w:t xml:space="preserve"> will be maintained under the </w:t>
      </w:r>
      <w:r w:rsidRPr="00113164" w:rsidR="002F6CB6">
        <w:t>System of Records Notice 09-20-0147, “Occupational Health Epidemiological Studies.”</w:t>
      </w:r>
    </w:p>
    <w:p w:rsidRPr="00113164" w:rsidR="00217579" w:rsidP="00BE6D0C" w:rsidRDefault="00217579" w14:paraId="69FE7CB8" w14:textId="77777777">
      <w:pPr>
        <w:pStyle w:val="StyleStyleHeading3NotBold1NotBold"/>
        <w:rPr>
          <w:rFonts w:ascii="Times New Roman" w:hAnsi="Times New Roman" w:cs="Times New Roman"/>
        </w:rPr>
      </w:pPr>
    </w:p>
    <w:p w:rsidRPr="00113164" w:rsidR="005D5717" w:rsidP="00CD090B" w:rsidRDefault="005D5717" w14:paraId="630391EF" w14:textId="77777777">
      <w:pPr>
        <w:widowControl w:val="0"/>
        <w:jc w:val="both"/>
      </w:pPr>
      <w:r w:rsidRPr="00113164">
        <w:rPr>
          <w:b/>
        </w:rPr>
        <w:t xml:space="preserve">A.11 </w:t>
      </w:r>
      <w:r w:rsidRPr="00113164">
        <w:rPr>
          <w:b/>
        </w:rPr>
        <w:tab/>
      </w:r>
      <w:r w:rsidRPr="00113164" w:rsidR="00C00FE7">
        <w:rPr>
          <w:b/>
        </w:rPr>
        <w:t xml:space="preserve">Institutional Review Board (IRB) and </w:t>
      </w:r>
      <w:r w:rsidRPr="00113164">
        <w:rPr>
          <w:b/>
        </w:rPr>
        <w:t>Justification for Sensitive Questions</w:t>
      </w:r>
      <w:r w:rsidRPr="00113164">
        <w:t xml:space="preserve"> </w:t>
      </w:r>
    </w:p>
    <w:p w:rsidRPr="00113164" w:rsidR="00C00FE7" w:rsidP="00CD090B" w:rsidRDefault="00C00FE7" w14:paraId="1B0257AA" w14:textId="77777777">
      <w:pPr>
        <w:widowControl w:val="0"/>
        <w:jc w:val="both"/>
        <w:rPr>
          <w:b/>
        </w:rPr>
      </w:pPr>
    </w:p>
    <w:p w:rsidRPr="00113164" w:rsidR="00C00FE7" w:rsidP="00CD090B" w:rsidRDefault="00C00FE7" w14:paraId="43E9E66E" w14:textId="77777777">
      <w:pPr>
        <w:widowControl w:val="0"/>
        <w:jc w:val="both"/>
        <w:rPr>
          <w:b/>
        </w:rPr>
      </w:pPr>
      <w:r w:rsidRPr="00113164">
        <w:rPr>
          <w:b/>
        </w:rPr>
        <w:t>IRB Approval</w:t>
      </w:r>
    </w:p>
    <w:p w:rsidRPr="00113164" w:rsidR="00C00FE7" w:rsidP="00CD090B" w:rsidRDefault="00C00FE7" w14:paraId="7F39E359" w14:textId="77777777">
      <w:pPr>
        <w:widowControl w:val="0"/>
        <w:jc w:val="both"/>
        <w:rPr>
          <w:b/>
        </w:rPr>
      </w:pPr>
    </w:p>
    <w:p w:rsidRPr="00113164" w:rsidR="00C00FE7" w:rsidP="00CD090B" w:rsidRDefault="00B763CD" w14:paraId="6AD3C1EB" w14:textId="43B5A4D1">
      <w:pPr>
        <w:widowControl w:val="0"/>
        <w:jc w:val="both"/>
      </w:pPr>
      <w:r>
        <w:t xml:space="preserve">The data collection materials have been reviewed and approved by </w:t>
      </w:r>
      <w:r w:rsidRPr="00352540">
        <w:t>IRB</w:t>
      </w:r>
      <w:r>
        <w:t xml:space="preserve"> (Attachment 21)</w:t>
      </w:r>
      <w:r w:rsidRPr="00352540">
        <w:t>.</w:t>
      </w:r>
    </w:p>
    <w:p w:rsidRPr="00113164" w:rsidR="00C00FE7" w:rsidP="00CD090B" w:rsidRDefault="00C00FE7" w14:paraId="58C3467C" w14:textId="77777777">
      <w:pPr>
        <w:widowControl w:val="0"/>
        <w:jc w:val="both"/>
      </w:pPr>
    </w:p>
    <w:p w:rsidRPr="00113164" w:rsidR="00F16462" w:rsidP="00CD090B" w:rsidRDefault="00C00FE7" w14:paraId="5673F576" w14:textId="77777777">
      <w:pPr>
        <w:widowControl w:val="0"/>
        <w:jc w:val="both"/>
        <w:rPr>
          <w:b/>
        </w:rPr>
      </w:pPr>
      <w:r w:rsidRPr="00113164">
        <w:rPr>
          <w:b/>
        </w:rPr>
        <w:t>Sensitive Questions</w:t>
      </w:r>
    </w:p>
    <w:p w:rsidRPr="00113164" w:rsidR="00C00FE7" w:rsidP="00BF4D9F" w:rsidRDefault="00C00FE7" w14:paraId="399C97B8" w14:textId="77777777"/>
    <w:p w:rsidRPr="00113164" w:rsidR="005D5717" w:rsidP="00BF4D9F" w:rsidRDefault="005D5717" w14:paraId="47753E3E" w14:textId="77777777">
      <w:r w:rsidRPr="00113164">
        <w:t xml:space="preserve">Sensitive questions will not be included in this data collection. Information on race, ethnicity, and smoking history will be collected for the purpose of evaluating the results of the lung function tests. Social security number will not be collected.  </w:t>
      </w:r>
    </w:p>
    <w:p w:rsidRPr="00113164" w:rsidR="00243B80" w:rsidP="00243B80" w:rsidRDefault="00243B80" w14:paraId="77E1A68A" w14:textId="77777777">
      <w:pPr>
        <w:widowControl w:val="0"/>
        <w:jc w:val="both"/>
        <w:rPr>
          <w:b/>
        </w:rPr>
      </w:pPr>
    </w:p>
    <w:p w:rsidRPr="00113164" w:rsidR="00243B80" w:rsidP="00243B80" w:rsidRDefault="00243B80" w14:paraId="26BEEA0E" w14:textId="77777777">
      <w:pPr>
        <w:widowControl w:val="0"/>
        <w:jc w:val="both"/>
      </w:pPr>
      <w:r w:rsidRPr="00113164">
        <w:rPr>
          <w:b/>
        </w:rPr>
        <w:t xml:space="preserve">A.12 </w:t>
      </w:r>
      <w:r w:rsidRPr="00113164">
        <w:rPr>
          <w:b/>
        </w:rPr>
        <w:tab/>
        <w:t>Estimates of Annualized Burden Hours and Costs</w:t>
      </w:r>
      <w:r w:rsidRPr="00113164">
        <w:t xml:space="preserve"> </w:t>
      </w:r>
    </w:p>
    <w:p w:rsidRPr="00113164" w:rsidR="00F16462" w:rsidP="00243B80" w:rsidRDefault="00F16462" w14:paraId="0525E08C" w14:textId="77777777">
      <w:pPr>
        <w:widowControl w:val="0"/>
        <w:jc w:val="both"/>
      </w:pPr>
    </w:p>
    <w:p w:rsidRPr="00850E88" w:rsidR="00243B80" w:rsidP="00BF4D9F" w:rsidRDefault="00243B80" w14:paraId="19241CF3" w14:textId="2B25BF60">
      <w:r w:rsidRPr="00850E88">
        <w:t xml:space="preserve">The maximum number of </w:t>
      </w:r>
      <w:r w:rsidRPr="00850E88" w:rsidR="00CD090B">
        <w:t xml:space="preserve">respondents is estimated to be </w:t>
      </w:r>
      <w:r w:rsidRPr="00850E88" w:rsidR="00BC6BFE">
        <w:t>676</w:t>
      </w:r>
      <w:r w:rsidR="00185095">
        <w:t xml:space="preserve"> over a two year period</w:t>
      </w:r>
      <w:r w:rsidRPr="00850E88">
        <w:t>. Prior to questionnaire administration and medical data collection, respondents will be asked to review the informed consent document (</w:t>
      </w:r>
      <w:r w:rsidRPr="00850E88" w:rsidR="008A22E7">
        <w:t>Attachmen</w:t>
      </w:r>
      <w:r w:rsidRPr="00850E88" w:rsidR="003C0959">
        <w:t xml:space="preserve">t </w:t>
      </w:r>
      <w:r w:rsidRPr="00850E88" w:rsidR="00F93377">
        <w:t>1</w:t>
      </w:r>
      <w:r w:rsidR="00665546">
        <w:t>9</w:t>
      </w:r>
      <w:r w:rsidRPr="00850E88">
        <w:t>). The informed consent document will take about 15 minutes to review and sign. The questionnaire (</w:t>
      </w:r>
      <w:r w:rsidRPr="00850E88" w:rsidR="008A22E7">
        <w:t xml:space="preserve">Attachment </w:t>
      </w:r>
      <w:r w:rsidRPr="00850E88" w:rsidR="007B5226">
        <w:t>3</w:t>
      </w:r>
      <w:r w:rsidRPr="00850E88">
        <w:t>) will tak</w:t>
      </w:r>
      <w:r w:rsidRPr="00850E88" w:rsidR="00151834">
        <w:t>e about 45</w:t>
      </w:r>
      <w:r w:rsidRPr="00850E88" w:rsidR="00CD090B">
        <w:t xml:space="preserve"> minutes to complete.</w:t>
      </w:r>
      <w:r w:rsidRPr="00850E88">
        <w:t xml:space="preserve"> </w:t>
      </w:r>
      <w:r w:rsidRPr="003D3C48" w:rsidR="003D3C48">
        <w:t xml:space="preserve">The NIOSH interviewer will read the questions to the participant and record the study participant’s response. </w:t>
      </w:r>
      <w:r w:rsidRPr="00850E88" w:rsidR="00151834">
        <w:t>After the questionnaire, respondents have the option to participate in the medical survey.</w:t>
      </w:r>
      <w:r w:rsidR="003D3C48">
        <w:t xml:space="preserve"> There are no forms associated with the medical survey which </w:t>
      </w:r>
      <w:r w:rsidRPr="00850E88" w:rsidR="00151834">
        <w:t>consists of the exhaled nitric oxide (</w:t>
      </w:r>
      <w:r w:rsidRPr="00850E88" w:rsidR="00CB2E29">
        <w:t>5</w:t>
      </w:r>
      <w:r w:rsidRPr="00850E88" w:rsidR="00151834">
        <w:t xml:space="preserve"> minutes), impulse oscillometry (1</w:t>
      </w:r>
      <w:r w:rsidRPr="00850E88" w:rsidR="00CB2E29">
        <w:t>0</w:t>
      </w:r>
      <w:r w:rsidRPr="00850E88" w:rsidR="00151834">
        <w:t xml:space="preserve"> </w:t>
      </w:r>
      <w:r w:rsidRPr="00F77DCC" w:rsidR="00151834">
        <w:t>minutes), spirometry (</w:t>
      </w:r>
      <w:r w:rsidRPr="00F77DCC" w:rsidR="00CB2E29">
        <w:t>1</w:t>
      </w:r>
      <w:r w:rsidRPr="00F77DCC" w:rsidR="00151834">
        <w:t>0 minutes), bronchodil</w:t>
      </w:r>
      <w:r w:rsidRPr="00F77DCC" w:rsidR="00080EE9">
        <w:t>ator test (2</w:t>
      </w:r>
      <w:r w:rsidRPr="00F77DCC" w:rsidR="0028744B">
        <w:t>0</w:t>
      </w:r>
      <w:r w:rsidRPr="00F77DCC" w:rsidR="00080EE9">
        <w:t xml:space="preserve"> minutes), multiple-</w:t>
      </w:r>
      <w:r w:rsidRPr="00F77DCC" w:rsidR="00151834">
        <w:t>breath</w:t>
      </w:r>
      <w:r w:rsidRPr="00F77DCC" w:rsidR="00080EE9">
        <w:t xml:space="preserve"> washout (30 minutes)</w:t>
      </w:r>
      <w:r w:rsidRPr="00F77DCC" w:rsidR="00D033BF">
        <w:t>, color vision test (5 minutes), and blood test (5 minutes). Thus,</w:t>
      </w:r>
      <w:r w:rsidRPr="00F77DCC">
        <w:t xml:space="preserve"> the total burden time pe</w:t>
      </w:r>
      <w:r w:rsidRPr="00F77DCC" w:rsidR="0028744B">
        <w:t>r participant is a maximum of 1</w:t>
      </w:r>
      <w:r w:rsidR="007F0F8C">
        <w:t>4</w:t>
      </w:r>
      <w:r w:rsidRPr="00F77DCC" w:rsidR="0028744B">
        <w:t>5</w:t>
      </w:r>
      <w:r w:rsidRPr="00F77DCC">
        <w:t xml:space="preserve"> minutes.</w:t>
      </w:r>
    </w:p>
    <w:p w:rsidRPr="009F7470" w:rsidR="00A14431" w:rsidP="007852CF" w:rsidRDefault="00A14431" w14:paraId="197751B3" w14:textId="77777777">
      <w:pPr>
        <w:rPr>
          <w:highlight w:val="yellow"/>
        </w:rPr>
      </w:pPr>
    </w:p>
    <w:p w:rsidRPr="00113164" w:rsidR="00D514D6" w:rsidP="00BE6D0C" w:rsidRDefault="00A14431" w14:paraId="1185F514" w14:textId="77777777">
      <w:pPr>
        <w:pStyle w:val="StyleStyleHeading3NotBold1NotBold"/>
        <w:rPr>
          <w:rFonts w:ascii="Times New Roman" w:hAnsi="Times New Roman" w:cs="Times New Roman"/>
        </w:rPr>
      </w:pPr>
      <w:bookmarkStart w:name="_Hlk49949067" w:id="0"/>
      <w:r w:rsidRPr="00113164">
        <w:rPr>
          <w:rFonts w:ascii="Times New Roman" w:hAnsi="Times New Roman" w:cs="Times New Roman"/>
        </w:rPr>
        <w:lastRenderedPageBreak/>
        <w:t>Estimated annualized burden hours</w:t>
      </w:r>
    </w:p>
    <w:tbl>
      <w:tblPr>
        <w:tblStyle w:val="TableGrid"/>
        <w:tblW w:w="10122" w:type="dxa"/>
        <w:tblLayout w:type="fixed"/>
        <w:tblLook w:val="04A0" w:firstRow="1" w:lastRow="0" w:firstColumn="1" w:lastColumn="0" w:noHBand="0" w:noVBand="1"/>
      </w:tblPr>
      <w:tblGrid>
        <w:gridCol w:w="1728"/>
        <w:gridCol w:w="1957"/>
        <w:gridCol w:w="1499"/>
        <w:gridCol w:w="1646"/>
        <w:gridCol w:w="1646"/>
        <w:gridCol w:w="1646"/>
      </w:tblGrid>
      <w:tr w:rsidRPr="00185095" w:rsidR="00A14431" w:rsidTr="00FC3188" w14:paraId="31DB2560" w14:textId="77777777">
        <w:trPr>
          <w:trHeight w:val="980"/>
        </w:trPr>
        <w:tc>
          <w:tcPr>
            <w:tcW w:w="1728" w:type="dxa"/>
          </w:tcPr>
          <w:p w:rsidRPr="00185095" w:rsidR="00A14431" w:rsidP="00BE6D0C" w:rsidRDefault="00A14431" w14:paraId="5B17CAD1"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Type of Respondents</w:t>
            </w:r>
          </w:p>
        </w:tc>
        <w:tc>
          <w:tcPr>
            <w:tcW w:w="1957" w:type="dxa"/>
          </w:tcPr>
          <w:p w:rsidRPr="00185095" w:rsidR="00A14431" w:rsidP="00BE6D0C" w:rsidRDefault="00A14431" w14:paraId="3ACCA9DD"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Form name</w:t>
            </w:r>
          </w:p>
        </w:tc>
        <w:tc>
          <w:tcPr>
            <w:tcW w:w="1499" w:type="dxa"/>
          </w:tcPr>
          <w:p w:rsidRPr="00185095" w:rsidR="00A14431" w:rsidP="00BE6D0C" w:rsidRDefault="00A14431" w14:paraId="589D5960"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No. of respondents</w:t>
            </w:r>
          </w:p>
        </w:tc>
        <w:tc>
          <w:tcPr>
            <w:tcW w:w="1646" w:type="dxa"/>
          </w:tcPr>
          <w:p w:rsidRPr="00185095" w:rsidR="00A14431" w:rsidP="00BE6D0C" w:rsidRDefault="00A14431" w14:paraId="277AACC4"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No. of responses per respondent</w:t>
            </w:r>
          </w:p>
        </w:tc>
        <w:tc>
          <w:tcPr>
            <w:tcW w:w="1646" w:type="dxa"/>
          </w:tcPr>
          <w:p w:rsidRPr="00185095" w:rsidR="00A14431" w:rsidP="00BE6D0C" w:rsidRDefault="00A14431" w14:paraId="28429C78"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Average burden per response (in hours)</w:t>
            </w:r>
          </w:p>
        </w:tc>
        <w:tc>
          <w:tcPr>
            <w:tcW w:w="1646" w:type="dxa"/>
          </w:tcPr>
          <w:p w:rsidRPr="00185095" w:rsidR="00A14431" w:rsidP="00BE6D0C" w:rsidRDefault="00A14431" w14:paraId="1E796317"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Total burden (in hours)</w:t>
            </w:r>
          </w:p>
        </w:tc>
      </w:tr>
      <w:tr w:rsidRPr="00185095" w:rsidR="00A14431" w:rsidTr="00A82BC2" w14:paraId="5396F355" w14:textId="77777777">
        <w:trPr>
          <w:trHeight w:val="512"/>
        </w:trPr>
        <w:tc>
          <w:tcPr>
            <w:tcW w:w="1728" w:type="dxa"/>
            <w:vMerge w:val="restart"/>
            <w:shd w:val="clear" w:color="auto" w:fill="auto"/>
            <w:vAlign w:val="center"/>
          </w:tcPr>
          <w:p w:rsidRPr="00185095" w:rsidR="00A14431" w:rsidP="00BE6D0C" w:rsidRDefault="00A14431" w14:paraId="3F359A4F"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Boatbuilder Cohort Members</w:t>
            </w:r>
          </w:p>
        </w:tc>
        <w:tc>
          <w:tcPr>
            <w:tcW w:w="1957" w:type="dxa"/>
            <w:shd w:val="clear" w:color="auto" w:fill="auto"/>
          </w:tcPr>
          <w:p w:rsidRPr="00185095" w:rsidR="00A14431" w:rsidP="00BE6D0C" w:rsidRDefault="004A2B27" w14:paraId="066D98A7"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 xml:space="preserve">Questionnaire and medical survey </w:t>
            </w:r>
            <w:r w:rsidRPr="00185095" w:rsidR="00A14431">
              <w:rPr>
                <w:rFonts w:ascii="Times New Roman" w:hAnsi="Times New Roman" w:cs="Times New Roman"/>
                <w:b w:val="0"/>
                <w:sz w:val="22"/>
                <w:szCs w:val="22"/>
              </w:rPr>
              <w:t xml:space="preserve">consent </w:t>
            </w:r>
            <w:r w:rsidRPr="00185095" w:rsidR="00B218C7">
              <w:rPr>
                <w:rFonts w:ascii="Times New Roman" w:hAnsi="Times New Roman" w:cs="Times New Roman"/>
                <w:b w:val="0"/>
                <w:sz w:val="22"/>
                <w:szCs w:val="22"/>
              </w:rPr>
              <w:t>form</w:t>
            </w:r>
          </w:p>
          <w:p w:rsidRPr="00185095" w:rsidR="009B5388" w:rsidP="00BE6D0C" w:rsidRDefault="009B5388" w14:paraId="3585EAE0" w14:textId="77777777">
            <w:pPr>
              <w:pStyle w:val="StyleStyleHeading3NotBold1NotBold"/>
              <w:rPr>
                <w:rFonts w:ascii="Times New Roman" w:hAnsi="Times New Roman" w:cs="Times New Roman"/>
                <w:b w:val="0"/>
                <w:sz w:val="22"/>
                <w:szCs w:val="22"/>
              </w:rPr>
            </w:pPr>
          </w:p>
        </w:tc>
        <w:tc>
          <w:tcPr>
            <w:tcW w:w="1499" w:type="dxa"/>
          </w:tcPr>
          <w:p w:rsidRPr="00185095" w:rsidR="00A14431" w:rsidP="00BE6D0C" w:rsidRDefault="00185095" w14:paraId="6D9073A8" w14:textId="4BBAFF9D">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A14431" w:rsidP="00BE6D0C" w:rsidRDefault="00A14431" w14:paraId="59B1DD87"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A14431" w:rsidP="00BE6D0C" w:rsidRDefault="00A14431" w14:paraId="178C7AA8"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15/60</w:t>
            </w:r>
          </w:p>
        </w:tc>
        <w:tc>
          <w:tcPr>
            <w:tcW w:w="1646" w:type="dxa"/>
          </w:tcPr>
          <w:p w:rsidRPr="00185095" w:rsidR="00A14431" w:rsidP="00BE6D0C" w:rsidRDefault="00185095" w14:paraId="034A471E" w14:textId="3A7A2FA4">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85</w:t>
            </w:r>
          </w:p>
        </w:tc>
      </w:tr>
      <w:tr w:rsidRPr="00185095" w:rsidR="00A14431" w:rsidTr="00A82BC2" w14:paraId="756B444E" w14:textId="77777777">
        <w:trPr>
          <w:trHeight w:val="359"/>
        </w:trPr>
        <w:tc>
          <w:tcPr>
            <w:tcW w:w="1728" w:type="dxa"/>
            <w:vMerge/>
            <w:shd w:val="clear" w:color="auto" w:fill="auto"/>
          </w:tcPr>
          <w:p w:rsidRPr="00185095" w:rsidR="00A14431" w:rsidP="00BE6D0C" w:rsidRDefault="00A14431" w14:paraId="6101EEE1" w14:textId="77777777">
            <w:pPr>
              <w:pStyle w:val="StyleStyleHeading3NotBold1NotBold"/>
              <w:rPr>
                <w:rFonts w:ascii="Times New Roman" w:hAnsi="Times New Roman" w:cs="Times New Roman"/>
                <w:b w:val="0"/>
                <w:sz w:val="22"/>
                <w:szCs w:val="22"/>
              </w:rPr>
            </w:pPr>
          </w:p>
        </w:tc>
        <w:tc>
          <w:tcPr>
            <w:tcW w:w="1957" w:type="dxa"/>
            <w:shd w:val="clear" w:color="auto" w:fill="auto"/>
          </w:tcPr>
          <w:p w:rsidRPr="00185095" w:rsidR="00A14431" w:rsidP="00BE6D0C" w:rsidRDefault="00A14431" w14:paraId="223606E8"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Questionnaire</w:t>
            </w:r>
          </w:p>
          <w:p w:rsidRPr="00185095" w:rsidR="009B5388" w:rsidP="00BE6D0C" w:rsidRDefault="009B5388" w14:paraId="0DB3AB9B" w14:textId="77777777">
            <w:pPr>
              <w:pStyle w:val="StyleStyleHeading3NotBold1NotBold"/>
              <w:rPr>
                <w:rFonts w:ascii="Times New Roman" w:hAnsi="Times New Roman" w:cs="Times New Roman"/>
                <w:b w:val="0"/>
                <w:sz w:val="22"/>
                <w:szCs w:val="22"/>
              </w:rPr>
            </w:pPr>
          </w:p>
        </w:tc>
        <w:tc>
          <w:tcPr>
            <w:tcW w:w="1499" w:type="dxa"/>
          </w:tcPr>
          <w:p w:rsidRPr="00185095" w:rsidR="00A14431" w:rsidP="00BE6D0C" w:rsidRDefault="00185095" w14:paraId="40CB0B10" w14:textId="66C9CBC4">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A14431" w:rsidP="00BE6D0C" w:rsidRDefault="00A14431" w14:paraId="48742FAA"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A14431" w:rsidP="00BE6D0C" w:rsidRDefault="00D20CB7" w14:paraId="2C557835"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45</w:t>
            </w:r>
            <w:r w:rsidRPr="00185095" w:rsidR="00A14431">
              <w:rPr>
                <w:rFonts w:ascii="Times New Roman" w:hAnsi="Times New Roman" w:cs="Times New Roman"/>
                <w:b w:val="0"/>
                <w:sz w:val="22"/>
                <w:szCs w:val="22"/>
              </w:rPr>
              <w:t>/60</w:t>
            </w:r>
          </w:p>
        </w:tc>
        <w:tc>
          <w:tcPr>
            <w:tcW w:w="1646" w:type="dxa"/>
          </w:tcPr>
          <w:p w:rsidRPr="00185095" w:rsidR="00A14431" w:rsidP="00BE6D0C" w:rsidRDefault="00185095" w14:paraId="65F14EDC" w14:textId="254CA734">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254</w:t>
            </w:r>
          </w:p>
        </w:tc>
      </w:tr>
      <w:tr w:rsidRPr="00185095" w:rsidR="00A14431" w:rsidTr="00185095" w14:paraId="5D1D0F56" w14:textId="77777777">
        <w:trPr>
          <w:trHeight w:val="827"/>
        </w:trPr>
        <w:tc>
          <w:tcPr>
            <w:tcW w:w="1728" w:type="dxa"/>
            <w:vMerge/>
            <w:shd w:val="clear" w:color="auto" w:fill="auto"/>
          </w:tcPr>
          <w:p w:rsidRPr="00185095" w:rsidR="00A14431" w:rsidP="00BE6D0C" w:rsidRDefault="00A14431" w14:paraId="2F28643D" w14:textId="77777777">
            <w:pPr>
              <w:pStyle w:val="StyleStyleHeading3NotBold1NotBold"/>
              <w:rPr>
                <w:rFonts w:ascii="Times New Roman" w:hAnsi="Times New Roman" w:cs="Times New Roman"/>
                <w:b w:val="0"/>
                <w:sz w:val="22"/>
                <w:szCs w:val="22"/>
              </w:rPr>
            </w:pPr>
          </w:p>
        </w:tc>
        <w:tc>
          <w:tcPr>
            <w:tcW w:w="1957" w:type="dxa"/>
            <w:shd w:val="clear" w:color="auto" w:fill="auto"/>
          </w:tcPr>
          <w:p w:rsidRPr="00185095" w:rsidR="00A14431" w:rsidP="00BE6D0C" w:rsidRDefault="00A14431" w14:paraId="3B9A5466" w14:textId="2335F99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Exhaled nitric oxide</w:t>
            </w:r>
            <w:r w:rsidRPr="00185095" w:rsidR="003D3C48">
              <w:rPr>
                <w:rFonts w:ascii="Times New Roman" w:hAnsi="Times New Roman" w:cs="Times New Roman"/>
                <w:b w:val="0"/>
                <w:sz w:val="22"/>
                <w:szCs w:val="22"/>
              </w:rPr>
              <w:t xml:space="preserve"> </w:t>
            </w:r>
          </w:p>
          <w:p w:rsidRPr="00185095" w:rsidR="009B5388" w:rsidP="00BE6D0C" w:rsidRDefault="009B5388" w14:paraId="2AA49789" w14:textId="77777777">
            <w:pPr>
              <w:pStyle w:val="StyleStyleHeading3NotBold1NotBold"/>
              <w:rPr>
                <w:rFonts w:ascii="Times New Roman" w:hAnsi="Times New Roman" w:cs="Times New Roman"/>
                <w:b w:val="0"/>
                <w:sz w:val="22"/>
                <w:szCs w:val="22"/>
              </w:rPr>
            </w:pPr>
          </w:p>
        </w:tc>
        <w:tc>
          <w:tcPr>
            <w:tcW w:w="1499" w:type="dxa"/>
          </w:tcPr>
          <w:p w:rsidRPr="00185095" w:rsidR="00A14431" w:rsidP="00BE6D0C" w:rsidRDefault="00185095" w14:paraId="07562B61" w14:textId="4F4589DC">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A14431" w:rsidP="00BE6D0C" w:rsidRDefault="00A14431" w14:paraId="0FCADC18"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A14431" w:rsidP="00BE6D0C" w:rsidRDefault="009F7470" w14:paraId="746A2C81"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5</w:t>
            </w:r>
            <w:r w:rsidRPr="00185095" w:rsidR="00A14431">
              <w:rPr>
                <w:rFonts w:ascii="Times New Roman" w:hAnsi="Times New Roman" w:cs="Times New Roman"/>
                <w:b w:val="0"/>
                <w:sz w:val="22"/>
                <w:szCs w:val="22"/>
              </w:rPr>
              <w:t>/60</w:t>
            </w:r>
          </w:p>
        </w:tc>
        <w:tc>
          <w:tcPr>
            <w:tcW w:w="1646" w:type="dxa"/>
          </w:tcPr>
          <w:p w:rsidRPr="00185095" w:rsidR="00A14431" w:rsidP="00BE6D0C" w:rsidRDefault="00185095" w14:paraId="283A3C03" w14:textId="659C3E9A">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28</w:t>
            </w:r>
          </w:p>
        </w:tc>
      </w:tr>
      <w:tr w:rsidRPr="00185095" w:rsidR="00A14431" w:rsidTr="00A82BC2" w14:paraId="4A3E163A" w14:textId="77777777">
        <w:trPr>
          <w:trHeight w:val="159"/>
        </w:trPr>
        <w:tc>
          <w:tcPr>
            <w:tcW w:w="1728" w:type="dxa"/>
            <w:vMerge/>
            <w:shd w:val="clear" w:color="auto" w:fill="auto"/>
          </w:tcPr>
          <w:p w:rsidRPr="00185095" w:rsidR="00A14431" w:rsidP="00BE6D0C" w:rsidRDefault="00A14431" w14:paraId="3EE244B0" w14:textId="77777777">
            <w:pPr>
              <w:pStyle w:val="StyleStyleHeading3NotBold1NotBold"/>
              <w:rPr>
                <w:rFonts w:ascii="Times New Roman" w:hAnsi="Times New Roman" w:cs="Times New Roman"/>
                <w:b w:val="0"/>
                <w:sz w:val="22"/>
                <w:szCs w:val="22"/>
              </w:rPr>
            </w:pPr>
          </w:p>
        </w:tc>
        <w:tc>
          <w:tcPr>
            <w:tcW w:w="1957" w:type="dxa"/>
            <w:shd w:val="clear" w:color="auto" w:fill="auto"/>
          </w:tcPr>
          <w:p w:rsidRPr="00185095" w:rsidR="00A14431" w:rsidP="00BE6D0C" w:rsidRDefault="00A14431" w14:paraId="0971E3BD" w14:textId="77B2D8D9">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Impulse oscillometry</w:t>
            </w:r>
          </w:p>
          <w:p w:rsidRPr="00185095" w:rsidR="009B5388" w:rsidP="00BE6D0C" w:rsidRDefault="009B5388" w14:paraId="713A8E4B" w14:textId="77777777">
            <w:pPr>
              <w:pStyle w:val="StyleStyleHeading3NotBold1NotBold"/>
              <w:rPr>
                <w:rFonts w:ascii="Times New Roman" w:hAnsi="Times New Roman" w:cs="Times New Roman"/>
                <w:b w:val="0"/>
                <w:sz w:val="22"/>
                <w:szCs w:val="22"/>
              </w:rPr>
            </w:pPr>
          </w:p>
        </w:tc>
        <w:tc>
          <w:tcPr>
            <w:tcW w:w="1499" w:type="dxa"/>
          </w:tcPr>
          <w:p w:rsidRPr="00185095" w:rsidR="00A14431" w:rsidP="00BE6D0C" w:rsidRDefault="00185095" w14:paraId="6E71BBC5" w14:textId="7F468105">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A14431" w:rsidP="00BE6D0C" w:rsidRDefault="003848EE" w14:paraId="1C3D5D65"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A14431" w:rsidP="00BE6D0C" w:rsidRDefault="003848EE" w14:paraId="7934A3A9"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r w:rsidRPr="00185095" w:rsidR="009F7470">
              <w:rPr>
                <w:rFonts w:ascii="Times New Roman" w:hAnsi="Times New Roman" w:cs="Times New Roman"/>
                <w:b w:val="0"/>
                <w:sz w:val="22"/>
                <w:szCs w:val="22"/>
              </w:rPr>
              <w:t>0</w:t>
            </w:r>
            <w:r w:rsidRPr="00185095">
              <w:rPr>
                <w:rFonts w:ascii="Times New Roman" w:hAnsi="Times New Roman" w:cs="Times New Roman"/>
                <w:b w:val="0"/>
                <w:sz w:val="22"/>
                <w:szCs w:val="22"/>
              </w:rPr>
              <w:t>/60</w:t>
            </w:r>
          </w:p>
        </w:tc>
        <w:tc>
          <w:tcPr>
            <w:tcW w:w="1646" w:type="dxa"/>
          </w:tcPr>
          <w:p w:rsidRPr="00185095" w:rsidR="00A14431" w:rsidP="00BE6D0C" w:rsidRDefault="00185095" w14:paraId="73777E88" w14:textId="5F676F9F">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56</w:t>
            </w:r>
          </w:p>
        </w:tc>
      </w:tr>
      <w:tr w:rsidRPr="00185095" w:rsidR="00834B53" w:rsidTr="00A82BC2" w14:paraId="70A8B95C" w14:textId="77777777">
        <w:trPr>
          <w:trHeight w:val="159"/>
        </w:trPr>
        <w:tc>
          <w:tcPr>
            <w:tcW w:w="1728" w:type="dxa"/>
            <w:vMerge/>
            <w:shd w:val="clear" w:color="auto" w:fill="auto"/>
          </w:tcPr>
          <w:p w:rsidRPr="00185095" w:rsidR="00834B53" w:rsidP="00BE6D0C" w:rsidRDefault="00834B53" w14:paraId="4AE77B6C" w14:textId="77777777">
            <w:pPr>
              <w:pStyle w:val="StyleStyleHeading3NotBold1NotBold"/>
              <w:rPr>
                <w:rFonts w:ascii="Times New Roman" w:hAnsi="Times New Roman" w:cs="Times New Roman"/>
                <w:b w:val="0"/>
                <w:sz w:val="22"/>
                <w:szCs w:val="22"/>
              </w:rPr>
            </w:pPr>
          </w:p>
        </w:tc>
        <w:tc>
          <w:tcPr>
            <w:tcW w:w="1957" w:type="dxa"/>
            <w:shd w:val="clear" w:color="auto" w:fill="auto"/>
          </w:tcPr>
          <w:p w:rsidRPr="00185095" w:rsidR="00834B53" w:rsidP="00BE6D0C" w:rsidRDefault="00834B53" w14:paraId="2D76BB99" w14:textId="39F7EFAF">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Spirometry</w:t>
            </w:r>
            <w:r w:rsidRPr="00185095" w:rsidR="003D3C48">
              <w:rPr>
                <w:rFonts w:ascii="Times New Roman" w:hAnsi="Times New Roman" w:cs="Times New Roman"/>
                <w:b w:val="0"/>
                <w:sz w:val="22"/>
                <w:szCs w:val="22"/>
              </w:rPr>
              <w:t xml:space="preserve"> </w:t>
            </w:r>
          </w:p>
          <w:p w:rsidRPr="00185095" w:rsidR="009B5388" w:rsidP="00BE6D0C" w:rsidRDefault="009B5388" w14:paraId="3F079C7F" w14:textId="77777777">
            <w:pPr>
              <w:pStyle w:val="StyleStyleHeading3NotBold1NotBold"/>
              <w:rPr>
                <w:rFonts w:ascii="Times New Roman" w:hAnsi="Times New Roman" w:cs="Times New Roman"/>
                <w:b w:val="0"/>
                <w:sz w:val="22"/>
                <w:szCs w:val="22"/>
              </w:rPr>
            </w:pPr>
          </w:p>
        </w:tc>
        <w:tc>
          <w:tcPr>
            <w:tcW w:w="1499" w:type="dxa"/>
          </w:tcPr>
          <w:p w:rsidRPr="00185095" w:rsidR="00834B53" w:rsidP="00BE6D0C" w:rsidRDefault="00185095" w14:paraId="220B8BA8" w14:textId="796B1E9F">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834B53" w:rsidP="00BE6D0C" w:rsidRDefault="00834B53" w14:paraId="2FF96581"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834B53" w:rsidP="00BE6D0C" w:rsidRDefault="002F23E6" w14:paraId="0DB7C58E"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10</w:t>
            </w:r>
            <w:r w:rsidRPr="00185095" w:rsidR="00834B53">
              <w:rPr>
                <w:rFonts w:ascii="Times New Roman" w:hAnsi="Times New Roman" w:cs="Times New Roman"/>
                <w:b w:val="0"/>
                <w:sz w:val="22"/>
                <w:szCs w:val="22"/>
              </w:rPr>
              <w:t>/60</w:t>
            </w:r>
          </w:p>
        </w:tc>
        <w:tc>
          <w:tcPr>
            <w:tcW w:w="1646" w:type="dxa"/>
            <w:vAlign w:val="center"/>
          </w:tcPr>
          <w:p w:rsidRPr="00185095" w:rsidR="00834B53" w:rsidP="00834B53" w:rsidRDefault="00185095" w14:paraId="5E229B32" w14:textId="5C4B3916">
            <w:pPr>
              <w:widowControl w:val="0"/>
              <w:tabs>
                <w:tab w:val="left" w:pos="0"/>
              </w:tabs>
              <w:autoSpaceDE w:val="0"/>
              <w:autoSpaceDN w:val="0"/>
              <w:adjustRightInd w:val="0"/>
              <w:rPr>
                <w:color w:val="000000"/>
                <w:sz w:val="22"/>
                <w:szCs w:val="22"/>
              </w:rPr>
            </w:pPr>
            <w:r>
              <w:rPr>
                <w:color w:val="000000"/>
                <w:sz w:val="22"/>
                <w:szCs w:val="22"/>
              </w:rPr>
              <w:t>56</w:t>
            </w:r>
          </w:p>
        </w:tc>
      </w:tr>
      <w:tr w:rsidRPr="00185095" w:rsidR="00834B53" w:rsidTr="00A82BC2" w14:paraId="1C9BFF6B" w14:textId="77777777">
        <w:trPr>
          <w:trHeight w:val="159"/>
        </w:trPr>
        <w:tc>
          <w:tcPr>
            <w:tcW w:w="1728" w:type="dxa"/>
            <w:vMerge/>
            <w:shd w:val="clear" w:color="auto" w:fill="auto"/>
          </w:tcPr>
          <w:p w:rsidRPr="00185095" w:rsidR="00834B53" w:rsidP="00BE6D0C" w:rsidRDefault="00834B53" w14:paraId="13DBE35A" w14:textId="77777777">
            <w:pPr>
              <w:pStyle w:val="StyleStyleHeading3NotBold1NotBold"/>
              <w:rPr>
                <w:rFonts w:ascii="Times New Roman" w:hAnsi="Times New Roman" w:cs="Times New Roman"/>
                <w:b w:val="0"/>
                <w:sz w:val="22"/>
                <w:szCs w:val="22"/>
              </w:rPr>
            </w:pPr>
          </w:p>
        </w:tc>
        <w:tc>
          <w:tcPr>
            <w:tcW w:w="1957" w:type="dxa"/>
            <w:shd w:val="clear" w:color="auto" w:fill="auto"/>
          </w:tcPr>
          <w:p w:rsidRPr="00185095" w:rsidR="00834B53" w:rsidP="00BE6D0C" w:rsidRDefault="00834B53" w14:paraId="75ADC0F2" w14:textId="5FE39C81">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Bronchodilator test</w:t>
            </w:r>
            <w:r w:rsidRPr="00185095" w:rsidR="003D3C48">
              <w:rPr>
                <w:rFonts w:ascii="Times New Roman" w:hAnsi="Times New Roman" w:cs="Times New Roman"/>
                <w:b w:val="0"/>
                <w:sz w:val="22"/>
                <w:szCs w:val="22"/>
              </w:rPr>
              <w:t xml:space="preserve"> </w:t>
            </w:r>
          </w:p>
          <w:p w:rsidRPr="00185095" w:rsidR="009B5388" w:rsidP="00BE6D0C" w:rsidRDefault="009B5388" w14:paraId="25CFE82C" w14:textId="77777777">
            <w:pPr>
              <w:pStyle w:val="StyleStyleHeading3NotBold1NotBold"/>
              <w:rPr>
                <w:rFonts w:ascii="Times New Roman" w:hAnsi="Times New Roman" w:cs="Times New Roman"/>
                <w:b w:val="0"/>
                <w:sz w:val="22"/>
                <w:szCs w:val="22"/>
              </w:rPr>
            </w:pPr>
          </w:p>
        </w:tc>
        <w:tc>
          <w:tcPr>
            <w:tcW w:w="1499" w:type="dxa"/>
          </w:tcPr>
          <w:p w:rsidRPr="00185095" w:rsidR="00834B53" w:rsidP="00BE6D0C" w:rsidRDefault="00185095" w14:paraId="340A94F6" w14:textId="2C9A08CA">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25</w:t>
            </w:r>
          </w:p>
        </w:tc>
        <w:tc>
          <w:tcPr>
            <w:tcW w:w="1646" w:type="dxa"/>
          </w:tcPr>
          <w:p w:rsidRPr="00185095" w:rsidR="00834B53" w:rsidP="00BE6D0C" w:rsidRDefault="00834B53" w14:paraId="150164F5"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834B53" w:rsidP="00BE6D0C" w:rsidRDefault="00834B53" w14:paraId="718AB855"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20/60</w:t>
            </w:r>
          </w:p>
        </w:tc>
        <w:tc>
          <w:tcPr>
            <w:tcW w:w="1646" w:type="dxa"/>
            <w:vAlign w:val="center"/>
          </w:tcPr>
          <w:p w:rsidRPr="00185095" w:rsidR="00834B53" w:rsidP="00834B53" w:rsidRDefault="00185095" w14:paraId="71CE90F5" w14:textId="571B1B58">
            <w:pPr>
              <w:widowControl w:val="0"/>
              <w:tabs>
                <w:tab w:val="left" w:pos="0"/>
              </w:tabs>
              <w:autoSpaceDE w:val="0"/>
              <w:autoSpaceDN w:val="0"/>
              <w:adjustRightInd w:val="0"/>
              <w:rPr>
                <w:color w:val="000000"/>
                <w:sz w:val="22"/>
                <w:szCs w:val="22"/>
              </w:rPr>
            </w:pPr>
            <w:r>
              <w:rPr>
                <w:color w:val="000000"/>
                <w:sz w:val="22"/>
                <w:szCs w:val="22"/>
              </w:rPr>
              <w:t>8</w:t>
            </w:r>
          </w:p>
        </w:tc>
      </w:tr>
      <w:tr w:rsidRPr="00185095" w:rsidR="00834B53" w:rsidTr="00A82BC2" w14:paraId="63FF56C7" w14:textId="77777777">
        <w:trPr>
          <w:trHeight w:val="159"/>
        </w:trPr>
        <w:tc>
          <w:tcPr>
            <w:tcW w:w="1728" w:type="dxa"/>
            <w:vMerge/>
            <w:shd w:val="clear" w:color="auto" w:fill="auto"/>
          </w:tcPr>
          <w:p w:rsidRPr="00185095" w:rsidR="00834B53" w:rsidP="00BE6D0C" w:rsidRDefault="00834B53" w14:paraId="27A25B74" w14:textId="77777777">
            <w:pPr>
              <w:pStyle w:val="StyleStyleHeading3NotBold1NotBold"/>
              <w:rPr>
                <w:rFonts w:ascii="Times New Roman" w:hAnsi="Times New Roman" w:cs="Times New Roman"/>
                <w:b w:val="0"/>
                <w:sz w:val="22"/>
                <w:szCs w:val="22"/>
              </w:rPr>
            </w:pPr>
          </w:p>
        </w:tc>
        <w:tc>
          <w:tcPr>
            <w:tcW w:w="1957" w:type="dxa"/>
            <w:shd w:val="clear" w:color="auto" w:fill="auto"/>
          </w:tcPr>
          <w:p w:rsidRPr="00185095" w:rsidR="00834B53" w:rsidP="00BE6D0C" w:rsidRDefault="00834B53" w14:paraId="1A9B31BB"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Multiple-breath washout</w:t>
            </w:r>
          </w:p>
          <w:p w:rsidRPr="00185095" w:rsidR="009B5388" w:rsidP="00BE6D0C" w:rsidRDefault="009B5388" w14:paraId="4ECF9C70" w14:textId="77777777">
            <w:pPr>
              <w:pStyle w:val="StyleStyleHeading3NotBold1NotBold"/>
              <w:rPr>
                <w:rFonts w:ascii="Times New Roman" w:hAnsi="Times New Roman" w:cs="Times New Roman"/>
                <w:b w:val="0"/>
                <w:sz w:val="22"/>
                <w:szCs w:val="22"/>
              </w:rPr>
            </w:pPr>
          </w:p>
        </w:tc>
        <w:tc>
          <w:tcPr>
            <w:tcW w:w="1499" w:type="dxa"/>
          </w:tcPr>
          <w:p w:rsidRPr="00185095" w:rsidR="00834B53" w:rsidP="00BE6D0C" w:rsidRDefault="00185095" w14:paraId="0DB155CC" w14:textId="6990B225">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834B53" w:rsidP="00BE6D0C" w:rsidRDefault="00834B53" w14:paraId="6735362B"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834B53" w:rsidP="00BE6D0C" w:rsidRDefault="00834B53" w14:paraId="7F6BFF43"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30/60</w:t>
            </w:r>
          </w:p>
        </w:tc>
        <w:tc>
          <w:tcPr>
            <w:tcW w:w="1646" w:type="dxa"/>
            <w:vAlign w:val="center"/>
          </w:tcPr>
          <w:p w:rsidRPr="00185095" w:rsidR="00834B53" w:rsidP="00834B53" w:rsidRDefault="00185095" w14:paraId="6D2C9FE7" w14:textId="26DD8684">
            <w:pPr>
              <w:widowControl w:val="0"/>
              <w:tabs>
                <w:tab w:val="left" w:pos="0"/>
              </w:tabs>
              <w:autoSpaceDE w:val="0"/>
              <w:autoSpaceDN w:val="0"/>
              <w:adjustRightInd w:val="0"/>
              <w:rPr>
                <w:color w:val="000000"/>
                <w:sz w:val="22"/>
                <w:szCs w:val="22"/>
              </w:rPr>
            </w:pPr>
            <w:r>
              <w:rPr>
                <w:color w:val="000000"/>
                <w:sz w:val="22"/>
                <w:szCs w:val="22"/>
              </w:rPr>
              <w:t>169</w:t>
            </w:r>
          </w:p>
        </w:tc>
      </w:tr>
      <w:tr w:rsidRPr="00185095" w:rsidR="00834B53" w:rsidTr="00404614" w14:paraId="712C4C31" w14:textId="77777777">
        <w:trPr>
          <w:trHeight w:val="159"/>
        </w:trPr>
        <w:tc>
          <w:tcPr>
            <w:tcW w:w="1728" w:type="dxa"/>
            <w:vMerge/>
          </w:tcPr>
          <w:p w:rsidRPr="00185095" w:rsidR="00834B53" w:rsidP="00BE6D0C" w:rsidRDefault="00834B53" w14:paraId="55B105DB" w14:textId="77777777">
            <w:pPr>
              <w:pStyle w:val="StyleStyleHeading3NotBold1NotBold"/>
              <w:rPr>
                <w:rFonts w:ascii="Times New Roman" w:hAnsi="Times New Roman" w:cs="Times New Roman"/>
                <w:b w:val="0"/>
                <w:sz w:val="22"/>
                <w:szCs w:val="22"/>
              </w:rPr>
            </w:pPr>
          </w:p>
        </w:tc>
        <w:tc>
          <w:tcPr>
            <w:tcW w:w="1957" w:type="dxa"/>
          </w:tcPr>
          <w:p w:rsidRPr="00185095" w:rsidR="00834B53" w:rsidP="00BE6D0C" w:rsidRDefault="00834B53" w14:paraId="033A7C2D"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Color vision test</w:t>
            </w:r>
          </w:p>
          <w:p w:rsidRPr="00185095" w:rsidR="009B5388" w:rsidP="00BE6D0C" w:rsidRDefault="009B5388" w14:paraId="75BA871D" w14:textId="77777777">
            <w:pPr>
              <w:pStyle w:val="StyleStyleHeading3NotBold1NotBold"/>
              <w:rPr>
                <w:rFonts w:ascii="Times New Roman" w:hAnsi="Times New Roman" w:cs="Times New Roman"/>
                <w:b w:val="0"/>
                <w:sz w:val="22"/>
                <w:szCs w:val="22"/>
              </w:rPr>
            </w:pPr>
          </w:p>
        </w:tc>
        <w:tc>
          <w:tcPr>
            <w:tcW w:w="1499" w:type="dxa"/>
          </w:tcPr>
          <w:p w:rsidRPr="00185095" w:rsidR="00834B53" w:rsidP="00BE6D0C" w:rsidRDefault="00185095" w14:paraId="0FDE494B" w14:textId="3702AEAE">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834B53" w:rsidP="00BE6D0C" w:rsidRDefault="00834B53" w14:paraId="5DAE800F"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834B53" w:rsidP="00BE6D0C" w:rsidRDefault="00834B53" w14:paraId="0A73BA09"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5/60</w:t>
            </w:r>
          </w:p>
        </w:tc>
        <w:tc>
          <w:tcPr>
            <w:tcW w:w="1646" w:type="dxa"/>
            <w:vAlign w:val="center"/>
          </w:tcPr>
          <w:p w:rsidRPr="00185095" w:rsidR="00834B53" w:rsidP="00834B53" w:rsidRDefault="00185095" w14:paraId="14B4A50B" w14:textId="39690150">
            <w:pPr>
              <w:widowControl w:val="0"/>
              <w:tabs>
                <w:tab w:val="left" w:pos="0"/>
              </w:tabs>
              <w:autoSpaceDE w:val="0"/>
              <w:autoSpaceDN w:val="0"/>
              <w:adjustRightInd w:val="0"/>
              <w:rPr>
                <w:color w:val="000000"/>
                <w:sz w:val="22"/>
                <w:szCs w:val="22"/>
              </w:rPr>
            </w:pPr>
            <w:r>
              <w:rPr>
                <w:color w:val="000000"/>
                <w:sz w:val="22"/>
                <w:szCs w:val="22"/>
              </w:rPr>
              <w:t>28</w:t>
            </w:r>
          </w:p>
        </w:tc>
      </w:tr>
      <w:tr w:rsidRPr="00185095" w:rsidR="00834B53" w:rsidTr="00404614" w14:paraId="3386683B" w14:textId="77777777">
        <w:trPr>
          <w:trHeight w:val="159"/>
        </w:trPr>
        <w:tc>
          <w:tcPr>
            <w:tcW w:w="1728" w:type="dxa"/>
            <w:vMerge/>
          </w:tcPr>
          <w:p w:rsidRPr="00185095" w:rsidR="00834B53" w:rsidP="00BE6D0C" w:rsidRDefault="00834B53" w14:paraId="4B73F2A7" w14:textId="77777777">
            <w:pPr>
              <w:pStyle w:val="StyleStyleHeading3NotBold1NotBold"/>
              <w:rPr>
                <w:rFonts w:ascii="Times New Roman" w:hAnsi="Times New Roman" w:cs="Times New Roman"/>
                <w:b w:val="0"/>
                <w:sz w:val="22"/>
                <w:szCs w:val="22"/>
              </w:rPr>
            </w:pPr>
          </w:p>
        </w:tc>
        <w:tc>
          <w:tcPr>
            <w:tcW w:w="1957" w:type="dxa"/>
          </w:tcPr>
          <w:p w:rsidRPr="00185095" w:rsidR="00834B53" w:rsidP="00BE6D0C" w:rsidRDefault="00834B53" w14:paraId="3A30DE70"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Blood test</w:t>
            </w:r>
          </w:p>
          <w:p w:rsidRPr="00185095" w:rsidR="009B5388" w:rsidP="00BE6D0C" w:rsidRDefault="009B5388" w14:paraId="7FD24C7F" w14:textId="77777777">
            <w:pPr>
              <w:pStyle w:val="StyleStyleHeading3NotBold1NotBold"/>
              <w:rPr>
                <w:rFonts w:ascii="Times New Roman" w:hAnsi="Times New Roman" w:cs="Times New Roman"/>
                <w:b w:val="0"/>
                <w:sz w:val="22"/>
                <w:szCs w:val="22"/>
              </w:rPr>
            </w:pPr>
          </w:p>
        </w:tc>
        <w:tc>
          <w:tcPr>
            <w:tcW w:w="1499" w:type="dxa"/>
          </w:tcPr>
          <w:p w:rsidRPr="00185095" w:rsidR="00834B53" w:rsidP="00BE6D0C" w:rsidRDefault="00185095" w14:paraId="41CD8DDC" w14:textId="2471DD5D">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338</w:t>
            </w:r>
          </w:p>
        </w:tc>
        <w:tc>
          <w:tcPr>
            <w:tcW w:w="1646" w:type="dxa"/>
          </w:tcPr>
          <w:p w:rsidRPr="00185095" w:rsidR="00834B53" w:rsidP="00BE6D0C" w:rsidRDefault="00834B53" w14:paraId="05C81627"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1</w:t>
            </w:r>
          </w:p>
        </w:tc>
        <w:tc>
          <w:tcPr>
            <w:tcW w:w="1646" w:type="dxa"/>
          </w:tcPr>
          <w:p w:rsidRPr="00185095" w:rsidR="00834B53" w:rsidP="00BE6D0C" w:rsidRDefault="00834B53" w14:paraId="680698DA"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5/60</w:t>
            </w:r>
          </w:p>
        </w:tc>
        <w:tc>
          <w:tcPr>
            <w:tcW w:w="1646" w:type="dxa"/>
            <w:vAlign w:val="center"/>
          </w:tcPr>
          <w:p w:rsidRPr="00185095" w:rsidR="00834B53" w:rsidP="00834B53" w:rsidRDefault="00185095" w14:paraId="6022D65C" w14:textId="686196BE">
            <w:pPr>
              <w:widowControl w:val="0"/>
              <w:tabs>
                <w:tab w:val="left" w:pos="0"/>
              </w:tabs>
              <w:autoSpaceDE w:val="0"/>
              <w:autoSpaceDN w:val="0"/>
              <w:adjustRightInd w:val="0"/>
              <w:rPr>
                <w:color w:val="000000"/>
                <w:sz w:val="22"/>
                <w:szCs w:val="22"/>
              </w:rPr>
            </w:pPr>
            <w:r>
              <w:rPr>
                <w:color w:val="000000"/>
                <w:sz w:val="22"/>
                <w:szCs w:val="22"/>
              </w:rPr>
              <w:t>28</w:t>
            </w:r>
          </w:p>
        </w:tc>
      </w:tr>
      <w:tr w:rsidRPr="00113164" w:rsidR="00834B53" w:rsidTr="00404614" w14:paraId="61AF5F4F" w14:textId="77777777">
        <w:trPr>
          <w:trHeight w:val="662"/>
        </w:trPr>
        <w:tc>
          <w:tcPr>
            <w:tcW w:w="1728" w:type="dxa"/>
          </w:tcPr>
          <w:p w:rsidRPr="00185095" w:rsidR="00834B53" w:rsidP="00BE6D0C" w:rsidRDefault="00834B53" w14:paraId="46672C4C" w14:textId="77777777">
            <w:pPr>
              <w:pStyle w:val="StyleStyleHeading3NotBold1NotBold"/>
              <w:rPr>
                <w:rFonts w:ascii="Times New Roman" w:hAnsi="Times New Roman" w:cs="Times New Roman"/>
                <w:b w:val="0"/>
                <w:sz w:val="22"/>
                <w:szCs w:val="22"/>
              </w:rPr>
            </w:pPr>
            <w:r w:rsidRPr="00185095">
              <w:rPr>
                <w:rFonts w:ascii="Times New Roman" w:hAnsi="Times New Roman" w:cs="Times New Roman"/>
                <w:b w:val="0"/>
                <w:sz w:val="22"/>
                <w:szCs w:val="22"/>
              </w:rPr>
              <w:t>Total</w:t>
            </w:r>
          </w:p>
        </w:tc>
        <w:tc>
          <w:tcPr>
            <w:tcW w:w="1957" w:type="dxa"/>
          </w:tcPr>
          <w:p w:rsidRPr="00185095" w:rsidR="00834B53" w:rsidP="00BE6D0C" w:rsidRDefault="00834B53" w14:paraId="7F1B4B5A" w14:textId="77777777">
            <w:pPr>
              <w:pStyle w:val="StyleStyleHeading3NotBold1NotBold"/>
              <w:rPr>
                <w:rFonts w:ascii="Times New Roman" w:hAnsi="Times New Roman" w:cs="Times New Roman"/>
                <w:b w:val="0"/>
                <w:sz w:val="22"/>
                <w:szCs w:val="22"/>
              </w:rPr>
            </w:pPr>
          </w:p>
        </w:tc>
        <w:tc>
          <w:tcPr>
            <w:tcW w:w="1499" w:type="dxa"/>
          </w:tcPr>
          <w:p w:rsidRPr="00185095" w:rsidR="00834B53" w:rsidP="00BE6D0C" w:rsidRDefault="00834B53" w14:paraId="5526C38A" w14:textId="77777777">
            <w:pPr>
              <w:pStyle w:val="StyleStyleHeading3NotBold1NotBold"/>
              <w:rPr>
                <w:rFonts w:ascii="Times New Roman" w:hAnsi="Times New Roman" w:cs="Times New Roman"/>
                <w:b w:val="0"/>
                <w:sz w:val="22"/>
                <w:szCs w:val="22"/>
              </w:rPr>
            </w:pPr>
          </w:p>
        </w:tc>
        <w:tc>
          <w:tcPr>
            <w:tcW w:w="1646" w:type="dxa"/>
          </w:tcPr>
          <w:p w:rsidRPr="00185095" w:rsidR="00834B53" w:rsidP="00BE6D0C" w:rsidRDefault="00834B53" w14:paraId="4B286B1C" w14:textId="77777777">
            <w:pPr>
              <w:pStyle w:val="StyleStyleHeading3NotBold1NotBold"/>
              <w:rPr>
                <w:rFonts w:ascii="Times New Roman" w:hAnsi="Times New Roman" w:cs="Times New Roman"/>
                <w:b w:val="0"/>
                <w:sz w:val="22"/>
                <w:szCs w:val="22"/>
              </w:rPr>
            </w:pPr>
          </w:p>
        </w:tc>
        <w:tc>
          <w:tcPr>
            <w:tcW w:w="1646" w:type="dxa"/>
          </w:tcPr>
          <w:p w:rsidRPr="00185095" w:rsidR="00834B53" w:rsidP="00BE6D0C" w:rsidRDefault="00834B53" w14:paraId="68A1F32D" w14:textId="77777777">
            <w:pPr>
              <w:pStyle w:val="StyleStyleHeading3NotBold1NotBold"/>
              <w:rPr>
                <w:rFonts w:ascii="Times New Roman" w:hAnsi="Times New Roman" w:cs="Times New Roman"/>
                <w:b w:val="0"/>
                <w:sz w:val="22"/>
                <w:szCs w:val="22"/>
              </w:rPr>
            </w:pPr>
          </w:p>
        </w:tc>
        <w:tc>
          <w:tcPr>
            <w:tcW w:w="1646" w:type="dxa"/>
          </w:tcPr>
          <w:p w:rsidRPr="0063096C" w:rsidR="00834B53" w:rsidP="00BE6D0C" w:rsidRDefault="00185095" w14:paraId="27FAF5AB" w14:textId="04640B09">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712</w:t>
            </w:r>
          </w:p>
        </w:tc>
      </w:tr>
      <w:bookmarkEnd w:id="0"/>
    </w:tbl>
    <w:p w:rsidRPr="00113164" w:rsidR="00D514D6" w:rsidP="00B05E17" w:rsidRDefault="00D514D6" w14:paraId="1FE850C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204DDF" w:rsidP="00B05E17" w:rsidRDefault="00204DDF" w14:paraId="2E6F14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204DDF" w:rsidP="00B05E17" w:rsidRDefault="00204DDF" w14:paraId="766D3795" w14:textId="53AE62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E8158A" w:rsidP="00B05E17" w:rsidRDefault="00E8158A" w14:paraId="63F80ECA" w14:textId="3E5C44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E8158A" w:rsidP="00B05E17" w:rsidRDefault="00E8158A" w14:paraId="74ABC3C5" w14:textId="7C8251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E8158A" w:rsidP="00B05E17" w:rsidRDefault="00E8158A" w14:paraId="2E8FD5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D913AA" w:rsidP="00B05E17" w:rsidRDefault="00D913AA" w14:paraId="56FA3C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A14431" w:rsidP="00BE6D0C" w:rsidRDefault="00A14431" w14:paraId="58EB026B" w14:textId="77777777">
      <w:pPr>
        <w:pStyle w:val="StyleStyleHeading3NotBold1NotBold"/>
        <w:rPr>
          <w:rFonts w:ascii="Times New Roman" w:hAnsi="Times New Roman" w:cs="Times New Roman"/>
        </w:rPr>
      </w:pPr>
      <w:r w:rsidRPr="00113164">
        <w:rPr>
          <w:rFonts w:ascii="Times New Roman" w:hAnsi="Times New Roman" w:cs="Times New Roman"/>
        </w:rPr>
        <w:lastRenderedPageBreak/>
        <w:t>Estimated annualized burden cost</w:t>
      </w:r>
    </w:p>
    <w:tbl>
      <w:tblPr>
        <w:tblStyle w:val="TableGrid"/>
        <w:tblW w:w="8262" w:type="dxa"/>
        <w:tblInd w:w="18" w:type="dxa"/>
        <w:tblLayout w:type="fixed"/>
        <w:tblLook w:val="04A0" w:firstRow="1" w:lastRow="0" w:firstColumn="1" w:lastColumn="0" w:noHBand="0" w:noVBand="1"/>
      </w:tblPr>
      <w:tblGrid>
        <w:gridCol w:w="1728"/>
        <w:gridCol w:w="1939"/>
        <w:gridCol w:w="1355"/>
        <w:gridCol w:w="1620"/>
        <w:gridCol w:w="1620"/>
      </w:tblGrid>
      <w:tr w:rsidRPr="00113164" w:rsidR="00A14431" w:rsidTr="00D913AA" w14:paraId="4A1F8524" w14:textId="77777777">
        <w:trPr>
          <w:trHeight w:val="935"/>
        </w:trPr>
        <w:tc>
          <w:tcPr>
            <w:tcW w:w="1728" w:type="dxa"/>
          </w:tcPr>
          <w:p w:rsidRPr="00113164" w:rsidR="00A14431" w:rsidP="00BE6D0C" w:rsidRDefault="00A14431" w14:paraId="4AC8B104" w14:textId="77777777">
            <w:pPr>
              <w:rPr>
                <w:b/>
                <w:sz w:val="22"/>
                <w:szCs w:val="22"/>
              </w:rPr>
            </w:pPr>
            <w:r w:rsidRPr="00113164">
              <w:rPr>
                <w:sz w:val="22"/>
                <w:szCs w:val="22"/>
              </w:rPr>
              <w:t>Type of Respondents</w:t>
            </w:r>
          </w:p>
        </w:tc>
        <w:tc>
          <w:tcPr>
            <w:tcW w:w="1939" w:type="dxa"/>
          </w:tcPr>
          <w:p w:rsidRPr="00113164" w:rsidR="00A14431" w:rsidP="00BE6D0C" w:rsidRDefault="00A14431" w14:paraId="103BC0BF" w14:textId="77777777">
            <w:pPr>
              <w:rPr>
                <w:b/>
                <w:sz w:val="22"/>
                <w:szCs w:val="22"/>
              </w:rPr>
            </w:pPr>
            <w:r w:rsidRPr="00113164">
              <w:rPr>
                <w:sz w:val="22"/>
                <w:szCs w:val="22"/>
              </w:rPr>
              <w:t>Form name</w:t>
            </w:r>
          </w:p>
        </w:tc>
        <w:tc>
          <w:tcPr>
            <w:tcW w:w="1355" w:type="dxa"/>
          </w:tcPr>
          <w:p w:rsidRPr="00113164" w:rsidR="00A14431" w:rsidP="00BE6D0C" w:rsidRDefault="00A14431" w14:paraId="5F5E0E24" w14:textId="77777777">
            <w:pPr>
              <w:rPr>
                <w:b/>
                <w:sz w:val="22"/>
                <w:szCs w:val="22"/>
              </w:rPr>
            </w:pPr>
            <w:r w:rsidRPr="00113164">
              <w:rPr>
                <w:sz w:val="22"/>
                <w:szCs w:val="22"/>
              </w:rPr>
              <w:t>Total burden (in hours)</w:t>
            </w:r>
          </w:p>
        </w:tc>
        <w:tc>
          <w:tcPr>
            <w:tcW w:w="1620" w:type="dxa"/>
          </w:tcPr>
          <w:p w:rsidRPr="00113164" w:rsidR="00A14431" w:rsidP="00BE6D0C" w:rsidRDefault="00A14431" w14:paraId="3651621B" w14:textId="77777777">
            <w:pPr>
              <w:rPr>
                <w:b/>
                <w:sz w:val="22"/>
                <w:szCs w:val="22"/>
              </w:rPr>
            </w:pPr>
            <w:r w:rsidRPr="00113164">
              <w:rPr>
                <w:sz w:val="22"/>
                <w:szCs w:val="22"/>
              </w:rPr>
              <w:t>Hourly wage rate</w:t>
            </w:r>
          </w:p>
        </w:tc>
        <w:tc>
          <w:tcPr>
            <w:tcW w:w="1620" w:type="dxa"/>
          </w:tcPr>
          <w:p w:rsidRPr="00113164" w:rsidR="00A14431" w:rsidP="00BE6D0C" w:rsidRDefault="00A14431" w14:paraId="6B2D7647" w14:textId="77777777">
            <w:pPr>
              <w:rPr>
                <w:b/>
                <w:sz w:val="22"/>
                <w:szCs w:val="22"/>
              </w:rPr>
            </w:pPr>
            <w:r w:rsidRPr="00113164">
              <w:rPr>
                <w:sz w:val="22"/>
                <w:szCs w:val="22"/>
              </w:rPr>
              <w:t>Total respondent cost</w:t>
            </w:r>
          </w:p>
        </w:tc>
      </w:tr>
      <w:tr w:rsidRPr="00113164" w:rsidR="00A03096" w:rsidTr="00C8303C" w14:paraId="26577B08" w14:textId="77777777">
        <w:trPr>
          <w:trHeight w:val="512"/>
        </w:trPr>
        <w:tc>
          <w:tcPr>
            <w:tcW w:w="1728" w:type="dxa"/>
            <w:vMerge w:val="restart"/>
            <w:vAlign w:val="center"/>
          </w:tcPr>
          <w:p w:rsidRPr="00113164" w:rsidR="00A03096" w:rsidP="00A03096" w:rsidRDefault="00A03096" w14:paraId="36439FF4" w14:textId="77777777">
            <w:pPr>
              <w:rPr>
                <w:b/>
                <w:sz w:val="22"/>
                <w:szCs w:val="22"/>
              </w:rPr>
            </w:pPr>
            <w:r w:rsidRPr="00113164">
              <w:rPr>
                <w:sz w:val="22"/>
                <w:szCs w:val="22"/>
              </w:rPr>
              <w:t>Boatbuilder Cohort Members</w:t>
            </w:r>
          </w:p>
        </w:tc>
        <w:tc>
          <w:tcPr>
            <w:tcW w:w="1939" w:type="dxa"/>
          </w:tcPr>
          <w:p w:rsidR="00A03096" w:rsidP="00A03096" w:rsidRDefault="00A03096" w14:paraId="5B5C205E" w14:textId="77777777">
            <w:pPr>
              <w:rPr>
                <w:sz w:val="22"/>
                <w:szCs w:val="22"/>
              </w:rPr>
            </w:pPr>
            <w:r w:rsidRPr="00D72A50">
              <w:rPr>
                <w:sz w:val="22"/>
                <w:szCs w:val="22"/>
              </w:rPr>
              <w:t>Questionnaire and medical survey consent form</w:t>
            </w:r>
          </w:p>
          <w:p w:rsidRPr="00D72A50" w:rsidR="00A03096" w:rsidP="00A03096" w:rsidRDefault="00A03096" w14:paraId="78528FFC" w14:textId="77777777">
            <w:pPr>
              <w:rPr>
                <w:sz w:val="22"/>
                <w:szCs w:val="22"/>
              </w:rPr>
            </w:pPr>
          </w:p>
        </w:tc>
        <w:tc>
          <w:tcPr>
            <w:tcW w:w="1355" w:type="dxa"/>
          </w:tcPr>
          <w:p w:rsidRPr="0063096C" w:rsidR="00A03096" w:rsidP="00A03096" w:rsidRDefault="00A03096" w14:paraId="126AAE96" w14:textId="753ED2F3">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85</w:t>
            </w:r>
          </w:p>
        </w:tc>
        <w:tc>
          <w:tcPr>
            <w:tcW w:w="1620" w:type="dxa"/>
          </w:tcPr>
          <w:p w:rsidRPr="00994ACA" w:rsidR="00A03096" w:rsidP="00A03096" w:rsidRDefault="00A03096" w14:paraId="21B863AC" w14:textId="77777777">
            <w:pPr>
              <w:rPr>
                <w:b/>
                <w:sz w:val="22"/>
                <w:szCs w:val="22"/>
              </w:rPr>
            </w:pPr>
            <w:r w:rsidRPr="00994ACA">
              <w:rPr>
                <w:sz w:val="22"/>
                <w:szCs w:val="22"/>
              </w:rPr>
              <w:t>$23.00</w:t>
            </w:r>
          </w:p>
        </w:tc>
        <w:tc>
          <w:tcPr>
            <w:tcW w:w="1620" w:type="dxa"/>
          </w:tcPr>
          <w:p w:rsidRPr="00113164" w:rsidR="00A03096" w:rsidP="00A03096" w:rsidRDefault="00A03096" w14:paraId="39D47349" w14:textId="7FEDA20C">
            <w:pPr>
              <w:rPr>
                <w:b/>
                <w:sz w:val="22"/>
                <w:szCs w:val="22"/>
              </w:rPr>
            </w:pPr>
            <w:r w:rsidRPr="00DE26D2">
              <w:t xml:space="preserve">$1,955.00 </w:t>
            </w:r>
          </w:p>
        </w:tc>
      </w:tr>
      <w:tr w:rsidRPr="00113164" w:rsidR="00A03096" w:rsidTr="00236F24" w14:paraId="15599305" w14:textId="77777777">
        <w:trPr>
          <w:trHeight w:val="151"/>
        </w:trPr>
        <w:tc>
          <w:tcPr>
            <w:tcW w:w="1728" w:type="dxa"/>
            <w:vMerge/>
          </w:tcPr>
          <w:p w:rsidRPr="00113164" w:rsidR="00A03096" w:rsidP="00A03096" w:rsidRDefault="00A03096" w14:paraId="0517AEA3" w14:textId="77777777">
            <w:pPr>
              <w:rPr>
                <w:sz w:val="22"/>
                <w:szCs w:val="22"/>
              </w:rPr>
            </w:pPr>
          </w:p>
        </w:tc>
        <w:tc>
          <w:tcPr>
            <w:tcW w:w="1939" w:type="dxa"/>
          </w:tcPr>
          <w:p w:rsidR="00A03096" w:rsidP="00A03096" w:rsidRDefault="00A03096" w14:paraId="789356B0" w14:textId="77777777">
            <w:pPr>
              <w:rPr>
                <w:sz w:val="22"/>
                <w:szCs w:val="22"/>
              </w:rPr>
            </w:pPr>
            <w:r w:rsidRPr="00113164">
              <w:rPr>
                <w:sz w:val="22"/>
                <w:szCs w:val="22"/>
              </w:rPr>
              <w:t>Questionnaire</w:t>
            </w:r>
          </w:p>
          <w:p w:rsidRPr="00113164" w:rsidR="00A03096" w:rsidP="00A03096" w:rsidRDefault="00A03096" w14:paraId="477195F9" w14:textId="77777777">
            <w:pPr>
              <w:rPr>
                <w:b/>
                <w:sz w:val="22"/>
                <w:szCs w:val="22"/>
              </w:rPr>
            </w:pPr>
          </w:p>
        </w:tc>
        <w:tc>
          <w:tcPr>
            <w:tcW w:w="1355" w:type="dxa"/>
          </w:tcPr>
          <w:p w:rsidRPr="0063096C" w:rsidR="00A03096" w:rsidP="00A03096" w:rsidRDefault="00A03096" w14:paraId="6B934AFE" w14:textId="6D0C5CF2">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254</w:t>
            </w:r>
          </w:p>
        </w:tc>
        <w:tc>
          <w:tcPr>
            <w:tcW w:w="1620" w:type="dxa"/>
          </w:tcPr>
          <w:p w:rsidRPr="00994ACA" w:rsidR="00A03096" w:rsidP="00A03096" w:rsidRDefault="00A03096" w14:paraId="0CB0F4CD" w14:textId="77777777">
            <w:pPr>
              <w:rPr>
                <w:b/>
                <w:sz w:val="22"/>
                <w:szCs w:val="22"/>
              </w:rPr>
            </w:pPr>
            <w:r w:rsidRPr="00994ACA">
              <w:rPr>
                <w:sz w:val="22"/>
                <w:szCs w:val="22"/>
              </w:rPr>
              <w:t>$23.00</w:t>
            </w:r>
          </w:p>
        </w:tc>
        <w:tc>
          <w:tcPr>
            <w:tcW w:w="1620" w:type="dxa"/>
          </w:tcPr>
          <w:p w:rsidRPr="00113164" w:rsidR="00A03096" w:rsidP="00A03096" w:rsidRDefault="00A03096" w14:paraId="7BAC2021" w14:textId="615D7B0B">
            <w:pPr>
              <w:rPr>
                <w:b/>
                <w:sz w:val="22"/>
                <w:szCs w:val="22"/>
              </w:rPr>
            </w:pPr>
            <w:r w:rsidRPr="00DE26D2">
              <w:t xml:space="preserve">$5,842.00 </w:t>
            </w:r>
          </w:p>
        </w:tc>
      </w:tr>
      <w:tr w:rsidRPr="00113164" w:rsidR="00A03096" w:rsidTr="00236F24" w14:paraId="63088917" w14:textId="77777777">
        <w:trPr>
          <w:trHeight w:val="151"/>
        </w:trPr>
        <w:tc>
          <w:tcPr>
            <w:tcW w:w="1728" w:type="dxa"/>
            <w:vMerge/>
          </w:tcPr>
          <w:p w:rsidRPr="00113164" w:rsidR="00A03096" w:rsidP="00A03096" w:rsidRDefault="00A03096" w14:paraId="2869D234" w14:textId="77777777">
            <w:pPr>
              <w:rPr>
                <w:sz w:val="22"/>
                <w:szCs w:val="22"/>
              </w:rPr>
            </w:pPr>
          </w:p>
        </w:tc>
        <w:tc>
          <w:tcPr>
            <w:tcW w:w="1939" w:type="dxa"/>
          </w:tcPr>
          <w:p w:rsidR="00A03096" w:rsidP="00A03096" w:rsidRDefault="00A03096" w14:paraId="7EB1CEE2" w14:textId="77777777">
            <w:pPr>
              <w:rPr>
                <w:sz w:val="22"/>
                <w:szCs w:val="22"/>
              </w:rPr>
            </w:pPr>
            <w:r w:rsidRPr="00113164">
              <w:rPr>
                <w:sz w:val="22"/>
                <w:szCs w:val="22"/>
              </w:rPr>
              <w:t>Exhaled nitric oxide</w:t>
            </w:r>
          </w:p>
          <w:p w:rsidRPr="00113164" w:rsidR="00A03096" w:rsidP="00A03096" w:rsidRDefault="00A03096" w14:paraId="065AA493" w14:textId="77777777">
            <w:pPr>
              <w:rPr>
                <w:b/>
                <w:sz w:val="22"/>
                <w:szCs w:val="22"/>
              </w:rPr>
            </w:pPr>
          </w:p>
        </w:tc>
        <w:tc>
          <w:tcPr>
            <w:tcW w:w="1355" w:type="dxa"/>
          </w:tcPr>
          <w:p w:rsidRPr="0063096C" w:rsidR="00A03096" w:rsidP="00A03096" w:rsidRDefault="00A03096" w14:paraId="5E68413D" w14:textId="2CB2779D">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28</w:t>
            </w:r>
          </w:p>
        </w:tc>
        <w:tc>
          <w:tcPr>
            <w:tcW w:w="1620" w:type="dxa"/>
          </w:tcPr>
          <w:p w:rsidRPr="00994ACA" w:rsidR="00A03096" w:rsidP="00A03096" w:rsidRDefault="00A03096" w14:paraId="609BB6F2" w14:textId="77777777">
            <w:pPr>
              <w:rPr>
                <w:b/>
                <w:sz w:val="22"/>
                <w:szCs w:val="22"/>
              </w:rPr>
            </w:pPr>
            <w:r w:rsidRPr="00994ACA">
              <w:rPr>
                <w:sz w:val="22"/>
                <w:szCs w:val="22"/>
              </w:rPr>
              <w:t>$23.00</w:t>
            </w:r>
          </w:p>
        </w:tc>
        <w:tc>
          <w:tcPr>
            <w:tcW w:w="1620" w:type="dxa"/>
          </w:tcPr>
          <w:p w:rsidRPr="00113164" w:rsidR="00A03096" w:rsidP="00A03096" w:rsidRDefault="00A03096" w14:paraId="50C6506F" w14:textId="51547B5A">
            <w:pPr>
              <w:rPr>
                <w:b/>
                <w:sz w:val="22"/>
                <w:szCs w:val="22"/>
              </w:rPr>
            </w:pPr>
            <w:r w:rsidRPr="00DE26D2">
              <w:t xml:space="preserve">$644.00 </w:t>
            </w:r>
          </w:p>
        </w:tc>
      </w:tr>
      <w:tr w:rsidRPr="00113164" w:rsidR="00A03096" w:rsidTr="00236F24" w14:paraId="6661F100" w14:textId="77777777">
        <w:trPr>
          <w:trHeight w:val="151"/>
        </w:trPr>
        <w:tc>
          <w:tcPr>
            <w:tcW w:w="1728" w:type="dxa"/>
            <w:vMerge/>
          </w:tcPr>
          <w:p w:rsidRPr="00113164" w:rsidR="00A03096" w:rsidP="00A03096" w:rsidRDefault="00A03096" w14:paraId="59801E3B" w14:textId="77777777">
            <w:pPr>
              <w:rPr>
                <w:sz w:val="22"/>
                <w:szCs w:val="22"/>
              </w:rPr>
            </w:pPr>
          </w:p>
        </w:tc>
        <w:tc>
          <w:tcPr>
            <w:tcW w:w="1939" w:type="dxa"/>
          </w:tcPr>
          <w:p w:rsidR="00A03096" w:rsidP="00A03096" w:rsidRDefault="00A03096" w14:paraId="2314A656" w14:textId="77777777">
            <w:pPr>
              <w:rPr>
                <w:sz w:val="22"/>
                <w:szCs w:val="22"/>
              </w:rPr>
            </w:pPr>
            <w:r w:rsidRPr="00113164">
              <w:rPr>
                <w:sz w:val="22"/>
                <w:szCs w:val="22"/>
              </w:rPr>
              <w:t>Impulse oscillometry</w:t>
            </w:r>
          </w:p>
          <w:p w:rsidRPr="00113164" w:rsidR="00A03096" w:rsidP="00A03096" w:rsidRDefault="00A03096" w14:paraId="6A3DF01B" w14:textId="77777777">
            <w:pPr>
              <w:rPr>
                <w:sz w:val="22"/>
                <w:szCs w:val="22"/>
              </w:rPr>
            </w:pPr>
          </w:p>
        </w:tc>
        <w:tc>
          <w:tcPr>
            <w:tcW w:w="1355" w:type="dxa"/>
          </w:tcPr>
          <w:p w:rsidRPr="0063096C" w:rsidR="00A03096" w:rsidP="00A03096" w:rsidRDefault="00A03096" w14:paraId="653124DB" w14:textId="7CF97C13">
            <w:pPr>
              <w:pStyle w:val="StyleStyleHeading3NotBold1NotBold"/>
              <w:rPr>
                <w:rFonts w:ascii="Times New Roman" w:hAnsi="Times New Roman" w:cs="Times New Roman"/>
                <w:b w:val="0"/>
                <w:sz w:val="22"/>
                <w:szCs w:val="22"/>
              </w:rPr>
            </w:pPr>
            <w:r>
              <w:rPr>
                <w:rFonts w:ascii="Times New Roman" w:hAnsi="Times New Roman" w:cs="Times New Roman"/>
                <w:b w:val="0"/>
                <w:sz w:val="22"/>
                <w:szCs w:val="22"/>
              </w:rPr>
              <w:t>56</w:t>
            </w:r>
          </w:p>
        </w:tc>
        <w:tc>
          <w:tcPr>
            <w:tcW w:w="1620" w:type="dxa"/>
          </w:tcPr>
          <w:p w:rsidRPr="00994ACA" w:rsidR="00A03096" w:rsidP="00A03096" w:rsidRDefault="00A03096" w14:paraId="295FD8BA" w14:textId="77777777">
            <w:pPr>
              <w:rPr>
                <w:sz w:val="22"/>
                <w:szCs w:val="22"/>
              </w:rPr>
            </w:pPr>
            <w:r w:rsidRPr="00994ACA">
              <w:rPr>
                <w:sz w:val="22"/>
                <w:szCs w:val="22"/>
              </w:rPr>
              <w:t>$23.00</w:t>
            </w:r>
          </w:p>
        </w:tc>
        <w:tc>
          <w:tcPr>
            <w:tcW w:w="1620" w:type="dxa"/>
          </w:tcPr>
          <w:p w:rsidRPr="00113164" w:rsidR="00A03096" w:rsidP="00A03096" w:rsidRDefault="00A03096" w14:paraId="5D0A1203" w14:textId="5F0CA2BD">
            <w:pPr>
              <w:rPr>
                <w:b/>
                <w:sz w:val="22"/>
                <w:szCs w:val="22"/>
              </w:rPr>
            </w:pPr>
            <w:r w:rsidRPr="00DE26D2">
              <w:t xml:space="preserve">$1,288.00 </w:t>
            </w:r>
          </w:p>
        </w:tc>
      </w:tr>
      <w:tr w:rsidRPr="00113164" w:rsidR="00A03096" w:rsidTr="00236F24" w14:paraId="0F99523F" w14:textId="77777777">
        <w:trPr>
          <w:trHeight w:val="151"/>
        </w:trPr>
        <w:tc>
          <w:tcPr>
            <w:tcW w:w="1728" w:type="dxa"/>
            <w:vMerge/>
          </w:tcPr>
          <w:p w:rsidRPr="00113164" w:rsidR="00A03096" w:rsidP="00A03096" w:rsidRDefault="00A03096" w14:paraId="56678D20" w14:textId="77777777">
            <w:pPr>
              <w:rPr>
                <w:sz w:val="22"/>
                <w:szCs w:val="22"/>
              </w:rPr>
            </w:pPr>
          </w:p>
        </w:tc>
        <w:tc>
          <w:tcPr>
            <w:tcW w:w="1939" w:type="dxa"/>
          </w:tcPr>
          <w:p w:rsidR="00A03096" w:rsidP="00A03096" w:rsidRDefault="00A03096" w14:paraId="5D9DF5B1" w14:textId="77777777">
            <w:pPr>
              <w:rPr>
                <w:sz w:val="22"/>
                <w:szCs w:val="22"/>
              </w:rPr>
            </w:pPr>
            <w:r w:rsidRPr="00113164">
              <w:rPr>
                <w:sz w:val="22"/>
                <w:szCs w:val="22"/>
              </w:rPr>
              <w:t>Spirometry</w:t>
            </w:r>
          </w:p>
          <w:p w:rsidRPr="00113164" w:rsidR="00A03096" w:rsidP="00A03096" w:rsidRDefault="00A03096" w14:paraId="0FE764D1" w14:textId="77777777">
            <w:pPr>
              <w:rPr>
                <w:sz w:val="22"/>
                <w:szCs w:val="22"/>
              </w:rPr>
            </w:pPr>
          </w:p>
        </w:tc>
        <w:tc>
          <w:tcPr>
            <w:tcW w:w="1355" w:type="dxa"/>
            <w:vAlign w:val="center"/>
          </w:tcPr>
          <w:p w:rsidRPr="0063096C" w:rsidR="00A03096" w:rsidP="00A03096" w:rsidRDefault="00A03096" w14:paraId="3B134D6A" w14:textId="1DE47514">
            <w:pPr>
              <w:widowControl w:val="0"/>
              <w:tabs>
                <w:tab w:val="left" w:pos="0"/>
              </w:tabs>
              <w:autoSpaceDE w:val="0"/>
              <w:autoSpaceDN w:val="0"/>
              <w:adjustRightInd w:val="0"/>
              <w:rPr>
                <w:color w:val="000000"/>
                <w:sz w:val="22"/>
                <w:szCs w:val="22"/>
              </w:rPr>
            </w:pPr>
            <w:r>
              <w:rPr>
                <w:color w:val="000000"/>
                <w:sz w:val="22"/>
                <w:szCs w:val="22"/>
              </w:rPr>
              <w:t>56</w:t>
            </w:r>
          </w:p>
        </w:tc>
        <w:tc>
          <w:tcPr>
            <w:tcW w:w="1620" w:type="dxa"/>
          </w:tcPr>
          <w:p w:rsidRPr="00994ACA" w:rsidR="00A03096" w:rsidP="00A03096" w:rsidRDefault="00A03096" w14:paraId="6E8DAAC8" w14:textId="77777777">
            <w:pPr>
              <w:rPr>
                <w:sz w:val="22"/>
                <w:szCs w:val="22"/>
              </w:rPr>
            </w:pPr>
            <w:r w:rsidRPr="00994ACA">
              <w:rPr>
                <w:sz w:val="22"/>
                <w:szCs w:val="22"/>
              </w:rPr>
              <w:t>$23.00</w:t>
            </w:r>
          </w:p>
        </w:tc>
        <w:tc>
          <w:tcPr>
            <w:tcW w:w="1620" w:type="dxa"/>
          </w:tcPr>
          <w:p w:rsidRPr="00113164" w:rsidR="00A03096" w:rsidP="00A03096" w:rsidRDefault="00A03096" w14:paraId="4BDD9B3D" w14:textId="68308D86">
            <w:pPr>
              <w:rPr>
                <w:sz w:val="22"/>
                <w:szCs w:val="22"/>
              </w:rPr>
            </w:pPr>
            <w:r w:rsidRPr="00DE26D2">
              <w:t xml:space="preserve">$1,288.00 </w:t>
            </w:r>
          </w:p>
        </w:tc>
      </w:tr>
      <w:tr w:rsidRPr="00113164" w:rsidR="00A03096" w:rsidTr="00236F24" w14:paraId="768FC705" w14:textId="77777777">
        <w:trPr>
          <w:trHeight w:val="151"/>
        </w:trPr>
        <w:tc>
          <w:tcPr>
            <w:tcW w:w="1728" w:type="dxa"/>
            <w:vMerge/>
          </w:tcPr>
          <w:p w:rsidRPr="00113164" w:rsidR="00A03096" w:rsidP="00A03096" w:rsidRDefault="00A03096" w14:paraId="07F5019F" w14:textId="77777777">
            <w:pPr>
              <w:rPr>
                <w:sz w:val="22"/>
                <w:szCs w:val="22"/>
              </w:rPr>
            </w:pPr>
          </w:p>
        </w:tc>
        <w:tc>
          <w:tcPr>
            <w:tcW w:w="1939" w:type="dxa"/>
          </w:tcPr>
          <w:p w:rsidR="00A03096" w:rsidP="00A03096" w:rsidRDefault="00A03096" w14:paraId="5D4BF638" w14:textId="77777777">
            <w:pPr>
              <w:rPr>
                <w:sz w:val="22"/>
                <w:szCs w:val="22"/>
              </w:rPr>
            </w:pPr>
            <w:r w:rsidRPr="00113164">
              <w:rPr>
                <w:sz w:val="22"/>
                <w:szCs w:val="22"/>
              </w:rPr>
              <w:t>Bronchodilator test</w:t>
            </w:r>
          </w:p>
          <w:p w:rsidRPr="00113164" w:rsidR="00A03096" w:rsidP="00A03096" w:rsidRDefault="00A03096" w14:paraId="4631AACB" w14:textId="77777777">
            <w:pPr>
              <w:rPr>
                <w:sz w:val="22"/>
                <w:szCs w:val="22"/>
              </w:rPr>
            </w:pPr>
          </w:p>
        </w:tc>
        <w:tc>
          <w:tcPr>
            <w:tcW w:w="1355" w:type="dxa"/>
            <w:vAlign w:val="center"/>
          </w:tcPr>
          <w:p w:rsidRPr="0063096C" w:rsidR="00A03096" w:rsidP="00A03096" w:rsidRDefault="00A03096" w14:paraId="7A720F86" w14:textId="34B8D2CA">
            <w:pPr>
              <w:widowControl w:val="0"/>
              <w:tabs>
                <w:tab w:val="left" w:pos="0"/>
              </w:tabs>
              <w:autoSpaceDE w:val="0"/>
              <w:autoSpaceDN w:val="0"/>
              <w:adjustRightInd w:val="0"/>
              <w:rPr>
                <w:color w:val="000000"/>
                <w:sz w:val="22"/>
                <w:szCs w:val="22"/>
              </w:rPr>
            </w:pPr>
            <w:r>
              <w:rPr>
                <w:color w:val="000000"/>
                <w:sz w:val="22"/>
                <w:szCs w:val="22"/>
              </w:rPr>
              <w:t>8</w:t>
            </w:r>
          </w:p>
        </w:tc>
        <w:tc>
          <w:tcPr>
            <w:tcW w:w="1620" w:type="dxa"/>
          </w:tcPr>
          <w:p w:rsidRPr="00994ACA" w:rsidR="00A03096" w:rsidP="00A03096" w:rsidRDefault="00A03096" w14:paraId="04CA8976" w14:textId="77777777">
            <w:pPr>
              <w:rPr>
                <w:sz w:val="22"/>
                <w:szCs w:val="22"/>
              </w:rPr>
            </w:pPr>
            <w:r w:rsidRPr="00994ACA">
              <w:rPr>
                <w:sz w:val="22"/>
                <w:szCs w:val="22"/>
              </w:rPr>
              <w:t>$23.00</w:t>
            </w:r>
          </w:p>
        </w:tc>
        <w:tc>
          <w:tcPr>
            <w:tcW w:w="1620" w:type="dxa"/>
          </w:tcPr>
          <w:p w:rsidRPr="00113164" w:rsidR="00A03096" w:rsidP="00A03096" w:rsidRDefault="00A03096" w14:paraId="6908180E" w14:textId="353B041E">
            <w:pPr>
              <w:rPr>
                <w:sz w:val="22"/>
                <w:szCs w:val="22"/>
              </w:rPr>
            </w:pPr>
            <w:r w:rsidRPr="00DE26D2">
              <w:t xml:space="preserve">$184.00 </w:t>
            </w:r>
          </w:p>
        </w:tc>
      </w:tr>
      <w:tr w:rsidRPr="00113164" w:rsidR="00A03096" w:rsidTr="00236F24" w14:paraId="1154E6EC" w14:textId="77777777">
        <w:trPr>
          <w:trHeight w:val="151"/>
        </w:trPr>
        <w:tc>
          <w:tcPr>
            <w:tcW w:w="1728" w:type="dxa"/>
            <w:vMerge/>
          </w:tcPr>
          <w:p w:rsidRPr="00113164" w:rsidR="00A03096" w:rsidP="00A03096" w:rsidRDefault="00A03096" w14:paraId="04D30747" w14:textId="77777777">
            <w:pPr>
              <w:rPr>
                <w:sz w:val="22"/>
                <w:szCs w:val="22"/>
              </w:rPr>
            </w:pPr>
          </w:p>
        </w:tc>
        <w:tc>
          <w:tcPr>
            <w:tcW w:w="1939" w:type="dxa"/>
          </w:tcPr>
          <w:p w:rsidR="00A03096" w:rsidP="00A03096" w:rsidRDefault="00A03096" w14:paraId="2ECAD708" w14:textId="77777777">
            <w:pPr>
              <w:rPr>
                <w:sz w:val="22"/>
                <w:szCs w:val="22"/>
              </w:rPr>
            </w:pPr>
            <w:r w:rsidRPr="00113164">
              <w:rPr>
                <w:sz w:val="22"/>
                <w:szCs w:val="22"/>
              </w:rPr>
              <w:t>Multiple-breath washout</w:t>
            </w:r>
          </w:p>
          <w:p w:rsidRPr="00113164" w:rsidR="00A03096" w:rsidP="00A03096" w:rsidRDefault="00A03096" w14:paraId="36A81623" w14:textId="77777777">
            <w:pPr>
              <w:rPr>
                <w:sz w:val="22"/>
                <w:szCs w:val="22"/>
              </w:rPr>
            </w:pPr>
          </w:p>
        </w:tc>
        <w:tc>
          <w:tcPr>
            <w:tcW w:w="1355" w:type="dxa"/>
            <w:vAlign w:val="center"/>
          </w:tcPr>
          <w:p w:rsidRPr="0063096C" w:rsidR="00A03096" w:rsidP="00A03096" w:rsidRDefault="00A03096" w14:paraId="69661A73" w14:textId="628F8EC5">
            <w:pPr>
              <w:widowControl w:val="0"/>
              <w:tabs>
                <w:tab w:val="left" w:pos="0"/>
              </w:tabs>
              <w:autoSpaceDE w:val="0"/>
              <w:autoSpaceDN w:val="0"/>
              <w:adjustRightInd w:val="0"/>
              <w:rPr>
                <w:color w:val="000000"/>
                <w:sz w:val="22"/>
                <w:szCs w:val="22"/>
              </w:rPr>
            </w:pPr>
            <w:r>
              <w:rPr>
                <w:color w:val="000000"/>
                <w:sz w:val="22"/>
                <w:szCs w:val="22"/>
              </w:rPr>
              <w:t>169</w:t>
            </w:r>
          </w:p>
        </w:tc>
        <w:tc>
          <w:tcPr>
            <w:tcW w:w="1620" w:type="dxa"/>
          </w:tcPr>
          <w:p w:rsidRPr="00994ACA" w:rsidR="00A03096" w:rsidP="00A03096" w:rsidRDefault="00A03096" w14:paraId="0D119089" w14:textId="77777777">
            <w:pPr>
              <w:rPr>
                <w:sz w:val="22"/>
                <w:szCs w:val="22"/>
              </w:rPr>
            </w:pPr>
            <w:r w:rsidRPr="00994ACA">
              <w:rPr>
                <w:sz w:val="22"/>
                <w:szCs w:val="22"/>
              </w:rPr>
              <w:t>$23.00</w:t>
            </w:r>
          </w:p>
        </w:tc>
        <w:tc>
          <w:tcPr>
            <w:tcW w:w="1620" w:type="dxa"/>
          </w:tcPr>
          <w:p w:rsidRPr="00113164" w:rsidR="00A03096" w:rsidP="00A03096" w:rsidRDefault="00A03096" w14:paraId="75E29AAD" w14:textId="5C744478">
            <w:pPr>
              <w:rPr>
                <w:sz w:val="22"/>
                <w:szCs w:val="22"/>
              </w:rPr>
            </w:pPr>
            <w:r w:rsidRPr="00DE26D2">
              <w:t xml:space="preserve">$3,887.00 </w:t>
            </w:r>
          </w:p>
        </w:tc>
      </w:tr>
      <w:tr w:rsidRPr="00113164" w:rsidR="00A03096" w:rsidTr="00236F24" w14:paraId="0E9DB90A" w14:textId="77777777">
        <w:trPr>
          <w:trHeight w:val="151"/>
        </w:trPr>
        <w:tc>
          <w:tcPr>
            <w:tcW w:w="1728" w:type="dxa"/>
            <w:vMerge/>
          </w:tcPr>
          <w:p w:rsidRPr="00113164" w:rsidR="00A03096" w:rsidP="00A03096" w:rsidRDefault="00A03096" w14:paraId="012B99D2" w14:textId="77777777">
            <w:pPr>
              <w:rPr>
                <w:sz w:val="22"/>
                <w:szCs w:val="22"/>
              </w:rPr>
            </w:pPr>
          </w:p>
        </w:tc>
        <w:tc>
          <w:tcPr>
            <w:tcW w:w="1939" w:type="dxa"/>
          </w:tcPr>
          <w:p w:rsidR="00A03096" w:rsidP="00A03096" w:rsidRDefault="00A03096" w14:paraId="00B8B59B" w14:textId="77777777">
            <w:pPr>
              <w:rPr>
                <w:sz w:val="22"/>
                <w:szCs w:val="22"/>
              </w:rPr>
            </w:pPr>
            <w:r w:rsidRPr="00113164">
              <w:rPr>
                <w:sz w:val="22"/>
                <w:szCs w:val="22"/>
              </w:rPr>
              <w:t>Color vision test</w:t>
            </w:r>
          </w:p>
          <w:p w:rsidRPr="00113164" w:rsidR="00A03096" w:rsidP="00A03096" w:rsidRDefault="00A03096" w14:paraId="491BA425" w14:textId="77777777">
            <w:pPr>
              <w:rPr>
                <w:sz w:val="22"/>
                <w:szCs w:val="22"/>
              </w:rPr>
            </w:pPr>
          </w:p>
        </w:tc>
        <w:tc>
          <w:tcPr>
            <w:tcW w:w="1355" w:type="dxa"/>
            <w:vAlign w:val="center"/>
          </w:tcPr>
          <w:p w:rsidRPr="0063096C" w:rsidR="00A03096" w:rsidP="00A03096" w:rsidRDefault="00A03096" w14:paraId="4475048E" w14:textId="1823DA8C">
            <w:pPr>
              <w:widowControl w:val="0"/>
              <w:tabs>
                <w:tab w:val="left" w:pos="0"/>
              </w:tabs>
              <w:autoSpaceDE w:val="0"/>
              <w:autoSpaceDN w:val="0"/>
              <w:adjustRightInd w:val="0"/>
              <w:rPr>
                <w:color w:val="000000"/>
                <w:sz w:val="22"/>
                <w:szCs w:val="22"/>
              </w:rPr>
            </w:pPr>
            <w:r>
              <w:rPr>
                <w:color w:val="000000"/>
                <w:sz w:val="22"/>
                <w:szCs w:val="22"/>
              </w:rPr>
              <w:t>28</w:t>
            </w:r>
          </w:p>
        </w:tc>
        <w:tc>
          <w:tcPr>
            <w:tcW w:w="1620" w:type="dxa"/>
          </w:tcPr>
          <w:p w:rsidRPr="00994ACA" w:rsidR="00A03096" w:rsidP="00A03096" w:rsidRDefault="00A03096" w14:paraId="583C9666" w14:textId="77777777">
            <w:pPr>
              <w:rPr>
                <w:sz w:val="22"/>
                <w:szCs w:val="22"/>
              </w:rPr>
            </w:pPr>
            <w:r w:rsidRPr="00994ACA">
              <w:rPr>
                <w:sz w:val="22"/>
                <w:szCs w:val="22"/>
              </w:rPr>
              <w:t>$23.00</w:t>
            </w:r>
          </w:p>
        </w:tc>
        <w:tc>
          <w:tcPr>
            <w:tcW w:w="1620" w:type="dxa"/>
          </w:tcPr>
          <w:p w:rsidRPr="00113164" w:rsidR="00A03096" w:rsidP="00A03096" w:rsidRDefault="00A03096" w14:paraId="2762A697" w14:textId="34DEDCCE">
            <w:pPr>
              <w:rPr>
                <w:sz w:val="22"/>
                <w:szCs w:val="22"/>
              </w:rPr>
            </w:pPr>
            <w:r w:rsidRPr="00DE26D2">
              <w:t xml:space="preserve">$644.00 </w:t>
            </w:r>
          </w:p>
        </w:tc>
      </w:tr>
      <w:tr w:rsidRPr="00113164" w:rsidR="00A03096" w:rsidTr="00236F24" w14:paraId="42971F2C" w14:textId="77777777">
        <w:trPr>
          <w:trHeight w:val="151"/>
        </w:trPr>
        <w:tc>
          <w:tcPr>
            <w:tcW w:w="1728" w:type="dxa"/>
            <w:vMerge/>
          </w:tcPr>
          <w:p w:rsidRPr="00113164" w:rsidR="00A03096" w:rsidP="00A03096" w:rsidRDefault="00A03096" w14:paraId="53D0615D" w14:textId="77777777">
            <w:pPr>
              <w:rPr>
                <w:sz w:val="22"/>
                <w:szCs w:val="22"/>
              </w:rPr>
            </w:pPr>
          </w:p>
        </w:tc>
        <w:tc>
          <w:tcPr>
            <w:tcW w:w="1939" w:type="dxa"/>
          </w:tcPr>
          <w:p w:rsidR="00A03096" w:rsidP="00A03096" w:rsidRDefault="00A03096" w14:paraId="7C34177B" w14:textId="77777777">
            <w:pPr>
              <w:rPr>
                <w:sz w:val="22"/>
                <w:szCs w:val="22"/>
              </w:rPr>
            </w:pPr>
            <w:r w:rsidRPr="00113164">
              <w:rPr>
                <w:sz w:val="22"/>
                <w:szCs w:val="22"/>
              </w:rPr>
              <w:t>Blood test</w:t>
            </w:r>
          </w:p>
          <w:p w:rsidRPr="00113164" w:rsidR="00A03096" w:rsidP="00A03096" w:rsidRDefault="00A03096" w14:paraId="7575BCB2" w14:textId="77777777">
            <w:pPr>
              <w:rPr>
                <w:sz w:val="22"/>
                <w:szCs w:val="22"/>
              </w:rPr>
            </w:pPr>
          </w:p>
        </w:tc>
        <w:tc>
          <w:tcPr>
            <w:tcW w:w="1355" w:type="dxa"/>
            <w:vAlign w:val="center"/>
          </w:tcPr>
          <w:p w:rsidRPr="0063096C" w:rsidR="00A03096" w:rsidP="00A03096" w:rsidRDefault="00A03096" w14:paraId="40D4F1F9" w14:textId="076A7E9E">
            <w:pPr>
              <w:widowControl w:val="0"/>
              <w:tabs>
                <w:tab w:val="left" w:pos="0"/>
              </w:tabs>
              <w:autoSpaceDE w:val="0"/>
              <w:autoSpaceDN w:val="0"/>
              <w:adjustRightInd w:val="0"/>
              <w:rPr>
                <w:color w:val="000000"/>
                <w:sz w:val="22"/>
                <w:szCs w:val="22"/>
              </w:rPr>
            </w:pPr>
            <w:r>
              <w:rPr>
                <w:color w:val="000000"/>
                <w:sz w:val="22"/>
                <w:szCs w:val="22"/>
              </w:rPr>
              <w:t>28</w:t>
            </w:r>
          </w:p>
        </w:tc>
        <w:tc>
          <w:tcPr>
            <w:tcW w:w="1620" w:type="dxa"/>
          </w:tcPr>
          <w:p w:rsidRPr="00994ACA" w:rsidR="00A03096" w:rsidP="00A03096" w:rsidRDefault="00A03096" w14:paraId="4453BA4B" w14:textId="77777777">
            <w:pPr>
              <w:rPr>
                <w:sz w:val="22"/>
                <w:szCs w:val="22"/>
              </w:rPr>
            </w:pPr>
            <w:r w:rsidRPr="00994ACA">
              <w:rPr>
                <w:sz w:val="22"/>
                <w:szCs w:val="22"/>
              </w:rPr>
              <w:t>$23.00</w:t>
            </w:r>
          </w:p>
        </w:tc>
        <w:tc>
          <w:tcPr>
            <w:tcW w:w="1620" w:type="dxa"/>
          </w:tcPr>
          <w:p w:rsidRPr="00113164" w:rsidR="00A03096" w:rsidP="00A03096" w:rsidRDefault="00A03096" w14:paraId="5B1EAB1B" w14:textId="2446EEF9">
            <w:pPr>
              <w:rPr>
                <w:sz w:val="22"/>
                <w:szCs w:val="22"/>
              </w:rPr>
            </w:pPr>
            <w:r w:rsidRPr="00DE26D2">
              <w:t xml:space="preserve">$644.00 </w:t>
            </w:r>
          </w:p>
        </w:tc>
      </w:tr>
      <w:tr w:rsidRPr="00113164" w:rsidR="00A03096" w:rsidTr="00236F24" w14:paraId="081AB3C8" w14:textId="77777777">
        <w:trPr>
          <w:trHeight w:val="628"/>
        </w:trPr>
        <w:tc>
          <w:tcPr>
            <w:tcW w:w="1728" w:type="dxa"/>
          </w:tcPr>
          <w:p w:rsidRPr="00113164" w:rsidR="00A03096" w:rsidP="00A03096" w:rsidRDefault="00A03096" w14:paraId="126FBED2" w14:textId="77777777">
            <w:pPr>
              <w:rPr>
                <w:b/>
                <w:sz w:val="22"/>
                <w:szCs w:val="22"/>
              </w:rPr>
            </w:pPr>
            <w:r w:rsidRPr="00113164">
              <w:rPr>
                <w:sz w:val="22"/>
                <w:szCs w:val="22"/>
              </w:rPr>
              <w:t>Total</w:t>
            </w:r>
          </w:p>
        </w:tc>
        <w:tc>
          <w:tcPr>
            <w:tcW w:w="1939" w:type="dxa"/>
          </w:tcPr>
          <w:p w:rsidRPr="00113164" w:rsidR="00A03096" w:rsidP="00A03096" w:rsidRDefault="00A03096" w14:paraId="63F83A4E" w14:textId="77777777">
            <w:pPr>
              <w:rPr>
                <w:sz w:val="22"/>
                <w:szCs w:val="22"/>
              </w:rPr>
            </w:pPr>
          </w:p>
        </w:tc>
        <w:tc>
          <w:tcPr>
            <w:tcW w:w="1355" w:type="dxa"/>
          </w:tcPr>
          <w:p w:rsidRPr="00113164" w:rsidR="00A03096" w:rsidP="00A03096" w:rsidRDefault="00A03096" w14:paraId="44E1AF22" w14:textId="77777777">
            <w:pPr>
              <w:rPr>
                <w:sz w:val="22"/>
                <w:szCs w:val="22"/>
              </w:rPr>
            </w:pPr>
          </w:p>
        </w:tc>
        <w:tc>
          <w:tcPr>
            <w:tcW w:w="1620" w:type="dxa"/>
          </w:tcPr>
          <w:p w:rsidRPr="00764F18" w:rsidR="00A03096" w:rsidP="00A03096" w:rsidRDefault="00A03096" w14:paraId="21087B4D" w14:textId="77777777">
            <w:pPr>
              <w:rPr>
                <w:sz w:val="22"/>
                <w:szCs w:val="22"/>
                <w:highlight w:val="yellow"/>
              </w:rPr>
            </w:pPr>
          </w:p>
        </w:tc>
        <w:tc>
          <w:tcPr>
            <w:tcW w:w="1620" w:type="dxa"/>
          </w:tcPr>
          <w:p w:rsidRPr="00113164" w:rsidR="00A03096" w:rsidP="00A03096" w:rsidRDefault="00A03096" w14:paraId="5D6F0B8B" w14:textId="57C6AE5F">
            <w:pPr>
              <w:rPr>
                <w:b/>
                <w:sz w:val="22"/>
                <w:szCs w:val="22"/>
              </w:rPr>
            </w:pPr>
            <w:r w:rsidRPr="00DE26D2">
              <w:t xml:space="preserve">$16,376.00 </w:t>
            </w:r>
          </w:p>
        </w:tc>
      </w:tr>
    </w:tbl>
    <w:p w:rsidRPr="00113164" w:rsidR="00104ACC" w:rsidP="0011415C" w:rsidRDefault="00A14431" w14:paraId="036FC2CC" w14:textId="6078A1B3">
      <w:pPr>
        <w:pStyle w:val="BodyText"/>
        <w:ind w:left="0"/>
        <w:rPr>
          <w:rFonts w:ascii="Times New Roman" w:hAnsi="Times New Roman" w:cs="Times New Roman"/>
          <w:b/>
          <w:szCs w:val="24"/>
        </w:rPr>
      </w:pPr>
      <w:r w:rsidRPr="00113164">
        <w:rPr>
          <w:rFonts w:ascii="Times New Roman" w:hAnsi="Times New Roman" w:cs="Times New Roman"/>
          <w:sz w:val="20"/>
        </w:rPr>
        <w:t xml:space="preserve">The value assigned for the hourly wage rate is based on the average U.S. hourly wage rate for production occupations from the Current Population Survey, Bureau of Labor Statistics, U.S. Department of </w:t>
      </w:r>
      <w:r w:rsidRPr="00113164" w:rsidR="00642CBB">
        <w:rPr>
          <w:rFonts w:ascii="Times New Roman" w:hAnsi="Times New Roman" w:cs="Times New Roman"/>
          <w:sz w:val="20"/>
        </w:rPr>
        <w:t xml:space="preserve">Labor. </w:t>
      </w:r>
      <w:r w:rsidRPr="00113164">
        <w:rPr>
          <w:rFonts w:ascii="Times New Roman" w:hAnsi="Times New Roman" w:cs="Times New Roman"/>
          <w:sz w:val="20"/>
        </w:rPr>
        <w:t>Median weekly earnings of full-time wage and salary workers by detailed occupation and sex</w:t>
      </w:r>
      <w:r w:rsidRPr="00113164" w:rsidR="00642CBB">
        <w:rPr>
          <w:rFonts w:ascii="Times New Roman" w:hAnsi="Times New Roman" w:cs="Times New Roman"/>
          <w:sz w:val="20"/>
        </w:rPr>
        <w:t>.</w:t>
      </w:r>
      <w:r w:rsidRPr="00113164">
        <w:rPr>
          <w:rFonts w:ascii="Times New Roman" w:hAnsi="Times New Roman" w:cs="Times New Roman"/>
          <w:sz w:val="20"/>
        </w:rPr>
        <w:t xml:space="preserve"> Available at: </w:t>
      </w:r>
      <w:r w:rsidRPr="00E8158A">
        <w:rPr>
          <w:rFonts w:ascii="Times New Roman" w:hAnsi="Times New Roman" w:cs="Times New Roman"/>
          <w:sz w:val="20"/>
        </w:rPr>
        <w:t>http://www.bls.gov/cps/cpsaat39.htm</w:t>
      </w:r>
      <w:r w:rsidRPr="00994ACA" w:rsidR="00642CBB">
        <w:rPr>
          <w:rFonts w:ascii="Times New Roman" w:hAnsi="Times New Roman" w:cs="Times New Roman"/>
          <w:sz w:val="20"/>
        </w:rPr>
        <w:t xml:space="preserve">. </w:t>
      </w:r>
      <w:r w:rsidRPr="00994ACA" w:rsidR="003B7475">
        <w:rPr>
          <w:rFonts w:ascii="Times New Roman" w:hAnsi="Times New Roman" w:cs="Times New Roman"/>
          <w:sz w:val="20"/>
        </w:rPr>
        <w:t xml:space="preserve">(Accessed </w:t>
      </w:r>
      <w:r w:rsidRPr="00994ACA" w:rsidR="00B04B2E">
        <w:rPr>
          <w:rFonts w:ascii="Times New Roman" w:hAnsi="Times New Roman" w:cs="Times New Roman"/>
          <w:sz w:val="20"/>
        </w:rPr>
        <w:t>January</w:t>
      </w:r>
      <w:r w:rsidRPr="00994ACA" w:rsidR="003B7475">
        <w:rPr>
          <w:rFonts w:ascii="Times New Roman" w:hAnsi="Times New Roman" w:cs="Times New Roman"/>
          <w:sz w:val="20"/>
        </w:rPr>
        <w:t xml:space="preserve"> 20</w:t>
      </w:r>
      <w:r w:rsidRPr="00994ACA" w:rsidR="00B04B2E">
        <w:rPr>
          <w:rFonts w:ascii="Times New Roman" w:hAnsi="Times New Roman" w:cs="Times New Roman"/>
          <w:sz w:val="20"/>
        </w:rPr>
        <w:t>20</w:t>
      </w:r>
      <w:r w:rsidRPr="00994ACA" w:rsidR="0011415C">
        <w:rPr>
          <w:rFonts w:ascii="Times New Roman" w:hAnsi="Times New Roman" w:cs="Times New Roman"/>
          <w:sz w:val="20"/>
        </w:rPr>
        <w:t>)</w:t>
      </w:r>
    </w:p>
    <w:p w:rsidR="00642CBB" w:rsidP="00B05E17" w:rsidRDefault="00642CBB" w14:paraId="7190B5FE" w14:textId="026F34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E8158A" w:rsidP="00B05E17" w:rsidRDefault="00E8158A" w14:paraId="7F2C8759" w14:textId="6A515D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E8158A" w:rsidP="00B05E17" w:rsidRDefault="00E8158A" w14:paraId="4E6E1526" w14:textId="702E37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E8158A" w:rsidP="00B05E17" w:rsidRDefault="00E8158A" w14:paraId="380315A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4F359F" w:rsidP="00B05E17" w:rsidRDefault="004F359F" w14:paraId="57A2BF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4F359F" w:rsidP="00B05E17" w:rsidRDefault="004F359F" w14:paraId="19A1C5C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Pr="00113164" w:rsidR="00487253" w:rsidP="00487253" w:rsidRDefault="00487253" w14:paraId="6E2DCF51" w14:textId="77777777">
      <w:pPr>
        <w:widowControl w:val="0"/>
        <w:jc w:val="both"/>
        <w:rPr>
          <w:b/>
          <w:u w:val="single"/>
        </w:rPr>
      </w:pPr>
      <w:r w:rsidRPr="00113164">
        <w:rPr>
          <w:b/>
        </w:rPr>
        <w:lastRenderedPageBreak/>
        <w:t xml:space="preserve">A.13 </w:t>
      </w:r>
      <w:r w:rsidRPr="00113164">
        <w:rPr>
          <w:b/>
        </w:rPr>
        <w:tab/>
        <w:t>Estimates of Other Total Annual Cost Burden to Respondents or Record Keepers</w:t>
      </w:r>
    </w:p>
    <w:p w:rsidRPr="00113164" w:rsidR="005D2B16" w:rsidP="00BE6D0C" w:rsidRDefault="005D2B16" w14:paraId="6E7736B5" w14:textId="77777777">
      <w:pPr>
        <w:pStyle w:val="StyleStyleHeading3NotBold1NotBold"/>
        <w:rPr>
          <w:rFonts w:ascii="Times New Roman" w:hAnsi="Times New Roman" w:cs="Times New Roman"/>
        </w:rPr>
      </w:pPr>
    </w:p>
    <w:p w:rsidRPr="00113164" w:rsidR="005D2B16" w:rsidP="00BF4D9F" w:rsidRDefault="005D2B16" w14:paraId="6E7AA753" w14:textId="77777777">
      <w:pPr>
        <w:rPr>
          <w:b/>
        </w:rPr>
      </w:pPr>
      <w:r w:rsidRPr="00113164">
        <w:t>There are no other costs to respondents or record keepers.</w:t>
      </w:r>
    </w:p>
    <w:p w:rsidRPr="00113164" w:rsidR="005D2B16" w:rsidP="00487253" w:rsidRDefault="005D2B16" w14:paraId="727218CE" w14:textId="77777777">
      <w:pPr>
        <w:widowControl w:val="0"/>
        <w:jc w:val="both"/>
      </w:pPr>
    </w:p>
    <w:p w:rsidRPr="00113164" w:rsidR="00487253" w:rsidP="00487253" w:rsidRDefault="00487253" w14:paraId="1E2E8834" w14:textId="77777777">
      <w:pPr>
        <w:widowControl w:val="0"/>
        <w:jc w:val="both"/>
      </w:pPr>
      <w:r w:rsidRPr="00113164">
        <w:rPr>
          <w:b/>
        </w:rPr>
        <w:t xml:space="preserve">A.14 </w:t>
      </w:r>
      <w:r w:rsidRPr="00113164">
        <w:rPr>
          <w:b/>
        </w:rPr>
        <w:tab/>
        <w:t>Annualized Cost to the Government</w:t>
      </w:r>
      <w:r w:rsidRPr="00113164">
        <w:t xml:space="preserve"> </w:t>
      </w:r>
    </w:p>
    <w:p w:rsidRPr="00113164" w:rsidR="005D2B16" w:rsidP="00487253" w:rsidRDefault="005D2B16" w14:paraId="7A2C05FC" w14:textId="77777777">
      <w:pPr>
        <w:widowControl w:val="0"/>
        <w:jc w:val="both"/>
      </w:pPr>
    </w:p>
    <w:p w:rsidRPr="00A76DFA" w:rsidR="005D2B16" w:rsidP="00BF4D9F" w:rsidRDefault="005D2B16" w14:paraId="05EE7F40" w14:textId="1C5EF49A">
      <w:r w:rsidRPr="00A76DFA">
        <w:t>The estimated annualized cost to the government is $</w:t>
      </w:r>
      <w:r w:rsidR="00140382">
        <w:t>447,1</w:t>
      </w:r>
      <w:r w:rsidR="00FB4E3D">
        <w:t>53</w:t>
      </w:r>
      <w:r w:rsidRPr="00A76DFA">
        <w:t>. This cost includes pro-rated salary and benefits for the NIOSH staff involved in data collection and analysis; supplies; contractu</w:t>
      </w:r>
      <w:r w:rsidRPr="00A76DFA" w:rsidR="00290A27">
        <w:t>al agreements with laboratories, pathologists, and</w:t>
      </w:r>
      <w:r w:rsidRPr="00A76DFA">
        <w:t xml:space="preserve"> radiology center</w:t>
      </w:r>
      <w:r w:rsidRPr="00A76DFA" w:rsidR="00290A27">
        <w:t>s; and travel to Bellingham, WA and Kelso, WA</w:t>
      </w:r>
      <w:r w:rsidRPr="00A76DFA">
        <w:t xml:space="preserve"> for data collection.</w:t>
      </w:r>
    </w:p>
    <w:p w:rsidRPr="00A76DFA" w:rsidR="007C7989" w:rsidP="00BE6D0C" w:rsidRDefault="007C7989" w14:paraId="2994608A" w14:textId="77777777">
      <w:pPr>
        <w:pStyle w:val="StyleStyleHeading3NotBold1NotBold"/>
        <w:rPr>
          <w:rFonts w:ascii="Times New Roman" w:hAnsi="Times New Roman" w:cs="Times New Roman"/>
        </w:rPr>
      </w:pPr>
    </w:p>
    <w:tbl>
      <w:tblPr>
        <w:tblStyle w:val="TableGrid"/>
        <w:tblW w:w="0" w:type="auto"/>
        <w:tblInd w:w="108" w:type="dxa"/>
        <w:tblLayout w:type="fixed"/>
        <w:tblLook w:val="01E0" w:firstRow="1" w:lastRow="1" w:firstColumn="1" w:lastColumn="1" w:noHBand="0" w:noVBand="0"/>
      </w:tblPr>
      <w:tblGrid>
        <w:gridCol w:w="2880"/>
        <w:gridCol w:w="1728"/>
      </w:tblGrid>
      <w:tr w:rsidRPr="00A76DFA" w:rsidR="007C7989" w:rsidTr="00BE6D0C" w14:paraId="6FD9A418" w14:textId="77777777">
        <w:tc>
          <w:tcPr>
            <w:tcW w:w="2880" w:type="dxa"/>
          </w:tcPr>
          <w:p w:rsidRPr="00A76DFA" w:rsidR="007C7989" w:rsidP="007C7989" w:rsidRDefault="007C7989" w14:paraId="3C486101" w14:textId="77777777"/>
          <w:p w:rsidRPr="00A76DFA" w:rsidR="007C7989" w:rsidP="007C7989" w:rsidRDefault="007C7989" w14:paraId="3FBE3928" w14:textId="77777777">
            <w:r w:rsidRPr="00A76DFA">
              <w:t>Item</w:t>
            </w:r>
          </w:p>
          <w:p w:rsidRPr="00A76DFA" w:rsidR="007C7989" w:rsidP="007C7989" w:rsidRDefault="007C7989" w14:paraId="7FA38C8B" w14:textId="77777777"/>
        </w:tc>
        <w:tc>
          <w:tcPr>
            <w:tcW w:w="1728" w:type="dxa"/>
          </w:tcPr>
          <w:p w:rsidRPr="00A76DFA" w:rsidR="007C7989" w:rsidP="007C7989" w:rsidRDefault="007C7989" w14:paraId="4053A89B" w14:textId="77777777"/>
          <w:p w:rsidRPr="00A76DFA" w:rsidR="007C7989" w:rsidP="007C7989" w:rsidRDefault="007C7989" w14:paraId="647822BD" w14:textId="77777777">
            <w:r w:rsidRPr="00A76DFA">
              <w:t>Cost</w:t>
            </w:r>
          </w:p>
        </w:tc>
      </w:tr>
      <w:tr w:rsidRPr="00A76DFA" w:rsidR="007C7989" w:rsidTr="00BE6D0C" w14:paraId="68C37C10" w14:textId="77777777">
        <w:tc>
          <w:tcPr>
            <w:tcW w:w="2880" w:type="dxa"/>
          </w:tcPr>
          <w:p w:rsidRPr="00A76DFA" w:rsidR="007C7989" w:rsidP="007C7989" w:rsidRDefault="007C7989" w14:paraId="0B791B17" w14:textId="77777777">
            <w:r w:rsidRPr="00A76DFA">
              <w:t>Personnel</w:t>
            </w:r>
          </w:p>
        </w:tc>
        <w:tc>
          <w:tcPr>
            <w:tcW w:w="1728" w:type="dxa"/>
          </w:tcPr>
          <w:p w:rsidRPr="00A76DFA" w:rsidR="007C7989" w:rsidP="005321A1" w:rsidRDefault="005321A1" w14:paraId="40110A43" w14:textId="5AFB45E6">
            <w:r w:rsidRPr="00A76DFA">
              <w:t>$</w:t>
            </w:r>
            <w:r w:rsidR="00140382">
              <w:t>285,038</w:t>
            </w:r>
          </w:p>
        </w:tc>
      </w:tr>
      <w:tr w:rsidRPr="00A76DFA" w:rsidR="007C7989" w:rsidTr="00BE6D0C" w14:paraId="257E7F21" w14:textId="77777777">
        <w:tc>
          <w:tcPr>
            <w:tcW w:w="2880" w:type="dxa"/>
          </w:tcPr>
          <w:p w:rsidRPr="00A76DFA" w:rsidR="007C7989" w:rsidP="007C7989" w:rsidRDefault="007C7989" w14:paraId="2E7B55D8" w14:textId="77777777">
            <w:r w:rsidRPr="00A76DFA">
              <w:t>Supplies</w:t>
            </w:r>
          </w:p>
        </w:tc>
        <w:tc>
          <w:tcPr>
            <w:tcW w:w="1728" w:type="dxa"/>
          </w:tcPr>
          <w:p w:rsidRPr="00A76DFA" w:rsidR="007C7989" w:rsidP="007C7989" w:rsidRDefault="007C7989" w14:paraId="4C9905C0" w14:textId="30A3596A">
            <w:r w:rsidRPr="00A76DFA">
              <w:t>$</w:t>
            </w:r>
            <w:r w:rsidR="00140382">
              <w:t>31,125</w:t>
            </w:r>
          </w:p>
        </w:tc>
      </w:tr>
      <w:tr w:rsidRPr="00A76DFA" w:rsidR="007C7989" w:rsidTr="00BE6D0C" w14:paraId="39E52DE3" w14:textId="77777777">
        <w:tc>
          <w:tcPr>
            <w:tcW w:w="2880" w:type="dxa"/>
          </w:tcPr>
          <w:p w:rsidRPr="00A76DFA" w:rsidR="007C7989" w:rsidP="007C7989" w:rsidRDefault="007C7989" w14:paraId="00DFC971" w14:textId="77777777">
            <w:r w:rsidRPr="00A76DFA">
              <w:t>Contractual</w:t>
            </w:r>
          </w:p>
        </w:tc>
        <w:tc>
          <w:tcPr>
            <w:tcW w:w="1728" w:type="dxa"/>
          </w:tcPr>
          <w:p w:rsidRPr="00A76DFA" w:rsidR="007C7989" w:rsidP="007C7989" w:rsidRDefault="007C7989" w14:paraId="243FAD39" w14:textId="15158460">
            <w:r w:rsidRPr="00A76DFA">
              <w:t>$</w:t>
            </w:r>
            <w:r w:rsidR="00140382">
              <w:t>78,263</w:t>
            </w:r>
          </w:p>
        </w:tc>
      </w:tr>
      <w:tr w:rsidRPr="00A76DFA" w:rsidR="007C7989" w:rsidTr="00BE6D0C" w14:paraId="480D431C" w14:textId="77777777">
        <w:tc>
          <w:tcPr>
            <w:tcW w:w="2880" w:type="dxa"/>
          </w:tcPr>
          <w:p w:rsidRPr="00A76DFA" w:rsidR="007C7989" w:rsidP="007C7989" w:rsidRDefault="007C7989" w14:paraId="281E3C10" w14:textId="77777777">
            <w:r w:rsidRPr="00A76DFA">
              <w:t>Travel</w:t>
            </w:r>
          </w:p>
        </w:tc>
        <w:tc>
          <w:tcPr>
            <w:tcW w:w="1728" w:type="dxa"/>
          </w:tcPr>
          <w:p w:rsidRPr="00A76DFA" w:rsidR="007C7989" w:rsidP="007C7989" w:rsidRDefault="00AE69C9" w14:paraId="2AF304D6" w14:textId="427DAA0E">
            <w:r w:rsidRPr="00A76DFA">
              <w:t>$</w:t>
            </w:r>
            <w:r w:rsidR="00140382">
              <w:t>52,727</w:t>
            </w:r>
          </w:p>
        </w:tc>
      </w:tr>
      <w:tr w:rsidRPr="00113164" w:rsidR="007C7989" w:rsidTr="00BE6D0C" w14:paraId="38698D80" w14:textId="77777777">
        <w:tc>
          <w:tcPr>
            <w:tcW w:w="2880" w:type="dxa"/>
          </w:tcPr>
          <w:p w:rsidRPr="00A76DFA" w:rsidR="007C7989" w:rsidP="007C7989" w:rsidRDefault="007C7989" w14:paraId="3FD459F2" w14:textId="77777777"/>
          <w:p w:rsidRPr="00A76DFA" w:rsidR="007C7989" w:rsidP="007C7989" w:rsidRDefault="007C7989" w14:paraId="508B6B69" w14:textId="77777777">
            <w:r w:rsidRPr="00A76DFA">
              <w:t>Total</w:t>
            </w:r>
          </w:p>
        </w:tc>
        <w:tc>
          <w:tcPr>
            <w:tcW w:w="1728" w:type="dxa"/>
          </w:tcPr>
          <w:p w:rsidRPr="00A76DFA" w:rsidR="007C7989" w:rsidP="007C7989" w:rsidRDefault="007C7989" w14:paraId="0FA47476" w14:textId="77777777"/>
          <w:p w:rsidRPr="00145DD5" w:rsidR="007C7989" w:rsidP="00AE69C9" w:rsidRDefault="007C7989" w14:paraId="33149A20" w14:textId="5A74DE6C">
            <w:r w:rsidRPr="00A76DFA">
              <w:t>$</w:t>
            </w:r>
            <w:r w:rsidR="00140382">
              <w:t>447,1</w:t>
            </w:r>
            <w:r w:rsidR="00FB4E3D">
              <w:t>53</w:t>
            </w:r>
            <w:bookmarkStart w:name="_GoBack" w:id="1"/>
            <w:bookmarkEnd w:id="1"/>
          </w:p>
        </w:tc>
      </w:tr>
    </w:tbl>
    <w:p w:rsidRPr="00113164" w:rsidR="007C7989" w:rsidP="00BE6D0C" w:rsidRDefault="007C7989" w14:paraId="4466331A" w14:textId="77777777">
      <w:pPr>
        <w:pStyle w:val="StyleStyleHeading3NotBold1NotBold"/>
        <w:rPr>
          <w:rFonts w:ascii="Times New Roman" w:hAnsi="Times New Roman" w:cs="Times New Roman"/>
        </w:rPr>
      </w:pPr>
    </w:p>
    <w:p w:rsidRPr="00113164" w:rsidR="005D2B16" w:rsidP="00487253" w:rsidRDefault="005D2B16" w14:paraId="1FC350DA" w14:textId="77777777">
      <w:pPr>
        <w:widowControl w:val="0"/>
        <w:jc w:val="both"/>
      </w:pPr>
    </w:p>
    <w:p w:rsidRPr="00113164" w:rsidR="00FC1F71" w:rsidP="00487253" w:rsidRDefault="00FC1F71" w14:paraId="23017DF5" w14:textId="77777777">
      <w:pPr>
        <w:widowControl w:val="0"/>
        <w:jc w:val="both"/>
        <w:rPr>
          <w:b/>
          <w:u w:val="single"/>
        </w:rPr>
      </w:pPr>
      <w:r w:rsidRPr="00113164">
        <w:rPr>
          <w:b/>
        </w:rPr>
        <w:t>A.15</w:t>
      </w:r>
      <w:r w:rsidRPr="00113164" w:rsidR="00487253">
        <w:rPr>
          <w:b/>
        </w:rPr>
        <w:t xml:space="preserve"> </w:t>
      </w:r>
      <w:r w:rsidRPr="00113164" w:rsidR="00487253">
        <w:rPr>
          <w:b/>
        </w:rPr>
        <w:tab/>
      </w:r>
      <w:r w:rsidRPr="00113164">
        <w:rPr>
          <w:b/>
        </w:rPr>
        <w:t>Explanation for Program Changes or Adjustments</w:t>
      </w:r>
    </w:p>
    <w:p w:rsidRPr="00113164" w:rsidR="00FC1F71" w:rsidP="00487253" w:rsidRDefault="00FC1F71" w14:paraId="0B49F3C7" w14:textId="77777777">
      <w:pPr>
        <w:widowControl w:val="0"/>
        <w:jc w:val="both"/>
        <w:rPr>
          <w:b/>
          <w:u w:val="single"/>
        </w:rPr>
      </w:pPr>
    </w:p>
    <w:p w:rsidRPr="00113164" w:rsidR="00487253" w:rsidP="00487253" w:rsidRDefault="00FC1F71" w14:paraId="2F19CF9E" w14:textId="77777777">
      <w:pPr>
        <w:widowControl w:val="0"/>
        <w:jc w:val="both"/>
      </w:pPr>
      <w:r w:rsidRPr="00113164">
        <w:t>This is new data collection.</w:t>
      </w:r>
      <w:r w:rsidRPr="00113164" w:rsidR="00487253">
        <w:t xml:space="preserve"> </w:t>
      </w:r>
    </w:p>
    <w:p w:rsidRPr="00113164" w:rsidR="001451B3" w:rsidP="00487253" w:rsidRDefault="001451B3" w14:paraId="0C3EAE54" w14:textId="77777777">
      <w:pPr>
        <w:widowControl w:val="0"/>
        <w:jc w:val="both"/>
      </w:pPr>
    </w:p>
    <w:p w:rsidRPr="00113164" w:rsidR="00FC1F71" w:rsidP="00487253" w:rsidRDefault="00FC1F71" w14:paraId="5BB27C65" w14:textId="77777777">
      <w:pPr>
        <w:widowControl w:val="0"/>
        <w:jc w:val="both"/>
        <w:rPr>
          <w:b/>
        </w:rPr>
      </w:pPr>
      <w:r w:rsidRPr="00113164">
        <w:rPr>
          <w:b/>
        </w:rPr>
        <w:t>A.16</w:t>
      </w:r>
      <w:r w:rsidRPr="00113164" w:rsidR="00487253">
        <w:rPr>
          <w:b/>
        </w:rPr>
        <w:t xml:space="preserve"> </w:t>
      </w:r>
      <w:r w:rsidRPr="00113164" w:rsidR="00487253">
        <w:rPr>
          <w:b/>
        </w:rPr>
        <w:tab/>
      </w:r>
      <w:r w:rsidRPr="00113164">
        <w:rPr>
          <w:b/>
        </w:rPr>
        <w:t>Plans for Tabulation and Publication and Project Time Schedule</w:t>
      </w:r>
    </w:p>
    <w:p w:rsidRPr="00113164" w:rsidR="00681A75" w:rsidP="00681A75" w:rsidRDefault="00681A75" w14:paraId="695B0B27" w14:textId="77777777">
      <w:pPr>
        <w:ind w:right="-180"/>
        <w:rPr>
          <w:b/>
          <w:u w:val="single"/>
        </w:rPr>
      </w:pPr>
    </w:p>
    <w:p w:rsidRPr="00113164" w:rsidR="00681A75" w:rsidP="00BF4D9F" w:rsidRDefault="00681A75" w14:paraId="64C7B68D" w14:textId="77777777">
      <w:pPr>
        <w:rPr>
          <w:b/>
          <w:highlight w:val="cyan"/>
        </w:rPr>
      </w:pPr>
      <w:r w:rsidRPr="00113164">
        <w:t>Immediately following OMB approval,</w:t>
      </w:r>
      <w:r w:rsidRPr="00113164">
        <w:rPr>
          <w:b/>
        </w:rPr>
        <w:t xml:space="preserve"> </w:t>
      </w:r>
      <w:r w:rsidRPr="00113164">
        <w:t xml:space="preserve">we will schedule a trip to conduct informational presentations about the Washington boatbuilding cohort in the Bellingham, WA and Kelso, WA areas. During these presentations, we will review the history of the cohort, review past analyses, and provide an information sheet about our research project. After the informational presentations, we will recruit participants for medical testing by both mail and telephone. Data collection will be conducted about one to six months later, depending on NIOSH staff availability. Reporting individual results to respondents will be a priority following data collection and should be completed within two to three months. Subsequently, the focus will turn to aggregate analyses of the data, with an emphasis on the relationship between exposure and lung health outcomes.  </w:t>
      </w:r>
    </w:p>
    <w:p w:rsidRPr="00113164" w:rsidR="005C67BF" w:rsidP="00BE6D0C" w:rsidRDefault="005C67BF" w14:paraId="5CB321D4" w14:textId="77777777">
      <w:pPr>
        <w:pStyle w:val="StyleStyleHeading3NotBold1NotBold"/>
        <w:rPr>
          <w:rFonts w:ascii="Times New Roman" w:hAnsi="Times New Roman" w:cs="Times New Roman"/>
        </w:rPr>
      </w:pPr>
    </w:p>
    <w:p w:rsidRPr="00113164" w:rsidR="00681A75" w:rsidP="00BF4D9F" w:rsidRDefault="00681A75" w14:paraId="5F259D5A" w14:textId="70B69B4D">
      <w:pPr>
        <w:rPr>
          <w:b/>
          <w:highlight w:val="cyan"/>
        </w:rPr>
      </w:pPr>
      <w:r w:rsidRPr="00113164">
        <w:t xml:space="preserve">Descriptive statistics will be used to illustrate the distribution of adverse health outcomes. Where possible, we will compare the proportion of participants with adverse health outcomes to the proportion expected in the general population using data from the National Health and Nutrition Examination Survey. Specifically, we will determine prevalence ratios (observed over expected) using indirect standardization for race, sex, age, cigarette smoking status, and body mass index. </w:t>
      </w:r>
      <w:r w:rsidRPr="00113164" w:rsidR="005C67BF">
        <w:rPr>
          <w:szCs w:val="24"/>
        </w:rPr>
        <w:t>Prevalence ratio regression models will also be used to evaluate the prevalence of respiratory symptoms in relation to previous styrene exposure levels.</w:t>
      </w:r>
      <w:r w:rsidRPr="00113164" w:rsidR="005C67BF">
        <w:t xml:space="preserve"> </w:t>
      </w:r>
      <w:r w:rsidRPr="00113164" w:rsidR="00642823">
        <w:rPr>
          <w:szCs w:val="24"/>
        </w:rPr>
        <w:t xml:space="preserve">Linear regression will be used to model percent predicted lung function values in relation to previous styrene exposure levels. </w:t>
      </w:r>
    </w:p>
    <w:p w:rsidRPr="00113164" w:rsidR="00FC1F71" w:rsidP="00BE6D0C" w:rsidRDefault="00FC1F71" w14:paraId="41126FA5" w14:textId="77777777">
      <w:pPr>
        <w:pStyle w:val="StyleStyleHeading3NotBold1NotBold"/>
        <w:rPr>
          <w:rFonts w:ascii="Times New Roman" w:hAnsi="Times New Roman" w:cs="Times New Roman"/>
          <w:highlight w:val="cyan"/>
        </w:rPr>
      </w:pPr>
      <w:r w:rsidRPr="00113164">
        <w:rPr>
          <w:rFonts w:ascii="Times New Roman" w:hAnsi="Times New Roman" w:cs="Times New Roman"/>
          <w:highlight w:val="cyan"/>
        </w:rPr>
        <w:t xml:space="preserve"> </w:t>
      </w:r>
    </w:p>
    <w:p w:rsidRPr="00113164" w:rsidR="00FC1F71" w:rsidP="00BF4D9F" w:rsidRDefault="00FC1F71" w14:paraId="7B51E0A2" w14:textId="77777777">
      <w:pPr>
        <w:rPr>
          <w:b/>
        </w:rPr>
      </w:pPr>
      <w:r w:rsidRPr="00113164">
        <w:t xml:space="preserve">Results of the aggregate analyses will first be reported to the </w:t>
      </w:r>
      <w:r w:rsidRPr="00113164" w:rsidR="000947F4">
        <w:t>boatbuilder cohort, trade groups, and labor unions</w:t>
      </w:r>
      <w:r w:rsidRPr="00113164">
        <w:t xml:space="preserve">. Later, they will be presented at scientific meetings and prepared for publication in the scientific literature.  </w:t>
      </w:r>
    </w:p>
    <w:p w:rsidR="00487253" w:rsidP="00487253" w:rsidRDefault="00487253" w14:paraId="0F23A2F0" w14:textId="57300BCB">
      <w:pPr>
        <w:widowControl w:val="0"/>
        <w:jc w:val="both"/>
        <w:rPr>
          <w:highlight w:val="cyan"/>
        </w:rPr>
      </w:pPr>
    </w:p>
    <w:p w:rsidR="00BA6279" w:rsidP="00BA6279" w:rsidRDefault="00BA6279" w14:paraId="07026AE7" w14:textId="77777777">
      <w:pPr>
        <w:widowControl w:val="0"/>
        <w:jc w:val="both"/>
      </w:pPr>
    </w:p>
    <w:p w:rsidRPr="00BA6279" w:rsidR="00BA6279" w:rsidP="00BA6279" w:rsidRDefault="00BA6279" w14:paraId="02CBCFBA" w14:textId="77777777">
      <w:pPr>
        <w:pStyle w:val="Default"/>
        <w:rPr>
          <w:rFonts w:ascii="Times New Roman" w:hAnsi="Times New Roman" w:cs="Times New Roman"/>
        </w:rPr>
      </w:pPr>
      <w:r w:rsidRPr="00BA6279">
        <w:rPr>
          <w:rFonts w:ascii="Times New Roman" w:hAnsi="Times New Roman" w:cs="Times New Roman"/>
          <w:b/>
          <w:bCs/>
        </w:rPr>
        <w:t>Infection Control Procedures</w:t>
      </w:r>
      <w:r w:rsidRPr="00BA6279">
        <w:rPr>
          <w:rFonts w:ascii="Times New Roman" w:hAnsi="Times New Roman" w:cs="Times New Roman"/>
        </w:rPr>
        <w:t xml:space="preserve">: </w:t>
      </w:r>
    </w:p>
    <w:p w:rsidRPr="00530760" w:rsidR="00BA6279" w:rsidP="00BA6279" w:rsidRDefault="00BA6279" w14:paraId="5FECC1B3" w14:textId="77777777">
      <w:pPr>
        <w:rPr>
          <w:szCs w:val="24"/>
        </w:rPr>
      </w:pPr>
      <w:r w:rsidRPr="00BA6279">
        <w:rPr>
          <w:szCs w:val="24"/>
        </w:rPr>
        <w:t>We plan to delay the medical survey until travel restrictions for NIOSH staff are lifted. NIOSH will not conduct research studies involving large groups during active SARS-CoV-2 transmission</w:t>
      </w:r>
      <w:r>
        <w:rPr>
          <w:szCs w:val="24"/>
        </w:rPr>
        <w:t xml:space="preserve">. For this study, we cannot do the interviews virtually because the participant will have the medical testing after the interview. </w:t>
      </w:r>
      <w:r w:rsidRPr="00BA6279">
        <w:rPr>
          <w:szCs w:val="24"/>
        </w:rPr>
        <w:t xml:space="preserve">During the medical survey, we will incorporate all </w:t>
      </w:r>
      <w:r>
        <w:rPr>
          <w:szCs w:val="24"/>
        </w:rPr>
        <w:t xml:space="preserve">current </w:t>
      </w:r>
      <w:r w:rsidRPr="00BA6279">
        <w:rPr>
          <w:szCs w:val="24"/>
        </w:rPr>
        <w:t>CDC/NIOSH guidelines to minimize the risk of SARS-CoV-2 transmission for study participants and NIOSH staff. Currently, the spirometry and multiple-breath washout SOPs have a safety section, which includes infection disease control procedures including using disposable mouthpieces, and daily cleaning and disinfecting of all equipment. The safety sections will be updated with new CDC/NIOSH SARS-CoV-2 prevention guidelines before conducting the medical survey.</w:t>
      </w:r>
    </w:p>
    <w:p w:rsidRPr="00113164" w:rsidR="00BA6279" w:rsidP="00487253" w:rsidRDefault="00BA6279" w14:paraId="69413E5D" w14:textId="77777777">
      <w:pPr>
        <w:widowControl w:val="0"/>
        <w:jc w:val="both"/>
        <w:rPr>
          <w:highlight w:val="cyan"/>
        </w:rPr>
      </w:pPr>
    </w:p>
    <w:p w:rsidRPr="00113164" w:rsidR="007751A9" w:rsidP="007751A9" w:rsidRDefault="007751A9" w14:paraId="54BFF39F" w14:textId="77777777">
      <w:pPr>
        <w:pStyle w:val="StyleStyleHeading3NotBold1NotBold"/>
        <w:rPr>
          <w:rFonts w:ascii="Times New Roman" w:hAnsi="Times New Roman" w:cs="Times New Roman"/>
        </w:rPr>
      </w:pPr>
      <w:r w:rsidRPr="00113164">
        <w:rPr>
          <w:rFonts w:ascii="Times New Roman" w:hAnsi="Times New Roman" w:cs="Times New Roman"/>
        </w:rPr>
        <w:lastRenderedPageBreak/>
        <w:t>Project time schedule</w:t>
      </w:r>
    </w:p>
    <w:tbl>
      <w:tblPr>
        <w:tblStyle w:val="TableGrid"/>
        <w:tblW w:w="0" w:type="auto"/>
        <w:tblLook w:val="04A0" w:firstRow="1" w:lastRow="0" w:firstColumn="1" w:lastColumn="0" w:noHBand="0" w:noVBand="1"/>
      </w:tblPr>
      <w:tblGrid>
        <w:gridCol w:w="3976"/>
        <w:gridCol w:w="3976"/>
      </w:tblGrid>
      <w:tr w:rsidRPr="00113164" w:rsidR="007751A9" w:rsidTr="00D56EE2" w14:paraId="7154C280" w14:textId="77777777">
        <w:trPr>
          <w:trHeight w:val="587"/>
        </w:trPr>
        <w:tc>
          <w:tcPr>
            <w:tcW w:w="3976" w:type="dxa"/>
          </w:tcPr>
          <w:p w:rsidRPr="00113164" w:rsidR="007751A9" w:rsidP="00D56EE2" w:rsidRDefault="007751A9" w14:paraId="62F1ED42" w14:textId="77777777">
            <w:pPr>
              <w:pStyle w:val="StyleStyleHeading3NotBold1NotBold"/>
              <w:rPr>
                <w:rFonts w:ascii="Times New Roman" w:hAnsi="Times New Roman" w:cs="Times New Roman"/>
              </w:rPr>
            </w:pPr>
            <w:r w:rsidRPr="00113164">
              <w:rPr>
                <w:rFonts w:ascii="Times New Roman" w:hAnsi="Times New Roman" w:cs="Times New Roman"/>
              </w:rPr>
              <w:t>Activity</w:t>
            </w:r>
          </w:p>
        </w:tc>
        <w:tc>
          <w:tcPr>
            <w:tcW w:w="3976" w:type="dxa"/>
          </w:tcPr>
          <w:p w:rsidRPr="00113164" w:rsidR="007751A9" w:rsidP="00D56EE2" w:rsidRDefault="007751A9" w14:paraId="7627D64A" w14:textId="77777777">
            <w:pPr>
              <w:pStyle w:val="StyleStyleHeading3NotBold1NotBold"/>
              <w:rPr>
                <w:rFonts w:ascii="Times New Roman" w:hAnsi="Times New Roman" w:cs="Times New Roman"/>
              </w:rPr>
            </w:pPr>
            <w:r w:rsidRPr="00113164">
              <w:rPr>
                <w:rFonts w:ascii="Times New Roman" w:hAnsi="Times New Roman" w:cs="Times New Roman"/>
              </w:rPr>
              <w:t>Time schedule</w:t>
            </w:r>
          </w:p>
        </w:tc>
      </w:tr>
      <w:tr w:rsidRPr="00113164" w:rsidR="007751A9" w:rsidTr="00D56EE2" w14:paraId="38CC2C81" w14:textId="77777777">
        <w:trPr>
          <w:trHeight w:val="1188"/>
        </w:trPr>
        <w:tc>
          <w:tcPr>
            <w:tcW w:w="3976" w:type="dxa"/>
          </w:tcPr>
          <w:p w:rsidRPr="00113164" w:rsidR="007751A9" w:rsidP="00D56EE2" w:rsidRDefault="007751A9" w14:paraId="5BB69ECF" w14:textId="77777777">
            <w:pPr>
              <w:pStyle w:val="StyleStyleHeading3NotBold1NotBold"/>
              <w:rPr>
                <w:rFonts w:ascii="Times New Roman" w:hAnsi="Times New Roman" w:cs="Times New Roman"/>
              </w:rPr>
            </w:pPr>
            <w:r w:rsidRPr="00113164">
              <w:rPr>
                <w:rFonts w:ascii="Times New Roman" w:hAnsi="Times New Roman" w:cs="Times New Roman"/>
              </w:rPr>
              <w:t>Informational presentations</w:t>
            </w:r>
          </w:p>
        </w:tc>
        <w:tc>
          <w:tcPr>
            <w:tcW w:w="3976" w:type="dxa"/>
          </w:tcPr>
          <w:p w:rsidRPr="00113164" w:rsidR="007751A9" w:rsidP="00D56EE2" w:rsidRDefault="007751A9" w14:paraId="07F76436" w14:textId="77777777">
            <w:pPr>
              <w:pStyle w:val="StyleStyleHeading3NotBold1NotBold"/>
              <w:rPr>
                <w:rFonts w:ascii="Times New Roman" w:hAnsi="Times New Roman" w:cs="Times New Roman"/>
              </w:rPr>
            </w:pPr>
            <w:r>
              <w:rPr>
                <w:rFonts w:ascii="Times New Roman" w:hAnsi="Times New Roman" w:cs="Times New Roman"/>
              </w:rPr>
              <w:t>6-12 months</w:t>
            </w:r>
            <w:r w:rsidRPr="00113164">
              <w:rPr>
                <w:rFonts w:ascii="Times New Roman" w:hAnsi="Times New Roman" w:cs="Times New Roman"/>
              </w:rPr>
              <w:t xml:space="preserve"> after OMB approval</w:t>
            </w:r>
          </w:p>
        </w:tc>
      </w:tr>
      <w:tr w:rsidRPr="00113164" w:rsidR="007751A9" w:rsidTr="00D56EE2" w14:paraId="7998AB5C" w14:textId="77777777">
        <w:trPr>
          <w:trHeight w:val="1188"/>
        </w:trPr>
        <w:tc>
          <w:tcPr>
            <w:tcW w:w="3976" w:type="dxa"/>
          </w:tcPr>
          <w:p w:rsidRPr="00113164" w:rsidR="007751A9" w:rsidP="00D56EE2" w:rsidRDefault="007751A9" w14:paraId="0BD4363F" w14:textId="77777777">
            <w:pPr>
              <w:pStyle w:val="StyleStyleHeading3NotBold1NotBold"/>
              <w:rPr>
                <w:rFonts w:ascii="Times New Roman" w:hAnsi="Times New Roman" w:cs="Times New Roman"/>
              </w:rPr>
            </w:pPr>
            <w:r w:rsidRPr="00113164">
              <w:rPr>
                <w:rFonts w:ascii="Times New Roman" w:hAnsi="Times New Roman" w:cs="Times New Roman"/>
              </w:rPr>
              <w:t>Invitation letters sent to respondents</w:t>
            </w:r>
          </w:p>
        </w:tc>
        <w:tc>
          <w:tcPr>
            <w:tcW w:w="3976" w:type="dxa"/>
          </w:tcPr>
          <w:p w:rsidRPr="00113164" w:rsidR="007751A9" w:rsidP="00D56EE2" w:rsidRDefault="007751A9" w14:paraId="6731B925" w14:textId="77777777">
            <w:pPr>
              <w:pStyle w:val="StyleStyleHeading3NotBold1NotBold"/>
              <w:rPr>
                <w:rFonts w:ascii="Times New Roman" w:hAnsi="Times New Roman" w:cs="Times New Roman"/>
              </w:rPr>
            </w:pPr>
            <w:r>
              <w:rPr>
                <w:rFonts w:ascii="Times New Roman" w:hAnsi="Times New Roman" w:cs="Times New Roman"/>
              </w:rPr>
              <w:t>6-12</w:t>
            </w:r>
            <w:r w:rsidRPr="00113164">
              <w:rPr>
                <w:rFonts w:ascii="Times New Roman" w:hAnsi="Times New Roman" w:cs="Times New Roman"/>
              </w:rPr>
              <w:t xml:space="preserve"> months after OMB approval</w:t>
            </w:r>
          </w:p>
        </w:tc>
      </w:tr>
      <w:tr w:rsidRPr="00113164" w:rsidR="007751A9" w:rsidTr="00D56EE2" w14:paraId="6805AD0D" w14:textId="77777777">
        <w:trPr>
          <w:trHeight w:val="1173"/>
        </w:trPr>
        <w:tc>
          <w:tcPr>
            <w:tcW w:w="3976" w:type="dxa"/>
          </w:tcPr>
          <w:p w:rsidRPr="00113164" w:rsidR="007751A9" w:rsidP="00D56EE2" w:rsidRDefault="007751A9" w14:paraId="70F2F057" w14:textId="77777777">
            <w:pPr>
              <w:pStyle w:val="StyleStyleHeading3NotBold1NotBold"/>
              <w:rPr>
                <w:rFonts w:ascii="Times New Roman" w:hAnsi="Times New Roman" w:cs="Times New Roman"/>
              </w:rPr>
            </w:pPr>
            <w:r w:rsidRPr="00113164">
              <w:rPr>
                <w:rFonts w:ascii="Times New Roman" w:hAnsi="Times New Roman" w:cs="Times New Roman"/>
              </w:rPr>
              <w:t>Data collection</w:t>
            </w:r>
          </w:p>
        </w:tc>
        <w:tc>
          <w:tcPr>
            <w:tcW w:w="3976" w:type="dxa"/>
          </w:tcPr>
          <w:p w:rsidRPr="00113164" w:rsidR="007751A9" w:rsidP="00D56EE2" w:rsidRDefault="007751A9" w14:paraId="32FB26A1" w14:textId="77777777">
            <w:pPr>
              <w:pStyle w:val="StyleStyleHeading3NotBold1NotBold"/>
              <w:rPr>
                <w:rFonts w:ascii="Times New Roman" w:hAnsi="Times New Roman" w:cs="Times New Roman"/>
              </w:rPr>
            </w:pPr>
            <w:r>
              <w:rPr>
                <w:rFonts w:ascii="Times New Roman" w:hAnsi="Times New Roman" w:cs="Times New Roman"/>
              </w:rPr>
              <w:t>12-24</w:t>
            </w:r>
            <w:r w:rsidRPr="00113164">
              <w:rPr>
                <w:rFonts w:ascii="Times New Roman" w:hAnsi="Times New Roman" w:cs="Times New Roman"/>
              </w:rPr>
              <w:t xml:space="preserve"> months after OMB approval</w:t>
            </w:r>
          </w:p>
        </w:tc>
      </w:tr>
      <w:tr w:rsidRPr="00113164" w:rsidR="007751A9" w:rsidTr="00D56EE2" w14:paraId="3F85BB6F" w14:textId="77777777">
        <w:trPr>
          <w:trHeight w:val="1474"/>
        </w:trPr>
        <w:tc>
          <w:tcPr>
            <w:tcW w:w="3976" w:type="dxa"/>
          </w:tcPr>
          <w:p w:rsidRPr="00113164" w:rsidR="007751A9" w:rsidP="00D56EE2" w:rsidRDefault="007751A9" w14:paraId="3CCCBF43" w14:textId="77777777">
            <w:pPr>
              <w:pStyle w:val="StyleStyleHeading3NotBold1NotBold"/>
              <w:rPr>
                <w:rFonts w:ascii="Times New Roman" w:hAnsi="Times New Roman" w:cs="Times New Roman"/>
              </w:rPr>
            </w:pPr>
            <w:r w:rsidRPr="00113164">
              <w:rPr>
                <w:rFonts w:ascii="Times New Roman" w:hAnsi="Times New Roman" w:cs="Times New Roman"/>
              </w:rPr>
              <w:t>Individual results reported to respondents</w:t>
            </w:r>
          </w:p>
        </w:tc>
        <w:tc>
          <w:tcPr>
            <w:tcW w:w="3976" w:type="dxa"/>
          </w:tcPr>
          <w:p w:rsidRPr="00113164" w:rsidR="007751A9" w:rsidP="00D56EE2" w:rsidRDefault="007751A9" w14:paraId="15D24AA1" w14:textId="77777777">
            <w:pPr>
              <w:pStyle w:val="StyleStyleHeading3NotBold1NotBold"/>
              <w:rPr>
                <w:rFonts w:ascii="Times New Roman" w:hAnsi="Times New Roman" w:cs="Times New Roman"/>
              </w:rPr>
            </w:pPr>
            <w:r>
              <w:rPr>
                <w:rFonts w:ascii="Times New Roman" w:hAnsi="Times New Roman" w:cs="Times New Roman"/>
              </w:rPr>
              <w:t>12-24</w:t>
            </w:r>
            <w:r w:rsidRPr="00113164">
              <w:rPr>
                <w:rFonts w:ascii="Times New Roman" w:hAnsi="Times New Roman" w:cs="Times New Roman"/>
              </w:rPr>
              <w:t>months after OMB approval</w:t>
            </w:r>
          </w:p>
        </w:tc>
      </w:tr>
      <w:tr w:rsidRPr="00113164" w:rsidR="007751A9" w:rsidTr="00D56EE2" w14:paraId="094AA03B" w14:textId="77777777">
        <w:trPr>
          <w:trHeight w:val="587"/>
        </w:trPr>
        <w:tc>
          <w:tcPr>
            <w:tcW w:w="3976" w:type="dxa"/>
          </w:tcPr>
          <w:p w:rsidRPr="00113164" w:rsidR="007751A9" w:rsidP="00D56EE2" w:rsidRDefault="007751A9" w14:paraId="08746CF7" w14:textId="77777777">
            <w:pPr>
              <w:pStyle w:val="StyleStyleHeading3NotBold1NotBold"/>
              <w:rPr>
                <w:rFonts w:ascii="Times New Roman" w:hAnsi="Times New Roman" w:cs="Times New Roman"/>
              </w:rPr>
            </w:pPr>
            <w:r w:rsidRPr="00113164">
              <w:rPr>
                <w:rFonts w:ascii="Times New Roman" w:hAnsi="Times New Roman" w:cs="Times New Roman"/>
              </w:rPr>
              <w:t>Analyses</w:t>
            </w:r>
          </w:p>
        </w:tc>
        <w:tc>
          <w:tcPr>
            <w:tcW w:w="3976" w:type="dxa"/>
          </w:tcPr>
          <w:p w:rsidRPr="00113164" w:rsidR="007751A9" w:rsidP="00D56EE2" w:rsidRDefault="007751A9" w14:paraId="7584F8D3" w14:textId="77777777">
            <w:pPr>
              <w:pStyle w:val="StyleStyleHeading3NotBold1NotBold"/>
              <w:rPr>
                <w:rFonts w:ascii="Times New Roman" w:hAnsi="Times New Roman" w:cs="Times New Roman"/>
              </w:rPr>
            </w:pPr>
            <w:r>
              <w:rPr>
                <w:rFonts w:ascii="Times New Roman" w:hAnsi="Times New Roman" w:cs="Times New Roman"/>
              </w:rPr>
              <w:t>24-36</w:t>
            </w:r>
            <w:r w:rsidRPr="00113164">
              <w:rPr>
                <w:rFonts w:ascii="Times New Roman" w:hAnsi="Times New Roman" w:cs="Times New Roman"/>
              </w:rPr>
              <w:t xml:space="preserve"> months after OMB approval</w:t>
            </w:r>
          </w:p>
        </w:tc>
      </w:tr>
      <w:tr w:rsidRPr="00113164" w:rsidR="007751A9" w:rsidTr="00D56EE2" w14:paraId="683EB288" w14:textId="77777777">
        <w:trPr>
          <w:trHeight w:val="602"/>
        </w:trPr>
        <w:tc>
          <w:tcPr>
            <w:tcW w:w="3976" w:type="dxa"/>
          </w:tcPr>
          <w:p w:rsidRPr="00113164" w:rsidR="007751A9" w:rsidP="00D56EE2" w:rsidRDefault="007751A9" w14:paraId="0EF1A85D" w14:textId="77777777">
            <w:pPr>
              <w:pStyle w:val="StyleStyleHeading3NotBold1NotBold"/>
              <w:rPr>
                <w:rFonts w:ascii="Times New Roman" w:hAnsi="Times New Roman" w:cs="Times New Roman"/>
              </w:rPr>
            </w:pPr>
            <w:r w:rsidRPr="00113164">
              <w:rPr>
                <w:rFonts w:ascii="Times New Roman" w:hAnsi="Times New Roman" w:cs="Times New Roman"/>
              </w:rPr>
              <w:t>Aggregate results reported to company and employee representative</w:t>
            </w:r>
          </w:p>
        </w:tc>
        <w:tc>
          <w:tcPr>
            <w:tcW w:w="3976" w:type="dxa"/>
          </w:tcPr>
          <w:p w:rsidRPr="00113164" w:rsidR="007751A9" w:rsidP="00D56EE2" w:rsidRDefault="007751A9" w14:paraId="67D4C2B6" w14:textId="77777777">
            <w:pPr>
              <w:pStyle w:val="StyleStyleHeading3NotBold1NotBold"/>
              <w:rPr>
                <w:rFonts w:ascii="Times New Roman" w:hAnsi="Times New Roman" w:cs="Times New Roman"/>
              </w:rPr>
            </w:pPr>
            <w:r w:rsidRPr="00113164">
              <w:rPr>
                <w:rFonts w:ascii="Times New Roman" w:hAnsi="Times New Roman" w:cs="Times New Roman"/>
              </w:rPr>
              <w:t>18-36 months after OMB approval</w:t>
            </w:r>
          </w:p>
        </w:tc>
      </w:tr>
      <w:tr w:rsidRPr="00113164" w:rsidR="007751A9" w:rsidTr="00D56EE2" w14:paraId="626367E4" w14:textId="77777777">
        <w:trPr>
          <w:trHeight w:val="602"/>
        </w:trPr>
        <w:tc>
          <w:tcPr>
            <w:tcW w:w="3976" w:type="dxa"/>
          </w:tcPr>
          <w:p w:rsidRPr="00113164" w:rsidR="007751A9" w:rsidP="00D56EE2" w:rsidRDefault="007751A9" w14:paraId="4853F342" w14:textId="77777777">
            <w:pPr>
              <w:pStyle w:val="StyleStyleHeading3NotBold1NotBold"/>
              <w:rPr>
                <w:rFonts w:ascii="Times New Roman" w:hAnsi="Times New Roman" w:cs="Times New Roman"/>
              </w:rPr>
            </w:pPr>
            <w:r w:rsidRPr="00113164">
              <w:rPr>
                <w:rFonts w:ascii="Times New Roman" w:hAnsi="Times New Roman" w:cs="Times New Roman"/>
              </w:rPr>
              <w:t>Presentation at scientific meetings</w:t>
            </w:r>
          </w:p>
        </w:tc>
        <w:tc>
          <w:tcPr>
            <w:tcW w:w="3976" w:type="dxa"/>
          </w:tcPr>
          <w:p w:rsidRPr="00113164" w:rsidR="007751A9" w:rsidP="00D56EE2" w:rsidRDefault="007751A9" w14:paraId="57A7FB60" w14:textId="77777777">
            <w:pPr>
              <w:pStyle w:val="StyleStyleHeading3NotBold1NotBold"/>
              <w:rPr>
                <w:rFonts w:ascii="Times New Roman" w:hAnsi="Times New Roman" w:cs="Times New Roman"/>
              </w:rPr>
            </w:pPr>
            <w:r w:rsidRPr="00113164">
              <w:rPr>
                <w:rFonts w:ascii="Times New Roman" w:hAnsi="Times New Roman" w:cs="Times New Roman"/>
              </w:rPr>
              <w:t>24-36 months after OMB approval</w:t>
            </w:r>
          </w:p>
        </w:tc>
      </w:tr>
      <w:tr w:rsidRPr="00113164" w:rsidR="007751A9" w:rsidTr="00D56EE2" w14:paraId="21E653D6" w14:textId="77777777">
        <w:trPr>
          <w:trHeight w:val="602"/>
        </w:trPr>
        <w:tc>
          <w:tcPr>
            <w:tcW w:w="3976" w:type="dxa"/>
          </w:tcPr>
          <w:p w:rsidRPr="00113164" w:rsidR="007751A9" w:rsidP="00D56EE2" w:rsidRDefault="007751A9" w14:paraId="1A9583C0" w14:textId="77777777">
            <w:pPr>
              <w:pStyle w:val="StyleStyleHeading3NotBold1NotBold"/>
              <w:rPr>
                <w:rFonts w:ascii="Times New Roman" w:hAnsi="Times New Roman" w:cs="Times New Roman"/>
              </w:rPr>
            </w:pPr>
            <w:r w:rsidRPr="00113164">
              <w:rPr>
                <w:rFonts w:ascii="Times New Roman" w:hAnsi="Times New Roman" w:cs="Times New Roman"/>
              </w:rPr>
              <w:t>Publication</w:t>
            </w:r>
          </w:p>
        </w:tc>
        <w:tc>
          <w:tcPr>
            <w:tcW w:w="3976" w:type="dxa"/>
          </w:tcPr>
          <w:p w:rsidRPr="00113164" w:rsidR="007751A9" w:rsidP="00D56EE2" w:rsidRDefault="007751A9" w14:paraId="74EC2221" w14:textId="77777777">
            <w:pPr>
              <w:pStyle w:val="StyleStyleHeading3NotBold1NotBold"/>
              <w:rPr>
                <w:rFonts w:ascii="Times New Roman" w:hAnsi="Times New Roman" w:cs="Times New Roman"/>
              </w:rPr>
            </w:pPr>
            <w:r w:rsidRPr="00113164">
              <w:rPr>
                <w:rFonts w:ascii="Times New Roman" w:hAnsi="Times New Roman" w:cs="Times New Roman"/>
              </w:rPr>
              <w:t>24-48 months after OMB approval</w:t>
            </w:r>
          </w:p>
        </w:tc>
      </w:tr>
    </w:tbl>
    <w:p w:rsidRPr="00113164" w:rsidR="00214078" w:rsidP="00487253" w:rsidRDefault="00214078" w14:paraId="330E9AA7" w14:textId="77777777">
      <w:pPr>
        <w:widowControl w:val="0"/>
        <w:jc w:val="both"/>
      </w:pPr>
    </w:p>
    <w:p w:rsidRPr="00113164" w:rsidR="00214078" w:rsidP="00487253" w:rsidRDefault="00214078" w14:paraId="524FC1B9" w14:textId="77777777">
      <w:pPr>
        <w:widowControl w:val="0"/>
        <w:jc w:val="both"/>
        <w:rPr>
          <w:b/>
        </w:rPr>
      </w:pPr>
    </w:p>
    <w:p w:rsidRPr="00113164" w:rsidR="00487253" w:rsidP="00487253" w:rsidRDefault="00214078" w14:paraId="58C7B3DE" w14:textId="77777777">
      <w:pPr>
        <w:widowControl w:val="0"/>
        <w:jc w:val="both"/>
      </w:pPr>
      <w:r w:rsidRPr="00113164">
        <w:rPr>
          <w:b/>
        </w:rPr>
        <w:t>A.17</w:t>
      </w:r>
      <w:r w:rsidRPr="00113164" w:rsidR="00487253">
        <w:rPr>
          <w:b/>
        </w:rPr>
        <w:t xml:space="preserve"> </w:t>
      </w:r>
      <w:r w:rsidRPr="00113164" w:rsidR="00487253">
        <w:rPr>
          <w:b/>
        </w:rPr>
        <w:tab/>
      </w:r>
      <w:r w:rsidRPr="00113164">
        <w:rPr>
          <w:b/>
        </w:rPr>
        <w:t>Reason(s) Display of OMB Expiration Date is Inappropriate</w:t>
      </w:r>
      <w:r w:rsidRPr="00113164" w:rsidR="00487253">
        <w:t xml:space="preserve"> </w:t>
      </w:r>
    </w:p>
    <w:p w:rsidRPr="00113164" w:rsidR="00214078" w:rsidP="00BE6D0C" w:rsidRDefault="00214078" w14:paraId="004C2771" w14:textId="77777777">
      <w:pPr>
        <w:pStyle w:val="StyleStyleHeading3NotBold1NotBold"/>
        <w:rPr>
          <w:rFonts w:ascii="Times New Roman" w:hAnsi="Times New Roman" w:cs="Times New Roman"/>
        </w:rPr>
      </w:pPr>
    </w:p>
    <w:p w:rsidR="009B2912" w:rsidP="009B2912" w:rsidRDefault="00214078" w14:paraId="0491BAB9" w14:textId="1E1BE32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pPr>
      <w:r w:rsidRPr="00113164">
        <w:t>The display of the OMB expiration date is not inappropriate.</w:t>
      </w:r>
      <w:r w:rsidR="009B2912">
        <w:t xml:space="preserve"> </w:t>
      </w:r>
    </w:p>
    <w:p w:rsidRPr="00113164" w:rsidR="00214078" w:rsidP="00BF4D9F" w:rsidRDefault="00214078" w14:paraId="65B5062D" w14:textId="77777777">
      <w:pPr>
        <w:rPr>
          <w:b/>
        </w:rPr>
      </w:pPr>
    </w:p>
    <w:p w:rsidRPr="00113164" w:rsidR="00214078" w:rsidP="00487253" w:rsidRDefault="00214078" w14:paraId="6CBAD2AF" w14:textId="77777777">
      <w:pPr>
        <w:widowControl w:val="0"/>
        <w:jc w:val="both"/>
      </w:pPr>
    </w:p>
    <w:p w:rsidRPr="00113164" w:rsidR="00487253" w:rsidP="00487253" w:rsidRDefault="00214078" w14:paraId="56317191" w14:textId="77777777">
      <w:pPr>
        <w:widowControl w:val="0"/>
        <w:jc w:val="both"/>
      </w:pPr>
      <w:r w:rsidRPr="00113164">
        <w:rPr>
          <w:b/>
        </w:rPr>
        <w:lastRenderedPageBreak/>
        <w:t>A.18</w:t>
      </w:r>
      <w:r w:rsidRPr="00113164" w:rsidR="00487253">
        <w:rPr>
          <w:b/>
        </w:rPr>
        <w:t xml:space="preserve"> </w:t>
      </w:r>
      <w:r w:rsidRPr="00113164" w:rsidR="00487253">
        <w:rPr>
          <w:b/>
        </w:rPr>
        <w:tab/>
      </w:r>
      <w:r w:rsidRPr="00113164">
        <w:rPr>
          <w:b/>
        </w:rPr>
        <w:t>Exceptions to Certification for Paperwork Reduction Act Submissions</w:t>
      </w:r>
      <w:r w:rsidRPr="00113164" w:rsidR="00487253">
        <w:t xml:space="preserve"> </w:t>
      </w:r>
    </w:p>
    <w:p w:rsidRPr="00113164" w:rsidR="00214078" w:rsidP="00487253" w:rsidRDefault="00214078" w14:paraId="41DEBA64" w14:textId="77777777">
      <w:pPr>
        <w:widowControl w:val="0"/>
        <w:jc w:val="both"/>
      </w:pPr>
    </w:p>
    <w:p w:rsidR="00214078" w:rsidP="00487253" w:rsidRDefault="00776793" w14:paraId="18A16BB1" w14:textId="100869E6">
      <w:pPr>
        <w:widowControl w:val="0"/>
        <w:jc w:val="both"/>
      </w:pPr>
      <w:r w:rsidRPr="00113164">
        <w:t>There are no exceptions to the certification.</w:t>
      </w:r>
    </w:p>
    <w:p w:rsidRPr="00113164" w:rsidR="00776793" w:rsidP="00487253" w:rsidRDefault="00776793" w14:paraId="03AD2538" w14:textId="77777777">
      <w:pPr>
        <w:widowControl w:val="0"/>
        <w:jc w:val="both"/>
      </w:pPr>
    </w:p>
    <w:p w:rsidRPr="00113164" w:rsidR="00642CBB" w:rsidP="00E5279A" w:rsidRDefault="00763A0D" w14:paraId="24798680" w14:textId="38D47E33">
      <w:pPr>
        <w:widowControl w:val="0"/>
        <w:jc w:val="both"/>
      </w:pPr>
      <w:r>
        <w:rPr>
          <w:b/>
        </w:rPr>
        <w:t xml:space="preserve">A. 19 </w:t>
      </w:r>
      <w:r w:rsidRPr="00113164" w:rsidR="00214078">
        <w:rPr>
          <w:b/>
        </w:rPr>
        <w:t>References</w:t>
      </w:r>
      <w:r w:rsidRPr="00113164" w:rsidR="00214078">
        <w:t xml:space="preserve"> </w:t>
      </w:r>
    </w:p>
    <w:p w:rsidRPr="00113164" w:rsidR="0045306B" w:rsidP="00CB16C7" w:rsidRDefault="0045306B" w14:paraId="652995F8" w14:textId="77777777">
      <w:pPr>
        <w:tabs>
          <w:tab w:val="left" w:pos="-720"/>
          <w:tab w:val="left" w:pos="0"/>
          <w:tab w:val="left" w:pos="450"/>
          <w:tab w:val="left" w:pos="990"/>
          <w:tab w:val="left" w:pos="1440"/>
          <w:tab w:val="left" w:pos="2160"/>
          <w:tab w:val="left" w:pos="3060"/>
          <w:tab w:val="left" w:pos="5310"/>
          <w:tab w:val="left" w:pos="5760"/>
          <w:tab w:val="left" w:pos="7200"/>
          <w:tab w:val="left" w:pos="8190"/>
          <w:tab w:val="left" w:pos="9360"/>
        </w:tabs>
        <w:ind w:left="120"/>
      </w:pPr>
    </w:p>
    <w:p w:rsidRPr="00113164" w:rsidR="00976BDC" w:rsidP="00976BDC" w:rsidRDefault="008C1E1E" w14:paraId="076B3126"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w:t>
      </w:r>
      <w:r w:rsidRPr="00113164" w:rsidR="00976BDC">
        <w:rPr>
          <w:rFonts w:ascii="Times New Roman" w:hAnsi="Times New Roman" w:cs="Times New Roman"/>
        </w:rPr>
        <w:tab/>
        <w:t xml:space="preserve">Agency for Toxic Substances &amp; Disease Registry. </w:t>
      </w:r>
      <w:r w:rsidRPr="00113164" w:rsidR="00976BDC">
        <w:rPr>
          <w:rFonts w:ascii="Times New Roman" w:hAnsi="Times New Roman" w:cs="Times New Roman"/>
          <w:i/>
        </w:rPr>
        <w:t>Public health statement for styrene</w:t>
      </w:r>
      <w:r w:rsidRPr="00113164" w:rsidR="00976BDC">
        <w:rPr>
          <w:rFonts w:ascii="Times New Roman" w:hAnsi="Times New Roman" w:cs="Times New Roman"/>
        </w:rPr>
        <w:t>. 2012  [Accessed November 13, 2015]; Available from: http://www.atsdr.cdc.gov/phs/phs.asp?id=419&amp;tid=74.</w:t>
      </w:r>
    </w:p>
    <w:p w:rsidRPr="00113164" w:rsidR="00976BDC" w:rsidP="00976BDC" w:rsidRDefault="00976BDC" w14:paraId="3649416B"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w:t>
      </w:r>
      <w:r w:rsidRPr="00113164">
        <w:rPr>
          <w:rFonts w:ascii="Times New Roman" w:hAnsi="Times New Roman" w:cs="Times New Roman"/>
        </w:rPr>
        <w:tab/>
        <w:t xml:space="preserve">Agency for Toxic Substances &amp; Disease Registry, </w:t>
      </w:r>
      <w:r w:rsidRPr="00113164">
        <w:rPr>
          <w:rFonts w:ascii="Times New Roman" w:hAnsi="Times New Roman" w:cs="Times New Roman"/>
          <w:i/>
        </w:rPr>
        <w:t>Toxicological profile for styrene</w:t>
      </w:r>
      <w:r w:rsidRPr="00113164">
        <w:rPr>
          <w:rFonts w:ascii="Times New Roman" w:hAnsi="Times New Roman" w:cs="Times New Roman"/>
        </w:rPr>
        <w:t>. 2010, Department of Health and Human Services: Atlanta, GA. p. 1-236.</w:t>
      </w:r>
    </w:p>
    <w:p w:rsidRPr="00113164" w:rsidR="00976BDC" w:rsidP="00976BDC" w:rsidRDefault="00976BDC" w14:paraId="335F6BB5"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3.</w:t>
      </w:r>
      <w:r w:rsidRPr="00113164">
        <w:rPr>
          <w:rFonts w:ascii="Times New Roman" w:hAnsi="Times New Roman" w:cs="Times New Roman"/>
        </w:rPr>
        <w:tab/>
        <w:t xml:space="preserve">McCague AB, Cox-Ganser JM, Harney JM, Alwis KU, Blount BC, Cummings KJ, Edwards N, and Kreiss K. </w:t>
      </w:r>
      <w:r w:rsidRPr="00113164">
        <w:rPr>
          <w:rFonts w:ascii="Times New Roman" w:hAnsi="Times New Roman" w:cs="Times New Roman"/>
          <w:i/>
        </w:rPr>
        <w:t>Styrene-associated health outcomes at a windblade manufacturing plant.</w:t>
      </w:r>
      <w:r w:rsidRPr="00113164">
        <w:rPr>
          <w:rFonts w:ascii="Times New Roman" w:hAnsi="Times New Roman" w:cs="Times New Roman"/>
        </w:rPr>
        <w:t xml:space="preserve"> Am J Ind Med. 2015;</w:t>
      </w:r>
      <w:r w:rsidRPr="00113164">
        <w:rPr>
          <w:rFonts w:ascii="Times New Roman" w:hAnsi="Times New Roman" w:cs="Times New Roman"/>
          <w:b/>
        </w:rPr>
        <w:t>58</w:t>
      </w:r>
      <w:r w:rsidRPr="00113164">
        <w:rPr>
          <w:rFonts w:ascii="Times New Roman" w:hAnsi="Times New Roman" w:cs="Times New Roman"/>
        </w:rPr>
        <w:t>(11):1150-9.</w:t>
      </w:r>
    </w:p>
    <w:p w:rsidRPr="00113164" w:rsidR="00976BDC" w:rsidP="00976BDC" w:rsidRDefault="00976BDC" w14:paraId="6EB3BD51"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4.</w:t>
      </w:r>
      <w:r w:rsidRPr="00113164">
        <w:rPr>
          <w:rFonts w:ascii="Times New Roman" w:hAnsi="Times New Roman" w:cs="Times New Roman"/>
        </w:rPr>
        <w:tab/>
        <w:t xml:space="preserve">Styrene Information &amp; Research Center. </w:t>
      </w:r>
      <w:r w:rsidRPr="00113164">
        <w:rPr>
          <w:rFonts w:ascii="Times New Roman" w:hAnsi="Times New Roman" w:cs="Times New Roman"/>
          <w:i/>
        </w:rPr>
        <w:t>About styrene</w:t>
      </w:r>
      <w:r w:rsidRPr="00113164">
        <w:rPr>
          <w:rFonts w:ascii="Times New Roman" w:hAnsi="Times New Roman" w:cs="Times New Roman"/>
        </w:rPr>
        <w:t>.  [Accessed November 16, 2015]; Available from: http://styrene.org/.</w:t>
      </w:r>
    </w:p>
    <w:p w:rsidRPr="00113164" w:rsidR="00976BDC" w:rsidP="00976BDC" w:rsidRDefault="00976BDC" w14:paraId="0072BFF8"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5.</w:t>
      </w:r>
      <w:r w:rsidRPr="00113164">
        <w:rPr>
          <w:rFonts w:ascii="Times New Roman" w:hAnsi="Times New Roman" w:cs="Times New Roman"/>
        </w:rPr>
        <w:tab/>
        <w:t xml:space="preserve">Occupational Safety &amp; Health Administration. </w:t>
      </w:r>
      <w:r w:rsidRPr="00113164">
        <w:rPr>
          <w:rFonts w:ascii="Times New Roman" w:hAnsi="Times New Roman" w:cs="Times New Roman"/>
          <w:i/>
        </w:rPr>
        <w:t>Styrene</w:t>
      </w:r>
      <w:r w:rsidRPr="00113164">
        <w:rPr>
          <w:rFonts w:ascii="Times New Roman" w:hAnsi="Times New Roman" w:cs="Times New Roman"/>
        </w:rPr>
        <w:t>. 2016  [Accessed November 13, 2015]; Available from: https://www.osha.gov/SLTC/styrene/.</w:t>
      </w:r>
    </w:p>
    <w:p w:rsidRPr="00113164" w:rsidR="00976BDC" w:rsidP="00976BDC" w:rsidRDefault="001566C2" w14:paraId="4D3B442A"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6</w:t>
      </w:r>
      <w:r w:rsidRPr="00113164" w:rsidR="00976BDC">
        <w:rPr>
          <w:rFonts w:ascii="Times New Roman" w:hAnsi="Times New Roman" w:cs="Times New Roman"/>
        </w:rPr>
        <w:t>.</w:t>
      </w:r>
      <w:r w:rsidRPr="00113164" w:rsidR="00976BDC">
        <w:rPr>
          <w:rFonts w:ascii="Times New Roman" w:hAnsi="Times New Roman" w:cs="Times New Roman"/>
        </w:rPr>
        <w:tab/>
        <w:t xml:space="preserve">Benignus VA, Geller AM, Boyes WK, and Bushnell PJ. </w:t>
      </w:r>
      <w:r w:rsidRPr="00113164" w:rsidR="00976BDC">
        <w:rPr>
          <w:rFonts w:ascii="Times New Roman" w:hAnsi="Times New Roman" w:cs="Times New Roman"/>
          <w:i/>
        </w:rPr>
        <w:t>Human neurobehavioral effects of long-term exposure to styrene: a meta-analysis.</w:t>
      </w:r>
      <w:r w:rsidRPr="00113164" w:rsidR="00976BDC">
        <w:rPr>
          <w:rFonts w:ascii="Times New Roman" w:hAnsi="Times New Roman" w:cs="Times New Roman"/>
        </w:rPr>
        <w:t xml:space="preserve"> Environ Health Perspect. 2005;</w:t>
      </w:r>
      <w:r w:rsidRPr="00113164" w:rsidR="00976BDC">
        <w:rPr>
          <w:rFonts w:ascii="Times New Roman" w:hAnsi="Times New Roman" w:cs="Times New Roman"/>
          <w:b/>
        </w:rPr>
        <w:t>113</w:t>
      </w:r>
      <w:r w:rsidRPr="00113164" w:rsidR="00976BDC">
        <w:rPr>
          <w:rFonts w:ascii="Times New Roman" w:hAnsi="Times New Roman" w:cs="Times New Roman"/>
        </w:rPr>
        <w:t>(5):532-8.</w:t>
      </w:r>
    </w:p>
    <w:p w:rsidRPr="00113164" w:rsidR="00976BDC" w:rsidP="00976BDC" w:rsidRDefault="00E5279A" w14:paraId="75B2EC80"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7</w:t>
      </w:r>
      <w:r w:rsidRPr="00113164" w:rsidR="00976BDC">
        <w:rPr>
          <w:rFonts w:ascii="Times New Roman" w:hAnsi="Times New Roman" w:cs="Times New Roman"/>
        </w:rPr>
        <w:t>.</w:t>
      </w:r>
      <w:r w:rsidRPr="00113164" w:rsidR="00976BDC">
        <w:rPr>
          <w:rFonts w:ascii="Times New Roman" w:hAnsi="Times New Roman" w:cs="Times New Roman"/>
        </w:rPr>
        <w:tab/>
        <w:t xml:space="preserve">Morata TC, Sliwinska-Kowalska M, Johnson AC, Starck J, Pawlas K, Zamyslowska-Szmytke E, Nylen P, Toppila E, Krieg E, Pawlas N, and Prasher D. </w:t>
      </w:r>
      <w:r w:rsidRPr="00113164" w:rsidR="00976BDC">
        <w:rPr>
          <w:rFonts w:ascii="Times New Roman" w:hAnsi="Times New Roman" w:cs="Times New Roman"/>
          <w:i/>
        </w:rPr>
        <w:t>A multicenter study on the audiometric findings of styrene-exposed workers.</w:t>
      </w:r>
      <w:r w:rsidRPr="00113164" w:rsidR="00976BDC">
        <w:rPr>
          <w:rFonts w:ascii="Times New Roman" w:hAnsi="Times New Roman" w:cs="Times New Roman"/>
        </w:rPr>
        <w:t xml:space="preserve"> Int J Audiol. 2011;</w:t>
      </w:r>
      <w:r w:rsidRPr="00113164" w:rsidR="00976BDC">
        <w:rPr>
          <w:rFonts w:ascii="Times New Roman" w:hAnsi="Times New Roman" w:cs="Times New Roman"/>
          <w:b/>
        </w:rPr>
        <w:t>50</w:t>
      </w:r>
      <w:r w:rsidRPr="00113164" w:rsidR="00976BDC">
        <w:rPr>
          <w:rFonts w:ascii="Times New Roman" w:hAnsi="Times New Roman" w:cs="Times New Roman"/>
        </w:rPr>
        <w:t>(10):652-60.</w:t>
      </w:r>
    </w:p>
    <w:p w:rsidRPr="00113164" w:rsidR="00976BDC" w:rsidP="00976BDC" w:rsidRDefault="00E5279A" w14:paraId="6C27EFB8"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8</w:t>
      </w:r>
      <w:r w:rsidRPr="00113164" w:rsidR="00976BDC">
        <w:rPr>
          <w:rFonts w:ascii="Times New Roman" w:hAnsi="Times New Roman" w:cs="Times New Roman"/>
        </w:rPr>
        <w:t>.</w:t>
      </w:r>
      <w:r w:rsidRPr="00113164" w:rsidR="00976BDC">
        <w:rPr>
          <w:rFonts w:ascii="Times New Roman" w:hAnsi="Times New Roman" w:cs="Times New Roman"/>
        </w:rPr>
        <w:tab/>
        <w:t xml:space="preserve">International Agency for Research on Cancer, </w:t>
      </w:r>
      <w:r w:rsidRPr="00113164" w:rsidR="00976BDC">
        <w:rPr>
          <w:rFonts w:ascii="Times New Roman" w:hAnsi="Times New Roman" w:cs="Times New Roman"/>
          <w:i/>
        </w:rPr>
        <w:t>IARC monographs on the evaluation of carcinogenic risks to humans — some traditional herbal medicines, some mycotoxins, naphthalene and styrene</w:t>
      </w:r>
      <w:r w:rsidRPr="00113164" w:rsidR="00976BDC">
        <w:rPr>
          <w:rFonts w:ascii="Times New Roman" w:hAnsi="Times New Roman" w:cs="Times New Roman"/>
        </w:rPr>
        <w:t>. 2002: Lyon, France. p. 1-590.</w:t>
      </w:r>
    </w:p>
    <w:p w:rsidRPr="00113164" w:rsidR="00976BDC" w:rsidP="00976BDC" w:rsidRDefault="00E5279A" w14:paraId="5324648C"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9</w:t>
      </w:r>
      <w:r w:rsidRPr="00113164" w:rsidR="00976BDC">
        <w:rPr>
          <w:rFonts w:ascii="Times New Roman" w:hAnsi="Times New Roman" w:cs="Times New Roman"/>
        </w:rPr>
        <w:t>.</w:t>
      </w:r>
      <w:r w:rsidRPr="00113164" w:rsidR="00976BDC">
        <w:rPr>
          <w:rFonts w:ascii="Times New Roman" w:hAnsi="Times New Roman" w:cs="Times New Roman"/>
        </w:rPr>
        <w:tab/>
        <w:t xml:space="preserve">National Toxicology Program, </w:t>
      </w:r>
      <w:r w:rsidRPr="00113164" w:rsidR="00976BDC">
        <w:rPr>
          <w:rFonts w:ascii="Times New Roman" w:hAnsi="Times New Roman" w:cs="Times New Roman"/>
          <w:i/>
        </w:rPr>
        <w:t>Report on carcinogens</w:t>
      </w:r>
      <w:r w:rsidRPr="00113164" w:rsidR="00976BDC">
        <w:rPr>
          <w:rFonts w:ascii="Times New Roman" w:hAnsi="Times New Roman" w:cs="Times New Roman"/>
        </w:rPr>
        <w:t>. 2014, U.S. Department of Health and Human Services, Public Health Service: Research Triangle Park, NC.</w:t>
      </w:r>
    </w:p>
    <w:p w:rsidRPr="00113164" w:rsidR="00976BDC" w:rsidP="00976BDC" w:rsidRDefault="00E5279A" w14:paraId="36322EB2"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lastRenderedPageBreak/>
        <w:t>10</w:t>
      </w:r>
      <w:r w:rsidRPr="00113164" w:rsidR="00976BDC">
        <w:rPr>
          <w:rFonts w:ascii="Times New Roman" w:hAnsi="Times New Roman" w:cs="Times New Roman"/>
        </w:rPr>
        <w:t>.</w:t>
      </w:r>
      <w:r w:rsidRPr="00113164" w:rsidR="00976BDC">
        <w:rPr>
          <w:rFonts w:ascii="Times New Roman" w:hAnsi="Times New Roman" w:cs="Times New Roman"/>
        </w:rPr>
        <w:tab/>
        <w:t xml:space="preserve">Arochena L, Fernandez-Nieto M, Aguado E, Garcia del Potro M, and Sastre J. </w:t>
      </w:r>
      <w:r w:rsidRPr="00113164" w:rsidR="00976BDC">
        <w:rPr>
          <w:rFonts w:ascii="Times New Roman" w:hAnsi="Times New Roman" w:cs="Times New Roman"/>
          <w:i/>
        </w:rPr>
        <w:t>Eosinophilic bronchitis caused by styrene.</w:t>
      </w:r>
      <w:r w:rsidRPr="00113164" w:rsidR="00976BDC">
        <w:rPr>
          <w:rFonts w:ascii="Times New Roman" w:hAnsi="Times New Roman" w:cs="Times New Roman"/>
        </w:rPr>
        <w:t xml:space="preserve"> J Investig Allergol Clin Immunol. 2014;</w:t>
      </w:r>
      <w:r w:rsidRPr="00113164" w:rsidR="00976BDC">
        <w:rPr>
          <w:rFonts w:ascii="Times New Roman" w:hAnsi="Times New Roman" w:cs="Times New Roman"/>
          <w:b/>
        </w:rPr>
        <w:t>24</w:t>
      </w:r>
      <w:r w:rsidRPr="00113164" w:rsidR="00976BDC">
        <w:rPr>
          <w:rFonts w:ascii="Times New Roman" w:hAnsi="Times New Roman" w:cs="Times New Roman"/>
        </w:rPr>
        <w:t>(1):68-9.</w:t>
      </w:r>
    </w:p>
    <w:p w:rsidRPr="00113164" w:rsidR="00976BDC" w:rsidP="00976BDC" w:rsidRDefault="00E5279A" w14:paraId="3E36225B"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11</w:t>
      </w:r>
      <w:r w:rsidRPr="00113164" w:rsidR="00976BDC">
        <w:rPr>
          <w:rFonts w:ascii="Times New Roman" w:hAnsi="Times New Roman" w:cs="Times New Roman"/>
        </w:rPr>
        <w:t>.</w:t>
      </w:r>
      <w:r w:rsidRPr="00113164" w:rsidR="00976BDC">
        <w:rPr>
          <w:rFonts w:ascii="Times New Roman" w:hAnsi="Times New Roman" w:cs="Times New Roman"/>
        </w:rPr>
        <w:tab/>
        <w:t xml:space="preserve">Chen CC, Shih MC, Wu KY, and Sen PK. </w:t>
      </w:r>
      <w:r w:rsidRPr="00113164" w:rsidR="00976BDC">
        <w:rPr>
          <w:rFonts w:ascii="Times New Roman" w:hAnsi="Times New Roman" w:cs="Times New Roman"/>
          <w:i/>
        </w:rPr>
        <w:t>Exterior exposure estimation using a one-compartment toxicokinetic model with blood sample measurements.</w:t>
      </w:r>
      <w:r w:rsidRPr="00113164" w:rsidR="00976BDC">
        <w:rPr>
          <w:rFonts w:ascii="Times New Roman" w:hAnsi="Times New Roman" w:cs="Times New Roman"/>
        </w:rPr>
        <w:t xml:space="preserve"> Journal of Mathematical Biology. 2008;</w:t>
      </w:r>
      <w:r w:rsidRPr="00113164" w:rsidR="00976BDC">
        <w:rPr>
          <w:rFonts w:ascii="Times New Roman" w:hAnsi="Times New Roman" w:cs="Times New Roman"/>
          <w:b/>
        </w:rPr>
        <w:t>56</w:t>
      </w:r>
      <w:r w:rsidRPr="00113164" w:rsidR="00976BDC">
        <w:rPr>
          <w:rFonts w:ascii="Times New Roman" w:hAnsi="Times New Roman" w:cs="Times New Roman"/>
        </w:rPr>
        <w:t>(5):611-33.</w:t>
      </w:r>
    </w:p>
    <w:p w:rsidRPr="00113164" w:rsidR="00976BDC" w:rsidP="00976BDC" w:rsidRDefault="00E5279A" w14:paraId="3DD0BFAC"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12</w:t>
      </w:r>
      <w:r w:rsidRPr="00113164" w:rsidR="00976BDC">
        <w:rPr>
          <w:rFonts w:ascii="Times New Roman" w:hAnsi="Times New Roman" w:cs="Times New Roman"/>
        </w:rPr>
        <w:t>.</w:t>
      </w:r>
      <w:r w:rsidRPr="00113164" w:rsidR="00976BDC">
        <w:rPr>
          <w:rFonts w:ascii="Times New Roman" w:hAnsi="Times New Roman" w:cs="Times New Roman"/>
        </w:rPr>
        <w:tab/>
        <w:t xml:space="preserve">Cullinan P, McGavin CR, Kreiss K, Nicholson AG, Maher TM, Howell T, Banks J, Newman Taylor AJ, Chen CH, Tsai PJ, Shih TS, and Burge PS. </w:t>
      </w:r>
      <w:r w:rsidRPr="00113164" w:rsidR="00976BDC">
        <w:rPr>
          <w:rFonts w:ascii="Times New Roman" w:hAnsi="Times New Roman" w:cs="Times New Roman"/>
          <w:i/>
        </w:rPr>
        <w:t>Obliterative bronchiolitis in fibreglass workers: a new occupational disease?</w:t>
      </w:r>
      <w:r w:rsidRPr="00113164" w:rsidR="00976BDC">
        <w:rPr>
          <w:rFonts w:ascii="Times New Roman" w:hAnsi="Times New Roman" w:cs="Times New Roman"/>
        </w:rPr>
        <w:t xml:space="preserve"> Occup Environ Med. 2013;</w:t>
      </w:r>
      <w:r w:rsidRPr="00113164" w:rsidR="00976BDC">
        <w:rPr>
          <w:rFonts w:ascii="Times New Roman" w:hAnsi="Times New Roman" w:cs="Times New Roman"/>
          <w:b/>
        </w:rPr>
        <w:t>70</w:t>
      </w:r>
      <w:r w:rsidRPr="00113164" w:rsidR="00976BDC">
        <w:rPr>
          <w:rFonts w:ascii="Times New Roman" w:hAnsi="Times New Roman" w:cs="Times New Roman"/>
        </w:rPr>
        <w:t>(5):357-9.</w:t>
      </w:r>
    </w:p>
    <w:p w:rsidRPr="00113164" w:rsidR="00976BDC" w:rsidP="00976BDC" w:rsidRDefault="00E5279A" w14:paraId="0C55EF52"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13</w:t>
      </w:r>
      <w:r w:rsidRPr="00113164" w:rsidR="00976BDC">
        <w:rPr>
          <w:rFonts w:ascii="Times New Roman" w:hAnsi="Times New Roman" w:cs="Times New Roman"/>
        </w:rPr>
        <w:t>.</w:t>
      </w:r>
      <w:r w:rsidRPr="00113164" w:rsidR="00976BDC">
        <w:rPr>
          <w:rFonts w:ascii="Times New Roman" w:hAnsi="Times New Roman" w:cs="Times New Roman"/>
        </w:rPr>
        <w:tab/>
        <w:t xml:space="preserve">Fernandez-Nieto M, Quirce S, Fraj J, del Pozo V, Seoane C, Sastre B, Lahoz C, and Sastre J. </w:t>
      </w:r>
      <w:r w:rsidRPr="00113164" w:rsidR="00976BDC">
        <w:rPr>
          <w:rFonts w:ascii="Times New Roman" w:hAnsi="Times New Roman" w:cs="Times New Roman"/>
          <w:i/>
        </w:rPr>
        <w:t>Airway inflammation in occupational asthma caused by styrene.</w:t>
      </w:r>
      <w:r w:rsidRPr="00113164" w:rsidR="00976BDC">
        <w:rPr>
          <w:rFonts w:ascii="Times New Roman" w:hAnsi="Times New Roman" w:cs="Times New Roman"/>
        </w:rPr>
        <w:t xml:space="preserve"> J Allergy Clin Immunol. 2006;</w:t>
      </w:r>
      <w:r w:rsidRPr="00113164" w:rsidR="00976BDC">
        <w:rPr>
          <w:rFonts w:ascii="Times New Roman" w:hAnsi="Times New Roman" w:cs="Times New Roman"/>
          <w:b/>
        </w:rPr>
        <w:t>117</w:t>
      </w:r>
      <w:r w:rsidRPr="00113164" w:rsidR="00976BDC">
        <w:rPr>
          <w:rFonts w:ascii="Times New Roman" w:hAnsi="Times New Roman" w:cs="Times New Roman"/>
        </w:rPr>
        <w:t>(4):948-50.</w:t>
      </w:r>
    </w:p>
    <w:p w:rsidRPr="00113164" w:rsidR="00976BDC" w:rsidP="00976BDC" w:rsidRDefault="00E5279A" w14:paraId="57CADB5A"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14</w:t>
      </w:r>
      <w:r w:rsidRPr="00113164" w:rsidR="00976BDC">
        <w:rPr>
          <w:rFonts w:ascii="Times New Roman" w:hAnsi="Times New Roman" w:cs="Times New Roman"/>
        </w:rPr>
        <w:t>.</w:t>
      </w:r>
      <w:r w:rsidRPr="00113164" w:rsidR="00976BDC">
        <w:rPr>
          <w:rFonts w:ascii="Times New Roman" w:hAnsi="Times New Roman" w:cs="Times New Roman"/>
        </w:rPr>
        <w:tab/>
        <w:t xml:space="preserve">Hayes JP, Lambourn L, Hopkirk JA, Durham SR, and Taylor AJ. </w:t>
      </w:r>
      <w:r w:rsidRPr="00113164" w:rsidR="00976BDC">
        <w:rPr>
          <w:rFonts w:ascii="Times New Roman" w:hAnsi="Times New Roman" w:cs="Times New Roman"/>
          <w:i/>
        </w:rPr>
        <w:t>Occupational asthma due to styrene.</w:t>
      </w:r>
      <w:r w:rsidRPr="00113164" w:rsidR="00976BDC">
        <w:rPr>
          <w:rFonts w:ascii="Times New Roman" w:hAnsi="Times New Roman" w:cs="Times New Roman"/>
        </w:rPr>
        <w:t xml:space="preserve"> Thorax. 1991;</w:t>
      </w:r>
      <w:r w:rsidRPr="00113164" w:rsidR="00976BDC">
        <w:rPr>
          <w:rFonts w:ascii="Times New Roman" w:hAnsi="Times New Roman" w:cs="Times New Roman"/>
          <w:b/>
        </w:rPr>
        <w:t>46</w:t>
      </w:r>
      <w:r w:rsidRPr="00113164" w:rsidR="00976BDC">
        <w:rPr>
          <w:rFonts w:ascii="Times New Roman" w:hAnsi="Times New Roman" w:cs="Times New Roman"/>
        </w:rPr>
        <w:t>(5):396-7.</w:t>
      </w:r>
    </w:p>
    <w:p w:rsidRPr="00113164" w:rsidR="00976BDC" w:rsidP="00976BDC" w:rsidRDefault="00E5279A" w14:paraId="1C4DFF3D"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15</w:t>
      </w:r>
      <w:r w:rsidRPr="00113164" w:rsidR="00976BDC">
        <w:rPr>
          <w:rFonts w:ascii="Times New Roman" w:hAnsi="Times New Roman" w:cs="Times New Roman"/>
        </w:rPr>
        <w:t>.</w:t>
      </w:r>
      <w:r w:rsidRPr="00113164" w:rsidR="00976BDC">
        <w:rPr>
          <w:rFonts w:ascii="Times New Roman" w:hAnsi="Times New Roman" w:cs="Times New Roman"/>
        </w:rPr>
        <w:tab/>
        <w:t xml:space="preserve">Janigan DT, Kilp T, Michael R, and McCleave JJ. </w:t>
      </w:r>
      <w:r w:rsidRPr="00113164" w:rsidR="00976BDC">
        <w:rPr>
          <w:rFonts w:ascii="Times New Roman" w:hAnsi="Times New Roman" w:cs="Times New Roman"/>
          <w:i/>
        </w:rPr>
        <w:t>Bronchiolitis obliterans in a man who used his wood-burning stove to burn synthetic construction materials.</w:t>
      </w:r>
      <w:r w:rsidRPr="00113164" w:rsidR="00976BDC">
        <w:rPr>
          <w:rFonts w:ascii="Times New Roman" w:hAnsi="Times New Roman" w:cs="Times New Roman"/>
        </w:rPr>
        <w:t xml:space="preserve"> CMAJ. 1997;</w:t>
      </w:r>
      <w:r w:rsidRPr="00113164" w:rsidR="00976BDC">
        <w:rPr>
          <w:rFonts w:ascii="Times New Roman" w:hAnsi="Times New Roman" w:cs="Times New Roman"/>
          <w:b/>
        </w:rPr>
        <w:t>156</w:t>
      </w:r>
      <w:r w:rsidRPr="00113164" w:rsidR="00976BDC">
        <w:rPr>
          <w:rFonts w:ascii="Times New Roman" w:hAnsi="Times New Roman" w:cs="Times New Roman"/>
        </w:rPr>
        <w:t>(8):1171-3.</w:t>
      </w:r>
    </w:p>
    <w:p w:rsidRPr="00113164" w:rsidR="00976BDC" w:rsidP="00976BDC" w:rsidRDefault="00E5279A" w14:paraId="77457E14"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16</w:t>
      </w:r>
      <w:r w:rsidRPr="00113164" w:rsidR="00976BDC">
        <w:rPr>
          <w:rFonts w:ascii="Times New Roman" w:hAnsi="Times New Roman" w:cs="Times New Roman"/>
        </w:rPr>
        <w:t>.</w:t>
      </w:r>
      <w:r w:rsidRPr="00113164" w:rsidR="00976BDC">
        <w:rPr>
          <w:rFonts w:ascii="Times New Roman" w:hAnsi="Times New Roman" w:cs="Times New Roman"/>
        </w:rPr>
        <w:tab/>
        <w:t xml:space="preserve">Lee JS, Kwak HS, Choi BS, and Park SY. </w:t>
      </w:r>
      <w:r w:rsidRPr="00113164" w:rsidR="00976BDC">
        <w:rPr>
          <w:rFonts w:ascii="Times New Roman" w:hAnsi="Times New Roman" w:cs="Times New Roman"/>
          <w:i/>
        </w:rPr>
        <w:t>A case of occupational asthma in a plastic injection process worker.</w:t>
      </w:r>
      <w:r w:rsidRPr="00113164" w:rsidR="00976BDC">
        <w:rPr>
          <w:rFonts w:ascii="Times New Roman" w:hAnsi="Times New Roman" w:cs="Times New Roman"/>
        </w:rPr>
        <w:t xml:space="preserve"> Ann Occup Environ Med. 2013;</w:t>
      </w:r>
      <w:r w:rsidRPr="00113164" w:rsidR="00976BDC">
        <w:rPr>
          <w:rFonts w:ascii="Times New Roman" w:hAnsi="Times New Roman" w:cs="Times New Roman"/>
          <w:b/>
        </w:rPr>
        <w:t>25</w:t>
      </w:r>
      <w:r w:rsidRPr="00113164" w:rsidR="00976BDC">
        <w:rPr>
          <w:rFonts w:ascii="Times New Roman" w:hAnsi="Times New Roman" w:cs="Times New Roman"/>
        </w:rPr>
        <w:t>(1):25.</w:t>
      </w:r>
    </w:p>
    <w:p w:rsidRPr="00113164" w:rsidR="00976BDC" w:rsidP="00976BDC" w:rsidRDefault="00E5279A" w14:paraId="4002CAF0"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17</w:t>
      </w:r>
      <w:r w:rsidRPr="00113164" w:rsidR="00976BDC">
        <w:rPr>
          <w:rFonts w:ascii="Times New Roman" w:hAnsi="Times New Roman" w:cs="Times New Roman"/>
        </w:rPr>
        <w:t>.</w:t>
      </w:r>
      <w:r w:rsidRPr="00113164" w:rsidR="00976BDC">
        <w:rPr>
          <w:rFonts w:ascii="Times New Roman" w:hAnsi="Times New Roman" w:cs="Times New Roman"/>
        </w:rPr>
        <w:tab/>
        <w:t xml:space="preserve">Moscato G, Biscaldi G, Cottica D, Pugliese F, Candura S, and Candura F. </w:t>
      </w:r>
      <w:r w:rsidRPr="00113164" w:rsidR="00976BDC">
        <w:rPr>
          <w:rFonts w:ascii="Times New Roman" w:hAnsi="Times New Roman" w:cs="Times New Roman"/>
          <w:i/>
        </w:rPr>
        <w:t>Occupational asthma due to styrene: two case reports.</w:t>
      </w:r>
      <w:r w:rsidRPr="00113164" w:rsidR="00976BDC">
        <w:rPr>
          <w:rFonts w:ascii="Times New Roman" w:hAnsi="Times New Roman" w:cs="Times New Roman"/>
        </w:rPr>
        <w:t xml:space="preserve"> J Occup Med. 1987;</w:t>
      </w:r>
      <w:r w:rsidRPr="00113164" w:rsidR="00976BDC">
        <w:rPr>
          <w:rFonts w:ascii="Times New Roman" w:hAnsi="Times New Roman" w:cs="Times New Roman"/>
          <w:b/>
        </w:rPr>
        <w:t>29</w:t>
      </w:r>
      <w:r w:rsidRPr="00113164" w:rsidR="00976BDC">
        <w:rPr>
          <w:rFonts w:ascii="Times New Roman" w:hAnsi="Times New Roman" w:cs="Times New Roman"/>
        </w:rPr>
        <w:t>(12):957-60.</w:t>
      </w:r>
    </w:p>
    <w:p w:rsidRPr="00113164" w:rsidR="00976BDC" w:rsidP="00976BDC" w:rsidRDefault="00E5279A" w14:paraId="463034D3"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18</w:t>
      </w:r>
      <w:r w:rsidRPr="00113164" w:rsidR="00976BDC">
        <w:rPr>
          <w:rFonts w:ascii="Times New Roman" w:hAnsi="Times New Roman" w:cs="Times New Roman"/>
        </w:rPr>
        <w:t>.</w:t>
      </w:r>
      <w:r w:rsidRPr="00113164" w:rsidR="00976BDC">
        <w:rPr>
          <w:rFonts w:ascii="Times New Roman" w:hAnsi="Times New Roman" w:cs="Times New Roman"/>
        </w:rPr>
        <w:tab/>
        <w:t xml:space="preserve">Moscato G, Marraccini P, Dellabianca A, Vinci G, and Candura SM. </w:t>
      </w:r>
      <w:r w:rsidRPr="00113164" w:rsidR="00976BDC">
        <w:rPr>
          <w:rFonts w:ascii="Times New Roman" w:hAnsi="Times New Roman" w:cs="Times New Roman"/>
          <w:i/>
        </w:rPr>
        <w:t>Styrene-induced occupational asthma and rhinitis.</w:t>
      </w:r>
      <w:r w:rsidRPr="00113164" w:rsidR="00976BDC">
        <w:rPr>
          <w:rFonts w:ascii="Times New Roman" w:hAnsi="Times New Roman" w:cs="Times New Roman"/>
        </w:rPr>
        <w:t xml:space="preserve"> G Ital Med Lav. 1988;</w:t>
      </w:r>
      <w:r w:rsidRPr="00113164" w:rsidR="00976BDC">
        <w:rPr>
          <w:rFonts w:ascii="Times New Roman" w:hAnsi="Times New Roman" w:cs="Times New Roman"/>
          <w:b/>
        </w:rPr>
        <w:t>10</w:t>
      </w:r>
      <w:r w:rsidRPr="00113164" w:rsidR="00976BDC">
        <w:rPr>
          <w:rFonts w:ascii="Times New Roman" w:hAnsi="Times New Roman" w:cs="Times New Roman"/>
        </w:rPr>
        <w:t>(6):253-9.</w:t>
      </w:r>
    </w:p>
    <w:p w:rsidRPr="00113164" w:rsidR="00976BDC" w:rsidP="00976BDC" w:rsidRDefault="00E5279A" w14:paraId="4267621C"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19</w:t>
      </w:r>
      <w:r w:rsidRPr="00113164" w:rsidR="00976BDC">
        <w:rPr>
          <w:rFonts w:ascii="Times New Roman" w:hAnsi="Times New Roman" w:cs="Times New Roman"/>
        </w:rPr>
        <w:t>.</w:t>
      </w:r>
      <w:r w:rsidRPr="00113164" w:rsidR="00976BDC">
        <w:rPr>
          <w:rFonts w:ascii="Times New Roman" w:hAnsi="Times New Roman" w:cs="Times New Roman"/>
        </w:rPr>
        <w:tab/>
        <w:t xml:space="preserve">Occupational Safety and Health Research Institute, </w:t>
      </w:r>
      <w:r w:rsidRPr="00113164" w:rsidR="00976BDC">
        <w:rPr>
          <w:rFonts w:ascii="Times New Roman" w:hAnsi="Times New Roman" w:cs="Times New Roman"/>
          <w:i/>
        </w:rPr>
        <w:t>Occupational disease casebook</w:t>
      </w:r>
      <w:r w:rsidRPr="00113164" w:rsidR="00976BDC">
        <w:rPr>
          <w:rFonts w:ascii="Times New Roman" w:hAnsi="Times New Roman" w:cs="Times New Roman"/>
        </w:rPr>
        <w:t>. 2003, Republic of Korea: Korea Occupational Safety and Health Research Agency.</w:t>
      </w:r>
    </w:p>
    <w:p w:rsidRPr="00113164" w:rsidR="00976BDC" w:rsidP="00976BDC" w:rsidRDefault="00E5279A" w14:paraId="132BB5C0"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20</w:t>
      </w:r>
      <w:r w:rsidRPr="00113164" w:rsidR="00976BDC">
        <w:rPr>
          <w:rFonts w:ascii="Times New Roman" w:hAnsi="Times New Roman" w:cs="Times New Roman"/>
        </w:rPr>
        <w:t>.</w:t>
      </w:r>
      <w:r w:rsidRPr="00113164" w:rsidR="00976BDC">
        <w:rPr>
          <w:rFonts w:ascii="Times New Roman" w:hAnsi="Times New Roman" w:cs="Times New Roman"/>
        </w:rPr>
        <w:tab/>
        <w:t xml:space="preserve">Shields PG, McCunney RJ, and Chase KH. </w:t>
      </w:r>
      <w:r w:rsidRPr="00113164" w:rsidR="00976BDC">
        <w:rPr>
          <w:rFonts w:ascii="Times New Roman" w:hAnsi="Times New Roman" w:cs="Times New Roman"/>
          <w:i/>
        </w:rPr>
        <w:t>Confined space hazards: combined exposure to styrene, fiberglass, and silica.</w:t>
      </w:r>
      <w:r w:rsidRPr="00113164" w:rsidR="00976BDC">
        <w:rPr>
          <w:rFonts w:ascii="Times New Roman" w:hAnsi="Times New Roman" w:cs="Times New Roman"/>
        </w:rPr>
        <w:t xml:space="preserve"> J Occup Environ Med. 1995;</w:t>
      </w:r>
      <w:r w:rsidRPr="00113164" w:rsidR="00976BDC">
        <w:rPr>
          <w:rFonts w:ascii="Times New Roman" w:hAnsi="Times New Roman" w:cs="Times New Roman"/>
          <w:b/>
        </w:rPr>
        <w:t>37</w:t>
      </w:r>
      <w:r w:rsidRPr="00113164" w:rsidR="00976BDC">
        <w:rPr>
          <w:rFonts w:ascii="Times New Roman" w:hAnsi="Times New Roman" w:cs="Times New Roman"/>
        </w:rPr>
        <w:t>(2):185-8.</w:t>
      </w:r>
    </w:p>
    <w:p w:rsidRPr="00113164" w:rsidR="00976BDC" w:rsidP="00976BDC" w:rsidRDefault="00E5279A" w14:paraId="0EE8379B"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lastRenderedPageBreak/>
        <w:t>21</w:t>
      </w:r>
      <w:r w:rsidRPr="00113164" w:rsidR="00976BDC">
        <w:rPr>
          <w:rFonts w:ascii="Times New Roman" w:hAnsi="Times New Roman" w:cs="Times New Roman"/>
        </w:rPr>
        <w:t>.</w:t>
      </w:r>
      <w:r w:rsidRPr="00113164" w:rsidR="00976BDC">
        <w:rPr>
          <w:rFonts w:ascii="Times New Roman" w:hAnsi="Times New Roman" w:cs="Times New Roman"/>
        </w:rPr>
        <w:tab/>
        <w:t xml:space="preserve">Volkman KK, Merrick JG, and Zacharisen MC. </w:t>
      </w:r>
      <w:r w:rsidRPr="00113164" w:rsidR="00976BDC">
        <w:rPr>
          <w:rFonts w:ascii="Times New Roman" w:hAnsi="Times New Roman" w:cs="Times New Roman"/>
          <w:i/>
        </w:rPr>
        <w:t>Yacht-maker's lung: A case of hypersensitivity pneumonitis in yacht manufacturing.</w:t>
      </w:r>
      <w:r w:rsidRPr="00113164" w:rsidR="00976BDC">
        <w:rPr>
          <w:rFonts w:ascii="Times New Roman" w:hAnsi="Times New Roman" w:cs="Times New Roman"/>
        </w:rPr>
        <w:t xml:space="preserve"> WMJ. 2006;</w:t>
      </w:r>
      <w:r w:rsidRPr="00113164" w:rsidR="00976BDC">
        <w:rPr>
          <w:rFonts w:ascii="Times New Roman" w:hAnsi="Times New Roman" w:cs="Times New Roman"/>
          <w:b/>
        </w:rPr>
        <w:t>105</w:t>
      </w:r>
      <w:r w:rsidRPr="00113164" w:rsidR="00976BDC">
        <w:rPr>
          <w:rFonts w:ascii="Times New Roman" w:hAnsi="Times New Roman" w:cs="Times New Roman"/>
        </w:rPr>
        <w:t>(7):47-50.</w:t>
      </w:r>
    </w:p>
    <w:p w:rsidRPr="00113164" w:rsidR="00976BDC" w:rsidP="00976BDC" w:rsidRDefault="00E5279A" w14:paraId="7DA9F944"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22</w:t>
      </w:r>
      <w:r w:rsidRPr="00113164" w:rsidR="00976BDC">
        <w:rPr>
          <w:rFonts w:ascii="Times New Roman" w:hAnsi="Times New Roman" w:cs="Times New Roman"/>
        </w:rPr>
        <w:t>.</w:t>
      </w:r>
      <w:r w:rsidRPr="00113164" w:rsidR="00976BDC">
        <w:rPr>
          <w:rFonts w:ascii="Times New Roman" w:hAnsi="Times New Roman" w:cs="Times New Roman"/>
        </w:rPr>
        <w:tab/>
        <w:t xml:space="preserve">Ye YM, Choi GS, Park HJ, Kim HA, Hur GY, and Park HS. </w:t>
      </w:r>
      <w:r w:rsidRPr="00113164" w:rsidR="00976BDC">
        <w:rPr>
          <w:rFonts w:ascii="Times New Roman" w:hAnsi="Times New Roman" w:cs="Times New Roman"/>
          <w:i/>
        </w:rPr>
        <w:t>Occupational asthma due to styrene and toluene diisocyanate.</w:t>
      </w:r>
      <w:r w:rsidRPr="00113164" w:rsidR="00976BDC">
        <w:rPr>
          <w:rFonts w:ascii="Times New Roman" w:hAnsi="Times New Roman" w:cs="Times New Roman"/>
        </w:rPr>
        <w:t xml:space="preserve"> Korean J Asthma Allergy Clin Immunol. 2007;</w:t>
      </w:r>
      <w:r w:rsidRPr="00113164" w:rsidR="00976BDC">
        <w:rPr>
          <w:rFonts w:ascii="Times New Roman" w:hAnsi="Times New Roman" w:cs="Times New Roman"/>
          <w:b/>
        </w:rPr>
        <w:t>27</w:t>
      </w:r>
      <w:r w:rsidRPr="00113164" w:rsidR="00976BDC">
        <w:rPr>
          <w:rFonts w:ascii="Times New Roman" w:hAnsi="Times New Roman" w:cs="Times New Roman"/>
        </w:rPr>
        <w:t>:70-73.</w:t>
      </w:r>
    </w:p>
    <w:p w:rsidRPr="00113164" w:rsidR="00976BDC" w:rsidP="00E5279A" w:rsidRDefault="00932928" w14:paraId="7CCC9C3C"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23</w:t>
      </w:r>
      <w:r w:rsidRPr="00113164" w:rsidR="00976BDC">
        <w:rPr>
          <w:rFonts w:ascii="Times New Roman" w:hAnsi="Times New Roman" w:cs="Times New Roman"/>
        </w:rPr>
        <w:t>.</w:t>
      </w:r>
      <w:r w:rsidRPr="00113164">
        <w:rPr>
          <w:rFonts w:ascii="Times New Roman" w:hAnsi="Times New Roman" w:cs="Times New Roman"/>
        </w:rPr>
        <w:t xml:space="preserve"> National Institute for Occupational Safety and Health. </w:t>
      </w:r>
      <w:r w:rsidRPr="00113164">
        <w:rPr>
          <w:rFonts w:ascii="Times New Roman" w:hAnsi="Times New Roman" w:cs="Times New Roman"/>
          <w:i/>
        </w:rPr>
        <w:t>NIOSH pocket guide to chemical hazards</w:t>
      </w:r>
      <w:r w:rsidRPr="00113164">
        <w:rPr>
          <w:rFonts w:ascii="Times New Roman" w:hAnsi="Times New Roman" w:cs="Times New Roman"/>
        </w:rPr>
        <w:t>. 2016  [Accessed November 14, 2017]; Available from: https://www.cdc.gov/niosh/npg/npgd0571.html</w:t>
      </w:r>
      <w:r w:rsidRPr="00113164" w:rsidR="00976BDC">
        <w:rPr>
          <w:rFonts w:ascii="Times New Roman" w:hAnsi="Times New Roman" w:cs="Times New Roman"/>
        </w:rPr>
        <w:tab/>
      </w:r>
    </w:p>
    <w:p w:rsidRPr="00113164" w:rsidR="00976BDC" w:rsidP="00976BDC" w:rsidRDefault="00E5279A" w14:paraId="5092B7C9"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24</w:t>
      </w:r>
      <w:r w:rsidRPr="00113164" w:rsidR="00976BDC">
        <w:rPr>
          <w:rFonts w:ascii="Times New Roman" w:hAnsi="Times New Roman" w:cs="Times New Roman"/>
        </w:rPr>
        <w:t>.</w:t>
      </w:r>
      <w:r w:rsidRPr="00113164" w:rsidR="00976BDC">
        <w:rPr>
          <w:rFonts w:ascii="Times New Roman" w:hAnsi="Times New Roman" w:cs="Times New Roman"/>
        </w:rPr>
        <w:tab/>
        <w:t xml:space="preserve">Okun AH, Beaumont JJ, Meinhardt TJ, and Crandall MS. </w:t>
      </w:r>
      <w:r w:rsidRPr="00113164" w:rsidR="00976BDC">
        <w:rPr>
          <w:rFonts w:ascii="Times New Roman" w:hAnsi="Times New Roman" w:cs="Times New Roman"/>
          <w:i/>
        </w:rPr>
        <w:t>Mortality patterns among styrene-exposed boatbuilders.</w:t>
      </w:r>
      <w:r w:rsidRPr="00113164" w:rsidR="00976BDC">
        <w:rPr>
          <w:rFonts w:ascii="Times New Roman" w:hAnsi="Times New Roman" w:cs="Times New Roman"/>
        </w:rPr>
        <w:t xml:space="preserve"> Am J Ind Med. 1985;</w:t>
      </w:r>
      <w:r w:rsidRPr="00113164" w:rsidR="00976BDC">
        <w:rPr>
          <w:rFonts w:ascii="Times New Roman" w:hAnsi="Times New Roman" w:cs="Times New Roman"/>
          <w:b/>
        </w:rPr>
        <w:t>8</w:t>
      </w:r>
      <w:r w:rsidRPr="00113164" w:rsidR="00976BDC">
        <w:rPr>
          <w:rFonts w:ascii="Times New Roman" w:hAnsi="Times New Roman" w:cs="Times New Roman"/>
        </w:rPr>
        <w:t>(3):193-205.</w:t>
      </w:r>
    </w:p>
    <w:p w:rsidRPr="00113164" w:rsidR="00976BDC" w:rsidP="00976BDC" w:rsidRDefault="00E5279A" w14:paraId="27A17BF4"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25</w:t>
      </w:r>
      <w:r w:rsidRPr="00113164" w:rsidR="00976BDC">
        <w:rPr>
          <w:rFonts w:ascii="Times New Roman" w:hAnsi="Times New Roman" w:cs="Times New Roman"/>
        </w:rPr>
        <w:t>.</w:t>
      </w:r>
      <w:r w:rsidRPr="00113164" w:rsidR="00976BDC">
        <w:rPr>
          <w:rFonts w:ascii="Times New Roman" w:hAnsi="Times New Roman" w:cs="Times New Roman"/>
        </w:rPr>
        <w:tab/>
        <w:t xml:space="preserve">Ruder AM, Meyers AR, and Bertke SJ. </w:t>
      </w:r>
      <w:r w:rsidRPr="00113164" w:rsidR="00976BDC">
        <w:rPr>
          <w:rFonts w:ascii="Times New Roman" w:hAnsi="Times New Roman" w:cs="Times New Roman"/>
          <w:i/>
        </w:rPr>
        <w:t>Mortality among styrene-exposed workers in the reinforced plastic boatbuilding industry.</w:t>
      </w:r>
      <w:r w:rsidRPr="00113164" w:rsidR="00976BDC">
        <w:rPr>
          <w:rFonts w:ascii="Times New Roman" w:hAnsi="Times New Roman" w:cs="Times New Roman"/>
        </w:rPr>
        <w:t xml:space="preserve"> Occup Environ Med. 2016;</w:t>
      </w:r>
      <w:r w:rsidRPr="00113164" w:rsidR="00976BDC">
        <w:rPr>
          <w:rFonts w:ascii="Times New Roman" w:hAnsi="Times New Roman" w:cs="Times New Roman"/>
          <w:b/>
        </w:rPr>
        <w:t>73</w:t>
      </w:r>
      <w:r w:rsidRPr="00113164" w:rsidR="00976BDC">
        <w:rPr>
          <w:rFonts w:ascii="Times New Roman" w:hAnsi="Times New Roman" w:cs="Times New Roman"/>
        </w:rPr>
        <w:t>(2):97-102.</w:t>
      </w:r>
    </w:p>
    <w:p w:rsidRPr="00113164" w:rsidR="00976BDC" w:rsidP="00976BDC" w:rsidRDefault="00E5279A" w14:paraId="791D02A0"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26</w:t>
      </w:r>
      <w:r w:rsidRPr="00113164" w:rsidR="00976BDC">
        <w:rPr>
          <w:rFonts w:ascii="Times New Roman" w:hAnsi="Times New Roman" w:cs="Times New Roman"/>
        </w:rPr>
        <w:t>.</w:t>
      </w:r>
      <w:r w:rsidRPr="00113164" w:rsidR="00976BDC">
        <w:rPr>
          <w:rFonts w:ascii="Times New Roman" w:hAnsi="Times New Roman" w:cs="Times New Roman"/>
        </w:rPr>
        <w:tab/>
        <w:t xml:space="preserve">Ruder AM, Ward EM, Dong M, Okun AH, and Davis-King K. </w:t>
      </w:r>
      <w:r w:rsidRPr="00113164" w:rsidR="00976BDC">
        <w:rPr>
          <w:rFonts w:ascii="Times New Roman" w:hAnsi="Times New Roman" w:cs="Times New Roman"/>
          <w:i/>
        </w:rPr>
        <w:t>Mortality patterns among workers exposed to styrene in the reinforced plastic boatbuilding industry: an update.</w:t>
      </w:r>
      <w:r w:rsidRPr="00113164" w:rsidR="00976BDC">
        <w:rPr>
          <w:rFonts w:ascii="Times New Roman" w:hAnsi="Times New Roman" w:cs="Times New Roman"/>
        </w:rPr>
        <w:t xml:space="preserve"> Am J Ind Med. 2004;</w:t>
      </w:r>
      <w:r w:rsidRPr="00113164" w:rsidR="00976BDC">
        <w:rPr>
          <w:rFonts w:ascii="Times New Roman" w:hAnsi="Times New Roman" w:cs="Times New Roman"/>
          <w:b/>
        </w:rPr>
        <w:t>45</w:t>
      </w:r>
      <w:r w:rsidRPr="00113164" w:rsidR="00976BDC">
        <w:rPr>
          <w:rFonts w:ascii="Times New Roman" w:hAnsi="Times New Roman" w:cs="Times New Roman"/>
        </w:rPr>
        <w:t>(2):165-76.</w:t>
      </w:r>
    </w:p>
    <w:p w:rsidRPr="00113164" w:rsidR="00976BDC" w:rsidP="00976BDC" w:rsidRDefault="00E5279A" w14:paraId="68FA9CCC" w14:textId="77777777">
      <w:pPr>
        <w:pStyle w:val="EndNoteBibliography"/>
        <w:spacing w:after="240"/>
        <w:ind w:left="540" w:right="180" w:hanging="360"/>
        <w:rPr>
          <w:rFonts w:ascii="Times New Roman" w:hAnsi="Times New Roman" w:cs="Times New Roman"/>
        </w:rPr>
      </w:pPr>
      <w:r w:rsidRPr="00113164">
        <w:rPr>
          <w:rFonts w:ascii="Times New Roman" w:hAnsi="Times New Roman" w:cs="Times New Roman"/>
        </w:rPr>
        <w:t>27</w:t>
      </w:r>
      <w:r w:rsidRPr="00113164" w:rsidR="00976BDC">
        <w:rPr>
          <w:rFonts w:ascii="Times New Roman" w:hAnsi="Times New Roman" w:cs="Times New Roman"/>
        </w:rPr>
        <w:t>.</w:t>
      </w:r>
      <w:r w:rsidRPr="00113164" w:rsidR="00976BDC">
        <w:rPr>
          <w:rFonts w:ascii="Times New Roman" w:hAnsi="Times New Roman" w:cs="Times New Roman"/>
        </w:rPr>
        <w:tab/>
      </w:r>
      <w:r w:rsidRPr="00113164">
        <w:rPr>
          <w:rFonts w:ascii="Times New Roman" w:hAnsi="Times New Roman" w:cs="Times New Roman"/>
        </w:rPr>
        <w:t xml:space="preserve">Nett RJ, Cox-Ganser JM, Hubbs AF, Ruder AM, Cummings KJ, Huang YT, and Kreiss K. </w:t>
      </w:r>
      <w:r w:rsidRPr="00113164">
        <w:rPr>
          <w:rFonts w:ascii="Times New Roman" w:hAnsi="Times New Roman" w:cs="Times New Roman"/>
          <w:i/>
        </w:rPr>
        <w:t>Non-malignant respiratory disease among workers in industries using styrene-A review of the evidence.</w:t>
      </w:r>
      <w:r w:rsidRPr="00113164">
        <w:rPr>
          <w:rFonts w:ascii="Times New Roman" w:hAnsi="Times New Roman" w:cs="Times New Roman"/>
        </w:rPr>
        <w:t xml:space="preserve"> Am J Ind Med. 2017;</w:t>
      </w:r>
      <w:r w:rsidRPr="00113164">
        <w:rPr>
          <w:rFonts w:ascii="Times New Roman" w:hAnsi="Times New Roman" w:cs="Times New Roman"/>
          <w:b/>
        </w:rPr>
        <w:t>60</w:t>
      </w:r>
      <w:r w:rsidRPr="00113164">
        <w:rPr>
          <w:rFonts w:ascii="Times New Roman" w:hAnsi="Times New Roman" w:cs="Times New Roman"/>
        </w:rPr>
        <w:t>(2):163-180.</w:t>
      </w:r>
    </w:p>
    <w:p w:rsidRPr="00113164" w:rsidR="00BD4B37" w:rsidRDefault="00BD4B37" w14:paraId="715E34DE" w14:textId="77777777"/>
    <w:sectPr w:rsidRPr="00113164" w:rsidR="00BD4B37" w:rsidSect="00C84EA8">
      <w:footnotePr>
        <w:numFmt w:val="lowerLetter"/>
      </w:footnotePr>
      <w:endnotePr>
        <w:numFmt w:val="lowerLetter"/>
      </w:endnotePr>
      <w:pgSz w:w="12240" w:h="15840" w:code="1"/>
      <w:pgMar w:top="1440" w:right="1440" w:bottom="1440" w:left="1440" w:header="720" w:footer="144" w:gutter="0"/>
      <w:pgBorders w:offsetFrom="page">
        <w:top w:val="single" w:color="FFFFFF" w:sz="4" w:space="24"/>
        <w:left w:val="single" w:color="FFFFFF" w:sz="4" w:space="24"/>
        <w:bottom w:val="single" w:color="FFFFFF" w:sz="4" w:space="24"/>
        <w:right w:val="single" w:color="FFFFFF" w:sz="4" w:space="24"/>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7A36" w14:textId="77777777" w:rsidR="00B46F2A" w:rsidRDefault="00B46F2A">
      <w:r>
        <w:separator/>
      </w:r>
    </w:p>
  </w:endnote>
  <w:endnote w:type="continuationSeparator" w:id="0">
    <w:p w14:paraId="03C257FA" w14:textId="77777777" w:rsidR="00B46F2A" w:rsidRDefault="00B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Roboto Slab">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3EEB" w14:textId="77777777" w:rsidR="00B46F2A" w:rsidRDefault="00B46F2A">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CD8CCC" w14:textId="77777777" w:rsidR="00B46F2A" w:rsidRDefault="00B46F2A"/>
  <w:p w14:paraId="719F3643" w14:textId="77777777" w:rsidR="00B46F2A" w:rsidRDefault="00B46F2A"/>
  <w:p w14:paraId="03F1A579" w14:textId="77777777" w:rsidR="00B46F2A" w:rsidRDefault="00B46F2A"/>
  <w:p w14:paraId="6865D39E" w14:textId="77777777" w:rsidR="00B46F2A" w:rsidRDefault="00B46F2A"/>
  <w:p w14:paraId="25744B3D" w14:textId="77777777" w:rsidR="00B46F2A" w:rsidRDefault="00B46F2A"/>
  <w:p w14:paraId="797719C8" w14:textId="77777777" w:rsidR="00B46F2A" w:rsidRDefault="00B46F2A"/>
  <w:p w14:paraId="6924F774" w14:textId="77777777" w:rsidR="00B46F2A" w:rsidRDefault="00B46F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13769"/>
      <w:docPartObj>
        <w:docPartGallery w:val="Page Numbers (Bottom of Page)"/>
        <w:docPartUnique/>
      </w:docPartObj>
    </w:sdtPr>
    <w:sdtEndPr>
      <w:rPr>
        <w:noProof/>
      </w:rPr>
    </w:sdtEndPr>
    <w:sdtContent>
      <w:p w14:paraId="160E2D4E" w14:textId="77777777" w:rsidR="00B46F2A" w:rsidRDefault="00B46F2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8ECB445" w14:textId="77777777" w:rsidR="00B46F2A" w:rsidRDefault="00B46F2A">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6BCC97FA" w14:textId="77777777" w:rsidR="00B46F2A" w:rsidRDefault="00B46F2A"/>
  <w:p w14:paraId="22EF34A7" w14:textId="77777777" w:rsidR="00B46F2A" w:rsidRDefault="00B46F2A"/>
  <w:p w14:paraId="4DC3B49F" w14:textId="77777777" w:rsidR="00B46F2A" w:rsidRDefault="00B46F2A"/>
  <w:p w14:paraId="67F51C50" w14:textId="77777777" w:rsidR="00B46F2A" w:rsidRDefault="00B46F2A"/>
  <w:p w14:paraId="414C2020" w14:textId="77777777" w:rsidR="00B46F2A" w:rsidRDefault="00B46F2A"/>
  <w:p w14:paraId="20793728" w14:textId="77777777" w:rsidR="00B46F2A" w:rsidRDefault="00B46F2A"/>
  <w:p w14:paraId="6545B09A" w14:textId="77777777" w:rsidR="00B46F2A" w:rsidRDefault="00B46F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2503"/>
      <w:docPartObj>
        <w:docPartGallery w:val="Page Numbers (Bottom of Page)"/>
        <w:docPartUnique/>
      </w:docPartObj>
    </w:sdtPr>
    <w:sdtEndPr>
      <w:rPr>
        <w:noProof/>
      </w:rPr>
    </w:sdtEndPr>
    <w:sdtContent>
      <w:p w14:paraId="15F5B833" w14:textId="77777777" w:rsidR="00B46F2A" w:rsidRDefault="00B46F2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EA83660" w14:textId="77777777" w:rsidR="00B46F2A" w:rsidRDefault="00B46F2A">
    <w:pPr>
      <w:pStyle w:val="Footer"/>
    </w:pPr>
  </w:p>
  <w:p w14:paraId="663ABD0A" w14:textId="77777777" w:rsidR="00B46F2A" w:rsidRDefault="00B46F2A"/>
  <w:p w14:paraId="7673235D" w14:textId="77777777" w:rsidR="00B46F2A" w:rsidRDefault="00B46F2A"/>
  <w:p w14:paraId="3A2094DB" w14:textId="77777777" w:rsidR="00B46F2A" w:rsidRDefault="00B46F2A"/>
  <w:p w14:paraId="0EFB68F5" w14:textId="77777777" w:rsidR="00B46F2A" w:rsidRDefault="00B46F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AFAE0" w14:textId="77777777" w:rsidR="00B46F2A" w:rsidRDefault="00B46F2A">
      <w:r>
        <w:separator/>
      </w:r>
    </w:p>
  </w:footnote>
  <w:footnote w:type="continuationSeparator" w:id="0">
    <w:p w14:paraId="42E655AE" w14:textId="77777777" w:rsidR="00B46F2A" w:rsidRDefault="00B4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F80E" w14:textId="77777777" w:rsidR="00B46F2A" w:rsidRDefault="00B46F2A">
    <w:pPr>
      <w:widowControl w:val="0"/>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22B1185" w14:textId="77777777" w:rsidR="00B46F2A" w:rsidRDefault="00B46F2A"/>
  <w:p w14:paraId="094BEC64" w14:textId="77777777" w:rsidR="00B46F2A" w:rsidRDefault="00B46F2A"/>
  <w:p w14:paraId="40B88056" w14:textId="77777777" w:rsidR="00B46F2A" w:rsidRDefault="00B46F2A"/>
  <w:p w14:paraId="01202C14" w14:textId="77777777" w:rsidR="00B46F2A" w:rsidRDefault="00B46F2A"/>
  <w:p w14:paraId="4A479DA8" w14:textId="77777777" w:rsidR="00B46F2A" w:rsidRDefault="00B46F2A"/>
  <w:p w14:paraId="38781E2F" w14:textId="77777777" w:rsidR="00B46F2A" w:rsidRDefault="00B46F2A"/>
  <w:p w14:paraId="732AC272" w14:textId="77777777" w:rsidR="00B46F2A" w:rsidRDefault="00B46F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E308" w14:textId="77777777" w:rsidR="00B46F2A" w:rsidRDefault="00B46F2A"/>
  <w:p w14:paraId="46BB7B21" w14:textId="77777777" w:rsidR="00B46F2A" w:rsidRDefault="00B46F2A"/>
  <w:p w14:paraId="216F76EF" w14:textId="77777777" w:rsidR="00B46F2A" w:rsidRDefault="00B46F2A"/>
  <w:p w14:paraId="4C326F69" w14:textId="77777777" w:rsidR="00B46F2A" w:rsidRDefault="00B46F2A"/>
  <w:p w14:paraId="45E8FF03" w14:textId="77777777" w:rsidR="00B46F2A" w:rsidRDefault="00B46F2A"/>
  <w:p w14:paraId="168BF733" w14:textId="77777777" w:rsidR="00B46F2A" w:rsidRDefault="00B46F2A"/>
  <w:p w14:paraId="12972297" w14:textId="77777777" w:rsidR="00B46F2A" w:rsidRDefault="00B46F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6AC3" w14:textId="77777777" w:rsidR="00853DFC" w:rsidRDefault="0085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C86009"/>
    <w:multiLevelType w:val="hybridMultilevel"/>
    <w:tmpl w:val="9B00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322D"/>
    <w:multiLevelType w:val="multilevel"/>
    <w:tmpl w:val="413AD3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424084"/>
    <w:multiLevelType w:val="hybridMultilevel"/>
    <w:tmpl w:val="158AB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F3879"/>
    <w:multiLevelType w:val="hybridMultilevel"/>
    <w:tmpl w:val="F962A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C3B38ED"/>
    <w:multiLevelType w:val="hybridMultilevel"/>
    <w:tmpl w:val="A6AC8474"/>
    <w:lvl w:ilvl="0" w:tplc="9FB0CBF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94552"/>
    <w:multiLevelType w:val="multilevel"/>
    <w:tmpl w:val="413AD3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6F4D7F"/>
    <w:multiLevelType w:val="hybridMultilevel"/>
    <w:tmpl w:val="9B00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E4910"/>
    <w:multiLevelType w:val="hybridMultilevel"/>
    <w:tmpl w:val="50206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3"/>
  </w:num>
  <w:num w:numId="6">
    <w:abstractNumId w:val="6"/>
  </w:num>
  <w:num w:numId="7">
    <w:abstractNumId w:val="1"/>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492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5D"/>
    <w:rsid w:val="00000C54"/>
    <w:rsid w:val="00002595"/>
    <w:rsid w:val="0000402B"/>
    <w:rsid w:val="00004818"/>
    <w:rsid w:val="00004A69"/>
    <w:rsid w:val="0000680A"/>
    <w:rsid w:val="0001100E"/>
    <w:rsid w:val="00011518"/>
    <w:rsid w:val="000116B8"/>
    <w:rsid w:val="000119E5"/>
    <w:rsid w:val="000162F2"/>
    <w:rsid w:val="00021367"/>
    <w:rsid w:val="00023AA8"/>
    <w:rsid w:val="00025ECD"/>
    <w:rsid w:val="000300D7"/>
    <w:rsid w:val="000323F0"/>
    <w:rsid w:val="00033820"/>
    <w:rsid w:val="00034783"/>
    <w:rsid w:val="00036B85"/>
    <w:rsid w:val="00036CD5"/>
    <w:rsid w:val="000407CC"/>
    <w:rsid w:val="00040E47"/>
    <w:rsid w:val="00041653"/>
    <w:rsid w:val="00043BFE"/>
    <w:rsid w:val="0004560A"/>
    <w:rsid w:val="00055A76"/>
    <w:rsid w:val="0005631D"/>
    <w:rsid w:val="00057729"/>
    <w:rsid w:val="000613BC"/>
    <w:rsid w:val="000626DD"/>
    <w:rsid w:val="000645A5"/>
    <w:rsid w:val="00072E92"/>
    <w:rsid w:val="00074CDE"/>
    <w:rsid w:val="000800B9"/>
    <w:rsid w:val="00080DBE"/>
    <w:rsid w:val="00080E08"/>
    <w:rsid w:val="00080EE9"/>
    <w:rsid w:val="0008640A"/>
    <w:rsid w:val="00086B60"/>
    <w:rsid w:val="000947F4"/>
    <w:rsid w:val="0009570E"/>
    <w:rsid w:val="00096EAA"/>
    <w:rsid w:val="000A2285"/>
    <w:rsid w:val="000A6C1E"/>
    <w:rsid w:val="000A7F70"/>
    <w:rsid w:val="000B0749"/>
    <w:rsid w:val="000B08BC"/>
    <w:rsid w:val="000B0CB5"/>
    <w:rsid w:val="000B130A"/>
    <w:rsid w:val="000B2696"/>
    <w:rsid w:val="000B2B48"/>
    <w:rsid w:val="000B38D0"/>
    <w:rsid w:val="000B40A2"/>
    <w:rsid w:val="000B4944"/>
    <w:rsid w:val="000B4B12"/>
    <w:rsid w:val="000B535C"/>
    <w:rsid w:val="000B6AFD"/>
    <w:rsid w:val="000C20F7"/>
    <w:rsid w:val="000C2C34"/>
    <w:rsid w:val="000C2F37"/>
    <w:rsid w:val="000C2FF9"/>
    <w:rsid w:val="000C3337"/>
    <w:rsid w:val="000C5F3C"/>
    <w:rsid w:val="000C7986"/>
    <w:rsid w:val="000D1871"/>
    <w:rsid w:val="000D3B02"/>
    <w:rsid w:val="000D3DD3"/>
    <w:rsid w:val="000D47A9"/>
    <w:rsid w:val="000D7AD8"/>
    <w:rsid w:val="000E0660"/>
    <w:rsid w:val="000E2879"/>
    <w:rsid w:val="000E2C63"/>
    <w:rsid w:val="000E2EC6"/>
    <w:rsid w:val="000E4075"/>
    <w:rsid w:val="000E5B65"/>
    <w:rsid w:val="000E6106"/>
    <w:rsid w:val="000E7F18"/>
    <w:rsid w:val="000F1E0A"/>
    <w:rsid w:val="000F201E"/>
    <w:rsid w:val="000F23E0"/>
    <w:rsid w:val="000F3059"/>
    <w:rsid w:val="000F375D"/>
    <w:rsid w:val="000F489A"/>
    <w:rsid w:val="000F4CB1"/>
    <w:rsid w:val="000F52CA"/>
    <w:rsid w:val="000F67DC"/>
    <w:rsid w:val="000F7029"/>
    <w:rsid w:val="00101640"/>
    <w:rsid w:val="00102D86"/>
    <w:rsid w:val="00104ACC"/>
    <w:rsid w:val="0010559C"/>
    <w:rsid w:val="00105851"/>
    <w:rsid w:val="0010606E"/>
    <w:rsid w:val="00110513"/>
    <w:rsid w:val="00112A9C"/>
    <w:rsid w:val="00113164"/>
    <w:rsid w:val="0011415C"/>
    <w:rsid w:val="00114616"/>
    <w:rsid w:val="00114DEA"/>
    <w:rsid w:val="001163D1"/>
    <w:rsid w:val="00117B4B"/>
    <w:rsid w:val="001207D6"/>
    <w:rsid w:val="00120A90"/>
    <w:rsid w:val="00122493"/>
    <w:rsid w:val="001242F9"/>
    <w:rsid w:val="001254DA"/>
    <w:rsid w:val="00130CC3"/>
    <w:rsid w:val="00132397"/>
    <w:rsid w:val="001325A6"/>
    <w:rsid w:val="00132663"/>
    <w:rsid w:val="00134739"/>
    <w:rsid w:val="001373F0"/>
    <w:rsid w:val="00137603"/>
    <w:rsid w:val="00140382"/>
    <w:rsid w:val="0014476C"/>
    <w:rsid w:val="001451B3"/>
    <w:rsid w:val="001451F3"/>
    <w:rsid w:val="00145DD5"/>
    <w:rsid w:val="00147ED7"/>
    <w:rsid w:val="00151834"/>
    <w:rsid w:val="00154752"/>
    <w:rsid w:val="00154803"/>
    <w:rsid w:val="001566C2"/>
    <w:rsid w:val="00156715"/>
    <w:rsid w:val="00157F10"/>
    <w:rsid w:val="001632F5"/>
    <w:rsid w:val="00164FE0"/>
    <w:rsid w:val="001677FB"/>
    <w:rsid w:val="0017028B"/>
    <w:rsid w:val="001702EA"/>
    <w:rsid w:val="00170629"/>
    <w:rsid w:val="001719D2"/>
    <w:rsid w:val="00171E6A"/>
    <w:rsid w:val="00171FD8"/>
    <w:rsid w:val="00172FE7"/>
    <w:rsid w:val="00174FE1"/>
    <w:rsid w:val="00175003"/>
    <w:rsid w:val="00177E5F"/>
    <w:rsid w:val="00181630"/>
    <w:rsid w:val="001835F2"/>
    <w:rsid w:val="00185095"/>
    <w:rsid w:val="001869B6"/>
    <w:rsid w:val="00186E3D"/>
    <w:rsid w:val="00192D14"/>
    <w:rsid w:val="001968BB"/>
    <w:rsid w:val="00196992"/>
    <w:rsid w:val="001A2A91"/>
    <w:rsid w:val="001A2E4F"/>
    <w:rsid w:val="001A37DC"/>
    <w:rsid w:val="001A3A41"/>
    <w:rsid w:val="001A694C"/>
    <w:rsid w:val="001B3052"/>
    <w:rsid w:val="001B38DF"/>
    <w:rsid w:val="001B580D"/>
    <w:rsid w:val="001C11E0"/>
    <w:rsid w:val="001C40D3"/>
    <w:rsid w:val="001C5975"/>
    <w:rsid w:val="001C5E3D"/>
    <w:rsid w:val="001C768C"/>
    <w:rsid w:val="001D2371"/>
    <w:rsid w:val="001D3B71"/>
    <w:rsid w:val="001D7C3E"/>
    <w:rsid w:val="001E0336"/>
    <w:rsid w:val="001E16CE"/>
    <w:rsid w:val="001E1BC6"/>
    <w:rsid w:val="001E2979"/>
    <w:rsid w:val="001E4109"/>
    <w:rsid w:val="001E52BA"/>
    <w:rsid w:val="001E6004"/>
    <w:rsid w:val="001E7D49"/>
    <w:rsid w:val="001F439E"/>
    <w:rsid w:val="001F53D9"/>
    <w:rsid w:val="001F62EB"/>
    <w:rsid w:val="001F7AC0"/>
    <w:rsid w:val="001F7BAB"/>
    <w:rsid w:val="00200989"/>
    <w:rsid w:val="00201637"/>
    <w:rsid w:val="002030E1"/>
    <w:rsid w:val="0020479C"/>
    <w:rsid w:val="00204DDF"/>
    <w:rsid w:val="00205F71"/>
    <w:rsid w:val="00207906"/>
    <w:rsid w:val="002112A9"/>
    <w:rsid w:val="00212A75"/>
    <w:rsid w:val="00214078"/>
    <w:rsid w:val="002141E0"/>
    <w:rsid w:val="00215C9B"/>
    <w:rsid w:val="002166A5"/>
    <w:rsid w:val="0021743E"/>
    <w:rsid w:val="0021748F"/>
    <w:rsid w:val="00217579"/>
    <w:rsid w:val="002175B3"/>
    <w:rsid w:val="002177F0"/>
    <w:rsid w:val="00217D2C"/>
    <w:rsid w:val="0022184E"/>
    <w:rsid w:val="0022668D"/>
    <w:rsid w:val="002318DF"/>
    <w:rsid w:val="00232C30"/>
    <w:rsid w:val="002339A8"/>
    <w:rsid w:val="00233BD8"/>
    <w:rsid w:val="0023450C"/>
    <w:rsid w:val="00235CC4"/>
    <w:rsid w:val="002362AE"/>
    <w:rsid w:val="00236490"/>
    <w:rsid w:val="00236F24"/>
    <w:rsid w:val="00241698"/>
    <w:rsid w:val="00243B80"/>
    <w:rsid w:val="00244FC9"/>
    <w:rsid w:val="00247735"/>
    <w:rsid w:val="00250739"/>
    <w:rsid w:val="002523F8"/>
    <w:rsid w:val="002526EE"/>
    <w:rsid w:val="00254AD3"/>
    <w:rsid w:val="00254B91"/>
    <w:rsid w:val="00256C62"/>
    <w:rsid w:val="00256E64"/>
    <w:rsid w:val="002621B1"/>
    <w:rsid w:val="002644DA"/>
    <w:rsid w:val="00264A29"/>
    <w:rsid w:val="00264A2A"/>
    <w:rsid w:val="00266363"/>
    <w:rsid w:val="002663AA"/>
    <w:rsid w:val="00266B1D"/>
    <w:rsid w:val="00267A3F"/>
    <w:rsid w:val="00271A26"/>
    <w:rsid w:val="002725CC"/>
    <w:rsid w:val="00276E7B"/>
    <w:rsid w:val="002776FF"/>
    <w:rsid w:val="0028107B"/>
    <w:rsid w:val="00284951"/>
    <w:rsid w:val="00285474"/>
    <w:rsid w:val="00287399"/>
    <w:rsid w:val="0028744B"/>
    <w:rsid w:val="00290A27"/>
    <w:rsid w:val="00290A80"/>
    <w:rsid w:val="00290F61"/>
    <w:rsid w:val="0029341B"/>
    <w:rsid w:val="002A1EB7"/>
    <w:rsid w:val="002A6CDE"/>
    <w:rsid w:val="002A7193"/>
    <w:rsid w:val="002B05B5"/>
    <w:rsid w:val="002B0612"/>
    <w:rsid w:val="002B2BD6"/>
    <w:rsid w:val="002B501C"/>
    <w:rsid w:val="002B525F"/>
    <w:rsid w:val="002B57F4"/>
    <w:rsid w:val="002B6480"/>
    <w:rsid w:val="002C16CD"/>
    <w:rsid w:val="002C3641"/>
    <w:rsid w:val="002C4350"/>
    <w:rsid w:val="002C79D0"/>
    <w:rsid w:val="002D122D"/>
    <w:rsid w:val="002D14B4"/>
    <w:rsid w:val="002D3566"/>
    <w:rsid w:val="002D3AC1"/>
    <w:rsid w:val="002D54BB"/>
    <w:rsid w:val="002D55D7"/>
    <w:rsid w:val="002D680B"/>
    <w:rsid w:val="002D6BFE"/>
    <w:rsid w:val="002D7007"/>
    <w:rsid w:val="002E03A3"/>
    <w:rsid w:val="002E08B1"/>
    <w:rsid w:val="002E13BD"/>
    <w:rsid w:val="002E176F"/>
    <w:rsid w:val="002E1DA5"/>
    <w:rsid w:val="002E4AD4"/>
    <w:rsid w:val="002E4FA3"/>
    <w:rsid w:val="002E7034"/>
    <w:rsid w:val="002E7890"/>
    <w:rsid w:val="002F23E6"/>
    <w:rsid w:val="002F2555"/>
    <w:rsid w:val="002F56F0"/>
    <w:rsid w:val="002F6558"/>
    <w:rsid w:val="002F6CB6"/>
    <w:rsid w:val="003023DE"/>
    <w:rsid w:val="00302A8D"/>
    <w:rsid w:val="00302C7C"/>
    <w:rsid w:val="00304B66"/>
    <w:rsid w:val="00305063"/>
    <w:rsid w:val="003056CF"/>
    <w:rsid w:val="00306A19"/>
    <w:rsid w:val="003119CB"/>
    <w:rsid w:val="0031367B"/>
    <w:rsid w:val="00315E32"/>
    <w:rsid w:val="00317F28"/>
    <w:rsid w:val="00320AD5"/>
    <w:rsid w:val="00324C72"/>
    <w:rsid w:val="003311E8"/>
    <w:rsid w:val="00331DB5"/>
    <w:rsid w:val="0033284D"/>
    <w:rsid w:val="0033288A"/>
    <w:rsid w:val="00342BE6"/>
    <w:rsid w:val="00342ED9"/>
    <w:rsid w:val="00345ACF"/>
    <w:rsid w:val="00345B8E"/>
    <w:rsid w:val="00347DFD"/>
    <w:rsid w:val="00351C71"/>
    <w:rsid w:val="003520DE"/>
    <w:rsid w:val="00361100"/>
    <w:rsid w:val="003611DE"/>
    <w:rsid w:val="00361C48"/>
    <w:rsid w:val="00362246"/>
    <w:rsid w:val="00363085"/>
    <w:rsid w:val="00365160"/>
    <w:rsid w:val="003660F0"/>
    <w:rsid w:val="00371AB8"/>
    <w:rsid w:val="00371DE2"/>
    <w:rsid w:val="00371EFB"/>
    <w:rsid w:val="00380670"/>
    <w:rsid w:val="00380E4C"/>
    <w:rsid w:val="003817EF"/>
    <w:rsid w:val="00382AC4"/>
    <w:rsid w:val="003833A1"/>
    <w:rsid w:val="003848EE"/>
    <w:rsid w:val="00385D12"/>
    <w:rsid w:val="00387777"/>
    <w:rsid w:val="00387AA4"/>
    <w:rsid w:val="003906F4"/>
    <w:rsid w:val="00390C1B"/>
    <w:rsid w:val="003911B7"/>
    <w:rsid w:val="003964B3"/>
    <w:rsid w:val="0039660E"/>
    <w:rsid w:val="00396BE0"/>
    <w:rsid w:val="003A1D67"/>
    <w:rsid w:val="003A4775"/>
    <w:rsid w:val="003A5778"/>
    <w:rsid w:val="003A5E82"/>
    <w:rsid w:val="003A61A9"/>
    <w:rsid w:val="003A6506"/>
    <w:rsid w:val="003A65D2"/>
    <w:rsid w:val="003B0F7F"/>
    <w:rsid w:val="003B20C7"/>
    <w:rsid w:val="003B2799"/>
    <w:rsid w:val="003B2885"/>
    <w:rsid w:val="003B3318"/>
    <w:rsid w:val="003B3A76"/>
    <w:rsid w:val="003B5F80"/>
    <w:rsid w:val="003B6962"/>
    <w:rsid w:val="003B7475"/>
    <w:rsid w:val="003B7E3D"/>
    <w:rsid w:val="003C0959"/>
    <w:rsid w:val="003D39AD"/>
    <w:rsid w:val="003D3C48"/>
    <w:rsid w:val="003D3D1A"/>
    <w:rsid w:val="003D766C"/>
    <w:rsid w:val="003E1CE3"/>
    <w:rsid w:val="003E20B1"/>
    <w:rsid w:val="003E2643"/>
    <w:rsid w:val="003E3068"/>
    <w:rsid w:val="003F3055"/>
    <w:rsid w:val="003F346E"/>
    <w:rsid w:val="003F3CA3"/>
    <w:rsid w:val="003F61E2"/>
    <w:rsid w:val="00401226"/>
    <w:rsid w:val="004015E0"/>
    <w:rsid w:val="00404614"/>
    <w:rsid w:val="004059C6"/>
    <w:rsid w:val="004062BF"/>
    <w:rsid w:val="00407424"/>
    <w:rsid w:val="0041087F"/>
    <w:rsid w:val="004130FB"/>
    <w:rsid w:val="004144BB"/>
    <w:rsid w:val="004165DE"/>
    <w:rsid w:val="00417805"/>
    <w:rsid w:val="00420D8A"/>
    <w:rsid w:val="00422159"/>
    <w:rsid w:val="004223DE"/>
    <w:rsid w:val="004227B0"/>
    <w:rsid w:val="00422AA7"/>
    <w:rsid w:val="004237C3"/>
    <w:rsid w:val="00423CAB"/>
    <w:rsid w:val="004263C7"/>
    <w:rsid w:val="00427287"/>
    <w:rsid w:val="00427720"/>
    <w:rsid w:val="0043159A"/>
    <w:rsid w:val="00435426"/>
    <w:rsid w:val="00435FAB"/>
    <w:rsid w:val="00437531"/>
    <w:rsid w:val="00437E5F"/>
    <w:rsid w:val="0044067B"/>
    <w:rsid w:val="0044111E"/>
    <w:rsid w:val="00441F2F"/>
    <w:rsid w:val="004479D5"/>
    <w:rsid w:val="00450B4A"/>
    <w:rsid w:val="0045135B"/>
    <w:rsid w:val="004515BD"/>
    <w:rsid w:val="00452A4E"/>
    <w:rsid w:val="0045306B"/>
    <w:rsid w:val="00453B15"/>
    <w:rsid w:val="00453D7A"/>
    <w:rsid w:val="004559D3"/>
    <w:rsid w:val="00455E5B"/>
    <w:rsid w:val="00456AEF"/>
    <w:rsid w:val="00456E65"/>
    <w:rsid w:val="00462BBC"/>
    <w:rsid w:val="004651CF"/>
    <w:rsid w:val="00465227"/>
    <w:rsid w:val="0046539A"/>
    <w:rsid w:val="00465639"/>
    <w:rsid w:val="00465744"/>
    <w:rsid w:val="004662F5"/>
    <w:rsid w:val="00470E5E"/>
    <w:rsid w:val="004710D2"/>
    <w:rsid w:val="00472B41"/>
    <w:rsid w:val="00472CF7"/>
    <w:rsid w:val="00473BA3"/>
    <w:rsid w:val="00475095"/>
    <w:rsid w:val="004759AD"/>
    <w:rsid w:val="0047648D"/>
    <w:rsid w:val="0047729A"/>
    <w:rsid w:val="00477760"/>
    <w:rsid w:val="00480C54"/>
    <w:rsid w:val="004813AD"/>
    <w:rsid w:val="00481E12"/>
    <w:rsid w:val="00484958"/>
    <w:rsid w:val="004849C4"/>
    <w:rsid w:val="004869A8"/>
    <w:rsid w:val="00487253"/>
    <w:rsid w:val="0049177A"/>
    <w:rsid w:val="00492C59"/>
    <w:rsid w:val="00493E6C"/>
    <w:rsid w:val="004962FC"/>
    <w:rsid w:val="00497A31"/>
    <w:rsid w:val="004A21B2"/>
    <w:rsid w:val="004A283F"/>
    <w:rsid w:val="004A2B27"/>
    <w:rsid w:val="004A3942"/>
    <w:rsid w:val="004A3E2A"/>
    <w:rsid w:val="004A403C"/>
    <w:rsid w:val="004A5410"/>
    <w:rsid w:val="004A7361"/>
    <w:rsid w:val="004A76CF"/>
    <w:rsid w:val="004B0026"/>
    <w:rsid w:val="004B0582"/>
    <w:rsid w:val="004B3B98"/>
    <w:rsid w:val="004B66E4"/>
    <w:rsid w:val="004B7892"/>
    <w:rsid w:val="004C0E76"/>
    <w:rsid w:val="004C34BE"/>
    <w:rsid w:val="004C4080"/>
    <w:rsid w:val="004D11D8"/>
    <w:rsid w:val="004D2648"/>
    <w:rsid w:val="004D27C3"/>
    <w:rsid w:val="004D444E"/>
    <w:rsid w:val="004D547F"/>
    <w:rsid w:val="004D5757"/>
    <w:rsid w:val="004D6817"/>
    <w:rsid w:val="004D7106"/>
    <w:rsid w:val="004E2735"/>
    <w:rsid w:val="004E27EC"/>
    <w:rsid w:val="004E45D9"/>
    <w:rsid w:val="004E4E91"/>
    <w:rsid w:val="004E5E29"/>
    <w:rsid w:val="004E78D7"/>
    <w:rsid w:val="004F13E6"/>
    <w:rsid w:val="004F2972"/>
    <w:rsid w:val="004F359F"/>
    <w:rsid w:val="004F54DE"/>
    <w:rsid w:val="00500C9F"/>
    <w:rsid w:val="0050121F"/>
    <w:rsid w:val="00503967"/>
    <w:rsid w:val="0050423B"/>
    <w:rsid w:val="00505A63"/>
    <w:rsid w:val="00506223"/>
    <w:rsid w:val="0051357C"/>
    <w:rsid w:val="00514D96"/>
    <w:rsid w:val="00514E71"/>
    <w:rsid w:val="00516640"/>
    <w:rsid w:val="00520D37"/>
    <w:rsid w:val="00521ED6"/>
    <w:rsid w:val="005227C3"/>
    <w:rsid w:val="0052535B"/>
    <w:rsid w:val="005259F1"/>
    <w:rsid w:val="00525EF4"/>
    <w:rsid w:val="00530760"/>
    <w:rsid w:val="005321A1"/>
    <w:rsid w:val="005324E7"/>
    <w:rsid w:val="00536014"/>
    <w:rsid w:val="0053631F"/>
    <w:rsid w:val="0053651B"/>
    <w:rsid w:val="00537310"/>
    <w:rsid w:val="005374E1"/>
    <w:rsid w:val="00537DAE"/>
    <w:rsid w:val="00542A17"/>
    <w:rsid w:val="00546405"/>
    <w:rsid w:val="00546866"/>
    <w:rsid w:val="005470EF"/>
    <w:rsid w:val="005524F3"/>
    <w:rsid w:val="00553803"/>
    <w:rsid w:val="005570D3"/>
    <w:rsid w:val="0055784A"/>
    <w:rsid w:val="00561F25"/>
    <w:rsid w:val="00563DE6"/>
    <w:rsid w:val="005640F4"/>
    <w:rsid w:val="005671DD"/>
    <w:rsid w:val="005714FE"/>
    <w:rsid w:val="00571FF5"/>
    <w:rsid w:val="00573E2B"/>
    <w:rsid w:val="00575064"/>
    <w:rsid w:val="0057668A"/>
    <w:rsid w:val="005768CD"/>
    <w:rsid w:val="00577460"/>
    <w:rsid w:val="00580238"/>
    <w:rsid w:val="005807BA"/>
    <w:rsid w:val="00580977"/>
    <w:rsid w:val="0058179C"/>
    <w:rsid w:val="00583308"/>
    <w:rsid w:val="00583B9B"/>
    <w:rsid w:val="00584229"/>
    <w:rsid w:val="00584DC8"/>
    <w:rsid w:val="005859A2"/>
    <w:rsid w:val="00586CDE"/>
    <w:rsid w:val="0059183E"/>
    <w:rsid w:val="00592DDD"/>
    <w:rsid w:val="0059509B"/>
    <w:rsid w:val="00597798"/>
    <w:rsid w:val="005A1118"/>
    <w:rsid w:val="005A2A27"/>
    <w:rsid w:val="005A2EF5"/>
    <w:rsid w:val="005A38E0"/>
    <w:rsid w:val="005A462A"/>
    <w:rsid w:val="005A52C5"/>
    <w:rsid w:val="005A59F5"/>
    <w:rsid w:val="005A6A5C"/>
    <w:rsid w:val="005A7EC3"/>
    <w:rsid w:val="005B01B4"/>
    <w:rsid w:val="005B07EE"/>
    <w:rsid w:val="005B4417"/>
    <w:rsid w:val="005B67DA"/>
    <w:rsid w:val="005B7984"/>
    <w:rsid w:val="005B7D93"/>
    <w:rsid w:val="005C67BF"/>
    <w:rsid w:val="005D09E8"/>
    <w:rsid w:val="005D2B16"/>
    <w:rsid w:val="005D541E"/>
    <w:rsid w:val="005D5717"/>
    <w:rsid w:val="005D659B"/>
    <w:rsid w:val="005D6E1E"/>
    <w:rsid w:val="005E2D64"/>
    <w:rsid w:val="005E2E64"/>
    <w:rsid w:val="005E3E32"/>
    <w:rsid w:val="005E4572"/>
    <w:rsid w:val="005E640B"/>
    <w:rsid w:val="005E7A1F"/>
    <w:rsid w:val="005F21E0"/>
    <w:rsid w:val="005F26AA"/>
    <w:rsid w:val="005F2CE4"/>
    <w:rsid w:val="005F3E56"/>
    <w:rsid w:val="005F4449"/>
    <w:rsid w:val="005F5A84"/>
    <w:rsid w:val="006061F9"/>
    <w:rsid w:val="006077E4"/>
    <w:rsid w:val="006136D6"/>
    <w:rsid w:val="00614AD7"/>
    <w:rsid w:val="006160E0"/>
    <w:rsid w:val="0061677C"/>
    <w:rsid w:val="00617D09"/>
    <w:rsid w:val="00621D57"/>
    <w:rsid w:val="00622440"/>
    <w:rsid w:val="00623EE6"/>
    <w:rsid w:val="006241C5"/>
    <w:rsid w:val="006246AC"/>
    <w:rsid w:val="00624A31"/>
    <w:rsid w:val="00624E40"/>
    <w:rsid w:val="006273CE"/>
    <w:rsid w:val="00627FBE"/>
    <w:rsid w:val="0063005A"/>
    <w:rsid w:val="0063096C"/>
    <w:rsid w:val="00631716"/>
    <w:rsid w:val="0063365B"/>
    <w:rsid w:val="00633F8D"/>
    <w:rsid w:val="006348A9"/>
    <w:rsid w:val="0063536D"/>
    <w:rsid w:val="006357B6"/>
    <w:rsid w:val="0063787D"/>
    <w:rsid w:val="00640680"/>
    <w:rsid w:val="00640BB5"/>
    <w:rsid w:val="006419E4"/>
    <w:rsid w:val="00642823"/>
    <w:rsid w:val="00642CBB"/>
    <w:rsid w:val="00643397"/>
    <w:rsid w:val="0064557C"/>
    <w:rsid w:val="006502EE"/>
    <w:rsid w:val="0065108C"/>
    <w:rsid w:val="006512E2"/>
    <w:rsid w:val="00651459"/>
    <w:rsid w:val="00654A9D"/>
    <w:rsid w:val="00656486"/>
    <w:rsid w:val="00657EEE"/>
    <w:rsid w:val="00660BE6"/>
    <w:rsid w:val="00660F77"/>
    <w:rsid w:val="0066265C"/>
    <w:rsid w:val="0066318D"/>
    <w:rsid w:val="006636B5"/>
    <w:rsid w:val="00663B47"/>
    <w:rsid w:val="00664575"/>
    <w:rsid w:val="00665546"/>
    <w:rsid w:val="006664C2"/>
    <w:rsid w:val="00666A0C"/>
    <w:rsid w:val="00667935"/>
    <w:rsid w:val="006728F3"/>
    <w:rsid w:val="00673645"/>
    <w:rsid w:val="00673C2F"/>
    <w:rsid w:val="00675C09"/>
    <w:rsid w:val="0067739A"/>
    <w:rsid w:val="00680905"/>
    <w:rsid w:val="00680E7E"/>
    <w:rsid w:val="0068176A"/>
    <w:rsid w:val="00681A75"/>
    <w:rsid w:val="00685C29"/>
    <w:rsid w:val="006862BE"/>
    <w:rsid w:val="00686453"/>
    <w:rsid w:val="00691238"/>
    <w:rsid w:val="006923E5"/>
    <w:rsid w:val="00692A3F"/>
    <w:rsid w:val="00692C8E"/>
    <w:rsid w:val="0069316D"/>
    <w:rsid w:val="006943BB"/>
    <w:rsid w:val="00697684"/>
    <w:rsid w:val="006A0CB8"/>
    <w:rsid w:val="006A1A36"/>
    <w:rsid w:val="006A23F1"/>
    <w:rsid w:val="006A3D47"/>
    <w:rsid w:val="006A3F58"/>
    <w:rsid w:val="006A49A7"/>
    <w:rsid w:val="006B0547"/>
    <w:rsid w:val="006B1954"/>
    <w:rsid w:val="006B4C06"/>
    <w:rsid w:val="006B5BD3"/>
    <w:rsid w:val="006B5C2F"/>
    <w:rsid w:val="006B5EB3"/>
    <w:rsid w:val="006B7D74"/>
    <w:rsid w:val="006C1755"/>
    <w:rsid w:val="006C20CB"/>
    <w:rsid w:val="006C3038"/>
    <w:rsid w:val="006C64C9"/>
    <w:rsid w:val="006C6C5E"/>
    <w:rsid w:val="006C7E35"/>
    <w:rsid w:val="006D0E59"/>
    <w:rsid w:val="006D1E0D"/>
    <w:rsid w:val="006D4035"/>
    <w:rsid w:val="006D44A3"/>
    <w:rsid w:val="006D7050"/>
    <w:rsid w:val="006E0325"/>
    <w:rsid w:val="006E0FC2"/>
    <w:rsid w:val="006E2C85"/>
    <w:rsid w:val="006E6E55"/>
    <w:rsid w:val="006E7593"/>
    <w:rsid w:val="006F04A7"/>
    <w:rsid w:val="006F1734"/>
    <w:rsid w:val="006F1AD0"/>
    <w:rsid w:val="006F269E"/>
    <w:rsid w:val="006F51F8"/>
    <w:rsid w:val="006F571B"/>
    <w:rsid w:val="006F5BE6"/>
    <w:rsid w:val="006F67A1"/>
    <w:rsid w:val="00700CEA"/>
    <w:rsid w:val="0070116B"/>
    <w:rsid w:val="007018A3"/>
    <w:rsid w:val="007025EA"/>
    <w:rsid w:val="007029BF"/>
    <w:rsid w:val="00703E41"/>
    <w:rsid w:val="00707499"/>
    <w:rsid w:val="007100D0"/>
    <w:rsid w:val="00711D02"/>
    <w:rsid w:val="007134C6"/>
    <w:rsid w:val="00717771"/>
    <w:rsid w:val="00720589"/>
    <w:rsid w:val="00721335"/>
    <w:rsid w:val="007249DB"/>
    <w:rsid w:val="007278FB"/>
    <w:rsid w:val="00730C47"/>
    <w:rsid w:val="00733910"/>
    <w:rsid w:val="00733EDF"/>
    <w:rsid w:val="00737025"/>
    <w:rsid w:val="007402F6"/>
    <w:rsid w:val="0074451A"/>
    <w:rsid w:val="00744E29"/>
    <w:rsid w:val="00752872"/>
    <w:rsid w:val="00753CEA"/>
    <w:rsid w:val="0075407A"/>
    <w:rsid w:val="007554AD"/>
    <w:rsid w:val="00755F3F"/>
    <w:rsid w:val="00756A07"/>
    <w:rsid w:val="00757A39"/>
    <w:rsid w:val="00761854"/>
    <w:rsid w:val="00761996"/>
    <w:rsid w:val="00763A0D"/>
    <w:rsid w:val="00764F18"/>
    <w:rsid w:val="00767C6D"/>
    <w:rsid w:val="00772A1E"/>
    <w:rsid w:val="0077469C"/>
    <w:rsid w:val="00774E7F"/>
    <w:rsid w:val="007751A9"/>
    <w:rsid w:val="007755AE"/>
    <w:rsid w:val="00776793"/>
    <w:rsid w:val="00777172"/>
    <w:rsid w:val="00777A30"/>
    <w:rsid w:val="007800B6"/>
    <w:rsid w:val="007806F4"/>
    <w:rsid w:val="0078095F"/>
    <w:rsid w:val="00783326"/>
    <w:rsid w:val="007852CF"/>
    <w:rsid w:val="00786191"/>
    <w:rsid w:val="00794C5F"/>
    <w:rsid w:val="00795622"/>
    <w:rsid w:val="00797715"/>
    <w:rsid w:val="007A02C3"/>
    <w:rsid w:val="007A18C0"/>
    <w:rsid w:val="007A1987"/>
    <w:rsid w:val="007A214C"/>
    <w:rsid w:val="007A7E36"/>
    <w:rsid w:val="007B06BE"/>
    <w:rsid w:val="007B1A4E"/>
    <w:rsid w:val="007B210F"/>
    <w:rsid w:val="007B5226"/>
    <w:rsid w:val="007B68C6"/>
    <w:rsid w:val="007B68CD"/>
    <w:rsid w:val="007B71C4"/>
    <w:rsid w:val="007B7AF6"/>
    <w:rsid w:val="007C3199"/>
    <w:rsid w:val="007C5E17"/>
    <w:rsid w:val="007C6F30"/>
    <w:rsid w:val="007C75EF"/>
    <w:rsid w:val="007C7989"/>
    <w:rsid w:val="007D17B1"/>
    <w:rsid w:val="007D26FD"/>
    <w:rsid w:val="007D3045"/>
    <w:rsid w:val="007D57AD"/>
    <w:rsid w:val="007D5EA6"/>
    <w:rsid w:val="007D6130"/>
    <w:rsid w:val="007D7823"/>
    <w:rsid w:val="007E1C9F"/>
    <w:rsid w:val="007E1D64"/>
    <w:rsid w:val="007E1E1F"/>
    <w:rsid w:val="007E1FA0"/>
    <w:rsid w:val="007E3EFC"/>
    <w:rsid w:val="007E6F03"/>
    <w:rsid w:val="007E7219"/>
    <w:rsid w:val="007F0908"/>
    <w:rsid w:val="007F0B04"/>
    <w:rsid w:val="007F0B6B"/>
    <w:rsid w:val="007F0F8C"/>
    <w:rsid w:val="007F1300"/>
    <w:rsid w:val="007F686C"/>
    <w:rsid w:val="008047F3"/>
    <w:rsid w:val="00804A38"/>
    <w:rsid w:val="0080572B"/>
    <w:rsid w:val="0080753E"/>
    <w:rsid w:val="00807A58"/>
    <w:rsid w:val="00810567"/>
    <w:rsid w:val="008126B1"/>
    <w:rsid w:val="00813226"/>
    <w:rsid w:val="00813C0E"/>
    <w:rsid w:val="008156CC"/>
    <w:rsid w:val="008159B9"/>
    <w:rsid w:val="00823A5D"/>
    <w:rsid w:val="00824782"/>
    <w:rsid w:val="00826F0B"/>
    <w:rsid w:val="00830636"/>
    <w:rsid w:val="0083137B"/>
    <w:rsid w:val="0083142C"/>
    <w:rsid w:val="0083178D"/>
    <w:rsid w:val="0083342F"/>
    <w:rsid w:val="00833D0A"/>
    <w:rsid w:val="00834070"/>
    <w:rsid w:val="00834B53"/>
    <w:rsid w:val="00835D11"/>
    <w:rsid w:val="00837698"/>
    <w:rsid w:val="00837F3D"/>
    <w:rsid w:val="008402D9"/>
    <w:rsid w:val="00840DCE"/>
    <w:rsid w:val="00841046"/>
    <w:rsid w:val="008411AF"/>
    <w:rsid w:val="00841CF9"/>
    <w:rsid w:val="008458A6"/>
    <w:rsid w:val="0084677D"/>
    <w:rsid w:val="00850E88"/>
    <w:rsid w:val="00853DFC"/>
    <w:rsid w:val="00861AF0"/>
    <w:rsid w:val="008623F9"/>
    <w:rsid w:val="00862BF6"/>
    <w:rsid w:val="00863594"/>
    <w:rsid w:val="00864192"/>
    <w:rsid w:val="00866286"/>
    <w:rsid w:val="0087080F"/>
    <w:rsid w:val="0087465C"/>
    <w:rsid w:val="00875DF5"/>
    <w:rsid w:val="008806F6"/>
    <w:rsid w:val="00881350"/>
    <w:rsid w:val="00886049"/>
    <w:rsid w:val="008873DE"/>
    <w:rsid w:val="00891A7B"/>
    <w:rsid w:val="00894814"/>
    <w:rsid w:val="00895E46"/>
    <w:rsid w:val="00896CB6"/>
    <w:rsid w:val="00896FFD"/>
    <w:rsid w:val="008972D2"/>
    <w:rsid w:val="008A063C"/>
    <w:rsid w:val="008A12EB"/>
    <w:rsid w:val="008A186E"/>
    <w:rsid w:val="008A22E7"/>
    <w:rsid w:val="008A3063"/>
    <w:rsid w:val="008A34FA"/>
    <w:rsid w:val="008A4248"/>
    <w:rsid w:val="008A424A"/>
    <w:rsid w:val="008A7E39"/>
    <w:rsid w:val="008B03EE"/>
    <w:rsid w:val="008B0756"/>
    <w:rsid w:val="008B0EA8"/>
    <w:rsid w:val="008B2F21"/>
    <w:rsid w:val="008B3414"/>
    <w:rsid w:val="008B62FF"/>
    <w:rsid w:val="008B6F1C"/>
    <w:rsid w:val="008C1E1E"/>
    <w:rsid w:val="008C266D"/>
    <w:rsid w:val="008C358F"/>
    <w:rsid w:val="008C41CB"/>
    <w:rsid w:val="008C5901"/>
    <w:rsid w:val="008C7A96"/>
    <w:rsid w:val="008D0130"/>
    <w:rsid w:val="008D03D9"/>
    <w:rsid w:val="008D0E5B"/>
    <w:rsid w:val="008D1329"/>
    <w:rsid w:val="008D1F37"/>
    <w:rsid w:val="008D4EE4"/>
    <w:rsid w:val="008D69D3"/>
    <w:rsid w:val="008D6CAD"/>
    <w:rsid w:val="008D7B6B"/>
    <w:rsid w:val="008E0B5D"/>
    <w:rsid w:val="008E1888"/>
    <w:rsid w:val="008E1AD8"/>
    <w:rsid w:val="008E3076"/>
    <w:rsid w:val="008E57D2"/>
    <w:rsid w:val="008E660B"/>
    <w:rsid w:val="008E6EE3"/>
    <w:rsid w:val="008F1871"/>
    <w:rsid w:val="008F2E7F"/>
    <w:rsid w:val="009032C1"/>
    <w:rsid w:val="00903F2E"/>
    <w:rsid w:val="00905530"/>
    <w:rsid w:val="00906C34"/>
    <w:rsid w:val="009075E7"/>
    <w:rsid w:val="00907D29"/>
    <w:rsid w:val="0091018D"/>
    <w:rsid w:val="0091085E"/>
    <w:rsid w:val="00910879"/>
    <w:rsid w:val="0091163F"/>
    <w:rsid w:val="00912ED0"/>
    <w:rsid w:val="00913150"/>
    <w:rsid w:val="00916AF6"/>
    <w:rsid w:val="00916C5A"/>
    <w:rsid w:val="00922204"/>
    <w:rsid w:val="0092398E"/>
    <w:rsid w:val="00923B05"/>
    <w:rsid w:val="00923CF7"/>
    <w:rsid w:val="00924B26"/>
    <w:rsid w:val="00931546"/>
    <w:rsid w:val="009318B4"/>
    <w:rsid w:val="00932928"/>
    <w:rsid w:val="0093365F"/>
    <w:rsid w:val="00937113"/>
    <w:rsid w:val="00940658"/>
    <w:rsid w:val="00940CB3"/>
    <w:rsid w:val="00941752"/>
    <w:rsid w:val="00941781"/>
    <w:rsid w:val="00942405"/>
    <w:rsid w:val="00943D62"/>
    <w:rsid w:val="00945B3A"/>
    <w:rsid w:val="00951312"/>
    <w:rsid w:val="00951459"/>
    <w:rsid w:val="00952C9C"/>
    <w:rsid w:val="009534FA"/>
    <w:rsid w:val="00953D38"/>
    <w:rsid w:val="0095668C"/>
    <w:rsid w:val="00957C2A"/>
    <w:rsid w:val="00961E93"/>
    <w:rsid w:val="00962CDD"/>
    <w:rsid w:val="00963F84"/>
    <w:rsid w:val="00966E88"/>
    <w:rsid w:val="00970CA1"/>
    <w:rsid w:val="00973A22"/>
    <w:rsid w:val="00974286"/>
    <w:rsid w:val="00975FFE"/>
    <w:rsid w:val="00976BDC"/>
    <w:rsid w:val="009802C9"/>
    <w:rsid w:val="00981EDD"/>
    <w:rsid w:val="00983306"/>
    <w:rsid w:val="009839BA"/>
    <w:rsid w:val="009843EA"/>
    <w:rsid w:val="00986F41"/>
    <w:rsid w:val="009870F7"/>
    <w:rsid w:val="009915A5"/>
    <w:rsid w:val="00994ACA"/>
    <w:rsid w:val="00996819"/>
    <w:rsid w:val="0099689F"/>
    <w:rsid w:val="009A1075"/>
    <w:rsid w:val="009A1956"/>
    <w:rsid w:val="009A203C"/>
    <w:rsid w:val="009A2268"/>
    <w:rsid w:val="009A2DA0"/>
    <w:rsid w:val="009A3526"/>
    <w:rsid w:val="009A46D0"/>
    <w:rsid w:val="009A4F3D"/>
    <w:rsid w:val="009A7B26"/>
    <w:rsid w:val="009A7EFA"/>
    <w:rsid w:val="009B2912"/>
    <w:rsid w:val="009B4FDA"/>
    <w:rsid w:val="009B5388"/>
    <w:rsid w:val="009C0DB9"/>
    <w:rsid w:val="009C1242"/>
    <w:rsid w:val="009C136B"/>
    <w:rsid w:val="009C3056"/>
    <w:rsid w:val="009C3DEF"/>
    <w:rsid w:val="009C4195"/>
    <w:rsid w:val="009C43C5"/>
    <w:rsid w:val="009D008B"/>
    <w:rsid w:val="009D3F94"/>
    <w:rsid w:val="009D5788"/>
    <w:rsid w:val="009E158F"/>
    <w:rsid w:val="009E4216"/>
    <w:rsid w:val="009E51A5"/>
    <w:rsid w:val="009E665D"/>
    <w:rsid w:val="009E6A84"/>
    <w:rsid w:val="009E7A29"/>
    <w:rsid w:val="009F105F"/>
    <w:rsid w:val="009F2D0A"/>
    <w:rsid w:val="009F3089"/>
    <w:rsid w:val="009F5ABD"/>
    <w:rsid w:val="009F6613"/>
    <w:rsid w:val="009F6D81"/>
    <w:rsid w:val="009F7470"/>
    <w:rsid w:val="00A01074"/>
    <w:rsid w:val="00A02221"/>
    <w:rsid w:val="00A024F1"/>
    <w:rsid w:val="00A03096"/>
    <w:rsid w:val="00A0320D"/>
    <w:rsid w:val="00A03817"/>
    <w:rsid w:val="00A0492B"/>
    <w:rsid w:val="00A05A1A"/>
    <w:rsid w:val="00A05C93"/>
    <w:rsid w:val="00A05CA9"/>
    <w:rsid w:val="00A0630D"/>
    <w:rsid w:val="00A10956"/>
    <w:rsid w:val="00A14431"/>
    <w:rsid w:val="00A156B7"/>
    <w:rsid w:val="00A22174"/>
    <w:rsid w:val="00A2410F"/>
    <w:rsid w:val="00A25376"/>
    <w:rsid w:val="00A26B0C"/>
    <w:rsid w:val="00A27536"/>
    <w:rsid w:val="00A3061C"/>
    <w:rsid w:val="00A307A7"/>
    <w:rsid w:val="00A3296B"/>
    <w:rsid w:val="00A32F8E"/>
    <w:rsid w:val="00A334F7"/>
    <w:rsid w:val="00A35E92"/>
    <w:rsid w:val="00A37435"/>
    <w:rsid w:val="00A42CE9"/>
    <w:rsid w:val="00A439CB"/>
    <w:rsid w:val="00A5433B"/>
    <w:rsid w:val="00A60FC7"/>
    <w:rsid w:val="00A615E6"/>
    <w:rsid w:val="00A62E9E"/>
    <w:rsid w:val="00A634CD"/>
    <w:rsid w:val="00A66B38"/>
    <w:rsid w:val="00A677CA"/>
    <w:rsid w:val="00A710FF"/>
    <w:rsid w:val="00A747D8"/>
    <w:rsid w:val="00A75675"/>
    <w:rsid w:val="00A75C58"/>
    <w:rsid w:val="00A75EA8"/>
    <w:rsid w:val="00A76DFA"/>
    <w:rsid w:val="00A77E86"/>
    <w:rsid w:val="00A81F4B"/>
    <w:rsid w:val="00A823CB"/>
    <w:rsid w:val="00A82BC2"/>
    <w:rsid w:val="00A83F50"/>
    <w:rsid w:val="00A85A09"/>
    <w:rsid w:val="00A8659C"/>
    <w:rsid w:val="00A87693"/>
    <w:rsid w:val="00A91CF0"/>
    <w:rsid w:val="00A92714"/>
    <w:rsid w:val="00A92C6C"/>
    <w:rsid w:val="00A93086"/>
    <w:rsid w:val="00A93304"/>
    <w:rsid w:val="00A94170"/>
    <w:rsid w:val="00A96ADD"/>
    <w:rsid w:val="00AA1D9B"/>
    <w:rsid w:val="00AA281A"/>
    <w:rsid w:val="00AA377C"/>
    <w:rsid w:val="00AA51D9"/>
    <w:rsid w:val="00AA64A4"/>
    <w:rsid w:val="00AB0AD5"/>
    <w:rsid w:val="00AB293F"/>
    <w:rsid w:val="00AB363F"/>
    <w:rsid w:val="00AB733B"/>
    <w:rsid w:val="00AB77DA"/>
    <w:rsid w:val="00AD101F"/>
    <w:rsid w:val="00AD2046"/>
    <w:rsid w:val="00AD268A"/>
    <w:rsid w:val="00AD3F2B"/>
    <w:rsid w:val="00AD44AA"/>
    <w:rsid w:val="00AD7B8C"/>
    <w:rsid w:val="00AD7D52"/>
    <w:rsid w:val="00AE05F6"/>
    <w:rsid w:val="00AE1421"/>
    <w:rsid w:val="00AE21B7"/>
    <w:rsid w:val="00AE2FE9"/>
    <w:rsid w:val="00AE5E96"/>
    <w:rsid w:val="00AE60A5"/>
    <w:rsid w:val="00AE6530"/>
    <w:rsid w:val="00AE69C9"/>
    <w:rsid w:val="00AF02CC"/>
    <w:rsid w:val="00AF0D97"/>
    <w:rsid w:val="00AF1A36"/>
    <w:rsid w:val="00AF6CB4"/>
    <w:rsid w:val="00B00128"/>
    <w:rsid w:val="00B0120F"/>
    <w:rsid w:val="00B0300F"/>
    <w:rsid w:val="00B0424D"/>
    <w:rsid w:val="00B04B2E"/>
    <w:rsid w:val="00B053DF"/>
    <w:rsid w:val="00B05E17"/>
    <w:rsid w:val="00B0637A"/>
    <w:rsid w:val="00B072A4"/>
    <w:rsid w:val="00B1190A"/>
    <w:rsid w:val="00B135B1"/>
    <w:rsid w:val="00B13915"/>
    <w:rsid w:val="00B13E9C"/>
    <w:rsid w:val="00B153F9"/>
    <w:rsid w:val="00B16D40"/>
    <w:rsid w:val="00B218C7"/>
    <w:rsid w:val="00B23BA3"/>
    <w:rsid w:val="00B24A82"/>
    <w:rsid w:val="00B26EA7"/>
    <w:rsid w:val="00B271BE"/>
    <w:rsid w:val="00B35306"/>
    <w:rsid w:val="00B35CAB"/>
    <w:rsid w:val="00B3621E"/>
    <w:rsid w:val="00B36C2A"/>
    <w:rsid w:val="00B412AB"/>
    <w:rsid w:val="00B4236E"/>
    <w:rsid w:val="00B433D3"/>
    <w:rsid w:val="00B43CD6"/>
    <w:rsid w:val="00B443FE"/>
    <w:rsid w:val="00B45C0E"/>
    <w:rsid w:val="00B46F2A"/>
    <w:rsid w:val="00B47D61"/>
    <w:rsid w:val="00B50DCF"/>
    <w:rsid w:val="00B51306"/>
    <w:rsid w:val="00B51626"/>
    <w:rsid w:val="00B51964"/>
    <w:rsid w:val="00B532AC"/>
    <w:rsid w:val="00B5509D"/>
    <w:rsid w:val="00B55699"/>
    <w:rsid w:val="00B5609D"/>
    <w:rsid w:val="00B61383"/>
    <w:rsid w:val="00B63A6E"/>
    <w:rsid w:val="00B6402A"/>
    <w:rsid w:val="00B64CC5"/>
    <w:rsid w:val="00B6522E"/>
    <w:rsid w:val="00B71499"/>
    <w:rsid w:val="00B715EB"/>
    <w:rsid w:val="00B75237"/>
    <w:rsid w:val="00B763CD"/>
    <w:rsid w:val="00B77B80"/>
    <w:rsid w:val="00B8002C"/>
    <w:rsid w:val="00B80916"/>
    <w:rsid w:val="00B854AE"/>
    <w:rsid w:val="00B8655E"/>
    <w:rsid w:val="00B86629"/>
    <w:rsid w:val="00B8734A"/>
    <w:rsid w:val="00B87C02"/>
    <w:rsid w:val="00B923EB"/>
    <w:rsid w:val="00B94DE5"/>
    <w:rsid w:val="00B95D08"/>
    <w:rsid w:val="00B97E73"/>
    <w:rsid w:val="00BA03EC"/>
    <w:rsid w:val="00BA0B81"/>
    <w:rsid w:val="00BA19DC"/>
    <w:rsid w:val="00BA41DE"/>
    <w:rsid w:val="00BA44DF"/>
    <w:rsid w:val="00BA6279"/>
    <w:rsid w:val="00BB26D5"/>
    <w:rsid w:val="00BB2849"/>
    <w:rsid w:val="00BB3AA2"/>
    <w:rsid w:val="00BB3D2F"/>
    <w:rsid w:val="00BB4623"/>
    <w:rsid w:val="00BB6298"/>
    <w:rsid w:val="00BB740C"/>
    <w:rsid w:val="00BC277C"/>
    <w:rsid w:val="00BC6960"/>
    <w:rsid w:val="00BC6BFE"/>
    <w:rsid w:val="00BD0B61"/>
    <w:rsid w:val="00BD1A7F"/>
    <w:rsid w:val="00BD35A1"/>
    <w:rsid w:val="00BD49AB"/>
    <w:rsid w:val="00BD4B37"/>
    <w:rsid w:val="00BE0048"/>
    <w:rsid w:val="00BE01B8"/>
    <w:rsid w:val="00BE0714"/>
    <w:rsid w:val="00BE6D0C"/>
    <w:rsid w:val="00BE70B9"/>
    <w:rsid w:val="00BF14C7"/>
    <w:rsid w:val="00BF2352"/>
    <w:rsid w:val="00BF26EE"/>
    <w:rsid w:val="00BF30D5"/>
    <w:rsid w:val="00BF449E"/>
    <w:rsid w:val="00BF4D9F"/>
    <w:rsid w:val="00C00FE7"/>
    <w:rsid w:val="00C0257A"/>
    <w:rsid w:val="00C02B6B"/>
    <w:rsid w:val="00C02BEF"/>
    <w:rsid w:val="00C04530"/>
    <w:rsid w:val="00C055BE"/>
    <w:rsid w:val="00C05F47"/>
    <w:rsid w:val="00C06EF9"/>
    <w:rsid w:val="00C139E2"/>
    <w:rsid w:val="00C14C34"/>
    <w:rsid w:val="00C15337"/>
    <w:rsid w:val="00C20B15"/>
    <w:rsid w:val="00C217E6"/>
    <w:rsid w:val="00C21DCF"/>
    <w:rsid w:val="00C233DD"/>
    <w:rsid w:val="00C25A25"/>
    <w:rsid w:val="00C25FA2"/>
    <w:rsid w:val="00C26777"/>
    <w:rsid w:val="00C30867"/>
    <w:rsid w:val="00C333D0"/>
    <w:rsid w:val="00C334F2"/>
    <w:rsid w:val="00C360C1"/>
    <w:rsid w:val="00C40246"/>
    <w:rsid w:val="00C41CE0"/>
    <w:rsid w:val="00C42072"/>
    <w:rsid w:val="00C44374"/>
    <w:rsid w:val="00C46A54"/>
    <w:rsid w:val="00C47A74"/>
    <w:rsid w:val="00C5642A"/>
    <w:rsid w:val="00C56FCD"/>
    <w:rsid w:val="00C5745D"/>
    <w:rsid w:val="00C62793"/>
    <w:rsid w:val="00C63B86"/>
    <w:rsid w:val="00C64D39"/>
    <w:rsid w:val="00C65BB8"/>
    <w:rsid w:val="00C6644B"/>
    <w:rsid w:val="00C67765"/>
    <w:rsid w:val="00C67E00"/>
    <w:rsid w:val="00C71E1F"/>
    <w:rsid w:val="00C74A2D"/>
    <w:rsid w:val="00C81D1D"/>
    <w:rsid w:val="00C81D58"/>
    <w:rsid w:val="00C8303C"/>
    <w:rsid w:val="00C84EA8"/>
    <w:rsid w:val="00C8539C"/>
    <w:rsid w:val="00C85736"/>
    <w:rsid w:val="00C874E7"/>
    <w:rsid w:val="00C90E98"/>
    <w:rsid w:val="00C91432"/>
    <w:rsid w:val="00C91A95"/>
    <w:rsid w:val="00C93CBC"/>
    <w:rsid w:val="00CA01EE"/>
    <w:rsid w:val="00CA0EAC"/>
    <w:rsid w:val="00CA16BE"/>
    <w:rsid w:val="00CA19F1"/>
    <w:rsid w:val="00CA2F4C"/>
    <w:rsid w:val="00CA5A0D"/>
    <w:rsid w:val="00CA5B2E"/>
    <w:rsid w:val="00CA5C2C"/>
    <w:rsid w:val="00CA68D4"/>
    <w:rsid w:val="00CA6E5F"/>
    <w:rsid w:val="00CA7B5E"/>
    <w:rsid w:val="00CB0ADC"/>
    <w:rsid w:val="00CB0F11"/>
    <w:rsid w:val="00CB1554"/>
    <w:rsid w:val="00CB16C7"/>
    <w:rsid w:val="00CB2E29"/>
    <w:rsid w:val="00CB5A66"/>
    <w:rsid w:val="00CB63B7"/>
    <w:rsid w:val="00CB6EE5"/>
    <w:rsid w:val="00CC01E8"/>
    <w:rsid w:val="00CC1244"/>
    <w:rsid w:val="00CC181B"/>
    <w:rsid w:val="00CC199F"/>
    <w:rsid w:val="00CC3408"/>
    <w:rsid w:val="00CC3F7E"/>
    <w:rsid w:val="00CC4825"/>
    <w:rsid w:val="00CC52EC"/>
    <w:rsid w:val="00CC5A0E"/>
    <w:rsid w:val="00CC6333"/>
    <w:rsid w:val="00CC7EA9"/>
    <w:rsid w:val="00CD07E7"/>
    <w:rsid w:val="00CD090B"/>
    <w:rsid w:val="00CD2C58"/>
    <w:rsid w:val="00CD419D"/>
    <w:rsid w:val="00CD770E"/>
    <w:rsid w:val="00CD776E"/>
    <w:rsid w:val="00CE3E8C"/>
    <w:rsid w:val="00CE45A8"/>
    <w:rsid w:val="00CE6F9D"/>
    <w:rsid w:val="00CF04B2"/>
    <w:rsid w:val="00CF05BE"/>
    <w:rsid w:val="00CF1955"/>
    <w:rsid w:val="00CF21BB"/>
    <w:rsid w:val="00CF2E36"/>
    <w:rsid w:val="00CF4930"/>
    <w:rsid w:val="00CF5252"/>
    <w:rsid w:val="00CF68AD"/>
    <w:rsid w:val="00CF7A62"/>
    <w:rsid w:val="00D01368"/>
    <w:rsid w:val="00D01648"/>
    <w:rsid w:val="00D01C7B"/>
    <w:rsid w:val="00D03326"/>
    <w:rsid w:val="00D033BF"/>
    <w:rsid w:val="00D06E0D"/>
    <w:rsid w:val="00D07BD0"/>
    <w:rsid w:val="00D129B1"/>
    <w:rsid w:val="00D15D9D"/>
    <w:rsid w:val="00D15E49"/>
    <w:rsid w:val="00D17FF9"/>
    <w:rsid w:val="00D20CB7"/>
    <w:rsid w:val="00D227EB"/>
    <w:rsid w:val="00D23005"/>
    <w:rsid w:val="00D245CD"/>
    <w:rsid w:val="00D2551B"/>
    <w:rsid w:val="00D26EF8"/>
    <w:rsid w:val="00D3014F"/>
    <w:rsid w:val="00D30DEE"/>
    <w:rsid w:val="00D31390"/>
    <w:rsid w:val="00D31442"/>
    <w:rsid w:val="00D31A0C"/>
    <w:rsid w:val="00D33051"/>
    <w:rsid w:val="00D3526B"/>
    <w:rsid w:val="00D365F3"/>
    <w:rsid w:val="00D37221"/>
    <w:rsid w:val="00D375BB"/>
    <w:rsid w:val="00D42964"/>
    <w:rsid w:val="00D429E1"/>
    <w:rsid w:val="00D42ABA"/>
    <w:rsid w:val="00D468F6"/>
    <w:rsid w:val="00D4715D"/>
    <w:rsid w:val="00D47D61"/>
    <w:rsid w:val="00D514D6"/>
    <w:rsid w:val="00D51ACF"/>
    <w:rsid w:val="00D527B8"/>
    <w:rsid w:val="00D53214"/>
    <w:rsid w:val="00D53659"/>
    <w:rsid w:val="00D53AAA"/>
    <w:rsid w:val="00D57D6B"/>
    <w:rsid w:val="00D62778"/>
    <w:rsid w:val="00D635F8"/>
    <w:rsid w:val="00D65205"/>
    <w:rsid w:val="00D669CF"/>
    <w:rsid w:val="00D71D00"/>
    <w:rsid w:val="00D72A50"/>
    <w:rsid w:val="00D746F2"/>
    <w:rsid w:val="00D7545B"/>
    <w:rsid w:val="00D75616"/>
    <w:rsid w:val="00D80D33"/>
    <w:rsid w:val="00D84402"/>
    <w:rsid w:val="00D854DD"/>
    <w:rsid w:val="00D85738"/>
    <w:rsid w:val="00D85A55"/>
    <w:rsid w:val="00D85CED"/>
    <w:rsid w:val="00D8763F"/>
    <w:rsid w:val="00D87BC4"/>
    <w:rsid w:val="00D913AA"/>
    <w:rsid w:val="00D91DFC"/>
    <w:rsid w:val="00D92491"/>
    <w:rsid w:val="00D93B6D"/>
    <w:rsid w:val="00D9540D"/>
    <w:rsid w:val="00D9585B"/>
    <w:rsid w:val="00D967BA"/>
    <w:rsid w:val="00DA14AC"/>
    <w:rsid w:val="00DA1945"/>
    <w:rsid w:val="00DA1ADE"/>
    <w:rsid w:val="00DA355D"/>
    <w:rsid w:val="00DA4AE9"/>
    <w:rsid w:val="00DA7271"/>
    <w:rsid w:val="00DA7FA5"/>
    <w:rsid w:val="00DB0E0F"/>
    <w:rsid w:val="00DB4170"/>
    <w:rsid w:val="00DB7B05"/>
    <w:rsid w:val="00DC1D6A"/>
    <w:rsid w:val="00DC37DF"/>
    <w:rsid w:val="00DC3D9D"/>
    <w:rsid w:val="00DD0166"/>
    <w:rsid w:val="00DD099D"/>
    <w:rsid w:val="00DD11AD"/>
    <w:rsid w:val="00DD423E"/>
    <w:rsid w:val="00DD5F97"/>
    <w:rsid w:val="00DD69F3"/>
    <w:rsid w:val="00DE2A35"/>
    <w:rsid w:val="00DE2F24"/>
    <w:rsid w:val="00DE557B"/>
    <w:rsid w:val="00DF0755"/>
    <w:rsid w:val="00DF2CD8"/>
    <w:rsid w:val="00DF64AB"/>
    <w:rsid w:val="00DF7002"/>
    <w:rsid w:val="00E002E9"/>
    <w:rsid w:val="00E02CB6"/>
    <w:rsid w:val="00E04AE2"/>
    <w:rsid w:val="00E05AAF"/>
    <w:rsid w:val="00E11C37"/>
    <w:rsid w:val="00E13455"/>
    <w:rsid w:val="00E15600"/>
    <w:rsid w:val="00E1594E"/>
    <w:rsid w:val="00E20186"/>
    <w:rsid w:val="00E20905"/>
    <w:rsid w:val="00E20DEC"/>
    <w:rsid w:val="00E214D0"/>
    <w:rsid w:val="00E318A1"/>
    <w:rsid w:val="00E31F04"/>
    <w:rsid w:val="00E322CF"/>
    <w:rsid w:val="00E32E65"/>
    <w:rsid w:val="00E33540"/>
    <w:rsid w:val="00E341B2"/>
    <w:rsid w:val="00E356A6"/>
    <w:rsid w:val="00E35B02"/>
    <w:rsid w:val="00E3669A"/>
    <w:rsid w:val="00E37397"/>
    <w:rsid w:val="00E425F9"/>
    <w:rsid w:val="00E44D13"/>
    <w:rsid w:val="00E44D41"/>
    <w:rsid w:val="00E4574A"/>
    <w:rsid w:val="00E45933"/>
    <w:rsid w:val="00E47052"/>
    <w:rsid w:val="00E47E46"/>
    <w:rsid w:val="00E5003A"/>
    <w:rsid w:val="00E5279A"/>
    <w:rsid w:val="00E538B7"/>
    <w:rsid w:val="00E55D70"/>
    <w:rsid w:val="00E55F20"/>
    <w:rsid w:val="00E6433C"/>
    <w:rsid w:val="00E67B7F"/>
    <w:rsid w:val="00E71015"/>
    <w:rsid w:val="00E71A5E"/>
    <w:rsid w:val="00E74BF0"/>
    <w:rsid w:val="00E74D6B"/>
    <w:rsid w:val="00E756D6"/>
    <w:rsid w:val="00E7580B"/>
    <w:rsid w:val="00E76399"/>
    <w:rsid w:val="00E7659F"/>
    <w:rsid w:val="00E80A7C"/>
    <w:rsid w:val="00E80C75"/>
    <w:rsid w:val="00E8158A"/>
    <w:rsid w:val="00E82B5D"/>
    <w:rsid w:val="00E8448E"/>
    <w:rsid w:val="00E906ED"/>
    <w:rsid w:val="00E9083F"/>
    <w:rsid w:val="00E9321D"/>
    <w:rsid w:val="00E95DC5"/>
    <w:rsid w:val="00EA2137"/>
    <w:rsid w:val="00EA3EC0"/>
    <w:rsid w:val="00EA5DC9"/>
    <w:rsid w:val="00EA6C77"/>
    <w:rsid w:val="00EB0CEE"/>
    <w:rsid w:val="00EB37FC"/>
    <w:rsid w:val="00EB3E5A"/>
    <w:rsid w:val="00EB3ECF"/>
    <w:rsid w:val="00EB41EF"/>
    <w:rsid w:val="00EB66D4"/>
    <w:rsid w:val="00EB79A4"/>
    <w:rsid w:val="00EC2059"/>
    <w:rsid w:val="00EC25BB"/>
    <w:rsid w:val="00EC2B40"/>
    <w:rsid w:val="00EC50CF"/>
    <w:rsid w:val="00ED015C"/>
    <w:rsid w:val="00ED1FA7"/>
    <w:rsid w:val="00ED280A"/>
    <w:rsid w:val="00ED593C"/>
    <w:rsid w:val="00ED6E0A"/>
    <w:rsid w:val="00ED7940"/>
    <w:rsid w:val="00EE028E"/>
    <w:rsid w:val="00EE1AEF"/>
    <w:rsid w:val="00EE2C1E"/>
    <w:rsid w:val="00EE4345"/>
    <w:rsid w:val="00EE5280"/>
    <w:rsid w:val="00EE6F33"/>
    <w:rsid w:val="00EF296D"/>
    <w:rsid w:val="00EF52BF"/>
    <w:rsid w:val="00EF76E9"/>
    <w:rsid w:val="00F00F37"/>
    <w:rsid w:val="00F0156B"/>
    <w:rsid w:val="00F0508B"/>
    <w:rsid w:val="00F05142"/>
    <w:rsid w:val="00F05781"/>
    <w:rsid w:val="00F05C5F"/>
    <w:rsid w:val="00F07D91"/>
    <w:rsid w:val="00F101A6"/>
    <w:rsid w:val="00F12CC0"/>
    <w:rsid w:val="00F15BA4"/>
    <w:rsid w:val="00F16462"/>
    <w:rsid w:val="00F17E1C"/>
    <w:rsid w:val="00F17EDA"/>
    <w:rsid w:val="00F2022D"/>
    <w:rsid w:val="00F2428F"/>
    <w:rsid w:val="00F24A66"/>
    <w:rsid w:val="00F24CA3"/>
    <w:rsid w:val="00F25A14"/>
    <w:rsid w:val="00F3094C"/>
    <w:rsid w:val="00F316FA"/>
    <w:rsid w:val="00F319D2"/>
    <w:rsid w:val="00F321D0"/>
    <w:rsid w:val="00F364BF"/>
    <w:rsid w:val="00F36A9F"/>
    <w:rsid w:val="00F42D22"/>
    <w:rsid w:val="00F46373"/>
    <w:rsid w:val="00F516C6"/>
    <w:rsid w:val="00F52A9D"/>
    <w:rsid w:val="00F52F40"/>
    <w:rsid w:val="00F536F9"/>
    <w:rsid w:val="00F553D0"/>
    <w:rsid w:val="00F560D5"/>
    <w:rsid w:val="00F610E8"/>
    <w:rsid w:val="00F6564E"/>
    <w:rsid w:val="00F6597B"/>
    <w:rsid w:val="00F666A8"/>
    <w:rsid w:val="00F67551"/>
    <w:rsid w:val="00F709BA"/>
    <w:rsid w:val="00F75383"/>
    <w:rsid w:val="00F76391"/>
    <w:rsid w:val="00F776F0"/>
    <w:rsid w:val="00F77DCC"/>
    <w:rsid w:val="00F80457"/>
    <w:rsid w:val="00F809A8"/>
    <w:rsid w:val="00F82005"/>
    <w:rsid w:val="00F8421E"/>
    <w:rsid w:val="00F84D48"/>
    <w:rsid w:val="00F84E39"/>
    <w:rsid w:val="00F857F4"/>
    <w:rsid w:val="00F85A7F"/>
    <w:rsid w:val="00F871C5"/>
    <w:rsid w:val="00F90AD4"/>
    <w:rsid w:val="00F915EB"/>
    <w:rsid w:val="00F93377"/>
    <w:rsid w:val="00F93787"/>
    <w:rsid w:val="00F959A9"/>
    <w:rsid w:val="00FA124C"/>
    <w:rsid w:val="00FA1CEC"/>
    <w:rsid w:val="00FA207C"/>
    <w:rsid w:val="00FA2C56"/>
    <w:rsid w:val="00FA2EA0"/>
    <w:rsid w:val="00FB28D7"/>
    <w:rsid w:val="00FB379F"/>
    <w:rsid w:val="00FB3A20"/>
    <w:rsid w:val="00FB3B41"/>
    <w:rsid w:val="00FB478C"/>
    <w:rsid w:val="00FB4E3D"/>
    <w:rsid w:val="00FB7960"/>
    <w:rsid w:val="00FC0036"/>
    <w:rsid w:val="00FC1F71"/>
    <w:rsid w:val="00FC3188"/>
    <w:rsid w:val="00FC43E7"/>
    <w:rsid w:val="00FC4E63"/>
    <w:rsid w:val="00FC56F8"/>
    <w:rsid w:val="00FC5F0F"/>
    <w:rsid w:val="00FD0287"/>
    <w:rsid w:val="00FD099C"/>
    <w:rsid w:val="00FD3198"/>
    <w:rsid w:val="00FD3550"/>
    <w:rsid w:val="00FD35A7"/>
    <w:rsid w:val="00FD419A"/>
    <w:rsid w:val="00FD4275"/>
    <w:rsid w:val="00FD77D7"/>
    <w:rsid w:val="00FD7962"/>
    <w:rsid w:val="00FE2EE0"/>
    <w:rsid w:val="00FE3265"/>
    <w:rsid w:val="00FE3ADC"/>
    <w:rsid w:val="00FE497E"/>
    <w:rsid w:val="00FE5EBE"/>
    <w:rsid w:val="00FE627F"/>
    <w:rsid w:val="00FE62A7"/>
    <w:rsid w:val="00FF28DC"/>
    <w:rsid w:val="00FF320D"/>
    <w:rsid w:val="00FF37FA"/>
    <w:rsid w:val="00FF5296"/>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FCEE87E"/>
  <w15:docId w15:val="{2C748A02-05DC-4BF2-8244-2587A33C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198"/>
    <w:rPr>
      <w:sz w:val="24"/>
    </w:rPr>
  </w:style>
  <w:style w:type="paragraph" w:styleId="Heading1">
    <w:name w:val="heading 1"/>
    <w:basedOn w:val="Normal"/>
    <w:next w:val="Normal"/>
    <w:link w:val="Heading1Char"/>
    <w:uiPriority w:val="9"/>
    <w:qFormat/>
    <w:rsid w:val="004F29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14DEA"/>
    <w:pPr>
      <w:spacing w:before="200" w:after="100"/>
      <w:jc w:val="center"/>
      <w:outlineLvl w:val="1"/>
    </w:pPr>
    <w:rPr>
      <w:b/>
      <w:bCs/>
      <w:sz w:val="20"/>
    </w:rPr>
  </w:style>
  <w:style w:type="paragraph" w:styleId="Heading3">
    <w:name w:val="heading 3"/>
    <w:basedOn w:val="Normal"/>
    <w:next w:val="Normal"/>
    <w:link w:val="Heading3Char"/>
    <w:uiPriority w:val="9"/>
    <w:unhideWhenUsed/>
    <w:qFormat/>
    <w:rsid w:val="008E1A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14DEA"/>
    <w:pPr>
      <w:spacing w:before="200" w:after="100"/>
      <w:outlineLvl w:val="3"/>
    </w:pPr>
    <w:rPr>
      <w:b/>
      <w:bCs/>
      <w:sz w:val="21"/>
      <w:szCs w:val="21"/>
    </w:rPr>
  </w:style>
  <w:style w:type="paragraph" w:styleId="Heading5">
    <w:name w:val="heading 5"/>
    <w:basedOn w:val="Normal"/>
    <w:link w:val="Heading5Char"/>
    <w:uiPriority w:val="9"/>
    <w:qFormat/>
    <w:rsid w:val="00114DEA"/>
    <w:pPr>
      <w:spacing w:before="200" w:after="100"/>
      <w:jc w:val="center"/>
      <w:outlineLvl w:val="4"/>
    </w:pPr>
    <w:rPr>
      <w:b/>
      <w:bCs/>
      <w:sz w:val="20"/>
    </w:rPr>
  </w:style>
  <w:style w:type="paragraph" w:styleId="Heading7">
    <w:name w:val="heading 7"/>
    <w:basedOn w:val="Normal"/>
    <w:link w:val="Heading7Char"/>
    <w:uiPriority w:val="1"/>
    <w:qFormat/>
    <w:rsid w:val="000116B8"/>
    <w:pPr>
      <w:widowControl w:val="0"/>
      <w:ind w:left="1097"/>
      <w:outlineLvl w:val="6"/>
    </w:pPr>
    <w:rPr>
      <w:rFonts w:ascii="Arial" w:eastAsia="Arial" w:hAnsi="Arial"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306B"/>
    <w:rPr>
      <w:color w:val="0000FF"/>
      <w:u w:val="single"/>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Quick1">
    <w:name w:val="Quick 1."/>
    <w:basedOn w:val="Normal"/>
    <w:pPr>
      <w:widowControl w:val="0"/>
      <w:spacing w:line="240" w:lineRule="exact"/>
    </w:pPr>
  </w:style>
  <w:style w:type="paragraph" w:customStyle="1" w:styleId="QuickA">
    <w:name w:val="Quick A."/>
    <w:basedOn w:val="Normal"/>
    <w:pPr>
      <w:widowControl w:val="0"/>
    </w:pPr>
  </w:style>
  <w:style w:type="paragraph" w:styleId="BalloonText">
    <w:name w:val="Balloon Text"/>
    <w:basedOn w:val="Normal"/>
    <w:semiHidden/>
    <w:rsid w:val="00266363"/>
    <w:rPr>
      <w:rFonts w:ascii="Tahoma" w:hAnsi="Tahoma" w:cs="Tahoma"/>
      <w:sz w:val="16"/>
      <w:szCs w:val="16"/>
    </w:rPr>
  </w:style>
  <w:style w:type="paragraph" w:styleId="Footer">
    <w:name w:val="footer"/>
    <w:basedOn w:val="Normal"/>
    <w:link w:val="FooterChar"/>
    <w:uiPriority w:val="99"/>
    <w:rsid w:val="00CA0EAC"/>
    <w:pPr>
      <w:tabs>
        <w:tab w:val="center" w:pos="4320"/>
        <w:tab w:val="right" w:pos="8640"/>
      </w:tabs>
    </w:pPr>
  </w:style>
  <w:style w:type="character" w:styleId="PageNumber">
    <w:name w:val="page number"/>
    <w:basedOn w:val="DefaultParagraphFont"/>
    <w:rsid w:val="00CA0EAC"/>
  </w:style>
  <w:style w:type="character" w:styleId="CommentReference">
    <w:name w:val="annotation reference"/>
    <w:semiHidden/>
    <w:rsid w:val="002D6BFE"/>
    <w:rPr>
      <w:sz w:val="16"/>
      <w:szCs w:val="16"/>
    </w:rPr>
  </w:style>
  <w:style w:type="paragraph" w:styleId="CommentText">
    <w:name w:val="annotation text"/>
    <w:basedOn w:val="Normal"/>
    <w:link w:val="CommentTextChar"/>
    <w:semiHidden/>
    <w:rsid w:val="002D6BFE"/>
    <w:rPr>
      <w:sz w:val="20"/>
    </w:rPr>
  </w:style>
  <w:style w:type="paragraph" w:styleId="CommentSubject">
    <w:name w:val="annotation subject"/>
    <w:basedOn w:val="CommentText"/>
    <w:next w:val="CommentText"/>
    <w:semiHidden/>
    <w:rsid w:val="002D6BFE"/>
    <w:rPr>
      <w:b/>
      <w:bCs/>
    </w:rPr>
  </w:style>
  <w:style w:type="paragraph" w:styleId="Header">
    <w:name w:val="header"/>
    <w:basedOn w:val="Normal"/>
    <w:rsid w:val="00761996"/>
    <w:pPr>
      <w:tabs>
        <w:tab w:val="center" w:pos="4320"/>
        <w:tab w:val="right" w:pos="8640"/>
      </w:tabs>
    </w:pPr>
  </w:style>
  <w:style w:type="table" w:styleId="TableGrid">
    <w:name w:val="Table Grid"/>
    <w:basedOn w:val="TableNormal"/>
    <w:rsid w:val="00FA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156B7"/>
    <w:pPr>
      <w:spacing w:before="100" w:beforeAutospacing="1" w:after="100" w:afterAutospacing="1"/>
    </w:pPr>
    <w:rPr>
      <w:szCs w:val="24"/>
    </w:rPr>
  </w:style>
  <w:style w:type="paragraph" w:customStyle="1" w:styleId="Level2">
    <w:name w:val="Level 2"/>
    <w:basedOn w:val="Normal"/>
    <w:rsid w:val="004062BF"/>
    <w:pPr>
      <w:widowControl w:val="0"/>
      <w:tabs>
        <w:tab w:val="num" w:pos="1440"/>
      </w:tabs>
      <w:autoSpaceDE w:val="0"/>
      <w:autoSpaceDN w:val="0"/>
      <w:adjustRightInd w:val="0"/>
      <w:ind w:left="1440" w:hanging="450"/>
      <w:outlineLvl w:val="1"/>
    </w:pPr>
    <w:rPr>
      <w:szCs w:val="24"/>
    </w:rPr>
  </w:style>
  <w:style w:type="character" w:styleId="FollowedHyperlink">
    <w:name w:val="FollowedHyperlink"/>
    <w:uiPriority w:val="99"/>
    <w:rsid w:val="00E95DC5"/>
    <w:rPr>
      <w:color w:val="800080"/>
      <w:u w:val="single"/>
    </w:rPr>
  </w:style>
  <w:style w:type="paragraph" w:styleId="Revision">
    <w:name w:val="Revision"/>
    <w:hidden/>
    <w:uiPriority w:val="99"/>
    <w:semiHidden/>
    <w:rsid w:val="003056CF"/>
    <w:rPr>
      <w:sz w:val="24"/>
    </w:rPr>
  </w:style>
  <w:style w:type="paragraph" w:styleId="ListParagraph">
    <w:name w:val="List Paragraph"/>
    <w:basedOn w:val="Normal"/>
    <w:uiPriority w:val="34"/>
    <w:qFormat/>
    <w:rsid w:val="001325A6"/>
    <w:pPr>
      <w:ind w:left="720"/>
      <w:contextualSpacing/>
    </w:pPr>
    <w:rPr>
      <w:rFonts w:ascii="Verdana" w:hAnsi="Verdana"/>
      <w:sz w:val="20"/>
      <w:szCs w:val="24"/>
    </w:rPr>
  </w:style>
  <w:style w:type="character" w:styleId="Strong">
    <w:name w:val="Strong"/>
    <w:uiPriority w:val="22"/>
    <w:qFormat/>
    <w:rsid w:val="00AD44AA"/>
    <w:rPr>
      <w:b/>
      <w:bCs/>
    </w:rPr>
  </w:style>
  <w:style w:type="paragraph" w:customStyle="1" w:styleId="Default">
    <w:name w:val="Default"/>
    <w:rsid w:val="00D9540D"/>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D9540D"/>
    <w:pPr>
      <w:spacing w:line="241" w:lineRule="atLeast"/>
    </w:pPr>
    <w:rPr>
      <w:rFonts w:cs="Times New Roman"/>
      <w:color w:val="auto"/>
    </w:rPr>
  </w:style>
  <w:style w:type="character" w:customStyle="1" w:styleId="A1">
    <w:name w:val="A1"/>
    <w:uiPriority w:val="99"/>
    <w:rsid w:val="00D9540D"/>
    <w:rPr>
      <w:rFonts w:cs="Calibri"/>
      <w:b/>
      <w:bCs/>
      <w:color w:val="221E1F"/>
      <w:sz w:val="48"/>
      <w:szCs w:val="48"/>
    </w:rPr>
  </w:style>
  <w:style w:type="paragraph" w:customStyle="1" w:styleId="Pa1">
    <w:name w:val="Pa1"/>
    <w:basedOn w:val="Default"/>
    <w:next w:val="Default"/>
    <w:uiPriority w:val="99"/>
    <w:rsid w:val="00D9540D"/>
    <w:pPr>
      <w:spacing w:line="241" w:lineRule="atLeast"/>
    </w:pPr>
    <w:rPr>
      <w:rFonts w:cs="Times New Roman"/>
      <w:color w:val="auto"/>
    </w:rPr>
  </w:style>
  <w:style w:type="character" w:customStyle="1" w:styleId="A2">
    <w:name w:val="A2"/>
    <w:uiPriority w:val="99"/>
    <w:rsid w:val="00D9540D"/>
    <w:rPr>
      <w:rFonts w:cs="Calibri"/>
      <w:color w:val="221E1F"/>
      <w:sz w:val="16"/>
      <w:szCs w:val="16"/>
    </w:rPr>
  </w:style>
  <w:style w:type="character" w:customStyle="1" w:styleId="A3">
    <w:name w:val="A3"/>
    <w:uiPriority w:val="99"/>
    <w:rsid w:val="00D9540D"/>
    <w:rPr>
      <w:rFonts w:cs="Calibri"/>
      <w:color w:val="221E1F"/>
      <w:sz w:val="19"/>
      <w:szCs w:val="19"/>
    </w:rPr>
  </w:style>
  <w:style w:type="character" w:customStyle="1" w:styleId="A4">
    <w:name w:val="A4"/>
    <w:uiPriority w:val="99"/>
    <w:rsid w:val="00D9540D"/>
    <w:rPr>
      <w:rFonts w:cs="Calibri"/>
      <w:b/>
      <w:bCs/>
      <w:color w:val="221E1F"/>
      <w:sz w:val="22"/>
      <w:szCs w:val="22"/>
    </w:rPr>
  </w:style>
  <w:style w:type="character" w:customStyle="1" w:styleId="A5">
    <w:name w:val="A5"/>
    <w:uiPriority w:val="99"/>
    <w:rsid w:val="00D9540D"/>
    <w:rPr>
      <w:rFonts w:cs="Calibri"/>
      <w:color w:val="221E1F"/>
      <w:sz w:val="11"/>
      <w:szCs w:val="11"/>
    </w:rPr>
  </w:style>
  <w:style w:type="table" w:customStyle="1" w:styleId="TableGrid1">
    <w:name w:val="Table Grid1"/>
    <w:basedOn w:val="TableNormal"/>
    <w:next w:val="TableGrid"/>
    <w:uiPriority w:val="59"/>
    <w:rsid w:val="00D033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91A95"/>
    <w:rPr>
      <w:sz w:val="24"/>
    </w:rPr>
  </w:style>
  <w:style w:type="character" w:customStyle="1" w:styleId="CommentTextChar">
    <w:name w:val="Comment Text Char"/>
    <w:link w:val="CommentText"/>
    <w:semiHidden/>
    <w:rsid w:val="000B0749"/>
  </w:style>
  <w:style w:type="character" w:customStyle="1" w:styleId="Heading7Char">
    <w:name w:val="Heading 7 Char"/>
    <w:basedOn w:val="DefaultParagraphFont"/>
    <w:link w:val="Heading7"/>
    <w:uiPriority w:val="1"/>
    <w:rsid w:val="000116B8"/>
    <w:rPr>
      <w:rFonts w:ascii="Arial" w:eastAsia="Arial" w:hAnsi="Arial" w:cstheme="minorBidi"/>
      <w:b/>
      <w:bCs/>
      <w:sz w:val="21"/>
      <w:szCs w:val="21"/>
    </w:rPr>
  </w:style>
  <w:style w:type="paragraph" w:styleId="BodyText">
    <w:name w:val="Body Text"/>
    <w:basedOn w:val="Normal"/>
    <w:link w:val="BodyTextChar"/>
    <w:uiPriority w:val="1"/>
    <w:qFormat/>
    <w:rsid w:val="000116B8"/>
    <w:pPr>
      <w:widowControl w:val="0"/>
      <w:ind w:left="1326"/>
    </w:pPr>
    <w:rPr>
      <w:rFonts w:ascii="Arial" w:eastAsia="Arial" w:hAnsi="Arial" w:cstheme="minorBidi"/>
      <w:sz w:val="21"/>
      <w:szCs w:val="21"/>
    </w:rPr>
  </w:style>
  <w:style w:type="character" w:customStyle="1" w:styleId="BodyTextChar">
    <w:name w:val="Body Text Char"/>
    <w:basedOn w:val="DefaultParagraphFont"/>
    <w:link w:val="BodyText"/>
    <w:uiPriority w:val="1"/>
    <w:rsid w:val="000116B8"/>
    <w:rPr>
      <w:rFonts w:ascii="Arial" w:eastAsia="Arial" w:hAnsi="Arial" w:cstheme="minorBidi"/>
      <w:sz w:val="21"/>
      <w:szCs w:val="21"/>
    </w:rPr>
  </w:style>
  <w:style w:type="character" w:customStyle="1" w:styleId="Heading3Char">
    <w:name w:val="Heading 3 Char"/>
    <w:basedOn w:val="DefaultParagraphFont"/>
    <w:link w:val="Heading3"/>
    <w:uiPriority w:val="9"/>
    <w:rsid w:val="008E1AD8"/>
    <w:rPr>
      <w:rFonts w:asciiTheme="majorHAnsi" w:eastAsiaTheme="majorEastAsia" w:hAnsiTheme="majorHAnsi" w:cstheme="majorBidi"/>
      <w:b/>
      <w:bCs/>
      <w:color w:val="4F81BD" w:themeColor="accent1"/>
      <w:sz w:val="24"/>
    </w:rPr>
  </w:style>
  <w:style w:type="table" w:customStyle="1" w:styleId="TableGrid2">
    <w:name w:val="Table Grid2"/>
    <w:basedOn w:val="TableNormal"/>
    <w:next w:val="TableGrid"/>
    <w:uiPriority w:val="59"/>
    <w:rsid w:val="00537D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9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4DEA"/>
    <w:rPr>
      <w:b/>
      <w:bCs/>
    </w:rPr>
  </w:style>
  <w:style w:type="character" w:customStyle="1" w:styleId="Heading4Char">
    <w:name w:val="Heading 4 Char"/>
    <w:basedOn w:val="DefaultParagraphFont"/>
    <w:link w:val="Heading4"/>
    <w:uiPriority w:val="9"/>
    <w:rsid w:val="00114DEA"/>
    <w:rPr>
      <w:b/>
      <w:bCs/>
      <w:sz w:val="21"/>
      <w:szCs w:val="21"/>
    </w:rPr>
  </w:style>
  <w:style w:type="character" w:customStyle="1" w:styleId="Heading5Char">
    <w:name w:val="Heading 5 Char"/>
    <w:basedOn w:val="DefaultParagraphFont"/>
    <w:link w:val="Heading5"/>
    <w:uiPriority w:val="9"/>
    <w:rsid w:val="00114DEA"/>
    <w:rPr>
      <w:b/>
      <w:bCs/>
    </w:rPr>
  </w:style>
  <w:style w:type="numbering" w:customStyle="1" w:styleId="NoList1">
    <w:name w:val="No List1"/>
    <w:next w:val="NoList"/>
    <w:uiPriority w:val="99"/>
    <w:semiHidden/>
    <w:unhideWhenUsed/>
    <w:rsid w:val="00114DEA"/>
  </w:style>
  <w:style w:type="paragraph" w:customStyle="1" w:styleId="msonormal0">
    <w:name w:val="msonormal"/>
    <w:basedOn w:val="Normal"/>
    <w:rsid w:val="00114DEA"/>
    <w:pPr>
      <w:spacing w:before="100" w:beforeAutospacing="1" w:after="100" w:afterAutospacing="1"/>
      <w:ind w:firstLine="480"/>
    </w:pPr>
    <w:rPr>
      <w:szCs w:val="24"/>
    </w:rPr>
  </w:style>
  <w:style w:type="paragraph" w:customStyle="1" w:styleId="fullcenter">
    <w:name w:val="fullcenter"/>
    <w:basedOn w:val="Normal"/>
    <w:rsid w:val="00114DEA"/>
    <w:pPr>
      <w:spacing w:before="100" w:beforeAutospacing="1" w:after="100" w:afterAutospacing="1"/>
      <w:jc w:val="center"/>
    </w:pPr>
    <w:rPr>
      <w:szCs w:val="24"/>
    </w:rPr>
  </w:style>
  <w:style w:type="paragraph" w:customStyle="1" w:styleId="linktoamn">
    <w:name w:val="linktoamn"/>
    <w:basedOn w:val="Normal"/>
    <w:rsid w:val="00114DEA"/>
    <w:pPr>
      <w:spacing w:before="100" w:beforeAutospacing="1" w:after="100" w:afterAutospacing="1"/>
      <w:jc w:val="center"/>
    </w:pPr>
    <w:rPr>
      <w:szCs w:val="24"/>
    </w:rPr>
  </w:style>
  <w:style w:type="paragraph" w:customStyle="1" w:styleId="bfrpage">
    <w:name w:val="bfrpage"/>
    <w:basedOn w:val="Normal"/>
    <w:rsid w:val="00114DEA"/>
    <w:pPr>
      <w:spacing w:before="100" w:beforeAutospacing="1" w:after="100" w:afterAutospacing="1"/>
      <w:jc w:val="center"/>
    </w:pPr>
    <w:rPr>
      <w:szCs w:val="24"/>
    </w:rPr>
  </w:style>
  <w:style w:type="paragraph" w:customStyle="1" w:styleId="breghd">
    <w:name w:val="breghd"/>
    <w:basedOn w:val="Normal"/>
    <w:rsid w:val="00114DEA"/>
    <w:pPr>
      <w:spacing w:before="100" w:beforeAutospacing="1" w:after="100" w:afterAutospacing="1"/>
    </w:pPr>
    <w:rPr>
      <w:szCs w:val="24"/>
    </w:rPr>
  </w:style>
  <w:style w:type="paragraph" w:customStyle="1" w:styleId="effdates">
    <w:name w:val="effdates"/>
    <w:basedOn w:val="Normal"/>
    <w:rsid w:val="00114DEA"/>
    <w:pPr>
      <w:spacing w:before="100" w:beforeAutospacing="1" w:after="100" w:afterAutospacing="1"/>
      <w:ind w:firstLine="480"/>
    </w:pPr>
    <w:rPr>
      <w:smallCaps/>
      <w:szCs w:val="24"/>
    </w:rPr>
  </w:style>
  <w:style w:type="paragraph" w:customStyle="1" w:styleId="updated">
    <w:name w:val="updated"/>
    <w:basedOn w:val="Normal"/>
    <w:rsid w:val="00114DEA"/>
    <w:pPr>
      <w:spacing w:before="100" w:beforeAutospacing="1" w:after="100" w:afterAutospacing="1"/>
    </w:pPr>
    <w:rPr>
      <w:rFonts w:ascii="Arial" w:hAnsi="Arial" w:cs="Arial"/>
      <w:b/>
      <w:bCs/>
      <w:color w:val="575757"/>
      <w:spacing w:val="15"/>
      <w:sz w:val="27"/>
      <w:szCs w:val="27"/>
    </w:rPr>
  </w:style>
  <w:style w:type="paragraph" w:customStyle="1" w:styleId="contact">
    <w:name w:val="contact"/>
    <w:basedOn w:val="Normal"/>
    <w:rsid w:val="00114DEA"/>
    <w:pPr>
      <w:spacing w:before="100" w:beforeAutospacing="1" w:after="100" w:afterAutospacing="1"/>
    </w:pPr>
    <w:rPr>
      <w:sz w:val="17"/>
      <w:szCs w:val="17"/>
    </w:rPr>
  </w:style>
  <w:style w:type="paragraph" w:customStyle="1" w:styleId="clear">
    <w:name w:val="clear"/>
    <w:basedOn w:val="Normal"/>
    <w:rsid w:val="00114DEA"/>
    <w:pPr>
      <w:spacing w:before="100" w:beforeAutospacing="1" w:after="100" w:afterAutospacing="1"/>
      <w:ind w:firstLine="480"/>
    </w:pPr>
    <w:rPr>
      <w:szCs w:val="24"/>
    </w:rPr>
  </w:style>
  <w:style w:type="paragraph" w:customStyle="1" w:styleId="hits">
    <w:name w:val="hits"/>
    <w:basedOn w:val="Normal"/>
    <w:rsid w:val="00114DEA"/>
    <w:pPr>
      <w:spacing w:before="100" w:beforeAutospacing="1" w:after="100" w:afterAutospacing="1"/>
      <w:ind w:firstLine="480"/>
    </w:pPr>
    <w:rPr>
      <w:color w:val="FF0000"/>
      <w:szCs w:val="24"/>
    </w:rPr>
  </w:style>
  <w:style w:type="paragraph" w:customStyle="1" w:styleId="notfound">
    <w:name w:val="notfound"/>
    <w:basedOn w:val="Normal"/>
    <w:rsid w:val="00114DEA"/>
    <w:pPr>
      <w:spacing w:before="100" w:beforeAutospacing="1" w:after="100" w:afterAutospacing="1"/>
      <w:ind w:right="1500" w:firstLine="480"/>
    </w:pPr>
    <w:rPr>
      <w:color w:val="000000"/>
      <w:szCs w:val="24"/>
    </w:rPr>
  </w:style>
  <w:style w:type="paragraph" w:customStyle="1" w:styleId="two-col-layout-table">
    <w:name w:val="two-col-layout-table"/>
    <w:basedOn w:val="Normal"/>
    <w:rsid w:val="00114DEA"/>
    <w:pPr>
      <w:pBdr>
        <w:top w:val="single" w:sz="36" w:space="0" w:color="FFFFFF"/>
      </w:pBdr>
      <w:shd w:val="clear" w:color="auto" w:fill="FFFFFF"/>
      <w:spacing w:before="100" w:beforeAutospacing="1" w:after="100" w:afterAutospacing="1"/>
      <w:ind w:firstLine="480"/>
    </w:pPr>
    <w:rPr>
      <w:szCs w:val="24"/>
    </w:rPr>
  </w:style>
  <w:style w:type="paragraph" w:customStyle="1" w:styleId="two-col-layout-left">
    <w:name w:val="two-col-layout-left"/>
    <w:basedOn w:val="Normal"/>
    <w:rsid w:val="00114DEA"/>
    <w:pPr>
      <w:pBdr>
        <w:right w:val="single" w:sz="6" w:space="4" w:color="CCCCCC"/>
      </w:pBdr>
      <w:spacing w:before="100" w:beforeAutospacing="1" w:after="100" w:afterAutospacing="1"/>
      <w:ind w:firstLine="480"/>
    </w:pPr>
    <w:rPr>
      <w:szCs w:val="24"/>
    </w:rPr>
  </w:style>
  <w:style w:type="paragraph" w:customStyle="1" w:styleId="gpogovinfo">
    <w:name w:val="gpogovinfo"/>
    <w:basedOn w:val="Normal"/>
    <w:rsid w:val="00114DEA"/>
    <w:pPr>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114DEA"/>
    <w:pPr>
      <w:spacing w:before="100" w:beforeAutospacing="1" w:after="100" w:afterAutospacing="1"/>
    </w:pPr>
    <w:rPr>
      <w:rFonts w:ascii="Roboto Slab" w:hAnsi="Roboto Slab"/>
      <w:b/>
      <w:bCs/>
      <w:color w:val="575757"/>
      <w:spacing w:val="15"/>
      <w:szCs w:val="24"/>
    </w:rPr>
  </w:style>
  <w:style w:type="paragraph" w:customStyle="1" w:styleId="left-col-subhead">
    <w:name w:val="left-col-subhead"/>
    <w:basedOn w:val="Normal"/>
    <w:rsid w:val="00114DEA"/>
    <w:pPr>
      <w:spacing w:before="100" w:beforeAutospacing="1" w:after="100" w:afterAutospacing="1"/>
    </w:pPr>
    <w:rPr>
      <w:b/>
      <w:bCs/>
      <w:color w:val="575757"/>
      <w:sz w:val="20"/>
    </w:rPr>
  </w:style>
  <w:style w:type="paragraph" w:customStyle="1" w:styleId="vert-spacer-450">
    <w:name w:val="vert-spacer-450"/>
    <w:basedOn w:val="Normal"/>
    <w:rsid w:val="00114DEA"/>
    <w:pPr>
      <w:spacing w:before="100" w:beforeAutospacing="1" w:after="100" w:afterAutospacing="1"/>
      <w:ind w:firstLine="480"/>
    </w:pPr>
    <w:rPr>
      <w:szCs w:val="24"/>
    </w:rPr>
  </w:style>
  <w:style w:type="paragraph" w:customStyle="1" w:styleId="page-title">
    <w:name w:val="page-title"/>
    <w:basedOn w:val="Normal"/>
    <w:rsid w:val="00114DEA"/>
    <w:pPr>
      <w:ind w:firstLine="480"/>
    </w:pPr>
    <w:rPr>
      <w:rFonts w:ascii="Roboto Slab" w:hAnsi="Roboto Slab"/>
      <w:color w:val="575757"/>
      <w:spacing w:val="30"/>
      <w:sz w:val="39"/>
      <w:szCs w:val="39"/>
    </w:rPr>
  </w:style>
  <w:style w:type="paragraph" w:customStyle="1" w:styleId="hd1">
    <w:name w:val="hd1"/>
    <w:basedOn w:val="Normal"/>
    <w:rsid w:val="00114DEA"/>
    <w:pPr>
      <w:spacing w:before="100" w:beforeAutospacing="1" w:after="100" w:afterAutospacing="1"/>
      <w:ind w:firstLine="480"/>
      <w:jc w:val="center"/>
    </w:pPr>
    <w:rPr>
      <w:smallCaps/>
      <w:szCs w:val="24"/>
    </w:rPr>
  </w:style>
  <w:style w:type="paragraph" w:customStyle="1" w:styleId="hd2">
    <w:name w:val="hd2"/>
    <w:basedOn w:val="Normal"/>
    <w:rsid w:val="00114DEA"/>
    <w:pPr>
      <w:spacing w:before="100" w:beforeAutospacing="1" w:after="100" w:afterAutospacing="1"/>
      <w:ind w:firstLine="480"/>
      <w:jc w:val="center"/>
    </w:pPr>
    <w:rPr>
      <w:i/>
      <w:iCs/>
      <w:szCs w:val="24"/>
    </w:rPr>
  </w:style>
  <w:style w:type="paragraph" w:customStyle="1" w:styleId="hd3">
    <w:name w:val="hd3"/>
    <w:basedOn w:val="Normal"/>
    <w:rsid w:val="00114DEA"/>
    <w:pPr>
      <w:spacing w:before="100" w:beforeAutospacing="1" w:after="100" w:afterAutospacing="1"/>
      <w:ind w:firstLine="480"/>
      <w:jc w:val="center"/>
    </w:pPr>
    <w:rPr>
      <w:szCs w:val="24"/>
    </w:rPr>
  </w:style>
  <w:style w:type="paragraph" w:customStyle="1" w:styleId="hd4">
    <w:name w:val="hd4"/>
    <w:basedOn w:val="Normal"/>
    <w:rsid w:val="00114DEA"/>
    <w:pPr>
      <w:spacing w:before="100" w:beforeAutospacing="1" w:after="100" w:afterAutospacing="1"/>
      <w:ind w:firstLine="480"/>
      <w:jc w:val="center"/>
    </w:pPr>
    <w:rPr>
      <w:szCs w:val="24"/>
    </w:rPr>
  </w:style>
  <w:style w:type="paragraph" w:customStyle="1" w:styleId="hd5">
    <w:name w:val="hd5"/>
    <w:basedOn w:val="Normal"/>
    <w:rsid w:val="00114DEA"/>
    <w:pPr>
      <w:spacing w:before="100" w:beforeAutospacing="1" w:after="100" w:afterAutospacing="1"/>
      <w:ind w:firstLine="480"/>
      <w:jc w:val="center"/>
    </w:pPr>
    <w:rPr>
      <w:b/>
      <w:bCs/>
      <w:sz w:val="23"/>
      <w:szCs w:val="23"/>
    </w:rPr>
  </w:style>
  <w:style w:type="paragraph" w:customStyle="1" w:styleId="hed1">
    <w:name w:val="hed1"/>
    <w:basedOn w:val="Normal"/>
    <w:rsid w:val="00114DEA"/>
    <w:pPr>
      <w:spacing w:before="100" w:beforeAutospacing="1" w:after="100" w:afterAutospacing="1"/>
      <w:ind w:firstLine="480"/>
      <w:jc w:val="center"/>
    </w:pPr>
    <w:rPr>
      <w:b/>
      <w:bCs/>
      <w:sz w:val="20"/>
    </w:rPr>
  </w:style>
  <w:style w:type="paragraph" w:customStyle="1" w:styleId="frp">
    <w:name w:val="frp"/>
    <w:basedOn w:val="Normal"/>
    <w:rsid w:val="00114DEA"/>
    <w:pPr>
      <w:spacing w:before="100" w:beforeAutospacing="1" w:after="100" w:afterAutospacing="1"/>
      <w:ind w:right="480"/>
      <w:jc w:val="right"/>
    </w:pPr>
    <w:rPr>
      <w:szCs w:val="24"/>
    </w:rPr>
  </w:style>
  <w:style w:type="paragraph" w:customStyle="1" w:styleId="frp0">
    <w:name w:val="frp0"/>
    <w:basedOn w:val="Normal"/>
    <w:rsid w:val="00114DEA"/>
    <w:pPr>
      <w:spacing w:before="100" w:beforeAutospacing="1" w:after="100" w:afterAutospacing="1"/>
      <w:jc w:val="right"/>
    </w:pPr>
    <w:rPr>
      <w:szCs w:val="24"/>
    </w:rPr>
  </w:style>
  <w:style w:type="paragraph" w:customStyle="1" w:styleId="p1">
    <w:name w:val="p1"/>
    <w:basedOn w:val="Normal"/>
    <w:rsid w:val="00114DEA"/>
    <w:pPr>
      <w:spacing w:before="100" w:beforeAutospacing="1" w:after="100" w:afterAutospacing="1"/>
      <w:ind w:left="1440" w:hanging="480"/>
    </w:pPr>
    <w:rPr>
      <w:szCs w:val="24"/>
    </w:rPr>
  </w:style>
  <w:style w:type="paragraph" w:customStyle="1" w:styleId="p-1">
    <w:name w:val="p-1"/>
    <w:basedOn w:val="Normal"/>
    <w:rsid w:val="00114DEA"/>
    <w:pPr>
      <w:spacing w:before="100" w:beforeAutospacing="1" w:after="100" w:afterAutospacing="1"/>
      <w:ind w:left="480"/>
    </w:pPr>
    <w:rPr>
      <w:szCs w:val="24"/>
    </w:rPr>
  </w:style>
  <w:style w:type="paragraph" w:customStyle="1" w:styleId="p2">
    <w:name w:val="p2"/>
    <w:basedOn w:val="Normal"/>
    <w:rsid w:val="00114DEA"/>
    <w:pPr>
      <w:spacing w:before="100" w:beforeAutospacing="1" w:after="100" w:afterAutospacing="1"/>
      <w:ind w:left="480" w:firstLine="480"/>
    </w:pPr>
    <w:rPr>
      <w:szCs w:val="24"/>
    </w:rPr>
  </w:style>
  <w:style w:type="paragraph" w:customStyle="1" w:styleId="p-2">
    <w:name w:val="p-2"/>
    <w:basedOn w:val="Normal"/>
    <w:rsid w:val="00114DEA"/>
    <w:pPr>
      <w:spacing w:before="100" w:beforeAutospacing="1" w:after="100" w:afterAutospacing="1"/>
      <w:ind w:left="960"/>
    </w:pPr>
    <w:rPr>
      <w:szCs w:val="24"/>
    </w:rPr>
  </w:style>
  <w:style w:type="paragraph" w:customStyle="1" w:styleId="p-3">
    <w:name w:val="p-3"/>
    <w:basedOn w:val="Normal"/>
    <w:rsid w:val="00114DEA"/>
    <w:pPr>
      <w:spacing w:before="100" w:beforeAutospacing="1" w:after="100" w:afterAutospacing="1"/>
      <w:ind w:left="960" w:hanging="480"/>
    </w:pPr>
    <w:rPr>
      <w:szCs w:val="24"/>
    </w:rPr>
  </w:style>
  <w:style w:type="paragraph" w:customStyle="1" w:styleId="fp">
    <w:name w:val="fp"/>
    <w:basedOn w:val="Normal"/>
    <w:rsid w:val="00114DEA"/>
    <w:pPr>
      <w:spacing w:before="200" w:after="100" w:afterAutospacing="1"/>
    </w:pPr>
    <w:rPr>
      <w:szCs w:val="24"/>
    </w:rPr>
  </w:style>
  <w:style w:type="paragraph" w:customStyle="1" w:styleId="left-col-fp">
    <w:name w:val="left-col-fp"/>
    <w:basedOn w:val="Normal"/>
    <w:rsid w:val="00114DEA"/>
    <w:pPr>
      <w:spacing w:after="100" w:afterAutospacing="1"/>
    </w:pPr>
    <w:rPr>
      <w:szCs w:val="24"/>
    </w:rPr>
  </w:style>
  <w:style w:type="paragraph" w:customStyle="1" w:styleId="related-resources">
    <w:name w:val="related-resources"/>
    <w:basedOn w:val="Normal"/>
    <w:rsid w:val="00114DEA"/>
    <w:pPr>
      <w:spacing w:before="100" w:beforeAutospacing="1" w:after="100" w:afterAutospacing="1"/>
      <w:ind w:right="150"/>
    </w:pPr>
    <w:rPr>
      <w:sz w:val="17"/>
      <w:szCs w:val="17"/>
    </w:rPr>
  </w:style>
  <w:style w:type="paragraph" w:customStyle="1" w:styleId="contentsp">
    <w:name w:val="contentsp"/>
    <w:basedOn w:val="Normal"/>
    <w:rsid w:val="00114DEA"/>
    <w:pPr>
      <w:spacing w:before="200" w:after="100" w:afterAutospacing="1"/>
    </w:pPr>
    <w:rPr>
      <w:b/>
      <w:bCs/>
      <w:sz w:val="20"/>
    </w:rPr>
  </w:style>
  <w:style w:type="paragraph" w:customStyle="1" w:styleId="contentsg">
    <w:name w:val="contentsg"/>
    <w:basedOn w:val="Normal"/>
    <w:rsid w:val="00114DEA"/>
    <w:pPr>
      <w:spacing w:before="200" w:after="100" w:afterAutospacing="1"/>
    </w:pPr>
    <w:rPr>
      <w:smallCaps/>
      <w:sz w:val="20"/>
    </w:rPr>
  </w:style>
  <w:style w:type="paragraph" w:customStyle="1" w:styleId="updatetitle">
    <w:name w:val="updatetitle"/>
    <w:basedOn w:val="Normal"/>
    <w:rsid w:val="00114DEA"/>
    <w:pPr>
      <w:spacing w:before="100" w:beforeAutospacing="1" w:after="100" w:afterAutospacing="1"/>
    </w:pPr>
    <w:rPr>
      <w:rFonts w:ascii="Roboto Slab" w:hAnsi="Roboto Slab"/>
      <w:b/>
      <w:bCs/>
      <w:color w:val="575757"/>
      <w:spacing w:val="15"/>
      <w:szCs w:val="24"/>
    </w:rPr>
  </w:style>
  <w:style w:type="paragraph" w:customStyle="1" w:styleId="updatebodytest">
    <w:name w:val="updatebodytest"/>
    <w:basedOn w:val="Normal"/>
    <w:rsid w:val="00114DEA"/>
    <w:pPr>
      <w:spacing w:before="100" w:beforeAutospacing="1" w:after="100" w:afterAutospacing="1"/>
    </w:pPr>
    <w:rPr>
      <w:szCs w:val="24"/>
    </w:rPr>
  </w:style>
  <w:style w:type="paragraph" w:customStyle="1" w:styleId="updatebold">
    <w:name w:val="updatebold"/>
    <w:basedOn w:val="Normal"/>
    <w:rsid w:val="00114DEA"/>
    <w:pPr>
      <w:spacing w:before="100" w:beforeAutospacing="1" w:after="100" w:afterAutospacing="1"/>
    </w:pPr>
    <w:rPr>
      <w:b/>
      <w:bCs/>
      <w:szCs w:val="24"/>
    </w:rPr>
  </w:style>
  <w:style w:type="paragraph" w:customStyle="1" w:styleId="source">
    <w:name w:val="source"/>
    <w:basedOn w:val="Normal"/>
    <w:rsid w:val="00114DEA"/>
    <w:pPr>
      <w:spacing w:before="200" w:after="100" w:afterAutospacing="1"/>
      <w:ind w:firstLine="480"/>
    </w:pPr>
    <w:rPr>
      <w:sz w:val="18"/>
      <w:szCs w:val="18"/>
    </w:rPr>
  </w:style>
  <w:style w:type="paragraph" w:customStyle="1" w:styleId="ednote">
    <w:name w:val="ednote"/>
    <w:basedOn w:val="Normal"/>
    <w:rsid w:val="00114DEA"/>
    <w:pPr>
      <w:spacing w:before="200" w:after="100" w:afterAutospacing="1"/>
      <w:ind w:firstLine="480"/>
    </w:pPr>
    <w:rPr>
      <w:sz w:val="18"/>
      <w:szCs w:val="18"/>
    </w:rPr>
  </w:style>
  <w:style w:type="paragraph" w:customStyle="1" w:styleId="effdnot">
    <w:name w:val="effdnot"/>
    <w:basedOn w:val="Normal"/>
    <w:rsid w:val="00114DEA"/>
    <w:pPr>
      <w:spacing w:before="200" w:after="100" w:afterAutospacing="1"/>
      <w:ind w:firstLine="480"/>
    </w:pPr>
    <w:rPr>
      <w:sz w:val="18"/>
      <w:szCs w:val="18"/>
    </w:rPr>
  </w:style>
  <w:style w:type="paragraph" w:customStyle="1" w:styleId="example">
    <w:name w:val="example"/>
    <w:basedOn w:val="Normal"/>
    <w:rsid w:val="00114DEA"/>
    <w:pPr>
      <w:spacing w:before="200" w:after="100" w:afterAutospacing="1"/>
      <w:ind w:firstLine="480"/>
    </w:pPr>
    <w:rPr>
      <w:sz w:val="18"/>
      <w:szCs w:val="18"/>
    </w:rPr>
  </w:style>
  <w:style w:type="paragraph" w:customStyle="1" w:styleId="crossref">
    <w:name w:val="crossref"/>
    <w:basedOn w:val="Normal"/>
    <w:rsid w:val="00114DEA"/>
    <w:pPr>
      <w:spacing w:before="200" w:after="100" w:afterAutospacing="1"/>
      <w:ind w:firstLine="480"/>
    </w:pPr>
    <w:rPr>
      <w:sz w:val="18"/>
      <w:szCs w:val="18"/>
    </w:rPr>
  </w:style>
  <w:style w:type="paragraph" w:customStyle="1" w:styleId="note">
    <w:name w:val="note"/>
    <w:basedOn w:val="Normal"/>
    <w:rsid w:val="00114DEA"/>
    <w:pPr>
      <w:spacing w:before="200" w:after="100" w:afterAutospacing="1"/>
      <w:ind w:firstLine="480"/>
    </w:pPr>
    <w:rPr>
      <w:sz w:val="18"/>
      <w:szCs w:val="18"/>
    </w:rPr>
  </w:style>
  <w:style w:type="paragraph" w:customStyle="1" w:styleId="cita">
    <w:name w:val="cita"/>
    <w:basedOn w:val="Normal"/>
    <w:rsid w:val="00114DEA"/>
    <w:pPr>
      <w:spacing w:before="200" w:after="100" w:afterAutospacing="1"/>
    </w:pPr>
    <w:rPr>
      <w:sz w:val="18"/>
      <w:szCs w:val="18"/>
    </w:rPr>
  </w:style>
  <w:style w:type="paragraph" w:customStyle="1" w:styleId="appro">
    <w:name w:val="appro"/>
    <w:basedOn w:val="Normal"/>
    <w:rsid w:val="00114DEA"/>
    <w:pPr>
      <w:spacing w:before="200" w:after="100" w:afterAutospacing="1"/>
    </w:pPr>
    <w:rPr>
      <w:sz w:val="18"/>
      <w:szCs w:val="18"/>
    </w:rPr>
  </w:style>
  <w:style w:type="paragraph" w:customStyle="1" w:styleId="auth">
    <w:name w:val="auth"/>
    <w:basedOn w:val="Normal"/>
    <w:rsid w:val="00114DEA"/>
    <w:pPr>
      <w:spacing w:before="200" w:after="100" w:afterAutospacing="1"/>
      <w:ind w:firstLine="480"/>
    </w:pPr>
    <w:rPr>
      <w:sz w:val="18"/>
      <w:szCs w:val="18"/>
    </w:rPr>
  </w:style>
  <w:style w:type="paragraph" w:customStyle="1" w:styleId="parauth">
    <w:name w:val="parauth"/>
    <w:basedOn w:val="Normal"/>
    <w:rsid w:val="00114DEA"/>
    <w:pPr>
      <w:spacing w:before="200" w:after="100" w:afterAutospacing="1"/>
    </w:pPr>
    <w:rPr>
      <w:sz w:val="18"/>
      <w:szCs w:val="18"/>
    </w:rPr>
  </w:style>
  <w:style w:type="paragraph" w:customStyle="1" w:styleId="secauth">
    <w:name w:val="secauth"/>
    <w:basedOn w:val="Normal"/>
    <w:rsid w:val="00114DEA"/>
    <w:pPr>
      <w:spacing w:before="200" w:after="100" w:afterAutospacing="1"/>
    </w:pPr>
    <w:rPr>
      <w:sz w:val="18"/>
      <w:szCs w:val="18"/>
    </w:rPr>
  </w:style>
  <w:style w:type="paragraph" w:customStyle="1" w:styleId="Title1">
    <w:name w:val="Title1"/>
    <w:basedOn w:val="Normal"/>
    <w:rsid w:val="00114DEA"/>
    <w:pPr>
      <w:spacing w:before="200" w:after="100" w:afterAutospacing="1"/>
    </w:pPr>
    <w:rPr>
      <w:szCs w:val="24"/>
    </w:rPr>
  </w:style>
  <w:style w:type="paragraph" w:customStyle="1" w:styleId="Subtitle1">
    <w:name w:val="Subtitle1"/>
    <w:basedOn w:val="Normal"/>
    <w:rsid w:val="00114DEA"/>
    <w:pPr>
      <w:spacing w:before="200" w:after="100" w:afterAutospacing="1"/>
    </w:pPr>
    <w:rPr>
      <w:szCs w:val="24"/>
    </w:rPr>
  </w:style>
  <w:style w:type="paragraph" w:customStyle="1" w:styleId="chapter">
    <w:name w:val="chapter"/>
    <w:basedOn w:val="Normal"/>
    <w:rsid w:val="00114DEA"/>
    <w:pPr>
      <w:spacing w:before="200" w:after="100" w:afterAutospacing="1"/>
    </w:pPr>
    <w:rPr>
      <w:szCs w:val="24"/>
    </w:rPr>
  </w:style>
  <w:style w:type="paragraph" w:customStyle="1" w:styleId="subchapter">
    <w:name w:val="subchapter"/>
    <w:basedOn w:val="Normal"/>
    <w:rsid w:val="00114DEA"/>
    <w:pPr>
      <w:spacing w:before="200" w:after="100" w:afterAutospacing="1"/>
    </w:pPr>
    <w:rPr>
      <w:szCs w:val="24"/>
    </w:rPr>
  </w:style>
  <w:style w:type="paragraph" w:customStyle="1" w:styleId="part">
    <w:name w:val="part"/>
    <w:basedOn w:val="Normal"/>
    <w:rsid w:val="00114DEA"/>
    <w:pPr>
      <w:spacing w:before="200" w:after="100" w:afterAutospacing="1"/>
    </w:pPr>
    <w:rPr>
      <w:szCs w:val="24"/>
    </w:rPr>
  </w:style>
  <w:style w:type="paragraph" w:customStyle="1" w:styleId="subpart">
    <w:name w:val="subpart"/>
    <w:basedOn w:val="Normal"/>
    <w:rsid w:val="00114DEA"/>
    <w:pPr>
      <w:spacing w:before="200" w:after="100" w:afterAutospacing="1"/>
    </w:pPr>
    <w:rPr>
      <w:szCs w:val="24"/>
    </w:rPr>
  </w:style>
  <w:style w:type="paragraph" w:customStyle="1" w:styleId="apphead">
    <w:name w:val="apphead"/>
    <w:basedOn w:val="Normal"/>
    <w:rsid w:val="00114DEA"/>
    <w:pPr>
      <w:spacing w:before="200" w:after="100"/>
      <w:ind w:firstLine="480"/>
      <w:jc w:val="center"/>
    </w:pPr>
    <w:rPr>
      <w:smallCaps/>
      <w:sz w:val="20"/>
    </w:rPr>
  </w:style>
  <w:style w:type="paragraph" w:customStyle="1" w:styleId="sphead">
    <w:name w:val="sphead"/>
    <w:basedOn w:val="Normal"/>
    <w:rsid w:val="00114DEA"/>
    <w:pPr>
      <w:spacing w:before="200" w:after="100"/>
    </w:pPr>
    <w:rPr>
      <w:b/>
      <w:bCs/>
      <w:sz w:val="27"/>
      <w:szCs w:val="27"/>
    </w:rPr>
  </w:style>
  <w:style w:type="paragraph" w:customStyle="1" w:styleId="cpsghead">
    <w:name w:val="cpsghead"/>
    <w:basedOn w:val="Normal"/>
    <w:rsid w:val="00114DEA"/>
    <w:pPr>
      <w:spacing w:before="100"/>
    </w:pPr>
    <w:rPr>
      <w:smallCaps/>
      <w:sz w:val="18"/>
      <w:szCs w:val="18"/>
    </w:rPr>
  </w:style>
  <w:style w:type="paragraph" w:customStyle="1" w:styleId="tsghead">
    <w:name w:val="tsghead"/>
    <w:basedOn w:val="Normal"/>
    <w:rsid w:val="00114DEA"/>
    <w:pPr>
      <w:spacing w:before="200" w:after="100"/>
    </w:pPr>
    <w:rPr>
      <w:b/>
      <w:bCs/>
      <w:smallCaps/>
      <w:sz w:val="27"/>
      <w:szCs w:val="27"/>
    </w:rPr>
  </w:style>
  <w:style w:type="paragraph" w:customStyle="1" w:styleId="sghead">
    <w:name w:val="sghead"/>
    <w:basedOn w:val="Normal"/>
    <w:rsid w:val="00114DEA"/>
    <w:pPr>
      <w:spacing w:before="200" w:after="100"/>
      <w:jc w:val="center"/>
    </w:pPr>
    <w:rPr>
      <w:smallCaps/>
      <w:sz w:val="20"/>
    </w:rPr>
  </w:style>
  <w:style w:type="paragraph" w:customStyle="1" w:styleId="stars">
    <w:name w:val="stars"/>
    <w:basedOn w:val="Normal"/>
    <w:rsid w:val="00114DEA"/>
    <w:pPr>
      <w:spacing w:before="100" w:beforeAutospacing="1" w:after="100" w:afterAutospacing="1"/>
      <w:ind w:firstLine="480"/>
    </w:pPr>
    <w:rPr>
      <w:szCs w:val="24"/>
    </w:rPr>
  </w:style>
  <w:style w:type="paragraph" w:customStyle="1" w:styleId="tcap">
    <w:name w:val="tcap"/>
    <w:basedOn w:val="Normal"/>
    <w:rsid w:val="00114DEA"/>
    <w:pPr>
      <w:spacing w:before="100" w:beforeAutospacing="1" w:after="100" w:afterAutospacing="1"/>
      <w:ind w:firstLine="480"/>
      <w:jc w:val="center"/>
    </w:pPr>
    <w:rPr>
      <w:szCs w:val="24"/>
    </w:rPr>
  </w:style>
  <w:style w:type="paragraph" w:customStyle="1" w:styleId="bcap">
    <w:name w:val="bcap"/>
    <w:basedOn w:val="Normal"/>
    <w:rsid w:val="00114DEA"/>
    <w:pPr>
      <w:spacing w:before="100" w:beforeAutospacing="1" w:after="100" w:afterAutospacing="1"/>
      <w:ind w:firstLine="480"/>
    </w:pPr>
    <w:rPr>
      <w:szCs w:val="24"/>
    </w:rPr>
  </w:style>
  <w:style w:type="paragraph" w:customStyle="1" w:styleId="fp-1">
    <w:name w:val="fp-1"/>
    <w:basedOn w:val="Normal"/>
    <w:rsid w:val="00114DEA"/>
    <w:pPr>
      <w:spacing w:before="200" w:after="100"/>
      <w:ind w:left="480" w:hanging="480"/>
    </w:pPr>
    <w:rPr>
      <w:szCs w:val="24"/>
    </w:rPr>
  </w:style>
  <w:style w:type="paragraph" w:customStyle="1" w:styleId="fp-2">
    <w:name w:val="fp-2"/>
    <w:basedOn w:val="Normal"/>
    <w:rsid w:val="00114DEA"/>
    <w:pPr>
      <w:spacing w:before="200" w:after="100"/>
      <w:ind w:left="960" w:hanging="960"/>
    </w:pPr>
    <w:rPr>
      <w:szCs w:val="24"/>
    </w:rPr>
  </w:style>
  <w:style w:type="paragraph" w:customStyle="1" w:styleId="fp1-2">
    <w:name w:val="fp1-2"/>
    <w:basedOn w:val="Normal"/>
    <w:rsid w:val="00114DEA"/>
    <w:pPr>
      <w:spacing w:before="200" w:after="100"/>
      <w:ind w:left="960" w:hanging="480"/>
    </w:pPr>
    <w:rPr>
      <w:szCs w:val="24"/>
    </w:rPr>
  </w:style>
  <w:style w:type="paragraph" w:customStyle="1" w:styleId="fp2-2">
    <w:name w:val="fp2-2"/>
    <w:basedOn w:val="Normal"/>
    <w:rsid w:val="00114DEA"/>
    <w:pPr>
      <w:spacing w:before="200" w:after="100"/>
      <w:ind w:left="960"/>
    </w:pPr>
    <w:rPr>
      <w:szCs w:val="24"/>
    </w:rPr>
  </w:style>
  <w:style w:type="paragraph" w:customStyle="1" w:styleId="fp2-3">
    <w:name w:val="fp2-3"/>
    <w:basedOn w:val="Normal"/>
    <w:rsid w:val="00114DEA"/>
    <w:pPr>
      <w:spacing w:before="200" w:after="100"/>
      <w:ind w:left="1440" w:hanging="480"/>
    </w:pPr>
    <w:rPr>
      <w:szCs w:val="24"/>
    </w:rPr>
  </w:style>
  <w:style w:type="paragraph" w:customStyle="1" w:styleId="contents">
    <w:name w:val="contents"/>
    <w:basedOn w:val="Normal"/>
    <w:rsid w:val="00114DEA"/>
    <w:pPr>
      <w:spacing w:before="200" w:after="100"/>
    </w:pPr>
    <w:rPr>
      <w:szCs w:val="24"/>
    </w:rPr>
  </w:style>
  <w:style w:type="paragraph" w:customStyle="1" w:styleId="three-col-layout-middle">
    <w:name w:val="three-col-layout-middle"/>
    <w:basedOn w:val="Normal"/>
    <w:rsid w:val="00114DEA"/>
    <w:pPr>
      <w:pBdr>
        <w:left w:val="single" w:sz="6" w:space="0" w:color="CCCCCC"/>
      </w:pBdr>
      <w:spacing w:before="100" w:beforeAutospacing="1" w:after="100" w:afterAutospacing="1"/>
      <w:ind w:firstLine="480"/>
    </w:pPr>
    <w:rPr>
      <w:szCs w:val="24"/>
    </w:rPr>
  </w:style>
  <w:style w:type="paragraph" w:customStyle="1" w:styleId="three-col-layout-right">
    <w:name w:val="three-col-layout-right"/>
    <w:basedOn w:val="Normal"/>
    <w:rsid w:val="00114DEA"/>
    <w:pPr>
      <w:pBdr>
        <w:left w:val="single" w:sz="6" w:space="0" w:color="CCCCCC"/>
      </w:pBdr>
      <w:spacing w:before="100" w:beforeAutospacing="1" w:after="100" w:afterAutospacing="1"/>
      <w:ind w:firstLine="480"/>
    </w:pPr>
    <w:rPr>
      <w:szCs w:val="24"/>
    </w:rPr>
  </w:style>
  <w:style w:type="paragraph" w:customStyle="1" w:styleId="extract">
    <w:name w:val="extract"/>
    <w:basedOn w:val="Normal"/>
    <w:rsid w:val="00114DEA"/>
    <w:pPr>
      <w:spacing w:before="100" w:beforeAutospacing="1" w:after="100" w:afterAutospacing="1"/>
      <w:ind w:firstLine="480"/>
    </w:pPr>
    <w:rPr>
      <w:sz w:val="18"/>
      <w:szCs w:val="18"/>
    </w:rPr>
  </w:style>
  <w:style w:type="paragraph" w:customStyle="1" w:styleId="ftnt">
    <w:name w:val="ftnt"/>
    <w:basedOn w:val="Normal"/>
    <w:rsid w:val="00114DEA"/>
    <w:pPr>
      <w:spacing w:before="100" w:beforeAutospacing="1" w:after="100" w:afterAutospacing="1"/>
      <w:ind w:firstLine="480"/>
    </w:pPr>
    <w:rPr>
      <w:sz w:val="18"/>
      <w:szCs w:val="18"/>
    </w:rPr>
  </w:style>
  <w:style w:type="paragraph" w:customStyle="1" w:styleId="tpl">
    <w:name w:val="tpl"/>
    <w:basedOn w:val="Normal"/>
    <w:rsid w:val="00114DEA"/>
    <w:pPr>
      <w:spacing w:before="100" w:beforeAutospacing="1" w:after="100" w:afterAutospacing="1"/>
      <w:ind w:firstLine="480"/>
    </w:pPr>
    <w:rPr>
      <w:sz w:val="20"/>
    </w:rPr>
  </w:style>
  <w:style w:type="paragraph" w:customStyle="1" w:styleId="sechd">
    <w:name w:val="sechd"/>
    <w:basedOn w:val="Normal"/>
    <w:rsid w:val="00114DEA"/>
    <w:pPr>
      <w:spacing w:after="100" w:afterAutospacing="1"/>
    </w:pPr>
    <w:rPr>
      <w:szCs w:val="24"/>
    </w:rPr>
  </w:style>
  <w:style w:type="paragraph" w:customStyle="1" w:styleId="centry">
    <w:name w:val="c_entry"/>
    <w:basedOn w:val="Normal"/>
    <w:rsid w:val="00114DEA"/>
    <w:pPr>
      <w:spacing w:after="100" w:afterAutospacing="1"/>
    </w:pPr>
    <w:rPr>
      <w:szCs w:val="24"/>
    </w:rPr>
  </w:style>
  <w:style w:type="paragraph" w:customStyle="1" w:styleId="su">
    <w:name w:val="su"/>
    <w:basedOn w:val="Normal"/>
    <w:rsid w:val="00114DEA"/>
    <w:pPr>
      <w:spacing w:before="100" w:beforeAutospacing="1" w:after="100" w:afterAutospacing="1"/>
      <w:ind w:firstLine="480"/>
    </w:pPr>
    <w:rPr>
      <w:sz w:val="17"/>
      <w:szCs w:val="17"/>
      <w:vertAlign w:val="superscript"/>
    </w:rPr>
  </w:style>
  <w:style w:type="paragraph" w:customStyle="1" w:styleId="titlepage">
    <w:name w:val="titlepage"/>
    <w:basedOn w:val="Normal"/>
    <w:rsid w:val="00114DEA"/>
    <w:pPr>
      <w:spacing w:before="100" w:beforeAutospacing="1" w:after="100" w:afterAutospacing="1"/>
      <w:ind w:firstLine="480"/>
    </w:pPr>
    <w:rPr>
      <w:sz w:val="18"/>
      <w:szCs w:val="18"/>
    </w:rPr>
  </w:style>
  <w:style w:type="paragraph" w:customStyle="1" w:styleId="gpotblhang">
    <w:name w:val="gpotbl_hang"/>
    <w:basedOn w:val="Normal"/>
    <w:rsid w:val="00114DEA"/>
    <w:pPr>
      <w:spacing w:before="100" w:beforeAutospacing="1" w:after="100" w:afterAutospacing="1"/>
      <w:ind w:hanging="480"/>
    </w:pPr>
    <w:rPr>
      <w:szCs w:val="24"/>
    </w:rPr>
  </w:style>
  <w:style w:type="paragraph" w:customStyle="1" w:styleId="gpotbltable">
    <w:name w:val="gpotbl_table"/>
    <w:basedOn w:val="Normal"/>
    <w:rsid w:val="00114DEA"/>
    <w:pPr>
      <w:spacing w:before="100" w:beforeAutospacing="1" w:after="100" w:afterAutospacing="1"/>
      <w:ind w:firstLine="480"/>
    </w:pPr>
    <w:rPr>
      <w:szCs w:val="24"/>
    </w:rPr>
  </w:style>
  <w:style w:type="paragraph" w:customStyle="1" w:styleId="gpotbldiv">
    <w:name w:val="gpotbl_div"/>
    <w:basedOn w:val="Normal"/>
    <w:rsid w:val="00114DEA"/>
    <w:pPr>
      <w:pBdr>
        <w:top w:val="single" w:sz="12" w:space="0" w:color="000000"/>
        <w:left w:val="single" w:sz="12" w:space="0" w:color="000000"/>
        <w:bottom w:val="single" w:sz="12" w:space="0" w:color="000000"/>
        <w:right w:val="single" w:sz="12" w:space="0" w:color="000000"/>
      </w:pBdr>
      <w:spacing w:before="100" w:beforeAutospacing="1" w:after="100" w:afterAutospacing="1"/>
    </w:pPr>
    <w:rPr>
      <w:szCs w:val="24"/>
    </w:rPr>
  </w:style>
  <w:style w:type="paragraph" w:customStyle="1" w:styleId="gpotbltitle">
    <w:name w:val="gpotbl_title"/>
    <w:basedOn w:val="Normal"/>
    <w:rsid w:val="00114DEA"/>
    <w:pPr>
      <w:spacing w:before="100" w:beforeAutospacing="1" w:after="100" w:afterAutospacing="1"/>
      <w:ind w:firstLine="480"/>
      <w:jc w:val="center"/>
    </w:pPr>
    <w:rPr>
      <w:b/>
      <w:bCs/>
      <w:smallCaps/>
      <w:szCs w:val="24"/>
    </w:rPr>
  </w:style>
  <w:style w:type="paragraph" w:customStyle="1" w:styleId="gpotbldescription">
    <w:name w:val="gpotbl_description"/>
    <w:basedOn w:val="Normal"/>
    <w:rsid w:val="00114DEA"/>
    <w:pPr>
      <w:spacing w:before="100" w:beforeAutospacing="1" w:after="100" w:afterAutospacing="1"/>
      <w:ind w:firstLine="480"/>
      <w:jc w:val="center"/>
    </w:pPr>
    <w:rPr>
      <w:szCs w:val="24"/>
    </w:rPr>
  </w:style>
  <w:style w:type="paragraph" w:customStyle="1" w:styleId="gpotblcell">
    <w:name w:val="gpotbl_cell"/>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rPr>
      <w:szCs w:val="24"/>
    </w:rPr>
  </w:style>
  <w:style w:type="paragraph" w:customStyle="1" w:styleId="gpotblcolhed">
    <w:name w:val="gpotbl_colhed"/>
    <w:basedOn w:val="Normal"/>
    <w:rsid w:val="00114DEA"/>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rPr>
      <w:szCs w:val="24"/>
    </w:rPr>
  </w:style>
  <w:style w:type="character" w:customStyle="1" w:styleId="fpdash">
    <w:name w:val="fpdash"/>
    <w:basedOn w:val="DefaultParagraphFont"/>
    <w:rsid w:val="00114DEA"/>
    <w:rPr>
      <w:shd w:val="clear" w:color="auto" w:fill="FFFFFF"/>
    </w:rPr>
  </w:style>
  <w:style w:type="character" w:customStyle="1" w:styleId="pdash">
    <w:name w:val="pdash"/>
    <w:basedOn w:val="DefaultParagraphFont"/>
    <w:rsid w:val="00114DEA"/>
    <w:rPr>
      <w:shd w:val="clear" w:color="auto" w:fill="FFFFFF"/>
    </w:rPr>
  </w:style>
  <w:style w:type="character" w:customStyle="1" w:styleId="su1">
    <w:name w:val="su1"/>
    <w:basedOn w:val="DefaultParagraphFont"/>
    <w:rsid w:val="00114DEA"/>
    <w:rPr>
      <w:smallCaps w:val="0"/>
      <w:sz w:val="17"/>
      <w:szCs w:val="17"/>
      <w:vertAlign w:val="superscript"/>
    </w:rPr>
  </w:style>
  <w:style w:type="table" w:customStyle="1" w:styleId="TableGrid0">
    <w:name w:val="TableGrid"/>
    <w:rsid w:val="00573E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3underline">
    <w:name w:val="h3_underline"/>
    <w:basedOn w:val="Heading3"/>
    <w:rsid w:val="003E3068"/>
    <w:pPr>
      <w:keepLines w:val="0"/>
      <w:spacing w:before="220" w:after="30"/>
    </w:pPr>
    <w:rPr>
      <w:rFonts w:ascii="Times New Roman" w:eastAsia="Times New Roman" w:hAnsi="Times New Roman" w:cs="Times New Roman"/>
      <w:color w:val="auto"/>
      <w:sz w:val="28"/>
      <w:szCs w:val="28"/>
      <w:u w:val="single"/>
      <w:bdr w:val="nil"/>
    </w:rPr>
  </w:style>
  <w:style w:type="paragraph" w:customStyle="1" w:styleId="StyleStyleHeading3NotBold1NotBold">
    <w:name w:val="Style Style Heading 3 + Not Bold1 + Not Bold"/>
    <w:basedOn w:val="Normal"/>
    <w:autoRedefine/>
    <w:rsid w:val="00BE6D0C"/>
    <w:pPr>
      <w:keepNext/>
      <w:outlineLvl w:val="2"/>
    </w:pPr>
    <w:rPr>
      <w:rFonts w:ascii="Courier New" w:hAnsi="Courier New" w:cs="Courier New"/>
      <w:b/>
      <w:szCs w:val="26"/>
    </w:rPr>
  </w:style>
  <w:style w:type="paragraph" w:customStyle="1" w:styleId="EndNoteBibliography">
    <w:name w:val="EndNote Bibliography"/>
    <w:basedOn w:val="Normal"/>
    <w:link w:val="EndNoteBibliographyChar"/>
    <w:rsid w:val="00976BDC"/>
    <w:rPr>
      <w:rFonts w:ascii="Calibri" w:hAnsi="Calibri" w:cs="Calibri"/>
      <w:noProof/>
    </w:rPr>
  </w:style>
  <w:style w:type="character" w:customStyle="1" w:styleId="EndNoteBibliographyChar">
    <w:name w:val="EndNote Bibliography Char"/>
    <w:basedOn w:val="DefaultParagraphFont"/>
    <w:link w:val="EndNoteBibliography"/>
    <w:rsid w:val="00976BDC"/>
    <w:rPr>
      <w:rFonts w:ascii="Calibri" w:hAnsi="Calibri" w:cs="Calibr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1699">
      <w:bodyDiv w:val="1"/>
      <w:marLeft w:val="0"/>
      <w:marRight w:val="0"/>
      <w:marTop w:val="0"/>
      <w:marBottom w:val="0"/>
      <w:divBdr>
        <w:top w:val="none" w:sz="0" w:space="0" w:color="auto"/>
        <w:left w:val="none" w:sz="0" w:space="0" w:color="auto"/>
        <w:bottom w:val="none" w:sz="0" w:space="0" w:color="auto"/>
        <w:right w:val="none" w:sz="0" w:space="0" w:color="auto"/>
      </w:divBdr>
    </w:div>
    <w:div w:id="121191286">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0955217">
      <w:bodyDiv w:val="1"/>
      <w:marLeft w:val="0"/>
      <w:marRight w:val="0"/>
      <w:marTop w:val="0"/>
      <w:marBottom w:val="0"/>
      <w:divBdr>
        <w:top w:val="none" w:sz="0" w:space="0" w:color="auto"/>
        <w:left w:val="none" w:sz="0" w:space="0" w:color="auto"/>
        <w:bottom w:val="none" w:sz="0" w:space="0" w:color="auto"/>
        <w:right w:val="none" w:sz="0" w:space="0" w:color="auto"/>
      </w:divBdr>
    </w:div>
    <w:div w:id="447241887">
      <w:bodyDiv w:val="1"/>
      <w:marLeft w:val="0"/>
      <w:marRight w:val="0"/>
      <w:marTop w:val="0"/>
      <w:marBottom w:val="0"/>
      <w:divBdr>
        <w:top w:val="none" w:sz="0" w:space="0" w:color="auto"/>
        <w:left w:val="none" w:sz="0" w:space="0" w:color="auto"/>
        <w:bottom w:val="none" w:sz="0" w:space="0" w:color="auto"/>
        <w:right w:val="none" w:sz="0" w:space="0" w:color="auto"/>
      </w:divBdr>
    </w:div>
    <w:div w:id="451217670">
      <w:bodyDiv w:val="1"/>
      <w:marLeft w:val="0"/>
      <w:marRight w:val="0"/>
      <w:marTop w:val="0"/>
      <w:marBottom w:val="0"/>
      <w:divBdr>
        <w:top w:val="none" w:sz="0" w:space="0" w:color="auto"/>
        <w:left w:val="none" w:sz="0" w:space="0" w:color="auto"/>
        <w:bottom w:val="none" w:sz="0" w:space="0" w:color="auto"/>
        <w:right w:val="none" w:sz="0" w:space="0" w:color="auto"/>
      </w:divBdr>
    </w:div>
    <w:div w:id="464200578">
      <w:bodyDiv w:val="1"/>
      <w:marLeft w:val="0"/>
      <w:marRight w:val="0"/>
      <w:marTop w:val="0"/>
      <w:marBottom w:val="0"/>
      <w:divBdr>
        <w:top w:val="none" w:sz="0" w:space="0" w:color="auto"/>
        <w:left w:val="none" w:sz="0" w:space="0" w:color="auto"/>
        <w:bottom w:val="none" w:sz="0" w:space="0" w:color="auto"/>
        <w:right w:val="none" w:sz="0" w:space="0" w:color="auto"/>
      </w:divBdr>
    </w:div>
    <w:div w:id="519778100">
      <w:bodyDiv w:val="1"/>
      <w:marLeft w:val="0"/>
      <w:marRight w:val="0"/>
      <w:marTop w:val="0"/>
      <w:marBottom w:val="0"/>
      <w:divBdr>
        <w:top w:val="none" w:sz="0" w:space="0" w:color="auto"/>
        <w:left w:val="none" w:sz="0" w:space="0" w:color="auto"/>
        <w:bottom w:val="none" w:sz="0" w:space="0" w:color="auto"/>
        <w:right w:val="none" w:sz="0" w:space="0" w:color="auto"/>
      </w:divBdr>
    </w:div>
    <w:div w:id="523596946">
      <w:bodyDiv w:val="1"/>
      <w:marLeft w:val="0"/>
      <w:marRight w:val="0"/>
      <w:marTop w:val="0"/>
      <w:marBottom w:val="0"/>
      <w:divBdr>
        <w:top w:val="none" w:sz="0" w:space="0" w:color="auto"/>
        <w:left w:val="none" w:sz="0" w:space="0" w:color="auto"/>
        <w:bottom w:val="none" w:sz="0" w:space="0" w:color="auto"/>
        <w:right w:val="none" w:sz="0" w:space="0" w:color="auto"/>
      </w:divBdr>
    </w:div>
    <w:div w:id="555431843">
      <w:bodyDiv w:val="1"/>
      <w:marLeft w:val="0"/>
      <w:marRight w:val="0"/>
      <w:marTop w:val="0"/>
      <w:marBottom w:val="0"/>
      <w:divBdr>
        <w:top w:val="none" w:sz="0" w:space="0" w:color="auto"/>
        <w:left w:val="none" w:sz="0" w:space="0" w:color="auto"/>
        <w:bottom w:val="none" w:sz="0" w:space="0" w:color="auto"/>
        <w:right w:val="none" w:sz="0" w:space="0" w:color="auto"/>
      </w:divBdr>
    </w:div>
    <w:div w:id="567883232">
      <w:bodyDiv w:val="1"/>
      <w:marLeft w:val="0"/>
      <w:marRight w:val="0"/>
      <w:marTop w:val="0"/>
      <w:marBottom w:val="0"/>
      <w:divBdr>
        <w:top w:val="none" w:sz="0" w:space="0" w:color="auto"/>
        <w:left w:val="none" w:sz="0" w:space="0" w:color="auto"/>
        <w:bottom w:val="none" w:sz="0" w:space="0" w:color="auto"/>
        <w:right w:val="none" w:sz="0" w:space="0" w:color="auto"/>
      </w:divBdr>
    </w:div>
    <w:div w:id="574972642">
      <w:bodyDiv w:val="1"/>
      <w:marLeft w:val="0"/>
      <w:marRight w:val="0"/>
      <w:marTop w:val="0"/>
      <w:marBottom w:val="0"/>
      <w:divBdr>
        <w:top w:val="none" w:sz="0" w:space="0" w:color="auto"/>
        <w:left w:val="none" w:sz="0" w:space="0" w:color="auto"/>
        <w:bottom w:val="none" w:sz="0" w:space="0" w:color="auto"/>
        <w:right w:val="none" w:sz="0" w:space="0" w:color="auto"/>
      </w:divBdr>
    </w:div>
    <w:div w:id="614219439">
      <w:bodyDiv w:val="1"/>
      <w:marLeft w:val="0"/>
      <w:marRight w:val="0"/>
      <w:marTop w:val="0"/>
      <w:marBottom w:val="0"/>
      <w:divBdr>
        <w:top w:val="none" w:sz="0" w:space="0" w:color="auto"/>
        <w:left w:val="none" w:sz="0" w:space="0" w:color="auto"/>
        <w:bottom w:val="none" w:sz="0" w:space="0" w:color="auto"/>
        <w:right w:val="none" w:sz="0" w:space="0" w:color="auto"/>
      </w:divBdr>
    </w:div>
    <w:div w:id="765417023">
      <w:bodyDiv w:val="1"/>
      <w:marLeft w:val="0"/>
      <w:marRight w:val="0"/>
      <w:marTop w:val="0"/>
      <w:marBottom w:val="0"/>
      <w:divBdr>
        <w:top w:val="none" w:sz="0" w:space="0" w:color="auto"/>
        <w:left w:val="none" w:sz="0" w:space="0" w:color="auto"/>
        <w:bottom w:val="none" w:sz="0" w:space="0" w:color="auto"/>
        <w:right w:val="none" w:sz="0" w:space="0" w:color="auto"/>
      </w:divBdr>
    </w:div>
    <w:div w:id="812216916">
      <w:bodyDiv w:val="1"/>
      <w:marLeft w:val="0"/>
      <w:marRight w:val="0"/>
      <w:marTop w:val="0"/>
      <w:marBottom w:val="0"/>
      <w:divBdr>
        <w:top w:val="none" w:sz="0" w:space="0" w:color="auto"/>
        <w:left w:val="none" w:sz="0" w:space="0" w:color="auto"/>
        <w:bottom w:val="none" w:sz="0" w:space="0" w:color="auto"/>
        <w:right w:val="none" w:sz="0" w:space="0" w:color="auto"/>
      </w:divBdr>
    </w:div>
    <w:div w:id="852452466">
      <w:bodyDiv w:val="1"/>
      <w:marLeft w:val="0"/>
      <w:marRight w:val="0"/>
      <w:marTop w:val="0"/>
      <w:marBottom w:val="0"/>
      <w:divBdr>
        <w:top w:val="none" w:sz="0" w:space="0" w:color="auto"/>
        <w:left w:val="none" w:sz="0" w:space="0" w:color="auto"/>
        <w:bottom w:val="none" w:sz="0" w:space="0" w:color="auto"/>
        <w:right w:val="none" w:sz="0" w:space="0" w:color="auto"/>
      </w:divBdr>
    </w:div>
    <w:div w:id="936332411">
      <w:bodyDiv w:val="1"/>
      <w:marLeft w:val="0"/>
      <w:marRight w:val="0"/>
      <w:marTop w:val="0"/>
      <w:marBottom w:val="0"/>
      <w:divBdr>
        <w:top w:val="none" w:sz="0" w:space="0" w:color="auto"/>
        <w:left w:val="none" w:sz="0" w:space="0" w:color="auto"/>
        <w:bottom w:val="none" w:sz="0" w:space="0" w:color="auto"/>
        <w:right w:val="none" w:sz="0" w:space="0" w:color="auto"/>
      </w:divBdr>
    </w:div>
    <w:div w:id="943271439">
      <w:bodyDiv w:val="1"/>
      <w:marLeft w:val="0"/>
      <w:marRight w:val="0"/>
      <w:marTop w:val="0"/>
      <w:marBottom w:val="0"/>
      <w:divBdr>
        <w:top w:val="none" w:sz="0" w:space="0" w:color="auto"/>
        <w:left w:val="none" w:sz="0" w:space="0" w:color="auto"/>
        <w:bottom w:val="none" w:sz="0" w:space="0" w:color="auto"/>
        <w:right w:val="none" w:sz="0" w:space="0" w:color="auto"/>
      </w:divBdr>
    </w:div>
    <w:div w:id="951789644">
      <w:bodyDiv w:val="1"/>
      <w:marLeft w:val="0"/>
      <w:marRight w:val="0"/>
      <w:marTop w:val="0"/>
      <w:marBottom w:val="0"/>
      <w:divBdr>
        <w:top w:val="none" w:sz="0" w:space="0" w:color="auto"/>
        <w:left w:val="none" w:sz="0" w:space="0" w:color="auto"/>
        <w:bottom w:val="none" w:sz="0" w:space="0" w:color="auto"/>
        <w:right w:val="none" w:sz="0" w:space="0" w:color="auto"/>
      </w:divBdr>
    </w:div>
    <w:div w:id="996806047">
      <w:bodyDiv w:val="1"/>
      <w:marLeft w:val="0"/>
      <w:marRight w:val="0"/>
      <w:marTop w:val="0"/>
      <w:marBottom w:val="0"/>
      <w:divBdr>
        <w:top w:val="none" w:sz="0" w:space="0" w:color="auto"/>
        <w:left w:val="none" w:sz="0" w:space="0" w:color="auto"/>
        <w:bottom w:val="none" w:sz="0" w:space="0" w:color="auto"/>
        <w:right w:val="none" w:sz="0" w:space="0" w:color="auto"/>
      </w:divBdr>
    </w:div>
    <w:div w:id="1057819594">
      <w:bodyDiv w:val="1"/>
      <w:marLeft w:val="0"/>
      <w:marRight w:val="0"/>
      <w:marTop w:val="0"/>
      <w:marBottom w:val="0"/>
      <w:divBdr>
        <w:top w:val="none" w:sz="0" w:space="0" w:color="auto"/>
        <w:left w:val="none" w:sz="0" w:space="0" w:color="auto"/>
        <w:bottom w:val="none" w:sz="0" w:space="0" w:color="auto"/>
        <w:right w:val="none" w:sz="0" w:space="0" w:color="auto"/>
      </w:divBdr>
    </w:div>
    <w:div w:id="1136099182">
      <w:bodyDiv w:val="1"/>
      <w:marLeft w:val="0"/>
      <w:marRight w:val="0"/>
      <w:marTop w:val="0"/>
      <w:marBottom w:val="0"/>
      <w:divBdr>
        <w:top w:val="none" w:sz="0" w:space="0" w:color="auto"/>
        <w:left w:val="none" w:sz="0" w:space="0" w:color="auto"/>
        <w:bottom w:val="none" w:sz="0" w:space="0" w:color="auto"/>
        <w:right w:val="none" w:sz="0" w:space="0" w:color="auto"/>
      </w:divBdr>
    </w:div>
    <w:div w:id="1354650740">
      <w:bodyDiv w:val="1"/>
      <w:marLeft w:val="0"/>
      <w:marRight w:val="0"/>
      <w:marTop w:val="0"/>
      <w:marBottom w:val="0"/>
      <w:divBdr>
        <w:top w:val="none" w:sz="0" w:space="0" w:color="auto"/>
        <w:left w:val="none" w:sz="0" w:space="0" w:color="auto"/>
        <w:bottom w:val="none" w:sz="0" w:space="0" w:color="auto"/>
        <w:right w:val="none" w:sz="0" w:space="0" w:color="auto"/>
      </w:divBdr>
    </w:div>
    <w:div w:id="1440030311">
      <w:bodyDiv w:val="1"/>
      <w:marLeft w:val="0"/>
      <w:marRight w:val="0"/>
      <w:marTop w:val="0"/>
      <w:marBottom w:val="0"/>
      <w:divBdr>
        <w:top w:val="none" w:sz="0" w:space="0" w:color="auto"/>
        <w:left w:val="none" w:sz="0" w:space="0" w:color="auto"/>
        <w:bottom w:val="none" w:sz="0" w:space="0" w:color="auto"/>
        <w:right w:val="none" w:sz="0" w:space="0" w:color="auto"/>
      </w:divBdr>
    </w:div>
    <w:div w:id="1718965958">
      <w:bodyDiv w:val="1"/>
      <w:marLeft w:val="0"/>
      <w:marRight w:val="0"/>
      <w:marTop w:val="0"/>
      <w:marBottom w:val="0"/>
      <w:divBdr>
        <w:top w:val="none" w:sz="0" w:space="0" w:color="auto"/>
        <w:left w:val="none" w:sz="0" w:space="0" w:color="auto"/>
        <w:bottom w:val="none" w:sz="0" w:space="0" w:color="auto"/>
        <w:right w:val="none" w:sz="0" w:space="0" w:color="auto"/>
      </w:divBdr>
    </w:div>
    <w:div w:id="1733386787">
      <w:bodyDiv w:val="1"/>
      <w:marLeft w:val="0"/>
      <w:marRight w:val="0"/>
      <w:marTop w:val="0"/>
      <w:marBottom w:val="0"/>
      <w:divBdr>
        <w:top w:val="none" w:sz="0" w:space="0" w:color="auto"/>
        <w:left w:val="none" w:sz="0" w:space="0" w:color="auto"/>
        <w:bottom w:val="none" w:sz="0" w:space="0" w:color="auto"/>
        <w:right w:val="none" w:sz="0" w:space="0" w:color="auto"/>
      </w:divBdr>
    </w:div>
    <w:div w:id="1792283189">
      <w:bodyDiv w:val="1"/>
      <w:marLeft w:val="0"/>
      <w:marRight w:val="0"/>
      <w:marTop w:val="0"/>
      <w:marBottom w:val="0"/>
      <w:divBdr>
        <w:top w:val="none" w:sz="0" w:space="0" w:color="auto"/>
        <w:left w:val="none" w:sz="0" w:space="0" w:color="auto"/>
        <w:bottom w:val="none" w:sz="0" w:space="0" w:color="auto"/>
        <w:right w:val="none" w:sz="0" w:space="0" w:color="auto"/>
      </w:divBdr>
    </w:div>
    <w:div w:id="1842576236">
      <w:bodyDiv w:val="1"/>
      <w:marLeft w:val="0"/>
      <w:marRight w:val="0"/>
      <w:marTop w:val="0"/>
      <w:marBottom w:val="0"/>
      <w:divBdr>
        <w:top w:val="none" w:sz="0" w:space="0" w:color="auto"/>
        <w:left w:val="none" w:sz="0" w:space="0" w:color="auto"/>
        <w:bottom w:val="none" w:sz="0" w:space="0" w:color="auto"/>
        <w:right w:val="none" w:sz="0" w:space="0" w:color="auto"/>
      </w:divBdr>
    </w:div>
    <w:div w:id="2077587251">
      <w:bodyDiv w:val="1"/>
      <w:marLeft w:val="0"/>
      <w:marRight w:val="0"/>
      <w:marTop w:val="0"/>
      <w:marBottom w:val="0"/>
      <w:divBdr>
        <w:top w:val="none" w:sz="0" w:space="0" w:color="auto"/>
        <w:left w:val="none" w:sz="0" w:space="0" w:color="auto"/>
        <w:bottom w:val="none" w:sz="0" w:space="0" w:color="auto"/>
        <w:right w:val="none" w:sz="0" w:space="0" w:color="auto"/>
      </w:divBdr>
    </w:div>
    <w:div w:id="21020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E902-A20A-43E6-9779-051DCA18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4634</Words>
  <Characters>27978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NIOSH</Company>
  <LinksUpToDate>false</LinksUpToDate>
  <CharactersWithSpaces>32547</CharactersWithSpaces>
  <SharedDoc>false</SharedDoc>
  <HLinks>
    <vt:vector size="18" baseType="variant">
      <vt:variant>
        <vt:i4>3604535</vt:i4>
      </vt:variant>
      <vt:variant>
        <vt:i4>10</vt:i4>
      </vt:variant>
      <vt:variant>
        <vt:i4>0</vt:i4>
      </vt:variant>
      <vt:variant>
        <vt:i4>5</vt:i4>
      </vt:variant>
      <vt:variant>
        <vt:lpwstr>http://www.bls.gov/oes</vt:lpwstr>
      </vt:variant>
      <vt:variant>
        <vt:lpwstr/>
      </vt:variant>
      <vt:variant>
        <vt:i4>4194327</vt:i4>
      </vt:variant>
      <vt:variant>
        <vt:i4>7</vt:i4>
      </vt:variant>
      <vt:variant>
        <vt:i4>0</vt:i4>
      </vt:variant>
      <vt:variant>
        <vt:i4>5</vt:i4>
      </vt:variant>
      <vt:variant>
        <vt:lpwstr>http://www.cdc.gov/niosh/topics/surveillance/ords/CoalWorkersHealthSurvProgram.html</vt:lpwstr>
      </vt:variant>
      <vt:variant>
        <vt:lpwstr>nioshresources</vt:lpwstr>
      </vt:variant>
      <vt:variant>
        <vt:i4>7274579</vt:i4>
      </vt:variant>
      <vt:variant>
        <vt:i4>2</vt:i4>
      </vt:variant>
      <vt:variant>
        <vt:i4>0</vt:i4>
      </vt:variant>
      <vt:variant>
        <vt:i4>5</vt:i4>
      </vt:variant>
      <vt:variant>
        <vt:lpwstr>mailto:Awolfe@cdc.gov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DRDS</dc:creator>
  <cp:lastModifiedBy>Sawyer, Tamela (CDC/NIOSH/OD/ODDM)</cp:lastModifiedBy>
  <cp:revision>7</cp:revision>
  <cp:lastPrinted>2019-06-04T19:35:00Z</cp:lastPrinted>
  <dcterms:created xsi:type="dcterms:W3CDTF">2020-09-15T19:26:00Z</dcterms:created>
  <dcterms:modified xsi:type="dcterms:W3CDTF">2020-09-16T18:58:00Z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2020-05-22T19:01:25.4944097Z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810283c0-b273-4f24-8164-977b3425edc0</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