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0D6" w:rsidP="00D625BE" w:rsidRDefault="003120D6" w14:paraId="6ADCB6C8" w14:textId="77777777">
      <w:pPr>
        <w:jc w:val="center"/>
        <w:rPr>
          <w:rFonts w:asciiTheme="minorHAnsi" w:hAnsiTheme="minorHAnsi"/>
        </w:rPr>
      </w:pPr>
      <w:bookmarkStart w:name="_GoBack" w:id="0"/>
      <w:bookmarkEnd w:id="0"/>
    </w:p>
    <w:p w:rsidR="003120D6" w:rsidP="00D625BE" w:rsidRDefault="003120D6" w14:paraId="305D10CA" w14:textId="77777777">
      <w:pPr>
        <w:jc w:val="center"/>
        <w:rPr>
          <w:rFonts w:asciiTheme="minorHAnsi" w:hAnsiTheme="minorHAnsi"/>
        </w:rPr>
      </w:pPr>
    </w:p>
    <w:p w:rsidR="003120D6" w:rsidP="00D625BE" w:rsidRDefault="003120D6" w14:paraId="7D59F237" w14:textId="77777777">
      <w:pPr>
        <w:jc w:val="center"/>
        <w:rPr>
          <w:rFonts w:asciiTheme="minorHAnsi" w:hAnsiTheme="minorHAnsi"/>
        </w:rPr>
      </w:pPr>
    </w:p>
    <w:p w:rsidR="003120D6" w:rsidP="00D625BE" w:rsidRDefault="003120D6" w14:paraId="7EAE2A34" w14:textId="77777777">
      <w:pPr>
        <w:jc w:val="center"/>
        <w:rPr>
          <w:rFonts w:asciiTheme="minorHAnsi" w:hAnsiTheme="minorHAnsi"/>
        </w:rPr>
      </w:pPr>
    </w:p>
    <w:p w:rsidR="003120D6" w:rsidP="00D625BE" w:rsidRDefault="003120D6" w14:paraId="7A960167" w14:textId="77777777">
      <w:pPr>
        <w:jc w:val="center"/>
        <w:rPr>
          <w:rFonts w:asciiTheme="minorHAnsi" w:hAnsiTheme="minorHAnsi"/>
        </w:rPr>
      </w:pPr>
    </w:p>
    <w:p w:rsidR="003120D6" w:rsidP="00D625BE" w:rsidRDefault="003120D6" w14:paraId="67C0B7A3" w14:textId="77777777">
      <w:pPr>
        <w:jc w:val="center"/>
        <w:rPr>
          <w:rFonts w:asciiTheme="minorHAnsi" w:hAnsiTheme="minorHAnsi"/>
        </w:rPr>
      </w:pPr>
    </w:p>
    <w:p w:rsidR="003120D6" w:rsidP="00D625BE" w:rsidRDefault="003120D6" w14:paraId="6751E5B8" w14:textId="77777777">
      <w:pPr>
        <w:jc w:val="center"/>
        <w:rPr>
          <w:rFonts w:asciiTheme="minorHAnsi" w:hAnsiTheme="minorHAnsi"/>
        </w:rPr>
      </w:pPr>
    </w:p>
    <w:p w:rsidRPr="00EE35A0" w:rsidR="00D625BE" w:rsidP="00D625BE" w:rsidRDefault="00D625BE" w14:paraId="4BE6A733" w14:textId="77777777">
      <w:pPr>
        <w:jc w:val="center"/>
        <w:rPr>
          <w:rFonts w:asciiTheme="minorHAnsi" w:hAnsiTheme="minorHAnsi"/>
          <w:b/>
        </w:rPr>
      </w:pPr>
      <w:r w:rsidRPr="00EE35A0">
        <w:rPr>
          <w:rFonts w:asciiTheme="minorHAnsi" w:hAnsiTheme="minorHAnsi"/>
          <w:b/>
        </w:rPr>
        <w:t>Information Collection Request for</w:t>
      </w:r>
    </w:p>
    <w:p w:rsidRPr="00EE35A0" w:rsidR="00D625BE" w:rsidP="00D625BE" w:rsidRDefault="00D625BE" w14:paraId="6AA923D2" w14:textId="1B85C6B8">
      <w:pPr>
        <w:jc w:val="center"/>
        <w:rPr>
          <w:rFonts w:asciiTheme="minorHAnsi" w:hAnsiTheme="minorHAnsi"/>
          <w:b/>
        </w:rPr>
      </w:pPr>
      <w:r w:rsidRPr="00EE35A0">
        <w:rPr>
          <w:rFonts w:asciiTheme="minorHAnsi" w:hAnsiTheme="minorHAnsi"/>
          <w:b/>
        </w:rPr>
        <w:t xml:space="preserve"> “</w:t>
      </w:r>
      <w:r w:rsidRPr="00EE35A0" w:rsidR="003120D6">
        <w:rPr>
          <w:rFonts w:cs="Courier New" w:asciiTheme="minorHAnsi" w:hAnsiTheme="minorHAnsi"/>
          <w:b/>
        </w:rPr>
        <w:t>Understanding Long-term Respiratory Morbidity Among Former Styrene-Exposed Workers</w:t>
      </w:r>
      <w:r w:rsidR="0099427F">
        <w:rPr>
          <w:rFonts w:cs="Courier New" w:asciiTheme="minorHAnsi" w:hAnsiTheme="minorHAnsi"/>
          <w:b/>
        </w:rPr>
        <w:t xml:space="preserve">: </w:t>
      </w:r>
      <w:r w:rsidR="008C565D">
        <w:rPr>
          <w:rFonts w:cs="Courier New" w:asciiTheme="minorHAnsi" w:hAnsiTheme="minorHAnsi"/>
          <w:b/>
        </w:rPr>
        <w:t xml:space="preserve"> Medical Survey</w:t>
      </w:r>
      <w:r w:rsidRPr="00EE35A0">
        <w:rPr>
          <w:rFonts w:asciiTheme="minorHAnsi" w:hAnsiTheme="minorHAnsi"/>
          <w:b/>
        </w:rPr>
        <w:t>”</w:t>
      </w:r>
    </w:p>
    <w:p w:rsidRPr="00D625BE" w:rsidR="00D625BE" w:rsidP="00D625BE" w:rsidRDefault="00D625BE" w14:paraId="75D01663" w14:textId="77777777">
      <w:pPr>
        <w:jc w:val="center"/>
        <w:rPr>
          <w:rFonts w:asciiTheme="minorHAnsi" w:hAnsiTheme="minorHAnsi"/>
        </w:rPr>
      </w:pPr>
    </w:p>
    <w:p w:rsidRPr="00D625BE" w:rsidR="00D625BE" w:rsidP="00D625BE" w:rsidRDefault="00D625BE" w14:paraId="4AF7D1C5" w14:textId="77777777">
      <w:pPr>
        <w:jc w:val="center"/>
        <w:rPr>
          <w:rFonts w:asciiTheme="minorHAnsi" w:hAnsiTheme="minorHAnsi"/>
        </w:rPr>
      </w:pPr>
    </w:p>
    <w:p w:rsidRPr="00D625BE" w:rsidR="00D625BE" w:rsidP="00D625BE" w:rsidRDefault="00D625BE" w14:paraId="20374B82" w14:textId="77777777">
      <w:pPr>
        <w:jc w:val="center"/>
        <w:rPr>
          <w:rFonts w:asciiTheme="minorHAnsi" w:hAnsiTheme="minorHAnsi"/>
        </w:rPr>
      </w:pPr>
    </w:p>
    <w:p w:rsidRPr="00D625BE" w:rsidR="00D625BE" w:rsidP="00D625BE" w:rsidRDefault="00D625BE" w14:paraId="04588502" w14:textId="77777777">
      <w:pPr>
        <w:jc w:val="center"/>
        <w:rPr>
          <w:rFonts w:asciiTheme="minorHAnsi" w:hAnsiTheme="minorHAnsi"/>
        </w:rPr>
      </w:pPr>
    </w:p>
    <w:p w:rsidRPr="009E7AD8" w:rsidR="00D625BE" w:rsidP="00D625BE" w:rsidRDefault="002A5DAF" w14:paraId="52F35BD7" w14:textId="61C09914">
      <w:pPr>
        <w:jc w:val="center"/>
        <w:rPr>
          <w:rFonts w:asciiTheme="minorHAnsi" w:hAnsiTheme="minorHAnsi"/>
          <w:b/>
          <w:sz w:val="28"/>
          <w:szCs w:val="28"/>
        </w:rPr>
      </w:pPr>
      <w:r w:rsidRPr="009E7AD8">
        <w:rPr>
          <w:rFonts w:asciiTheme="minorHAnsi" w:hAnsiTheme="minorHAnsi"/>
          <w:b/>
          <w:sz w:val="28"/>
          <w:szCs w:val="28"/>
        </w:rPr>
        <w:t>Supporting Statement B</w:t>
      </w:r>
    </w:p>
    <w:p w:rsidR="002A5DAF" w:rsidP="00D625BE" w:rsidRDefault="002A5DAF" w14:paraId="34BD7C1E" w14:textId="644F5B4B">
      <w:pPr>
        <w:jc w:val="center"/>
        <w:rPr>
          <w:rFonts w:asciiTheme="minorHAnsi" w:hAnsiTheme="minorHAnsi"/>
          <w:b/>
        </w:rPr>
      </w:pPr>
    </w:p>
    <w:p w:rsidR="002A5DAF" w:rsidP="00D625BE" w:rsidRDefault="002A5DAF" w14:paraId="536E48A0" w14:textId="00818BAB">
      <w:pPr>
        <w:jc w:val="center"/>
        <w:rPr>
          <w:rFonts w:asciiTheme="minorHAnsi" w:hAnsiTheme="minorHAnsi"/>
          <w:b/>
        </w:rPr>
      </w:pPr>
    </w:p>
    <w:p w:rsidR="00FE5DCB" w:rsidP="00D625BE" w:rsidRDefault="00FE5DCB" w14:paraId="04D7DC57" w14:textId="682CB871">
      <w:pPr>
        <w:jc w:val="center"/>
        <w:rPr>
          <w:rFonts w:asciiTheme="minorHAnsi" w:hAnsiTheme="minorHAnsi"/>
          <w:b/>
        </w:rPr>
      </w:pPr>
    </w:p>
    <w:p w:rsidR="00FE5DCB" w:rsidP="00D625BE" w:rsidRDefault="00FE5DCB" w14:paraId="16ACAD4A" w14:textId="7980A920">
      <w:pPr>
        <w:jc w:val="center"/>
        <w:rPr>
          <w:rFonts w:asciiTheme="minorHAnsi" w:hAnsiTheme="minorHAnsi"/>
          <w:b/>
        </w:rPr>
      </w:pPr>
    </w:p>
    <w:p w:rsidR="00FE5DCB" w:rsidP="00D625BE" w:rsidRDefault="00FE5DCB" w14:paraId="57E52822" w14:textId="0D4195C5">
      <w:pPr>
        <w:jc w:val="center"/>
        <w:rPr>
          <w:rFonts w:asciiTheme="minorHAnsi" w:hAnsiTheme="minorHAnsi"/>
          <w:b/>
        </w:rPr>
      </w:pPr>
    </w:p>
    <w:p w:rsidR="00FE5DCB" w:rsidP="00D625BE" w:rsidRDefault="00FE5DCB" w14:paraId="281B4BE2" w14:textId="3A3AE21C">
      <w:pPr>
        <w:jc w:val="center"/>
        <w:rPr>
          <w:rFonts w:asciiTheme="minorHAnsi" w:hAnsiTheme="minorHAnsi"/>
          <w:b/>
        </w:rPr>
      </w:pPr>
    </w:p>
    <w:p w:rsidR="00FE5DCB" w:rsidP="00D625BE" w:rsidRDefault="00FE5DCB" w14:paraId="0001312E" w14:textId="48C85F7E">
      <w:pPr>
        <w:jc w:val="center"/>
        <w:rPr>
          <w:rFonts w:asciiTheme="minorHAnsi" w:hAnsiTheme="minorHAnsi"/>
          <w:b/>
        </w:rPr>
      </w:pPr>
    </w:p>
    <w:p w:rsidR="00FE5DCB" w:rsidP="00D625BE" w:rsidRDefault="00FE5DCB" w14:paraId="4A043DF0" w14:textId="1FC90DBC">
      <w:pPr>
        <w:jc w:val="center"/>
        <w:rPr>
          <w:rFonts w:asciiTheme="minorHAnsi" w:hAnsiTheme="minorHAnsi"/>
          <w:b/>
        </w:rPr>
      </w:pPr>
    </w:p>
    <w:p w:rsidRPr="002A5DAF" w:rsidR="00FE5DCB" w:rsidP="00D625BE" w:rsidRDefault="00FE5DCB" w14:paraId="7F20AE33" w14:textId="77777777">
      <w:pPr>
        <w:jc w:val="center"/>
        <w:rPr>
          <w:rFonts w:asciiTheme="minorHAnsi" w:hAnsiTheme="minorHAnsi"/>
          <w:b/>
        </w:rPr>
      </w:pPr>
    </w:p>
    <w:p w:rsidRPr="00D625BE" w:rsidR="00D625BE" w:rsidP="00D625BE" w:rsidRDefault="00D625BE" w14:paraId="5D173732" w14:textId="77777777">
      <w:pPr>
        <w:jc w:val="center"/>
        <w:rPr>
          <w:rFonts w:asciiTheme="minorHAnsi" w:hAnsiTheme="minorHAnsi"/>
        </w:rPr>
      </w:pPr>
    </w:p>
    <w:p w:rsidRPr="00D625BE" w:rsidR="00D625BE" w:rsidP="00D625BE" w:rsidRDefault="00AD4E0C" w14:paraId="5EAD6F2D" w14:textId="69EB084C">
      <w:pPr>
        <w:jc w:val="center"/>
        <w:rPr>
          <w:rFonts w:asciiTheme="minorHAnsi" w:hAnsiTheme="minorHAnsi"/>
        </w:rPr>
      </w:pPr>
      <w:r>
        <w:rPr>
          <w:rFonts w:asciiTheme="minorHAnsi" w:hAnsiTheme="minorHAnsi"/>
        </w:rPr>
        <w:t xml:space="preserve">Project officer:           </w:t>
      </w:r>
      <w:r w:rsidR="003120D6">
        <w:rPr>
          <w:rFonts w:asciiTheme="minorHAnsi" w:hAnsiTheme="minorHAnsi"/>
        </w:rPr>
        <w:t>Suzanne E Tomasi, DVM</w:t>
      </w:r>
      <w:r w:rsidR="00D625BE">
        <w:rPr>
          <w:rFonts w:asciiTheme="minorHAnsi" w:hAnsiTheme="minorHAnsi"/>
        </w:rPr>
        <w:t>, MPH</w:t>
      </w:r>
      <w:r w:rsidR="003120D6">
        <w:rPr>
          <w:rFonts w:asciiTheme="minorHAnsi" w:hAnsiTheme="minorHAnsi"/>
        </w:rPr>
        <w:t>, DACVPM</w:t>
      </w:r>
    </w:p>
    <w:p w:rsidRPr="00D625BE" w:rsidR="00D625BE" w:rsidP="00D625BE" w:rsidRDefault="003120D6" w14:paraId="3E8EEE69" w14:textId="77777777">
      <w:pPr>
        <w:jc w:val="center"/>
        <w:rPr>
          <w:rFonts w:asciiTheme="minorHAnsi" w:hAnsiTheme="minorHAnsi"/>
          <w:lang w:val="de-DE"/>
        </w:rPr>
      </w:pPr>
      <w:r>
        <w:rPr>
          <w:rFonts w:asciiTheme="minorHAnsi" w:hAnsiTheme="minorHAnsi"/>
          <w:lang w:val="de-DE"/>
        </w:rPr>
        <w:t>yxc4</w:t>
      </w:r>
      <w:r w:rsidRPr="00D625BE" w:rsidR="00D625BE">
        <w:rPr>
          <w:rFonts w:asciiTheme="minorHAnsi" w:hAnsiTheme="minorHAnsi"/>
          <w:lang w:val="de-DE"/>
        </w:rPr>
        <w:t>@cdc.gov</w:t>
      </w:r>
    </w:p>
    <w:p w:rsidRPr="00D625BE" w:rsidR="00D625BE" w:rsidP="00D625BE" w:rsidRDefault="00D625BE" w14:paraId="0C5CFC8D" w14:textId="77777777">
      <w:pPr>
        <w:jc w:val="center"/>
        <w:rPr>
          <w:rFonts w:asciiTheme="minorHAnsi" w:hAnsiTheme="minorHAnsi"/>
          <w:lang w:val="de-DE"/>
        </w:rPr>
      </w:pPr>
      <w:r w:rsidRPr="00D625BE">
        <w:rPr>
          <w:rFonts w:asciiTheme="minorHAnsi" w:hAnsiTheme="minorHAnsi"/>
          <w:lang w:val="de-DE"/>
        </w:rPr>
        <w:t xml:space="preserve">Tel. </w:t>
      </w:r>
      <w:r>
        <w:rPr>
          <w:rFonts w:asciiTheme="minorHAnsi" w:hAnsiTheme="minorHAnsi"/>
          <w:lang w:val="de-DE"/>
        </w:rPr>
        <w:t>304</w:t>
      </w:r>
      <w:r w:rsidRPr="00D625BE">
        <w:rPr>
          <w:rFonts w:asciiTheme="minorHAnsi" w:hAnsiTheme="minorHAnsi"/>
          <w:lang w:val="de-DE"/>
        </w:rPr>
        <w:t>-</w:t>
      </w:r>
      <w:r>
        <w:rPr>
          <w:rFonts w:asciiTheme="minorHAnsi" w:hAnsiTheme="minorHAnsi"/>
          <w:lang w:val="de-DE"/>
        </w:rPr>
        <w:t>285</w:t>
      </w:r>
      <w:r w:rsidRPr="00D625BE">
        <w:rPr>
          <w:rFonts w:asciiTheme="minorHAnsi" w:hAnsiTheme="minorHAnsi"/>
          <w:lang w:val="de-DE"/>
        </w:rPr>
        <w:t>-</w:t>
      </w:r>
      <w:r w:rsidR="003120D6">
        <w:rPr>
          <w:rFonts w:asciiTheme="minorHAnsi" w:hAnsiTheme="minorHAnsi"/>
          <w:lang w:val="de-DE"/>
        </w:rPr>
        <w:t>6115</w:t>
      </w:r>
    </w:p>
    <w:p w:rsidRPr="00D625BE" w:rsidR="00D625BE" w:rsidP="00D625BE" w:rsidRDefault="00D625BE" w14:paraId="66516EDC" w14:textId="77777777">
      <w:pPr>
        <w:jc w:val="center"/>
        <w:rPr>
          <w:rFonts w:asciiTheme="minorHAnsi" w:hAnsiTheme="minorHAnsi"/>
          <w:lang w:val="de-DE"/>
        </w:rPr>
      </w:pPr>
      <w:r w:rsidRPr="00D625BE">
        <w:rPr>
          <w:rFonts w:asciiTheme="minorHAnsi" w:hAnsiTheme="minorHAnsi"/>
          <w:lang w:val="de-DE"/>
        </w:rPr>
        <w:t xml:space="preserve">Fax. </w:t>
      </w:r>
      <w:r>
        <w:rPr>
          <w:rFonts w:asciiTheme="minorHAnsi" w:hAnsiTheme="minorHAnsi"/>
          <w:lang w:val="de-DE"/>
        </w:rPr>
        <w:t>304</w:t>
      </w:r>
      <w:r w:rsidRPr="00D625BE">
        <w:rPr>
          <w:rFonts w:asciiTheme="minorHAnsi" w:hAnsiTheme="minorHAnsi"/>
          <w:lang w:val="de-DE"/>
        </w:rPr>
        <w:t>-</w:t>
      </w:r>
      <w:r>
        <w:rPr>
          <w:rFonts w:asciiTheme="minorHAnsi" w:hAnsiTheme="minorHAnsi"/>
          <w:lang w:val="de-DE"/>
        </w:rPr>
        <w:t>285</w:t>
      </w:r>
      <w:r w:rsidRPr="00D625BE">
        <w:rPr>
          <w:rFonts w:asciiTheme="minorHAnsi" w:hAnsiTheme="minorHAnsi"/>
          <w:lang w:val="de-DE"/>
        </w:rPr>
        <w:t>-</w:t>
      </w:r>
      <w:r>
        <w:rPr>
          <w:rFonts w:asciiTheme="minorHAnsi" w:hAnsiTheme="minorHAnsi"/>
          <w:lang w:val="de-DE"/>
        </w:rPr>
        <w:t>5820</w:t>
      </w:r>
    </w:p>
    <w:p w:rsidRPr="00D625BE" w:rsidR="00D625BE" w:rsidP="00D625BE" w:rsidRDefault="00D625BE" w14:paraId="5D16CC41" w14:textId="77777777">
      <w:pPr>
        <w:jc w:val="center"/>
        <w:rPr>
          <w:rFonts w:asciiTheme="minorHAnsi" w:hAnsiTheme="minorHAnsi"/>
          <w:lang w:val="de-DE"/>
        </w:rPr>
      </w:pPr>
    </w:p>
    <w:p w:rsidR="002362DF" w:rsidP="00D625BE" w:rsidRDefault="002362DF" w14:paraId="295A8DBA" w14:textId="77777777">
      <w:pPr>
        <w:jc w:val="center"/>
        <w:rPr>
          <w:rFonts w:asciiTheme="minorHAnsi" w:hAnsiTheme="minorHAnsi"/>
        </w:rPr>
      </w:pPr>
    </w:p>
    <w:p w:rsidR="002362DF" w:rsidP="00D625BE" w:rsidRDefault="002362DF" w14:paraId="056227EE" w14:textId="77777777">
      <w:pPr>
        <w:jc w:val="center"/>
        <w:rPr>
          <w:rFonts w:asciiTheme="minorHAnsi" w:hAnsiTheme="minorHAnsi"/>
        </w:rPr>
      </w:pPr>
    </w:p>
    <w:p w:rsidRPr="00D625BE" w:rsidR="00D625BE" w:rsidP="00D625BE" w:rsidRDefault="00D625BE" w14:paraId="70302D6B" w14:textId="77777777">
      <w:pPr>
        <w:jc w:val="center"/>
        <w:rPr>
          <w:rFonts w:asciiTheme="minorHAnsi" w:hAnsiTheme="minorHAnsi"/>
        </w:rPr>
      </w:pPr>
    </w:p>
    <w:p w:rsidRPr="00D625BE" w:rsidR="00D625BE" w:rsidP="00D625BE" w:rsidRDefault="00D625BE" w14:paraId="034B4694" w14:textId="77777777">
      <w:pPr>
        <w:jc w:val="center"/>
        <w:rPr>
          <w:rFonts w:asciiTheme="minorHAnsi" w:hAnsiTheme="minorHAnsi"/>
        </w:rPr>
      </w:pPr>
    </w:p>
    <w:p w:rsidRPr="00D625BE" w:rsidR="00D625BE" w:rsidP="00D625BE" w:rsidRDefault="00D625BE" w14:paraId="79DF5409" w14:textId="77777777">
      <w:pPr>
        <w:jc w:val="center"/>
        <w:rPr>
          <w:rFonts w:asciiTheme="minorHAnsi" w:hAnsiTheme="minorHAnsi"/>
        </w:rPr>
      </w:pPr>
    </w:p>
    <w:p w:rsidRPr="00D625BE" w:rsidR="00D625BE" w:rsidP="00D625BE" w:rsidRDefault="00D625BE" w14:paraId="07A7C6ED" w14:textId="77777777">
      <w:pPr>
        <w:jc w:val="center"/>
        <w:rPr>
          <w:rFonts w:asciiTheme="minorHAnsi" w:hAnsiTheme="minorHAnsi"/>
        </w:rPr>
      </w:pPr>
    </w:p>
    <w:p w:rsidRPr="00D625BE" w:rsidR="00D625BE" w:rsidP="00D625BE" w:rsidRDefault="00D625BE" w14:paraId="4A871AA2" w14:textId="77777777">
      <w:pPr>
        <w:jc w:val="center"/>
        <w:rPr>
          <w:rFonts w:asciiTheme="minorHAnsi" w:hAnsiTheme="minorHAnsi"/>
        </w:rPr>
      </w:pPr>
    </w:p>
    <w:p w:rsidRPr="00D625BE" w:rsidR="00D625BE" w:rsidP="00D625BE" w:rsidRDefault="00D625BE" w14:paraId="3C159CF5" w14:textId="77777777">
      <w:pPr>
        <w:jc w:val="center"/>
        <w:rPr>
          <w:rFonts w:asciiTheme="minorHAnsi" w:hAnsiTheme="minorHAnsi"/>
        </w:rPr>
      </w:pPr>
    </w:p>
    <w:p w:rsidR="00977E3E" w:rsidRDefault="00977E3E" w14:paraId="5ACF11DE" w14:textId="77777777">
      <w:pPr>
        <w:rPr>
          <w:rFonts w:asciiTheme="minorHAnsi" w:hAnsiTheme="minorHAnsi"/>
          <w:b/>
        </w:rPr>
      </w:pPr>
      <w:r>
        <w:rPr>
          <w:rFonts w:asciiTheme="minorHAnsi" w:hAnsiTheme="minorHAnsi"/>
          <w:b/>
        </w:rPr>
        <w:br w:type="page"/>
      </w:r>
    </w:p>
    <w:p w:rsidRPr="00D625BE" w:rsidR="00D625BE" w:rsidP="00D625BE" w:rsidRDefault="00D625BE" w14:paraId="54ED4CD6" w14:textId="77777777">
      <w:pPr>
        <w:jc w:val="center"/>
        <w:rPr>
          <w:rFonts w:asciiTheme="minorHAnsi" w:hAnsiTheme="minorHAnsi"/>
          <w:b/>
        </w:rPr>
      </w:pPr>
    </w:p>
    <w:p w:rsidR="00974DAA" w:rsidP="00974DAA" w:rsidRDefault="00974DAA" w14:paraId="2EA989C1" w14:textId="14E3736D">
      <w:pPr>
        <w:pStyle w:val="Default"/>
        <w:jc w:val="center"/>
        <w:rPr>
          <w:rFonts w:asciiTheme="minorHAnsi" w:hAnsiTheme="minorHAnsi"/>
          <w:b/>
          <w:bCs/>
        </w:rPr>
      </w:pPr>
      <w:r w:rsidRPr="00BE50DA">
        <w:rPr>
          <w:rFonts w:asciiTheme="minorHAnsi" w:hAnsiTheme="minorHAnsi"/>
          <w:b/>
          <w:bCs/>
        </w:rPr>
        <w:t>Table of Contents</w:t>
      </w:r>
    </w:p>
    <w:p w:rsidRPr="00BE50DA" w:rsidR="003C7D3E" w:rsidP="00974DAA" w:rsidRDefault="003C7D3E" w14:paraId="74CFEB58" w14:textId="77777777">
      <w:pPr>
        <w:pStyle w:val="Default"/>
        <w:jc w:val="center"/>
        <w:rPr>
          <w:rFonts w:asciiTheme="minorHAnsi" w:hAnsiTheme="minorHAnsi"/>
          <w:b/>
          <w:bCs/>
        </w:rPr>
      </w:pPr>
    </w:p>
    <w:p w:rsidRPr="00D81668" w:rsidR="003C7D3E" w:rsidP="003C7D3E" w:rsidRDefault="003C7D3E" w14:paraId="37D3E14E" w14:textId="77777777">
      <w:pPr>
        <w:rPr>
          <w:rFonts w:asciiTheme="minorHAnsi" w:hAnsiTheme="minorHAnsi" w:cstheme="minorHAnsi"/>
          <w:b/>
        </w:rPr>
      </w:pPr>
      <w:r w:rsidRPr="00D81668">
        <w:rPr>
          <w:rFonts w:asciiTheme="minorHAnsi" w:hAnsiTheme="minorHAnsi" w:cstheme="minorHAnsi"/>
          <w:b/>
        </w:rPr>
        <w:t>Section B.  Collections of Information Employing Statistical Methods</w:t>
      </w:r>
      <w:r w:rsidRPr="00D81668">
        <w:rPr>
          <w:rFonts w:asciiTheme="minorHAnsi" w:hAnsiTheme="minorHAnsi" w:cstheme="minorHAnsi"/>
          <w:b/>
        </w:rPr>
        <w:tab/>
      </w:r>
      <w:r w:rsidRPr="00D81668">
        <w:rPr>
          <w:rFonts w:asciiTheme="minorHAnsi" w:hAnsiTheme="minorHAnsi" w:cstheme="minorHAnsi"/>
          <w:b/>
        </w:rPr>
        <w:tab/>
        <w:t xml:space="preserve">Page No. </w:t>
      </w:r>
    </w:p>
    <w:p w:rsidR="00974DAA" w:rsidP="00D625BE" w:rsidRDefault="00974DAA" w14:paraId="39168D0D" w14:textId="77777777">
      <w:pPr>
        <w:pStyle w:val="Default"/>
        <w:rPr>
          <w:rFonts w:asciiTheme="minorHAnsi" w:hAnsiTheme="minorHAnsi"/>
          <w:b/>
          <w:bCs/>
        </w:rPr>
      </w:pPr>
    </w:p>
    <w:p w:rsidRPr="00D625BE" w:rsidR="00D625BE" w:rsidP="00D625BE" w:rsidRDefault="00F04356" w14:paraId="312E00B1" w14:textId="757A7544">
      <w:pPr>
        <w:pStyle w:val="Default"/>
        <w:rPr>
          <w:rFonts w:asciiTheme="minorHAnsi" w:hAnsiTheme="minorHAnsi"/>
        </w:rPr>
      </w:pPr>
      <w:r>
        <w:rPr>
          <w:rFonts w:asciiTheme="minorHAnsi" w:hAnsiTheme="minorHAnsi"/>
        </w:rPr>
        <w:t>B</w:t>
      </w:r>
      <w:r w:rsidRPr="00D625BE" w:rsidR="00D625BE">
        <w:rPr>
          <w:rFonts w:asciiTheme="minorHAnsi" w:hAnsiTheme="minorHAnsi"/>
        </w:rPr>
        <w:t>1. Respondent Universe and Sampling Methods</w:t>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007B681A">
        <w:rPr>
          <w:rFonts w:asciiTheme="minorHAnsi" w:hAnsiTheme="minorHAnsi"/>
        </w:rPr>
        <w:t xml:space="preserve">      3</w:t>
      </w:r>
      <w:r w:rsidR="00644E4C">
        <w:rPr>
          <w:rFonts w:asciiTheme="minorHAnsi" w:hAnsiTheme="minorHAnsi"/>
        </w:rPr>
        <w:tab/>
      </w:r>
      <w:r w:rsidR="00644E4C">
        <w:rPr>
          <w:rFonts w:asciiTheme="minorHAnsi" w:hAnsiTheme="minorHAnsi"/>
        </w:rPr>
        <w:tab/>
      </w:r>
      <w:r w:rsidRPr="00D625BE" w:rsidR="00D625BE">
        <w:rPr>
          <w:rFonts w:asciiTheme="minorHAnsi" w:hAnsiTheme="minorHAnsi"/>
        </w:rPr>
        <w:t xml:space="preserve"> </w:t>
      </w:r>
    </w:p>
    <w:p w:rsidRPr="00D625BE" w:rsidR="00D625BE" w:rsidP="00D625BE" w:rsidRDefault="00F04356" w14:paraId="4CDD5F64" w14:textId="2A45A7AC">
      <w:pPr>
        <w:pStyle w:val="Default"/>
        <w:rPr>
          <w:rFonts w:asciiTheme="minorHAnsi" w:hAnsiTheme="minorHAnsi"/>
        </w:rPr>
      </w:pPr>
      <w:r>
        <w:rPr>
          <w:rFonts w:asciiTheme="minorHAnsi" w:hAnsiTheme="minorHAnsi"/>
        </w:rPr>
        <w:t>B</w:t>
      </w:r>
      <w:r w:rsidRPr="00D625BE" w:rsidR="00D625BE">
        <w:rPr>
          <w:rFonts w:asciiTheme="minorHAnsi" w:hAnsiTheme="minorHAnsi"/>
        </w:rPr>
        <w:t xml:space="preserve">2. Procedures for the Collection of Information </w:t>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007B681A">
        <w:rPr>
          <w:rFonts w:asciiTheme="minorHAnsi" w:hAnsiTheme="minorHAnsi"/>
        </w:rPr>
        <w:t xml:space="preserve">      3</w:t>
      </w:r>
      <w:r w:rsidR="00644E4C">
        <w:rPr>
          <w:rFonts w:asciiTheme="minorHAnsi" w:hAnsiTheme="minorHAnsi"/>
        </w:rPr>
        <w:tab/>
      </w:r>
      <w:r w:rsidR="00644E4C">
        <w:rPr>
          <w:rFonts w:asciiTheme="minorHAnsi" w:hAnsiTheme="minorHAnsi"/>
        </w:rPr>
        <w:tab/>
      </w:r>
    </w:p>
    <w:p w:rsidRPr="00D625BE" w:rsidR="00D625BE" w:rsidP="00D625BE" w:rsidRDefault="00F04356" w14:paraId="63A1580B" w14:textId="04FB9798">
      <w:pPr>
        <w:pStyle w:val="Default"/>
        <w:rPr>
          <w:rFonts w:asciiTheme="minorHAnsi" w:hAnsiTheme="minorHAnsi"/>
        </w:rPr>
      </w:pPr>
      <w:r>
        <w:rPr>
          <w:rFonts w:asciiTheme="minorHAnsi" w:hAnsiTheme="minorHAnsi"/>
        </w:rPr>
        <w:t>B</w:t>
      </w:r>
      <w:r w:rsidRPr="00D625BE" w:rsidR="00D625BE">
        <w:rPr>
          <w:rFonts w:asciiTheme="minorHAnsi" w:hAnsiTheme="minorHAnsi"/>
        </w:rPr>
        <w:t>3. Methods to Maximize Response Rates and Deal with Non</w:t>
      </w:r>
      <w:r w:rsidR="00A403BF">
        <w:rPr>
          <w:rFonts w:asciiTheme="minorHAnsi" w:hAnsiTheme="minorHAnsi"/>
        </w:rPr>
        <w:t>-</w:t>
      </w:r>
      <w:r w:rsidRPr="00D625BE" w:rsidR="00D625BE">
        <w:rPr>
          <w:rFonts w:asciiTheme="minorHAnsi" w:hAnsiTheme="minorHAnsi"/>
        </w:rPr>
        <w:t xml:space="preserve">response </w:t>
      </w:r>
      <w:r w:rsidR="00644E4C">
        <w:rPr>
          <w:rFonts w:asciiTheme="minorHAnsi" w:hAnsiTheme="minorHAnsi"/>
        </w:rPr>
        <w:tab/>
      </w:r>
      <w:r w:rsidR="00644E4C">
        <w:rPr>
          <w:rFonts w:asciiTheme="minorHAnsi" w:hAnsiTheme="minorHAnsi"/>
        </w:rPr>
        <w:tab/>
      </w:r>
      <w:r w:rsidR="0002135A">
        <w:rPr>
          <w:rFonts w:asciiTheme="minorHAnsi" w:hAnsiTheme="minorHAnsi"/>
        </w:rPr>
        <w:t xml:space="preserve">      </w:t>
      </w:r>
      <w:r w:rsidR="001220B9">
        <w:rPr>
          <w:rFonts w:asciiTheme="minorHAnsi" w:hAnsiTheme="minorHAnsi"/>
        </w:rPr>
        <w:t>3</w:t>
      </w:r>
      <w:r w:rsidR="00644E4C">
        <w:rPr>
          <w:rFonts w:asciiTheme="minorHAnsi" w:hAnsiTheme="minorHAnsi"/>
        </w:rPr>
        <w:tab/>
      </w:r>
      <w:r w:rsidR="00644E4C">
        <w:rPr>
          <w:rFonts w:asciiTheme="minorHAnsi" w:hAnsiTheme="minorHAnsi"/>
        </w:rPr>
        <w:tab/>
      </w:r>
    </w:p>
    <w:p w:rsidRPr="00D625BE" w:rsidR="00D625BE" w:rsidP="00D625BE" w:rsidRDefault="00F04356" w14:paraId="3FBB7A3C" w14:textId="35C4A2F3">
      <w:pPr>
        <w:pStyle w:val="Default"/>
        <w:rPr>
          <w:rFonts w:asciiTheme="minorHAnsi" w:hAnsiTheme="minorHAnsi"/>
        </w:rPr>
      </w:pPr>
      <w:r>
        <w:rPr>
          <w:rFonts w:asciiTheme="minorHAnsi" w:hAnsiTheme="minorHAnsi"/>
        </w:rPr>
        <w:t>B</w:t>
      </w:r>
      <w:r w:rsidRPr="00D625BE" w:rsidR="00D625BE">
        <w:rPr>
          <w:rFonts w:asciiTheme="minorHAnsi" w:hAnsiTheme="minorHAnsi"/>
        </w:rPr>
        <w:t xml:space="preserve">4. Test of Procedures or Methods to be Undertaken </w:t>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0002135A">
        <w:rPr>
          <w:rFonts w:asciiTheme="minorHAnsi" w:hAnsiTheme="minorHAnsi"/>
        </w:rPr>
        <w:t xml:space="preserve">      4</w:t>
      </w:r>
      <w:r w:rsidR="00644E4C">
        <w:rPr>
          <w:rFonts w:asciiTheme="minorHAnsi" w:hAnsiTheme="minorHAnsi"/>
        </w:rPr>
        <w:tab/>
      </w:r>
      <w:r w:rsidR="00644E4C">
        <w:rPr>
          <w:rFonts w:asciiTheme="minorHAnsi" w:hAnsiTheme="minorHAnsi"/>
        </w:rPr>
        <w:tab/>
      </w:r>
    </w:p>
    <w:p w:rsidR="0002135A" w:rsidP="00D625BE" w:rsidRDefault="00F04356" w14:paraId="7B0CA0E2" w14:textId="77777777">
      <w:pPr>
        <w:rPr>
          <w:rFonts w:asciiTheme="minorHAnsi" w:hAnsiTheme="minorHAnsi"/>
        </w:rPr>
      </w:pPr>
      <w:r>
        <w:rPr>
          <w:rFonts w:asciiTheme="minorHAnsi" w:hAnsiTheme="minorHAnsi"/>
        </w:rPr>
        <w:t>B</w:t>
      </w:r>
      <w:r w:rsidRPr="00D625BE" w:rsidR="00D625BE">
        <w:rPr>
          <w:rFonts w:asciiTheme="minorHAnsi" w:hAnsiTheme="minorHAnsi"/>
        </w:rPr>
        <w:t xml:space="preserve">5. Individuals Consulted on Statistical Aspects and Individuals Collecting </w:t>
      </w:r>
    </w:p>
    <w:p w:rsidR="001E055D" w:rsidP="00D625BE" w:rsidRDefault="0002135A" w14:paraId="164D1A47" w14:textId="278117DB">
      <w:pPr>
        <w:rPr>
          <w:rFonts w:asciiTheme="minorHAnsi" w:hAnsiTheme="minorHAnsi"/>
        </w:rPr>
      </w:pPr>
      <w:r>
        <w:rPr>
          <w:rFonts w:asciiTheme="minorHAnsi" w:hAnsiTheme="minorHAnsi"/>
        </w:rPr>
        <w:t xml:space="preserve">       </w:t>
      </w:r>
      <w:r w:rsidRPr="00D625BE" w:rsidR="00D625BE">
        <w:rPr>
          <w:rFonts w:asciiTheme="minorHAnsi" w:hAnsiTheme="minorHAnsi"/>
        </w:rPr>
        <w:t>and/or Analyzing Data</w:t>
      </w:r>
      <w:r w:rsidR="00644E4C">
        <w:rPr>
          <w:rFonts w:asciiTheme="minorHAnsi" w:hAnsiTheme="minorHAnsi"/>
        </w:rPr>
        <w:tab/>
      </w:r>
      <w:r>
        <w:rPr>
          <w:rFonts w:asciiTheme="minorHAnsi" w:hAnsiTheme="minorHAnsi"/>
        </w:rPr>
        <w:t xml:space="preserve">                                                                                                   5</w:t>
      </w:r>
    </w:p>
    <w:p w:rsidRPr="00F0606C" w:rsidR="006502E5" w:rsidRDefault="006502E5" w14:paraId="37079BB0" w14:textId="20448489">
      <w:pPr>
        <w:rPr>
          <w:rFonts w:asciiTheme="minorHAnsi" w:hAnsiTheme="minorHAnsi"/>
        </w:rPr>
      </w:pPr>
      <w:r>
        <w:rPr>
          <w:rFonts w:asciiTheme="minorHAnsi" w:hAnsiTheme="minorHAnsi"/>
        </w:rPr>
        <w:br w:type="page"/>
      </w:r>
    </w:p>
    <w:p w:rsidR="00EB738C" w:rsidP="00EB738C" w:rsidRDefault="00EB738C" w14:paraId="41791547" w14:textId="77777777">
      <w:pPr>
        <w:pStyle w:val="Heading2"/>
        <w:rPr>
          <w:rFonts w:asciiTheme="minorHAnsi" w:hAnsiTheme="minorHAnsi"/>
          <w:sz w:val="24"/>
          <w:szCs w:val="24"/>
        </w:rPr>
      </w:pPr>
      <w:bookmarkStart w:name="_Toc233790995" w:id="1"/>
      <w:r>
        <w:rPr>
          <w:rFonts w:asciiTheme="minorHAnsi" w:hAnsiTheme="minorHAnsi"/>
          <w:sz w:val="24"/>
          <w:szCs w:val="24"/>
        </w:rPr>
        <w:lastRenderedPageBreak/>
        <w:t>B</w:t>
      </w:r>
      <w:r w:rsidRPr="00BE50DA">
        <w:rPr>
          <w:rFonts w:asciiTheme="minorHAnsi" w:hAnsiTheme="minorHAnsi"/>
          <w:sz w:val="24"/>
          <w:szCs w:val="24"/>
        </w:rPr>
        <w:t xml:space="preserve">. </w:t>
      </w:r>
      <w:bookmarkEnd w:id="1"/>
      <w:r w:rsidRPr="00EB738C">
        <w:rPr>
          <w:rFonts w:asciiTheme="minorHAnsi" w:hAnsiTheme="minorHAnsi"/>
          <w:sz w:val="24"/>
          <w:szCs w:val="24"/>
        </w:rPr>
        <w:t>Collections of Information Employing Statistical Methods</w:t>
      </w:r>
    </w:p>
    <w:p w:rsidRPr="00EB738C" w:rsidR="00EB738C" w:rsidP="00EB738C" w:rsidRDefault="00EB738C" w14:paraId="5D3213FE" w14:textId="77777777"/>
    <w:p w:rsidR="00EB738C" w:rsidP="00EB738C" w:rsidRDefault="00EB738C" w14:paraId="6535D0E3" w14:textId="7977F6CE">
      <w:pPr>
        <w:pStyle w:val="Default"/>
        <w:numPr>
          <w:ilvl w:val="0"/>
          <w:numId w:val="2"/>
        </w:numPr>
        <w:rPr>
          <w:rFonts w:asciiTheme="minorHAnsi" w:hAnsiTheme="minorHAnsi"/>
          <w:b/>
        </w:rPr>
      </w:pPr>
      <w:r w:rsidRPr="00EB738C">
        <w:rPr>
          <w:rFonts w:asciiTheme="minorHAnsi" w:hAnsiTheme="minorHAnsi"/>
          <w:b/>
        </w:rPr>
        <w:t xml:space="preserve">Respondent Universe </w:t>
      </w:r>
      <w:r w:rsidR="00044F67">
        <w:rPr>
          <w:rFonts w:asciiTheme="minorHAnsi" w:hAnsiTheme="minorHAnsi"/>
          <w:b/>
        </w:rPr>
        <w:t>and sampling methods</w:t>
      </w:r>
    </w:p>
    <w:p w:rsidR="00EB738C" w:rsidP="00EB738C" w:rsidRDefault="00EB738C" w14:paraId="5C9B7798" w14:textId="77777777">
      <w:pPr>
        <w:pStyle w:val="Default"/>
        <w:rPr>
          <w:rFonts w:asciiTheme="minorHAnsi" w:hAnsiTheme="minorHAnsi"/>
        </w:rPr>
      </w:pPr>
    </w:p>
    <w:p w:rsidRPr="00DC66AD" w:rsidR="00AD7559" w:rsidP="00AD7559" w:rsidRDefault="00AD7559" w14:paraId="21830265" w14:textId="18E316F3">
      <w:pPr>
        <w:autoSpaceDE w:val="0"/>
        <w:autoSpaceDN w:val="0"/>
        <w:adjustRightInd w:val="0"/>
        <w:rPr>
          <w:rFonts w:ascii="Calibri" w:hAnsi="Calibri" w:cs="Calibri" w:eastAsiaTheme="minorHAnsi"/>
          <w:color w:val="000000"/>
        </w:rPr>
      </w:pPr>
      <w:r w:rsidRPr="00DC66AD">
        <w:rPr>
          <w:rFonts w:ascii="Calibri" w:hAnsi="Calibri" w:cs="Calibri" w:eastAsiaTheme="minorHAnsi"/>
          <w:color w:val="000000"/>
        </w:rPr>
        <w:t xml:space="preserve">The sites of field research for this project are Bellingham, WA and Kelso, WA, which were the sites of two reinforced plastic boatbuilding plants that closed in 1989 and 1993, respectively. A cohort of 5,204 workers employed ≥1 day at either Uniflite or Tollycraft boatbuilding plants during January 1, 1959–September 30, 1978 was previously identified by NIOSH and has been followed since 1978. As of 2019, 3,089 members of the cohort were known to be living, and over 65% resided in the Bellingham and Kelso areas. </w:t>
      </w:r>
      <w:r w:rsidRPr="00DC66AD" w:rsidR="00B668A6">
        <w:rPr>
          <w:rFonts w:asciiTheme="minorHAnsi" w:hAnsiTheme="minorHAnsi" w:cstheme="minorHAnsi"/>
        </w:rPr>
        <w:t>This research project will be open to all living members of the boatbuilder cohort who live in the Bellingham and Kelso, WA areas.</w:t>
      </w:r>
      <w:r w:rsidR="00B668A6">
        <w:rPr>
          <w:sz w:val="22"/>
          <w:szCs w:val="22"/>
        </w:rPr>
        <w:t xml:space="preserve"> </w:t>
      </w:r>
      <w:r w:rsidRPr="00DC66AD">
        <w:rPr>
          <w:rFonts w:ascii="Calibri" w:hAnsi="Calibri" w:cs="Calibri" w:eastAsiaTheme="minorHAnsi"/>
          <w:color w:val="000000"/>
        </w:rPr>
        <w:t xml:space="preserve">Following a single NIOSH industrial hygiene survey in 1978, workers were originally categorized as having worked in departments with either minimal (“low”) (n=3,141 [60%]) or high (n=2,063 [40%]) styrene exposure. Based on this existing data, living cohort members will be assigned to one of the following categories: </w:t>
      </w:r>
    </w:p>
    <w:p w:rsidRPr="00DC66AD" w:rsidR="00AD7559" w:rsidP="00AD7559" w:rsidRDefault="00AD7559" w14:paraId="39FFA6DF" w14:textId="77777777">
      <w:pPr>
        <w:numPr>
          <w:ilvl w:val="0"/>
          <w:numId w:val="5"/>
        </w:numPr>
        <w:autoSpaceDE w:val="0"/>
        <w:autoSpaceDN w:val="0"/>
        <w:adjustRightInd w:val="0"/>
        <w:spacing w:after="30"/>
        <w:rPr>
          <w:rFonts w:ascii="Calibri" w:hAnsi="Calibri" w:cs="Calibri" w:eastAsiaTheme="minorHAnsi"/>
          <w:color w:val="000000"/>
        </w:rPr>
      </w:pPr>
      <w:r w:rsidRPr="00DC66AD">
        <w:rPr>
          <w:rFonts w:ascii="Calibri" w:hAnsi="Calibri" w:cs="Calibri" w:eastAsiaTheme="minorHAnsi"/>
          <w:color w:val="000000"/>
        </w:rPr>
        <w:t xml:space="preserve">• Long-tenured (≥12 months) worker with high-exposure (≥5 ppm 8-hour TWA) </w:t>
      </w:r>
    </w:p>
    <w:p w:rsidRPr="00DC66AD" w:rsidR="00AD7559" w:rsidP="00AD7559" w:rsidRDefault="00AD7559" w14:paraId="1FB18C1C" w14:textId="77777777">
      <w:pPr>
        <w:numPr>
          <w:ilvl w:val="0"/>
          <w:numId w:val="5"/>
        </w:numPr>
        <w:autoSpaceDE w:val="0"/>
        <w:autoSpaceDN w:val="0"/>
        <w:adjustRightInd w:val="0"/>
        <w:spacing w:after="30"/>
        <w:rPr>
          <w:rFonts w:ascii="Calibri" w:hAnsi="Calibri" w:cs="Calibri" w:eastAsiaTheme="minorHAnsi"/>
          <w:color w:val="000000"/>
        </w:rPr>
      </w:pPr>
      <w:r w:rsidRPr="00DC66AD">
        <w:rPr>
          <w:rFonts w:ascii="Calibri" w:hAnsi="Calibri" w:cs="Calibri" w:eastAsiaTheme="minorHAnsi"/>
          <w:color w:val="000000"/>
        </w:rPr>
        <w:t xml:space="preserve">• Long-tenured with low-exposure (&lt;5 ppm 8-hour TWA) </w:t>
      </w:r>
    </w:p>
    <w:p w:rsidRPr="00DC66AD" w:rsidR="00AD7559" w:rsidP="00AD7559" w:rsidRDefault="00AD7559" w14:paraId="7958D281" w14:textId="77777777">
      <w:pPr>
        <w:numPr>
          <w:ilvl w:val="0"/>
          <w:numId w:val="5"/>
        </w:numPr>
        <w:autoSpaceDE w:val="0"/>
        <w:autoSpaceDN w:val="0"/>
        <w:adjustRightInd w:val="0"/>
        <w:spacing w:after="30"/>
        <w:rPr>
          <w:rFonts w:ascii="Calibri" w:hAnsi="Calibri" w:cs="Calibri" w:eastAsiaTheme="minorHAnsi"/>
          <w:color w:val="000000"/>
        </w:rPr>
      </w:pPr>
      <w:r w:rsidRPr="00DC66AD">
        <w:rPr>
          <w:rFonts w:ascii="Calibri" w:hAnsi="Calibri" w:cs="Calibri" w:eastAsiaTheme="minorHAnsi"/>
          <w:color w:val="000000"/>
        </w:rPr>
        <w:t xml:space="preserve">• Short tenured (&lt;12 months) with </w:t>
      </w:r>
      <w:proofErr w:type="gramStart"/>
      <w:r w:rsidRPr="00DC66AD">
        <w:rPr>
          <w:rFonts w:ascii="Calibri" w:hAnsi="Calibri" w:cs="Calibri" w:eastAsiaTheme="minorHAnsi"/>
          <w:color w:val="000000"/>
        </w:rPr>
        <w:t>high-exposure</w:t>
      </w:r>
      <w:proofErr w:type="gramEnd"/>
      <w:r w:rsidRPr="00DC66AD">
        <w:rPr>
          <w:rFonts w:ascii="Calibri" w:hAnsi="Calibri" w:cs="Calibri" w:eastAsiaTheme="minorHAnsi"/>
          <w:color w:val="000000"/>
        </w:rPr>
        <w:t xml:space="preserve"> </w:t>
      </w:r>
    </w:p>
    <w:p w:rsidRPr="00DC66AD" w:rsidR="00AD7559" w:rsidP="00AD7559" w:rsidRDefault="00AD7559" w14:paraId="5F9091E0" w14:textId="77777777">
      <w:pPr>
        <w:numPr>
          <w:ilvl w:val="0"/>
          <w:numId w:val="5"/>
        </w:numPr>
        <w:autoSpaceDE w:val="0"/>
        <w:autoSpaceDN w:val="0"/>
        <w:adjustRightInd w:val="0"/>
        <w:rPr>
          <w:rFonts w:ascii="Calibri" w:hAnsi="Calibri" w:cs="Calibri" w:eastAsiaTheme="minorHAnsi"/>
          <w:color w:val="000000"/>
        </w:rPr>
      </w:pPr>
      <w:r w:rsidRPr="00DC66AD">
        <w:rPr>
          <w:rFonts w:ascii="Calibri" w:hAnsi="Calibri" w:cs="Calibri" w:eastAsiaTheme="minorHAnsi"/>
          <w:color w:val="000000"/>
        </w:rPr>
        <w:t xml:space="preserve">• Short-tenured with low-exposure </w:t>
      </w:r>
    </w:p>
    <w:p w:rsidRPr="00DC66AD" w:rsidR="00AD7559" w:rsidP="00AD7559" w:rsidRDefault="00AD7559" w14:paraId="483937AF" w14:textId="77777777">
      <w:pPr>
        <w:autoSpaceDE w:val="0"/>
        <w:autoSpaceDN w:val="0"/>
        <w:adjustRightInd w:val="0"/>
        <w:rPr>
          <w:rFonts w:ascii="Calibri" w:hAnsi="Calibri" w:cs="Calibri" w:eastAsiaTheme="minorHAnsi"/>
          <w:color w:val="000000"/>
        </w:rPr>
      </w:pPr>
    </w:p>
    <w:p w:rsidR="00002F0F" w:rsidP="00AD7559" w:rsidRDefault="00702B98" w14:paraId="5BF91380" w14:textId="3F58DD74">
      <w:pPr>
        <w:pStyle w:val="Default"/>
        <w:rPr>
          <w:rFonts w:ascii="Calibri" w:hAnsi="Calibri" w:cs="Calibri"/>
          <w:sz w:val="22"/>
          <w:szCs w:val="22"/>
        </w:rPr>
      </w:pPr>
      <w:r>
        <w:rPr>
          <w:rFonts w:ascii="Calibri" w:hAnsi="Calibri" w:cs="Calibri"/>
          <w:sz w:val="22"/>
          <w:szCs w:val="22"/>
        </w:rPr>
        <w:t xml:space="preserve">A random sample will be selected from the 3,089 living members of the boatbuilder cohort using a SAS statistical software system. </w:t>
      </w:r>
      <w:r w:rsidRPr="00DC66AD" w:rsidR="00AD7559">
        <w:rPr>
          <w:rFonts w:ascii="Calibri" w:hAnsi="Calibri" w:cs="Calibri"/>
        </w:rPr>
        <w:t>A random sample of 169 cohort members from each of the four tenure and exposure categories (676 total study subjects) living in the surrounding Bellingham, WA and Kelso, WA areas will be recruited to participate in the study</w:t>
      </w:r>
      <w:r>
        <w:rPr>
          <w:rFonts w:ascii="Calibri" w:hAnsi="Calibri" w:cs="Calibri"/>
        </w:rPr>
        <w:t xml:space="preserve"> and contacted</w:t>
      </w:r>
      <w:r w:rsidRPr="00DC66AD" w:rsidR="00AD7559">
        <w:rPr>
          <w:rFonts w:ascii="Calibri" w:hAnsi="Calibri" w:cs="Calibri"/>
        </w:rPr>
        <w:t xml:space="preserve"> by both mail and telephone. A total of 676 study subjects will be enrolled. A power analysis was conducted to determine the likelihood of identifying a prevalence ratio of 1.75 for lung disease in workers with previous high styrene exposures compared with a comparison group comprised of workers with previous low styrene exposures. The power analysis assumed power = 0.80 and alpha = 0.05. A prevalence ratio of 1.75 was chosen considering a recent mortality analysis of this cohort identified the standardized mortality ratio (SMR) for COPD for workers with high potential styrene exposure who had been employed for &lt;1 year was 2.60 (95% CI = 1.70–3.81) and for those employed ≥1 year was 2.02 (95% CI = 1.08–3.46). The power analysis determined 673 subjects would be needed under these assumptions.</w:t>
      </w:r>
      <w:r w:rsidRPr="00AD7559" w:rsidR="00AD7559">
        <w:rPr>
          <w:rFonts w:ascii="Calibri" w:hAnsi="Calibri" w:cs="Calibri"/>
          <w:sz w:val="22"/>
          <w:szCs w:val="22"/>
        </w:rPr>
        <w:t xml:space="preserve"> </w:t>
      </w:r>
    </w:p>
    <w:p w:rsidR="00002F0F" w:rsidP="00AD7559" w:rsidRDefault="00002F0F" w14:paraId="0060AD4E" w14:textId="77777777">
      <w:pPr>
        <w:pStyle w:val="Default"/>
        <w:rPr>
          <w:rFonts w:ascii="Calibri" w:hAnsi="Calibri" w:cs="Calibri"/>
          <w:sz w:val="22"/>
          <w:szCs w:val="22"/>
        </w:rPr>
      </w:pPr>
    </w:p>
    <w:p w:rsidRPr="00DC66AD" w:rsidR="00002F0F" w:rsidP="00AD7559" w:rsidRDefault="00002F0F" w14:paraId="2C4ED832" w14:textId="03100248">
      <w:pPr>
        <w:pStyle w:val="Default"/>
        <w:rPr>
          <w:rFonts w:asciiTheme="minorHAnsi" w:hAnsiTheme="minorHAnsi" w:cstheme="minorHAnsi"/>
        </w:rPr>
      </w:pPr>
      <w:r w:rsidRPr="00DC66AD">
        <w:rPr>
          <w:rFonts w:asciiTheme="minorHAnsi" w:hAnsiTheme="minorHAnsi" w:cstheme="minorHAnsi"/>
        </w:rPr>
        <w:t xml:space="preserve">To characterize work exposures for analysis, we will administer a questionnaire (Attachment 3) that includes a detailed job history during and after the worker’s tenure; job histories at the boatbuilding plants will be compared with air sampling data from a prior industrial hygiene survey conducted in 1978 to more specifically characterize past styrene exposure for study subjects. Final exposure categories for analysis will be determined by responses in the work history section of the questionnaire. Thirteen job titles in the high-exposure category were associated with 8-hour time weighted average exposures of 11.8–106.0 parts per million. </w:t>
      </w:r>
    </w:p>
    <w:p w:rsidR="00002F0F" w:rsidP="00AD7559" w:rsidRDefault="00002F0F" w14:paraId="1B260777" w14:textId="77777777">
      <w:pPr>
        <w:pStyle w:val="Default"/>
        <w:rPr>
          <w:sz w:val="22"/>
          <w:szCs w:val="22"/>
        </w:rPr>
      </w:pPr>
    </w:p>
    <w:p w:rsidR="00120937" w:rsidP="00EB738C" w:rsidRDefault="00120937" w14:paraId="68FA4268" w14:textId="77777777">
      <w:pPr>
        <w:pStyle w:val="Default"/>
        <w:rPr>
          <w:rFonts w:asciiTheme="minorHAnsi" w:hAnsiTheme="minorHAnsi"/>
        </w:rPr>
      </w:pPr>
    </w:p>
    <w:p w:rsidR="00FF3F04" w:rsidP="00816574" w:rsidRDefault="00816574" w14:paraId="63D28BB6" w14:textId="77777777">
      <w:pPr>
        <w:pStyle w:val="ListParagraph"/>
        <w:numPr>
          <w:ilvl w:val="0"/>
          <w:numId w:val="2"/>
        </w:numPr>
        <w:rPr>
          <w:rFonts w:asciiTheme="minorHAnsi" w:hAnsiTheme="minorHAnsi"/>
          <w:b/>
        </w:rPr>
      </w:pPr>
      <w:r w:rsidRPr="00816574">
        <w:rPr>
          <w:rFonts w:asciiTheme="minorHAnsi" w:hAnsiTheme="minorHAnsi"/>
          <w:b/>
        </w:rPr>
        <w:t>Procedures for the Collection of Information</w:t>
      </w:r>
    </w:p>
    <w:p w:rsidRPr="00B668A6" w:rsidR="00816574" w:rsidP="00816574" w:rsidRDefault="00816574" w14:paraId="1F46AF98" w14:textId="77777777">
      <w:pPr>
        <w:rPr>
          <w:rFonts w:asciiTheme="minorHAnsi" w:hAnsiTheme="minorHAnsi" w:cstheme="minorHAnsi"/>
          <w:b/>
        </w:rPr>
      </w:pPr>
    </w:p>
    <w:p w:rsidR="00947D7F" w:rsidP="00816574" w:rsidRDefault="00B668A6" w14:paraId="75CB11F6" w14:textId="0806255D">
      <w:pPr>
        <w:rPr>
          <w:rFonts w:asciiTheme="minorHAnsi" w:hAnsiTheme="minorHAnsi"/>
        </w:rPr>
      </w:pPr>
      <w:r w:rsidRPr="00DC66AD">
        <w:rPr>
          <w:rFonts w:asciiTheme="minorHAnsi" w:hAnsiTheme="minorHAnsi" w:cstheme="minorHAnsi"/>
        </w:rPr>
        <w:lastRenderedPageBreak/>
        <w:t>NIOSH will recruit 676 participants from the boatbuilder cohort for a medical survey.</w:t>
      </w:r>
      <w:r>
        <w:rPr>
          <w:sz w:val="22"/>
          <w:szCs w:val="22"/>
        </w:rPr>
        <w:t xml:space="preserve"> </w:t>
      </w:r>
      <w:r w:rsidR="00CB2A9E">
        <w:rPr>
          <w:rFonts w:asciiTheme="minorHAnsi" w:hAnsiTheme="minorHAnsi"/>
        </w:rPr>
        <w:t>A</w:t>
      </w:r>
      <w:r w:rsidR="009E4EC6">
        <w:rPr>
          <w:rFonts w:asciiTheme="minorHAnsi" w:hAnsiTheme="minorHAnsi"/>
        </w:rPr>
        <w:t xml:space="preserve"> recruitment letter (Attachment </w:t>
      </w:r>
      <w:r w:rsidR="00967761">
        <w:rPr>
          <w:rFonts w:asciiTheme="minorHAnsi" w:hAnsiTheme="minorHAnsi"/>
        </w:rPr>
        <w:t>1</w:t>
      </w:r>
      <w:r w:rsidR="006E6488">
        <w:rPr>
          <w:rFonts w:asciiTheme="minorHAnsi" w:hAnsiTheme="minorHAnsi"/>
        </w:rPr>
        <w:t>7</w:t>
      </w:r>
      <w:r w:rsidR="009E4EC6">
        <w:rPr>
          <w:rFonts w:asciiTheme="minorHAnsi" w:hAnsiTheme="minorHAnsi"/>
        </w:rPr>
        <w:t xml:space="preserve">) describing </w:t>
      </w:r>
      <w:r w:rsidR="000D32FB">
        <w:rPr>
          <w:rFonts w:asciiTheme="minorHAnsi" w:hAnsiTheme="minorHAnsi"/>
        </w:rPr>
        <w:t>the study will be mailed to selected individuals</w:t>
      </w:r>
      <w:r w:rsidR="009E4EC6">
        <w:rPr>
          <w:rFonts w:asciiTheme="minorHAnsi" w:hAnsiTheme="minorHAnsi"/>
        </w:rPr>
        <w:t xml:space="preserve">. Data collection will take place at </w:t>
      </w:r>
      <w:r w:rsidR="009E696E">
        <w:rPr>
          <w:rFonts w:asciiTheme="minorHAnsi" w:hAnsiTheme="minorHAnsi"/>
        </w:rPr>
        <w:t xml:space="preserve">a rented </w:t>
      </w:r>
      <w:r w:rsidR="00AC2FD3">
        <w:rPr>
          <w:rFonts w:asciiTheme="minorHAnsi" w:hAnsiTheme="minorHAnsi"/>
        </w:rPr>
        <w:t>hotel conference space</w:t>
      </w:r>
      <w:r w:rsidR="00BD0260">
        <w:rPr>
          <w:rFonts w:asciiTheme="minorHAnsi" w:hAnsiTheme="minorHAnsi"/>
        </w:rPr>
        <w:t xml:space="preserve"> in Bellingham, WA and Kelso, WA</w:t>
      </w:r>
      <w:r w:rsidR="009E4EC6">
        <w:rPr>
          <w:rFonts w:asciiTheme="minorHAnsi" w:hAnsiTheme="minorHAnsi"/>
        </w:rPr>
        <w:t>.</w:t>
      </w:r>
      <w:r w:rsidR="006A2886">
        <w:rPr>
          <w:rFonts w:asciiTheme="minorHAnsi" w:hAnsiTheme="minorHAnsi"/>
        </w:rPr>
        <w:t xml:space="preserve"> </w:t>
      </w:r>
    </w:p>
    <w:p w:rsidR="00947D7F" w:rsidP="00816574" w:rsidRDefault="00947D7F" w14:paraId="0A7D0FF8" w14:textId="77777777">
      <w:pPr>
        <w:rPr>
          <w:rFonts w:asciiTheme="minorHAnsi" w:hAnsiTheme="minorHAnsi"/>
        </w:rPr>
      </w:pPr>
    </w:p>
    <w:p w:rsidR="0036452B" w:rsidP="00816574" w:rsidRDefault="009E4EC6" w14:paraId="0702AA84" w14:textId="3024A234">
      <w:pPr>
        <w:rPr>
          <w:rFonts w:asciiTheme="minorHAnsi" w:hAnsiTheme="minorHAnsi"/>
        </w:rPr>
      </w:pPr>
      <w:r>
        <w:rPr>
          <w:rFonts w:asciiTheme="minorHAnsi" w:hAnsiTheme="minorHAnsi"/>
        </w:rPr>
        <w:t xml:space="preserve">For the questionnaire and medical testing, trained NIOSH staff will meet with each </w:t>
      </w:r>
      <w:r w:rsidR="00AC2FD3">
        <w:rPr>
          <w:rFonts w:asciiTheme="minorHAnsi" w:hAnsiTheme="minorHAnsi"/>
        </w:rPr>
        <w:t>participant privately</w:t>
      </w:r>
      <w:r>
        <w:rPr>
          <w:rFonts w:asciiTheme="minorHAnsi" w:hAnsiTheme="minorHAnsi"/>
        </w:rPr>
        <w:t xml:space="preserve"> to review the informed co</w:t>
      </w:r>
      <w:r w:rsidR="00C93E85">
        <w:rPr>
          <w:rFonts w:asciiTheme="minorHAnsi" w:hAnsiTheme="minorHAnsi"/>
        </w:rPr>
        <w:t xml:space="preserve">nsent document (Attachment </w:t>
      </w:r>
      <w:r w:rsidR="008E7202">
        <w:rPr>
          <w:rFonts w:asciiTheme="minorHAnsi" w:hAnsiTheme="minorHAnsi"/>
        </w:rPr>
        <w:t>1</w:t>
      </w:r>
      <w:r w:rsidR="006E6488">
        <w:rPr>
          <w:rFonts w:asciiTheme="minorHAnsi" w:hAnsiTheme="minorHAnsi"/>
        </w:rPr>
        <w:t>9</w:t>
      </w:r>
      <w:r w:rsidR="009E696E">
        <w:rPr>
          <w:rFonts w:asciiTheme="minorHAnsi" w:hAnsiTheme="minorHAnsi"/>
        </w:rPr>
        <w:t xml:space="preserve">). </w:t>
      </w:r>
      <w:r w:rsidR="00AC2FD3">
        <w:rPr>
          <w:rFonts w:asciiTheme="minorHAnsi" w:hAnsiTheme="minorHAnsi"/>
        </w:rPr>
        <w:t>Participants</w:t>
      </w:r>
      <w:r w:rsidR="00947D7F">
        <w:rPr>
          <w:rFonts w:asciiTheme="minorHAnsi" w:hAnsiTheme="minorHAnsi"/>
        </w:rPr>
        <w:t xml:space="preserve"> who wish to participate will be required to sign</w:t>
      </w:r>
      <w:r w:rsidR="009E696E">
        <w:rPr>
          <w:rFonts w:asciiTheme="minorHAnsi" w:hAnsiTheme="minorHAnsi"/>
        </w:rPr>
        <w:t xml:space="preserve"> the informed consent document.</w:t>
      </w:r>
      <w:r w:rsidR="00947D7F">
        <w:rPr>
          <w:rFonts w:asciiTheme="minorHAnsi" w:hAnsiTheme="minorHAnsi"/>
        </w:rPr>
        <w:t xml:space="preserve"> </w:t>
      </w:r>
      <w:r>
        <w:rPr>
          <w:rFonts w:asciiTheme="minorHAnsi" w:hAnsiTheme="minorHAnsi"/>
        </w:rPr>
        <w:t xml:space="preserve">A trained NIOSH interviewer will conduct the </w:t>
      </w:r>
      <w:r w:rsidR="00ED708A">
        <w:rPr>
          <w:rFonts w:asciiTheme="minorHAnsi" w:hAnsiTheme="minorHAnsi"/>
        </w:rPr>
        <w:t>questionnaire</w:t>
      </w:r>
      <w:r>
        <w:rPr>
          <w:rFonts w:asciiTheme="minorHAnsi" w:hAnsiTheme="minorHAnsi"/>
        </w:rPr>
        <w:t xml:space="preserve"> in a private </w:t>
      </w:r>
      <w:r w:rsidR="009E696E">
        <w:rPr>
          <w:rFonts w:asciiTheme="minorHAnsi" w:hAnsiTheme="minorHAnsi"/>
        </w:rPr>
        <w:t>area</w:t>
      </w:r>
      <w:r>
        <w:rPr>
          <w:rFonts w:asciiTheme="minorHAnsi" w:hAnsiTheme="minorHAnsi"/>
        </w:rPr>
        <w:t xml:space="preserve"> using a laptop computer</w:t>
      </w:r>
      <w:r w:rsidR="00CB2A9E">
        <w:rPr>
          <w:rFonts w:asciiTheme="minorHAnsi" w:hAnsiTheme="minorHAnsi"/>
        </w:rPr>
        <w:t xml:space="preserve"> (Attachment </w:t>
      </w:r>
      <w:r w:rsidR="00C060FF">
        <w:rPr>
          <w:rFonts w:asciiTheme="minorHAnsi" w:hAnsiTheme="minorHAnsi"/>
        </w:rPr>
        <w:t>3</w:t>
      </w:r>
      <w:r w:rsidR="00CB2A9E">
        <w:rPr>
          <w:rFonts w:asciiTheme="minorHAnsi" w:hAnsiTheme="minorHAnsi"/>
        </w:rPr>
        <w:t>)</w:t>
      </w:r>
      <w:r>
        <w:rPr>
          <w:rFonts w:asciiTheme="minorHAnsi" w:hAnsiTheme="minorHAnsi"/>
        </w:rPr>
        <w:t>.</w:t>
      </w:r>
      <w:r w:rsidR="00CB2A9E">
        <w:rPr>
          <w:rFonts w:asciiTheme="minorHAnsi" w:hAnsiTheme="minorHAnsi"/>
        </w:rPr>
        <w:t xml:space="preserve"> </w:t>
      </w:r>
      <w:r w:rsidR="00DF4D5A">
        <w:rPr>
          <w:rFonts w:asciiTheme="minorHAnsi" w:hAnsiTheme="minorHAnsi"/>
        </w:rPr>
        <w:t>Lung function tests</w:t>
      </w:r>
      <w:r w:rsidR="004C7C05">
        <w:rPr>
          <w:rFonts w:asciiTheme="minorHAnsi" w:hAnsiTheme="minorHAnsi"/>
        </w:rPr>
        <w:t xml:space="preserve">, color vision </w:t>
      </w:r>
      <w:r w:rsidR="00AE536A">
        <w:rPr>
          <w:rFonts w:asciiTheme="minorHAnsi" w:hAnsiTheme="minorHAnsi"/>
        </w:rPr>
        <w:t>assessment, and</w:t>
      </w:r>
      <w:r w:rsidR="00DF4D5A">
        <w:rPr>
          <w:rFonts w:asciiTheme="minorHAnsi" w:hAnsiTheme="minorHAnsi"/>
        </w:rPr>
        <w:t xml:space="preserve"> blood draw </w:t>
      </w:r>
      <w:r w:rsidR="009E696E">
        <w:rPr>
          <w:rFonts w:asciiTheme="minorHAnsi" w:hAnsiTheme="minorHAnsi"/>
        </w:rPr>
        <w:t xml:space="preserve">will take place </w:t>
      </w:r>
      <w:r w:rsidR="00AC2FD3">
        <w:rPr>
          <w:rFonts w:asciiTheme="minorHAnsi" w:hAnsiTheme="minorHAnsi"/>
        </w:rPr>
        <w:t xml:space="preserve">privately </w:t>
      </w:r>
      <w:r w:rsidR="009E696E">
        <w:rPr>
          <w:rFonts w:asciiTheme="minorHAnsi" w:hAnsiTheme="minorHAnsi"/>
        </w:rPr>
        <w:t xml:space="preserve">at the </w:t>
      </w:r>
      <w:r w:rsidR="00AC2FD3">
        <w:rPr>
          <w:rFonts w:asciiTheme="minorHAnsi" w:hAnsiTheme="minorHAnsi"/>
        </w:rPr>
        <w:t>same location as the questionnaire</w:t>
      </w:r>
      <w:r w:rsidR="001D04E2">
        <w:rPr>
          <w:rFonts w:asciiTheme="minorHAnsi" w:hAnsiTheme="minorHAnsi"/>
        </w:rPr>
        <w:t>.</w:t>
      </w:r>
      <w:r w:rsidR="009E696E">
        <w:rPr>
          <w:rFonts w:asciiTheme="minorHAnsi" w:hAnsiTheme="minorHAnsi"/>
        </w:rPr>
        <w:t xml:space="preserve"> </w:t>
      </w:r>
    </w:p>
    <w:p w:rsidR="00AC2FD3" w:rsidP="00816574" w:rsidRDefault="00AC2FD3" w14:paraId="21102DAF" w14:textId="77777777">
      <w:pPr>
        <w:rPr>
          <w:rFonts w:asciiTheme="minorHAnsi" w:hAnsiTheme="minorHAnsi"/>
        </w:rPr>
      </w:pPr>
    </w:p>
    <w:p w:rsidR="00F82531" w:rsidP="006502E5" w:rsidRDefault="006502E5" w14:paraId="680E7295" w14:textId="77777777">
      <w:pPr>
        <w:pStyle w:val="ListParagraph"/>
        <w:numPr>
          <w:ilvl w:val="0"/>
          <w:numId w:val="2"/>
        </w:numPr>
        <w:rPr>
          <w:rFonts w:asciiTheme="minorHAnsi" w:hAnsiTheme="minorHAnsi"/>
          <w:b/>
        </w:rPr>
      </w:pPr>
      <w:r w:rsidRPr="006502E5">
        <w:rPr>
          <w:rFonts w:asciiTheme="minorHAnsi" w:hAnsiTheme="minorHAnsi"/>
          <w:b/>
        </w:rPr>
        <w:t>Methods to Maximize Response Rates and Deal with No response</w:t>
      </w:r>
    </w:p>
    <w:p w:rsidR="006502E5" w:rsidP="006502E5" w:rsidRDefault="006502E5" w14:paraId="0D4E9EF1" w14:textId="77777777">
      <w:pPr>
        <w:rPr>
          <w:rFonts w:asciiTheme="minorHAnsi" w:hAnsiTheme="minorHAnsi"/>
          <w:b/>
        </w:rPr>
      </w:pPr>
    </w:p>
    <w:p w:rsidR="009D7E5E" w:rsidP="00BE586E" w:rsidRDefault="009D7E5E" w14:paraId="1C342ABE" w14:textId="1ED51F6D">
      <w:pPr>
        <w:pStyle w:val="Default"/>
        <w:rPr>
          <w:rFonts w:asciiTheme="minorHAnsi" w:hAnsiTheme="minorHAnsi"/>
        </w:rPr>
      </w:pPr>
      <w:r>
        <w:rPr>
          <w:rFonts w:asciiTheme="minorHAnsi" w:hAnsiTheme="minorHAnsi"/>
        </w:rPr>
        <w:t xml:space="preserve">Several components of the study are expected to maximize the response rate, including </w:t>
      </w:r>
      <w:r w:rsidR="002F07DC">
        <w:rPr>
          <w:rFonts w:asciiTheme="minorHAnsi" w:hAnsiTheme="minorHAnsi"/>
        </w:rPr>
        <w:t>an in-</w:t>
      </w:r>
      <w:r w:rsidR="00220BD7">
        <w:rPr>
          <w:rFonts w:asciiTheme="minorHAnsi" w:hAnsiTheme="minorHAnsi"/>
        </w:rPr>
        <w:t xml:space="preserve">person information sessions, </w:t>
      </w:r>
      <w:r>
        <w:rPr>
          <w:rFonts w:asciiTheme="minorHAnsi" w:hAnsiTheme="minorHAnsi"/>
        </w:rPr>
        <w:t>f</w:t>
      </w:r>
      <w:r w:rsidRPr="00BE586E" w:rsidR="00BE586E">
        <w:rPr>
          <w:rFonts w:asciiTheme="minorHAnsi" w:hAnsiTheme="minorHAnsi"/>
        </w:rPr>
        <w:t>ormal invitati</w:t>
      </w:r>
      <w:r w:rsidR="00220BD7">
        <w:rPr>
          <w:rFonts w:asciiTheme="minorHAnsi" w:hAnsiTheme="minorHAnsi"/>
        </w:rPr>
        <w:t>on letters, a series of follow-up phone calls,</w:t>
      </w:r>
      <w:r w:rsidRPr="00BE586E" w:rsidR="00BE586E">
        <w:rPr>
          <w:rFonts w:asciiTheme="minorHAnsi" w:hAnsiTheme="minorHAnsi"/>
        </w:rPr>
        <w:t xml:space="preserve"> </w:t>
      </w:r>
      <w:r w:rsidR="0036461E">
        <w:rPr>
          <w:rFonts w:asciiTheme="minorHAnsi" w:hAnsiTheme="minorHAnsi"/>
        </w:rPr>
        <w:t xml:space="preserve">and </w:t>
      </w:r>
      <w:r w:rsidR="00367467">
        <w:rPr>
          <w:rFonts w:asciiTheme="minorHAnsi" w:hAnsiTheme="minorHAnsi"/>
        </w:rPr>
        <w:t xml:space="preserve">offering </w:t>
      </w:r>
      <w:r w:rsidR="00220BD7">
        <w:rPr>
          <w:rFonts w:asciiTheme="minorHAnsi" w:hAnsiTheme="minorHAnsi"/>
        </w:rPr>
        <w:t>free</w:t>
      </w:r>
      <w:r w:rsidRPr="00BE586E" w:rsidR="00BE586E">
        <w:rPr>
          <w:rFonts w:asciiTheme="minorHAnsi" w:hAnsiTheme="minorHAnsi"/>
        </w:rPr>
        <w:t xml:space="preserve"> medical testing</w:t>
      </w:r>
      <w:r w:rsidR="00220BD7">
        <w:rPr>
          <w:rFonts w:asciiTheme="minorHAnsi" w:hAnsiTheme="minorHAnsi"/>
        </w:rPr>
        <w:t>.</w:t>
      </w:r>
      <w:r w:rsidR="00990729">
        <w:rPr>
          <w:rFonts w:asciiTheme="minorHAnsi" w:hAnsiTheme="minorHAnsi"/>
        </w:rPr>
        <w:t xml:space="preserve"> </w:t>
      </w:r>
    </w:p>
    <w:p w:rsidR="001220B9" w:rsidP="00BE586E" w:rsidRDefault="001220B9" w14:paraId="712365C5" w14:textId="76043A36">
      <w:pPr>
        <w:pStyle w:val="Default"/>
        <w:rPr>
          <w:rFonts w:asciiTheme="minorHAnsi" w:hAnsiTheme="minorHAnsi"/>
        </w:rPr>
      </w:pPr>
    </w:p>
    <w:p w:rsidR="001220B9" w:rsidP="00BE586E" w:rsidRDefault="001220B9" w14:paraId="1B3A2F5E" w14:textId="2237E578">
      <w:pPr>
        <w:pStyle w:val="Default"/>
        <w:rPr>
          <w:rFonts w:asciiTheme="minorHAnsi" w:hAnsiTheme="minorHAnsi"/>
        </w:rPr>
      </w:pPr>
    </w:p>
    <w:p w:rsidR="001220B9" w:rsidP="00BE586E" w:rsidRDefault="001220B9" w14:paraId="556AE889" w14:textId="77777777">
      <w:pPr>
        <w:pStyle w:val="Default"/>
        <w:rPr>
          <w:rFonts w:asciiTheme="minorHAnsi" w:hAnsiTheme="minorHAnsi"/>
        </w:rPr>
      </w:pPr>
    </w:p>
    <w:p w:rsidR="009D7E5E" w:rsidP="00BE586E" w:rsidRDefault="009D7E5E" w14:paraId="4011657C" w14:textId="4B3083A1">
      <w:pPr>
        <w:pStyle w:val="Default"/>
        <w:rPr>
          <w:rFonts w:asciiTheme="minorHAnsi" w:hAnsiTheme="minorHAnsi"/>
        </w:rPr>
      </w:pPr>
    </w:p>
    <w:p w:rsidRPr="009D7E5E" w:rsidR="009D7E5E" w:rsidP="009D7E5E" w:rsidRDefault="009D7E5E" w14:paraId="766F13E5" w14:textId="77777777">
      <w:pPr>
        <w:pStyle w:val="Default"/>
        <w:numPr>
          <w:ilvl w:val="0"/>
          <w:numId w:val="2"/>
        </w:numPr>
        <w:rPr>
          <w:rFonts w:asciiTheme="minorHAnsi" w:hAnsiTheme="minorHAnsi"/>
          <w:b/>
        </w:rPr>
      </w:pPr>
      <w:r w:rsidRPr="009D7E5E">
        <w:rPr>
          <w:rFonts w:asciiTheme="minorHAnsi" w:hAnsiTheme="minorHAnsi"/>
          <w:b/>
        </w:rPr>
        <w:t>Tests of Procedures or Methods to be Undertaken</w:t>
      </w:r>
    </w:p>
    <w:p w:rsidRPr="00EB738C" w:rsidR="00BE586E" w:rsidP="00BE586E" w:rsidRDefault="00BE586E" w14:paraId="1E5B2DD5" w14:textId="77777777">
      <w:pPr>
        <w:pStyle w:val="Default"/>
        <w:rPr>
          <w:rFonts w:asciiTheme="minorHAnsi" w:hAnsiTheme="minorHAnsi"/>
          <w:b/>
        </w:rPr>
      </w:pPr>
    </w:p>
    <w:p w:rsidR="00051E73" w:rsidP="0042614A" w:rsidRDefault="0042614A" w14:paraId="2AF9FEC0" w14:textId="4F2A9E1B">
      <w:pPr>
        <w:rPr>
          <w:rFonts w:asciiTheme="minorHAnsi" w:hAnsiTheme="minorHAnsi"/>
        </w:rPr>
      </w:pPr>
      <w:r>
        <w:rPr>
          <w:rFonts w:asciiTheme="minorHAnsi" w:hAnsiTheme="minorHAnsi"/>
        </w:rPr>
        <w:t xml:space="preserve">The </w:t>
      </w:r>
      <w:r w:rsidRPr="00990729">
        <w:rPr>
          <w:rFonts w:asciiTheme="minorHAnsi" w:hAnsiTheme="minorHAnsi"/>
        </w:rPr>
        <w:t xml:space="preserve">questionnaire (Attachment </w:t>
      </w:r>
      <w:r w:rsidR="008E5965">
        <w:rPr>
          <w:rFonts w:asciiTheme="minorHAnsi" w:hAnsiTheme="minorHAnsi"/>
        </w:rPr>
        <w:t>3</w:t>
      </w:r>
      <w:r w:rsidRPr="00990729">
        <w:rPr>
          <w:rFonts w:asciiTheme="minorHAnsi" w:hAnsiTheme="minorHAnsi"/>
        </w:rPr>
        <w:t>)</w:t>
      </w:r>
      <w:r>
        <w:rPr>
          <w:rFonts w:asciiTheme="minorHAnsi" w:hAnsiTheme="minorHAnsi"/>
        </w:rPr>
        <w:t xml:space="preserve"> was developed from</w:t>
      </w:r>
      <w:r w:rsidR="0081233B">
        <w:rPr>
          <w:rFonts w:asciiTheme="minorHAnsi" w:hAnsiTheme="minorHAnsi"/>
        </w:rPr>
        <w:t xml:space="preserve"> </w:t>
      </w:r>
      <w:r>
        <w:rPr>
          <w:rFonts w:asciiTheme="minorHAnsi" w:hAnsiTheme="minorHAnsi"/>
        </w:rPr>
        <w:t>standardized data collection instruments</w:t>
      </w:r>
      <w:r w:rsidR="000B0F34">
        <w:rPr>
          <w:rFonts w:asciiTheme="minorHAnsi" w:hAnsiTheme="minorHAnsi"/>
        </w:rPr>
        <w:t xml:space="preserve"> used by the </w:t>
      </w:r>
      <w:r>
        <w:rPr>
          <w:rFonts w:asciiTheme="minorHAnsi" w:hAnsiTheme="minorHAnsi"/>
        </w:rPr>
        <w:t>American Thoracic Society</w:t>
      </w:r>
      <w:r w:rsidR="000B0F34">
        <w:rPr>
          <w:rFonts w:asciiTheme="minorHAnsi" w:hAnsiTheme="minorHAnsi"/>
        </w:rPr>
        <w:t xml:space="preserve"> and the </w:t>
      </w:r>
      <w:r>
        <w:rPr>
          <w:rFonts w:asciiTheme="minorHAnsi" w:hAnsiTheme="minorHAnsi"/>
        </w:rPr>
        <w:t>National Health a</w:t>
      </w:r>
      <w:r w:rsidR="000B0F34">
        <w:rPr>
          <w:rFonts w:asciiTheme="minorHAnsi" w:hAnsiTheme="minorHAnsi"/>
        </w:rPr>
        <w:t>nd Nutrition Examination Survey</w:t>
      </w:r>
      <w:r>
        <w:rPr>
          <w:rFonts w:asciiTheme="minorHAnsi" w:hAnsiTheme="minorHAnsi"/>
        </w:rPr>
        <w:t xml:space="preserve">.  Similar questionnaires have been used extensively by NIOSH for health hazard evaluations and research studies.  </w:t>
      </w:r>
    </w:p>
    <w:p w:rsidR="0025485A" w:rsidP="0042614A" w:rsidRDefault="0025485A" w14:paraId="560C56F4" w14:textId="27C93A5B">
      <w:pPr>
        <w:rPr>
          <w:rFonts w:asciiTheme="minorHAnsi" w:hAnsiTheme="minorHAnsi"/>
        </w:rPr>
      </w:pPr>
    </w:p>
    <w:p w:rsidR="0025485A" w:rsidP="002B3561" w:rsidRDefault="0025485A" w14:paraId="6DD07B6A" w14:textId="34636E9A">
      <w:pPr>
        <w:rPr>
          <w:rFonts w:asciiTheme="minorHAnsi" w:hAnsiTheme="minorHAnsi"/>
        </w:rPr>
      </w:pPr>
      <w:r>
        <w:rPr>
          <w:rFonts w:asciiTheme="minorHAnsi" w:hAnsiTheme="minorHAnsi"/>
        </w:rPr>
        <w:t xml:space="preserve">Fraction of exhaled nitric oxide will be measured using </w:t>
      </w:r>
      <w:r w:rsidRPr="0025485A">
        <w:rPr>
          <w:rFonts w:asciiTheme="minorHAnsi" w:hAnsiTheme="minorHAnsi"/>
        </w:rPr>
        <w:t>a NIOX Mino device (</w:t>
      </w:r>
      <w:proofErr w:type="spellStart"/>
      <w:r w:rsidRPr="0025485A">
        <w:rPr>
          <w:rFonts w:asciiTheme="minorHAnsi" w:hAnsiTheme="minorHAnsi"/>
        </w:rPr>
        <w:t>Aerocrine</w:t>
      </w:r>
      <w:proofErr w:type="spellEnd"/>
      <w:r>
        <w:rPr>
          <w:rFonts w:asciiTheme="minorHAnsi" w:hAnsiTheme="minorHAnsi"/>
        </w:rPr>
        <w:t xml:space="preserve">; </w:t>
      </w:r>
      <w:proofErr w:type="spellStart"/>
      <w:r>
        <w:rPr>
          <w:rFonts w:asciiTheme="minorHAnsi" w:hAnsiTheme="minorHAnsi"/>
        </w:rPr>
        <w:t>Solna</w:t>
      </w:r>
      <w:proofErr w:type="spellEnd"/>
      <w:r>
        <w:rPr>
          <w:rFonts w:asciiTheme="minorHAnsi" w:hAnsiTheme="minorHAnsi"/>
        </w:rPr>
        <w:t>, Sweden) and the</w:t>
      </w:r>
      <w:r w:rsidRPr="0025485A">
        <w:rPr>
          <w:rFonts w:asciiTheme="minorHAnsi" w:hAnsiTheme="minorHAnsi"/>
        </w:rPr>
        <w:t xml:space="preserve"> American Thoracic Society guidelines</w:t>
      </w:r>
      <w:r>
        <w:rPr>
          <w:rFonts w:asciiTheme="minorHAnsi" w:hAnsiTheme="minorHAnsi"/>
        </w:rPr>
        <w:t>.</w:t>
      </w:r>
      <w:r w:rsidR="002B3561">
        <w:rPr>
          <w:rFonts w:asciiTheme="minorHAnsi" w:hAnsiTheme="minorHAnsi"/>
        </w:rPr>
        <w:t xml:space="preserve"> </w:t>
      </w:r>
      <w:r w:rsidRPr="002B3561" w:rsidR="002B3561">
        <w:rPr>
          <w:rFonts w:asciiTheme="minorHAnsi" w:hAnsiTheme="minorHAnsi"/>
        </w:rPr>
        <w:t xml:space="preserve">Measuring increased concentrations of </w:t>
      </w:r>
      <w:r w:rsidR="002B3561">
        <w:rPr>
          <w:rFonts w:asciiTheme="minorHAnsi" w:hAnsiTheme="minorHAnsi"/>
        </w:rPr>
        <w:t xml:space="preserve">the fraction of exhaled nitric oxide </w:t>
      </w:r>
      <w:r w:rsidRPr="002B3561" w:rsidR="002B3561">
        <w:rPr>
          <w:rFonts w:asciiTheme="minorHAnsi" w:hAnsiTheme="minorHAnsi"/>
        </w:rPr>
        <w:t>is a potential indicator of uncontrolled eosinophilic airway inflammation.</w:t>
      </w:r>
    </w:p>
    <w:p w:rsidR="00367467" w:rsidP="0025485A" w:rsidRDefault="00367467" w14:paraId="15E60A09" w14:textId="7284725D">
      <w:pPr>
        <w:rPr>
          <w:rFonts w:asciiTheme="minorHAnsi" w:hAnsiTheme="minorHAnsi"/>
        </w:rPr>
      </w:pPr>
    </w:p>
    <w:p w:rsidR="00367467" w:rsidP="00367467" w:rsidRDefault="002E39CF" w14:paraId="5E243CCD" w14:textId="7D742C8E">
      <w:pPr>
        <w:rPr>
          <w:rFonts w:asciiTheme="minorHAnsi" w:hAnsiTheme="minorHAnsi"/>
        </w:rPr>
      </w:pPr>
      <w:r>
        <w:rPr>
          <w:rFonts w:asciiTheme="minorHAnsi" w:hAnsiTheme="minorHAnsi"/>
        </w:rPr>
        <w:t xml:space="preserve">Spirometry will be measured using a </w:t>
      </w:r>
      <w:r w:rsidR="00F12442">
        <w:rPr>
          <w:rFonts w:asciiTheme="minorHAnsi" w:hAnsiTheme="minorHAnsi"/>
        </w:rPr>
        <w:t xml:space="preserve">dry rolling-seal </w:t>
      </w:r>
      <w:r w:rsidRPr="00367467" w:rsidR="00367467">
        <w:rPr>
          <w:rFonts w:asciiTheme="minorHAnsi" w:hAnsiTheme="minorHAnsi"/>
        </w:rPr>
        <w:t xml:space="preserve">volume spirometer </w:t>
      </w:r>
      <w:r>
        <w:rPr>
          <w:rFonts w:asciiTheme="minorHAnsi" w:hAnsiTheme="minorHAnsi"/>
        </w:rPr>
        <w:t>that</w:t>
      </w:r>
      <w:r w:rsidRPr="00367467" w:rsidR="00367467">
        <w:rPr>
          <w:rFonts w:asciiTheme="minorHAnsi" w:hAnsiTheme="minorHAnsi"/>
        </w:rPr>
        <w:t xml:space="preserve"> measure</w:t>
      </w:r>
      <w:r>
        <w:rPr>
          <w:rFonts w:asciiTheme="minorHAnsi" w:hAnsiTheme="minorHAnsi"/>
        </w:rPr>
        <w:t>s</w:t>
      </w:r>
      <w:r w:rsidRPr="00367467" w:rsidR="00367467">
        <w:rPr>
          <w:rFonts w:asciiTheme="minorHAnsi" w:hAnsiTheme="minorHAnsi"/>
        </w:rPr>
        <w:t xml:space="preserve"> exhaled air volume and flow rates</w:t>
      </w:r>
      <w:r>
        <w:rPr>
          <w:rFonts w:asciiTheme="minorHAnsi" w:hAnsiTheme="minorHAnsi"/>
        </w:rPr>
        <w:t xml:space="preserve">. NIOSH technicians will </w:t>
      </w:r>
      <w:r w:rsidRPr="00367467" w:rsidR="00367467">
        <w:rPr>
          <w:rFonts w:asciiTheme="minorHAnsi" w:hAnsiTheme="minorHAnsi"/>
        </w:rPr>
        <w:t>adhere to the American Thoracic Society (ATS)/European Respiratory Society (ERS) criteria for acc</w:t>
      </w:r>
      <w:r w:rsidR="00367467">
        <w:rPr>
          <w:rFonts w:asciiTheme="minorHAnsi" w:hAnsiTheme="minorHAnsi"/>
        </w:rPr>
        <w:t>eptability and repeatability</w:t>
      </w:r>
      <w:r w:rsidRPr="00367467" w:rsidR="00367467">
        <w:rPr>
          <w:rFonts w:asciiTheme="minorHAnsi" w:hAnsiTheme="minorHAnsi"/>
        </w:rPr>
        <w:t>. For spirometric classification, the largest forced vital capacity (FVC) and FEV1 from the acceptable curves will be used for analysis. Reference values will be generated from NHANES III data based on the subject’s sex,</w:t>
      </w:r>
      <w:r w:rsidR="00367467">
        <w:rPr>
          <w:rFonts w:asciiTheme="minorHAnsi" w:hAnsiTheme="minorHAnsi"/>
        </w:rPr>
        <w:t xml:space="preserve"> weight, age, and race</w:t>
      </w:r>
      <w:r w:rsidRPr="00367467" w:rsidR="00367467">
        <w:rPr>
          <w:rFonts w:asciiTheme="minorHAnsi" w:hAnsiTheme="minorHAnsi"/>
        </w:rPr>
        <w:t>.</w:t>
      </w:r>
    </w:p>
    <w:p w:rsidR="002E39CF" w:rsidP="00367467" w:rsidRDefault="002E39CF" w14:paraId="0D325A95" w14:textId="50D164DC">
      <w:pPr>
        <w:rPr>
          <w:rFonts w:asciiTheme="minorHAnsi" w:hAnsiTheme="minorHAnsi"/>
        </w:rPr>
      </w:pPr>
    </w:p>
    <w:p w:rsidR="002E39CF" w:rsidP="002B3561" w:rsidRDefault="002E39CF" w14:paraId="0C172D08" w14:textId="31807C8E">
      <w:pPr>
        <w:rPr>
          <w:rFonts w:asciiTheme="minorHAnsi" w:hAnsiTheme="minorHAnsi"/>
        </w:rPr>
      </w:pPr>
      <w:r w:rsidRPr="002E39CF">
        <w:rPr>
          <w:rFonts w:asciiTheme="minorHAnsi" w:hAnsiTheme="minorHAnsi"/>
        </w:rPr>
        <w:t>NIOSH technicians trained in administering lung function tests will use an impulse oscillometry machine (CareFusion Corp., San Diego, CA) to perform impulse oscillometry. This test is conducted using regular breathing and does not require a forceful exhalation.</w:t>
      </w:r>
      <w:r w:rsidR="002B3561">
        <w:rPr>
          <w:rFonts w:asciiTheme="minorHAnsi" w:hAnsiTheme="minorHAnsi"/>
        </w:rPr>
        <w:t xml:space="preserve"> </w:t>
      </w:r>
      <w:r w:rsidRPr="002B3561" w:rsidR="002B3561">
        <w:rPr>
          <w:rFonts w:asciiTheme="minorHAnsi" w:hAnsiTheme="minorHAnsi"/>
        </w:rPr>
        <w:t>The test calculates 1) the airway resistance at different frequencies including 5 Hertz (R5) and 20 Hertz (R20), and the difference between R5 and R20 (DR5-R20); 2) the reactance at different frequencies including 5 Hertz (X5); 3) resonance frequency (</w:t>
      </w:r>
      <w:proofErr w:type="spellStart"/>
      <w:r w:rsidRPr="002B3561" w:rsidR="002B3561">
        <w:rPr>
          <w:rFonts w:asciiTheme="minorHAnsi" w:hAnsiTheme="minorHAnsi"/>
        </w:rPr>
        <w:t>Fres</w:t>
      </w:r>
      <w:proofErr w:type="spellEnd"/>
      <w:r w:rsidRPr="002B3561" w:rsidR="002B3561">
        <w:rPr>
          <w:rFonts w:asciiTheme="minorHAnsi" w:hAnsiTheme="minorHAnsi"/>
        </w:rPr>
        <w:t xml:space="preserve">) which is the frequency where there is no airway reactance; and 4) the total reactance (AX) at all frequencies between 5 Hertz and the </w:t>
      </w:r>
      <w:proofErr w:type="spellStart"/>
      <w:r w:rsidRPr="002B3561" w:rsidR="002B3561">
        <w:rPr>
          <w:rFonts w:asciiTheme="minorHAnsi" w:hAnsiTheme="minorHAnsi"/>
        </w:rPr>
        <w:t>Fres</w:t>
      </w:r>
      <w:proofErr w:type="spellEnd"/>
      <w:r w:rsidRPr="002B3561" w:rsidR="002B3561">
        <w:rPr>
          <w:rFonts w:asciiTheme="minorHAnsi" w:hAnsiTheme="minorHAnsi"/>
        </w:rPr>
        <w:t>.</w:t>
      </w:r>
    </w:p>
    <w:p w:rsidR="002E39CF" w:rsidP="00367467" w:rsidRDefault="002E39CF" w14:paraId="776ECD8B" w14:textId="4D197946">
      <w:pPr>
        <w:rPr>
          <w:rFonts w:asciiTheme="minorHAnsi" w:hAnsiTheme="minorHAnsi"/>
        </w:rPr>
      </w:pPr>
    </w:p>
    <w:p w:rsidR="002E39CF" w:rsidP="002E39CF" w:rsidRDefault="002E39CF" w14:paraId="654E5D0D" w14:textId="4E7E29C2">
      <w:pPr>
        <w:rPr>
          <w:rFonts w:asciiTheme="minorHAnsi" w:hAnsiTheme="minorHAnsi"/>
        </w:rPr>
      </w:pPr>
      <w:r w:rsidRPr="002E39CF">
        <w:rPr>
          <w:rFonts w:asciiTheme="minorHAnsi" w:hAnsiTheme="minorHAnsi"/>
        </w:rPr>
        <w:lastRenderedPageBreak/>
        <w:t>If a research participant has a spirometry</w:t>
      </w:r>
      <w:r w:rsidR="0081233B">
        <w:rPr>
          <w:rFonts w:asciiTheme="minorHAnsi" w:hAnsiTheme="minorHAnsi"/>
        </w:rPr>
        <w:t xml:space="preserve"> outside the normal range</w:t>
      </w:r>
      <w:r w:rsidRPr="002E39CF">
        <w:rPr>
          <w:rFonts w:asciiTheme="minorHAnsi" w:hAnsiTheme="minorHAnsi"/>
        </w:rPr>
        <w:t>, the participant will be administered a bronchodilator inhaler medication (i.e., albuterol), which can open the airways in some persons (e.g., asthmatics)</w:t>
      </w:r>
      <w:r w:rsidR="0081233B">
        <w:rPr>
          <w:rFonts w:asciiTheme="minorHAnsi" w:hAnsiTheme="minorHAnsi"/>
        </w:rPr>
        <w:t>,</w:t>
      </w:r>
      <w:r w:rsidRPr="002E39CF">
        <w:rPr>
          <w:rFonts w:asciiTheme="minorHAnsi" w:hAnsiTheme="minorHAnsi"/>
        </w:rPr>
        <w:t xml:space="preserve"> and repeat spirometry and impulse oscillometry. To administer the albuterol, a spacer will be attached to an albuterol metered-dose inhaler and the participant will receive four metered doses (400 mcg total)</w:t>
      </w:r>
      <w:r>
        <w:rPr>
          <w:rFonts w:asciiTheme="minorHAnsi" w:hAnsiTheme="minorHAnsi"/>
        </w:rPr>
        <w:t>.</w:t>
      </w:r>
    </w:p>
    <w:p w:rsidR="002B3561" w:rsidP="002E39CF" w:rsidRDefault="002B3561" w14:paraId="286B36D9" w14:textId="659A6AAD">
      <w:pPr>
        <w:rPr>
          <w:rFonts w:asciiTheme="minorHAnsi" w:hAnsiTheme="minorHAnsi"/>
        </w:rPr>
      </w:pPr>
    </w:p>
    <w:p w:rsidRPr="00C574CD" w:rsidR="00E636BB" w:rsidP="005B1CC5" w:rsidRDefault="002B3561" w14:paraId="4C5556D8" w14:textId="13C5AA46">
      <w:pPr>
        <w:rPr>
          <w:rFonts w:asciiTheme="minorHAnsi" w:hAnsiTheme="minorHAnsi"/>
        </w:rPr>
      </w:pPr>
      <w:r w:rsidRPr="002B3561">
        <w:rPr>
          <w:rFonts w:asciiTheme="minorHAnsi" w:hAnsiTheme="minorHAnsi"/>
        </w:rPr>
        <w:t>NIOSH technicians trained in administering lung function tests will use a portable lung function machine (</w:t>
      </w:r>
      <w:proofErr w:type="spellStart"/>
      <w:r w:rsidRPr="002B3561">
        <w:rPr>
          <w:rFonts w:asciiTheme="minorHAnsi" w:hAnsiTheme="minorHAnsi"/>
        </w:rPr>
        <w:t>ndd</w:t>
      </w:r>
      <w:proofErr w:type="spellEnd"/>
      <w:r w:rsidRPr="002B3561">
        <w:rPr>
          <w:rFonts w:asciiTheme="minorHAnsi" w:hAnsiTheme="minorHAnsi"/>
        </w:rPr>
        <w:t xml:space="preserve"> Medical Technologies, Inc., Andover, MA) to perform a multiple-breath washout test. Multiple-breath washout testing assesses the efficiency of ventilation distribution</w:t>
      </w:r>
      <w:r>
        <w:rPr>
          <w:rFonts w:asciiTheme="minorHAnsi" w:hAnsiTheme="minorHAnsi"/>
        </w:rPr>
        <w:t>.</w:t>
      </w:r>
      <w:r w:rsidR="008B2421">
        <w:rPr>
          <w:rFonts w:asciiTheme="minorHAnsi" w:hAnsiTheme="minorHAnsi"/>
        </w:rPr>
        <w:t xml:space="preserve"> </w:t>
      </w:r>
      <w:r w:rsidRPr="008B2421" w:rsidR="008B2421">
        <w:rPr>
          <w:rFonts w:asciiTheme="minorHAnsi" w:hAnsiTheme="minorHAnsi"/>
        </w:rPr>
        <w:t xml:space="preserve">Reference values provided by </w:t>
      </w:r>
      <w:proofErr w:type="spellStart"/>
      <w:r w:rsidRPr="008B2421" w:rsidR="008B2421">
        <w:rPr>
          <w:rFonts w:asciiTheme="minorHAnsi" w:hAnsiTheme="minorHAnsi"/>
        </w:rPr>
        <w:t>nDD</w:t>
      </w:r>
      <w:proofErr w:type="spellEnd"/>
      <w:r w:rsidRPr="008B2421" w:rsidR="008B2421">
        <w:rPr>
          <w:rFonts w:asciiTheme="minorHAnsi" w:hAnsiTheme="minorHAnsi"/>
        </w:rPr>
        <w:t xml:space="preserve"> Medical Technologies, Inc. for the device will be used to calculate a percent predicted value.</w:t>
      </w:r>
    </w:p>
    <w:p w:rsidR="003B2BAB" w:rsidP="005B1CC5" w:rsidRDefault="003B2BAB" w14:paraId="1C00FFBA" w14:textId="77777777">
      <w:pPr>
        <w:rPr>
          <w:rFonts w:asciiTheme="minorHAnsi" w:hAnsiTheme="minorHAnsi"/>
        </w:rPr>
      </w:pPr>
    </w:p>
    <w:p w:rsidR="00E636BB" w:rsidP="005B1CC5" w:rsidRDefault="00E636BB" w14:paraId="495791C0" w14:textId="3A6548FF">
      <w:pPr>
        <w:rPr>
          <w:rFonts w:asciiTheme="minorHAnsi" w:hAnsiTheme="minorHAnsi" w:cstheme="minorHAnsi"/>
        </w:rPr>
      </w:pPr>
      <w:r w:rsidRPr="00E636BB">
        <w:rPr>
          <w:rFonts w:asciiTheme="minorHAnsi" w:hAnsiTheme="minorHAnsi" w:cstheme="minorHAnsi"/>
        </w:rPr>
        <w:t xml:space="preserve">NIOSH trained technicians will use the </w:t>
      </w:r>
      <w:proofErr w:type="spellStart"/>
      <w:r w:rsidRPr="00E636BB">
        <w:rPr>
          <w:rFonts w:asciiTheme="minorHAnsi" w:hAnsiTheme="minorHAnsi" w:cstheme="minorHAnsi"/>
        </w:rPr>
        <w:t>Lanthony</w:t>
      </w:r>
      <w:proofErr w:type="spellEnd"/>
      <w:r w:rsidRPr="00E636BB">
        <w:rPr>
          <w:rFonts w:asciiTheme="minorHAnsi" w:hAnsiTheme="minorHAnsi" w:cstheme="minorHAnsi"/>
        </w:rPr>
        <w:t xml:space="preserve"> D-15 Color Test (desaturated) (Richmond Products, Albuquerque, NM) to perform vision assessment following the NIOSH/RHD </w:t>
      </w:r>
      <w:r w:rsidRPr="002735EA" w:rsidR="002735EA">
        <w:rPr>
          <w:rFonts w:asciiTheme="minorHAnsi" w:hAnsiTheme="minorHAnsi" w:cstheme="minorHAnsi"/>
        </w:rPr>
        <w:t>Standard operating procedur</w:t>
      </w:r>
      <w:r w:rsidR="002735EA">
        <w:rPr>
          <w:rFonts w:asciiTheme="minorHAnsi" w:hAnsiTheme="minorHAnsi" w:cstheme="minorHAnsi"/>
        </w:rPr>
        <w:t xml:space="preserve">e. </w:t>
      </w:r>
    </w:p>
    <w:p w:rsidR="000C31E6" w:rsidP="005B1CC5" w:rsidRDefault="000C31E6" w14:paraId="29B658D0" w14:textId="5379DBE8">
      <w:pPr>
        <w:rPr>
          <w:rFonts w:asciiTheme="minorHAnsi" w:hAnsiTheme="minorHAnsi" w:cstheme="minorHAnsi"/>
        </w:rPr>
      </w:pPr>
    </w:p>
    <w:p w:rsidR="002735EA" w:rsidP="002735EA" w:rsidRDefault="000C31E6" w14:paraId="799FF573" w14:textId="0167B59A">
      <w:pPr>
        <w:rPr>
          <w:rFonts w:asciiTheme="minorHAnsi" w:hAnsiTheme="minorHAnsi" w:cstheme="minorHAnsi"/>
        </w:rPr>
      </w:pPr>
      <w:r w:rsidRPr="000C31E6">
        <w:rPr>
          <w:rFonts w:asciiTheme="minorHAnsi" w:hAnsiTheme="minorHAnsi" w:cstheme="minorHAnsi"/>
        </w:rPr>
        <w:t xml:space="preserve">NIOSH experienced certified phlebotomist will collect blood samples following the NIOSH/RHD </w:t>
      </w:r>
      <w:r w:rsidRPr="002735EA" w:rsidR="002735EA">
        <w:rPr>
          <w:rFonts w:asciiTheme="minorHAnsi" w:hAnsiTheme="minorHAnsi" w:cstheme="minorHAnsi"/>
        </w:rPr>
        <w:t>Standard operating procedur</w:t>
      </w:r>
      <w:r w:rsidR="002735EA">
        <w:rPr>
          <w:rFonts w:asciiTheme="minorHAnsi" w:hAnsiTheme="minorHAnsi" w:cstheme="minorHAnsi"/>
        </w:rPr>
        <w:t xml:space="preserve">e. </w:t>
      </w:r>
    </w:p>
    <w:p w:rsidR="001220B9" w:rsidP="002735EA" w:rsidRDefault="001220B9" w14:paraId="02AE82A8" w14:textId="77777777">
      <w:pPr>
        <w:rPr>
          <w:rFonts w:asciiTheme="minorHAnsi" w:hAnsiTheme="minorHAnsi" w:cstheme="minorHAnsi"/>
        </w:rPr>
      </w:pPr>
    </w:p>
    <w:p w:rsidR="00051E73" w:rsidP="0042614A" w:rsidRDefault="00051E73" w14:paraId="53AED255" w14:textId="3045CC1E">
      <w:pPr>
        <w:rPr>
          <w:rFonts w:asciiTheme="minorHAnsi" w:hAnsiTheme="minorHAnsi"/>
        </w:rPr>
      </w:pPr>
    </w:p>
    <w:p w:rsidR="00F966C4" w:rsidP="00816574" w:rsidRDefault="00051E73" w14:paraId="74C7E4C3" w14:textId="77777777">
      <w:pPr>
        <w:pStyle w:val="ListParagraph"/>
        <w:numPr>
          <w:ilvl w:val="0"/>
          <w:numId w:val="2"/>
        </w:numPr>
        <w:rPr>
          <w:rFonts w:asciiTheme="minorHAnsi" w:hAnsiTheme="minorHAnsi"/>
          <w:b/>
        </w:rPr>
      </w:pPr>
      <w:r w:rsidRPr="00051E73">
        <w:rPr>
          <w:rFonts w:asciiTheme="minorHAnsi" w:hAnsiTheme="minorHAnsi"/>
          <w:b/>
        </w:rPr>
        <w:t>Individuals Consulted on Statistical Aspects and Individuals Collecting and/or Analyzing Data</w:t>
      </w:r>
      <w:r w:rsidRPr="00051E73" w:rsidR="0042614A">
        <w:rPr>
          <w:rFonts w:asciiTheme="minorHAnsi" w:hAnsiTheme="minorHAnsi"/>
          <w:b/>
        </w:rPr>
        <w:t xml:space="preserve">  </w:t>
      </w:r>
    </w:p>
    <w:p w:rsidR="00051E73" w:rsidP="00051E73" w:rsidRDefault="00051E73" w14:paraId="339FFD88" w14:textId="77777777">
      <w:pPr>
        <w:rPr>
          <w:rFonts w:asciiTheme="minorHAnsi" w:hAnsiTheme="minorHAnsi"/>
        </w:rPr>
      </w:pPr>
    </w:p>
    <w:p w:rsidR="002D67FD" w:rsidP="00051E73" w:rsidRDefault="002D67FD" w14:paraId="1BCE2B71" w14:textId="77777777">
      <w:pPr>
        <w:rPr>
          <w:rFonts w:asciiTheme="minorHAnsi" w:hAnsiTheme="minorHAnsi"/>
        </w:rPr>
      </w:pPr>
      <w:r>
        <w:rPr>
          <w:rFonts w:asciiTheme="minorHAnsi" w:hAnsiTheme="minorHAnsi"/>
        </w:rPr>
        <w:t>The primary statistical consultant for the design of this project was:</w:t>
      </w:r>
    </w:p>
    <w:p w:rsidR="002D67FD" w:rsidP="00051E73" w:rsidRDefault="002D67FD" w14:paraId="4F654A25" w14:textId="4528D2C3">
      <w:pPr>
        <w:rPr>
          <w:rFonts w:asciiTheme="minorHAnsi" w:hAnsiTheme="minorHAnsi"/>
        </w:rPr>
      </w:pPr>
      <w:r>
        <w:rPr>
          <w:rFonts w:asciiTheme="minorHAnsi" w:hAnsiTheme="minorHAnsi"/>
        </w:rPr>
        <w:t xml:space="preserve">Dr. </w:t>
      </w:r>
      <w:r w:rsidR="00794B85">
        <w:rPr>
          <w:rFonts w:asciiTheme="minorHAnsi" w:hAnsiTheme="minorHAnsi"/>
        </w:rPr>
        <w:t>Stephen Bertke</w:t>
      </w:r>
    </w:p>
    <w:p w:rsidR="002D67FD" w:rsidP="00051E73" w:rsidRDefault="00794B85" w14:paraId="7BDA3AD7" w14:textId="13B63702">
      <w:pPr>
        <w:rPr>
          <w:rFonts w:asciiTheme="minorHAnsi" w:hAnsiTheme="minorHAnsi"/>
        </w:rPr>
      </w:pPr>
      <w:r>
        <w:rPr>
          <w:rFonts w:asciiTheme="minorHAnsi" w:hAnsiTheme="minorHAnsi"/>
        </w:rPr>
        <w:t>Statistician</w:t>
      </w:r>
    </w:p>
    <w:p w:rsidR="00051E73" w:rsidP="00051E73" w:rsidRDefault="00794B85" w14:paraId="7E103C4B" w14:textId="7C05CFC4">
      <w:pPr>
        <w:rPr>
          <w:rFonts w:asciiTheme="minorHAnsi" w:hAnsiTheme="minorHAnsi"/>
        </w:rPr>
      </w:pPr>
      <w:r>
        <w:rPr>
          <w:rFonts w:asciiTheme="minorHAnsi" w:hAnsiTheme="minorHAnsi"/>
        </w:rPr>
        <w:t>Field Research Branch</w:t>
      </w:r>
    </w:p>
    <w:p w:rsidR="00154504" w:rsidP="00154504" w:rsidRDefault="00154504" w14:paraId="7DA70E5E" w14:textId="77777777">
      <w:pPr>
        <w:rPr>
          <w:rFonts w:asciiTheme="minorHAnsi" w:hAnsiTheme="minorHAnsi"/>
        </w:rPr>
      </w:pPr>
      <w:r>
        <w:rPr>
          <w:rFonts w:asciiTheme="minorHAnsi" w:hAnsiTheme="minorHAnsi"/>
        </w:rPr>
        <w:t>National Institute for Occupational Safety and Health</w:t>
      </w:r>
    </w:p>
    <w:p w:rsidR="00154504" w:rsidP="00154504" w:rsidRDefault="00154504" w14:paraId="0CDF3186" w14:textId="3D1C66EC">
      <w:pPr>
        <w:rPr>
          <w:rFonts w:asciiTheme="minorHAnsi" w:hAnsiTheme="minorHAnsi"/>
        </w:rPr>
      </w:pPr>
      <w:r w:rsidRPr="002D67FD">
        <w:rPr>
          <w:rFonts w:asciiTheme="minorHAnsi" w:hAnsiTheme="minorHAnsi"/>
        </w:rPr>
        <w:t>Centers for Disease Control and Prevention</w:t>
      </w:r>
    </w:p>
    <w:p w:rsidR="00154504" w:rsidP="00154504" w:rsidRDefault="00154504" w14:paraId="05A53A0A" w14:textId="0DB525E8">
      <w:pPr>
        <w:rPr>
          <w:rFonts w:asciiTheme="minorHAnsi" w:hAnsiTheme="minorHAnsi"/>
        </w:rPr>
      </w:pPr>
      <w:r>
        <w:rPr>
          <w:rFonts w:asciiTheme="minorHAnsi" w:hAnsiTheme="minorHAnsi"/>
        </w:rPr>
        <w:t>Cincinnati, OH 45226</w:t>
      </w:r>
    </w:p>
    <w:p w:rsidR="002D67FD" w:rsidP="00051E73" w:rsidRDefault="00154504" w14:paraId="4FE6028E" w14:textId="617CC5FC">
      <w:pPr>
        <w:rPr>
          <w:rFonts w:asciiTheme="minorHAnsi" w:hAnsiTheme="minorHAnsi"/>
        </w:rPr>
      </w:pPr>
      <w:r>
        <w:rPr>
          <w:rFonts w:asciiTheme="minorHAnsi" w:hAnsiTheme="minorHAnsi"/>
        </w:rPr>
        <w:t>513-841-4493</w:t>
      </w:r>
    </w:p>
    <w:p w:rsidR="002D67FD" w:rsidP="00051E73" w:rsidRDefault="00154504" w14:paraId="45FCDE6C" w14:textId="5A955E78">
      <w:pPr>
        <w:rPr>
          <w:rStyle w:val="Hyperlink"/>
          <w:rFonts w:asciiTheme="minorHAnsi" w:hAnsiTheme="minorHAnsi"/>
        </w:rPr>
      </w:pPr>
      <w:r w:rsidRPr="00C574CD">
        <w:rPr>
          <w:rFonts w:asciiTheme="minorHAnsi" w:hAnsiTheme="minorHAnsi"/>
        </w:rPr>
        <w:t>inh4@cdc.gov</w:t>
      </w:r>
    </w:p>
    <w:p w:rsidR="00154504" w:rsidP="00051E73" w:rsidRDefault="00154504" w14:paraId="22746B4E" w14:textId="55162961">
      <w:pPr>
        <w:rPr>
          <w:rStyle w:val="Hyperlink"/>
          <w:rFonts w:asciiTheme="minorHAnsi" w:hAnsiTheme="minorHAnsi"/>
        </w:rPr>
      </w:pPr>
    </w:p>
    <w:p w:rsidR="00154504" w:rsidP="00051E73" w:rsidRDefault="00154504" w14:paraId="4E3E4A40" w14:textId="4A9800B5">
      <w:pPr>
        <w:rPr>
          <w:rStyle w:val="Hyperlink"/>
          <w:rFonts w:asciiTheme="minorHAnsi" w:hAnsiTheme="minorHAnsi"/>
          <w:color w:val="auto"/>
          <w:u w:val="none"/>
        </w:rPr>
      </w:pPr>
      <w:r>
        <w:rPr>
          <w:rStyle w:val="Hyperlink"/>
          <w:rFonts w:asciiTheme="minorHAnsi" w:hAnsiTheme="minorHAnsi"/>
          <w:color w:val="auto"/>
          <w:u w:val="none"/>
        </w:rPr>
        <w:t>Dr. Jean Cox-Ganser</w:t>
      </w:r>
    </w:p>
    <w:p w:rsidR="00154504" w:rsidP="00051E73" w:rsidRDefault="00154504" w14:paraId="445FFED7" w14:textId="47D807E8">
      <w:pPr>
        <w:rPr>
          <w:rStyle w:val="Hyperlink"/>
          <w:rFonts w:asciiTheme="minorHAnsi" w:hAnsiTheme="minorHAnsi"/>
          <w:color w:val="auto"/>
          <w:u w:val="none"/>
        </w:rPr>
      </w:pPr>
      <w:r>
        <w:rPr>
          <w:rStyle w:val="Hyperlink"/>
          <w:rFonts w:asciiTheme="minorHAnsi" w:hAnsiTheme="minorHAnsi"/>
          <w:color w:val="auto"/>
          <w:u w:val="none"/>
        </w:rPr>
        <w:t>Associate Director for Science</w:t>
      </w:r>
    </w:p>
    <w:p w:rsidR="00154504" w:rsidP="00051E73" w:rsidRDefault="00154504" w14:paraId="45B4375B" w14:textId="7EEF19C9">
      <w:pPr>
        <w:rPr>
          <w:rStyle w:val="Hyperlink"/>
          <w:rFonts w:asciiTheme="minorHAnsi" w:hAnsiTheme="minorHAnsi"/>
          <w:color w:val="auto"/>
          <w:u w:val="none"/>
        </w:rPr>
      </w:pPr>
      <w:r>
        <w:rPr>
          <w:rStyle w:val="Hyperlink"/>
          <w:rFonts w:asciiTheme="minorHAnsi" w:hAnsiTheme="minorHAnsi"/>
          <w:color w:val="auto"/>
          <w:u w:val="none"/>
        </w:rPr>
        <w:t>Respiratory Health Division</w:t>
      </w:r>
    </w:p>
    <w:p w:rsidR="00154504" w:rsidP="00154504" w:rsidRDefault="00154504" w14:paraId="30802AD2" w14:textId="77777777">
      <w:pPr>
        <w:rPr>
          <w:rFonts w:asciiTheme="minorHAnsi" w:hAnsiTheme="minorHAnsi"/>
        </w:rPr>
      </w:pPr>
      <w:r>
        <w:rPr>
          <w:rFonts w:asciiTheme="minorHAnsi" w:hAnsiTheme="minorHAnsi"/>
        </w:rPr>
        <w:t>National Institute for Occupational Safety and Health</w:t>
      </w:r>
    </w:p>
    <w:p w:rsidR="00154504" w:rsidP="00154504" w:rsidRDefault="00154504" w14:paraId="3FF78A9D" w14:textId="41DDE174">
      <w:pPr>
        <w:rPr>
          <w:rFonts w:asciiTheme="minorHAnsi" w:hAnsiTheme="minorHAnsi"/>
        </w:rPr>
      </w:pPr>
      <w:r w:rsidRPr="002D67FD">
        <w:rPr>
          <w:rFonts w:asciiTheme="minorHAnsi" w:hAnsiTheme="minorHAnsi"/>
        </w:rPr>
        <w:t>Centers for Disease Control and Prevention</w:t>
      </w:r>
    </w:p>
    <w:p w:rsidR="00154504" w:rsidP="00154504" w:rsidRDefault="00154504" w14:paraId="781EF920" w14:textId="61479341">
      <w:pPr>
        <w:rPr>
          <w:rFonts w:asciiTheme="minorHAnsi" w:hAnsiTheme="minorHAnsi"/>
        </w:rPr>
      </w:pPr>
      <w:r>
        <w:rPr>
          <w:rFonts w:asciiTheme="minorHAnsi" w:hAnsiTheme="minorHAnsi"/>
        </w:rPr>
        <w:t>Morgantown, WV 26505</w:t>
      </w:r>
    </w:p>
    <w:p w:rsidR="00154504" w:rsidP="00154504" w:rsidRDefault="00154504" w14:paraId="11E8FDEE" w14:textId="23675144">
      <w:pPr>
        <w:rPr>
          <w:rFonts w:asciiTheme="minorHAnsi" w:hAnsiTheme="minorHAnsi"/>
        </w:rPr>
      </w:pPr>
      <w:r w:rsidRPr="00C574CD">
        <w:rPr>
          <w:rFonts w:asciiTheme="minorHAnsi" w:hAnsiTheme="minorHAnsi"/>
        </w:rPr>
        <w:t>Jjc8@cdc.gov</w:t>
      </w:r>
    </w:p>
    <w:p w:rsidR="002D67FD" w:rsidP="00051E73" w:rsidRDefault="002D67FD" w14:paraId="10EDB11A" w14:textId="77777777">
      <w:pPr>
        <w:rPr>
          <w:rFonts w:asciiTheme="minorHAnsi" w:hAnsiTheme="minorHAnsi"/>
        </w:rPr>
      </w:pPr>
    </w:p>
    <w:p w:rsidR="002D67FD" w:rsidP="00051E73" w:rsidRDefault="002D67FD" w14:paraId="09AFDA16" w14:textId="77777777">
      <w:pPr>
        <w:rPr>
          <w:rFonts w:asciiTheme="minorHAnsi" w:hAnsiTheme="minorHAnsi"/>
        </w:rPr>
      </w:pPr>
      <w:r>
        <w:rPr>
          <w:rFonts w:asciiTheme="minorHAnsi" w:hAnsiTheme="minorHAnsi"/>
        </w:rPr>
        <w:t>The data will be collected and analyzed by:</w:t>
      </w:r>
    </w:p>
    <w:p w:rsidR="002D67FD" w:rsidP="00051E73" w:rsidRDefault="002D67FD" w14:paraId="3A4E34D7" w14:textId="77777777">
      <w:pPr>
        <w:rPr>
          <w:rFonts w:asciiTheme="minorHAnsi" w:hAnsiTheme="minorHAnsi"/>
        </w:rPr>
      </w:pPr>
      <w:r>
        <w:rPr>
          <w:rFonts w:asciiTheme="minorHAnsi" w:hAnsiTheme="minorHAnsi"/>
        </w:rPr>
        <w:t>Field Studies Branch</w:t>
      </w:r>
    </w:p>
    <w:p w:rsidR="002D67FD" w:rsidP="00051E73" w:rsidRDefault="00154504" w14:paraId="654DF472" w14:textId="3260BA74">
      <w:pPr>
        <w:rPr>
          <w:rFonts w:asciiTheme="minorHAnsi" w:hAnsiTheme="minorHAnsi"/>
        </w:rPr>
      </w:pPr>
      <w:r>
        <w:rPr>
          <w:rFonts w:asciiTheme="minorHAnsi" w:hAnsiTheme="minorHAnsi"/>
        </w:rPr>
        <w:t>Respiratory Health Division</w:t>
      </w:r>
    </w:p>
    <w:p w:rsidR="002D67FD" w:rsidP="00051E73" w:rsidRDefault="002D67FD" w14:paraId="7AA7992B" w14:textId="77777777">
      <w:pPr>
        <w:rPr>
          <w:rFonts w:asciiTheme="minorHAnsi" w:hAnsiTheme="minorHAnsi"/>
        </w:rPr>
      </w:pPr>
      <w:r>
        <w:rPr>
          <w:rFonts w:asciiTheme="minorHAnsi" w:hAnsiTheme="minorHAnsi"/>
        </w:rPr>
        <w:t>National Institute for Occupational Safety and Health</w:t>
      </w:r>
    </w:p>
    <w:p w:rsidR="002D67FD" w:rsidP="00051E73" w:rsidRDefault="002D67FD" w14:paraId="0AAC0C12" w14:textId="77777777">
      <w:pPr>
        <w:rPr>
          <w:rFonts w:asciiTheme="minorHAnsi" w:hAnsiTheme="minorHAnsi"/>
        </w:rPr>
      </w:pPr>
      <w:r w:rsidRPr="002D67FD">
        <w:rPr>
          <w:rFonts w:asciiTheme="minorHAnsi" w:hAnsiTheme="minorHAnsi"/>
        </w:rPr>
        <w:t>Centers for Disease Control and Prevention</w:t>
      </w:r>
    </w:p>
    <w:p w:rsidR="002D67FD" w:rsidP="00051E73" w:rsidRDefault="002D67FD" w14:paraId="0557D55A" w14:textId="594823F1">
      <w:pPr>
        <w:rPr>
          <w:rFonts w:asciiTheme="minorHAnsi" w:hAnsiTheme="minorHAnsi"/>
        </w:rPr>
      </w:pPr>
      <w:r>
        <w:rPr>
          <w:rFonts w:asciiTheme="minorHAnsi" w:hAnsiTheme="minorHAnsi"/>
        </w:rPr>
        <w:t>Morgantown, WV</w:t>
      </w:r>
      <w:r w:rsidR="00154504">
        <w:rPr>
          <w:rFonts w:asciiTheme="minorHAnsi" w:hAnsiTheme="minorHAnsi"/>
        </w:rPr>
        <w:t xml:space="preserve"> 26505</w:t>
      </w:r>
    </w:p>
    <w:p w:rsidR="00154504" w:rsidP="00051E73" w:rsidRDefault="00154504" w14:paraId="3F97B2D0" w14:textId="77777777">
      <w:pPr>
        <w:rPr>
          <w:rFonts w:asciiTheme="minorHAnsi" w:hAnsiTheme="minorHAnsi"/>
        </w:rPr>
      </w:pPr>
    </w:p>
    <w:p w:rsidR="002D67FD" w:rsidP="00051E73" w:rsidRDefault="002D67FD" w14:paraId="15A083C3" w14:textId="77777777">
      <w:pPr>
        <w:rPr>
          <w:rFonts w:asciiTheme="minorHAnsi" w:hAnsiTheme="minorHAnsi"/>
        </w:rPr>
      </w:pPr>
    </w:p>
    <w:p w:rsidRPr="00051E73" w:rsidR="002D67FD" w:rsidP="002D67FD" w:rsidRDefault="002D67FD" w14:paraId="49EB8DCE" w14:textId="77777777">
      <w:pPr>
        <w:rPr>
          <w:rFonts w:asciiTheme="minorHAnsi" w:hAnsiTheme="minorHAnsi"/>
        </w:rPr>
      </w:pPr>
    </w:p>
    <w:sectPr w:rsidRPr="00051E73" w:rsidR="002D67FD" w:rsidSect="00CA6DCF">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58D15" w14:textId="77777777" w:rsidR="00644E4C" w:rsidRDefault="00644E4C" w:rsidP="00644E4C">
      <w:r>
        <w:separator/>
      </w:r>
    </w:p>
  </w:endnote>
  <w:endnote w:type="continuationSeparator" w:id="0">
    <w:p w14:paraId="68D1BC7C" w14:textId="77777777" w:rsidR="00644E4C" w:rsidRDefault="00644E4C" w:rsidP="0064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A713" w14:textId="77777777" w:rsidR="006E6488" w:rsidRDefault="006E6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977011"/>
      <w:docPartObj>
        <w:docPartGallery w:val="Page Numbers (Bottom of Page)"/>
        <w:docPartUnique/>
      </w:docPartObj>
    </w:sdtPr>
    <w:sdtEndPr>
      <w:rPr>
        <w:noProof/>
      </w:rPr>
    </w:sdtEndPr>
    <w:sdtContent>
      <w:p w14:paraId="0D544F5E" w14:textId="0F376704" w:rsidR="00644E4C" w:rsidRDefault="00644E4C">
        <w:pPr>
          <w:pStyle w:val="Footer"/>
          <w:jc w:val="right"/>
        </w:pPr>
        <w:r>
          <w:fldChar w:fldCharType="begin"/>
        </w:r>
        <w:r>
          <w:instrText xml:space="preserve"> PAGE   \* MERGEFORMAT </w:instrText>
        </w:r>
        <w:r>
          <w:fldChar w:fldCharType="separate"/>
        </w:r>
        <w:r w:rsidR="00F0606C">
          <w:rPr>
            <w:noProof/>
          </w:rPr>
          <w:t>4</w:t>
        </w:r>
        <w:r>
          <w:rPr>
            <w:noProof/>
          </w:rPr>
          <w:fldChar w:fldCharType="end"/>
        </w:r>
      </w:p>
    </w:sdtContent>
  </w:sdt>
  <w:p w14:paraId="7675761A" w14:textId="77777777" w:rsidR="00644E4C" w:rsidRDefault="00644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6A6E" w14:textId="77777777" w:rsidR="006E6488" w:rsidRDefault="006E6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3B309" w14:textId="77777777" w:rsidR="00644E4C" w:rsidRDefault="00644E4C" w:rsidP="00644E4C">
      <w:r>
        <w:separator/>
      </w:r>
    </w:p>
  </w:footnote>
  <w:footnote w:type="continuationSeparator" w:id="0">
    <w:p w14:paraId="782BB67D" w14:textId="77777777" w:rsidR="00644E4C" w:rsidRDefault="00644E4C" w:rsidP="00644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14D1D" w14:textId="77777777" w:rsidR="006E6488" w:rsidRDefault="006E6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064D" w14:textId="77777777" w:rsidR="006E6488" w:rsidRDefault="006E6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AB771" w14:textId="77777777" w:rsidR="006E6488" w:rsidRDefault="006E6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52B33B"/>
    <w:multiLevelType w:val="hybridMultilevel"/>
    <w:tmpl w:val="17F8EC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09005D"/>
    <w:multiLevelType w:val="hybridMultilevel"/>
    <w:tmpl w:val="540E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E90F8A"/>
    <w:multiLevelType w:val="hybridMultilevel"/>
    <w:tmpl w:val="A328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96D81"/>
    <w:multiLevelType w:val="hybridMultilevel"/>
    <w:tmpl w:val="12965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524E4"/>
    <w:multiLevelType w:val="hybridMultilevel"/>
    <w:tmpl w:val="E456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5BE"/>
    <w:rsid w:val="00002F0F"/>
    <w:rsid w:val="00007272"/>
    <w:rsid w:val="00012D70"/>
    <w:rsid w:val="0002135A"/>
    <w:rsid w:val="000254A2"/>
    <w:rsid w:val="00044F67"/>
    <w:rsid w:val="00045707"/>
    <w:rsid w:val="00051E73"/>
    <w:rsid w:val="000B0F34"/>
    <w:rsid w:val="000C31E6"/>
    <w:rsid w:val="000C501F"/>
    <w:rsid w:val="000D32FB"/>
    <w:rsid w:val="00120937"/>
    <w:rsid w:val="001220B9"/>
    <w:rsid w:val="00154504"/>
    <w:rsid w:val="001B604F"/>
    <w:rsid w:val="001C04D2"/>
    <w:rsid w:val="001D04E2"/>
    <w:rsid w:val="001E055D"/>
    <w:rsid w:val="00220BD7"/>
    <w:rsid w:val="002362DF"/>
    <w:rsid w:val="0025485A"/>
    <w:rsid w:val="002735EA"/>
    <w:rsid w:val="002A5DAF"/>
    <w:rsid w:val="002A675B"/>
    <w:rsid w:val="002A77AD"/>
    <w:rsid w:val="002B0109"/>
    <w:rsid w:val="002B3561"/>
    <w:rsid w:val="002D67FD"/>
    <w:rsid w:val="002E39CF"/>
    <w:rsid w:val="002F07DC"/>
    <w:rsid w:val="003120D6"/>
    <w:rsid w:val="00342492"/>
    <w:rsid w:val="00345F2A"/>
    <w:rsid w:val="00350099"/>
    <w:rsid w:val="0036452B"/>
    <w:rsid w:val="0036461E"/>
    <w:rsid w:val="00367467"/>
    <w:rsid w:val="00387496"/>
    <w:rsid w:val="003B2BAB"/>
    <w:rsid w:val="003C22AF"/>
    <w:rsid w:val="003C7D3E"/>
    <w:rsid w:val="0042614A"/>
    <w:rsid w:val="004477B8"/>
    <w:rsid w:val="0045661E"/>
    <w:rsid w:val="00493AA6"/>
    <w:rsid w:val="004C7C05"/>
    <w:rsid w:val="0054187A"/>
    <w:rsid w:val="005B1CC5"/>
    <w:rsid w:val="006032E1"/>
    <w:rsid w:val="00616470"/>
    <w:rsid w:val="00644E4C"/>
    <w:rsid w:val="006502E5"/>
    <w:rsid w:val="00665980"/>
    <w:rsid w:val="00687E1A"/>
    <w:rsid w:val="006A2886"/>
    <w:rsid w:val="006D6A3E"/>
    <w:rsid w:val="006D7A17"/>
    <w:rsid w:val="006E6488"/>
    <w:rsid w:val="00702B98"/>
    <w:rsid w:val="007159F0"/>
    <w:rsid w:val="00794B85"/>
    <w:rsid w:val="007B681A"/>
    <w:rsid w:val="0081233B"/>
    <w:rsid w:val="00816574"/>
    <w:rsid w:val="00884198"/>
    <w:rsid w:val="008B2421"/>
    <w:rsid w:val="008C565D"/>
    <w:rsid w:val="008D62EF"/>
    <w:rsid w:val="008E5965"/>
    <w:rsid w:val="008E7202"/>
    <w:rsid w:val="00947D7F"/>
    <w:rsid w:val="00967761"/>
    <w:rsid w:val="00974DAA"/>
    <w:rsid w:val="00977E3E"/>
    <w:rsid w:val="009905D7"/>
    <w:rsid w:val="00990729"/>
    <w:rsid w:val="0099148C"/>
    <w:rsid w:val="0099427F"/>
    <w:rsid w:val="009D7E5E"/>
    <w:rsid w:val="009E4EC6"/>
    <w:rsid w:val="009E696E"/>
    <w:rsid w:val="009E7AD8"/>
    <w:rsid w:val="00A00605"/>
    <w:rsid w:val="00A403BF"/>
    <w:rsid w:val="00A44CCF"/>
    <w:rsid w:val="00A84D02"/>
    <w:rsid w:val="00AC2FD3"/>
    <w:rsid w:val="00AD4E0C"/>
    <w:rsid w:val="00AD7559"/>
    <w:rsid w:val="00AE536A"/>
    <w:rsid w:val="00B668A6"/>
    <w:rsid w:val="00B94CA8"/>
    <w:rsid w:val="00BD0260"/>
    <w:rsid w:val="00BE586E"/>
    <w:rsid w:val="00C060FF"/>
    <w:rsid w:val="00C574CD"/>
    <w:rsid w:val="00C93E85"/>
    <w:rsid w:val="00CA6DCF"/>
    <w:rsid w:val="00CB2A9E"/>
    <w:rsid w:val="00CC1F46"/>
    <w:rsid w:val="00CD62C7"/>
    <w:rsid w:val="00D625BE"/>
    <w:rsid w:val="00D81668"/>
    <w:rsid w:val="00DA275F"/>
    <w:rsid w:val="00DC66AD"/>
    <w:rsid w:val="00DD5ED1"/>
    <w:rsid w:val="00DF4D5A"/>
    <w:rsid w:val="00E317FE"/>
    <w:rsid w:val="00E636BB"/>
    <w:rsid w:val="00EB738C"/>
    <w:rsid w:val="00ED708A"/>
    <w:rsid w:val="00EE35A0"/>
    <w:rsid w:val="00F04356"/>
    <w:rsid w:val="00F0606C"/>
    <w:rsid w:val="00F12442"/>
    <w:rsid w:val="00F82531"/>
    <w:rsid w:val="00F966C4"/>
    <w:rsid w:val="00FE5DCB"/>
    <w:rsid w:val="00FF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00A61D"/>
  <w15:docId w15:val="{4D96D2F3-0C59-4DF2-B363-9161753E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BE"/>
    <w:rPr>
      <w:rFonts w:ascii="Times New Roman" w:eastAsia="Times New Roman" w:hAnsi="Times New Roman" w:cs="Times New Roman"/>
      <w:sz w:val="24"/>
      <w:szCs w:val="24"/>
    </w:rPr>
  </w:style>
  <w:style w:type="paragraph" w:styleId="Heading2">
    <w:name w:val="heading 2"/>
    <w:basedOn w:val="Normal"/>
    <w:next w:val="Normal"/>
    <w:link w:val="Heading2Char"/>
    <w:autoRedefine/>
    <w:qFormat/>
    <w:rsid w:val="00EB738C"/>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25BE"/>
    <w:pPr>
      <w:autoSpaceDE w:val="0"/>
      <w:autoSpaceDN w:val="0"/>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EB738C"/>
    <w:rPr>
      <w:rFonts w:ascii="Times New Roman" w:eastAsia="Times New Roman" w:hAnsi="Times New Roman" w:cs="Arial"/>
      <w:b/>
      <w:bCs/>
      <w:iCs/>
      <w:sz w:val="28"/>
      <w:szCs w:val="28"/>
    </w:rPr>
  </w:style>
  <w:style w:type="paragraph" w:styleId="ListParagraph">
    <w:name w:val="List Paragraph"/>
    <w:basedOn w:val="Normal"/>
    <w:uiPriority w:val="34"/>
    <w:qFormat/>
    <w:rsid w:val="00816574"/>
    <w:pPr>
      <w:ind w:left="720"/>
      <w:contextualSpacing/>
    </w:pPr>
  </w:style>
  <w:style w:type="character" w:styleId="Hyperlink">
    <w:name w:val="Hyperlink"/>
    <w:basedOn w:val="DefaultParagraphFont"/>
    <w:uiPriority w:val="99"/>
    <w:unhideWhenUsed/>
    <w:rsid w:val="002D67FD"/>
    <w:rPr>
      <w:color w:val="0000FF" w:themeColor="hyperlink"/>
      <w:u w:val="single"/>
    </w:rPr>
  </w:style>
  <w:style w:type="paragraph" w:styleId="Header">
    <w:name w:val="header"/>
    <w:basedOn w:val="Normal"/>
    <w:link w:val="HeaderChar"/>
    <w:uiPriority w:val="99"/>
    <w:unhideWhenUsed/>
    <w:rsid w:val="00644E4C"/>
    <w:pPr>
      <w:tabs>
        <w:tab w:val="center" w:pos="4680"/>
        <w:tab w:val="right" w:pos="9360"/>
      </w:tabs>
    </w:pPr>
  </w:style>
  <w:style w:type="character" w:customStyle="1" w:styleId="HeaderChar">
    <w:name w:val="Header Char"/>
    <w:basedOn w:val="DefaultParagraphFont"/>
    <w:link w:val="Header"/>
    <w:uiPriority w:val="99"/>
    <w:rsid w:val="00644E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4E4C"/>
    <w:pPr>
      <w:tabs>
        <w:tab w:val="center" w:pos="4680"/>
        <w:tab w:val="right" w:pos="9360"/>
      </w:tabs>
    </w:pPr>
  </w:style>
  <w:style w:type="character" w:customStyle="1" w:styleId="FooterChar">
    <w:name w:val="Footer Char"/>
    <w:basedOn w:val="DefaultParagraphFont"/>
    <w:link w:val="Footer"/>
    <w:uiPriority w:val="99"/>
    <w:rsid w:val="00644E4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87496"/>
    <w:rPr>
      <w:sz w:val="16"/>
      <w:szCs w:val="16"/>
    </w:rPr>
  </w:style>
  <w:style w:type="paragraph" w:styleId="CommentText">
    <w:name w:val="annotation text"/>
    <w:basedOn w:val="Normal"/>
    <w:link w:val="CommentTextChar"/>
    <w:uiPriority w:val="99"/>
    <w:semiHidden/>
    <w:unhideWhenUsed/>
    <w:rsid w:val="00387496"/>
    <w:rPr>
      <w:sz w:val="20"/>
      <w:szCs w:val="20"/>
    </w:rPr>
  </w:style>
  <w:style w:type="character" w:customStyle="1" w:styleId="CommentTextChar">
    <w:name w:val="Comment Text Char"/>
    <w:basedOn w:val="DefaultParagraphFont"/>
    <w:link w:val="CommentText"/>
    <w:uiPriority w:val="99"/>
    <w:semiHidden/>
    <w:rsid w:val="003874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7496"/>
    <w:rPr>
      <w:b/>
      <w:bCs/>
    </w:rPr>
  </w:style>
  <w:style w:type="character" w:customStyle="1" w:styleId="CommentSubjectChar">
    <w:name w:val="Comment Subject Char"/>
    <w:basedOn w:val="CommentTextChar"/>
    <w:link w:val="CommentSubject"/>
    <w:uiPriority w:val="99"/>
    <w:semiHidden/>
    <w:rsid w:val="003874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7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496"/>
    <w:rPr>
      <w:rFonts w:ascii="Segoe UI" w:eastAsia="Times New Roman" w:hAnsi="Segoe UI" w:cs="Segoe UI"/>
      <w:sz w:val="18"/>
      <w:szCs w:val="18"/>
    </w:rPr>
  </w:style>
  <w:style w:type="paragraph" w:customStyle="1" w:styleId="EndNoteBibliography">
    <w:name w:val="EndNote Bibliography"/>
    <w:basedOn w:val="Normal"/>
    <w:link w:val="EndNoteBibliographyChar"/>
    <w:rsid w:val="0036452B"/>
    <w:rPr>
      <w:rFonts w:ascii="Calibri" w:hAnsi="Calibri" w:cs="Calibri"/>
      <w:noProof/>
      <w:szCs w:val="20"/>
    </w:rPr>
  </w:style>
  <w:style w:type="character" w:customStyle="1" w:styleId="EndNoteBibliographyChar">
    <w:name w:val="EndNote Bibliography Char"/>
    <w:basedOn w:val="DefaultParagraphFont"/>
    <w:link w:val="EndNoteBibliography"/>
    <w:rsid w:val="0036452B"/>
    <w:rPr>
      <w:rFonts w:ascii="Calibri" w:eastAsia="Times New Roman" w:hAnsi="Calibri" w:cs="Calibri"/>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1327</Words>
  <Characters>7568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cvx5</dc:creator>
  <cp:lastModifiedBy>Sawyer, Tamela (CDC/NIOSH/OD/ODDM)</cp:lastModifiedBy>
  <cp:revision>2</cp:revision>
  <dcterms:created xsi:type="dcterms:W3CDTF">2020-09-15T19:38:00Z</dcterms:created>
  <dcterms:modified xsi:type="dcterms:W3CDTF">2020-09-15T19:38:00Z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nui7@cdc.gov</vt:lpwstr>
  </property>
  <property fmtid="{D5CDD505-2E9C-101B-9397-08002B2CF9AE}" pid="5" name="MSIP_Label_7b94a7b8-f06c-4dfe-bdcc-9b548fd58c31_SetDate">
    <vt:lpwstr>2020-05-26T15:01:26.2904416Z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9746cd89-78a7-4046-b13c-a04d5bf72368</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