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7C1F" w:rsidR="00BA550E" w:rsidP="007F3FE5" w:rsidRDefault="00BA550E">
      <w:pPr>
        <w:widowControl/>
        <w:contextualSpacing/>
        <w:rPr>
          <w:bCs/>
        </w:rPr>
      </w:pPr>
      <w:bookmarkStart w:name="_GoBack" w:id="0"/>
      <w:bookmarkEnd w:id="0"/>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F97EB7" w:rsidR="00F97EB7" w:rsidP="00F97EB7" w:rsidRDefault="00F97EB7">
      <w:pPr>
        <w:widowControl/>
        <w:spacing w:line="360" w:lineRule="auto"/>
        <w:jc w:val="center"/>
        <w:rPr>
          <w:bCs/>
        </w:rPr>
      </w:pPr>
      <w:r w:rsidRPr="00F97EB7">
        <w:rPr>
          <w:bCs/>
        </w:rPr>
        <w:t xml:space="preserve">Supporting Statement </w:t>
      </w:r>
    </w:p>
    <w:p w:rsidRPr="00177C1F" w:rsidR="00A47B8A" w:rsidP="00F97EB7" w:rsidRDefault="00233068">
      <w:pPr>
        <w:widowControl/>
        <w:spacing w:line="360" w:lineRule="auto"/>
        <w:jc w:val="center"/>
        <w:rPr>
          <w:bCs/>
        </w:rPr>
      </w:pPr>
      <w:r w:rsidRPr="00233068">
        <w:rPr>
          <w:bCs/>
        </w:rPr>
        <w:t>Import Permit Applications (42 CFR 71.54</w:t>
      </w:r>
      <w:r>
        <w:rPr>
          <w:bCs/>
        </w:rPr>
        <w:t>)</w:t>
      </w:r>
      <w:r w:rsidRPr="00F97EB7" w:rsidR="00F97EB7">
        <w:rPr>
          <w:bCs/>
        </w:rPr>
        <w:t xml:space="preserve">(OMB Control No. 0920-0199) </w:t>
      </w:r>
    </w:p>
    <w:p w:rsidRPr="00177C1F" w:rsidR="00A47B8A" w:rsidP="00A47B8A" w:rsidRDefault="0062179A">
      <w:pPr>
        <w:widowControl/>
        <w:spacing w:line="360" w:lineRule="auto"/>
        <w:jc w:val="center"/>
        <w:rPr>
          <w:bCs/>
        </w:rPr>
      </w:pPr>
      <w:r>
        <w:rPr>
          <w:bCs/>
        </w:rPr>
        <w:t>Revision</w:t>
      </w:r>
    </w:p>
    <w:p w:rsidRPr="00177C1F" w:rsidR="00A47B8A" w:rsidP="00A47B8A" w:rsidRDefault="00A47B8A">
      <w:pPr>
        <w:widowControl/>
        <w:spacing w:line="360" w:lineRule="auto"/>
        <w:jc w:val="center"/>
        <w:rPr>
          <w:bCs/>
        </w:rPr>
      </w:pPr>
    </w:p>
    <w:p w:rsidRPr="00177C1F" w:rsidR="00A47B8A" w:rsidP="00A47B8A" w:rsidRDefault="00A47B8A">
      <w:pPr>
        <w:widowControl/>
        <w:spacing w:line="360" w:lineRule="auto"/>
        <w:jc w:val="center"/>
        <w:rPr>
          <w:bCs/>
        </w:rPr>
      </w:pPr>
      <w:r w:rsidRPr="00177C1F">
        <w:rPr>
          <w:bCs/>
        </w:rPr>
        <w:t>Centers for Disease Control and Prevention</w:t>
      </w:r>
    </w:p>
    <w:p w:rsidRPr="00177C1F" w:rsidR="00A47B8A" w:rsidP="00A47B8A" w:rsidRDefault="00A47B8A">
      <w:pPr>
        <w:spacing w:line="360" w:lineRule="auto"/>
        <w:jc w:val="center"/>
      </w:pPr>
      <w:r w:rsidRPr="00177C1F">
        <w:t xml:space="preserve">Office of Public Health Preparedness and Response </w:t>
      </w:r>
    </w:p>
    <w:p w:rsidRPr="00177C1F" w:rsidR="00A47B8A" w:rsidP="00A47B8A" w:rsidRDefault="00A47B8A">
      <w:pPr>
        <w:widowControl/>
        <w:tabs>
          <w:tab w:val="left" w:pos="-1440"/>
        </w:tabs>
        <w:spacing w:line="360" w:lineRule="auto"/>
        <w:jc w:val="center"/>
        <w:rPr>
          <w:bCs/>
        </w:rPr>
      </w:pPr>
      <w:r w:rsidRPr="00177C1F">
        <w:rPr>
          <w:bCs/>
        </w:rPr>
        <w:t>Division of Select Agents and Toxins</w:t>
      </w:r>
    </w:p>
    <w:p w:rsidRPr="00177C1F" w:rsidR="00A47B8A" w:rsidP="00A47B8A" w:rsidRDefault="00A47B8A">
      <w:pPr>
        <w:widowControl/>
        <w:tabs>
          <w:tab w:val="left" w:pos="-1440"/>
        </w:tabs>
        <w:spacing w:line="360" w:lineRule="auto"/>
        <w:jc w:val="center"/>
        <w:rPr>
          <w:bCs/>
        </w:rPr>
      </w:pPr>
    </w:p>
    <w:p w:rsidRPr="00177C1F" w:rsidR="00A47B8A" w:rsidP="00A47B8A" w:rsidRDefault="00A47B8A">
      <w:pPr>
        <w:widowControl/>
        <w:tabs>
          <w:tab w:val="left" w:pos="-1440"/>
        </w:tabs>
        <w:spacing w:line="360" w:lineRule="auto"/>
        <w:jc w:val="center"/>
        <w:rPr>
          <w:bCs/>
        </w:rPr>
      </w:pPr>
    </w:p>
    <w:p w:rsidRPr="00177C1F" w:rsidR="00A47B8A" w:rsidP="00A47B8A" w:rsidRDefault="00A47B8A">
      <w:pPr>
        <w:widowControl/>
        <w:tabs>
          <w:tab w:val="left" w:pos="-1440"/>
        </w:tabs>
        <w:spacing w:line="276" w:lineRule="auto"/>
        <w:jc w:val="center"/>
        <w:rPr>
          <w:bCs/>
        </w:rPr>
      </w:pPr>
      <w:r w:rsidRPr="00177C1F">
        <w:rPr>
          <w:bCs/>
        </w:rPr>
        <w:t>Lori Bane</w:t>
      </w:r>
    </w:p>
    <w:p w:rsidRPr="00177C1F" w:rsidR="00A47B8A" w:rsidP="00A47B8A" w:rsidRDefault="00A47B8A">
      <w:pPr>
        <w:widowControl/>
        <w:tabs>
          <w:tab w:val="left" w:pos="-1440"/>
        </w:tabs>
        <w:spacing w:line="276" w:lineRule="auto"/>
        <w:jc w:val="center"/>
        <w:rPr>
          <w:bCs/>
        </w:rPr>
      </w:pPr>
      <w:r w:rsidRPr="00177C1F">
        <w:rPr>
          <w:bCs/>
        </w:rPr>
        <w:t>(404) 718-2006</w:t>
      </w:r>
    </w:p>
    <w:p w:rsidRPr="00177C1F" w:rsidR="00A47B8A" w:rsidP="00A47B8A" w:rsidRDefault="00A47B8A">
      <w:pPr>
        <w:widowControl/>
        <w:tabs>
          <w:tab w:val="left" w:pos="-1440"/>
        </w:tabs>
        <w:spacing w:line="276" w:lineRule="auto"/>
        <w:jc w:val="center"/>
        <w:rPr>
          <w:bCs/>
        </w:rPr>
      </w:pPr>
      <w:r w:rsidRPr="00177C1F">
        <w:rPr>
          <w:bCs/>
        </w:rPr>
        <w:t>(404) 718-2097 FAX</w:t>
      </w:r>
    </w:p>
    <w:p w:rsidRPr="00177C1F" w:rsidR="00A47B8A" w:rsidP="00A47B8A" w:rsidRDefault="00A47B8A">
      <w:pPr>
        <w:widowControl/>
        <w:tabs>
          <w:tab w:val="left" w:pos="-1440"/>
        </w:tabs>
        <w:spacing w:line="276" w:lineRule="auto"/>
        <w:jc w:val="center"/>
      </w:pPr>
      <w:hyperlink w:history="1" r:id="rId8">
        <w:r w:rsidRPr="00177C1F">
          <w:rPr>
            <w:rStyle w:val="Hyperlink"/>
            <w:bCs/>
            <w:color w:val="auto"/>
          </w:rPr>
          <w:t>zoz1@cdc.gov</w:t>
        </w:r>
      </w:hyperlink>
    </w:p>
    <w:p w:rsidR="004E0663" w:rsidP="004E0663" w:rsidRDefault="003C3124">
      <w:pPr>
        <w:widowControl/>
        <w:tabs>
          <w:tab w:val="left" w:pos="-1440"/>
        </w:tabs>
        <w:spacing w:line="276" w:lineRule="auto"/>
        <w:jc w:val="center"/>
        <w:rPr>
          <w:bCs/>
        </w:rPr>
      </w:pPr>
      <w:r>
        <w:rPr>
          <w:bCs/>
        </w:rPr>
        <w:t xml:space="preserve"> </w:t>
      </w:r>
    </w:p>
    <w:p w:rsidRPr="00177C1F" w:rsidR="00901E65" w:rsidP="00A47B8A" w:rsidRDefault="009324B3">
      <w:pPr>
        <w:widowControl/>
        <w:tabs>
          <w:tab w:val="left" w:pos="-1440"/>
        </w:tabs>
        <w:spacing w:line="276" w:lineRule="auto"/>
        <w:jc w:val="center"/>
        <w:rPr>
          <w:bCs/>
        </w:rPr>
      </w:pPr>
      <w:r>
        <w:rPr>
          <w:bCs/>
        </w:rPr>
        <w:t>April 2</w:t>
      </w:r>
      <w:r w:rsidR="007105C3">
        <w:rPr>
          <w:bCs/>
        </w:rPr>
        <w:t>8</w:t>
      </w:r>
      <w:r w:rsidR="00901E65">
        <w:rPr>
          <w:bCs/>
        </w:rPr>
        <w:t>, 20</w:t>
      </w:r>
      <w:r>
        <w:rPr>
          <w:bCs/>
        </w:rPr>
        <w:t>20</w:t>
      </w:r>
    </w:p>
    <w:p w:rsidRPr="00177C1F" w:rsidR="00BA550E" w:rsidP="007F3FE5" w:rsidRDefault="00BA550E">
      <w:pPr>
        <w:widowControl/>
        <w:tabs>
          <w:tab w:val="left" w:pos="-1440"/>
        </w:tabs>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BA550E" w:rsidP="007F3FE5" w:rsidRDefault="00BA550E">
      <w:pPr>
        <w:widowControl/>
        <w:contextualSpacing/>
        <w:jc w:val="center"/>
        <w:rPr>
          <w:bCs/>
        </w:rPr>
      </w:pPr>
    </w:p>
    <w:p w:rsidRPr="00177C1F" w:rsidR="00D6788A" w:rsidP="007F3FE5" w:rsidRDefault="00D6788A">
      <w:pPr>
        <w:widowControl/>
        <w:contextualSpacing/>
        <w:jc w:val="center"/>
        <w:rPr>
          <w:bCs/>
        </w:rPr>
      </w:pPr>
    </w:p>
    <w:p w:rsidRPr="00177C1F" w:rsidR="00D6788A" w:rsidP="007F3FE5" w:rsidRDefault="00D6788A">
      <w:pPr>
        <w:widowControl/>
        <w:contextualSpacing/>
        <w:jc w:val="center"/>
        <w:rPr>
          <w:bCs/>
        </w:rPr>
      </w:pPr>
    </w:p>
    <w:p w:rsidR="00D6788A" w:rsidP="007F3FE5" w:rsidRDefault="00D6788A">
      <w:pPr>
        <w:widowControl/>
        <w:contextualSpacing/>
        <w:jc w:val="center"/>
        <w:rPr>
          <w:bCs/>
        </w:rPr>
      </w:pPr>
    </w:p>
    <w:p w:rsidR="004E0663" w:rsidP="007F3FE5" w:rsidRDefault="004E0663">
      <w:pPr>
        <w:widowControl/>
        <w:contextualSpacing/>
        <w:jc w:val="center"/>
        <w:rPr>
          <w:bCs/>
        </w:rPr>
      </w:pPr>
    </w:p>
    <w:p w:rsidRPr="00177C1F" w:rsidR="004E0663" w:rsidP="007F3FE5" w:rsidRDefault="004E0663">
      <w:pPr>
        <w:widowControl/>
        <w:contextualSpacing/>
        <w:jc w:val="center"/>
        <w:rPr>
          <w:bCs/>
        </w:rPr>
      </w:pPr>
    </w:p>
    <w:p w:rsidRPr="00177C1F" w:rsidR="00D6788A" w:rsidP="007F3FE5" w:rsidRDefault="00D6788A">
      <w:pPr>
        <w:widowControl/>
        <w:contextualSpacing/>
        <w:jc w:val="center"/>
        <w:rPr>
          <w:bCs/>
        </w:rPr>
      </w:pPr>
    </w:p>
    <w:p w:rsidRPr="00177C1F" w:rsidR="00D6788A" w:rsidP="007F3FE5" w:rsidRDefault="00D6788A">
      <w:pPr>
        <w:widowControl/>
        <w:contextualSpacing/>
        <w:jc w:val="center"/>
        <w:rPr>
          <w:bCs/>
        </w:rPr>
      </w:pPr>
    </w:p>
    <w:p w:rsidRPr="00177C1F" w:rsidR="00D6788A" w:rsidP="007F3FE5" w:rsidRDefault="00D6788A">
      <w:pPr>
        <w:widowControl/>
        <w:contextualSpacing/>
        <w:jc w:val="center"/>
        <w:rPr>
          <w:bCs/>
        </w:rPr>
      </w:pPr>
    </w:p>
    <w:p w:rsidRPr="00177C1F" w:rsidR="00D6788A" w:rsidP="007F3FE5" w:rsidRDefault="00D6788A">
      <w:pPr>
        <w:widowControl/>
        <w:contextualSpacing/>
        <w:jc w:val="center"/>
        <w:rPr>
          <w:bCs/>
        </w:rPr>
      </w:pPr>
    </w:p>
    <w:p w:rsidRPr="00177C1F" w:rsidR="00D6788A" w:rsidP="007F3FE5" w:rsidRDefault="00D6788A">
      <w:pPr>
        <w:widowControl/>
        <w:contextualSpacing/>
        <w:jc w:val="center"/>
        <w:rPr>
          <w:bCs/>
        </w:rPr>
      </w:pPr>
    </w:p>
    <w:p w:rsidRPr="00177C1F" w:rsidR="00177C1F" w:rsidP="007F3FE5" w:rsidRDefault="00177C1F">
      <w:pPr>
        <w:pStyle w:val="TOC1"/>
        <w:tabs>
          <w:tab w:val="right" w:leader="dot" w:pos="9350"/>
        </w:tabs>
        <w:contextualSpacing/>
        <w:jc w:val="center"/>
        <w:rPr>
          <w:bCs/>
        </w:rPr>
      </w:pPr>
    </w:p>
    <w:p w:rsidRPr="00177C1F" w:rsidR="00177C1F" w:rsidP="007F3FE5" w:rsidRDefault="00177C1F">
      <w:pPr>
        <w:pStyle w:val="TOC1"/>
        <w:tabs>
          <w:tab w:val="right" w:leader="dot" w:pos="9350"/>
        </w:tabs>
        <w:contextualSpacing/>
        <w:jc w:val="center"/>
        <w:rPr>
          <w:bCs/>
        </w:rPr>
      </w:pPr>
    </w:p>
    <w:p w:rsidRPr="00177C1F" w:rsidR="00177C1F" w:rsidP="007F3FE5" w:rsidRDefault="00177C1F">
      <w:pPr>
        <w:pStyle w:val="TOC1"/>
        <w:tabs>
          <w:tab w:val="right" w:leader="dot" w:pos="9350"/>
        </w:tabs>
        <w:contextualSpacing/>
        <w:jc w:val="center"/>
        <w:rPr>
          <w:bCs/>
        </w:rPr>
      </w:pPr>
    </w:p>
    <w:p w:rsidRPr="00177C1F" w:rsidR="00BA550E" w:rsidP="007F3FE5" w:rsidRDefault="00793601">
      <w:pPr>
        <w:pStyle w:val="TOC1"/>
        <w:tabs>
          <w:tab w:val="right" w:leader="dot" w:pos="9350"/>
        </w:tabs>
        <w:contextualSpacing/>
        <w:jc w:val="center"/>
        <w:rPr>
          <w:bCs/>
        </w:rPr>
      </w:pPr>
      <w:r w:rsidRPr="00177C1F">
        <w:rPr>
          <w:bCs/>
        </w:rPr>
        <w:lastRenderedPageBreak/>
        <w:t>Table of Content</w:t>
      </w:r>
    </w:p>
    <w:p w:rsidRPr="00177C1F" w:rsidR="00BA550E" w:rsidP="007F3FE5" w:rsidRDefault="00BA550E">
      <w:pPr>
        <w:contextualSpacing/>
      </w:pPr>
    </w:p>
    <w:p w:rsidRPr="00201912" w:rsidR="00934E82" w:rsidRDefault="00076283">
      <w:pPr>
        <w:pStyle w:val="TOC2"/>
        <w:tabs>
          <w:tab w:val="right" w:leader="dot" w:pos="9350"/>
        </w:tabs>
        <w:rPr>
          <w:rFonts w:ascii="Calibri" w:hAnsi="Calibri"/>
          <w:noProof/>
          <w:sz w:val="22"/>
          <w:szCs w:val="22"/>
        </w:rPr>
      </w:pPr>
      <w:r w:rsidRPr="00177C1F">
        <w:fldChar w:fldCharType="begin"/>
      </w:r>
      <w:r w:rsidRPr="00177C1F" w:rsidR="00793601">
        <w:instrText xml:space="preserve"> TOC \o "1-3" \h </w:instrText>
      </w:r>
      <w:r w:rsidRPr="00177C1F">
        <w:fldChar w:fldCharType="separate"/>
      </w:r>
      <w:hyperlink w:history="1" w:anchor="_Toc496867998">
        <w:r w:rsidRPr="00E04C62" w:rsidR="00934E82">
          <w:rPr>
            <w:rStyle w:val="Hyperlink"/>
            <w:noProof/>
          </w:rPr>
          <w:t>A.  Justification</w:t>
        </w:r>
        <w:r w:rsidR="00934E82">
          <w:rPr>
            <w:noProof/>
          </w:rPr>
          <w:tab/>
        </w:r>
        <w:r w:rsidR="00934E82">
          <w:rPr>
            <w:noProof/>
          </w:rPr>
          <w:fldChar w:fldCharType="begin"/>
        </w:r>
        <w:r w:rsidR="00934E82">
          <w:rPr>
            <w:noProof/>
          </w:rPr>
          <w:instrText xml:space="preserve"> PAGEREF _Toc496867998 \h </w:instrText>
        </w:r>
        <w:r w:rsidR="00934E82">
          <w:rPr>
            <w:noProof/>
          </w:rPr>
        </w:r>
        <w:r w:rsidR="00934E82">
          <w:rPr>
            <w:noProof/>
          </w:rPr>
          <w:fldChar w:fldCharType="separate"/>
        </w:r>
        <w:r w:rsidR="004E0663">
          <w:rPr>
            <w:noProof/>
          </w:rPr>
          <w:t>3</w:t>
        </w:r>
        <w:r w:rsidR="00934E82">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7999">
        <w:r w:rsidRPr="00E04C62">
          <w:rPr>
            <w:rStyle w:val="Hyperlink"/>
            <w:noProof/>
          </w:rPr>
          <w:t>1.  Circumstances Making the Collection of Information Necessary</w:t>
        </w:r>
        <w:r>
          <w:rPr>
            <w:noProof/>
          </w:rPr>
          <w:tab/>
        </w:r>
        <w:r>
          <w:rPr>
            <w:noProof/>
          </w:rPr>
          <w:fldChar w:fldCharType="begin"/>
        </w:r>
        <w:r>
          <w:rPr>
            <w:noProof/>
          </w:rPr>
          <w:instrText xml:space="preserve"> PAGEREF _Toc496867999 \h </w:instrText>
        </w:r>
        <w:r>
          <w:rPr>
            <w:noProof/>
          </w:rPr>
        </w:r>
        <w:r>
          <w:rPr>
            <w:noProof/>
          </w:rPr>
          <w:fldChar w:fldCharType="separate"/>
        </w:r>
        <w:r w:rsidR="004E0663">
          <w:rPr>
            <w:noProof/>
          </w:rPr>
          <w:t>4</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0">
        <w:r w:rsidRPr="00E04C62">
          <w:rPr>
            <w:rStyle w:val="Hyperlink"/>
            <w:noProof/>
          </w:rPr>
          <w:t>2.  Purpose and Use of Information Collection</w:t>
        </w:r>
        <w:r>
          <w:rPr>
            <w:noProof/>
          </w:rPr>
          <w:tab/>
        </w:r>
        <w:r>
          <w:rPr>
            <w:noProof/>
          </w:rPr>
          <w:fldChar w:fldCharType="begin"/>
        </w:r>
        <w:r>
          <w:rPr>
            <w:noProof/>
          </w:rPr>
          <w:instrText xml:space="preserve"> PAGEREF _Toc496868000 \h </w:instrText>
        </w:r>
        <w:r>
          <w:rPr>
            <w:noProof/>
          </w:rPr>
        </w:r>
        <w:r>
          <w:rPr>
            <w:noProof/>
          </w:rPr>
          <w:fldChar w:fldCharType="separate"/>
        </w:r>
        <w:r w:rsidR="004E0663">
          <w:rPr>
            <w:noProof/>
          </w:rPr>
          <w:t>4</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1">
        <w:r w:rsidRPr="00E04C62">
          <w:rPr>
            <w:rStyle w:val="Hyperlink"/>
            <w:noProof/>
          </w:rPr>
          <w:t>3.  Use of Improved Technology and Burden Reduction</w:t>
        </w:r>
        <w:r>
          <w:rPr>
            <w:noProof/>
          </w:rPr>
          <w:tab/>
        </w:r>
        <w:r>
          <w:rPr>
            <w:noProof/>
          </w:rPr>
          <w:fldChar w:fldCharType="begin"/>
        </w:r>
        <w:r>
          <w:rPr>
            <w:noProof/>
          </w:rPr>
          <w:instrText xml:space="preserve"> PAGEREF _Toc496868001 \h </w:instrText>
        </w:r>
        <w:r>
          <w:rPr>
            <w:noProof/>
          </w:rPr>
        </w:r>
        <w:r>
          <w:rPr>
            <w:noProof/>
          </w:rPr>
          <w:fldChar w:fldCharType="separate"/>
        </w:r>
        <w:r w:rsidR="004E0663">
          <w:rPr>
            <w:noProof/>
          </w:rPr>
          <w:t>5</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2">
        <w:r w:rsidRPr="00E04C62">
          <w:rPr>
            <w:rStyle w:val="Hyperlink"/>
            <w:noProof/>
          </w:rPr>
          <w:t>4. Efforts to Identify Duplication and Use of Similar Information</w:t>
        </w:r>
        <w:r>
          <w:rPr>
            <w:noProof/>
          </w:rPr>
          <w:tab/>
        </w:r>
        <w:r>
          <w:rPr>
            <w:noProof/>
          </w:rPr>
          <w:fldChar w:fldCharType="begin"/>
        </w:r>
        <w:r>
          <w:rPr>
            <w:noProof/>
          </w:rPr>
          <w:instrText xml:space="preserve"> PAGEREF _Toc496868002 \h </w:instrText>
        </w:r>
        <w:r>
          <w:rPr>
            <w:noProof/>
          </w:rPr>
        </w:r>
        <w:r>
          <w:rPr>
            <w:noProof/>
          </w:rPr>
          <w:fldChar w:fldCharType="separate"/>
        </w:r>
        <w:r w:rsidR="004E0663">
          <w:rPr>
            <w:noProof/>
          </w:rPr>
          <w:t>5</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3">
        <w:r w:rsidRPr="00E04C62">
          <w:rPr>
            <w:rStyle w:val="Hyperlink"/>
            <w:noProof/>
          </w:rPr>
          <w:t>5.  Impact on Small Businesses or Other Small Entities</w:t>
        </w:r>
        <w:r>
          <w:rPr>
            <w:noProof/>
          </w:rPr>
          <w:tab/>
        </w:r>
        <w:r>
          <w:rPr>
            <w:noProof/>
          </w:rPr>
          <w:fldChar w:fldCharType="begin"/>
        </w:r>
        <w:r>
          <w:rPr>
            <w:noProof/>
          </w:rPr>
          <w:instrText xml:space="preserve"> PAGEREF _Toc496868003 \h </w:instrText>
        </w:r>
        <w:r>
          <w:rPr>
            <w:noProof/>
          </w:rPr>
        </w:r>
        <w:r>
          <w:rPr>
            <w:noProof/>
          </w:rPr>
          <w:fldChar w:fldCharType="separate"/>
        </w:r>
        <w:r w:rsidR="004E0663">
          <w:rPr>
            <w:noProof/>
          </w:rPr>
          <w:t>5</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4">
        <w:r w:rsidRPr="00E04C62">
          <w:rPr>
            <w:rStyle w:val="Hyperlink"/>
            <w:noProof/>
          </w:rPr>
          <w:t>6.  Consequences of Collecting the Information Less Frequently</w:t>
        </w:r>
        <w:r>
          <w:rPr>
            <w:noProof/>
          </w:rPr>
          <w:tab/>
        </w:r>
        <w:r>
          <w:rPr>
            <w:noProof/>
          </w:rPr>
          <w:fldChar w:fldCharType="begin"/>
        </w:r>
        <w:r>
          <w:rPr>
            <w:noProof/>
          </w:rPr>
          <w:instrText xml:space="preserve"> PAGEREF _Toc496868004 \h </w:instrText>
        </w:r>
        <w:r>
          <w:rPr>
            <w:noProof/>
          </w:rPr>
        </w:r>
        <w:r>
          <w:rPr>
            <w:noProof/>
          </w:rPr>
          <w:fldChar w:fldCharType="separate"/>
        </w:r>
        <w:r w:rsidR="004E0663">
          <w:rPr>
            <w:noProof/>
          </w:rPr>
          <w:t>5</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5">
        <w:r w:rsidRPr="00E04C62">
          <w:rPr>
            <w:rStyle w:val="Hyperlink"/>
            <w:noProof/>
          </w:rPr>
          <w:t>7.  Special Circumstances Relating to the Guidelines of 5 CFR 1320.5</w:t>
        </w:r>
        <w:r>
          <w:rPr>
            <w:noProof/>
          </w:rPr>
          <w:tab/>
        </w:r>
        <w:r>
          <w:rPr>
            <w:noProof/>
          </w:rPr>
          <w:fldChar w:fldCharType="begin"/>
        </w:r>
        <w:r>
          <w:rPr>
            <w:noProof/>
          </w:rPr>
          <w:instrText xml:space="preserve"> PAGEREF _Toc496868005 \h </w:instrText>
        </w:r>
        <w:r>
          <w:rPr>
            <w:noProof/>
          </w:rPr>
        </w:r>
        <w:r>
          <w:rPr>
            <w:noProof/>
          </w:rPr>
          <w:fldChar w:fldCharType="separate"/>
        </w:r>
        <w:r w:rsidR="004E0663">
          <w:rPr>
            <w:noProof/>
          </w:rPr>
          <w:t>6</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6">
        <w:r w:rsidRPr="00E04C62">
          <w:rPr>
            <w:rStyle w:val="Hyperlink"/>
            <w:noProof/>
          </w:rPr>
          <w:t>8.  Comments in Response to the Federal Register Notice and Efforts to Consult Outside the Agency</w:t>
        </w:r>
        <w:r>
          <w:rPr>
            <w:noProof/>
          </w:rPr>
          <w:tab/>
        </w:r>
        <w:r>
          <w:rPr>
            <w:noProof/>
          </w:rPr>
          <w:fldChar w:fldCharType="begin"/>
        </w:r>
        <w:r>
          <w:rPr>
            <w:noProof/>
          </w:rPr>
          <w:instrText xml:space="preserve"> PAGEREF _Toc496868006 \h </w:instrText>
        </w:r>
        <w:r>
          <w:rPr>
            <w:noProof/>
          </w:rPr>
        </w:r>
        <w:r>
          <w:rPr>
            <w:noProof/>
          </w:rPr>
          <w:fldChar w:fldCharType="separate"/>
        </w:r>
        <w:r w:rsidR="004E0663">
          <w:rPr>
            <w:noProof/>
          </w:rPr>
          <w:t>6</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7">
        <w:r w:rsidRPr="00E04C62">
          <w:rPr>
            <w:rStyle w:val="Hyperlink"/>
            <w:noProof/>
          </w:rPr>
          <w:t>9.  Explanation of Any Payment or Gift to Respondents</w:t>
        </w:r>
        <w:r>
          <w:rPr>
            <w:noProof/>
          </w:rPr>
          <w:tab/>
        </w:r>
        <w:r>
          <w:rPr>
            <w:noProof/>
          </w:rPr>
          <w:fldChar w:fldCharType="begin"/>
        </w:r>
        <w:r>
          <w:rPr>
            <w:noProof/>
          </w:rPr>
          <w:instrText xml:space="preserve"> PAGEREF _Toc496868007 \h </w:instrText>
        </w:r>
        <w:r>
          <w:rPr>
            <w:noProof/>
          </w:rPr>
        </w:r>
        <w:r>
          <w:rPr>
            <w:noProof/>
          </w:rPr>
          <w:fldChar w:fldCharType="separate"/>
        </w:r>
        <w:r w:rsidR="004E0663">
          <w:rPr>
            <w:noProof/>
          </w:rPr>
          <w:t>6</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8">
        <w:r w:rsidRPr="00E04C62">
          <w:rPr>
            <w:rStyle w:val="Hyperlink"/>
            <w:noProof/>
          </w:rPr>
          <w:t xml:space="preserve">10.  </w:t>
        </w:r>
        <w:r w:rsidR="00307330">
          <w:rPr>
            <w:rStyle w:val="Hyperlink"/>
            <w:noProof/>
          </w:rPr>
          <w:t>Protection of the Privacy and Confidentiality of In</w:t>
        </w:r>
        <w:r w:rsidR="00901E65">
          <w:rPr>
            <w:rStyle w:val="Hyperlink"/>
            <w:noProof/>
          </w:rPr>
          <w:t xml:space="preserve">fomration provided by </w:t>
        </w:r>
        <w:r w:rsidRPr="00E04C62">
          <w:rPr>
            <w:rStyle w:val="Hyperlink"/>
            <w:noProof/>
          </w:rPr>
          <w:t xml:space="preserve"> Respondents</w:t>
        </w:r>
        <w:r>
          <w:rPr>
            <w:noProof/>
          </w:rPr>
          <w:tab/>
        </w:r>
        <w:r>
          <w:rPr>
            <w:noProof/>
          </w:rPr>
          <w:fldChar w:fldCharType="begin"/>
        </w:r>
        <w:r>
          <w:rPr>
            <w:noProof/>
          </w:rPr>
          <w:instrText xml:space="preserve"> PAGEREF _Toc496868008 \h </w:instrText>
        </w:r>
        <w:r>
          <w:rPr>
            <w:noProof/>
          </w:rPr>
        </w:r>
        <w:r>
          <w:rPr>
            <w:noProof/>
          </w:rPr>
          <w:fldChar w:fldCharType="separate"/>
        </w:r>
        <w:r w:rsidR="004E0663">
          <w:rPr>
            <w:noProof/>
          </w:rPr>
          <w:t>6</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09">
        <w:r w:rsidRPr="00E04C62">
          <w:rPr>
            <w:rStyle w:val="Hyperlink"/>
            <w:noProof/>
          </w:rPr>
          <w:t xml:space="preserve">11.  </w:t>
        </w:r>
        <w:r w:rsidR="00307330">
          <w:rPr>
            <w:rStyle w:val="Hyperlink"/>
            <w:noProof/>
          </w:rPr>
          <w:t xml:space="preserve">Institutional Review Board (IRB) and </w:t>
        </w:r>
        <w:r w:rsidRPr="00E04C62">
          <w:rPr>
            <w:rStyle w:val="Hyperlink"/>
            <w:noProof/>
          </w:rPr>
          <w:t>Justification of Sensitive Questions</w:t>
        </w:r>
        <w:r>
          <w:rPr>
            <w:noProof/>
          </w:rPr>
          <w:tab/>
        </w:r>
        <w:r>
          <w:rPr>
            <w:noProof/>
          </w:rPr>
          <w:fldChar w:fldCharType="begin"/>
        </w:r>
        <w:r>
          <w:rPr>
            <w:noProof/>
          </w:rPr>
          <w:instrText xml:space="preserve"> PAGEREF _Toc496868009 \h </w:instrText>
        </w:r>
        <w:r>
          <w:rPr>
            <w:noProof/>
          </w:rPr>
        </w:r>
        <w:r>
          <w:rPr>
            <w:noProof/>
          </w:rPr>
          <w:fldChar w:fldCharType="separate"/>
        </w:r>
        <w:r w:rsidR="004E0663">
          <w:rPr>
            <w:noProof/>
          </w:rPr>
          <w:t>8</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0">
        <w:r w:rsidRPr="00E04C62">
          <w:rPr>
            <w:rStyle w:val="Hyperlink"/>
            <w:noProof/>
          </w:rPr>
          <w:t>12.  Estimates of Annualized Burden Hours and Costs</w:t>
        </w:r>
        <w:r>
          <w:rPr>
            <w:noProof/>
          </w:rPr>
          <w:tab/>
        </w:r>
        <w:r>
          <w:rPr>
            <w:noProof/>
          </w:rPr>
          <w:fldChar w:fldCharType="begin"/>
        </w:r>
        <w:r>
          <w:rPr>
            <w:noProof/>
          </w:rPr>
          <w:instrText xml:space="preserve"> PAGEREF _Toc496868010 \h </w:instrText>
        </w:r>
        <w:r>
          <w:rPr>
            <w:noProof/>
          </w:rPr>
        </w:r>
        <w:r>
          <w:rPr>
            <w:noProof/>
          </w:rPr>
          <w:fldChar w:fldCharType="separate"/>
        </w:r>
        <w:r w:rsidR="004E0663">
          <w:rPr>
            <w:noProof/>
          </w:rPr>
          <w:t>9</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1">
        <w:r w:rsidRPr="00E04C62">
          <w:rPr>
            <w:rStyle w:val="Hyperlink"/>
            <w:noProof/>
          </w:rPr>
          <w:t>13.  Estimates of Other Total Annual Cost Burden to Respondents or Record keepers</w:t>
        </w:r>
        <w:r>
          <w:rPr>
            <w:noProof/>
          </w:rPr>
          <w:tab/>
        </w:r>
        <w:r>
          <w:rPr>
            <w:noProof/>
          </w:rPr>
          <w:fldChar w:fldCharType="begin"/>
        </w:r>
        <w:r>
          <w:rPr>
            <w:noProof/>
          </w:rPr>
          <w:instrText xml:space="preserve"> PAGEREF _Toc496868011 \h </w:instrText>
        </w:r>
        <w:r>
          <w:rPr>
            <w:noProof/>
          </w:rPr>
        </w:r>
        <w:r>
          <w:rPr>
            <w:noProof/>
          </w:rPr>
          <w:fldChar w:fldCharType="separate"/>
        </w:r>
        <w:r w:rsidR="004E0663">
          <w:rPr>
            <w:noProof/>
          </w:rPr>
          <w:t>10</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2">
        <w:r w:rsidRPr="00E04C62">
          <w:rPr>
            <w:rStyle w:val="Hyperlink"/>
            <w:noProof/>
          </w:rPr>
          <w:t>14.  Annualized Cost to the Government</w:t>
        </w:r>
        <w:r>
          <w:rPr>
            <w:noProof/>
          </w:rPr>
          <w:tab/>
        </w:r>
        <w:r>
          <w:rPr>
            <w:noProof/>
          </w:rPr>
          <w:fldChar w:fldCharType="begin"/>
        </w:r>
        <w:r>
          <w:rPr>
            <w:noProof/>
          </w:rPr>
          <w:instrText xml:space="preserve"> PAGEREF _Toc496868012 \h </w:instrText>
        </w:r>
        <w:r>
          <w:rPr>
            <w:noProof/>
          </w:rPr>
        </w:r>
        <w:r>
          <w:rPr>
            <w:noProof/>
          </w:rPr>
          <w:fldChar w:fldCharType="separate"/>
        </w:r>
        <w:r w:rsidR="004E0663">
          <w:rPr>
            <w:noProof/>
          </w:rPr>
          <w:t>11</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3">
        <w:r w:rsidRPr="00E04C62">
          <w:rPr>
            <w:rStyle w:val="Hyperlink"/>
            <w:noProof/>
          </w:rPr>
          <w:t>15.  Explanation for Program Changes or Adjustments</w:t>
        </w:r>
        <w:r>
          <w:rPr>
            <w:noProof/>
          </w:rPr>
          <w:tab/>
        </w:r>
        <w:r>
          <w:rPr>
            <w:noProof/>
          </w:rPr>
          <w:fldChar w:fldCharType="begin"/>
        </w:r>
        <w:r>
          <w:rPr>
            <w:noProof/>
          </w:rPr>
          <w:instrText xml:space="preserve"> PAGEREF _Toc496868013 \h </w:instrText>
        </w:r>
        <w:r>
          <w:rPr>
            <w:noProof/>
          </w:rPr>
        </w:r>
        <w:r>
          <w:rPr>
            <w:noProof/>
          </w:rPr>
          <w:fldChar w:fldCharType="separate"/>
        </w:r>
        <w:r w:rsidR="004E0663">
          <w:rPr>
            <w:noProof/>
          </w:rPr>
          <w:t>11</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4">
        <w:r w:rsidRPr="00E04C62">
          <w:rPr>
            <w:rStyle w:val="Hyperlink"/>
            <w:noProof/>
          </w:rPr>
          <w:t>16.  Plans for Tabulation and Publication and Project Time Schedule</w:t>
        </w:r>
        <w:r>
          <w:rPr>
            <w:noProof/>
          </w:rPr>
          <w:tab/>
        </w:r>
        <w:r>
          <w:rPr>
            <w:noProof/>
          </w:rPr>
          <w:fldChar w:fldCharType="begin"/>
        </w:r>
        <w:r>
          <w:rPr>
            <w:noProof/>
          </w:rPr>
          <w:instrText xml:space="preserve"> PAGEREF _Toc496868014 \h </w:instrText>
        </w:r>
        <w:r>
          <w:rPr>
            <w:noProof/>
          </w:rPr>
        </w:r>
        <w:r>
          <w:rPr>
            <w:noProof/>
          </w:rPr>
          <w:fldChar w:fldCharType="separate"/>
        </w:r>
        <w:r w:rsidR="004E0663">
          <w:rPr>
            <w:noProof/>
          </w:rPr>
          <w:t>11</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5">
        <w:r w:rsidRPr="00E04C62">
          <w:rPr>
            <w:rStyle w:val="Hyperlink"/>
            <w:noProof/>
          </w:rPr>
          <w:t>17.  Reason(s) Display of OMB Expiration Date is Inappropriate</w:t>
        </w:r>
        <w:r>
          <w:rPr>
            <w:noProof/>
          </w:rPr>
          <w:tab/>
        </w:r>
        <w:r>
          <w:rPr>
            <w:noProof/>
          </w:rPr>
          <w:fldChar w:fldCharType="begin"/>
        </w:r>
        <w:r>
          <w:rPr>
            <w:noProof/>
          </w:rPr>
          <w:instrText xml:space="preserve"> PAGEREF _Toc496868015 \h </w:instrText>
        </w:r>
        <w:r>
          <w:rPr>
            <w:noProof/>
          </w:rPr>
        </w:r>
        <w:r>
          <w:rPr>
            <w:noProof/>
          </w:rPr>
          <w:fldChar w:fldCharType="separate"/>
        </w:r>
        <w:r w:rsidR="004E0663">
          <w:rPr>
            <w:noProof/>
          </w:rPr>
          <w:t>11</w:t>
        </w:r>
        <w:r>
          <w:rPr>
            <w:noProof/>
          </w:rPr>
          <w:fldChar w:fldCharType="end"/>
        </w:r>
      </w:hyperlink>
    </w:p>
    <w:p w:rsidRPr="00201912" w:rsidR="00934E82" w:rsidRDefault="00934E82">
      <w:pPr>
        <w:pStyle w:val="TOC3"/>
        <w:tabs>
          <w:tab w:val="right" w:leader="dot" w:pos="9350"/>
        </w:tabs>
        <w:rPr>
          <w:rFonts w:ascii="Calibri" w:hAnsi="Calibri"/>
          <w:noProof/>
          <w:sz w:val="22"/>
          <w:szCs w:val="22"/>
        </w:rPr>
      </w:pPr>
      <w:hyperlink w:history="1" w:anchor="_Toc496868016">
        <w:r w:rsidRPr="00E04C62">
          <w:rPr>
            <w:rStyle w:val="Hyperlink"/>
            <w:noProof/>
          </w:rPr>
          <w:t>18.  Exceptions to Certification for Paperwork Reduction Act Submissions</w:t>
        </w:r>
        <w:r>
          <w:rPr>
            <w:noProof/>
          </w:rPr>
          <w:tab/>
        </w:r>
        <w:r>
          <w:rPr>
            <w:noProof/>
          </w:rPr>
          <w:fldChar w:fldCharType="begin"/>
        </w:r>
        <w:r>
          <w:rPr>
            <w:noProof/>
          </w:rPr>
          <w:instrText xml:space="preserve"> PAGEREF _Toc496868016 \h </w:instrText>
        </w:r>
        <w:r>
          <w:rPr>
            <w:noProof/>
          </w:rPr>
        </w:r>
        <w:r>
          <w:rPr>
            <w:noProof/>
          </w:rPr>
          <w:fldChar w:fldCharType="separate"/>
        </w:r>
        <w:r w:rsidR="004E0663">
          <w:rPr>
            <w:noProof/>
          </w:rPr>
          <w:t>11</w:t>
        </w:r>
        <w:r>
          <w:rPr>
            <w:noProof/>
          </w:rPr>
          <w:fldChar w:fldCharType="end"/>
        </w:r>
      </w:hyperlink>
    </w:p>
    <w:p w:rsidRPr="00201912" w:rsidR="00934E82" w:rsidRDefault="00934E82">
      <w:pPr>
        <w:pStyle w:val="TOC2"/>
        <w:tabs>
          <w:tab w:val="right" w:leader="dot" w:pos="9350"/>
        </w:tabs>
        <w:rPr>
          <w:rFonts w:ascii="Calibri" w:hAnsi="Calibri"/>
          <w:noProof/>
          <w:sz w:val="22"/>
          <w:szCs w:val="22"/>
        </w:rPr>
      </w:pPr>
    </w:p>
    <w:p w:rsidRPr="00177C1F" w:rsidR="00BA550E" w:rsidP="007F3FE5" w:rsidRDefault="00076283">
      <w:pPr>
        <w:pStyle w:val="TOC1"/>
        <w:tabs>
          <w:tab w:val="right" w:leader="dot" w:pos="9350"/>
        </w:tabs>
        <w:contextualSpacing/>
      </w:pPr>
      <w:r w:rsidRPr="00177C1F">
        <w:fldChar w:fldCharType="end"/>
      </w:r>
    </w:p>
    <w:p w:rsidRPr="00177C1F" w:rsidR="00BA550E" w:rsidP="007F3FE5" w:rsidRDefault="00BA550E">
      <w:pPr>
        <w:pStyle w:val="TOC1"/>
        <w:tabs>
          <w:tab w:val="right" w:leader="dot" w:pos="9350"/>
        </w:tabs>
        <w:contextualSpacing/>
      </w:pPr>
    </w:p>
    <w:p w:rsidRPr="00177C1F" w:rsidR="00BA550E" w:rsidP="007F3FE5" w:rsidRDefault="00BA550E">
      <w:pPr>
        <w:pStyle w:val="TOC1"/>
        <w:tabs>
          <w:tab w:val="right" w:leader="dot" w:pos="9350"/>
        </w:tabs>
        <w:contextualSpacing/>
      </w:pPr>
    </w:p>
    <w:p w:rsidRPr="00177C1F" w:rsidR="00BA550E" w:rsidP="007F3FE5" w:rsidRDefault="00BA550E">
      <w:pPr>
        <w:pStyle w:val="TOC1"/>
        <w:tabs>
          <w:tab w:val="right" w:leader="dot" w:pos="9350"/>
        </w:tabs>
        <w:contextualSpacing/>
      </w:pPr>
    </w:p>
    <w:p w:rsidRPr="00177C1F" w:rsidR="00BA550E" w:rsidP="007F3FE5" w:rsidRDefault="00BA550E">
      <w:pPr>
        <w:pStyle w:val="TOC1"/>
        <w:tabs>
          <w:tab w:val="right" w:leader="dot" w:pos="9350"/>
        </w:tabs>
        <w:contextualSpacing/>
      </w:pPr>
    </w:p>
    <w:p w:rsidRPr="00177C1F" w:rsidR="00BA550E" w:rsidP="007F3FE5" w:rsidRDefault="00D6788A">
      <w:pPr>
        <w:widowControl/>
        <w:contextualSpacing/>
        <w:jc w:val="center"/>
        <w:rPr>
          <w:bCs/>
        </w:rPr>
      </w:pPr>
      <w:r w:rsidRPr="00177C1F">
        <w:rPr>
          <w:bCs/>
        </w:rPr>
        <w:br w:type="page"/>
      </w:r>
    </w:p>
    <w:p w:rsidRPr="00177C1F" w:rsidR="00BA550E" w:rsidP="007F3FE5" w:rsidRDefault="00793601">
      <w:pPr>
        <w:widowControl/>
        <w:contextualSpacing/>
        <w:jc w:val="center"/>
        <w:rPr>
          <w:bCs/>
        </w:rPr>
      </w:pPr>
      <w:r w:rsidRPr="00177C1F">
        <w:rPr>
          <w:bCs/>
        </w:rPr>
        <w:t>Supporting Statement A</w:t>
      </w:r>
    </w:p>
    <w:p w:rsidR="00BA550E" w:rsidP="007F3FE5" w:rsidRDefault="00337A85">
      <w:pPr>
        <w:widowControl/>
        <w:contextualSpacing/>
        <w:rPr>
          <w:bCs/>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59055</wp:posOffset>
                </wp:positionV>
                <wp:extent cx="5819775" cy="3390900"/>
                <wp:effectExtent l="8255" t="11430" r="1079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390900"/>
                        </a:xfrm>
                        <a:prstGeom prst="rect">
                          <a:avLst/>
                        </a:prstGeom>
                        <a:solidFill>
                          <a:srgbClr val="FFFFFF"/>
                        </a:solidFill>
                        <a:ln w="9525">
                          <a:solidFill>
                            <a:srgbClr val="000000"/>
                          </a:solidFill>
                          <a:miter lim="800000"/>
                          <a:headEnd/>
                          <a:tailEnd/>
                        </a:ln>
                      </wps:spPr>
                      <wps:txbx>
                        <w:txbxContent>
                          <w:p w:rsidR="007105C3" w:rsidP="00D73519" w:rsidRDefault="007105C3">
                            <w:pPr>
                              <w:numPr>
                                <w:ilvl w:val="0"/>
                                <w:numId w:val="4"/>
                              </w:numPr>
                            </w:pPr>
                            <w:r>
                              <w:t xml:space="preserve">The goal of the study is to support </w:t>
                            </w:r>
                            <w:r w:rsidRPr="006C26C7">
                              <w:t>Section 361 of the Public Health Service (PHS) Act (42 U.S.C. 264)</w:t>
                            </w:r>
                            <w:r>
                              <w:t xml:space="preserve"> and </w:t>
                            </w:r>
                            <w:r w:rsidRPr="006C26C7">
                              <w:t>prevent</w:t>
                            </w:r>
                            <w:r>
                              <w:t>s</w:t>
                            </w:r>
                            <w:r w:rsidRPr="006C26C7">
                              <w:t xml:space="preserve"> the introduction, transmission, or spread of communicable diseases from foreign countries into the States or possessions, or from one State or possession into any other State or possession.</w:t>
                            </w:r>
                          </w:p>
                          <w:p w:rsidR="007105C3" w:rsidP="00CB1AEC" w:rsidRDefault="007105C3">
                            <w:pPr>
                              <w:numPr>
                                <w:ilvl w:val="0"/>
                                <w:numId w:val="4"/>
                              </w:numPr>
                            </w:pPr>
                            <w:r>
                              <w:t>The intended use of the study is</w:t>
                            </w:r>
                            <w:r w:rsidRPr="00CB1AEC">
                              <w:t xml:space="preserve"> </w:t>
                            </w:r>
                            <w:r>
                              <w:t>to fulfill the requirements</w:t>
                            </w:r>
                            <w:r w:rsidRPr="00CB1AEC">
                              <w:t xml:space="preserve"> promulgated by </w:t>
                            </w:r>
                            <w:r>
                              <w:t xml:space="preserve">Health and Human Services </w:t>
                            </w:r>
                            <w:r w:rsidRPr="00CB1AEC">
                              <w:t xml:space="preserve">under </w:t>
                            </w:r>
                            <w:r w:rsidRPr="006C26C7">
                              <w:t>42 CFR 71.54</w:t>
                            </w:r>
                            <w:r w:rsidRPr="00CB1AEC">
                              <w:t xml:space="preserve">.  </w:t>
                            </w:r>
                          </w:p>
                          <w:p w:rsidR="007105C3" w:rsidP="00F7404C" w:rsidRDefault="007105C3">
                            <w:pPr>
                              <w:numPr>
                                <w:ilvl w:val="0"/>
                                <w:numId w:val="4"/>
                              </w:numPr>
                            </w:pPr>
                            <w:r>
                              <w:t xml:space="preserve">The method used to collect data/information is an </w:t>
                            </w:r>
                            <w:r w:rsidRPr="00CB1AEC">
                              <w:t xml:space="preserve">electronic data collection system that uses electronic forms, which are available on the </w:t>
                            </w:r>
                            <w:r>
                              <w:t xml:space="preserve">Centers for Disease Control and Prevention’s Import Permit website </w:t>
                            </w:r>
                            <w:r w:rsidRPr="00CB1AEC">
                              <w:t xml:space="preserve">at </w:t>
                            </w:r>
                            <w:r w:rsidRPr="00F7404C">
                              <w:t>http://www.cdc.gov/od/eaipp/</w:t>
                            </w:r>
                            <w:r w:rsidRPr="00CB1AEC">
                              <w:t xml:space="preserve"> in a pdf-fillable format for electronic submission.  </w:t>
                            </w:r>
                          </w:p>
                          <w:p w:rsidR="007105C3" w:rsidP="00CB1AEC" w:rsidRDefault="007105C3">
                            <w:pPr>
                              <w:numPr>
                                <w:ilvl w:val="0"/>
                                <w:numId w:val="4"/>
                              </w:numPr>
                            </w:pPr>
                            <w:r>
                              <w:t xml:space="preserve">The subpopulation to be studied are those </w:t>
                            </w:r>
                            <w:r w:rsidRPr="009B6C97">
                              <w:t>academic institutions and biomedical centers, commercial manufacturing facilities, federal, state, and local laboratories, including clinical and diagnostic laboratories, research facilities,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w:t>
                            </w:r>
                            <w:r w:rsidRPr="00CB1AEC">
                              <w:t xml:space="preserve">.  </w:t>
                            </w:r>
                          </w:p>
                          <w:p w:rsidR="007105C3" w:rsidP="00CB1AEC" w:rsidRDefault="007105C3">
                            <w:pPr>
                              <w:numPr>
                                <w:ilvl w:val="0"/>
                                <w:numId w:val="4"/>
                              </w:numPr>
                            </w:pPr>
                            <w:r w:rsidRPr="00CB1AEC">
                              <w:t>This collection of information does not employ statistical methods.  The data collection is mandated by 42 CFR 7</w:t>
                            </w:r>
                            <w:r>
                              <w:t>1.54</w:t>
                            </w:r>
                            <w:r w:rsidRPr="00CB1A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4.65pt;width:458.25pt;height:267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">
                <v:textbox>
                  <w:txbxContent>
                    <w:p w:rsidR="007105C3" w:rsidP="00D73519" w:rsidRDefault="007105C3">
                      <w:pPr>
                        <w:numPr>
                          <w:ilvl w:val="0"/>
                          <w:numId w:val="4"/>
                        </w:numPr>
                      </w:pPr>
                      <w:r>
                        <w:t xml:space="preserve">The goal of the study is to support </w:t>
                      </w:r>
                      <w:r w:rsidRPr="006C26C7">
                        <w:t>Section 361 of the Public Health Service (PHS) Act (42 U.S.C. 264)</w:t>
                      </w:r>
                      <w:r>
                        <w:t xml:space="preserve"> and </w:t>
                      </w:r>
                      <w:r w:rsidRPr="006C26C7">
                        <w:t>prevent</w:t>
                      </w:r>
                      <w:r>
                        <w:t>s</w:t>
                      </w:r>
                      <w:r w:rsidRPr="006C26C7">
                        <w:t xml:space="preserve"> the introduction, transmission, or spread of communicable diseases from foreign countries into the States or possessions, or from one State or possession into any other State or possession.</w:t>
                      </w:r>
                    </w:p>
                    <w:p w:rsidR="007105C3" w:rsidP="00CB1AEC" w:rsidRDefault="007105C3">
                      <w:pPr>
                        <w:numPr>
                          <w:ilvl w:val="0"/>
                          <w:numId w:val="4"/>
                        </w:numPr>
                      </w:pPr>
                      <w:r>
                        <w:t>The intended use of the study is</w:t>
                      </w:r>
                      <w:r w:rsidRPr="00CB1AEC">
                        <w:t xml:space="preserve"> </w:t>
                      </w:r>
                      <w:r>
                        <w:t>to fulfill the requirements</w:t>
                      </w:r>
                      <w:r w:rsidRPr="00CB1AEC">
                        <w:t xml:space="preserve"> promulgated by </w:t>
                      </w:r>
                      <w:r>
                        <w:t xml:space="preserve">Health and Human Services </w:t>
                      </w:r>
                      <w:r w:rsidRPr="00CB1AEC">
                        <w:t xml:space="preserve">under </w:t>
                      </w:r>
                      <w:r w:rsidRPr="006C26C7">
                        <w:t>42 CFR 71.54</w:t>
                      </w:r>
                      <w:r w:rsidRPr="00CB1AEC">
                        <w:t xml:space="preserve">.  </w:t>
                      </w:r>
                    </w:p>
                    <w:p w:rsidR="007105C3" w:rsidP="00F7404C" w:rsidRDefault="007105C3">
                      <w:pPr>
                        <w:numPr>
                          <w:ilvl w:val="0"/>
                          <w:numId w:val="4"/>
                        </w:numPr>
                      </w:pPr>
                      <w:r>
                        <w:t xml:space="preserve">The method used to collect data/information is an </w:t>
                      </w:r>
                      <w:r w:rsidRPr="00CB1AEC">
                        <w:t xml:space="preserve">electronic data collection system that uses electronic forms, which are available on the </w:t>
                      </w:r>
                      <w:r>
                        <w:t xml:space="preserve">Centers for Disease Control and Prevention’s Import Permit website </w:t>
                      </w:r>
                      <w:r w:rsidRPr="00CB1AEC">
                        <w:t xml:space="preserve">at </w:t>
                      </w:r>
                      <w:r w:rsidRPr="00F7404C">
                        <w:t>http://www.cdc.gov/od/eaipp/</w:t>
                      </w:r>
                      <w:r w:rsidRPr="00CB1AEC">
                        <w:t xml:space="preserve"> in a pdf-fillable format for electronic submission.  </w:t>
                      </w:r>
                    </w:p>
                    <w:p w:rsidR="007105C3" w:rsidP="00CB1AEC" w:rsidRDefault="007105C3">
                      <w:pPr>
                        <w:numPr>
                          <w:ilvl w:val="0"/>
                          <w:numId w:val="4"/>
                        </w:numPr>
                      </w:pPr>
                      <w:r>
                        <w:t xml:space="preserve">The subpopulation to be studied are those </w:t>
                      </w:r>
                      <w:r w:rsidRPr="009B6C97">
                        <w:t>academic institutions and biomedical centers, commercial manufacturing facilities, federal, state, and local laboratories, including clinical and diagnostic laboratories, research facilities,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w:t>
                      </w:r>
                      <w:r w:rsidRPr="00CB1AEC">
                        <w:t xml:space="preserve">.  </w:t>
                      </w:r>
                    </w:p>
                    <w:p w:rsidR="007105C3" w:rsidP="00CB1AEC" w:rsidRDefault="007105C3">
                      <w:pPr>
                        <w:numPr>
                          <w:ilvl w:val="0"/>
                          <w:numId w:val="4"/>
                        </w:numPr>
                      </w:pPr>
                      <w:r w:rsidRPr="00CB1AEC">
                        <w:t>This collection of information does not employ statistical methods.  The data collection is mandated by 42 CFR 7</w:t>
                      </w:r>
                      <w:r>
                        <w:t>1.54</w:t>
                      </w:r>
                      <w:r w:rsidRPr="00CB1AEC">
                        <w:t xml:space="preserve">.  </w:t>
                      </w:r>
                    </w:p>
                  </w:txbxContent>
                </v:textbox>
              </v:shape>
            </w:pict>
          </mc:Fallback>
        </mc:AlternateContent>
      </w: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00016741" w:rsidP="007F3FE5" w:rsidRDefault="00016741">
      <w:pPr>
        <w:widowControl/>
        <w:contextualSpacing/>
        <w:rPr>
          <w:bCs/>
        </w:rPr>
      </w:pPr>
    </w:p>
    <w:p w:rsidRPr="00177C1F" w:rsidR="00BA550E" w:rsidP="00177C1F" w:rsidRDefault="00793601">
      <w:pPr>
        <w:pStyle w:val="Heading2"/>
        <w:rPr>
          <w:rFonts w:ascii="Times New Roman" w:hAnsi="Times New Roman"/>
          <w:sz w:val="24"/>
          <w:szCs w:val="24"/>
        </w:rPr>
      </w:pPr>
      <w:bookmarkStart w:name="_Toc496867998" w:id="1"/>
      <w:r w:rsidRPr="00177C1F">
        <w:rPr>
          <w:rFonts w:ascii="Times New Roman" w:hAnsi="Times New Roman"/>
          <w:sz w:val="24"/>
          <w:szCs w:val="24"/>
        </w:rPr>
        <w:t>A.  Justification</w:t>
      </w:r>
      <w:bookmarkEnd w:id="1"/>
    </w:p>
    <w:p w:rsidRPr="00177C1F" w:rsidR="00BA550E" w:rsidP="007F3FE5" w:rsidRDefault="00BA550E">
      <w:pPr>
        <w:widowControl/>
        <w:contextualSpacing/>
      </w:pPr>
    </w:p>
    <w:p w:rsidR="00BA650B" w:rsidP="00BA650B" w:rsidRDefault="00BA650B">
      <w:pPr>
        <w:widowControl/>
        <w:contextualSpacing/>
      </w:pPr>
      <w:r>
        <w:t>This request reflects a new request</w:t>
      </w:r>
      <w:r w:rsidR="00DD7D87">
        <w:t xml:space="preserve"> </w:t>
      </w:r>
      <w:r>
        <w:t xml:space="preserve">form  for the “Application for Permit to Import Infectious Human Remains into the United States” to accompany the Application for Permit to Import Biological Agents, Infectious Substances and Vectors of Human Disease into the United States form, the Application for Permit to Import or Transport Live Bats form that were approved by the Office of Management and Budget (OMB)’s until April 30, 2021 (OMB Control No. 0920-0199).  CDC plans to introduce this new data collection as a result of the Importation of Human Remains (42 CFR 71.55) Notice of Proposed Rulemaking that was published in the Federal Register on November 25, 2019, Vol. 84, No. 227, Pages 64808-64819 (Attachment A – Notice of Proposed Rulemaking).  </w:t>
      </w:r>
    </w:p>
    <w:p w:rsidR="00BA650B" w:rsidP="00BA650B" w:rsidRDefault="00BA650B">
      <w:pPr>
        <w:widowControl/>
        <w:contextualSpacing/>
      </w:pPr>
    </w:p>
    <w:p w:rsidR="00883A5F" w:rsidP="00883A5F" w:rsidRDefault="00BA650B">
      <w:pPr>
        <w:widowControl/>
        <w:contextualSpacing/>
      </w:pPr>
      <w:r>
        <w:t xml:space="preserve">The outbreak caused by a novel coronavirus (SARS-CoV-2) has resulted in requests to the Centers for Disease Control and Prevention (CDC)/Import Permit Program (IPP) to import cadavers into the United States infected with SARS-CoV-2.  All human remains must be shipped in a leakproof container with an accompanying death certificate stating the cause of death.  It is the goal of CDC/IPP to protect the public from exposure to blood and other body fluids during transportation, inspection, and/or storage of human remains that may be infected with SARS-CoV-2.  As such, CDC/IPP is taking proactive preparedness precautions and re-quires emergency expedited review and clearance approval to allow for immediate information collection regarding the importation of human remains that is infected with SARS-CoV-2 for burial.  The CDC/IPP will review the application for permits to ensure that the imported hu-man remains have appropriate biosafety measures in place to protect the public from exposure to </w:t>
      </w:r>
      <w:r>
        <w:lastRenderedPageBreak/>
        <w:t>blood and other body fluids during transportation, inspection, and/or storage of human re-mains that may be infected with SARS-CoV-2.</w:t>
      </w:r>
    </w:p>
    <w:p w:rsidRPr="00177C1F" w:rsidR="00BA550E" w:rsidP="00177C1F" w:rsidRDefault="00793601">
      <w:pPr>
        <w:pStyle w:val="Heading3"/>
        <w:rPr>
          <w:rFonts w:ascii="Times New Roman" w:hAnsi="Times New Roman"/>
          <w:color w:val="auto"/>
          <w:sz w:val="24"/>
          <w:szCs w:val="24"/>
        </w:rPr>
      </w:pPr>
      <w:bookmarkStart w:name="_Toc496867999" w:id="2"/>
      <w:r w:rsidRPr="00177C1F">
        <w:rPr>
          <w:rFonts w:ascii="Times New Roman" w:hAnsi="Times New Roman"/>
          <w:color w:val="auto"/>
          <w:sz w:val="24"/>
          <w:szCs w:val="24"/>
        </w:rPr>
        <w:t>1.  Circumstances Making the Collection of Information Necessary</w:t>
      </w:r>
      <w:bookmarkEnd w:id="2"/>
    </w:p>
    <w:p w:rsidRPr="00177C1F" w:rsidR="00BA550E" w:rsidP="007F3FE5" w:rsidRDefault="00BA550E">
      <w:pPr>
        <w:widowControl/>
        <w:contextualSpacing/>
        <w:rPr>
          <w:bCs/>
        </w:rPr>
      </w:pPr>
    </w:p>
    <w:p w:rsidR="00A95FC8" w:rsidP="00B966F7" w:rsidRDefault="00A95FC8">
      <w:pPr>
        <w:widowControl/>
        <w:contextualSpacing/>
      </w:pPr>
      <w:r w:rsidRPr="006C26C7">
        <w:t>Section 361 of the Public Health Service Act (42 U.S.C. 264), as amended, authorizes that the Secretary of Health and Human Services (HHS) make and enforce such regulations as are necessary to prevent the introduction, transmission, or spread of communicable diseases from foreign countries into the States or possessions, or from one State or possession into any other State or possession. Part 71 of Title 42, Code of Federal Regulations sets forth provisions to prevent the introduction, transmission, and spread of communicable disease from foreign countries into the United States. Subpart F – Importations - contains provisions for the importation of infectious biological agents, infectious substances, and vectors (42 CFR 71.54)</w:t>
      </w:r>
      <w:r>
        <w:t>;</w:t>
      </w:r>
      <w:r w:rsidRPr="006C26C7">
        <w:t xml:space="preserve"> requiring persons that import these materials to obtain a permit issued by the CDC</w:t>
      </w:r>
      <w:r>
        <w:t xml:space="preserve">.  </w:t>
      </w:r>
      <w:r w:rsidRPr="00A95FC8">
        <w:t>The Centers for Disease Control and Prevention’s Import Permit Program (IPP) regulates the importation of infectious biological agents, infectious substances, and vectors of human disease into the United States. Prior to issuing an import permit, IPP reviews all applications to ensure that entities have appropriate safety measures in place for working safely with these imported materials.</w:t>
      </w:r>
      <w:r>
        <w:t xml:space="preserve"> </w:t>
      </w:r>
      <w:r w:rsidRPr="00BA650B" w:rsidR="00BA650B">
        <w:t xml:space="preserve">CDC plans to introduce this new </w:t>
      </w:r>
      <w:r w:rsidR="006D1986">
        <w:t>form</w:t>
      </w:r>
      <w:r w:rsidRPr="00BA650B" w:rsidR="00BA650B">
        <w:t xml:space="preserve"> as a result of the Importation of Human Remains (42 CFR 71.55) Notice of Proposed Rulemaking that was published in the Federal Register on November 25, 2019, Vol. 84, No. 227, Pages 64808-64819.  </w:t>
      </w:r>
    </w:p>
    <w:p w:rsidR="00A95FC8" w:rsidP="00B966F7" w:rsidRDefault="00A95FC8">
      <w:pPr>
        <w:widowControl/>
        <w:contextualSpacing/>
      </w:pPr>
    </w:p>
    <w:p w:rsidRPr="00177C1F" w:rsidR="00BA550E" w:rsidP="00177C1F" w:rsidRDefault="00793601">
      <w:pPr>
        <w:pStyle w:val="Heading3"/>
        <w:rPr>
          <w:rFonts w:ascii="Times New Roman" w:hAnsi="Times New Roman"/>
          <w:color w:val="auto"/>
          <w:sz w:val="24"/>
          <w:szCs w:val="24"/>
        </w:rPr>
      </w:pPr>
      <w:bookmarkStart w:name="_Toc496868000" w:id="3"/>
      <w:r w:rsidRPr="00177C1F">
        <w:rPr>
          <w:rFonts w:ascii="Times New Roman" w:hAnsi="Times New Roman"/>
          <w:color w:val="auto"/>
          <w:sz w:val="24"/>
          <w:szCs w:val="24"/>
        </w:rPr>
        <w:t>2.  Purpose and Use of Information Collection</w:t>
      </w:r>
      <w:bookmarkEnd w:id="3"/>
    </w:p>
    <w:p w:rsidRPr="00177C1F" w:rsidR="00BA550E" w:rsidP="007F3FE5" w:rsidRDefault="00BA550E">
      <w:pPr>
        <w:widowControl/>
        <w:contextualSpacing/>
        <w:rPr>
          <w:bCs/>
        </w:rPr>
      </w:pPr>
    </w:p>
    <w:p w:rsidR="00BA550E" w:rsidP="007F3FE5" w:rsidRDefault="00793601">
      <w:pPr>
        <w:widowControl/>
        <w:contextualSpacing/>
        <w:rPr>
          <w:bCs/>
        </w:rPr>
      </w:pPr>
      <w:r w:rsidRPr="00177C1F">
        <w:rPr>
          <w:bCs/>
        </w:rPr>
        <w:t xml:space="preserve">This information will assist with meeting the goals of the </w:t>
      </w:r>
      <w:r w:rsidRPr="006C26C7" w:rsidR="00397C21">
        <w:t>Section 361 of the Public Health Service (PHS) Act (42 U.S.C. 264)</w:t>
      </w:r>
      <w:r w:rsidR="00397C21">
        <w:t xml:space="preserve"> and </w:t>
      </w:r>
      <w:r w:rsidRPr="006C26C7" w:rsidR="00397C21">
        <w:t>prevent</w:t>
      </w:r>
      <w:r w:rsidR="00397C21">
        <w:t>s</w:t>
      </w:r>
      <w:r w:rsidRPr="006C26C7" w:rsidR="00397C21">
        <w:t xml:space="preserve"> the introduction, transmission, or spread of communicable diseases from foreign countries into the States or possessions, or from one State or possession into any other State or possession</w:t>
      </w:r>
      <w:r w:rsidRPr="00177C1F">
        <w:rPr>
          <w:bCs/>
        </w:rPr>
        <w:t>.</w:t>
      </w:r>
      <w:r w:rsidRPr="00177C1F" w:rsidR="00DA18CA">
        <w:rPr>
          <w:bCs/>
        </w:rPr>
        <w:t xml:space="preserve"> </w:t>
      </w:r>
    </w:p>
    <w:p w:rsidR="006C74E3" w:rsidP="007F3FE5" w:rsidRDefault="006C74E3">
      <w:pPr>
        <w:widowControl/>
        <w:contextualSpacing/>
        <w:rPr>
          <w:bCs/>
        </w:rPr>
      </w:pPr>
    </w:p>
    <w:p w:rsidRPr="004A08DA" w:rsidR="004A08DA" w:rsidP="00EB494E" w:rsidRDefault="00397C21">
      <w:pPr>
        <w:tabs>
          <w:tab w:val="left" w:pos="-31680"/>
          <w:tab w:val="left" w:pos="-31680"/>
        </w:tabs>
        <w:rPr>
          <w:color w:val="000000"/>
        </w:rPr>
      </w:pPr>
      <w:r w:rsidRPr="00A260C8">
        <w:rPr>
          <w:color w:val="000000"/>
        </w:rPr>
        <w:t>The</w:t>
      </w:r>
      <w:r>
        <w:rPr>
          <w:color w:val="000000"/>
        </w:rPr>
        <w:t xml:space="preserve"> </w:t>
      </w:r>
      <w:r w:rsidRPr="00E40913" w:rsidR="00E40913">
        <w:rPr>
          <w:b/>
          <w:i/>
          <w:color w:val="000000"/>
        </w:rPr>
        <w:t xml:space="preserve">Application for </w:t>
      </w:r>
      <w:r w:rsidRPr="00E40913">
        <w:rPr>
          <w:b/>
          <w:i/>
          <w:color w:val="000000"/>
        </w:rPr>
        <w:t>Permit to Import Biological Agents and Vectors of Human Disease into the United States</w:t>
      </w:r>
      <w:r w:rsidR="00E40913">
        <w:rPr>
          <w:b/>
          <w:i/>
          <w:color w:val="000000"/>
        </w:rPr>
        <w:t xml:space="preserve"> </w:t>
      </w:r>
      <w:r w:rsidRPr="00A260C8">
        <w:rPr>
          <w:color w:val="000000"/>
        </w:rPr>
        <w:t>is used by laboratory facilities</w:t>
      </w:r>
      <w:r w:rsidR="002A0A8C">
        <w:rPr>
          <w:color w:val="000000"/>
        </w:rPr>
        <w:t>:</w:t>
      </w:r>
      <w:r w:rsidRPr="00A260C8">
        <w:rPr>
          <w:color w:val="000000"/>
        </w:rPr>
        <w:t xml:space="preserve">, such as those operated by </w:t>
      </w:r>
      <w:r w:rsidRPr="009B6C97">
        <w:t>academic institutions and biomed</w:t>
      </w:r>
      <w:r w:rsidR="003228EF">
        <w:t>ic</w:t>
      </w:r>
      <w:r w:rsidRPr="009B6C97">
        <w:t>al centers</w:t>
      </w:r>
      <w:r>
        <w:t>;</w:t>
      </w:r>
      <w:r w:rsidRPr="009B6C97">
        <w:t xml:space="preserve"> commercial manufacturing facilities</w:t>
      </w:r>
      <w:r>
        <w:t>;</w:t>
      </w:r>
      <w:r w:rsidRPr="009B6C97">
        <w:t xml:space="preserve"> federal, state, and local laboratories, including clinical and diagnostic laboratories</w:t>
      </w:r>
      <w:r>
        <w:t>;</w:t>
      </w:r>
      <w:r w:rsidRPr="009B6C97">
        <w:t xml:space="preserve"> research facilities</w:t>
      </w:r>
      <w:r>
        <w:t>;</w:t>
      </w:r>
      <w:r w:rsidRPr="009B6C97">
        <w:t xml:space="preserve"> exhibition facilities and educational facilities</w:t>
      </w:r>
      <w:r>
        <w:t xml:space="preserve"> </w:t>
      </w:r>
      <w:r w:rsidRPr="00A260C8">
        <w:rPr>
          <w:color w:val="000000"/>
        </w:rPr>
        <w:t>to request a permit for the importation</w:t>
      </w:r>
      <w:r>
        <w:rPr>
          <w:color w:val="000000"/>
        </w:rPr>
        <w:t xml:space="preserve">, </w:t>
      </w:r>
      <w:r w:rsidRPr="003E7445">
        <w:t>and any subsequent distribution after importation</w:t>
      </w:r>
      <w:r>
        <w:t>,</w:t>
      </w:r>
      <w:r w:rsidRPr="00A260C8">
        <w:rPr>
          <w:color w:val="000000"/>
        </w:rPr>
        <w:t xml:space="preserve"> of biological agents, infectious substances, or vectors of human disease.  </w:t>
      </w:r>
      <w:r w:rsidRPr="004A08DA" w:rsidR="004A08DA">
        <w:rPr>
          <w:color w:val="000000"/>
        </w:rPr>
        <w:t>This form requests applicant and sender contact information; description of material for importation; facility isolation</w:t>
      </w:r>
      <w:r w:rsidR="001C3957">
        <w:rPr>
          <w:color w:val="000000"/>
        </w:rPr>
        <w:t>, storage location</w:t>
      </w:r>
      <w:r w:rsidRPr="004A08DA" w:rsidR="004A08DA">
        <w:rPr>
          <w:color w:val="000000"/>
        </w:rPr>
        <w:t xml:space="preserve"> and containment information; and personnel qualifications</w:t>
      </w:r>
      <w:r w:rsidR="00F911E5">
        <w:rPr>
          <w:color w:val="000000"/>
        </w:rPr>
        <w:t>, responsibilities and contact information</w:t>
      </w:r>
      <w:r w:rsidRPr="004A08DA" w:rsidR="004A08DA">
        <w:rPr>
          <w:color w:val="000000"/>
        </w:rPr>
        <w:t xml:space="preserve">. </w:t>
      </w:r>
    </w:p>
    <w:p w:rsidR="004A08DA" w:rsidP="004A08DA" w:rsidRDefault="004A08DA">
      <w:pPr>
        <w:tabs>
          <w:tab w:val="left" w:pos="-31680"/>
          <w:tab w:val="left" w:pos="-31680"/>
        </w:tabs>
        <w:rPr>
          <w:color w:val="000000"/>
        </w:rPr>
      </w:pPr>
    </w:p>
    <w:p w:rsidR="004A08DA" w:rsidP="004A08DA" w:rsidRDefault="001C3957">
      <w:pPr>
        <w:tabs>
          <w:tab w:val="left" w:pos="-31680"/>
          <w:tab w:val="left" w:pos="-31680"/>
        </w:tabs>
        <w:rPr>
          <w:color w:val="000000"/>
        </w:rPr>
      </w:pPr>
      <w:r>
        <w:rPr>
          <w:color w:val="000000"/>
        </w:rPr>
        <w:t>T</w:t>
      </w:r>
      <w:r w:rsidRPr="004A08DA" w:rsidR="004A08DA">
        <w:rPr>
          <w:color w:val="000000"/>
        </w:rPr>
        <w:t xml:space="preserve">he </w:t>
      </w:r>
      <w:r w:rsidRPr="00E40913" w:rsidR="00E40913">
        <w:rPr>
          <w:b/>
          <w:i/>
          <w:color w:val="000000"/>
        </w:rPr>
        <w:t>Application for Permit to Import Biological Agents and Vectors of Human Disease into the United States</w:t>
      </w:r>
      <w:r>
        <w:rPr>
          <w:b/>
          <w:i/>
          <w:color w:val="000000"/>
        </w:rPr>
        <w:t xml:space="preserve">  </w:t>
      </w:r>
      <w:r w:rsidRPr="00EB494E">
        <w:rPr>
          <w:bCs/>
          <w:iCs/>
          <w:color w:val="000000"/>
        </w:rPr>
        <w:t>is used</w:t>
      </w:r>
      <w:r w:rsidR="00E40913">
        <w:rPr>
          <w:b/>
          <w:i/>
          <w:color w:val="000000"/>
        </w:rPr>
        <w:t xml:space="preserve"> </w:t>
      </w:r>
      <w:r w:rsidRPr="004A08DA" w:rsidR="004A08DA">
        <w:rPr>
          <w:color w:val="000000"/>
        </w:rPr>
        <w:t xml:space="preserve">to verify that the recipient for subsequent transfers has implemented biosafety measures commensurate with the hazard posed by the infectious biological agent, infectious substance, and/or vector to be imported, and the level of risk given its intended use. </w:t>
      </w:r>
    </w:p>
    <w:p w:rsidRPr="00E40913" w:rsidR="00E40913" w:rsidP="004A08DA" w:rsidRDefault="00E40913">
      <w:pPr>
        <w:tabs>
          <w:tab w:val="left" w:pos="-31680"/>
          <w:tab w:val="left" w:pos="-31680"/>
        </w:tabs>
        <w:rPr>
          <w:color w:val="000000"/>
        </w:rPr>
      </w:pPr>
    </w:p>
    <w:p w:rsidR="00E40913" w:rsidP="00750F36" w:rsidRDefault="00397C21">
      <w:pPr>
        <w:tabs>
          <w:tab w:val="left" w:pos="-31680"/>
          <w:tab w:val="left" w:pos="-31680"/>
        </w:tabs>
        <w:jc w:val="both"/>
        <w:rPr>
          <w:bCs/>
        </w:rPr>
      </w:pPr>
      <w:r w:rsidRPr="003E7445">
        <w:t xml:space="preserve">The </w:t>
      </w:r>
      <w:r w:rsidRPr="00E40913" w:rsidR="00E40913">
        <w:rPr>
          <w:b/>
          <w:i/>
          <w:color w:val="000000"/>
        </w:rPr>
        <w:t xml:space="preserve">Application for Permit to Import or Transfer Live Bats </w:t>
      </w:r>
      <w:r w:rsidRPr="003E7445">
        <w:t>is used by laboratory facilities such as those operated by government agencies</w:t>
      </w:r>
      <w:r>
        <w:t>;</w:t>
      </w:r>
      <w:r w:rsidRPr="003E7445">
        <w:t xml:space="preserve"> universities</w:t>
      </w:r>
      <w:r>
        <w:t>;</w:t>
      </w:r>
      <w:r w:rsidRPr="003E7445">
        <w:t xml:space="preserve"> research institutions</w:t>
      </w:r>
      <w:r>
        <w:t>;</w:t>
      </w:r>
      <w:r w:rsidRPr="003E7445">
        <w:t xml:space="preserve"> and for </w:t>
      </w:r>
      <w:r w:rsidRPr="003E7445">
        <w:lastRenderedPageBreak/>
        <w:t>educational, exhibition or scientific purposes to request a permit for the importation, and any subsequent distribution after importation</w:t>
      </w:r>
      <w:r>
        <w:t xml:space="preserve"> </w:t>
      </w:r>
      <w:r w:rsidRPr="003E7445">
        <w:t xml:space="preserve">of live bats.  </w:t>
      </w:r>
      <w:r w:rsidRPr="00D73D6E" w:rsidR="00D73D6E">
        <w:t>This form requests the applicant and sender contact information; a description and intended use of bats to be imported; and facility isolation</w:t>
      </w:r>
      <w:r w:rsidR="001C3957">
        <w:t xml:space="preserve">, </w:t>
      </w:r>
      <w:r w:rsidRPr="00D73D6E" w:rsidR="00D73D6E">
        <w:t>containment information</w:t>
      </w:r>
      <w:r w:rsidR="001C3957">
        <w:t xml:space="preserve"> and </w:t>
      </w:r>
      <w:r w:rsidRPr="001C3957" w:rsidR="001C3957">
        <w:t>personal protective measures</w:t>
      </w:r>
      <w:r w:rsidRPr="00D73D6E" w:rsidR="00D73D6E">
        <w:t xml:space="preserve">.  </w:t>
      </w:r>
    </w:p>
    <w:p w:rsidR="00E40913" w:rsidP="00E40913" w:rsidRDefault="00E40913">
      <w:pPr>
        <w:tabs>
          <w:tab w:val="left" w:pos="-31680"/>
          <w:tab w:val="left" w:pos="-31680"/>
        </w:tabs>
        <w:rPr>
          <w:color w:val="000000"/>
        </w:rPr>
      </w:pPr>
      <w:r>
        <w:rPr>
          <w:color w:val="000000"/>
        </w:rPr>
        <w:t xml:space="preserve">The </w:t>
      </w:r>
      <w:r w:rsidRPr="00E40913">
        <w:rPr>
          <w:b/>
          <w:i/>
          <w:color w:val="000000"/>
        </w:rPr>
        <w:t xml:space="preserve">Application for Permit to Import or Transfer Live Bats </w:t>
      </w:r>
      <w:r>
        <w:rPr>
          <w:b/>
          <w:i/>
          <w:color w:val="000000"/>
        </w:rPr>
        <w:t xml:space="preserve">– Guidance Document </w:t>
      </w:r>
      <w:r>
        <w:rPr>
          <w:color w:val="000000"/>
        </w:rPr>
        <w:t xml:space="preserve">will be added to provide explicit instructions to assist with the completion of this form. </w:t>
      </w:r>
    </w:p>
    <w:p w:rsidR="00E40913" w:rsidP="00750F36" w:rsidRDefault="00E40913">
      <w:pPr>
        <w:tabs>
          <w:tab w:val="left" w:pos="-31680"/>
          <w:tab w:val="left" w:pos="-31680"/>
        </w:tabs>
        <w:jc w:val="both"/>
        <w:rPr>
          <w:bCs/>
        </w:rPr>
      </w:pPr>
    </w:p>
    <w:p w:rsidRPr="00716B06" w:rsidR="00716B06" w:rsidP="00716B06" w:rsidRDefault="00716B06">
      <w:pPr>
        <w:tabs>
          <w:tab w:val="left" w:pos="-31680"/>
          <w:tab w:val="left" w:pos="-31680"/>
        </w:tabs>
        <w:rPr>
          <w:color w:val="000000"/>
        </w:rPr>
      </w:pPr>
      <w:r w:rsidRPr="00716B06">
        <w:rPr>
          <w:color w:val="000000"/>
        </w:rPr>
        <w:t xml:space="preserve">The </w:t>
      </w:r>
      <w:r w:rsidRPr="00716B06">
        <w:rPr>
          <w:i/>
          <w:iCs/>
          <w:color w:val="000000"/>
        </w:rPr>
        <w:t>Application for Permit to Import Infectious Human Remains into the United States</w:t>
      </w:r>
      <w:r w:rsidRPr="00716B06">
        <w:rPr>
          <w:color w:val="000000"/>
        </w:rPr>
        <w:t xml:space="preserve"> (</w:t>
      </w:r>
      <w:r w:rsidRPr="00716B06">
        <w:rPr>
          <w:b/>
          <w:bCs/>
          <w:color w:val="000000"/>
        </w:rPr>
        <w:t>Attachment B</w:t>
      </w:r>
      <w:r w:rsidRPr="00716B06">
        <w:rPr>
          <w:color w:val="000000"/>
        </w:rPr>
        <w:t xml:space="preserve"> – Application Permit For Importation of Human Remains) is used by </w:t>
      </w:r>
      <w:r w:rsidRPr="00716B06">
        <w:t xml:space="preserve">facilities that will bury/cremate the imported cadaver and educational facilities </w:t>
      </w:r>
      <w:r w:rsidRPr="00716B06">
        <w:rPr>
          <w:color w:val="000000"/>
        </w:rPr>
        <w:t xml:space="preserve">to request a permit for the importation and subsequent transfers </w:t>
      </w:r>
      <w:r w:rsidRPr="00716B06">
        <w:t>throughout the U.S.</w:t>
      </w:r>
      <w:r w:rsidRPr="00716B06">
        <w:rPr>
          <w:color w:val="000000"/>
        </w:rPr>
        <w:t xml:space="preserve"> of human remains or body parts that contains biological agents, infectious substances, or vectors of human disease.  This form will request applicant and sender contact information; facility processing human remains; cause of death; biosafety and containment information; and final destination(s) of imported infectious human remains.</w:t>
      </w:r>
    </w:p>
    <w:p w:rsidRPr="00716B06" w:rsidR="00716B06" w:rsidP="00716B06" w:rsidRDefault="00716B06">
      <w:pPr>
        <w:tabs>
          <w:tab w:val="left" w:pos="-31680"/>
          <w:tab w:val="left" w:pos="-31680"/>
        </w:tabs>
        <w:rPr>
          <w:color w:val="000000"/>
        </w:rPr>
      </w:pPr>
    </w:p>
    <w:p w:rsidRPr="00716B06" w:rsidR="00716B06" w:rsidP="00716B06" w:rsidRDefault="00716B06">
      <w:pPr>
        <w:suppressAutoHyphens w:val="0"/>
        <w:ind w:right="150"/>
        <w:textAlignment w:val="auto"/>
        <w:rPr>
          <w:lang w:bidi="en-US"/>
        </w:rPr>
      </w:pPr>
      <w:r w:rsidRPr="00716B06">
        <w:rPr>
          <w:lang w:bidi="en-US"/>
        </w:rPr>
        <w:t>The CDC/IPP will review the application for permits to ensure that the imported human remains have appropriate biosafety measures in place to protect the public from exposure to blood and other body fluids during transportation, inspection, and/or storage of human remains that may be infected with SARS-CoV-2.</w:t>
      </w:r>
    </w:p>
    <w:p w:rsidRPr="00177C1F" w:rsidR="00716B06" w:rsidP="00750F36" w:rsidRDefault="00716B06">
      <w:pPr>
        <w:tabs>
          <w:tab w:val="left" w:pos="-31680"/>
          <w:tab w:val="left" w:pos="-31680"/>
        </w:tabs>
        <w:jc w:val="both"/>
        <w:rPr>
          <w:bCs/>
        </w:rPr>
      </w:pPr>
    </w:p>
    <w:p w:rsidRPr="00177C1F" w:rsidR="00BA550E" w:rsidP="00177C1F" w:rsidRDefault="00793601">
      <w:pPr>
        <w:pStyle w:val="Heading3"/>
        <w:rPr>
          <w:rFonts w:ascii="Times New Roman" w:hAnsi="Times New Roman"/>
          <w:color w:val="auto"/>
          <w:sz w:val="24"/>
          <w:szCs w:val="24"/>
        </w:rPr>
      </w:pPr>
      <w:bookmarkStart w:name="_Toc496868001" w:id="4"/>
      <w:r w:rsidRPr="00177C1F">
        <w:rPr>
          <w:rFonts w:ascii="Times New Roman" w:hAnsi="Times New Roman"/>
          <w:color w:val="auto"/>
          <w:sz w:val="24"/>
          <w:szCs w:val="24"/>
        </w:rPr>
        <w:t>3.  Use of Improved Technology and Burden Reduction</w:t>
      </w:r>
      <w:bookmarkEnd w:id="4"/>
      <w:r w:rsidRPr="00177C1F">
        <w:rPr>
          <w:rFonts w:ascii="Times New Roman" w:hAnsi="Times New Roman"/>
          <w:color w:val="auto"/>
          <w:sz w:val="24"/>
          <w:szCs w:val="24"/>
        </w:rPr>
        <w:t xml:space="preserve">  </w:t>
      </w:r>
    </w:p>
    <w:p w:rsidRPr="00177C1F" w:rsidR="00D6788A" w:rsidP="007F3FE5" w:rsidRDefault="00D6788A">
      <w:pPr>
        <w:contextualSpacing/>
        <w:rPr>
          <w:bCs/>
        </w:rPr>
      </w:pPr>
    </w:p>
    <w:p w:rsidR="00D0773B" w:rsidP="00D0773B" w:rsidRDefault="00D0773B">
      <w:pPr>
        <w:adjustRightInd w:val="0"/>
        <w:rPr>
          <w:bCs/>
        </w:rPr>
      </w:pPr>
      <w:r w:rsidRPr="00DC7AAA">
        <w:rPr>
          <w:bCs/>
        </w:rPr>
        <w:t>The electronic forms are available at the</w:t>
      </w:r>
      <w:r>
        <w:t xml:space="preserve"> CDC’s Import Permit website (</w:t>
      </w:r>
      <w:r w:rsidRPr="00DE0283">
        <w:rPr>
          <w:bCs/>
        </w:rPr>
        <w:t>http://www.cdc.gov/od/eaipp/importApplication</w:t>
      </w:r>
      <w:r>
        <w:rPr>
          <w:bCs/>
        </w:rPr>
        <w:t>)</w:t>
      </w:r>
      <w:r w:rsidRPr="00DC7AAA">
        <w:rPr>
          <w:bCs/>
        </w:rPr>
        <w:t xml:space="preserve"> in pdf and pdf-fillable formats.  </w:t>
      </w:r>
      <w:r w:rsidRPr="00DC7AAA">
        <w:t xml:space="preserve">Applications may be emailed, mailed or sent by fax. </w:t>
      </w:r>
      <w:r w:rsidRPr="00DC7AAA">
        <w:rPr>
          <w:bCs/>
        </w:rPr>
        <w:t xml:space="preserve">Using the pdf-fillable form, the applicant has the ability to save the document to the applicant’s local drive, complete the form, and then mail or fax the application to CDC.  The use of electronic forms will facilitate a reduction in burden for those applicants submitting more than one form to CDC. </w:t>
      </w:r>
    </w:p>
    <w:p w:rsidR="00835A16" w:rsidP="00D0773B" w:rsidRDefault="00835A16">
      <w:pPr>
        <w:adjustRightInd w:val="0"/>
        <w:rPr>
          <w:bCs/>
        </w:rPr>
      </w:pPr>
    </w:p>
    <w:p w:rsidRPr="00177C1F" w:rsidR="00835A16" w:rsidP="00835A16" w:rsidRDefault="00835A16">
      <w:pPr>
        <w:contextualSpacing/>
      </w:pPr>
      <w:r>
        <w:t>CDC</w:t>
      </w:r>
      <w:r w:rsidRPr="00177C1F">
        <w:t xml:space="preserve"> is </w:t>
      </w:r>
      <w:r>
        <w:t>also committed t</w:t>
      </w:r>
      <w:r w:rsidRPr="00177C1F">
        <w:t xml:space="preserve">o a web-based system that will allow the regulated community to conduct transactions electronically. By providing the regulated community a single web portal, </w:t>
      </w:r>
      <w:r>
        <w:t>CDC</w:t>
      </w:r>
      <w:r w:rsidRPr="00177C1F">
        <w:t xml:space="preserve"> will be able to interact efficiently, effectively, while reducing the burden on the public. This environment will provide for the electronic exchange of information.</w:t>
      </w:r>
    </w:p>
    <w:p w:rsidRPr="00DC7AAA" w:rsidR="00835A16" w:rsidP="00D0773B" w:rsidRDefault="00835A16">
      <w:pPr>
        <w:adjustRightInd w:val="0"/>
        <w:rPr>
          <w:bCs/>
        </w:rPr>
      </w:pPr>
    </w:p>
    <w:p w:rsidRPr="00177C1F" w:rsidR="00BA550E" w:rsidP="00177C1F" w:rsidRDefault="00793601">
      <w:pPr>
        <w:pStyle w:val="Heading3"/>
        <w:rPr>
          <w:rFonts w:ascii="Times New Roman" w:hAnsi="Times New Roman"/>
          <w:color w:val="auto"/>
          <w:sz w:val="24"/>
          <w:szCs w:val="24"/>
        </w:rPr>
      </w:pPr>
      <w:bookmarkStart w:name="_Toc496868002" w:id="5"/>
      <w:r w:rsidRPr="00177C1F">
        <w:rPr>
          <w:rFonts w:ascii="Times New Roman" w:hAnsi="Times New Roman"/>
          <w:color w:val="auto"/>
          <w:sz w:val="24"/>
          <w:szCs w:val="24"/>
        </w:rPr>
        <w:t>4. Efforts to Identify Duplication and Use of Similar Information</w:t>
      </w:r>
      <w:bookmarkEnd w:id="5"/>
    </w:p>
    <w:p w:rsidRPr="00177C1F" w:rsidR="00BA550E" w:rsidP="007F3FE5" w:rsidRDefault="00BA550E">
      <w:pPr>
        <w:widowControl/>
        <w:contextualSpacing/>
        <w:rPr>
          <w:bCs/>
        </w:rPr>
      </w:pPr>
    </w:p>
    <w:p w:rsidRPr="00177C1F" w:rsidR="00BA550E" w:rsidP="007F3FE5" w:rsidRDefault="00BA550E">
      <w:pPr>
        <w:contextualSpacing/>
        <w:sectPr w:rsidRPr="00177C1F" w:rsidR="00BA550E">
          <w:footerReference w:type="default" r:id="rId9"/>
          <w:pgSz w:w="12240" w:h="15840"/>
          <w:pgMar w:top="1440" w:right="1440" w:bottom="1440" w:left="1440" w:header="720" w:footer="720" w:gutter="0"/>
          <w:cols w:space="720"/>
          <w:titlePg/>
        </w:sectPr>
      </w:pPr>
    </w:p>
    <w:p w:rsidR="004163F9" w:rsidP="004163F9" w:rsidRDefault="004163F9">
      <w:pPr>
        <w:adjustRightInd w:val="0"/>
        <w:jc w:val="both"/>
      </w:pPr>
      <w:r w:rsidRPr="001E45E4">
        <w:lastRenderedPageBreak/>
        <w:t xml:space="preserve">42 CFR 71.54 specifies that the importation permit is granted by </w:t>
      </w:r>
      <w:r>
        <w:t>CDC</w:t>
      </w:r>
      <w:r w:rsidRPr="001E45E4">
        <w:t>.  No other component of HHS is involved in these procedures.  The only way to obtain the necessary information is from the applicant</w:t>
      </w:r>
      <w:r w:rsidRPr="00DC7AAA">
        <w:t xml:space="preserve">.  </w:t>
      </w:r>
    </w:p>
    <w:p w:rsidRPr="00DC7AAA" w:rsidR="00F94BCD" w:rsidP="004163F9" w:rsidRDefault="00F94BCD">
      <w:pPr>
        <w:adjustRightInd w:val="0"/>
        <w:jc w:val="both"/>
      </w:pPr>
    </w:p>
    <w:p w:rsidRPr="00177C1F" w:rsidR="00BA550E" w:rsidP="00177C1F" w:rsidRDefault="00793601">
      <w:pPr>
        <w:pStyle w:val="Heading3"/>
        <w:rPr>
          <w:rFonts w:ascii="Times New Roman" w:hAnsi="Times New Roman"/>
          <w:color w:val="auto"/>
          <w:sz w:val="24"/>
          <w:szCs w:val="24"/>
        </w:rPr>
      </w:pPr>
      <w:bookmarkStart w:name="_Toc496868003" w:id="6"/>
      <w:r w:rsidRPr="00177C1F">
        <w:rPr>
          <w:rFonts w:ascii="Times New Roman" w:hAnsi="Times New Roman"/>
          <w:color w:val="auto"/>
          <w:sz w:val="24"/>
          <w:szCs w:val="24"/>
        </w:rPr>
        <w:t>5.  Impact on Small Businesses or Other Small Entities</w:t>
      </w:r>
      <w:bookmarkEnd w:id="6"/>
    </w:p>
    <w:p w:rsidRPr="00177C1F" w:rsidR="00BA550E" w:rsidP="007F3FE5" w:rsidRDefault="00BA550E">
      <w:pPr>
        <w:widowControl/>
        <w:contextualSpacing/>
        <w:rPr>
          <w:bCs/>
        </w:rPr>
      </w:pPr>
    </w:p>
    <w:p w:rsidRPr="00DC7AAA" w:rsidR="00465707" w:rsidP="00465707" w:rsidRDefault="00465707">
      <w:pPr>
        <w:adjustRightInd w:val="0"/>
        <w:jc w:val="both"/>
        <w:rPr>
          <w:bCs/>
        </w:rPr>
      </w:pPr>
      <w:r w:rsidRPr="0030731F">
        <w:t>Collection of information may involve some small businesses or other small entities, but the burden has been limited to providing minimal information on forms, verifying information by telephone, and mailing information to the appropriate parties.  CDC has made every effort to ensure that the information collection is the minimal amount necessary to meet the requirements of the law and places a minimal burden on all parties involved.</w:t>
      </w:r>
    </w:p>
    <w:p w:rsidRPr="00177C1F" w:rsidR="00BA550E" w:rsidP="007F3FE5" w:rsidRDefault="00BA550E">
      <w:pPr>
        <w:widowControl/>
        <w:contextualSpacing/>
        <w:rPr>
          <w:bCs/>
        </w:rPr>
      </w:pPr>
    </w:p>
    <w:p w:rsidRPr="00177C1F" w:rsidR="00BA550E" w:rsidP="00177C1F" w:rsidRDefault="00793601">
      <w:pPr>
        <w:pStyle w:val="Heading3"/>
        <w:rPr>
          <w:rFonts w:ascii="Times New Roman" w:hAnsi="Times New Roman"/>
          <w:color w:val="auto"/>
          <w:sz w:val="24"/>
          <w:szCs w:val="24"/>
        </w:rPr>
      </w:pPr>
      <w:bookmarkStart w:name="_Toc496868004" w:id="7"/>
      <w:r w:rsidRPr="00177C1F">
        <w:rPr>
          <w:rFonts w:ascii="Times New Roman" w:hAnsi="Times New Roman"/>
          <w:color w:val="auto"/>
          <w:sz w:val="24"/>
          <w:szCs w:val="24"/>
        </w:rPr>
        <w:t>6.  Consequences of Collecting the Information Less Frequently</w:t>
      </w:r>
      <w:bookmarkEnd w:id="7"/>
    </w:p>
    <w:p w:rsidRPr="00177C1F" w:rsidR="00BA550E" w:rsidP="007F3FE5" w:rsidRDefault="00BA550E">
      <w:pPr>
        <w:widowControl/>
        <w:contextualSpacing/>
        <w:rPr>
          <w:bCs/>
        </w:rPr>
      </w:pPr>
    </w:p>
    <w:p w:rsidRPr="00DC7AAA" w:rsidR="00465707" w:rsidP="00465707" w:rsidRDefault="008F14ED">
      <w:pPr>
        <w:adjustRightInd w:val="0"/>
        <w:jc w:val="both"/>
      </w:pPr>
      <w:r>
        <w:t xml:space="preserve">As required by </w:t>
      </w:r>
      <w:r w:rsidRPr="00CB1AEC">
        <w:t>42 CFR 7</w:t>
      </w:r>
      <w:r>
        <w:t>1.54, a</w:t>
      </w:r>
      <w:r w:rsidR="00DE4105">
        <w:t xml:space="preserve">pplicants complete an application </w:t>
      </w:r>
      <w:r>
        <w:t>at least annually t</w:t>
      </w:r>
      <w:r w:rsidRPr="008F14ED">
        <w:t xml:space="preserve">o ensure that entities have appropriate safety measures in place for working safely </w:t>
      </w:r>
      <w:r>
        <w:t xml:space="preserve">for </w:t>
      </w:r>
      <w:r w:rsidRPr="00DE4105" w:rsidR="00DE4105">
        <w:t xml:space="preserve">infectious biological agents, infectious substances, and vectors </w:t>
      </w:r>
      <w:r>
        <w:t xml:space="preserve">that they plan to import into the United States.  </w:t>
      </w:r>
      <w:r w:rsidRPr="004B0886" w:rsidR="00465707">
        <w:t>There are legal obstacles to reducing the burden by collecting this information less frequently.  The purpose of this information collection is to meet mandated regulatory requirements.  If this information were collected less frequently, it would not be possible for CDC to carry out its commitments to protect the public health as mandated by these regulations.</w:t>
      </w:r>
    </w:p>
    <w:p w:rsidRPr="00177C1F" w:rsidR="001458FB" w:rsidP="007F3FE5" w:rsidRDefault="001458FB">
      <w:pPr>
        <w:widowControl/>
        <w:contextualSpacing/>
        <w:rPr>
          <w:bCs/>
        </w:rPr>
      </w:pPr>
    </w:p>
    <w:p w:rsidRPr="00177C1F" w:rsidR="00BA550E" w:rsidP="00177C1F" w:rsidRDefault="00793601">
      <w:pPr>
        <w:pStyle w:val="Heading3"/>
        <w:rPr>
          <w:rFonts w:ascii="Times New Roman" w:hAnsi="Times New Roman"/>
          <w:color w:val="auto"/>
          <w:sz w:val="24"/>
          <w:szCs w:val="24"/>
        </w:rPr>
      </w:pPr>
      <w:bookmarkStart w:name="_Toc496868005" w:id="8"/>
      <w:r w:rsidRPr="00177C1F">
        <w:rPr>
          <w:rFonts w:ascii="Times New Roman" w:hAnsi="Times New Roman"/>
          <w:color w:val="auto"/>
          <w:sz w:val="24"/>
          <w:szCs w:val="24"/>
        </w:rPr>
        <w:t>7.  Special Circumstances Relating to the Guidelines of 5 CFR 1320.5</w:t>
      </w:r>
      <w:bookmarkEnd w:id="8"/>
    </w:p>
    <w:p w:rsidRPr="00177C1F" w:rsidR="00BA550E" w:rsidP="007F3FE5" w:rsidRDefault="00BA550E">
      <w:pPr>
        <w:widowControl/>
        <w:contextualSpacing/>
        <w:rPr>
          <w:bCs/>
        </w:rPr>
      </w:pPr>
    </w:p>
    <w:p w:rsidRPr="00177C1F" w:rsidR="00BA550E" w:rsidP="007F3FE5" w:rsidRDefault="00793601">
      <w:pPr>
        <w:widowControl/>
        <w:contextualSpacing/>
        <w:rPr>
          <w:bCs/>
        </w:rPr>
      </w:pPr>
      <w:r w:rsidRPr="00177C1F">
        <w:rPr>
          <w:bCs/>
        </w:rPr>
        <w:t xml:space="preserve">This request fully complies with the regulation in 5 CFR 1320.5. </w:t>
      </w:r>
    </w:p>
    <w:p w:rsidRPr="00177C1F" w:rsidR="00BA550E" w:rsidP="007F3FE5" w:rsidRDefault="00BA550E">
      <w:pPr>
        <w:widowControl/>
        <w:contextualSpacing/>
        <w:rPr>
          <w:bCs/>
        </w:rPr>
      </w:pPr>
    </w:p>
    <w:p w:rsidRPr="00177C1F" w:rsidR="0001790E" w:rsidP="00177C1F" w:rsidRDefault="0001790E">
      <w:pPr>
        <w:pStyle w:val="Heading3"/>
        <w:rPr>
          <w:rFonts w:ascii="Times New Roman" w:hAnsi="Times New Roman"/>
          <w:color w:val="auto"/>
          <w:sz w:val="24"/>
          <w:szCs w:val="24"/>
        </w:rPr>
      </w:pPr>
      <w:bookmarkStart w:name="_Toc361747987" w:id="9"/>
      <w:bookmarkStart w:name="_Toc496868006" w:id="10"/>
      <w:r w:rsidRPr="00177C1F">
        <w:rPr>
          <w:rFonts w:ascii="Times New Roman" w:hAnsi="Times New Roman"/>
          <w:color w:val="auto"/>
          <w:sz w:val="24"/>
          <w:szCs w:val="24"/>
        </w:rPr>
        <w:t>8.  Comments in Response to the Federal Register Notice and Efforts to Consult Outside the Agency</w:t>
      </w:r>
      <w:bookmarkEnd w:id="9"/>
      <w:bookmarkEnd w:id="10"/>
    </w:p>
    <w:p w:rsidRPr="00177C1F" w:rsidR="0001790E" w:rsidP="0001790E" w:rsidRDefault="0001790E">
      <w:pPr>
        <w:adjustRightInd w:val="0"/>
        <w:jc w:val="both"/>
        <w:rPr>
          <w:bCs/>
          <w:highlight w:val="yellow"/>
        </w:rPr>
      </w:pPr>
    </w:p>
    <w:p w:rsidRPr="00C35109" w:rsidR="00C35109" w:rsidP="00C35109" w:rsidRDefault="0001790E">
      <w:r w:rsidRPr="008C4B44">
        <w:rPr>
          <w:bCs/>
        </w:rPr>
        <w:t xml:space="preserve">A </w:t>
      </w:r>
      <w:r w:rsidRPr="008C4B44">
        <w:rPr>
          <w:b/>
          <w:bCs/>
        </w:rPr>
        <w:t>“60 Day Federal Register Notice”</w:t>
      </w:r>
      <w:r w:rsidRPr="008C4B44">
        <w:rPr>
          <w:bCs/>
        </w:rPr>
        <w:t xml:space="preserve"> was published in the Federal Register on </w:t>
      </w:r>
      <w:r w:rsidR="00406493">
        <w:rPr>
          <w:bCs/>
        </w:rPr>
        <w:t>September 26, 2017</w:t>
      </w:r>
      <w:r w:rsidRPr="008C4B44">
        <w:rPr>
          <w:bCs/>
        </w:rPr>
        <w:t xml:space="preserve">, Vol. </w:t>
      </w:r>
      <w:r w:rsidR="00406493">
        <w:rPr>
          <w:bCs/>
        </w:rPr>
        <w:t>82</w:t>
      </w:r>
      <w:r w:rsidRPr="008C4B44">
        <w:rPr>
          <w:bCs/>
        </w:rPr>
        <w:t>, No.</w:t>
      </w:r>
      <w:r w:rsidR="00406493">
        <w:rPr>
          <w:bCs/>
        </w:rPr>
        <w:t xml:space="preserve"> 185,</w:t>
      </w:r>
      <w:r w:rsidRPr="008C4B44">
        <w:rPr>
          <w:bCs/>
        </w:rPr>
        <w:t xml:space="preserve"> Page</w:t>
      </w:r>
      <w:r w:rsidR="008F2046">
        <w:rPr>
          <w:bCs/>
        </w:rPr>
        <w:t xml:space="preserve">s </w:t>
      </w:r>
      <w:r w:rsidR="00406493">
        <w:rPr>
          <w:bCs/>
        </w:rPr>
        <w:t>44795-44796</w:t>
      </w:r>
      <w:r w:rsidRPr="008C4B44">
        <w:rPr>
          <w:bCs/>
        </w:rPr>
        <w:t>.</w:t>
      </w:r>
      <w:r w:rsidR="00C47AEC">
        <w:rPr>
          <w:bCs/>
        </w:rPr>
        <w:t xml:space="preserve">  </w:t>
      </w:r>
      <w:bookmarkStart w:name="_Toc361747988" w:id="11"/>
      <w:r w:rsidRPr="00C35109" w:rsidR="00C35109">
        <w:t>CDC received three comments to the docket.  One comment from a frequent commenter was outside the scope of the docket.  The other two commenters suggested that CDC develop a “renewable” form to reduce the burden on businesses.  CDC has published a pdf-fillable form so that applicants have the ability to save the document to the applicant’s local drive, complete the form, and save the form for future applications.  CDC made no changes to the forms based on these comments.</w:t>
      </w:r>
    </w:p>
    <w:p w:rsidR="00C47AEC" w:rsidP="00C47AEC" w:rsidRDefault="00C47AEC">
      <w:pPr>
        <w:adjustRightInd w:val="0"/>
        <w:jc w:val="both"/>
        <w:rPr>
          <w:bCs/>
        </w:rPr>
      </w:pPr>
    </w:p>
    <w:p w:rsidRPr="00C47AEC" w:rsidR="0069511B" w:rsidP="00C47AEC" w:rsidRDefault="0069511B">
      <w:pPr>
        <w:adjustRightInd w:val="0"/>
        <w:jc w:val="both"/>
        <w:rPr>
          <w:b/>
          <w:bCs/>
        </w:rPr>
      </w:pPr>
      <w:r w:rsidRPr="00C47AEC">
        <w:rPr>
          <w:b/>
        </w:rPr>
        <w:t>B. Consultation Outside the Agency</w:t>
      </w:r>
      <w:bookmarkEnd w:id="11"/>
    </w:p>
    <w:p w:rsidRPr="00177C1F" w:rsidR="0069511B" w:rsidP="007F3FE5" w:rsidRDefault="0069511B">
      <w:pPr>
        <w:widowControl/>
        <w:contextualSpacing/>
        <w:rPr>
          <w:bCs/>
        </w:rPr>
      </w:pPr>
    </w:p>
    <w:p w:rsidRPr="00DC7AAA" w:rsidR="00141A47" w:rsidP="00141A47" w:rsidRDefault="00141A47">
      <w:pPr>
        <w:adjustRightInd w:val="0"/>
        <w:jc w:val="both"/>
      </w:pPr>
      <w:r w:rsidRPr="00DC7AAA">
        <w:t>There has been no consultation outside the agency due to the delegation of responsibilities to the CDC as described herein.</w:t>
      </w:r>
    </w:p>
    <w:p w:rsidRPr="00177C1F" w:rsidR="00215F7D" w:rsidP="00215F7D" w:rsidRDefault="00215F7D">
      <w:pPr>
        <w:widowControl/>
        <w:tabs>
          <w:tab w:val="left" w:pos="-1440"/>
        </w:tabs>
        <w:contextualSpacing/>
      </w:pPr>
      <w:r w:rsidRPr="00177C1F">
        <w:t xml:space="preserve"> </w:t>
      </w:r>
    </w:p>
    <w:p w:rsidRPr="00177C1F" w:rsidR="00BA550E" w:rsidP="00177C1F" w:rsidRDefault="00793601">
      <w:pPr>
        <w:pStyle w:val="Heading3"/>
        <w:rPr>
          <w:rFonts w:ascii="Times New Roman" w:hAnsi="Times New Roman"/>
          <w:color w:val="auto"/>
          <w:sz w:val="24"/>
          <w:szCs w:val="24"/>
        </w:rPr>
      </w:pPr>
      <w:bookmarkStart w:name="_Toc496868007" w:id="12"/>
      <w:r w:rsidRPr="00177C1F">
        <w:rPr>
          <w:rFonts w:ascii="Times New Roman" w:hAnsi="Times New Roman"/>
          <w:color w:val="auto"/>
          <w:sz w:val="24"/>
          <w:szCs w:val="24"/>
        </w:rPr>
        <w:lastRenderedPageBreak/>
        <w:t>9.  Explanation of Any Payment or Gift to Respondents</w:t>
      </w:r>
      <w:bookmarkEnd w:id="12"/>
    </w:p>
    <w:p w:rsidRPr="00177C1F" w:rsidR="00BA550E" w:rsidP="007F3FE5" w:rsidRDefault="00BA550E">
      <w:pPr>
        <w:widowControl/>
        <w:contextualSpacing/>
        <w:rPr>
          <w:bCs/>
        </w:rPr>
      </w:pPr>
    </w:p>
    <w:p w:rsidRPr="00177C1F" w:rsidR="0069511B" w:rsidP="0069511B" w:rsidRDefault="0069511B">
      <w:pPr>
        <w:adjustRightInd w:val="0"/>
        <w:jc w:val="both"/>
      </w:pPr>
      <w:r w:rsidRPr="00177C1F">
        <w:t xml:space="preserve">Respondents will not receive any payment or gift. </w:t>
      </w:r>
    </w:p>
    <w:p w:rsidRPr="00177C1F" w:rsidR="00BA550E" w:rsidP="007F3FE5" w:rsidRDefault="00BA550E">
      <w:pPr>
        <w:widowControl/>
        <w:contextualSpacing/>
        <w:rPr>
          <w:bCs/>
        </w:rPr>
      </w:pPr>
    </w:p>
    <w:p w:rsidRPr="00177C1F" w:rsidR="00BA550E" w:rsidP="00177C1F" w:rsidRDefault="00793601">
      <w:pPr>
        <w:pStyle w:val="Heading3"/>
        <w:rPr>
          <w:rFonts w:ascii="Times New Roman" w:hAnsi="Times New Roman"/>
          <w:color w:val="auto"/>
          <w:sz w:val="24"/>
          <w:szCs w:val="24"/>
        </w:rPr>
      </w:pPr>
      <w:bookmarkStart w:name="_Toc496868008" w:id="13"/>
      <w:r w:rsidRPr="00177C1F">
        <w:rPr>
          <w:rFonts w:ascii="Times New Roman" w:hAnsi="Times New Roman"/>
          <w:color w:val="auto"/>
          <w:sz w:val="24"/>
          <w:szCs w:val="24"/>
        </w:rPr>
        <w:t xml:space="preserve">10.  </w:t>
      </w:r>
      <w:bookmarkEnd w:id="13"/>
      <w:r w:rsidR="00561012">
        <w:rPr>
          <w:rFonts w:ascii="Times New Roman" w:hAnsi="Times New Roman"/>
          <w:color w:val="auto"/>
          <w:sz w:val="24"/>
          <w:szCs w:val="24"/>
        </w:rPr>
        <w:t>Protection of the Privacy and Confidentiality of Information Provided by Respondents</w:t>
      </w:r>
    </w:p>
    <w:p w:rsidRPr="00177C1F" w:rsidR="00BA550E" w:rsidP="007F3FE5" w:rsidRDefault="00BA550E">
      <w:pPr>
        <w:widowControl/>
        <w:contextualSpacing/>
      </w:pPr>
    </w:p>
    <w:p w:rsidRPr="001564B0" w:rsidR="00141A47" w:rsidP="00141A47" w:rsidRDefault="00380BB4">
      <w:pPr>
        <w:pStyle w:val="Heading4"/>
        <w:spacing w:before="0" w:line="240" w:lineRule="auto"/>
        <w:jc w:val="both"/>
        <w:rPr>
          <w:rFonts w:ascii="Times New Roman" w:hAnsi="Times New Roman"/>
          <w:b w:val="0"/>
          <w:i w:val="0"/>
          <w:color w:val="auto"/>
          <w:sz w:val="24"/>
          <w:szCs w:val="24"/>
        </w:rPr>
      </w:pPr>
      <w:r w:rsidRPr="00380BB4">
        <w:rPr>
          <w:rFonts w:ascii="Times New Roman" w:hAnsi="Times New Roman"/>
          <w:b w:val="0"/>
          <w:i w:val="0"/>
          <w:color w:val="auto"/>
          <w:sz w:val="24"/>
          <w:szCs w:val="24"/>
        </w:rPr>
        <w:t>The CIO’s Information Systems Security Officer reviewed this submission and determined that the Privacy Act does</w:t>
      </w:r>
      <w:r w:rsidR="00621709">
        <w:rPr>
          <w:rFonts w:ascii="Times New Roman" w:hAnsi="Times New Roman"/>
          <w:b w:val="0"/>
          <w:i w:val="0"/>
          <w:color w:val="auto"/>
          <w:sz w:val="24"/>
          <w:szCs w:val="24"/>
        </w:rPr>
        <w:t xml:space="preserve"> apply</w:t>
      </w:r>
      <w:r w:rsidR="00143396">
        <w:rPr>
          <w:rFonts w:ascii="Times New Roman" w:hAnsi="Times New Roman"/>
          <w:b w:val="0"/>
          <w:i w:val="0"/>
          <w:color w:val="auto"/>
          <w:sz w:val="24"/>
          <w:szCs w:val="24"/>
        </w:rPr>
        <w:t xml:space="preserve"> </w:t>
      </w:r>
      <w:r w:rsidRPr="009B1E46" w:rsidR="00141A47">
        <w:rPr>
          <w:rFonts w:ascii="Times New Roman" w:hAnsi="Times New Roman"/>
          <w:b w:val="0"/>
          <w:i w:val="0"/>
          <w:color w:val="auto"/>
          <w:sz w:val="24"/>
          <w:szCs w:val="24"/>
        </w:rPr>
        <w:t xml:space="preserve">The </w:t>
      </w:r>
      <w:r w:rsidR="00143396">
        <w:rPr>
          <w:rFonts w:ascii="Times New Roman" w:hAnsi="Times New Roman"/>
          <w:b w:val="0"/>
          <w:i w:val="0"/>
          <w:color w:val="auto"/>
          <w:sz w:val="24"/>
          <w:szCs w:val="24"/>
        </w:rPr>
        <w:t xml:space="preserve">application requires </w:t>
      </w:r>
      <w:r w:rsidRPr="009B1E46" w:rsidR="00141A47">
        <w:rPr>
          <w:rFonts w:ascii="Times New Roman" w:hAnsi="Times New Roman"/>
          <w:b w:val="0"/>
          <w:i w:val="0"/>
          <w:color w:val="auto"/>
          <w:sz w:val="24"/>
          <w:szCs w:val="24"/>
        </w:rPr>
        <w:t>the applicant’s name, mailing address, phone numbers, and email address.  The information available on the permit includes the applicant’s name, mailing address, phone numbers, and email address</w:t>
      </w:r>
      <w:r w:rsidRPr="001564B0" w:rsidR="00141A47">
        <w:rPr>
          <w:rFonts w:ascii="Times New Roman" w:hAnsi="Times New Roman"/>
          <w:b w:val="0"/>
          <w:i w:val="0"/>
          <w:color w:val="auto"/>
          <w:sz w:val="24"/>
          <w:szCs w:val="24"/>
        </w:rPr>
        <w:t>.  To comply with the Office of Management and Budget (OMB) Memoranda (M) 07-16, Safeguarding Against and Responding to the Breach of Persona</w:t>
      </w:r>
      <w:r w:rsidR="00141A47">
        <w:rPr>
          <w:rFonts w:ascii="Times New Roman" w:hAnsi="Times New Roman"/>
          <w:b w:val="0"/>
          <w:i w:val="0"/>
          <w:color w:val="auto"/>
          <w:sz w:val="24"/>
          <w:szCs w:val="24"/>
        </w:rPr>
        <w:t xml:space="preserve">lly Identifiable Information, the attached draft </w:t>
      </w:r>
      <w:r w:rsidRPr="009E1FDE" w:rsidR="00141A47">
        <w:rPr>
          <w:rFonts w:ascii="Times New Roman" w:hAnsi="Times New Roman"/>
          <w:b w:val="0"/>
          <w:color w:val="auto"/>
          <w:sz w:val="24"/>
          <w:szCs w:val="24"/>
        </w:rPr>
        <w:t>Federal Register</w:t>
      </w:r>
      <w:r w:rsidRPr="001564B0" w:rsidR="00141A47">
        <w:rPr>
          <w:rFonts w:ascii="Times New Roman" w:hAnsi="Times New Roman"/>
          <w:b w:val="0"/>
          <w:i w:val="0"/>
          <w:color w:val="auto"/>
          <w:sz w:val="24"/>
          <w:szCs w:val="24"/>
        </w:rPr>
        <w:t xml:space="preserve"> notice </w:t>
      </w:r>
      <w:r w:rsidR="00141A47">
        <w:rPr>
          <w:rFonts w:ascii="Times New Roman" w:hAnsi="Times New Roman"/>
          <w:b w:val="0"/>
          <w:i w:val="0"/>
          <w:color w:val="auto"/>
          <w:sz w:val="24"/>
          <w:szCs w:val="24"/>
        </w:rPr>
        <w:t xml:space="preserve">is in the </w:t>
      </w:r>
      <w:r w:rsidRPr="001D76D4" w:rsidR="00141A47">
        <w:rPr>
          <w:rFonts w:ascii="Times New Roman" w:hAnsi="Times New Roman"/>
          <w:b w:val="0"/>
          <w:i w:val="0"/>
          <w:color w:val="auto"/>
          <w:sz w:val="24"/>
          <w:szCs w:val="24"/>
        </w:rPr>
        <w:t>clearance process</w:t>
      </w:r>
      <w:r w:rsidR="00141A47">
        <w:rPr>
          <w:rFonts w:ascii="Times New Roman" w:hAnsi="Times New Roman"/>
          <w:b w:val="0"/>
          <w:i w:val="0"/>
          <w:color w:val="auto"/>
          <w:sz w:val="24"/>
          <w:szCs w:val="24"/>
        </w:rPr>
        <w:t xml:space="preserve"> for the System of Record Notice entitled</w:t>
      </w:r>
      <w:r w:rsidRPr="00CF051E" w:rsidR="00141A47">
        <w:rPr>
          <w:rFonts w:ascii="Times New Roman" w:hAnsi="Times New Roman"/>
          <w:b w:val="0"/>
          <w:i w:val="0"/>
          <w:color w:val="auto"/>
          <w:sz w:val="24"/>
          <w:szCs w:val="24"/>
        </w:rPr>
        <w:t>,</w:t>
      </w:r>
      <w:r w:rsidRPr="001D76D4" w:rsidR="00141A47">
        <w:rPr>
          <w:rFonts w:ascii="Times New Roman" w:hAnsi="Times New Roman"/>
          <w:b w:val="0"/>
          <w:i w:val="0"/>
          <w:color w:val="auto"/>
          <w:sz w:val="24"/>
          <w:szCs w:val="24"/>
        </w:rPr>
        <w:t xml:space="preserve"> </w:t>
      </w:r>
      <w:r w:rsidRPr="00F4387D" w:rsidR="00F4387D">
        <w:rPr>
          <w:rFonts w:ascii="Times New Roman" w:hAnsi="Times New Roman"/>
          <w:b w:val="0"/>
          <w:color w:val="auto"/>
          <w:sz w:val="24"/>
          <w:szCs w:val="24"/>
        </w:rPr>
        <w:t>Electronic Federal Select Agent Program portal (eFSAP portal)/Electronic Import Permit Program portal (eIPP portal)</w:t>
      </w:r>
      <w:r w:rsidRPr="001D76D4" w:rsidR="00141A47">
        <w:rPr>
          <w:rFonts w:ascii="Times New Roman" w:hAnsi="Times New Roman"/>
          <w:b w:val="0"/>
          <w:i w:val="0"/>
          <w:color w:val="auto"/>
          <w:sz w:val="24"/>
          <w:szCs w:val="24"/>
        </w:rPr>
        <w:t>.</w:t>
      </w:r>
    </w:p>
    <w:p w:rsidR="00141A47" w:rsidP="00141A47" w:rsidRDefault="00141A47">
      <w:pPr>
        <w:adjustRightInd w:val="0"/>
        <w:jc w:val="both"/>
        <w:rPr>
          <w:b/>
        </w:rPr>
      </w:pPr>
    </w:p>
    <w:p w:rsidR="00141A47" w:rsidP="00141A47" w:rsidRDefault="00141A47">
      <w:pPr>
        <w:adjustRightInd w:val="0"/>
        <w:jc w:val="both"/>
      </w:pPr>
      <w:r w:rsidRPr="001564B0">
        <w:t>The following special safeguards are provided to protect the records from inadvertent disclosure:</w:t>
      </w:r>
    </w:p>
    <w:p w:rsidR="00141A47" w:rsidP="00141A47" w:rsidRDefault="00141A47">
      <w:pPr>
        <w:adjustRightInd w:val="0"/>
        <w:jc w:val="both"/>
      </w:pPr>
    </w:p>
    <w:p w:rsidRPr="001564B0" w:rsidR="00141A47" w:rsidP="00141A47" w:rsidRDefault="00141A47">
      <w:pPr>
        <w:pStyle w:val="Heading4"/>
        <w:spacing w:before="0" w:line="240" w:lineRule="auto"/>
        <w:jc w:val="both"/>
        <w:rPr>
          <w:rFonts w:ascii="Times New Roman" w:hAnsi="Times New Roman"/>
          <w:b w:val="0"/>
          <w:i w:val="0"/>
          <w:color w:val="auto"/>
          <w:sz w:val="24"/>
          <w:szCs w:val="24"/>
        </w:rPr>
      </w:pPr>
      <w:r w:rsidRPr="001564B0">
        <w:rPr>
          <w:rFonts w:ascii="Times New Roman" w:hAnsi="Times New Roman"/>
          <w:b w:val="0"/>
          <w:i w:val="0"/>
          <w:color w:val="auto"/>
          <w:sz w:val="24"/>
          <w:szCs w:val="24"/>
        </w:rPr>
        <w:t xml:space="preserve">Authorized Users: </w:t>
      </w:r>
      <w:r w:rsidRPr="00364CCD">
        <w:rPr>
          <w:rFonts w:ascii="Times New Roman" w:hAnsi="Times New Roman"/>
          <w:b w:val="0"/>
          <w:i w:val="0"/>
          <w:color w:val="auto"/>
          <w:sz w:val="24"/>
          <w:szCs w:val="24"/>
        </w:rPr>
        <w:t>Attempts to gain access by unauthorized individuals are automatically recorded and reviewed on a regular basis. Individuals who have daily access to these records are limited to DSAT staff who have responsibility for conducting regulatory oversight of the importation of infectious biological agents, infectious substances, and vectors of human disease into the United States.</w:t>
      </w:r>
    </w:p>
    <w:p w:rsidR="00141A47" w:rsidP="00141A47" w:rsidRDefault="00141A47">
      <w:pPr>
        <w:adjustRightInd w:val="0"/>
        <w:jc w:val="both"/>
        <w:rPr>
          <w:b/>
        </w:rPr>
      </w:pPr>
    </w:p>
    <w:p w:rsidRPr="001564B0" w:rsidR="00141A47" w:rsidP="00141A47" w:rsidRDefault="00141A47">
      <w:pPr>
        <w:pStyle w:val="Heading4"/>
        <w:spacing w:before="0" w:line="240" w:lineRule="auto"/>
        <w:jc w:val="both"/>
        <w:rPr>
          <w:rFonts w:ascii="Times New Roman" w:hAnsi="Times New Roman"/>
          <w:b w:val="0"/>
          <w:i w:val="0"/>
          <w:color w:val="auto"/>
          <w:sz w:val="24"/>
          <w:szCs w:val="24"/>
        </w:rPr>
      </w:pPr>
      <w:r w:rsidRPr="001564B0">
        <w:rPr>
          <w:rFonts w:ascii="Times New Roman" w:hAnsi="Times New Roman"/>
          <w:b w:val="0"/>
          <w:i w:val="0"/>
          <w:color w:val="auto"/>
          <w:sz w:val="24"/>
          <w:szCs w:val="24"/>
        </w:rPr>
        <w:t xml:space="preserve">Physical Safeguards: </w:t>
      </w:r>
      <w:r w:rsidRPr="00090AEC">
        <w:rPr>
          <w:rFonts w:ascii="Times New Roman" w:hAnsi="Times New Roman"/>
          <w:b w:val="0"/>
          <w:i w:val="0"/>
          <w:color w:val="auto"/>
          <w:sz w:val="24"/>
          <w:szCs w:val="24"/>
        </w:rPr>
        <w:t>Paper records are maintained in locked cabinets in locked rooms in a restricted access location that is controlled by a cardkey system, and security guard service provides personnel screening of visitors. Electronic data files are password protected and stored in a restricted access location. The computer room is protected by an automatic sprinkler system, numerous automatic sensors (e.g., water, heat, smoke, etc.) are installed, and the appropriate portable fire extinguishers are located throughout the computer room. Computer workstations, lockable personal computers, and automated records are located in secured areas.</w:t>
      </w:r>
    </w:p>
    <w:p w:rsidR="00141A47" w:rsidP="00141A47" w:rsidRDefault="00141A47">
      <w:pPr>
        <w:adjustRightInd w:val="0"/>
        <w:jc w:val="both"/>
        <w:rPr>
          <w:b/>
        </w:rPr>
      </w:pPr>
    </w:p>
    <w:p w:rsidRPr="00090AEC" w:rsidR="00141A47" w:rsidP="00141A47" w:rsidRDefault="00141A47">
      <w:pPr>
        <w:adjustRightInd w:val="0"/>
        <w:jc w:val="both"/>
      </w:pPr>
      <w:r w:rsidRPr="00090AEC">
        <w:t>Procedural Safeguards:</w:t>
      </w:r>
      <w:r>
        <w:t xml:space="preserve">  </w:t>
      </w:r>
      <w:r w:rsidRPr="00090AEC">
        <w:t>Protection for computerized records includes programmed verification of valid user identification code and password prior to logging on to the system; mandatory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and secure off-site storage is available for backup files.</w:t>
      </w:r>
    </w:p>
    <w:p w:rsidR="00141A47" w:rsidP="00141A47" w:rsidRDefault="00141A47">
      <w:pPr>
        <w:adjustRightInd w:val="0"/>
        <w:jc w:val="both"/>
      </w:pPr>
    </w:p>
    <w:p w:rsidRPr="00090AEC" w:rsidR="00141A47" w:rsidP="00141A47" w:rsidRDefault="00141A47">
      <w:pPr>
        <w:adjustRightInd w:val="0"/>
        <w:jc w:val="both"/>
      </w:pPr>
      <w:r w:rsidRPr="00090AEC">
        <w:t xml:space="preserve">Knowledge of individual tape passwords is required to access tapes, and access to the system is limited to users obtaining prior supervisory approval. To avoid inadvertent data disclosure, a special additional procedure is performed to ensure that all Privacy Act data are removed from computer tapes and/or other magnetic media. A backup copy of data is stored at an offsite location and a log kept of all changes to each file and all persons reviewing the file. Additional safeguards may also be built into the program by the system analyst as warranted by the </w:t>
      </w:r>
      <w:r w:rsidRPr="00090AEC">
        <w:lastRenderedPageBreak/>
        <w:t>sensitivity of the data set.</w:t>
      </w:r>
    </w:p>
    <w:p w:rsidRPr="00090AEC" w:rsidR="00141A47" w:rsidP="00141A47" w:rsidRDefault="00141A47">
      <w:pPr>
        <w:adjustRightInd w:val="0"/>
        <w:jc w:val="both"/>
      </w:pPr>
      <w:r w:rsidRPr="00090AEC">
        <w:t xml:space="preserve">    </w:t>
      </w:r>
    </w:p>
    <w:p w:rsidRPr="00090AEC" w:rsidR="00141A47" w:rsidP="00141A47" w:rsidRDefault="00141A47">
      <w:pPr>
        <w:adjustRightInd w:val="0"/>
        <w:jc w:val="both"/>
      </w:pPr>
      <w:r w:rsidRPr="00090AEC">
        <w:t>The DSAT and contractor employees who maintain records are instructed in specific procedures to protect the security of records, and are to check with the system manager prior to making disclosure of data. When individually identified data are being used in a room, admittance at either CDC or contractor sites is restricted to specifically authorized personnel.</w:t>
      </w:r>
    </w:p>
    <w:p w:rsidRPr="00090AEC" w:rsidR="00141A47" w:rsidP="00141A47" w:rsidRDefault="00141A47">
      <w:pPr>
        <w:adjustRightInd w:val="0"/>
        <w:jc w:val="both"/>
      </w:pPr>
      <w:r w:rsidRPr="00090AEC">
        <w:t xml:space="preserve">    </w:t>
      </w:r>
    </w:p>
    <w:p w:rsidR="00141A47" w:rsidP="00141A47" w:rsidRDefault="00141A47">
      <w:pPr>
        <w:adjustRightInd w:val="0"/>
        <w:jc w:val="both"/>
      </w:pPr>
      <w:r w:rsidRPr="00090AEC">
        <w:t>Appropriate Privacy Act provisions are included in contracts and the CDC Project Director, contract officers, and project officers oversee compliance with these requirements. Upon completion of the contract, all data will be either returned to CDC or destroyed, as specified by the contract.</w:t>
      </w:r>
    </w:p>
    <w:p w:rsidR="00141A47" w:rsidP="00141A47" w:rsidRDefault="00141A47">
      <w:pPr>
        <w:adjustRightInd w:val="0"/>
        <w:jc w:val="both"/>
      </w:pPr>
    </w:p>
    <w:p w:rsidRPr="00A04517" w:rsidR="00141A47" w:rsidP="00141A47" w:rsidRDefault="00141A47">
      <w:pPr>
        <w:pStyle w:val="NormalWeb"/>
        <w:shd w:val="clear" w:color="auto" w:fill="FFFFFF"/>
        <w:rPr>
          <w:color w:val="000000"/>
          <w:lang w:val="en"/>
        </w:rPr>
      </w:pPr>
      <w:r w:rsidRPr="00610C74">
        <w:rPr>
          <w:rStyle w:val="Strong"/>
          <w:color w:val="000000"/>
          <w:lang w:val="en"/>
        </w:rPr>
        <w:t>Implementation Guidelines:</w:t>
      </w:r>
      <w:r w:rsidRPr="00A04517">
        <w:rPr>
          <w:color w:val="000000"/>
          <w:lang w:val="en"/>
        </w:rPr>
        <w:t xml:space="preserve"> The safeguards outlined above are in accordance with the HHS Information Security Program Policy and FIPS Pub 200, `</w:t>
      </w:r>
      <w:r w:rsidRPr="009E1FDE">
        <w:rPr>
          <w:i/>
          <w:color w:val="000000"/>
          <w:lang w:val="en"/>
        </w:rPr>
        <w:t>Minimum Security Requirements for Federal Information and Information Systems</w:t>
      </w:r>
      <w:r w:rsidRPr="00A04517">
        <w:rPr>
          <w:color w:val="000000"/>
          <w:lang w:val="en"/>
        </w:rPr>
        <w:t xml:space="preserve">. Data maintained on CDC's Mainframe and the </w:t>
      </w:r>
      <w:r>
        <w:rPr>
          <w:color w:val="000000"/>
          <w:lang w:val="en"/>
        </w:rPr>
        <w:t>OPHPR</w:t>
      </w:r>
      <w:r w:rsidRPr="00A04517">
        <w:rPr>
          <w:color w:val="000000"/>
          <w:lang w:val="en"/>
        </w:rPr>
        <w:t xml:space="preserve"> </w:t>
      </w:r>
      <w:r w:rsidRPr="00DF6C41">
        <w:rPr>
          <w:color w:val="000000"/>
          <w:lang w:val="en"/>
        </w:rPr>
        <w:t>Local Area Network</w:t>
      </w:r>
      <w:r>
        <w:rPr>
          <w:color w:val="000000"/>
          <w:lang w:val="en"/>
        </w:rPr>
        <w:t xml:space="preserve"> (</w:t>
      </w:r>
      <w:r w:rsidRPr="00A04517">
        <w:rPr>
          <w:color w:val="000000"/>
          <w:lang w:val="en"/>
        </w:rPr>
        <w:t>LAN</w:t>
      </w:r>
      <w:r>
        <w:rPr>
          <w:color w:val="000000"/>
          <w:lang w:val="en"/>
        </w:rPr>
        <w:t>)</w:t>
      </w:r>
      <w:r w:rsidRPr="00A04517">
        <w:rPr>
          <w:color w:val="000000"/>
          <w:lang w:val="en"/>
        </w:rPr>
        <w:t xml:space="preserve"> are in compliance with OMB Circular A-130, Appendix III. </w:t>
      </w:r>
    </w:p>
    <w:p w:rsidR="00141A47" w:rsidP="00141A47" w:rsidRDefault="00141A47">
      <w:pPr>
        <w:pStyle w:val="NormalWeb"/>
        <w:shd w:val="clear" w:color="auto" w:fill="FFFFFF"/>
        <w:rPr>
          <w:color w:val="000000"/>
          <w:lang w:val="en"/>
        </w:rPr>
      </w:pPr>
      <w:r w:rsidRPr="00A04517">
        <w:rPr>
          <w:color w:val="000000"/>
          <w:lang w:val="en"/>
        </w:rPr>
        <w:t>Security is provided for information collection, processing, transmission, storage, and dissemination in general support systems and major applications.</w:t>
      </w:r>
    </w:p>
    <w:p w:rsidRPr="00177C1F" w:rsidR="00BA550E" w:rsidP="005A04B7" w:rsidRDefault="00141A47">
      <w:pPr>
        <w:pStyle w:val="NormalWeb"/>
        <w:rPr>
          <w:bCs/>
        </w:rPr>
      </w:pPr>
      <w:r w:rsidRPr="00C06FFF">
        <w:rPr>
          <w:color w:val="000000"/>
          <w:lang w:val="en"/>
        </w:rPr>
        <w:t>The CDC will follow its established policies and procedures in releasing and/or withholding trade secret and/or confidential or financial information, in accordance with the Freedom of Information Act.</w:t>
      </w:r>
    </w:p>
    <w:p w:rsidRPr="00177C1F" w:rsidR="00BA550E" w:rsidP="00177C1F" w:rsidRDefault="00793601">
      <w:pPr>
        <w:pStyle w:val="Heading3"/>
        <w:rPr>
          <w:rFonts w:ascii="Times New Roman" w:hAnsi="Times New Roman"/>
          <w:color w:val="auto"/>
          <w:sz w:val="24"/>
          <w:szCs w:val="24"/>
        </w:rPr>
      </w:pPr>
      <w:bookmarkStart w:name="_Toc496868009" w:id="14"/>
      <w:r w:rsidRPr="00177C1F">
        <w:rPr>
          <w:rFonts w:ascii="Times New Roman" w:hAnsi="Times New Roman"/>
          <w:color w:val="auto"/>
          <w:sz w:val="24"/>
          <w:szCs w:val="24"/>
        </w:rPr>
        <w:t xml:space="preserve">11.  </w:t>
      </w:r>
      <w:r w:rsidR="00561012">
        <w:rPr>
          <w:rFonts w:ascii="Times New Roman" w:hAnsi="Times New Roman"/>
          <w:color w:val="auto"/>
          <w:sz w:val="24"/>
          <w:szCs w:val="24"/>
        </w:rPr>
        <w:t xml:space="preserve">Institutional Review Board (IRB) and </w:t>
      </w:r>
      <w:r w:rsidRPr="00177C1F">
        <w:rPr>
          <w:rFonts w:ascii="Times New Roman" w:hAnsi="Times New Roman"/>
          <w:color w:val="auto"/>
          <w:sz w:val="24"/>
          <w:szCs w:val="24"/>
        </w:rPr>
        <w:t>Justification of Sensitive Questions</w:t>
      </w:r>
      <w:bookmarkEnd w:id="14"/>
    </w:p>
    <w:p w:rsidRPr="00177C1F" w:rsidR="00BA550E" w:rsidP="007F3FE5" w:rsidRDefault="00BA550E">
      <w:pPr>
        <w:widowControl/>
        <w:contextualSpacing/>
        <w:rPr>
          <w:bCs/>
        </w:rPr>
      </w:pPr>
    </w:p>
    <w:p w:rsidR="00561012" w:rsidP="00141A47" w:rsidRDefault="00561012">
      <w:pPr>
        <w:adjustRightInd w:val="0"/>
        <w:jc w:val="both"/>
        <w:rPr>
          <w:rFonts w:eastAsia="SimSun"/>
          <w:lang w:eastAsia="zh-CN"/>
        </w:rPr>
      </w:pPr>
      <w:r>
        <w:rPr>
          <w:rFonts w:eastAsia="SimSun"/>
          <w:lang w:eastAsia="zh-CN"/>
        </w:rPr>
        <w:t>IRB Approval</w:t>
      </w:r>
    </w:p>
    <w:p w:rsidR="00A85C2D" w:rsidP="00141A47" w:rsidRDefault="00A85C2D">
      <w:pPr>
        <w:adjustRightInd w:val="0"/>
        <w:jc w:val="both"/>
        <w:rPr>
          <w:rFonts w:eastAsia="SimSun"/>
          <w:lang w:eastAsia="zh-CN"/>
        </w:rPr>
      </w:pPr>
    </w:p>
    <w:p w:rsidRPr="00A04517" w:rsidR="00A85C2D" w:rsidP="00A85C2D" w:rsidRDefault="00A85C2D">
      <w:pPr>
        <w:pStyle w:val="NormalWeb"/>
        <w:shd w:val="clear" w:color="auto" w:fill="FFFFFF"/>
        <w:rPr>
          <w:color w:val="000000"/>
          <w:lang w:val="en"/>
        </w:rPr>
      </w:pPr>
      <w:r w:rsidRPr="00AC7812">
        <w:rPr>
          <w:color w:val="000000"/>
          <w:lang w:val="en"/>
        </w:rPr>
        <w:t>Institutional Review Board approval is not require</w:t>
      </w:r>
      <w:r w:rsidR="003228EF">
        <w:rPr>
          <w:color w:val="000000"/>
          <w:lang w:val="en"/>
        </w:rPr>
        <w:t>d</w:t>
      </w:r>
      <w:r w:rsidRPr="005A04B7" w:rsidR="00E446DA">
        <w:rPr>
          <w:color w:val="000000"/>
          <w:lang w:val="en"/>
        </w:rPr>
        <w:t>.</w:t>
      </w:r>
      <w:r>
        <w:rPr>
          <w:color w:val="000000"/>
          <w:lang w:val="en"/>
        </w:rPr>
        <w:t xml:space="preserve"> </w:t>
      </w:r>
      <w:r w:rsidR="00C96253">
        <w:rPr>
          <w:color w:val="000000"/>
          <w:lang w:val="en"/>
        </w:rPr>
        <w:t xml:space="preserve"> </w:t>
      </w:r>
      <w:r>
        <w:rPr>
          <w:color w:val="000000"/>
          <w:lang w:val="en"/>
        </w:rPr>
        <w:t xml:space="preserve">These activities were determined to be public health non-research.  </w:t>
      </w:r>
    </w:p>
    <w:p w:rsidRPr="005A04B7" w:rsidR="00A85C2D" w:rsidP="00A85C2D" w:rsidRDefault="00A85C2D">
      <w:pPr>
        <w:adjustRightInd w:val="0"/>
        <w:jc w:val="both"/>
        <w:rPr>
          <w:b/>
        </w:rPr>
      </w:pPr>
      <w:r w:rsidRPr="005A04B7">
        <w:t>Privacy Impact Assessment Information</w:t>
      </w:r>
      <w:r w:rsidR="00C96253">
        <w:rPr>
          <w:b/>
        </w:rPr>
        <w:t xml:space="preserve"> </w:t>
      </w:r>
    </w:p>
    <w:p w:rsidR="00A85C2D" w:rsidP="00A85C2D" w:rsidRDefault="00A85C2D">
      <w:pPr>
        <w:adjustRightInd w:val="0"/>
        <w:jc w:val="both"/>
      </w:pPr>
    </w:p>
    <w:p w:rsidR="00A85C2D" w:rsidP="00A85C2D" w:rsidRDefault="00A85C2D">
      <w:pPr>
        <w:adjustRightInd w:val="0"/>
        <w:jc w:val="both"/>
      </w:pPr>
      <w:r w:rsidRPr="00DC7AAA">
        <w:t xml:space="preserve">The following information is collected from the applicant to receive an import permit as required under 42 CFR 71.54. </w:t>
      </w:r>
      <w:r w:rsidRPr="00C13F53">
        <w:t>The information being collected to receive a permit as required under 42 CFR 71.54 includes the applicant’s name, mailing address, phone numbers, and email address.  The information available on the permit includes the applicant’s name, mailing address, phone numbers, and email address.</w:t>
      </w:r>
    </w:p>
    <w:p w:rsidR="00A85C2D" w:rsidP="00A85C2D" w:rsidRDefault="00A85C2D">
      <w:pPr>
        <w:adjustRightInd w:val="0"/>
        <w:jc w:val="both"/>
      </w:pPr>
    </w:p>
    <w:p w:rsidR="00A85C2D" w:rsidP="00A85C2D" w:rsidRDefault="00A85C2D">
      <w:pPr>
        <w:adjustRightInd w:val="0"/>
        <w:jc w:val="both"/>
      </w:pPr>
      <w:r w:rsidRPr="00AE15EF">
        <w:t>The information is kept in a database which consists of permitted entities importing or subsequently transferring biological agents, infectious substances and vectors of human disease.  This database is safeguarded; paper records are kept in locked files.  Electronic data files are password protected and stored in a restricted access location.  Only a small number of staff within DSAT has access to the information, and disclosure of information is stringently limited.</w:t>
      </w:r>
    </w:p>
    <w:p w:rsidR="00A85C2D" w:rsidP="00A85C2D" w:rsidRDefault="00A85C2D">
      <w:pPr>
        <w:adjustRightInd w:val="0"/>
        <w:jc w:val="both"/>
      </w:pPr>
    </w:p>
    <w:p w:rsidR="00A85C2D" w:rsidP="00A85C2D" w:rsidRDefault="00A85C2D">
      <w:pPr>
        <w:adjustRightInd w:val="0"/>
        <w:jc w:val="both"/>
      </w:pPr>
      <w:r w:rsidRPr="00AE15EF">
        <w:t xml:space="preserve">To comply with the Office of Management and Budget (OMB) Memoranda (M) 07-16, </w:t>
      </w:r>
      <w:r w:rsidRPr="00AE15EF">
        <w:lastRenderedPageBreak/>
        <w:t xml:space="preserve">Safeguarding Against and Responding to the Breach of Personally Identifiable Information, the attached draft </w:t>
      </w:r>
      <w:r w:rsidRPr="008A1559">
        <w:rPr>
          <w:i/>
        </w:rPr>
        <w:t>Federal Register</w:t>
      </w:r>
      <w:r w:rsidRPr="00AE15EF">
        <w:t xml:space="preserve"> notice is in the clearance process for the System of Record Notice entitled, </w:t>
      </w:r>
      <w:r w:rsidRPr="00B71C65">
        <w:rPr>
          <w:i/>
        </w:rPr>
        <w:t>Electronic Federal Select Agent Program portal (eFSAP portal)/Electronic Import Permit Program portal (eIPP portal)</w:t>
      </w:r>
      <w:r w:rsidRPr="00AE15EF">
        <w:t>.</w:t>
      </w:r>
    </w:p>
    <w:p w:rsidR="00A85C2D" w:rsidP="00141A47" w:rsidRDefault="00A85C2D">
      <w:pPr>
        <w:adjustRightInd w:val="0"/>
        <w:jc w:val="both"/>
        <w:rPr>
          <w:rFonts w:eastAsia="SimSun"/>
          <w:lang w:eastAsia="zh-CN"/>
        </w:rPr>
      </w:pPr>
    </w:p>
    <w:p w:rsidR="00561012" w:rsidP="00141A47" w:rsidRDefault="00561012">
      <w:pPr>
        <w:adjustRightInd w:val="0"/>
        <w:jc w:val="both"/>
        <w:rPr>
          <w:rFonts w:eastAsia="SimSun"/>
          <w:lang w:eastAsia="zh-CN"/>
        </w:rPr>
      </w:pPr>
      <w:r>
        <w:rPr>
          <w:rFonts w:eastAsia="SimSun"/>
          <w:lang w:eastAsia="zh-CN"/>
        </w:rPr>
        <w:t>Sensitive Questions</w:t>
      </w:r>
    </w:p>
    <w:p w:rsidR="00561012" w:rsidP="00141A47" w:rsidRDefault="00561012">
      <w:pPr>
        <w:adjustRightInd w:val="0"/>
        <w:jc w:val="both"/>
        <w:rPr>
          <w:rFonts w:eastAsia="SimSun"/>
          <w:lang w:eastAsia="zh-CN"/>
        </w:rPr>
      </w:pPr>
    </w:p>
    <w:p w:rsidRPr="00DC7AAA" w:rsidR="00141A47" w:rsidP="00141A47" w:rsidRDefault="00141A47">
      <w:pPr>
        <w:adjustRightInd w:val="0"/>
        <w:jc w:val="both"/>
        <w:rPr>
          <w:bCs/>
        </w:rPr>
      </w:pPr>
      <w:r w:rsidRPr="00625B31">
        <w:rPr>
          <w:rFonts w:eastAsia="SimSun"/>
          <w:lang w:eastAsia="zh-CN"/>
        </w:rPr>
        <w:t>This data collection does not include personal questions of a sensitive nature.</w:t>
      </w:r>
    </w:p>
    <w:p w:rsidRPr="00177C1F" w:rsidR="00C332B2" w:rsidP="007F3FE5" w:rsidRDefault="00C332B2">
      <w:pPr>
        <w:widowControl/>
        <w:contextualSpacing/>
        <w:rPr>
          <w:bCs/>
        </w:rPr>
      </w:pPr>
    </w:p>
    <w:p w:rsidRPr="00177C1F" w:rsidR="00BA550E" w:rsidP="00177C1F" w:rsidRDefault="00793601">
      <w:pPr>
        <w:pStyle w:val="Heading3"/>
        <w:rPr>
          <w:rFonts w:ascii="Times New Roman" w:hAnsi="Times New Roman"/>
          <w:color w:val="auto"/>
          <w:sz w:val="24"/>
          <w:szCs w:val="24"/>
        </w:rPr>
      </w:pPr>
      <w:bookmarkStart w:name="_Toc496868010" w:id="15"/>
      <w:r w:rsidRPr="00177C1F">
        <w:rPr>
          <w:rFonts w:ascii="Times New Roman" w:hAnsi="Times New Roman"/>
          <w:color w:val="auto"/>
          <w:sz w:val="24"/>
          <w:szCs w:val="24"/>
        </w:rPr>
        <w:t>12.  Estimates of Annualized Burden Hours and Costs</w:t>
      </w:r>
      <w:bookmarkEnd w:id="15"/>
    </w:p>
    <w:p w:rsidRPr="00177C1F" w:rsidR="00BA550E" w:rsidP="007F3FE5" w:rsidRDefault="00BA550E">
      <w:pPr>
        <w:widowControl/>
        <w:contextualSpacing/>
        <w:rPr>
          <w:bCs/>
        </w:rPr>
      </w:pPr>
    </w:p>
    <w:p w:rsidR="009A75AE" w:rsidP="009A75AE" w:rsidRDefault="000A19E4">
      <w:pPr>
        <w:adjustRightInd w:val="0"/>
        <w:jc w:val="both"/>
      </w:pPr>
      <w:r w:rsidRPr="00177C1F">
        <w:rPr>
          <w:bCs/>
        </w:rPr>
        <w:t xml:space="preserve">Annualized burden hours and cost </w:t>
      </w:r>
      <w:r w:rsidR="002C4F76">
        <w:rPr>
          <w:bCs/>
        </w:rPr>
        <w:t xml:space="preserve">approved in 2018 </w:t>
      </w:r>
      <w:r w:rsidRPr="00177C1F">
        <w:rPr>
          <w:bCs/>
        </w:rPr>
        <w:t xml:space="preserve">were calculated based on data </w:t>
      </w:r>
      <w:r>
        <w:rPr>
          <w:bCs/>
        </w:rPr>
        <w:t xml:space="preserve">obtained from </w:t>
      </w:r>
      <w:r w:rsidRPr="00625B31">
        <w:t>CDC import permit database on the number of permits issued on annual basis since 201</w:t>
      </w:r>
      <w:r>
        <w:t>5</w:t>
      </w:r>
      <w:r w:rsidR="009A75AE">
        <w:t xml:space="preserve">, which </w:t>
      </w:r>
      <w:r w:rsidR="00F6185E">
        <w:t xml:space="preserve">was </w:t>
      </w:r>
      <w:r w:rsidR="009A75AE">
        <w:t>2,000 respondents</w:t>
      </w:r>
      <w:r w:rsidRPr="00177C1F">
        <w:rPr>
          <w:bCs/>
        </w:rPr>
        <w:t>.  The estimated annualized burden for the 201</w:t>
      </w:r>
      <w:r w:rsidR="002C4F76">
        <w:rPr>
          <w:bCs/>
        </w:rPr>
        <w:t>8</w:t>
      </w:r>
      <w:r w:rsidRPr="00177C1F">
        <w:rPr>
          <w:bCs/>
        </w:rPr>
        <w:t xml:space="preserve"> </w:t>
      </w:r>
      <w:r>
        <w:rPr>
          <w:bCs/>
        </w:rPr>
        <w:t>submission was 545</w:t>
      </w:r>
      <w:r w:rsidRPr="00177C1F">
        <w:rPr>
          <w:bCs/>
        </w:rPr>
        <w:t xml:space="preserve"> hours. </w:t>
      </w:r>
      <w:r w:rsidR="00520233">
        <w:rPr>
          <w:bCs/>
        </w:rPr>
        <w:t xml:space="preserve"> The </w:t>
      </w:r>
      <w:r w:rsidR="009A75AE">
        <w:rPr>
          <w:bCs/>
        </w:rPr>
        <w:t xml:space="preserve">increased </w:t>
      </w:r>
      <w:r w:rsidR="00520233">
        <w:rPr>
          <w:bCs/>
        </w:rPr>
        <w:t xml:space="preserve">in burden </w:t>
      </w:r>
      <w:r w:rsidR="009A75AE">
        <w:rPr>
          <w:bCs/>
        </w:rPr>
        <w:t xml:space="preserve">to </w:t>
      </w:r>
      <w:r w:rsidR="002C4F76">
        <w:rPr>
          <w:bCs/>
        </w:rPr>
        <w:t xml:space="preserve">1355 </w:t>
      </w:r>
      <w:r w:rsidRPr="00177C1F">
        <w:rPr>
          <w:bCs/>
        </w:rPr>
        <w:t xml:space="preserve">hours </w:t>
      </w:r>
      <w:r w:rsidR="00520233">
        <w:rPr>
          <w:bCs/>
        </w:rPr>
        <w:t xml:space="preserve">is </w:t>
      </w:r>
      <w:r w:rsidRPr="00177C1F">
        <w:rPr>
          <w:bCs/>
        </w:rPr>
        <w:t xml:space="preserve">due to the </w:t>
      </w:r>
      <w:r w:rsidR="009A75AE">
        <w:rPr>
          <w:bCs/>
        </w:rPr>
        <w:t xml:space="preserve">increase </w:t>
      </w:r>
      <w:r w:rsidRPr="00177C1F">
        <w:rPr>
          <w:bCs/>
        </w:rPr>
        <w:t>in the number of respondents</w:t>
      </w:r>
      <w:r w:rsidR="009A75AE">
        <w:rPr>
          <w:bCs/>
        </w:rPr>
        <w:t xml:space="preserve"> and </w:t>
      </w:r>
      <w:r w:rsidR="002C4F76">
        <w:rPr>
          <w:bCs/>
        </w:rPr>
        <w:t>the add</w:t>
      </w:r>
      <w:r w:rsidR="00F6185E">
        <w:rPr>
          <w:bCs/>
        </w:rPr>
        <w:t>itional</w:t>
      </w:r>
      <w:r w:rsidR="002C4F76">
        <w:rPr>
          <w:bCs/>
        </w:rPr>
        <w:t xml:space="preserve"> form</w:t>
      </w:r>
      <w:r w:rsidRPr="00177C1F">
        <w:rPr>
          <w:bCs/>
        </w:rPr>
        <w:t>.</w:t>
      </w:r>
      <w:r w:rsidR="009A75AE">
        <w:rPr>
          <w:bCs/>
        </w:rPr>
        <w:t xml:space="preserve">  </w:t>
      </w:r>
      <w:r w:rsidRPr="00625B31" w:rsidR="009A75AE">
        <w:t xml:space="preserve">There are no costs to respondents except their time. </w:t>
      </w:r>
    </w:p>
    <w:p w:rsidR="000A19E4" w:rsidP="000A19E4" w:rsidRDefault="000A19E4">
      <w:pPr>
        <w:contextualSpacing/>
        <w:rPr>
          <w:bCs/>
        </w:rPr>
      </w:pPr>
    </w:p>
    <w:p w:rsidR="000A19E4" w:rsidP="000A19E4" w:rsidRDefault="007E4D95">
      <w:pPr>
        <w:widowControl/>
        <w:contextualSpacing/>
        <w:rPr>
          <w:bCs/>
        </w:rPr>
      </w:pPr>
      <w:r>
        <w:rPr>
          <w:bCs/>
        </w:rPr>
        <w:t>T</w:t>
      </w:r>
      <w:r w:rsidR="000A19E4">
        <w:rPr>
          <w:bCs/>
        </w:rPr>
        <w:t>he estimated annualized burden</w:t>
      </w:r>
      <w:r w:rsidRPr="00396B71" w:rsidR="000A19E4">
        <w:rPr>
          <w:bCs/>
        </w:rPr>
        <w:t xml:space="preserve"> </w:t>
      </w:r>
      <w:r w:rsidR="000A19E4">
        <w:rPr>
          <w:bCs/>
        </w:rPr>
        <w:t xml:space="preserve">is </w:t>
      </w:r>
      <w:r w:rsidR="002C4F76">
        <w:t>1355</w:t>
      </w:r>
      <w:r w:rsidR="002C4F76">
        <w:rPr>
          <w:bCs/>
        </w:rPr>
        <w:t xml:space="preserve"> </w:t>
      </w:r>
      <w:r w:rsidR="000A19E4">
        <w:rPr>
          <w:bCs/>
        </w:rPr>
        <w:t>and is a</w:t>
      </w:r>
      <w:r>
        <w:rPr>
          <w:bCs/>
        </w:rPr>
        <w:t xml:space="preserve">n increase </w:t>
      </w:r>
      <w:r w:rsidR="000A19E4">
        <w:rPr>
          <w:bCs/>
        </w:rPr>
        <w:t>from the 201</w:t>
      </w:r>
      <w:r w:rsidR="002C4F76">
        <w:rPr>
          <w:bCs/>
        </w:rPr>
        <w:t>8</w:t>
      </w:r>
      <w:r w:rsidR="000A19E4">
        <w:rPr>
          <w:bCs/>
        </w:rPr>
        <w:t xml:space="preserve"> submission.  The burden includes the addition of the </w:t>
      </w:r>
      <w:r w:rsidR="002C4F76">
        <w:rPr>
          <w:bCs/>
        </w:rPr>
        <w:t xml:space="preserve">form </w:t>
      </w:r>
      <w:r w:rsidR="000A19E4">
        <w:rPr>
          <w:bCs/>
        </w:rPr>
        <w:t xml:space="preserve">noted above </w:t>
      </w:r>
      <w:r>
        <w:rPr>
          <w:bCs/>
        </w:rPr>
        <w:t xml:space="preserve">that accounts for addition of </w:t>
      </w:r>
      <w:r w:rsidR="002C4F76">
        <w:rPr>
          <w:bCs/>
        </w:rPr>
        <w:t>2</w:t>
      </w:r>
      <w:r w:rsidR="000A19E4">
        <w:rPr>
          <w:bCs/>
        </w:rPr>
        <w:t xml:space="preserve">0 </w:t>
      </w:r>
      <w:r w:rsidRPr="00CC362E" w:rsidR="000A19E4">
        <w:rPr>
          <w:bCs/>
        </w:rPr>
        <w:t>minutes</w:t>
      </w:r>
      <w:r w:rsidR="000A19E4">
        <w:rPr>
          <w:bCs/>
        </w:rPr>
        <w:t xml:space="preserve"> to complete the form</w:t>
      </w:r>
      <w:r w:rsidRPr="00CC362E" w:rsidR="000A19E4">
        <w:rPr>
          <w:bCs/>
        </w:rPr>
        <w:t xml:space="preserve">. </w:t>
      </w:r>
      <w:r w:rsidR="000A19E4">
        <w:rPr>
          <w:bCs/>
        </w:rPr>
        <w:t xml:space="preserve">  </w:t>
      </w:r>
      <w:r w:rsidRPr="006A7CD3" w:rsidR="000A19E4">
        <w:rPr>
          <w:b/>
          <w:bCs/>
        </w:rPr>
        <w:t xml:space="preserve"> </w:t>
      </w:r>
    </w:p>
    <w:p w:rsidR="000A19E4" w:rsidP="002E31F3" w:rsidRDefault="000A19E4">
      <w:pPr>
        <w:adjustRightInd w:val="0"/>
        <w:jc w:val="both"/>
      </w:pPr>
    </w:p>
    <w:p w:rsidRPr="00DC7AAA" w:rsidR="008B2CEB" w:rsidP="008B2CEB" w:rsidRDefault="008B2CEB">
      <w:pPr>
        <w:pStyle w:val="Heading4"/>
        <w:spacing w:line="240" w:lineRule="auto"/>
        <w:jc w:val="both"/>
        <w:rPr>
          <w:rFonts w:ascii="Times New Roman" w:hAnsi="Times New Roman"/>
          <w:b w:val="0"/>
          <w:i w:val="0"/>
          <w:color w:val="auto"/>
          <w:sz w:val="24"/>
          <w:szCs w:val="24"/>
        </w:rPr>
      </w:pPr>
      <w:r w:rsidRPr="00DC7AAA">
        <w:rPr>
          <w:rFonts w:ascii="Times New Roman" w:hAnsi="Times New Roman"/>
          <w:b w:val="0"/>
          <w:i w:val="0"/>
          <w:color w:val="auto"/>
          <w:sz w:val="24"/>
          <w:szCs w:val="24"/>
        </w:rPr>
        <w:t>Table A12A. Estimate</w:t>
      </w:r>
      <w:r w:rsidR="001C3300">
        <w:rPr>
          <w:rFonts w:ascii="Times New Roman" w:hAnsi="Times New Roman"/>
          <w:b w:val="0"/>
          <w:i w:val="0"/>
          <w:color w:val="auto"/>
          <w:sz w:val="24"/>
          <w:szCs w:val="24"/>
        </w:rPr>
        <w:t>d</w:t>
      </w:r>
      <w:r w:rsidRPr="00DC7AAA">
        <w:rPr>
          <w:rFonts w:ascii="Times New Roman" w:hAnsi="Times New Roman"/>
          <w:b w:val="0"/>
          <w:i w:val="0"/>
          <w:color w:val="auto"/>
          <w:sz w:val="24"/>
          <w:szCs w:val="24"/>
        </w:rPr>
        <w:t xml:space="preserve">  Annualized Burden Hours</w:t>
      </w:r>
    </w:p>
    <w:p w:rsidRPr="009A75AE" w:rsidR="00C07AB5" w:rsidP="009A75AE" w:rsidRDefault="00C07A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s>
        <w:jc w:val="both"/>
        <w:rPr>
          <w:color w:val="000000"/>
        </w:rPr>
      </w:pPr>
    </w:p>
    <w:tbl>
      <w:tblPr>
        <w:tblW w:w="1037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704"/>
        <w:gridCol w:w="2366"/>
        <w:gridCol w:w="1890"/>
        <w:gridCol w:w="1710"/>
        <w:gridCol w:w="1440"/>
        <w:gridCol w:w="1260"/>
      </w:tblGrid>
      <w:tr w:rsidRPr="009A75AE" w:rsidR="00C07AB5" w:rsidTr="000A19E4">
        <w:tc>
          <w:tcPr>
            <w:tcW w:w="1704" w:type="dxa"/>
          </w:tcPr>
          <w:p w:rsidRPr="009A75AE" w:rsidR="00C07AB5" w:rsidP="009A75AE" w:rsidRDefault="00C07AB5">
            <w:pPr>
              <w:adjustRightInd w:val="0"/>
              <w:jc w:val="center"/>
            </w:pPr>
            <w:r w:rsidRPr="009A75AE">
              <w:t>Type of Respondent</w:t>
            </w:r>
          </w:p>
        </w:tc>
        <w:tc>
          <w:tcPr>
            <w:tcW w:w="2366" w:type="dxa"/>
          </w:tcPr>
          <w:p w:rsidRPr="009A75AE" w:rsidR="00C07AB5" w:rsidP="009A75AE" w:rsidRDefault="00C07AB5">
            <w:pPr>
              <w:adjustRightInd w:val="0"/>
              <w:jc w:val="center"/>
            </w:pPr>
            <w:r w:rsidRPr="009A75AE">
              <w:t>Form Name</w:t>
            </w:r>
          </w:p>
        </w:tc>
        <w:tc>
          <w:tcPr>
            <w:tcW w:w="1890" w:type="dxa"/>
          </w:tcPr>
          <w:p w:rsidRPr="009A75AE" w:rsidR="00C07AB5" w:rsidP="009A75AE" w:rsidRDefault="00C07AB5">
            <w:pPr>
              <w:adjustRightInd w:val="0"/>
              <w:jc w:val="center"/>
            </w:pPr>
            <w:r w:rsidRPr="009A75AE">
              <w:t>No. of Respondents</w:t>
            </w:r>
          </w:p>
        </w:tc>
        <w:tc>
          <w:tcPr>
            <w:tcW w:w="1710" w:type="dxa"/>
          </w:tcPr>
          <w:p w:rsidRPr="009A75AE" w:rsidR="00C07AB5" w:rsidP="009A75AE" w:rsidRDefault="00C07AB5">
            <w:pPr>
              <w:adjustRightInd w:val="0"/>
              <w:jc w:val="center"/>
            </w:pPr>
            <w:r w:rsidRPr="009A75AE">
              <w:t>No. Responses per Respondent</w:t>
            </w:r>
          </w:p>
        </w:tc>
        <w:tc>
          <w:tcPr>
            <w:tcW w:w="1440" w:type="dxa"/>
          </w:tcPr>
          <w:p w:rsidRPr="009A75AE" w:rsidR="00C07AB5" w:rsidP="009A75AE" w:rsidRDefault="00C07AB5">
            <w:pPr>
              <w:adjustRightInd w:val="0"/>
              <w:jc w:val="center"/>
            </w:pPr>
            <w:r w:rsidRPr="009A75AE">
              <w:t>Average Burden per Response (in hours)</w:t>
            </w:r>
          </w:p>
        </w:tc>
        <w:tc>
          <w:tcPr>
            <w:tcW w:w="1260" w:type="dxa"/>
          </w:tcPr>
          <w:p w:rsidRPr="009A75AE" w:rsidR="00C07AB5" w:rsidP="009A75AE" w:rsidRDefault="00C07AB5">
            <w:pPr>
              <w:adjustRightInd w:val="0"/>
              <w:jc w:val="center"/>
            </w:pPr>
            <w:r w:rsidRPr="009A75AE">
              <w:t>Total Burden Hours</w:t>
            </w:r>
          </w:p>
        </w:tc>
      </w:tr>
      <w:tr w:rsidRPr="009A75AE" w:rsidR="00C07AB5" w:rsidTr="000A19E4">
        <w:tc>
          <w:tcPr>
            <w:tcW w:w="1704" w:type="dxa"/>
          </w:tcPr>
          <w:p w:rsidRPr="009A75AE" w:rsidR="00C07AB5" w:rsidP="009A75AE" w:rsidRDefault="00C07AB5">
            <w:pPr>
              <w:adjustRightInd w:val="0"/>
            </w:pPr>
            <w:r w:rsidRPr="009A75AE">
              <w:t xml:space="preserve">Applicants Requesting  to Import Biological Agents, Infectious Substances and Vectors </w:t>
            </w:r>
          </w:p>
        </w:tc>
        <w:tc>
          <w:tcPr>
            <w:tcW w:w="2366" w:type="dxa"/>
          </w:tcPr>
          <w:p w:rsidRPr="009A75AE" w:rsidR="00C07AB5" w:rsidP="009A75AE" w:rsidRDefault="00C07AB5">
            <w:pPr>
              <w:adjustRightInd w:val="0"/>
            </w:pPr>
            <w:r w:rsidRPr="009A75AE">
              <w:t>Application for Permit to Import Biological Agents, Infectious Substances and Vectors of Human Disease into the United States</w:t>
            </w:r>
          </w:p>
        </w:tc>
        <w:tc>
          <w:tcPr>
            <w:tcW w:w="1890" w:type="dxa"/>
          </w:tcPr>
          <w:p w:rsidRPr="009A75AE" w:rsidR="00C07AB5" w:rsidP="009A75AE" w:rsidRDefault="00C07AB5">
            <w:pPr>
              <w:adjustRightInd w:val="0"/>
            </w:pPr>
            <w:r w:rsidRPr="009A75AE">
              <w:t>2000</w:t>
            </w:r>
          </w:p>
        </w:tc>
        <w:tc>
          <w:tcPr>
            <w:tcW w:w="1710" w:type="dxa"/>
          </w:tcPr>
          <w:p w:rsidRPr="009A75AE" w:rsidR="00C07AB5" w:rsidP="009A75AE" w:rsidRDefault="00C07AB5">
            <w:pPr>
              <w:adjustRightInd w:val="0"/>
            </w:pPr>
            <w:r w:rsidRPr="009A75AE">
              <w:t>1</w:t>
            </w:r>
          </w:p>
        </w:tc>
        <w:tc>
          <w:tcPr>
            <w:tcW w:w="1440" w:type="dxa"/>
          </w:tcPr>
          <w:p w:rsidRPr="009A75AE" w:rsidR="00C07AB5" w:rsidP="009A75AE" w:rsidRDefault="00C07AB5">
            <w:pPr>
              <w:adjustRightInd w:val="0"/>
            </w:pPr>
            <w:r w:rsidRPr="009A75AE">
              <w:t>20/60</w:t>
            </w:r>
          </w:p>
        </w:tc>
        <w:tc>
          <w:tcPr>
            <w:tcW w:w="1260" w:type="dxa"/>
          </w:tcPr>
          <w:p w:rsidRPr="009A75AE" w:rsidR="00C07AB5" w:rsidP="009A75AE" w:rsidRDefault="00C07AB5">
            <w:pPr>
              <w:adjustRightInd w:val="0"/>
            </w:pPr>
            <w:r w:rsidRPr="009A75AE">
              <w:t>667</w:t>
            </w:r>
          </w:p>
        </w:tc>
      </w:tr>
      <w:tr w:rsidRPr="009A75AE" w:rsidR="00446C06" w:rsidTr="000A19E4">
        <w:tc>
          <w:tcPr>
            <w:tcW w:w="1704" w:type="dxa"/>
          </w:tcPr>
          <w:p w:rsidRPr="009A75AE" w:rsidR="00446C06" w:rsidP="00446C06" w:rsidRDefault="00446C06">
            <w:pPr>
              <w:adjustRightInd w:val="0"/>
            </w:pPr>
            <w:r w:rsidRPr="009A75AE">
              <w:t xml:space="preserve">Applicants Requesting  to Import Biological Agents, Infectious Substances and Vectors </w:t>
            </w:r>
          </w:p>
        </w:tc>
        <w:tc>
          <w:tcPr>
            <w:tcW w:w="2366" w:type="dxa"/>
          </w:tcPr>
          <w:p w:rsidRPr="009A75AE" w:rsidR="00446C06" w:rsidP="00446C06" w:rsidRDefault="00446C06">
            <w:pPr>
              <w:adjustRightInd w:val="0"/>
            </w:pPr>
            <w:r w:rsidRPr="009A75AE">
              <w:t>Application for Permit to Import Biological Agents, Infectious Substances and Vectors of Human Disease into the United States</w:t>
            </w:r>
            <w:r>
              <w:t xml:space="preserve"> Guidance </w:t>
            </w:r>
          </w:p>
        </w:tc>
        <w:tc>
          <w:tcPr>
            <w:tcW w:w="1890" w:type="dxa"/>
          </w:tcPr>
          <w:p w:rsidRPr="009A75AE" w:rsidR="00446C06" w:rsidP="00446C06" w:rsidRDefault="00446C06">
            <w:pPr>
              <w:adjustRightInd w:val="0"/>
            </w:pPr>
            <w:r w:rsidRPr="009A75AE">
              <w:t>2000</w:t>
            </w:r>
          </w:p>
        </w:tc>
        <w:tc>
          <w:tcPr>
            <w:tcW w:w="1710" w:type="dxa"/>
          </w:tcPr>
          <w:p w:rsidRPr="009A75AE" w:rsidR="00446C06" w:rsidP="00446C06" w:rsidRDefault="00446C06">
            <w:pPr>
              <w:adjustRightInd w:val="0"/>
            </w:pPr>
            <w:r w:rsidRPr="009A75AE">
              <w:t>1</w:t>
            </w:r>
          </w:p>
        </w:tc>
        <w:tc>
          <w:tcPr>
            <w:tcW w:w="1440" w:type="dxa"/>
          </w:tcPr>
          <w:p w:rsidRPr="009A75AE" w:rsidR="00446C06" w:rsidP="00446C06" w:rsidRDefault="00446C06">
            <w:pPr>
              <w:adjustRightInd w:val="0"/>
            </w:pPr>
            <w:r>
              <w:t>1</w:t>
            </w:r>
            <w:r w:rsidRPr="009A75AE">
              <w:t>0/60</w:t>
            </w:r>
          </w:p>
        </w:tc>
        <w:tc>
          <w:tcPr>
            <w:tcW w:w="1260" w:type="dxa"/>
          </w:tcPr>
          <w:p w:rsidRPr="009A75AE" w:rsidR="00446C06" w:rsidP="00446C06" w:rsidRDefault="00B37571">
            <w:pPr>
              <w:adjustRightInd w:val="0"/>
            </w:pPr>
            <w:r>
              <w:t>333</w:t>
            </w:r>
          </w:p>
        </w:tc>
      </w:tr>
      <w:tr w:rsidRPr="009A75AE" w:rsidR="00446C06" w:rsidTr="000A19E4">
        <w:tc>
          <w:tcPr>
            <w:tcW w:w="1704" w:type="dxa"/>
          </w:tcPr>
          <w:p w:rsidRPr="009A75AE" w:rsidR="00446C06" w:rsidP="00446C06" w:rsidRDefault="00446C06">
            <w:pPr>
              <w:adjustRightInd w:val="0"/>
            </w:pPr>
            <w:r w:rsidRPr="009A75AE">
              <w:t xml:space="preserve">Applicants Requesting  to </w:t>
            </w:r>
            <w:r w:rsidRPr="009A75AE">
              <w:lastRenderedPageBreak/>
              <w:t xml:space="preserve">Import Biological Agents, Infectious Substances and Vectors </w:t>
            </w:r>
          </w:p>
        </w:tc>
        <w:tc>
          <w:tcPr>
            <w:tcW w:w="2366" w:type="dxa"/>
          </w:tcPr>
          <w:p w:rsidRPr="009A75AE" w:rsidR="00446C06" w:rsidP="00446C06" w:rsidRDefault="00446C06">
            <w:pPr>
              <w:adjustRightInd w:val="0"/>
            </w:pPr>
            <w:r w:rsidRPr="009A75AE">
              <w:lastRenderedPageBreak/>
              <w:t xml:space="preserve">Application for Permit to Import </w:t>
            </w:r>
            <w:r w:rsidRPr="009A75AE">
              <w:lastRenderedPageBreak/>
              <w:t>Biological Agents, Infectious Substances and Vectors of Human Disease into the United States-Subsequent Transfer</w:t>
            </w:r>
          </w:p>
        </w:tc>
        <w:tc>
          <w:tcPr>
            <w:tcW w:w="1890" w:type="dxa"/>
          </w:tcPr>
          <w:p w:rsidRPr="009A75AE" w:rsidR="00446C06" w:rsidP="00446C06" w:rsidRDefault="00446C06">
            <w:pPr>
              <w:adjustRightInd w:val="0"/>
            </w:pPr>
            <w:r w:rsidRPr="009A75AE">
              <w:lastRenderedPageBreak/>
              <w:t>380</w:t>
            </w:r>
          </w:p>
        </w:tc>
        <w:tc>
          <w:tcPr>
            <w:tcW w:w="1710" w:type="dxa"/>
          </w:tcPr>
          <w:p w:rsidRPr="009A75AE" w:rsidR="00446C06" w:rsidP="00446C06" w:rsidRDefault="00446C06">
            <w:pPr>
              <w:adjustRightInd w:val="0"/>
            </w:pPr>
            <w:r w:rsidRPr="009A75AE">
              <w:t>1</w:t>
            </w:r>
          </w:p>
        </w:tc>
        <w:tc>
          <w:tcPr>
            <w:tcW w:w="1440" w:type="dxa"/>
          </w:tcPr>
          <w:p w:rsidRPr="009A75AE" w:rsidR="00446C06" w:rsidP="00446C06" w:rsidRDefault="00446C06">
            <w:pPr>
              <w:adjustRightInd w:val="0"/>
            </w:pPr>
            <w:r w:rsidRPr="009A75AE">
              <w:t>50/60</w:t>
            </w:r>
          </w:p>
        </w:tc>
        <w:tc>
          <w:tcPr>
            <w:tcW w:w="1260" w:type="dxa"/>
          </w:tcPr>
          <w:p w:rsidRPr="009A75AE" w:rsidR="00446C06" w:rsidP="00446C06" w:rsidRDefault="00446C06">
            <w:pPr>
              <w:adjustRightInd w:val="0"/>
            </w:pPr>
            <w:r w:rsidRPr="009A75AE">
              <w:t>317</w:t>
            </w:r>
          </w:p>
        </w:tc>
      </w:tr>
      <w:tr w:rsidRPr="009A75AE" w:rsidR="00446C06" w:rsidTr="000A19E4">
        <w:tc>
          <w:tcPr>
            <w:tcW w:w="1704" w:type="dxa"/>
          </w:tcPr>
          <w:p w:rsidRPr="009A75AE" w:rsidR="00446C06" w:rsidP="00446C06" w:rsidRDefault="00446C06">
            <w:pPr>
              <w:adjustRightInd w:val="0"/>
            </w:pPr>
            <w:r w:rsidRPr="009A75AE">
              <w:t>Applicants Requesting to Import Live Bats</w:t>
            </w:r>
          </w:p>
        </w:tc>
        <w:tc>
          <w:tcPr>
            <w:tcW w:w="2366" w:type="dxa"/>
          </w:tcPr>
          <w:p w:rsidRPr="009A75AE" w:rsidR="00446C06" w:rsidP="00446C06" w:rsidRDefault="00446C06">
            <w:pPr>
              <w:adjustRightInd w:val="0"/>
            </w:pPr>
            <w:r w:rsidRPr="009A75AE">
              <w:t>Application for a Permit to Import Live Bats</w:t>
            </w:r>
          </w:p>
        </w:tc>
        <w:tc>
          <w:tcPr>
            <w:tcW w:w="1890" w:type="dxa"/>
          </w:tcPr>
          <w:p w:rsidRPr="009A75AE" w:rsidR="00446C06" w:rsidP="00446C06" w:rsidRDefault="00446C06">
            <w:pPr>
              <w:adjustRightInd w:val="0"/>
            </w:pPr>
            <w:r w:rsidRPr="009A75AE">
              <w:t>10</w:t>
            </w:r>
          </w:p>
        </w:tc>
        <w:tc>
          <w:tcPr>
            <w:tcW w:w="1710" w:type="dxa"/>
          </w:tcPr>
          <w:p w:rsidRPr="009A75AE" w:rsidR="00446C06" w:rsidP="00446C06" w:rsidRDefault="00446C06">
            <w:pPr>
              <w:adjustRightInd w:val="0"/>
            </w:pPr>
            <w:r w:rsidRPr="009A75AE">
              <w:t>1</w:t>
            </w:r>
          </w:p>
        </w:tc>
        <w:tc>
          <w:tcPr>
            <w:tcW w:w="1440" w:type="dxa"/>
          </w:tcPr>
          <w:p w:rsidRPr="009A75AE" w:rsidR="00446C06" w:rsidP="00446C06" w:rsidRDefault="00446C06">
            <w:pPr>
              <w:adjustRightInd w:val="0"/>
            </w:pPr>
            <w:r w:rsidRPr="009A75AE">
              <w:t>20/60</w:t>
            </w:r>
          </w:p>
        </w:tc>
        <w:tc>
          <w:tcPr>
            <w:tcW w:w="1260" w:type="dxa"/>
          </w:tcPr>
          <w:p w:rsidRPr="009A75AE" w:rsidR="00446C06" w:rsidP="00446C06" w:rsidRDefault="00446C06">
            <w:pPr>
              <w:adjustRightInd w:val="0"/>
            </w:pPr>
            <w:r w:rsidRPr="009A75AE">
              <w:t>3</w:t>
            </w:r>
          </w:p>
        </w:tc>
      </w:tr>
      <w:tr w:rsidRPr="009A75AE" w:rsidR="00B37571" w:rsidTr="000A19E4">
        <w:tc>
          <w:tcPr>
            <w:tcW w:w="1704" w:type="dxa"/>
          </w:tcPr>
          <w:p w:rsidRPr="009A75AE" w:rsidR="00B37571" w:rsidP="00B37571" w:rsidRDefault="00B37571">
            <w:pPr>
              <w:adjustRightInd w:val="0"/>
            </w:pPr>
            <w:r w:rsidRPr="009A75AE">
              <w:t>Applicants Requesting to Import Live Bats</w:t>
            </w:r>
          </w:p>
        </w:tc>
        <w:tc>
          <w:tcPr>
            <w:tcW w:w="2366" w:type="dxa"/>
          </w:tcPr>
          <w:p w:rsidRPr="009A75AE" w:rsidR="00B37571" w:rsidP="00B37571" w:rsidRDefault="00B37571">
            <w:pPr>
              <w:adjustRightInd w:val="0"/>
            </w:pPr>
            <w:r w:rsidRPr="009A75AE">
              <w:t>Application for a Permit to Import Live Bats</w:t>
            </w:r>
            <w:r>
              <w:t xml:space="preserve"> Guidance</w:t>
            </w:r>
          </w:p>
        </w:tc>
        <w:tc>
          <w:tcPr>
            <w:tcW w:w="1890" w:type="dxa"/>
          </w:tcPr>
          <w:p w:rsidRPr="009A75AE" w:rsidR="00B37571" w:rsidP="00B37571" w:rsidRDefault="00B37571">
            <w:pPr>
              <w:adjustRightInd w:val="0"/>
            </w:pPr>
            <w:r w:rsidRPr="009A75AE">
              <w:t>10</w:t>
            </w:r>
          </w:p>
        </w:tc>
        <w:tc>
          <w:tcPr>
            <w:tcW w:w="1710" w:type="dxa"/>
          </w:tcPr>
          <w:p w:rsidRPr="009A75AE" w:rsidR="00B37571" w:rsidP="00B37571" w:rsidRDefault="00B37571">
            <w:pPr>
              <w:adjustRightInd w:val="0"/>
            </w:pPr>
            <w:r w:rsidRPr="009A75AE">
              <w:t>1</w:t>
            </w:r>
          </w:p>
        </w:tc>
        <w:tc>
          <w:tcPr>
            <w:tcW w:w="1440" w:type="dxa"/>
          </w:tcPr>
          <w:p w:rsidRPr="009A75AE" w:rsidR="00B37571" w:rsidP="00B37571" w:rsidRDefault="00B37571">
            <w:pPr>
              <w:adjustRightInd w:val="0"/>
            </w:pPr>
            <w:r>
              <w:t>1</w:t>
            </w:r>
            <w:r w:rsidRPr="009A75AE">
              <w:t>0/60</w:t>
            </w:r>
          </w:p>
        </w:tc>
        <w:tc>
          <w:tcPr>
            <w:tcW w:w="1260" w:type="dxa"/>
          </w:tcPr>
          <w:p w:rsidRPr="009A75AE" w:rsidR="00B37571" w:rsidP="00B37571" w:rsidRDefault="00651689">
            <w:pPr>
              <w:adjustRightInd w:val="0"/>
            </w:pPr>
            <w:r>
              <w:t>2</w:t>
            </w:r>
          </w:p>
        </w:tc>
      </w:tr>
      <w:tr w:rsidRPr="009A75AE" w:rsidR="002C4F76" w:rsidTr="000A19E4">
        <w:tc>
          <w:tcPr>
            <w:tcW w:w="1704" w:type="dxa"/>
          </w:tcPr>
          <w:p w:rsidRPr="009A75AE" w:rsidR="002C4F76" w:rsidP="00B37571" w:rsidRDefault="002C4F76">
            <w:pPr>
              <w:adjustRightInd w:val="0"/>
            </w:pPr>
            <w:r w:rsidRPr="002C4F76">
              <w:t>Applicants Requesting to Import Infectious Human Remains into the United States</w:t>
            </w:r>
          </w:p>
        </w:tc>
        <w:tc>
          <w:tcPr>
            <w:tcW w:w="2366" w:type="dxa"/>
          </w:tcPr>
          <w:p w:rsidRPr="009A75AE" w:rsidR="002C4F76" w:rsidP="00B37571" w:rsidRDefault="002C4F76">
            <w:pPr>
              <w:adjustRightInd w:val="0"/>
            </w:pPr>
            <w:r w:rsidRPr="002C4F76">
              <w:t>Application for Permit to Import Infectious Human Remains into the United States</w:t>
            </w:r>
          </w:p>
        </w:tc>
        <w:tc>
          <w:tcPr>
            <w:tcW w:w="1890" w:type="dxa"/>
          </w:tcPr>
          <w:p w:rsidRPr="009A75AE" w:rsidR="002C4F76" w:rsidP="00B37571" w:rsidRDefault="002C4F76">
            <w:pPr>
              <w:adjustRightInd w:val="0"/>
            </w:pPr>
            <w:r>
              <w:t>100</w:t>
            </w:r>
          </w:p>
        </w:tc>
        <w:tc>
          <w:tcPr>
            <w:tcW w:w="1710" w:type="dxa"/>
          </w:tcPr>
          <w:p w:rsidRPr="009A75AE" w:rsidR="002C4F76" w:rsidP="00B37571" w:rsidRDefault="002C4F76">
            <w:pPr>
              <w:adjustRightInd w:val="0"/>
            </w:pPr>
            <w:r>
              <w:t>1</w:t>
            </w:r>
          </w:p>
        </w:tc>
        <w:tc>
          <w:tcPr>
            <w:tcW w:w="1440" w:type="dxa"/>
          </w:tcPr>
          <w:p w:rsidR="002C4F76" w:rsidP="00B37571" w:rsidRDefault="002C4F76">
            <w:pPr>
              <w:adjustRightInd w:val="0"/>
            </w:pPr>
            <w:r>
              <w:t>20/60</w:t>
            </w:r>
          </w:p>
        </w:tc>
        <w:tc>
          <w:tcPr>
            <w:tcW w:w="1260" w:type="dxa"/>
          </w:tcPr>
          <w:p w:rsidR="002C4F76" w:rsidP="00B37571" w:rsidRDefault="002C4F76">
            <w:pPr>
              <w:adjustRightInd w:val="0"/>
            </w:pPr>
            <w:r>
              <w:t>33</w:t>
            </w:r>
          </w:p>
        </w:tc>
      </w:tr>
      <w:tr w:rsidRPr="009A75AE" w:rsidR="00B37571" w:rsidTr="000A19E4">
        <w:tc>
          <w:tcPr>
            <w:tcW w:w="1704" w:type="dxa"/>
          </w:tcPr>
          <w:p w:rsidRPr="009A75AE" w:rsidR="00B37571" w:rsidP="00B37571" w:rsidRDefault="00B37571">
            <w:pPr>
              <w:adjustRightInd w:val="0"/>
            </w:pPr>
            <w:r w:rsidRPr="009A75AE">
              <w:t>Total</w:t>
            </w:r>
          </w:p>
        </w:tc>
        <w:tc>
          <w:tcPr>
            <w:tcW w:w="2366" w:type="dxa"/>
          </w:tcPr>
          <w:p w:rsidRPr="009A75AE" w:rsidR="00B37571" w:rsidP="00B37571" w:rsidRDefault="00B37571">
            <w:pPr>
              <w:adjustRightInd w:val="0"/>
            </w:pPr>
          </w:p>
        </w:tc>
        <w:tc>
          <w:tcPr>
            <w:tcW w:w="1890" w:type="dxa"/>
          </w:tcPr>
          <w:p w:rsidRPr="009A75AE" w:rsidR="00B37571" w:rsidP="00B37571" w:rsidRDefault="00B37571">
            <w:pPr>
              <w:adjustRightInd w:val="0"/>
            </w:pPr>
          </w:p>
        </w:tc>
        <w:tc>
          <w:tcPr>
            <w:tcW w:w="1710" w:type="dxa"/>
          </w:tcPr>
          <w:p w:rsidRPr="009A75AE" w:rsidR="00B37571" w:rsidP="00B37571" w:rsidRDefault="00B37571">
            <w:pPr>
              <w:adjustRightInd w:val="0"/>
            </w:pPr>
          </w:p>
        </w:tc>
        <w:tc>
          <w:tcPr>
            <w:tcW w:w="1440" w:type="dxa"/>
          </w:tcPr>
          <w:p w:rsidRPr="009A75AE" w:rsidR="00B37571" w:rsidP="00B37571" w:rsidRDefault="00B37571">
            <w:pPr>
              <w:adjustRightInd w:val="0"/>
            </w:pPr>
          </w:p>
        </w:tc>
        <w:tc>
          <w:tcPr>
            <w:tcW w:w="1260" w:type="dxa"/>
          </w:tcPr>
          <w:p w:rsidRPr="009A75AE" w:rsidR="00B37571" w:rsidP="00651689" w:rsidRDefault="00E6313E">
            <w:pPr>
              <w:adjustRightInd w:val="0"/>
            </w:pPr>
            <w:r>
              <w:t>1</w:t>
            </w:r>
            <w:r w:rsidR="00EC21F3">
              <w:t>,</w:t>
            </w:r>
            <w:r>
              <w:t>3</w:t>
            </w:r>
            <w:r w:rsidR="002C4F76">
              <w:t>55</w:t>
            </w:r>
          </w:p>
        </w:tc>
      </w:tr>
    </w:tbl>
    <w:p w:rsidRPr="00DC7AAA" w:rsidR="00C07AB5" w:rsidP="002E31F3" w:rsidRDefault="00C07AB5">
      <w:pPr>
        <w:adjustRightInd w:val="0"/>
        <w:jc w:val="both"/>
      </w:pPr>
    </w:p>
    <w:p w:rsidRPr="00DC7AAA" w:rsidR="002E31F3" w:rsidP="002E31F3" w:rsidRDefault="002E31F3">
      <w:pPr>
        <w:pStyle w:val="Heading4"/>
        <w:spacing w:line="240" w:lineRule="auto"/>
        <w:rPr>
          <w:rFonts w:ascii="Times New Roman" w:hAnsi="Times New Roman"/>
          <w:b w:val="0"/>
          <w:i w:val="0"/>
          <w:color w:val="auto"/>
          <w:sz w:val="24"/>
          <w:szCs w:val="24"/>
        </w:rPr>
      </w:pPr>
      <w:bookmarkStart w:name="_Toc361747996" w:id="16"/>
      <w:r w:rsidRPr="00DC7AAA">
        <w:rPr>
          <w:rFonts w:ascii="Times New Roman" w:hAnsi="Times New Roman"/>
          <w:b w:val="0"/>
          <w:i w:val="0"/>
          <w:color w:val="auto"/>
          <w:sz w:val="24"/>
          <w:szCs w:val="24"/>
        </w:rPr>
        <w:t>Table A12B. Estimate</w:t>
      </w:r>
      <w:r w:rsidR="001C3300">
        <w:rPr>
          <w:rFonts w:ascii="Times New Roman" w:hAnsi="Times New Roman"/>
          <w:b w:val="0"/>
          <w:i w:val="0"/>
          <w:color w:val="auto"/>
          <w:sz w:val="24"/>
          <w:szCs w:val="24"/>
        </w:rPr>
        <w:t>d</w:t>
      </w:r>
      <w:r w:rsidRPr="00DC7AAA">
        <w:rPr>
          <w:rFonts w:ascii="Times New Roman" w:hAnsi="Times New Roman"/>
          <w:b w:val="0"/>
          <w:i w:val="0"/>
          <w:color w:val="auto"/>
          <w:sz w:val="24"/>
          <w:szCs w:val="24"/>
        </w:rPr>
        <w:t xml:space="preserve"> Annualized </w:t>
      </w:r>
      <w:r w:rsidR="001C3300">
        <w:rPr>
          <w:rFonts w:ascii="Times New Roman" w:hAnsi="Times New Roman"/>
          <w:b w:val="0"/>
          <w:i w:val="0"/>
          <w:color w:val="auto"/>
          <w:sz w:val="24"/>
          <w:szCs w:val="24"/>
        </w:rPr>
        <w:t xml:space="preserve">Burden </w:t>
      </w:r>
      <w:r w:rsidRPr="00DC7AAA">
        <w:rPr>
          <w:rFonts w:ascii="Times New Roman" w:hAnsi="Times New Roman"/>
          <w:b w:val="0"/>
          <w:i w:val="0"/>
          <w:color w:val="auto"/>
          <w:sz w:val="24"/>
          <w:szCs w:val="24"/>
        </w:rPr>
        <w:t>Cost</w:t>
      </w:r>
      <w:r w:rsidR="001C3300">
        <w:rPr>
          <w:rFonts w:ascii="Times New Roman" w:hAnsi="Times New Roman"/>
          <w:b w:val="0"/>
          <w:i w:val="0"/>
          <w:color w:val="auto"/>
          <w:sz w:val="24"/>
          <w:szCs w:val="24"/>
        </w:rPr>
        <w:t>s</w:t>
      </w:r>
      <w:r w:rsidRPr="00DC7AAA">
        <w:rPr>
          <w:rFonts w:ascii="Times New Roman" w:hAnsi="Times New Roman"/>
          <w:b w:val="0"/>
          <w:i w:val="0"/>
          <w:color w:val="auto"/>
          <w:sz w:val="24"/>
          <w:szCs w:val="24"/>
        </w:rPr>
        <w:t xml:space="preserve"> </w:t>
      </w:r>
      <w:bookmarkEnd w:id="16"/>
    </w:p>
    <w:p w:rsidRPr="00DC7AAA" w:rsidR="002E31F3" w:rsidP="002E31F3" w:rsidRDefault="002E31F3">
      <w:pPr>
        <w:adjustRightInd w:val="0"/>
      </w:pPr>
    </w:p>
    <w:tbl>
      <w:tblPr>
        <w:tblW w:w="10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1"/>
        <w:gridCol w:w="1603"/>
        <w:gridCol w:w="1418"/>
        <w:gridCol w:w="1406"/>
        <w:gridCol w:w="1158"/>
        <w:gridCol w:w="1120"/>
        <w:gridCol w:w="2142"/>
      </w:tblGrid>
      <w:tr w:rsidRPr="00DC7AAA" w:rsidR="002E31F3" w:rsidTr="009C3BCD">
        <w:tc>
          <w:tcPr>
            <w:tcW w:w="1521" w:type="dxa"/>
          </w:tcPr>
          <w:p w:rsidRPr="00DC7AAA" w:rsidR="002E31F3" w:rsidP="009C3BCD" w:rsidRDefault="002E31F3">
            <w:pPr>
              <w:adjustRightInd w:val="0"/>
            </w:pPr>
            <w:r w:rsidRPr="00DC7AAA">
              <w:t>Type of Respondent</w:t>
            </w:r>
          </w:p>
        </w:tc>
        <w:tc>
          <w:tcPr>
            <w:tcW w:w="1603" w:type="dxa"/>
          </w:tcPr>
          <w:p w:rsidRPr="00DC7AAA" w:rsidR="002E31F3" w:rsidP="009C3BCD" w:rsidRDefault="002E31F3">
            <w:pPr>
              <w:adjustRightInd w:val="0"/>
            </w:pPr>
            <w:r w:rsidRPr="00DC7AAA">
              <w:t>No. of Respondents</w:t>
            </w:r>
          </w:p>
        </w:tc>
        <w:tc>
          <w:tcPr>
            <w:tcW w:w="1418" w:type="dxa"/>
          </w:tcPr>
          <w:p w:rsidRPr="00DC7AAA" w:rsidR="002E31F3" w:rsidP="009C3BCD" w:rsidRDefault="002E31F3">
            <w:pPr>
              <w:adjustRightInd w:val="0"/>
            </w:pPr>
            <w:r w:rsidRPr="00DC7AAA">
              <w:t>No. Responses per Respondent</w:t>
            </w:r>
          </w:p>
        </w:tc>
        <w:tc>
          <w:tcPr>
            <w:tcW w:w="1406" w:type="dxa"/>
          </w:tcPr>
          <w:p w:rsidRPr="00DC7AAA" w:rsidR="002E31F3" w:rsidP="009C3BCD" w:rsidRDefault="002E31F3">
            <w:pPr>
              <w:adjustRightInd w:val="0"/>
            </w:pPr>
            <w:r w:rsidRPr="00DC7AAA">
              <w:t>Average Burden per Response (in hours)</w:t>
            </w:r>
          </w:p>
        </w:tc>
        <w:tc>
          <w:tcPr>
            <w:tcW w:w="1158" w:type="dxa"/>
          </w:tcPr>
          <w:p w:rsidRPr="00DC7AAA" w:rsidR="002E31F3" w:rsidP="009C3BCD" w:rsidRDefault="002E31F3">
            <w:pPr>
              <w:adjustRightInd w:val="0"/>
            </w:pPr>
            <w:r w:rsidRPr="00DC7AAA">
              <w:t>Total Burden Hours</w:t>
            </w:r>
          </w:p>
        </w:tc>
        <w:tc>
          <w:tcPr>
            <w:tcW w:w="1120" w:type="dxa"/>
          </w:tcPr>
          <w:p w:rsidRPr="00DC7AAA" w:rsidR="002E31F3" w:rsidP="009C3BCD" w:rsidRDefault="002E31F3">
            <w:pPr>
              <w:adjustRightInd w:val="0"/>
            </w:pPr>
            <w:r w:rsidRPr="00DC7AAA">
              <w:t>Hourly Wage Rates</w:t>
            </w:r>
          </w:p>
        </w:tc>
        <w:tc>
          <w:tcPr>
            <w:tcW w:w="2142" w:type="dxa"/>
          </w:tcPr>
          <w:p w:rsidRPr="00DC7AAA" w:rsidR="002E31F3" w:rsidP="009C3BCD" w:rsidRDefault="002E31F3">
            <w:pPr>
              <w:adjustRightInd w:val="0"/>
            </w:pPr>
            <w:r w:rsidRPr="00DC7AAA">
              <w:t>Total Respondent Costs</w:t>
            </w:r>
          </w:p>
        </w:tc>
      </w:tr>
      <w:tr w:rsidRPr="00DC7AAA" w:rsidR="002E31F3" w:rsidTr="009C3BCD">
        <w:tc>
          <w:tcPr>
            <w:tcW w:w="1521" w:type="dxa"/>
          </w:tcPr>
          <w:p w:rsidRPr="00DC7AAA" w:rsidR="002E31F3" w:rsidP="009C3BCD" w:rsidRDefault="002E31F3">
            <w:pPr>
              <w:adjustRightInd w:val="0"/>
            </w:pPr>
            <w:r w:rsidRPr="00DC7AAA">
              <w:t>Applicants</w:t>
            </w:r>
            <w:r w:rsidR="00EC21F3">
              <w:t xml:space="preserve"> for Biological Agents – Application and Guidance</w:t>
            </w:r>
          </w:p>
        </w:tc>
        <w:tc>
          <w:tcPr>
            <w:tcW w:w="1603" w:type="dxa"/>
          </w:tcPr>
          <w:p w:rsidRPr="00DC7AAA" w:rsidR="002E31F3" w:rsidP="009C3BCD" w:rsidRDefault="00FF0599">
            <w:pPr>
              <w:adjustRightInd w:val="0"/>
            </w:pPr>
            <w:r>
              <w:t>2000</w:t>
            </w:r>
          </w:p>
        </w:tc>
        <w:tc>
          <w:tcPr>
            <w:tcW w:w="1418" w:type="dxa"/>
          </w:tcPr>
          <w:p w:rsidRPr="00DC7AAA" w:rsidR="002E31F3" w:rsidP="009C3BCD" w:rsidRDefault="002E31F3">
            <w:pPr>
              <w:adjustRightInd w:val="0"/>
            </w:pPr>
            <w:r w:rsidRPr="00DC7AAA">
              <w:t>1</w:t>
            </w:r>
          </w:p>
        </w:tc>
        <w:tc>
          <w:tcPr>
            <w:tcW w:w="1406" w:type="dxa"/>
          </w:tcPr>
          <w:p w:rsidRPr="00DC7AAA" w:rsidR="002E31F3" w:rsidP="009C3BCD" w:rsidRDefault="00EE21D7">
            <w:pPr>
              <w:adjustRightInd w:val="0"/>
            </w:pPr>
            <w:r>
              <w:t>3</w:t>
            </w:r>
            <w:r w:rsidRPr="00DC7AAA" w:rsidR="002E31F3">
              <w:t>0/60</w:t>
            </w:r>
          </w:p>
        </w:tc>
        <w:tc>
          <w:tcPr>
            <w:tcW w:w="1158" w:type="dxa"/>
          </w:tcPr>
          <w:p w:rsidRPr="00DC7AAA" w:rsidR="002E31F3" w:rsidP="009C3BCD" w:rsidRDefault="00C97219">
            <w:pPr>
              <w:adjustRightInd w:val="0"/>
            </w:pPr>
            <w:r>
              <w:t>1000</w:t>
            </w:r>
          </w:p>
        </w:tc>
        <w:tc>
          <w:tcPr>
            <w:tcW w:w="1120" w:type="dxa"/>
          </w:tcPr>
          <w:p w:rsidRPr="00DC7AAA" w:rsidR="002E31F3" w:rsidP="009C3BCD" w:rsidRDefault="002E31F3">
            <w:pPr>
              <w:adjustRightInd w:val="0"/>
            </w:pPr>
            <w:r w:rsidRPr="00DC7AAA">
              <w:t>28.87</w:t>
            </w:r>
          </w:p>
        </w:tc>
        <w:tc>
          <w:tcPr>
            <w:tcW w:w="2142" w:type="dxa"/>
          </w:tcPr>
          <w:p w:rsidRPr="00DC7AAA" w:rsidR="002E31F3" w:rsidP="00C97219" w:rsidRDefault="002E31F3">
            <w:pPr>
              <w:adjustRightInd w:val="0"/>
            </w:pPr>
            <w:r w:rsidRPr="00DC7AAA">
              <w:t>$</w:t>
            </w:r>
            <w:r w:rsidR="00DD7D87">
              <w:t>38,240</w:t>
            </w:r>
            <w:r w:rsidR="00C97219">
              <w:t>.00</w:t>
            </w:r>
          </w:p>
        </w:tc>
      </w:tr>
      <w:tr w:rsidRPr="00DC7AAA" w:rsidR="00EE21D7" w:rsidTr="009C3BCD">
        <w:tc>
          <w:tcPr>
            <w:tcW w:w="1521" w:type="dxa"/>
          </w:tcPr>
          <w:p w:rsidRPr="00DC7AAA" w:rsidR="00EE21D7" w:rsidP="009C3BCD" w:rsidRDefault="00EE21D7">
            <w:pPr>
              <w:adjustRightInd w:val="0"/>
            </w:pPr>
            <w:r>
              <w:t xml:space="preserve">Subsequent Transfer </w:t>
            </w:r>
          </w:p>
        </w:tc>
        <w:tc>
          <w:tcPr>
            <w:tcW w:w="1603" w:type="dxa"/>
          </w:tcPr>
          <w:p w:rsidRPr="00DC7AAA" w:rsidR="00EE21D7" w:rsidP="009C3BCD" w:rsidRDefault="00C53044">
            <w:pPr>
              <w:adjustRightInd w:val="0"/>
            </w:pPr>
            <w:r>
              <w:t>380</w:t>
            </w:r>
          </w:p>
        </w:tc>
        <w:tc>
          <w:tcPr>
            <w:tcW w:w="1418" w:type="dxa"/>
          </w:tcPr>
          <w:p w:rsidRPr="00DC7AAA" w:rsidR="00EE21D7" w:rsidP="009C3BCD" w:rsidRDefault="00C53044">
            <w:pPr>
              <w:adjustRightInd w:val="0"/>
            </w:pPr>
            <w:r>
              <w:t>1</w:t>
            </w:r>
          </w:p>
        </w:tc>
        <w:tc>
          <w:tcPr>
            <w:tcW w:w="1406" w:type="dxa"/>
          </w:tcPr>
          <w:p w:rsidR="00EE21D7" w:rsidP="009C3BCD" w:rsidRDefault="00C53044">
            <w:pPr>
              <w:adjustRightInd w:val="0"/>
            </w:pPr>
            <w:r>
              <w:t>50/60</w:t>
            </w:r>
          </w:p>
        </w:tc>
        <w:tc>
          <w:tcPr>
            <w:tcW w:w="1158" w:type="dxa"/>
          </w:tcPr>
          <w:p w:rsidRPr="00DC7AAA" w:rsidR="00EE21D7" w:rsidP="009C3BCD" w:rsidRDefault="00C53044">
            <w:pPr>
              <w:adjustRightInd w:val="0"/>
            </w:pPr>
            <w:r>
              <w:t>317</w:t>
            </w:r>
          </w:p>
        </w:tc>
        <w:tc>
          <w:tcPr>
            <w:tcW w:w="1120" w:type="dxa"/>
          </w:tcPr>
          <w:p w:rsidRPr="00DC7AAA" w:rsidR="00EE21D7" w:rsidP="009C3BCD" w:rsidRDefault="00C53044">
            <w:pPr>
              <w:adjustRightInd w:val="0"/>
            </w:pPr>
            <w:r>
              <w:t>28.87</w:t>
            </w:r>
          </w:p>
        </w:tc>
        <w:tc>
          <w:tcPr>
            <w:tcW w:w="2142" w:type="dxa"/>
          </w:tcPr>
          <w:p w:rsidRPr="00DC7AAA" w:rsidR="00EE21D7" w:rsidP="009C3BCD" w:rsidRDefault="007E3FBE">
            <w:pPr>
              <w:adjustRightInd w:val="0"/>
            </w:pPr>
            <w:r>
              <w:t xml:space="preserve">$  </w:t>
            </w:r>
            <w:r w:rsidR="00DD7D87">
              <w:t>12,122.08</w:t>
            </w:r>
          </w:p>
        </w:tc>
      </w:tr>
      <w:tr w:rsidRPr="00DC7AAA" w:rsidR="002E31F3" w:rsidTr="009C3BCD">
        <w:tc>
          <w:tcPr>
            <w:tcW w:w="1521" w:type="dxa"/>
          </w:tcPr>
          <w:p w:rsidRPr="00DC7AAA" w:rsidR="002E31F3" w:rsidP="009C3BCD" w:rsidRDefault="002E31F3">
            <w:pPr>
              <w:adjustRightInd w:val="0"/>
            </w:pPr>
            <w:r w:rsidRPr="00DC7AAA">
              <w:t>Applicants</w:t>
            </w:r>
            <w:r w:rsidR="00EC21F3">
              <w:t xml:space="preserve"> for Bats – Application and Guidance</w:t>
            </w:r>
          </w:p>
        </w:tc>
        <w:tc>
          <w:tcPr>
            <w:tcW w:w="1603" w:type="dxa"/>
          </w:tcPr>
          <w:p w:rsidRPr="00DC7AAA" w:rsidR="002E31F3" w:rsidP="009C3BCD" w:rsidRDefault="002E31F3">
            <w:pPr>
              <w:adjustRightInd w:val="0"/>
            </w:pPr>
            <w:r>
              <w:t xml:space="preserve">    </w:t>
            </w:r>
            <w:r w:rsidRPr="00DC7AAA">
              <w:t>10</w:t>
            </w:r>
          </w:p>
        </w:tc>
        <w:tc>
          <w:tcPr>
            <w:tcW w:w="1418" w:type="dxa"/>
          </w:tcPr>
          <w:p w:rsidRPr="00DC7AAA" w:rsidR="002E31F3" w:rsidP="009C3BCD" w:rsidRDefault="002E31F3">
            <w:pPr>
              <w:adjustRightInd w:val="0"/>
            </w:pPr>
            <w:r w:rsidRPr="00DC7AAA">
              <w:t>1</w:t>
            </w:r>
          </w:p>
        </w:tc>
        <w:tc>
          <w:tcPr>
            <w:tcW w:w="1406" w:type="dxa"/>
          </w:tcPr>
          <w:p w:rsidRPr="00DC7AAA" w:rsidR="002E31F3" w:rsidP="009C3BCD" w:rsidRDefault="00EE21D7">
            <w:pPr>
              <w:adjustRightInd w:val="0"/>
            </w:pPr>
            <w:r>
              <w:t>3</w:t>
            </w:r>
            <w:r w:rsidRPr="00DC7AAA" w:rsidR="002E31F3">
              <w:t>0/60</w:t>
            </w:r>
          </w:p>
        </w:tc>
        <w:tc>
          <w:tcPr>
            <w:tcW w:w="1158" w:type="dxa"/>
          </w:tcPr>
          <w:p w:rsidRPr="00DC7AAA" w:rsidR="002E31F3" w:rsidP="00864178" w:rsidRDefault="002E31F3">
            <w:pPr>
              <w:adjustRightInd w:val="0"/>
            </w:pPr>
            <w:r>
              <w:t xml:space="preserve">   </w:t>
            </w:r>
            <w:r w:rsidR="007E3FBE">
              <w:t xml:space="preserve"> </w:t>
            </w:r>
            <w:r w:rsidR="00864178">
              <w:t>5</w:t>
            </w:r>
          </w:p>
        </w:tc>
        <w:tc>
          <w:tcPr>
            <w:tcW w:w="1120" w:type="dxa"/>
          </w:tcPr>
          <w:p w:rsidRPr="00DC7AAA" w:rsidR="002E31F3" w:rsidP="009C3BCD" w:rsidRDefault="002E31F3">
            <w:pPr>
              <w:adjustRightInd w:val="0"/>
            </w:pPr>
            <w:r w:rsidRPr="00DC7AAA">
              <w:t>28.87</w:t>
            </w:r>
          </w:p>
        </w:tc>
        <w:tc>
          <w:tcPr>
            <w:tcW w:w="2142" w:type="dxa"/>
          </w:tcPr>
          <w:p w:rsidRPr="00DC7AAA" w:rsidR="002E31F3" w:rsidP="007E3FBE" w:rsidRDefault="002E31F3">
            <w:pPr>
              <w:adjustRightInd w:val="0"/>
            </w:pPr>
            <w:r>
              <w:t xml:space="preserve">     </w:t>
            </w:r>
            <w:r w:rsidRPr="00DC7AAA">
              <w:t>$</w:t>
            </w:r>
            <w:r w:rsidR="00DD7D87">
              <w:t>191.20</w:t>
            </w:r>
          </w:p>
        </w:tc>
      </w:tr>
      <w:tr w:rsidRPr="00DC7AAA" w:rsidR="00F6185E" w:rsidTr="009C3BCD">
        <w:tc>
          <w:tcPr>
            <w:tcW w:w="1521" w:type="dxa"/>
          </w:tcPr>
          <w:p w:rsidRPr="00DC7AAA" w:rsidR="00F6185E" w:rsidP="009C3BCD" w:rsidRDefault="00F6185E">
            <w:pPr>
              <w:adjustRightInd w:val="0"/>
            </w:pPr>
            <w:r w:rsidRPr="00F6185E">
              <w:t xml:space="preserve">Applicants </w:t>
            </w:r>
            <w:r w:rsidRPr="00F6185E">
              <w:lastRenderedPageBreak/>
              <w:t>Requesting to Import Infectious Human Remains into the United States</w:t>
            </w:r>
          </w:p>
        </w:tc>
        <w:tc>
          <w:tcPr>
            <w:tcW w:w="1603" w:type="dxa"/>
          </w:tcPr>
          <w:p w:rsidR="00F6185E" w:rsidP="009C3BCD" w:rsidRDefault="00F6185E">
            <w:pPr>
              <w:adjustRightInd w:val="0"/>
            </w:pPr>
            <w:r>
              <w:lastRenderedPageBreak/>
              <w:t>100</w:t>
            </w:r>
          </w:p>
        </w:tc>
        <w:tc>
          <w:tcPr>
            <w:tcW w:w="1418" w:type="dxa"/>
          </w:tcPr>
          <w:p w:rsidRPr="00DC7AAA" w:rsidR="00F6185E" w:rsidP="009C3BCD" w:rsidRDefault="00F6185E">
            <w:pPr>
              <w:adjustRightInd w:val="0"/>
            </w:pPr>
            <w:r>
              <w:t>1</w:t>
            </w:r>
          </w:p>
        </w:tc>
        <w:tc>
          <w:tcPr>
            <w:tcW w:w="1406" w:type="dxa"/>
          </w:tcPr>
          <w:p w:rsidR="00F6185E" w:rsidP="009C3BCD" w:rsidRDefault="00F6185E">
            <w:pPr>
              <w:adjustRightInd w:val="0"/>
            </w:pPr>
            <w:r>
              <w:t>20/60</w:t>
            </w:r>
          </w:p>
        </w:tc>
        <w:tc>
          <w:tcPr>
            <w:tcW w:w="1158" w:type="dxa"/>
          </w:tcPr>
          <w:p w:rsidR="00F6185E" w:rsidP="00864178" w:rsidRDefault="00F6185E">
            <w:pPr>
              <w:adjustRightInd w:val="0"/>
            </w:pPr>
            <w:r>
              <w:t>33</w:t>
            </w:r>
          </w:p>
        </w:tc>
        <w:tc>
          <w:tcPr>
            <w:tcW w:w="1120" w:type="dxa"/>
          </w:tcPr>
          <w:p w:rsidRPr="00DC7AAA" w:rsidR="00F6185E" w:rsidP="009C3BCD" w:rsidRDefault="00F6185E">
            <w:pPr>
              <w:adjustRightInd w:val="0"/>
            </w:pPr>
            <w:r>
              <w:t>38.24</w:t>
            </w:r>
          </w:p>
        </w:tc>
        <w:tc>
          <w:tcPr>
            <w:tcW w:w="2142" w:type="dxa"/>
          </w:tcPr>
          <w:p w:rsidR="00F6185E" w:rsidP="007E3FBE" w:rsidRDefault="00F6185E">
            <w:pPr>
              <w:adjustRightInd w:val="0"/>
            </w:pPr>
            <w:r>
              <w:t>1273.89</w:t>
            </w:r>
          </w:p>
        </w:tc>
      </w:tr>
      <w:tr w:rsidRPr="00DC7AAA" w:rsidR="002E31F3" w:rsidTr="009C3BCD">
        <w:tc>
          <w:tcPr>
            <w:tcW w:w="1521" w:type="dxa"/>
          </w:tcPr>
          <w:p w:rsidRPr="00DC7AAA" w:rsidR="002E31F3" w:rsidP="009C3BCD" w:rsidRDefault="002E31F3">
            <w:pPr>
              <w:adjustRightInd w:val="0"/>
            </w:pPr>
            <w:r w:rsidRPr="00DC7AAA">
              <w:t>Total</w:t>
            </w:r>
          </w:p>
        </w:tc>
        <w:tc>
          <w:tcPr>
            <w:tcW w:w="1603" w:type="dxa"/>
          </w:tcPr>
          <w:p w:rsidRPr="00DC7AAA" w:rsidR="002E31F3" w:rsidP="009C3BCD" w:rsidRDefault="002E31F3">
            <w:pPr>
              <w:adjustRightInd w:val="0"/>
            </w:pPr>
          </w:p>
        </w:tc>
        <w:tc>
          <w:tcPr>
            <w:tcW w:w="1418" w:type="dxa"/>
          </w:tcPr>
          <w:p w:rsidRPr="00DC7AAA" w:rsidR="002E31F3" w:rsidP="009C3BCD" w:rsidRDefault="002E31F3">
            <w:pPr>
              <w:adjustRightInd w:val="0"/>
            </w:pPr>
          </w:p>
        </w:tc>
        <w:tc>
          <w:tcPr>
            <w:tcW w:w="1406" w:type="dxa"/>
          </w:tcPr>
          <w:p w:rsidRPr="00DC7AAA" w:rsidR="002E31F3" w:rsidP="009C3BCD" w:rsidRDefault="002E31F3">
            <w:pPr>
              <w:adjustRightInd w:val="0"/>
            </w:pPr>
          </w:p>
        </w:tc>
        <w:tc>
          <w:tcPr>
            <w:tcW w:w="1158" w:type="dxa"/>
          </w:tcPr>
          <w:p w:rsidRPr="00DC7AAA" w:rsidR="002E31F3" w:rsidP="00864178" w:rsidRDefault="00413249">
            <w:pPr>
              <w:adjustRightInd w:val="0"/>
            </w:pPr>
            <w:r>
              <w:t>132</w:t>
            </w:r>
            <w:r w:rsidR="00864178">
              <w:t>2</w:t>
            </w:r>
          </w:p>
        </w:tc>
        <w:tc>
          <w:tcPr>
            <w:tcW w:w="1120" w:type="dxa"/>
          </w:tcPr>
          <w:p w:rsidRPr="00DC7AAA" w:rsidR="002E31F3" w:rsidP="009C3BCD" w:rsidRDefault="002E31F3">
            <w:pPr>
              <w:adjustRightInd w:val="0"/>
            </w:pPr>
          </w:p>
        </w:tc>
        <w:tc>
          <w:tcPr>
            <w:tcW w:w="2142" w:type="dxa"/>
          </w:tcPr>
          <w:p w:rsidRPr="00DC7AAA" w:rsidR="002E31F3" w:rsidP="007F49F0" w:rsidRDefault="002E31F3">
            <w:pPr>
              <w:adjustRightInd w:val="0"/>
            </w:pPr>
            <w:r w:rsidRPr="00DC7AAA">
              <w:t>$</w:t>
            </w:r>
            <w:r w:rsidR="00DD7D87">
              <w:t>51,815</w:t>
            </w:r>
          </w:p>
        </w:tc>
      </w:tr>
    </w:tbl>
    <w:p w:rsidRPr="00DC7AAA" w:rsidR="002E31F3" w:rsidP="002E31F3" w:rsidRDefault="002E31F3">
      <w:pPr>
        <w:adjustRightInd w:val="0"/>
        <w:rPr>
          <w:bCs/>
        </w:rPr>
      </w:pPr>
    </w:p>
    <w:p w:rsidRPr="00DC7AAA" w:rsidR="002E31F3" w:rsidP="002E31F3" w:rsidRDefault="002E31F3">
      <w:pPr>
        <w:adjustRightInd w:val="0"/>
        <w:jc w:val="both"/>
        <w:rPr>
          <w:bCs/>
        </w:rPr>
      </w:pPr>
      <w:r w:rsidRPr="00DC7AAA">
        <w:rPr>
          <w:bCs/>
        </w:rPr>
        <w:t>To estimate costs to respondents, CDC assumed that the hourly burden rate would be evenly split between managerial staff and clerical staff.  CDC assumed an average hourly respondent labor rate (including fringe and overhead) of $</w:t>
      </w:r>
      <w:r w:rsidR="00DD7D87">
        <w:rPr>
          <w:bCs/>
        </w:rPr>
        <w:t>59.56</w:t>
      </w:r>
      <w:r w:rsidRPr="00DC7AAA">
        <w:rPr>
          <w:bCs/>
        </w:rPr>
        <w:t xml:space="preserve"> for managerial staff</w:t>
      </w:r>
      <w:r>
        <w:rPr>
          <w:bCs/>
        </w:rPr>
        <w:t xml:space="preserve"> (e.g., researchers)</w:t>
      </w:r>
      <w:r w:rsidRPr="00DC7AAA">
        <w:rPr>
          <w:bCs/>
        </w:rPr>
        <w:t xml:space="preserve"> and $</w:t>
      </w:r>
      <w:r w:rsidR="00DD7D87">
        <w:rPr>
          <w:bCs/>
        </w:rPr>
        <w:t>16.92</w:t>
      </w:r>
      <w:r w:rsidRPr="00DC7AAA">
        <w:rPr>
          <w:bCs/>
        </w:rPr>
        <w:t xml:space="preserve"> for clerical staff</w:t>
      </w:r>
      <w:r>
        <w:rPr>
          <w:bCs/>
        </w:rPr>
        <w:t xml:space="preserve"> (e.g., graduate students/assistants)</w:t>
      </w:r>
      <w:r w:rsidRPr="00DC7AAA">
        <w:rPr>
          <w:bCs/>
        </w:rPr>
        <w:t>.  To calculate the mean hourly rate, we averaged these two figures for an hourly wage rate of $</w:t>
      </w:r>
      <w:r w:rsidR="00DD7D87">
        <w:rPr>
          <w:bCs/>
        </w:rPr>
        <w:t>38.24</w:t>
      </w:r>
      <w:r w:rsidRPr="00DC7AAA">
        <w:rPr>
          <w:bCs/>
        </w:rPr>
        <w:t xml:space="preserve">.  These rates were obtained from the Bureau of Labor Statistics, from the </w:t>
      </w:r>
      <w:r w:rsidRPr="00E87789">
        <w:rPr>
          <w:bCs/>
          <w:i/>
        </w:rPr>
        <w:t>20</w:t>
      </w:r>
      <w:r>
        <w:rPr>
          <w:bCs/>
          <w:i/>
        </w:rPr>
        <w:t>1</w:t>
      </w:r>
      <w:r w:rsidR="00AD62AC">
        <w:rPr>
          <w:bCs/>
          <w:i/>
        </w:rPr>
        <w:t>6</w:t>
      </w:r>
      <w:r w:rsidRPr="00E87789">
        <w:rPr>
          <w:bCs/>
          <w:i/>
        </w:rPr>
        <w:t xml:space="preserve"> Occupational Employment Statistics Survey by Occupation </w:t>
      </w:r>
      <w:r w:rsidRPr="00BA22DB">
        <w:rPr>
          <w:bCs/>
        </w:rPr>
        <w:t>(</w:t>
      </w:r>
      <w:hyperlink w:history="1" r:id="rId10">
        <w:r w:rsidRPr="00BA22DB">
          <w:rPr>
            <w:rStyle w:val="Hyperlink"/>
            <w:bCs/>
          </w:rPr>
          <w:t>http://www.bls.go</w:t>
        </w:r>
        <w:r w:rsidRPr="00BA22DB">
          <w:rPr>
            <w:rStyle w:val="Hyperlink"/>
            <w:bCs/>
          </w:rPr>
          <w:t>v</w:t>
        </w:r>
        <w:r w:rsidRPr="00BA22DB">
          <w:rPr>
            <w:rStyle w:val="Hyperlink"/>
            <w:bCs/>
          </w:rPr>
          <w:t>/oes/</w:t>
        </w:r>
      </w:hyperlink>
      <w:r w:rsidRPr="00BA22DB">
        <w:rPr>
          <w:bCs/>
        </w:rPr>
        <w:t>)</w:t>
      </w:r>
      <w:r w:rsidRPr="00DC7AAA">
        <w:rPr>
          <w:bCs/>
        </w:rPr>
        <w:t>.</w:t>
      </w:r>
    </w:p>
    <w:p w:rsidRPr="00177C1F" w:rsidR="00BA550E" w:rsidP="007F3FE5" w:rsidRDefault="00BA550E">
      <w:pPr>
        <w:widowControl/>
        <w:contextualSpacing/>
      </w:pPr>
    </w:p>
    <w:p w:rsidRPr="00177C1F" w:rsidR="00BA550E" w:rsidP="00177C1F" w:rsidRDefault="00793601">
      <w:pPr>
        <w:pStyle w:val="Heading3"/>
        <w:rPr>
          <w:rFonts w:ascii="Times New Roman" w:hAnsi="Times New Roman"/>
          <w:color w:val="auto"/>
          <w:sz w:val="24"/>
          <w:szCs w:val="24"/>
        </w:rPr>
      </w:pPr>
      <w:bookmarkStart w:name="_Toc496868011" w:id="17"/>
      <w:r w:rsidRPr="00177C1F">
        <w:rPr>
          <w:rFonts w:ascii="Times New Roman" w:hAnsi="Times New Roman"/>
          <w:color w:val="auto"/>
          <w:sz w:val="24"/>
          <w:szCs w:val="24"/>
        </w:rPr>
        <w:t>13.  Estimates of Other Total Annual Cost Burden to Respondents or Record keepers</w:t>
      </w:r>
      <w:bookmarkEnd w:id="17"/>
    </w:p>
    <w:p w:rsidRPr="00177C1F" w:rsidR="00BA550E" w:rsidP="007F3FE5" w:rsidRDefault="00BA550E">
      <w:pPr>
        <w:widowControl/>
        <w:contextualSpacing/>
        <w:rPr>
          <w:bCs/>
        </w:rPr>
      </w:pPr>
    </w:p>
    <w:p w:rsidRPr="00DC7AAA" w:rsidR="003A263C" w:rsidP="003A263C" w:rsidRDefault="003A263C">
      <w:pPr>
        <w:adjustRightInd w:val="0"/>
        <w:jc w:val="both"/>
      </w:pPr>
      <w:r w:rsidRPr="00DC7AAA">
        <w:t>Respondents incur no capital or maintenance costs.  The only costs incurred to respondents are those associated with telephone calls, mailing, and fax transmissions.  All of these costs are part of normal business expenses.</w:t>
      </w:r>
    </w:p>
    <w:p w:rsidRPr="00177C1F" w:rsidR="00BA550E" w:rsidP="007F3FE5" w:rsidRDefault="00793601">
      <w:pPr>
        <w:widowControl/>
        <w:contextualSpacing/>
        <w:rPr>
          <w:bCs/>
        </w:rPr>
      </w:pPr>
      <w:r w:rsidRPr="00177C1F">
        <w:rPr>
          <w:bCs/>
        </w:rPr>
        <w:t xml:space="preserve"> </w:t>
      </w:r>
    </w:p>
    <w:p w:rsidRPr="00CA28BC" w:rsidR="00BA550E" w:rsidP="00177C1F" w:rsidRDefault="00793601">
      <w:pPr>
        <w:pStyle w:val="Heading3"/>
        <w:rPr>
          <w:rFonts w:ascii="Times New Roman" w:hAnsi="Times New Roman"/>
          <w:color w:val="auto"/>
          <w:sz w:val="24"/>
          <w:szCs w:val="24"/>
        </w:rPr>
      </w:pPr>
      <w:bookmarkStart w:name="_Toc496868012" w:id="18"/>
      <w:r w:rsidRPr="00CA28BC">
        <w:rPr>
          <w:rFonts w:ascii="Times New Roman" w:hAnsi="Times New Roman"/>
          <w:color w:val="auto"/>
          <w:sz w:val="24"/>
          <w:szCs w:val="24"/>
        </w:rPr>
        <w:t>14.  Annualized Cost to the Government</w:t>
      </w:r>
      <w:bookmarkEnd w:id="18"/>
    </w:p>
    <w:p w:rsidRPr="00CA28BC" w:rsidR="00BA550E" w:rsidP="007F3FE5" w:rsidRDefault="00BA550E">
      <w:pPr>
        <w:widowControl/>
        <w:contextualSpacing/>
        <w:rPr>
          <w:bCs/>
        </w:rPr>
      </w:pPr>
    </w:p>
    <w:p w:rsidRPr="00DC7AAA" w:rsidR="003A263C" w:rsidP="003A263C" w:rsidRDefault="003A263C">
      <w:pPr>
        <w:jc w:val="both"/>
      </w:pPr>
      <w:r w:rsidRPr="00DC7AAA">
        <w:rPr>
          <w:bCs/>
        </w:rPr>
        <w:t>The total estimated cost for implementing these regulatory activities for fiscal year 201</w:t>
      </w:r>
      <w:r w:rsidR="00AD62AC">
        <w:rPr>
          <w:bCs/>
        </w:rPr>
        <w:t>7</w:t>
      </w:r>
      <w:r w:rsidRPr="00DC7AAA">
        <w:rPr>
          <w:bCs/>
        </w:rPr>
        <w:t xml:space="preserve"> is </w:t>
      </w:r>
      <w:r w:rsidRPr="00DC7AAA">
        <w:t xml:space="preserve">$1,335,495.  </w:t>
      </w:r>
      <w:r w:rsidRPr="00DC7AAA">
        <w:rPr>
          <w:bCs/>
        </w:rPr>
        <w:t>This estimate includes 6 full-time Federal Employees (FTE) currently working in the import permit program</w:t>
      </w:r>
      <w:r>
        <w:rPr>
          <w:bCs/>
        </w:rPr>
        <w:t xml:space="preserve">.  It also accounts for the program performing 23 inspections per year with two inspectors at a cost of $2000 per inspection.  Additional costs incurred by the program are </w:t>
      </w:r>
      <w:r w:rsidRPr="00DC7AAA">
        <w:rPr>
          <w:bCs/>
        </w:rPr>
        <w:t xml:space="preserve">costs as shown below. </w:t>
      </w:r>
    </w:p>
    <w:p w:rsidRPr="00DC7AAA" w:rsidR="003A263C" w:rsidP="003A263C" w:rsidRDefault="003A263C">
      <w:pPr>
        <w:jc w:val="both"/>
        <w:rPr>
          <w:bCs/>
        </w:rPr>
      </w:pPr>
    </w:p>
    <w:p w:rsidRPr="00DC7AAA" w:rsidR="003A263C" w:rsidP="003A263C" w:rsidRDefault="003A263C">
      <w:pPr>
        <w:jc w:val="center"/>
        <w:rPr>
          <w:bCs/>
        </w:rPr>
      </w:pPr>
      <w:r w:rsidRPr="00DC7AAA">
        <w:rPr>
          <w:bCs/>
        </w:rPr>
        <w:t>FY 201</w:t>
      </w:r>
      <w:r>
        <w:rPr>
          <w:bCs/>
        </w:rPr>
        <w:t>6</w:t>
      </w:r>
      <w:r w:rsidRPr="00DC7AAA">
        <w:rPr>
          <w:bCs/>
        </w:rPr>
        <w:t xml:space="preserve"> Annualized Government Cost</w:t>
      </w:r>
    </w:p>
    <w:p w:rsidRPr="00DC7AAA" w:rsidR="003A263C" w:rsidP="003A263C" w:rsidRDefault="003A263C">
      <w:pPr>
        <w:jc w:val="both"/>
      </w:pPr>
    </w:p>
    <w:p w:rsidRPr="00DC7AAA" w:rsidR="003A263C" w:rsidP="003A263C" w:rsidRDefault="003A263C">
      <w:pPr>
        <w:ind w:firstLine="720"/>
        <w:jc w:val="both"/>
      </w:pPr>
      <w:r w:rsidRPr="00DC7AAA">
        <w:t xml:space="preserve">Personnel:  </w:t>
      </w:r>
      <w:r w:rsidRPr="00DC7AAA">
        <w:tab/>
      </w:r>
      <w:r w:rsidRPr="00DC7AAA">
        <w:tab/>
      </w:r>
      <w:r w:rsidRPr="00DC7AAA">
        <w:tab/>
        <w:t>6 FTEs</w:t>
      </w:r>
      <w:r w:rsidRPr="00DC7AAA">
        <w:tab/>
      </w:r>
      <w:r w:rsidRPr="00DC7AAA">
        <w:tab/>
      </w:r>
      <w:r w:rsidRPr="00DC7AAA">
        <w:tab/>
      </w:r>
      <w:r w:rsidRPr="00DC7AAA">
        <w:tab/>
      </w:r>
      <w:r w:rsidRPr="00DC7AAA">
        <w:tab/>
      </w:r>
      <w:r w:rsidRPr="00DC7AAA">
        <w:tab/>
        <w:t>$ 504,607</w:t>
      </w:r>
    </w:p>
    <w:p w:rsidRPr="00DC7AAA" w:rsidR="003A263C" w:rsidP="003A263C" w:rsidRDefault="003A263C">
      <w:pPr>
        <w:ind w:firstLine="720"/>
        <w:jc w:val="both"/>
      </w:pPr>
      <w:r w:rsidRPr="00DC7AAA">
        <w:t xml:space="preserve">Travel: </w:t>
      </w:r>
      <w:r w:rsidRPr="00DC7AAA">
        <w:tab/>
      </w:r>
      <w:r w:rsidRPr="00DC7AAA">
        <w:tab/>
      </w:r>
      <w:r w:rsidRPr="00DC7AAA">
        <w:tab/>
      </w:r>
      <w:r w:rsidRPr="00DC7AAA">
        <w:tab/>
      </w:r>
      <w:r w:rsidRPr="00DC7AAA">
        <w:tab/>
      </w:r>
      <w:r w:rsidRPr="00DC7AAA">
        <w:tab/>
      </w:r>
      <w:r w:rsidRPr="00DC7AAA">
        <w:tab/>
      </w:r>
      <w:r w:rsidRPr="00DC7AAA">
        <w:tab/>
      </w:r>
      <w:r w:rsidRPr="00DC7AAA">
        <w:tab/>
        <w:t xml:space="preserve">$ </w:t>
      </w:r>
      <w:r>
        <w:t xml:space="preserve">  </w:t>
      </w:r>
      <w:r w:rsidRPr="00DC7AAA">
        <w:t>92,000</w:t>
      </w:r>
    </w:p>
    <w:p w:rsidRPr="00DC7AAA" w:rsidR="003A263C" w:rsidP="003A263C" w:rsidRDefault="003A263C">
      <w:pPr>
        <w:ind w:firstLine="720"/>
        <w:jc w:val="both"/>
      </w:pPr>
      <w:r w:rsidRPr="00DC7AAA">
        <w:t>Import Permit Database:</w:t>
      </w:r>
      <w:r w:rsidRPr="00DC7AAA">
        <w:tab/>
      </w:r>
      <w:r w:rsidRPr="00DC7AAA">
        <w:tab/>
      </w:r>
      <w:r w:rsidRPr="00DC7AAA">
        <w:tab/>
      </w:r>
      <w:r w:rsidRPr="00DC7AAA">
        <w:tab/>
      </w:r>
      <w:r w:rsidRPr="00DC7AAA">
        <w:tab/>
      </w:r>
      <w:r w:rsidRPr="00DC7AAA">
        <w:tab/>
      </w:r>
      <w:r w:rsidRPr="00DC7AAA">
        <w:tab/>
        <w:t>$ 697,840</w:t>
      </w:r>
      <w:r w:rsidRPr="00DC7AAA">
        <w:tab/>
      </w:r>
      <w:r w:rsidRPr="00DC7AAA">
        <w:tab/>
        <w:t>Equipment, supplies and materials:</w:t>
      </w:r>
      <w:r w:rsidRPr="00DC7AAA">
        <w:tab/>
      </w:r>
      <w:r w:rsidRPr="00DC7AAA">
        <w:tab/>
      </w:r>
      <w:r w:rsidRPr="00DC7AAA">
        <w:tab/>
      </w:r>
      <w:r w:rsidRPr="00DC7AAA">
        <w:tab/>
      </w:r>
      <w:r w:rsidRPr="00DC7AAA">
        <w:tab/>
      </w:r>
      <w:r w:rsidRPr="00DC7AAA">
        <w:tab/>
        <w:t xml:space="preserve">$ </w:t>
      </w:r>
      <w:r>
        <w:t xml:space="preserve">  </w:t>
      </w:r>
      <w:r w:rsidRPr="00DC7AAA">
        <w:t>37,063</w:t>
      </w:r>
      <w:r w:rsidRPr="00DC7AAA">
        <w:tab/>
      </w:r>
      <w:r w:rsidRPr="00DC7AAA">
        <w:tab/>
        <w:t>Administrative Costs:</w:t>
      </w:r>
      <w:r w:rsidRPr="00DC7AAA">
        <w:tab/>
      </w:r>
      <w:r w:rsidRPr="00DC7AAA">
        <w:tab/>
      </w:r>
      <w:r w:rsidRPr="00DC7AAA">
        <w:tab/>
      </w:r>
      <w:r w:rsidRPr="00DC7AAA">
        <w:tab/>
      </w:r>
      <w:r w:rsidRPr="00DC7AAA">
        <w:tab/>
      </w:r>
      <w:r w:rsidRPr="00DC7AAA">
        <w:tab/>
      </w:r>
      <w:r w:rsidRPr="00DC7AAA">
        <w:tab/>
      </w:r>
      <w:r w:rsidRPr="00DC7AAA">
        <w:tab/>
      </w:r>
      <w:r w:rsidRPr="00314FA8">
        <w:rPr>
          <w:u w:val="single"/>
        </w:rPr>
        <w:t>$     3,985</w:t>
      </w:r>
    </w:p>
    <w:p w:rsidRPr="00DC7AAA" w:rsidR="003A263C" w:rsidP="003A263C" w:rsidRDefault="003A263C">
      <w:pPr>
        <w:spacing w:before="240"/>
        <w:ind w:firstLine="720"/>
        <w:jc w:val="both"/>
      </w:pPr>
      <w:r w:rsidRPr="00DC7AAA">
        <w:t>Total:</w:t>
      </w:r>
      <w:r w:rsidRPr="00DC7AAA">
        <w:tab/>
      </w:r>
      <w:r w:rsidRPr="00DC7AAA">
        <w:tab/>
      </w:r>
      <w:r w:rsidRPr="00DC7AAA">
        <w:tab/>
      </w:r>
      <w:r w:rsidRPr="00DC7AAA">
        <w:tab/>
      </w:r>
      <w:r w:rsidRPr="00DC7AAA">
        <w:tab/>
      </w:r>
      <w:r w:rsidRPr="00DC7AAA">
        <w:tab/>
      </w:r>
      <w:r w:rsidRPr="00DC7AAA">
        <w:tab/>
      </w:r>
      <w:r w:rsidRPr="00DC7AAA">
        <w:tab/>
      </w:r>
      <w:r w:rsidRPr="00DC7AAA">
        <w:tab/>
      </w:r>
      <w:r>
        <w:t xml:space="preserve">         </w:t>
      </w:r>
      <w:r w:rsidRPr="00DC7AAA">
        <w:t>$ 1,</w:t>
      </w:r>
      <w:r>
        <w:t>335</w:t>
      </w:r>
      <w:r w:rsidRPr="00DC7AAA">
        <w:t>,495</w:t>
      </w:r>
    </w:p>
    <w:p w:rsidRPr="00177C1F" w:rsidR="00BA550E" w:rsidP="007F3FE5" w:rsidRDefault="00793601">
      <w:pPr>
        <w:widowControl/>
        <w:contextualSpacing/>
        <w:rPr>
          <w:bCs/>
        </w:rPr>
      </w:pPr>
      <w:r w:rsidRPr="00177C1F">
        <w:rPr>
          <w:bCs/>
        </w:rPr>
        <w:tab/>
      </w:r>
      <w:r w:rsidRPr="00177C1F">
        <w:rPr>
          <w:bCs/>
        </w:rPr>
        <w:tab/>
      </w:r>
    </w:p>
    <w:p w:rsidRPr="00177C1F" w:rsidR="00BA550E" w:rsidP="00177C1F" w:rsidRDefault="00793601">
      <w:pPr>
        <w:pStyle w:val="Heading3"/>
        <w:rPr>
          <w:rFonts w:ascii="Times New Roman" w:hAnsi="Times New Roman"/>
          <w:color w:val="auto"/>
          <w:sz w:val="24"/>
          <w:szCs w:val="24"/>
        </w:rPr>
      </w:pPr>
      <w:bookmarkStart w:name="_Toc496868013" w:id="19"/>
      <w:r w:rsidRPr="00177C1F">
        <w:rPr>
          <w:rFonts w:ascii="Times New Roman" w:hAnsi="Times New Roman"/>
          <w:color w:val="auto"/>
          <w:sz w:val="24"/>
          <w:szCs w:val="24"/>
        </w:rPr>
        <w:t>15.  Explanation for Program Changes or Adjustments</w:t>
      </w:r>
      <w:bookmarkEnd w:id="19"/>
    </w:p>
    <w:p w:rsidRPr="00177C1F" w:rsidR="003C1C3D" w:rsidP="003C1C3D" w:rsidRDefault="003C1C3D">
      <w:pPr>
        <w:jc w:val="both"/>
      </w:pPr>
    </w:p>
    <w:p w:rsidR="00E8341E" w:rsidP="00733437" w:rsidRDefault="00B7304D">
      <w:pPr>
        <w:jc w:val="both"/>
      </w:pPr>
      <w:r>
        <w:t xml:space="preserve">The additional form for the importation of human remains allows </w:t>
      </w:r>
      <w:r w:rsidRPr="00B7304D">
        <w:t xml:space="preserve">CDC/IPP </w:t>
      </w:r>
      <w:r>
        <w:t>to take</w:t>
      </w:r>
      <w:r w:rsidRPr="00B7304D">
        <w:t xml:space="preserve"> proactive </w:t>
      </w:r>
      <w:r w:rsidRPr="00B7304D">
        <w:lastRenderedPageBreak/>
        <w:t xml:space="preserve">preparedness precautions </w:t>
      </w:r>
      <w:r w:rsidR="00F67A23">
        <w:t>to collect information on</w:t>
      </w:r>
      <w:r w:rsidRPr="00B7304D">
        <w:t xml:space="preserve"> the importation of human remains that is infected with SARS-CoV-2 for burial.  </w:t>
      </w:r>
    </w:p>
    <w:p w:rsidR="00C31B09" w:rsidP="00B65381" w:rsidRDefault="00C31B09">
      <w:pPr>
        <w:ind w:left="720"/>
        <w:jc w:val="both"/>
      </w:pPr>
    </w:p>
    <w:p w:rsidRPr="001625CA" w:rsidR="003A263C" w:rsidP="003A263C" w:rsidRDefault="003A263C">
      <w:pPr>
        <w:pStyle w:val="Heading3"/>
        <w:spacing w:before="0" w:line="240" w:lineRule="auto"/>
        <w:jc w:val="both"/>
        <w:rPr>
          <w:rFonts w:ascii="Times New Roman" w:hAnsi="Times New Roman"/>
          <w:color w:val="auto"/>
          <w:sz w:val="24"/>
          <w:szCs w:val="24"/>
        </w:rPr>
      </w:pPr>
      <w:bookmarkStart w:name="_Toc361748000" w:id="20"/>
      <w:bookmarkStart w:name="_Toc372114346" w:id="21"/>
      <w:bookmarkStart w:name="_Toc496868014" w:id="22"/>
      <w:r w:rsidRPr="001625CA">
        <w:rPr>
          <w:rFonts w:ascii="Times New Roman" w:hAnsi="Times New Roman"/>
          <w:color w:val="auto"/>
          <w:sz w:val="24"/>
          <w:szCs w:val="24"/>
        </w:rPr>
        <w:t>16.  Plans for Tabulation and Publication and Project Time Schedule</w:t>
      </w:r>
      <w:bookmarkEnd w:id="20"/>
      <w:bookmarkEnd w:id="21"/>
      <w:bookmarkEnd w:id="22"/>
    </w:p>
    <w:p w:rsidRPr="00DC7AAA" w:rsidR="003A263C" w:rsidP="003A263C" w:rsidRDefault="003A263C">
      <w:pPr>
        <w:adjustRightInd w:val="0"/>
        <w:jc w:val="both"/>
      </w:pPr>
    </w:p>
    <w:p w:rsidRPr="00DC7AAA" w:rsidR="003A263C" w:rsidP="003A263C" w:rsidRDefault="003A263C">
      <w:pPr>
        <w:adjustRightInd w:val="0"/>
        <w:jc w:val="both"/>
      </w:pPr>
      <w:r w:rsidRPr="00DC7AAA">
        <w:rPr>
          <w:bCs/>
        </w:rPr>
        <w:t xml:space="preserve">There are no plans for tabulation and publication of this data.  </w:t>
      </w:r>
      <w:r w:rsidRPr="00DC7AAA">
        <w:t>The data collection is used solely to carry out the provisions of the regulation.</w:t>
      </w:r>
    </w:p>
    <w:p w:rsidRPr="00DC7AAA" w:rsidR="003A263C" w:rsidP="003A263C" w:rsidRDefault="003A263C">
      <w:pPr>
        <w:adjustRightInd w:val="0"/>
        <w:jc w:val="both"/>
        <w:rPr>
          <w:bCs/>
        </w:rPr>
      </w:pPr>
    </w:p>
    <w:p w:rsidRPr="00242ED3" w:rsidR="003A263C" w:rsidP="003A263C" w:rsidRDefault="003A263C">
      <w:pPr>
        <w:pStyle w:val="Heading3"/>
        <w:spacing w:before="0" w:line="240" w:lineRule="auto"/>
        <w:jc w:val="both"/>
        <w:rPr>
          <w:rFonts w:ascii="Times New Roman" w:hAnsi="Times New Roman"/>
          <w:color w:val="auto"/>
          <w:sz w:val="24"/>
          <w:szCs w:val="24"/>
        </w:rPr>
      </w:pPr>
      <w:bookmarkStart w:name="_Toc361748001" w:id="23"/>
      <w:bookmarkStart w:name="_Toc372114347" w:id="24"/>
      <w:bookmarkStart w:name="_Toc496868015" w:id="25"/>
      <w:r w:rsidRPr="00242ED3">
        <w:rPr>
          <w:rFonts w:ascii="Times New Roman" w:hAnsi="Times New Roman"/>
          <w:color w:val="auto"/>
          <w:sz w:val="24"/>
          <w:szCs w:val="24"/>
        </w:rPr>
        <w:t>17.  Reason(s) Display of OMB Expiration Date is Inappropriate</w:t>
      </w:r>
      <w:bookmarkEnd w:id="23"/>
      <w:bookmarkEnd w:id="24"/>
      <w:bookmarkEnd w:id="25"/>
    </w:p>
    <w:p w:rsidRPr="00DC7AAA" w:rsidR="003A263C" w:rsidP="003A263C" w:rsidRDefault="003A263C">
      <w:pPr>
        <w:adjustRightInd w:val="0"/>
        <w:jc w:val="both"/>
      </w:pPr>
    </w:p>
    <w:p w:rsidRPr="00DC7AAA" w:rsidR="003A263C" w:rsidP="003A263C" w:rsidRDefault="003A263C">
      <w:pPr>
        <w:adjustRightInd w:val="0"/>
        <w:jc w:val="both"/>
      </w:pPr>
      <w:r w:rsidRPr="00DC7AAA">
        <w:t>The display of the OMB expiration date is not inappropriate.</w:t>
      </w:r>
    </w:p>
    <w:p w:rsidRPr="00DC7AAA" w:rsidR="003A263C" w:rsidP="003A263C" w:rsidRDefault="003A263C">
      <w:pPr>
        <w:adjustRightInd w:val="0"/>
        <w:jc w:val="both"/>
      </w:pPr>
    </w:p>
    <w:p w:rsidRPr="00242ED3" w:rsidR="003A263C" w:rsidP="003A263C" w:rsidRDefault="003A263C">
      <w:pPr>
        <w:pStyle w:val="Heading3"/>
        <w:spacing w:before="0" w:line="240" w:lineRule="auto"/>
        <w:jc w:val="both"/>
        <w:rPr>
          <w:rFonts w:ascii="Times New Roman" w:hAnsi="Times New Roman"/>
          <w:color w:val="auto"/>
          <w:sz w:val="24"/>
          <w:szCs w:val="24"/>
        </w:rPr>
      </w:pPr>
      <w:bookmarkStart w:name="_Toc361748002" w:id="26"/>
      <w:bookmarkStart w:name="_Toc372114348" w:id="27"/>
      <w:bookmarkStart w:name="_Toc496868016" w:id="28"/>
      <w:r w:rsidRPr="00242ED3">
        <w:rPr>
          <w:rFonts w:ascii="Times New Roman" w:hAnsi="Times New Roman"/>
          <w:color w:val="auto"/>
          <w:sz w:val="24"/>
          <w:szCs w:val="24"/>
        </w:rPr>
        <w:t>18.  Exceptions to Certification for Paperwork Reduction Act Submissions</w:t>
      </w:r>
      <w:bookmarkEnd w:id="26"/>
      <w:bookmarkEnd w:id="27"/>
      <w:bookmarkEnd w:id="28"/>
    </w:p>
    <w:p w:rsidRPr="00DC7AAA" w:rsidR="003A263C" w:rsidP="003A263C" w:rsidRDefault="003A263C">
      <w:pPr>
        <w:adjustRightInd w:val="0"/>
        <w:jc w:val="both"/>
      </w:pPr>
    </w:p>
    <w:p w:rsidRPr="00DC7AAA" w:rsidR="003A263C" w:rsidP="003A263C" w:rsidRDefault="003A263C">
      <w:pPr>
        <w:adjustRightInd w:val="0"/>
        <w:jc w:val="both"/>
      </w:pPr>
      <w:r>
        <w:t>There are</w:t>
      </w:r>
      <w:r w:rsidRPr="00DC7AAA">
        <w:t xml:space="preserve"> no exception</w:t>
      </w:r>
      <w:r>
        <w:t>s</w:t>
      </w:r>
      <w:r w:rsidRPr="00DC7AAA">
        <w:t xml:space="preserve"> to the certification.</w:t>
      </w:r>
    </w:p>
    <w:p w:rsidRPr="00177C1F" w:rsidR="00BA550E" w:rsidP="007F3FE5" w:rsidRDefault="00BA550E">
      <w:pPr>
        <w:widowControl/>
        <w:tabs>
          <w:tab w:val="left" w:pos="-1440"/>
        </w:tabs>
        <w:contextualSpacing/>
        <w:rPr>
          <w:bCs/>
        </w:rPr>
      </w:pPr>
    </w:p>
    <w:p w:rsidR="004F4018" w:rsidP="003228EF" w:rsidRDefault="004F4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rPr>
      </w:pPr>
    </w:p>
    <w:sectPr w:rsidR="004F4018" w:rsidSect="00BA550E">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32" w:rsidRDefault="00B73D32" w:rsidP="00BA550E">
      <w:r>
        <w:separator/>
      </w:r>
    </w:p>
  </w:endnote>
  <w:endnote w:type="continuationSeparator" w:id="0">
    <w:p w:rsidR="00B73D32" w:rsidRDefault="00B73D32" w:rsidP="00BA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C3" w:rsidRDefault="007105C3">
    <w:pPr>
      <w:pStyle w:val="Footer"/>
      <w:jc w:val="right"/>
    </w:pPr>
    <w:r>
      <w:fldChar w:fldCharType="begin"/>
    </w:r>
    <w:r>
      <w:instrText xml:space="preserve"> PAGE </w:instrText>
    </w:r>
    <w:r>
      <w:fldChar w:fldCharType="separate"/>
    </w:r>
    <w:r>
      <w:rPr>
        <w:noProof/>
      </w:rPr>
      <w:t>2</w:t>
    </w:r>
    <w:r>
      <w:fldChar w:fldCharType="end"/>
    </w:r>
  </w:p>
  <w:p w:rsidR="007105C3" w:rsidRDefault="007105C3">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C3" w:rsidRDefault="007105C3">
    <w:pPr>
      <w:pStyle w:val="Footer"/>
      <w:jc w:val="right"/>
    </w:pPr>
    <w:r>
      <w:fldChar w:fldCharType="begin"/>
    </w:r>
    <w:r>
      <w:instrText xml:space="preserve"> PAGE </w:instrText>
    </w:r>
    <w:r>
      <w:fldChar w:fldCharType="separate"/>
    </w:r>
    <w:r>
      <w:rPr>
        <w:noProof/>
      </w:rPr>
      <w:t>12</w:t>
    </w:r>
    <w:r>
      <w:fldChar w:fldCharType="end"/>
    </w:r>
  </w:p>
  <w:p w:rsidR="007105C3" w:rsidRDefault="007105C3">
    <w:pPr>
      <w:pStyle w:val="Footer"/>
      <w:tabs>
        <w:tab w:val="left" w:pos="0"/>
        <w:tab w:val="center" w:pos="4320"/>
        <w:tab w:val="right" w:pos="8640"/>
        <w:tab w:val="right" w:pos="9360"/>
      </w:tabs>
      <w:ind w:right="360"/>
      <w:rPr>
        <w:rFonts w:ascii="Times New Roman TUR" w:hAnsi="Times New Roman TUR" w:cs="Times New Roman TU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32" w:rsidRDefault="00B73D32" w:rsidP="00BA550E">
      <w:r w:rsidRPr="00BA550E">
        <w:rPr>
          <w:color w:val="000000"/>
        </w:rPr>
        <w:separator/>
      </w:r>
    </w:p>
  </w:footnote>
  <w:footnote w:type="continuationSeparator" w:id="0">
    <w:p w:rsidR="00B73D32" w:rsidRDefault="00B73D32" w:rsidP="00BA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7E0E"/>
    <w:multiLevelType w:val="hybridMultilevel"/>
    <w:tmpl w:val="486C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14FC"/>
    <w:multiLevelType w:val="hybridMultilevel"/>
    <w:tmpl w:val="57C815E6"/>
    <w:lvl w:ilvl="0" w:tplc="41445F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51ABE"/>
    <w:multiLevelType w:val="hybridMultilevel"/>
    <w:tmpl w:val="589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F1069"/>
    <w:multiLevelType w:val="hybridMultilevel"/>
    <w:tmpl w:val="A30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E5CD3"/>
    <w:multiLevelType w:val="hybridMultilevel"/>
    <w:tmpl w:val="0C8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734E2"/>
    <w:multiLevelType w:val="hybridMultilevel"/>
    <w:tmpl w:val="EF22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D38A9"/>
    <w:multiLevelType w:val="hybridMultilevel"/>
    <w:tmpl w:val="F98A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F4C76"/>
    <w:multiLevelType w:val="hybridMultilevel"/>
    <w:tmpl w:val="4368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20757"/>
    <w:multiLevelType w:val="hybridMultilevel"/>
    <w:tmpl w:val="4DAE9574"/>
    <w:lvl w:ilvl="0" w:tplc="44A28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E1892"/>
    <w:multiLevelType w:val="hybridMultilevel"/>
    <w:tmpl w:val="AC96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771DB"/>
    <w:multiLevelType w:val="hybridMultilevel"/>
    <w:tmpl w:val="4386C362"/>
    <w:lvl w:ilvl="0" w:tplc="2DD4A4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3"/>
  </w:num>
  <w:num w:numId="5">
    <w:abstractNumId w:val="5"/>
  </w:num>
  <w:num w:numId="6">
    <w:abstractNumId w:val="6"/>
  </w:num>
  <w:num w:numId="7">
    <w:abstractNumId w:val="8"/>
  </w:num>
  <w:num w:numId="8">
    <w:abstractNumId w:val="4"/>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0E"/>
    <w:rsid w:val="00010E55"/>
    <w:rsid w:val="00014A10"/>
    <w:rsid w:val="000155DA"/>
    <w:rsid w:val="00016741"/>
    <w:rsid w:val="0001790E"/>
    <w:rsid w:val="00044E47"/>
    <w:rsid w:val="000538C3"/>
    <w:rsid w:val="00074B2A"/>
    <w:rsid w:val="00076283"/>
    <w:rsid w:val="00084CE0"/>
    <w:rsid w:val="00090EBD"/>
    <w:rsid w:val="000939F2"/>
    <w:rsid w:val="000A19E4"/>
    <w:rsid w:val="000A64CB"/>
    <w:rsid w:val="000B35A5"/>
    <w:rsid w:val="000B596F"/>
    <w:rsid w:val="000C348C"/>
    <w:rsid w:val="000E22AE"/>
    <w:rsid w:val="000F7150"/>
    <w:rsid w:val="00105724"/>
    <w:rsid w:val="00105ECF"/>
    <w:rsid w:val="00114439"/>
    <w:rsid w:val="0013116F"/>
    <w:rsid w:val="00141A47"/>
    <w:rsid w:val="00143396"/>
    <w:rsid w:val="00143451"/>
    <w:rsid w:val="00144B73"/>
    <w:rsid w:val="001458FB"/>
    <w:rsid w:val="001465F2"/>
    <w:rsid w:val="001474D4"/>
    <w:rsid w:val="00177C1F"/>
    <w:rsid w:val="0019047B"/>
    <w:rsid w:val="00196631"/>
    <w:rsid w:val="001B20A8"/>
    <w:rsid w:val="001C3300"/>
    <w:rsid w:val="001C3957"/>
    <w:rsid w:val="001C4593"/>
    <w:rsid w:val="001D2D15"/>
    <w:rsid w:val="001D4504"/>
    <w:rsid w:val="001E146A"/>
    <w:rsid w:val="00201912"/>
    <w:rsid w:val="00204D58"/>
    <w:rsid w:val="00207CDC"/>
    <w:rsid w:val="002130C5"/>
    <w:rsid w:val="00215F7D"/>
    <w:rsid w:val="00223150"/>
    <w:rsid w:val="00223E97"/>
    <w:rsid w:val="0022452A"/>
    <w:rsid w:val="002270A7"/>
    <w:rsid w:val="00231CA9"/>
    <w:rsid w:val="00233068"/>
    <w:rsid w:val="00234852"/>
    <w:rsid w:val="002368BC"/>
    <w:rsid w:val="00241FE5"/>
    <w:rsid w:val="00245C9F"/>
    <w:rsid w:val="00246869"/>
    <w:rsid w:val="00254E96"/>
    <w:rsid w:val="00265828"/>
    <w:rsid w:val="002702CB"/>
    <w:rsid w:val="00295157"/>
    <w:rsid w:val="0029682F"/>
    <w:rsid w:val="002A0A8C"/>
    <w:rsid w:val="002A2963"/>
    <w:rsid w:val="002C4F76"/>
    <w:rsid w:val="002C585C"/>
    <w:rsid w:val="002D0D54"/>
    <w:rsid w:val="002E23EE"/>
    <w:rsid w:val="002E31F3"/>
    <w:rsid w:val="002F0354"/>
    <w:rsid w:val="00300710"/>
    <w:rsid w:val="003069D6"/>
    <w:rsid w:val="00307330"/>
    <w:rsid w:val="00313D91"/>
    <w:rsid w:val="003228EF"/>
    <w:rsid w:val="00327912"/>
    <w:rsid w:val="00337A85"/>
    <w:rsid w:val="00342839"/>
    <w:rsid w:val="003441EB"/>
    <w:rsid w:val="00345FFA"/>
    <w:rsid w:val="00346470"/>
    <w:rsid w:val="0034653A"/>
    <w:rsid w:val="003604F0"/>
    <w:rsid w:val="00366078"/>
    <w:rsid w:val="00380BB4"/>
    <w:rsid w:val="00382236"/>
    <w:rsid w:val="003861A5"/>
    <w:rsid w:val="003872FA"/>
    <w:rsid w:val="00397C21"/>
    <w:rsid w:val="003A263C"/>
    <w:rsid w:val="003A535D"/>
    <w:rsid w:val="003B0AE2"/>
    <w:rsid w:val="003B13B4"/>
    <w:rsid w:val="003C1C3D"/>
    <w:rsid w:val="003C3124"/>
    <w:rsid w:val="003C72EE"/>
    <w:rsid w:val="003D3462"/>
    <w:rsid w:val="003D61C0"/>
    <w:rsid w:val="003D631A"/>
    <w:rsid w:val="003D7B30"/>
    <w:rsid w:val="003E07E7"/>
    <w:rsid w:val="003E10CB"/>
    <w:rsid w:val="003E2308"/>
    <w:rsid w:val="003F699D"/>
    <w:rsid w:val="003F789F"/>
    <w:rsid w:val="0040370F"/>
    <w:rsid w:val="004053C6"/>
    <w:rsid w:val="00406493"/>
    <w:rsid w:val="00406A82"/>
    <w:rsid w:val="00413249"/>
    <w:rsid w:val="004163F9"/>
    <w:rsid w:val="004242F2"/>
    <w:rsid w:val="00424DE9"/>
    <w:rsid w:val="00427FB7"/>
    <w:rsid w:val="0044526B"/>
    <w:rsid w:val="00446C06"/>
    <w:rsid w:val="0044741E"/>
    <w:rsid w:val="0045341F"/>
    <w:rsid w:val="00465707"/>
    <w:rsid w:val="00466543"/>
    <w:rsid w:val="00466B9D"/>
    <w:rsid w:val="0047381E"/>
    <w:rsid w:val="00480A53"/>
    <w:rsid w:val="0049473E"/>
    <w:rsid w:val="00494849"/>
    <w:rsid w:val="004A08DA"/>
    <w:rsid w:val="004A7022"/>
    <w:rsid w:val="004B2301"/>
    <w:rsid w:val="004C7D07"/>
    <w:rsid w:val="004E0663"/>
    <w:rsid w:val="004F4018"/>
    <w:rsid w:val="005017A3"/>
    <w:rsid w:val="005048C9"/>
    <w:rsid w:val="00520019"/>
    <w:rsid w:val="00520233"/>
    <w:rsid w:val="00523D16"/>
    <w:rsid w:val="0053630A"/>
    <w:rsid w:val="0054177B"/>
    <w:rsid w:val="00552DE2"/>
    <w:rsid w:val="00561012"/>
    <w:rsid w:val="00563120"/>
    <w:rsid w:val="005A04B7"/>
    <w:rsid w:val="005A3935"/>
    <w:rsid w:val="005A7AC9"/>
    <w:rsid w:val="005B1B74"/>
    <w:rsid w:val="005B303C"/>
    <w:rsid w:val="005C028B"/>
    <w:rsid w:val="005C18F8"/>
    <w:rsid w:val="005D2024"/>
    <w:rsid w:val="005E27C5"/>
    <w:rsid w:val="005E377F"/>
    <w:rsid w:val="005F589C"/>
    <w:rsid w:val="00615502"/>
    <w:rsid w:val="00617CF7"/>
    <w:rsid w:val="006201C0"/>
    <w:rsid w:val="00621709"/>
    <w:rsid w:val="0062179A"/>
    <w:rsid w:val="00626C52"/>
    <w:rsid w:val="00633EA3"/>
    <w:rsid w:val="006354B1"/>
    <w:rsid w:val="0065115A"/>
    <w:rsid w:val="00651689"/>
    <w:rsid w:val="00651CAA"/>
    <w:rsid w:val="006570D6"/>
    <w:rsid w:val="00684506"/>
    <w:rsid w:val="006918B3"/>
    <w:rsid w:val="0069511B"/>
    <w:rsid w:val="006A1B54"/>
    <w:rsid w:val="006C4133"/>
    <w:rsid w:val="006C74E3"/>
    <w:rsid w:val="006D03E2"/>
    <w:rsid w:val="006D07E0"/>
    <w:rsid w:val="006D1986"/>
    <w:rsid w:val="006D5CF7"/>
    <w:rsid w:val="006E12F7"/>
    <w:rsid w:val="006E5032"/>
    <w:rsid w:val="006F1906"/>
    <w:rsid w:val="007040D5"/>
    <w:rsid w:val="00706023"/>
    <w:rsid w:val="007105C3"/>
    <w:rsid w:val="00714B99"/>
    <w:rsid w:val="00716B06"/>
    <w:rsid w:val="00732793"/>
    <w:rsid w:val="00732ABE"/>
    <w:rsid w:val="00733437"/>
    <w:rsid w:val="007372AF"/>
    <w:rsid w:val="00750F36"/>
    <w:rsid w:val="0075551E"/>
    <w:rsid w:val="007703BD"/>
    <w:rsid w:val="00771948"/>
    <w:rsid w:val="007727F3"/>
    <w:rsid w:val="007739E7"/>
    <w:rsid w:val="00780C1C"/>
    <w:rsid w:val="00781D39"/>
    <w:rsid w:val="00785A6E"/>
    <w:rsid w:val="00793601"/>
    <w:rsid w:val="00796B34"/>
    <w:rsid w:val="007C66AF"/>
    <w:rsid w:val="007D7481"/>
    <w:rsid w:val="007E3FBE"/>
    <w:rsid w:val="007E4D95"/>
    <w:rsid w:val="007E6066"/>
    <w:rsid w:val="007F2B04"/>
    <w:rsid w:val="007F3FE5"/>
    <w:rsid w:val="007F49F0"/>
    <w:rsid w:val="00815E4C"/>
    <w:rsid w:val="00824C96"/>
    <w:rsid w:val="00830CB9"/>
    <w:rsid w:val="008333D0"/>
    <w:rsid w:val="00835A16"/>
    <w:rsid w:val="00864178"/>
    <w:rsid w:val="00867FD8"/>
    <w:rsid w:val="00871774"/>
    <w:rsid w:val="00883A5F"/>
    <w:rsid w:val="008851AC"/>
    <w:rsid w:val="00886A30"/>
    <w:rsid w:val="0089109E"/>
    <w:rsid w:val="008A0660"/>
    <w:rsid w:val="008A4F65"/>
    <w:rsid w:val="008B2CEB"/>
    <w:rsid w:val="008C4B44"/>
    <w:rsid w:val="008D50D3"/>
    <w:rsid w:val="008D5DF5"/>
    <w:rsid w:val="008E75D3"/>
    <w:rsid w:val="008F1422"/>
    <w:rsid w:val="008F14ED"/>
    <w:rsid w:val="008F2046"/>
    <w:rsid w:val="008F52C7"/>
    <w:rsid w:val="00901E65"/>
    <w:rsid w:val="0091115D"/>
    <w:rsid w:val="00911C14"/>
    <w:rsid w:val="009309BE"/>
    <w:rsid w:val="009324B3"/>
    <w:rsid w:val="00934E82"/>
    <w:rsid w:val="00941AC6"/>
    <w:rsid w:val="00943137"/>
    <w:rsid w:val="00966FB4"/>
    <w:rsid w:val="00970D03"/>
    <w:rsid w:val="00975D0A"/>
    <w:rsid w:val="009812F9"/>
    <w:rsid w:val="00986684"/>
    <w:rsid w:val="009A54D5"/>
    <w:rsid w:val="009A5699"/>
    <w:rsid w:val="009A75AE"/>
    <w:rsid w:val="009B1B92"/>
    <w:rsid w:val="009B69C0"/>
    <w:rsid w:val="009C3BCD"/>
    <w:rsid w:val="009D26A2"/>
    <w:rsid w:val="009D3354"/>
    <w:rsid w:val="009D66F4"/>
    <w:rsid w:val="009F0E4F"/>
    <w:rsid w:val="009F7000"/>
    <w:rsid w:val="00A130F3"/>
    <w:rsid w:val="00A26545"/>
    <w:rsid w:val="00A36648"/>
    <w:rsid w:val="00A3717D"/>
    <w:rsid w:val="00A42C4B"/>
    <w:rsid w:val="00A44B99"/>
    <w:rsid w:val="00A4513C"/>
    <w:rsid w:val="00A4659E"/>
    <w:rsid w:val="00A47B8A"/>
    <w:rsid w:val="00A70D53"/>
    <w:rsid w:val="00A74233"/>
    <w:rsid w:val="00A85C2D"/>
    <w:rsid w:val="00A860E7"/>
    <w:rsid w:val="00A86B82"/>
    <w:rsid w:val="00A92B24"/>
    <w:rsid w:val="00A95FC8"/>
    <w:rsid w:val="00AA3BF5"/>
    <w:rsid w:val="00AB2EB2"/>
    <w:rsid w:val="00AB7DB8"/>
    <w:rsid w:val="00AC4374"/>
    <w:rsid w:val="00AD0DD2"/>
    <w:rsid w:val="00AD62AC"/>
    <w:rsid w:val="00AE05F2"/>
    <w:rsid w:val="00AE62F8"/>
    <w:rsid w:val="00B33D6C"/>
    <w:rsid w:val="00B37571"/>
    <w:rsid w:val="00B37EB0"/>
    <w:rsid w:val="00B50F72"/>
    <w:rsid w:val="00B518AA"/>
    <w:rsid w:val="00B5384F"/>
    <w:rsid w:val="00B605DC"/>
    <w:rsid w:val="00B65381"/>
    <w:rsid w:val="00B71C65"/>
    <w:rsid w:val="00B71CF0"/>
    <w:rsid w:val="00B7304D"/>
    <w:rsid w:val="00B73D32"/>
    <w:rsid w:val="00B966F7"/>
    <w:rsid w:val="00B978FF"/>
    <w:rsid w:val="00BA550E"/>
    <w:rsid w:val="00BA59E7"/>
    <w:rsid w:val="00BA650B"/>
    <w:rsid w:val="00BA6A77"/>
    <w:rsid w:val="00BD76A9"/>
    <w:rsid w:val="00BE18CC"/>
    <w:rsid w:val="00BE1F65"/>
    <w:rsid w:val="00BF7CC2"/>
    <w:rsid w:val="00C00474"/>
    <w:rsid w:val="00C02A7D"/>
    <w:rsid w:val="00C07AB5"/>
    <w:rsid w:val="00C1446E"/>
    <w:rsid w:val="00C17200"/>
    <w:rsid w:val="00C17565"/>
    <w:rsid w:val="00C20112"/>
    <w:rsid w:val="00C31B09"/>
    <w:rsid w:val="00C332B2"/>
    <w:rsid w:val="00C35109"/>
    <w:rsid w:val="00C368DD"/>
    <w:rsid w:val="00C3690B"/>
    <w:rsid w:val="00C42554"/>
    <w:rsid w:val="00C4301C"/>
    <w:rsid w:val="00C449F7"/>
    <w:rsid w:val="00C44CCC"/>
    <w:rsid w:val="00C47A67"/>
    <w:rsid w:val="00C47AEC"/>
    <w:rsid w:val="00C5135C"/>
    <w:rsid w:val="00C53044"/>
    <w:rsid w:val="00C63B75"/>
    <w:rsid w:val="00C91E1D"/>
    <w:rsid w:val="00C96253"/>
    <w:rsid w:val="00C97219"/>
    <w:rsid w:val="00CA28BC"/>
    <w:rsid w:val="00CA5BF7"/>
    <w:rsid w:val="00CB1AEC"/>
    <w:rsid w:val="00CB6E2D"/>
    <w:rsid w:val="00CC0105"/>
    <w:rsid w:val="00CC1A2C"/>
    <w:rsid w:val="00CD3DD1"/>
    <w:rsid w:val="00CE2CE4"/>
    <w:rsid w:val="00CE51CD"/>
    <w:rsid w:val="00D04458"/>
    <w:rsid w:val="00D0773B"/>
    <w:rsid w:val="00D3101F"/>
    <w:rsid w:val="00D43A2D"/>
    <w:rsid w:val="00D54E31"/>
    <w:rsid w:val="00D60086"/>
    <w:rsid w:val="00D6788A"/>
    <w:rsid w:val="00D73519"/>
    <w:rsid w:val="00D73D6E"/>
    <w:rsid w:val="00DA18CA"/>
    <w:rsid w:val="00DA4A1F"/>
    <w:rsid w:val="00DB35C0"/>
    <w:rsid w:val="00DB5688"/>
    <w:rsid w:val="00DB5790"/>
    <w:rsid w:val="00DC2AAE"/>
    <w:rsid w:val="00DD7D87"/>
    <w:rsid w:val="00DE31EB"/>
    <w:rsid w:val="00DE4105"/>
    <w:rsid w:val="00DE72D6"/>
    <w:rsid w:val="00DF2A85"/>
    <w:rsid w:val="00DF54B9"/>
    <w:rsid w:val="00DF5E31"/>
    <w:rsid w:val="00E05E7D"/>
    <w:rsid w:val="00E1565B"/>
    <w:rsid w:val="00E40913"/>
    <w:rsid w:val="00E446DA"/>
    <w:rsid w:val="00E61A13"/>
    <w:rsid w:val="00E6313E"/>
    <w:rsid w:val="00E67BF9"/>
    <w:rsid w:val="00E72DE0"/>
    <w:rsid w:val="00E81328"/>
    <w:rsid w:val="00E8341E"/>
    <w:rsid w:val="00E869B3"/>
    <w:rsid w:val="00E97A7D"/>
    <w:rsid w:val="00EA3AA6"/>
    <w:rsid w:val="00EA7C1C"/>
    <w:rsid w:val="00EB11DD"/>
    <w:rsid w:val="00EB22B9"/>
    <w:rsid w:val="00EB494E"/>
    <w:rsid w:val="00EC1148"/>
    <w:rsid w:val="00EC21F3"/>
    <w:rsid w:val="00EC5CC1"/>
    <w:rsid w:val="00ED1425"/>
    <w:rsid w:val="00EE21D7"/>
    <w:rsid w:val="00EF4989"/>
    <w:rsid w:val="00EF7F34"/>
    <w:rsid w:val="00F152C7"/>
    <w:rsid w:val="00F2752E"/>
    <w:rsid w:val="00F426A7"/>
    <w:rsid w:val="00F4387D"/>
    <w:rsid w:val="00F467FB"/>
    <w:rsid w:val="00F560F6"/>
    <w:rsid w:val="00F57234"/>
    <w:rsid w:val="00F6185E"/>
    <w:rsid w:val="00F67A23"/>
    <w:rsid w:val="00F72102"/>
    <w:rsid w:val="00F7404C"/>
    <w:rsid w:val="00F75EF2"/>
    <w:rsid w:val="00F76885"/>
    <w:rsid w:val="00F911E5"/>
    <w:rsid w:val="00F94BCD"/>
    <w:rsid w:val="00F97EB7"/>
    <w:rsid w:val="00FA7A78"/>
    <w:rsid w:val="00FB210A"/>
    <w:rsid w:val="00FC69BF"/>
    <w:rsid w:val="00FD2942"/>
    <w:rsid w:val="00FF0599"/>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26E943-9EC8-49DC-B356-C838D0A2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40913"/>
    <w:pPr>
      <w:widowControl w:val="0"/>
      <w:suppressAutoHyphens/>
      <w:autoSpaceDE w:val="0"/>
      <w:autoSpaceDN w:val="0"/>
      <w:textAlignment w:val="baseline"/>
    </w:pPr>
    <w:rPr>
      <w:sz w:val="24"/>
      <w:szCs w:val="24"/>
    </w:rPr>
  </w:style>
  <w:style w:type="paragraph" w:styleId="Heading1">
    <w:name w:val="heading 1"/>
    <w:basedOn w:val="Normal"/>
    <w:next w:val="Normal"/>
    <w:rsid w:val="00BA550E"/>
    <w:pPr>
      <w:keepNext/>
      <w:spacing w:before="240" w:after="60"/>
      <w:outlineLvl w:val="0"/>
    </w:pPr>
    <w:rPr>
      <w:rFonts w:ascii="Cambria" w:hAnsi="Cambria"/>
      <w:b/>
      <w:bCs/>
      <w:kern w:val="3"/>
      <w:sz w:val="32"/>
      <w:szCs w:val="32"/>
    </w:rPr>
  </w:style>
  <w:style w:type="paragraph" w:styleId="Heading2">
    <w:name w:val="heading 2"/>
    <w:basedOn w:val="Normal"/>
    <w:next w:val="Normal"/>
    <w:link w:val="Heading2Char"/>
    <w:uiPriority w:val="9"/>
    <w:unhideWhenUsed/>
    <w:qFormat/>
    <w:rsid w:val="00177C1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1790E"/>
    <w:pPr>
      <w:keepNext/>
      <w:keepLines/>
      <w:widowControl/>
      <w:suppressAutoHyphens w:val="0"/>
      <w:autoSpaceDE/>
      <w:autoSpaceDN/>
      <w:spacing w:before="200" w:line="276" w:lineRule="auto"/>
      <w:textAlignment w:val="auto"/>
      <w:outlineLvl w:val="2"/>
    </w:pPr>
    <w:rPr>
      <w:rFonts w:ascii="Cambria" w:hAnsi="Cambria"/>
      <w:b/>
      <w:bCs/>
      <w:color w:val="4F81BD"/>
      <w:sz w:val="22"/>
      <w:szCs w:val="22"/>
    </w:rPr>
  </w:style>
  <w:style w:type="paragraph" w:styleId="Heading4">
    <w:name w:val="heading 4"/>
    <w:basedOn w:val="Normal"/>
    <w:next w:val="Normal"/>
    <w:link w:val="Heading4Char"/>
    <w:uiPriority w:val="9"/>
    <w:unhideWhenUsed/>
    <w:qFormat/>
    <w:rsid w:val="0069511B"/>
    <w:pPr>
      <w:keepNext/>
      <w:keepLines/>
      <w:widowControl/>
      <w:suppressAutoHyphens w:val="0"/>
      <w:autoSpaceDE/>
      <w:autoSpaceDN/>
      <w:spacing w:before="200" w:line="276" w:lineRule="auto"/>
      <w:textAlignment w:val="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550E"/>
  </w:style>
  <w:style w:type="character" w:styleId="PageNumber">
    <w:name w:val="page number"/>
    <w:rsid w:val="00BA550E"/>
  </w:style>
  <w:style w:type="paragraph" w:styleId="Footer">
    <w:name w:val="footer"/>
    <w:basedOn w:val="Normal"/>
    <w:rsid w:val="00BA550E"/>
  </w:style>
  <w:style w:type="paragraph" w:styleId="BalloonText">
    <w:name w:val="Balloon Text"/>
    <w:basedOn w:val="Normal"/>
    <w:rsid w:val="00BA550E"/>
    <w:rPr>
      <w:rFonts w:ascii="Tahoma" w:hAnsi="Tahoma" w:cs="Tahoma"/>
      <w:sz w:val="16"/>
      <w:szCs w:val="16"/>
    </w:rPr>
  </w:style>
  <w:style w:type="paragraph" w:customStyle="1" w:styleId="StyleTitleLinespacingDouble">
    <w:name w:val="Style Title + Line spacing:  Double"/>
    <w:basedOn w:val="Title"/>
    <w:rsid w:val="00BA550E"/>
    <w:pPr>
      <w:widowControl/>
      <w:spacing w:before="0" w:after="0" w:line="480" w:lineRule="auto"/>
    </w:pPr>
    <w:rPr>
      <w:rFonts w:ascii="Times New Roman" w:eastAsia="SimSun" w:hAnsi="Times New Roman" w:cs="Times New Roman"/>
      <w:kern w:val="0"/>
      <w:sz w:val="24"/>
      <w:szCs w:val="20"/>
    </w:rPr>
  </w:style>
  <w:style w:type="paragraph" w:styleId="Title">
    <w:name w:val="Title"/>
    <w:basedOn w:val="Normal"/>
    <w:rsid w:val="00BA550E"/>
    <w:pPr>
      <w:spacing w:before="240" w:after="60"/>
      <w:jc w:val="center"/>
      <w:outlineLvl w:val="0"/>
    </w:pPr>
    <w:rPr>
      <w:rFonts w:ascii="Arial" w:hAnsi="Arial" w:cs="Arial"/>
      <w:b/>
      <w:bCs/>
      <w:kern w:val="3"/>
      <w:sz w:val="32"/>
      <w:szCs w:val="32"/>
    </w:rPr>
  </w:style>
  <w:style w:type="character" w:styleId="Hyperlink">
    <w:name w:val="Hyperlink"/>
    <w:uiPriority w:val="99"/>
    <w:rsid w:val="00BA550E"/>
    <w:rPr>
      <w:color w:val="0000FF"/>
      <w:u w:val="single"/>
    </w:rPr>
  </w:style>
  <w:style w:type="paragraph" w:styleId="NormalWeb">
    <w:name w:val="Normal (Web)"/>
    <w:basedOn w:val="Normal"/>
    <w:rsid w:val="00BA550E"/>
    <w:pPr>
      <w:widowControl/>
      <w:autoSpaceDE/>
      <w:spacing w:after="264"/>
    </w:pPr>
  </w:style>
  <w:style w:type="character" w:styleId="Strong">
    <w:name w:val="Strong"/>
    <w:qFormat/>
    <w:rsid w:val="00BA550E"/>
    <w:rPr>
      <w:b/>
      <w:bCs/>
    </w:rPr>
  </w:style>
  <w:style w:type="character" w:styleId="CommentReference">
    <w:name w:val="annotation reference"/>
    <w:rsid w:val="00BA550E"/>
    <w:rPr>
      <w:sz w:val="16"/>
      <w:szCs w:val="16"/>
    </w:rPr>
  </w:style>
  <w:style w:type="paragraph" w:styleId="CommentText">
    <w:name w:val="annotation text"/>
    <w:basedOn w:val="Normal"/>
    <w:rsid w:val="00BA550E"/>
    <w:rPr>
      <w:sz w:val="20"/>
      <w:szCs w:val="20"/>
    </w:rPr>
  </w:style>
  <w:style w:type="character" w:customStyle="1" w:styleId="CommentTextChar">
    <w:name w:val="Comment Text Char"/>
    <w:basedOn w:val="DefaultParagraphFont"/>
    <w:rsid w:val="00BA550E"/>
  </w:style>
  <w:style w:type="paragraph" w:styleId="CommentSubject">
    <w:name w:val="annotation subject"/>
    <w:basedOn w:val="CommentText"/>
    <w:next w:val="CommentText"/>
    <w:rsid w:val="00BA550E"/>
    <w:rPr>
      <w:b/>
      <w:bCs/>
    </w:rPr>
  </w:style>
  <w:style w:type="character" w:customStyle="1" w:styleId="CommentSubjectChar">
    <w:name w:val="Comment Subject Char"/>
    <w:rsid w:val="00BA550E"/>
    <w:rPr>
      <w:b/>
      <w:bCs/>
    </w:rPr>
  </w:style>
  <w:style w:type="paragraph" w:styleId="Header">
    <w:name w:val="header"/>
    <w:basedOn w:val="Normal"/>
    <w:rsid w:val="00BA550E"/>
    <w:pPr>
      <w:tabs>
        <w:tab w:val="center" w:pos="4680"/>
        <w:tab w:val="right" w:pos="9360"/>
      </w:tabs>
    </w:pPr>
  </w:style>
  <w:style w:type="character" w:customStyle="1" w:styleId="HeaderChar">
    <w:name w:val="Header Char"/>
    <w:rsid w:val="00BA550E"/>
    <w:rPr>
      <w:sz w:val="24"/>
      <w:szCs w:val="24"/>
    </w:rPr>
  </w:style>
  <w:style w:type="character" w:styleId="FollowedHyperlink">
    <w:name w:val="FollowedHyperlink"/>
    <w:rsid w:val="00BA550E"/>
    <w:rPr>
      <w:color w:val="800080"/>
      <w:u w:val="single"/>
    </w:rPr>
  </w:style>
  <w:style w:type="character" w:customStyle="1" w:styleId="FooterChar">
    <w:name w:val="Footer Char"/>
    <w:rsid w:val="00BA550E"/>
    <w:rPr>
      <w:sz w:val="24"/>
      <w:szCs w:val="24"/>
    </w:rPr>
  </w:style>
  <w:style w:type="paragraph" w:customStyle="1" w:styleId="style9">
    <w:name w:val="style9"/>
    <w:basedOn w:val="Normal"/>
    <w:rsid w:val="00BA550E"/>
    <w:pPr>
      <w:widowControl/>
      <w:autoSpaceDE/>
      <w:spacing w:before="100" w:after="100"/>
    </w:pPr>
    <w:rPr>
      <w:sz w:val="36"/>
      <w:szCs w:val="36"/>
    </w:rPr>
  </w:style>
  <w:style w:type="paragraph" w:customStyle="1" w:styleId="Default">
    <w:name w:val="Default"/>
    <w:rsid w:val="00BA550E"/>
    <w:pPr>
      <w:suppressAutoHyphens/>
      <w:autoSpaceDE w:val="0"/>
      <w:autoSpaceDN w:val="0"/>
      <w:textAlignment w:val="baseline"/>
    </w:pPr>
    <w:rPr>
      <w:color w:val="000000"/>
      <w:sz w:val="24"/>
      <w:szCs w:val="24"/>
    </w:rPr>
  </w:style>
  <w:style w:type="character" w:customStyle="1" w:styleId="Heading1Char">
    <w:name w:val="Heading 1 Char"/>
    <w:rsid w:val="00BA550E"/>
    <w:rPr>
      <w:rFonts w:ascii="Cambria" w:eastAsia="Times New Roman" w:hAnsi="Cambria" w:cs="Times New Roman"/>
      <w:b/>
      <w:bCs/>
      <w:kern w:val="3"/>
      <w:sz w:val="32"/>
      <w:szCs w:val="32"/>
    </w:rPr>
  </w:style>
  <w:style w:type="paragraph" w:styleId="TOCHeading">
    <w:name w:val="TOC Heading"/>
    <w:basedOn w:val="Heading1"/>
    <w:next w:val="Normal"/>
    <w:rsid w:val="00BA550E"/>
    <w:pPr>
      <w:keepLines/>
      <w:widowControl/>
      <w:autoSpaceDE/>
      <w:spacing w:before="480" w:after="0" w:line="276" w:lineRule="auto"/>
    </w:pPr>
    <w:rPr>
      <w:color w:val="365F91"/>
      <w:kern w:val="0"/>
      <w:sz w:val="28"/>
      <w:szCs w:val="28"/>
    </w:rPr>
  </w:style>
  <w:style w:type="paragraph" w:styleId="TOC1">
    <w:name w:val="toc 1"/>
    <w:basedOn w:val="Normal"/>
    <w:next w:val="Normal"/>
    <w:autoRedefine/>
    <w:rsid w:val="00BA550E"/>
  </w:style>
  <w:style w:type="paragraph" w:styleId="TOC2">
    <w:name w:val="toc 2"/>
    <w:basedOn w:val="Normal"/>
    <w:next w:val="Normal"/>
    <w:autoRedefine/>
    <w:uiPriority w:val="39"/>
    <w:rsid w:val="00BA550E"/>
    <w:pPr>
      <w:ind w:left="240"/>
    </w:pPr>
  </w:style>
  <w:style w:type="paragraph" w:styleId="TOC3">
    <w:name w:val="toc 3"/>
    <w:basedOn w:val="Normal"/>
    <w:next w:val="Normal"/>
    <w:autoRedefine/>
    <w:uiPriority w:val="39"/>
    <w:rsid w:val="00BA550E"/>
    <w:pPr>
      <w:ind w:left="480"/>
    </w:pPr>
  </w:style>
  <w:style w:type="character" w:customStyle="1" w:styleId="Heading3Char">
    <w:name w:val="Heading 3 Char"/>
    <w:link w:val="Heading3"/>
    <w:uiPriority w:val="9"/>
    <w:rsid w:val="0001790E"/>
    <w:rPr>
      <w:rFonts w:ascii="Cambria" w:hAnsi="Cambria"/>
      <w:b/>
      <w:bCs/>
      <w:color w:val="4F81BD"/>
      <w:sz w:val="22"/>
      <w:szCs w:val="22"/>
    </w:rPr>
  </w:style>
  <w:style w:type="character" w:customStyle="1" w:styleId="Heading4Char">
    <w:name w:val="Heading 4 Char"/>
    <w:link w:val="Heading4"/>
    <w:uiPriority w:val="9"/>
    <w:rsid w:val="0069511B"/>
    <w:rPr>
      <w:rFonts w:ascii="Cambria" w:hAnsi="Cambria"/>
      <w:b/>
      <w:bCs/>
      <w:i/>
      <w:iCs/>
      <w:color w:val="4F81BD"/>
      <w:sz w:val="22"/>
      <w:szCs w:val="22"/>
    </w:rPr>
  </w:style>
  <w:style w:type="character" w:customStyle="1" w:styleId="Heading2Char">
    <w:name w:val="Heading 2 Char"/>
    <w:link w:val="Heading2"/>
    <w:uiPriority w:val="9"/>
    <w:rsid w:val="00177C1F"/>
    <w:rPr>
      <w:rFonts w:ascii="Cambria" w:eastAsia="Times New Roman" w:hAnsi="Cambria" w:cs="Times New Roman"/>
      <w:b/>
      <w:bCs/>
      <w:i/>
      <w:iCs/>
      <w:sz w:val="28"/>
      <w:szCs w:val="28"/>
    </w:rPr>
  </w:style>
  <w:style w:type="paragraph" w:styleId="ListParagraph">
    <w:name w:val="List Paragraph"/>
    <w:basedOn w:val="Normal"/>
    <w:uiPriority w:val="34"/>
    <w:qFormat/>
    <w:rsid w:val="00C07AB5"/>
    <w:pPr>
      <w:widowControl/>
      <w:suppressAutoHyphens w:val="0"/>
      <w:autoSpaceDE/>
      <w:autoSpaceDN/>
      <w:ind w:left="720"/>
      <w:contextualSpacing/>
      <w:textAlignment w:val="auto"/>
    </w:pPr>
    <w:rPr>
      <w:rFonts w:eastAsia="Calibri"/>
      <w:szCs w:val="22"/>
    </w:rPr>
  </w:style>
  <w:style w:type="character" w:customStyle="1" w:styleId="A8">
    <w:name w:val="A8"/>
    <w:uiPriority w:val="99"/>
    <w:rsid w:val="00771948"/>
    <w:rPr>
      <w:rFonts w:cs="ITC Franklin Gothic Std Book"/>
      <w:color w:val="000000"/>
      <w:sz w:val="22"/>
      <w:szCs w:val="22"/>
      <w:u w:val="single"/>
    </w:rPr>
  </w:style>
  <w:style w:type="paragraph" w:customStyle="1" w:styleId="Pa0">
    <w:name w:val="Pa0"/>
    <w:basedOn w:val="Default"/>
    <w:next w:val="Default"/>
    <w:uiPriority w:val="99"/>
    <w:rsid w:val="00520233"/>
    <w:pPr>
      <w:suppressAutoHyphens w:val="0"/>
      <w:adjustRightInd w:val="0"/>
      <w:spacing w:line="221" w:lineRule="atLeast"/>
      <w:textAlignment w:val="auto"/>
    </w:pPr>
    <w:rPr>
      <w:rFonts w:ascii="ITC Franklin Gothic Std Book" w:hAnsi="ITC Franklin Gothic Std Book"/>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9376">
      <w:bodyDiv w:val="1"/>
      <w:marLeft w:val="0"/>
      <w:marRight w:val="0"/>
      <w:marTop w:val="0"/>
      <w:marBottom w:val="0"/>
      <w:divBdr>
        <w:top w:val="none" w:sz="0" w:space="0" w:color="auto"/>
        <w:left w:val="none" w:sz="0" w:space="0" w:color="auto"/>
        <w:bottom w:val="none" w:sz="0" w:space="0" w:color="auto"/>
        <w:right w:val="none" w:sz="0" w:space="0" w:color="auto"/>
      </w:divBdr>
    </w:div>
    <w:div w:id="297885593">
      <w:bodyDiv w:val="1"/>
      <w:marLeft w:val="0"/>
      <w:marRight w:val="0"/>
      <w:marTop w:val="0"/>
      <w:marBottom w:val="0"/>
      <w:divBdr>
        <w:top w:val="none" w:sz="0" w:space="0" w:color="auto"/>
        <w:left w:val="none" w:sz="0" w:space="0" w:color="auto"/>
        <w:bottom w:val="none" w:sz="0" w:space="0" w:color="auto"/>
        <w:right w:val="none" w:sz="0" w:space="0" w:color="auto"/>
      </w:divBdr>
    </w:div>
    <w:div w:id="1454715701">
      <w:bodyDiv w:val="1"/>
      <w:marLeft w:val="0"/>
      <w:marRight w:val="0"/>
      <w:marTop w:val="0"/>
      <w:marBottom w:val="0"/>
      <w:divBdr>
        <w:top w:val="none" w:sz="0" w:space="0" w:color="auto"/>
        <w:left w:val="none" w:sz="0" w:space="0" w:color="auto"/>
        <w:bottom w:val="none" w:sz="0" w:space="0" w:color="auto"/>
        <w:right w:val="none" w:sz="0" w:space="0" w:color="auto"/>
      </w:divBdr>
    </w:div>
    <w:div w:id="174923306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wx3@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bls.gov/o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9EC2-2A38-42F0-8FAC-D770F9EE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CDC</Company>
  <LinksUpToDate>false</LinksUpToDate>
  <CharactersWithSpaces>24292</CharactersWithSpaces>
  <SharedDoc>false</SharedDoc>
  <HLinks>
    <vt:vector size="126" baseType="variant">
      <vt:variant>
        <vt:i4>3604535</vt:i4>
      </vt:variant>
      <vt:variant>
        <vt:i4>120</vt:i4>
      </vt:variant>
      <vt:variant>
        <vt:i4>0</vt:i4>
      </vt:variant>
      <vt:variant>
        <vt:i4>5</vt:i4>
      </vt:variant>
      <vt:variant>
        <vt:lpwstr>http://www.bls.gov/oes/</vt:lpwstr>
      </vt:variant>
      <vt:variant>
        <vt:lpwstr/>
      </vt:variant>
      <vt:variant>
        <vt:i4>2031668</vt:i4>
      </vt:variant>
      <vt:variant>
        <vt:i4>113</vt:i4>
      </vt:variant>
      <vt:variant>
        <vt:i4>0</vt:i4>
      </vt:variant>
      <vt:variant>
        <vt:i4>5</vt:i4>
      </vt:variant>
      <vt:variant>
        <vt:lpwstr/>
      </vt:variant>
      <vt:variant>
        <vt:lpwstr>_Toc496868016</vt:lpwstr>
      </vt:variant>
      <vt:variant>
        <vt:i4>2031668</vt:i4>
      </vt:variant>
      <vt:variant>
        <vt:i4>107</vt:i4>
      </vt:variant>
      <vt:variant>
        <vt:i4>0</vt:i4>
      </vt:variant>
      <vt:variant>
        <vt:i4>5</vt:i4>
      </vt:variant>
      <vt:variant>
        <vt:lpwstr/>
      </vt:variant>
      <vt:variant>
        <vt:lpwstr>_Toc496868015</vt:lpwstr>
      </vt:variant>
      <vt:variant>
        <vt:i4>2031668</vt:i4>
      </vt:variant>
      <vt:variant>
        <vt:i4>101</vt:i4>
      </vt:variant>
      <vt:variant>
        <vt:i4>0</vt:i4>
      </vt:variant>
      <vt:variant>
        <vt:i4>5</vt:i4>
      </vt:variant>
      <vt:variant>
        <vt:lpwstr/>
      </vt:variant>
      <vt:variant>
        <vt:lpwstr>_Toc496868014</vt:lpwstr>
      </vt:variant>
      <vt:variant>
        <vt:i4>2031668</vt:i4>
      </vt:variant>
      <vt:variant>
        <vt:i4>95</vt:i4>
      </vt:variant>
      <vt:variant>
        <vt:i4>0</vt:i4>
      </vt:variant>
      <vt:variant>
        <vt:i4>5</vt:i4>
      </vt:variant>
      <vt:variant>
        <vt:lpwstr/>
      </vt:variant>
      <vt:variant>
        <vt:lpwstr>_Toc496868013</vt:lpwstr>
      </vt:variant>
      <vt:variant>
        <vt:i4>2031668</vt:i4>
      </vt:variant>
      <vt:variant>
        <vt:i4>89</vt:i4>
      </vt:variant>
      <vt:variant>
        <vt:i4>0</vt:i4>
      </vt:variant>
      <vt:variant>
        <vt:i4>5</vt:i4>
      </vt:variant>
      <vt:variant>
        <vt:lpwstr/>
      </vt:variant>
      <vt:variant>
        <vt:lpwstr>_Toc496868012</vt:lpwstr>
      </vt:variant>
      <vt:variant>
        <vt:i4>2031668</vt:i4>
      </vt:variant>
      <vt:variant>
        <vt:i4>83</vt:i4>
      </vt:variant>
      <vt:variant>
        <vt:i4>0</vt:i4>
      </vt:variant>
      <vt:variant>
        <vt:i4>5</vt:i4>
      </vt:variant>
      <vt:variant>
        <vt:lpwstr/>
      </vt:variant>
      <vt:variant>
        <vt:lpwstr>_Toc496868011</vt:lpwstr>
      </vt:variant>
      <vt:variant>
        <vt:i4>2031668</vt:i4>
      </vt:variant>
      <vt:variant>
        <vt:i4>77</vt:i4>
      </vt:variant>
      <vt:variant>
        <vt:i4>0</vt:i4>
      </vt:variant>
      <vt:variant>
        <vt:i4>5</vt:i4>
      </vt:variant>
      <vt:variant>
        <vt:lpwstr/>
      </vt:variant>
      <vt:variant>
        <vt:lpwstr>_Toc496868010</vt:lpwstr>
      </vt:variant>
      <vt:variant>
        <vt:i4>1966132</vt:i4>
      </vt:variant>
      <vt:variant>
        <vt:i4>71</vt:i4>
      </vt:variant>
      <vt:variant>
        <vt:i4>0</vt:i4>
      </vt:variant>
      <vt:variant>
        <vt:i4>5</vt:i4>
      </vt:variant>
      <vt:variant>
        <vt:lpwstr/>
      </vt:variant>
      <vt:variant>
        <vt:lpwstr>_Toc496868009</vt:lpwstr>
      </vt:variant>
      <vt:variant>
        <vt:i4>1966132</vt:i4>
      </vt:variant>
      <vt:variant>
        <vt:i4>65</vt:i4>
      </vt:variant>
      <vt:variant>
        <vt:i4>0</vt:i4>
      </vt:variant>
      <vt:variant>
        <vt:i4>5</vt:i4>
      </vt:variant>
      <vt:variant>
        <vt:lpwstr/>
      </vt:variant>
      <vt:variant>
        <vt:lpwstr>_Toc496868008</vt:lpwstr>
      </vt:variant>
      <vt:variant>
        <vt:i4>1966132</vt:i4>
      </vt:variant>
      <vt:variant>
        <vt:i4>59</vt:i4>
      </vt:variant>
      <vt:variant>
        <vt:i4>0</vt:i4>
      </vt:variant>
      <vt:variant>
        <vt:i4>5</vt:i4>
      </vt:variant>
      <vt:variant>
        <vt:lpwstr/>
      </vt:variant>
      <vt:variant>
        <vt:lpwstr>_Toc496868007</vt:lpwstr>
      </vt:variant>
      <vt:variant>
        <vt:i4>1966132</vt:i4>
      </vt:variant>
      <vt:variant>
        <vt:i4>53</vt:i4>
      </vt:variant>
      <vt:variant>
        <vt:i4>0</vt:i4>
      </vt:variant>
      <vt:variant>
        <vt:i4>5</vt:i4>
      </vt:variant>
      <vt:variant>
        <vt:lpwstr/>
      </vt:variant>
      <vt:variant>
        <vt:lpwstr>_Toc496868006</vt:lpwstr>
      </vt:variant>
      <vt:variant>
        <vt:i4>1966132</vt:i4>
      </vt:variant>
      <vt:variant>
        <vt:i4>47</vt:i4>
      </vt:variant>
      <vt:variant>
        <vt:i4>0</vt:i4>
      </vt:variant>
      <vt:variant>
        <vt:i4>5</vt:i4>
      </vt:variant>
      <vt:variant>
        <vt:lpwstr/>
      </vt:variant>
      <vt:variant>
        <vt:lpwstr>_Toc496868005</vt:lpwstr>
      </vt:variant>
      <vt:variant>
        <vt:i4>1966132</vt:i4>
      </vt:variant>
      <vt:variant>
        <vt:i4>41</vt:i4>
      </vt:variant>
      <vt:variant>
        <vt:i4>0</vt:i4>
      </vt:variant>
      <vt:variant>
        <vt:i4>5</vt:i4>
      </vt:variant>
      <vt:variant>
        <vt:lpwstr/>
      </vt:variant>
      <vt:variant>
        <vt:lpwstr>_Toc496868004</vt:lpwstr>
      </vt:variant>
      <vt:variant>
        <vt:i4>1966132</vt:i4>
      </vt:variant>
      <vt:variant>
        <vt:i4>35</vt:i4>
      </vt:variant>
      <vt:variant>
        <vt:i4>0</vt:i4>
      </vt:variant>
      <vt:variant>
        <vt:i4>5</vt:i4>
      </vt:variant>
      <vt:variant>
        <vt:lpwstr/>
      </vt:variant>
      <vt:variant>
        <vt:lpwstr>_Toc496868003</vt:lpwstr>
      </vt:variant>
      <vt:variant>
        <vt:i4>1966132</vt:i4>
      </vt:variant>
      <vt:variant>
        <vt:i4>29</vt:i4>
      </vt:variant>
      <vt:variant>
        <vt:i4>0</vt:i4>
      </vt:variant>
      <vt:variant>
        <vt:i4>5</vt:i4>
      </vt:variant>
      <vt:variant>
        <vt:lpwstr/>
      </vt:variant>
      <vt:variant>
        <vt:lpwstr>_Toc496868002</vt:lpwstr>
      </vt:variant>
      <vt:variant>
        <vt:i4>1966132</vt:i4>
      </vt:variant>
      <vt:variant>
        <vt:i4>23</vt:i4>
      </vt:variant>
      <vt:variant>
        <vt:i4>0</vt:i4>
      </vt:variant>
      <vt:variant>
        <vt:i4>5</vt:i4>
      </vt:variant>
      <vt:variant>
        <vt:lpwstr/>
      </vt:variant>
      <vt:variant>
        <vt:lpwstr>_Toc496868001</vt:lpwstr>
      </vt:variant>
      <vt:variant>
        <vt:i4>1966132</vt:i4>
      </vt:variant>
      <vt:variant>
        <vt:i4>17</vt:i4>
      </vt:variant>
      <vt:variant>
        <vt:i4>0</vt:i4>
      </vt:variant>
      <vt:variant>
        <vt:i4>5</vt:i4>
      </vt:variant>
      <vt:variant>
        <vt:lpwstr/>
      </vt:variant>
      <vt:variant>
        <vt:lpwstr>_Toc496868000</vt:lpwstr>
      </vt:variant>
      <vt:variant>
        <vt:i4>1572925</vt:i4>
      </vt:variant>
      <vt:variant>
        <vt:i4>11</vt:i4>
      </vt:variant>
      <vt:variant>
        <vt:i4>0</vt:i4>
      </vt:variant>
      <vt:variant>
        <vt:i4>5</vt:i4>
      </vt:variant>
      <vt:variant>
        <vt:lpwstr/>
      </vt:variant>
      <vt:variant>
        <vt:lpwstr>_Toc496867999</vt:lpwstr>
      </vt:variant>
      <vt:variant>
        <vt:i4>1572925</vt:i4>
      </vt:variant>
      <vt:variant>
        <vt:i4>5</vt:i4>
      </vt:variant>
      <vt:variant>
        <vt:i4>0</vt:i4>
      </vt:variant>
      <vt:variant>
        <vt:i4>5</vt:i4>
      </vt:variant>
      <vt:variant>
        <vt:lpwstr/>
      </vt:variant>
      <vt:variant>
        <vt:lpwstr>_Toc496867998</vt:lpwstr>
      </vt:variant>
      <vt:variant>
        <vt:i4>1835113</vt:i4>
      </vt:variant>
      <vt:variant>
        <vt:i4>0</vt:i4>
      </vt:variant>
      <vt:variant>
        <vt:i4>0</vt:i4>
      </vt:variant>
      <vt:variant>
        <vt:i4>5</vt:i4>
      </vt:variant>
      <vt:variant>
        <vt:lpwstr>mailto:cwx3@cdc.gov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zoz1</dc:creator>
  <cp:keywords/>
  <cp:lastModifiedBy>Joyce, Kevin J. (CDC/DDPHSS/OS/OSI)</cp:lastModifiedBy>
  <cp:revision>2</cp:revision>
  <cp:lastPrinted>2018-02-22T20:02:00Z</cp:lastPrinted>
  <dcterms:created xsi:type="dcterms:W3CDTF">2020-04-28T17:20:00Z</dcterms:created>
  <dcterms:modified xsi:type="dcterms:W3CDTF">2020-04-28T17:20:00Z</dcterms:modified>
</cp:coreProperties>
</file>