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F2D94" w:rsidR="004E6AE9" w:rsidP="007F2D94" w:rsidRDefault="005F2759" w14:paraId="3948B9DE" w14:textId="443CC32B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Cs/>
          <w:color w:val="000000"/>
          <w:szCs w:val="24"/>
        </w:rPr>
      </w:pPr>
      <w:r>
        <w:rPr>
          <w:rFonts w:eastAsia="Times New Roman" w:cs="Times New Roman"/>
          <w:bCs/>
          <w:color w:val="000000"/>
          <w:szCs w:val="24"/>
        </w:rPr>
        <w:t>Substance Abuse and Mental Health Services Administration</w:t>
      </w:r>
    </w:p>
    <w:p w:rsidRPr="007F2D94" w:rsidR="00E94A8B" w:rsidP="007F2D94" w:rsidRDefault="00E94A8B" w14:paraId="0578E869" w14:textId="0F0582F8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Cs/>
          <w:color w:val="000000"/>
          <w:szCs w:val="24"/>
        </w:rPr>
      </w:pPr>
      <w:r w:rsidRPr="007F2D94">
        <w:rPr>
          <w:rFonts w:eastAsia="Times New Roman" w:cs="Times New Roman"/>
          <w:bCs/>
          <w:color w:val="000000"/>
          <w:szCs w:val="24"/>
        </w:rPr>
        <w:t>NATIONAL SURVEY</w:t>
      </w:r>
      <w:r w:rsidR="005F2759">
        <w:rPr>
          <w:rFonts w:eastAsia="Times New Roman" w:cs="Times New Roman"/>
          <w:bCs/>
          <w:color w:val="000000"/>
          <w:szCs w:val="24"/>
        </w:rPr>
        <w:t xml:space="preserve"> ON DRUG USE AND HEALTH</w:t>
      </w:r>
    </w:p>
    <w:p w:rsidRPr="007F2D94" w:rsidR="004A13E8" w:rsidP="007F2D94" w:rsidRDefault="004A13E8" w14:paraId="55FE17B1" w14:textId="44B252A5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Cs/>
          <w:color w:val="000000"/>
          <w:szCs w:val="24"/>
        </w:rPr>
      </w:pPr>
    </w:p>
    <w:p w:rsidRPr="00C811EA" w:rsidR="00DC1EE8" w:rsidP="4C3AEC65" w:rsidRDefault="005F2759" w14:paraId="0DC838F7" w14:textId="59213B89">
      <w:pPr>
        <w:widowControl w:val="0"/>
        <w:autoSpaceDE w:val="0"/>
        <w:autoSpaceDN w:val="0"/>
        <w:adjustRightInd w:val="0"/>
        <w:spacing w:after="0"/>
        <w:rPr>
          <w:rFonts w:cs="Times New Roman"/>
        </w:rPr>
      </w:pPr>
      <w:r w:rsidRPr="4C3AEC65">
        <w:rPr>
          <w:rFonts w:cs="Times New Roman"/>
        </w:rPr>
        <w:t>SAMHSA</w:t>
      </w:r>
      <w:r w:rsidRPr="4C3AEC65" w:rsidR="00DC1EE8">
        <w:rPr>
          <w:rFonts w:cs="Times New Roman"/>
        </w:rPr>
        <w:t xml:space="preserve"> requests a</w:t>
      </w:r>
      <w:r w:rsidR="002A7670">
        <w:rPr>
          <w:rFonts w:cs="Times New Roman"/>
        </w:rPr>
        <w:t xml:space="preserve"> </w:t>
      </w:r>
      <w:r w:rsidRPr="00C811EA" w:rsidR="00285E8D">
        <w:rPr>
          <w:rFonts w:cs="Times New Roman"/>
        </w:rPr>
        <w:t xml:space="preserve">change to </w:t>
      </w:r>
      <w:r w:rsidRPr="4C3AEC65" w:rsidR="00810E02">
        <w:rPr>
          <w:rFonts w:cs="Times New Roman"/>
        </w:rPr>
        <w:t>the</w:t>
      </w:r>
      <w:r w:rsidRPr="4C3AEC65" w:rsidR="00DC1EE8">
        <w:rPr>
          <w:rFonts w:cs="Times New Roman"/>
        </w:rPr>
        <w:t xml:space="preserve"> approved data collection </w:t>
      </w:r>
      <w:r w:rsidRPr="4C3AEC65" w:rsidR="00285E8D">
        <w:rPr>
          <w:rFonts w:cs="Times New Roman"/>
        </w:rPr>
        <w:t xml:space="preserve">- </w:t>
      </w:r>
      <w:r w:rsidRPr="4C3AEC65" w:rsidR="00DC1EE8">
        <w:rPr>
          <w:rFonts w:cs="Times New Roman"/>
        </w:rPr>
        <w:t>National Survey</w:t>
      </w:r>
      <w:r w:rsidRPr="4C3AEC65">
        <w:rPr>
          <w:rFonts w:cs="Times New Roman"/>
        </w:rPr>
        <w:t xml:space="preserve"> on Drug Use and Health</w:t>
      </w:r>
      <w:r w:rsidRPr="4C3AEC65" w:rsidR="00DC1EE8">
        <w:rPr>
          <w:rFonts w:cs="Times New Roman"/>
        </w:rPr>
        <w:t xml:space="preserve"> (NS</w:t>
      </w:r>
      <w:r w:rsidRPr="4C3AEC65">
        <w:rPr>
          <w:rFonts w:cs="Times New Roman"/>
        </w:rPr>
        <w:t>DUH</w:t>
      </w:r>
      <w:r w:rsidRPr="4C3AEC65" w:rsidR="00DC1EE8">
        <w:rPr>
          <w:rFonts w:cs="Times New Roman"/>
        </w:rPr>
        <w:t xml:space="preserve">) </w:t>
      </w:r>
      <w:bookmarkStart w:name="_Hlk39147177" w:id="0"/>
      <w:r w:rsidRPr="4C3AEC65" w:rsidR="00DC1EE8">
        <w:rPr>
          <w:rFonts w:cs="Times New Roman"/>
        </w:rPr>
        <w:t>(OMB No. 09</w:t>
      </w:r>
      <w:r w:rsidRPr="4C3AEC65">
        <w:rPr>
          <w:rFonts w:cs="Times New Roman"/>
        </w:rPr>
        <w:t>3</w:t>
      </w:r>
      <w:r w:rsidRPr="4C3AEC65" w:rsidR="00DC1EE8">
        <w:rPr>
          <w:rFonts w:cs="Times New Roman"/>
        </w:rPr>
        <w:t>0</w:t>
      </w:r>
      <w:r w:rsidRPr="4C3AEC65" w:rsidR="00E2057A">
        <w:rPr>
          <w:rFonts w:ascii="Symbol" w:hAnsi="Symbol" w:eastAsia="Symbol" w:cs="Symbol"/>
        </w:rPr>
        <w:t></w:t>
      </w:r>
      <w:r w:rsidRPr="4C3AEC65" w:rsidR="00DC1EE8">
        <w:rPr>
          <w:rFonts w:cs="Times New Roman"/>
        </w:rPr>
        <w:t>0</w:t>
      </w:r>
      <w:r w:rsidRPr="4C3AEC65">
        <w:rPr>
          <w:rFonts w:cs="Times New Roman"/>
        </w:rPr>
        <w:t>110</w:t>
      </w:r>
      <w:r w:rsidRPr="4C3AEC65" w:rsidR="00DC1EE8">
        <w:rPr>
          <w:rFonts w:cs="Times New Roman"/>
        </w:rPr>
        <w:t xml:space="preserve">, Exp. Date: </w:t>
      </w:r>
      <w:r w:rsidRPr="4C3AEC65">
        <w:rPr>
          <w:rFonts w:cs="Times New Roman"/>
        </w:rPr>
        <w:t>1</w:t>
      </w:r>
      <w:r w:rsidRPr="4C3AEC65" w:rsidR="00DC1EE8">
        <w:rPr>
          <w:rFonts w:cs="Times New Roman"/>
        </w:rPr>
        <w:t>0/31/2022)</w:t>
      </w:r>
      <w:bookmarkEnd w:id="0"/>
      <w:r w:rsidRPr="4C3AEC65" w:rsidR="00DC1EE8">
        <w:rPr>
          <w:rFonts w:cs="Times New Roman"/>
        </w:rPr>
        <w:t>.</w:t>
      </w:r>
      <w:r w:rsidRPr="4C3AEC65" w:rsidR="00810E02">
        <w:rPr>
          <w:rFonts w:cs="Times New Roman"/>
        </w:rPr>
        <w:t xml:space="preserve"> This </w:t>
      </w:r>
      <w:r w:rsidR="00CD0228">
        <w:rPr>
          <w:rFonts w:cs="Times New Roman"/>
        </w:rPr>
        <w:t xml:space="preserve">non-substantial </w:t>
      </w:r>
      <w:r w:rsidRPr="4C3AEC65" w:rsidR="00810E02">
        <w:rPr>
          <w:rFonts w:cs="Times New Roman"/>
        </w:rPr>
        <w:t xml:space="preserve">change is to allow the addition of </w:t>
      </w:r>
      <w:r w:rsidRPr="00C811EA" w:rsidR="002D42C4">
        <w:rPr>
          <w:rFonts w:cs="Times New Roman"/>
        </w:rPr>
        <w:t>COVID-19 related content and modification of</w:t>
      </w:r>
      <w:r w:rsidR="00EC0646">
        <w:rPr>
          <w:rFonts w:cs="Times New Roman"/>
        </w:rPr>
        <w:t xml:space="preserve"> the</w:t>
      </w:r>
      <w:r w:rsidRPr="00C811EA" w:rsidR="002D42C4">
        <w:rPr>
          <w:rFonts w:cs="Times New Roman"/>
        </w:rPr>
        <w:t xml:space="preserve"> </w:t>
      </w:r>
      <w:r w:rsidR="00EC0646">
        <w:rPr>
          <w:rFonts w:cs="Times New Roman"/>
        </w:rPr>
        <w:t>sampling strategy</w:t>
      </w:r>
      <w:r w:rsidRPr="4C3AEC65" w:rsidR="00810E02">
        <w:rPr>
          <w:rFonts w:cs="Times New Roman"/>
        </w:rPr>
        <w:t xml:space="preserve"> </w:t>
      </w:r>
      <w:r w:rsidRPr="4C3AEC65" w:rsidR="00EC0646">
        <w:rPr>
          <w:rFonts w:cs="Times New Roman"/>
        </w:rPr>
        <w:t>to ensure</w:t>
      </w:r>
      <w:r w:rsidRPr="4C3AEC65" w:rsidR="00810E02">
        <w:rPr>
          <w:rFonts w:cs="Times New Roman"/>
        </w:rPr>
        <w:t xml:space="preserve"> </w:t>
      </w:r>
      <w:r w:rsidRPr="4C3AEC65" w:rsidR="00A953F0">
        <w:rPr>
          <w:rFonts w:cs="Times New Roman"/>
        </w:rPr>
        <w:t>collect</w:t>
      </w:r>
      <w:r w:rsidRPr="4C3AEC65" w:rsidR="00EC0646">
        <w:rPr>
          <w:rFonts w:cs="Times New Roman"/>
        </w:rPr>
        <w:t>ion of</w:t>
      </w:r>
      <w:r w:rsidRPr="4C3AEC65" w:rsidR="00A953F0">
        <w:rPr>
          <w:rFonts w:cs="Times New Roman"/>
        </w:rPr>
        <w:t xml:space="preserve"> data </w:t>
      </w:r>
      <w:r w:rsidRPr="4C3AEC65" w:rsidR="006750C1">
        <w:rPr>
          <w:rFonts w:cs="Times New Roman"/>
        </w:rPr>
        <w:t>which</w:t>
      </w:r>
      <w:r w:rsidRPr="4C3AEC65" w:rsidR="00A953F0">
        <w:rPr>
          <w:rFonts w:cs="Times New Roman"/>
        </w:rPr>
        <w:t xml:space="preserve"> can be used to provide understanding and nationally representative estimates on</w:t>
      </w:r>
      <w:r w:rsidRPr="4C3AEC65">
        <w:rPr>
          <w:rFonts w:cs="Times New Roman"/>
        </w:rPr>
        <w:t xml:space="preserve"> the effects of the </w:t>
      </w:r>
      <w:r w:rsidRPr="4C3AEC65" w:rsidR="00810E02">
        <w:rPr>
          <w:rFonts w:cs="Times New Roman"/>
        </w:rPr>
        <w:t>novel coronavirus disease (COVID-19) pandemic</w:t>
      </w:r>
      <w:r w:rsidRPr="4C3AEC65">
        <w:rPr>
          <w:rFonts w:cs="Times New Roman"/>
        </w:rPr>
        <w:t xml:space="preserve"> on substance use and mental health</w:t>
      </w:r>
      <w:r w:rsidRPr="4C3AEC65" w:rsidR="00810E02">
        <w:rPr>
          <w:rFonts w:cs="Times New Roman"/>
        </w:rPr>
        <w:t xml:space="preserve"> in the United States.</w:t>
      </w:r>
      <w:r w:rsidRPr="4C3AEC65" w:rsidR="00BE094B">
        <w:rPr>
          <w:rFonts w:cs="Times New Roman"/>
        </w:rPr>
        <w:t xml:space="preserve"> </w:t>
      </w:r>
      <w:r w:rsidRPr="4C3AEC65" w:rsidR="00DC1EE8">
        <w:rPr>
          <w:rFonts w:cs="Times New Roman"/>
        </w:rPr>
        <w:t xml:space="preserve">On </w:t>
      </w:r>
      <w:r w:rsidRPr="4C3AEC65" w:rsidR="00AC2AD9">
        <w:rPr>
          <w:rFonts w:cs="Times New Roman"/>
        </w:rPr>
        <w:t>October</w:t>
      </w:r>
      <w:r w:rsidRPr="4C3AEC65" w:rsidR="00DC1EE8">
        <w:rPr>
          <w:rFonts w:cs="Times New Roman"/>
        </w:rPr>
        <w:t xml:space="preserve"> 2</w:t>
      </w:r>
      <w:r w:rsidRPr="4C3AEC65" w:rsidR="00AC2AD9">
        <w:rPr>
          <w:rFonts w:cs="Times New Roman"/>
        </w:rPr>
        <w:t>4</w:t>
      </w:r>
      <w:r w:rsidRPr="4C3AEC65" w:rsidR="00F375C7">
        <w:rPr>
          <w:rFonts w:cs="Times New Roman"/>
        </w:rPr>
        <w:t>, 2019</w:t>
      </w:r>
      <w:r w:rsidRPr="4C3AEC65" w:rsidR="00DC1EE8">
        <w:rPr>
          <w:rFonts w:cs="Times New Roman"/>
        </w:rPr>
        <w:t>, NS</w:t>
      </w:r>
      <w:r w:rsidRPr="4C3AEC65" w:rsidR="004E1727">
        <w:rPr>
          <w:rFonts w:cs="Times New Roman"/>
        </w:rPr>
        <w:t>DUH</w:t>
      </w:r>
      <w:r w:rsidRPr="4C3AEC65" w:rsidR="00DC1EE8">
        <w:rPr>
          <w:rFonts w:cs="Times New Roman"/>
        </w:rPr>
        <w:t xml:space="preserve"> was approved to collect data for three years – 2019, 2020, and 202</w:t>
      </w:r>
      <w:r w:rsidRPr="4C3AEC65" w:rsidR="00F375C7">
        <w:rPr>
          <w:rFonts w:cs="Times New Roman"/>
        </w:rPr>
        <w:t>1</w:t>
      </w:r>
      <w:r w:rsidRPr="4C3AEC65" w:rsidR="00DC1EE8">
        <w:rPr>
          <w:rFonts w:cs="Times New Roman"/>
        </w:rPr>
        <w:t xml:space="preserve">. </w:t>
      </w:r>
    </w:p>
    <w:p w:rsidRPr="00C811EA" w:rsidR="00DC1EE8" w:rsidP="00C811EA" w:rsidRDefault="00DC1EE8" w14:paraId="553E2250" w14:textId="77777777">
      <w:pPr>
        <w:widowControl w:val="0"/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p w:rsidRPr="00C811EA" w:rsidR="00E15071" w:rsidP="00C811EA" w:rsidRDefault="00DC1EE8" w14:paraId="3F80165D" w14:textId="187181DA">
      <w:pPr>
        <w:spacing w:after="160" w:line="259" w:lineRule="auto"/>
        <w:rPr>
          <w:rFonts w:cs="Times New Roman"/>
        </w:rPr>
      </w:pPr>
      <w:r w:rsidRPr="4C3AEC65">
        <w:rPr>
          <w:rFonts w:cs="Times New Roman"/>
        </w:rPr>
        <w:t xml:space="preserve">This submission </w:t>
      </w:r>
      <w:r w:rsidRPr="4C3AEC65" w:rsidR="00285E8D">
        <w:rPr>
          <w:rFonts w:cs="Times New Roman"/>
        </w:rPr>
        <w:t xml:space="preserve">proposes </w:t>
      </w:r>
      <w:r w:rsidRPr="4C3AEC65" w:rsidR="00ED432A">
        <w:rPr>
          <w:rFonts w:cs="Times New Roman"/>
        </w:rPr>
        <w:t xml:space="preserve">to modify the </w:t>
      </w:r>
      <w:r w:rsidR="00ED29E7">
        <w:rPr>
          <w:rFonts w:cs="Times New Roman"/>
        </w:rPr>
        <w:t>existing</w:t>
      </w:r>
      <w:r w:rsidRPr="4C3AEC65" w:rsidR="00E2057A">
        <w:rPr>
          <w:rFonts w:cs="Times New Roman"/>
        </w:rPr>
        <w:t xml:space="preserve"> </w:t>
      </w:r>
      <w:r w:rsidRPr="4C3AEC65" w:rsidR="00ED432A">
        <w:rPr>
          <w:rFonts w:cs="Times New Roman"/>
        </w:rPr>
        <w:t xml:space="preserve">NSDUH OMB clearance package to add COVID-19 related content </w:t>
      </w:r>
      <w:r w:rsidRPr="4C3AEC65" w:rsidR="00E2057A">
        <w:rPr>
          <w:rFonts w:cs="Times New Roman"/>
        </w:rPr>
        <w:t>(</w:t>
      </w:r>
      <w:r w:rsidRPr="4C3AEC65" w:rsidR="00ED432A">
        <w:rPr>
          <w:rFonts w:cs="Times New Roman"/>
        </w:rPr>
        <w:t>including telemedicine utilization</w:t>
      </w:r>
      <w:r w:rsidRPr="4C3AEC65">
        <w:rPr>
          <w:rFonts w:cs="Times New Roman"/>
        </w:rPr>
        <w:t xml:space="preserve"> questions</w:t>
      </w:r>
      <w:r w:rsidRPr="4C3AEC65" w:rsidR="00D002F7">
        <w:rPr>
          <w:rFonts w:cs="Times New Roman"/>
        </w:rPr>
        <w:t xml:space="preserve"> and </w:t>
      </w:r>
      <w:r w:rsidRPr="4C3AEC65" w:rsidR="00841C92">
        <w:rPr>
          <w:rFonts w:cs="Times New Roman"/>
        </w:rPr>
        <w:t>modify</w:t>
      </w:r>
      <w:r w:rsidRPr="4C3AEC65" w:rsidR="00D002F7">
        <w:rPr>
          <w:rFonts w:cs="Times New Roman"/>
        </w:rPr>
        <w:t xml:space="preserve"> the sampling strategy including modes of survey administration</w:t>
      </w:r>
      <w:r w:rsidRPr="4C3AEC65" w:rsidR="00841C92">
        <w:rPr>
          <w:rFonts w:cs="Times New Roman"/>
        </w:rPr>
        <w:t xml:space="preserve"> when COVID</w:t>
      </w:r>
      <w:r w:rsidRPr="4C3AEC65" w:rsidR="00E2057A">
        <w:rPr>
          <w:rFonts w:cs="Times New Roman"/>
        </w:rPr>
        <w:t>-</w:t>
      </w:r>
      <w:r w:rsidRPr="4C3AEC65" w:rsidR="00841C92">
        <w:rPr>
          <w:rFonts w:cs="Times New Roman"/>
        </w:rPr>
        <w:t>19 prevents in-person collection</w:t>
      </w:r>
      <w:r w:rsidRPr="4C3AEC65" w:rsidR="00D002F7">
        <w:rPr>
          <w:rFonts w:cs="Times New Roman"/>
        </w:rPr>
        <w:t xml:space="preserve">. </w:t>
      </w:r>
      <w:r w:rsidRPr="4C3AEC65" w:rsidR="00727C38">
        <w:rPr>
          <w:rFonts w:cs="Times New Roman"/>
        </w:rPr>
        <w:t xml:space="preserve">There are </w:t>
      </w:r>
      <w:r w:rsidRPr="4C3AEC65" w:rsidR="004D7652">
        <w:rPr>
          <w:rFonts w:cs="Times New Roman"/>
        </w:rPr>
        <w:t>11</w:t>
      </w:r>
      <w:r w:rsidRPr="4C3AEC65" w:rsidR="002246F6">
        <w:rPr>
          <w:rFonts w:cs="Times New Roman"/>
        </w:rPr>
        <w:t xml:space="preserve"> COVID-19 related </w:t>
      </w:r>
      <w:r w:rsidRPr="4C3AEC65" w:rsidR="006F4A4D">
        <w:rPr>
          <w:rFonts w:cs="Times New Roman"/>
        </w:rPr>
        <w:t xml:space="preserve">questions </w:t>
      </w:r>
      <w:r w:rsidRPr="4C3AEC65" w:rsidR="00F81006">
        <w:rPr>
          <w:rFonts w:cs="Times New Roman"/>
        </w:rPr>
        <w:t xml:space="preserve">(with a few of these containing sub-questions) </w:t>
      </w:r>
      <w:r w:rsidRPr="4C3AEC65" w:rsidR="00841C92">
        <w:rPr>
          <w:rFonts w:cs="Times New Roman"/>
        </w:rPr>
        <w:t>and 4 t</w:t>
      </w:r>
      <w:r w:rsidRPr="4C3AEC65" w:rsidR="002246F6">
        <w:rPr>
          <w:rFonts w:cs="Times New Roman"/>
        </w:rPr>
        <w:t>elemedicine</w:t>
      </w:r>
      <w:r w:rsidRPr="4C3AEC65" w:rsidR="00A827C6">
        <w:rPr>
          <w:rFonts w:cs="Times New Roman"/>
        </w:rPr>
        <w:t xml:space="preserve"> questions.</w:t>
      </w:r>
      <w:r w:rsidRPr="4C3AEC65" w:rsidR="003D51C0">
        <w:rPr>
          <w:rFonts w:cs="Times New Roman"/>
        </w:rPr>
        <w:t xml:space="preserve"> No one respondent would answer all sub-questions.</w:t>
      </w:r>
      <w:r w:rsidRPr="4C3AEC65" w:rsidR="00E15071">
        <w:rPr>
          <w:rFonts w:cs="Times New Roman"/>
        </w:rPr>
        <w:t xml:space="preserve"> Data collection for the </w:t>
      </w:r>
      <w:r w:rsidRPr="4C3AEC65" w:rsidR="00E2057A">
        <w:rPr>
          <w:rFonts w:cs="Times New Roman"/>
        </w:rPr>
        <w:t xml:space="preserve">NSDUH </w:t>
      </w:r>
      <w:r w:rsidRPr="4C3AEC65" w:rsidR="00E15071">
        <w:rPr>
          <w:rFonts w:cs="Times New Roman"/>
        </w:rPr>
        <w:t xml:space="preserve">was halted in March 2020 due to </w:t>
      </w:r>
      <w:r w:rsidRPr="4C3AEC65" w:rsidR="00E2057A">
        <w:rPr>
          <w:rFonts w:cs="Times New Roman"/>
        </w:rPr>
        <w:t xml:space="preserve">restrictions in </w:t>
      </w:r>
      <w:r w:rsidRPr="4C3AEC65" w:rsidR="00E15071">
        <w:rPr>
          <w:rFonts w:cs="Times New Roman"/>
        </w:rPr>
        <w:t>public interaction resulting from the COVID-19 pandemic</w:t>
      </w:r>
      <w:r w:rsidR="00CD0228">
        <w:rPr>
          <w:rFonts w:cs="Times New Roman"/>
        </w:rPr>
        <w:t>. As</w:t>
      </w:r>
      <w:r w:rsidRPr="4C3AEC65" w:rsidR="00E15071">
        <w:rPr>
          <w:rFonts w:cs="Times New Roman"/>
        </w:rPr>
        <w:t xml:space="preserve"> parts of the United States reduce COVID-19 restrictions</w:t>
      </w:r>
      <w:r w:rsidRPr="4C3AEC65" w:rsidR="00E2057A">
        <w:rPr>
          <w:rFonts w:cs="Times New Roman"/>
        </w:rPr>
        <w:t>,</w:t>
      </w:r>
      <w:r w:rsidRPr="4C3AEC65" w:rsidR="00E15071">
        <w:rPr>
          <w:rFonts w:cs="Times New Roman"/>
        </w:rPr>
        <w:t xml:space="preserve"> in-person data collection will resume </w:t>
      </w:r>
      <w:r w:rsidRPr="4C3AEC65" w:rsidR="00551C04">
        <w:rPr>
          <w:rFonts w:cs="Times New Roman"/>
        </w:rPr>
        <w:t>O</w:t>
      </w:r>
      <w:r w:rsidRPr="4C3AEC65" w:rsidR="00841C92">
        <w:rPr>
          <w:rFonts w:cs="Times New Roman"/>
        </w:rPr>
        <w:t>ctob</w:t>
      </w:r>
      <w:r w:rsidRPr="4C3AEC65" w:rsidR="00551C04">
        <w:rPr>
          <w:rFonts w:cs="Times New Roman"/>
        </w:rPr>
        <w:t>er</w:t>
      </w:r>
      <w:r w:rsidRPr="4C3AEC65" w:rsidR="00F81006">
        <w:rPr>
          <w:rFonts w:cs="Times New Roman"/>
        </w:rPr>
        <w:t xml:space="preserve"> </w:t>
      </w:r>
      <w:r w:rsidRPr="4C3AEC65" w:rsidR="00E15071">
        <w:rPr>
          <w:rFonts w:cs="Times New Roman"/>
        </w:rPr>
        <w:t>2020.</w:t>
      </w:r>
      <w:r w:rsidRPr="4C3AEC65" w:rsidR="00D002F7">
        <w:rPr>
          <w:rFonts w:cs="Times New Roman"/>
        </w:rPr>
        <w:t xml:space="preserve"> </w:t>
      </w:r>
      <w:r w:rsidR="00CD0228">
        <w:rPr>
          <w:rFonts w:cs="Times New Roman"/>
        </w:rPr>
        <w:t>Although i</w:t>
      </w:r>
      <w:r w:rsidRPr="4C3AEC65" w:rsidR="00E15071">
        <w:rPr>
          <w:rFonts w:cs="Times New Roman"/>
        </w:rPr>
        <w:t xml:space="preserve">n order to </w:t>
      </w:r>
      <w:r w:rsidRPr="4C3AEC65" w:rsidR="006F4A4D">
        <w:rPr>
          <w:rFonts w:cs="Times New Roman"/>
        </w:rPr>
        <w:t>ensure</w:t>
      </w:r>
      <w:r w:rsidRPr="4C3AEC65" w:rsidR="00E15071">
        <w:rPr>
          <w:rFonts w:cs="Times New Roman"/>
        </w:rPr>
        <w:t xml:space="preserve"> </w:t>
      </w:r>
      <w:r w:rsidRPr="4C3AEC65" w:rsidR="00841C92">
        <w:rPr>
          <w:rFonts w:cs="Times New Roman"/>
        </w:rPr>
        <w:t>sufficient</w:t>
      </w:r>
      <w:r w:rsidRPr="4C3AEC65" w:rsidR="00E15071">
        <w:rPr>
          <w:rFonts w:cs="Times New Roman"/>
        </w:rPr>
        <w:t xml:space="preserve"> data </w:t>
      </w:r>
      <w:r w:rsidRPr="4C3AEC65" w:rsidR="006F4A4D">
        <w:rPr>
          <w:rFonts w:cs="Times New Roman"/>
        </w:rPr>
        <w:t xml:space="preserve">is collected </w:t>
      </w:r>
      <w:r w:rsidRPr="4C3AEC65" w:rsidR="00E15071">
        <w:rPr>
          <w:rFonts w:cs="Times New Roman"/>
        </w:rPr>
        <w:t>to</w:t>
      </w:r>
      <w:r w:rsidR="00ED29E7">
        <w:rPr>
          <w:rFonts w:cs="Times New Roman"/>
        </w:rPr>
        <w:t xml:space="preserve"> allow for</w:t>
      </w:r>
      <w:r w:rsidRPr="4C3AEC65" w:rsidR="00E15071">
        <w:rPr>
          <w:rFonts w:cs="Times New Roman"/>
        </w:rPr>
        <w:t xml:space="preserve"> produce nationally representative estimates</w:t>
      </w:r>
      <w:r w:rsidRPr="4C3AEC65" w:rsidR="00841C92">
        <w:rPr>
          <w:rFonts w:cs="Times New Roman"/>
        </w:rPr>
        <w:t xml:space="preserve">, </w:t>
      </w:r>
      <w:r w:rsidR="00CD0228">
        <w:rPr>
          <w:rFonts w:cs="Times New Roman"/>
        </w:rPr>
        <w:t xml:space="preserve">some </w:t>
      </w:r>
      <w:proofErr w:type="gramStart"/>
      <w:r w:rsidRPr="4C3AEC65" w:rsidR="00841C92">
        <w:rPr>
          <w:rFonts w:cs="Times New Roman"/>
        </w:rPr>
        <w:t>changes</w:t>
      </w:r>
      <w:proofErr w:type="gramEnd"/>
      <w:r w:rsidRPr="4C3AEC65" w:rsidR="00841C92">
        <w:rPr>
          <w:rFonts w:cs="Times New Roman"/>
        </w:rPr>
        <w:t xml:space="preserve"> </w:t>
      </w:r>
      <w:r w:rsidRPr="4C3AEC65" w:rsidR="006F4A4D">
        <w:rPr>
          <w:rFonts w:cs="Times New Roman"/>
        </w:rPr>
        <w:t xml:space="preserve">to the </w:t>
      </w:r>
      <w:r w:rsidRPr="4C3AEC65" w:rsidR="00D002F7">
        <w:rPr>
          <w:rFonts w:cs="Times New Roman"/>
        </w:rPr>
        <w:t>sampli</w:t>
      </w:r>
      <w:r w:rsidR="00CD0228">
        <w:rPr>
          <w:rFonts w:cs="Times New Roman"/>
        </w:rPr>
        <w:t>ng strategy need</w:t>
      </w:r>
      <w:r w:rsidRPr="4C3AEC65" w:rsidR="00841C92">
        <w:rPr>
          <w:rFonts w:cs="Times New Roman"/>
        </w:rPr>
        <w:t xml:space="preserve"> to be </w:t>
      </w:r>
      <w:r w:rsidR="00CD0228">
        <w:rPr>
          <w:rFonts w:cs="Times New Roman"/>
        </w:rPr>
        <w:t>adopted</w:t>
      </w:r>
      <w:r w:rsidRPr="4C3AEC65" w:rsidR="006F4A4D">
        <w:rPr>
          <w:rFonts w:cs="Times New Roman"/>
        </w:rPr>
        <w:t>. This includes</w:t>
      </w:r>
      <w:r w:rsidRPr="4C3AEC65" w:rsidR="00841C92">
        <w:rPr>
          <w:rFonts w:cs="Times New Roman"/>
        </w:rPr>
        <w:t xml:space="preserve"> </w:t>
      </w:r>
      <w:r w:rsidRPr="4C3AEC65" w:rsidR="00D002F7">
        <w:rPr>
          <w:rFonts w:cs="Times New Roman"/>
        </w:rPr>
        <w:t>incorporation of more versatile survey administration methods</w:t>
      </w:r>
      <w:r w:rsidRPr="4C3AEC65" w:rsidR="00E2057A">
        <w:rPr>
          <w:rFonts w:cs="Times New Roman"/>
        </w:rPr>
        <w:t>,</w:t>
      </w:r>
      <w:r w:rsidRPr="4C3AEC65" w:rsidR="006F4A4D">
        <w:rPr>
          <w:rFonts w:cs="Times New Roman"/>
        </w:rPr>
        <w:t xml:space="preserve"> such as</w:t>
      </w:r>
      <w:r w:rsidRPr="4C3AEC65" w:rsidR="00841C92">
        <w:rPr>
          <w:rFonts w:cs="Times New Roman"/>
        </w:rPr>
        <w:t xml:space="preserve"> </w:t>
      </w:r>
      <w:r w:rsidRPr="4C3AEC65" w:rsidR="00E15071">
        <w:rPr>
          <w:rFonts w:cs="Times New Roman"/>
        </w:rPr>
        <w:t>telephone and online interviews</w:t>
      </w:r>
      <w:r w:rsidRPr="4C3AEC65" w:rsidR="00E2057A">
        <w:rPr>
          <w:rFonts w:cs="Times New Roman"/>
        </w:rPr>
        <w:t>,</w:t>
      </w:r>
      <w:r w:rsidRPr="4C3AEC65" w:rsidR="00E15071">
        <w:rPr>
          <w:rFonts w:cs="Times New Roman"/>
        </w:rPr>
        <w:t xml:space="preserve"> in areas with COVID-19 restrictions. </w:t>
      </w:r>
      <w:r w:rsidRPr="4C3AEC65" w:rsidR="00D002F7">
        <w:rPr>
          <w:rFonts w:cs="Times New Roman"/>
        </w:rPr>
        <w:t xml:space="preserve">These NSDUH changes are </w:t>
      </w:r>
      <w:r w:rsidR="007B51FB">
        <w:rPr>
          <w:rFonts w:cs="Times New Roman"/>
        </w:rPr>
        <w:t>detailed</w:t>
      </w:r>
      <w:r w:rsidRPr="4C3AEC65" w:rsidR="00D002F7">
        <w:rPr>
          <w:rFonts w:cs="Times New Roman"/>
        </w:rPr>
        <w:t xml:space="preserve"> below.</w:t>
      </w:r>
      <w:r w:rsidRPr="4C3AEC65" w:rsidR="00E15071">
        <w:rPr>
          <w:rFonts w:cs="Times New Roman"/>
        </w:rPr>
        <w:t xml:space="preserve"> </w:t>
      </w:r>
      <w:bookmarkStart w:name="_Hlk44331735" w:id="1"/>
    </w:p>
    <w:p w:rsidRPr="00C811EA" w:rsidR="001057E8" w:rsidP="4C3AEC65" w:rsidRDefault="0085582F" w14:paraId="126EB46A" w14:textId="7898C21C">
      <w:pPr>
        <w:widowControl w:val="0"/>
        <w:autoSpaceDE w:val="0"/>
        <w:autoSpaceDN w:val="0"/>
        <w:adjustRightInd w:val="0"/>
        <w:spacing w:after="0"/>
        <w:rPr>
          <w:rFonts w:cs="Times New Roman"/>
        </w:rPr>
      </w:pPr>
      <w:r w:rsidRPr="4C3AEC65">
        <w:rPr>
          <w:rFonts w:cs="Times New Roman"/>
        </w:rPr>
        <w:t xml:space="preserve">While the proposed questions add </w:t>
      </w:r>
      <w:r w:rsidR="00CD0228">
        <w:rPr>
          <w:rFonts w:cs="Times New Roman"/>
        </w:rPr>
        <w:t>minor</w:t>
      </w:r>
      <w:r w:rsidRPr="4C3AEC65">
        <w:rPr>
          <w:rFonts w:cs="Times New Roman"/>
        </w:rPr>
        <w:t xml:space="preserve"> </w:t>
      </w:r>
      <w:r w:rsidR="00CD0228">
        <w:rPr>
          <w:rFonts w:cs="Times New Roman"/>
        </w:rPr>
        <w:t>increase</w:t>
      </w:r>
      <w:r w:rsidR="005D2DB7">
        <w:rPr>
          <w:rFonts w:cs="Times New Roman"/>
        </w:rPr>
        <w:t>s</w:t>
      </w:r>
      <w:r w:rsidR="00CD0228">
        <w:rPr>
          <w:rFonts w:cs="Times New Roman"/>
        </w:rPr>
        <w:t xml:space="preserve"> </w:t>
      </w:r>
      <w:r w:rsidRPr="4C3AEC65">
        <w:rPr>
          <w:rFonts w:cs="Times New Roman"/>
        </w:rPr>
        <w:t>burden</w:t>
      </w:r>
      <w:r w:rsidR="00CD0228">
        <w:rPr>
          <w:rFonts w:cs="Times New Roman"/>
        </w:rPr>
        <w:t xml:space="preserve"> per respondent, this coincides with </w:t>
      </w:r>
      <w:r w:rsidRPr="4C3AEC65">
        <w:rPr>
          <w:rFonts w:cs="Times New Roman"/>
        </w:rPr>
        <w:t>reduced</w:t>
      </w:r>
      <w:r w:rsidR="00CD0228">
        <w:rPr>
          <w:rFonts w:cs="Times New Roman"/>
        </w:rPr>
        <w:t xml:space="preserve"> total</w:t>
      </w:r>
      <w:r w:rsidRPr="4C3AEC65">
        <w:rPr>
          <w:rFonts w:cs="Times New Roman"/>
        </w:rPr>
        <w:t xml:space="preserve"> burden hours</w:t>
      </w:r>
      <w:r w:rsidR="00CD0228">
        <w:rPr>
          <w:rFonts w:cs="Times New Roman"/>
        </w:rPr>
        <w:t xml:space="preserve"> </w:t>
      </w:r>
      <w:r w:rsidRPr="4C3AEC65">
        <w:rPr>
          <w:rFonts w:cs="Times New Roman"/>
        </w:rPr>
        <w:t xml:space="preserve">due to </w:t>
      </w:r>
      <w:r w:rsidR="00CD0228">
        <w:rPr>
          <w:rFonts w:cs="Times New Roman"/>
        </w:rPr>
        <w:t>fewer months</w:t>
      </w:r>
      <w:r w:rsidRPr="4C3AEC65">
        <w:rPr>
          <w:rFonts w:cs="Times New Roman"/>
        </w:rPr>
        <w:t xml:space="preserve"> </w:t>
      </w:r>
      <w:r w:rsidR="005D2DB7">
        <w:rPr>
          <w:rFonts w:cs="Times New Roman"/>
        </w:rPr>
        <w:t xml:space="preserve">of </w:t>
      </w:r>
      <w:r w:rsidRPr="4C3AEC65">
        <w:rPr>
          <w:rFonts w:cs="Times New Roman"/>
        </w:rPr>
        <w:t>data collection. Overall, t</w:t>
      </w:r>
      <w:r w:rsidRPr="4C3AEC65" w:rsidR="00D245D1">
        <w:rPr>
          <w:rFonts w:cs="Times New Roman"/>
        </w:rPr>
        <w:t>here is no increase in the annualized burden</w:t>
      </w:r>
      <w:r w:rsidRPr="4C3AEC65">
        <w:rPr>
          <w:rFonts w:cs="Times New Roman"/>
        </w:rPr>
        <w:t xml:space="preserve"> of the 2020 NSDUH survey.</w:t>
      </w:r>
    </w:p>
    <w:p w:rsidRPr="00C811EA" w:rsidR="00ED432A" w:rsidP="00C811EA" w:rsidRDefault="00ED432A" w14:paraId="7EBE336C" w14:textId="77777777">
      <w:pPr>
        <w:widowControl w:val="0"/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bookmarkEnd w:id="1"/>
    <w:p w:rsidRPr="00C811EA" w:rsidR="00A71F36" w:rsidP="00C811EA" w:rsidRDefault="006E0C81" w14:paraId="355A7FC9" w14:textId="3D47FCD6">
      <w:pPr>
        <w:rPr>
          <w:rFonts w:cs="Times New Roman"/>
          <w:b/>
          <w:bCs/>
          <w:szCs w:val="24"/>
        </w:rPr>
      </w:pPr>
      <w:r w:rsidRPr="00C811EA">
        <w:rPr>
          <w:rFonts w:cs="Times New Roman"/>
          <w:b/>
          <w:bCs/>
          <w:szCs w:val="24"/>
        </w:rPr>
        <w:t>Justification</w:t>
      </w:r>
    </w:p>
    <w:p w:rsidRPr="00C811EA" w:rsidR="004A13E8" w:rsidP="00C811EA" w:rsidRDefault="004A13E8" w14:paraId="55FE17B3" w14:textId="2AC72120">
      <w:pPr>
        <w:pStyle w:val="Heading1"/>
        <w:spacing w:line="276" w:lineRule="auto"/>
        <w:ind w:left="270" w:hanging="270"/>
        <w:rPr>
          <w:rFonts w:cs="Times New Roman"/>
          <w:szCs w:val="24"/>
        </w:rPr>
      </w:pPr>
      <w:bookmarkStart w:name="_Toc43280127" w:id="2"/>
      <w:r w:rsidRPr="00C811EA">
        <w:rPr>
          <w:rFonts w:cs="Times New Roman"/>
          <w:szCs w:val="24"/>
        </w:rPr>
        <w:t>Circumstances Making the Collection of Information Necessary</w:t>
      </w:r>
      <w:bookmarkEnd w:id="2"/>
    </w:p>
    <w:p w:rsidRPr="00C811EA" w:rsidR="00CC0F98" w:rsidP="4C3AEC65" w:rsidRDefault="007606DF" w14:paraId="6C18DC49" w14:textId="351C4BAC">
      <w:pPr>
        <w:rPr>
          <w:rFonts w:cs="Times New Roman"/>
        </w:rPr>
      </w:pPr>
      <w:r w:rsidRPr="4C3AEC65">
        <w:rPr>
          <w:rFonts w:cs="Times New Roman"/>
        </w:rPr>
        <w:t>On March 11, 2020, the World Health Organization declared COVID-19 a</w:t>
      </w:r>
      <w:r w:rsidRPr="4C3AEC65" w:rsidR="00C91546">
        <w:rPr>
          <w:rFonts w:cs="Times New Roman"/>
        </w:rPr>
        <w:t xml:space="preserve"> global</w:t>
      </w:r>
      <w:r w:rsidRPr="4C3AEC65">
        <w:rPr>
          <w:rFonts w:cs="Times New Roman"/>
        </w:rPr>
        <w:t xml:space="preserve"> pandemic</w:t>
      </w:r>
      <w:r w:rsidRPr="4C3AEC65" w:rsidR="006750C1">
        <w:rPr>
          <w:rFonts w:cs="Times New Roman"/>
        </w:rPr>
        <w:t>. On March 13, 2020</w:t>
      </w:r>
      <w:r w:rsidRPr="4C3AEC65">
        <w:rPr>
          <w:rFonts w:cs="Times New Roman"/>
        </w:rPr>
        <w:t xml:space="preserve">, </w:t>
      </w:r>
      <w:r w:rsidRPr="4C3AEC65" w:rsidR="00BC29BA">
        <w:rPr>
          <w:rFonts w:cs="Times New Roman"/>
        </w:rPr>
        <w:t xml:space="preserve">the </w:t>
      </w:r>
      <w:r w:rsidRPr="4C3AEC65" w:rsidR="00C91546">
        <w:rPr>
          <w:rFonts w:cs="Times New Roman"/>
        </w:rPr>
        <w:t xml:space="preserve">U.S. </w:t>
      </w:r>
      <w:r w:rsidRPr="4C3AEC65">
        <w:rPr>
          <w:rFonts w:cs="Times New Roman"/>
        </w:rPr>
        <w:t>President proclaim</w:t>
      </w:r>
      <w:r w:rsidRPr="4C3AEC65" w:rsidR="006750C1">
        <w:rPr>
          <w:rFonts w:cs="Times New Roman"/>
        </w:rPr>
        <w:t>ed</w:t>
      </w:r>
      <w:r w:rsidRPr="4C3AEC65">
        <w:rPr>
          <w:rFonts w:cs="Times New Roman"/>
        </w:rPr>
        <w:t xml:space="preserve"> the outbreak a national emergency. As rates of infection continue to rise across the U</w:t>
      </w:r>
      <w:r w:rsidRPr="4C3AEC65" w:rsidR="00810E02">
        <w:rPr>
          <w:rFonts w:cs="Times New Roman"/>
        </w:rPr>
        <w:t>nited States</w:t>
      </w:r>
      <w:r w:rsidRPr="4C3AEC65">
        <w:rPr>
          <w:rFonts w:cs="Times New Roman"/>
        </w:rPr>
        <w:t xml:space="preserve">, </w:t>
      </w:r>
      <w:r w:rsidRPr="4C3AEC65" w:rsidR="008975BD">
        <w:rPr>
          <w:rFonts w:cs="Times New Roman"/>
        </w:rPr>
        <w:t>substance use and mental health</w:t>
      </w:r>
      <w:r w:rsidRPr="4C3AEC65" w:rsidR="004779BF">
        <w:rPr>
          <w:rFonts w:cs="Times New Roman"/>
        </w:rPr>
        <w:t xml:space="preserve"> are being</w:t>
      </w:r>
      <w:r w:rsidRPr="4C3AEC65">
        <w:rPr>
          <w:rFonts w:cs="Times New Roman"/>
        </w:rPr>
        <w:t xml:space="preserve"> significant</w:t>
      </w:r>
      <w:r w:rsidRPr="4C3AEC65" w:rsidR="004779BF">
        <w:rPr>
          <w:rFonts w:cs="Times New Roman"/>
        </w:rPr>
        <w:t>ly impacted by the pandemic</w:t>
      </w:r>
      <w:r w:rsidRPr="4C3AEC65">
        <w:rPr>
          <w:rFonts w:cs="Times New Roman"/>
        </w:rPr>
        <w:t xml:space="preserve">. </w:t>
      </w:r>
      <w:r w:rsidRPr="4C3AEC65" w:rsidR="00C91546">
        <w:rPr>
          <w:rFonts w:cs="Times New Roman"/>
        </w:rPr>
        <w:t xml:space="preserve">In order to collect data </w:t>
      </w:r>
      <w:r w:rsidRPr="4C3AEC65" w:rsidR="0085582F">
        <w:rPr>
          <w:rFonts w:cs="Times New Roman"/>
        </w:rPr>
        <w:t xml:space="preserve">to understand the effects of </w:t>
      </w:r>
      <w:r w:rsidRPr="4C3AEC65" w:rsidR="004779BF">
        <w:rPr>
          <w:rFonts w:cs="Times New Roman"/>
        </w:rPr>
        <w:t>COVID-19 on US substance use and mental health</w:t>
      </w:r>
      <w:r w:rsidRPr="4C3AEC65" w:rsidR="00C91546">
        <w:rPr>
          <w:rFonts w:cs="Times New Roman"/>
        </w:rPr>
        <w:t xml:space="preserve">, </w:t>
      </w:r>
      <w:r w:rsidRPr="4C3AEC65" w:rsidR="006F4A4D">
        <w:rPr>
          <w:rFonts w:cs="Times New Roman"/>
        </w:rPr>
        <w:t xml:space="preserve">SAMHSA requests to add </w:t>
      </w:r>
      <w:r w:rsidRPr="4C3AEC65" w:rsidR="00C91546">
        <w:rPr>
          <w:rFonts w:cs="Times New Roman"/>
        </w:rPr>
        <w:t>a short block of questions to the National Survey</w:t>
      </w:r>
      <w:r w:rsidRPr="4C3AEC65" w:rsidR="008975BD">
        <w:rPr>
          <w:rFonts w:cs="Times New Roman"/>
        </w:rPr>
        <w:t xml:space="preserve"> on Drug Use and Health</w:t>
      </w:r>
      <w:r w:rsidRPr="4C3AEC65" w:rsidR="00C91546">
        <w:rPr>
          <w:rFonts w:cs="Times New Roman"/>
        </w:rPr>
        <w:t xml:space="preserve"> (NS</w:t>
      </w:r>
      <w:r w:rsidRPr="4C3AEC65" w:rsidR="008975BD">
        <w:rPr>
          <w:rFonts w:cs="Times New Roman"/>
        </w:rPr>
        <w:t>DUH</w:t>
      </w:r>
      <w:r w:rsidRPr="4C3AEC65" w:rsidR="00C91546">
        <w:rPr>
          <w:rFonts w:cs="Times New Roman"/>
        </w:rPr>
        <w:t>)</w:t>
      </w:r>
      <w:r w:rsidRPr="4C3AEC65" w:rsidR="006F4A4D">
        <w:rPr>
          <w:rFonts w:cs="Times New Roman"/>
        </w:rPr>
        <w:t xml:space="preserve"> to begin data collection October 2020</w:t>
      </w:r>
      <w:r w:rsidRPr="4C3AEC65" w:rsidR="00727B70">
        <w:rPr>
          <w:rFonts w:cs="Times New Roman"/>
          <w:color w:val="000000" w:themeColor="text1"/>
        </w:rPr>
        <w:t>. Th</w:t>
      </w:r>
      <w:r w:rsidRPr="4C3AEC65" w:rsidR="006750C1">
        <w:rPr>
          <w:rFonts w:cs="Times New Roman"/>
          <w:color w:val="000000" w:themeColor="text1"/>
        </w:rPr>
        <w:t>e</w:t>
      </w:r>
      <w:r w:rsidRPr="4C3AEC65" w:rsidR="00727B70">
        <w:rPr>
          <w:rFonts w:cs="Times New Roman"/>
          <w:color w:val="000000" w:themeColor="text1"/>
        </w:rPr>
        <w:t xml:space="preserve"> inclusion of these questions will continue as long as</w:t>
      </w:r>
      <w:r w:rsidRPr="4C3AEC65" w:rsidR="00771222">
        <w:rPr>
          <w:rFonts w:cs="Times New Roman"/>
          <w:color w:val="000000" w:themeColor="text1"/>
        </w:rPr>
        <w:t xml:space="preserve"> such data </w:t>
      </w:r>
      <w:r w:rsidRPr="4C3AEC65" w:rsidR="00BE094B">
        <w:rPr>
          <w:rFonts w:cs="Times New Roman"/>
          <w:color w:val="000000" w:themeColor="text1"/>
        </w:rPr>
        <w:t xml:space="preserve">related to </w:t>
      </w:r>
      <w:r w:rsidRPr="4C3AEC65" w:rsidR="0085582F">
        <w:rPr>
          <w:rFonts w:cs="Times New Roman"/>
          <w:color w:val="000000" w:themeColor="text1"/>
        </w:rPr>
        <w:t xml:space="preserve">the effects of </w:t>
      </w:r>
      <w:r w:rsidRPr="4C3AEC65" w:rsidR="00BE094B">
        <w:rPr>
          <w:rFonts w:cs="Times New Roman"/>
          <w:color w:val="000000" w:themeColor="text1"/>
        </w:rPr>
        <w:t>COVID-19</w:t>
      </w:r>
      <w:r w:rsidRPr="4C3AEC65" w:rsidR="00E878EA">
        <w:rPr>
          <w:rFonts w:cs="Times New Roman"/>
          <w:color w:val="000000" w:themeColor="text1"/>
        </w:rPr>
        <w:t xml:space="preserve"> on</w:t>
      </w:r>
      <w:r w:rsidRPr="4C3AEC65" w:rsidR="00BE094B">
        <w:rPr>
          <w:rFonts w:cs="Times New Roman"/>
          <w:color w:val="000000" w:themeColor="text1"/>
        </w:rPr>
        <w:t xml:space="preserve"> substance use</w:t>
      </w:r>
      <w:r w:rsidRPr="4C3AEC65" w:rsidR="00E878EA">
        <w:rPr>
          <w:rFonts w:cs="Times New Roman"/>
          <w:color w:val="000000" w:themeColor="text1"/>
        </w:rPr>
        <w:t xml:space="preserve"> and </w:t>
      </w:r>
      <w:r w:rsidRPr="4C3AEC65" w:rsidR="00BE094B">
        <w:rPr>
          <w:rFonts w:cs="Times New Roman"/>
          <w:color w:val="000000" w:themeColor="text1"/>
        </w:rPr>
        <w:t xml:space="preserve">mental health </w:t>
      </w:r>
      <w:r w:rsidRPr="4C3AEC65" w:rsidR="006750C1">
        <w:rPr>
          <w:rFonts w:cs="Times New Roman"/>
          <w:color w:val="000000" w:themeColor="text1"/>
        </w:rPr>
        <w:t>are</w:t>
      </w:r>
      <w:r w:rsidRPr="4C3AEC65" w:rsidR="00771222">
        <w:rPr>
          <w:rFonts w:cs="Times New Roman"/>
          <w:color w:val="000000" w:themeColor="text1"/>
        </w:rPr>
        <w:t xml:space="preserve"> </w:t>
      </w:r>
      <w:r w:rsidRPr="4C3AEC65" w:rsidR="0085582F">
        <w:rPr>
          <w:rFonts w:cs="Times New Roman"/>
          <w:color w:val="000000" w:themeColor="text1"/>
        </w:rPr>
        <w:t xml:space="preserve">remain </w:t>
      </w:r>
      <w:r w:rsidRPr="4C3AEC65" w:rsidR="00771222">
        <w:rPr>
          <w:rFonts w:cs="Times New Roman"/>
          <w:color w:val="000000" w:themeColor="text1"/>
        </w:rPr>
        <w:t>relevant</w:t>
      </w:r>
      <w:r w:rsidRPr="4C3AEC65" w:rsidR="005004A5">
        <w:rPr>
          <w:rFonts w:cs="Times New Roman"/>
        </w:rPr>
        <w:t xml:space="preserve">. It is expected that </w:t>
      </w:r>
      <w:r w:rsidRPr="4C3AEC65" w:rsidR="00E878EA">
        <w:rPr>
          <w:rFonts w:cs="Times New Roman"/>
        </w:rPr>
        <w:t>issue</w:t>
      </w:r>
      <w:r w:rsidRPr="4C3AEC65" w:rsidR="005004A5">
        <w:rPr>
          <w:rFonts w:cs="Times New Roman"/>
        </w:rPr>
        <w:t>s</w:t>
      </w:r>
      <w:r w:rsidRPr="4C3AEC65" w:rsidR="00E878EA">
        <w:rPr>
          <w:rFonts w:cs="Times New Roman"/>
        </w:rPr>
        <w:t xml:space="preserve"> impacting substance use and mental </w:t>
      </w:r>
      <w:r w:rsidRPr="4C3AEC65" w:rsidR="005004A5">
        <w:rPr>
          <w:rFonts w:cs="Times New Roman"/>
        </w:rPr>
        <w:t xml:space="preserve">health brought on by the </w:t>
      </w:r>
      <w:r w:rsidRPr="4C3AEC65" w:rsidR="004779BF">
        <w:rPr>
          <w:rFonts w:cs="Times New Roman"/>
        </w:rPr>
        <w:t>COVID-19 pandemic</w:t>
      </w:r>
      <w:r w:rsidRPr="4C3AEC65" w:rsidR="005004A5">
        <w:rPr>
          <w:rFonts w:cs="Times New Roman"/>
        </w:rPr>
        <w:t xml:space="preserve"> will be ongoing and cumulative. Th</w:t>
      </w:r>
      <w:r w:rsidRPr="4C3AEC65" w:rsidR="00727B70">
        <w:rPr>
          <w:rFonts w:cs="Times New Roman"/>
        </w:rPr>
        <w:t>erefore</w:t>
      </w:r>
      <w:r w:rsidRPr="4C3AEC65" w:rsidR="005004A5">
        <w:rPr>
          <w:rFonts w:cs="Times New Roman"/>
        </w:rPr>
        <w:t xml:space="preserve">, it is imperative to start measuring </w:t>
      </w:r>
      <w:r w:rsidRPr="4C3AEC65" w:rsidR="00E878EA">
        <w:rPr>
          <w:rFonts w:cs="Times New Roman"/>
        </w:rPr>
        <w:t>the effects of COVID-19</w:t>
      </w:r>
      <w:r w:rsidRPr="4C3AEC65" w:rsidR="005004A5">
        <w:rPr>
          <w:rFonts w:cs="Times New Roman"/>
        </w:rPr>
        <w:t xml:space="preserve"> as quickly as possible. </w:t>
      </w:r>
    </w:p>
    <w:p w:rsidRPr="00C811EA" w:rsidR="009C2502" w:rsidP="4C3AEC65" w:rsidRDefault="009C2502" w14:paraId="21509A4C" w14:textId="6A2F4433">
      <w:pPr>
        <w:rPr>
          <w:rFonts w:cs="Times New Roman"/>
        </w:rPr>
      </w:pPr>
      <w:r w:rsidRPr="4C3AEC65">
        <w:rPr>
          <w:rFonts w:cs="Times New Roman"/>
        </w:rPr>
        <w:t>U</w:t>
      </w:r>
      <w:r w:rsidRPr="4C3AEC65" w:rsidR="005937FD">
        <w:rPr>
          <w:rFonts w:cs="Times New Roman"/>
        </w:rPr>
        <w:t xml:space="preserve">sing its current survey format, </w:t>
      </w:r>
      <w:r w:rsidRPr="4C3AEC65" w:rsidR="001D00FC">
        <w:rPr>
          <w:rFonts w:cs="Times New Roman"/>
        </w:rPr>
        <w:t>NS</w:t>
      </w:r>
      <w:r w:rsidRPr="4C3AEC65">
        <w:rPr>
          <w:rFonts w:cs="Times New Roman"/>
        </w:rPr>
        <w:t>DUH</w:t>
      </w:r>
      <w:r w:rsidRPr="4C3AEC65" w:rsidR="001D00FC">
        <w:rPr>
          <w:rFonts w:cs="Times New Roman"/>
        </w:rPr>
        <w:t xml:space="preserve"> is in </w:t>
      </w:r>
      <w:proofErr w:type="gramStart"/>
      <w:r w:rsidRPr="4C3AEC65" w:rsidR="001D00FC">
        <w:rPr>
          <w:rFonts w:cs="Times New Roman"/>
        </w:rPr>
        <w:t>a</w:t>
      </w:r>
      <w:r w:rsidRPr="4C3AEC65" w:rsidR="0085582F">
        <w:rPr>
          <w:rFonts w:cs="Times New Roman"/>
        </w:rPr>
        <w:t>n</w:t>
      </w:r>
      <w:proofErr w:type="gramEnd"/>
      <w:r w:rsidRPr="4C3AEC65" w:rsidR="001D00FC">
        <w:rPr>
          <w:rFonts w:cs="Times New Roman"/>
        </w:rPr>
        <w:t xml:space="preserve"> unique position to collect more in-depth data on </w:t>
      </w:r>
      <w:r w:rsidRPr="4C3AEC65" w:rsidR="005937FD">
        <w:rPr>
          <w:rFonts w:cs="Times New Roman"/>
        </w:rPr>
        <w:t xml:space="preserve">the </w:t>
      </w:r>
      <w:r w:rsidRPr="4C3AEC65" w:rsidR="0085582F">
        <w:rPr>
          <w:rFonts w:cs="Times New Roman"/>
        </w:rPr>
        <w:t xml:space="preserve">impact of the </w:t>
      </w:r>
      <w:r w:rsidRPr="4C3AEC65" w:rsidR="005937FD">
        <w:rPr>
          <w:rFonts w:cs="Times New Roman"/>
        </w:rPr>
        <w:t>COVID-19 pandemic</w:t>
      </w:r>
      <w:r w:rsidR="007B51FB">
        <w:rPr>
          <w:rFonts w:cs="Times New Roman"/>
        </w:rPr>
        <w:t xml:space="preserve"> </w:t>
      </w:r>
      <w:r w:rsidRPr="4C3AEC65">
        <w:rPr>
          <w:rFonts w:cs="Times New Roman"/>
        </w:rPr>
        <w:t>on American substance use and mental health</w:t>
      </w:r>
      <w:r w:rsidRPr="4C3AEC65" w:rsidR="005937FD">
        <w:rPr>
          <w:rFonts w:cs="Times New Roman"/>
        </w:rPr>
        <w:t>.</w:t>
      </w:r>
      <w:r w:rsidR="007B51FB">
        <w:rPr>
          <w:rFonts w:cs="Times New Roman"/>
        </w:rPr>
        <w:t xml:space="preserve"> </w:t>
      </w:r>
      <w:r w:rsidR="007B51FB">
        <w:t xml:space="preserve">The additional </w:t>
      </w:r>
      <w:r w:rsidR="007B51FB">
        <w:lastRenderedPageBreak/>
        <w:t>COVID-19 questions can be analyzed separately and together with established questions for a more robust understanding of the impact of this pandemic.</w:t>
      </w:r>
      <w:r w:rsidR="00B71355">
        <w:t xml:space="preserve"> </w:t>
      </w:r>
      <w:r w:rsidRPr="4C3AEC65" w:rsidR="00DD3585">
        <w:rPr>
          <w:rFonts w:cs="Times New Roman"/>
        </w:rPr>
        <w:t xml:space="preserve">The new questions are designed to provide insight into the impact of COVID-19 on </w:t>
      </w:r>
      <w:r w:rsidRPr="4C3AEC65">
        <w:rPr>
          <w:rFonts w:cs="Times New Roman"/>
        </w:rPr>
        <w:t>substance use and mental health</w:t>
      </w:r>
      <w:r w:rsidRPr="4C3AEC65" w:rsidR="00DD3585">
        <w:rPr>
          <w:rFonts w:cs="Times New Roman"/>
        </w:rPr>
        <w:t xml:space="preserve"> in the United States. </w:t>
      </w:r>
      <w:bookmarkStart w:name="_Hlk37852435" w:id="3"/>
    </w:p>
    <w:bookmarkEnd w:id="3"/>
    <w:p w:rsidR="007F46E9" w:rsidP="4C3AEC65" w:rsidRDefault="00BE094B" w14:paraId="55FE17B6" w14:textId="3C73A613">
      <w:pPr>
        <w:rPr>
          <w:rFonts w:cs="Times New Roman"/>
        </w:rPr>
      </w:pPr>
      <w:r w:rsidRPr="4C3AEC65">
        <w:rPr>
          <w:rFonts w:cs="Times New Roman"/>
        </w:rPr>
        <w:t xml:space="preserve">NSDUH is authorized by Section 505 of the Public Health Service Act (42 USC 290aa4 </w:t>
      </w:r>
      <w:r w:rsidRPr="4C3AEC65" w:rsidR="0085582F">
        <w:rPr>
          <w:rFonts w:cs="Times New Roman"/>
        </w:rPr>
        <w:t>—</w:t>
      </w:r>
      <w:r w:rsidRPr="4C3AEC65">
        <w:rPr>
          <w:rFonts w:cs="Times New Roman"/>
        </w:rPr>
        <w:t xml:space="preserve"> Data Collection). Section 505 specifically authorizes annual data collection for monitoring the incidence and prevalence of illicit s</w:t>
      </w:r>
      <w:r w:rsidR="005761B7">
        <w:rPr>
          <w:rFonts w:cs="Times New Roman"/>
        </w:rPr>
        <w:t>ubstance use and mental health issues</w:t>
      </w:r>
      <w:r w:rsidRPr="4C3AEC65">
        <w:rPr>
          <w:rFonts w:cs="Times New Roman"/>
        </w:rPr>
        <w:t xml:space="preserve">, as well as the abuse of </w:t>
      </w:r>
      <w:r w:rsidRPr="4C3AEC65" w:rsidR="00F81006">
        <w:rPr>
          <w:rFonts w:cs="Times New Roman"/>
        </w:rPr>
        <w:t>illicit</w:t>
      </w:r>
      <w:r w:rsidRPr="4C3AEC65">
        <w:rPr>
          <w:rFonts w:cs="Times New Roman"/>
        </w:rPr>
        <w:t xml:space="preserve"> substances in the U.S. population.</w:t>
      </w:r>
      <w:r w:rsidRPr="4C3AEC65" w:rsidR="005937FD">
        <w:rPr>
          <w:rFonts w:cs="Times New Roman"/>
        </w:rPr>
        <w:t xml:space="preserve"> </w:t>
      </w:r>
    </w:p>
    <w:p w:rsidR="008729CD" w:rsidP="00C811EA" w:rsidRDefault="008729CD" w14:paraId="5B1AC614" w14:textId="730EB24B">
      <w:r>
        <w:t xml:space="preserve">The COVID-19 questions seek to assess the pandemic effects on substance use and mental health in the United States. The questions assess specifically the impact of COVID-19 on: 1. </w:t>
      </w:r>
      <w:r w:rsidR="00833AEE">
        <w:t>mental</w:t>
      </w:r>
      <w:r>
        <w:t xml:space="preserve"> health and substance use; 2. </w:t>
      </w:r>
      <w:r w:rsidR="00833AEE">
        <w:t>f</w:t>
      </w:r>
      <w:r>
        <w:t xml:space="preserve">inancial </w:t>
      </w:r>
      <w:r w:rsidR="236D04EF">
        <w:t>s</w:t>
      </w:r>
      <w:r>
        <w:t xml:space="preserve">train; 3. </w:t>
      </w:r>
      <w:r w:rsidR="00833AEE">
        <w:t>h</w:t>
      </w:r>
      <w:r>
        <w:t xml:space="preserve">ousing </w:t>
      </w:r>
      <w:r w:rsidR="00833AEE">
        <w:t>s</w:t>
      </w:r>
      <w:r>
        <w:t>tability; 4.</w:t>
      </w:r>
      <w:r w:rsidR="00833AEE">
        <w:t xml:space="preserve"> access to treatment</w:t>
      </w:r>
      <w:r w:rsidR="00493F84">
        <w:t>, and</w:t>
      </w:r>
      <w:r w:rsidR="00833AEE">
        <w:t xml:space="preserve"> 5.</w:t>
      </w:r>
      <w:r>
        <w:t xml:space="preserve"> </w:t>
      </w:r>
      <w:r w:rsidR="00833AEE">
        <w:t>s</w:t>
      </w:r>
      <w:r>
        <w:t xml:space="preserve">uicidality. Including these questions on the NSDUH survey will allow SAMHSA to provide national-level estimates on the impact of COVID-19 on substance use and mental health. </w:t>
      </w:r>
      <w:r w:rsidR="00493F84">
        <w:t>Related, t</w:t>
      </w:r>
      <w:r>
        <w:t>he four questions on Telemedicine utilization will provide national, systematic survey data on its use to treat substance use and mental health in the United States</w:t>
      </w:r>
      <w:r w:rsidR="00493F84">
        <w:t xml:space="preserve"> during the pandemic</w:t>
      </w:r>
      <w:r>
        <w:t xml:space="preserve">. </w:t>
      </w:r>
      <w:r w:rsidR="008943E0">
        <w:t xml:space="preserve">The unique </w:t>
      </w:r>
      <w:r w:rsidR="00493F84">
        <w:t xml:space="preserve">contributions of the </w:t>
      </w:r>
      <w:r w:rsidR="008943E0">
        <w:t xml:space="preserve">NSDUH </w:t>
      </w:r>
      <w:r w:rsidR="00493F84">
        <w:t xml:space="preserve">data </w:t>
      </w:r>
      <w:r w:rsidR="008943E0">
        <w:t xml:space="preserve">collection </w:t>
      </w:r>
      <w:r w:rsidR="00493F84">
        <w:t>compared to other similar federal surveys</w:t>
      </w:r>
      <w:r w:rsidR="07635BAC">
        <w:t xml:space="preserve"> </w:t>
      </w:r>
      <w:r w:rsidR="00493F84">
        <w:t>is detailed</w:t>
      </w:r>
      <w:r w:rsidR="008943E0">
        <w:t xml:space="preserve"> below in Table 1.</w:t>
      </w:r>
    </w:p>
    <w:p w:rsidRPr="00CE6D3D" w:rsidR="005B7B42" w:rsidP="005B7B42" w:rsidRDefault="005B7B42" w14:paraId="448C8872" w14:textId="4B858ADE">
      <w:pPr>
        <w:rPr>
          <w:b/>
        </w:rPr>
      </w:pPr>
      <w:r>
        <w:rPr>
          <w:b/>
        </w:rPr>
        <w:t xml:space="preserve">Table 1: </w:t>
      </w:r>
      <w:r w:rsidRPr="006F26E7">
        <w:t>Supplemental</w:t>
      </w:r>
      <w:r w:rsidR="00493F84">
        <w:t xml:space="preserve"> COVID-19</w:t>
      </w:r>
      <w:r w:rsidRPr="006F26E7">
        <w:t xml:space="preserve"> </w:t>
      </w:r>
      <w:r w:rsidR="00493F84">
        <w:t xml:space="preserve">items to the </w:t>
      </w:r>
      <w:r w:rsidRPr="006F26E7">
        <w:t>National Survey on Drug Use and Health (NSDUH) 2020</w:t>
      </w:r>
      <w:r w:rsidR="00493F84">
        <w:t xml:space="preserve">: </w:t>
      </w:r>
      <w:r w:rsidRPr="006F26E7">
        <w:t>rationale and overlap with other federal surveys</w:t>
      </w:r>
      <w:r w:rsidR="00493F84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060"/>
        <w:gridCol w:w="4585"/>
      </w:tblGrid>
      <w:tr w:rsidRPr="008B6826" w:rsidR="005B7B42" w:rsidTr="4C3AEC65" w14:paraId="5D0C7D9F" w14:textId="77777777">
        <w:tc>
          <w:tcPr>
            <w:tcW w:w="1705" w:type="dxa"/>
          </w:tcPr>
          <w:p w:rsidRPr="008B6826" w:rsidR="005B7B42" w:rsidP="00BC5CAF" w:rsidRDefault="005B7B42" w14:paraId="5E5B5959" w14:textId="77777777">
            <w:pPr>
              <w:rPr>
                <w:rFonts w:cs="Times New Roman"/>
                <w:b/>
                <w:szCs w:val="24"/>
              </w:rPr>
            </w:pPr>
            <w:r w:rsidRPr="008B6826">
              <w:rPr>
                <w:rFonts w:cs="Times New Roman"/>
                <w:b/>
                <w:szCs w:val="24"/>
              </w:rPr>
              <w:t>Items</w:t>
            </w:r>
          </w:p>
        </w:tc>
        <w:tc>
          <w:tcPr>
            <w:tcW w:w="3060" w:type="dxa"/>
          </w:tcPr>
          <w:p w:rsidRPr="008B6826" w:rsidR="005B7B42" w:rsidP="00BC5CAF" w:rsidRDefault="005B7B42" w14:paraId="717FA6A9" w14:textId="77777777">
            <w:pPr>
              <w:rPr>
                <w:rFonts w:cs="Times New Roman"/>
                <w:b/>
                <w:szCs w:val="24"/>
                <w:highlight w:val="yellow"/>
              </w:rPr>
            </w:pPr>
            <w:r w:rsidRPr="008B6826">
              <w:rPr>
                <w:rFonts w:cs="Times New Roman"/>
                <w:b/>
                <w:szCs w:val="24"/>
              </w:rPr>
              <w:t>Rationale</w:t>
            </w:r>
          </w:p>
        </w:tc>
        <w:tc>
          <w:tcPr>
            <w:tcW w:w="4585" w:type="dxa"/>
          </w:tcPr>
          <w:p w:rsidRPr="008B6826" w:rsidR="005B7B42" w:rsidP="00BC5CAF" w:rsidRDefault="005B7B42" w14:paraId="4929A0D9" w14:textId="77777777">
            <w:pPr>
              <w:rPr>
                <w:rFonts w:cs="Times New Roman"/>
                <w:b/>
                <w:szCs w:val="24"/>
              </w:rPr>
            </w:pPr>
            <w:r w:rsidRPr="008B6826">
              <w:rPr>
                <w:rFonts w:cs="Times New Roman"/>
                <w:b/>
                <w:szCs w:val="24"/>
              </w:rPr>
              <w:t>Overlap with other surveys</w:t>
            </w:r>
          </w:p>
        </w:tc>
      </w:tr>
      <w:tr w:rsidRPr="008B6826" w:rsidR="005B7B42" w:rsidTr="4C3AEC65" w14:paraId="7E49A149" w14:textId="77777777">
        <w:tc>
          <w:tcPr>
            <w:tcW w:w="1705" w:type="dxa"/>
          </w:tcPr>
          <w:p w:rsidRPr="008B6826" w:rsidR="005B7B42" w:rsidP="00BC5CAF" w:rsidRDefault="005B7B42" w14:paraId="433C1FF8" w14:textId="77777777">
            <w:pPr>
              <w:rPr>
                <w:rFonts w:cs="Times New Roman"/>
                <w:szCs w:val="24"/>
              </w:rPr>
            </w:pPr>
            <w:r w:rsidRPr="008B6826">
              <w:rPr>
                <w:rFonts w:cs="Times New Roman"/>
                <w:szCs w:val="24"/>
              </w:rPr>
              <w:t>Telemedicine utilization</w:t>
            </w:r>
          </w:p>
        </w:tc>
        <w:tc>
          <w:tcPr>
            <w:tcW w:w="3060" w:type="dxa"/>
          </w:tcPr>
          <w:p w:rsidRPr="008B6826" w:rsidR="005B7B42" w:rsidP="005B7B42" w:rsidRDefault="005B7B42" w14:paraId="74A33373" w14:textId="77777777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Cs w:val="24"/>
              </w:rPr>
            </w:pPr>
            <w:r w:rsidRPr="008B6826">
              <w:rPr>
                <w:rFonts w:cs="Times New Roman"/>
                <w:szCs w:val="24"/>
              </w:rPr>
              <w:t xml:space="preserve">Estimates the prevalence of telemedicine utilization as a substitute for traditional/in-person treatment services among a subset of participants reporting alcohol and/or drug use. </w:t>
            </w:r>
          </w:p>
        </w:tc>
        <w:tc>
          <w:tcPr>
            <w:tcW w:w="4585" w:type="dxa"/>
          </w:tcPr>
          <w:p w:rsidRPr="008B6826" w:rsidR="005B7B42" w:rsidP="005B7B42" w:rsidRDefault="005B7B42" w14:paraId="33F9B21F" w14:textId="77777777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Cs w:val="24"/>
              </w:rPr>
            </w:pPr>
            <w:r w:rsidRPr="008B6826">
              <w:rPr>
                <w:rFonts w:cs="Times New Roman"/>
                <w:szCs w:val="24"/>
              </w:rPr>
              <w:t xml:space="preserve">The 2020 National Health Interview Survey (NHIS) includes questions on telehealth, but not specifically as it relates to persons with substance use. </w:t>
            </w:r>
          </w:p>
          <w:p w:rsidRPr="008B6826" w:rsidR="005B7B42" w:rsidP="005B7B42" w:rsidRDefault="005B7B42" w14:paraId="0D33261B" w14:textId="77777777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Cs w:val="24"/>
              </w:rPr>
            </w:pPr>
            <w:r w:rsidRPr="008B6826">
              <w:rPr>
                <w:rFonts w:cs="Times New Roman"/>
                <w:szCs w:val="24"/>
              </w:rPr>
              <w:t>NSDUH offers a more comprehensive definition of telehealth than NHIS.</w:t>
            </w:r>
          </w:p>
        </w:tc>
      </w:tr>
      <w:tr w:rsidRPr="008B6826" w:rsidR="005B7B42" w:rsidTr="4C3AEC65" w14:paraId="3BFF64FC" w14:textId="77777777">
        <w:tc>
          <w:tcPr>
            <w:tcW w:w="1705" w:type="dxa"/>
          </w:tcPr>
          <w:p w:rsidRPr="008B6826" w:rsidR="005B7B42" w:rsidP="00BC5CAF" w:rsidRDefault="005B7B42" w14:paraId="69BD78A9" w14:textId="77777777">
            <w:pPr>
              <w:rPr>
                <w:rFonts w:cs="Times New Roman"/>
                <w:b/>
                <w:szCs w:val="24"/>
              </w:rPr>
            </w:pPr>
            <w:r w:rsidRPr="008B6826">
              <w:rPr>
                <w:rFonts w:cs="Times New Roman"/>
                <w:szCs w:val="24"/>
              </w:rPr>
              <w:t>Impact on mental health and substance use</w:t>
            </w:r>
          </w:p>
        </w:tc>
        <w:tc>
          <w:tcPr>
            <w:tcW w:w="3060" w:type="dxa"/>
          </w:tcPr>
          <w:p w:rsidRPr="008B6826" w:rsidR="005B7B42" w:rsidP="005B7B42" w:rsidRDefault="005B7B42" w14:paraId="24CAD113" w14:textId="77777777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Cs w:val="24"/>
              </w:rPr>
            </w:pPr>
            <w:r w:rsidRPr="008B6826">
              <w:rPr>
                <w:rFonts w:cs="Times New Roman"/>
                <w:szCs w:val="24"/>
              </w:rPr>
              <w:t>Estimates self-reported prevalence of emotion and/or mental health impact due to COVID-19.</w:t>
            </w:r>
          </w:p>
          <w:p w:rsidRPr="008B6826" w:rsidR="005B7B42" w:rsidP="005B7B42" w:rsidRDefault="005B7B42" w14:paraId="13C38C0A" w14:textId="77777777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Cs w:val="24"/>
              </w:rPr>
            </w:pPr>
            <w:r w:rsidRPr="008B6826">
              <w:rPr>
                <w:rFonts w:cs="Times New Roman"/>
                <w:szCs w:val="24"/>
              </w:rPr>
              <w:t>Estimates self-reported changes, if any, for both alcohol and other drug consumption due to the COVID-19 pandemic.</w:t>
            </w:r>
          </w:p>
        </w:tc>
        <w:tc>
          <w:tcPr>
            <w:tcW w:w="4585" w:type="dxa"/>
          </w:tcPr>
          <w:p w:rsidRPr="008B6826" w:rsidR="005B7B42" w:rsidP="4C3AEC65" w:rsidRDefault="005B7B42" w14:paraId="4FE00FB5" w14:textId="37BDFF69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</w:rPr>
            </w:pPr>
            <w:r w:rsidRPr="4C3AEC65">
              <w:rPr>
                <w:rFonts w:cs="Times New Roman"/>
              </w:rPr>
              <w:t>The US Census 2020 COVID-19 household Pulse survey phase 2 (Pulse survey) contains four 7-day incidence questions on mental health</w:t>
            </w:r>
            <w:r w:rsidRPr="4C3AEC65" w:rsidR="00493F84">
              <w:rPr>
                <w:rFonts w:cs="Times New Roman"/>
              </w:rPr>
              <w:t>;</w:t>
            </w:r>
            <w:r w:rsidRPr="4C3AEC65">
              <w:rPr>
                <w:rFonts w:cs="Times New Roman"/>
              </w:rPr>
              <w:t xml:space="preserve"> 4-week incidence questions on prescription medication use, and use of mental health services. </w:t>
            </w:r>
          </w:p>
          <w:p w:rsidRPr="008B6826" w:rsidR="005B7B42" w:rsidP="005B7B42" w:rsidRDefault="005B7B42" w14:paraId="61C775CF" w14:textId="77777777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Cs w:val="24"/>
              </w:rPr>
            </w:pPr>
            <w:r w:rsidRPr="008B6826">
              <w:rPr>
                <w:rFonts w:cs="Times New Roman"/>
                <w:szCs w:val="24"/>
              </w:rPr>
              <w:t xml:space="preserve">NSDUH captures both a wider time interval than Pulse, as well as quantifying behavioral coping mechanisms.  </w:t>
            </w:r>
          </w:p>
        </w:tc>
      </w:tr>
      <w:tr w:rsidRPr="008B6826" w:rsidR="005B7B42" w:rsidTr="4C3AEC65" w14:paraId="072D4338" w14:textId="77777777">
        <w:tc>
          <w:tcPr>
            <w:tcW w:w="1705" w:type="dxa"/>
          </w:tcPr>
          <w:p w:rsidRPr="008B6826" w:rsidR="005B7B42" w:rsidP="00BC5CAF" w:rsidRDefault="005B7B42" w14:paraId="4FD1E8C5" w14:textId="77777777">
            <w:pPr>
              <w:ind w:hanging="810"/>
              <w:jc w:val="both"/>
              <w:rPr>
                <w:rFonts w:cs="Times New Roman"/>
                <w:szCs w:val="24"/>
              </w:rPr>
            </w:pPr>
            <w:r w:rsidRPr="008B6826">
              <w:rPr>
                <w:rFonts w:cs="Times New Roman"/>
                <w:szCs w:val="24"/>
              </w:rPr>
              <w:t>Fin         Financial strain</w:t>
            </w:r>
          </w:p>
        </w:tc>
        <w:tc>
          <w:tcPr>
            <w:tcW w:w="3060" w:type="dxa"/>
          </w:tcPr>
          <w:p w:rsidRPr="008B6826" w:rsidR="005B7B42" w:rsidP="005B7B42" w:rsidRDefault="005B7B42" w14:paraId="42DBA382" w14:textId="77777777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Cs w:val="24"/>
              </w:rPr>
            </w:pPr>
            <w:r w:rsidRPr="008B6826">
              <w:rPr>
                <w:rFonts w:cs="Times New Roman"/>
                <w:szCs w:val="24"/>
              </w:rPr>
              <w:t xml:space="preserve">Examines the prevalence and extent to which people experienced severe financial worries due to the COVID-19 pandemic. </w:t>
            </w:r>
          </w:p>
        </w:tc>
        <w:tc>
          <w:tcPr>
            <w:tcW w:w="4585" w:type="dxa"/>
          </w:tcPr>
          <w:p w:rsidRPr="008B6826" w:rsidR="005B7B42" w:rsidP="005B7B42" w:rsidRDefault="005B7B42" w14:paraId="7F1C992D" w14:textId="77777777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Cs w:val="24"/>
              </w:rPr>
            </w:pPr>
            <w:r w:rsidRPr="008B6826">
              <w:rPr>
                <w:rFonts w:cs="Times New Roman"/>
                <w:szCs w:val="24"/>
              </w:rPr>
              <w:t>The Pulse survey asks objective questions about employment income, spending behaviors, and delays in payments, while the NSDUH captures perceived financial strain in a single, holistic item.</w:t>
            </w:r>
          </w:p>
        </w:tc>
      </w:tr>
      <w:tr w:rsidRPr="008B6826" w:rsidR="005B7B42" w:rsidTr="4C3AEC65" w14:paraId="420FB874" w14:textId="77777777">
        <w:tc>
          <w:tcPr>
            <w:tcW w:w="1705" w:type="dxa"/>
          </w:tcPr>
          <w:p w:rsidRPr="008B6826" w:rsidR="005B7B42" w:rsidP="00BC5CAF" w:rsidRDefault="005B7B42" w14:paraId="6E787629" w14:textId="77777777">
            <w:pPr>
              <w:rPr>
                <w:rFonts w:cs="Times New Roman"/>
                <w:szCs w:val="24"/>
              </w:rPr>
            </w:pPr>
            <w:r w:rsidRPr="008B6826">
              <w:rPr>
                <w:rFonts w:cs="Times New Roman"/>
                <w:szCs w:val="24"/>
              </w:rPr>
              <w:lastRenderedPageBreak/>
              <w:t>Housing stability</w:t>
            </w:r>
          </w:p>
        </w:tc>
        <w:tc>
          <w:tcPr>
            <w:tcW w:w="3060" w:type="dxa"/>
          </w:tcPr>
          <w:p w:rsidRPr="008B6826" w:rsidR="005B7B42" w:rsidP="005B7B42" w:rsidRDefault="005B7B42" w14:paraId="1E59F34A" w14:textId="77777777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Cs w:val="24"/>
              </w:rPr>
            </w:pPr>
            <w:r w:rsidRPr="008B6826">
              <w:rPr>
                <w:rFonts w:cs="Times New Roman"/>
                <w:szCs w:val="24"/>
              </w:rPr>
              <w:t xml:space="preserve">Examines the prevalence and extent to which people experienced housing instability due to the COVID-19 pandemic. </w:t>
            </w:r>
          </w:p>
        </w:tc>
        <w:tc>
          <w:tcPr>
            <w:tcW w:w="4585" w:type="dxa"/>
          </w:tcPr>
          <w:p w:rsidRPr="008B6826" w:rsidR="005B7B42" w:rsidP="005B7B42" w:rsidRDefault="005B7B42" w14:paraId="7BD7230A" w14:textId="77777777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Cs w:val="24"/>
              </w:rPr>
            </w:pPr>
            <w:r w:rsidRPr="008B6826">
              <w:rPr>
                <w:rFonts w:cs="Times New Roman"/>
                <w:szCs w:val="24"/>
              </w:rPr>
              <w:t>The Pulse survey asks questions about expected future housing instability, while the NSDUH captures actual housing instability.</w:t>
            </w:r>
          </w:p>
          <w:p w:rsidRPr="008B6826" w:rsidR="005B7B42" w:rsidP="005B7B42" w:rsidRDefault="005B7B42" w14:paraId="07682994" w14:textId="77777777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Cs w:val="24"/>
              </w:rPr>
            </w:pPr>
            <w:r w:rsidRPr="008B6826">
              <w:rPr>
                <w:rFonts w:cs="Times New Roman"/>
                <w:szCs w:val="24"/>
              </w:rPr>
              <w:t xml:space="preserve">This NSDUH item will offer estimates of housing displacement as a direct consequence of COVID-19. </w:t>
            </w:r>
          </w:p>
        </w:tc>
      </w:tr>
      <w:tr w:rsidRPr="008B6826" w:rsidR="005B7B42" w:rsidTr="4C3AEC65" w14:paraId="43C52029" w14:textId="77777777">
        <w:tc>
          <w:tcPr>
            <w:tcW w:w="1705" w:type="dxa"/>
          </w:tcPr>
          <w:p w:rsidRPr="008B6826" w:rsidR="005B7B42" w:rsidP="00BC5CAF" w:rsidRDefault="005B7B42" w14:paraId="702421FD" w14:textId="77777777">
            <w:pPr>
              <w:rPr>
                <w:rFonts w:cs="Times New Roman"/>
                <w:szCs w:val="24"/>
              </w:rPr>
            </w:pPr>
            <w:r w:rsidRPr="008B6826">
              <w:rPr>
                <w:rFonts w:cs="Times New Roman"/>
                <w:szCs w:val="24"/>
              </w:rPr>
              <w:t>Access to treatment</w:t>
            </w:r>
          </w:p>
        </w:tc>
        <w:tc>
          <w:tcPr>
            <w:tcW w:w="3060" w:type="dxa"/>
          </w:tcPr>
          <w:p w:rsidRPr="008B6826" w:rsidR="005B7B42" w:rsidP="005B7B42" w:rsidRDefault="005B7B42" w14:paraId="3538DDAC" w14:textId="77777777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Cs w:val="24"/>
              </w:rPr>
            </w:pPr>
            <w:r w:rsidRPr="008B6826">
              <w:rPr>
                <w:rFonts w:cs="Times New Roman"/>
                <w:szCs w:val="24"/>
              </w:rPr>
              <w:t>Estimates self-reported changes, if any, in access to treatment for mental health; substance use, and general medical treatment.</w:t>
            </w:r>
          </w:p>
          <w:p w:rsidRPr="008B6826" w:rsidR="005B7B42" w:rsidP="005B7B42" w:rsidRDefault="005B7B42" w14:paraId="619CE593" w14:textId="77777777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Cs w:val="24"/>
              </w:rPr>
            </w:pPr>
            <w:r w:rsidRPr="008B6826">
              <w:rPr>
                <w:rFonts w:cs="Times New Roman"/>
                <w:szCs w:val="24"/>
              </w:rPr>
              <w:t xml:space="preserve"> Offers insight into factors underlying any changes in access to treatment. </w:t>
            </w:r>
          </w:p>
        </w:tc>
        <w:tc>
          <w:tcPr>
            <w:tcW w:w="4585" w:type="dxa"/>
          </w:tcPr>
          <w:p w:rsidRPr="008B6826" w:rsidR="005B7B42" w:rsidP="005B7B42" w:rsidRDefault="005B7B42" w14:paraId="5B202D4A" w14:textId="77777777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Cs w:val="24"/>
              </w:rPr>
            </w:pPr>
            <w:r w:rsidRPr="008B6826">
              <w:rPr>
                <w:rFonts w:cs="Times New Roman"/>
                <w:szCs w:val="24"/>
              </w:rPr>
              <w:t xml:space="preserve">The COVID-19 related NHIS questions cover access to medical care, cancer care, and skilled and informal caregiving with yes-no questions. </w:t>
            </w:r>
          </w:p>
          <w:p w:rsidRPr="008B6826" w:rsidR="005B7B42" w:rsidP="005B7B42" w:rsidRDefault="005B7B42" w14:paraId="7C765781" w14:textId="77777777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Cs w:val="24"/>
              </w:rPr>
            </w:pPr>
            <w:r w:rsidRPr="008B6826">
              <w:rPr>
                <w:rFonts w:cs="Times New Roman"/>
                <w:szCs w:val="24"/>
              </w:rPr>
              <w:t>Pulse includes several 4-week incidence questions on access to care, including mental health services. This survey also asks about insurance coverage and type in a single, simplified item.</w:t>
            </w:r>
          </w:p>
          <w:p w:rsidRPr="008B6826" w:rsidR="005B7B42" w:rsidP="005B7B42" w:rsidRDefault="005B7B42" w14:paraId="6307F815" w14:textId="77777777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Cs w:val="24"/>
              </w:rPr>
            </w:pPr>
            <w:r w:rsidRPr="008B6826">
              <w:rPr>
                <w:rFonts w:cs="Times New Roman"/>
                <w:szCs w:val="24"/>
              </w:rPr>
              <w:t xml:space="preserve">NSDUH’s questions are tailored to a priority vulnerable population (persons with substance abuse and/or mental health illness) and offers additional insight into likely factors underlying possible change/s; informative to </w:t>
            </w:r>
            <w:r w:rsidRPr="008B6826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officials and policymakers with </w:t>
            </w:r>
            <w:r w:rsidRPr="008B6826">
              <w:rPr>
                <w:rFonts w:cs="Times New Roman"/>
                <w:szCs w:val="24"/>
              </w:rPr>
              <w:t>identifying unmet needs and opportunities for improvement in access to treatment.</w:t>
            </w:r>
          </w:p>
        </w:tc>
      </w:tr>
      <w:tr w:rsidRPr="008B6826" w:rsidR="005B7B42" w:rsidTr="4C3AEC65" w14:paraId="2C923658" w14:textId="77777777">
        <w:tc>
          <w:tcPr>
            <w:tcW w:w="1705" w:type="dxa"/>
          </w:tcPr>
          <w:p w:rsidRPr="008B6826" w:rsidR="005B7B42" w:rsidP="00BC5CAF" w:rsidRDefault="005B7B42" w14:paraId="7C6F9943" w14:textId="77777777">
            <w:pPr>
              <w:rPr>
                <w:rFonts w:cs="Times New Roman"/>
                <w:szCs w:val="24"/>
              </w:rPr>
            </w:pPr>
            <w:r w:rsidRPr="008B6826">
              <w:rPr>
                <w:rFonts w:cs="Times New Roman"/>
                <w:szCs w:val="24"/>
              </w:rPr>
              <w:t>Suicidal ideation</w:t>
            </w:r>
          </w:p>
        </w:tc>
        <w:tc>
          <w:tcPr>
            <w:tcW w:w="3060" w:type="dxa"/>
          </w:tcPr>
          <w:p w:rsidRPr="008B6826" w:rsidR="005B7B42" w:rsidP="005B7B42" w:rsidRDefault="005B7B42" w14:paraId="60578D68" w14:textId="77777777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cs="Times New Roman"/>
                <w:szCs w:val="24"/>
              </w:rPr>
            </w:pPr>
            <w:r w:rsidRPr="008B6826">
              <w:rPr>
                <w:rFonts w:cs="Times New Roman"/>
                <w:szCs w:val="24"/>
              </w:rPr>
              <w:t xml:space="preserve">Examines the impact, if any, of COVID-19 on suicidal ideation. </w:t>
            </w:r>
          </w:p>
        </w:tc>
        <w:tc>
          <w:tcPr>
            <w:tcW w:w="4585" w:type="dxa"/>
          </w:tcPr>
          <w:p w:rsidRPr="008B6826" w:rsidR="005B7B42" w:rsidP="005B7B42" w:rsidRDefault="005B7B42" w14:paraId="19D8C88B" w14:textId="77777777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Cs w:val="24"/>
              </w:rPr>
            </w:pPr>
            <w:r w:rsidRPr="008B6826">
              <w:rPr>
                <w:rFonts w:cs="Times New Roman"/>
                <w:szCs w:val="24"/>
              </w:rPr>
              <w:t>Inclusion of these items will permit continued monitoring of the prevalence of suicidal ideation and examination of immediate impact of these prevalence estimates as a direct and immediate result of COVID-19.</w:t>
            </w:r>
          </w:p>
        </w:tc>
      </w:tr>
    </w:tbl>
    <w:p w:rsidRPr="00CE6D3D" w:rsidR="005B7B42" w:rsidP="005B7B42" w:rsidRDefault="005B7B42" w14:paraId="003B8A24" w14:textId="77777777">
      <w:pPr>
        <w:rPr>
          <w:b/>
        </w:rPr>
      </w:pPr>
    </w:p>
    <w:p w:rsidR="00453863" w:rsidP="00C811EA" w:rsidRDefault="00DD3585" w14:paraId="537E9EAE" w14:textId="0F9D5A85">
      <w:pPr>
        <w:tabs>
          <w:tab w:val="left" w:pos="0"/>
        </w:tabs>
        <w:rPr>
          <w:rFonts w:cs="Times New Roman"/>
          <w:szCs w:val="24"/>
        </w:rPr>
      </w:pPr>
      <w:r w:rsidRPr="00C811EA">
        <w:rPr>
          <w:rFonts w:cs="Times New Roman"/>
          <w:szCs w:val="24"/>
        </w:rPr>
        <w:t xml:space="preserve">The </w:t>
      </w:r>
      <w:r w:rsidRPr="00C811EA" w:rsidR="00876322">
        <w:rPr>
          <w:rFonts w:cs="Times New Roman"/>
          <w:szCs w:val="24"/>
        </w:rPr>
        <w:t>COVID-19 related</w:t>
      </w:r>
      <w:r w:rsidRPr="00C811EA" w:rsidR="008F6388">
        <w:rPr>
          <w:rFonts w:cs="Times New Roman"/>
          <w:szCs w:val="24"/>
        </w:rPr>
        <w:t xml:space="preserve"> </w:t>
      </w:r>
      <w:r w:rsidRPr="00C811EA" w:rsidR="00AE328D">
        <w:rPr>
          <w:rFonts w:cs="Times New Roman"/>
          <w:szCs w:val="24"/>
        </w:rPr>
        <w:t>question</w:t>
      </w:r>
      <w:r w:rsidRPr="00C811EA" w:rsidR="008F6388">
        <w:rPr>
          <w:rFonts w:cs="Times New Roman"/>
          <w:szCs w:val="24"/>
        </w:rPr>
        <w:t>s</w:t>
      </w:r>
      <w:r w:rsidRPr="00C811EA" w:rsidR="00FA36ED">
        <w:rPr>
          <w:rFonts w:cs="Times New Roman"/>
          <w:szCs w:val="24"/>
        </w:rPr>
        <w:t xml:space="preserve"> to be added </w:t>
      </w:r>
      <w:r w:rsidRPr="00C811EA">
        <w:rPr>
          <w:rFonts w:cs="Times New Roman"/>
          <w:szCs w:val="24"/>
        </w:rPr>
        <w:t xml:space="preserve">are </w:t>
      </w:r>
      <w:r w:rsidR="00613A5D">
        <w:rPr>
          <w:rFonts w:cs="Times New Roman"/>
          <w:szCs w:val="24"/>
        </w:rPr>
        <w:t xml:space="preserve">included </w:t>
      </w:r>
      <w:r w:rsidRPr="00C811EA">
        <w:rPr>
          <w:rFonts w:cs="Times New Roman"/>
          <w:szCs w:val="24"/>
        </w:rPr>
        <w:t xml:space="preserve">in </w:t>
      </w:r>
      <w:r w:rsidRPr="00C811EA">
        <w:rPr>
          <w:rFonts w:cs="Times New Roman"/>
          <w:b/>
          <w:szCs w:val="24"/>
        </w:rPr>
        <w:t xml:space="preserve">Attachment </w:t>
      </w:r>
      <w:r w:rsidRPr="00C811EA" w:rsidR="00AA0CC1">
        <w:rPr>
          <w:rFonts w:cs="Times New Roman"/>
          <w:b/>
          <w:szCs w:val="24"/>
        </w:rPr>
        <w:t>A</w:t>
      </w:r>
      <w:r w:rsidRPr="00C811EA" w:rsidR="00DA01F3">
        <w:rPr>
          <w:rFonts w:cs="Times New Roman"/>
          <w:b/>
          <w:szCs w:val="24"/>
        </w:rPr>
        <w:t xml:space="preserve"> </w:t>
      </w:r>
      <w:r w:rsidRPr="00C811EA" w:rsidR="00DA01F3">
        <w:rPr>
          <w:rFonts w:cs="Times New Roman"/>
          <w:szCs w:val="24"/>
        </w:rPr>
        <w:t xml:space="preserve">and </w:t>
      </w:r>
      <w:r w:rsidRPr="00C811EA" w:rsidR="00876322">
        <w:rPr>
          <w:rFonts w:cs="Times New Roman"/>
          <w:szCs w:val="24"/>
        </w:rPr>
        <w:t xml:space="preserve">new telemedicine utilization questions </w:t>
      </w:r>
      <w:r w:rsidR="00303A2B">
        <w:rPr>
          <w:rFonts w:cs="Times New Roman"/>
          <w:szCs w:val="24"/>
        </w:rPr>
        <w:t>are included</w:t>
      </w:r>
      <w:r w:rsidRPr="00C811EA" w:rsidR="00E967D3">
        <w:rPr>
          <w:rFonts w:cs="Times New Roman"/>
          <w:szCs w:val="24"/>
        </w:rPr>
        <w:t xml:space="preserve"> in </w:t>
      </w:r>
      <w:r w:rsidRPr="00C811EA" w:rsidR="00E967D3">
        <w:rPr>
          <w:rFonts w:cs="Times New Roman"/>
          <w:b/>
          <w:szCs w:val="24"/>
        </w:rPr>
        <w:t xml:space="preserve">Attachment </w:t>
      </w:r>
      <w:r w:rsidRPr="00C811EA" w:rsidR="00AA0CC1">
        <w:rPr>
          <w:rFonts w:cs="Times New Roman"/>
          <w:b/>
          <w:szCs w:val="24"/>
        </w:rPr>
        <w:t>B</w:t>
      </w:r>
      <w:r w:rsidRPr="00C811EA">
        <w:rPr>
          <w:rFonts w:cs="Times New Roman"/>
          <w:szCs w:val="24"/>
        </w:rPr>
        <w:t>.</w:t>
      </w:r>
    </w:p>
    <w:p w:rsidR="00EC0646" w:rsidP="4C3AEC65" w:rsidRDefault="001E609A" w14:paraId="213D50D2" w14:textId="6300BE6C">
      <w:pPr>
        <w:tabs>
          <w:tab w:val="left" w:pos="0"/>
        </w:tabs>
        <w:rPr>
          <w:rFonts w:cs="Times New Roman"/>
        </w:rPr>
      </w:pPr>
      <w:r w:rsidRPr="4C3AEC65">
        <w:rPr>
          <w:rFonts w:cs="Times New Roman"/>
        </w:rPr>
        <w:t xml:space="preserve">An estimated 69,007 field interviews were to be conducted for the 2020 NSDUH. However, the COVID-19 pandemic impeded the collection </w:t>
      </w:r>
      <w:r w:rsidRPr="4C3AEC65" w:rsidR="00791A68">
        <w:rPr>
          <w:rFonts w:cs="Times New Roman"/>
        </w:rPr>
        <w:t xml:space="preserve">via </w:t>
      </w:r>
      <w:r w:rsidRPr="4C3AEC65">
        <w:rPr>
          <w:rFonts w:cs="Times New Roman"/>
        </w:rPr>
        <w:t>in-person interviews. Prior to the</w:t>
      </w:r>
      <w:r w:rsidRPr="4C3AEC65" w:rsidR="47DDBD29">
        <w:rPr>
          <w:rFonts w:cs="Times New Roman"/>
        </w:rPr>
        <w:t xml:space="preserve"> </w:t>
      </w:r>
      <w:r w:rsidRPr="4C3AEC65" w:rsidR="00791A68">
        <w:rPr>
          <w:rFonts w:cs="Times New Roman"/>
        </w:rPr>
        <w:t>March 2020</w:t>
      </w:r>
      <w:r w:rsidRPr="4C3AEC65">
        <w:rPr>
          <w:rFonts w:cs="Times New Roman"/>
        </w:rPr>
        <w:t xml:space="preserve"> suspension of field interviews, 15,653 in-person interviews </w:t>
      </w:r>
      <w:r w:rsidRPr="4C3AEC65" w:rsidR="00791A68">
        <w:rPr>
          <w:rFonts w:cs="Times New Roman"/>
        </w:rPr>
        <w:t xml:space="preserve">had already been </w:t>
      </w:r>
      <w:r w:rsidRPr="4C3AEC65">
        <w:rPr>
          <w:rFonts w:cs="Times New Roman"/>
        </w:rPr>
        <w:t xml:space="preserve">conducted </w:t>
      </w:r>
      <w:r w:rsidRPr="4C3AEC65" w:rsidR="00791A68">
        <w:rPr>
          <w:rFonts w:cs="Times New Roman"/>
        </w:rPr>
        <w:t>(26.5%)</w:t>
      </w:r>
      <w:r w:rsidRPr="4C3AEC65">
        <w:rPr>
          <w:rFonts w:cs="Times New Roman"/>
        </w:rPr>
        <w:t>. As data collection resumes</w:t>
      </w:r>
      <w:r w:rsidRPr="4C3AEC65" w:rsidR="00791A68">
        <w:rPr>
          <w:rFonts w:cs="Times New Roman"/>
        </w:rPr>
        <w:t xml:space="preserve"> </w:t>
      </w:r>
      <w:r w:rsidR="00460F69">
        <w:rPr>
          <w:rFonts w:cs="Times New Roman"/>
        </w:rPr>
        <w:t xml:space="preserve">in </w:t>
      </w:r>
      <w:r w:rsidRPr="4C3AEC65">
        <w:rPr>
          <w:rFonts w:cs="Times New Roman"/>
        </w:rPr>
        <w:t xml:space="preserve">October 2020, the </w:t>
      </w:r>
      <w:r w:rsidRPr="4C3AEC65" w:rsidR="00791A68">
        <w:rPr>
          <w:rFonts w:cs="Times New Roman"/>
        </w:rPr>
        <w:t>4</w:t>
      </w:r>
      <w:r w:rsidRPr="005761B7" w:rsidR="00791A68">
        <w:rPr>
          <w:rFonts w:cs="Times New Roman"/>
          <w:vertAlign w:val="superscript"/>
        </w:rPr>
        <w:t>th</w:t>
      </w:r>
      <w:r w:rsidRPr="4C3AEC65" w:rsidR="00791A68">
        <w:rPr>
          <w:rFonts w:cs="Times New Roman"/>
        </w:rPr>
        <w:t xml:space="preserve"> quarter 2020 </w:t>
      </w:r>
      <w:r w:rsidRPr="4C3AEC65">
        <w:rPr>
          <w:rFonts w:cs="Times New Roman"/>
        </w:rPr>
        <w:t xml:space="preserve">sampling strategy </w:t>
      </w:r>
      <w:r w:rsidRPr="4C3AEC65" w:rsidR="00B32158">
        <w:rPr>
          <w:rFonts w:cs="Times New Roman"/>
        </w:rPr>
        <w:t>will be modified</w:t>
      </w:r>
      <w:r w:rsidRPr="4C3AEC65" w:rsidR="00791A68">
        <w:rPr>
          <w:rFonts w:cs="Times New Roman"/>
        </w:rPr>
        <w:t xml:space="preserve"> in </w:t>
      </w:r>
      <w:proofErr w:type="gramStart"/>
      <w:r w:rsidRPr="4C3AEC65" w:rsidR="00791A68">
        <w:rPr>
          <w:rFonts w:cs="Times New Roman"/>
        </w:rPr>
        <w:t>an</w:t>
      </w:r>
      <w:proofErr w:type="gramEnd"/>
      <w:r w:rsidRPr="4C3AEC65" w:rsidR="00791A68">
        <w:rPr>
          <w:rFonts w:cs="Times New Roman"/>
        </w:rPr>
        <w:t xml:space="preserve"> concerted effort</w:t>
      </w:r>
      <w:r w:rsidRPr="4C3AEC65" w:rsidR="00B32158">
        <w:rPr>
          <w:rFonts w:cs="Times New Roman"/>
        </w:rPr>
        <w:t xml:space="preserve"> to </w:t>
      </w:r>
      <w:r w:rsidRPr="4C3AEC65">
        <w:rPr>
          <w:rFonts w:cs="Times New Roman"/>
        </w:rPr>
        <w:t xml:space="preserve">collect the samples </w:t>
      </w:r>
      <w:r w:rsidRPr="4C3AEC65" w:rsidR="00B32158">
        <w:rPr>
          <w:rFonts w:cs="Times New Roman"/>
        </w:rPr>
        <w:t xml:space="preserve">initially </w:t>
      </w:r>
      <w:r w:rsidRPr="4C3AEC65">
        <w:rPr>
          <w:rFonts w:cs="Times New Roman"/>
        </w:rPr>
        <w:t xml:space="preserve">selected </w:t>
      </w:r>
      <w:r w:rsidRPr="4C3AEC65" w:rsidR="00B32158">
        <w:rPr>
          <w:rFonts w:cs="Times New Roman"/>
        </w:rPr>
        <w:t>for Quarters 2 and 3</w:t>
      </w:r>
      <w:r w:rsidRPr="4C3AEC65">
        <w:rPr>
          <w:rFonts w:cs="Times New Roman"/>
        </w:rPr>
        <w:t xml:space="preserve"> in the 4</w:t>
      </w:r>
      <w:r w:rsidRPr="4C3AEC65">
        <w:rPr>
          <w:rFonts w:cs="Times New Roman"/>
          <w:vertAlign w:val="superscript"/>
        </w:rPr>
        <w:t>th</w:t>
      </w:r>
      <w:r w:rsidRPr="4C3AEC65">
        <w:rPr>
          <w:rFonts w:cs="Times New Roman"/>
        </w:rPr>
        <w:t xml:space="preserve"> Quarter of 2020</w:t>
      </w:r>
      <w:r w:rsidRPr="4C3AEC65" w:rsidR="00B32158">
        <w:rPr>
          <w:rFonts w:cs="Times New Roman"/>
        </w:rPr>
        <w:t>. Th</w:t>
      </w:r>
      <w:r w:rsidRPr="4C3AEC65" w:rsidR="00791A68">
        <w:rPr>
          <w:rFonts w:cs="Times New Roman"/>
        </w:rPr>
        <w:t>is</w:t>
      </w:r>
      <w:r w:rsidRPr="4C3AEC65" w:rsidR="00B32158">
        <w:rPr>
          <w:rFonts w:cs="Times New Roman"/>
        </w:rPr>
        <w:t xml:space="preserve"> modification will include the utilization of a web mode in areas where in-person interviews are not possible due to COVID-19 restrictions. In-person data collection will resume </w:t>
      </w:r>
      <w:r w:rsidR="00460F69">
        <w:rPr>
          <w:rFonts w:cs="Times New Roman"/>
        </w:rPr>
        <w:t>i</w:t>
      </w:r>
      <w:r w:rsidRPr="4C3AEC65" w:rsidR="00791A68">
        <w:rPr>
          <w:rFonts w:cs="Times New Roman"/>
        </w:rPr>
        <w:t>n</w:t>
      </w:r>
      <w:r w:rsidRPr="4C3AEC65" w:rsidR="00B32158">
        <w:rPr>
          <w:rFonts w:cs="Times New Roman"/>
        </w:rPr>
        <w:t xml:space="preserve"> October 2020 and continue in areas </w:t>
      </w:r>
      <w:r w:rsidRPr="4C3AEC65" w:rsidR="00791A68">
        <w:rPr>
          <w:rFonts w:cs="Times New Roman"/>
        </w:rPr>
        <w:t xml:space="preserve">where </w:t>
      </w:r>
      <w:r w:rsidRPr="4C3AEC65" w:rsidR="00B32158">
        <w:rPr>
          <w:rFonts w:cs="Times New Roman"/>
        </w:rPr>
        <w:t xml:space="preserve">such data collections are not restricted. </w:t>
      </w:r>
      <w:r w:rsidRPr="4C3AEC65" w:rsidR="008943E0">
        <w:rPr>
          <w:rFonts w:cs="Times New Roman"/>
        </w:rPr>
        <w:t>Th</w:t>
      </w:r>
      <w:r w:rsidRPr="4C3AEC65" w:rsidR="00791A68">
        <w:rPr>
          <w:rFonts w:cs="Times New Roman"/>
        </w:rPr>
        <w:t>is</w:t>
      </w:r>
      <w:r w:rsidRPr="4C3AEC65" w:rsidR="008943E0">
        <w:rPr>
          <w:rFonts w:cs="Times New Roman"/>
        </w:rPr>
        <w:t xml:space="preserve"> sampling strategy modification will allow for the collection of an estimated 57,653 interviews</w:t>
      </w:r>
      <w:r w:rsidRPr="4C3AEC65" w:rsidR="00791A68">
        <w:rPr>
          <w:rFonts w:cs="Times New Roman"/>
        </w:rPr>
        <w:t xml:space="preserve"> by December 31, 2020</w:t>
      </w:r>
      <w:r w:rsidRPr="4C3AEC65" w:rsidR="008943E0">
        <w:rPr>
          <w:rFonts w:cs="Times New Roman"/>
        </w:rPr>
        <w:t xml:space="preserve">. This </w:t>
      </w:r>
      <w:r w:rsidRPr="4C3AEC65" w:rsidR="00791A68">
        <w:rPr>
          <w:rFonts w:cs="Times New Roman"/>
        </w:rPr>
        <w:t xml:space="preserve">expected revised </w:t>
      </w:r>
      <w:r w:rsidRPr="4C3AEC65" w:rsidR="008943E0">
        <w:rPr>
          <w:rFonts w:cs="Times New Roman"/>
        </w:rPr>
        <w:t xml:space="preserve">sample size is within the required </w:t>
      </w:r>
      <w:r w:rsidRPr="4C3AEC65" w:rsidR="00791A68">
        <w:rPr>
          <w:rFonts w:cs="Times New Roman"/>
        </w:rPr>
        <w:t xml:space="preserve">size </w:t>
      </w:r>
      <w:r w:rsidRPr="4C3AEC65" w:rsidR="008943E0">
        <w:rPr>
          <w:rFonts w:cs="Times New Roman"/>
        </w:rPr>
        <w:t xml:space="preserve">to produce </w:t>
      </w:r>
      <w:r w:rsidRPr="4C3AEC65">
        <w:rPr>
          <w:rFonts w:cs="Times New Roman"/>
        </w:rPr>
        <w:t xml:space="preserve">nationally </w:t>
      </w:r>
      <w:r w:rsidRPr="4C3AEC65" w:rsidR="008943E0">
        <w:rPr>
          <w:rFonts w:cs="Times New Roman"/>
        </w:rPr>
        <w:t>representative substance use and mental health prevalence estimates</w:t>
      </w:r>
      <w:r w:rsidRPr="4C3AEC65">
        <w:rPr>
          <w:rFonts w:cs="Times New Roman"/>
        </w:rPr>
        <w:t xml:space="preserve"> in the United States</w:t>
      </w:r>
      <w:r w:rsidRPr="4C3AEC65" w:rsidR="008943E0">
        <w:rPr>
          <w:rFonts w:cs="Times New Roman"/>
        </w:rPr>
        <w:t>.</w:t>
      </w:r>
    </w:p>
    <w:p w:rsidR="00EC0646" w:rsidP="00C811EA" w:rsidRDefault="00EE3C86" w14:paraId="6FD3F293" w14:textId="7E42F316">
      <w:pPr>
        <w:tabs>
          <w:tab w:val="left" w:pos="0"/>
        </w:tabs>
        <w:rPr>
          <w:rFonts w:cs="Times New Roman"/>
          <w:szCs w:val="24"/>
        </w:rPr>
      </w:pPr>
      <w:r>
        <w:t>R</w:t>
      </w:r>
      <w:r w:rsidRPr="00B33D62">
        <w:t>evisions</w:t>
      </w:r>
      <w:r>
        <w:t xml:space="preserve"> have been</w:t>
      </w:r>
      <w:r w:rsidRPr="00B33D62">
        <w:t xml:space="preserve"> made to protocols, processes</w:t>
      </w:r>
      <w:r>
        <w:t>,</w:t>
      </w:r>
      <w:r w:rsidRPr="00B33D62">
        <w:t xml:space="preserve"> and materials to ensure the safety of </w:t>
      </w:r>
      <w:r>
        <w:t xml:space="preserve">respondents and </w:t>
      </w:r>
      <w:r w:rsidR="00BE57E2">
        <w:t xml:space="preserve">field </w:t>
      </w:r>
      <w:r w:rsidR="00303A2B">
        <w:t>interviewer</w:t>
      </w:r>
      <w:r>
        <w:t>s.</w:t>
      </w:r>
      <w:r w:rsidR="005761B7">
        <w:t xml:space="preserve"> </w:t>
      </w:r>
      <w:r w:rsidR="00BE57E2">
        <w:t>Field interviewers are now equipped with:</w:t>
      </w:r>
      <w:r w:rsidR="005761B7">
        <w:t xml:space="preserve"> </w:t>
      </w:r>
      <w:r>
        <w:t xml:space="preserve"> (a) </w:t>
      </w:r>
      <w:r w:rsidRPr="00B33D62">
        <w:t>masks, gloves, disinfecting wipes</w:t>
      </w:r>
      <w:r>
        <w:t>,</w:t>
      </w:r>
      <w:r w:rsidRPr="00B33D62">
        <w:t xml:space="preserve"> and hand sanitizer for use during data collection</w:t>
      </w:r>
      <w:r w:rsidR="00460F69">
        <w:t>; (b) a NSDUH s</w:t>
      </w:r>
      <w:r>
        <w:t xml:space="preserve">afety </w:t>
      </w:r>
      <w:r w:rsidR="00460F69">
        <w:t>p</w:t>
      </w:r>
      <w:r>
        <w:t>rot</w:t>
      </w:r>
      <w:r w:rsidR="00460F69">
        <w:t>ocol reference g</w:t>
      </w:r>
      <w:r>
        <w:t>uide that outlined all required safety procedures;</w:t>
      </w:r>
      <w:r w:rsidRPr="00B33D62">
        <w:t xml:space="preserve"> and </w:t>
      </w:r>
      <w:r>
        <w:t>(c) </w:t>
      </w:r>
      <w:r w:rsidRPr="00B33D62">
        <w:t>a risk information form provided to all respondents</w:t>
      </w:r>
      <w:r>
        <w:t>.</w:t>
      </w:r>
    </w:p>
    <w:p w:rsidRPr="00C811EA" w:rsidR="004A13E8" w:rsidP="00C811EA" w:rsidRDefault="004A13E8" w14:paraId="55FE17B7" w14:textId="77777777">
      <w:pPr>
        <w:pStyle w:val="Heading1"/>
        <w:spacing w:line="276" w:lineRule="auto"/>
        <w:ind w:left="360"/>
        <w:rPr>
          <w:rFonts w:cs="Times New Roman"/>
          <w:szCs w:val="24"/>
        </w:rPr>
      </w:pPr>
      <w:bookmarkStart w:name="_Toc43280128" w:id="4"/>
      <w:r w:rsidRPr="00C811EA">
        <w:rPr>
          <w:rFonts w:cs="Times New Roman"/>
          <w:szCs w:val="24"/>
        </w:rPr>
        <w:t>Purpose and Use of Information Collection</w:t>
      </w:r>
      <w:bookmarkEnd w:id="4"/>
    </w:p>
    <w:p w:rsidR="007606DF" w:rsidP="00C811EA" w:rsidRDefault="00BE57E2" w14:paraId="365FDB5C" w14:textId="17E369E0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szCs w:val="24"/>
        </w:rPr>
        <w:t>Data collection</w:t>
      </w:r>
      <w:r w:rsidRPr="00C811EA" w:rsidR="00307237">
        <w:rPr>
          <w:rFonts w:cs="Times New Roman"/>
          <w:szCs w:val="24"/>
        </w:rPr>
        <w:t xml:space="preserve"> under this </w:t>
      </w:r>
      <w:r>
        <w:rPr>
          <w:rFonts w:cs="Times New Roman"/>
          <w:szCs w:val="24"/>
        </w:rPr>
        <w:t>I</w:t>
      </w:r>
      <w:r w:rsidRPr="00C811EA" w:rsidR="00307237">
        <w:rPr>
          <w:rFonts w:cs="Times New Roman"/>
          <w:szCs w:val="24"/>
        </w:rPr>
        <w:t xml:space="preserve">nformation </w:t>
      </w:r>
      <w:r>
        <w:rPr>
          <w:rFonts w:cs="Times New Roman"/>
          <w:szCs w:val="24"/>
        </w:rPr>
        <w:t>C</w:t>
      </w:r>
      <w:r w:rsidRPr="00C811EA" w:rsidR="00307237">
        <w:rPr>
          <w:rFonts w:cs="Times New Roman"/>
          <w:szCs w:val="24"/>
        </w:rPr>
        <w:t xml:space="preserve">ollection </w:t>
      </w:r>
      <w:r>
        <w:rPr>
          <w:rFonts w:cs="Times New Roman"/>
          <w:szCs w:val="24"/>
        </w:rPr>
        <w:t>R</w:t>
      </w:r>
      <w:r w:rsidRPr="00C811EA" w:rsidR="00307237">
        <w:rPr>
          <w:rFonts w:cs="Times New Roman"/>
          <w:szCs w:val="24"/>
        </w:rPr>
        <w:t>equest (ICR) will be made available to data users</w:t>
      </w:r>
      <w:r w:rsidRPr="00C811EA" w:rsidR="00DA01F3">
        <w:rPr>
          <w:rFonts w:cs="Times New Roman"/>
          <w:szCs w:val="24"/>
        </w:rPr>
        <w:t xml:space="preserve"> </w:t>
      </w:r>
      <w:r w:rsidRPr="00C811EA" w:rsidR="00307237">
        <w:rPr>
          <w:rFonts w:cs="Times New Roman"/>
          <w:szCs w:val="24"/>
        </w:rPr>
        <w:t>as part of the</w:t>
      </w:r>
      <w:r>
        <w:rPr>
          <w:rFonts w:cs="Times New Roman"/>
          <w:szCs w:val="24"/>
        </w:rPr>
        <w:t xml:space="preserve"> standard</w:t>
      </w:r>
      <w:r w:rsidRPr="00C811EA" w:rsidR="00307237">
        <w:rPr>
          <w:rFonts w:cs="Times New Roman"/>
          <w:szCs w:val="24"/>
        </w:rPr>
        <w:t xml:space="preserve"> NS</w:t>
      </w:r>
      <w:r w:rsidRPr="00C811EA" w:rsidR="00876322">
        <w:rPr>
          <w:rFonts w:cs="Times New Roman"/>
          <w:szCs w:val="24"/>
        </w:rPr>
        <w:t>DUH</w:t>
      </w:r>
      <w:r>
        <w:rPr>
          <w:rFonts w:cs="Times New Roman"/>
          <w:szCs w:val="24"/>
        </w:rPr>
        <w:t xml:space="preserve"> public use files (PUF)</w:t>
      </w:r>
      <w:r w:rsidRPr="00C811EA" w:rsidR="00307237">
        <w:rPr>
          <w:rFonts w:cs="Times New Roman"/>
          <w:szCs w:val="24"/>
        </w:rPr>
        <w:t xml:space="preserve">. As previously highlighted, these data will allow researchers to answer important questions pertaining to </w:t>
      </w:r>
      <w:r>
        <w:rPr>
          <w:rFonts w:cs="Times New Roman"/>
          <w:szCs w:val="24"/>
        </w:rPr>
        <w:t xml:space="preserve">effects of </w:t>
      </w:r>
      <w:r w:rsidRPr="00C811EA" w:rsidR="00307237">
        <w:rPr>
          <w:rFonts w:cs="Times New Roman"/>
          <w:szCs w:val="24"/>
        </w:rPr>
        <w:t xml:space="preserve">COVID-19 </w:t>
      </w:r>
      <w:r w:rsidRPr="00C811EA" w:rsidR="00876322">
        <w:rPr>
          <w:rFonts w:cs="Times New Roman"/>
          <w:szCs w:val="24"/>
        </w:rPr>
        <w:t xml:space="preserve">on substance use and mental health </w:t>
      </w:r>
      <w:r>
        <w:rPr>
          <w:rFonts w:cs="Times New Roman"/>
          <w:szCs w:val="24"/>
        </w:rPr>
        <w:t>and the impact of telemedicine utilization for substance use and mental health seeking in the United States</w:t>
      </w:r>
      <w:r w:rsidRPr="00C811EA" w:rsidR="002D6D52">
        <w:rPr>
          <w:rFonts w:cs="Times New Roman"/>
          <w:szCs w:val="24"/>
        </w:rPr>
        <w:t xml:space="preserve">. </w:t>
      </w:r>
      <w:r w:rsidRPr="00C811EA" w:rsidR="005937FD">
        <w:rPr>
          <w:rFonts w:cs="Times New Roman"/>
          <w:szCs w:val="24"/>
        </w:rPr>
        <w:t>W</w:t>
      </w:r>
      <w:r w:rsidRPr="00C811EA" w:rsidR="00307237">
        <w:rPr>
          <w:rFonts w:cs="Times New Roman"/>
          <w:szCs w:val="24"/>
        </w:rPr>
        <w:t xml:space="preserve">e are requesting to include these questions in the </w:t>
      </w:r>
      <w:r w:rsidRPr="4C3AEC65" w:rsidR="00BC71AF">
        <w:rPr>
          <w:rFonts w:cs="Times New Roman"/>
        </w:rPr>
        <w:t>4</w:t>
      </w:r>
      <w:r w:rsidRPr="4C3AEC65" w:rsidR="00BC71AF">
        <w:rPr>
          <w:rFonts w:cs="Times New Roman"/>
          <w:vertAlign w:val="superscript"/>
        </w:rPr>
        <w:t>th</w:t>
      </w:r>
      <w:r w:rsidRPr="4C3AEC65" w:rsidR="00BC71AF">
        <w:rPr>
          <w:rFonts w:cs="Times New Roman"/>
        </w:rPr>
        <w:t xml:space="preserve"> Quarter </w:t>
      </w:r>
      <w:r w:rsidRPr="00C811EA" w:rsidR="00307237">
        <w:rPr>
          <w:rFonts w:cs="Times New Roman"/>
          <w:szCs w:val="24"/>
        </w:rPr>
        <w:t xml:space="preserve">2020 data collection and for </w:t>
      </w:r>
      <w:r w:rsidRPr="00C811EA" w:rsidR="002D6D52">
        <w:rPr>
          <w:rFonts w:cs="Times New Roman"/>
          <w:color w:val="000000"/>
          <w:szCs w:val="24"/>
        </w:rPr>
        <w:t xml:space="preserve">subsequent data </w:t>
      </w:r>
      <w:r w:rsidRPr="00C811EA" w:rsidR="00060DB1">
        <w:rPr>
          <w:rFonts w:cs="Times New Roman"/>
          <w:color w:val="000000"/>
          <w:szCs w:val="24"/>
        </w:rPr>
        <w:t>years</w:t>
      </w:r>
      <w:r>
        <w:rPr>
          <w:rFonts w:cs="Times New Roman"/>
          <w:color w:val="000000"/>
          <w:szCs w:val="24"/>
        </w:rPr>
        <w:t>, warranted</w:t>
      </w:r>
      <w:r w:rsidR="00BC71AF">
        <w:rPr>
          <w:rFonts w:cs="Times New Roman"/>
          <w:color w:val="000000"/>
          <w:szCs w:val="24"/>
        </w:rPr>
        <w:t xml:space="preserve"> </w:t>
      </w:r>
      <w:r w:rsidRPr="00C811EA" w:rsidR="002D6D52">
        <w:rPr>
          <w:rFonts w:cs="Times New Roman"/>
          <w:color w:val="000000"/>
          <w:szCs w:val="24"/>
        </w:rPr>
        <w:t xml:space="preserve">such data </w:t>
      </w:r>
      <w:r>
        <w:rPr>
          <w:rFonts w:cs="Times New Roman"/>
          <w:color w:val="000000"/>
          <w:szCs w:val="24"/>
        </w:rPr>
        <w:t xml:space="preserve">remain </w:t>
      </w:r>
      <w:r w:rsidRPr="00C811EA" w:rsidR="002D6D52">
        <w:rPr>
          <w:rFonts w:cs="Times New Roman"/>
          <w:color w:val="000000"/>
          <w:szCs w:val="24"/>
        </w:rPr>
        <w:t>relevant</w:t>
      </w:r>
      <w:r>
        <w:rPr>
          <w:rFonts w:cs="Times New Roman"/>
          <w:color w:val="000000"/>
          <w:szCs w:val="24"/>
        </w:rPr>
        <w:t>.</w:t>
      </w:r>
    </w:p>
    <w:p w:rsidRPr="00296D66" w:rsidR="004A13E8" w:rsidP="003B6F50" w:rsidRDefault="00A94F51" w14:paraId="55FE17C8" w14:textId="1071D3C0">
      <w:pPr>
        <w:pStyle w:val="Heading1"/>
        <w:numPr>
          <w:ilvl w:val="0"/>
          <w:numId w:val="12"/>
        </w:numPr>
        <w:ind w:left="360"/>
      </w:pPr>
      <w:bookmarkStart w:name="_Toc43280129" w:id="5"/>
      <w:r w:rsidRPr="00296D66">
        <w:t xml:space="preserve">Consultation </w:t>
      </w:r>
      <w:proofErr w:type="gramStart"/>
      <w:r w:rsidRPr="00296D66">
        <w:t>Outside</w:t>
      </w:r>
      <w:proofErr w:type="gramEnd"/>
      <w:r w:rsidRPr="00296D66">
        <w:t xml:space="preserve"> the Agency</w:t>
      </w:r>
      <w:bookmarkEnd w:id="5"/>
    </w:p>
    <w:p w:rsidR="0010420C" w:rsidP="00C811EA" w:rsidRDefault="00453863" w14:paraId="43D8AEC8" w14:textId="02D59993">
      <w:r>
        <w:t xml:space="preserve">A </w:t>
      </w:r>
      <w:r>
        <w:rPr>
          <w:u w:val="single"/>
        </w:rPr>
        <w:t>Federal Register</w:t>
      </w:r>
      <w:r>
        <w:t xml:space="preserve"> notice was published on </w:t>
      </w:r>
      <w:r w:rsidR="0051640B">
        <w:t>September 18</w:t>
      </w:r>
      <w:r w:rsidRPr="0051640B">
        <w:t>, 2020 (</w:t>
      </w:r>
      <w:r w:rsidR="0051640B">
        <w:t>85</w:t>
      </w:r>
      <w:r w:rsidRPr="0051640B">
        <w:t xml:space="preserve"> FR </w:t>
      </w:r>
      <w:r w:rsidR="0051640B">
        <w:t>58377</w:t>
      </w:r>
      <w:r w:rsidRPr="0051640B">
        <w:t>)</w:t>
      </w:r>
      <w:r>
        <w:t>.</w:t>
      </w:r>
      <w:bookmarkStart w:name="_GoBack" w:id="6"/>
      <w:bookmarkEnd w:id="6"/>
    </w:p>
    <w:p w:rsidRPr="00296D66" w:rsidR="004A13E8" w:rsidP="003B6F50" w:rsidRDefault="004A13E8" w14:paraId="55FE17D7" w14:textId="77777777">
      <w:pPr>
        <w:pStyle w:val="Heading1"/>
        <w:numPr>
          <w:ilvl w:val="0"/>
          <w:numId w:val="13"/>
        </w:numPr>
        <w:ind w:left="360"/>
      </w:pPr>
      <w:bookmarkStart w:name="_Toc43280130" w:id="7"/>
      <w:bookmarkStart w:name="_Hlk35467698" w:id="8"/>
      <w:r w:rsidRPr="00296D66">
        <w:t>Estimates of Annualized Burden Hours and Costs</w:t>
      </w:r>
      <w:bookmarkEnd w:id="7"/>
    </w:p>
    <w:p w:rsidR="00E10C76" w:rsidP="00C811EA" w:rsidRDefault="005B10E4" w14:paraId="1945238C" w14:textId="0DDBE3DE">
      <w:pPr>
        <w:spacing w:after="0"/>
        <w:rPr>
          <w:rFonts w:cs="Times New Roman"/>
          <w:szCs w:val="24"/>
          <w:u w:val="single"/>
        </w:rPr>
      </w:pPr>
      <w:r w:rsidRPr="00C811EA">
        <w:rPr>
          <w:rFonts w:cs="Times New Roman"/>
          <w:szCs w:val="24"/>
          <w:u w:val="single"/>
        </w:rPr>
        <w:t>Burden Hours</w:t>
      </w:r>
    </w:p>
    <w:p w:rsidR="00F24A92" w:rsidP="00C811EA" w:rsidRDefault="00F24A92" w14:paraId="47C161A3" w14:textId="2D33FDBD">
      <w:pPr>
        <w:spacing w:after="0"/>
        <w:rPr>
          <w:rFonts w:cs="Times New Roman"/>
          <w:szCs w:val="24"/>
          <w:u w:val="single"/>
        </w:rPr>
      </w:pPr>
    </w:p>
    <w:p w:rsidR="008711C6" w:rsidP="008711C6" w:rsidRDefault="00F24A92" w14:paraId="473709DA" w14:textId="33CC46B4">
      <w:pPr>
        <w:spacing w:after="0"/>
      </w:pPr>
      <w:r>
        <w:rPr>
          <w:rFonts w:cs="Times New Roman"/>
          <w:color w:val="000000"/>
          <w:szCs w:val="24"/>
        </w:rPr>
        <w:t xml:space="preserve">This submission requests OMB approval for the revision of the 2020 NSDUH questionnaires include 11 additional </w:t>
      </w:r>
      <w:r w:rsidR="008711C6">
        <w:rPr>
          <w:rFonts w:cs="Times New Roman"/>
          <w:color w:val="000000"/>
          <w:szCs w:val="24"/>
        </w:rPr>
        <w:t>COVID-19</w:t>
      </w:r>
      <w:r>
        <w:rPr>
          <w:rFonts w:cs="Times New Roman"/>
          <w:color w:val="000000"/>
          <w:szCs w:val="24"/>
        </w:rPr>
        <w:t xml:space="preserve"> and </w:t>
      </w:r>
      <w:r w:rsidR="008711C6">
        <w:rPr>
          <w:rFonts w:cs="Times New Roman"/>
          <w:color w:val="000000"/>
          <w:szCs w:val="24"/>
        </w:rPr>
        <w:t>4 telemedicine questions that assess the impact of the pandemic</w:t>
      </w:r>
      <w:r>
        <w:rPr>
          <w:rFonts w:cs="Times New Roman"/>
          <w:color w:val="000000"/>
          <w:szCs w:val="24"/>
        </w:rPr>
        <w:t xml:space="preserve">. </w:t>
      </w:r>
      <w:r w:rsidR="00BE57E2">
        <w:rPr>
          <w:rFonts w:cs="Times New Roman"/>
          <w:color w:val="000000"/>
          <w:szCs w:val="24"/>
        </w:rPr>
        <w:t xml:space="preserve">Few respondents will be required to complete all 15 questions (due to built-in skip logic). </w:t>
      </w:r>
      <w:r w:rsidRPr="00C811EA" w:rsidR="00BE57E2">
        <w:t xml:space="preserve">Adding the </w:t>
      </w:r>
      <w:r w:rsidR="00BE57E2">
        <w:t>11</w:t>
      </w:r>
      <w:r w:rsidRPr="00C811EA" w:rsidR="00BE57E2">
        <w:t xml:space="preserve"> COVID-19 pandemic and 4 telemedicine items is expected to add a</w:t>
      </w:r>
      <w:r w:rsidR="00BE57E2">
        <w:t xml:space="preserve">pproximately 10 minutes extra burden per respondent shown below in Table 2. </w:t>
      </w:r>
      <w:r w:rsidRPr="00604DA3" w:rsidR="008711C6">
        <w:t>Due to an estimated smaller sample size there is no increase to the annualized burden hours for the NSDUH.</w:t>
      </w:r>
      <w:r w:rsidR="008711C6">
        <w:t xml:space="preserve"> </w:t>
      </w:r>
      <w:r w:rsidRPr="00C811EA" w:rsidR="008711C6">
        <w:t xml:space="preserve">Adding the </w:t>
      </w:r>
      <w:r w:rsidR="008711C6">
        <w:t>11</w:t>
      </w:r>
      <w:r w:rsidRPr="00C811EA" w:rsidR="008711C6">
        <w:t xml:space="preserve"> COVID-19 pandemic and 4 telemedicine items is expected to add a</w:t>
      </w:r>
      <w:r w:rsidR="008711C6">
        <w:t xml:space="preserve">pproximately 10 minutes extra burden per respondent shown below in Table </w:t>
      </w:r>
      <w:r w:rsidR="008943E0">
        <w:t>2</w:t>
      </w:r>
      <w:r w:rsidR="008711C6">
        <w:t>.</w:t>
      </w:r>
    </w:p>
    <w:p w:rsidR="008711C6" w:rsidP="008711C6" w:rsidRDefault="008711C6" w14:paraId="706593DE" w14:textId="334B25F8">
      <w:pPr>
        <w:spacing w:after="0"/>
      </w:pPr>
    </w:p>
    <w:p w:rsidRPr="00604DA3" w:rsidR="008711C6" w:rsidP="008711C6" w:rsidRDefault="008711C6" w14:paraId="2581B9B4" w14:textId="7295C53C">
      <w:pPr>
        <w:contextualSpacing/>
        <w:rPr>
          <w:b/>
        </w:rPr>
      </w:pPr>
      <w:r w:rsidRPr="00604DA3">
        <w:rPr>
          <w:b/>
        </w:rPr>
        <w:t xml:space="preserve">Table </w:t>
      </w:r>
      <w:r w:rsidR="008943E0">
        <w:rPr>
          <w:b/>
        </w:rPr>
        <w:t>2</w:t>
      </w:r>
      <w:r w:rsidRPr="00604DA3">
        <w:rPr>
          <w:b/>
        </w:rPr>
        <w:t>. Estimated</w:t>
      </w:r>
      <w:r w:rsidR="00B66C00">
        <w:rPr>
          <w:b/>
        </w:rPr>
        <w:t xml:space="preserve"> Interview</w:t>
      </w:r>
      <w:r w:rsidRPr="00604DA3">
        <w:rPr>
          <w:b/>
        </w:rPr>
        <w:t xml:space="preserve"> Respondent Burden Hours</w:t>
      </w:r>
      <w:r>
        <w:rPr>
          <w:b/>
        </w:rPr>
        <w:t xml:space="preserve"> with</w:t>
      </w:r>
      <w:r w:rsidR="00B66C00">
        <w:rPr>
          <w:b/>
        </w:rPr>
        <w:t xml:space="preserve"> New Questions </w:t>
      </w:r>
    </w:p>
    <w:tbl>
      <w:tblPr>
        <w:tblW w:w="8875" w:type="dxa"/>
        <w:tblInd w:w="12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981"/>
        <w:gridCol w:w="1619"/>
        <w:gridCol w:w="1675"/>
        <w:gridCol w:w="1620"/>
        <w:gridCol w:w="1980"/>
      </w:tblGrid>
      <w:tr w:rsidRPr="00C811EA" w:rsidR="008711C6" w:rsidTr="00B66C00" w14:paraId="1FF4C1BC" w14:textId="77777777">
        <w:trPr>
          <w:trHeight w:val="1181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66C00" w:rsidR="008711C6" w:rsidP="00BC5CAF" w:rsidRDefault="008711C6" w14:paraId="7CBDE922" w14:textId="77777777">
            <w:pPr>
              <w:spacing w:after="160" w:line="259" w:lineRule="auto"/>
              <w:rPr>
                <w:b/>
              </w:rPr>
            </w:pPr>
            <w:r w:rsidRPr="00B66C00">
              <w:rPr>
                <w:b/>
              </w:rPr>
              <w:t>Response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  <w:hideMark/>
          </w:tcPr>
          <w:p w:rsidRPr="00B66C00" w:rsidR="008711C6" w:rsidP="00BC5CAF" w:rsidRDefault="008711C6" w14:paraId="1CA5A6C7" w14:textId="77777777">
            <w:pPr>
              <w:spacing w:after="160" w:line="259" w:lineRule="auto"/>
              <w:rPr>
                <w:b/>
              </w:rPr>
            </w:pPr>
            <w:r w:rsidRPr="00B66C00">
              <w:rPr>
                <w:b/>
              </w:rPr>
              <w:t>Number of Respondents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  <w:hideMark/>
          </w:tcPr>
          <w:p w:rsidRPr="00B66C00" w:rsidR="008711C6" w:rsidP="00BC5CAF" w:rsidRDefault="008711C6" w14:paraId="19FBE9A7" w14:textId="77777777">
            <w:pPr>
              <w:spacing w:after="160" w:line="259" w:lineRule="auto"/>
              <w:rPr>
                <w:b/>
              </w:rPr>
            </w:pPr>
            <w:r w:rsidRPr="00B66C00">
              <w:rPr>
                <w:b/>
              </w:rPr>
              <w:t>Number of Responses per respondent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  <w:hideMark/>
          </w:tcPr>
          <w:p w:rsidRPr="00B66C00" w:rsidR="008711C6" w:rsidP="00BC5CAF" w:rsidRDefault="008711C6" w14:paraId="703F5879" w14:textId="77777777">
            <w:pPr>
              <w:spacing w:after="160" w:line="259" w:lineRule="auto"/>
              <w:rPr>
                <w:b/>
              </w:rPr>
            </w:pPr>
            <w:r w:rsidRPr="00B66C00">
              <w:rPr>
                <w:b/>
              </w:rPr>
              <w:t>Average Burden per Response (in hours)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66C00" w:rsidR="008711C6" w:rsidP="00BC5CAF" w:rsidRDefault="008711C6" w14:paraId="49320B9F" w14:textId="77777777">
            <w:pPr>
              <w:spacing w:after="160" w:line="259" w:lineRule="auto"/>
              <w:rPr>
                <w:b/>
              </w:rPr>
            </w:pPr>
            <w:r w:rsidRPr="00B66C00">
              <w:rPr>
                <w:b/>
              </w:rPr>
              <w:t>Total Burden Hours</w:t>
            </w:r>
          </w:p>
        </w:tc>
      </w:tr>
      <w:tr w:rsidRPr="00C811EA" w:rsidR="008711C6" w:rsidTr="00B66C00" w14:paraId="0FD2AED8" w14:textId="77777777">
        <w:trPr>
          <w:trHeight w:val="838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811EA" w:rsidR="008711C6" w:rsidP="00BC5CAF" w:rsidRDefault="008711C6" w14:paraId="0BB8FD27" w14:textId="77777777">
            <w:pPr>
              <w:spacing w:after="160" w:line="259" w:lineRule="auto"/>
            </w:pPr>
            <w:r w:rsidRPr="00C811EA">
              <w:t>COVID-19 Items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  <w:hideMark/>
          </w:tcPr>
          <w:p w:rsidRPr="00C811EA" w:rsidR="008711C6" w:rsidP="00BC5CAF" w:rsidRDefault="008711C6" w14:paraId="52D468F4" w14:textId="77777777">
            <w:pPr>
              <w:spacing w:after="160" w:line="259" w:lineRule="auto"/>
            </w:pPr>
            <w:r>
              <w:t>42,000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  <w:hideMark/>
          </w:tcPr>
          <w:p w:rsidRPr="00C811EA" w:rsidR="008711C6" w:rsidP="00BC5CAF" w:rsidRDefault="008711C6" w14:paraId="39CB43CA" w14:textId="77777777">
            <w:pPr>
              <w:spacing w:after="160" w:line="259" w:lineRule="auto"/>
            </w:pPr>
            <w:r w:rsidRPr="00C811EA"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hideMark/>
          </w:tcPr>
          <w:p w:rsidRPr="00C811EA" w:rsidR="008711C6" w:rsidP="00BC5CAF" w:rsidRDefault="008711C6" w14:paraId="45F46C7B" w14:textId="77777777">
            <w:pPr>
              <w:spacing w:after="160" w:line="259" w:lineRule="auto"/>
            </w:pPr>
            <w:r>
              <w:t>0.133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</w:tcPr>
          <w:p w:rsidRPr="00C811EA" w:rsidR="008711C6" w:rsidP="00BC5CAF" w:rsidRDefault="008711C6" w14:paraId="4CF28B31" w14:textId="77777777">
            <w:pPr>
              <w:spacing w:after="160" w:line="259" w:lineRule="auto"/>
            </w:pPr>
            <w:r>
              <w:t>5,586</w:t>
            </w:r>
          </w:p>
        </w:tc>
      </w:tr>
      <w:tr w:rsidRPr="00C811EA" w:rsidR="008711C6" w:rsidTr="00B66C00" w14:paraId="522D84B4" w14:textId="77777777">
        <w:trPr>
          <w:trHeight w:val="838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811EA" w:rsidR="008711C6" w:rsidP="00BC5CAF" w:rsidRDefault="008711C6" w14:paraId="208A585B" w14:textId="77777777">
            <w:pPr>
              <w:spacing w:after="160" w:line="259" w:lineRule="auto"/>
            </w:pPr>
            <w:r w:rsidRPr="00C811EA">
              <w:t>Telemed</w:t>
            </w:r>
            <w:r>
              <w:t>icine</w:t>
            </w:r>
            <w:r w:rsidRPr="00C811EA">
              <w:t xml:space="preserve"> Items 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hideMark/>
          </w:tcPr>
          <w:p w:rsidRPr="00C811EA" w:rsidR="008711C6" w:rsidP="00BC5CAF" w:rsidRDefault="008711C6" w14:paraId="766C6443" w14:textId="77777777">
            <w:pPr>
              <w:spacing w:after="160" w:line="259" w:lineRule="auto"/>
            </w:pPr>
            <w:r>
              <w:t>42,000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  <w:hideMark/>
          </w:tcPr>
          <w:p w:rsidRPr="00C811EA" w:rsidR="008711C6" w:rsidP="00BC5CAF" w:rsidRDefault="008711C6" w14:paraId="374F49F0" w14:textId="77777777">
            <w:pPr>
              <w:spacing w:after="160" w:line="259" w:lineRule="auto"/>
            </w:pPr>
            <w:r w:rsidRPr="00C811EA"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hideMark/>
          </w:tcPr>
          <w:p w:rsidRPr="00C811EA" w:rsidR="008711C6" w:rsidP="00BC5CAF" w:rsidRDefault="008711C6" w14:paraId="77D44FBB" w14:textId="77777777">
            <w:pPr>
              <w:spacing w:after="160" w:line="259" w:lineRule="auto"/>
            </w:pPr>
            <w:r>
              <w:t>0.033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</w:tcPr>
          <w:p w:rsidRPr="00C811EA" w:rsidR="008711C6" w:rsidP="00BC5CAF" w:rsidRDefault="008711C6" w14:paraId="2703A714" w14:textId="77777777">
            <w:pPr>
              <w:spacing w:after="160" w:line="259" w:lineRule="auto"/>
            </w:pPr>
            <w:r>
              <w:t>1,400</w:t>
            </w:r>
          </w:p>
        </w:tc>
      </w:tr>
      <w:tr w:rsidRPr="00C811EA" w:rsidR="00303A2B" w:rsidTr="00B66C00" w14:paraId="31846E85" w14:textId="77777777">
        <w:trPr>
          <w:trHeight w:val="260"/>
        </w:trPr>
        <w:tc>
          <w:tcPr>
            <w:tcW w:w="8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303A2B" w:rsidP="00BC5CAF" w:rsidRDefault="00303A2B" w14:paraId="7B66CAF1" w14:textId="77777777">
            <w:pPr>
              <w:spacing w:after="160" w:line="259" w:lineRule="auto"/>
            </w:pPr>
          </w:p>
        </w:tc>
      </w:tr>
      <w:tr w:rsidR="00303A2B" w:rsidTr="00B66C00" w14:paraId="4596A518" w14:textId="77777777">
        <w:trPr>
          <w:trHeight w:val="838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03A2B" w:rsidR="00303A2B" w:rsidP="00303A2B" w:rsidRDefault="00303A2B" w14:paraId="4863367F" w14:textId="53784AD8">
            <w:pPr>
              <w:spacing w:after="160" w:line="259" w:lineRule="auto"/>
            </w:pPr>
            <w:r>
              <w:t xml:space="preserve">Interviews prior to COVID 19 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hideMark/>
          </w:tcPr>
          <w:p w:rsidR="00303A2B" w:rsidP="00303A2B" w:rsidRDefault="00303A2B" w14:paraId="212E8419" w14:textId="77777777">
            <w:pPr>
              <w:spacing w:after="160" w:line="259" w:lineRule="auto"/>
            </w:pPr>
            <w:r>
              <w:t>15,653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  <w:hideMark/>
          </w:tcPr>
          <w:p w:rsidR="00303A2B" w:rsidP="00303A2B" w:rsidRDefault="00303A2B" w14:paraId="108E8462" w14:textId="77777777">
            <w:pPr>
              <w:spacing w:after="160" w:line="259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hideMark/>
          </w:tcPr>
          <w:p w:rsidR="00303A2B" w:rsidP="00303A2B" w:rsidRDefault="00303A2B" w14:paraId="46795A26" w14:textId="77777777">
            <w:pPr>
              <w:spacing w:after="160" w:line="259" w:lineRule="auto"/>
            </w:pPr>
            <w:r>
              <w:t>1.000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</w:tcPr>
          <w:p w:rsidR="00303A2B" w:rsidP="00303A2B" w:rsidRDefault="00303A2B" w14:paraId="388446A3" w14:textId="77777777">
            <w:pPr>
              <w:spacing w:after="160" w:line="259" w:lineRule="auto"/>
            </w:pPr>
            <w:r>
              <w:t>15,653</w:t>
            </w:r>
          </w:p>
        </w:tc>
      </w:tr>
      <w:tr w:rsidRPr="00C811EA" w:rsidR="00303A2B" w:rsidTr="00B66C00" w14:paraId="0FA52256" w14:textId="77777777">
        <w:trPr>
          <w:trHeight w:val="838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811EA" w:rsidR="00303A2B" w:rsidP="00E640B7" w:rsidRDefault="00303A2B" w14:paraId="66F12176" w14:textId="46D7609B">
            <w:pPr>
              <w:spacing w:after="160" w:line="259" w:lineRule="auto"/>
            </w:pPr>
            <w:r>
              <w:t>Interview with new questions</w:t>
            </w:r>
            <w:r w:rsidRPr="00C811EA">
              <w:t xml:space="preserve"> 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hideMark/>
          </w:tcPr>
          <w:p w:rsidRPr="00C811EA" w:rsidR="00303A2B" w:rsidP="00E640B7" w:rsidRDefault="00303A2B" w14:paraId="4B9D8F39" w14:textId="77777777">
            <w:pPr>
              <w:spacing w:after="160" w:line="259" w:lineRule="auto"/>
            </w:pPr>
            <w:r>
              <w:t>42,000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  <w:hideMark/>
          </w:tcPr>
          <w:p w:rsidRPr="00C811EA" w:rsidR="00303A2B" w:rsidP="00E640B7" w:rsidRDefault="00303A2B" w14:paraId="768C5200" w14:textId="77777777">
            <w:pPr>
              <w:spacing w:after="160" w:line="259" w:lineRule="auto"/>
            </w:pPr>
            <w:r w:rsidRPr="00C811EA"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hideMark/>
          </w:tcPr>
          <w:p w:rsidRPr="00C811EA" w:rsidR="00303A2B" w:rsidP="00E640B7" w:rsidRDefault="00303A2B" w14:paraId="0032B11B" w14:textId="77777777">
            <w:pPr>
              <w:spacing w:after="160" w:line="259" w:lineRule="auto"/>
            </w:pPr>
            <w:r>
              <w:t>1.167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</w:tcPr>
          <w:p w:rsidRPr="00C811EA" w:rsidR="00303A2B" w:rsidP="00E640B7" w:rsidRDefault="00303A2B" w14:paraId="33C109E3" w14:textId="77777777">
            <w:pPr>
              <w:spacing w:after="160" w:line="259" w:lineRule="auto"/>
            </w:pPr>
            <w:r>
              <w:t>49,014</w:t>
            </w:r>
          </w:p>
        </w:tc>
      </w:tr>
      <w:tr w:rsidRPr="00C811EA" w:rsidR="00303A2B" w:rsidTr="00B66C00" w14:paraId="1180A893" w14:textId="77777777">
        <w:trPr>
          <w:trHeight w:val="838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03A2B" w:rsidR="00303A2B" w:rsidP="00E640B7" w:rsidRDefault="00303A2B" w14:paraId="11249CCC" w14:textId="604B541E">
            <w:pPr>
              <w:spacing w:after="160" w:line="259" w:lineRule="auto"/>
              <w:rPr>
                <w:b/>
              </w:rPr>
            </w:pPr>
            <w:r w:rsidRPr="00303A2B">
              <w:rPr>
                <w:b/>
              </w:rPr>
              <w:t xml:space="preserve">Total Annual Interview Burden 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hideMark/>
          </w:tcPr>
          <w:p w:rsidRPr="00303A2B" w:rsidR="00303A2B" w:rsidP="00E640B7" w:rsidRDefault="00303A2B" w14:paraId="44A00BA9" w14:textId="65A71C63">
            <w:pPr>
              <w:spacing w:after="160" w:line="259" w:lineRule="auto"/>
              <w:rPr>
                <w:b/>
              </w:rPr>
            </w:pPr>
            <w:r w:rsidRPr="00303A2B">
              <w:rPr>
                <w:b/>
              </w:rPr>
              <w:t>57,653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  <w:hideMark/>
          </w:tcPr>
          <w:p w:rsidRPr="00303A2B" w:rsidR="00303A2B" w:rsidP="00E640B7" w:rsidRDefault="00303A2B" w14:paraId="4AEC2C29" w14:textId="77777777">
            <w:pPr>
              <w:spacing w:after="160" w:line="259" w:lineRule="auto"/>
              <w:rPr>
                <w:b/>
              </w:rPr>
            </w:pPr>
            <w:r w:rsidRPr="00303A2B">
              <w:rPr>
                <w:b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hideMark/>
          </w:tcPr>
          <w:p w:rsidRPr="00303A2B" w:rsidR="00303A2B" w:rsidP="00E640B7" w:rsidRDefault="00303A2B" w14:paraId="6166EB99" w14:textId="51886E15">
            <w:pPr>
              <w:spacing w:after="160" w:line="259" w:lineRule="auto"/>
              <w:rPr>
                <w:b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</w:tcPr>
          <w:p w:rsidRPr="00303A2B" w:rsidR="00303A2B" w:rsidP="00E640B7" w:rsidRDefault="00303A2B" w14:paraId="44692A18" w14:textId="368DAD1E">
            <w:pPr>
              <w:spacing w:after="160" w:line="259" w:lineRule="auto"/>
              <w:rPr>
                <w:b/>
              </w:rPr>
            </w:pPr>
            <w:r w:rsidRPr="00303A2B">
              <w:rPr>
                <w:b/>
              </w:rPr>
              <w:t>64,667</w:t>
            </w:r>
          </w:p>
        </w:tc>
      </w:tr>
    </w:tbl>
    <w:p w:rsidR="00302736" w:rsidP="00C811EA" w:rsidRDefault="00302736" w14:paraId="01D95914" w14:textId="77777777">
      <w:pPr>
        <w:spacing w:after="0"/>
        <w:rPr>
          <w:rFonts w:cs="Times New Roman"/>
          <w:szCs w:val="24"/>
          <w:u w:val="single"/>
        </w:rPr>
      </w:pPr>
    </w:p>
    <w:p w:rsidRPr="00F226E8" w:rsidR="00F226E8" w:rsidP="00C811EA" w:rsidRDefault="00F226E8" w14:paraId="6BFCB805" w14:textId="0E17A8BB">
      <w:pPr>
        <w:spacing w:after="0"/>
        <w:rPr>
          <w:rFonts w:cs="Times New Roman"/>
          <w:szCs w:val="24"/>
        </w:rPr>
      </w:pPr>
      <w:r w:rsidRPr="00F226E8">
        <w:rPr>
          <w:rFonts w:cs="Times New Roman"/>
          <w:szCs w:val="24"/>
        </w:rPr>
        <w:t xml:space="preserve">The previous estimated annual burden for interviews was 69,007. </w:t>
      </w:r>
    </w:p>
    <w:p w:rsidR="00F226E8" w:rsidP="00C811EA" w:rsidRDefault="00F226E8" w14:paraId="3D16A684" w14:textId="77777777">
      <w:pPr>
        <w:spacing w:after="0"/>
        <w:rPr>
          <w:rFonts w:cs="Times New Roman"/>
          <w:szCs w:val="24"/>
          <w:u w:val="single"/>
        </w:rPr>
      </w:pPr>
    </w:p>
    <w:p w:rsidR="00A26361" w:rsidP="00C811EA" w:rsidRDefault="004A13E8" w14:paraId="55FE1810" w14:textId="567D62B5">
      <w:pPr>
        <w:pStyle w:val="Heading1"/>
        <w:numPr>
          <w:ilvl w:val="0"/>
          <w:numId w:val="15"/>
        </w:numPr>
        <w:tabs>
          <w:tab w:val="left" w:pos="180"/>
          <w:tab w:val="left" w:pos="900"/>
        </w:tabs>
        <w:spacing w:line="276" w:lineRule="auto"/>
        <w:ind w:left="360"/>
        <w:rPr>
          <w:rFonts w:cs="Times New Roman"/>
          <w:szCs w:val="24"/>
        </w:rPr>
      </w:pPr>
      <w:bookmarkStart w:name="_Toc43280131" w:id="9"/>
      <w:bookmarkEnd w:id="8"/>
      <w:r w:rsidRPr="00C811EA">
        <w:rPr>
          <w:rFonts w:cs="Times New Roman"/>
          <w:szCs w:val="24"/>
        </w:rPr>
        <w:t>Explanation for Program Changes or Adjustments</w:t>
      </w:r>
      <w:bookmarkEnd w:id="9"/>
    </w:p>
    <w:p w:rsidRPr="00B66C00" w:rsidR="003B6F50" w:rsidP="00F32714" w:rsidRDefault="00F24A92" w14:paraId="69DDF95D" w14:textId="12A4D50C">
      <w:pPr>
        <w:rPr>
          <w:rFonts w:cs="Times New Roman"/>
        </w:rPr>
      </w:pPr>
      <w:r>
        <w:rPr>
          <w:rFonts w:cs="Times New Roman"/>
          <w:szCs w:val="24"/>
        </w:rPr>
        <w:t>As stated earlier, the addition of the COVID-19</w:t>
      </w:r>
      <w:r w:rsidR="008711C6">
        <w:rPr>
          <w:rFonts w:cs="Times New Roman"/>
          <w:szCs w:val="24"/>
        </w:rPr>
        <w:t xml:space="preserve"> and telemedicine</w:t>
      </w:r>
      <w:r>
        <w:rPr>
          <w:rFonts w:cs="Times New Roman"/>
          <w:szCs w:val="24"/>
        </w:rPr>
        <w:t xml:space="preserve"> questions will not </w:t>
      </w:r>
      <w:r w:rsidR="00553C65">
        <w:rPr>
          <w:rFonts w:cs="Times New Roman"/>
          <w:szCs w:val="24"/>
        </w:rPr>
        <w:t>increase</w:t>
      </w:r>
      <w:r>
        <w:rPr>
          <w:rFonts w:cs="Times New Roman"/>
          <w:szCs w:val="24"/>
        </w:rPr>
        <w:t xml:space="preserve"> the </w:t>
      </w:r>
      <w:r>
        <w:rPr>
          <w:rFonts w:eastAsia="Times New Roman" w:cs="Times New Roman"/>
          <w:szCs w:val="24"/>
        </w:rPr>
        <w:t>currently approved estimated annualized burden hours</w:t>
      </w:r>
      <w:r w:rsidR="008711C6">
        <w:rPr>
          <w:rFonts w:eastAsia="Times New Roman" w:cs="Times New Roman"/>
          <w:szCs w:val="24"/>
        </w:rPr>
        <w:t>. T</w:t>
      </w:r>
      <w:r>
        <w:rPr>
          <w:rFonts w:eastAsia="Times New Roman" w:cs="Times New Roman"/>
          <w:szCs w:val="24"/>
        </w:rPr>
        <w:t xml:space="preserve">here is </w:t>
      </w:r>
      <w:r w:rsidRPr="00C811EA" w:rsidR="008711C6">
        <w:t>a</w:t>
      </w:r>
      <w:r w:rsidR="008711C6">
        <w:t xml:space="preserve">pproximately 10 minutes extra burden per respondent </w:t>
      </w:r>
      <w:r w:rsidR="00553C65">
        <w:t xml:space="preserve">but </w:t>
      </w:r>
      <w:r w:rsidR="00B71355">
        <w:t xml:space="preserve">fewer total interviews will reduce the total annual burden hours. </w:t>
      </w:r>
    </w:p>
    <w:p w:rsidRPr="007F2D94" w:rsidR="00F32714" w:rsidP="00F32714" w:rsidRDefault="00F32714" w14:paraId="14635613" w14:textId="142BA823">
      <w:pPr>
        <w:rPr>
          <w:rFonts w:cs="Times New Roman"/>
          <w:szCs w:val="24"/>
          <w:u w:val="single"/>
        </w:rPr>
      </w:pPr>
      <w:r w:rsidRPr="007F2D94">
        <w:rPr>
          <w:rFonts w:cs="Times New Roman"/>
          <w:szCs w:val="24"/>
          <w:u w:val="single"/>
        </w:rPr>
        <w:t>List of Attachments</w:t>
      </w:r>
    </w:p>
    <w:p w:rsidRPr="007F2D94" w:rsidR="00F32714" w:rsidP="00F32714" w:rsidRDefault="00F32714" w14:paraId="41E9CFEC" w14:textId="77777777">
      <w:pPr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 w:rsidRPr="007F2D94">
        <w:rPr>
          <w:rFonts w:cs="Times New Roman"/>
          <w:szCs w:val="24"/>
        </w:rPr>
        <w:t>. NS</w:t>
      </w:r>
      <w:r>
        <w:rPr>
          <w:rFonts w:cs="Times New Roman"/>
          <w:szCs w:val="24"/>
        </w:rPr>
        <w:t>DUH</w:t>
      </w:r>
      <w:r w:rsidRPr="007F2D94">
        <w:rPr>
          <w:rFonts w:cs="Times New Roman"/>
          <w:szCs w:val="24"/>
        </w:rPr>
        <w:t xml:space="preserve"> 2020 Proposed COVID-19 Questions</w:t>
      </w:r>
    </w:p>
    <w:p w:rsidRPr="007F2D94" w:rsidR="00F32714" w:rsidP="00F32714" w:rsidRDefault="00F32714" w14:paraId="41DA7357" w14:textId="77777777">
      <w:pPr>
        <w:rPr>
          <w:rFonts w:cs="Times New Roman"/>
          <w:szCs w:val="24"/>
        </w:rPr>
      </w:pPr>
      <w:r>
        <w:rPr>
          <w:rFonts w:cs="Times New Roman"/>
          <w:szCs w:val="24"/>
        </w:rPr>
        <w:t>B</w:t>
      </w:r>
      <w:r w:rsidRPr="007F2D94">
        <w:rPr>
          <w:rFonts w:cs="Times New Roman"/>
          <w:szCs w:val="24"/>
        </w:rPr>
        <w:t>. NS</w:t>
      </w:r>
      <w:r>
        <w:rPr>
          <w:rFonts w:cs="Times New Roman"/>
          <w:szCs w:val="24"/>
        </w:rPr>
        <w:t>DUH</w:t>
      </w:r>
      <w:r w:rsidRPr="007F2D94">
        <w:rPr>
          <w:rFonts w:cs="Times New Roman"/>
          <w:szCs w:val="24"/>
        </w:rPr>
        <w:t xml:space="preserve"> 2020 Proposed </w:t>
      </w:r>
      <w:proofErr w:type="spellStart"/>
      <w:r>
        <w:rPr>
          <w:rFonts w:cs="Times New Roman"/>
          <w:szCs w:val="24"/>
        </w:rPr>
        <w:t>Telemed</w:t>
      </w:r>
      <w:proofErr w:type="spellEnd"/>
      <w:r w:rsidRPr="007F2D94">
        <w:rPr>
          <w:rFonts w:cs="Times New Roman"/>
          <w:szCs w:val="24"/>
        </w:rPr>
        <w:t xml:space="preserve"> Questions</w:t>
      </w:r>
    </w:p>
    <w:p w:rsidRPr="00C811EA" w:rsidR="00F32714" w:rsidP="00C811EA" w:rsidRDefault="00F32714" w14:paraId="3F6C199E" w14:textId="77777777">
      <w:pPr>
        <w:rPr>
          <w:rFonts w:eastAsia="Times New Roman" w:cs="Times New Roman"/>
          <w:color w:val="000000"/>
          <w:szCs w:val="24"/>
        </w:rPr>
      </w:pPr>
    </w:p>
    <w:sectPr w:rsidRPr="00C811EA" w:rsidR="00F32714" w:rsidSect="006C6578">
      <w:footerReference w:type="default" r:id="rId11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1C2BE" w14:textId="77777777" w:rsidR="00DC694B" w:rsidRDefault="00DC694B" w:rsidP="008B5D54">
      <w:pPr>
        <w:spacing w:after="0" w:line="240" w:lineRule="auto"/>
      </w:pPr>
      <w:r>
        <w:separator/>
      </w:r>
    </w:p>
  </w:endnote>
  <w:endnote w:type="continuationSeparator" w:id="0">
    <w:p w14:paraId="5B15EEEE" w14:textId="77777777" w:rsidR="00DC694B" w:rsidRDefault="00DC694B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40759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FE1835" w14:textId="4F941E24" w:rsidR="00C91546" w:rsidRDefault="00C915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640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5FE1836" w14:textId="77777777" w:rsidR="00C91546" w:rsidRDefault="00C915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F9CE9" w14:textId="77777777" w:rsidR="00DC694B" w:rsidRDefault="00DC694B" w:rsidP="008B5D54">
      <w:pPr>
        <w:spacing w:after="0" w:line="240" w:lineRule="auto"/>
      </w:pPr>
      <w:r>
        <w:separator/>
      </w:r>
    </w:p>
  </w:footnote>
  <w:footnote w:type="continuationSeparator" w:id="0">
    <w:p w14:paraId="7E1E1DF5" w14:textId="77777777" w:rsidR="00DC694B" w:rsidRDefault="00DC694B" w:rsidP="008B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6A84D36"/>
    <w:lvl w:ilvl="0">
      <w:numFmt w:val="bullet"/>
      <w:lvlText w:val="*"/>
      <w:lvlJc w:val="left"/>
    </w:lvl>
  </w:abstractNum>
  <w:abstractNum w:abstractNumId="1" w15:restartNumberingAfterBreak="0">
    <w:nsid w:val="07282A33"/>
    <w:multiLevelType w:val="hybridMultilevel"/>
    <w:tmpl w:val="3EB29BB2"/>
    <w:lvl w:ilvl="0" w:tplc="7D8828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C795D"/>
    <w:multiLevelType w:val="hybridMultilevel"/>
    <w:tmpl w:val="713E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D2079"/>
    <w:multiLevelType w:val="hybridMultilevel"/>
    <w:tmpl w:val="E4B24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10413"/>
    <w:multiLevelType w:val="hybridMultilevel"/>
    <w:tmpl w:val="E0CA6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5068F"/>
    <w:multiLevelType w:val="hybridMultilevel"/>
    <w:tmpl w:val="BB94D70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1CF513BB"/>
    <w:multiLevelType w:val="hybridMultilevel"/>
    <w:tmpl w:val="610A3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23EE4"/>
    <w:multiLevelType w:val="hybridMultilevel"/>
    <w:tmpl w:val="A198E6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832B9"/>
    <w:multiLevelType w:val="hybridMultilevel"/>
    <w:tmpl w:val="39747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86A31"/>
    <w:multiLevelType w:val="hybridMultilevel"/>
    <w:tmpl w:val="D7E4C20C"/>
    <w:lvl w:ilvl="0" w:tplc="BB58B21E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712E1"/>
    <w:multiLevelType w:val="hybridMultilevel"/>
    <w:tmpl w:val="4A200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E01F9"/>
    <w:multiLevelType w:val="hybridMultilevel"/>
    <w:tmpl w:val="E460BD2C"/>
    <w:lvl w:ilvl="0" w:tplc="EF6CA1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B670C"/>
    <w:multiLevelType w:val="hybridMultilevel"/>
    <w:tmpl w:val="F4A2A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B54E6"/>
    <w:multiLevelType w:val="hybridMultilevel"/>
    <w:tmpl w:val="0A604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C121E0"/>
    <w:multiLevelType w:val="hybridMultilevel"/>
    <w:tmpl w:val="CDF010D8"/>
    <w:lvl w:ilvl="0" w:tplc="9B6AB68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2"/>
  </w:num>
  <w:num w:numId="4">
    <w:abstractNumId w:val="8"/>
  </w:num>
  <w:num w:numId="5">
    <w:abstractNumId w:val="3"/>
  </w:num>
  <w:num w:numId="6">
    <w:abstractNumId w:val="7"/>
  </w:num>
  <w:num w:numId="7">
    <w:abstractNumId w:val="1"/>
  </w:num>
  <w:num w:numId="8">
    <w:abstractNumId w:val="6"/>
  </w:num>
  <w:num w:numId="9">
    <w:abstractNumId w:val="4"/>
  </w:num>
  <w:num w:numId="10">
    <w:abstractNumId w:val="10"/>
  </w:num>
  <w:num w:numId="11">
    <w:abstractNumId w:val="5"/>
  </w:num>
  <w:num w:numId="12">
    <w:abstractNumId w:val="9"/>
    <w:lvlOverride w:ilvl="0">
      <w:startOverride w:val="8"/>
    </w:lvlOverride>
  </w:num>
  <w:num w:numId="13">
    <w:abstractNumId w:val="9"/>
    <w:lvlOverride w:ilvl="0">
      <w:startOverride w:val="12"/>
    </w:lvlOverride>
  </w:num>
  <w:num w:numId="14">
    <w:abstractNumId w:val="9"/>
    <w:lvlOverride w:ilvl="0">
      <w:startOverride w:val="15"/>
    </w:lvlOverride>
  </w:num>
  <w:num w:numId="15">
    <w:abstractNumId w:val="9"/>
    <w:lvlOverride w:ilvl="0">
      <w:startOverride w:val="15"/>
    </w:lvlOverride>
  </w:num>
  <w:num w:numId="16">
    <w:abstractNumId w:val="11"/>
  </w:num>
  <w:num w:numId="1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8">
    <w:abstractNumId w:val="1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3E8"/>
    <w:rsid w:val="00000E25"/>
    <w:rsid w:val="000042EA"/>
    <w:rsid w:val="000059F8"/>
    <w:rsid w:val="00006138"/>
    <w:rsid w:val="00006B95"/>
    <w:rsid w:val="00011196"/>
    <w:rsid w:val="00012E45"/>
    <w:rsid w:val="00015C1E"/>
    <w:rsid w:val="00017D43"/>
    <w:rsid w:val="00021CCD"/>
    <w:rsid w:val="00030934"/>
    <w:rsid w:val="000432A3"/>
    <w:rsid w:val="0004791A"/>
    <w:rsid w:val="0005699B"/>
    <w:rsid w:val="00060DB1"/>
    <w:rsid w:val="0007405B"/>
    <w:rsid w:val="00075D6A"/>
    <w:rsid w:val="00077A77"/>
    <w:rsid w:val="000809A5"/>
    <w:rsid w:val="00082278"/>
    <w:rsid w:val="00087E9A"/>
    <w:rsid w:val="000A3F48"/>
    <w:rsid w:val="000B06FE"/>
    <w:rsid w:val="000B1AAA"/>
    <w:rsid w:val="000B2E74"/>
    <w:rsid w:val="000B35E2"/>
    <w:rsid w:val="000B7F18"/>
    <w:rsid w:val="000C0035"/>
    <w:rsid w:val="000C0100"/>
    <w:rsid w:val="000C0309"/>
    <w:rsid w:val="000C1760"/>
    <w:rsid w:val="000D49B1"/>
    <w:rsid w:val="000D6F03"/>
    <w:rsid w:val="00100E40"/>
    <w:rsid w:val="00102570"/>
    <w:rsid w:val="00103D35"/>
    <w:rsid w:val="0010420C"/>
    <w:rsid w:val="001057E8"/>
    <w:rsid w:val="00106AD6"/>
    <w:rsid w:val="00107956"/>
    <w:rsid w:val="001230A9"/>
    <w:rsid w:val="00124128"/>
    <w:rsid w:val="00134882"/>
    <w:rsid w:val="00142E02"/>
    <w:rsid w:val="00142EC8"/>
    <w:rsid w:val="0015239E"/>
    <w:rsid w:val="001523DF"/>
    <w:rsid w:val="001625C8"/>
    <w:rsid w:val="00172009"/>
    <w:rsid w:val="00181DB5"/>
    <w:rsid w:val="0018643F"/>
    <w:rsid w:val="00190805"/>
    <w:rsid w:val="00193696"/>
    <w:rsid w:val="001A0545"/>
    <w:rsid w:val="001A58BE"/>
    <w:rsid w:val="001A590F"/>
    <w:rsid w:val="001D00FC"/>
    <w:rsid w:val="001D317C"/>
    <w:rsid w:val="001D695E"/>
    <w:rsid w:val="001E08A8"/>
    <w:rsid w:val="001E609A"/>
    <w:rsid w:val="001F57DB"/>
    <w:rsid w:val="00200162"/>
    <w:rsid w:val="002063A8"/>
    <w:rsid w:val="00210674"/>
    <w:rsid w:val="00220549"/>
    <w:rsid w:val="002211C2"/>
    <w:rsid w:val="002246F6"/>
    <w:rsid w:val="00226314"/>
    <w:rsid w:val="00230FBB"/>
    <w:rsid w:val="00237BB7"/>
    <w:rsid w:val="00241E4E"/>
    <w:rsid w:val="00243343"/>
    <w:rsid w:val="002441B9"/>
    <w:rsid w:val="0025094D"/>
    <w:rsid w:val="0025156B"/>
    <w:rsid w:val="00252E6F"/>
    <w:rsid w:val="00273B19"/>
    <w:rsid w:val="00285E8D"/>
    <w:rsid w:val="002958B3"/>
    <w:rsid w:val="00296D66"/>
    <w:rsid w:val="002A15BE"/>
    <w:rsid w:val="002A370F"/>
    <w:rsid w:val="002A7670"/>
    <w:rsid w:val="002B09B9"/>
    <w:rsid w:val="002B2240"/>
    <w:rsid w:val="002B5245"/>
    <w:rsid w:val="002C29CF"/>
    <w:rsid w:val="002D0ED8"/>
    <w:rsid w:val="002D0F65"/>
    <w:rsid w:val="002D37C3"/>
    <w:rsid w:val="002D42C4"/>
    <w:rsid w:val="002D6D52"/>
    <w:rsid w:val="002F1B39"/>
    <w:rsid w:val="002F2C99"/>
    <w:rsid w:val="00302736"/>
    <w:rsid w:val="00302EEC"/>
    <w:rsid w:val="00303A2B"/>
    <w:rsid w:val="00304BBB"/>
    <w:rsid w:val="0030545F"/>
    <w:rsid w:val="003062AF"/>
    <w:rsid w:val="00307237"/>
    <w:rsid w:val="003133CD"/>
    <w:rsid w:val="00313C85"/>
    <w:rsid w:val="003179CF"/>
    <w:rsid w:val="003247BC"/>
    <w:rsid w:val="00333C13"/>
    <w:rsid w:val="00337757"/>
    <w:rsid w:val="003419B3"/>
    <w:rsid w:val="003441EC"/>
    <w:rsid w:val="003455C1"/>
    <w:rsid w:val="0036586E"/>
    <w:rsid w:val="003667A7"/>
    <w:rsid w:val="00371EF7"/>
    <w:rsid w:val="0038230A"/>
    <w:rsid w:val="00382C0E"/>
    <w:rsid w:val="003A1993"/>
    <w:rsid w:val="003A2BF1"/>
    <w:rsid w:val="003B2FB4"/>
    <w:rsid w:val="003B6F2C"/>
    <w:rsid w:val="003B6F50"/>
    <w:rsid w:val="003D4E41"/>
    <w:rsid w:val="003D51C0"/>
    <w:rsid w:val="003E65BF"/>
    <w:rsid w:val="003E72DC"/>
    <w:rsid w:val="003F60CF"/>
    <w:rsid w:val="00404539"/>
    <w:rsid w:val="00406DF4"/>
    <w:rsid w:val="00412BA2"/>
    <w:rsid w:val="004150F0"/>
    <w:rsid w:val="004235C9"/>
    <w:rsid w:val="0043440D"/>
    <w:rsid w:val="0043646F"/>
    <w:rsid w:val="00445595"/>
    <w:rsid w:val="00445D42"/>
    <w:rsid w:val="00446A7C"/>
    <w:rsid w:val="00447C13"/>
    <w:rsid w:val="00452DCC"/>
    <w:rsid w:val="00453520"/>
    <w:rsid w:val="00453863"/>
    <w:rsid w:val="0045446F"/>
    <w:rsid w:val="00456983"/>
    <w:rsid w:val="00457614"/>
    <w:rsid w:val="00460F69"/>
    <w:rsid w:val="00471BF5"/>
    <w:rsid w:val="00473A13"/>
    <w:rsid w:val="004779BF"/>
    <w:rsid w:val="004828B0"/>
    <w:rsid w:val="004841D1"/>
    <w:rsid w:val="004854B9"/>
    <w:rsid w:val="00485647"/>
    <w:rsid w:val="00493F84"/>
    <w:rsid w:val="004A0034"/>
    <w:rsid w:val="004A03EA"/>
    <w:rsid w:val="004A13E8"/>
    <w:rsid w:val="004B1EB8"/>
    <w:rsid w:val="004B462E"/>
    <w:rsid w:val="004C24FD"/>
    <w:rsid w:val="004D0CD2"/>
    <w:rsid w:val="004D616D"/>
    <w:rsid w:val="004D7652"/>
    <w:rsid w:val="004E1727"/>
    <w:rsid w:val="004E61EC"/>
    <w:rsid w:val="004E6AE9"/>
    <w:rsid w:val="005004A5"/>
    <w:rsid w:val="0051640B"/>
    <w:rsid w:val="0052014E"/>
    <w:rsid w:val="005225CC"/>
    <w:rsid w:val="00526735"/>
    <w:rsid w:val="0053196A"/>
    <w:rsid w:val="0053437B"/>
    <w:rsid w:val="00534E55"/>
    <w:rsid w:val="005408E8"/>
    <w:rsid w:val="005417F1"/>
    <w:rsid w:val="00551C04"/>
    <w:rsid w:val="00552D3A"/>
    <w:rsid w:val="00553BD6"/>
    <w:rsid w:val="00553C65"/>
    <w:rsid w:val="0055696D"/>
    <w:rsid w:val="00562642"/>
    <w:rsid w:val="00563E4A"/>
    <w:rsid w:val="00567E38"/>
    <w:rsid w:val="00572F83"/>
    <w:rsid w:val="005761B7"/>
    <w:rsid w:val="00580FBB"/>
    <w:rsid w:val="0059019F"/>
    <w:rsid w:val="00591DF0"/>
    <w:rsid w:val="005937FD"/>
    <w:rsid w:val="00593AAB"/>
    <w:rsid w:val="005A2EED"/>
    <w:rsid w:val="005A6FB1"/>
    <w:rsid w:val="005B10E4"/>
    <w:rsid w:val="005B249D"/>
    <w:rsid w:val="005B2DF0"/>
    <w:rsid w:val="005B6366"/>
    <w:rsid w:val="005B73BC"/>
    <w:rsid w:val="005B7B42"/>
    <w:rsid w:val="005C0F03"/>
    <w:rsid w:val="005C2AB7"/>
    <w:rsid w:val="005C6F0C"/>
    <w:rsid w:val="005C703C"/>
    <w:rsid w:val="005D2DB7"/>
    <w:rsid w:val="005D36B5"/>
    <w:rsid w:val="005E4ADC"/>
    <w:rsid w:val="005F2759"/>
    <w:rsid w:val="005F3145"/>
    <w:rsid w:val="005F7B81"/>
    <w:rsid w:val="0061160C"/>
    <w:rsid w:val="00613A5D"/>
    <w:rsid w:val="00614844"/>
    <w:rsid w:val="00622BFA"/>
    <w:rsid w:val="00626079"/>
    <w:rsid w:val="00634321"/>
    <w:rsid w:val="00635CAC"/>
    <w:rsid w:val="00636315"/>
    <w:rsid w:val="006412FB"/>
    <w:rsid w:val="00653FB3"/>
    <w:rsid w:val="00664AE5"/>
    <w:rsid w:val="006674D4"/>
    <w:rsid w:val="00674026"/>
    <w:rsid w:val="00674CBE"/>
    <w:rsid w:val="006750C1"/>
    <w:rsid w:val="00691C7C"/>
    <w:rsid w:val="0069580F"/>
    <w:rsid w:val="00697CD6"/>
    <w:rsid w:val="006A48EF"/>
    <w:rsid w:val="006A740D"/>
    <w:rsid w:val="006A7912"/>
    <w:rsid w:val="006B5448"/>
    <w:rsid w:val="006B5990"/>
    <w:rsid w:val="006B6697"/>
    <w:rsid w:val="006C0DA4"/>
    <w:rsid w:val="006C1D7A"/>
    <w:rsid w:val="006C26EE"/>
    <w:rsid w:val="006C6578"/>
    <w:rsid w:val="006E0C81"/>
    <w:rsid w:val="006E3AFB"/>
    <w:rsid w:val="006F22CD"/>
    <w:rsid w:val="006F4A4D"/>
    <w:rsid w:val="0070240F"/>
    <w:rsid w:val="0070266D"/>
    <w:rsid w:val="0070308D"/>
    <w:rsid w:val="00707646"/>
    <w:rsid w:val="00710449"/>
    <w:rsid w:val="00711F9C"/>
    <w:rsid w:val="007134F5"/>
    <w:rsid w:val="00713880"/>
    <w:rsid w:val="007139FA"/>
    <w:rsid w:val="00713C81"/>
    <w:rsid w:val="007162EA"/>
    <w:rsid w:val="00722C71"/>
    <w:rsid w:val="00727B70"/>
    <w:rsid w:val="00727C38"/>
    <w:rsid w:val="00732F13"/>
    <w:rsid w:val="007335B2"/>
    <w:rsid w:val="0074007D"/>
    <w:rsid w:val="00751D04"/>
    <w:rsid w:val="00752615"/>
    <w:rsid w:val="00755D2E"/>
    <w:rsid w:val="007606DF"/>
    <w:rsid w:val="007615FE"/>
    <w:rsid w:val="00766B83"/>
    <w:rsid w:val="00766D85"/>
    <w:rsid w:val="00771222"/>
    <w:rsid w:val="00774CA4"/>
    <w:rsid w:val="00780DC1"/>
    <w:rsid w:val="007823BA"/>
    <w:rsid w:val="00791A68"/>
    <w:rsid w:val="007B51FB"/>
    <w:rsid w:val="007C76A5"/>
    <w:rsid w:val="007D44A1"/>
    <w:rsid w:val="007F2D94"/>
    <w:rsid w:val="007F2E56"/>
    <w:rsid w:val="007F394E"/>
    <w:rsid w:val="007F46E9"/>
    <w:rsid w:val="00801168"/>
    <w:rsid w:val="00810E02"/>
    <w:rsid w:val="008171BC"/>
    <w:rsid w:val="00820AD0"/>
    <w:rsid w:val="00822F02"/>
    <w:rsid w:val="00827F0C"/>
    <w:rsid w:val="00833AEE"/>
    <w:rsid w:val="00841C92"/>
    <w:rsid w:val="0085582F"/>
    <w:rsid w:val="008568C3"/>
    <w:rsid w:val="008711C6"/>
    <w:rsid w:val="008729CD"/>
    <w:rsid w:val="00872BFB"/>
    <w:rsid w:val="00873922"/>
    <w:rsid w:val="00876322"/>
    <w:rsid w:val="00877C4B"/>
    <w:rsid w:val="008943E0"/>
    <w:rsid w:val="00894D52"/>
    <w:rsid w:val="008975BD"/>
    <w:rsid w:val="008B1D5D"/>
    <w:rsid w:val="008B5D54"/>
    <w:rsid w:val="008B5F62"/>
    <w:rsid w:val="008B6826"/>
    <w:rsid w:val="008C0663"/>
    <w:rsid w:val="008C2A1E"/>
    <w:rsid w:val="008C4B76"/>
    <w:rsid w:val="008D5AEA"/>
    <w:rsid w:val="008E0238"/>
    <w:rsid w:val="008E158C"/>
    <w:rsid w:val="008F1415"/>
    <w:rsid w:val="008F6388"/>
    <w:rsid w:val="009004CA"/>
    <w:rsid w:val="00902036"/>
    <w:rsid w:val="0090344F"/>
    <w:rsid w:val="00915E56"/>
    <w:rsid w:val="009202CC"/>
    <w:rsid w:val="00925C15"/>
    <w:rsid w:val="009301E5"/>
    <w:rsid w:val="0093043E"/>
    <w:rsid w:val="00937D6B"/>
    <w:rsid w:val="00944755"/>
    <w:rsid w:val="00945823"/>
    <w:rsid w:val="00950D66"/>
    <w:rsid w:val="009549D7"/>
    <w:rsid w:val="00954E3C"/>
    <w:rsid w:val="00963E7C"/>
    <w:rsid w:val="009847AA"/>
    <w:rsid w:val="00984FE5"/>
    <w:rsid w:val="009864D3"/>
    <w:rsid w:val="00990309"/>
    <w:rsid w:val="0099304A"/>
    <w:rsid w:val="009955F5"/>
    <w:rsid w:val="00997D0E"/>
    <w:rsid w:val="009A79E1"/>
    <w:rsid w:val="009B0947"/>
    <w:rsid w:val="009B40B8"/>
    <w:rsid w:val="009C0881"/>
    <w:rsid w:val="009C2502"/>
    <w:rsid w:val="009C47CA"/>
    <w:rsid w:val="009C4881"/>
    <w:rsid w:val="009C4989"/>
    <w:rsid w:val="009C4DAC"/>
    <w:rsid w:val="009D5645"/>
    <w:rsid w:val="009E0981"/>
    <w:rsid w:val="009E0F5C"/>
    <w:rsid w:val="009E3DA8"/>
    <w:rsid w:val="009E65C1"/>
    <w:rsid w:val="009F2062"/>
    <w:rsid w:val="009F4A53"/>
    <w:rsid w:val="009F5D04"/>
    <w:rsid w:val="00A108D6"/>
    <w:rsid w:val="00A2126E"/>
    <w:rsid w:val="00A2201A"/>
    <w:rsid w:val="00A24EEB"/>
    <w:rsid w:val="00A26361"/>
    <w:rsid w:val="00A31938"/>
    <w:rsid w:val="00A31A70"/>
    <w:rsid w:val="00A40743"/>
    <w:rsid w:val="00A451DC"/>
    <w:rsid w:val="00A45C18"/>
    <w:rsid w:val="00A469AC"/>
    <w:rsid w:val="00A469C3"/>
    <w:rsid w:val="00A46D01"/>
    <w:rsid w:val="00A47227"/>
    <w:rsid w:val="00A6092F"/>
    <w:rsid w:val="00A67086"/>
    <w:rsid w:val="00A71F36"/>
    <w:rsid w:val="00A80E31"/>
    <w:rsid w:val="00A81F07"/>
    <w:rsid w:val="00A827C6"/>
    <w:rsid w:val="00A8492D"/>
    <w:rsid w:val="00A8720A"/>
    <w:rsid w:val="00A94F51"/>
    <w:rsid w:val="00A953F0"/>
    <w:rsid w:val="00AA0CC1"/>
    <w:rsid w:val="00AB4BC2"/>
    <w:rsid w:val="00AC2AD9"/>
    <w:rsid w:val="00AC606B"/>
    <w:rsid w:val="00AD2F36"/>
    <w:rsid w:val="00AE328D"/>
    <w:rsid w:val="00AE5B6D"/>
    <w:rsid w:val="00AF0247"/>
    <w:rsid w:val="00AF18AE"/>
    <w:rsid w:val="00AF4296"/>
    <w:rsid w:val="00AF5462"/>
    <w:rsid w:val="00AF61BB"/>
    <w:rsid w:val="00AF754E"/>
    <w:rsid w:val="00B01902"/>
    <w:rsid w:val="00B0197E"/>
    <w:rsid w:val="00B31AE2"/>
    <w:rsid w:val="00B31CC8"/>
    <w:rsid w:val="00B32158"/>
    <w:rsid w:val="00B54EA2"/>
    <w:rsid w:val="00B55735"/>
    <w:rsid w:val="00B608AC"/>
    <w:rsid w:val="00B61FC1"/>
    <w:rsid w:val="00B64B9E"/>
    <w:rsid w:val="00B66C00"/>
    <w:rsid w:val="00B71355"/>
    <w:rsid w:val="00B735D4"/>
    <w:rsid w:val="00B76700"/>
    <w:rsid w:val="00B769E5"/>
    <w:rsid w:val="00B7783A"/>
    <w:rsid w:val="00B84664"/>
    <w:rsid w:val="00B84905"/>
    <w:rsid w:val="00B90D21"/>
    <w:rsid w:val="00B91400"/>
    <w:rsid w:val="00B94A93"/>
    <w:rsid w:val="00BA1B38"/>
    <w:rsid w:val="00BA6B1A"/>
    <w:rsid w:val="00BB31DF"/>
    <w:rsid w:val="00BB46C2"/>
    <w:rsid w:val="00BB74B6"/>
    <w:rsid w:val="00BC1995"/>
    <w:rsid w:val="00BC29BA"/>
    <w:rsid w:val="00BC3D49"/>
    <w:rsid w:val="00BC6AC2"/>
    <w:rsid w:val="00BC71AF"/>
    <w:rsid w:val="00BC7BBC"/>
    <w:rsid w:val="00BD462D"/>
    <w:rsid w:val="00BD4F86"/>
    <w:rsid w:val="00BE094B"/>
    <w:rsid w:val="00BE2226"/>
    <w:rsid w:val="00BE57E2"/>
    <w:rsid w:val="00C17F5D"/>
    <w:rsid w:val="00C22D44"/>
    <w:rsid w:val="00C32380"/>
    <w:rsid w:val="00C32D92"/>
    <w:rsid w:val="00C33083"/>
    <w:rsid w:val="00C3526C"/>
    <w:rsid w:val="00C37DA9"/>
    <w:rsid w:val="00C41F10"/>
    <w:rsid w:val="00C44063"/>
    <w:rsid w:val="00C50DC2"/>
    <w:rsid w:val="00C54C15"/>
    <w:rsid w:val="00C553B7"/>
    <w:rsid w:val="00C55802"/>
    <w:rsid w:val="00C6066C"/>
    <w:rsid w:val="00C66C0B"/>
    <w:rsid w:val="00C67048"/>
    <w:rsid w:val="00C67F43"/>
    <w:rsid w:val="00C747BB"/>
    <w:rsid w:val="00C76451"/>
    <w:rsid w:val="00C77CD9"/>
    <w:rsid w:val="00C811EA"/>
    <w:rsid w:val="00C90B13"/>
    <w:rsid w:val="00C91546"/>
    <w:rsid w:val="00CA0625"/>
    <w:rsid w:val="00CA1A5B"/>
    <w:rsid w:val="00CB2063"/>
    <w:rsid w:val="00CC0F98"/>
    <w:rsid w:val="00CC2B99"/>
    <w:rsid w:val="00CC66D1"/>
    <w:rsid w:val="00CD0228"/>
    <w:rsid w:val="00CD2AA4"/>
    <w:rsid w:val="00CD5767"/>
    <w:rsid w:val="00CE06F0"/>
    <w:rsid w:val="00CE66B6"/>
    <w:rsid w:val="00CE7DA4"/>
    <w:rsid w:val="00D002F7"/>
    <w:rsid w:val="00D03033"/>
    <w:rsid w:val="00D04764"/>
    <w:rsid w:val="00D078CB"/>
    <w:rsid w:val="00D139C6"/>
    <w:rsid w:val="00D13EA1"/>
    <w:rsid w:val="00D16F0B"/>
    <w:rsid w:val="00D22F86"/>
    <w:rsid w:val="00D2452E"/>
    <w:rsid w:val="00D245D1"/>
    <w:rsid w:val="00D342DE"/>
    <w:rsid w:val="00D35F53"/>
    <w:rsid w:val="00D42969"/>
    <w:rsid w:val="00D4303D"/>
    <w:rsid w:val="00D4361D"/>
    <w:rsid w:val="00D47A00"/>
    <w:rsid w:val="00D66587"/>
    <w:rsid w:val="00D771CA"/>
    <w:rsid w:val="00D81C06"/>
    <w:rsid w:val="00D86CCE"/>
    <w:rsid w:val="00D86D58"/>
    <w:rsid w:val="00D9255A"/>
    <w:rsid w:val="00D92C54"/>
    <w:rsid w:val="00D952DF"/>
    <w:rsid w:val="00D95639"/>
    <w:rsid w:val="00D95A4F"/>
    <w:rsid w:val="00DA01F3"/>
    <w:rsid w:val="00DB3E8C"/>
    <w:rsid w:val="00DB431C"/>
    <w:rsid w:val="00DB6833"/>
    <w:rsid w:val="00DC1C92"/>
    <w:rsid w:val="00DC1EE8"/>
    <w:rsid w:val="00DC2B4C"/>
    <w:rsid w:val="00DC57CC"/>
    <w:rsid w:val="00DC5D9B"/>
    <w:rsid w:val="00DC694B"/>
    <w:rsid w:val="00DC74EE"/>
    <w:rsid w:val="00DD0533"/>
    <w:rsid w:val="00DD2677"/>
    <w:rsid w:val="00DD3585"/>
    <w:rsid w:val="00DE232F"/>
    <w:rsid w:val="00DE7B52"/>
    <w:rsid w:val="00DF06AA"/>
    <w:rsid w:val="00DF59C6"/>
    <w:rsid w:val="00DF6EA6"/>
    <w:rsid w:val="00DF767D"/>
    <w:rsid w:val="00E03D62"/>
    <w:rsid w:val="00E07E7F"/>
    <w:rsid w:val="00E10C76"/>
    <w:rsid w:val="00E14070"/>
    <w:rsid w:val="00E15071"/>
    <w:rsid w:val="00E2057A"/>
    <w:rsid w:val="00E211AE"/>
    <w:rsid w:val="00E27D06"/>
    <w:rsid w:val="00E307BA"/>
    <w:rsid w:val="00E31D35"/>
    <w:rsid w:val="00E45E04"/>
    <w:rsid w:val="00E52806"/>
    <w:rsid w:val="00E53053"/>
    <w:rsid w:val="00E55517"/>
    <w:rsid w:val="00E60CF6"/>
    <w:rsid w:val="00E67EA5"/>
    <w:rsid w:val="00E73633"/>
    <w:rsid w:val="00E80D2C"/>
    <w:rsid w:val="00E878EA"/>
    <w:rsid w:val="00E9423C"/>
    <w:rsid w:val="00E94A8B"/>
    <w:rsid w:val="00E967D3"/>
    <w:rsid w:val="00EA5966"/>
    <w:rsid w:val="00EB13F1"/>
    <w:rsid w:val="00EB2187"/>
    <w:rsid w:val="00EB5546"/>
    <w:rsid w:val="00EC0646"/>
    <w:rsid w:val="00EC2D48"/>
    <w:rsid w:val="00EC309D"/>
    <w:rsid w:val="00EC774B"/>
    <w:rsid w:val="00ED29E7"/>
    <w:rsid w:val="00ED432A"/>
    <w:rsid w:val="00ED5674"/>
    <w:rsid w:val="00EE3C86"/>
    <w:rsid w:val="00EF1DF1"/>
    <w:rsid w:val="00F00226"/>
    <w:rsid w:val="00F032DE"/>
    <w:rsid w:val="00F106E7"/>
    <w:rsid w:val="00F12F95"/>
    <w:rsid w:val="00F16FD3"/>
    <w:rsid w:val="00F226E8"/>
    <w:rsid w:val="00F23F21"/>
    <w:rsid w:val="00F24A92"/>
    <w:rsid w:val="00F255A5"/>
    <w:rsid w:val="00F32714"/>
    <w:rsid w:val="00F33706"/>
    <w:rsid w:val="00F37458"/>
    <w:rsid w:val="00F375C7"/>
    <w:rsid w:val="00F4078A"/>
    <w:rsid w:val="00F43B04"/>
    <w:rsid w:val="00F454F5"/>
    <w:rsid w:val="00F5299D"/>
    <w:rsid w:val="00F548DB"/>
    <w:rsid w:val="00F56C86"/>
    <w:rsid w:val="00F81006"/>
    <w:rsid w:val="00F85810"/>
    <w:rsid w:val="00F90EEA"/>
    <w:rsid w:val="00F92575"/>
    <w:rsid w:val="00F97D2A"/>
    <w:rsid w:val="00FA2649"/>
    <w:rsid w:val="00FA36ED"/>
    <w:rsid w:val="00FA52B7"/>
    <w:rsid w:val="00FA62C4"/>
    <w:rsid w:val="00FA729C"/>
    <w:rsid w:val="00FB3E9C"/>
    <w:rsid w:val="00FB5BE0"/>
    <w:rsid w:val="00FC208D"/>
    <w:rsid w:val="00FC3C7F"/>
    <w:rsid w:val="00FD2004"/>
    <w:rsid w:val="00FE0398"/>
    <w:rsid w:val="00FF102E"/>
    <w:rsid w:val="00FF3776"/>
    <w:rsid w:val="00FF40BC"/>
    <w:rsid w:val="023E009B"/>
    <w:rsid w:val="0442BC14"/>
    <w:rsid w:val="07635BAC"/>
    <w:rsid w:val="151B5959"/>
    <w:rsid w:val="236D04EF"/>
    <w:rsid w:val="46AB6621"/>
    <w:rsid w:val="47DDBD29"/>
    <w:rsid w:val="49C67159"/>
    <w:rsid w:val="4C3AEC65"/>
    <w:rsid w:val="5A3C8B4B"/>
    <w:rsid w:val="5ACC0A8E"/>
    <w:rsid w:val="60CAE371"/>
    <w:rsid w:val="68A5C0DF"/>
    <w:rsid w:val="6A12DBCB"/>
    <w:rsid w:val="6A8F3572"/>
    <w:rsid w:val="718FD355"/>
    <w:rsid w:val="7AFF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FE1770"/>
  <w15:chartTrackingRefBased/>
  <w15:docId w15:val="{AB1E5239-A3EC-45C8-9165-E49B51AD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3E8"/>
    <w:rPr>
      <w:rFonts w:ascii="Times New Roman" w:hAnsi="Times New Roman"/>
      <w:sz w:val="24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4A13E8"/>
    <w:pPr>
      <w:numPr>
        <w:numId w:val="2"/>
      </w:numPr>
      <w:spacing w:after="24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13E8"/>
    <w:pPr>
      <w:spacing w:after="0" w:line="240" w:lineRule="auto"/>
      <w:jc w:val="center"/>
      <w:outlineLvl w:val="1"/>
    </w:pPr>
    <w:rPr>
      <w:b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13E8"/>
    <w:pPr>
      <w:spacing w:after="0" w:line="240" w:lineRule="auto"/>
      <w:jc w:val="center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13E8"/>
    <w:pPr>
      <w:spacing w:after="0" w:line="240" w:lineRule="auto"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2Char">
    <w:name w:val="Heading 2 Char"/>
    <w:basedOn w:val="DefaultParagraphFont"/>
    <w:link w:val="Heading2"/>
    <w:uiPriority w:val="9"/>
    <w:rsid w:val="004A13E8"/>
    <w:rPr>
      <w:rFonts w:ascii="Times New Roman" w:hAnsi="Times New Roman"/>
      <w:b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4A13E8"/>
    <w:rPr>
      <w:rFonts w:ascii="Times New Roman" w:hAnsi="Times New Roman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4A13E8"/>
    <w:rPr>
      <w:rFonts w:ascii="Times New Roman" w:hAnsi="Times New Roman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3E8"/>
    <w:pPr>
      <w:spacing w:after="0" w:line="240" w:lineRule="auto"/>
    </w:pPr>
  </w:style>
  <w:style w:type="character" w:customStyle="1" w:styleId="SubtitleChar">
    <w:name w:val="Subtitle Char"/>
    <w:basedOn w:val="DefaultParagraphFont"/>
    <w:link w:val="Subtitle"/>
    <w:uiPriority w:val="11"/>
    <w:rsid w:val="004A13E8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4A13E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A13E8"/>
    <w:rPr>
      <w:rFonts w:ascii="Times New Roman" w:hAnsi="Times New Roman"/>
      <w:b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4A13E8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4A13E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A13E8"/>
    <w:pPr>
      <w:spacing w:after="100"/>
      <w:ind w:left="480"/>
    </w:pPr>
  </w:style>
  <w:style w:type="paragraph" w:styleId="ListParagraph">
    <w:name w:val="List Paragraph"/>
    <w:basedOn w:val="Normal"/>
    <w:link w:val="ListParagraphChar"/>
    <w:uiPriority w:val="34"/>
    <w:qFormat/>
    <w:rsid w:val="004A13E8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4A13E8"/>
    <w:pPr>
      <w:numPr>
        <w:numId w:val="1"/>
      </w:numPr>
      <w:ind w:left="360"/>
    </w:pPr>
  </w:style>
  <w:style w:type="paragraph" w:styleId="TOC1">
    <w:name w:val="toc 1"/>
    <w:basedOn w:val="Normal"/>
    <w:next w:val="Normal"/>
    <w:autoRedefine/>
    <w:uiPriority w:val="39"/>
    <w:unhideWhenUsed/>
    <w:rsid w:val="004A13E8"/>
    <w:pPr>
      <w:spacing w:after="10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A13E8"/>
    <w:rPr>
      <w:rFonts w:ascii="Times New Roman" w:hAnsi="Times New Roman"/>
      <w:sz w:val="24"/>
    </w:rPr>
  </w:style>
  <w:style w:type="character" w:customStyle="1" w:styleId="BulletsChar">
    <w:name w:val="Bullets Char"/>
    <w:basedOn w:val="ListParagraphChar"/>
    <w:link w:val="Bullets"/>
    <w:rsid w:val="004A13E8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4A13E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B0947"/>
    <w:rPr>
      <w:color w:val="800080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9A79E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D03033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semiHidden/>
    <w:unhideWhenUsed/>
    <w:rsid w:val="00100E4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00E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0E40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E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E40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E40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5D9B"/>
    <w:rPr>
      <w:color w:val="605E5C"/>
      <w:shd w:val="clear" w:color="auto" w:fill="E1DFDD"/>
    </w:rPr>
  </w:style>
  <w:style w:type="paragraph" w:customStyle="1" w:styleId="Default">
    <w:name w:val="Default"/>
    <w:rsid w:val="00D95A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010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3C13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Style0">
    <w:name w:val="Style0"/>
    <w:rsid w:val="007606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10C76"/>
    <w:pPr>
      <w:spacing w:after="0" w:line="240" w:lineRule="auto"/>
    </w:pPr>
    <w:rPr>
      <w:rFonts w:cs="Times New Roman"/>
      <w:szCs w:val="24"/>
    </w:rPr>
  </w:style>
  <w:style w:type="character" w:styleId="Emphasis">
    <w:name w:val="Emphasis"/>
    <w:basedOn w:val="DefaultParagraphFont"/>
    <w:uiPriority w:val="20"/>
    <w:qFormat/>
    <w:rsid w:val="007F2E56"/>
    <w:rPr>
      <w:b/>
      <w:bCs/>
      <w:i w:val="0"/>
      <w:iCs w:val="0"/>
    </w:rPr>
  </w:style>
  <w:style w:type="paragraph" w:customStyle="1" w:styleId="TableHeaders">
    <w:name w:val="Table Headers"/>
    <w:basedOn w:val="Normal"/>
    <w:rsid w:val="00876322"/>
    <w:pPr>
      <w:keepNext/>
      <w:widowControl w:val="0"/>
      <w:autoSpaceDE w:val="0"/>
      <w:autoSpaceDN w:val="0"/>
      <w:adjustRightInd w:val="0"/>
      <w:spacing w:before="20" w:after="20"/>
      <w:jc w:val="center"/>
    </w:pPr>
    <w:rPr>
      <w:rFonts w:ascii="Times New Roman Bold" w:eastAsia="Times New Roman" w:hAnsi="Times New Roman Bold" w:cs="Arial"/>
      <w:b/>
      <w:snapToGrid w:val="0"/>
      <w:sz w:val="20"/>
      <w:szCs w:val="20"/>
      <w:lang w:bidi="en-US"/>
    </w:rPr>
  </w:style>
  <w:style w:type="paragraph" w:customStyle="1" w:styleId="TableText">
    <w:name w:val="TableText"/>
    <w:basedOn w:val="Normal"/>
    <w:qFormat/>
    <w:rsid w:val="00876322"/>
    <w:pPr>
      <w:widowControl w:val="0"/>
      <w:autoSpaceDE w:val="0"/>
      <w:autoSpaceDN w:val="0"/>
      <w:adjustRightInd w:val="0"/>
      <w:spacing w:after="0" w:line="240" w:lineRule="auto"/>
    </w:pPr>
    <w:rPr>
      <w:rFonts w:asciiTheme="majorBidi" w:eastAsia="Times New Roman" w:hAnsiTheme="majorBidi" w:cstheme="majorBidi"/>
      <w:color w:val="000000" w:themeColor="text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2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0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44EB95DC9E94CB0718560C16963E0" ma:contentTypeVersion="2" ma:contentTypeDescription="Create a new document." ma:contentTypeScope="" ma:versionID="6e07c7384af73e789017f837bd04f475">
  <xsd:schema xmlns:xsd="http://www.w3.org/2001/XMLSchema" xmlns:xs="http://www.w3.org/2001/XMLSchema" xmlns:p="http://schemas.microsoft.com/office/2006/metadata/properties" xmlns:ns2="934ff4d0-098a-467e-a6e4-07af1c46bfd8" targetNamespace="http://schemas.microsoft.com/office/2006/metadata/properties" ma:root="true" ma:fieldsID="e47d0a239657b94a0548443964e3f6d6" ns2:_="">
    <xsd:import namespace="934ff4d0-098a-467e-a6e4-07af1c46bf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ff4d0-098a-467e-a6e4-07af1c46b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D9B83-E085-492C-9D70-A98FCD5277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99D00B-6ACA-402F-AA01-FF93B914B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ff4d0-098a-467e-a6e4-07af1c46bf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09D13A-A765-489B-AC65-A1B5B3A55FEF}">
  <ds:schemaRefs>
    <ds:schemaRef ds:uri="http://purl.org/dc/elements/1.1/"/>
    <ds:schemaRef ds:uri="http://schemas.microsoft.com/office/2006/metadata/properties"/>
    <ds:schemaRef ds:uri="934ff4d0-098a-467e-a6e4-07af1c46bfd8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984CA08-7EA7-4102-8AF4-B725C019C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1751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Samuel, Lee (CDC/OID/NCEZID)</dc:creator>
  <cp:keywords/>
  <dc:description/>
  <cp:lastModifiedBy>Graham, Carlos (SAMHSA/OA)</cp:lastModifiedBy>
  <cp:revision>3</cp:revision>
  <dcterms:created xsi:type="dcterms:W3CDTF">2020-09-29T14:28:00Z</dcterms:created>
  <dcterms:modified xsi:type="dcterms:W3CDTF">2020-09-29T14:31:00Z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0x01010076744EB95DC9E94CB0718560C16963E0</vt:lpwstr>
  </property>
  <property fmtid="{D5CDD505-2E9C-101B-9397-08002B2CF9AE}" pid="3" name="_dlc_DocIdItemGuid">
    <vt:lpwstr>56ba26d7-ed93-4a08-9b28-f3085665eb2b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SiteId">
    <vt:lpwstr>9ce70869-60db-44fd-abe8-d2767077fc8f</vt:lpwstr>
  </property>
  <property fmtid="{D5CDD505-2E9C-101B-9397-08002B2CF9AE}" pid="6" name="MSIP_Label_7b94a7b8-f06c-4dfe-bdcc-9b548fd58c31_Owner">
    <vt:lpwstr>ohj2@cdc.gov</vt:lpwstr>
  </property>
  <property fmtid="{D5CDD505-2E9C-101B-9397-08002B2CF9AE}" pid="7" name="MSIP_Label_7b94a7b8-f06c-4dfe-bdcc-9b548fd58c31_SetDate">
    <vt:lpwstr>2020-04-30T11:24:37.5937221Z</vt:lpwstr>
  </property>
  <property fmtid="{D5CDD505-2E9C-101B-9397-08002B2CF9AE}" pid="8" name="MSIP_Label_7b94a7b8-f06c-4dfe-bdcc-9b548fd58c31_Name">
    <vt:lpwstr>General</vt:lpwstr>
  </property>
  <property fmtid="{D5CDD505-2E9C-101B-9397-08002B2CF9AE}" pid="9" name="MSIP_Label_7b94a7b8-f06c-4dfe-bdcc-9b548fd58c31_Application">
    <vt:lpwstr>Microsoft Azure Information Protection</vt:lpwstr>
  </property>
  <property fmtid="{D5CDD505-2E9C-101B-9397-08002B2CF9AE}" pid="10" name="MSIP_Label_7b94a7b8-f06c-4dfe-bdcc-9b548fd58c31_ActionId">
    <vt:lpwstr>68c4051b-20ef-45cb-a448-5f0c8f7b70ba</vt:lpwstr>
  </property>
  <property fmtid="{D5CDD505-2E9C-101B-9397-08002B2CF9AE}" pid="11" name="MSIP_Label_7b94a7b8-f06c-4dfe-bdcc-9b548fd58c31_Extended_MSFT_Method">
    <vt:lpwstr>Manual</vt:lpwstr>
  </property>
  <property fmtid="{D5CDD505-2E9C-101B-9397-08002B2CF9AE}" pid="12" name="Sensitivity">
    <vt:lpwstr>General</vt:lpwstr>
  </property>
</Properties>
</file>