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596B" w:rsidR="00FC633E" w:rsidP="00FC633E" w:rsidRDefault="00FC633E">
      <w:pPr>
        <w:jc w:val="center"/>
        <w:rPr>
          <w:i/>
          <w:sz w:val="28"/>
          <w:szCs w:val="28"/>
        </w:rPr>
      </w:pPr>
      <w:bookmarkStart w:name="_GoBack" w:id="0"/>
      <w:bookmarkEnd w:id="0"/>
    </w:p>
    <w:p w:rsidRPr="00FC633E" w:rsidR="00FC633E" w:rsidP="005453AD" w:rsidRDefault="00FC633E">
      <w:pPr>
        <w:jc w:val="center"/>
        <w:rPr>
          <w:sz w:val="28"/>
          <w:szCs w:val="28"/>
        </w:rPr>
      </w:pPr>
    </w:p>
    <w:p w:rsidR="00FC633E" w:rsidP="005453AD" w:rsidRDefault="00FC633E">
      <w:pPr>
        <w:jc w:val="center"/>
        <w:rPr>
          <w:b/>
          <w:sz w:val="28"/>
          <w:szCs w:val="28"/>
        </w:rPr>
      </w:pPr>
    </w:p>
    <w:p w:rsidRPr="00D35056" w:rsidR="005453AD" w:rsidP="005453AD" w:rsidRDefault="005453AD">
      <w:pPr>
        <w:jc w:val="center"/>
        <w:rPr>
          <w:b/>
          <w:sz w:val="28"/>
          <w:szCs w:val="28"/>
        </w:rPr>
      </w:pPr>
      <w:r w:rsidRPr="00D35056">
        <w:rPr>
          <w:b/>
          <w:sz w:val="28"/>
          <w:szCs w:val="28"/>
        </w:rPr>
        <w:t>SUPPORTING STATEMENT</w:t>
      </w:r>
    </w:p>
    <w:p w:rsidRPr="00D35056" w:rsidR="00FC633E" w:rsidP="005453AD" w:rsidRDefault="00FC633E">
      <w:pPr>
        <w:jc w:val="center"/>
        <w:rPr>
          <w:b/>
          <w:sz w:val="28"/>
          <w:szCs w:val="28"/>
        </w:rPr>
      </w:pPr>
    </w:p>
    <w:p w:rsidRPr="00D35056" w:rsidR="005453AD" w:rsidP="005453AD" w:rsidRDefault="005453AD">
      <w:pPr>
        <w:jc w:val="center"/>
        <w:rPr>
          <w:sz w:val="28"/>
          <w:szCs w:val="28"/>
        </w:rPr>
      </w:pPr>
      <w:r w:rsidRPr="00D35056">
        <w:rPr>
          <w:b/>
          <w:sz w:val="28"/>
          <w:szCs w:val="28"/>
        </w:rPr>
        <w:t>Part B</w:t>
      </w:r>
    </w:p>
    <w:p w:rsidRPr="00D35056" w:rsidR="005453AD" w:rsidP="005453AD" w:rsidRDefault="005453AD">
      <w:pPr>
        <w:jc w:val="center"/>
        <w:rPr>
          <w:sz w:val="28"/>
          <w:szCs w:val="28"/>
        </w:rPr>
      </w:pPr>
    </w:p>
    <w:p w:rsidRPr="00D35056" w:rsidR="005453AD" w:rsidP="005453AD" w:rsidRDefault="005453AD">
      <w:pPr>
        <w:jc w:val="center"/>
        <w:rPr>
          <w:sz w:val="28"/>
          <w:szCs w:val="28"/>
        </w:rPr>
      </w:pPr>
    </w:p>
    <w:p w:rsidRPr="00D35056" w:rsidR="005453AD" w:rsidP="005453AD" w:rsidRDefault="005453AD">
      <w:pPr>
        <w:jc w:val="center"/>
        <w:rPr>
          <w:sz w:val="28"/>
          <w:szCs w:val="28"/>
        </w:rPr>
      </w:pPr>
    </w:p>
    <w:p w:rsidRPr="00D35056" w:rsidR="005453AD" w:rsidP="005453AD" w:rsidRDefault="005453AD">
      <w:pPr>
        <w:jc w:val="center"/>
        <w:rPr>
          <w:sz w:val="28"/>
          <w:szCs w:val="28"/>
        </w:rPr>
      </w:pPr>
    </w:p>
    <w:p w:rsidRPr="00D35056" w:rsidR="005453AD" w:rsidP="005453AD" w:rsidRDefault="005453AD">
      <w:pPr>
        <w:jc w:val="center"/>
        <w:rPr>
          <w:sz w:val="28"/>
          <w:szCs w:val="28"/>
        </w:rPr>
      </w:pPr>
    </w:p>
    <w:p w:rsidRPr="00D35056" w:rsidR="005453AD" w:rsidP="005453AD" w:rsidRDefault="005453AD">
      <w:pPr>
        <w:jc w:val="center"/>
        <w:rPr>
          <w:sz w:val="28"/>
          <w:szCs w:val="28"/>
        </w:rPr>
      </w:pPr>
    </w:p>
    <w:p w:rsidRPr="00D35056" w:rsidR="005453AD" w:rsidP="005453AD" w:rsidRDefault="0076082A">
      <w:pPr>
        <w:jc w:val="center"/>
        <w:rPr>
          <w:sz w:val="28"/>
          <w:szCs w:val="28"/>
        </w:rPr>
      </w:pPr>
      <w:r w:rsidRPr="00D35056">
        <w:rPr>
          <w:color w:val="000000"/>
          <w:sz w:val="28"/>
          <w:szCs w:val="28"/>
        </w:rPr>
        <w:t xml:space="preserve">AHRQ Safety Program for </w:t>
      </w:r>
      <w:r w:rsidRPr="00D35056" w:rsidR="0014143E">
        <w:rPr>
          <w:color w:val="000000"/>
          <w:sz w:val="28"/>
          <w:szCs w:val="28"/>
        </w:rPr>
        <w:t xml:space="preserve">Improving </w:t>
      </w:r>
      <w:r w:rsidRPr="00D35056" w:rsidR="00C015CD">
        <w:rPr>
          <w:color w:val="000000"/>
          <w:sz w:val="28"/>
          <w:szCs w:val="28"/>
        </w:rPr>
        <w:t>Surgical Care and Recovery</w:t>
      </w:r>
      <w:r w:rsidRPr="00D35056" w:rsidDel="0076082A">
        <w:rPr>
          <w:b/>
          <w:i/>
          <w:sz w:val="28"/>
          <w:szCs w:val="28"/>
        </w:rPr>
        <w:t xml:space="preserve"> </w:t>
      </w:r>
    </w:p>
    <w:p w:rsidRPr="00D35056" w:rsidR="005453AD" w:rsidP="005453AD" w:rsidRDefault="005453AD">
      <w:pPr>
        <w:jc w:val="center"/>
        <w:rPr>
          <w:sz w:val="28"/>
          <w:szCs w:val="28"/>
        </w:rPr>
      </w:pPr>
    </w:p>
    <w:p w:rsidRPr="00D35056" w:rsidR="005453AD" w:rsidP="005453AD" w:rsidRDefault="005453AD">
      <w:pPr>
        <w:jc w:val="center"/>
        <w:rPr>
          <w:sz w:val="28"/>
          <w:szCs w:val="28"/>
        </w:rPr>
      </w:pPr>
    </w:p>
    <w:p w:rsidRPr="00D35056" w:rsidR="005453AD" w:rsidP="005453AD" w:rsidRDefault="005453AD">
      <w:pPr>
        <w:jc w:val="center"/>
        <w:rPr>
          <w:sz w:val="28"/>
          <w:szCs w:val="28"/>
        </w:rPr>
      </w:pPr>
    </w:p>
    <w:p w:rsidRPr="00E22977" w:rsidR="00AB44CC" w:rsidP="00AB44CC" w:rsidRDefault="00AB44CC">
      <w:pPr>
        <w:jc w:val="center"/>
        <w:rPr>
          <w:i/>
          <w:color w:val="000000"/>
          <w:sz w:val="28"/>
          <w:szCs w:val="28"/>
        </w:rPr>
      </w:pPr>
      <w:r w:rsidRPr="00D35056">
        <w:rPr>
          <w:b/>
          <w:color w:val="000000"/>
          <w:sz w:val="28"/>
          <w:szCs w:val="28"/>
        </w:rPr>
        <w:t xml:space="preserve">Version: </w:t>
      </w:r>
      <w:r w:rsidRPr="00E22977" w:rsidR="00D76118">
        <w:rPr>
          <w:color w:val="000000"/>
          <w:sz w:val="28"/>
          <w:szCs w:val="28"/>
        </w:rPr>
        <w:t>8/</w:t>
      </w:r>
      <w:r w:rsidRPr="00E22977" w:rsidR="00182A50">
        <w:rPr>
          <w:color w:val="000000"/>
          <w:sz w:val="28"/>
          <w:szCs w:val="28"/>
        </w:rPr>
        <w:t>10</w:t>
      </w:r>
      <w:r w:rsidRPr="00E22977" w:rsidR="00AD7002">
        <w:rPr>
          <w:color w:val="000000"/>
          <w:sz w:val="28"/>
          <w:szCs w:val="28"/>
        </w:rPr>
        <w:t>/2020</w:t>
      </w:r>
    </w:p>
    <w:p w:rsidRPr="00E22977" w:rsidR="005453AD" w:rsidP="005453AD" w:rsidRDefault="005453AD">
      <w:pPr>
        <w:jc w:val="center"/>
        <w:rPr>
          <w:sz w:val="28"/>
          <w:szCs w:val="28"/>
        </w:rPr>
      </w:pPr>
    </w:p>
    <w:p w:rsidRPr="00E22977" w:rsidR="005453AD" w:rsidP="005453AD" w:rsidRDefault="005453AD">
      <w:pPr>
        <w:jc w:val="center"/>
        <w:rPr>
          <w:sz w:val="28"/>
          <w:szCs w:val="28"/>
        </w:rPr>
      </w:pPr>
    </w:p>
    <w:p w:rsidRPr="00E22977" w:rsidR="005453AD" w:rsidP="005453AD" w:rsidRDefault="005453AD">
      <w:pPr>
        <w:jc w:val="center"/>
        <w:rPr>
          <w:sz w:val="28"/>
          <w:szCs w:val="28"/>
        </w:rPr>
      </w:pPr>
    </w:p>
    <w:p w:rsidRPr="00E22977" w:rsidR="005453AD" w:rsidP="005453AD" w:rsidRDefault="005453AD">
      <w:pPr>
        <w:jc w:val="center"/>
        <w:rPr>
          <w:sz w:val="28"/>
          <w:szCs w:val="28"/>
        </w:rPr>
      </w:pPr>
    </w:p>
    <w:p w:rsidRPr="00E22977" w:rsidR="005453AD" w:rsidP="005453AD" w:rsidRDefault="005453AD">
      <w:pPr>
        <w:jc w:val="center"/>
        <w:rPr>
          <w:sz w:val="28"/>
          <w:szCs w:val="28"/>
        </w:rPr>
      </w:pPr>
    </w:p>
    <w:p w:rsidRPr="00E22977" w:rsidR="005453AD" w:rsidP="005453AD" w:rsidRDefault="005453AD">
      <w:pPr>
        <w:jc w:val="center"/>
        <w:rPr>
          <w:sz w:val="28"/>
          <w:szCs w:val="28"/>
        </w:rPr>
      </w:pPr>
    </w:p>
    <w:p w:rsidRPr="00E22977" w:rsidR="005453AD" w:rsidP="005453AD" w:rsidRDefault="005453AD">
      <w:pPr>
        <w:jc w:val="center"/>
        <w:rPr>
          <w:sz w:val="28"/>
          <w:szCs w:val="28"/>
        </w:rPr>
      </w:pPr>
    </w:p>
    <w:p w:rsidRPr="00E22977" w:rsidR="005453AD" w:rsidP="005453AD" w:rsidRDefault="005453AD">
      <w:pPr>
        <w:jc w:val="center"/>
        <w:rPr>
          <w:sz w:val="28"/>
          <w:szCs w:val="28"/>
        </w:rPr>
      </w:pPr>
    </w:p>
    <w:p w:rsidRPr="00E22977" w:rsidR="005453AD" w:rsidP="005453AD" w:rsidRDefault="005453AD">
      <w:pPr>
        <w:jc w:val="center"/>
        <w:rPr>
          <w:sz w:val="28"/>
          <w:szCs w:val="28"/>
        </w:rPr>
      </w:pPr>
      <w:r w:rsidRPr="00E22977">
        <w:rPr>
          <w:sz w:val="28"/>
          <w:szCs w:val="28"/>
        </w:rPr>
        <w:t>Agency of Healthcare Research and Quality (AHRQ)</w:t>
      </w:r>
    </w:p>
    <w:p w:rsidRPr="00E22977" w:rsidR="005453AD" w:rsidP="005453AD" w:rsidRDefault="005453AD">
      <w:pPr>
        <w:rPr>
          <w:sz w:val="28"/>
          <w:szCs w:val="28"/>
        </w:rPr>
      </w:pPr>
    </w:p>
    <w:p w:rsidRPr="00E22977" w:rsidR="005453AD" w:rsidP="005453AD" w:rsidRDefault="005453AD">
      <w:pPr>
        <w:rPr>
          <w:sz w:val="28"/>
          <w:szCs w:val="28"/>
        </w:rPr>
      </w:pPr>
    </w:p>
    <w:p w:rsidRPr="00E22977" w:rsidR="005453AD" w:rsidP="005453AD" w:rsidRDefault="005453AD">
      <w:pPr>
        <w:jc w:val="center"/>
        <w:rPr>
          <w:b/>
        </w:rPr>
      </w:pPr>
      <w:r w:rsidRPr="00E22977">
        <w:br w:type="page"/>
      </w:r>
      <w:r w:rsidRPr="00E22977">
        <w:rPr>
          <w:b/>
        </w:rPr>
        <w:lastRenderedPageBreak/>
        <w:t>Table of contents</w:t>
      </w:r>
    </w:p>
    <w:p w:rsidRPr="00E22977" w:rsidR="005453AD" w:rsidP="00FC633E" w:rsidRDefault="005453AD"/>
    <w:p w:rsidRPr="00E22977" w:rsidR="00FC633E" w:rsidP="00FC633E" w:rsidRDefault="00FC633E">
      <w:pPr>
        <w:tabs>
          <w:tab w:val="left" w:leader="dot" w:pos="8460"/>
        </w:tabs>
      </w:pPr>
      <w:r w:rsidRPr="00E22977">
        <w:t>B. Collections of Information Employing Statistical Methods</w:t>
      </w:r>
      <w:r w:rsidRPr="00E22977">
        <w:tab/>
        <w:t>3</w:t>
      </w:r>
    </w:p>
    <w:p w:rsidRPr="00E22977" w:rsidR="00FC633E" w:rsidP="00FC633E" w:rsidRDefault="00FC633E">
      <w:pPr>
        <w:tabs>
          <w:tab w:val="left" w:pos="360"/>
          <w:tab w:val="left" w:leader="dot" w:pos="8460"/>
        </w:tabs>
      </w:pPr>
      <w:r w:rsidRPr="00E22977">
        <w:tab/>
        <w:t>1. Respondent universe and sampling methods</w:t>
      </w:r>
      <w:r w:rsidRPr="00E22977">
        <w:tab/>
      </w:r>
      <w:r w:rsidRPr="00E22977" w:rsidR="00D57BAE">
        <w:t>3</w:t>
      </w:r>
    </w:p>
    <w:p w:rsidRPr="00E22977" w:rsidR="00FC633E" w:rsidP="00FC633E" w:rsidRDefault="00FC633E">
      <w:pPr>
        <w:tabs>
          <w:tab w:val="left" w:pos="360"/>
          <w:tab w:val="left" w:leader="dot" w:pos="8460"/>
        </w:tabs>
      </w:pPr>
      <w:r w:rsidRPr="00E22977">
        <w:tab/>
        <w:t>2. Information Collection Procedures</w:t>
      </w:r>
      <w:r w:rsidRPr="00E22977">
        <w:tab/>
      </w:r>
      <w:r w:rsidRPr="00E22977" w:rsidR="00D57BAE">
        <w:t>6</w:t>
      </w:r>
    </w:p>
    <w:p w:rsidRPr="00E22977" w:rsidR="00FC633E" w:rsidP="00FC633E" w:rsidRDefault="00FC633E">
      <w:pPr>
        <w:tabs>
          <w:tab w:val="left" w:pos="360"/>
          <w:tab w:val="left" w:leader="dot" w:pos="8460"/>
        </w:tabs>
      </w:pPr>
      <w:r w:rsidRPr="00E22977">
        <w:tab/>
        <w:t>3. Methods to Maximize Response Rates</w:t>
      </w:r>
      <w:r w:rsidRPr="00E22977">
        <w:tab/>
      </w:r>
      <w:r w:rsidRPr="00E22977" w:rsidR="00D57BAE">
        <w:t>8</w:t>
      </w:r>
    </w:p>
    <w:p w:rsidRPr="00E22977" w:rsidR="00FC633E" w:rsidP="00FC633E" w:rsidRDefault="00FC633E">
      <w:pPr>
        <w:tabs>
          <w:tab w:val="left" w:pos="360"/>
          <w:tab w:val="left" w:leader="dot" w:pos="8460"/>
        </w:tabs>
      </w:pPr>
      <w:r w:rsidRPr="00E22977">
        <w:tab/>
        <w:t>4. Tests of Procedures</w:t>
      </w:r>
      <w:r w:rsidRPr="00E22977">
        <w:tab/>
      </w:r>
      <w:r w:rsidRPr="00E22977" w:rsidR="00D57BAE">
        <w:t>9</w:t>
      </w:r>
    </w:p>
    <w:p w:rsidRPr="00E22977" w:rsidR="00FC633E" w:rsidP="00FC633E" w:rsidRDefault="00FC633E">
      <w:pPr>
        <w:tabs>
          <w:tab w:val="left" w:pos="360"/>
          <w:tab w:val="left" w:leader="dot" w:pos="8460"/>
        </w:tabs>
      </w:pPr>
      <w:r w:rsidRPr="00E22977">
        <w:tab/>
        <w:t>5. Statistical Consultants</w:t>
      </w:r>
      <w:r w:rsidRPr="00E22977">
        <w:tab/>
      </w:r>
      <w:r w:rsidRPr="00E22977" w:rsidR="00D57BAE">
        <w:t>9</w:t>
      </w:r>
    </w:p>
    <w:p w:rsidRPr="00E22977" w:rsidR="00874B68" w:rsidP="00874B68" w:rsidRDefault="00874B68">
      <w:bookmarkStart w:name="_Toc151782198" w:id="1"/>
      <w:bookmarkStart w:name="_Toc158526234" w:id="2"/>
    </w:p>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Pr="00E22977" w:rsidR="00874B68" w:rsidP="00874B68" w:rsidRDefault="00874B68"/>
    <w:p w:rsidR="00E22977" w:rsidP="005453AD" w:rsidRDefault="00E22977">
      <w:pPr>
        <w:pStyle w:val="Heading1"/>
        <w:rPr>
          <w:sz w:val="24"/>
          <w:szCs w:val="24"/>
        </w:rPr>
      </w:pPr>
    </w:p>
    <w:p w:rsidRPr="00E22977" w:rsidR="005453AD" w:rsidP="005453AD" w:rsidRDefault="005453AD">
      <w:pPr>
        <w:pStyle w:val="Heading1"/>
        <w:rPr>
          <w:sz w:val="24"/>
          <w:szCs w:val="24"/>
        </w:rPr>
      </w:pPr>
      <w:r w:rsidRPr="00E22977">
        <w:rPr>
          <w:sz w:val="24"/>
          <w:szCs w:val="24"/>
        </w:rPr>
        <w:t>B. Collections of Information Employing Statistical Methods</w:t>
      </w:r>
      <w:bookmarkEnd w:id="1"/>
      <w:bookmarkEnd w:id="2"/>
    </w:p>
    <w:p w:rsidRPr="00E22977" w:rsidR="00874B68" w:rsidP="00874B68" w:rsidRDefault="00874B68"/>
    <w:p w:rsidRPr="00E22977" w:rsidR="00C41CB7" w:rsidP="00C41CB7" w:rsidRDefault="00C41CB7">
      <w:pPr>
        <w:pStyle w:val="Heading2"/>
        <w:spacing w:before="0" w:after="0"/>
        <w:rPr>
          <w:sz w:val="24"/>
        </w:rPr>
      </w:pPr>
      <w:bookmarkStart w:name="_Toc151782199" w:id="3"/>
      <w:bookmarkStart w:name="_Toc158526235" w:id="4"/>
      <w:r w:rsidRPr="00E22977">
        <w:rPr>
          <w:sz w:val="24"/>
        </w:rPr>
        <w:t>1. Respondent universe and sampling methods</w:t>
      </w:r>
      <w:bookmarkEnd w:id="3"/>
      <w:bookmarkEnd w:id="4"/>
    </w:p>
    <w:p w:rsidRPr="00E22977" w:rsidR="00E85538" w:rsidP="00DD131B" w:rsidRDefault="00E85538"/>
    <w:p w:rsidRPr="00E22977" w:rsidR="00DD131B" w:rsidP="00DD131B" w:rsidRDefault="000B0DA3">
      <w:pPr>
        <w:rPr>
          <w:bCs/>
          <w:szCs w:val="22"/>
        </w:rPr>
      </w:pPr>
      <w:r w:rsidRPr="00E22977">
        <w:t>The purpo</w:t>
      </w:r>
      <w:r w:rsidRPr="00E22977" w:rsidR="00AB44CC">
        <w:t xml:space="preserve">ses of the surveys and assessments addressed in </w:t>
      </w:r>
      <w:r w:rsidRPr="00E22977" w:rsidR="00E34245">
        <w:t>S</w:t>
      </w:r>
      <w:r w:rsidRPr="00E22977" w:rsidR="00AB44CC">
        <w:t xml:space="preserve">tatement A </w:t>
      </w:r>
      <w:r w:rsidRPr="00E22977">
        <w:t xml:space="preserve">are to provide feedback to participating hospitals to help with their improvement efforts and to compare results before and after project implementation to evaluate the impact of the overall quality improvement effort. </w:t>
      </w:r>
      <w:r w:rsidRPr="00E22977" w:rsidR="000F0D19">
        <w:t xml:space="preserve">Also, they will help the national project team tailor the </w:t>
      </w:r>
      <w:r w:rsidRPr="00E22977" w:rsidR="00A30E55">
        <w:t>technical assistance</w:t>
      </w:r>
      <w:r w:rsidRPr="00E22977" w:rsidR="000F0D19">
        <w:t xml:space="preserve"> to the needs of the hospitals. </w:t>
      </w:r>
      <w:r w:rsidRPr="00E22977" w:rsidR="00DD131B">
        <w:rPr>
          <w:bCs/>
          <w:szCs w:val="22"/>
        </w:rPr>
        <w:t xml:space="preserve">Since the goals of this project are for quality improvement in participating hospitals and not to produce national estimates, purposive sampling of hospitals will be done.  </w:t>
      </w:r>
    </w:p>
    <w:p w:rsidRPr="00E22977" w:rsidR="004A35E0" w:rsidP="000B0DA3" w:rsidRDefault="004A35E0"/>
    <w:p w:rsidRPr="00E22977" w:rsidR="00F71D5B" w:rsidP="00F71D5B" w:rsidRDefault="000B0DA3">
      <w:r w:rsidRPr="00E22977">
        <w:t xml:space="preserve">Surveys will be administered pre and post intervention in a variety of participating hospitals that vary by type and size and geographic location within the U.S. </w:t>
      </w:r>
      <w:r w:rsidRPr="00E22977" w:rsidR="006E2377">
        <w:rPr>
          <w:bCs/>
          <w:szCs w:val="22"/>
        </w:rPr>
        <w:t xml:space="preserve">Data will be collected from 38 hospitals participating in Cohort 3B, as well as any hospital that are recruited to participate in Cohort 4.  </w:t>
      </w:r>
      <w:r w:rsidRPr="00E22977" w:rsidR="003A320C">
        <w:rPr>
          <w:bCs/>
          <w:szCs w:val="22"/>
        </w:rPr>
        <w:t>T</w:t>
      </w:r>
      <w:r w:rsidRPr="00E22977" w:rsidR="003F498C">
        <w:rPr>
          <w:bCs/>
          <w:szCs w:val="22"/>
        </w:rPr>
        <w:t>he types of surger</w:t>
      </w:r>
      <w:r w:rsidRPr="00E22977" w:rsidR="003A320C">
        <w:rPr>
          <w:bCs/>
          <w:szCs w:val="22"/>
        </w:rPr>
        <w:t>y will vary by cohort and a</w:t>
      </w:r>
      <w:r w:rsidRPr="00E22977" w:rsidR="003F498C">
        <w:rPr>
          <w:bCs/>
          <w:szCs w:val="22"/>
        </w:rPr>
        <w:t xml:space="preserve">re anticipated to include </w:t>
      </w:r>
      <w:r w:rsidRPr="00E22977" w:rsidR="00E34245">
        <w:rPr>
          <w:bCs/>
          <w:szCs w:val="22"/>
        </w:rPr>
        <w:t xml:space="preserve">colorectal, </w:t>
      </w:r>
      <w:r w:rsidRPr="00E22977" w:rsidR="003F498C">
        <w:rPr>
          <w:bCs/>
          <w:szCs w:val="22"/>
        </w:rPr>
        <w:t xml:space="preserve">orthopedic, gynecologic, and emergency general surgery.  </w:t>
      </w:r>
      <w:r w:rsidRPr="00E22977" w:rsidR="00F71D5B">
        <w:t xml:space="preserve">All hospitals in the US are eligible to participate in the quality improvement program. JHU and American College of Surgeons will </w:t>
      </w:r>
      <w:r w:rsidRPr="00E22977" w:rsidR="00E34245">
        <w:t xml:space="preserve">continue to </w:t>
      </w:r>
      <w:r w:rsidRPr="00E22977" w:rsidR="00F71D5B">
        <w:t>recruit hospitals from their extensive contact list that includes representatives from all US hospitals.</w:t>
      </w:r>
    </w:p>
    <w:p w:rsidRPr="00E22977" w:rsidR="00722169" w:rsidP="00F71D5B" w:rsidRDefault="00722169">
      <w:pPr>
        <w:rPr>
          <w:bCs/>
          <w:szCs w:val="22"/>
        </w:rPr>
      </w:pPr>
    </w:p>
    <w:p w:rsidRPr="00E22977" w:rsidR="009E0139" w:rsidP="00F71D5B" w:rsidRDefault="009E0139">
      <w:pPr>
        <w:rPr>
          <w:bCs/>
          <w:szCs w:val="22"/>
        </w:rPr>
      </w:pPr>
      <w:r w:rsidRPr="00E22977">
        <w:rPr>
          <w:bCs/>
          <w:szCs w:val="22"/>
        </w:rPr>
        <w:t xml:space="preserve">The project aims to improve patient outcomes.  </w:t>
      </w:r>
      <w:r w:rsidRPr="00E22977" w:rsidR="00376E67">
        <w:rPr>
          <w:bCs/>
          <w:szCs w:val="22"/>
        </w:rPr>
        <w:t xml:space="preserve">As noted in Supporting Statement A, clinical outcomes will be available from data extracts from an existing ongoing American College of Surgeons registry. </w:t>
      </w:r>
      <w:r w:rsidRPr="00E22977" w:rsidR="00E70263">
        <w:rPr>
          <w:bCs/>
          <w:szCs w:val="22"/>
        </w:rPr>
        <w:t>Hospitals included in the analysis must have started data collection in the first two months of their cohort and entered cases through at least month eleven and/or twelve of their cohort. Hospitals will not be excluded if cases were not entered each month through the end of their cohort.</w:t>
      </w:r>
      <w:r w:rsidRPr="00E22977" w:rsidDel="00E70263" w:rsidR="00E70263">
        <w:rPr>
          <w:bCs/>
          <w:szCs w:val="22"/>
        </w:rPr>
        <w:t xml:space="preserve"> </w:t>
      </w:r>
    </w:p>
    <w:p w:rsidRPr="00E22977" w:rsidR="000B0DA3" w:rsidP="005453AD" w:rsidRDefault="000B0DA3">
      <w:pPr>
        <w:jc w:val="both"/>
        <w:rPr>
          <w:b/>
          <w:bCs/>
          <w:szCs w:val="22"/>
        </w:rPr>
      </w:pPr>
    </w:p>
    <w:p w:rsidRPr="00E22977" w:rsidR="0019335F" w:rsidP="00E22977" w:rsidRDefault="00802459">
      <w:pPr>
        <w:rPr>
          <w:bCs/>
          <w:szCs w:val="22"/>
        </w:rPr>
      </w:pPr>
      <w:r w:rsidRPr="00E22977">
        <w:rPr>
          <w:rStyle w:val="Strong"/>
          <w:color w:val="000000"/>
        </w:rPr>
        <w:t>Safety Culture Survey</w:t>
      </w:r>
      <w:r w:rsidRPr="00E22977" w:rsidR="002E1D54">
        <w:rPr>
          <w:rStyle w:val="Strong"/>
          <w:color w:val="000000"/>
        </w:rPr>
        <w:t>.</w:t>
      </w:r>
      <w:r w:rsidRPr="00E22977" w:rsidR="002E1D54">
        <w:rPr>
          <w:bCs/>
          <w:szCs w:val="22"/>
        </w:rPr>
        <w:t xml:space="preserve"> </w:t>
      </w:r>
      <w:r w:rsidRPr="00E22977" w:rsidR="0019335F">
        <w:rPr>
          <w:bCs/>
          <w:szCs w:val="22"/>
        </w:rPr>
        <w:t>For th</w:t>
      </w:r>
      <w:r w:rsidRPr="00E22977" w:rsidR="00E34245">
        <w:rPr>
          <w:bCs/>
          <w:szCs w:val="22"/>
        </w:rPr>
        <w:t>e next and final phase</w:t>
      </w:r>
      <w:r w:rsidRPr="00E22977" w:rsidR="0019335F">
        <w:rPr>
          <w:bCs/>
          <w:szCs w:val="22"/>
        </w:rPr>
        <w:t xml:space="preserve"> </w:t>
      </w:r>
      <w:r w:rsidRPr="00E22977" w:rsidR="00E34245">
        <w:rPr>
          <w:bCs/>
          <w:szCs w:val="22"/>
        </w:rPr>
        <w:t xml:space="preserve">of this </w:t>
      </w:r>
      <w:r w:rsidRPr="00E22977" w:rsidR="0019335F">
        <w:rPr>
          <w:bCs/>
          <w:szCs w:val="22"/>
        </w:rPr>
        <w:t>project, the respondents will be perioperative staff members at hospitals participating in the project. The number of staff surveyed will vary based on hospital size but will average about 50 staff per hospital. Hospitals will be asked to form a list of all perioperative staff who should be included in the survey</w:t>
      </w:r>
      <w:r w:rsidRPr="00E22977" w:rsidR="00DC3E5A">
        <w:rPr>
          <w:bCs/>
          <w:szCs w:val="22"/>
        </w:rPr>
        <w:t>, and based on experience with cohort 1, approximately 10% of the 200 hospitals, or 20 hospitals, will elect to participate in this aspect of the project</w:t>
      </w:r>
      <w:r w:rsidRPr="00E22977" w:rsidR="0019335F">
        <w:rPr>
          <w:bCs/>
          <w:szCs w:val="22"/>
        </w:rPr>
        <w:t xml:space="preserve">. The pre-implementation </w:t>
      </w:r>
      <w:r w:rsidRPr="00E22977" w:rsidR="00E34245">
        <w:rPr>
          <w:bCs/>
          <w:szCs w:val="22"/>
        </w:rPr>
        <w:t xml:space="preserve">safety culture </w:t>
      </w:r>
      <w:r w:rsidRPr="00E22977" w:rsidR="0019335F">
        <w:rPr>
          <w:bCs/>
          <w:szCs w:val="22"/>
        </w:rPr>
        <w:t xml:space="preserve">survey will be administered at the beginning of cohort </w:t>
      </w:r>
      <w:r w:rsidRPr="00E22977" w:rsidR="00E34245">
        <w:rPr>
          <w:bCs/>
          <w:szCs w:val="22"/>
        </w:rPr>
        <w:t xml:space="preserve">4. </w:t>
      </w:r>
      <w:r w:rsidRPr="00E22977" w:rsidR="0019335F">
        <w:rPr>
          <w:bCs/>
          <w:szCs w:val="22"/>
        </w:rPr>
        <w:t>Table 1 displays the estimated number of surveys to be administered</w:t>
      </w:r>
      <w:r w:rsidRPr="00E22977" w:rsidR="00E34245">
        <w:rPr>
          <w:bCs/>
          <w:szCs w:val="22"/>
        </w:rPr>
        <w:t xml:space="preserve"> in the remainder of the project</w:t>
      </w:r>
      <w:r w:rsidRPr="00E22977" w:rsidR="0019335F">
        <w:rPr>
          <w:bCs/>
          <w:szCs w:val="22"/>
        </w:rPr>
        <w:t>.</w:t>
      </w:r>
    </w:p>
    <w:p w:rsidRPr="00E22977" w:rsidR="0019335F" w:rsidP="0019335F" w:rsidRDefault="0019335F">
      <w:pPr>
        <w:jc w:val="both"/>
        <w:rPr>
          <w:b/>
          <w:bCs/>
          <w:szCs w:val="22"/>
        </w:rPr>
      </w:pPr>
    </w:p>
    <w:p w:rsidRPr="00E22977" w:rsidR="0019335F" w:rsidP="0019335F" w:rsidRDefault="0019335F">
      <w:pPr>
        <w:jc w:val="both"/>
        <w:rPr>
          <w:b/>
          <w:bCs/>
          <w:szCs w:val="22"/>
        </w:rPr>
      </w:pPr>
      <w:r w:rsidRPr="00E22977">
        <w:rPr>
          <w:b/>
        </w:rPr>
        <w:t>Table 1. Hospital staff surveyed pre</w:t>
      </w:r>
      <w:r w:rsidRPr="00E22977" w:rsidR="00AE4B7E">
        <w:rPr>
          <w:b/>
        </w:rPr>
        <w:t>-</w:t>
      </w:r>
      <w:r w:rsidRPr="00E22977">
        <w:rPr>
          <w:b/>
        </w:rPr>
        <w:t xml:space="preserve">implementation for </w:t>
      </w:r>
      <w:r w:rsidRPr="00E22977" w:rsidR="00AE4B7E">
        <w:rPr>
          <w:b/>
        </w:rPr>
        <w:t>Cohort 4</w:t>
      </w:r>
    </w:p>
    <w:tbl>
      <w:tblPr>
        <w:tblW w:w="9000" w:type="dxa"/>
        <w:tblInd w:w="108" w:type="dxa"/>
        <w:tblCellMar>
          <w:left w:w="0" w:type="dxa"/>
          <w:right w:w="0" w:type="dxa"/>
        </w:tblCellMar>
        <w:tblLook w:val="04A0" w:firstRow="1" w:lastRow="0" w:firstColumn="1" w:lastColumn="0" w:noHBand="0" w:noVBand="1"/>
      </w:tblPr>
      <w:tblGrid>
        <w:gridCol w:w="2700"/>
        <w:gridCol w:w="2100"/>
        <w:gridCol w:w="2100"/>
        <w:gridCol w:w="2100"/>
      </w:tblGrid>
      <w:tr w:rsidRPr="00E22977" w:rsidR="0046545A" w:rsidTr="00E22977">
        <w:trPr>
          <w:trHeight w:val="1070"/>
        </w:trPr>
        <w:tc>
          <w:tcPr>
            <w:tcW w:w="2700" w:type="dxa"/>
            <w:tcBorders>
              <w:top w:val="single" w:color="auto" w:sz="4" w:space="0"/>
              <w:left w:val="single" w:color="auto" w:sz="8" w:space="0"/>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46545A" w:rsidP="00452FC0" w:rsidRDefault="0046545A">
            <w:pPr>
              <w:rPr>
                <w:b/>
                <w:bCs/>
                <w:color w:val="000000"/>
                <w:sz w:val="20"/>
                <w:szCs w:val="20"/>
              </w:rPr>
            </w:pPr>
            <w:r w:rsidRPr="00E22977">
              <w:rPr>
                <w:b/>
                <w:bCs/>
                <w:color w:val="000000"/>
                <w:sz w:val="20"/>
                <w:szCs w:val="20"/>
              </w:rPr>
              <w:t xml:space="preserve">Surgical Service Line </w:t>
            </w:r>
          </w:p>
        </w:tc>
        <w:tc>
          <w:tcPr>
            <w:tcW w:w="2100" w:type="dxa"/>
            <w:tcBorders>
              <w:top w:val="single" w:color="auto" w:sz="4" w:space="0"/>
              <w:left w:val="nil"/>
              <w:bottom w:val="single" w:color="auto" w:sz="8" w:space="0"/>
              <w:right w:val="single" w:color="auto" w:sz="4" w:space="0"/>
            </w:tcBorders>
            <w:shd w:val="clear" w:color="auto" w:fill="DBE5F1"/>
            <w:tcMar>
              <w:top w:w="0" w:type="dxa"/>
              <w:left w:w="108" w:type="dxa"/>
              <w:bottom w:w="0" w:type="dxa"/>
              <w:right w:w="108" w:type="dxa"/>
            </w:tcMar>
            <w:vAlign w:val="center"/>
            <w:hideMark/>
          </w:tcPr>
          <w:p w:rsidRPr="00E22977" w:rsidR="0046545A" w:rsidP="00243203" w:rsidRDefault="0046545A">
            <w:pPr>
              <w:jc w:val="center"/>
              <w:rPr>
                <w:b/>
                <w:bCs/>
                <w:color w:val="000000"/>
                <w:sz w:val="20"/>
                <w:szCs w:val="20"/>
              </w:rPr>
            </w:pPr>
            <w:r w:rsidRPr="00E22977">
              <w:rPr>
                <w:b/>
                <w:bCs/>
                <w:color w:val="000000"/>
                <w:sz w:val="20"/>
                <w:szCs w:val="20"/>
              </w:rPr>
              <w:t>Number of hospitals</w:t>
            </w:r>
          </w:p>
        </w:tc>
        <w:tc>
          <w:tcPr>
            <w:tcW w:w="2100" w:type="dxa"/>
            <w:tcBorders>
              <w:top w:val="single" w:color="auto" w:sz="4" w:space="0"/>
              <w:left w:val="single" w:color="auto" w:sz="4" w:space="0"/>
              <w:bottom w:val="single" w:color="auto" w:sz="4" w:space="0"/>
              <w:right w:val="single" w:color="auto" w:sz="4" w:space="0"/>
            </w:tcBorders>
            <w:shd w:val="clear" w:color="auto" w:fill="DBE5F1"/>
            <w:vAlign w:val="center"/>
          </w:tcPr>
          <w:p w:rsidRPr="00E22977" w:rsidR="0046545A" w:rsidP="00243203" w:rsidRDefault="0046545A">
            <w:pPr>
              <w:jc w:val="center"/>
              <w:rPr>
                <w:b/>
                <w:bCs/>
                <w:color w:val="000000"/>
                <w:sz w:val="20"/>
                <w:szCs w:val="20"/>
              </w:rPr>
            </w:pPr>
            <w:r w:rsidRPr="00E22977">
              <w:rPr>
                <w:b/>
                <w:bCs/>
                <w:color w:val="000000"/>
                <w:sz w:val="20"/>
                <w:szCs w:val="20"/>
              </w:rPr>
              <w:t>Expected responses per hospital</w:t>
            </w:r>
          </w:p>
        </w:tc>
        <w:tc>
          <w:tcPr>
            <w:tcW w:w="2100" w:type="dxa"/>
            <w:tcBorders>
              <w:top w:val="single" w:color="auto" w:sz="4" w:space="0"/>
              <w:left w:val="single" w:color="auto" w:sz="4" w:space="0"/>
              <w:bottom w:val="single" w:color="auto" w:sz="4" w:space="0"/>
              <w:right w:val="single" w:color="auto" w:sz="4" w:space="0"/>
            </w:tcBorders>
            <w:shd w:val="clear" w:color="auto" w:fill="DBE5F1"/>
            <w:tcMar>
              <w:top w:w="0" w:type="dxa"/>
              <w:left w:w="108" w:type="dxa"/>
              <w:bottom w:w="0" w:type="dxa"/>
              <w:right w:w="108" w:type="dxa"/>
            </w:tcMar>
            <w:vAlign w:val="center"/>
            <w:hideMark/>
          </w:tcPr>
          <w:p w:rsidRPr="00E22977" w:rsidR="0046545A" w:rsidP="00243203" w:rsidRDefault="0046545A">
            <w:pPr>
              <w:jc w:val="center"/>
              <w:rPr>
                <w:b/>
                <w:bCs/>
                <w:color w:val="000000"/>
                <w:sz w:val="20"/>
                <w:szCs w:val="20"/>
              </w:rPr>
            </w:pPr>
            <w:r w:rsidRPr="00E22977">
              <w:rPr>
                <w:b/>
                <w:bCs/>
                <w:color w:val="000000"/>
                <w:sz w:val="20"/>
                <w:szCs w:val="20"/>
              </w:rPr>
              <w:t>Number of staff surveyed pre-implementation</w:t>
            </w:r>
          </w:p>
        </w:tc>
      </w:tr>
      <w:tr w:rsidRPr="00E22977" w:rsidR="0046545A" w:rsidTr="00E22977">
        <w:trPr>
          <w:trHeight w:val="315"/>
        </w:trPr>
        <w:tc>
          <w:tcPr>
            <w:tcW w:w="2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22977" w:rsidR="0046545A" w:rsidP="00243203" w:rsidRDefault="0046545A">
            <w:pPr>
              <w:rPr>
                <w:color w:val="000000"/>
                <w:sz w:val="20"/>
                <w:szCs w:val="20"/>
              </w:rPr>
            </w:pPr>
            <w:r w:rsidRPr="00E22977">
              <w:rPr>
                <w:color w:val="000000"/>
                <w:sz w:val="20"/>
                <w:szCs w:val="20"/>
              </w:rPr>
              <w:t>Emergency General Surgery</w:t>
            </w:r>
          </w:p>
          <w:p w:rsidRPr="00E22977" w:rsidR="0046545A" w:rsidP="00243203" w:rsidRDefault="0046545A">
            <w:pPr>
              <w:ind w:right="-195"/>
              <w:rPr>
                <w:color w:val="000000"/>
                <w:sz w:val="20"/>
                <w:szCs w:val="20"/>
              </w:rPr>
            </w:pPr>
            <w:r w:rsidRPr="00E22977">
              <w:rPr>
                <w:color w:val="000000"/>
                <w:sz w:val="20"/>
                <w:szCs w:val="20"/>
              </w:rPr>
              <w:t>And Others (Cohort 4)</w:t>
            </w:r>
          </w:p>
        </w:tc>
        <w:tc>
          <w:tcPr>
            <w:tcW w:w="2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22977" w:rsidR="0046545A" w:rsidP="00243203" w:rsidRDefault="0046545A">
            <w:pPr>
              <w:jc w:val="center"/>
              <w:rPr>
                <w:color w:val="000000"/>
                <w:sz w:val="20"/>
                <w:szCs w:val="20"/>
              </w:rPr>
            </w:pPr>
            <w:r w:rsidRPr="00E22977">
              <w:rPr>
                <w:color w:val="000000"/>
                <w:sz w:val="20"/>
                <w:szCs w:val="20"/>
              </w:rPr>
              <w:t>20</w:t>
            </w:r>
          </w:p>
        </w:tc>
        <w:tc>
          <w:tcPr>
            <w:tcW w:w="2100" w:type="dxa"/>
            <w:tcBorders>
              <w:top w:val="single" w:color="auto" w:sz="4" w:space="0"/>
              <w:left w:val="single" w:color="auto" w:sz="4" w:space="0"/>
              <w:bottom w:val="single" w:color="auto" w:sz="4" w:space="0"/>
              <w:right w:val="single" w:color="auto" w:sz="4" w:space="0"/>
            </w:tcBorders>
            <w:vAlign w:val="center"/>
          </w:tcPr>
          <w:p w:rsidRPr="00E22977" w:rsidR="0046545A" w:rsidDel="00AE4B7E" w:rsidP="00243203" w:rsidRDefault="0046545A">
            <w:pPr>
              <w:jc w:val="center"/>
              <w:rPr>
                <w:color w:val="000000"/>
                <w:sz w:val="20"/>
                <w:szCs w:val="20"/>
              </w:rPr>
            </w:pPr>
            <w:r w:rsidRPr="00E22977">
              <w:rPr>
                <w:color w:val="000000"/>
                <w:sz w:val="20"/>
                <w:szCs w:val="20"/>
              </w:rPr>
              <w:t>50</w:t>
            </w:r>
          </w:p>
        </w:tc>
        <w:tc>
          <w:tcPr>
            <w:tcW w:w="2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22977" w:rsidR="0046545A" w:rsidP="00243203" w:rsidRDefault="0046545A">
            <w:pPr>
              <w:jc w:val="center"/>
              <w:rPr>
                <w:color w:val="000000"/>
                <w:sz w:val="20"/>
                <w:szCs w:val="20"/>
              </w:rPr>
            </w:pPr>
            <w:r w:rsidRPr="00E22977">
              <w:rPr>
                <w:color w:val="000000"/>
                <w:sz w:val="20"/>
                <w:szCs w:val="20"/>
              </w:rPr>
              <w:t>1,000</w:t>
            </w:r>
          </w:p>
        </w:tc>
      </w:tr>
    </w:tbl>
    <w:p w:rsidRPr="00E22977" w:rsidR="0019335F" w:rsidP="0019335F" w:rsidRDefault="0019335F">
      <w:pPr>
        <w:rPr>
          <w:rFonts w:ascii="Garamond" w:hAnsi="Garamond"/>
        </w:rPr>
      </w:pPr>
    </w:p>
    <w:tbl>
      <w:tblPr>
        <w:tblW w:w="7962" w:type="dxa"/>
        <w:tblInd w:w="-108" w:type="dxa"/>
        <w:tblCellMar>
          <w:left w:w="0" w:type="dxa"/>
          <w:right w:w="0" w:type="dxa"/>
        </w:tblCellMar>
        <w:tblLook w:val="04A0" w:firstRow="1" w:lastRow="0" w:firstColumn="1" w:lastColumn="0" w:noHBand="0" w:noVBand="1"/>
      </w:tblPr>
      <w:tblGrid>
        <w:gridCol w:w="2538"/>
        <w:gridCol w:w="1350"/>
        <w:gridCol w:w="2538"/>
        <w:gridCol w:w="1536"/>
      </w:tblGrid>
      <w:tr w:rsidRPr="00E22977" w:rsidR="00DC3E5A" w:rsidTr="00E22977">
        <w:trPr>
          <w:trHeight w:val="300"/>
        </w:trPr>
        <w:tc>
          <w:tcPr>
            <w:tcW w:w="2538" w:type="dxa"/>
            <w:vAlign w:val="center"/>
          </w:tcPr>
          <w:p w:rsidRPr="00E22977" w:rsidR="00DC3E5A" w:rsidDel="00AE4B7E" w:rsidP="00E22977" w:rsidRDefault="00426059">
            <w:pPr>
              <w:ind w:left="104" w:right="-359"/>
              <w:rPr>
                <w:color w:val="000000"/>
              </w:rPr>
            </w:pPr>
            <w:r w:rsidRPr="00E22977">
              <w:rPr>
                <w:color w:val="000000"/>
              </w:rPr>
              <w:t xml:space="preserve">Estimated </w:t>
            </w:r>
            <w:r w:rsidRPr="00E22977" w:rsidR="00DC3E5A">
              <w:rPr>
                <w:color w:val="000000"/>
              </w:rPr>
              <w:t xml:space="preserve">sample size </w:t>
            </w:r>
          </w:p>
        </w:tc>
        <w:tc>
          <w:tcPr>
            <w:tcW w:w="1350" w:type="dxa"/>
            <w:vAlign w:val="center"/>
          </w:tcPr>
          <w:p w:rsidRPr="00E22977" w:rsidR="00DC3E5A" w:rsidDel="00AE4B7E" w:rsidP="00E22977" w:rsidRDefault="00426059">
            <w:pPr>
              <w:ind w:left="104" w:right="-359"/>
              <w:jc w:val="center"/>
              <w:rPr>
                <w:color w:val="000000"/>
              </w:rPr>
            </w:pPr>
            <w:r w:rsidRPr="00E22977">
              <w:rPr>
                <w:color w:val="000000"/>
              </w:rPr>
              <w:t>10,000</w:t>
            </w:r>
          </w:p>
        </w:tc>
        <w:tc>
          <w:tcPr>
            <w:tcW w:w="2538" w:type="dxa"/>
            <w:noWrap/>
            <w:tcMar>
              <w:top w:w="0" w:type="dxa"/>
              <w:left w:w="108" w:type="dxa"/>
              <w:bottom w:w="0" w:type="dxa"/>
              <w:right w:w="108" w:type="dxa"/>
            </w:tcMar>
            <w:vAlign w:val="center"/>
          </w:tcPr>
          <w:p w:rsidRPr="00E22977" w:rsidR="00DC3E5A" w:rsidP="00DC3E5A" w:rsidRDefault="00DC3E5A">
            <w:pPr>
              <w:rPr>
                <w:color w:val="000000"/>
                <w:sz w:val="22"/>
                <w:szCs w:val="22"/>
              </w:rPr>
            </w:pPr>
          </w:p>
        </w:tc>
        <w:tc>
          <w:tcPr>
            <w:tcW w:w="1536" w:type="dxa"/>
            <w:noWrap/>
            <w:tcMar>
              <w:top w:w="0" w:type="dxa"/>
              <w:left w:w="108" w:type="dxa"/>
              <w:bottom w:w="0" w:type="dxa"/>
              <w:right w:w="108" w:type="dxa"/>
            </w:tcMar>
            <w:vAlign w:val="center"/>
          </w:tcPr>
          <w:p w:rsidRPr="00E22977" w:rsidR="00DC3E5A" w:rsidP="00DC3E5A" w:rsidRDefault="00DC3E5A">
            <w:pPr>
              <w:jc w:val="right"/>
              <w:rPr>
                <w:color w:val="000000"/>
              </w:rPr>
            </w:pPr>
          </w:p>
        </w:tc>
      </w:tr>
      <w:tr w:rsidRPr="00E22977" w:rsidR="00DC3E5A" w:rsidTr="00E22977">
        <w:trPr>
          <w:trHeight w:val="300"/>
        </w:trPr>
        <w:tc>
          <w:tcPr>
            <w:tcW w:w="2538" w:type="dxa"/>
            <w:vAlign w:val="center"/>
          </w:tcPr>
          <w:p w:rsidRPr="00E22977" w:rsidR="00DC3E5A" w:rsidDel="00AE4B7E" w:rsidP="00E22977" w:rsidRDefault="00DC3E5A">
            <w:pPr>
              <w:ind w:left="104" w:right="-359"/>
              <w:rPr>
                <w:color w:val="000000"/>
              </w:rPr>
            </w:pPr>
            <w:r w:rsidRPr="00E22977">
              <w:rPr>
                <w:color w:val="000000"/>
              </w:rPr>
              <w:t>Estimated response rate</w:t>
            </w:r>
          </w:p>
        </w:tc>
        <w:tc>
          <w:tcPr>
            <w:tcW w:w="1350" w:type="dxa"/>
            <w:vAlign w:val="center"/>
          </w:tcPr>
          <w:p w:rsidRPr="00E22977" w:rsidR="00DC3E5A" w:rsidDel="00AE4B7E" w:rsidP="00E22977" w:rsidRDefault="00426059">
            <w:pPr>
              <w:ind w:left="104" w:right="-359"/>
              <w:jc w:val="center"/>
              <w:rPr>
                <w:color w:val="000000"/>
              </w:rPr>
            </w:pPr>
            <w:r w:rsidRPr="00E22977">
              <w:rPr>
                <w:color w:val="000000"/>
              </w:rPr>
              <w:t>10%</w:t>
            </w:r>
          </w:p>
        </w:tc>
        <w:tc>
          <w:tcPr>
            <w:tcW w:w="2538" w:type="dxa"/>
            <w:noWrap/>
            <w:tcMar>
              <w:top w:w="0" w:type="dxa"/>
              <w:left w:w="108" w:type="dxa"/>
              <w:bottom w:w="0" w:type="dxa"/>
              <w:right w:w="108" w:type="dxa"/>
            </w:tcMar>
            <w:vAlign w:val="center"/>
          </w:tcPr>
          <w:p w:rsidRPr="00E22977" w:rsidR="00DC3E5A" w:rsidP="00DC3E5A" w:rsidRDefault="00DC3E5A">
            <w:pPr>
              <w:rPr>
                <w:color w:val="000000"/>
              </w:rPr>
            </w:pPr>
          </w:p>
        </w:tc>
        <w:tc>
          <w:tcPr>
            <w:tcW w:w="1536" w:type="dxa"/>
            <w:noWrap/>
            <w:tcMar>
              <w:top w:w="0" w:type="dxa"/>
              <w:left w:w="108" w:type="dxa"/>
              <w:bottom w:w="0" w:type="dxa"/>
              <w:right w:w="108" w:type="dxa"/>
            </w:tcMar>
            <w:vAlign w:val="center"/>
          </w:tcPr>
          <w:p w:rsidRPr="00E22977" w:rsidR="00DC3E5A" w:rsidP="00DC3E5A" w:rsidRDefault="00DC3E5A">
            <w:pPr>
              <w:jc w:val="right"/>
              <w:rPr>
                <w:color w:val="000000"/>
              </w:rPr>
            </w:pPr>
          </w:p>
        </w:tc>
      </w:tr>
      <w:tr w:rsidRPr="00E22977" w:rsidR="00DC3E5A" w:rsidTr="00E22977">
        <w:trPr>
          <w:trHeight w:val="300"/>
        </w:trPr>
        <w:tc>
          <w:tcPr>
            <w:tcW w:w="2538" w:type="dxa"/>
            <w:vAlign w:val="center"/>
          </w:tcPr>
          <w:p w:rsidRPr="00E22977" w:rsidR="00DC3E5A" w:rsidDel="00AE4B7E" w:rsidP="00E22977" w:rsidRDefault="00426059">
            <w:pPr>
              <w:ind w:left="104" w:right="-359"/>
              <w:rPr>
                <w:color w:val="000000"/>
              </w:rPr>
            </w:pPr>
            <w:r w:rsidRPr="00E22977">
              <w:rPr>
                <w:color w:val="000000"/>
              </w:rPr>
              <w:t>Estimated t</w:t>
            </w:r>
            <w:r w:rsidRPr="00E22977" w:rsidR="00DC3E5A">
              <w:rPr>
                <w:color w:val="000000"/>
              </w:rPr>
              <w:t>otal responses</w:t>
            </w:r>
          </w:p>
        </w:tc>
        <w:tc>
          <w:tcPr>
            <w:tcW w:w="1350" w:type="dxa"/>
            <w:vAlign w:val="center"/>
          </w:tcPr>
          <w:p w:rsidRPr="00E22977" w:rsidR="00DC3E5A" w:rsidDel="00AE4B7E" w:rsidP="00E22977" w:rsidRDefault="00DC3E5A">
            <w:pPr>
              <w:ind w:left="104" w:right="-359"/>
              <w:jc w:val="center"/>
              <w:rPr>
                <w:color w:val="000000"/>
              </w:rPr>
            </w:pPr>
            <w:r w:rsidRPr="00E22977">
              <w:rPr>
                <w:color w:val="000000"/>
              </w:rPr>
              <w:t>1,000</w:t>
            </w:r>
          </w:p>
        </w:tc>
        <w:tc>
          <w:tcPr>
            <w:tcW w:w="2538" w:type="dxa"/>
            <w:noWrap/>
            <w:tcMar>
              <w:top w:w="0" w:type="dxa"/>
              <w:left w:w="108" w:type="dxa"/>
              <w:bottom w:w="0" w:type="dxa"/>
              <w:right w:w="108" w:type="dxa"/>
            </w:tcMar>
            <w:vAlign w:val="center"/>
          </w:tcPr>
          <w:p w:rsidRPr="00E22977" w:rsidR="00DC3E5A" w:rsidP="00DC3E5A" w:rsidRDefault="00DC3E5A">
            <w:pPr>
              <w:rPr>
                <w:color w:val="000000"/>
              </w:rPr>
            </w:pPr>
          </w:p>
        </w:tc>
        <w:tc>
          <w:tcPr>
            <w:tcW w:w="1536" w:type="dxa"/>
            <w:noWrap/>
            <w:tcMar>
              <w:top w:w="0" w:type="dxa"/>
              <w:left w:w="108" w:type="dxa"/>
              <w:bottom w:w="0" w:type="dxa"/>
              <w:right w:w="108" w:type="dxa"/>
            </w:tcMar>
            <w:vAlign w:val="center"/>
          </w:tcPr>
          <w:p w:rsidRPr="00E22977" w:rsidR="00DC3E5A" w:rsidP="00DC3E5A" w:rsidRDefault="00DC3E5A">
            <w:pPr>
              <w:jc w:val="right"/>
              <w:rPr>
                <w:color w:val="000000"/>
              </w:rPr>
            </w:pPr>
          </w:p>
        </w:tc>
      </w:tr>
    </w:tbl>
    <w:p w:rsidRPr="00E22977" w:rsidR="00452FC0" w:rsidP="00802459" w:rsidRDefault="00452FC0">
      <w:pPr>
        <w:rPr>
          <w:bCs/>
          <w:color w:val="000000"/>
        </w:rPr>
      </w:pPr>
    </w:p>
    <w:p w:rsidRPr="00E22977" w:rsidR="0019335F" w:rsidP="0019335F" w:rsidRDefault="0019335F">
      <w:pPr>
        <w:rPr>
          <w:b/>
          <w:bCs/>
          <w:szCs w:val="22"/>
        </w:rPr>
      </w:pPr>
      <w:r w:rsidRPr="00E22977">
        <w:rPr>
          <w:b/>
          <w:bCs/>
          <w:szCs w:val="22"/>
        </w:rPr>
        <w:t>Patient Experience Survey</w:t>
      </w:r>
      <w:r w:rsidRPr="00E22977" w:rsidR="002E1D54">
        <w:rPr>
          <w:b/>
          <w:bCs/>
          <w:szCs w:val="22"/>
        </w:rPr>
        <w:t xml:space="preserve">. </w:t>
      </w:r>
      <w:r w:rsidRPr="00E22977">
        <w:t xml:space="preserve">For this project, the patient frame is patients who have undergone specific surgical procedures including colorectal surgery, hip and knee replacement, </w:t>
      </w:r>
      <w:r w:rsidRPr="00E22977" w:rsidR="00CD433B">
        <w:t xml:space="preserve">and gynecology </w:t>
      </w:r>
      <w:r w:rsidRPr="00E22977">
        <w:t xml:space="preserve"> surgery. </w:t>
      </w:r>
      <w:r w:rsidRPr="00E22977" w:rsidR="00DB7367">
        <w:rPr>
          <w:bCs/>
          <w:szCs w:val="22"/>
        </w:rPr>
        <w:t xml:space="preserve">Using data from previous cohorts, we anticipate that </w:t>
      </w:r>
      <w:r w:rsidRPr="00E22977" w:rsidR="00732607">
        <w:rPr>
          <w:bCs/>
          <w:szCs w:val="22"/>
        </w:rPr>
        <w:t xml:space="preserve">3,268 patients will be surveyed </w:t>
      </w:r>
      <w:r w:rsidRPr="00E22977">
        <w:rPr>
          <w:bCs/>
          <w:szCs w:val="22"/>
        </w:rPr>
        <w:t xml:space="preserve">over a 3-month post-implementation data collection period. Table 2 displays the estimated number of surveys to be administered </w:t>
      </w:r>
      <w:r w:rsidRPr="00E22977" w:rsidR="00AE4B7E">
        <w:rPr>
          <w:bCs/>
          <w:szCs w:val="22"/>
        </w:rPr>
        <w:t xml:space="preserve">for Cohort </w:t>
      </w:r>
      <w:r w:rsidRPr="00E22977" w:rsidR="00CD433B">
        <w:rPr>
          <w:bCs/>
          <w:szCs w:val="22"/>
        </w:rPr>
        <w:t>3B</w:t>
      </w:r>
      <w:r w:rsidRPr="00E22977">
        <w:rPr>
          <w:bCs/>
          <w:szCs w:val="22"/>
        </w:rPr>
        <w:t>.</w:t>
      </w:r>
    </w:p>
    <w:p w:rsidRPr="00E22977" w:rsidR="0019335F" w:rsidP="0019335F" w:rsidRDefault="0019335F">
      <w:pPr>
        <w:ind w:left="1440"/>
        <w:rPr>
          <w:rFonts w:ascii="Garamond" w:hAnsi="Garamond"/>
          <w:sz w:val="22"/>
          <w:szCs w:val="22"/>
        </w:rPr>
      </w:pPr>
    </w:p>
    <w:p w:rsidRPr="00E22977" w:rsidR="0019335F" w:rsidP="0019335F" w:rsidRDefault="0019335F">
      <w:pPr>
        <w:rPr>
          <w:b/>
        </w:rPr>
      </w:pPr>
      <w:r w:rsidRPr="00E22977">
        <w:rPr>
          <w:b/>
        </w:rPr>
        <w:t>Table 2. Patients surveyed post</w:t>
      </w:r>
      <w:r w:rsidRPr="00E22977" w:rsidR="0046545A">
        <w:rPr>
          <w:b/>
        </w:rPr>
        <w:t>-</w:t>
      </w:r>
      <w:r w:rsidRPr="00E22977">
        <w:rPr>
          <w:b/>
        </w:rPr>
        <w:t xml:space="preserve">implementation </w:t>
      </w:r>
      <w:r w:rsidRPr="00E22977" w:rsidR="00DC3E5A">
        <w:rPr>
          <w:b/>
        </w:rPr>
        <w:t xml:space="preserve">for Cohort </w:t>
      </w:r>
      <w:r w:rsidRPr="00E22977" w:rsidR="00CD433B">
        <w:rPr>
          <w:b/>
        </w:rPr>
        <w:t>3B</w:t>
      </w:r>
    </w:p>
    <w:tbl>
      <w:tblPr>
        <w:tblW w:w="8910" w:type="dxa"/>
        <w:tblInd w:w="108" w:type="dxa"/>
        <w:tblLayout w:type="fixed"/>
        <w:tblCellMar>
          <w:left w:w="0" w:type="dxa"/>
          <w:right w:w="0" w:type="dxa"/>
        </w:tblCellMar>
        <w:tblLook w:val="04A0" w:firstRow="1" w:lastRow="0" w:firstColumn="1" w:lastColumn="0" w:noHBand="0" w:noVBand="1"/>
      </w:tblPr>
      <w:tblGrid>
        <w:gridCol w:w="2700"/>
        <w:gridCol w:w="2070"/>
        <w:gridCol w:w="2070"/>
        <w:gridCol w:w="2070"/>
      </w:tblGrid>
      <w:tr w:rsidRPr="00E22977" w:rsidR="0046545A" w:rsidTr="00E22977">
        <w:trPr>
          <w:trHeight w:val="651"/>
        </w:trPr>
        <w:tc>
          <w:tcPr>
            <w:tcW w:w="2700" w:type="dxa"/>
            <w:tcBorders>
              <w:top w:val="single" w:color="auto" w:sz="4" w:space="0"/>
              <w:left w:val="single" w:color="auto" w:sz="8" w:space="0"/>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46545A" w:rsidP="00452FC0" w:rsidRDefault="0046545A">
            <w:pPr>
              <w:rPr>
                <w:b/>
                <w:bCs/>
                <w:color w:val="000000"/>
                <w:sz w:val="20"/>
                <w:szCs w:val="20"/>
              </w:rPr>
            </w:pPr>
            <w:r w:rsidRPr="00E22977">
              <w:rPr>
                <w:b/>
                <w:bCs/>
                <w:color w:val="000000"/>
                <w:sz w:val="20"/>
                <w:szCs w:val="20"/>
              </w:rPr>
              <w:t>Surgical Service Line (Cohort)</w:t>
            </w:r>
          </w:p>
        </w:tc>
        <w:tc>
          <w:tcPr>
            <w:tcW w:w="2070" w:type="dxa"/>
            <w:tcBorders>
              <w:top w:val="single" w:color="auto" w:sz="4" w:space="0"/>
              <w:left w:val="nil"/>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46545A" w:rsidP="00243203" w:rsidRDefault="0046545A">
            <w:pPr>
              <w:jc w:val="center"/>
              <w:rPr>
                <w:b/>
                <w:bCs/>
                <w:color w:val="000000"/>
                <w:sz w:val="20"/>
                <w:szCs w:val="20"/>
              </w:rPr>
            </w:pPr>
            <w:r w:rsidRPr="00E22977">
              <w:rPr>
                <w:b/>
                <w:bCs/>
                <w:color w:val="000000"/>
                <w:sz w:val="20"/>
                <w:szCs w:val="20"/>
              </w:rPr>
              <w:t>Number of hospitals</w:t>
            </w:r>
          </w:p>
        </w:tc>
        <w:tc>
          <w:tcPr>
            <w:tcW w:w="2070" w:type="dxa"/>
            <w:tcBorders>
              <w:top w:val="single" w:color="auto" w:sz="4" w:space="0"/>
              <w:left w:val="nil"/>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46545A" w:rsidP="00CD433B" w:rsidRDefault="0046545A">
            <w:pPr>
              <w:jc w:val="center"/>
              <w:rPr>
                <w:b/>
                <w:bCs/>
                <w:color w:val="000000"/>
                <w:sz w:val="20"/>
                <w:szCs w:val="20"/>
              </w:rPr>
            </w:pPr>
            <w:r w:rsidRPr="00E22977">
              <w:rPr>
                <w:b/>
                <w:bCs/>
                <w:color w:val="000000"/>
                <w:sz w:val="20"/>
                <w:szCs w:val="20"/>
              </w:rPr>
              <w:t>Number of patients</w:t>
            </w:r>
            <w:r w:rsidRPr="00E22977" w:rsidR="00222967">
              <w:rPr>
                <w:b/>
                <w:bCs/>
                <w:color w:val="000000"/>
                <w:sz w:val="20"/>
                <w:szCs w:val="20"/>
              </w:rPr>
              <w:t xml:space="preserve"> surveyed post-implementation</w:t>
            </w:r>
            <w:r w:rsidRPr="00E22977" w:rsidR="00CD433B">
              <w:rPr>
                <w:b/>
                <w:bCs/>
                <w:color w:val="000000"/>
                <w:sz w:val="20"/>
                <w:szCs w:val="20"/>
              </w:rPr>
              <w:t xml:space="preserve"> </w:t>
            </w:r>
          </w:p>
        </w:tc>
        <w:tc>
          <w:tcPr>
            <w:tcW w:w="2070" w:type="dxa"/>
            <w:tcBorders>
              <w:top w:val="single" w:color="auto" w:sz="4" w:space="0"/>
              <w:left w:val="nil"/>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46545A" w:rsidP="00222967" w:rsidRDefault="00222967">
            <w:pPr>
              <w:jc w:val="center"/>
              <w:rPr>
                <w:b/>
                <w:bCs/>
                <w:color w:val="000000"/>
                <w:sz w:val="20"/>
                <w:szCs w:val="20"/>
              </w:rPr>
            </w:pPr>
            <w:r w:rsidRPr="00E22977">
              <w:rPr>
                <w:b/>
                <w:bCs/>
                <w:color w:val="000000"/>
                <w:sz w:val="20"/>
                <w:szCs w:val="20"/>
              </w:rPr>
              <w:br/>
              <w:t>Expected responses</w:t>
            </w:r>
          </w:p>
        </w:tc>
      </w:tr>
      <w:tr w:rsidRPr="00E22977" w:rsidR="00182A50" w:rsidTr="00E22977">
        <w:trPr>
          <w:trHeight w:val="321"/>
        </w:trPr>
        <w:tc>
          <w:tcPr>
            <w:tcW w:w="2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22977" w:rsidR="00182A50" w:rsidP="00CD433B" w:rsidRDefault="00182A50">
            <w:pPr>
              <w:rPr>
                <w:color w:val="000000"/>
                <w:sz w:val="20"/>
                <w:szCs w:val="20"/>
              </w:rPr>
            </w:pPr>
            <w:r w:rsidRPr="00E22977">
              <w:rPr>
                <w:color w:val="000000"/>
                <w:sz w:val="20"/>
                <w:szCs w:val="20"/>
              </w:rPr>
              <w:t>Cohort 3B</w:t>
            </w:r>
          </w:p>
        </w:tc>
        <w:tc>
          <w:tcPr>
            <w:tcW w:w="20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22977" w:rsidR="00182A50" w:rsidP="00243203" w:rsidRDefault="00182A50">
            <w:pPr>
              <w:jc w:val="center"/>
              <w:rPr>
                <w:color w:val="000000"/>
                <w:sz w:val="20"/>
                <w:szCs w:val="20"/>
              </w:rPr>
            </w:pPr>
            <w:r w:rsidRPr="00E22977">
              <w:rPr>
                <w:color w:val="000000"/>
                <w:sz w:val="20"/>
                <w:szCs w:val="20"/>
              </w:rPr>
              <w:t>38</w:t>
            </w:r>
          </w:p>
        </w:tc>
        <w:tc>
          <w:tcPr>
            <w:tcW w:w="20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22977" w:rsidR="00182A50" w:rsidP="00732607" w:rsidRDefault="00182A50">
            <w:pPr>
              <w:jc w:val="center"/>
              <w:rPr>
                <w:color w:val="000000"/>
                <w:sz w:val="20"/>
                <w:szCs w:val="20"/>
              </w:rPr>
            </w:pPr>
            <w:r w:rsidRPr="00E22977">
              <w:rPr>
                <w:color w:val="000000"/>
                <w:sz w:val="20"/>
                <w:szCs w:val="20"/>
              </w:rPr>
              <w:t>3,268</w:t>
            </w:r>
          </w:p>
        </w:tc>
        <w:tc>
          <w:tcPr>
            <w:tcW w:w="20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22977" w:rsidR="00182A50" w:rsidP="00243203" w:rsidRDefault="00182A50">
            <w:pPr>
              <w:jc w:val="center"/>
              <w:rPr>
                <w:color w:val="000000"/>
                <w:sz w:val="20"/>
                <w:szCs w:val="20"/>
              </w:rPr>
            </w:pPr>
            <w:r w:rsidRPr="00E22977">
              <w:rPr>
                <w:color w:val="000000"/>
                <w:sz w:val="20"/>
                <w:szCs w:val="20"/>
              </w:rPr>
              <w:t>980</w:t>
            </w:r>
          </w:p>
        </w:tc>
      </w:tr>
    </w:tbl>
    <w:p w:rsidRPr="00E22977" w:rsidR="0019335F" w:rsidP="00802459" w:rsidRDefault="0019335F">
      <w:pPr>
        <w:rPr>
          <w:bCs/>
          <w:color w:val="000000"/>
        </w:rPr>
      </w:pPr>
    </w:p>
    <w:tbl>
      <w:tblPr>
        <w:tblW w:w="3954" w:type="dxa"/>
        <w:tblCellMar>
          <w:left w:w="0" w:type="dxa"/>
          <w:right w:w="0" w:type="dxa"/>
        </w:tblCellMar>
        <w:tblLook w:val="04A0" w:firstRow="1" w:lastRow="0" w:firstColumn="1" w:lastColumn="0" w:noHBand="0" w:noVBand="1"/>
      </w:tblPr>
      <w:tblGrid>
        <w:gridCol w:w="2538"/>
        <w:gridCol w:w="1416"/>
      </w:tblGrid>
      <w:tr w:rsidRPr="00E22977" w:rsidR="00452FC0" w:rsidTr="00FD4397">
        <w:trPr>
          <w:trHeight w:val="300"/>
        </w:trPr>
        <w:tc>
          <w:tcPr>
            <w:tcW w:w="2538" w:type="dxa"/>
            <w:noWrap/>
            <w:tcMar>
              <w:top w:w="0" w:type="dxa"/>
              <w:left w:w="108" w:type="dxa"/>
              <w:bottom w:w="0" w:type="dxa"/>
              <w:right w:w="108" w:type="dxa"/>
            </w:tcMar>
            <w:vAlign w:val="center"/>
            <w:hideMark/>
          </w:tcPr>
          <w:p w:rsidRPr="00E22977" w:rsidR="00452FC0" w:rsidP="00FD4397" w:rsidRDefault="00452FC0">
            <w:pPr>
              <w:rPr>
                <w:color w:val="000000"/>
                <w:sz w:val="22"/>
                <w:szCs w:val="22"/>
              </w:rPr>
            </w:pPr>
            <w:r w:rsidRPr="00E22977">
              <w:rPr>
                <w:color w:val="000000"/>
              </w:rPr>
              <w:t xml:space="preserve">Total sample size </w:t>
            </w:r>
          </w:p>
        </w:tc>
        <w:tc>
          <w:tcPr>
            <w:tcW w:w="1416" w:type="dxa"/>
            <w:noWrap/>
            <w:tcMar>
              <w:top w:w="0" w:type="dxa"/>
              <w:left w:w="108" w:type="dxa"/>
              <w:bottom w:w="0" w:type="dxa"/>
              <w:right w:w="108" w:type="dxa"/>
            </w:tcMar>
            <w:vAlign w:val="center"/>
            <w:hideMark/>
          </w:tcPr>
          <w:p w:rsidRPr="00E22977" w:rsidR="00452FC0" w:rsidP="00FD4397" w:rsidRDefault="00452FC0">
            <w:pPr>
              <w:jc w:val="right"/>
              <w:rPr>
                <w:color w:val="000000"/>
              </w:rPr>
            </w:pPr>
            <w:r w:rsidRPr="00E22977">
              <w:rPr>
                <w:color w:val="000000"/>
              </w:rPr>
              <w:t>3268</w:t>
            </w:r>
          </w:p>
        </w:tc>
      </w:tr>
      <w:tr w:rsidRPr="00E22977" w:rsidR="00452FC0" w:rsidTr="00FD4397">
        <w:trPr>
          <w:trHeight w:val="300"/>
        </w:trPr>
        <w:tc>
          <w:tcPr>
            <w:tcW w:w="2538" w:type="dxa"/>
            <w:noWrap/>
            <w:tcMar>
              <w:top w:w="0" w:type="dxa"/>
              <w:left w:w="108" w:type="dxa"/>
              <w:bottom w:w="0" w:type="dxa"/>
              <w:right w:w="108" w:type="dxa"/>
            </w:tcMar>
            <w:vAlign w:val="center"/>
            <w:hideMark/>
          </w:tcPr>
          <w:p w:rsidRPr="00E22977" w:rsidR="00452FC0" w:rsidP="00FD4397" w:rsidRDefault="00452FC0">
            <w:pPr>
              <w:rPr>
                <w:color w:val="000000"/>
              </w:rPr>
            </w:pPr>
            <w:r w:rsidRPr="00E22977">
              <w:rPr>
                <w:color w:val="000000"/>
              </w:rPr>
              <w:t>Estimated response rate</w:t>
            </w:r>
          </w:p>
        </w:tc>
        <w:tc>
          <w:tcPr>
            <w:tcW w:w="1416" w:type="dxa"/>
            <w:noWrap/>
            <w:tcMar>
              <w:top w:w="0" w:type="dxa"/>
              <w:left w:w="108" w:type="dxa"/>
              <w:bottom w:w="0" w:type="dxa"/>
              <w:right w:w="108" w:type="dxa"/>
            </w:tcMar>
            <w:vAlign w:val="center"/>
            <w:hideMark/>
          </w:tcPr>
          <w:p w:rsidRPr="00E22977" w:rsidR="00452FC0" w:rsidP="00FD4397" w:rsidRDefault="00452FC0">
            <w:pPr>
              <w:jc w:val="right"/>
              <w:rPr>
                <w:color w:val="000000"/>
              </w:rPr>
            </w:pPr>
            <w:r w:rsidRPr="00E22977">
              <w:rPr>
                <w:color w:val="000000"/>
              </w:rPr>
              <w:t>30%</w:t>
            </w:r>
          </w:p>
        </w:tc>
      </w:tr>
      <w:tr w:rsidRPr="00E22977" w:rsidR="00452FC0" w:rsidTr="00FD4397">
        <w:trPr>
          <w:trHeight w:val="300"/>
        </w:trPr>
        <w:tc>
          <w:tcPr>
            <w:tcW w:w="2538" w:type="dxa"/>
            <w:noWrap/>
            <w:tcMar>
              <w:top w:w="0" w:type="dxa"/>
              <w:left w:w="108" w:type="dxa"/>
              <w:bottom w:w="0" w:type="dxa"/>
              <w:right w:w="108" w:type="dxa"/>
            </w:tcMar>
            <w:vAlign w:val="center"/>
            <w:hideMark/>
          </w:tcPr>
          <w:p w:rsidRPr="00E22977" w:rsidR="00452FC0" w:rsidP="00FD4397" w:rsidRDefault="00452FC0">
            <w:pPr>
              <w:rPr>
                <w:color w:val="000000"/>
              </w:rPr>
            </w:pPr>
            <w:r w:rsidRPr="00E22977">
              <w:rPr>
                <w:color w:val="000000"/>
              </w:rPr>
              <w:t>Total responses</w:t>
            </w:r>
          </w:p>
        </w:tc>
        <w:tc>
          <w:tcPr>
            <w:tcW w:w="1416" w:type="dxa"/>
            <w:noWrap/>
            <w:tcMar>
              <w:top w:w="0" w:type="dxa"/>
              <w:left w:w="108" w:type="dxa"/>
              <w:bottom w:w="0" w:type="dxa"/>
              <w:right w:w="108" w:type="dxa"/>
            </w:tcMar>
            <w:vAlign w:val="center"/>
            <w:hideMark/>
          </w:tcPr>
          <w:p w:rsidRPr="00E22977" w:rsidR="00452FC0" w:rsidP="00FD4397" w:rsidRDefault="00452FC0">
            <w:pPr>
              <w:jc w:val="right"/>
              <w:rPr>
                <w:color w:val="000000"/>
              </w:rPr>
            </w:pPr>
            <w:r w:rsidRPr="00E22977">
              <w:rPr>
                <w:color w:val="000000"/>
              </w:rPr>
              <w:t>980</w:t>
            </w:r>
          </w:p>
        </w:tc>
      </w:tr>
    </w:tbl>
    <w:p w:rsidRPr="00E22977" w:rsidR="00452FC0" w:rsidP="00802459" w:rsidRDefault="00452FC0">
      <w:pPr>
        <w:rPr>
          <w:b/>
          <w:bCs/>
          <w:color w:val="000000"/>
        </w:rPr>
      </w:pPr>
    </w:p>
    <w:p w:rsidRPr="00E22977" w:rsidR="0019335F" w:rsidP="0019335F" w:rsidRDefault="00802459">
      <w:pPr>
        <w:rPr>
          <w:bCs/>
          <w:szCs w:val="22"/>
        </w:rPr>
      </w:pPr>
      <w:r w:rsidRPr="00E22977">
        <w:rPr>
          <w:b/>
          <w:bCs/>
          <w:color w:val="000000"/>
        </w:rPr>
        <w:t>Readiness and Implementation Assessments</w:t>
      </w:r>
      <w:r w:rsidRPr="00E22977" w:rsidR="002E1D54">
        <w:rPr>
          <w:b/>
          <w:bCs/>
          <w:color w:val="000000"/>
        </w:rPr>
        <w:t>.</w:t>
      </w:r>
      <w:r w:rsidRPr="00E22977" w:rsidR="002E1D54">
        <w:rPr>
          <w:bCs/>
          <w:color w:val="000000"/>
        </w:rPr>
        <w:t xml:space="preserve"> </w:t>
      </w:r>
      <w:r w:rsidRPr="00E22977">
        <w:rPr>
          <w:bCs/>
          <w:color w:val="000000"/>
        </w:rPr>
        <w:t xml:space="preserve">A pre-and post-assessment will be administered with the hospital project leads (e.g. one physician, one nurse). Assuming an average of 2 staff being part of each pre- and post- </w:t>
      </w:r>
      <w:r w:rsidRPr="00E22977" w:rsidR="0019335F">
        <w:rPr>
          <w:bCs/>
          <w:color w:val="000000"/>
        </w:rPr>
        <w:t>semi structured assessment</w:t>
      </w:r>
      <w:r w:rsidRPr="00E22977">
        <w:rPr>
          <w:bCs/>
          <w:color w:val="000000"/>
        </w:rPr>
        <w:t xml:space="preserve"> per hospital, </w:t>
      </w:r>
      <w:r w:rsidRPr="00E22977" w:rsidR="0019335F">
        <w:rPr>
          <w:bCs/>
          <w:szCs w:val="22"/>
        </w:rPr>
        <w:t>table 3 displays the estimated number of surveys to be administered.</w:t>
      </w:r>
    </w:p>
    <w:p w:rsidRPr="00E22977" w:rsidR="0019335F" w:rsidP="00802459" w:rsidRDefault="0019335F">
      <w:pPr>
        <w:rPr>
          <w:color w:val="000000"/>
        </w:rPr>
      </w:pPr>
    </w:p>
    <w:p w:rsidRPr="00E22977" w:rsidR="0019335F" w:rsidP="0019335F" w:rsidRDefault="0019335F">
      <w:pPr>
        <w:jc w:val="both"/>
        <w:rPr>
          <w:b/>
          <w:bCs/>
          <w:szCs w:val="22"/>
        </w:rPr>
      </w:pPr>
      <w:r w:rsidRPr="00E22977">
        <w:rPr>
          <w:b/>
        </w:rPr>
        <w:t xml:space="preserve">Table 3. Hospital staff surveyed pre and post implementation </w:t>
      </w:r>
      <w:r w:rsidRPr="00E22977" w:rsidR="002E1D54">
        <w:rPr>
          <w:b/>
        </w:rPr>
        <w:t>for Cohort 4</w:t>
      </w:r>
    </w:p>
    <w:tbl>
      <w:tblPr>
        <w:tblW w:w="8910" w:type="dxa"/>
        <w:tblInd w:w="108" w:type="dxa"/>
        <w:tblLayout w:type="fixed"/>
        <w:tblCellMar>
          <w:left w:w="0" w:type="dxa"/>
          <w:right w:w="0" w:type="dxa"/>
        </w:tblCellMar>
        <w:tblLook w:val="04A0" w:firstRow="1" w:lastRow="0" w:firstColumn="1" w:lastColumn="0" w:noHBand="0" w:noVBand="1"/>
      </w:tblPr>
      <w:tblGrid>
        <w:gridCol w:w="2700"/>
        <w:gridCol w:w="1170"/>
        <w:gridCol w:w="1800"/>
        <w:gridCol w:w="1800"/>
        <w:gridCol w:w="1440"/>
      </w:tblGrid>
      <w:tr w:rsidRPr="00E22977" w:rsidR="000E5EE0" w:rsidTr="00E22977">
        <w:trPr>
          <w:trHeight w:val="359"/>
        </w:trPr>
        <w:tc>
          <w:tcPr>
            <w:tcW w:w="2700" w:type="dxa"/>
            <w:tcBorders>
              <w:top w:val="single" w:color="auto" w:sz="4" w:space="0"/>
              <w:left w:val="single" w:color="auto" w:sz="8" w:space="0"/>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19335F" w:rsidP="00243203" w:rsidRDefault="0019335F">
            <w:pPr>
              <w:rPr>
                <w:b/>
                <w:bCs/>
                <w:color w:val="000000"/>
                <w:sz w:val="20"/>
                <w:szCs w:val="20"/>
              </w:rPr>
            </w:pPr>
            <w:r w:rsidRPr="00E22977">
              <w:rPr>
                <w:b/>
                <w:bCs/>
                <w:color w:val="000000"/>
                <w:sz w:val="20"/>
                <w:szCs w:val="20"/>
              </w:rPr>
              <w:t>Surgical Service Line (Cohort</w:t>
            </w:r>
            <w:r w:rsidRPr="00E22977" w:rsidR="00DC3E5A">
              <w:rPr>
                <w:b/>
                <w:bCs/>
                <w:color w:val="000000"/>
                <w:sz w:val="20"/>
                <w:szCs w:val="20"/>
              </w:rPr>
              <w:t xml:space="preserve"> 4</w:t>
            </w:r>
            <w:r w:rsidRPr="00E22977">
              <w:rPr>
                <w:b/>
                <w:bCs/>
                <w:color w:val="000000"/>
                <w:sz w:val="20"/>
                <w:szCs w:val="20"/>
              </w:rPr>
              <w:t>)</w:t>
            </w:r>
          </w:p>
        </w:tc>
        <w:tc>
          <w:tcPr>
            <w:tcW w:w="1170" w:type="dxa"/>
            <w:tcBorders>
              <w:top w:val="single" w:color="auto" w:sz="4" w:space="0"/>
              <w:left w:val="nil"/>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19335F" w:rsidP="00243203" w:rsidRDefault="0019335F">
            <w:pPr>
              <w:jc w:val="center"/>
              <w:rPr>
                <w:b/>
                <w:bCs/>
                <w:color w:val="000000"/>
                <w:sz w:val="20"/>
                <w:szCs w:val="20"/>
              </w:rPr>
            </w:pPr>
            <w:r w:rsidRPr="00E22977">
              <w:rPr>
                <w:b/>
                <w:bCs/>
                <w:color w:val="000000"/>
                <w:sz w:val="20"/>
                <w:szCs w:val="20"/>
              </w:rPr>
              <w:t>Number of hospitals</w:t>
            </w:r>
          </w:p>
        </w:tc>
        <w:tc>
          <w:tcPr>
            <w:tcW w:w="1800" w:type="dxa"/>
            <w:tcBorders>
              <w:top w:val="single" w:color="auto" w:sz="4" w:space="0"/>
              <w:left w:val="nil"/>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19335F" w:rsidP="00243203" w:rsidRDefault="0019335F">
            <w:pPr>
              <w:jc w:val="center"/>
              <w:rPr>
                <w:b/>
                <w:bCs/>
                <w:color w:val="000000"/>
                <w:sz w:val="20"/>
                <w:szCs w:val="20"/>
              </w:rPr>
            </w:pPr>
            <w:r w:rsidRPr="00E22977">
              <w:rPr>
                <w:b/>
                <w:bCs/>
                <w:color w:val="000000"/>
                <w:sz w:val="20"/>
                <w:szCs w:val="20"/>
              </w:rPr>
              <w:t>Number of staff surveyed pre-implementation</w:t>
            </w:r>
          </w:p>
          <w:p w:rsidRPr="00E22977" w:rsidR="0019335F" w:rsidP="00243203" w:rsidRDefault="0019335F">
            <w:pPr>
              <w:jc w:val="center"/>
              <w:rPr>
                <w:b/>
                <w:bCs/>
                <w:color w:val="000000"/>
                <w:sz w:val="16"/>
                <w:szCs w:val="16"/>
              </w:rPr>
            </w:pPr>
            <w:r w:rsidRPr="00E22977">
              <w:rPr>
                <w:b/>
                <w:bCs/>
                <w:color w:val="000000"/>
                <w:sz w:val="16"/>
                <w:szCs w:val="16"/>
              </w:rPr>
              <w:t>(readiness assessment)</w:t>
            </w:r>
          </w:p>
        </w:tc>
        <w:tc>
          <w:tcPr>
            <w:tcW w:w="1800" w:type="dxa"/>
            <w:tcBorders>
              <w:top w:val="single" w:color="auto" w:sz="4" w:space="0"/>
              <w:left w:val="nil"/>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19335F" w:rsidP="00243203" w:rsidRDefault="0019335F">
            <w:pPr>
              <w:jc w:val="center"/>
              <w:rPr>
                <w:b/>
                <w:bCs/>
                <w:color w:val="000000"/>
                <w:sz w:val="20"/>
                <w:szCs w:val="20"/>
              </w:rPr>
            </w:pPr>
            <w:r w:rsidRPr="00E22977">
              <w:rPr>
                <w:b/>
                <w:bCs/>
                <w:color w:val="000000"/>
                <w:sz w:val="20"/>
                <w:szCs w:val="20"/>
              </w:rPr>
              <w:t>Number of staff surveyed post-implementation</w:t>
            </w:r>
          </w:p>
          <w:p w:rsidRPr="00E22977" w:rsidR="0019335F" w:rsidP="00243203" w:rsidRDefault="0019335F">
            <w:pPr>
              <w:jc w:val="center"/>
              <w:rPr>
                <w:b/>
                <w:bCs/>
                <w:color w:val="000000"/>
                <w:sz w:val="16"/>
                <w:szCs w:val="16"/>
              </w:rPr>
            </w:pPr>
            <w:r w:rsidRPr="00E22977">
              <w:rPr>
                <w:b/>
                <w:bCs/>
                <w:color w:val="000000"/>
                <w:sz w:val="16"/>
                <w:szCs w:val="16"/>
              </w:rPr>
              <w:t>(implementation assessment)</w:t>
            </w:r>
          </w:p>
        </w:tc>
        <w:tc>
          <w:tcPr>
            <w:tcW w:w="1440" w:type="dxa"/>
            <w:tcBorders>
              <w:top w:val="single" w:color="auto" w:sz="4" w:space="0"/>
              <w:left w:val="nil"/>
              <w:bottom w:val="single" w:color="auto" w:sz="8" w:space="0"/>
              <w:right w:val="single" w:color="auto" w:sz="8" w:space="0"/>
            </w:tcBorders>
            <w:shd w:val="clear" w:color="auto" w:fill="DBE5F1"/>
            <w:tcMar>
              <w:top w:w="0" w:type="dxa"/>
              <w:left w:w="108" w:type="dxa"/>
              <w:bottom w:w="0" w:type="dxa"/>
              <w:right w:w="108" w:type="dxa"/>
            </w:tcMar>
            <w:vAlign w:val="center"/>
            <w:hideMark/>
          </w:tcPr>
          <w:p w:rsidRPr="00E22977" w:rsidR="0019335F" w:rsidP="00243203" w:rsidRDefault="0019335F">
            <w:pPr>
              <w:jc w:val="center"/>
              <w:rPr>
                <w:b/>
                <w:bCs/>
                <w:color w:val="000000"/>
                <w:sz w:val="20"/>
                <w:szCs w:val="20"/>
              </w:rPr>
            </w:pPr>
            <w:r w:rsidRPr="00E22977">
              <w:rPr>
                <w:b/>
                <w:bCs/>
                <w:color w:val="000000"/>
                <w:sz w:val="20"/>
                <w:szCs w:val="20"/>
              </w:rPr>
              <w:t>Number of staff surveyed pre and post</w:t>
            </w:r>
          </w:p>
        </w:tc>
      </w:tr>
      <w:tr w:rsidRPr="00E22977" w:rsidR="000E5EE0" w:rsidTr="00E22977">
        <w:trPr>
          <w:trHeight w:val="315"/>
        </w:trPr>
        <w:tc>
          <w:tcPr>
            <w:tcW w:w="2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22977" w:rsidR="00182A50" w:rsidP="00243203" w:rsidRDefault="00DC3E5A">
            <w:pPr>
              <w:ind w:right="-195"/>
              <w:rPr>
                <w:color w:val="000000"/>
                <w:sz w:val="20"/>
                <w:szCs w:val="20"/>
              </w:rPr>
            </w:pPr>
            <w:r w:rsidRPr="00E22977">
              <w:rPr>
                <w:color w:val="000000"/>
                <w:sz w:val="20"/>
                <w:szCs w:val="20"/>
              </w:rPr>
              <w:t>Emergency General Surgery</w:t>
            </w:r>
            <w:r w:rsidRPr="00E22977" w:rsidR="00182A50">
              <w:rPr>
                <w:color w:val="000000"/>
                <w:sz w:val="20"/>
                <w:szCs w:val="20"/>
              </w:rPr>
              <w:t xml:space="preserve"> </w:t>
            </w:r>
          </w:p>
          <w:p w:rsidRPr="00E22977" w:rsidR="0019335F" w:rsidP="00243203" w:rsidRDefault="00182A50">
            <w:pPr>
              <w:ind w:right="-195"/>
              <w:rPr>
                <w:color w:val="000000"/>
                <w:sz w:val="20"/>
                <w:szCs w:val="20"/>
              </w:rPr>
            </w:pPr>
            <w:r w:rsidRPr="00E22977">
              <w:rPr>
                <w:color w:val="000000"/>
                <w:sz w:val="20"/>
                <w:szCs w:val="20"/>
              </w:rPr>
              <w:t>a</w:t>
            </w:r>
            <w:r w:rsidRPr="00E22977" w:rsidR="00DC3E5A">
              <w:rPr>
                <w:color w:val="000000"/>
                <w:sz w:val="20"/>
                <w:szCs w:val="20"/>
              </w:rPr>
              <w:t>nd Others (Cohort 4)</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E22977" w:rsidR="0019335F" w:rsidP="00243203" w:rsidRDefault="00DC3E5A">
            <w:pPr>
              <w:jc w:val="center"/>
              <w:rPr>
                <w:color w:val="000000"/>
                <w:sz w:val="20"/>
                <w:szCs w:val="20"/>
              </w:rPr>
            </w:pPr>
            <w:r w:rsidRPr="00E22977">
              <w:rPr>
                <w:color w:val="000000"/>
                <w:sz w:val="20"/>
                <w:szCs w:val="20"/>
              </w:rPr>
              <w:t>1</w:t>
            </w:r>
            <w:r w:rsidRPr="00E22977" w:rsidR="002E1D54">
              <w:rPr>
                <w:color w:val="000000"/>
                <w:sz w:val="20"/>
                <w:szCs w:val="20"/>
              </w:rPr>
              <w:t>9</w:t>
            </w:r>
            <w:r w:rsidRPr="00E22977">
              <w:rPr>
                <w:color w:val="000000"/>
                <w:sz w:val="20"/>
                <w:szCs w:val="20"/>
              </w:rPr>
              <w:t>0</w:t>
            </w:r>
          </w:p>
        </w:tc>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22977" w:rsidR="0019335F" w:rsidP="0019335F" w:rsidRDefault="00DC3E5A">
            <w:pPr>
              <w:jc w:val="center"/>
              <w:rPr>
                <w:color w:val="000000"/>
                <w:sz w:val="22"/>
                <w:szCs w:val="22"/>
              </w:rPr>
            </w:pPr>
            <w:r w:rsidRPr="00E22977">
              <w:rPr>
                <w:bCs/>
                <w:color w:val="000000"/>
                <w:sz w:val="22"/>
                <w:szCs w:val="22"/>
              </w:rPr>
              <w:t>380</w:t>
            </w:r>
          </w:p>
        </w:tc>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22977" w:rsidR="0019335F" w:rsidP="0019335F" w:rsidRDefault="00DC3E5A">
            <w:pPr>
              <w:jc w:val="center"/>
              <w:rPr>
                <w:color w:val="000000"/>
                <w:sz w:val="22"/>
                <w:szCs w:val="22"/>
              </w:rPr>
            </w:pPr>
            <w:r w:rsidRPr="00E22977">
              <w:rPr>
                <w:bCs/>
                <w:color w:val="000000"/>
                <w:sz w:val="22"/>
                <w:szCs w:val="22"/>
              </w:rPr>
              <w:t>380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22977" w:rsidR="0019335F" w:rsidP="00243203" w:rsidRDefault="00DC3E5A">
            <w:pPr>
              <w:jc w:val="center"/>
              <w:rPr>
                <w:color w:val="000000"/>
                <w:sz w:val="20"/>
                <w:szCs w:val="20"/>
              </w:rPr>
            </w:pPr>
            <w:r w:rsidRPr="00E22977">
              <w:rPr>
                <w:color w:val="000000"/>
                <w:sz w:val="20"/>
                <w:szCs w:val="20"/>
              </w:rPr>
              <w:t>760</w:t>
            </w:r>
          </w:p>
        </w:tc>
      </w:tr>
    </w:tbl>
    <w:p w:rsidRPr="00E22977" w:rsidR="0019335F" w:rsidP="0019335F" w:rsidRDefault="0019335F">
      <w:pPr>
        <w:rPr>
          <w:rFonts w:ascii="Garamond" w:hAnsi="Garamond"/>
        </w:rPr>
      </w:pPr>
    </w:p>
    <w:tbl>
      <w:tblPr>
        <w:tblW w:w="4074" w:type="dxa"/>
        <w:tblCellMar>
          <w:left w:w="0" w:type="dxa"/>
          <w:right w:w="0" w:type="dxa"/>
        </w:tblCellMar>
        <w:tblLook w:val="04A0" w:firstRow="1" w:lastRow="0" w:firstColumn="1" w:lastColumn="0" w:noHBand="0" w:noVBand="1"/>
      </w:tblPr>
      <w:tblGrid>
        <w:gridCol w:w="2538"/>
        <w:gridCol w:w="1536"/>
      </w:tblGrid>
      <w:tr w:rsidRPr="00E22977" w:rsidR="0019335F" w:rsidTr="00243203">
        <w:trPr>
          <w:trHeight w:val="300"/>
        </w:trPr>
        <w:tc>
          <w:tcPr>
            <w:tcW w:w="2538" w:type="dxa"/>
            <w:noWrap/>
            <w:tcMar>
              <w:top w:w="0" w:type="dxa"/>
              <w:left w:w="108" w:type="dxa"/>
              <w:bottom w:w="0" w:type="dxa"/>
              <w:right w:w="108" w:type="dxa"/>
            </w:tcMar>
            <w:vAlign w:val="center"/>
            <w:hideMark/>
          </w:tcPr>
          <w:p w:rsidRPr="00E22977" w:rsidR="0019335F" w:rsidP="00243203" w:rsidRDefault="0019335F">
            <w:pPr>
              <w:rPr>
                <w:color w:val="000000"/>
                <w:sz w:val="22"/>
                <w:szCs w:val="22"/>
              </w:rPr>
            </w:pPr>
            <w:r w:rsidRPr="00E22977">
              <w:rPr>
                <w:color w:val="000000"/>
              </w:rPr>
              <w:t xml:space="preserve">Total sample size </w:t>
            </w:r>
          </w:p>
        </w:tc>
        <w:tc>
          <w:tcPr>
            <w:tcW w:w="1536" w:type="dxa"/>
            <w:noWrap/>
            <w:tcMar>
              <w:top w:w="0" w:type="dxa"/>
              <w:left w:w="108" w:type="dxa"/>
              <w:bottom w:w="0" w:type="dxa"/>
              <w:right w:w="108" w:type="dxa"/>
            </w:tcMar>
            <w:vAlign w:val="center"/>
            <w:hideMark/>
          </w:tcPr>
          <w:p w:rsidRPr="00E22977" w:rsidR="0019335F" w:rsidP="00243203" w:rsidRDefault="00DC3E5A">
            <w:pPr>
              <w:jc w:val="right"/>
              <w:rPr>
                <w:color w:val="000000"/>
              </w:rPr>
            </w:pPr>
            <w:r w:rsidRPr="00E22977">
              <w:rPr>
                <w:color w:val="000000"/>
              </w:rPr>
              <w:t>760</w:t>
            </w:r>
          </w:p>
        </w:tc>
      </w:tr>
      <w:tr w:rsidRPr="00E22977" w:rsidR="0019335F" w:rsidTr="00243203">
        <w:trPr>
          <w:trHeight w:val="300"/>
        </w:trPr>
        <w:tc>
          <w:tcPr>
            <w:tcW w:w="2538" w:type="dxa"/>
            <w:noWrap/>
            <w:tcMar>
              <w:top w:w="0" w:type="dxa"/>
              <w:left w:w="108" w:type="dxa"/>
              <w:bottom w:w="0" w:type="dxa"/>
              <w:right w:w="108" w:type="dxa"/>
            </w:tcMar>
            <w:vAlign w:val="center"/>
            <w:hideMark/>
          </w:tcPr>
          <w:p w:rsidRPr="00E22977" w:rsidR="0019335F" w:rsidP="00243203" w:rsidRDefault="0019335F">
            <w:pPr>
              <w:rPr>
                <w:color w:val="000000"/>
              </w:rPr>
            </w:pPr>
            <w:r w:rsidRPr="00E22977">
              <w:rPr>
                <w:color w:val="000000"/>
              </w:rPr>
              <w:t>Estimated response rate</w:t>
            </w:r>
          </w:p>
        </w:tc>
        <w:tc>
          <w:tcPr>
            <w:tcW w:w="1536" w:type="dxa"/>
            <w:noWrap/>
            <w:tcMar>
              <w:top w:w="0" w:type="dxa"/>
              <w:left w:w="108" w:type="dxa"/>
              <w:bottom w:w="0" w:type="dxa"/>
              <w:right w:w="108" w:type="dxa"/>
            </w:tcMar>
            <w:vAlign w:val="center"/>
            <w:hideMark/>
          </w:tcPr>
          <w:p w:rsidRPr="00E22977" w:rsidR="0019335F" w:rsidP="00243203" w:rsidRDefault="0019335F">
            <w:pPr>
              <w:jc w:val="right"/>
              <w:rPr>
                <w:color w:val="000000"/>
              </w:rPr>
            </w:pPr>
            <w:r w:rsidRPr="00E22977">
              <w:rPr>
                <w:color w:val="000000"/>
              </w:rPr>
              <w:t>90%</w:t>
            </w:r>
          </w:p>
        </w:tc>
      </w:tr>
      <w:tr w:rsidRPr="00E22977" w:rsidR="0019335F" w:rsidTr="00243203">
        <w:trPr>
          <w:trHeight w:val="300"/>
        </w:trPr>
        <w:tc>
          <w:tcPr>
            <w:tcW w:w="2538" w:type="dxa"/>
            <w:noWrap/>
            <w:tcMar>
              <w:top w:w="0" w:type="dxa"/>
              <w:left w:w="108" w:type="dxa"/>
              <w:bottom w:w="0" w:type="dxa"/>
              <w:right w:w="108" w:type="dxa"/>
            </w:tcMar>
            <w:vAlign w:val="center"/>
            <w:hideMark/>
          </w:tcPr>
          <w:p w:rsidRPr="00E22977" w:rsidR="0019335F" w:rsidP="00243203" w:rsidRDefault="0019335F">
            <w:pPr>
              <w:rPr>
                <w:color w:val="000000"/>
              </w:rPr>
            </w:pPr>
            <w:r w:rsidRPr="00E22977">
              <w:rPr>
                <w:color w:val="000000"/>
              </w:rPr>
              <w:t>Total responses</w:t>
            </w:r>
          </w:p>
        </w:tc>
        <w:tc>
          <w:tcPr>
            <w:tcW w:w="1536" w:type="dxa"/>
            <w:noWrap/>
            <w:tcMar>
              <w:top w:w="0" w:type="dxa"/>
              <w:left w:w="108" w:type="dxa"/>
              <w:bottom w:w="0" w:type="dxa"/>
              <w:right w:w="108" w:type="dxa"/>
            </w:tcMar>
            <w:vAlign w:val="center"/>
            <w:hideMark/>
          </w:tcPr>
          <w:p w:rsidRPr="00E22977" w:rsidR="0019335F" w:rsidP="00243203" w:rsidRDefault="00DC3E5A">
            <w:pPr>
              <w:jc w:val="right"/>
              <w:rPr>
                <w:color w:val="000000"/>
              </w:rPr>
            </w:pPr>
            <w:r w:rsidRPr="00E22977">
              <w:rPr>
                <w:color w:val="000000"/>
              </w:rPr>
              <w:t>684</w:t>
            </w:r>
          </w:p>
        </w:tc>
      </w:tr>
    </w:tbl>
    <w:p w:rsidRPr="00E22977" w:rsidR="00802459" w:rsidP="00802459" w:rsidRDefault="00802459">
      <w:pPr>
        <w:rPr>
          <w:bCs/>
          <w:color w:val="000000"/>
        </w:rPr>
      </w:pPr>
    </w:p>
    <w:p w:rsidRPr="00E22977" w:rsidR="00802459" w:rsidP="00802459" w:rsidRDefault="00802459">
      <w:pPr>
        <w:rPr>
          <w:color w:val="000000"/>
        </w:rPr>
      </w:pPr>
      <w:r w:rsidRPr="00E22977">
        <w:rPr>
          <w:b/>
          <w:bCs/>
          <w:color w:val="000000"/>
        </w:rPr>
        <w:t>Site visits</w:t>
      </w:r>
      <w:r w:rsidRPr="00E22977" w:rsidR="002E1D54">
        <w:rPr>
          <w:b/>
          <w:bCs/>
          <w:color w:val="000000"/>
        </w:rPr>
        <w:t>.</w:t>
      </w:r>
      <w:r w:rsidRPr="00E22977" w:rsidR="002E1D54">
        <w:rPr>
          <w:bCs/>
          <w:color w:val="000000"/>
        </w:rPr>
        <w:t xml:space="preserve"> Six </w:t>
      </w:r>
      <w:r w:rsidRPr="00E22977">
        <w:rPr>
          <w:bCs/>
          <w:color w:val="000000"/>
        </w:rPr>
        <w:t>site visits will be conducted</w:t>
      </w:r>
      <w:r w:rsidRPr="00E22977" w:rsidR="002E1D54">
        <w:rPr>
          <w:bCs/>
          <w:color w:val="000000"/>
        </w:rPr>
        <w:t xml:space="preserve"> during this period</w:t>
      </w:r>
      <w:r w:rsidRPr="00E22977">
        <w:rPr>
          <w:bCs/>
          <w:color w:val="000000"/>
        </w:rPr>
        <w:t xml:space="preserve">. No site visits will be completed during the first cohort. Assuming an average of </w:t>
      </w:r>
      <w:r w:rsidRPr="00E22977" w:rsidR="002E1D54">
        <w:rPr>
          <w:bCs/>
          <w:color w:val="000000"/>
        </w:rPr>
        <w:t xml:space="preserve">3 </w:t>
      </w:r>
      <w:r w:rsidRPr="00E22977">
        <w:rPr>
          <w:bCs/>
          <w:color w:val="000000"/>
        </w:rPr>
        <w:t xml:space="preserve">staff being a part of each site visit, about </w:t>
      </w:r>
      <w:r w:rsidRPr="00E22977" w:rsidR="002E1D54">
        <w:rPr>
          <w:bCs/>
          <w:color w:val="000000"/>
        </w:rPr>
        <w:t xml:space="preserve">18 </w:t>
      </w:r>
      <w:r w:rsidRPr="00E22977">
        <w:rPr>
          <w:bCs/>
          <w:color w:val="000000"/>
        </w:rPr>
        <w:t xml:space="preserve">staff would be part of the site visit that will take </w:t>
      </w:r>
      <w:r w:rsidRPr="00E22977" w:rsidR="002E1D54">
        <w:rPr>
          <w:bCs/>
          <w:color w:val="000000"/>
        </w:rPr>
        <w:t>4</w:t>
      </w:r>
      <w:r w:rsidRPr="00E22977">
        <w:rPr>
          <w:bCs/>
          <w:color w:val="000000"/>
        </w:rPr>
        <w:t xml:space="preserve"> hours to complete. </w:t>
      </w:r>
    </w:p>
    <w:p w:rsidRPr="00E22977" w:rsidR="005E0A4C" w:rsidP="00802459" w:rsidRDefault="005E0A4C">
      <w:pPr>
        <w:rPr>
          <w:color w:val="000000"/>
        </w:rPr>
      </w:pPr>
    </w:p>
    <w:p w:rsidRPr="00E22977" w:rsidR="005E0A4C" w:rsidP="005E0A4C" w:rsidRDefault="00E22977">
      <w:pPr>
        <w:jc w:val="both"/>
        <w:rPr>
          <w:b/>
          <w:bCs/>
          <w:szCs w:val="22"/>
        </w:rPr>
      </w:pPr>
      <w:r>
        <w:rPr>
          <w:b/>
        </w:rPr>
        <w:br w:type="page"/>
      </w:r>
      <w:r w:rsidRPr="00E22977" w:rsidR="005E0A4C">
        <w:rPr>
          <w:b/>
        </w:rPr>
        <w:lastRenderedPageBreak/>
        <w:t>Table 4. Hospital staff surveyed in site visit</w:t>
      </w:r>
      <w:r w:rsidRPr="00E22977" w:rsidR="002E1D54">
        <w:rPr>
          <w:b/>
        </w:rPr>
        <w:t>s for Cohort 4</w:t>
      </w:r>
    </w:p>
    <w:tbl>
      <w:tblPr>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2070"/>
        <w:gridCol w:w="2070"/>
        <w:gridCol w:w="2070"/>
      </w:tblGrid>
      <w:tr w:rsidRPr="00E22977" w:rsidR="00802459" w:rsidTr="00E22977">
        <w:trPr>
          <w:trHeight w:val="449"/>
        </w:trPr>
        <w:tc>
          <w:tcPr>
            <w:tcW w:w="2700" w:type="dxa"/>
            <w:shd w:val="clear" w:color="auto" w:fill="DEEAF6"/>
            <w:hideMark/>
          </w:tcPr>
          <w:p w:rsidRPr="00E22977" w:rsidR="00802459" w:rsidP="007B566B" w:rsidRDefault="00802459">
            <w:pPr>
              <w:rPr>
                <w:b/>
                <w:bCs/>
                <w:color w:val="000000"/>
                <w:sz w:val="20"/>
                <w:szCs w:val="20"/>
              </w:rPr>
            </w:pPr>
            <w:r w:rsidRPr="00E22977">
              <w:rPr>
                <w:b/>
                <w:bCs/>
                <w:color w:val="000000"/>
                <w:sz w:val="20"/>
                <w:szCs w:val="20"/>
              </w:rPr>
              <w:t>Site visits</w:t>
            </w:r>
          </w:p>
        </w:tc>
        <w:tc>
          <w:tcPr>
            <w:tcW w:w="2070" w:type="dxa"/>
            <w:shd w:val="clear" w:color="auto" w:fill="DEEAF6"/>
            <w:hideMark/>
          </w:tcPr>
          <w:p w:rsidRPr="00E22977" w:rsidR="00802459" w:rsidP="005E0A4C" w:rsidRDefault="00802459">
            <w:pPr>
              <w:rPr>
                <w:b/>
                <w:bCs/>
                <w:color w:val="000000"/>
                <w:sz w:val="20"/>
                <w:szCs w:val="20"/>
              </w:rPr>
            </w:pPr>
            <w:r w:rsidRPr="00E22977">
              <w:rPr>
                <w:b/>
                <w:bCs/>
                <w:color w:val="000000"/>
                <w:sz w:val="20"/>
                <w:szCs w:val="20"/>
              </w:rPr>
              <w:t># of hospitals</w:t>
            </w:r>
            <w:r w:rsidRPr="00E22977" w:rsidR="005E0A4C">
              <w:rPr>
                <w:b/>
                <w:bCs/>
                <w:color w:val="000000"/>
                <w:sz w:val="20"/>
                <w:szCs w:val="20"/>
              </w:rPr>
              <w:t xml:space="preserve"> chosen for site visit</w:t>
            </w:r>
          </w:p>
        </w:tc>
        <w:tc>
          <w:tcPr>
            <w:tcW w:w="2070" w:type="dxa"/>
            <w:shd w:val="clear" w:color="auto" w:fill="DEEAF6"/>
            <w:hideMark/>
          </w:tcPr>
          <w:p w:rsidRPr="00E22977" w:rsidR="00802459" w:rsidP="007B566B" w:rsidRDefault="00802459">
            <w:pPr>
              <w:rPr>
                <w:b/>
                <w:bCs/>
                <w:color w:val="000000"/>
                <w:sz w:val="20"/>
                <w:szCs w:val="20"/>
              </w:rPr>
            </w:pPr>
            <w:r w:rsidRPr="00E22977">
              <w:rPr>
                <w:b/>
                <w:bCs/>
                <w:color w:val="000000"/>
                <w:sz w:val="20"/>
                <w:szCs w:val="20"/>
              </w:rPr>
              <w:t># of staff in site visit per hospital</w:t>
            </w:r>
          </w:p>
        </w:tc>
        <w:tc>
          <w:tcPr>
            <w:tcW w:w="2070" w:type="dxa"/>
            <w:shd w:val="clear" w:color="auto" w:fill="DEEAF6"/>
            <w:hideMark/>
          </w:tcPr>
          <w:p w:rsidRPr="00E22977" w:rsidR="00802459" w:rsidP="007B566B" w:rsidRDefault="00802459">
            <w:pPr>
              <w:rPr>
                <w:b/>
                <w:bCs/>
                <w:color w:val="000000"/>
                <w:sz w:val="20"/>
                <w:szCs w:val="20"/>
              </w:rPr>
            </w:pPr>
            <w:r w:rsidRPr="00E22977">
              <w:rPr>
                <w:b/>
                <w:bCs/>
                <w:color w:val="000000"/>
                <w:sz w:val="20"/>
                <w:szCs w:val="20"/>
              </w:rPr>
              <w:t># of staff in site visit per cohort</w:t>
            </w:r>
          </w:p>
        </w:tc>
      </w:tr>
      <w:tr w:rsidRPr="00E22977" w:rsidR="00802459" w:rsidTr="00E22977">
        <w:trPr>
          <w:trHeight w:val="340"/>
        </w:trPr>
        <w:tc>
          <w:tcPr>
            <w:tcW w:w="2700" w:type="dxa"/>
            <w:shd w:val="clear" w:color="auto" w:fill="auto"/>
            <w:vAlign w:val="center"/>
            <w:hideMark/>
          </w:tcPr>
          <w:p w:rsidRPr="00E22977" w:rsidR="00802459" w:rsidP="007B566B" w:rsidRDefault="00802459">
            <w:pPr>
              <w:rPr>
                <w:bCs/>
                <w:color w:val="000000"/>
                <w:sz w:val="20"/>
                <w:szCs w:val="20"/>
              </w:rPr>
            </w:pPr>
            <w:r w:rsidRPr="00E22977">
              <w:rPr>
                <w:bCs/>
                <w:color w:val="000000"/>
                <w:sz w:val="20"/>
                <w:szCs w:val="20"/>
              </w:rPr>
              <w:t xml:space="preserve">Cohort 4 </w:t>
            </w:r>
          </w:p>
        </w:tc>
        <w:tc>
          <w:tcPr>
            <w:tcW w:w="2070" w:type="dxa"/>
            <w:shd w:val="clear" w:color="auto" w:fill="auto"/>
            <w:vAlign w:val="center"/>
            <w:hideMark/>
          </w:tcPr>
          <w:p w:rsidRPr="00E22977" w:rsidR="00802459" w:rsidP="007B566B" w:rsidRDefault="002E1D54">
            <w:pPr>
              <w:jc w:val="right"/>
              <w:rPr>
                <w:bCs/>
                <w:color w:val="000000"/>
                <w:sz w:val="20"/>
                <w:szCs w:val="20"/>
              </w:rPr>
            </w:pPr>
            <w:r w:rsidRPr="00E22977">
              <w:rPr>
                <w:bCs/>
                <w:color w:val="000000"/>
                <w:sz w:val="20"/>
                <w:szCs w:val="20"/>
              </w:rPr>
              <w:t>6</w:t>
            </w:r>
          </w:p>
        </w:tc>
        <w:tc>
          <w:tcPr>
            <w:tcW w:w="2070" w:type="dxa"/>
            <w:shd w:val="clear" w:color="auto" w:fill="auto"/>
            <w:vAlign w:val="center"/>
            <w:hideMark/>
          </w:tcPr>
          <w:p w:rsidRPr="00E22977" w:rsidR="00802459" w:rsidP="007B566B" w:rsidRDefault="002E1D54">
            <w:pPr>
              <w:jc w:val="right"/>
              <w:rPr>
                <w:bCs/>
                <w:color w:val="000000"/>
                <w:sz w:val="20"/>
                <w:szCs w:val="20"/>
              </w:rPr>
            </w:pPr>
            <w:r w:rsidRPr="00E22977">
              <w:rPr>
                <w:bCs/>
                <w:color w:val="000000"/>
                <w:sz w:val="20"/>
                <w:szCs w:val="20"/>
              </w:rPr>
              <w:t>3</w:t>
            </w:r>
          </w:p>
        </w:tc>
        <w:tc>
          <w:tcPr>
            <w:tcW w:w="2070" w:type="dxa"/>
            <w:shd w:val="clear" w:color="auto" w:fill="auto"/>
            <w:vAlign w:val="center"/>
            <w:hideMark/>
          </w:tcPr>
          <w:p w:rsidRPr="00E22977" w:rsidR="00802459" w:rsidP="007B566B" w:rsidRDefault="002E1D54">
            <w:pPr>
              <w:jc w:val="right"/>
              <w:rPr>
                <w:bCs/>
                <w:color w:val="000000"/>
                <w:sz w:val="20"/>
                <w:szCs w:val="20"/>
              </w:rPr>
            </w:pPr>
            <w:r w:rsidRPr="00E22977">
              <w:rPr>
                <w:bCs/>
                <w:color w:val="000000"/>
                <w:sz w:val="20"/>
                <w:szCs w:val="20"/>
              </w:rPr>
              <w:t>18</w:t>
            </w:r>
          </w:p>
        </w:tc>
      </w:tr>
    </w:tbl>
    <w:p w:rsidRPr="00E22977" w:rsidR="00E85538" w:rsidP="005453AD" w:rsidRDefault="00E85538">
      <w:pPr>
        <w:jc w:val="both"/>
        <w:rPr>
          <w:bCs/>
          <w:szCs w:val="22"/>
        </w:rPr>
      </w:pPr>
    </w:p>
    <w:tbl>
      <w:tblPr>
        <w:tblW w:w="4074" w:type="dxa"/>
        <w:tblCellMar>
          <w:left w:w="0" w:type="dxa"/>
          <w:right w:w="0" w:type="dxa"/>
        </w:tblCellMar>
        <w:tblLook w:val="04A0" w:firstRow="1" w:lastRow="0" w:firstColumn="1" w:lastColumn="0" w:noHBand="0" w:noVBand="1"/>
      </w:tblPr>
      <w:tblGrid>
        <w:gridCol w:w="2538"/>
        <w:gridCol w:w="1536"/>
      </w:tblGrid>
      <w:tr w:rsidRPr="00E22977" w:rsidR="005E0A4C" w:rsidTr="00243203">
        <w:trPr>
          <w:trHeight w:val="300"/>
        </w:trPr>
        <w:tc>
          <w:tcPr>
            <w:tcW w:w="2538" w:type="dxa"/>
            <w:noWrap/>
            <w:tcMar>
              <w:top w:w="0" w:type="dxa"/>
              <w:left w:w="108" w:type="dxa"/>
              <w:bottom w:w="0" w:type="dxa"/>
              <w:right w:w="108" w:type="dxa"/>
            </w:tcMar>
            <w:vAlign w:val="center"/>
            <w:hideMark/>
          </w:tcPr>
          <w:p w:rsidRPr="00E22977" w:rsidR="005E0A4C" w:rsidP="00243203" w:rsidRDefault="005E0A4C">
            <w:pPr>
              <w:rPr>
                <w:color w:val="000000"/>
                <w:sz w:val="22"/>
                <w:szCs w:val="22"/>
              </w:rPr>
            </w:pPr>
            <w:r w:rsidRPr="00E22977">
              <w:rPr>
                <w:color w:val="000000"/>
              </w:rPr>
              <w:t xml:space="preserve">Total sample size </w:t>
            </w:r>
          </w:p>
        </w:tc>
        <w:tc>
          <w:tcPr>
            <w:tcW w:w="1536" w:type="dxa"/>
            <w:noWrap/>
            <w:tcMar>
              <w:top w:w="0" w:type="dxa"/>
              <w:left w:w="108" w:type="dxa"/>
              <w:bottom w:w="0" w:type="dxa"/>
              <w:right w:w="108" w:type="dxa"/>
            </w:tcMar>
            <w:vAlign w:val="center"/>
            <w:hideMark/>
          </w:tcPr>
          <w:p w:rsidRPr="00E22977" w:rsidR="005E0A4C" w:rsidP="00243203" w:rsidRDefault="002E1D54">
            <w:pPr>
              <w:jc w:val="right"/>
              <w:rPr>
                <w:color w:val="000000"/>
              </w:rPr>
            </w:pPr>
            <w:r w:rsidRPr="00E22977">
              <w:rPr>
                <w:color w:val="000000"/>
              </w:rPr>
              <w:t>18</w:t>
            </w:r>
          </w:p>
        </w:tc>
      </w:tr>
      <w:tr w:rsidRPr="00E22977" w:rsidR="005E0A4C" w:rsidTr="00243203">
        <w:trPr>
          <w:trHeight w:val="300"/>
        </w:trPr>
        <w:tc>
          <w:tcPr>
            <w:tcW w:w="2538" w:type="dxa"/>
            <w:noWrap/>
            <w:tcMar>
              <w:top w:w="0" w:type="dxa"/>
              <w:left w:w="108" w:type="dxa"/>
              <w:bottom w:w="0" w:type="dxa"/>
              <w:right w:w="108" w:type="dxa"/>
            </w:tcMar>
            <w:vAlign w:val="center"/>
            <w:hideMark/>
          </w:tcPr>
          <w:p w:rsidRPr="00E22977" w:rsidR="005E0A4C" w:rsidP="00243203" w:rsidRDefault="005E0A4C">
            <w:pPr>
              <w:rPr>
                <w:color w:val="000000"/>
              </w:rPr>
            </w:pPr>
            <w:r w:rsidRPr="00E22977">
              <w:rPr>
                <w:color w:val="000000"/>
              </w:rPr>
              <w:t>Estimated response rate</w:t>
            </w:r>
          </w:p>
        </w:tc>
        <w:tc>
          <w:tcPr>
            <w:tcW w:w="1536" w:type="dxa"/>
            <w:noWrap/>
            <w:tcMar>
              <w:top w:w="0" w:type="dxa"/>
              <w:left w:w="108" w:type="dxa"/>
              <w:bottom w:w="0" w:type="dxa"/>
              <w:right w:w="108" w:type="dxa"/>
            </w:tcMar>
            <w:vAlign w:val="center"/>
            <w:hideMark/>
          </w:tcPr>
          <w:p w:rsidRPr="00E22977" w:rsidR="005E0A4C" w:rsidP="00243203" w:rsidRDefault="005E0A4C">
            <w:pPr>
              <w:jc w:val="right"/>
              <w:rPr>
                <w:color w:val="000000"/>
              </w:rPr>
            </w:pPr>
            <w:r w:rsidRPr="00E22977">
              <w:rPr>
                <w:color w:val="000000"/>
              </w:rPr>
              <w:t>100%</w:t>
            </w:r>
          </w:p>
        </w:tc>
      </w:tr>
      <w:tr w:rsidRPr="00E22977" w:rsidR="005E0A4C" w:rsidTr="00243203">
        <w:trPr>
          <w:trHeight w:val="300"/>
        </w:trPr>
        <w:tc>
          <w:tcPr>
            <w:tcW w:w="2538" w:type="dxa"/>
            <w:noWrap/>
            <w:tcMar>
              <w:top w:w="0" w:type="dxa"/>
              <w:left w:w="108" w:type="dxa"/>
              <w:bottom w:w="0" w:type="dxa"/>
              <w:right w:w="108" w:type="dxa"/>
            </w:tcMar>
            <w:vAlign w:val="center"/>
            <w:hideMark/>
          </w:tcPr>
          <w:p w:rsidRPr="00E22977" w:rsidR="005E0A4C" w:rsidP="00243203" w:rsidRDefault="005E0A4C">
            <w:pPr>
              <w:rPr>
                <w:color w:val="000000"/>
              </w:rPr>
            </w:pPr>
            <w:r w:rsidRPr="00E22977">
              <w:rPr>
                <w:color w:val="000000"/>
              </w:rPr>
              <w:t>Total responses</w:t>
            </w:r>
          </w:p>
        </w:tc>
        <w:tc>
          <w:tcPr>
            <w:tcW w:w="1536" w:type="dxa"/>
            <w:noWrap/>
            <w:tcMar>
              <w:top w:w="0" w:type="dxa"/>
              <w:left w:w="108" w:type="dxa"/>
              <w:bottom w:w="0" w:type="dxa"/>
              <w:right w:w="108" w:type="dxa"/>
            </w:tcMar>
            <w:vAlign w:val="center"/>
            <w:hideMark/>
          </w:tcPr>
          <w:p w:rsidRPr="00E22977" w:rsidR="005E0A4C" w:rsidP="00243203" w:rsidRDefault="002E1D54">
            <w:pPr>
              <w:jc w:val="right"/>
              <w:rPr>
                <w:color w:val="000000"/>
              </w:rPr>
            </w:pPr>
            <w:r w:rsidRPr="00E22977">
              <w:rPr>
                <w:color w:val="000000"/>
              </w:rPr>
              <w:t>18</w:t>
            </w:r>
          </w:p>
        </w:tc>
      </w:tr>
    </w:tbl>
    <w:p w:rsidRPr="00E22977" w:rsidR="0063635A" w:rsidP="005453AD" w:rsidRDefault="0063635A">
      <w:pPr>
        <w:jc w:val="both"/>
        <w:rPr>
          <w:b/>
          <w:bCs/>
          <w:szCs w:val="22"/>
        </w:rPr>
      </w:pPr>
    </w:p>
    <w:p w:rsidRPr="00E22977" w:rsidR="002837E3" w:rsidP="00415CF4" w:rsidRDefault="00C41CB7">
      <w:pPr>
        <w:pStyle w:val="Heading2"/>
        <w:spacing w:before="0" w:after="0"/>
      </w:pPr>
      <w:bookmarkStart w:name="_Toc151782200" w:id="5"/>
      <w:bookmarkStart w:name="_Toc158526236" w:id="6"/>
      <w:r w:rsidRPr="00E22977">
        <w:rPr>
          <w:sz w:val="24"/>
        </w:rPr>
        <w:t>2. Information Collection Procedures</w:t>
      </w:r>
      <w:bookmarkEnd w:id="5"/>
      <w:bookmarkEnd w:id="6"/>
      <w:r w:rsidRPr="00E22977" w:rsidR="002837E3">
        <w:t xml:space="preserve"> </w:t>
      </w:r>
    </w:p>
    <w:p w:rsidRPr="00E22977" w:rsidR="00E85538" w:rsidP="009B49B9" w:rsidRDefault="00E85538">
      <w:pPr>
        <w:pStyle w:val="CommentText"/>
        <w:rPr>
          <w:b/>
          <w:bCs/>
          <w:sz w:val="24"/>
          <w:szCs w:val="24"/>
        </w:rPr>
      </w:pPr>
    </w:p>
    <w:p w:rsidRPr="00E22977" w:rsidR="00BE26E1" w:rsidP="009B49B9" w:rsidRDefault="009B49B9">
      <w:pPr>
        <w:pStyle w:val="CommentText"/>
        <w:rPr>
          <w:bCs/>
          <w:sz w:val="24"/>
          <w:szCs w:val="24"/>
        </w:rPr>
      </w:pPr>
      <w:r w:rsidRPr="00E22977">
        <w:rPr>
          <w:b/>
          <w:bCs/>
          <w:sz w:val="24"/>
          <w:szCs w:val="24"/>
        </w:rPr>
        <w:t>Important note:</w:t>
      </w:r>
      <w:r w:rsidRPr="00E22977">
        <w:rPr>
          <w:bCs/>
          <w:sz w:val="24"/>
          <w:szCs w:val="24"/>
        </w:rPr>
        <w:t xml:space="preserve"> Since this project is a demonstration/implementation project a probability sample is not practical and will not be conducted for any of our surveys or assessments. </w:t>
      </w:r>
    </w:p>
    <w:p w:rsidRPr="00E22977" w:rsidR="009B49B9" w:rsidP="00E22977" w:rsidRDefault="009B49B9">
      <w:pPr>
        <w:pStyle w:val="CommentText"/>
      </w:pPr>
    </w:p>
    <w:p w:rsidRPr="00E22977" w:rsidR="00456239" w:rsidP="00E22977" w:rsidRDefault="00722169">
      <w:r w:rsidRPr="00E22977">
        <w:rPr>
          <w:b/>
        </w:rPr>
        <w:t>Safety culture survey</w:t>
      </w:r>
      <w:r w:rsidRPr="00E22977" w:rsidR="00456239">
        <w:rPr>
          <w:b/>
        </w:rPr>
        <w:t xml:space="preserve">. </w:t>
      </w:r>
      <w:r w:rsidRPr="00E22977" w:rsidR="006D7289">
        <w:t xml:space="preserve">To successfully </w:t>
      </w:r>
      <w:r w:rsidRPr="00E22977" w:rsidR="00456239">
        <w:t xml:space="preserve">measure perioperative patient </w:t>
      </w:r>
      <w:r w:rsidRPr="00E22977" w:rsidR="006D7289">
        <w:t xml:space="preserve">safety culture in this project, </w:t>
      </w:r>
      <w:r w:rsidRPr="00E22977" w:rsidR="00AC736C">
        <w:t>w</w:t>
      </w:r>
      <w:r w:rsidRPr="00E22977" w:rsidR="00456239">
        <w:t>e</w:t>
      </w:r>
      <w:r w:rsidRPr="00E22977" w:rsidR="00832072">
        <w:t xml:space="preserve"> </w:t>
      </w:r>
      <w:r w:rsidRPr="00E22977" w:rsidR="00456239">
        <w:t xml:space="preserve">will use the Ambulatory Surgery Center Survey on Patient Safety Culture (ASC-SOPS), adapted for the </w:t>
      </w:r>
      <w:r w:rsidRPr="00E22977" w:rsidR="00121F43">
        <w:t>in</w:t>
      </w:r>
      <w:r w:rsidRPr="00E22977" w:rsidR="00456239">
        <w:t>patient surgery setting</w:t>
      </w:r>
      <w:r w:rsidRPr="00E22977" w:rsidR="006D7289">
        <w:t xml:space="preserve"> to collect safety culture measures from participating hospitals. </w:t>
      </w:r>
      <w:r w:rsidRPr="00E22977" w:rsidR="00456239">
        <w:t>The A</w:t>
      </w:r>
      <w:r w:rsidRPr="00E22977" w:rsidR="00121F43">
        <w:t>S</w:t>
      </w:r>
      <w:r w:rsidRPr="00E22977" w:rsidR="00456239">
        <w:t xml:space="preserve">C-SOPS provides an efficient way to assess aspects of patient safety culture most pertinent in surgical services, offers more detailed mapping of perioperative provider and staff roles, and more clearly defines the parameters of the unit under investigation. </w:t>
      </w:r>
    </w:p>
    <w:p w:rsidRPr="00E22977" w:rsidR="00456239" w:rsidP="00456239" w:rsidRDefault="00456239">
      <w:pPr>
        <w:tabs>
          <w:tab w:val="left" w:pos="360"/>
        </w:tabs>
        <w:rPr>
          <w:bCs/>
        </w:rPr>
      </w:pPr>
    </w:p>
    <w:p w:rsidRPr="00E22977" w:rsidR="009E572D" w:rsidP="00456239" w:rsidRDefault="009E572D">
      <w:pPr>
        <w:tabs>
          <w:tab w:val="left" w:pos="360"/>
        </w:tabs>
        <w:rPr>
          <w:bCs/>
        </w:rPr>
      </w:pPr>
      <w:r w:rsidRPr="00E22977">
        <w:rPr>
          <w:bCs/>
        </w:rPr>
        <w:t>The recommendation to prep</w:t>
      </w:r>
      <w:r w:rsidRPr="00E22977" w:rsidR="00121F43">
        <w:rPr>
          <w:bCs/>
        </w:rPr>
        <w:t>are</w:t>
      </w:r>
      <w:r w:rsidRPr="00E22977">
        <w:rPr>
          <w:bCs/>
        </w:rPr>
        <w:t xml:space="preserve"> for and participate in the safety culture survey will be included in the enrollment procedures.  More information about the survey and how to participate will be discussed as open dialogue during the readiness assessment semi-structured interview</w:t>
      </w:r>
      <w:r w:rsidRPr="00E22977" w:rsidR="002E1D54">
        <w:rPr>
          <w:bCs/>
        </w:rPr>
        <w:t>, and participating hospitals will be identified</w:t>
      </w:r>
      <w:r w:rsidRPr="00E22977">
        <w:rPr>
          <w:bCs/>
        </w:rPr>
        <w:t>. Following the interview</w:t>
      </w:r>
      <w:r w:rsidRPr="00E22977" w:rsidR="009B49B9">
        <w:rPr>
          <w:bCs/>
        </w:rPr>
        <w:t xml:space="preserve">, project leads from each </w:t>
      </w:r>
      <w:r w:rsidRPr="00E22977" w:rsidR="002E1D54">
        <w:rPr>
          <w:bCs/>
        </w:rPr>
        <w:t xml:space="preserve">participating </w:t>
      </w:r>
      <w:r w:rsidRPr="00E22977" w:rsidR="009B49B9">
        <w:rPr>
          <w:bCs/>
        </w:rPr>
        <w:t>hospital will receive an email from the national team describing the minimal steps for participating in the safety culture survey.  Project leads will be given ideas and recommendations on how to communicate this survey to their staff to encourage participati</w:t>
      </w:r>
      <w:r w:rsidRPr="00E22977" w:rsidR="00121F43">
        <w:rPr>
          <w:bCs/>
        </w:rPr>
        <w:t>on</w:t>
      </w:r>
      <w:r w:rsidRPr="00E22977" w:rsidR="009B49B9">
        <w:rPr>
          <w:bCs/>
        </w:rPr>
        <w:t xml:space="preserve">.  </w:t>
      </w:r>
    </w:p>
    <w:p w:rsidRPr="00E22977" w:rsidR="009B49B9" w:rsidP="00456239" w:rsidRDefault="009B49B9">
      <w:pPr>
        <w:tabs>
          <w:tab w:val="left" w:pos="360"/>
        </w:tabs>
        <w:rPr>
          <w:bCs/>
        </w:rPr>
      </w:pPr>
    </w:p>
    <w:p w:rsidRPr="00E22977" w:rsidR="009E572D" w:rsidP="009E572D" w:rsidRDefault="009E572D">
      <w:pPr>
        <w:pStyle w:val="p1"/>
        <w:rPr>
          <w:rFonts w:ascii="Times New Roman" w:hAnsi="Times New Roman"/>
          <w:bCs/>
          <w:sz w:val="24"/>
          <w:szCs w:val="24"/>
        </w:rPr>
      </w:pPr>
      <w:r w:rsidRPr="00E22977">
        <w:rPr>
          <w:rFonts w:ascii="Times New Roman" w:hAnsi="Times New Roman" w:eastAsia="Times New Roman"/>
          <w:bCs/>
          <w:sz w:val="24"/>
          <w:szCs w:val="24"/>
        </w:rPr>
        <w:t xml:space="preserve">The following are </w:t>
      </w:r>
      <w:r w:rsidRPr="00E22977">
        <w:rPr>
          <w:rFonts w:ascii="Times New Roman" w:hAnsi="Times New Roman"/>
          <w:bCs/>
          <w:sz w:val="24"/>
          <w:szCs w:val="24"/>
        </w:rPr>
        <w:t xml:space="preserve">the safety culture composites categories that the Ambulatory Surgery Center Survey on Patient Safety Culture are intended to measure: </w:t>
      </w:r>
    </w:p>
    <w:p w:rsidRPr="00E22977" w:rsidR="009E572D" w:rsidP="009E572D" w:rsidRDefault="009E572D">
      <w:pPr>
        <w:numPr>
          <w:ilvl w:val="0"/>
          <w:numId w:val="8"/>
        </w:numPr>
        <w:rPr>
          <w:rFonts w:eastAsia="Calibri"/>
          <w:bCs/>
        </w:rPr>
      </w:pPr>
      <w:r w:rsidRPr="00E22977">
        <w:rPr>
          <w:rFonts w:eastAsia="Calibri"/>
          <w:bCs/>
        </w:rPr>
        <w:t>Communication About Patient Information </w:t>
      </w:r>
    </w:p>
    <w:p w:rsidRPr="00E22977" w:rsidR="009E572D" w:rsidP="009E572D" w:rsidRDefault="009E572D">
      <w:pPr>
        <w:numPr>
          <w:ilvl w:val="0"/>
          <w:numId w:val="8"/>
        </w:numPr>
        <w:rPr>
          <w:rFonts w:eastAsia="Calibri"/>
          <w:bCs/>
        </w:rPr>
      </w:pPr>
      <w:r w:rsidRPr="00E22977">
        <w:rPr>
          <w:rFonts w:eastAsia="Calibri"/>
          <w:bCs/>
        </w:rPr>
        <w:t>Communication Openness </w:t>
      </w:r>
    </w:p>
    <w:p w:rsidRPr="00E22977" w:rsidR="009E572D" w:rsidP="009E572D" w:rsidRDefault="009E572D">
      <w:pPr>
        <w:numPr>
          <w:ilvl w:val="0"/>
          <w:numId w:val="8"/>
        </w:numPr>
        <w:rPr>
          <w:rFonts w:eastAsia="Calibri"/>
          <w:bCs/>
        </w:rPr>
      </w:pPr>
      <w:r w:rsidRPr="00E22977">
        <w:rPr>
          <w:rFonts w:eastAsia="Calibri"/>
          <w:bCs/>
        </w:rPr>
        <w:t>Staffing, Work Pressure, and Pace </w:t>
      </w:r>
    </w:p>
    <w:p w:rsidRPr="00E22977" w:rsidR="009E572D" w:rsidP="009E572D" w:rsidRDefault="009E572D">
      <w:pPr>
        <w:numPr>
          <w:ilvl w:val="0"/>
          <w:numId w:val="8"/>
        </w:numPr>
        <w:rPr>
          <w:rFonts w:eastAsia="Calibri"/>
          <w:bCs/>
        </w:rPr>
      </w:pPr>
      <w:r w:rsidRPr="00E22977">
        <w:rPr>
          <w:rFonts w:eastAsia="Calibri"/>
          <w:bCs/>
        </w:rPr>
        <w:t>Teamwork </w:t>
      </w:r>
    </w:p>
    <w:p w:rsidRPr="00E22977" w:rsidR="009E572D" w:rsidP="009E572D" w:rsidRDefault="009E572D">
      <w:pPr>
        <w:numPr>
          <w:ilvl w:val="0"/>
          <w:numId w:val="8"/>
        </w:numPr>
        <w:rPr>
          <w:rFonts w:eastAsia="Calibri"/>
          <w:bCs/>
        </w:rPr>
      </w:pPr>
      <w:r w:rsidRPr="00E22977">
        <w:rPr>
          <w:rFonts w:eastAsia="Calibri"/>
          <w:bCs/>
        </w:rPr>
        <w:t>Staff Training </w:t>
      </w:r>
    </w:p>
    <w:p w:rsidRPr="00E22977" w:rsidR="009E572D" w:rsidP="009E572D" w:rsidRDefault="009E572D">
      <w:pPr>
        <w:numPr>
          <w:ilvl w:val="0"/>
          <w:numId w:val="8"/>
        </w:numPr>
        <w:rPr>
          <w:rFonts w:eastAsia="Calibri"/>
          <w:bCs/>
        </w:rPr>
      </w:pPr>
      <w:r w:rsidRPr="00E22977">
        <w:rPr>
          <w:rFonts w:eastAsia="Calibri"/>
          <w:bCs/>
        </w:rPr>
        <w:t>Organizational Learning – Continuous Improvement </w:t>
      </w:r>
    </w:p>
    <w:p w:rsidRPr="00E22977" w:rsidR="009E572D" w:rsidP="009E572D" w:rsidRDefault="009E572D">
      <w:pPr>
        <w:numPr>
          <w:ilvl w:val="0"/>
          <w:numId w:val="8"/>
        </w:numPr>
        <w:rPr>
          <w:rFonts w:eastAsia="Calibri"/>
          <w:bCs/>
        </w:rPr>
      </w:pPr>
      <w:r w:rsidRPr="00E22977">
        <w:rPr>
          <w:rFonts w:eastAsia="Calibri"/>
          <w:bCs/>
        </w:rPr>
        <w:t>Response to Mistakes </w:t>
      </w:r>
    </w:p>
    <w:p w:rsidRPr="00E22977" w:rsidR="009E572D" w:rsidP="009E572D" w:rsidRDefault="009E572D">
      <w:pPr>
        <w:numPr>
          <w:ilvl w:val="0"/>
          <w:numId w:val="8"/>
        </w:numPr>
        <w:rPr>
          <w:rFonts w:eastAsia="Calibri"/>
          <w:bCs/>
        </w:rPr>
      </w:pPr>
      <w:r w:rsidRPr="00E22977">
        <w:rPr>
          <w:rFonts w:eastAsia="Calibri"/>
          <w:bCs/>
        </w:rPr>
        <w:t>Management Support for Patient Safety </w:t>
      </w:r>
    </w:p>
    <w:p w:rsidRPr="00E22977" w:rsidR="009E572D" w:rsidP="009E572D" w:rsidRDefault="009E572D">
      <w:pPr>
        <w:numPr>
          <w:ilvl w:val="0"/>
          <w:numId w:val="8"/>
        </w:numPr>
        <w:rPr>
          <w:bCs/>
        </w:rPr>
      </w:pPr>
      <w:r w:rsidRPr="00E22977">
        <w:rPr>
          <w:bCs/>
        </w:rPr>
        <w:t>Near-Miss Documentation </w:t>
      </w:r>
    </w:p>
    <w:p w:rsidRPr="00E22977" w:rsidR="009E572D" w:rsidP="009E572D" w:rsidRDefault="009E572D">
      <w:pPr>
        <w:numPr>
          <w:ilvl w:val="0"/>
          <w:numId w:val="8"/>
        </w:numPr>
        <w:rPr>
          <w:bCs/>
        </w:rPr>
      </w:pPr>
      <w:r w:rsidRPr="00E22977">
        <w:rPr>
          <w:bCs/>
        </w:rPr>
        <w:t>Overall Patient Safety Rating </w:t>
      </w:r>
    </w:p>
    <w:p w:rsidRPr="00E22977" w:rsidR="009E572D" w:rsidP="009E572D" w:rsidRDefault="009E572D">
      <w:pPr>
        <w:numPr>
          <w:ilvl w:val="0"/>
          <w:numId w:val="8"/>
        </w:numPr>
        <w:rPr>
          <w:bCs/>
        </w:rPr>
      </w:pPr>
      <w:r w:rsidRPr="00E22977">
        <w:rPr>
          <w:bCs/>
        </w:rPr>
        <w:t>Communication in the Surgery/Procedure Room </w:t>
      </w:r>
    </w:p>
    <w:p w:rsidRPr="00E22977" w:rsidR="009E572D" w:rsidP="00456239" w:rsidRDefault="009E572D">
      <w:pPr>
        <w:tabs>
          <w:tab w:val="left" w:pos="360"/>
        </w:tabs>
        <w:rPr>
          <w:bCs/>
        </w:rPr>
      </w:pPr>
    </w:p>
    <w:p w:rsidRPr="00E22977" w:rsidR="00456239" w:rsidP="00456239" w:rsidRDefault="00456239">
      <w:pPr>
        <w:tabs>
          <w:tab w:val="left" w:pos="360"/>
        </w:tabs>
        <w:rPr>
          <w:bCs/>
        </w:rPr>
      </w:pPr>
      <w:r w:rsidRPr="00E22977">
        <w:rPr>
          <w:bCs/>
        </w:rPr>
        <w:lastRenderedPageBreak/>
        <w:t xml:space="preserve">Hospital staff that will be a part of the </w:t>
      </w:r>
      <w:r w:rsidRPr="00E22977" w:rsidR="009E572D">
        <w:rPr>
          <w:bCs/>
        </w:rPr>
        <w:t>program</w:t>
      </w:r>
      <w:r w:rsidRPr="00E22977">
        <w:rPr>
          <w:bCs/>
        </w:rPr>
        <w:t xml:space="preserve"> will be asked to anonymously complete </w:t>
      </w:r>
      <w:r w:rsidRPr="00E22977" w:rsidR="009C46F4">
        <w:rPr>
          <w:bCs/>
        </w:rPr>
        <w:t xml:space="preserve">the adapted </w:t>
      </w:r>
      <w:r w:rsidRPr="00E22977">
        <w:rPr>
          <w:bCs/>
        </w:rPr>
        <w:t xml:space="preserve">ASC-SOPS at the beginning </w:t>
      </w:r>
      <w:r w:rsidRPr="00E22977" w:rsidR="00BE26E1">
        <w:rPr>
          <w:bCs/>
        </w:rPr>
        <w:t>of cohort 4.</w:t>
      </w:r>
      <w:r w:rsidRPr="00E22977">
        <w:rPr>
          <w:bCs/>
        </w:rPr>
        <w:t xml:space="preserve"> The hospital’s project team will receive their survey results and then debrief their staff on their safety culture and identify opportunities for further improvement. Participating hospitals will promote awareness of the survey among their staff</w:t>
      </w:r>
      <w:r w:rsidRPr="00E22977" w:rsidR="00AC736C">
        <w:rPr>
          <w:bCs/>
        </w:rPr>
        <w:t>,</w:t>
      </w:r>
      <w:r w:rsidRPr="00E22977">
        <w:rPr>
          <w:bCs/>
        </w:rPr>
        <w:t xml:space="preserve"> , encourage staff to complete the survey and provide staff time to do so, and organize their local debrief of the reports of their hospital’s results.  The nati</w:t>
      </w:r>
      <w:r w:rsidRPr="00E22977" w:rsidR="009E572D">
        <w:rPr>
          <w:bCs/>
        </w:rPr>
        <w:t>onal project team will analyze</w:t>
      </w:r>
      <w:r w:rsidRPr="00E22977">
        <w:rPr>
          <w:bCs/>
        </w:rPr>
        <w:t xml:space="preserve"> the data and send a report to the </w:t>
      </w:r>
      <w:r w:rsidRPr="00E22977" w:rsidR="00BE26E1">
        <w:rPr>
          <w:bCs/>
        </w:rPr>
        <w:t xml:space="preserve">participating </w:t>
      </w:r>
      <w:r w:rsidRPr="00E22977">
        <w:rPr>
          <w:bCs/>
        </w:rPr>
        <w:t>hospital</w:t>
      </w:r>
      <w:r w:rsidRPr="00E22977" w:rsidR="00BE26E1">
        <w:rPr>
          <w:bCs/>
        </w:rPr>
        <w:t>s</w:t>
      </w:r>
      <w:r w:rsidRPr="00E22977">
        <w:rPr>
          <w:bCs/>
        </w:rPr>
        <w:t xml:space="preserve">. </w:t>
      </w:r>
      <w:r w:rsidRPr="00E22977" w:rsidR="009E572D">
        <w:rPr>
          <w:bCs/>
        </w:rPr>
        <w:t xml:space="preserve"> </w:t>
      </w:r>
      <w:r w:rsidRPr="00E22977" w:rsidR="009B49B9">
        <w:rPr>
          <w:bCs/>
        </w:rPr>
        <w:t xml:space="preserve">A hospital that has less than six survey responders, will not be included in the reports or sent reports to debrief.  </w:t>
      </w:r>
    </w:p>
    <w:p w:rsidRPr="00E22977" w:rsidR="00456239" w:rsidP="005453AD" w:rsidRDefault="00456239"/>
    <w:p w:rsidRPr="00E22977" w:rsidR="005453AD" w:rsidP="005453AD" w:rsidRDefault="00722169">
      <w:r w:rsidRPr="00E22977">
        <w:rPr>
          <w:b/>
        </w:rPr>
        <w:t>P</w:t>
      </w:r>
      <w:r w:rsidRPr="00E22977" w:rsidR="00E41388">
        <w:rPr>
          <w:b/>
        </w:rPr>
        <w:t>atient experience survey</w:t>
      </w:r>
      <w:r w:rsidRPr="00E22977" w:rsidR="00E41388">
        <w:t xml:space="preserve"> data collection will include these steps:</w:t>
      </w:r>
    </w:p>
    <w:p w:rsidRPr="00E22977" w:rsidR="00E41388" w:rsidP="005453AD" w:rsidRDefault="00E41388"/>
    <w:p w:rsidRPr="00E22977" w:rsidR="00E41388" w:rsidP="006D0C1E" w:rsidRDefault="00E41388">
      <w:pPr>
        <w:numPr>
          <w:ilvl w:val="0"/>
          <w:numId w:val="6"/>
        </w:numPr>
      </w:pPr>
      <w:r w:rsidRPr="00E22977">
        <w:t>Mailing the surveys to the individuals sampled</w:t>
      </w:r>
      <w:r w:rsidRPr="00E22977" w:rsidR="00CB569B">
        <w:t xml:space="preserve">. </w:t>
      </w:r>
    </w:p>
    <w:p w:rsidRPr="00E22977" w:rsidR="00E41388" w:rsidP="006D0C1E" w:rsidRDefault="00F3174F">
      <w:pPr>
        <w:numPr>
          <w:ilvl w:val="0"/>
          <w:numId w:val="6"/>
        </w:numPr>
      </w:pPr>
      <w:r w:rsidRPr="00E22977">
        <w:t xml:space="preserve">Receiving completed surveys </w:t>
      </w:r>
      <w:r w:rsidRPr="00E22977" w:rsidR="00057F40">
        <w:t xml:space="preserve">by </w:t>
      </w:r>
      <w:r w:rsidRPr="00E22977">
        <w:t>mail</w:t>
      </w:r>
      <w:r w:rsidRPr="00E22977" w:rsidR="00CB569B">
        <w:t>. Returned surveys will be accepted throughout the data collection period.</w:t>
      </w:r>
    </w:p>
    <w:p w:rsidRPr="00E22977" w:rsidR="006D0C1E" w:rsidP="006D0C1E" w:rsidRDefault="006D0C1E">
      <w:pPr>
        <w:numPr>
          <w:ilvl w:val="0"/>
          <w:numId w:val="6"/>
        </w:numPr>
      </w:pPr>
      <w:r w:rsidRPr="00E22977">
        <w:t>Mailing thank you/reminder postcards to nonrespondents</w:t>
      </w:r>
      <w:r w:rsidRPr="00E22977" w:rsidR="00CB569B">
        <w:t>. A thank you/reminder postcard will be mailed to all sampled individuals about 7-10 calendar days after the initial survey is mailed.</w:t>
      </w:r>
    </w:p>
    <w:p w:rsidRPr="00E22977" w:rsidR="00F3174F" w:rsidP="006D0C1E" w:rsidRDefault="00F3174F">
      <w:pPr>
        <w:numPr>
          <w:ilvl w:val="0"/>
          <w:numId w:val="6"/>
        </w:numPr>
      </w:pPr>
      <w:r w:rsidRPr="00E22977">
        <w:t>Mailing reminder survey packet to nonrespondents</w:t>
      </w:r>
      <w:r w:rsidRPr="00E22977" w:rsidR="00CB569B">
        <w:t>. A second survey will be mailed to sample members who did not return the first survey. This second survey will be mailed to nonrespondents about 3-4 weeks after the first survey is mailed.</w:t>
      </w:r>
    </w:p>
    <w:p w:rsidRPr="00E22977" w:rsidR="00CB7B93" w:rsidP="00CB7B93" w:rsidRDefault="00CB7B93"/>
    <w:p w:rsidRPr="00E22977" w:rsidR="009B49B9" w:rsidP="009B49B9" w:rsidRDefault="009B49B9">
      <w:pPr>
        <w:rPr>
          <w:b/>
          <w:color w:val="000000"/>
        </w:rPr>
      </w:pPr>
      <w:r w:rsidRPr="00E22977">
        <w:rPr>
          <w:b/>
          <w:color w:val="000000"/>
        </w:rPr>
        <w:t xml:space="preserve">Readiness and Implementation assessment. </w:t>
      </w:r>
      <w:r w:rsidRPr="00E22977">
        <w:rPr>
          <w:color w:val="000000"/>
        </w:rPr>
        <w:t>The readiness assessment is a part of every hospital’s enrollment into each cohort.  The implementation assessment is a part of every hospital’s sign out of the program</w:t>
      </w:r>
      <w:r w:rsidRPr="00E22977" w:rsidR="00651BBB">
        <w:rPr>
          <w:color w:val="000000"/>
        </w:rPr>
        <w:t xml:space="preserve"> at the end of each cohort</w:t>
      </w:r>
      <w:r w:rsidRPr="00E22977">
        <w:rPr>
          <w:color w:val="000000"/>
        </w:rPr>
        <w:t>.</w:t>
      </w:r>
      <w:r w:rsidRPr="00E22977" w:rsidR="00651BBB">
        <w:rPr>
          <w:color w:val="000000"/>
        </w:rPr>
        <w:t xml:space="preserve"> For </w:t>
      </w:r>
      <w:r w:rsidRPr="00E22977" w:rsidR="00F26E37">
        <w:rPr>
          <w:color w:val="000000"/>
        </w:rPr>
        <w:t xml:space="preserve">the readiness </w:t>
      </w:r>
      <w:r w:rsidRPr="00E22977" w:rsidR="00651BBB">
        <w:rPr>
          <w:color w:val="000000"/>
        </w:rPr>
        <w:t>assessment, t</w:t>
      </w:r>
      <w:r w:rsidRPr="00E22977">
        <w:rPr>
          <w:color w:val="000000"/>
        </w:rPr>
        <w:t>he national team will send an email encouraging the hospitals to sign up for their 1-hour phone call with a member from the national team.</w:t>
      </w:r>
      <w:r w:rsidRPr="00E22977" w:rsidR="00F26E37">
        <w:rPr>
          <w:color w:val="000000"/>
        </w:rPr>
        <w:t xml:space="preserve"> For the implementation assessment, </w:t>
      </w:r>
      <w:r w:rsidRPr="00E22977" w:rsidR="00174788">
        <w:rPr>
          <w:color w:val="000000"/>
        </w:rPr>
        <w:t>the</w:t>
      </w:r>
      <w:r w:rsidRPr="00E22977">
        <w:rPr>
          <w:color w:val="000000"/>
        </w:rPr>
        <w:t xml:space="preserve"> national </w:t>
      </w:r>
      <w:r w:rsidRPr="00E22977" w:rsidR="00174788">
        <w:rPr>
          <w:color w:val="000000"/>
        </w:rPr>
        <w:t xml:space="preserve">project </w:t>
      </w:r>
      <w:r w:rsidRPr="00E22977">
        <w:rPr>
          <w:color w:val="000000"/>
        </w:rPr>
        <w:t xml:space="preserve">team </w:t>
      </w:r>
      <w:r w:rsidRPr="00E22977" w:rsidR="00174788">
        <w:rPr>
          <w:color w:val="000000"/>
        </w:rPr>
        <w:t xml:space="preserve">will send an email encouraging the hospitals to complete a survey through the Qualtrics platform. Hospitals that do not complete the survey will be sent a friendly reminder to complete the survey.  </w:t>
      </w:r>
    </w:p>
    <w:p w:rsidRPr="00E22977" w:rsidR="009B49B9" w:rsidP="009B49B9" w:rsidRDefault="009B49B9">
      <w:pPr>
        <w:rPr>
          <w:color w:val="000000"/>
        </w:rPr>
      </w:pPr>
    </w:p>
    <w:p w:rsidRPr="00E22977" w:rsidR="009B49B9" w:rsidP="009B49B9" w:rsidRDefault="00F26E37">
      <w:pPr>
        <w:pStyle w:val="ColorfulList-Accent1"/>
        <w:ind w:left="0"/>
        <w:rPr>
          <w:color w:val="000000"/>
        </w:rPr>
      </w:pPr>
      <w:r w:rsidRPr="00E22977">
        <w:rPr>
          <w:color w:val="000000"/>
        </w:rPr>
        <w:t xml:space="preserve">The Readiness </w:t>
      </w:r>
      <w:r w:rsidRPr="00E22977" w:rsidR="00651BBB">
        <w:rPr>
          <w:color w:val="000000"/>
        </w:rPr>
        <w:t>assessment will be conducted as a s</w:t>
      </w:r>
      <w:r w:rsidRPr="00E22977" w:rsidR="009B49B9">
        <w:rPr>
          <w:color w:val="000000"/>
        </w:rPr>
        <w:t>emi-structured qualitativ</w:t>
      </w:r>
      <w:r w:rsidRPr="00E22977" w:rsidR="00651BBB">
        <w:rPr>
          <w:color w:val="000000"/>
        </w:rPr>
        <w:t>e interview</w:t>
      </w:r>
      <w:r w:rsidRPr="00E22977" w:rsidDel="000847BA" w:rsidR="009B49B9">
        <w:rPr>
          <w:color w:val="000000"/>
        </w:rPr>
        <w:t xml:space="preserve"> </w:t>
      </w:r>
      <w:r w:rsidRPr="00E22977" w:rsidR="009B49B9">
        <w:rPr>
          <w:color w:val="000000"/>
        </w:rPr>
        <w:t xml:space="preserve">with </w:t>
      </w:r>
      <w:r w:rsidRPr="00E22977" w:rsidR="00AC736C">
        <w:rPr>
          <w:color w:val="000000"/>
        </w:rPr>
        <w:t>hospital project leads (e.g. one physician, one nurse)</w:t>
      </w:r>
      <w:r w:rsidRPr="00E22977" w:rsidR="009B49B9">
        <w:rPr>
          <w:color w:val="000000"/>
        </w:rPr>
        <w:t xml:space="preserve">. The readiness assessment will help identify which, if any, technical components of the enhanced </w:t>
      </w:r>
      <w:r w:rsidRPr="00E22977" w:rsidR="007F133A">
        <w:rPr>
          <w:color w:val="000000"/>
        </w:rPr>
        <w:t xml:space="preserve">surgical care and </w:t>
      </w:r>
      <w:r w:rsidRPr="00E22977" w:rsidR="009B49B9">
        <w:rPr>
          <w:color w:val="000000"/>
        </w:rPr>
        <w:t xml:space="preserve">recovery intervention already exist at the hospital, project management and resources, clinician engagement, leadership engagement and potential barriers and facilitators to implementation. The implementation assessment will evaluate what elements of the enhanced recovery practices have been adopted, resources invested, team participation, major barriers (e.g., medications, equipment, trained personnel), and leadership participation. These assessments will help identify training needs of hospitals and inform the national team’s approach.  In addition, the results will inform the national team’s understanding of local adaptations of the intervention and the degree to which intervention fidelity impacts changes in outcomes. </w:t>
      </w:r>
    </w:p>
    <w:p w:rsidRPr="00E22977" w:rsidR="009B49B9" w:rsidP="009B49B9" w:rsidRDefault="009B49B9">
      <w:pPr>
        <w:pStyle w:val="ColorfulList-Accent1"/>
        <w:ind w:left="0"/>
        <w:rPr>
          <w:b/>
          <w:color w:val="000000"/>
        </w:rPr>
      </w:pPr>
    </w:p>
    <w:p w:rsidRPr="00E22977" w:rsidR="009B49B9" w:rsidP="009B49B9" w:rsidRDefault="009B49B9">
      <w:pPr>
        <w:pStyle w:val="ColorfulList-Accent1"/>
        <w:ind w:left="0"/>
        <w:rPr>
          <w:color w:val="000000"/>
        </w:rPr>
      </w:pPr>
      <w:r w:rsidRPr="00E22977">
        <w:rPr>
          <w:b/>
          <w:color w:val="000000"/>
        </w:rPr>
        <w:t>Site visits.</w:t>
      </w:r>
      <w:r w:rsidRPr="00E22977">
        <w:rPr>
          <w:color w:val="000000"/>
        </w:rPr>
        <w:t xml:space="preserve"> </w:t>
      </w:r>
      <w:r w:rsidRPr="00E22977" w:rsidR="005B17EB">
        <w:rPr>
          <w:color w:val="000000"/>
        </w:rPr>
        <w:t>Virtual s</w:t>
      </w:r>
      <w:r w:rsidRPr="00E22977">
        <w:rPr>
          <w:color w:val="000000"/>
        </w:rPr>
        <w:t xml:space="preserve">emi-structured site visits will be conducted at a subset of participating hospitals.  Findings will help inform the national project implementation strategy. </w:t>
      </w:r>
      <w:r w:rsidRPr="00E22977">
        <w:rPr>
          <w:color w:val="000000"/>
        </w:rPr>
        <w:lastRenderedPageBreak/>
        <w:t xml:space="preserve">Information from these visits will be critical in understanding if and how team and/or leadership issues may affect implementation of enhanced </w:t>
      </w:r>
      <w:r w:rsidRPr="00E22977" w:rsidR="007F133A">
        <w:rPr>
          <w:color w:val="000000"/>
        </w:rPr>
        <w:t xml:space="preserve">surgical care and </w:t>
      </w:r>
      <w:r w:rsidRPr="00E22977">
        <w:rPr>
          <w:color w:val="000000"/>
        </w:rPr>
        <w:t xml:space="preserve">recovery practices, including how this may differ across surgical service lines. Interviews will help uncover misalignments in role clarity, needed time and resources, best practices, and potential enablers of and barriers to enhanced </w:t>
      </w:r>
      <w:r w:rsidRPr="00E22977" w:rsidR="007F133A">
        <w:rPr>
          <w:color w:val="000000"/>
        </w:rPr>
        <w:t xml:space="preserve">surgical care and </w:t>
      </w:r>
      <w:r w:rsidRPr="00E22977">
        <w:rPr>
          <w:color w:val="000000"/>
        </w:rPr>
        <w:t xml:space="preserve">recovery implementation. Site visits will be conducted at </w:t>
      </w:r>
      <w:r w:rsidRPr="00E22977" w:rsidR="005B17EB">
        <w:rPr>
          <w:color w:val="000000"/>
        </w:rPr>
        <w:t>six hospitals for cohort 4</w:t>
      </w:r>
      <w:r w:rsidRPr="00E22977">
        <w:rPr>
          <w:color w:val="000000"/>
        </w:rPr>
        <w:t xml:space="preserve">, and each will be </w:t>
      </w:r>
      <w:r w:rsidRPr="00E22977" w:rsidR="005B17EB">
        <w:rPr>
          <w:color w:val="000000"/>
        </w:rPr>
        <w:t>approximately 4 hours</w:t>
      </w:r>
      <w:r w:rsidRPr="00E22977">
        <w:rPr>
          <w:color w:val="000000"/>
        </w:rPr>
        <w:t xml:space="preserve"> long.  The types of hospital personnel anticipated to be involved in part or all of the site visit include senior leadership, perioperative leadership, and patient safety and quality staff.  Participating hospitals will receive a structured debriefing and brief summary report at the </w:t>
      </w:r>
      <w:r w:rsidRPr="00E22977" w:rsidR="00DF1ABD">
        <w:rPr>
          <w:color w:val="000000"/>
        </w:rPr>
        <w:t>conclusion of the</w:t>
      </w:r>
      <w:r w:rsidRPr="00E22977">
        <w:rPr>
          <w:color w:val="000000"/>
        </w:rPr>
        <w:t xml:space="preserve"> visit. </w:t>
      </w:r>
    </w:p>
    <w:p w:rsidRPr="00E22977" w:rsidR="00F3174F" w:rsidP="00651BBB" w:rsidRDefault="00F3174F"/>
    <w:p w:rsidRPr="00E22977" w:rsidR="00F3174F" w:rsidP="00415CF4" w:rsidRDefault="00C41CB7">
      <w:pPr>
        <w:pStyle w:val="Heading2"/>
        <w:spacing w:before="0" w:after="0"/>
      </w:pPr>
      <w:bookmarkStart w:name="_Toc151782201" w:id="7"/>
      <w:bookmarkStart w:name="_Toc158526237" w:id="8"/>
      <w:r w:rsidRPr="00E22977">
        <w:rPr>
          <w:sz w:val="24"/>
        </w:rPr>
        <w:t>3. Methods to Maximize Response Rates</w:t>
      </w:r>
      <w:bookmarkEnd w:id="7"/>
      <w:bookmarkEnd w:id="8"/>
    </w:p>
    <w:p w:rsidRPr="00E22977" w:rsidR="00651BBB" w:rsidP="00E22977" w:rsidRDefault="00B35D64">
      <w:pPr>
        <w:pStyle w:val="Heading2"/>
      </w:pPr>
      <w:r w:rsidRPr="00E22977">
        <w:rPr>
          <w:rFonts w:ascii="Times New Roman" w:hAnsi="Times New Roman" w:cs="Times New Roman"/>
          <w:b w:val="0"/>
          <w:bCs w:val="0"/>
          <w:i w:val="0"/>
          <w:iCs w:val="0"/>
          <w:color w:val="000000"/>
          <w:sz w:val="24"/>
          <w:szCs w:val="24"/>
        </w:rPr>
        <w:t>As described above, s</w:t>
      </w:r>
      <w:r w:rsidRPr="00E22977" w:rsidR="00651BBB">
        <w:rPr>
          <w:rFonts w:ascii="Times New Roman" w:hAnsi="Times New Roman" w:cs="Times New Roman"/>
          <w:b w:val="0"/>
          <w:bCs w:val="0"/>
          <w:i w:val="0"/>
          <w:iCs w:val="0"/>
          <w:color w:val="000000"/>
          <w:sz w:val="24"/>
          <w:szCs w:val="24"/>
        </w:rPr>
        <w:t xml:space="preserve">urveys and assessments will be administered pre-and post-intervention </w:t>
      </w:r>
      <w:r w:rsidRPr="00E22977">
        <w:rPr>
          <w:rFonts w:ascii="Times New Roman" w:hAnsi="Times New Roman" w:cs="Times New Roman"/>
          <w:b w:val="0"/>
          <w:bCs w:val="0"/>
          <w:i w:val="0"/>
          <w:iCs w:val="0"/>
          <w:color w:val="000000"/>
          <w:sz w:val="24"/>
          <w:szCs w:val="24"/>
        </w:rPr>
        <w:t xml:space="preserve">depending of the survey or assessment. </w:t>
      </w:r>
      <w:r w:rsidRPr="00E22977" w:rsidR="005E0A4C">
        <w:rPr>
          <w:rFonts w:ascii="Times New Roman" w:hAnsi="Times New Roman" w:cs="Times New Roman"/>
          <w:b w:val="0"/>
          <w:bCs w:val="0"/>
          <w:i w:val="0"/>
          <w:iCs w:val="0"/>
          <w:color w:val="000000"/>
          <w:sz w:val="24"/>
          <w:szCs w:val="24"/>
        </w:rPr>
        <w:t xml:space="preserve">Response rates are discussed </w:t>
      </w:r>
      <w:r w:rsidRPr="00E22977">
        <w:rPr>
          <w:rFonts w:ascii="Times New Roman" w:hAnsi="Times New Roman" w:cs="Times New Roman"/>
          <w:b w:val="0"/>
          <w:bCs w:val="0"/>
          <w:i w:val="0"/>
          <w:iCs w:val="0"/>
          <w:color w:val="000000"/>
          <w:sz w:val="24"/>
          <w:szCs w:val="24"/>
        </w:rPr>
        <w:t xml:space="preserve">above </w:t>
      </w:r>
      <w:r w:rsidRPr="00E22977" w:rsidR="005E0A4C">
        <w:rPr>
          <w:rFonts w:ascii="Times New Roman" w:hAnsi="Times New Roman" w:cs="Times New Roman"/>
          <w:b w:val="0"/>
          <w:bCs w:val="0"/>
          <w:i w:val="0"/>
          <w:iCs w:val="0"/>
          <w:color w:val="000000"/>
          <w:sz w:val="24"/>
          <w:szCs w:val="24"/>
        </w:rPr>
        <w:t xml:space="preserve">in statement B, section 1. </w:t>
      </w:r>
      <w:r w:rsidRPr="00E22977" w:rsidR="00651BBB">
        <w:rPr>
          <w:rFonts w:ascii="Times New Roman" w:hAnsi="Times New Roman" w:cs="Times New Roman"/>
          <w:b w:val="0"/>
          <w:bCs w:val="0"/>
          <w:i w:val="0"/>
          <w:iCs w:val="0"/>
          <w:color w:val="000000"/>
          <w:sz w:val="24"/>
          <w:szCs w:val="24"/>
        </w:rPr>
        <w:t>We have the following processes in place to mitigate loss of participation and increase response rate</w:t>
      </w:r>
      <w:r w:rsidRPr="00E22977" w:rsidR="004465D2">
        <w:rPr>
          <w:rFonts w:ascii="Times New Roman" w:hAnsi="Times New Roman" w:cs="Times New Roman"/>
          <w:b w:val="0"/>
          <w:bCs w:val="0"/>
          <w:i w:val="0"/>
          <w:iCs w:val="0"/>
          <w:color w:val="000000"/>
          <w:sz w:val="24"/>
          <w:szCs w:val="24"/>
        </w:rPr>
        <w:t xml:space="preserve"> for all surveys and assessments</w:t>
      </w:r>
      <w:r w:rsidRPr="00E22977" w:rsidR="00651BBB">
        <w:rPr>
          <w:rFonts w:ascii="Times New Roman" w:hAnsi="Times New Roman" w:cs="Times New Roman"/>
          <w:b w:val="0"/>
          <w:bCs w:val="0"/>
          <w:i w:val="0"/>
          <w:iCs w:val="0"/>
          <w:color w:val="000000"/>
          <w:sz w:val="24"/>
          <w:szCs w:val="24"/>
        </w:rPr>
        <w:t xml:space="preserve">: </w:t>
      </w:r>
    </w:p>
    <w:p w:rsidRPr="00E22977" w:rsidR="00651BBB" w:rsidP="00651BBB" w:rsidRDefault="00651BBB">
      <w:pPr>
        <w:rPr>
          <w:color w:val="000000"/>
        </w:rPr>
      </w:pPr>
      <w:r w:rsidRPr="00E22977">
        <w:rPr>
          <w:b/>
          <w:color w:val="000000"/>
        </w:rPr>
        <w:t xml:space="preserve">Safety culture survey. </w:t>
      </w:r>
      <w:r w:rsidRPr="00E22977">
        <w:t xml:space="preserve">We are not offering cash remuneration for respondents; </w:t>
      </w:r>
      <w:r w:rsidRPr="00E22977" w:rsidR="004465D2">
        <w:t>however,</w:t>
      </w:r>
      <w:r w:rsidRPr="00E22977">
        <w:t xml:space="preserve"> </w:t>
      </w:r>
      <w:r w:rsidRPr="00E22977">
        <w:rPr>
          <w:color w:val="000000"/>
        </w:rPr>
        <w:t xml:space="preserve">the national team will provide the hospitals’ project leads with </w:t>
      </w:r>
      <w:r w:rsidRPr="00E22977">
        <w:rPr>
          <w:bCs/>
          <w:color w:val="000000"/>
        </w:rPr>
        <w:t xml:space="preserve">training and tools to promote awareness of the survey among their staff, encourage staff to complete the survey and provide staff time to do so.  </w:t>
      </w:r>
      <w:r w:rsidRPr="00E22977">
        <w:rPr>
          <w:color w:val="000000"/>
        </w:rPr>
        <w:t xml:space="preserve">The national team </w:t>
      </w:r>
      <w:r w:rsidRPr="00E22977">
        <w:rPr>
          <w:bCs/>
          <w:color w:val="000000"/>
        </w:rPr>
        <w:t>will also encourage the project leads to remind staff to check their spam folder for the email to complete the survey</w:t>
      </w:r>
      <w:r w:rsidRPr="00E22977" w:rsidR="00BE26E1">
        <w:rPr>
          <w:bCs/>
          <w:color w:val="000000"/>
        </w:rPr>
        <w:t>.</w:t>
      </w:r>
      <w:r w:rsidRPr="00E22977" w:rsidR="00BE26E1">
        <w:rPr>
          <w:color w:val="000000"/>
        </w:rPr>
        <w:t xml:space="preserve"> </w:t>
      </w:r>
      <w:r w:rsidRPr="00E22977">
        <w:rPr>
          <w:color w:val="000000"/>
        </w:rPr>
        <w:t xml:space="preserve">Finally, </w:t>
      </w:r>
      <w:r w:rsidRPr="00E22977" w:rsidR="00BE26E1">
        <w:rPr>
          <w:color w:val="000000"/>
        </w:rPr>
        <w:t xml:space="preserve">for participating hospitals </w:t>
      </w:r>
      <w:r w:rsidRPr="00E22977">
        <w:rPr>
          <w:color w:val="000000"/>
        </w:rPr>
        <w:t xml:space="preserve">the national team will send the hospital’s project leads updates on their response rates to encourage their staff to complete the survey. </w:t>
      </w:r>
    </w:p>
    <w:p w:rsidRPr="00E22977" w:rsidR="00651BBB" w:rsidP="00651BBB" w:rsidRDefault="00651BBB">
      <w:pPr>
        <w:rPr>
          <w:b/>
          <w:color w:val="000000"/>
        </w:rPr>
      </w:pPr>
    </w:p>
    <w:p w:rsidRPr="00E22977" w:rsidR="00E76130" w:rsidP="00E76130" w:rsidRDefault="00651BBB">
      <w:pPr>
        <w:rPr>
          <w:color w:val="000000"/>
        </w:rPr>
      </w:pPr>
      <w:r w:rsidRPr="00E22977">
        <w:rPr>
          <w:b/>
          <w:color w:val="000000"/>
        </w:rPr>
        <w:t xml:space="preserve">Patient experience survey. </w:t>
      </w:r>
      <w:r w:rsidRPr="00E22977">
        <w:t xml:space="preserve">We are not offering cash remuneration for respondents; however, </w:t>
      </w:r>
      <w:r w:rsidRPr="00E22977">
        <w:rPr>
          <w:color w:val="000000"/>
        </w:rPr>
        <w:t xml:space="preserve">the national team will send a second survey packet to those sample </w:t>
      </w:r>
      <w:r w:rsidRPr="00E22977" w:rsidR="002D0B44">
        <w:rPr>
          <w:color w:val="000000"/>
        </w:rPr>
        <w:t>patients</w:t>
      </w:r>
      <w:r w:rsidRPr="00E22977">
        <w:rPr>
          <w:color w:val="000000"/>
        </w:rPr>
        <w:t xml:space="preserve"> who do not respond to the first survey.</w:t>
      </w:r>
    </w:p>
    <w:p w:rsidRPr="00E22977" w:rsidR="00E76130" w:rsidP="00651BBB" w:rsidRDefault="00E76130">
      <w:pPr>
        <w:rPr>
          <w:color w:val="000000"/>
        </w:rPr>
      </w:pPr>
    </w:p>
    <w:p w:rsidRPr="00E22977" w:rsidR="004E25A8" w:rsidP="004E25A8" w:rsidRDefault="004E25A8">
      <w:pPr>
        <w:rPr>
          <w:b/>
          <w:color w:val="000000"/>
        </w:rPr>
      </w:pPr>
      <w:r w:rsidRPr="00E22977">
        <w:rPr>
          <w:b/>
          <w:color w:val="000000"/>
        </w:rPr>
        <w:t xml:space="preserve">Readiness and Implementation assessment. </w:t>
      </w:r>
      <w:r w:rsidRPr="00E22977">
        <w:t xml:space="preserve">We are not offering cash remuneration for respondents; however, </w:t>
      </w:r>
      <w:r w:rsidRPr="00E22977">
        <w:rPr>
          <w:color w:val="000000"/>
        </w:rPr>
        <w:t xml:space="preserve">each assessment is a part of every hospital’s enrollment into and sign out of each cohort (readiness assessment is a part of enrollment, while implementation assessment is a part of sign out). For </w:t>
      </w:r>
      <w:r w:rsidRPr="00E22977" w:rsidR="00174788">
        <w:rPr>
          <w:color w:val="000000"/>
        </w:rPr>
        <w:t xml:space="preserve">the readiness </w:t>
      </w:r>
      <w:r w:rsidRPr="00E22977">
        <w:rPr>
          <w:color w:val="000000"/>
        </w:rPr>
        <w:t xml:space="preserve">assessment, the national team will send an email encouraging the hospitals to sign up for their 1-hour phone call with a member from the national team. The national team will follow up with a friendly reminder to those hospitals who do not sign up.  Our availability will be flexible and we will offer additional times throughout the data collection period to ensure that as many hospitals as possible can participate in these assessment.  </w:t>
      </w:r>
      <w:r w:rsidRPr="00E22977" w:rsidR="00174788">
        <w:rPr>
          <w:color w:val="000000"/>
        </w:rPr>
        <w:t xml:space="preserve">For the implementation assessment, the project team will send an email encouraging the hospitals to complete a survey through the Qualtrics platform. The </w:t>
      </w:r>
      <w:r w:rsidRPr="00E22977" w:rsidR="00B63C60">
        <w:rPr>
          <w:color w:val="000000"/>
        </w:rPr>
        <w:t>project</w:t>
      </w:r>
      <w:r w:rsidRPr="00E22977" w:rsidR="00174788">
        <w:rPr>
          <w:color w:val="000000"/>
        </w:rPr>
        <w:t xml:space="preserve"> team will follow up with a friendly reminder to those hospitals who do not </w:t>
      </w:r>
      <w:r w:rsidRPr="00E22977" w:rsidR="00B63C60">
        <w:rPr>
          <w:color w:val="000000"/>
        </w:rPr>
        <w:t>complete the survey. The surveys have been designed to only ask questions relevant to the service line the hospital is implementing to minimize the burden for hospitals.</w:t>
      </w:r>
    </w:p>
    <w:p w:rsidRPr="00E22977" w:rsidR="00E76130" w:rsidP="00651BBB" w:rsidRDefault="00E76130">
      <w:pPr>
        <w:rPr>
          <w:color w:val="000000"/>
        </w:rPr>
      </w:pPr>
    </w:p>
    <w:p w:rsidRPr="00E22977" w:rsidR="00E76130" w:rsidP="00EF303C" w:rsidRDefault="00651BBB">
      <w:pPr>
        <w:rPr>
          <w:bCs/>
          <w:color w:val="000000"/>
        </w:rPr>
      </w:pPr>
      <w:r w:rsidRPr="00E22977">
        <w:rPr>
          <w:b/>
          <w:color w:val="000000"/>
        </w:rPr>
        <w:t>Site visits</w:t>
      </w:r>
      <w:r w:rsidRPr="00E22977">
        <w:rPr>
          <w:color w:val="000000"/>
        </w:rPr>
        <w:t xml:space="preserve">. </w:t>
      </w:r>
      <w:r w:rsidRPr="00E22977">
        <w:t>We are not offering cash remuneration for respondents</w:t>
      </w:r>
      <w:r w:rsidRPr="00E22977" w:rsidR="00B35D64">
        <w:t xml:space="preserve">, but conducting the site visits virtually, and for a half-day instead of a full day, should reduce the burden for </w:t>
      </w:r>
      <w:r w:rsidRPr="00E22977" w:rsidR="00B35D64">
        <w:lastRenderedPageBreak/>
        <w:t>participating hospitals</w:t>
      </w:r>
      <w:r w:rsidRPr="00E22977">
        <w:t xml:space="preserve">. </w:t>
      </w:r>
      <w:r w:rsidRPr="00E22977" w:rsidR="00E76130">
        <w:rPr>
          <w:color w:val="000000"/>
        </w:rPr>
        <w:t xml:space="preserve">Findings will help inform the national project implementation strategy as well as the hospital’s implementation strategy. National team program experts will gather information from these visits on if and how team and/or leadership issues may affect implementation of enhanced </w:t>
      </w:r>
      <w:r w:rsidRPr="00E22977" w:rsidR="00D73069">
        <w:rPr>
          <w:color w:val="000000"/>
        </w:rPr>
        <w:t xml:space="preserve">surgical care and </w:t>
      </w:r>
      <w:r w:rsidRPr="00E22977" w:rsidR="00E76130">
        <w:rPr>
          <w:color w:val="000000"/>
        </w:rPr>
        <w:t xml:space="preserve">recovery practices, including how this may differ across surgical service lines. Interviews will help uncover misalignments in role clarity, needed time and resources, best practices, and potential enablers of and barriers to program implementation. Additionally, national team program experts will share insights, best practices and strategies with participating hospitals to they too can benefit from the visit.  Finally, participating </w:t>
      </w:r>
      <w:r w:rsidRPr="00E22977" w:rsidR="00D73069">
        <w:rPr>
          <w:color w:val="000000"/>
        </w:rPr>
        <w:t xml:space="preserve">hospitals </w:t>
      </w:r>
      <w:r w:rsidRPr="00E22977" w:rsidR="00E76130">
        <w:rPr>
          <w:color w:val="000000"/>
        </w:rPr>
        <w:t>will receive a structured debriefing and brief summary report at the end of the visit.</w:t>
      </w:r>
    </w:p>
    <w:p w:rsidRPr="00E22977" w:rsidR="00EF303C" w:rsidP="00651BBB" w:rsidRDefault="00EF303C">
      <w:pPr>
        <w:rPr>
          <w:b/>
          <w:color w:val="000000"/>
        </w:rPr>
      </w:pPr>
    </w:p>
    <w:p w:rsidRPr="00E22977" w:rsidR="00722169" w:rsidP="005453AD" w:rsidRDefault="00722169">
      <w:pPr>
        <w:jc w:val="both"/>
      </w:pPr>
    </w:p>
    <w:p w:rsidRPr="00E22977" w:rsidR="005453AD" w:rsidP="005453AD" w:rsidRDefault="005453AD">
      <w:pPr>
        <w:pStyle w:val="Heading2"/>
        <w:spacing w:before="0" w:after="0"/>
        <w:rPr>
          <w:sz w:val="24"/>
        </w:rPr>
      </w:pPr>
      <w:bookmarkStart w:name="_Toc151782202" w:id="9"/>
      <w:bookmarkStart w:name="_Toc158526238" w:id="10"/>
      <w:r w:rsidRPr="00E22977">
        <w:rPr>
          <w:sz w:val="24"/>
        </w:rPr>
        <w:t>4. Tests of Procedures</w:t>
      </w:r>
      <w:bookmarkStart w:name="_Toc151782203" w:id="11"/>
      <w:bookmarkStart w:name="_Toc158526239" w:id="12"/>
      <w:bookmarkEnd w:id="9"/>
      <w:bookmarkEnd w:id="10"/>
    </w:p>
    <w:p w:rsidRPr="00E22977" w:rsidR="0057767A" w:rsidP="00B2411D" w:rsidRDefault="0057767A">
      <w:pPr>
        <w:rPr>
          <w:i/>
        </w:rPr>
      </w:pPr>
    </w:p>
    <w:p w:rsidRPr="00E22977" w:rsidR="00F3174F" w:rsidP="00B2411D" w:rsidRDefault="00F3174F">
      <w:r w:rsidRPr="00E22977">
        <w:t>The procedures for this specific project have not been subjected to testing</w:t>
      </w:r>
      <w:r w:rsidRPr="00E22977" w:rsidR="00C36CB6">
        <w:t>, h</w:t>
      </w:r>
      <w:r w:rsidRPr="00E22977">
        <w:t xml:space="preserve">owever, </w:t>
      </w:r>
      <w:r w:rsidRPr="00E22977" w:rsidR="00CB7B93">
        <w:t xml:space="preserve">Johns Hopkins Armstrong Institute for Patient Safety and Quality, American College of Surgeons, and </w:t>
      </w:r>
      <w:r w:rsidRPr="00E22977">
        <w:t xml:space="preserve">Westat have conducted many similar projects and are using well-established research methods with this project. </w:t>
      </w:r>
    </w:p>
    <w:p w:rsidRPr="00E22977" w:rsidR="00F3174F" w:rsidP="006D0C1E" w:rsidRDefault="00F3174F">
      <w:pPr>
        <w:spacing w:before="100" w:beforeAutospacing="1" w:after="100" w:afterAutospacing="1"/>
      </w:pPr>
    </w:p>
    <w:p w:rsidRPr="00D35056" w:rsidR="005453AD" w:rsidP="00F34C93" w:rsidRDefault="00F34C93">
      <w:pPr>
        <w:pStyle w:val="Heading2"/>
        <w:rPr>
          <w:sz w:val="24"/>
        </w:rPr>
      </w:pPr>
      <w:r w:rsidRPr="00E22977">
        <w:rPr>
          <w:sz w:val="24"/>
        </w:rPr>
        <w:t xml:space="preserve"> </w:t>
      </w:r>
      <w:r w:rsidRPr="00E22977" w:rsidR="005453AD">
        <w:rPr>
          <w:sz w:val="24"/>
        </w:rPr>
        <w:t>5. Statistical Consultants</w:t>
      </w:r>
      <w:bookmarkEnd w:id="11"/>
      <w:bookmarkEnd w:id="12"/>
    </w:p>
    <w:p w:rsidRPr="00E22977" w:rsidR="0057767A" w:rsidP="00F34C93" w:rsidRDefault="0057767A">
      <w:pPr>
        <w:spacing w:after="240"/>
        <w:rPr>
          <w:i/>
        </w:rPr>
      </w:pPr>
    </w:p>
    <w:p w:rsidRPr="00E22977" w:rsidR="006D0C1E" w:rsidP="006D0C1E" w:rsidRDefault="003D50A5">
      <w:pPr>
        <w:ind w:left="360"/>
      </w:pPr>
      <w:r w:rsidRPr="00E22977">
        <w:t>Mark Cohen Ph.D.</w:t>
      </w:r>
    </w:p>
    <w:p w:rsidRPr="00E22977" w:rsidR="003D50A5" w:rsidP="006D0C1E" w:rsidRDefault="003D50A5">
      <w:pPr>
        <w:ind w:left="360"/>
      </w:pPr>
      <w:r w:rsidRPr="00E22977">
        <w:t>American College of Surgeons</w:t>
      </w:r>
    </w:p>
    <w:p w:rsidRPr="00E22977" w:rsidR="003D50A5" w:rsidP="006D0C1E" w:rsidRDefault="003D50A5">
      <w:pPr>
        <w:ind w:left="360"/>
      </w:pPr>
      <w:r w:rsidRPr="00E22977">
        <w:t xml:space="preserve">633 North St Clair </w:t>
      </w:r>
    </w:p>
    <w:p w:rsidRPr="00E22977" w:rsidR="003D50A5" w:rsidP="00B2411D" w:rsidRDefault="003D50A5">
      <w:pPr>
        <w:ind w:firstLine="360"/>
      </w:pPr>
      <w:r w:rsidRPr="00E22977">
        <w:t xml:space="preserve">Chicago, IL </w:t>
      </w:r>
      <w:r w:rsidRPr="00E22977">
        <w:rPr>
          <w:rFonts w:ascii="Arial" w:hAnsi="Arial" w:cs="Arial"/>
          <w:color w:val="545454"/>
          <w:shd w:val="clear" w:color="auto" w:fill="FFFFFF"/>
        </w:rPr>
        <w:t>60611-3211</w:t>
      </w:r>
    </w:p>
    <w:p w:rsidRPr="00E22977" w:rsidR="003D50A5" w:rsidP="006D0C1E" w:rsidRDefault="003D50A5">
      <w:pPr>
        <w:ind w:left="360"/>
      </w:pPr>
      <w:hyperlink w:history="1" r:id="rId11">
        <w:r w:rsidRPr="00E22977">
          <w:rPr>
            <w:rStyle w:val="Hyperlink"/>
          </w:rPr>
          <w:t>mcohen@facs.org</w:t>
        </w:r>
      </w:hyperlink>
    </w:p>
    <w:p w:rsidRPr="00E22977" w:rsidR="003D50A5" w:rsidP="006D0C1E" w:rsidRDefault="003D50A5">
      <w:pPr>
        <w:ind w:left="360"/>
      </w:pPr>
    </w:p>
    <w:p w:rsidRPr="00E22977" w:rsidR="003D50A5" w:rsidP="006D0C1E" w:rsidRDefault="003D50A5">
      <w:pPr>
        <w:ind w:left="360"/>
      </w:pPr>
      <w:r w:rsidRPr="00E22977">
        <w:t>Yea-Jean Hsu</w:t>
      </w:r>
      <w:r w:rsidRPr="00E22977" w:rsidR="00D73069">
        <w:t>, PhD</w:t>
      </w:r>
    </w:p>
    <w:p w:rsidRPr="00E22977" w:rsidR="003D50A5" w:rsidP="006D0C1E" w:rsidRDefault="003D50A5">
      <w:pPr>
        <w:ind w:left="360"/>
      </w:pPr>
      <w:r w:rsidRPr="00E22977">
        <w:t>Armstrong Institute for Patient Safety and Quality</w:t>
      </w:r>
    </w:p>
    <w:p w:rsidRPr="00E22977" w:rsidR="003D50A5" w:rsidP="006D0C1E" w:rsidRDefault="003D50A5">
      <w:pPr>
        <w:ind w:left="360"/>
      </w:pPr>
      <w:r w:rsidRPr="00E22977">
        <w:t>Yhsu9@jhu.edu</w:t>
      </w:r>
    </w:p>
    <w:p w:rsidRPr="00E22977" w:rsidR="006D0C1E" w:rsidP="00B2411D" w:rsidRDefault="006D0C1E"/>
    <w:p w:rsidRPr="00E22977" w:rsidR="00CB7B93" w:rsidP="006D0C1E" w:rsidRDefault="00CB7B93">
      <w:pPr>
        <w:ind w:left="360"/>
        <w:rPr>
          <w:lang w:val="fr-FR"/>
        </w:rPr>
      </w:pPr>
      <w:r w:rsidRPr="00E22977">
        <w:rPr>
          <w:lang w:val="fr-FR"/>
        </w:rPr>
        <w:t>Naomi Yount, PhD</w:t>
      </w:r>
    </w:p>
    <w:p w:rsidRPr="00E22977" w:rsidR="00CB7B93" w:rsidP="006D0C1E" w:rsidRDefault="00CB7B93">
      <w:pPr>
        <w:ind w:left="360"/>
      </w:pPr>
      <w:r w:rsidRPr="00E22977">
        <w:t>Westat</w:t>
      </w:r>
    </w:p>
    <w:p w:rsidRPr="00E22977" w:rsidR="00CB7B93" w:rsidP="006D0C1E" w:rsidRDefault="00CB7B93">
      <w:pPr>
        <w:ind w:left="360"/>
      </w:pPr>
      <w:r w:rsidRPr="00E22977">
        <w:t>1600 Research Blvd.</w:t>
      </w:r>
    </w:p>
    <w:p w:rsidRPr="00E22977" w:rsidR="00CB7B93" w:rsidP="006D0C1E" w:rsidRDefault="00CB7B93">
      <w:pPr>
        <w:ind w:left="360"/>
      </w:pPr>
      <w:r w:rsidRPr="00E22977">
        <w:t>Rockville, MD 20878</w:t>
      </w:r>
    </w:p>
    <w:p w:rsidRPr="00F34C93" w:rsidR="00F34C93" w:rsidP="00E22977" w:rsidRDefault="00CB7B93">
      <w:pPr>
        <w:ind w:left="360"/>
      </w:pPr>
      <w:hyperlink w:history="1" r:id="rId12">
        <w:r w:rsidRPr="00E22977">
          <w:rPr>
            <w:rStyle w:val="Hyperlink"/>
          </w:rPr>
          <w:t>naomiyount@westat.com</w:t>
        </w:r>
      </w:hyperlink>
      <w:r w:rsidRPr="002A72F6">
        <w:t xml:space="preserve"> </w:t>
      </w:r>
    </w:p>
    <w:sectPr w:rsidRPr="00F34C93" w:rsidR="00F34C93" w:rsidSect="00874B68">
      <w:footerReference w:type="even" r:id="rId13"/>
      <w:footerReference w:type="default" r:id="rId14"/>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103" w:rsidRDefault="00341103">
      <w:r>
        <w:separator/>
      </w:r>
    </w:p>
  </w:endnote>
  <w:endnote w:type="continuationSeparator" w:id="0">
    <w:p w:rsidR="00341103" w:rsidRDefault="0034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93" w:rsidRDefault="00F34C93"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4C93" w:rsidRDefault="00F34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93" w:rsidRDefault="00F34C93"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197">
      <w:rPr>
        <w:rStyle w:val="PageNumber"/>
        <w:noProof/>
      </w:rPr>
      <w:t>2</w:t>
    </w:r>
    <w:r>
      <w:rPr>
        <w:rStyle w:val="PageNumber"/>
      </w:rPr>
      <w:fldChar w:fldCharType="end"/>
    </w:r>
  </w:p>
  <w:p w:rsidR="00F34C93" w:rsidRDefault="00F3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103" w:rsidRDefault="00341103">
      <w:r>
        <w:separator/>
      </w:r>
    </w:p>
  </w:footnote>
  <w:footnote w:type="continuationSeparator" w:id="0">
    <w:p w:rsidR="00341103" w:rsidRDefault="00341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2EB8"/>
    <w:multiLevelType w:val="hybridMultilevel"/>
    <w:tmpl w:val="063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50871"/>
    <w:multiLevelType w:val="hybridMultilevel"/>
    <w:tmpl w:val="263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56A92"/>
    <w:multiLevelType w:val="hybridMultilevel"/>
    <w:tmpl w:val="7C8C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D"/>
    <w:rsid w:val="00000EBD"/>
    <w:rsid w:val="000028E6"/>
    <w:rsid w:val="00003726"/>
    <w:rsid w:val="00007C23"/>
    <w:rsid w:val="0001418A"/>
    <w:rsid w:val="00022B2F"/>
    <w:rsid w:val="00023905"/>
    <w:rsid w:val="0002688B"/>
    <w:rsid w:val="0002777B"/>
    <w:rsid w:val="00027931"/>
    <w:rsid w:val="000375C3"/>
    <w:rsid w:val="00040D98"/>
    <w:rsid w:val="0004144A"/>
    <w:rsid w:val="00042F92"/>
    <w:rsid w:val="00050229"/>
    <w:rsid w:val="00053B30"/>
    <w:rsid w:val="00057F40"/>
    <w:rsid w:val="000733EB"/>
    <w:rsid w:val="00082E09"/>
    <w:rsid w:val="0008338A"/>
    <w:rsid w:val="00084D1F"/>
    <w:rsid w:val="000A3642"/>
    <w:rsid w:val="000B0DA3"/>
    <w:rsid w:val="000B246F"/>
    <w:rsid w:val="000B2925"/>
    <w:rsid w:val="000B51D2"/>
    <w:rsid w:val="000C052D"/>
    <w:rsid w:val="000C26A4"/>
    <w:rsid w:val="000C273C"/>
    <w:rsid w:val="000D68E0"/>
    <w:rsid w:val="000E5B21"/>
    <w:rsid w:val="000E5EE0"/>
    <w:rsid w:val="000F0D19"/>
    <w:rsid w:val="000F1C4B"/>
    <w:rsid w:val="000F4465"/>
    <w:rsid w:val="00121F43"/>
    <w:rsid w:val="001277A0"/>
    <w:rsid w:val="001310DD"/>
    <w:rsid w:val="00133642"/>
    <w:rsid w:val="0013418E"/>
    <w:rsid w:val="001355EF"/>
    <w:rsid w:val="00137D28"/>
    <w:rsid w:val="0014143E"/>
    <w:rsid w:val="00144014"/>
    <w:rsid w:val="00160B30"/>
    <w:rsid w:val="001620E3"/>
    <w:rsid w:val="001623B4"/>
    <w:rsid w:val="001721E3"/>
    <w:rsid w:val="00172665"/>
    <w:rsid w:val="00174788"/>
    <w:rsid w:val="00177809"/>
    <w:rsid w:val="001826BD"/>
    <w:rsid w:val="00182A50"/>
    <w:rsid w:val="00184281"/>
    <w:rsid w:val="001914B6"/>
    <w:rsid w:val="0019335F"/>
    <w:rsid w:val="00193D98"/>
    <w:rsid w:val="001961A5"/>
    <w:rsid w:val="001A4634"/>
    <w:rsid w:val="001A5FF7"/>
    <w:rsid w:val="001B5D6F"/>
    <w:rsid w:val="001C3D9E"/>
    <w:rsid w:val="001C78FD"/>
    <w:rsid w:val="001F555A"/>
    <w:rsid w:val="001F5E2E"/>
    <w:rsid w:val="00202661"/>
    <w:rsid w:val="0020740B"/>
    <w:rsid w:val="00211B88"/>
    <w:rsid w:val="0021238E"/>
    <w:rsid w:val="00213165"/>
    <w:rsid w:val="00220C60"/>
    <w:rsid w:val="00222258"/>
    <w:rsid w:val="00222967"/>
    <w:rsid w:val="00224620"/>
    <w:rsid w:val="002343F0"/>
    <w:rsid w:val="0023595D"/>
    <w:rsid w:val="00240615"/>
    <w:rsid w:val="00243021"/>
    <w:rsid w:val="00243203"/>
    <w:rsid w:val="00250F6D"/>
    <w:rsid w:val="00260A01"/>
    <w:rsid w:val="00262FCA"/>
    <w:rsid w:val="00265C70"/>
    <w:rsid w:val="00266D37"/>
    <w:rsid w:val="002746B1"/>
    <w:rsid w:val="00274E60"/>
    <w:rsid w:val="00277CEA"/>
    <w:rsid w:val="002837E3"/>
    <w:rsid w:val="00291960"/>
    <w:rsid w:val="00296DC7"/>
    <w:rsid w:val="002A5262"/>
    <w:rsid w:val="002B0F78"/>
    <w:rsid w:val="002B51BE"/>
    <w:rsid w:val="002C5C8C"/>
    <w:rsid w:val="002D0B44"/>
    <w:rsid w:val="002E1D54"/>
    <w:rsid w:val="002F0FA5"/>
    <w:rsid w:val="002F344F"/>
    <w:rsid w:val="003004BA"/>
    <w:rsid w:val="00303034"/>
    <w:rsid w:val="00307CE1"/>
    <w:rsid w:val="00314B99"/>
    <w:rsid w:val="0031502F"/>
    <w:rsid w:val="00325BC9"/>
    <w:rsid w:val="003338AE"/>
    <w:rsid w:val="00341103"/>
    <w:rsid w:val="00345DF9"/>
    <w:rsid w:val="00352E45"/>
    <w:rsid w:val="00353007"/>
    <w:rsid w:val="00365067"/>
    <w:rsid w:val="00367D62"/>
    <w:rsid w:val="00374AE3"/>
    <w:rsid w:val="00376E67"/>
    <w:rsid w:val="00381C57"/>
    <w:rsid w:val="00381E43"/>
    <w:rsid w:val="00383034"/>
    <w:rsid w:val="00384745"/>
    <w:rsid w:val="00393005"/>
    <w:rsid w:val="003950AC"/>
    <w:rsid w:val="0039641E"/>
    <w:rsid w:val="00396B62"/>
    <w:rsid w:val="003A320C"/>
    <w:rsid w:val="003B040D"/>
    <w:rsid w:val="003B376A"/>
    <w:rsid w:val="003B3C70"/>
    <w:rsid w:val="003B7C56"/>
    <w:rsid w:val="003C1C77"/>
    <w:rsid w:val="003C3103"/>
    <w:rsid w:val="003C312C"/>
    <w:rsid w:val="003C37D9"/>
    <w:rsid w:val="003C6E1D"/>
    <w:rsid w:val="003C6F9B"/>
    <w:rsid w:val="003C6FFE"/>
    <w:rsid w:val="003C73E8"/>
    <w:rsid w:val="003D369A"/>
    <w:rsid w:val="003D3B9C"/>
    <w:rsid w:val="003D50A5"/>
    <w:rsid w:val="003D6AE8"/>
    <w:rsid w:val="003E33CD"/>
    <w:rsid w:val="003E5535"/>
    <w:rsid w:val="003E66D8"/>
    <w:rsid w:val="003F223C"/>
    <w:rsid w:val="003F498C"/>
    <w:rsid w:val="003F4F2F"/>
    <w:rsid w:val="004118D1"/>
    <w:rsid w:val="00412C6D"/>
    <w:rsid w:val="00413710"/>
    <w:rsid w:val="00415138"/>
    <w:rsid w:val="00415CF4"/>
    <w:rsid w:val="00417BD6"/>
    <w:rsid w:val="00422B2A"/>
    <w:rsid w:val="004230CE"/>
    <w:rsid w:val="00426059"/>
    <w:rsid w:val="00426BAE"/>
    <w:rsid w:val="00431F3A"/>
    <w:rsid w:val="0043295B"/>
    <w:rsid w:val="004442F5"/>
    <w:rsid w:val="004465D2"/>
    <w:rsid w:val="00451EBF"/>
    <w:rsid w:val="00452FC0"/>
    <w:rsid w:val="004543F7"/>
    <w:rsid w:val="00456239"/>
    <w:rsid w:val="00460D1B"/>
    <w:rsid w:val="00461D98"/>
    <w:rsid w:val="0046545A"/>
    <w:rsid w:val="0046675F"/>
    <w:rsid w:val="00474DB9"/>
    <w:rsid w:val="0047789B"/>
    <w:rsid w:val="00477FBE"/>
    <w:rsid w:val="0049095B"/>
    <w:rsid w:val="0049545C"/>
    <w:rsid w:val="00497C66"/>
    <w:rsid w:val="004A0508"/>
    <w:rsid w:val="004A111A"/>
    <w:rsid w:val="004A35E0"/>
    <w:rsid w:val="004A58E2"/>
    <w:rsid w:val="004B06E4"/>
    <w:rsid w:val="004B5BD6"/>
    <w:rsid w:val="004B64D5"/>
    <w:rsid w:val="004C6515"/>
    <w:rsid w:val="004C7F3B"/>
    <w:rsid w:val="004D6C5F"/>
    <w:rsid w:val="004E0AAB"/>
    <w:rsid w:val="004E25A8"/>
    <w:rsid w:val="004F153D"/>
    <w:rsid w:val="004F7C29"/>
    <w:rsid w:val="0050069A"/>
    <w:rsid w:val="0050472C"/>
    <w:rsid w:val="00506B7C"/>
    <w:rsid w:val="00520D8D"/>
    <w:rsid w:val="00536106"/>
    <w:rsid w:val="00537691"/>
    <w:rsid w:val="0054350D"/>
    <w:rsid w:val="00543AF4"/>
    <w:rsid w:val="005453AD"/>
    <w:rsid w:val="00545F61"/>
    <w:rsid w:val="00552C85"/>
    <w:rsid w:val="00555B00"/>
    <w:rsid w:val="00555B8A"/>
    <w:rsid w:val="00573963"/>
    <w:rsid w:val="005772BD"/>
    <w:rsid w:val="0057767A"/>
    <w:rsid w:val="005809D5"/>
    <w:rsid w:val="00597DDD"/>
    <w:rsid w:val="005B17EB"/>
    <w:rsid w:val="005B699A"/>
    <w:rsid w:val="005B7E1A"/>
    <w:rsid w:val="005C00C6"/>
    <w:rsid w:val="005C5779"/>
    <w:rsid w:val="005D1B47"/>
    <w:rsid w:val="005E0A4C"/>
    <w:rsid w:val="005E3686"/>
    <w:rsid w:val="005E5170"/>
    <w:rsid w:val="005F08FA"/>
    <w:rsid w:val="005F1DD3"/>
    <w:rsid w:val="005F6627"/>
    <w:rsid w:val="006051E2"/>
    <w:rsid w:val="00607E4C"/>
    <w:rsid w:val="006106C1"/>
    <w:rsid w:val="00620AC7"/>
    <w:rsid w:val="00620E81"/>
    <w:rsid w:val="006246FD"/>
    <w:rsid w:val="00631667"/>
    <w:rsid w:val="0063506B"/>
    <w:rsid w:val="00635512"/>
    <w:rsid w:val="0063635A"/>
    <w:rsid w:val="0063714F"/>
    <w:rsid w:val="00644531"/>
    <w:rsid w:val="00651BBB"/>
    <w:rsid w:val="00656C4F"/>
    <w:rsid w:val="0065798D"/>
    <w:rsid w:val="0066058A"/>
    <w:rsid w:val="006653E4"/>
    <w:rsid w:val="00666C20"/>
    <w:rsid w:val="006751F3"/>
    <w:rsid w:val="006804F1"/>
    <w:rsid w:val="00683288"/>
    <w:rsid w:val="0069068A"/>
    <w:rsid w:val="00694254"/>
    <w:rsid w:val="00697067"/>
    <w:rsid w:val="006A09B7"/>
    <w:rsid w:val="006A1211"/>
    <w:rsid w:val="006A23A7"/>
    <w:rsid w:val="006B2348"/>
    <w:rsid w:val="006B37FE"/>
    <w:rsid w:val="006B417B"/>
    <w:rsid w:val="006B65D6"/>
    <w:rsid w:val="006C0C47"/>
    <w:rsid w:val="006D0C1E"/>
    <w:rsid w:val="006D2949"/>
    <w:rsid w:val="006D2A3E"/>
    <w:rsid w:val="006D548C"/>
    <w:rsid w:val="006D7289"/>
    <w:rsid w:val="006E2377"/>
    <w:rsid w:val="006F12E3"/>
    <w:rsid w:val="007017C8"/>
    <w:rsid w:val="00701B9B"/>
    <w:rsid w:val="007033D7"/>
    <w:rsid w:val="00714C76"/>
    <w:rsid w:val="00722169"/>
    <w:rsid w:val="007257EA"/>
    <w:rsid w:val="00726E4F"/>
    <w:rsid w:val="0072702F"/>
    <w:rsid w:val="00732607"/>
    <w:rsid w:val="00736D17"/>
    <w:rsid w:val="007519A8"/>
    <w:rsid w:val="00752720"/>
    <w:rsid w:val="0076082A"/>
    <w:rsid w:val="00766ABD"/>
    <w:rsid w:val="00772E70"/>
    <w:rsid w:val="00775880"/>
    <w:rsid w:val="00777546"/>
    <w:rsid w:val="007855F5"/>
    <w:rsid w:val="00790A3B"/>
    <w:rsid w:val="00792830"/>
    <w:rsid w:val="00793E46"/>
    <w:rsid w:val="007A011B"/>
    <w:rsid w:val="007A17F0"/>
    <w:rsid w:val="007B5100"/>
    <w:rsid w:val="007B566B"/>
    <w:rsid w:val="007C0D40"/>
    <w:rsid w:val="007C39E4"/>
    <w:rsid w:val="007C49D3"/>
    <w:rsid w:val="007C5905"/>
    <w:rsid w:val="007D53AA"/>
    <w:rsid w:val="007F133A"/>
    <w:rsid w:val="007F2387"/>
    <w:rsid w:val="007F2F72"/>
    <w:rsid w:val="00802459"/>
    <w:rsid w:val="00807CEE"/>
    <w:rsid w:val="00812673"/>
    <w:rsid w:val="008203E7"/>
    <w:rsid w:val="00826B80"/>
    <w:rsid w:val="00830731"/>
    <w:rsid w:val="00832072"/>
    <w:rsid w:val="008323AC"/>
    <w:rsid w:val="00834A30"/>
    <w:rsid w:val="008452A3"/>
    <w:rsid w:val="00852C36"/>
    <w:rsid w:val="00854B3A"/>
    <w:rsid w:val="00864C0A"/>
    <w:rsid w:val="0086529D"/>
    <w:rsid w:val="00871DAE"/>
    <w:rsid w:val="00873091"/>
    <w:rsid w:val="008739EA"/>
    <w:rsid w:val="008741AB"/>
    <w:rsid w:val="00874B68"/>
    <w:rsid w:val="00876309"/>
    <w:rsid w:val="00885856"/>
    <w:rsid w:val="00890667"/>
    <w:rsid w:val="0089215C"/>
    <w:rsid w:val="00892197"/>
    <w:rsid w:val="008933F8"/>
    <w:rsid w:val="00894559"/>
    <w:rsid w:val="00894CB3"/>
    <w:rsid w:val="00895461"/>
    <w:rsid w:val="00897017"/>
    <w:rsid w:val="00897C26"/>
    <w:rsid w:val="008A1887"/>
    <w:rsid w:val="008A5586"/>
    <w:rsid w:val="008B2A16"/>
    <w:rsid w:val="008B59A2"/>
    <w:rsid w:val="008B5CFB"/>
    <w:rsid w:val="008C5771"/>
    <w:rsid w:val="008E06B8"/>
    <w:rsid w:val="008E0DFC"/>
    <w:rsid w:val="008E2C7E"/>
    <w:rsid w:val="008E5F75"/>
    <w:rsid w:val="008F18CD"/>
    <w:rsid w:val="008F197F"/>
    <w:rsid w:val="008F23F5"/>
    <w:rsid w:val="008F6C41"/>
    <w:rsid w:val="008F74FC"/>
    <w:rsid w:val="0090111B"/>
    <w:rsid w:val="009016C8"/>
    <w:rsid w:val="00915652"/>
    <w:rsid w:val="009157AF"/>
    <w:rsid w:val="00916AA3"/>
    <w:rsid w:val="0093202A"/>
    <w:rsid w:val="00943237"/>
    <w:rsid w:val="00944F8E"/>
    <w:rsid w:val="00952F36"/>
    <w:rsid w:val="0096018E"/>
    <w:rsid w:val="009607AD"/>
    <w:rsid w:val="00962495"/>
    <w:rsid w:val="009631D2"/>
    <w:rsid w:val="00964F24"/>
    <w:rsid w:val="009659F5"/>
    <w:rsid w:val="00986127"/>
    <w:rsid w:val="00986FB6"/>
    <w:rsid w:val="009A12A8"/>
    <w:rsid w:val="009A13F5"/>
    <w:rsid w:val="009A1506"/>
    <w:rsid w:val="009B39D7"/>
    <w:rsid w:val="009B49B9"/>
    <w:rsid w:val="009B7B44"/>
    <w:rsid w:val="009C00DB"/>
    <w:rsid w:val="009C46F4"/>
    <w:rsid w:val="009D5632"/>
    <w:rsid w:val="009D5E90"/>
    <w:rsid w:val="009D7120"/>
    <w:rsid w:val="009E0139"/>
    <w:rsid w:val="009E070F"/>
    <w:rsid w:val="009E226C"/>
    <w:rsid w:val="009E47B9"/>
    <w:rsid w:val="009E572D"/>
    <w:rsid w:val="009E749B"/>
    <w:rsid w:val="009F0517"/>
    <w:rsid w:val="009F5807"/>
    <w:rsid w:val="00A00D57"/>
    <w:rsid w:val="00A00D79"/>
    <w:rsid w:val="00A04FB9"/>
    <w:rsid w:val="00A15B3E"/>
    <w:rsid w:val="00A15E19"/>
    <w:rsid w:val="00A175C7"/>
    <w:rsid w:val="00A24E98"/>
    <w:rsid w:val="00A30E55"/>
    <w:rsid w:val="00A35E11"/>
    <w:rsid w:val="00A37A38"/>
    <w:rsid w:val="00A400AF"/>
    <w:rsid w:val="00A433E3"/>
    <w:rsid w:val="00A4499C"/>
    <w:rsid w:val="00A51A46"/>
    <w:rsid w:val="00A70F7A"/>
    <w:rsid w:val="00A71F25"/>
    <w:rsid w:val="00A73B57"/>
    <w:rsid w:val="00A95990"/>
    <w:rsid w:val="00A97396"/>
    <w:rsid w:val="00AA1BBB"/>
    <w:rsid w:val="00AB0020"/>
    <w:rsid w:val="00AB44CC"/>
    <w:rsid w:val="00AB5F7C"/>
    <w:rsid w:val="00AB72C0"/>
    <w:rsid w:val="00AC6AA6"/>
    <w:rsid w:val="00AC736C"/>
    <w:rsid w:val="00AC7A69"/>
    <w:rsid w:val="00AD7002"/>
    <w:rsid w:val="00AD7038"/>
    <w:rsid w:val="00AE2E43"/>
    <w:rsid w:val="00AE4B7E"/>
    <w:rsid w:val="00AE5089"/>
    <w:rsid w:val="00AF135C"/>
    <w:rsid w:val="00AF4804"/>
    <w:rsid w:val="00B016F6"/>
    <w:rsid w:val="00B03A17"/>
    <w:rsid w:val="00B0771A"/>
    <w:rsid w:val="00B07FD8"/>
    <w:rsid w:val="00B11918"/>
    <w:rsid w:val="00B14EE0"/>
    <w:rsid w:val="00B150E3"/>
    <w:rsid w:val="00B2411D"/>
    <w:rsid w:val="00B25D95"/>
    <w:rsid w:val="00B35D64"/>
    <w:rsid w:val="00B4384C"/>
    <w:rsid w:val="00B47BB0"/>
    <w:rsid w:val="00B50549"/>
    <w:rsid w:val="00B50EB1"/>
    <w:rsid w:val="00B51988"/>
    <w:rsid w:val="00B51FC6"/>
    <w:rsid w:val="00B578EE"/>
    <w:rsid w:val="00B62128"/>
    <w:rsid w:val="00B63C60"/>
    <w:rsid w:val="00B6413F"/>
    <w:rsid w:val="00B705A5"/>
    <w:rsid w:val="00B73EBB"/>
    <w:rsid w:val="00B75953"/>
    <w:rsid w:val="00B767FC"/>
    <w:rsid w:val="00B81108"/>
    <w:rsid w:val="00B81128"/>
    <w:rsid w:val="00B83341"/>
    <w:rsid w:val="00B85D73"/>
    <w:rsid w:val="00B91F14"/>
    <w:rsid w:val="00B9477A"/>
    <w:rsid w:val="00BA2394"/>
    <w:rsid w:val="00BA3FA4"/>
    <w:rsid w:val="00BB24C6"/>
    <w:rsid w:val="00BB46DF"/>
    <w:rsid w:val="00BB753C"/>
    <w:rsid w:val="00BC2FBA"/>
    <w:rsid w:val="00BD7DD4"/>
    <w:rsid w:val="00BE2158"/>
    <w:rsid w:val="00BE26E1"/>
    <w:rsid w:val="00BE46D9"/>
    <w:rsid w:val="00BF0FFB"/>
    <w:rsid w:val="00BF1A41"/>
    <w:rsid w:val="00C015CD"/>
    <w:rsid w:val="00C179B2"/>
    <w:rsid w:val="00C21143"/>
    <w:rsid w:val="00C36CB6"/>
    <w:rsid w:val="00C418BD"/>
    <w:rsid w:val="00C41CB7"/>
    <w:rsid w:val="00C60E1F"/>
    <w:rsid w:val="00C61EB7"/>
    <w:rsid w:val="00C63B2C"/>
    <w:rsid w:val="00C67B2A"/>
    <w:rsid w:val="00C76DEC"/>
    <w:rsid w:val="00C819BF"/>
    <w:rsid w:val="00C828BE"/>
    <w:rsid w:val="00C84426"/>
    <w:rsid w:val="00C91DF9"/>
    <w:rsid w:val="00C94DE8"/>
    <w:rsid w:val="00CA0197"/>
    <w:rsid w:val="00CA149B"/>
    <w:rsid w:val="00CA295D"/>
    <w:rsid w:val="00CA2FB9"/>
    <w:rsid w:val="00CA6A4B"/>
    <w:rsid w:val="00CB2F8B"/>
    <w:rsid w:val="00CB569B"/>
    <w:rsid w:val="00CB660A"/>
    <w:rsid w:val="00CB7615"/>
    <w:rsid w:val="00CB7B93"/>
    <w:rsid w:val="00CC3A9B"/>
    <w:rsid w:val="00CC42B4"/>
    <w:rsid w:val="00CC72ED"/>
    <w:rsid w:val="00CD03FF"/>
    <w:rsid w:val="00CD269E"/>
    <w:rsid w:val="00CD433B"/>
    <w:rsid w:val="00CD5B66"/>
    <w:rsid w:val="00CE49C8"/>
    <w:rsid w:val="00CE74B4"/>
    <w:rsid w:val="00D01268"/>
    <w:rsid w:val="00D10174"/>
    <w:rsid w:val="00D1193F"/>
    <w:rsid w:val="00D1589D"/>
    <w:rsid w:val="00D224DD"/>
    <w:rsid w:val="00D2506E"/>
    <w:rsid w:val="00D254A2"/>
    <w:rsid w:val="00D3003B"/>
    <w:rsid w:val="00D35056"/>
    <w:rsid w:val="00D360FA"/>
    <w:rsid w:val="00D3751D"/>
    <w:rsid w:val="00D43EDA"/>
    <w:rsid w:val="00D459FF"/>
    <w:rsid w:val="00D45ABC"/>
    <w:rsid w:val="00D47F26"/>
    <w:rsid w:val="00D57BAE"/>
    <w:rsid w:val="00D61433"/>
    <w:rsid w:val="00D67DD8"/>
    <w:rsid w:val="00D73069"/>
    <w:rsid w:val="00D76118"/>
    <w:rsid w:val="00D77619"/>
    <w:rsid w:val="00D8240C"/>
    <w:rsid w:val="00D83209"/>
    <w:rsid w:val="00D84294"/>
    <w:rsid w:val="00DB042D"/>
    <w:rsid w:val="00DB49FF"/>
    <w:rsid w:val="00DB4DF8"/>
    <w:rsid w:val="00DB623C"/>
    <w:rsid w:val="00DB7367"/>
    <w:rsid w:val="00DC3784"/>
    <w:rsid w:val="00DC3E5A"/>
    <w:rsid w:val="00DD038D"/>
    <w:rsid w:val="00DD131B"/>
    <w:rsid w:val="00DD691C"/>
    <w:rsid w:val="00DE0C8F"/>
    <w:rsid w:val="00DE0C9B"/>
    <w:rsid w:val="00DE5C7A"/>
    <w:rsid w:val="00DF1ABD"/>
    <w:rsid w:val="00DF2AE2"/>
    <w:rsid w:val="00E00AFB"/>
    <w:rsid w:val="00E059FC"/>
    <w:rsid w:val="00E10505"/>
    <w:rsid w:val="00E1093E"/>
    <w:rsid w:val="00E11A8D"/>
    <w:rsid w:val="00E22977"/>
    <w:rsid w:val="00E24AFA"/>
    <w:rsid w:val="00E2602E"/>
    <w:rsid w:val="00E33E06"/>
    <w:rsid w:val="00E34245"/>
    <w:rsid w:val="00E35BA9"/>
    <w:rsid w:val="00E41388"/>
    <w:rsid w:val="00E4470C"/>
    <w:rsid w:val="00E466CE"/>
    <w:rsid w:val="00E47784"/>
    <w:rsid w:val="00E524A1"/>
    <w:rsid w:val="00E54BE4"/>
    <w:rsid w:val="00E5761E"/>
    <w:rsid w:val="00E61391"/>
    <w:rsid w:val="00E70263"/>
    <w:rsid w:val="00E72A24"/>
    <w:rsid w:val="00E734A9"/>
    <w:rsid w:val="00E75ADF"/>
    <w:rsid w:val="00E76130"/>
    <w:rsid w:val="00E76FDC"/>
    <w:rsid w:val="00E7720F"/>
    <w:rsid w:val="00E772D5"/>
    <w:rsid w:val="00E8231E"/>
    <w:rsid w:val="00E85538"/>
    <w:rsid w:val="00E87504"/>
    <w:rsid w:val="00E8787A"/>
    <w:rsid w:val="00E87A13"/>
    <w:rsid w:val="00E92A8D"/>
    <w:rsid w:val="00E95E30"/>
    <w:rsid w:val="00EA20B6"/>
    <w:rsid w:val="00EA25E2"/>
    <w:rsid w:val="00EA5256"/>
    <w:rsid w:val="00EA73B4"/>
    <w:rsid w:val="00EB0752"/>
    <w:rsid w:val="00EB1431"/>
    <w:rsid w:val="00EB2F7F"/>
    <w:rsid w:val="00EB572F"/>
    <w:rsid w:val="00EC4302"/>
    <w:rsid w:val="00EC46F5"/>
    <w:rsid w:val="00ED13F6"/>
    <w:rsid w:val="00ED56A3"/>
    <w:rsid w:val="00ED5BB0"/>
    <w:rsid w:val="00ED788C"/>
    <w:rsid w:val="00EE1A8B"/>
    <w:rsid w:val="00EF075F"/>
    <w:rsid w:val="00EF0897"/>
    <w:rsid w:val="00EF15A6"/>
    <w:rsid w:val="00EF303C"/>
    <w:rsid w:val="00F01D8D"/>
    <w:rsid w:val="00F07F3F"/>
    <w:rsid w:val="00F102B7"/>
    <w:rsid w:val="00F2241C"/>
    <w:rsid w:val="00F23989"/>
    <w:rsid w:val="00F253F0"/>
    <w:rsid w:val="00F26E37"/>
    <w:rsid w:val="00F274D3"/>
    <w:rsid w:val="00F3174F"/>
    <w:rsid w:val="00F332EC"/>
    <w:rsid w:val="00F34C93"/>
    <w:rsid w:val="00F429B2"/>
    <w:rsid w:val="00F43735"/>
    <w:rsid w:val="00F4608E"/>
    <w:rsid w:val="00F47BB1"/>
    <w:rsid w:val="00F61E26"/>
    <w:rsid w:val="00F70C1A"/>
    <w:rsid w:val="00F71D5B"/>
    <w:rsid w:val="00F72A6E"/>
    <w:rsid w:val="00F760C2"/>
    <w:rsid w:val="00F7786E"/>
    <w:rsid w:val="00F82E6F"/>
    <w:rsid w:val="00F877D8"/>
    <w:rsid w:val="00F91489"/>
    <w:rsid w:val="00F9628D"/>
    <w:rsid w:val="00F963FE"/>
    <w:rsid w:val="00F96A29"/>
    <w:rsid w:val="00FB039B"/>
    <w:rsid w:val="00FB13AD"/>
    <w:rsid w:val="00FB619E"/>
    <w:rsid w:val="00FB7518"/>
    <w:rsid w:val="00FC12A3"/>
    <w:rsid w:val="00FC224E"/>
    <w:rsid w:val="00FC633E"/>
    <w:rsid w:val="00FD1A91"/>
    <w:rsid w:val="00FD3D7E"/>
    <w:rsid w:val="00FD4397"/>
    <w:rsid w:val="00FD5A20"/>
    <w:rsid w:val="00FE299D"/>
    <w:rsid w:val="00FE2ABC"/>
    <w:rsid w:val="00FE2F78"/>
    <w:rsid w:val="00FE30A9"/>
    <w:rsid w:val="00FE3549"/>
    <w:rsid w:val="00FE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C928243-7ED2-4A8D-8142-21DB8A8A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character" w:styleId="CommentReference">
    <w:name w:val="annotation reference"/>
    <w:rsid w:val="0046675F"/>
    <w:rPr>
      <w:sz w:val="16"/>
      <w:szCs w:val="16"/>
    </w:rPr>
  </w:style>
  <w:style w:type="paragraph" w:styleId="CommentText">
    <w:name w:val="annotation text"/>
    <w:basedOn w:val="Normal"/>
    <w:link w:val="CommentTextChar"/>
    <w:rsid w:val="0046675F"/>
    <w:rPr>
      <w:sz w:val="20"/>
      <w:szCs w:val="20"/>
    </w:rPr>
  </w:style>
  <w:style w:type="character" w:customStyle="1" w:styleId="CommentTextChar">
    <w:name w:val="Comment Text Char"/>
    <w:basedOn w:val="DefaultParagraphFont"/>
    <w:link w:val="CommentText"/>
    <w:rsid w:val="0046675F"/>
  </w:style>
  <w:style w:type="paragraph" w:styleId="CommentSubject">
    <w:name w:val="annotation subject"/>
    <w:basedOn w:val="CommentText"/>
    <w:next w:val="CommentText"/>
    <w:link w:val="CommentSubjectChar"/>
    <w:rsid w:val="0046675F"/>
    <w:rPr>
      <w:b/>
      <w:bCs/>
    </w:rPr>
  </w:style>
  <w:style w:type="character" w:customStyle="1" w:styleId="CommentSubjectChar">
    <w:name w:val="Comment Subject Char"/>
    <w:link w:val="CommentSubject"/>
    <w:rsid w:val="0046675F"/>
    <w:rPr>
      <w:b/>
      <w:bCs/>
    </w:rPr>
  </w:style>
  <w:style w:type="paragraph" w:styleId="BalloonText">
    <w:name w:val="Balloon Text"/>
    <w:basedOn w:val="Normal"/>
    <w:link w:val="BalloonTextChar"/>
    <w:rsid w:val="0046675F"/>
    <w:rPr>
      <w:rFonts w:ascii="Segoe UI" w:hAnsi="Segoe UI" w:cs="Segoe UI"/>
      <w:sz w:val="18"/>
      <w:szCs w:val="18"/>
    </w:rPr>
  </w:style>
  <w:style w:type="character" w:customStyle="1" w:styleId="BalloonTextChar">
    <w:name w:val="Balloon Text Char"/>
    <w:link w:val="BalloonText"/>
    <w:rsid w:val="0046675F"/>
    <w:rPr>
      <w:rFonts w:ascii="Segoe UI" w:hAnsi="Segoe UI" w:cs="Segoe UI"/>
      <w:sz w:val="18"/>
      <w:szCs w:val="18"/>
    </w:rPr>
  </w:style>
  <w:style w:type="table" w:styleId="TableGrid">
    <w:name w:val="Table Grid"/>
    <w:basedOn w:val="TableNormal"/>
    <w:uiPriority w:val="59"/>
    <w:rsid w:val="006A12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56239"/>
    <w:rPr>
      <w:rFonts w:ascii="Helvetica" w:eastAsia="Calibri" w:hAnsi="Helvetica"/>
      <w:sz w:val="17"/>
      <w:szCs w:val="17"/>
    </w:rPr>
  </w:style>
  <w:style w:type="paragraph" w:customStyle="1" w:styleId="p2">
    <w:name w:val="p2"/>
    <w:basedOn w:val="Normal"/>
    <w:rsid w:val="009E572D"/>
    <w:rPr>
      <w:rFonts w:ascii="Calibri" w:hAnsi="Calibri"/>
      <w:sz w:val="17"/>
      <w:szCs w:val="17"/>
    </w:rPr>
  </w:style>
  <w:style w:type="character" w:customStyle="1" w:styleId="apple-converted-space">
    <w:name w:val="apple-converted-space"/>
    <w:rsid w:val="009E572D"/>
  </w:style>
  <w:style w:type="paragraph" w:styleId="ColorfulList-Accent1">
    <w:name w:val="Colorful List Accent 1"/>
    <w:basedOn w:val="Normal"/>
    <w:uiPriority w:val="34"/>
    <w:qFormat/>
    <w:rsid w:val="009B49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581260373">
      <w:bodyDiv w:val="1"/>
      <w:marLeft w:val="0"/>
      <w:marRight w:val="0"/>
      <w:marTop w:val="0"/>
      <w:marBottom w:val="0"/>
      <w:divBdr>
        <w:top w:val="none" w:sz="0" w:space="0" w:color="auto"/>
        <w:left w:val="none" w:sz="0" w:space="0" w:color="auto"/>
        <w:bottom w:val="none" w:sz="0" w:space="0" w:color="auto"/>
        <w:right w:val="none" w:sz="0" w:space="0" w:color="auto"/>
      </w:divBdr>
    </w:div>
    <w:div w:id="631399101">
      <w:bodyDiv w:val="1"/>
      <w:marLeft w:val="0"/>
      <w:marRight w:val="0"/>
      <w:marTop w:val="0"/>
      <w:marBottom w:val="0"/>
      <w:divBdr>
        <w:top w:val="none" w:sz="0" w:space="0" w:color="auto"/>
        <w:left w:val="none" w:sz="0" w:space="0" w:color="auto"/>
        <w:bottom w:val="none" w:sz="0" w:space="0" w:color="auto"/>
        <w:right w:val="none" w:sz="0" w:space="0" w:color="auto"/>
      </w:divBdr>
    </w:div>
    <w:div w:id="638730754">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96130006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omiyount@westa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ohen@fac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9" ma:contentTypeDescription="Create a new document." ma:contentTypeScope="" ma:versionID="d90bb54286a3df0c1fb31569feec89c9">
  <xsd:schema xmlns:xsd="http://www.w3.org/2001/XMLSchema" xmlns:xs="http://www.w3.org/2001/XMLSchema" xmlns:p="http://schemas.microsoft.com/office/2006/metadata/properties" xmlns:ns1="http://schemas.microsoft.com/sharepoint/v3" xmlns:ns3="49f71bca-6bbc-4f80-bff3-58f6213e9614" targetNamespace="http://schemas.microsoft.com/office/2006/metadata/properties" ma:root="true" ma:fieldsID="79a50507d5ec8f300931c28dc140fa62" ns1:_="" ns3:_="">
    <xsd:import namespace="http://schemas.microsoft.com/sharepoint/v3"/>
    <xsd:import namespace="49f71bca-6bbc-4f80-bff3-58f6213e961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63E4A-7875-42B8-9A51-529EAC678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56DD7-5083-4305-B66C-A3CC1039BFED}">
  <ds:schemaRefs>
    <ds:schemaRef ds:uri="http://schemas.microsoft.com/sharepoint/v3/contenttype/forms"/>
  </ds:schemaRefs>
</ds:datastoreItem>
</file>

<file path=customXml/itemProps3.xml><?xml version="1.0" encoding="utf-8"?>
<ds:datastoreItem xmlns:ds="http://schemas.openxmlformats.org/officeDocument/2006/customXml" ds:itemID="{D9E6F51D-3346-4F3D-9784-0A6FF06D2485}">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9f71bca-6bbc-4f80-bff3-58f6213e9614"/>
    <ds:schemaRef ds:uri="http://www.w3.org/XML/1998/namespace"/>
    <ds:schemaRef ds:uri="http://purl.org/dc/terms/"/>
  </ds:schemaRefs>
</ds:datastoreItem>
</file>

<file path=customXml/itemProps4.xml><?xml version="1.0" encoding="utf-8"?>
<ds:datastoreItem xmlns:ds="http://schemas.openxmlformats.org/officeDocument/2006/customXml" ds:itemID="{664A5C71-6522-46B7-A045-90A7B574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15571</CharactersWithSpaces>
  <SharedDoc>false</SharedDoc>
  <HLinks>
    <vt:vector size="12" baseType="variant">
      <vt:variant>
        <vt:i4>2097178</vt:i4>
      </vt:variant>
      <vt:variant>
        <vt:i4>3</vt:i4>
      </vt:variant>
      <vt:variant>
        <vt:i4>0</vt:i4>
      </vt:variant>
      <vt:variant>
        <vt:i4>5</vt:i4>
      </vt:variant>
      <vt:variant>
        <vt:lpwstr>mailto:naomiyount@westat.com</vt:lpwstr>
      </vt:variant>
      <vt:variant>
        <vt:lpwstr/>
      </vt:variant>
      <vt:variant>
        <vt:i4>6226038</vt:i4>
      </vt:variant>
      <vt:variant>
        <vt:i4>0</vt:i4>
      </vt:variant>
      <vt:variant>
        <vt:i4>0</vt:i4>
      </vt:variant>
      <vt:variant>
        <vt:i4>5</vt:i4>
      </vt:variant>
      <vt:variant>
        <vt:lpwstr>mailto:mcohen@facs.org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cp:lastModifiedBy>Brown, Erwin (AHRQ/CFACT)</cp:lastModifiedBy>
  <cp:revision>2</cp:revision>
  <cp:lastPrinted>2017-07-20T22:03:00Z</cp:lastPrinted>
  <dcterms:created xsi:type="dcterms:W3CDTF">2020-09-28T14:19:00Z</dcterms:created>
  <dcterms:modified xsi:type="dcterms:W3CDTF">2020-09-28T14:19:00Z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ies>
</file>