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B5" w:rsidP="00465EB5" w:rsidRDefault="00465EB5" w14:paraId="304F9521" w14:textId="77777777">
      <w:pPr>
        <w:pStyle w:val="Title"/>
        <w:rPr>
          <w:lang w:val="x-none"/>
        </w:rPr>
      </w:pPr>
      <w:r>
        <w:rPr>
          <w:lang w:val="x-none"/>
        </w:rPr>
        <w:t xml:space="preserve">SUPPORTING STATEMENT FOR THE </w:t>
      </w:r>
    </w:p>
    <w:p w:rsidR="00290BF1" w:rsidP="006D73C3" w:rsidRDefault="00465EB5" w14:paraId="7818F19F" w14:textId="77777777">
      <w:pPr>
        <w:pStyle w:val="Title"/>
        <w:rPr>
          <w:lang w:val="x-none"/>
        </w:rPr>
      </w:pPr>
      <w:r>
        <w:rPr>
          <w:lang w:val="x-none"/>
        </w:rPr>
        <w:t xml:space="preserve">INFORMATION COLLECTION REQUIREMENTS IN </w:t>
      </w:r>
    </w:p>
    <w:p w:rsidRPr="006D73C3" w:rsidR="0012496E" w:rsidP="006D73C3" w:rsidRDefault="00465EB5" w14:paraId="6FFA4A68" w14:textId="77777777">
      <w:pPr>
        <w:pStyle w:val="Title"/>
        <w:rPr>
          <w:color w:val="000000"/>
        </w:rPr>
      </w:pPr>
      <w:r w:rsidRPr="006D73C3">
        <w:t xml:space="preserve">THE </w:t>
      </w:r>
      <w:r w:rsidRPr="006D73C3" w:rsidR="00123BA6">
        <w:rPr>
          <w:bCs w:val="0"/>
          <w:color w:val="000000"/>
        </w:rPr>
        <w:t>HAZARD COMMUNICATION STANDARD</w:t>
      </w:r>
      <w:r w:rsidRPr="006D73C3" w:rsidR="0012496E">
        <w:rPr>
          <w:color w:val="000000"/>
          <w:vertAlign w:val="superscript"/>
        </w:rPr>
        <w:footnoteReference w:id="2"/>
      </w:r>
    </w:p>
    <w:p w:rsidRPr="006D73C3" w:rsidR="00193D27" w:rsidP="0012496E" w:rsidRDefault="00AE312F" w14:paraId="70057C7A" w14:textId="77777777">
      <w:pPr>
        <w:jc w:val="center"/>
        <w:rPr>
          <w:b/>
          <w:color w:val="000000"/>
          <w:sz w:val="24"/>
          <w:szCs w:val="24"/>
        </w:rPr>
      </w:pPr>
      <w:r w:rsidRPr="006D73C3" w:rsidDel="00AE312F">
        <w:rPr>
          <w:b/>
          <w:color w:val="000000"/>
          <w:sz w:val="24"/>
          <w:szCs w:val="24"/>
        </w:rPr>
        <w:t xml:space="preserve"> </w:t>
      </w:r>
      <w:r w:rsidRPr="006D73C3" w:rsidR="00193D27">
        <w:rPr>
          <w:b/>
          <w:color w:val="000000"/>
          <w:sz w:val="24"/>
          <w:szCs w:val="24"/>
        </w:rPr>
        <w:t xml:space="preserve">(29 CFR 1910.1200, 1915.1200, 1917.28, 1918.90, 1926.59, </w:t>
      </w:r>
      <w:r w:rsidRPr="006D73C3" w:rsidR="00DA610F">
        <w:rPr>
          <w:b/>
          <w:color w:val="000000"/>
          <w:sz w:val="24"/>
          <w:szCs w:val="24"/>
        </w:rPr>
        <w:t>and</w:t>
      </w:r>
      <w:r w:rsidRPr="006D73C3" w:rsidR="00193D27">
        <w:rPr>
          <w:b/>
          <w:color w:val="000000"/>
          <w:sz w:val="24"/>
          <w:szCs w:val="24"/>
        </w:rPr>
        <w:t xml:space="preserve"> 1928.21)</w:t>
      </w:r>
      <w:r w:rsidRPr="006D73C3" w:rsidR="00DA610F">
        <w:rPr>
          <w:b/>
          <w:color w:val="000000"/>
          <w:sz w:val="24"/>
          <w:szCs w:val="24"/>
        </w:rPr>
        <w:t xml:space="preserve"> </w:t>
      </w:r>
    </w:p>
    <w:p w:rsidRPr="006D73C3" w:rsidR="00CA253E" w:rsidP="00AE312F" w:rsidRDefault="00465EB5" w14:paraId="7A6A3D4D" w14:textId="53257A93">
      <w:pPr>
        <w:jc w:val="center"/>
        <w:rPr>
          <w:b/>
          <w:bCs/>
          <w:color w:val="000000"/>
          <w:sz w:val="24"/>
          <w:szCs w:val="24"/>
        </w:rPr>
      </w:pPr>
      <w:r w:rsidRPr="006D73C3">
        <w:rPr>
          <w:b/>
          <w:sz w:val="24"/>
          <w:szCs w:val="24"/>
          <w:lang w:val="x-none"/>
        </w:rPr>
        <w:t>OMB CONTROL NO. 1218-</w:t>
      </w:r>
      <w:r w:rsidRPr="006D73C3">
        <w:rPr>
          <w:b/>
          <w:sz w:val="24"/>
          <w:szCs w:val="24"/>
        </w:rPr>
        <w:t>0072</w:t>
      </w:r>
      <w:r w:rsidRPr="006D73C3">
        <w:rPr>
          <w:b/>
        </w:rPr>
        <w:t xml:space="preserve"> </w:t>
      </w:r>
      <w:r w:rsidR="00F8151E">
        <w:rPr>
          <w:b/>
          <w:bCs/>
          <w:color w:val="000000"/>
          <w:sz w:val="24"/>
          <w:szCs w:val="24"/>
        </w:rPr>
        <w:t>(October 2020)</w:t>
      </w:r>
    </w:p>
    <w:p w:rsidRPr="00CB5054" w:rsidR="00B25178" w:rsidP="00D80711" w:rsidRDefault="00B25178" w14:paraId="1D3C7F1F" w14:textId="77777777">
      <w:pPr>
        <w:rPr>
          <w:color w:val="000000"/>
          <w:sz w:val="24"/>
          <w:szCs w:val="24"/>
        </w:rPr>
      </w:pPr>
    </w:p>
    <w:p w:rsidRPr="00CA253E" w:rsidR="00CA253E" w:rsidP="00CA253E" w:rsidRDefault="00CA253E" w14:paraId="02F7C67F" w14:textId="7924EA13">
      <w:pPr>
        <w:rPr>
          <w:bCs/>
          <w:sz w:val="24"/>
          <w:szCs w:val="24"/>
          <w:u w:val="single"/>
        </w:rPr>
      </w:pPr>
      <w:r w:rsidRPr="00CA253E">
        <w:rPr>
          <w:bCs/>
          <w:sz w:val="24"/>
          <w:szCs w:val="24"/>
          <w:u w:val="single"/>
        </w:rPr>
        <w:t>This ICR is requesting the extension of a currently approved data collection.</w:t>
      </w:r>
    </w:p>
    <w:p w:rsidR="00CA253E" w:rsidP="00CA253E" w:rsidRDefault="00CA253E" w14:paraId="1834CFDE" w14:textId="77777777">
      <w:pPr>
        <w:rPr>
          <w:bCs/>
          <w:u w:val="single"/>
        </w:rPr>
      </w:pPr>
    </w:p>
    <w:p w:rsidRPr="00CB5054" w:rsidR="00D80711" w:rsidP="00D80711" w:rsidRDefault="00B25178" w14:paraId="34E58973" w14:textId="77777777">
      <w:pPr>
        <w:rPr>
          <w:b/>
          <w:bCs/>
          <w:color w:val="000000"/>
          <w:sz w:val="24"/>
          <w:szCs w:val="24"/>
        </w:rPr>
      </w:pPr>
      <w:r w:rsidRPr="00CB5054">
        <w:rPr>
          <w:b/>
          <w:color w:val="000000"/>
          <w:sz w:val="24"/>
          <w:szCs w:val="24"/>
        </w:rPr>
        <w:t xml:space="preserve">A. </w:t>
      </w:r>
      <w:r w:rsidR="0041296B">
        <w:rPr>
          <w:b/>
          <w:color w:val="000000"/>
          <w:sz w:val="24"/>
          <w:szCs w:val="24"/>
        </w:rPr>
        <w:t xml:space="preserve"> </w:t>
      </w:r>
      <w:r w:rsidRPr="00CB5054" w:rsidR="00D80711">
        <w:rPr>
          <w:b/>
          <w:bCs/>
          <w:color w:val="000000"/>
          <w:sz w:val="24"/>
          <w:szCs w:val="24"/>
        </w:rPr>
        <w:t>J</w:t>
      </w:r>
      <w:r w:rsidRPr="00CB5054">
        <w:rPr>
          <w:b/>
          <w:bCs/>
          <w:color w:val="000000"/>
          <w:sz w:val="24"/>
          <w:szCs w:val="24"/>
        </w:rPr>
        <w:t>USTIFICATION</w:t>
      </w:r>
      <w:r w:rsidRPr="00CB5054" w:rsidR="00D80711">
        <w:rPr>
          <w:b/>
          <w:bCs/>
          <w:color w:val="000000"/>
          <w:sz w:val="24"/>
          <w:szCs w:val="24"/>
        </w:rPr>
        <w:tab/>
      </w:r>
    </w:p>
    <w:p w:rsidRPr="00CB5054" w:rsidR="00D80711" w:rsidP="00D80711" w:rsidRDefault="00D80711" w14:paraId="64D6DBAA" w14:textId="777777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CB5054">
        <w:rPr>
          <w:b/>
          <w:bCs/>
          <w:color w:val="000000"/>
          <w:sz w:val="24"/>
          <w:szCs w:val="24"/>
        </w:rPr>
        <w:tab/>
      </w:r>
    </w:p>
    <w:p w:rsidRPr="00AB0B90" w:rsidR="00D80711" w:rsidP="00D80711" w:rsidRDefault="00D80711" w14:paraId="21B5EF43" w14:textId="77777777">
      <w:pPr>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1</w:t>
      </w:r>
      <w:r w:rsidRPr="00FF1F12">
        <w:rPr>
          <w:b/>
          <w:bCs/>
          <w:color w:val="000000"/>
          <w:sz w:val="24"/>
          <w:szCs w:val="24"/>
        </w:rPr>
        <w:t xml:space="preserve">.  </w:t>
      </w:r>
      <w:r w:rsidRPr="00AB0B90">
        <w:rPr>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B5054" w:rsidR="0012496E" w:rsidP="0012496E" w:rsidRDefault="0012496E" w14:paraId="5BA8A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12496E" w:rsidP="0012496E" w:rsidRDefault="0012496E" w14:paraId="6F915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main objective of the Occupational Safety and Health Act of 1970 (i.e., “The Act”) is to “assure so far as possible every working</w:t>
      </w:r>
      <w:r w:rsidR="000A1263">
        <w:rPr>
          <w:color w:val="000000"/>
          <w:sz w:val="24"/>
          <w:szCs w:val="24"/>
        </w:rPr>
        <w:t xml:space="preserve"> m</w:t>
      </w:r>
      <w:r w:rsidRPr="00CB5054">
        <w:rPr>
          <w:color w:val="000000"/>
          <w:sz w:val="24"/>
          <w:szCs w:val="24"/>
        </w:rPr>
        <w:t>a</w:t>
      </w:r>
      <w:r w:rsidR="000A1263">
        <w:rPr>
          <w:color w:val="000000"/>
          <w:sz w:val="24"/>
          <w:szCs w:val="24"/>
        </w:rPr>
        <w:t>n</w:t>
      </w:r>
      <w:r w:rsidRPr="00CB5054">
        <w:rPr>
          <w:color w:val="000000"/>
          <w:sz w:val="24"/>
          <w:szCs w:val="24"/>
        </w:rPr>
        <w:t xml:space="preserve"> and woman in the Nation safe and healthful working conditions and to preserve our human resources”</w:t>
      </w:r>
      <w:r w:rsidR="000A1263">
        <w:rPr>
          <w:color w:val="000000"/>
          <w:sz w:val="24"/>
          <w:szCs w:val="24"/>
        </w:rPr>
        <w:t xml:space="preserve"> (</w:t>
      </w:r>
      <w:r w:rsidRPr="00CB5054" w:rsidR="000A1263">
        <w:rPr>
          <w:color w:val="000000"/>
          <w:sz w:val="24"/>
          <w:szCs w:val="24"/>
        </w:rPr>
        <w:t>29 U.S.C. 651 et. seq.</w:t>
      </w:r>
      <w:r w:rsidR="000A1263">
        <w:rPr>
          <w:color w:val="000000"/>
          <w:sz w:val="24"/>
          <w:szCs w:val="24"/>
        </w:rPr>
        <w:t>).</w:t>
      </w:r>
      <w:r w:rsidRPr="00CB5054" w:rsidDel="000A1263" w:rsidR="000A1263">
        <w:rPr>
          <w:color w:val="000000"/>
          <w:sz w:val="24"/>
          <w:szCs w:val="24"/>
        </w:rPr>
        <w:t xml:space="preserve"> </w:t>
      </w:r>
      <w:r w:rsidR="000A1263">
        <w:rPr>
          <w:color w:val="000000"/>
          <w:sz w:val="24"/>
          <w:szCs w:val="24"/>
        </w:rPr>
        <w:t xml:space="preserve"> T</w:t>
      </w:r>
      <w:r w:rsidRPr="00CB5054">
        <w:rPr>
          <w:color w:val="000000"/>
          <w:sz w:val="24"/>
          <w:szCs w:val="24"/>
        </w:rPr>
        <w:t>o achieve this objective, the Act authori</w:t>
      </w:r>
      <w:r w:rsidR="000A1263">
        <w:rPr>
          <w:color w:val="000000"/>
          <w:sz w:val="24"/>
          <w:szCs w:val="24"/>
        </w:rPr>
        <w:t>zes</w:t>
      </w:r>
      <w:r w:rsidRPr="00CB5054">
        <w:rPr>
          <w:color w:val="000000"/>
          <w:sz w:val="24"/>
          <w:szCs w:val="24"/>
        </w:rPr>
        <w:t xml:space="preserve"> “the development and promulgation of occupational safety and health standards” (29 U.S.C.</w:t>
      </w:r>
      <w:r w:rsidR="00733EAB">
        <w:rPr>
          <w:color w:val="000000"/>
          <w:sz w:val="24"/>
          <w:szCs w:val="24"/>
        </w:rPr>
        <w:t xml:space="preserve"> </w:t>
      </w:r>
      <w:r w:rsidRPr="00CB5054">
        <w:rPr>
          <w:color w:val="000000"/>
          <w:sz w:val="24"/>
          <w:szCs w:val="24"/>
        </w:rPr>
        <w:t>651).</w:t>
      </w:r>
    </w:p>
    <w:p w:rsidRPr="00CB5054" w:rsidR="0012496E" w:rsidP="0012496E" w:rsidRDefault="0012496E" w14:paraId="353E2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12496E" w:rsidP="0012496E" w:rsidRDefault="0012496E" w14:paraId="2BCC0A0B" w14:textId="5FDC2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Section 6(b)(7) of the Act of 1970, states that any occupational safety or health standard promulgated by the Secretary of Labor under section 6(b) rulemaking authority "shall prescribe the use of labels or other appropriate forms of warning as are necessary to </w:t>
      </w:r>
      <w:r w:rsidR="00C93281">
        <w:rPr>
          <w:color w:val="000000"/>
          <w:sz w:val="24"/>
          <w:szCs w:val="24"/>
        </w:rPr>
        <w:t>e</w:t>
      </w:r>
      <w:r w:rsidRPr="00CB5054" w:rsidR="00C93281">
        <w:rPr>
          <w:color w:val="000000"/>
          <w:sz w:val="24"/>
          <w:szCs w:val="24"/>
        </w:rPr>
        <w:t xml:space="preserve">nsure </w:t>
      </w:r>
      <w:r w:rsidRPr="00CB5054">
        <w:rPr>
          <w:color w:val="000000"/>
          <w:sz w:val="24"/>
          <w:szCs w:val="24"/>
        </w:rPr>
        <w:t>that employees are apprised of all hazards to which they are exposed, relevant symptoms and appropriate emergency treatment, and proper conditions and precautions of safe use of exposure."  In promulgating substance</w:t>
      </w:r>
      <w:r w:rsidRPr="00CB5054">
        <w:rPr>
          <w:color w:val="000000"/>
          <w:sz w:val="24"/>
          <w:szCs w:val="24"/>
        </w:rPr>
        <w:noBreakHyphen/>
        <w:t xml:space="preserve">specific rules to address the hazards of a particular chemical, OSHA followed this Congressional directive.  However, given the universe of chemicals present in American workplaces (as many as </w:t>
      </w:r>
      <w:r w:rsidR="003E1123">
        <w:rPr>
          <w:color w:val="000000"/>
          <w:sz w:val="24"/>
          <w:szCs w:val="24"/>
        </w:rPr>
        <w:t>1,399,145</w:t>
      </w:r>
      <w:r w:rsidRPr="00CB5054">
        <w:rPr>
          <w:color w:val="000000"/>
          <w:sz w:val="24"/>
          <w:szCs w:val="24"/>
        </w:rPr>
        <w:t xml:space="preserve"> hazardous chemical products), and the time</w:t>
      </w:r>
      <w:r w:rsidRPr="00CB5054">
        <w:rPr>
          <w:color w:val="000000"/>
          <w:sz w:val="24"/>
          <w:szCs w:val="24"/>
        </w:rPr>
        <w:noBreakHyphen/>
        <w:t>consuming nature of OSHA's rulemaking process, it became clear that little information would be available to employees if this substance</w:t>
      </w:r>
      <w:r w:rsidRPr="00CB5054">
        <w:rPr>
          <w:color w:val="000000"/>
          <w:sz w:val="24"/>
          <w:szCs w:val="24"/>
        </w:rPr>
        <w:noBreakHyphen/>
        <w:t>by</w:t>
      </w:r>
      <w:r w:rsidRPr="00CB5054">
        <w:rPr>
          <w:color w:val="000000"/>
          <w:sz w:val="24"/>
          <w:szCs w:val="24"/>
        </w:rPr>
        <w:noBreakHyphen/>
        <w:t>substance approach was the only avenue pursued.  Workers exposed to chemicals would continue to encounter a myriad of hazards.  Many chemicals cause acute injuries or illnesses such as rashes, burns and poisoning, or chronic effects such as cancer or liver damage.  Also, chemicals can pose physical hazards to workers by contributing to accidents such as fires and explosions.  To prevent such occupational hazards, the Agency addressed the issue of hazard information transmittal on a generic basis.</w:t>
      </w:r>
    </w:p>
    <w:p w:rsidRPr="00CB5054" w:rsidR="0012496E" w:rsidP="0012496E" w:rsidRDefault="0012496E" w14:paraId="4DAA23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134FDA" w:rsidP="0012496E" w:rsidRDefault="00134FDA" w14:paraId="1328B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purpose of the Hazard Communication Standard (HCS)</w:t>
      </w:r>
      <w:r w:rsidR="000A1263">
        <w:rPr>
          <w:color w:val="000000"/>
          <w:sz w:val="24"/>
          <w:szCs w:val="24"/>
        </w:rPr>
        <w:t xml:space="preserve"> </w:t>
      </w:r>
      <w:r w:rsidRPr="00CB5054">
        <w:rPr>
          <w:color w:val="000000"/>
          <w:sz w:val="24"/>
          <w:szCs w:val="24"/>
        </w:rPr>
        <w:t>(29 CFR 1910.1200) and its collection of information requirements is to ensure that the hazards of chemicals produced or imported are evaluated and that information concerning these hazards is transmitted to employers and employees. The collections of information requirements are approved by the Office of Management and Budget (OMB) under OMB Control Number 1218-0072.</w:t>
      </w:r>
    </w:p>
    <w:p w:rsidRPr="00FF1F12" w:rsidR="009965D1" w:rsidP="0012496E" w:rsidRDefault="009965D1" w14:paraId="1CEE7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FF1F12" w:rsidR="005B5D3A" w:rsidP="005B5D3A" w:rsidRDefault="00D80711" w14:paraId="02C4E9DA" w14:textId="77777777">
      <w:pPr>
        <w:numPr>
          <w:ilvl w:val="0"/>
          <w:numId w:val="2"/>
        </w:numPr>
        <w:shd w:val="solid" w:color="FFFFFF" w:fill="FFFFFF"/>
        <w:tabs>
          <w:tab w:val="left" w:pos="-216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AB0B90">
        <w:rPr>
          <w:b/>
          <w:bCs/>
          <w:color w:val="000000"/>
          <w:sz w:val="24"/>
          <w:szCs w:val="24"/>
        </w:rPr>
        <w:t>Indicate how, by whom, and for what purpose the information is to be used.  Except for a new collection, indicate the actual use the agency has made of the information received from the current collection.</w:t>
      </w:r>
    </w:p>
    <w:p w:rsidRPr="00CB5054" w:rsidR="005B5D3A" w:rsidP="005B5D3A" w:rsidRDefault="005B5D3A" w14:paraId="574C10A2" w14:textId="77777777">
      <w:pPr>
        <w:shd w:val="solid" w:color="FFFFFF" w:fill="FFFFFF"/>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4"/>
          <w:szCs w:val="24"/>
        </w:rPr>
      </w:pPr>
    </w:p>
    <w:p w:rsidR="00DA610F" w:rsidP="00DA610F" w:rsidRDefault="008E4282" w14:paraId="1C26F8CA" w14:textId="77777777">
      <w:pPr>
        <w:rPr>
          <w:rFonts w:ascii="Courier New" w:hAnsi="Courier New" w:cs="Courier New"/>
          <w:bCs/>
          <w:color w:val="000000"/>
        </w:rPr>
      </w:pPr>
      <w:r w:rsidRPr="00CB5054">
        <w:rPr>
          <w:bCs/>
          <w:color w:val="000000"/>
          <w:sz w:val="24"/>
          <w:szCs w:val="24"/>
        </w:rPr>
        <w:t xml:space="preserve">The </w:t>
      </w:r>
      <w:r w:rsidR="006635C2">
        <w:rPr>
          <w:bCs/>
          <w:color w:val="000000"/>
          <w:sz w:val="24"/>
          <w:szCs w:val="24"/>
        </w:rPr>
        <w:t>HCS</w:t>
      </w:r>
      <w:r w:rsidRPr="00CB5054" w:rsidR="00C7405E">
        <w:rPr>
          <w:bCs/>
          <w:color w:val="000000"/>
          <w:sz w:val="24"/>
          <w:szCs w:val="24"/>
        </w:rPr>
        <w:t xml:space="preserve"> </w:t>
      </w:r>
      <w:r w:rsidR="006635C2">
        <w:rPr>
          <w:bCs/>
          <w:color w:val="000000"/>
          <w:sz w:val="24"/>
          <w:szCs w:val="24"/>
        </w:rPr>
        <w:t>standard</w:t>
      </w:r>
      <w:r w:rsidR="00B72720">
        <w:rPr>
          <w:bCs/>
          <w:color w:val="000000"/>
          <w:sz w:val="24"/>
          <w:szCs w:val="24"/>
        </w:rPr>
        <w:t xml:space="preserve"> </w:t>
      </w:r>
      <w:r w:rsidRPr="00CB5054">
        <w:rPr>
          <w:bCs/>
          <w:color w:val="000000"/>
          <w:sz w:val="24"/>
          <w:szCs w:val="24"/>
        </w:rPr>
        <w:t>affect</w:t>
      </w:r>
      <w:r w:rsidRPr="00CB5054" w:rsidR="00C7405E">
        <w:rPr>
          <w:bCs/>
          <w:color w:val="000000"/>
          <w:sz w:val="24"/>
          <w:szCs w:val="24"/>
        </w:rPr>
        <w:t>s</w:t>
      </w:r>
      <w:r w:rsidRPr="00CB5054">
        <w:rPr>
          <w:bCs/>
          <w:color w:val="000000"/>
          <w:sz w:val="24"/>
          <w:szCs w:val="24"/>
        </w:rPr>
        <w:t xml:space="preserve"> employers and employees in many different industries across the economy. </w:t>
      </w:r>
      <w:r w:rsidR="004A08B9">
        <w:rPr>
          <w:bCs/>
          <w:color w:val="000000"/>
          <w:sz w:val="24"/>
          <w:szCs w:val="24"/>
        </w:rPr>
        <w:t xml:space="preserve"> </w:t>
      </w:r>
      <w:r w:rsidRPr="00CB5054" w:rsidR="00047891">
        <w:rPr>
          <w:bCs/>
          <w:color w:val="000000"/>
          <w:sz w:val="24"/>
          <w:szCs w:val="24"/>
        </w:rPr>
        <w:t>T</w:t>
      </w:r>
      <w:r w:rsidRPr="00CB5054">
        <w:rPr>
          <w:bCs/>
          <w:color w:val="000000"/>
          <w:sz w:val="24"/>
          <w:szCs w:val="24"/>
        </w:rPr>
        <w:t>he HCS covers over five million workplaces</w:t>
      </w:r>
      <w:r w:rsidRPr="00CB5054" w:rsidR="00047891">
        <w:rPr>
          <w:rStyle w:val="FootnoteReference"/>
          <w:bCs/>
          <w:color w:val="000000"/>
          <w:sz w:val="24"/>
          <w:szCs w:val="24"/>
        </w:rPr>
        <w:footnoteReference w:id="3"/>
      </w:r>
      <w:r w:rsidRPr="00CB5054">
        <w:rPr>
          <w:bCs/>
          <w:color w:val="000000"/>
          <w:sz w:val="24"/>
          <w:szCs w:val="24"/>
        </w:rPr>
        <w:t xml:space="preserve"> in which employees are potentially exposed to hazardous chemicals.  </w:t>
      </w:r>
    </w:p>
    <w:p w:rsidRPr="00CB5054" w:rsidR="005B5D3A" w:rsidP="005B5D3A" w:rsidRDefault="005B5D3A" w14:paraId="1E231103" w14:textId="77777777">
      <w:pPr>
        <w:ind w:firstLine="720"/>
        <w:rPr>
          <w:color w:val="000000"/>
          <w:sz w:val="24"/>
          <w:szCs w:val="24"/>
        </w:rPr>
      </w:pPr>
    </w:p>
    <w:p w:rsidRPr="00CB5054" w:rsidR="00D80711" w:rsidP="00D80711" w:rsidRDefault="00D80711" w14:paraId="42505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000000"/>
          <w:sz w:val="24"/>
          <w:szCs w:val="24"/>
        </w:rPr>
      </w:pPr>
      <w:r w:rsidRPr="00CB5054">
        <w:rPr>
          <w:color w:val="000000"/>
          <w:sz w:val="24"/>
          <w:szCs w:val="24"/>
        </w:rPr>
        <w:t>The following paragraphs identify the paperwork requirements contained in the</w:t>
      </w:r>
      <w:r w:rsidR="00F012C6">
        <w:rPr>
          <w:color w:val="000000"/>
          <w:sz w:val="24"/>
          <w:szCs w:val="24"/>
        </w:rPr>
        <w:t xml:space="preserve"> HCS.</w:t>
      </w:r>
      <w:r w:rsidRPr="00CB5054">
        <w:rPr>
          <w:color w:val="000000"/>
          <w:sz w:val="24"/>
          <w:szCs w:val="24"/>
        </w:rPr>
        <w:t xml:space="preserve">  </w:t>
      </w:r>
      <w:r w:rsidR="00C95FBF">
        <w:rPr>
          <w:color w:val="000000"/>
          <w:sz w:val="24"/>
          <w:szCs w:val="24"/>
        </w:rPr>
        <w:t>Estimated b</w:t>
      </w:r>
      <w:r w:rsidRPr="00CB5054">
        <w:rPr>
          <w:color w:val="000000"/>
          <w:sz w:val="24"/>
          <w:szCs w:val="24"/>
        </w:rPr>
        <w:t>urden hours and costs are discussed under Item 12.</w:t>
      </w:r>
    </w:p>
    <w:p w:rsidRPr="00CB5054" w:rsidR="00D80711" w:rsidP="00D80711" w:rsidRDefault="00D80711" w14:paraId="1F8009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sz w:val="24"/>
          <w:szCs w:val="24"/>
        </w:rPr>
      </w:pPr>
    </w:p>
    <w:p w:rsidRPr="00832C02" w:rsidR="00D80711" w:rsidP="00D80711" w:rsidRDefault="00D80711" w14:paraId="0DF5104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832C02">
        <w:rPr>
          <w:b/>
          <w:color w:val="000000"/>
          <w:sz w:val="24"/>
          <w:szCs w:val="24"/>
        </w:rPr>
        <w:t xml:space="preserve">Hazard Classification </w:t>
      </w:r>
      <w:r w:rsidR="00832C02">
        <w:rPr>
          <w:b/>
          <w:color w:val="000000"/>
          <w:sz w:val="24"/>
          <w:szCs w:val="24"/>
        </w:rPr>
        <w:t>§1910.1200(d)</w:t>
      </w:r>
    </w:p>
    <w:p w:rsidRPr="00CB5054" w:rsidR="00D80711" w:rsidP="00D80711" w:rsidRDefault="00D80711" w14:paraId="0D7F450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F1BCC" w:rsidP="00FF1BCC" w:rsidRDefault="00D80711" w14:paraId="6688A67D" w14:textId="77777777">
      <w:pPr>
        <w:pStyle w:val="block1"/>
        <w:spacing w:before="0" w:beforeAutospacing="0" w:after="0" w:afterAutospacing="0"/>
      </w:pPr>
      <w:bookmarkStart w:name="1910.1200(d)(1)" w:id="0"/>
      <w:bookmarkEnd w:id="0"/>
      <w:r w:rsidRPr="00CB5054">
        <w:rPr>
          <w:i/>
          <w:color w:val="000000"/>
        </w:rPr>
        <w:t>§1910.1200(d)(1)</w:t>
      </w:r>
      <w:r w:rsidRPr="00CB5054">
        <w:rPr>
          <w:color w:val="000000"/>
        </w:rPr>
        <w:t xml:space="preserve"> - </w:t>
      </w:r>
      <w:r w:rsidR="00FF1BCC">
        <w:t xml:space="preserve">Chemical manufacturers and importers shall evaluate chemicals produced in their workplaces or imported by them to classify the chemicals in accordance with this section.  For each chemical, the chemical manufacturer or importer shall determine the hazard classes, and, </w:t>
      </w:r>
      <w:r w:rsidR="00FF1BCC">
        <w:rPr>
          <w:i/>
          <w:iCs/>
        </w:rPr>
        <w:t>where appropriate</w:t>
      </w:r>
      <w:r w:rsidR="00FF1BCC">
        <w:t xml:space="preserve">, the category of each class that apply to the chemical being classified. </w:t>
      </w:r>
      <w:r w:rsidR="00FF1BCC">
        <w:rPr>
          <w:color w:val="FF0000"/>
        </w:rPr>
        <w:t xml:space="preserve"> </w:t>
      </w:r>
      <w:r w:rsidR="00FF1BCC">
        <w:t>Employers are not required to classify chemicals unless they choose not to rely on the classification performed by the chemical manufacturer or importer for the chemical to satisfy this requirement.</w:t>
      </w:r>
    </w:p>
    <w:p w:rsidR="00394F69" w:rsidP="00FF1BCC" w:rsidRDefault="00394F69" w14:paraId="2367EE0A" w14:textId="77777777">
      <w:pPr>
        <w:pStyle w:val="block1"/>
        <w:spacing w:before="0" w:beforeAutospacing="0" w:after="0" w:afterAutospacing="0"/>
      </w:pPr>
    </w:p>
    <w:p w:rsidRPr="00CB5054" w:rsidR="00D80711" w:rsidP="00FF1BCC" w:rsidRDefault="00D80711" w14:paraId="6523CD4C" w14:textId="77777777">
      <w:pPr>
        <w:pStyle w:val="block1"/>
        <w:spacing w:before="0" w:beforeAutospacing="0"/>
        <w:rPr>
          <w:color w:val="000000"/>
        </w:rPr>
      </w:pPr>
      <w:bookmarkStart w:name="1910.1200(d)(2)" w:id="1"/>
      <w:bookmarkEnd w:id="1"/>
      <w:r w:rsidRPr="00CB5054">
        <w:rPr>
          <w:i/>
          <w:color w:val="000000"/>
        </w:rPr>
        <w:t>§1910.1200(d)(2)</w:t>
      </w:r>
      <w:r w:rsidRPr="00CB5054">
        <w:rPr>
          <w:color w:val="000000"/>
        </w:rPr>
        <w:t xml:space="preserve"> - Chemical manufacturers, importers or employers classifying chemicals shall identify and consider the full range of available scientific literature and other evidence concerning the potential hazards. There is no requirement to test the chemical to determine how to classify its hazards.  Appendix A to §1910.1200 shall be consulted for classification of health hazards, and Appendix B to §1910.1200 shall be consulted for the classification of physical hazards.</w:t>
      </w:r>
      <w:bookmarkStart w:name="1910.1200(d)(3)" w:id="2"/>
      <w:bookmarkStart w:name="1910.1200(d)(3)(i)" w:id="3"/>
      <w:bookmarkStart w:name="1910.1200(d)(4)" w:id="4"/>
      <w:bookmarkStart w:name="1910.1200(d)(4)(i)" w:id="5"/>
      <w:bookmarkStart w:name="1910.1200(d)(4)(ii)" w:id="6"/>
      <w:bookmarkStart w:name="1910.1200(d)(4)(iii)" w:id="7"/>
      <w:bookmarkStart w:name="1910.1200(d)(5)" w:id="8"/>
      <w:bookmarkStart w:name="1910.1200(d)(5)(i)" w:id="9"/>
      <w:bookmarkStart w:name="1910.1200(d)(5)(iii)" w:id="10"/>
      <w:bookmarkStart w:name="1910.1200(d)(5)(iv)" w:id="11"/>
      <w:bookmarkStart w:name="1910.1200(d)(6)" w:id="12"/>
      <w:bookmarkEnd w:id="2"/>
      <w:bookmarkEnd w:id="3"/>
      <w:bookmarkEnd w:id="4"/>
      <w:bookmarkEnd w:id="5"/>
      <w:bookmarkEnd w:id="6"/>
      <w:bookmarkEnd w:id="7"/>
      <w:bookmarkEnd w:id="8"/>
      <w:bookmarkEnd w:id="9"/>
      <w:bookmarkEnd w:id="10"/>
      <w:bookmarkEnd w:id="11"/>
      <w:bookmarkEnd w:id="12"/>
    </w:p>
    <w:p w:rsidRPr="00CB5054" w:rsidR="00D80711" w:rsidP="00933BFC" w:rsidRDefault="00D80711" w14:paraId="2987CA62" w14:textId="77777777">
      <w:pPr>
        <w:pStyle w:val="block1"/>
        <w:spacing w:before="0" w:beforeAutospacing="0"/>
        <w:rPr>
          <w:color w:val="000000"/>
        </w:rPr>
      </w:pPr>
      <w:r w:rsidRPr="00CB5054">
        <w:rPr>
          <w:i/>
          <w:color w:val="000000"/>
        </w:rPr>
        <w:t xml:space="preserve">Mixtures §1910.1200(d)(3)(i) - </w:t>
      </w:r>
      <w:r w:rsidRPr="00CB5054">
        <w:rPr>
          <w:color w:val="000000"/>
        </w:rPr>
        <w:t xml:space="preserve">Chemical manufacturers, importers, or employers evaluating chemicals shall follow the procedures described in Appendixes A and B to §1910.1200 to classify the hazards of the chemicals, including determinations regarding when mixtures of the classified chemicals are covered by this section. </w:t>
      </w:r>
    </w:p>
    <w:p w:rsidR="00CB1E30" w:rsidP="00933BFC" w:rsidRDefault="00D80711" w14:paraId="596BC90C" w14:textId="77777777">
      <w:pPr>
        <w:pStyle w:val="block1"/>
        <w:spacing w:before="0" w:beforeAutospacing="0"/>
        <w:rPr>
          <w:b/>
          <w:color w:val="000000"/>
        </w:rPr>
      </w:pPr>
      <w:r w:rsidRPr="00CB5054">
        <w:rPr>
          <w:i/>
          <w:color w:val="000000"/>
        </w:rPr>
        <w:t>§1910.1200(d)(3)(ii)</w:t>
      </w:r>
      <w:r w:rsidRPr="00CB5054">
        <w:rPr>
          <w:color w:val="000000"/>
        </w:rPr>
        <w:t xml:space="preserve"> </w:t>
      </w:r>
      <w:r w:rsidRPr="00CB5054" w:rsidR="00804F23">
        <w:rPr>
          <w:color w:val="000000"/>
        </w:rPr>
        <w:t>–</w:t>
      </w:r>
      <w:r w:rsidRPr="00CB5054">
        <w:rPr>
          <w:color w:val="000000"/>
        </w:rPr>
        <w:t xml:space="preserve"> </w:t>
      </w:r>
      <w:r w:rsidRPr="00CB5054" w:rsidR="00804F23">
        <w:rPr>
          <w:color w:val="000000"/>
        </w:rPr>
        <w:t>When classifying mixtures they produce or import, chemical</w:t>
      </w:r>
      <w:r w:rsidRPr="00CB5054">
        <w:rPr>
          <w:color w:val="000000"/>
        </w:rPr>
        <w:t xml:space="preserve"> manufacturer</w:t>
      </w:r>
      <w:r w:rsidRPr="00CB5054" w:rsidR="00804F23">
        <w:rPr>
          <w:color w:val="000000"/>
        </w:rPr>
        <w:t>s</w:t>
      </w:r>
      <w:r w:rsidRPr="00CB5054">
        <w:rPr>
          <w:color w:val="000000"/>
        </w:rPr>
        <w:t xml:space="preserve"> </w:t>
      </w:r>
      <w:r w:rsidRPr="00CB5054" w:rsidR="00804F23">
        <w:rPr>
          <w:color w:val="000000"/>
        </w:rPr>
        <w:t>and</w:t>
      </w:r>
      <w:r w:rsidRPr="00CB5054">
        <w:rPr>
          <w:color w:val="000000"/>
        </w:rPr>
        <w:t xml:space="preserve"> importer</w:t>
      </w:r>
      <w:r w:rsidRPr="00CB5054" w:rsidR="00804F23">
        <w:rPr>
          <w:color w:val="000000"/>
        </w:rPr>
        <w:t>s</w:t>
      </w:r>
      <w:r w:rsidRPr="00CB5054" w:rsidR="002C7D1E">
        <w:rPr>
          <w:color w:val="000000"/>
        </w:rPr>
        <w:t xml:space="preserve"> of</w:t>
      </w:r>
      <w:r w:rsidRPr="00CB5054">
        <w:rPr>
          <w:color w:val="000000"/>
        </w:rPr>
        <w:t xml:space="preserve"> mixture</w:t>
      </w:r>
      <w:r w:rsidRPr="00CB5054" w:rsidR="002C7D1E">
        <w:rPr>
          <w:color w:val="000000"/>
        </w:rPr>
        <w:t>s</w:t>
      </w:r>
      <w:r w:rsidRPr="00CB5054">
        <w:rPr>
          <w:color w:val="000000"/>
        </w:rPr>
        <w:t xml:space="preserve"> </w:t>
      </w:r>
      <w:r w:rsidRPr="00CB5054" w:rsidR="002C7D1E">
        <w:rPr>
          <w:color w:val="000000"/>
        </w:rPr>
        <w:t>may rely on the information provided</w:t>
      </w:r>
      <w:r w:rsidRPr="00CB5054">
        <w:rPr>
          <w:color w:val="000000"/>
        </w:rPr>
        <w:t xml:space="preserve"> </w:t>
      </w:r>
      <w:r w:rsidRPr="00CB5054" w:rsidR="002C7D1E">
        <w:rPr>
          <w:color w:val="000000"/>
        </w:rPr>
        <w:t>on the current sa</w:t>
      </w:r>
      <w:r w:rsidRPr="00CB5054">
        <w:rPr>
          <w:color w:val="000000"/>
        </w:rPr>
        <w:t>fety data sheets</w:t>
      </w:r>
      <w:r w:rsidRPr="00CB5054" w:rsidR="002C7D1E">
        <w:rPr>
          <w:color w:val="000000"/>
        </w:rPr>
        <w:t xml:space="preserve"> of individual ingredients except where the chemical manufacture or importer knows, or in the exercise of reasonable </w:t>
      </w:r>
      <w:r w:rsidRPr="00CB5054" w:rsidR="00BD52E7">
        <w:rPr>
          <w:color w:val="000000"/>
        </w:rPr>
        <w:t xml:space="preserve">diligence </w:t>
      </w:r>
      <w:r w:rsidRPr="00CB5054" w:rsidR="002C7D1E">
        <w:rPr>
          <w:color w:val="000000"/>
        </w:rPr>
        <w:t>should know, that the safety data sheet misstates or omits information required by this section</w:t>
      </w:r>
      <w:r w:rsidRPr="00CB5054">
        <w:rPr>
          <w:color w:val="000000"/>
        </w:rPr>
        <w:t>.</w:t>
      </w:r>
    </w:p>
    <w:p w:rsidRPr="00832C02" w:rsidR="00CB1E30" w:rsidP="002C0B15" w:rsidRDefault="00CB1E30" w14:paraId="170CBB16" w14:textId="77777777">
      <w:pPr>
        <w:pStyle w:val="block1"/>
        <w:rPr>
          <w:b/>
          <w:color w:val="000000"/>
        </w:rPr>
      </w:pPr>
      <w:r w:rsidRPr="00832C02">
        <w:rPr>
          <w:b/>
          <w:bCs/>
          <w:color w:val="000000"/>
        </w:rPr>
        <w:t>Written Hazard Communication Program § 1910.1200(e)</w:t>
      </w:r>
    </w:p>
    <w:p w:rsidRPr="00DA610F" w:rsidR="00CB1E30" w:rsidP="00CB1E30" w:rsidRDefault="00CB1E30" w14:paraId="5E71F9C8" w14:textId="24DCAD2A">
      <w:pPr>
        <w:pStyle w:val="block1"/>
        <w:rPr>
          <w:color w:val="000000"/>
        </w:rPr>
      </w:pPr>
      <w:r w:rsidRPr="00DA610F">
        <w:rPr>
          <w:color w:val="000000"/>
        </w:rPr>
        <w:lastRenderedPageBreak/>
        <w:t>All employers who have workers exposed to hazardous chemicals</w:t>
      </w:r>
      <w:r w:rsidRPr="00DA610F">
        <w:rPr>
          <w:color w:val="000000"/>
          <w:vertAlign w:val="superscript"/>
        </w:rPr>
        <w:footnoteReference w:id="4"/>
      </w:r>
      <w:r w:rsidRPr="00DA610F">
        <w:rPr>
          <w:color w:val="000000"/>
        </w:rPr>
        <w:t xml:space="preserve"> must develop, implement and maintain a written hazard communication program.  The written hazard communication program must describe how the criteria specified in the following paragraphs are met</w:t>
      </w:r>
      <w:r w:rsidR="00AD58DB">
        <w:rPr>
          <w:color w:val="000000"/>
        </w:rPr>
        <w:t>:</w:t>
      </w:r>
      <w:r w:rsidRPr="00DA610F">
        <w:rPr>
          <w:color w:val="000000"/>
        </w:rPr>
        <w:t xml:space="preserve"> paragraphs (f) </w:t>
      </w:r>
      <w:r w:rsidRPr="00DA610F">
        <w:rPr>
          <w:i/>
          <w:iCs/>
          <w:color w:val="000000"/>
        </w:rPr>
        <w:t>Labels and other forms of warning</w:t>
      </w:r>
      <w:r w:rsidRPr="00DA610F">
        <w:rPr>
          <w:color w:val="000000"/>
        </w:rPr>
        <w:t xml:space="preserve">, (g) </w:t>
      </w:r>
      <w:r w:rsidRPr="00DA610F" w:rsidR="001C63EC">
        <w:rPr>
          <w:i/>
          <w:iCs/>
          <w:color w:val="000000"/>
        </w:rPr>
        <w:t>Safety Data Sheet</w:t>
      </w:r>
      <w:r w:rsidRPr="00DA610F">
        <w:rPr>
          <w:i/>
          <w:iCs/>
          <w:color w:val="000000"/>
        </w:rPr>
        <w:t>s</w:t>
      </w:r>
      <w:r w:rsidR="00DA1318">
        <w:rPr>
          <w:i/>
          <w:iCs/>
          <w:color w:val="000000"/>
        </w:rPr>
        <w:t xml:space="preserve"> (SDSs)</w:t>
      </w:r>
      <w:r w:rsidRPr="00DA610F">
        <w:rPr>
          <w:color w:val="000000"/>
        </w:rPr>
        <w:t>, and (h)</w:t>
      </w:r>
      <w:r w:rsidRPr="00DA610F">
        <w:rPr>
          <w:i/>
          <w:iCs/>
          <w:color w:val="000000"/>
        </w:rPr>
        <w:t xml:space="preserve"> Employee information and training</w:t>
      </w:r>
      <w:r w:rsidR="00751D82">
        <w:rPr>
          <w:rStyle w:val="FootnoteReference"/>
          <w:i/>
          <w:iCs/>
          <w:color w:val="000000"/>
        </w:rPr>
        <w:footnoteReference w:id="5"/>
      </w:r>
      <w:r w:rsidRPr="00DA610F">
        <w:rPr>
          <w:color w:val="000000"/>
        </w:rPr>
        <w:t>.  Also, the written plan must include a list of the hazardous chemicals known to be present using an identity that is</w:t>
      </w:r>
      <w:r w:rsidRPr="00DA610F" w:rsidR="001C63EC">
        <w:rPr>
          <w:color w:val="000000"/>
        </w:rPr>
        <w:t xml:space="preserve"> referenced on the appropriate </w:t>
      </w:r>
      <w:r w:rsidRPr="00DA610F">
        <w:rPr>
          <w:color w:val="000000"/>
        </w:rPr>
        <w:t>SDSs, and the methods the employer uses to inform workers of the hazards on non-routine tasks and the hazards associated with chemicals contained in unlabeled pipes in their work areas.</w:t>
      </w:r>
    </w:p>
    <w:p w:rsidRPr="00DA610F" w:rsidR="00CB1E30" w:rsidP="00CB1E30" w:rsidRDefault="00CB1E30" w14:paraId="55884FBD" w14:textId="77777777">
      <w:pPr>
        <w:pStyle w:val="block1"/>
        <w:rPr>
          <w:color w:val="000000"/>
        </w:rPr>
      </w:pPr>
      <w:r w:rsidRPr="00DA610F">
        <w:rPr>
          <w:color w:val="000000"/>
        </w:rPr>
        <w:t xml:space="preserve">For multi-employer worksites the hazard communication program must also include the following:  methods the employer will use to provide other </w:t>
      </w:r>
      <w:r w:rsidRPr="00DA610F" w:rsidR="001C63EC">
        <w:rPr>
          <w:color w:val="000000"/>
        </w:rPr>
        <w:t xml:space="preserve">employers(s) on-site access to </w:t>
      </w:r>
      <w:r w:rsidRPr="00DA610F">
        <w:rPr>
          <w:color w:val="000000"/>
        </w:rPr>
        <w:t>SDSs for each hazardous chemical the other employer(s)’ workers may be expose to while working; the methods the employer will use to inform the other employer(s) of any precautionary measures that need to be taken to protect workers during the workplace’s normal operating and in foreseeable emergencies; and the methods the employer will use to inform the other employer(s) of the labeling system used in the workplace.  Employers may use an existing hazard communication program to meet these requirements provided the plan meets the requirements described in the preceding paragraph.</w:t>
      </w:r>
    </w:p>
    <w:p w:rsidRPr="00DA610F" w:rsidR="00CB1E30" w:rsidP="00FF1F12" w:rsidRDefault="00CB1E30" w14:paraId="6967D695" w14:textId="77777777">
      <w:pPr>
        <w:pStyle w:val="block1"/>
        <w:rPr>
          <w:color w:val="000000"/>
        </w:rPr>
      </w:pPr>
      <w:r w:rsidRPr="00DA610F">
        <w:rPr>
          <w:color w:val="000000"/>
        </w:rPr>
        <w:t>On request, the employer must make their hazard communication program available to workers, their designated representatives, OSHA compliance officers, and the National Institute for Occupational Safety and Health (NIOSH).</w:t>
      </w:r>
    </w:p>
    <w:p w:rsidRPr="00DA610F" w:rsidR="00CB1E30" w:rsidP="00CB1E30" w:rsidRDefault="00CB1E30" w14:paraId="4F9FF290" w14:textId="77777777">
      <w:pPr>
        <w:pStyle w:val="block1"/>
        <w:rPr>
          <w:color w:val="000000"/>
        </w:rPr>
      </w:pPr>
      <w:r w:rsidRPr="00DA610F">
        <w:rPr>
          <w:color w:val="000000"/>
        </w:rPr>
        <w:t xml:space="preserve">A written program provides a structure upon which to evaluate programs.  Employers develop criteria they use in developing their programs, as well as the means used to meet those criteria.  The written program serves as a useful reference for workers.  Having the program in writing makes it easier to determine if the intent of the Standard is being met.  Employers need not update their hazard communication programs as long as they meet the criteria established in paragraph (e) of the Standard.  </w:t>
      </w:r>
    </w:p>
    <w:p w:rsidRPr="00CB5054" w:rsidR="00933BFC" w:rsidP="00933BFC" w:rsidRDefault="00D80711" w14:paraId="46294F63" w14:textId="77777777">
      <w:pPr>
        <w:pStyle w:val="block1"/>
        <w:spacing w:before="0" w:beforeAutospacing="0"/>
        <w:rPr>
          <w:b/>
          <w:color w:val="000000"/>
        </w:rPr>
      </w:pPr>
      <w:r w:rsidRPr="00CB5054">
        <w:rPr>
          <w:b/>
          <w:color w:val="000000"/>
        </w:rPr>
        <w:t>Labels and other forms of warning</w:t>
      </w:r>
      <w:bookmarkStart w:name="1910.1200(f)(1)" w:id="13"/>
      <w:bookmarkEnd w:id="13"/>
      <w:r w:rsidRPr="00CB5054">
        <w:rPr>
          <w:b/>
          <w:color w:val="000000"/>
        </w:rPr>
        <w:t xml:space="preserve"> §1910.1200(f) </w:t>
      </w:r>
    </w:p>
    <w:p w:rsidR="00D80711" w:rsidP="00AB0B90" w:rsidRDefault="00D80711" w14:paraId="39D750F9" w14:textId="77777777">
      <w:pPr>
        <w:pStyle w:val="block1"/>
        <w:spacing w:before="0" w:beforeAutospacing="0"/>
      </w:pPr>
      <w:r w:rsidRPr="00CB5054">
        <w:rPr>
          <w:i/>
          <w:color w:val="000000"/>
        </w:rPr>
        <w:t xml:space="preserve">Labels on shipped containers §1910.1200(f)(1) </w:t>
      </w:r>
      <w:r w:rsidR="00290D13">
        <w:t xml:space="preserve">The chemical manufacturer, importer, or distributor shall ensure that each container of hazardous chemicals leaving the workplace is labeled, tagged, or marked. </w:t>
      </w:r>
      <w:r w:rsidR="00290D13">
        <w:rPr>
          <w:color w:val="FF0000"/>
        </w:rPr>
        <w:t xml:space="preserve"> </w:t>
      </w:r>
      <w:r w:rsidRPr="00563AC7" w:rsidR="00290D13">
        <w:t xml:space="preserve">Hazards not otherwise classified do not have to be addressed on </w:t>
      </w:r>
      <w:r w:rsidR="00290D13">
        <w:t xml:space="preserve">the </w:t>
      </w:r>
      <w:r w:rsidRPr="00563AC7" w:rsidR="00290D13">
        <w:t xml:space="preserve">container. </w:t>
      </w:r>
      <w:r w:rsidR="00290D13">
        <w:t xml:space="preserve"> </w:t>
      </w:r>
      <w:r w:rsidRPr="00563AC7" w:rsidR="00290D13">
        <w:t>Where the chemical manufacturer or importer is required to label,</w:t>
      </w:r>
      <w:r w:rsidR="00290D13">
        <w:t xml:space="preserve"> tag or mark</w:t>
      </w:r>
      <w:r w:rsidRPr="00563AC7" w:rsidR="00290D13">
        <w:t xml:space="preserve"> the following information shall be provided:</w:t>
      </w:r>
    </w:p>
    <w:p w:rsidRPr="00CB5054" w:rsidR="00290D13" w:rsidP="00290D13" w:rsidRDefault="00290D13" w14:paraId="144A294A" w14:textId="77777777">
      <w:pPr>
        <w:pStyle w:val="block1"/>
        <w:spacing w:before="0" w:beforeAutospacing="0" w:after="0" w:afterAutospacing="0"/>
        <w:ind w:firstLine="360"/>
        <w:rPr>
          <w:i/>
          <w:color w:val="000000"/>
        </w:rPr>
      </w:pPr>
    </w:p>
    <w:p w:rsidRPr="00CB5054" w:rsidR="00D80711" w:rsidP="00933BFC" w:rsidRDefault="00D80711" w14:paraId="7C1EC4A3" w14:textId="77777777">
      <w:pPr>
        <w:pStyle w:val="block1"/>
        <w:spacing w:before="0" w:beforeAutospacing="0"/>
        <w:ind w:left="720"/>
        <w:rPr>
          <w:color w:val="000000"/>
        </w:rPr>
      </w:pPr>
      <w:r w:rsidRPr="00CB5054">
        <w:rPr>
          <w:color w:val="000000"/>
        </w:rPr>
        <w:t>§1910.1200(f)(1)(i) - Product identifier;</w:t>
      </w:r>
    </w:p>
    <w:p w:rsidRPr="00CB5054" w:rsidR="00D80711" w:rsidP="00933BFC" w:rsidRDefault="00D80711" w14:paraId="436A895E" w14:textId="77777777">
      <w:pPr>
        <w:pStyle w:val="block1"/>
        <w:spacing w:before="0" w:beforeAutospacing="0"/>
        <w:ind w:left="720"/>
        <w:rPr>
          <w:color w:val="000000"/>
        </w:rPr>
      </w:pPr>
      <w:bookmarkStart w:name="1910.1200(f)(1)(ii)" w:id="14"/>
      <w:bookmarkEnd w:id="14"/>
      <w:r w:rsidRPr="00CB5054">
        <w:rPr>
          <w:color w:val="000000"/>
        </w:rPr>
        <w:t>§1910.1200(f)(1)(ii) - Signal word;</w:t>
      </w:r>
    </w:p>
    <w:p w:rsidRPr="00CB5054" w:rsidR="00D80711" w:rsidP="00933BFC" w:rsidRDefault="00D80711" w14:paraId="6924A134" w14:textId="77777777">
      <w:pPr>
        <w:pStyle w:val="block1"/>
        <w:spacing w:before="0" w:beforeAutospacing="0"/>
        <w:ind w:left="720"/>
        <w:rPr>
          <w:color w:val="000000"/>
        </w:rPr>
      </w:pPr>
      <w:r w:rsidRPr="00CB5054">
        <w:rPr>
          <w:color w:val="000000"/>
        </w:rPr>
        <w:t xml:space="preserve">§1910.1200(f)(1)(iii) - Hazard statement(s); </w:t>
      </w:r>
    </w:p>
    <w:p w:rsidRPr="00CB5054" w:rsidR="00D80711" w:rsidP="00933BFC" w:rsidRDefault="00D80711" w14:paraId="3D4941B9" w14:textId="77777777">
      <w:pPr>
        <w:pStyle w:val="block1"/>
        <w:spacing w:before="0" w:beforeAutospacing="0"/>
        <w:ind w:firstLine="720"/>
        <w:rPr>
          <w:color w:val="000000"/>
        </w:rPr>
      </w:pPr>
      <w:r w:rsidRPr="00CB5054">
        <w:rPr>
          <w:color w:val="000000"/>
        </w:rPr>
        <w:t>§1910.1200(f)(1)(iv) - Pictogram(s);</w:t>
      </w:r>
    </w:p>
    <w:p w:rsidRPr="00CB5054" w:rsidR="00D80711" w:rsidP="00933BFC" w:rsidRDefault="00D80711" w14:paraId="3E6B3D62" w14:textId="77777777">
      <w:pPr>
        <w:pStyle w:val="block1"/>
        <w:spacing w:before="0" w:beforeAutospacing="0"/>
        <w:ind w:firstLine="720"/>
        <w:rPr>
          <w:strike/>
          <w:color w:val="000000"/>
        </w:rPr>
      </w:pPr>
      <w:r w:rsidRPr="00CB5054">
        <w:rPr>
          <w:color w:val="000000"/>
        </w:rPr>
        <w:t>§1910.1200(f)(1)(v) - Precautionary statement(s); and,</w:t>
      </w:r>
    </w:p>
    <w:p w:rsidRPr="00CB5054" w:rsidR="00D80711" w:rsidP="00933BFC" w:rsidRDefault="00D80711" w14:paraId="331EB703" w14:textId="77777777">
      <w:pPr>
        <w:pStyle w:val="block1"/>
        <w:spacing w:before="0" w:beforeAutospacing="0"/>
        <w:ind w:left="720"/>
        <w:rPr>
          <w:color w:val="000000"/>
        </w:rPr>
      </w:pPr>
      <w:r w:rsidRPr="00CB5054">
        <w:rPr>
          <w:color w:val="000000"/>
        </w:rPr>
        <w:t xml:space="preserve">§1910.1200(f)(1)(vi) </w:t>
      </w:r>
      <w:bookmarkStart w:name="1910.1200(f)(1)(iii)" w:id="15"/>
      <w:bookmarkEnd w:id="15"/>
      <w:r w:rsidRPr="00CB5054">
        <w:rPr>
          <w:color w:val="000000"/>
        </w:rPr>
        <w:t xml:space="preserve"> - Name, address, and telephone number of the chemical manufacturer, importer, or other responsible party.</w:t>
      </w:r>
    </w:p>
    <w:p w:rsidRPr="00CB5054" w:rsidR="00D80711" w:rsidP="00933BFC" w:rsidRDefault="00D80711" w14:paraId="3C5FC2D6" w14:textId="77777777">
      <w:pPr>
        <w:pStyle w:val="block1"/>
        <w:spacing w:before="0" w:beforeAutospacing="0"/>
        <w:rPr>
          <w:color w:val="000000"/>
        </w:rPr>
      </w:pPr>
      <w:r w:rsidRPr="00CB5054">
        <w:rPr>
          <w:i/>
          <w:color w:val="000000"/>
        </w:rPr>
        <w:t xml:space="preserve">§1910.1200(f)(2) -  </w:t>
      </w:r>
      <w:r w:rsidRPr="00CB5054" w:rsidR="002C7D1E">
        <w:rPr>
          <w:color w:val="000000"/>
        </w:rPr>
        <w:t>The chemical manufacturer, importer, or distributor shall ensure that the information provided under (f)(1)(i) through (v) is in accordance with Appendix C, Allocation of Label Elements, for each hazard class and associated hazard category for the hazardous chemical, prominently displayed, and in English (other languages may also be included if appropriate).</w:t>
      </w:r>
    </w:p>
    <w:p w:rsidRPr="00CB5054" w:rsidR="00D80711" w:rsidP="00933BFC" w:rsidRDefault="00D80711" w14:paraId="40C24FED" w14:textId="77777777">
      <w:pPr>
        <w:pStyle w:val="block1"/>
        <w:spacing w:before="0" w:beforeAutospacing="0"/>
        <w:rPr>
          <w:color w:val="000000"/>
        </w:rPr>
      </w:pPr>
      <w:bookmarkStart w:name="1910.1200(f)(2)" w:id="16"/>
      <w:bookmarkEnd w:id="16"/>
      <w:r w:rsidRPr="00CB5054">
        <w:rPr>
          <w:i/>
          <w:color w:val="000000"/>
        </w:rPr>
        <w:t>§1910.1200(f)(3) -</w:t>
      </w:r>
      <w:r w:rsidRPr="00CB5054">
        <w:rPr>
          <w:color w:val="000000"/>
        </w:rPr>
        <w:t xml:space="preserve"> </w:t>
      </w:r>
      <w:r w:rsidRPr="00CB5054" w:rsidR="002C7D1E">
        <w:rPr>
          <w:color w:val="000000"/>
        </w:rPr>
        <w:t xml:space="preserve">The chemical manufacturer, importer, or distributor shall ensure that the information provided under </w:t>
      </w:r>
      <w:r w:rsidR="00290D13">
        <w:rPr>
          <w:color w:val="000000"/>
        </w:rPr>
        <w:t xml:space="preserve">paragraphs </w:t>
      </w:r>
      <w:r w:rsidRPr="00CB5054" w:rsidR="002C7D1E">
        <w:rPr>
          <w:color w:val="000000"/>
        </w:rPr>
        <w:t>(f)(1)(ii) through (iv) is located together on the label, tag, or mark.</w:t>
      </w:r>
    </w:p>
    <w:p w:rsidR="00F8554A" w:rsidP="00933BFC" w:rsidRDefault="00D80711" w14:paraId="79811C2C" w14:textId="77777777">
      <w:pPr>
        <w:pStyle w:val="block1"/>
        <w:spacing w:before="0" w:beforeAutospacing="0"/>
        <w:rPr>
          <w:i/>
          <w:color w:val="000000"/>
        </w:rPr>
      </w:pPr>
      <w:r w:rsidRPr="00CB5054">
        <w:rPr>
          <w:i/>
          <w:color w:val="000000"/>
        </w:rPr>
        <w:t xml:space="preserve">§1910.1200(f)(4) </w:t>
      </w:r>
    </w:p>
    <w:p w:rsidRPr="00CB5054" w:rsidR="00D80711" w:rsidP="00933BFC" w:rsidRDefault="00D80711" w14:paraId="6922C575" w14:textId="77777777">
      <w:pPr>
        <w:pStyle w:val="block1"/>
        <w:spacing w:before="0" w:beforeAutospacing="0"/>
        <w:rPr>
          <w:color w:val="000000"/>
        </w:rPr>
      </w:pPr>
      <w:r w:rsidRPr="00CB5054">
        <w:rPr>
          <w:i/>
          <w:color w:val="000000"/>
        </w:rPr>
        <w:t>§1910.1200(f)(</w:t>
      </w:r>
      <w:r w:rsidRPr="00CB5054" w:rsidR="00A96E0C">
        <w:rPr>
          <w:i/>
          <w:color w:val="000000"/>
        </w:rPr>
        <w:t>4</w:t>
      </w:r>
      <w:r w:rsidRPr="00CB5054">
        <w:rPr>
          <w:i/>
          <w:color w:val="000000"/>
        </w:rPr>
        <w:t>)(i)</w:t>
      </w:r>
      <w:r w:rsidRPr="00CB5054">
        <w:rPr>
          <w:color w:val="000000"/>
        </w:rPr>
        <w:t xml:space="preserve"> - For solid metal (such as a steel beam or a metal casting), solid wood, or plastic items that are not exempted as articles due to their downstream use, or shipments of whole grain, the required label may be transmitted to the customer at the time of the initial shipment, and need not be included with subsequent shipments to the same employer unless the information on the label changes;</w:t>
      </w:r>
    </w:p>
    <w:p w:rsidRPr="00CB5054" w:rsidR="00D80711" w:rsidP="00933BFC" w:rsidRDefault="00D80711" w14:paraId="75FE14E8" w14:textId="77777777">
      <w:pPr>
        <w:pStyle w:val="block1"/>
        <w:spacing w:before="0" w:beforeAutospacing="0"/>
        <w:rPr>
          <w:color w:val="000000"/>
        </w:rPr>
      </w:pPr>
      <w:bookmarkStart w:name="1910.1200(f)(2)(ii)" w:id="17"/>
      <w:bookmarkEnd w:id="17"/>
      <w:r w:rsidRPr="00CB5054">
        <w:rPr>
          <w:i/>
          <w:color w:val="000000"/>
        </w:rPr>
        <w:t>§1910.1200(f)(</w:t>
      </w:r>
      <w:r w:rsidRPr="00CB5054" w:rsidR="00A96E0C">
        <w:rPr>
          <w:i/>
          <w:color w:val="000000"/>
        </w:rPr>
        <w:t>4</w:t>
      </w:r>
      <w:r w:rsidRPr="00CB5054">
        <w:rPr>
          <w:i/>
          <w:color w:val="000000"/>
        </w:rPr>
        <w:t>)(ii)</w:t>
      </w:r>
      <w:r w:rsidRPr="00CB5054">
        <w:rPr>
          <w:color w:val="000000"/>
        </w:rPr>
        <w:t xml:space="preserve"> - The label may be transmitted with the initial shipment itself, or with the safety data sheet that is to be provided prior to or at the time of the first shipment; and,</w:t>
      </w:r>
    </w:p>
    <w:p w:rsidRPr="00CB5054" w:rsidR="00D80711" w:rsidP="00933BFC" w:rsidRDefault="00D80711" w14:paraId="2F750EB4" w14:textId="77777777">
      <w:pPr>
        <w:pStyle w:val="block1"/>
        <w:spacing w:before="0" w:beforeAutospacing="0"/>
        <w:rPr>
          <w:color w:val="000000"/>
        </w:rPr>
      </w:pPr>
      <w:bookmarkStart w:name="1910.1200(f)(2)(iii)" w:id="18"/>
      <w:bookmarkEnd w:id="18"/>
      <w:r w:rsidRPr="00CB5054">
        <w:rPr>
          <w:i/>
          <w:color w:val="000000"/>
        </w:rPr>
        <w:t>§1910.1200(f)(</w:t>
      </w:r>
      <w:r w:rsidRPr="00CB5054" w:rsidR="00A96E0C">
        <w:rPr>
          <w:i/>
          <w:color w:val="000000"/>
        </w:rPr>
        <w:t>4</w:t>
      </w:r>
      <w:r w:rsidRPr="00CB5054">
        <w:rPr>
          <w:i/>
          <w:color w:val="000000"/>
        </w:rPr>
        <w:t>)(iii)</w:t>
      </w:r>
      <w:r w:rsidRPr="00CB5054">
        <w:rPr>
          <w:color w:val="000000"/>
        </w:rPr>
        <w:t xml:space="preserve"> - This exception to requiring labels on every container of hazardous chemicals is only for the solid material itself, and does not apply to hazardous chemicals used in conjunction with, or known to be present with, the material and to which employees handling the items in transit may be exposed (for example, cutting fluids or pesticides in grains).</w:t>
      </w:r>
    </w:p>
    <w:p w:rsidRPr="00CB5054" w:rsidR="00D80711" w:rsidP="00933BFC" w:rsidRDefault="00D80711" w14:paraId="38C1E423" w14:textId="77777777">
      <w:pPr>
        <w:pStyle w:val="block1"/>
        <w:spacing w:before="0" w:beforeAutospacing="0"/>
        <w:rPr>
          <w:color w:val="000000"/>
        </w:rPr>
      </w:pPr>
      <w:r w:rsidRPr="00CB5054">
        <w:rPr>
          <w:i/>
          <w:color w:val="000000"/>
        </w:rPr>
        <w:t>§1910.1200(f)(</w:t>
      </w:r>
      <w:r w:rsidRPr="00CB5054" w:rsidR="00A96E0C">
        <w:rPr>
          <w:i/>
          <w:color w:val="000000"/>
        </w:rPr>
        <w:t>5</w:t>
      </w:r>
      <w:r w:rsidRPr="00CB5054">
        <w:rPr>
          <w:i/>
          <w:color w:val="000000"/>
        </w:rPr>
        <w:t>) -</w:t>
      </w:r>
      <w:r w:rsidRPr="00CB5054">
        <w:rPr>
          <w:color w:val="000000"/>
        </w:rPr>
        <w:t xml:space="preserve"> Chemical manufacturers, importers, or distributors shall ensure that each container of hazardous chemicals leaving the workplace is labeled, tagged, or marked in accordance with this section in a manner which does not conflict with the requirements of the Hazardous Materials Transportation Act (49 U.S.C. 1801 et seq.) and regulations issued under that Act by the Department of Transportation.</w:t>
      </w:r>
      <w:bookmarkStart w:name="1910.1200(f)(4)" w:id="19"/>
      <w:bookmarkEnd w:id="19"/>
      <w:r w:rsidRPr="00CB5054">
        <w:rPr>
          <w:color w:val="000000"/>
        </w:rPr>
        <w:t xml:space="preserve"> </w:t>
      </w:r>
      <w:bookmarkStart w:name="1910.1200(f)(5)" w:id="20"/>
      <w:bookmarkEnd w:id="20"/>
      <w:r w:rsidRPr="00CB5054">
        <w:rPr>
          <w:color w:val="000000"/>
        </w:rPr>
        <w:t xml:space="preserve"> </w:t>
      </w:r>
    </w:p>
    <w:p w:rsidRPr="00CB5054" w:rsidR="00D80711" w:rsidP="00933BFC" w:rsidRDefault="00D80711" w14:paraId="0159D6E7" w14:textId="77777777">
      <w:pPr>
        <w:pStyle w:val="block1"/>
        <w:spacing w:before="0" w:beforeAutospacing="0"/>
        <w:rPr>
          <w:color w:val="000000"/>
        </w:rPr>
      </w:pPr>
      <w:r w:rsidRPr="00CB5054">
        <w:rPr>
          <w:i/>
          <w:color w:val="000000"/>
        </w:rPr>
        <w:t>Workplace labeling (§1910.1200(f)(</w:t>
      </w:r>
      <w:r w:rsidRPr="00CB5054" w:rsidR="00A96E0C">
        <w:rPr>
          <w:i/>
          <w:color w:val="000000"/>
        </w:rPr>
        <w:t>6</w:t>
      </w:r>
      <w:r w:rsidRPr="00CB5054">
        <w:rPr>
          <w:i/>
          <w:color w:val="000000"/>
        </w:rPr>
        <w:t>)) -</w:t>
      </w:r>
      <w:r w:rsidRPr="00CB5054">
        <w:rPr>
          <w:color w:val="000000"/>
        </w:rPr>
        <w:t xml:space="preserve"> Except as provided in paragraphs (f)(</w:t>
      </w:r>
      <w:r w:rsidRPr="00CB5054" w:rsidR="00BD52E7">
        <w:rPr>
          <w:color w:val="000000"/>
        </w:rPr>
        <w:t>7</w:t>
      </w:r>
      <w:r w:rsidRPr="00CB5054">
        <w:rPr>
          <w:color w:val="000000"/>
        </w:rPr>
        <w:t>) and (f)(</w:t>
      </w:r>
      <w:r w:rsidRPr="00CB5054" w:rsidR="00BD52E7">
        <w:rPr>
          <w:color w:val="000000"/>
        </w:rPr>
        <w:t>8</w:t>
      </w:r>
      <w:r w:rsidRPr="00CB5054">
        <w:rPr>
          <w:color w:val="000000"/>
        </w:rPr>
        <w:t>) of this section, the employer shall ensure that each container of hazardous chemicals in the workplace is labeled, tagged or marked with either:</w:t>
      </w:r>
    </w:p>
    <w:p w:rsidRPr="00CB5054" w:rsidR="00D80711" w:rsidP="00933BFC" w:rsidRDefault="00D80711" w14:paraId="6E961AA1" w14:textId="77777777">
      <w:pPr>
        <w:pStyle w:val="block1"/>
        <w:spacing w:before="0" w:beforeAutospacing="0"/>
        <w:rPr>
          <w:color w:val="000000"/>
        </w:rPr>
      </w:pPr>
      <w:r w:rsidRPr="00CB5054">
        <w:rPr>
          <w:i/>
          <w:color w:val="000000"/>
        </w:rPr>
        <w:t>§1910.1200(f)(</w:t>
      </w:r>
      <w:r w:rsidRPr="00CB5054" w:rsidR="00A96E0C">
        <w:rPr>
          <w:i/>
          <w:color w:val="000000"/>
        </w:rPr>
        <w:t>6</w:t>
      </w:r>
      <w:r w:rsidRPr="00CB5054">
        <w:rPr>
          <w:i/>
          <w:color w:val="000000"/>
        </w:rPr>
        <w:t>)(i)</w:t>
      </w:r>
      <w:r w:rsidRPr="00CB5054">
        <w:rPr>
          <w:color w:val="000000"/>
        </w:rPr>
        <w:t xml:space="preserve"> - The information specified under (f)(1)(i) through (v) for labels on shipped containers; or,</w:t>
      </w:r>
    </w:p>
    <w:p w:rsidRPr="00CB5054" w:rsidR="00D80711" w:rsidP="00933BFC" w:rsidRDefault="00D80711" w14:paraId="0F8893F8" w14:textId="77777777">
      <w:pPr>
        <w:pStyle w:val="block1"/>
        <w:spacing w:before="0" w:beforeAutospacing="0"/>
        <w:rPr>
          <w:color w:val="000000"/>
        </w:rPr>
      </w:pPr>
      <w:r w:rsidRPr="00CB5054">
        <w:rPr>
          <w:i/>
          <w:color w:val="000000"/>
        </w:rPr>
        <w:t>§1910.1200(f)(</w:t>
      </w:r>
      <w:r w:rsidRPr="00CB5054" w:rsidR="00A96E0C">
        <w:rPr>
          <w:i/>
          <w:color w:val="000000"/>
        </w:rPr>
        <w:t>6</w:t>
      </w:r>
      <w:r w:rsidRPr="00CB5054">
        <w:rPr>
          <w:i/>
          <w:color w:val="000000"/>
        </w:rPr>
        <w:t>)(ii)</w:t>
      </w:r>
      <w:r w:rsidRPr="00CB5054">
        <w:rPr>
          <w:color w:val="000000"/>
        </w:rPr>
        <w:t xml:space="preserve"> - Product identifier and</w:t>
      </w:r>
      <w:bookmarkStart w:name="1910.1200(f)(5)(i)" w:id="21"/>
      <w:bookmarkStart w:name="1910.1200(f)(5)(ii)" w:id="22"/>
      <w:bookmarkEnd w:id="21"/>
      <w:bookmarkEnd w:id="22"/>
      <w:r w:rsidRPr="00CB5054">
        <w:rPr>
          <w:color w:val="000000"/>
        </w:rPr>
        <w:t xml:space="preserve"> 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p>
    <w:p w:rsidRPr="00CB5054" w:rsidR="00D80711" w:rsidP="00933BFC" w:rsidRDefault="00D80711" w14:paraId="05A14B51" w14:textId="77777777">
      <w:pPr>
        <w:pStyle w:val="block1"/>
        <w:spacing w:before="0" w:beforeAutospacing="0"/>
        <w:rPr>
          <w:color w:val="000000"/>
        </w:rPr>
      </w:pPr>
      <w:r w:rsidRPr="00CB5054">
        <w:rPr>
          <w:i/>
          <w:color w:val="000000"/>
        </w:rPr>
        <w:t>§1910.1200(f)(</w:t>
      </w:r>
      <w:r w:rsidRPr="00CB5054" w:rsidR="00295680">
        <w:rPr>
          <w:i/>
          <w:color w:val="000000"/>
        </w:rPr>
        <w:t>7</w:t>
      </w:r>
      <w:r w:rsidRPr="00CB5054">
        <w:rPr>
          <w:i/>
          <w:color w:val="000000"/>
        </w:rPr>
        <w:t>) -</w:t>
      </w:r>
      <w:r w:rsidRPr="00CB5054">
        <w:rPr>
          <w:color w:val="000000"/>
        </w:rPr>
        <w:t xml:space="preserve"> The employer may use signs, placards, process sheets, batch tickets, operating procedures, or other such written materials in lieu of affixing labels to individual stationary process containers, as long as the alternative method identifies the containers to which it is applicable and conveys the information required by paragraph (f)(</w:t>
      </w:r>
      <w:r w:rsidRPr="00CB5054" w:rsidR="00295680">
        <w:rPr>
          <w:color w:val="000000"/>
        </w:rPr>
        <w:t>6</w:t>
      </w:r>
      <w:r w:rsidRPr="00CB5054">
        <w:rPr>
          <w:color w:val="000000"/>
        </w:rPr>
        <w:t>) of this section to be on a label. The employer shall ensure the written materials are readily accessible to the employees in their work area throughout each work shift.</w:t>
      </w:r>
    </w:p>
    <w:p w:rsidRPr="00CB5054" w:rsidR="00D80711" w:rsidP="00933BFC" w:rsidRDefault="00D80711" w14:paraId="17D31B13" w14:textId="77777777">
      <w:pPr>
        <w:pStyle w:val="block1"/>
        <w:spacing w:before="0" w:beforeAutospacing="0"/>
        <w:rPr>
          <w:color w:val="000000"/>
        </w:rPr>
      </w:pPr>
      <w:bookmarkStart w:name="1910.1200(f)(7)" w:id="23"/>
      <w:bookmarkEnd w:id="23"/>
      <w:r w:rsidRPr="00CB5054">
        <w:rPr>
          <w:i/>
          <w:color w:val="000000"/>
        </w:rPr>
        <w:t>§1910.1200(f)(</w:t>
      </w:r>
      <w:r w:rsidRPr="00CB5054" w:rsidR="00295680">
        <w:rPr>
          <w:i/>
          <w:color w:val="000000"/>
        </w:rPr>
        <w:t>8</w:t>
      </w:r>
      <w:r w:rsidRPr="00CB5054">
        <w:rPr>
          <w:i/>
          <w:color w:val="000000"/>
        </w:rPr>
        <w:t xml:space="preserve">) - </w:t>
      </w:r>
      <w:r w:rsidRPr="00CB5054">
        <w:rPr>
          <w:color w:val="000000"/>
        </w:rPr>
        <w:t>The employer is not required to label portable containers into which hazardous chemicals are transferred from labeled containers, and which are intended only for the immediate use of the employee who performs the transfer. For purposes of this section, drugs which are dispensed by a pharmacy to a health care provider for direct administration to a patient are exempted from labeling.</w:t>
      </w:r>
    </w:p>
    <w:p w:rsidRPr="00CB5054" w:rsidR="00D80711" w:rsidP="00933BFC" w:rsidRDefault="00D80711" w14:paraId="18C267AB" w14:textId="77777777">
      <w:pPr>
        <w:pStyle w:val="block1"/>
        <w:spacing w:before="0" w:beforeAutospacing="0"/>
        <w:rPr>
          <w:color w:val="000000"/>
        </w:rPr>
      </w:pPr>
      <w:bookmarkStart w:name="1910.1200(f)(8)" w:id="24"/>
      <w:bookmarkEnd w:id="24"/>
      <w:r w:rsidRPr="00CB5054">
        <w:rPr>
          <w:i/>
          <w:color w:val="000000"/>
        </w:rPr>
        <w:t>§1910.1200(f)(</w:t>
      </w:r>
      <w:r w:rsidRPr="00CB5054" w:rsidR="00295680">
        <w:rPr>
          <w:i/>
          <w:color w:val="000000"/>
        </w:rPr>
        <w:t>9</w:t>
      </w:r>
      <w:r w:rsidRPr="00CB5054">
        <w:rPr>
          <w:i/>
          <w:color w:val="000000"/>
        </w:rPr>
        <w:t>) -</w:t>
      </w:r>
      <w:r w:rsidRPr="00CB5054">
        <w:rPr>
          <w:color w:val="000000"/>
        </w:rPr>
        <w:t xml:space="preserve"> The employer shall not remove or deface existing labels on incoming containers of hazardous chemicals, unless the container is immediately marked with the required information.</w:t>
      </w:r>
    </w:p>
    <w:p w:rsidRPr="00CB5054" w:rsidR="00D80711" w:rsidP="00933BFC" w:rsidRDefault="00D80711" w14:paraId="750FD4B3" w14:textId="77777777">
      <w:pPr>
        <w:pStyle w:val="block1"/>
        <w:spacing w:before="0" w:beforeAutospacing="0"/>
        <w:rPr>
          <w:color w:val="000000"/>
        </w:rPr>
      </w:pPr>
      <w:bookmarkStart w:name="1910.1200(f)(9)" w:id="25"/>
      <w:bookmarkEnd w:id="25"/>
      <w:r w:rsidRPr="00CB5054">
        <w:rPr>
          <w:i/>
          <w:color w:val="000000"/>
        </w:rPr>
        <w:t>§1910.1200(f)(1</w:t>
      </w:r>
      <w:r w:rsidRPr="00CB5054" w:rsidR="00295680">
        <w:rPr>
          <w:i/>
          <w:color w:val="000000"/>
        </w:rPr>
        <w:t>0</w:t>
      </w:r>
      <w:r w:rsidRPr="00CB5054">
        <w:rPr>
          <w:i/>
          <w:color w:val="000000"/>
        </w:rPr>
        <w:t xml:space="preserve">) - </w:t>
      </w:r>
      <w:r w:rsidRPr="00CB5054">
        <w:rPr>
          <w:color w:val="000000"/>
        </w:rPr>
        <w:t xml:space="preserve"> The employer shall ensure that workplace labels or other forms of warning are legible, in English, and prominently displayed on the container, or readily available in the work area throughout each work shift. Employers having employees who speak other languages may add the information in their language to the material presented, as long as the information is presented in English as well.</w:t>
      </w:r>
    </w:p>
    <w:p w:rsidRPr="00CB5054" w:rsidR="00D80711" w:rsidP="00933BFC" w:rsidRDefault="00D80711" w14:paraId="7B5FBF19" w14:textId="77777777">
      <w:pPr>
        <w:pStyle w:val="block1"/>
        <w:spacing w:before="0" w:beforeAutospacing="0"/>
        <w:rPr>
          <w:color w:val="000000"/>
        </w:rPr>
      </w:pPr>
      <w:bookmarkStart w:name="1910.1200(f)(10)" w:id="26"/>
      <w:bookmarkEnd w:id="26"/>
      <w:r w:rsidRPr="00CB5054">
        <w:rPr>
          <w:i/>
          <w:color w:val="000000"/>
        </w:rPr>
        <w:t>§1910.1200(f)(1</w:t>
      </w:r>
      <w:r w:rsidRPr="00CB5054" w:rsidR="00295680">
        <w:rPr>
          <w:i/>
          <w:color w:val="000000"/>
        </w:rPr>
        <w:t>1</w:t>
      </w:r>
      <w:r w:rsidRPr="00CB5054">
        <w:rPr>
          <w:i/>
          <w:color w:val="000000"/>
        </w:rPr>
        <w:t xml:space="preserve">) - </w:t>
      </w:r>
      <w:r w:rsidRPr="00CB5054">
        <w:rPr>
          <w:color w:val="000000"/>
        </w:rPr>
        <w:t xml:space="preserve"> Chemical manufacturers, importers, distributors, or employers who become newly aware of any significant information regarding the hazards of a chemical shall revise the labels for the chemical within </w:t>
      </w:r>
      <w:r w:rsidRPr="00CB5054" w:rsidR="00295680">
        <w:rPr>
          <w:color w:val="000000"/>
        </w:rPr>
        <w:t>six</w:t>
      </w:r>
      <w:r w:rsidRPr="00CB5054">
        <w:rPr>
          <w:color w:val="000000"/>
        </w:rPr>
        <w:t xml:space="preserve"> months of becoming aware of the new information, and shall ensure that labels on containers of hazardous chemicals shipped after that time contain the new information. If the chemical is not currently produced or imported, the chemical manufacturer, importer, distributor, or employer shall add the information to the label before the chemical is shipped or introduced into the workplace again.</w:t>
      </w:r>
    </w:p>
    <w:p w:rsidR="00290D13" w:rsidP="00D80711" w:rsidRDefault="00D80711" w14:paraId="23332DD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CB5054">
        <w:rPr>
          <w:b/>
          <w:color w:val="000000"/>
          <w:sz w:val="24"/>
          <w:szCs w:val="24"/>
        </w:rPr>
        <w:t>Safety Data Sheets §1910.1200(g)</w:t>
      </w:r>
    </w:p>
    <w:p w:rsidRPr="00CB5054" w:rsidR="00290D13" w:rsidP="00D80711" w:rsidRDefault="00290D13" w14:paraId="7D71C85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Pr="00290D13" w:rsidR="0041296B" w:rsidP="00AB0B90" w:rsidRDefault="00290D13" w14:paraId="111FF03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90D13">
        <w:rPr>
          <w:i/>
          <w:color w:val="000000"/>
          <w:sz w:val="24"/>
          <w:szCs w:val="24"/>
        </w:rPr>
        <w:t>§1910.1200(g</w:t>
      </w:r>
      <w:r w:rsidR="00AB66FE">
        <w:rPr>
          <w:sz w:val="24"/>
          <w:szCs w:val="24"/>
        </w:rPr>
        <w:t>)</w:t>
      </w:r>
      <w:r w:rsidRPr="00290D13">
        <w:rPr>
          <w:sz w:val="24"/>
          <w:szCs w:val="24"/>
        </w:rPr>
        <w:t>(1) Chemical manufacturers and importers shall obtain or develop a safety data sheet for each hazardous chemical they produce or import.  Employers shall have a safety data sheet in the workplace for each hazardous chemical which they use.</w:t>
      </w:r>
    </w:p>
    <w:p w:rsidR="0041296B" w:rsidP="00AB0B90" w:rsidRDefault="0041296B" w14:paraId="114F9825" w14:textId="77777777">
      <w:pPr>
        <w:rPr>
          <w:i/>
          <w:color w:val="000000"/>
        </w:rPr>
      </w:pPr>
    </w:p>
    <w:p w:rsidRPr="00CB5054" w:rsidR="00D80711" w:rsidP="00AB0B90" w:rsidRDefault="00D80711" w14:paraId="358C8A53" w14:textId="77777777">
      <w:pPr>
        <w:pStyle w:val="block1"/>
        <w:spacing w:before="0" w:beforeAutospacing="0"/>
        <w:rPr>
          <w:color w:val="000000"/>
        </w:rPr>
      </w:pPr>
      <w:r w:rsidRPr="00CB5054">
        <w:rPr>
          <w:i/>
          <w:color w:val="000000"/>
        </w:rPr>
        <w:t>§1910.1200(g)(2)</w:t>
      </w:r>
      <w:r w:rsidRPr="00CB5054">
        <w:rPr>
          <w:color w:val="000000"/>
        </w:rPr>
        <w:t xml:space="preserve"> - The chemical manufacturer or importer preparing the safety data sheet shall ensure that it is in English (although the employer may maintain copies in other languages as well), and includes </w:t>
      </w:r>
      <w:r w:rsidRPr="00CB5054" w:rsidR="00295680">
        <w:rPr>
          <w:color w:val="000000"/>
        </w:rPr>
        <w:t xml:space="preserve">at least </w:t>
      </w:r>
      <w:r w:rsidRPr="00CB5054">
        <w:rPr>
          <w:color w:val="000000"/>
        </w:rPr>
        <w:t>the following section numbers and headings, and associated information under each heading, in the order listed (See Appendix D to §1910.1200--Safety Data Sheets, for the specific content of each section of the safety data sheet.)</w:t>
      </w:r>
    </w:p>
    <w:p w:rsidRPr="00CB5054" w:rsidR="00D80711" w:rsidP="00D80711" w:rsidRDefault="00D80711" w14:paraId="6BA3658C" w14:textId="77777777">
      <w:pPr>
        <w:pStyle w:val="block1"/>
        <w:spacing w:before="0" w:beforeAutospacing="0"/>
        <w:ind w:firstLine="720"/>
        <w:rPr>
          <w:color w:val="000000"/>
        </w:rPr>
      </w:pPr>
      <w:r w:rsidRPr="00CB5054">
        <w:rPr>
          <w:color w:val="000000"/>
        </w:rPr>
        <w:t>§1910.1200(g)(2)(i) - Section 1, Identification;</w:t>
      </w:r>
    </w:p>
    <w:p w:rsidRPr="00CB5054" w:rsidR="00D80711" w:rsidP="00D80711" w:rsidRDefault="00D80711" w14:paraId="767B8C10" w14:textId="77777777">
      <w:pPr>
        <w:pStyle w:val="block1"/>
        <w:spacing w:before="0" w:beforeAutospacing="0"/>
        <w:ind w:firstLine="720"/>
        <w:rPr>
          <w:color w:val="000000"/>
        </w:rPr>
      </w:pPr>
      <w:r w:rsidRPr="00CB5054">
        <w:rPr>
          <w:color w:val="000000"/>
        </w:rPr>
        <w:t>§1910.1200(g)(2) (ii) - Section 2, Hazard(s) identification;</w:t>
      </w:r>
    </w:p>
    <w:p w:rsidRPr="00CB5054" w:rsidR="00D80711" w:rsidP="00D80711" w:rsidRDefault="00D80711" w14:paraId="7CB94AB4" w14:textId="77777777">
      <w:pPr>
        <w:pStyle w:val="block1"/>
        <w:spacing w:before="0" w:beforeAutospacing="0"/>
        <w:ind w:firstLine="720"/>
        <w:rPr>
          <w:color w:val="000000"/>
        </w:rPr>
      </w:pPr>
      <w:r w:rsidRPr="00CB5054">
        <w:rPr>
          <w:color w:val="000000"/>
        </w:rPr>
        <w:t>§1910.1200(g)(2) (iii) - Section 3, Composition/information on ingredients;</w:t>
      </w:r>
    </w:p>
    <w:p w:rsidRPr="00CB5054" w:rsidR="00D80711" w:rsidP="00D80711" w:rsidRDefault="00D80711" w14:paraId="6B73D632" w14:textId="77777777">
      <w:pPr>
        <w:pStyle w:val="block1"/>
        <w:spacing w:before="0" w:beforeAutospacing="0"/>
        <w:ind w:firstLine="720"/>
        <w:rPr>
          <w:color w:val="000000"/>
        </w:rPr>
      </w:pPr>
      <w:r w:rsidRPr="00CB5054">
        <w:rPr>
          <w:color w:val="000000"/>
        </w:rPr>
        <w:t>§1910.1200(g)(2) (iv) - Section 4, First-aid measures;</w:t>
      </w:r>
    </w:p>
    <w:p w:rsidRPr="00CB5054" w:rsidR="00D80711" w:rsidP="00D80711" w:rsidRDefault="00D80711" w14:paraId="55ED3147" w14:textId="77777777">
      <w:pPr>
        <w:pStyle w:val="block1"/>
        <w:spacing w:before="0" w:beforeAutospacing="0"/>
        <w:ind w:firstLine="720"/>
        <w:rPr>
          <w:color w:val="000000"/>
        </w:rPr>
      </w:pPr>
      <w:r w:rsidRPr="00CB5054">
        <w:rPr>
          <w:color w:val="000000"/>
        </w:rPr>
        <w:t>§1910.1200(g)(2) (v) - Section 5, Fire-fighting measures;</w:t>
      </w:r>
    </w:p>
    <w:p w:rsidRPr="00CB5054" w:rsidR="00D80711" w:rsidP="00D80711" w:rsidRDefault="00D80711" w14:paraId="0788470A" w14:textId="77777777">
      <w:pPr>
        <w:pStyle w:val="block1"/>
        <w:spacing w:before="0" w:beforeAutospacing="0"/>
        <w:ind w:firstLine="720"/>
        <w:rPr>
          <w:color w:val="000000"/>
        </w:rPr>
      </w:pPr>
      <w:r w:rsidRPr="00CB5054">
        <w:rPr>
          <w:color w:val="000000"/>
        </w:rPr>
        <w:t>§1910.1200(g)(2) (vi) - Section 6, Accidental release measures;</w:t>
      </w:r>
    </w:p>
    <w:p w:rsidRPr="00CB5054" w:rsidR="00D80711" w:rsidP="00D80711" w:rsidRDefault="00D80711" w14:paraId="121A00BC" w14:textId="77777777">
      <w:pPr>
        <w:pStyle w:val="block1"/>
        <w:spacing w:before="0" w:beforeAutospacing="0"/>
        <w:ind w:firstLine="720"/>
        <w:rPr>
          <w:color w:val="000000"/>
        </w:rPr>
      </w:pPr>
      <w:r w:rsidRPr="00CB5054">
        <w:rPr>
          <w:color w:val="000000"/>
        </w:rPr>
        <w:t>§1910.1200(g)(2)(vii) - Section 7, Handling and storage;</w:t>
      </w:r>
    </w:p>
    <w:p w:rsidRPr="00CB5054" w:rsidR="00D80711" w:rsidP="00D80711" w:rsidRDefault="00D80711" w14:paraId="0A9AE552" w14:textId="77777777">
      <w:pPr>
        <w:pStyle w:val="block1"/>
        <w:spacing w:before="0" w:beforeAutospacing="0"/>
        <w:ind w:firstLine="720"/>
        <w:rPr>
          <w:color w:val="000000"/>
        </w:rPr>
      </w:pPr>
      <w:r w:rsidRPr="00CB5054">
        <w:rPr>
          <w:color w:val="000000"/>
        </w:rPr>
        <w:t>§1910.1200(g)(2)(viii) – Section 8, Exposure controls/personal protection;</w:t>
      </w:r>
    </w:p>
    <w:p w:rsidRPr="00CB5054" w:rsidR="00D80711" w:rsidP="00D80711" w:rsidRDefault="00D80711" w14:paraId="735C3707" w14:textId="77777777">
      <w:pPr>
        <w:pStyle w:val="block1"/>
        <w:spacing w:before="0" w:beforeAutospacing="0"/>
        <w:ind w:firstLine="720"/>
        <w:rPr>
          <w:color w:val="000000"/>
        </w:rPr>
      </w:pPr>
      <w:r w:rsidRPr="00CB5054">
        <w:rPr>
          <w:color w:val="000000"/>
        </w:rPr>
        <w:t>§1910.1200(g)(2)(ix) - Section 9, Physical and chemical properties;</w:t>
      </w:r>
    </w:p>
    <w:p w:rsidRPr="00CB5054" w:rsidR="00D80711" w:rsidP="00D80711" w:rsidRDefault="00D80711" w14:paraId="33B8093F" w14:textId="77777777">
      <w:pPr>
        <w:pStyle w:val="block1"/>
        <w:spacing w:before="0" w:beforeAutospacing="0"/>
        <w:ind w:firstLine="720"/>
        <w:rPr>
          <w:color w:val="000000"/>
        </w:rPr>
      </w:pPr>
      <w:r w:rsidRPr="00CB5054">
        <w:rPr>
          <w:color w:val="000000"/>
        </w:rPr>
        <w:t>§1910.1200(g)(2)(x) -  Section 10, Stability and reactivity;</w:t>
      </w:r>
    </w:p>
    <w:p w:rsidRPr="00CB5054" w:rsidR="00D80711" w:rsidP="00D80711" w:rsidRDefault="00D80711" w14:paraId="3647798C" w14:textId="77777777">
      <w:pPr>
        <w:pStyle w:val="block1"/>
        <w:spacing w:before="0" w:beforeAutospacing="0"/>
        <w:ind w:firstLine="720"/>
        <w:rPr>
          <w:color w:val="000000"/>
        </w:rPr>
      </w:pPr>
      <w:r w:rsidRPr="00CB5054">
        <w:rPr>
          <w:color w:val="000000"/>
        </w:rPr>
        <w:t>§1910.1200(g)(2)(xi) - Section 11, Toxicological information.</w:t>
      </w:r>
    </w:p>
    <w:p w:rsidRPr="00CB5054" w:rsidR="00D80711" w:rsidP="00D80711" w:rsidRDefault="00D80711" w14:paraId="6F0ECA85" w14:textId="6C45438F">
      <w:pPr>
        <w:pStyle w:val="block1"/>
        <w:spacing w:before="0" w:beforeAutospacing="0"/>
        <w:ind w:left="720"/>
        <w:rPr>
          <w:color w:val="000000"/>
        </w:rPr>
      </w:pPr>
      <w:r w:rsidRPr="00CB5054">
        <w:rPr>
          <w:color w:val="000000"/>
        </w:rPr>
        <w:t xml:space="preserve">Note 1 to paragraph (g)(2):  To be consistent with the </w:t>
      </w:r>
      <w:r w:rsidR="009B6100">
        <w:rPr>
          <w:color w:val="000000"/>
        </w:rPr>
        <w:t>Gobal Homonization Standard (</w:t>
      </w:r>
      <w:r w:rsidRPr="00CB5054">
        <w:rPr>
          <w:color w:val="000000"/>
        </w:rPr>
        <w:t>GHS</w:t>
      </w:r>
      <w:r w:rsidR="009B6100">
        <w:rPr>
          <w:color w:val="000000"/>
        </w:rPr>
        <w:t>)</w:t>
      </w:r>
      <w:r w:rsidRPr="00CB5054">
        <w:rPr>
          <w:color w:val="000000"/>
        </w:rPr>
        <w:t xml:space="preserve">, an SDS must also include the following headings in this order: </w:t>
      </w:r>
    </w:p>
    <w:p w:rsidRPr="00CB5054" w:rsidR="00D80711" w:rsidP="00933BFC" w:rsidRDefault="00D80711" w14:paraId="257C4847" w14:textId="77777777">
      <w:pPr>
        <w:pStyle w:val="block1"/>
        <w:spacing w:before="0" w:beforeAutospacing="0"/>
        <w:ind w:firstLine="720"/>
        <w:rPr>
          <w:color w:val="000000"/>
        </w:rPr>
      </w:pPr>
      <w:r w:rsidRPr="00CB5054">
        <w:rPr>
          <w:color w:val="000000"/>
        </w:rPr>
        <w:t xml:space="preserve">Section 12, Ecological information; </w:t>
      </w:r>
    </w:p>
    <w:p w:rsidRPr="00CB5054" w:rsidR="00D80711" w:rsidP="00933BFC" w:rsidRDefault="00933BFC" w14:paraId="2BED9E4A" w14:textId="77777777">
      <w:pPr>
        <w:pStyle w:val="block1"/>
        <w:spacing w:before="0" w:beforeAutospacing="0"/>
        <w:ind w:firstLine="720"/>
        <w:rPr>
          <w:color w:val="000000"/>
        </w:rPr>
      </w:pPr>
      <w:r w:rsidRPr="00CB5054">
        <w:rPr>
          <w:color w:val="000000"/>
        </w:rPr>
        <w:t>S</w:t>
      </w:r>
      <w:r w:rsidRPr="00CB5054" w:rsidR="00D80711">
        <w:rPr>
          <w:color w:val="000000"/>
        </w:rPr>
        <w:t xml:space="preserve">ection 13, Disposal considerations; </w:t>
      </w:r>
    </w:p>
    <w:p w:rsidRPr="00CB5054" w:rsidR="00D80711" w:rsidP="00933BFC" w:rsidRDefault="00D80711" w14:paraId="55DE5632" w14:textId="77777777">
      <w:pPr>
        <w:pStyle w:val="block1"/>
        <w:spacing w:before="0" w:beforeAutospacing="0"/>
        <w:ind w:firstLine="720"/>
        <w:rPr>
          <w:color w:val="000000"/>
        </w:rPr>
      </w:pPr>
      <w:r w:rsidRPr="00CB5054">
        <w:rPr>
          <w:color w:val="000000"/>
        </w:rPr>
        <w:t xml:space="preserve">Section 14, Transport information; and </w:t>
      </w:r>
    </w:p>
    <w:p w:rsidRPr="00CB5054" w:rsidR="00D80711" w:rsidP="00933BFC" w:rsidRDefault="00D80711" w14:paraId="4D9DA9C9" w14:textId="77777777">
      <w:pPr>
        <w:pStyle w:val="block1"/>
        <w:spacing w:before="0" w:beforeAutospacing="0"/>
        <w:ind w:firstLine="720"/>
        <w:rPr>
          <w:color w:val="000000"/>
        </w:rPr>
      </w:pPr>
      <w:r w:rsidRPr="00CB5054">
        <w:rPr>
          <w:color w:val="000000"/>
        </w:rPr>
        <w:t xml:space="preserve">Section 15, Regulatory information.  </w:t>
      </w:r>
    </w:p>
    <w:p w:rsidRPr="00CB5054" w:rsidR="00D80711" w:rsidP="00D80711" w:rsidRDefault="00D80711" w14:paraId="348753E5" w14:textId="77777777">
      <w:pPr>
        <w:pStyle w:val="block1"/>
        <w:spacing w:before="0" w:beforeAutospacing="0"/>
        <w:ind w:left="720"/>
        <w:rPr>
          <w:color w:val="000000"/>
        </w:rPr>
      </w:pPr>
      <w:r w:rsidRPr="00CB5054">
        <w:rPr>
          <w:color w:val="000000"/>
        </w:rPr>
        <w:t>Note 2 to paragraph (g)(2): OSHA will not be enforcing information requirements in sections 12 through 15, as these areas are not under its jurisdiction.</w:t>
      </w:r>
    </w:p>
    <w:p w:rsidRPr="00CB5054" w:rsidR="00D80711" w:rsidP="00933BFC" w:rsidRDefault="00D80711" w14:paraId="46AA43CB" w14:textId="77777777">
      <w:pPr>
        <w:pStyle w:val="block1"/>
        <w:spacing w:before="0" w:beforeAutospacing="0"/>
        <w:ind w:left="720"/>
        <w:rPr>
          <w:color w:val="000000"/>
        </w:rPr>
      </w:pPr>
      <w:r w:rsidRPr="00CB5054">
        <w:rPr>
          <w:color w:val="000000"/>
        </w:rPr>
        <w:t>§1910.1200(g)(2)(xii) - Section 16, Other information, including date of preparation or last revision.</w:t>
      </w:r>
    </w:p>
    <w:p w:rsidRPr="00CB5054" w:rsidR="00D80711" w:rsidP="00D80711" w:rsidRDefault="00D80711" w14:paraId="0CF7A727" w14:textId="77777777">
      <w:pPr>
        <w:pStyle w:val="block1"/>
        <w:spacing w:before="0" w:beforeAutospacing="0"/>
        <w:rPr>
          <w:i/>
          <w:color w:val="000000"/>
        </w:rPr>
      </w:pPr>
      <w:r w:rsidRPr="00CB5054">
        <w:rPr>
          <w:i/>
          <w:color w:val="000000"/>
        </w:rPr>
        <w:t>§1910.1200(g)(5)</w:t>
      </w:r>
      <w:r w:rsidRPr="00CB5054">
        <w:rPr>
          <w:color w:val="000000"/>
        </w:rPr>
        <w:t xml:space="preserve"> - The chemical manufacturer, importer or employer preparing the safety data sheet shall ensure that the information provided accurately reflects the scientific evidence used in making the hazard classification. If the chemical manufacturer, importer or employer preparing the safety data sheet becomes newly aware of any significant information regarding the hazards of a chemical, or ways to protect against the hazards, this new information shall be added to the safety data sheet within three months. If the chemical is not currently being produced or imported</w:t>
      </w:r>
      <w:r w:rsidRPr="00CB5054" w:rsidR="00BD52E7">
        <w:rPr>
          <w:color w:val="000000"/>
        </w:rPr>
        <w:t>,</w:t>
      </w:r>
      <w:r w:rsidRPr="00CB5054">
        <w:rPr>
          <w:color w:val="000000"/>
        </w:rPr>
        <w:t xml:space="preserve"> the chemical manufacturer or importer shall add the information to the safety data sheet before the chemical is introduced into the workplace again.</w:t>
      </w:r>
    </w:p>
    <w:p w:rsidRPr="00CB5054" w:rsidR="00C74E7D" w:rsidP="00D80711" w:rsidRDefault="00D80711" w14:paraId="13D445EF" w14:textId="77777777">
      <w:pPr>
        <w:pStyle w:val="block1"/>
        <w:spacing w:before="0" w:beforeAutospacing="0"/>
        <w:rPr>
          <w:color w:val="000000"/>
        </w:rPr>
      </w:pPr>
      <w:r w:rsidRPr="00CB5054">
        <w:rPr>
          <w:i/>
          <w:color w:val="000000"/>
        </w:rPr>
        <w:t>§1910.1200(g)(11)</w:t>
      </w:r>
      <w:r w:rsidRPr="00CB5054">
        <w:rPr>
          <w:color w:val="000000"/>
        </w:rPr>
        <w:t xml:space="preserve"> - Safety data sheets shall also be made readily available, upon request, to designated representatives, the Assistant Secretary, and the Director, in accordance with the requ</w:t>
      </w:r>
      <w:r w:rsidRPr="00CB5054" w:rsidR="00E23288">
        <w:rPr>
          <w:color w:val="000000"/>
        </w:rPr>
        <w:t>irements o</w:t>
      </w:r>
      <w:r w:rsidR="00290D13">
        <w:rPr>
          <w:color w:val="000000"/>
        </w:rPr>
        <w:t>f §</w:t>
      </w:r>
      <w:r w:rsidRPr="00CB5054" w:rsidR="00E23288">
        <w:rPr>
          <w:color w:val="000000"/>
        </w:rPr>
        <w:t xml:space="preserve">1910.1020(e). </w:t>
      </w:r>
    </w:p>
    <w:p w:rsidRPr="000E40C1" w:rsidR="00CB1E30" w:rsidP="00CB1E30" w:rsidRDefault="00CB1E30" w14:paraId="518B8F3B" w14:textId="77777777">
      <w:pPr>
        <w:pStyle w:val="block1"/>
        <w:rPr>
          <w:b/>
          <w:color w:val="000000"/>
        </w:rPr>
      </w:pPr>
      <w:r w:rsidRPr="000E40C1">
        <w:rPr>
          <w:b/>
          <w:color w:val="000000"/>
        </w:rPr>
        <w:t>Trade Secrets (§1910.1200(i))</w:t>
      </w:r>
    </w:p>
    <w:p w:rsidRPr="00CB1E30" w:rsidR="00CB1E30" w:rsidP="00CB1E30" w:rsidRDefault="00CB1E30" w14:paraId="7202A71E" w14:textId="77777777">
      <w:pPr>
        <w:pStyle w:val="block1"/>
        <w:rPr>
          <w:color w:val="000000"/>
        </w:rPr>
      </w:pPr>
      <w:r w:rsidRPr="00CB1E30">
        <w:rPr>
          <w:color w:val="000000"/>
        </w:rPr>
        <w:t>Chemical manufacturers, importers, or employers who withhold the specific chemical identity</w:t>
      </w:r>
      <w:r w:rsidR="000E40C1">
        <w:rPr>
          <w:color w:val="000000"/>
        </w:rPr>
        <w:t xml:space="preserve"> or the exact concentration</w:t>
      </w:r>
      <w:r w:rsidRPr="00CB1E30">
        <w:rPr>
          <w:color w:val="000000"/>
        </w:rPr>
        <w:t xml:space="preserve">, must immediately disclose the chemical identity </w:t>
      </w:r>
      <w:r w:rsidR="000E40C1">
        <w:rPr>
          <w:color w:val="000000"/>
        </w:rPr>
        <w:t xml:space="preserve">or exact concentration </w:t>
      </w:r>
      <w:r w:rsidRPr="00CB1E30">
        <w:rPr>
          <w:color w:val="000000"/>
        </w:rPr>
        <w:t>where a treating physician or nurse determines that a medical emergency exists and th</w:t>
      </w:r>
      <w:r w:rsidR="000E40C1">
        <w:rPr>
          <w:color w:val="000000"/>
        </w:rPr>
        <w:t>at information</w:t>
      </w:r>
      <w:r w:rsidRPr="00CB1E30">
        <w:rPr>
          <w:color w:val="000000"/>
        </w:rPr>
        <w:t xml:space="preserve"> is necessary for emergency or first-aid treatment.  Chemical manufacturers, import</w:t>
      </w:r>
      <w:r w:rsidR="00A677D1">
        <w:rPr>
          <w:color w:val="000000"/>
        </w:rPr>
        <w:t xml:space="preserve">ers, or employers generating a </w:t>
      </w:r>
      <w:r w:rsidRPr="00CB1E30">
        <w:rPr>
          <w:color w:val="000000"/>
        </w:rPr>
        <w:t>SDS, may request a written statement of need and confidentiality in accordance with paragraphs (i)(3) and (i)(4) of the Standard</w:t>
      </w:r>
      <w:r w:rsidR="000E40C1">
        <w:rPr>
          <w:color w:val="000000"/>
        </w:rPr>
        <w:t xml:space="preserve"> as soon as circumstances permit</w:t>
      </w:r>
      <w:r w:rsidRPr="00CB1E30">
        <w:rPr>
          <w:color w:val="000000"/>
        </w:rPr>
        <w:t xml:space="preserve">. </w:t>
      </w:r>
    </w:p>
    <w:p w:rsidRPr="00CB1E30" w:rsidR="00CB1E30" w:rsidP="00CB1E30" w:rsidRDefault="00CB1E30" w14:paraId="6AD21E2F" w14:textId="77777777">
      <w:pPr>
        <w:pStyle w:val="block1"/>
        <w:rPr>
          <w:color w:val="000000"/>
        </w:rPr>
      </w:pPr>
      <w:r w:rsidRPr="00CB1E30">
        <w:rPr>
          <w:color w:val="000000"/>
        </w:rPr>
        <w:t>In non-emergency situations, chemical manufacturers, importers, withholding specific chemical identity</w:t>
      </w:r>
      <w:r w:rsidR="000E40C1">
        <w:rPr>
          <w:color w:val="000000"/>
        </w:rPr>
        <w:t xml:space="preserve"> or exact percentage</w:t>
      </w:r>
      <w:r w:rsidRPr="00CB1E30">
        <w:rPr>
          <w:color w:val="000000"/>
        </w:rPr>
        <w:t xml:space="preserve"> must disclose the hazardous chemical identity</w:t>
      </w:r>
      <w:r w:rsidR="00CD5E46">
        <w:rPr>
          <w:color w:val="000000"/>
        </w:rPr>
        <w:t xml:space="preserve"> or exact percentage</w:t>
      </w:r>
      <w:r w:rsidRPr="00CB1E30">
        <w:rPr>
          <w:color w:val="000000"/>
        </w:rPr>
        <w:t xml:space="preserve"> to a health professional providing the medical or other occupational health services to exposed workers, provided the request in writing.  The request must describe with reasonable detail one of the items in paragraphs (i)(3)(ii).  If the health professional, worker, or designated representative who receives the trade secret information chooses to provide the information to OSHA, they must inform the chemical manufacturer, impo</w:t>
      </w:r>
      <w:r w:rsidR="00A677D1">
        <w:rPr>
          <w:color w:val="000000"/>
        </w:rPr>
        <w:t xml:space="preserve">rter, or employers who prepare </w:t>
      </w:r>
      <w:r w:rsidRPr="00CB1E30">
        <w:rPr>
          <w:color w:val="000000"/>
        </w:rPr>
        <w:t>SDSs that they are providing the information to OSHA.</w:t>
      </w:r>
    </w:p>
    <w:p w:rsidRPr="00CB1E30" w:rsidR="00CB1E30" w:rsidP="00CB1E30" w:rsidRDefault="00CB1E30" w14:paraId="19DCEDAF" w14:textId="77777777">
      <w:pPr>
        <w:pStyle w:val="block1"/>
        <w:rPr>
          <w:color w:val="000000"/>
        </w:rPr>
      </w:pPr>
      <w:r w:rsidRPr="00CB1E30">
        <w:rPr>
          <w:color w:val="000000"/>
        </w:rPr>
        <w:t>Chemical manufacturers, importers, or employers who prepare SDSs, may prepare a written denial for disclosure of specific chemical identity</w:t>
      </w:r>
      <w:r w:rsidR="00CD5E46">
        <w:rPr>
          <w:color w:val="000000"/>
        </w:rPr>
        <w:t xml:space="preserve"> or exact percentage</w:t>
      </w:r>
      <w:r w:rsidRPr="00CB1E30">
        <w:rPr>
          <w:color w:val="000000"/>
        </w:rPr>
        <w:t xml:space="preserve">.  Written denials must contain the information stated in paragraph (i)(7) of the Standard. </w:t>
      </w:r>
    </w:p>
    <w:p w:rsidRPr="00FF1F12" w:rsidR="00D80711" w:rsidP="00D80711" w:rsidRDefault="00D80711" w14:paraId="4B9708BF"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401AC9">
        <w:rPr>
          <w:b/>
          <w:bCs/>
          <w:color w:val="000000"/>
        </w:rPr>
        <w:t>3</w:t>
      </w:r>
      <w:r w:rsidRPr="00AB0B90">
        <w:rPr>
          <w:b/>
          <w:bCs/>
          <w:color w:val="000000"/>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C0B15" w:rsidR="00D80711" w:rsidP="00D80711" w:rsidRDefault="00D80711" w14:paraId="7C376DB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0D13" w:rsidP="001900B4" w:rsidRDefault="001900B4" w14:paraId="7579CA24" w14:textId="77777777">
      <w:pPr>
        <w:rPr>
          <w:color w:val="000000"/>
          <w:sz w:val="24"/>
          <w:szCs w:val="24"/>
        </w:rPr>
      </w:pPr>
      <w:r w:rsidRPr="00CB5054">
        <w:rPr>
          <w:color w:val="000000"/>
          <w:sz w:val="24"/>
          <w:szCs w:val="24"/>
        </w:rPr>
        <w:t xml:space="preserve">To the extent practical, OSHA standards minimize burdens on employers, including technical and legal burdens.  OSHA is aware that employers have developed a number of options to sort, collect, and store hazard communication information, and that many software programs have been marketed to assist employers in accomplishing these tasks.  </w:t>
      </w:r>
    </w:p>
    <w:p w:rsidR="001900B4" w:rsidP="001900B4" w:rsidRDefault="001900B4" w14:paraId="5C4CC93A" w14:textId="77777777">
      <w:pPr>
        <w:rPr>
          <w:color w:val="000000"/>
          <w:sz w:val="24"/>
          <w:szCs w:val="24"/>
        </w:rPr>
      </w:pPr>
      <w:r w:rsidRPr="00CB5054">
        <w:rPr>
          <w:color w:val="000000"/>
          <w:sz w:val="24"/>
          <w:szCs w:val="24"/>
        </w:rPr>
        <w:t>The Standard allows for electronic access, and other alternatives to maintaining paper copies of the SDSs, so long as no barriers to immediate employee access are created by such options.  There are no known technical or legal obstacles to reducing the information collection burden through improved information technology.</w:t>
      </w:r>
    </w:p>
    <w:p w:rsidR="00CC7499" w:rsidP="001900B4" w:rsidRDefault="00CC7499" w14:paraId="08D0A38B" w14:textId="77777777">
      <w:pPr>
        <w:rPr>
          <w:color w:val="000000"/>
          <w:sz w:val="24"/>
          <w:szCs w:val="24"/>
        </w:rPr>
      </w:pPr>
    </w:p>
    <w:p w:rsidRPr="00CB5054" w:rsidR="00CC7499" w:rsidP="001900B4" w:rsidRDefault="00CC7499" w14:paraId="471ECD6F" w14:textId="77777777">
      <w:pPr>
        <w:rPr>
          <w:color w:val="000000"/>
          <w:sz w:val="24"/>
          <w:szCs w:val="24"/>
        </w:rPr>
      </w:pPr>
      <w:r>
        <w:rPr>
          <w:color w:val="000000"/>
          <w:sz w:val="24"/>
          <w:szCs w:val="24"/>
        </w:rPr>
        <w:t>OSHA is considering developing a SDS web application that would assist employers in formatting and printing their SDS.</w:t>
      </w:r>
    </w:p>
    <w:p w:rsidRPr="00CB5054" w:rsidR="001900B4" w:rsidP="001900B4" w:rsidRDefault="001900B4" w14:paraId="03BBEF2C" w14:textId="77777777">
      <w:pPr>
        <w:rPr>
          <w:color w:val="000000"/>
          <w:sz w:val="24"/>
          <w:szCs w:val="24"/>
        </w:rPr>
      </w:pPr>
    </w:p>
    <w:p w:rsidRPr="00AB0B90" w:rsidR="00D80711" w:rsidP="00D80711" w:rsidRDefault="00D80711" w14:paraId="5BD32846"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AB0B90">
        <w:rPr>
          <w:b/>
          <w:bCs/>
          <w:color w:val="000000"/>
          <w:sz w:val="24"/>
          <w:szCs w:val="24"/>
        </w:rPr>
        <w:t>4.  Describe efforts to identify duplication.  Show specifically why any similar information already available cannot be used or modified for use for the purposes described in Item 2 above.</w:t>
      </w:r>
    </w:p>
    <w:p w:rsidRPr="00FF1F12" w:rsidR="00D80711" w:rsidP="00D80711" w:rsidRDefault="00D80711" w14:paraId="4EBCF59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2F02F7" w:rsidP="00AB0B90" w:rsidRDefault="002F02F7" w14:paraId="4226C533" w14:textId="77777777">
      <w:pPr>
        <w:rPr>
          <w:color w:val="000000"/>
          <w:sz w:val="24"/>
          <w:szCs w:val="24"/>
        </w:rPr>
      </w:pPr>
      <w:r w:rsidRPr="00CB5054">
        <w:rPr>
          <w:color w:val="000000"/>
          <w:sz w:val="24"/>
          <w:szCs w:val="24"/>
        </w:rPr>
        <w:t>Within the U.S., several regulatory authorities exercise jurisdiction over chemical hazard communication.  In addition to OSHA’s HCS, the Department of Transportation (DOT) regulates chemicals in transport, the Consumer Product Safety Commission (CPSC) regulates consumer products, and the Environmental Protection Agency (EPA) regulates pesticides, as well as having other authority over labeling under the Toxic Substances Control Act.</w:t>
      </w:r>
      <w:r w:rsidR="00751D82">
        <w:rPr>
          <w:color w:val="000000"/>
          <w:sz w:val="24"/>
          <w:szCs w:val="24"/>
        </w:rPr>
        <w:t xml:space="preserve">  OSHA has an MOU with the EPA dated April 12, 2012</w:t>
      </w:r>
      <w:r w:rsidR="00CE2343">
        <w:rPr>
          <w:color w:val="000000"/>
          <w:sz w:val="24"/>
          <w:szCs w:val="24"/>
        </w:rPr>
        <w:t>,</w:t>
      </w:r>
      <w:r w:rsidR="00751D82">
        <w:rPr>
          <w:color w:val="000000"/>
          <w:sz w:val="24"/>
          <w:szCs w:val="24"/>
        </w:rPr>
        <w:t xml:space="preserve"> that addresses EPA’s Federal Insecticide, Fungicide, and Rodenticide Act’s labels and safety data sheets. </w:t>
      </w:r>
      <w:r w:rsidRPr="00CB5054">
        <w:rPr>
          <w:color w:val="000000"/>
          <w:sz w:val="24"/>
          <w:szCs w:val="24"/>
        </w:rPr>
        <w:t xml:space="preserve"> Each of these regulatory authorities operates under different statutory mandates, and has adopted distinct hazard communication requirements.</w:t>
      </w:r>
    </w:p>
    <w:p w:rsidRPr="00AB0B90" w:rsidR="00D80711" w:rsidP="00D80711" w:rsidRDefault="00D80711" w14:paraId="64680E77"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p>
    <w:p w:rsidRPr="00AB0B90" w:rsidR="00D80711" w:rsidP="00D80711" w:rsidRDefault="00D80711" w14:paraId="06FFDC60"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AB0B90">
        <w:rPr>
          <w:b/>
          <w:bCs/>
          <w:color w:val="000000"/>
          <w:sz w:val="24"/>
          <w:szCs w:val="24"/>
        </w:rPr>
        <w:t>5.  If the collection of information impacts small busi</w:t>
      </w:r>
      <w:r w:rsidRPr="00AB0B90" w:rsidR="00F27920">
        <w:rPr>
          <w:b/>
          <w:bCs/>
          <w:color w:val="000000"/>
          <w:sz w:val="24"/>
          <w:szCs w:val="24"/>
        </w:rPr>
        <w:t>nesses or other small entities</w:t>
      </w:r>
      <w:r w:rsidRPr="00AB0B90">
        <w:rPr>
          <w:b/>
          <w:bCs/>
          <w:color w:val="000000"/>
          <w:sz w:val="24"/>
          <w:szCs w:val="24"/>
        </w:rPr>
        <w:t>, describe any methods used to minimize burden.</w:t>
      </w:r>
    </w:p>
    <w:p w:rsidRPr="00CB5054" w:rsidR="00635E47" w:rsidP="00635E47" w:rsidRDefault="00635E47" w14:paraId="20B60CFE" w14:textId="77777777">
      <w:pPr>
        <w:pStyle w:val="Level1"/>
        <w:widowControl/>
        <w:numPr>
          <w:ilvl w:val="0"/>
          <w:numId w:val="0"/>
        </w:numPr>
        <w:tabs>
          <w:tab w:val="left" w:pos="-1440"/>
        </w:tabs>
        <w:rPr>
          <w:color w:val="000000"/>
        </w:rPr>
      </w:pPr>
    </w:p>
    <w:p w:rsidRPr="00CB5054" w:rsidR="00635E47" w:rsidP="00635E47" w:rsidRDefault="00CC2AEF" w14:paraId="031D3602" w14:textId="77777777">
      <w:pPr>
        <w:pStyle w:val="Level1"/>
        <w:widowControl/>
        <w:numPr>
          <w:ilvl w:val="0"/>
          <w:numId w:val="0"/>
        </w:numPr>
        <w:tabs>
          <w:tab w:val="left" w:pos="-1440"/>
        </w:tabs>
        <w:rPr>
          <w:b/>
          <w:bCs/>
          <w:color w:val="000000"/>
        </w:rPr>
      </w:pPr>
      <w:r>
        <w:rPr>
          <w:color w:val="000000"/>
        </w:rPr>
        <w:t xml:space="preserve">As part of the GHS rulemaking, </w:t>
      </w:r>
      <w:r w:rsidRPr="00CB5054" w:rsidR="00635E47">
        <w:rPr>
          <w:color w:val="000000"/>
        </w:rPr>
        <w:t xml:space="preserve">OSHA analyzed the potential impact of the </w:t>
      </w:r>
      <w:r w:rsidRPr="00CB5054" w:rsidR="00091169">
        <w:rPr>
          <w:color w:val="000000"/>
        </w:rPr>
        <w:t>final</w:t>
      </w:r>
      <w:r w:rsidRPr="00CB5054" w:rsidR="00635E47">
        <w:rPr>
          <w:color w:val="000000"/>
        </w:rPr>
        <w:t xml:space="preserve"> rule on small entities, </w:t>
      </w:r>
      <w:r w:rsidRPr="00CB5054" w:rsidR="00CE2343">
        <w:rPr>
          <w:color w:val="000000"/>
        </w:rPr>
        <w:t>and prepared</w:t>
      </w:r>
      <w:r w:rsidRPr="00CB5054" w:rsidR="00635E47">
        <w:rPr>
          <w:color w:val="000000"/>
        </w:rPr>
        <w:t xml:space="preserve"> a Regulatory Flexibility Analysis (RFA) in conjunction with </w:t>
      </w:r>
      <w:r>
        <w:rPr>
          <w:color w:val="000000"/>
        </w:rPr>
        <w:t>the</w:t>
      </w:r>
      <w:r w:rsidR="00CE2343">
        <w:rPr>
          <w:color w:val="000000"/>
        </w:rPr>
        <w:t xml:space="preserve"> </w:t>
      </w:r>
      <w:r w:rsidRPr="00CB5054" w:rsidR="00CE2343">
        <w:rPr>
          <w:color w:val="000000"/>
        </w:rPr>
        <w:t xml:space="preserve">rulemaking </w:t>
      </w:r>
      <w:r w:rsidR="00CE2343">
        <w:rPr>
          <w:color w:val="000000"/>
        </w:rPr>
        <w:t>describing</w:t>
      </w:r>
      <w:r w:rsidRPr="00CB5054" w:rsidR="00635E47">
        <w:rPr>
          <w:color w:val="000000"/>
        </w:rPr>
        <w:t xml:space="preserve"> the potential effects on small entities. As a result of the analysis of the potential impact on small entities, OSHA </w:t>
      </w:r>
      <w:r w:rsidR="00CE2343">
        <w:rPr>
          <w:color w:val="000000"/>
        </w:rPr>
        <w:t xml:space="preserve">concluded </w:t>
      </w:r>
      <w:r w:rsidRPr="00CB5054" w:rsidR="00CE2343">
        <w:rPr>
          <w:color w:val="000000"/>
        </w:rPr>
        <w:t>and</w:t>
      </w:r>
      <w:r w:rsidRPr="00CB5054" w:rsidR="00635E47">
        <w:rPr>
          <w:color w:val="000000"/>
        </w:rPr>
        <w:t xml:space="preserve"> certif</w:t>
      </w:r>
      <w:r>
        <w:rPr>
          <w:color w:val="000000"/>
        </w:rPr>
        <w:t>ied</w:t>
      </w:r>
      <w:r w:rsidRPr="00CB5054" w:rsidR="00635E47">
        <w:rPr>
          <w:color w:val="000000"/>
        </w:rPr>
        <w:t xml:space="preserve"> that the rulemaking </w:t>
      </w:r>
      <w:r>
        <w:rPr>
          <w:color w:val="000000"/>
        </w:rPr>
        <w:t>did</w:t>
      </w:r>
      <w:r w:rsidRPr="00CB5054" w:rsidR="00635E47">
        <w:rPr>
          <w:color w:val="000000"/>
        </w:rPr>
        <w:t xml:space="preserve"> not have a significant impact on a substantial number of small entities.</w:t>
      </w:r>
      <w:r>
        <w:rPr>
          <w:color w:val="000000"/>
        </w:rPr>
        <w:t xml:space="preserve">  OSHA believes this is still the case in this submission</w:t>
      </w:r>
    </w:p>
    <w:p w:rsidRPr="00CB5054" w:rsidR="00635E47" w:rsidP="00D80711" w:rsidRDefault="00635E47" w14:paraId="12AD9404"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rPr>
      </w:pPr>
    </w:p>
    <w:p w:rsidRPr="00A53728" w:rsidR="00D80711" w:rsidP="00D80711" w:rsidRDefault="00D80711" w14:paraId="28141428"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CB5054">
        <w:rPr>
          <w:b/>
          <w:bCs/>
          <w:color w:val="000000"/>
        </w:rPr>
        <w:t xml:space="preserve">6.  </w:t>
      </w:r>
      <w:r w:rsidRPr="00A53728">
        <w:rPr>
          <w:b/>
          <w:bCs/>
          <w:color w:val="000000"/>
          <w:sz w:val="24"/>
          <w:szCs w:val="24"/>
        </w:rPr>
        <w:t>Describe the consequences to Federal program or policy activities if the collection is not conducted or is conducted less frequently, as well as any technical or legal obstacles to reducing burden.</w:t>
      </w:r>
    </w:p>
    <w:p w:rsidRPr="00CB5054" w:rsidR="00D80711" w:rsidP="00D80711" w:rsidRDefault="00D80711" w14:paraId="2555FD9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307FE7" w:rsidP="00307FE7" w:rsidRDefault="00307FE7" w14:paraId="6EEDCF55" w14:textId="77777777">
      <w:pPr>
        <w:rPr>
          <w:color w:val="000000"/>
          <w:sz w:val="24"/>
          <w:szCs w:val="24"/>
        </w:rPr>
      </w:pPr>
      <w:r w:rsidRPr="00CB5054">
        <w:rPr>
          <w:color w:val="000000"/>
          <w:sz w:val="24"/>
          <w:szCs w:val="24"/>
        </w:rPr>
        <w:t>The information required under the HCS concerning the hazards of chemicals and appropriate protective measures reduce the incidence of chemical-source illnesses and injuries in workers exposed to chemical hazards.  Making this information available to workers provides some protection to them in the absence of substance</w:t>
      </w:r>
      <w:r w:rsidRPr="00CB5054">
        <w:rPr>
          <w:color w:val="000000"/>
          <w:sz w:val="24"/>
          <w:szCs w:val="24"/>
        </w:rPr>
        <w:noBreakHyphen/>
        <w:t>specific rules; the vast majority of hazardous chemicals to which workers are exposed are not regulated by a substance-specific standard.  A reduction in the number of incidents of chemical-source illnesses and injuries in workers exposed to chemical hazards occur from the improved protections implemented by employers because of the HCS, and from workers who understand these measures better and, therefore, will take effective steps to protect themselves.</w:t>
      </w:r>
    </w:p>
    <w:p w:rsidRPr="00CB5054" w:rsidR="00307FE7" w:rsidP="00D80711" w:rsidRDefault="00307FE7" w14:paraId="3437F56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854A4F" w14:paraId="61CE3E44" w14:textId="77777777">
      <w:pPr>
        <w:shd w:val="solid" w:color="FFFFFF" w:fill="FFFFFF"/>
        <w:tabs>
          <w:tab w:val="left" w:pos="-216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 xml:space="preserve">7.  </w:t>
      </w:r>
      <w:r w:rsidRPr="00AB0B90" w:rsidR="00D80711">
        <w:rPr>
          <w:b/>
          <w:bCs/>
          <w:color w:val="000000"/>
          <w:sz w:val="24"/>
          <w:szCs w:val="24"/>
        </w:rPr>
        <w:t>Explain any special circumstances that would cause an information collection to be conducted in a manner:</w:t>
      </w:r>
    </w:p>
    <w:p w:rsidRPr="00AB0B90" w:rsidR="00D80711" w:rsidP="00D80711" w:rsidRDefault="00D80711" w14:paraId="4037AC57" w14:textId="77777777">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p>
    <w:p w:rsidRPr="00AB0B90" w:rsidR="00D80711" w:rsidP="00AA7B9E" w:rsidRDefault="00D80711" w14:paraId="32DB6630" w14:textId="77777777">
      <w:pPr>
        <w:numPr>
          <w:ilvl w:val="0"/>
          <w:numId w:val="10"/>
        </w:num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AB0B90">
        <w:rPr>
          <w:b/>
          <w:bCs/>
          <w:color w:val="000000"/>
          <w:sz w:val="24"/>
          <w:szCs w:val="24"/>
        </w:rPr>
        <w:t>requiring respondents to report information to the agency more often than quarterly;</w:t>
      </w:r>
    </w:p>
    <w:p w:rsidRPr="00AB0B90" w:rsidR="00D80711" w:rsidP="00AA7B9E" w:rsidRDefault="00D80711" w14:paraId="25EC1E7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color w:val="000000"/>
          <w:sz w:val="24"/>
          <w:szCs w:val="24"/>
        </w:rPr>
      </w:pPr>
    </w:p>
    <w:p w:rsidRPr="00F443C0" w:rsidR="00D80711" w:rsidP="00F443C0" w:rsidRDefault="00D80711" w14:paraId="6E58E18A" w14:textId="77777777">
      <w:pPr>
        <w:numPr>
          <w:ilvl w:val="0"/>
          <w:numId w:val="10"/>
        </w:num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b/>
          <w:bCs/>
          <w:color w:val="000000"/>
          <w:sz w:val="24"/>
          <w:szCs w:val="24"/>
        </w:rPr>
      </w:pPr>
      <w:r w:rsidRPr="00F443C0">
        <w:rPr>
          <w:b/>
          <w:bCs/>
          <w:color w:val="000000"/>
          <w:sz w:val="24"/>
          <w:szCs w:val="24"/>
        </w:rPr>
        <w:t>requiring respondents to prepare a written response to a col</w:t>
      </w:r>
      <w:r w:rsidRPr="00F443C0" w:rsidR="00854A4F">
        <w:rPr>
          <w:b/>
          <w:bCs/>
          <w:color w:val="000000"/>
          <w:sz w:val="24"/>
          <w:szCs w:val="24"/>
        </w:rPr>
        <w:t>lection of information in fewer</w:t>
      </w:r>
      <w:r w:rsidR="00F443C0">
        <w:rPr>
          <w:b/>
          <w:bCs/>
          <w:color w:val="000000"/>
          <w:sz w:val="24"/>
          <w:szCs w:val="24"/>
        </w:rPr>
        <w:t xml:space="preserve"> </w:t>
      </w:r>
      <w:r w:rsidRPr="00F443C0">
        <w:rPr>
          <w:b/>
          <w:bCs/>
          <w:color w:val="000000"/>
          <w:sz w:val="24"/>
          <w:szCs w:val="24"/>
        </w:rPr>
        <w:t>than 30 days after receipt of it;</w:t>
      </w:r>
    </w:p>
    <w:p w:rsidRPr="00AB0B90" w:rsidR="00D80711" w:rsidP="00D80711" w:rsidRDefault="00D80711" w14:paraId="62D15B1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AA7B9E" w:rsidRDefault="00D80711" w14:paraId="149FD021" w14:textId="77777777">
      <w:pPr>
        <w:numPr>
          <w:ilvl w:val="0"/>
          <w:numId w:val="10"/>
        </w:numPr>
        <w:shd w:val="solid" w:color="FFFFFF" w:fill="FFFFFF"/>
        <w:rPr>
          <w:b/>
          <w:bCs/>
          <w:color w:val="000000"/>
          <w:sz w:val="24"/>
          <w:szCs w:val="24"/>
        </w:rPr>
      </w:pPr>
      <w:r w:rsidRPr="00AB0B90">
        <w:rPr>
          <w:b/>
          <w:bCs/>
          <w:color w:val="000000"/>
          <w:sz w:val="24"/>
          <w:szCs w:val="24"/>
        </w:rPr>
        <w:t>requiring respondents to retain records, other than health</w:t>
      </w:r>
      <w:r w:rsidRPr="00AB0B90" w:rsidR="00854A4F">
        <w:rPr>
          <w:b/>
          <w:bCs/>
          <w:color w:val="000000"/>
          <w:sz w:val="24"/>
          <w:szCs w:val="24"/>
        </w:rPr>
        <w:t xml:space="preserve">, medical, government contract, </w:t>
      </w:r>
      <w:r w:rsidRPr="00AB0B90">
        <w:rPr>
          <w:b/>
          <w:bCs/>
          <w:color w:val="000000"/>
          <w:sz w:val="24"/>
          <w:szCs w:val="24"/>
        </w:rPr>
        <w:t>grant-in-aid, or tax records for more than three years;</w:t>
      </w:r>
    </w:p>
    <w:p w:rsidRPr="00AB0B90" w:rsidR="00D80711" w:rsidP="00D80711" w:rsidRDefault="00D80711" w14:paraId="52004ED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AA7B9E" w:rsidRDefault="00D80711" w14:paraId="70DE5C0F" w14:textId="77777777">
      <w:pPr>
        <w:numPr>
          <w:ilvl w:val="0"/>
          <w:numId w:val="10"/>
        </w:numPr>
        <w:shd w:val="solid" w:color="FFFFFF" w:fill="FFFFFF"/>
        <w:rPr>
          <w:b/>
          <w:bCs/>
          <w:color w:val="000000"/>
          <w:sz w:val="24"/>
          <w:szCs w:val="24"/>
        </w:rPr>
      </w:pPr>
      <w:r w:rsidRPr="00AB0B90">
        <w:rPr>
          <w:b/>
          <w:bCs/>
          <w:color w:val="000000"/>
          <w:sz w:val="24"/>
          <w:szCs w:val="24"/>
        </w:rPr>
        <w:t>in connection with a statistical survey, that is not designed to produce valid and reliable results that can be generalized to the universe of study;</w:t>
      </w:r>
    </w:p>
    <w:p w:rsidRPr="00AB0B90" w:rsidR="00D80711" w:rsidP="00D80711" w:rsidRDefault="00D80711" w14:paraId="1D7E9B3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AA7B9E" w:rsidRDefault="00D80711" w14:paraId="1D1673AA" w14:textId="77777777">
      <w:pPr>
        <w:numPr>
          <w:ilvl w:val="0"/>
          <w:numId w:val="10"/>
        </w:numPr>
        <w:shd w:val="solid" w:color="FFFFFF" w:fill="FFFFFF"/>
        <w:rPr>
          <w:b/>
          <w:bCs/>
          <w:color w:val="000000"/>
          <w:sz w:val="24"/>
          <w:szCs w:val="24"/>
        </w:rPr>
      </w:pPr>
      <w:r w:rsidRPr="00AB0B90">
        <w:rPr>
          <w:b/>
          <w:bCs/>
          <w:color w:val="000000"/>
          <w:sz w:val="24"/>
          <w:szCs w:val="24"/>
        </w:rPr>
        <w:t>requiring the use of a statistical data classification that has not be</w:t>
      </w:r>
      <w:r w:rsidR="00AA7B9E">
        <w:rPr>
          <w:b/>
          <w:bCs/>
          <w:color w:val="000000"/>
          <w:sz w:val="24"/>
          <w:szCs w:val="24"/>
        </w:rPr>
        <w:t>en reviewed and approved by OMB;</w:t>
      </w:r>
    </w:p>
    <w:p w:rsidRPr="00AB0B90" w:rsidR="00D80711" w:rsidP="00D80711" w:rsidRDefault="00D80711" w14:paraId="016007F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AA7B9E" w:rsidRDefault="00D80711" w14:paraId="5C1D7174" w14:textId="77777777">
      <w:pPr>
        <w:numPr>
          <w:ilvl w:val="0"/>
          <w:numId w:val="10"/>
        </w:numPr>
        <w:shd w:val="solid" w:color="FFFFFF" w:fill="FFFFFF"/>
        <w:rPr>
          <w:b/>
          <w:bCs/>
          <w:color w:val="000000"/>
          <w:sz w:val="24"/>
          <w:szCs w:val="24"/>
        </w:rPr>
      </w:pPr>
      <w:r w:rsidRPr="00AB0B90">
        <w:rPr>
          <w:b/>
          <w:bCs/>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rsidRPr="00AB0B90" w:rsidR="00D80711" w:rsidP="00D80711" w:rsidRDefault="00D80711" w14:paraId="7096653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AA7B9E" w:rsidRDefault="00D80711" w14:paraId="54B65190" w14:textId="77777777">
      <w:pPr>
        <w:numPr>
          <w:ilvl w:val="0"/>
          <w:numId w:val="10"/>
        </w:numPr>
        <w:shd w:val="solid" w:color="FFFFFF" w:fill="FFFFFF"/>
        <w:rPr>
          <w:b/>
          <w:bCs/>
          <w:color w:val="000000"/>
          <w:sz w:val="24"/>
          <w:szCs w:val="24"/>
        </w:rPr>
      </w:pPr>
      <w:r w:rsidRPr="00AB0B90">
        <w:rPr>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FF1F12" w:rsidR="00D80711" w:rsidP="00D80711" w:rsidRDefault="00D80711" w14:paraId="7163E5F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854A4F" w:rsidP="00854A4F" w:rsidRDefault="00854A4F" w14:paraId="20792638" w14:textId="77777777">
      <w:pPr>
        <w:rPr>
          <w:color w:val="000000"/>
          <w:sz w:val="24"/>
          <w:szCs w:val="24"/>
        </w:rPr>
      </w:pPr>
      <w:r w:rsidRPr="00CB5054">
        <w:rPr>
          <w:color w:val="000000"/>
          <w:sz w:val="24"/>
          <w:szCs w:val="24"/>
        </w:rPr>
        <w:t>No special circumstances exist that require employers to collect information using the procedures specified by this item.  The requirements of the Standard are within the guidelines set forth in 5 CFR 1320.5.</w:t>
      </w:r>
    </w:p>
    <w:p w:rsidRPr="00CB5054" w:rsidR="00D80711" w:rsidP="00D80711" w:rsidRDefault="00D80711" w14:paraId="62BBF9E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F5A9B" w:rsidP="00D80711" w:rsidRDefault="00D80711" w14:paraId="606ED84D"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sidRPr="00CB5054">
        <w:rPr>
          <w:b/>
          <w:bCs/>
          <w:color w:val="000000"/>
        </w:rPr>
        <w:t xml:space="preserve">8.  </w:t>
      </w:r>
      <w:r w:rsidRPr="00CB5054">
        <w:rPr>
          <w:b/>
          <w:bCs/>
          <w:color w:val="000000"/>
        </w:rPr>
        <w:tab/>
      </w:r>
      <w:r w:rsidRPr="00AB0B90">
        <w:rPr>
          <w:b/>
          <w:bCs/>
          <w:color w:val="000000"/>
          <w:sz w:val="24"/>
          <w:szCs w:val="24"/>
        </w:rPr>
        <w:t>If applicable, provide a copy and ident</w:t>
      </w:r>
      <w:r w:rsidR="009F5A9B">
        <w:rPr>
          <w:b/>
          <w:bCs/>
          <w:color w:val="000000"/>
          <w:sz w:val="24"/>
          <w:szCs w:val="24"/>
        </w:rPr>
        <w:t>ify the date and page number of</w:t>
      </w:r>
    </w:p>
    <w:p w:rsidR="009F5A9B" w:rsidP="00D80711" w:rsidRDefault="009F5A9B" w14:paraId="176CE375"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Pr>
          <w:b/>
          <w:bCs/>
          <w:color w:val="000000"/>
        </w:rPr>
        <w:tab/>
      </w:r>
      <w:r w:rsidRPr="00AB0B90" w:rsidR="00D80711">
        <w:rPr>
          <w:b/>
          <w:bCs/>
          <w:color w:val="000000"/>
          <w:sz w:val="24"/>
          <w:szCs w:val="24"/>
        </w:rPr>
        <w:t>publication in the Federal Register of the age</w:t>
      </w:r>
      <w:r>
        <w:rPr>
          <w:b/>
          <w:bCs/>
          <w:color w:val="000000"/>
          <w:sz w:val="24"/>
          <w:szCs w:val="24"/>
        </w:rPr>
        <w:t>ncy’s notice, required by 5 CFR</w:t>
      </w:r>
    </w:p>
    <w:p w:rsidR="009F5A9B" w:rsidP="00D80711" w:rsidRDefault="009F5A9B" w14:paraId="475EBF0B"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Pr>
          <w:b/>
          <w:bCs/>
          <w:color w:val="000000"/>
          <w:sz w:val="24"/>
          <w:szCs w:val="24"/>
        </w:rPr>
        <w:tab/>
      </w:r>
      <w:r w:rsidRPr="00AB0B90" w:rsidR="00D80711">
        <w:rPr>
          <w:b/>
          <w:bCs/>
          <w:color w:val="000000"/>
          <w:sz w:val="24"/>
          <w:szCs w:val="24"/>
        </w:rPr>
        <w:t>1320.8(d), soliciting comments on the information co</w:t>
      </w:r>
      <w:r>
        <w:rPr>
          <w:b/>
          <w:bCs/>
          <w:color w:val="000000"/>
          <w:sz w:val="24"/>
          <w:szCs w:val="24"/>
        </w:rPr>
        <w:t>llection prior to submission</w:t>
      </w:r>
    </w:p>
    <w:p w:rsidR="009F5A9B" w:rsidP="00D80711" w:rsidRDefault="009F5A9B" w14:paraId="18D3E409"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Pr>
          <w:b/>
          <w:bCs/>
          <w:color w:val="000000"/>
          <w:sz w:val="24"/>
          <w:szCs w:val="24"/>
        </w:rPr>
        <w:tab/>
        <w:t xml:space="preserve">to </w:t>
      </w:r>
      <w:r w:rsidRPr="00AB0B90" w:rsidR="00D80711">
        <w:rPr>
          <w:b/>
          <w:bCs/>
          <w:color w:val="000000"/>
          <w:sz w:val="24"/>
          <w:szCs w:val="24"/>
        </w:rPr>
        <w:t>OMB.  Summarize public comments received in respo</w:t>
      </w:r>
      <w:r>
        <w:rPr>
          <w:b/>
          <w:bCs/>
          <w:color w:val="000000"/>
          <w:sz w:val="24"/>
          <w:szCs w:val="24"/>
        </w:rPr>
        <w:t>nse to that notice and</w:t>
      </w:r>
    </w:p>
    <w:p w:rsidR="009F5A9B" w:rsidP="00D80711" w:rsidRDefault="009F5A9B" w14:paraId="13DFFB59"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Pr>
          <w:b/>
          <w:bCs/>
          <w:color w:val="000000"/>
          <w:sz w:val="24"/>
          <w:szCs w:val="24"/>
        </w:rPr>
        <w:tab/>
        <w:t xml:space="preserve">describe </w:t>
      </w:r>
      <w:r w:rsidRPr="00AB0B90" w:rsidR="00D80711">
        <w:rPr>
          <w:b/>
          <w:bCs/>
          <w:color w:val="000000"/>
          <w:sz w:val="24"/>
          <w:szCs w:val="24"/>
        </w:rPr>
        <w:t xml:space="preserve">actions taken by the agency in response to these </w:t>
      </w:r>
      <w:r>
        <w:rPr>
          <w:b/>
          <w:bCs/>
          <w:color w:val="000000"/>
          <w:sz w:val="24"/>
          <w:szCs w:val="24"/>
        </w:rPr>
        <w:t>comments.  Specifically</w:t>
      </w:r>
    </w:p>
    <w:p w:rsidRPr="00AB0B90" w:rsidR="00D80711" w:rsidP="00D80711" w:rsidRDefault="009F5A9B" w14:paraId="12BA4327"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Pr>
          <w:b/>
          <w:bCs/>
          <w:color w:val="000000"/>
          <w:sz w:val="24"/>
          <w:szCs w:val="24"/>
        </w:rPr>
        <w:tab/>
        <w:t>address c</w:t>
      </w:r>
      <w:r w:rsidRPr="00AB0B90" w:rsidR="00D80711">
        <w:rPr>
          <w:b/>
          <w:bCs/>
          <w:color w:val="000000"/>
          <w:sz w:val="24"/>
          <w:szCs w:val="24"/>
        </w:rPr>
        <w:t>omments received on cost and hour burden.</w:t>
      </w:r>
    </w:p>
    <w:p w:rsidRPr="00FF1F12" w:rsidR="00D80711" w:rsidP="00D80711" w:rsidRDefault="00D80711" w14:paraId="0EAEDD0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D80711" w:rsidRDefault="00D80711" w14:paraId="65620F50" w14:textId="77777777">
      <w:pPr>
        <w:shd w:val="solid" w:color="FFFFFF" w:fill="FFFFFF"/>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AB0B90">
        <w:rPr>
          <w:b/>
          <w:bCs/>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B0B90" w:rsidR="00D80711" w:rsidP="00D80711" w:rsidRDefault="00D80711" w14:paraId="7DF24B9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F44D1C" w:rsidP="008B1382" w:rsidRDefault="00D80711" w14:paraId="534C119D" w14:textId="77777777">
      <w:pPr>
        <w:widowControl/>
        <w:overflowPunct/>
        <w:ind w:left="720"/>
        <w:rPr>
          <w:b/>
          <w:bCs/>
          <w:color w:val="000000"/>
          <w:sz w:val="24"/>
          <w:szCs w:val="24"/>
        </w:rPr>
      </w:pPr>
      <w:r w:rsidRPr="00AB0B90">
        <w:rPr>
          <w:b/>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692A" w:rsidP="0083692A" w:rsidRDefault="0083692A" w14:paraId="284CA1CF"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color w:val="000000"/>
        </w:rPr>
      </w:pPr>
    </w:p>
    <w:p w:rsidRPr="00401AC9" w:rsidR="00F44D1C" w:rsidP="00AB0B90" w:rsidRDefault="0083692A" w14:paraId="1EE839A6" w14:textId="4F39E040">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color w:val="000000"/>
          <w:sz w:val="24"/>
          <w:szCs w:val="24"/>
        </w:rPr>
      </w:pPr>
      <w:r w:rsidRPr="00401AC9">
        <w:rPr>
          <w:color w:val="000000"/>
          <w:sz w:val="24"/>
          <w:szCs w:val="24"/>
        </w:rPr>
        <w:t xml:space="preserve">As </w:t>
      </w:r>
      <w:r w:rsidRPr="00401AC9">
        <w:rPr>
          <w:sz w:val="24"/>
          <w:szCs w:val="24"/>
        </w:rPr>
        <w:t xml:space="preserve">required by the Paperwork Reduction Act of 1995 (44 U.S.C. 3506(c)(2)(A)), OSHA published a notice in the </w:t>
      </w:r>
      <w:r w:rsidRPr="00401AC9">
        <w:rPr>
          <w:bCs/>
          <w:i/>
          <w:sz w:val="24"/>
          <w:szCs w:val="24"/>
        </w:rPr>
        <w:t>Federal Register</w:t>
      </w:r>
      <w:r w:rsidRPr="00401AC9">
        <w:rPr>
          <w:sz w:val="24"/>
          <w:szCs w:val="24"/>
        </w:rPr>
        <w:t xml:space="preserve"> </w:t>
      </w:r>
      <w:r w:rsidR="00865EAF">
        <w:rPr>
          <w:sz w:val="24"/>
          <w:szCs w:val="24"/>
        </w:rPr>
        <w:t>(85 FR 44108)</w:t>
      </w:r>
      <w:r w:rsidRPr="00401AC9">
        <w:rPr>
          <w:sz w:val="24"/>
          <w:szCs w:val="24"/>
        </w:rPr>
        <w:t xml:space="preserve"> </w:t>
      </w:r>
      <w:r w:rsidR="00865EAF">
        <w:rPr>
          <w:sz w:val="24"/>
          <w:szCs w:val="24"/>
        </w:rPr>
        <w:t xml:space="preserve">on July 21, 2020 </w:t>
      </w:r>
      <w:r w:rsidRPr="00401AC9">
        <w:rPr>
          <w:sz w:val="24"/>
          <w:szCs w:val="24"/>
        </w:rPr>
        <w:t>requesting public comment on its proposed extension of the collection of information requirements contained in the Hazard Communication Standard</w:t>
      </w:r>
      <w:r w:rsidR="00865EAF">
        <w:rPr>
          <w:sz w:val="24"/>
          <w:szCs w:val="24"/>
        </w:rPr>
        <w:t xml:space="preserve"> </w:t>
      </w:r>
      <w:r w:rsidRPr="00401AC9" w:rsidR="00865EAF">
        <w:rPr>
          <w:sz w:val="24"/>
          <w:szCs w:val="24"/>
        </w:rPr>
        <w:t>(Docket No. OSHA-2009-0014)</w:t>
      </w:r>
      <w:r w:rsidRPr="00401AC9">
        <w:rPr>
          <w:sz w:val="24"/>
          <w:szCs w:val="24"/>
        </w:rPr>
        <w:t xml:space="preserve">.   </w:t>
      </w:r>
      <w:r w:rsidRPr="00401AC9">
        <w:rPr>
          <w:color w:val="000000"/>
          <w:sz w:val="24"/>
          <w:szCs w:val="24"/>
        </w:rPr>
        <w:t>T</w:t>
      </w:r>
      <w:r w:rsidRPr="00401AC9">
        <w:rPr>
          <w:sz w:val="24"/>
          <w:szCs w:val="24"/>
        </w:rPr>
        <w:t xml:space="preserve">his notice was part of a preclearance consultation program intended to provide those interested parties the opportunity to comment on OSHA’s request for an extension by the Office of Management and Budget (OMB) of a previous approval of the collection of information requirements found in the Standard.  </w:t>
      </w:r>
      <w:r w:rsidRPr="00AB5296">
        <w:rPr>
          <w:sz w:val="24"/>
          <w:szCs w:val="24"/>
        </w:rPr>
        <w:t xml:space="preserve">The Agency </w:t>
      </w:r>
      <w:r w:rsidRPr="00AB5296" w:rsidR="00B162AD">
        <w:rPr>
          <w:sz w:val="24"/>
          <w:szCs w:val="24"/>
        </w:rPr>
        <w:t>did not receive any</w:t>
      </w:r>
      <w:r w:rsidRPr="00AB5296" w:rsidR="00C64CD3">
        <w:rPr>
          <w:sz w:val="24"/>
          <w:szCs w:val="24"/>
        </w:rPr>
        <w:t xml:space="preserve"> </w:t>
      </w:r>
      <w:r w:rsidRPr="00AB5296" w:rsidR="00CA16E1">
        <w:rPr>
          <w:sz w:val="24"/>
          <w:szCs w:val="24"/>
        </w:rPr>
        <w:t xml:space="preserve">public </w:t>
      </w:r>
      <w:r w:rsidRPr="00AB5296" w:rsidR="00C64CD3">
        <w:rPr>
          <w:sz w:val="24"/>
          <w:szCs w:val="24"/>
        </w:rPr>
        <w:t>comments in response to</w:t>
      </w:r>
      <w:r w:rsidRPr="00AB5296">
        <w:rPr>
          <w:sz w:val="24"/>
          <w:szCs w:val="24"/>
        </w:rPr>
        <w:t xml:space="preserve"> this notice.</w:t>
      </w:r>
      <w:r w:rsidRPr="00401AC9">
        <w:rPr>
          <w:sz w:val="24"/>
          <w:szCs w:val="24"/>
        </w:rPr>
        <w:t xml:space="preserve">  </w:t>
      </w:r>
    </w:p>
    <w:p w:rsidRPr="00FF1F12" w:rsidR="00300781" w:rsidP="00394F69" w:rsidRDefault="00300781" w14:paraId="4DF858AA" w14:textId="77777777">
      <w:pPr>
        <w:rPr>
          <w:sz w:val="24"/>
          <w:szCs w:val="24"/>
        </w:rPr>
      </w:pPr>
    </w:p>
    <w:p w:rsidRPr="00AB0B90" w:rsidR="00D80711" w:rsidP="00D80711" w:rsidRDefault="00D80711" w14:paraId="4B6E56E9"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r w:rsidRPr="00AB0B90">
        <w:rPr>
          <w:b/>
          <w:bCs/>
          <w:color w:val="000000"/>
          <w:sz w:val="24"/>
          <w:szCs w:val="24"/>
        </w:rPr>
        <w:t xml:space="preserve">9.  Explain any decision to provide any payment or gift to respondents, other than </w:t>
      </w:r>
      <w:r w:rsidR="008309FB">
        <w:rPr>
          <w:b/>
          <w:bCs/>
          <w:color w:val="000000"/>
          <w:sz w:val="24"/>
          <w:szCs w:val="24"/>
        </w:rPr>
        <w:t>remuneration</w:t>
      </w:r>
      <w:r w:rsidRPr="00AB0B90">
        <w:rPr>
          <w:b/>
          <w:bCs/>
          <w:color w:val="000000"/>
          <w:sz w:val="24"/>
          <w:szCs w:val="24"/>
        </w:rPr>
        <w:t xml:space="preserve"> of contractors or grantees.</w:t>
      </w:r>
    </w:p>
    <w:p w:rsidRPr="00CB5054" w:rsidR="00D80711" w:rsidP="00D80711" w:rsidRDefault="00D80711" w14:paraId="63090AB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6CED527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The Agency will </w:t>
      </w:r>
      <w:r w:rsidRPr="00CB5054">
        <w:rPr>
          <w:color w:val="000000"/>
          <w:sz w:val="24"/>
          <w:szCs w:val="24"/>
          <w:u w:val="single"/>
        </w:rPr>
        <w:t>not</w:t>
      </w:r>
      <w:r w:rsidRPr="00CB5054">
        <w:rPr>
          <w:color w:val="000000"/>
          <w:sz w:val="24"/>
          <w:szCs w:val="24"/>
        </w:rPr>
        <w:t xml:space="preserve"> provide payments or gifts to the respondents.</w:t>
      </w:r>
    </w:p>
    <w:p w:rsidRPr="00FF1F12" w:rsidR="00D80711" w:rsidP="00D80711" w:rsidRDefault="00D80711" w14:paraId="67828C3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16499E67"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r w:rsidRPr="00AB0B90">
        <w:rPr>
          <w:b/>
          <w:bCs/>
          <w:color w:val="000000"/>
          <w:sz w:val="24"/>
          <w:szCs w:val="24"/>
        </w:rPr>
        <w:t>10.  Describe any assurance of confidentiality provided to respondents and the basis for the assurance in statute, regulation, or agency policy.</w:t>
      </w:r>
    </w:p>
    <w:p w:rsidRPr="00CB5054" w:rsidR="007F5281" w:rsidP="00D80711" w:rsidRDefault="007F5281" w14:paraId="214EA465"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p>
    <w:p w:rsidRPr="00CB5054" w:rsidR="007F5281" w:rsidP="007F5281" w:rsidRDefault="007F5281" w14:paraId="61057B66" w14:textId="77777777">
      <w:pPr>
        <w:rPr>
          <w:color w:val="000000"/>
          <w:sz w:val="24"/>
          <w:szCs w:val="24"/>
        </w:rPr>
      </w:pPr>
      <w:r w:rsidRPr="00CB5054">
        <w:rPr>
          <w:color w:val="000000"/>
          <w:sz w:val="24"/>
          <w:szCs w:val="24"/>
        </w:rPr>
        <w:t>The HCS requires that the specific chemical identity of a hazardous chemical be disclosed, but if such information is a valid trade secret, the rule permits chemical producers importers to limit disclosure of this information based on their need and ability to maintain confidentiality (See 29 CFR 1910.1200 paragraph (i)).</w:t>
      </w:r>
    </w:p>
    <w:p w:rsidRPr="00CB5054" w:rsidR="007F5281" w:rsidP="007F5281" w:rsidRDefault="007F5281" w14:paraId="2A5BE78D" w14:textId="77777777">
      <w:pPr>
        <w:rPr>
          <w:color w:val="000000"/>
          <w:sz w:val="24"/>
          <w:szCs w:val="24"/>
        </w:rPr>
      </w:pPr>
    </w:p>
    <w:p w:rsidRPr="00CB5054" w:rsidR="007F5281" w:rsidP="007F5281" w:rsidRDefault="007F5281" w14:paraId="22CECA7D" w14:textId="77777777">
      <w:pPr>
        <w:rPr>
          <w:color w:val="000000"/>
          <w:sz w:val="24"/>
          <w:szCs w:val="24"/>
        </w:rPr>
      </w:pPr>
      <w:r w:rsidRPr="00CB5054">
        <w:rPr>
          <w:color w:val="000000"/>
          <w:sz w:val="24"/>
          <w:szCs w:val="24"/>
        </w:rPr>
        <w:t>In addition to the provisions of this rule, the OSH Act requires the Agency to maintain the confidentiality of trade secret information provided directly to its representatives (29 U.S. C. 664).</w:t>
      </w:r>
    </w:p>
    <w:p w:rsidRPr="00CB5054" w:rsidR="00D80711" w:rsidP="00D80711" w:rsidRDefault="00D80711" w14:paraId="723AF51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5AD8C7AC"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0A3E73">
        <w:rPr>
          <w:b/>
          <w:bCs/>
          <w:color w:val="000000"/>
          <w:sz w:val="24"/>
          <w:szCs w:val="24"/>
        </w:rPr>
        <w:t>11.</w:t>
      </w:r>
      <w:r w:rsidRPr="00CB5054">
        <w:rPr>
          <w:b/>
          <w:bCs/>
          <w:color w:val="000000"/>
        </w:rPr>
        <w:t xml:space="preserve">  </w:t>
      </w:r>
      <w:r w:rsidRPr="00AB0B90">
        <w:rPr>
          <w:b/>
          <w:b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w:t>
      </w:r>
      <w:r w:rsidR="00AC6E9D">
        <w:rPr>
          <w:b/>
          <w:bCs/>
          <w:color w:val="000000"/>
          <w:sz w:val="24"/>
          <w:szCs w:val="24"/>
        </w:rPr>
        <w:t>n</w:t>
      </w:r>
      <w:r w:rsidRPr="00AB0B90">
        <w:rPr>
          <w:b/>
          <w:bCs/>
          <w:color w:val="000000"/>
          <w:sz w:val="24"/>
          <w:szCs w:val="24"/>
        </w:rPr>
        <w:t xml:space="preserve"> to persons from whom the information is requested, and any steps to be taken to obtain their consent</w:t>
      </w:r>
      <w:r w:rsidRPr="00AB0B90">
        <w:rPr>
          <w:color w:val="000000"/>
          <w:sz w:val="24"/>
          <w:szCs w:val="24"/>
        </w:rPr>
        <w:t>.</w:t>
      </w:r>
    </w:p>
    <w:p w:rsidRPr="00CB5054" w:rsidR="00D80711" w:rsidP="00D80711" w:rsidRDefault="00D80711" w14:paraId="4970EF5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933BFC" w:rsidP="00D80711" w:rsidRDefault="00D80711" w14:paraId="0C9BD9D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paperwork requirements specified by the Standard do</w:t>
      </w:r>
      <w:r w:rsidR="00183434">
        <w:rPr>
          <w:color w:val="000000"/>
          <w:sz w:val="24"/>
          <w:szCs w:val="24"/>
          <w:u w:val="single"/>
        </w:rPr>
        <w:t xml:space="preserve"> </w:t>
      </w:r>
      <w:r w:rsidRPr="00CB5054">
        <w:rPr>
          <w:color w:val="000000"/>
          <w:sz w:val="24"/>
          <w:szCs w:val="24"/>
          <w:u w:val="single"/>
        </w:rPr>
        <w:t>not</w:t>
      </w:r>
      <w:r w:rsidRPr="00CB5054">
        <w:rPr>
          <w:color w:val="000000"/>
          <w:sz w:val="24"/>
          <w:szCs w:val="24"/>
        </w:rPr>
        <w:t xml:space="preserve"> require collection of sensitive information.</w:t>
      </w:r>
    </w:p>
    <w:p w:rsidRPr="00CB5054" w:rsidR="00D80711" w:rsidP="00D80711" w:rsidRDefault="00D80711" w14:paraId="5200EE2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08BC972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AB0B90">
        <w:rPr>
          <w:b/>
          <w:bCs/>
          <w:color w:val="000000"/>
          <w:sz w:val="24"/>
          <w:szCs w:val="24"/>
        </w:rPr>
        <w:t>12.  Provide estimates of the hour burden of the collection of information.  The statement should:</w:t>
      </w:r>
    </w:p>
    <w:p w:rsidRPr="00AB0B90" w:rsidR="00D80711" w:rsidP="00D80711" w:rsidRDefault="00D80711" w14:paraId="4600406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12B2E1CC"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r w:rsidRPr="00AB0B90">
        <w:rPr>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
    <w:p w:rsidRPr="00AB0B90" w:rsidR="00D80711" w:rsidP="00D80711" w:rsidRDefault="00D80711" w14:paraId="738CFBB0"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p>
    <w:p w:rsidRPr="00AB0B90" w:rsidR="00D80711" w:rsidP="00D80711" w:rsidRDefault="00D80711" w14:paraId="02A09211"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szCs w:val="24"/>
        </w:rPr>
      </w:pPr>
      <w:r w:rsidRPr="00AB0B90">
        <w:rPr>
          <w:b/>
          <w:bCs/>
          <w:color w:val="000000"/>
          <w:sz w:val="24"/>
          <w:szCs w:val="24"/>
        </w:rPr>
        <w:t>Generally, estimates should not include burden hours for customary and usual business practices.  If this request for approval covers more than one form, provide separate hour burden estimates for each form.</w:t>
      </w:r>
    </w:p>
    <w:p w:rsidRPr="00AB0B90" w:rsidR="00D80711" w:rsidP="00D80711" w:rsidRDefault="00D80711" w14:paraId="651044D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F67DA7" w:rsidP="00D80711" w:rsidRDefault="00D80711" w14:paraId="3C2E659F" w14:textId="77777777">
      <w:pPr>
        <w:shd w:val="solid" w:color="FFFFFF" w:fill="FFFFFF"/>
        <w:ind w:left="1080"/>
        <w:rPr>
          <w:b/>
          <w:bCs/>
          <w:color w:val="000000"/>
          <w:sz w:val="24"/>
          <w:szCs w:val="24"/>
        </w:rPr>
      </w:pPr>
      <w:r w:rsidRPr="00AB0B90">
        <w:rPr>
          <w:b/>
          <w:bCs/>
          <w:color w:val="000000"/>
          <w:sz w:val="24"/>
          <w:szCs w:val="24"/>
        </w:rPr>
        <w:t xml:space="preserve">Provide estimates of annualized cost to respondents for the hour burdens for collection of information, identifying and using appropriate wage rate categories.  The cost of </w:t>
      </w:r>
    </w:p>
    <w:p w:rsidRPr="00AB0B90" w:rsidR="00F67DA7" w:rsidP="00D80711" w:rsidRDefault="00F67DA7" w14:paraId="5AFD49FF" w14:textId="77777777">
      <w:pPr>
        <w:shd w:val="solid" w:color="FFFFFF" w:fill="FFFFFF"/>
        <w:ind w:left="1080"/>
        <w:rPr>
          <w:b/>
          <w:bCs/>
          <w:color w:val="000000"/>
          <w:sz w:val="24"/>
          <w:szCs w:val="24"/>
        </w:rPr>
      </w:pPr>
    </w:p>
    <w:p w:rsidRPr="00FF1F12" w:rsidR="00D80711" w:rsidP="00D80711" w:rsidRDefault="00D80711" w14:paraId="420C8F2F" w14:textId="77777777">
      <w:pPr>
        <w:shd w:val="solid" w:color="FFFFFF" w:fill="FFFFFF"/>
        <w:ind w:left="1080"/>
        <w:rPr>
          <w:color w:val="000000"/>
          <w:sz w:val="24"/>
          <w:szCs w:val="24"/>
        </w:rPr>
      </w:pPr>
      <w:r w:rsidRPr="00AB0B90">
        <w:rPr>
          <w:b/>
          <w:bCs/>
          <w:color w:val="000000"/>
          <w:sz w:val="24"/>
          <w:szCs w:val="24"/>
        </w:rPr>
        <w:t>Contracting out or paying outside parties for information collection activities should not be included here.  Instead, this cost should be included in Item 1</w:t>
      </w:r>
      <w:r w:rsidRPr="00AB0B90" w:rsidR="00C86962">
        <w:rPr>
          <w:b/>
          <w:bCs/>
          <w:color w:val="000000"/>
          <w:sz w:val="24"/>
          <w:szCs w:val="24"/>
        </w:rPr>
        <w:t>3</w:t>
      </w:r>
      <w:r w:rsidRPr="00AB0B90">
        <w:rPr>
          <w:b/>
          <w:bCs/>
          <w:color w:val="000000"/>
          <w:sz w:val="24"/>
          <w:szCs w:val="24"/>
        </w:rPr>
        <w:t>.</w:t>
      </w:r>
    </w:p>
    <w:p w:rsidR="00F14192" w:rsidP="00D80711" w:rsidRDefault="00F14192" w14:paraId="76DDC5DA" w14:textId="77777777">
      <w:pPr>
        <w:shd w:val="solid" w:color="FFFFFF" w:fill="FFFFFF"/>
        <w:rPr>
          <w:b/>
          <w:bCs/>
          <w:color w:val="000000"/>
          <w:sz w:val="24"/>
          <w:szCs w:val="24"/>
        </w:rPr>
      </w:pPr>
    </w:p>
    <w:p w:rsidRPr="00CB5054" w:rsidR="00D80711" w:rsidP="00D80711" w:rsidRDefault="00D80711" w14:paraId="34FC3CD9" w14:textId="77777777">
      <w:pPr>
        <w:shd w:val="solid" w:color="FFFFFF" w:fill="FFFFFF"/>
        <w:rPr>
          <w:b/>
          <w:bCs/>
          <w:color w:val="000000"/>
          <w:sz w:val="24"/>
          <w:szCs w:val="24"/>
        </w:rPr>
      </w:pPr>
      <w:r w:rsidRPr="00CB5054">
        <w:rPr>
          <w:b/>
          <w:bCs/>
          <w:color w:val="000000"/>
          <w:sz w:val="24"/>
          <w:szCs w:val="24"/>
        </w:rPr>
        <w:t>Burden Hour and Cost Determination</w:t>
      </w:r>
    </w:p>
    <w:p w:rsidRPr="00CB5054" w:rsidR="00866620" w:rsidP="00866620" w:rsidRDefault="00866620" w14:paraId="4BB72606" w14:textId="77777777">
      <w:pPr>
        <w:pStyle w:val="Default"/>
        <w:rPr>
          <w:sz w:val="23"/>
          <w:szCs w:val="23"/>
        </w:rPr>
      </w:pPr>
    </w:p>
    <w:p w:rsidR="00280BA0" w:rsidP="00866620" w:rsidRDefault="00866620" w14:paraId="4C3AA22D" w14:textId="77777777">
      <w:pPr>
        <w:pStyle w:val="Default"/>
      </w:pPr>
      <w:r w:rsidRPr="00CB5054">
        <w:rPr>
          <w:b/>
          <w:sz w:val="23"/>
          <w:szCs w:val="23"/>
        </w:rPr>
        <w:t xml:space="preserve">Explanation of Method of Estimating the Annual Burden </w:t>
      </w:r>
    </w:p>
    <w:p w:rsidRPr="00CB5054" w:rsidR="00280BA0" w:rsidP="00866620" w:rsidRDefault="00280BA0" w14:paraId="006C64B4" w14:textId="77777777">
      <w:pPr>
        <w:pStyle w:val="Default"/>
        <w:rPr>
          <w:b/>
          <w:sz w:val="23"/>
          <w:szCs w:val="23"/>
        </w:rPr>
      </w:pPr>
    </w:p>
    <w:p w:rsidR="00866620" w:rsidP="00DA610F" w:rsidRDefault="00F44D1C" w14:paraId="59600463" w14:textId="74CAC5A5">
      <w:pPr>
        <w:pStyle w:val="Default"/>
        <w:rPr>
          <w:sz w:val="23"/>
          <w:szCs w:val="23"/>
        </w:rPr>
      </w:pPr>
      <w:r>
        <w:t xml:space="preserve">As with the currently approved ICR, </w:t>
      </w:r>
      <w:r w:rsidRPr="00CB5054" w:rsidR="00866620">
        <w:t xml:space="preserve">OSHA is maintaining </w:t>
      </w:r>
      <w:r w:rsidRPr="00CB5054" w:rsidR="00760F17">
        <w:t xml:space="preserve">some of </w:t>
      </w:r>
      <w:r w:rsidRPr="00CB5054" w:rsidR="00866620">
        <w:t>the previous assumptions for this ICR</w:t>
      </w:r>
      <w:r w:rsidR="00D639B1">
        <w:t xml:space="preserve"> </w:t>
      </w:r>
      <w:r w:rsidR="00A5595F">
        <w:t xml:space="preserve">that </w:t>
      </w:r>
      <w:r w:rsidR="00D639B1">
        <w:t xml:space="preserve">rely on an older </w:t>
      </w:r>
      <w:r w:rsidR="003A7A89">
        <w:t xml:space="preserve">Regulatory </w:t>
      </w:r>
      <w:r w:rsidR="00B41F09">
        <w:t xml:space="preserve">Impact </w:t>
      </w:r>
      <w:r w:rsidR="003A7A89">
        <w:t>Analysis (</w:t>
      </w:r>
      <w:r w:rsidR="00D639B1">
        <w:t>RIA</w:t>
      </w:r>
      <w:r w:rsidR="003A7A89">
        <w:t>)</w:t>
      </w:r>
      <w:r w:rsidRPr="00CB5054" w:rsidR="00866620">
        <w:t>.</w:t>
      </w:r>
      <w:r w:rsidR="00A5595F">
        <w:t xml:space="preserve"> </w:t>
      </w:r>
      <w:r w:rsidRPr="00CB5054" w:rsidR="00866620">
        <w:t xml:space="preserve"> </w:t>
      </w:r>
      <w:r w:rsidR="00F10580">
        <w:t>While other assumptions rely on data obtained d</w:t>
      </w:r>
      <w:r w:rsidRPr="00CB5054" w:rsidR="00866620">
        <w:t>uring the GHS rulemaking.</w:t>
      </w:r>
      <w:r w:rsidRPr="00CB5054" w:rsidR="00866620">
        <w:rPr>
          <w:sz w:val="23"/>
          <w:szCs w:val="23"/>
        </w:rPr>
        <w:t xml:space="preserve"> </w:t>
      </w:r>
    </w:p>
    <w:p w:rsidR="0041296B" w:rsidP="00DA610F" w:rsidRDefault="0041296B" w14:paraId="5395303E" w14:textId="77777777">
      <w:pPr>
        <w:pStyle w:val="Default"/>
        <w:rPr>
          <w:sz w:val="23"/>
          <w:szCs w:val="23"/>
        </w:rPr>
      </w:pPr>
    </w:p>
    <w:p w:rsidRPr="00CB5054" w:rsidR="0041296B" w:rsidP="00DA610F" w:rsidRDefault="0041296B" w14:paraId="1D689D82" w14:textId="77777777">
      <w:pPr>
        <w:pStyle w:val="Default"/>
        <w:rPr>
          <w:sz w:val="23"/>
          <w:szCs w:val="23"/>
        </w:rPr>
      </w:pPr>
    </w:p>
    <w:p w:rsidRPr="00CB5054" w:rsidR="00866620" w:rsidP="00866620" w:rsidRDefault="00866620" w14:paraId="516F35AE" w14:textId="77777777">
      <w:pPr>
        <w:pStyle w:val="Default"/>
        <w:ind w:left="720"/>
        <w:rPr>
          <w:sz w:val="23"/>
          <w:szCs w:val="23"/>
        </w:rPr>
      </w:pPr>
    </w:p>
    <w:p w:rsidR="00F67DA7" w:rsidP="00F67DA7" w:rsidRDefault="00866620" w14:paraId="326B298E" w14:textId="77777777">
      <w:pPr>
        <w:pStyle w:val="Default"/>
        <w:jc w:val="center"/>
        <w:rPr>
          <w:b/>
          <w:bCs/>
        </w:rPr>
      </w:pPr>
      <w:r w:rsidRPr="00CB5054">
        <w:rPr>
          <w:b/>
          <w:bCs/>
        </w:rPr>
        <w:t>Exhibit A.</w:t>
      </w:r>
    </w:p>
    <w:p w:rsidR="00AB0152" w:rsidP="00F67DA7" w:rsidRDefault="00F67DA7" w14:paraId="54260227" w14:textId="77777777">
      <w:pPr>
        <w:pStyle w:val="Default"/>
        <w:jc w:val="center"/>
        <w:rPr>
          <w:b/>
          <w:bCs/>
        </w:rPr>
      </w:pPr>
      <w:r>
        <w:rPr>
          <w:b/>
          <w:bCs/>
        </w:rPr>
        <w:t xml:space="preserve">Sources for </w:t>
      </w:r>
      <w:r w:rsidR="00965720">
        <w:rPr>
          <w:b/>
          <w:bCs/>
        </w:rPr>
        <w:t>the</w:t>
      </w:r>
      <w:r w:rsidRPr="00CB5054" w:rsidR="00965720">
        <w:rPr>
          <w:b/>
          <w:bCs/>
        </w:rPr>
        <w:t xml:space="preserve"> </w:t>
      </w:r>
      <w:r w:rsidR="00965720">
        <w:rPr>
          <w:b/>
          <w:bCs/>
        </w:rPr>
        <w:t>Analysis</w:t>
      </w:r>
      <w:r>
        <w:rPr>
          <w:b/>
          <w:bCs/>
        </w:rPr>
        <w:t xml:space="preserve"> </w:t>
      </w:r>
      <w:r w:rsidRPr="00CB5054" w:rsidR="00866620">
        <w:rPr>
          <w:b/>
          <w:bCs/>
        </w:rPr>
        <w:t xml:space="preserve">Values </w:t>
      </w:r>
    </w:p>
    <w:p w:rsidR="00F67DA7" w:rsidP="00F67DA7" w:rsidRDefault="00F67DA7" w14:paraId="512D7CA4" w14:textId="77777777">
      <w:pPr>
        <w:pStyle w:val="Default"/>
        <w:jc w:val="center"/>
      </w:pPr>
    </w:p>
    <w:p w:rsidRPr="00CB5054" w:rsidR="00866620" w:rsidP="00866620" w:rsidRDefault="00866620" w14:paraId="59137DB0" w14:textId="77777777">
      <w:pPr>
        <w:pStyle w:val="Default"/>
      </w:pPr>
      <w:r w:rsidRPr="00CB5054">
        <w:t>Exhibit A-1</w:t>
      </w:r>
      <w:r w:rsidR="006D3DAF">
        <w:t>, below,</w:t>
      </w:r>
      <w:r w:rsidRPr="00CB5054">
        <w:t xml:space="preserve"> shows the basic values used in this analysis. These values were derived as follows: </w:t>
      </w:r>
    </w:p>
    <w:p w:rsidRPr="00CB5054" w:rsidR="00866620" w:rsidP="00866620" w:rsidRDefault="00866620" w14:paraId="5BC9A82C" w14:textId="77777777">
      <w:pPr>
        <w:pStyle w:val="Default"/>
      </w:pPr>
    </w:p>
    <w:p w:rsidR="00866620" w:rsidP="00866620" w:rsidRDefault="00866620" w14:paraId="624574A7" w14:textId="0855FB8E">
      <w:pPr>
        <w:pStyle w:val="Default"/>
      </w:pPr>
      <w:r w:rsidRPr="00CB5054">
        <w:rPr>
          <w:b/>
          <w:bCs/>
        </w:rPr>
        <w:t>Number of affected establishments</w:t>
      </w:r>
      <w:r w:rsidRPr="00CB5054">
        <w:t xml:space="preserve">: The </w:t>
      </w:r>
      <w:r w:rsidR="001A07EB">
        <w:t xml:space="preserve">number of affected establishments is based on the </w:t>
      </w:r>
      <w:r w:rsidR="00AB0152">
        <w:t>d</w:t>
      </w:r>
      <w:r w:rsidR="001A07EB">
        <w:t xml:space="preserve">ata </w:t>
      </w:r>
      <w:r w:rsidR="00280B11">
        <w:t>from</w:t>
      </w:r>
      <w:r w:rsidR="001A07EB">
        <w:t xml:space="preserve"> </w:t>
      </w:r>
      <w:r w:rsidR="00AB0152">
        <w:t xml:space="preserve">the HCS/GHS </w:t>
      </w:r>
      <w:r w:rsidR="001A07EB">
        <w:t>final economic analysis</w:t>
      </w:r>
      <w:r w:rsidR="00280BA0">
        <w:t xml:space="preserve">, “the </w:t>
      </w:r>
      <w:r w:rsidR="00485CA8">
        <w:t xml:space="preserve">Final Economic Analysis </w:t>
      </w:r>
      <w:r w:rsidR="00280BA0">
        <w:t>FEA</w:t>
      </w:r>
      <w:r w:rsidR="00485CA8">
        <w:t>)</w:t>
      </w:r>
      <w:r w:rsidR="00832C02">
        <w:t>.</w:t>
      </w:r>
      <w:r w:rsidR="00280BA0">
        <w:t>”</w:t>
      </w:r>
      <w:r w:rsidR="001A07EB">
        <w:t xml:space="preserve"> </w:t>
      </w:r>
    </w:p>
    <w:p w:rsidRPr="00CB5054" w:rsidR="001A07EB" w:rsidP="00866620" w:rsidRDefault="001A07EB" w14:paraId="1D990E40" w14:textId="77777777">
      <w:pPr>
        <w:pStyle w:val="Default"/>
      </w:pPr>
    </w:p>
    <w:p w:rsidR="001A07EB" w:rsidP="00866620" w:rsidRDefault="00866620" w14:paraId="13C47017" w14:textId="77777777">
      <w:pPr>
        <w:pStyle w:val="Default"/>
      </w:pPr>
      <w:r w:rsidRPr="00CB5054">
        <w:rPr>
          <w:b/>
          <w:bCs/>
        </w:rPr>
        <w:t>New establishments as a percentage of all establishments (rate of entry)</w:t>
      </w:r>
      <w:r w:rsidRPr="00280BA0">
        <w:rPr>
          <w:bCs/>
        </w:rPr>
        <w:t>:</w:t>
      </w:r>
      <w:r w:rsidRPr="00CB5054">
        <w:rPr>
          <w:b/>
          <w:bCs/>
        </w:rPr>
        <w:t xml:space="preserve"> </w:t>
      </w:r>
      <w:r w:rsidRPr="00CB5054" w:rsidR="001A07EB">
        <w:t xml:space="preserve">The </w:t>
      </w:r>
      <w:r w:rsidR="001A07EB">
        <w:t xml:space="preserve">number of affected new establishments is </w:t>
      </w:r>
      <w:r w:rsidR="00280B11">
        <w:t xml:space="preserve">based on </w:t>
      </w:r>
      <w:r w:rsidR="001A07EB">
        <w:t>the</w:t>
      </w:r>
      <w:r w:rsidR="00280BA0">
        <w:t xml:space="preserve"> FEA.</w:t>
      </w:r>
    </w:p>
    <w:p w:rsidR="002567E2" w:rsidP="00866620" w:rsidRDefault="002567E2" w14:paraId="720CD6BA" w14:textId="77777777">
      <w:pPr>
        <w:pStyle w:val="Default"/>
      </w:pPr>
    </w:p>
    <w:p w:rsidRPr="002567E2" w:rsidR="002567E2" w:rsidP="00866620" w:rsidRDefault="002567E2" w14:paraId="71969C7F" w14:textId="77777777">
      <w:pPr>
        <w:pStyle w:val="Default"/>
      </w:pPr>
      <w:r w:rsidRPr="002567E2">
        <w:rPr>
          <w:b/>
        </w:rPr>
        <w:t>Total Number of Workers</w:t>
      </w:r>
      <w:r w:rsidRPr="00945B11">
        <w:t>:</w:t>
      </w:r>
      <w:r>
        <w:rPr>
          <w:b/>
        </w:rPr>
        <w:t xml:space="preserve">  </w:t>
      </w:r>
      <w:r w:rsidRPr="002567E2">
        <w:t>The total number of workers is based on the FEA.</w:t>
      </w:r>
    </w:p>
    <w:p w:rsidRPr="00CB5054" w:rsidR="00280BA0" w:rsidP="00866620" w:rsidRDefault="00280BA0" w14:paraId="39FEA8F3" w14:textId="77777777">
      <w:pPr>
        <w:pStyle w:val="Default"/>
      </w:pPr>
    </w:p>
    <w:p w:rsidRPr="00CB5054" w:rsidR="00866620" w:rsidP="00866620" w:rsidRDefault="00866620" w14:paraId="79A45302" w14:textId="77777777">
      <w:pPr>
        <w:shd w:val="solid" w:color="FFFFFF" w:fill="FFFFFF"/>
        <w:rPr>
          <w:color w:val="000000"/>
          <w:sz w:val="24"/>
          <w:szCs w:val="24"/>
        </w:rPr>
      </w:pPr>
      <w:r w:rsidRPr="00CB5054">
        <w:rPr>
          <w:b/>
          <w:bCs/>
          <w:color w:val="000000"/>
          <w:sz w:val="24"/>
          <w:szCs w:val="24"/>
        </w:rPr>
        <w:t>Number of chemical products</w:t>
      </w:r>
      <w:r w:rsidRPr="00280B11">
        <w:rPr>
          <w:bCs/>
          <w:color w:val="000000"/>
          <w:sz w:val="24"/>
          <w:szCs w:val="24"/>
        </w:rPr>
        <w:t xml:space="preserve">: </w:t>
      </w:r>
      <w:r w:rsidR="007E5641">
        <w:rPr>
          <w:color w:val="000000"/>
          <w:sz w:val="24"/>
          <w:szCs w:val="24"/>
        </w:rPr>
        <w:t xml:space="preserve"> The number of </w:t>
      </w:r>
      <w:r w:rsidR="00A5595F">
        <w:rPr>
          <w:color w:val="000000"/>
          <w:sz w:val="24"/>
          <w:szCs w:val="24"/>
        </w:rPr>
        <w:t>c</w:t>
      </w:r>
      <w:r w:rsidR="007E5641">
        <w:rPr>
          <w:color w:val="000000"/>
          <w:sz w:val="24"/>
          <w:szCs w:val="24"/>
        </w:rPr>
        <w:t>hemical products was taken from the FEA.</w:t>
      </w:r>
    </w:p>
    <w:p w:rsidRPr="00CB5054" w:rsidR="00866620" w:rsidP="00D80711" w:rsidRDefault="00866620" w14:paraId="301160AC" w14:textId="77777777">
      <w:pPr>
        <w:shd w:val="solid" w:color="FFFFFF" w:fill="FFFFFF"/>
        <w:rPr>
          <w:b/>
          <w:color w:val="000000"/>
          <w:sz w:val="24"/>
          <w:szCs w:val="24"/>
        </w:rPr>
      </w:pPr>
    </w:p>
    <w:p w:rsidRPr="00CB5054" w:rsidR="00866620" w:rsidP="00866620" w:rsidRDefault="00866620" w14:paraId="25B68485" w14:textId="77777777">
      <w:pPr>
        <w:pStyle w:val="Default"/>
      </w:pPr>
      <w:r w:rsidRPr="00CB5054">
        <w:rPr>
          <w:b/>
          <w:bCs/>
        </w:rPr>
        <w:t>Percentage of new chemical products annually</w:t>
      </w:r>
      <w:r w:rsidR="00287D85">
        <w:rPr>
          <w:rStyle w:val="FootnoteReference"/>
          <w:b/>
          <w:bCs/>
        </w:rPr>
        <w:footnoteReference w:id="6"/>
      </w:r>
      <w:r w:rsidRPr="00280B11">
        <w:rPr>
          <w:bCs/>
        </w:rPr>
        <w:t>:</w:t>
      </w:r>
      <w:r w:rsidRPr="00CB5054">
        <w:rPr>
          <w:b/>
          <w:bCs/>
        </w:rPr>
        <w:t xml:space="preserve"> </w:t>
      </w:r>
      <w:r w:rsidR="00945B11">
        <w:rPr>
          <w:b/>
          <w:bCs/>
        </w:rPr>
        <w:t xml:space="preserve"> </w:t>
      </w:r>
      <w:r w:rsidRPr="00CB5054">
        <w:t>Based on</w:t>
      </w:r>
      <w:r w:rsidR="00A5595F">
        <w:t xml:space="preserve"> the</w:t>
      </w:r>
      <w:r w:rsidR="00AB0152">
        <w:t xml:space="preserve"> </w:t>
      </w:r>
      <w:r w:rsidRPr="00CB5054">
        <w:t xml:space="preserve">RIA, new chemical products are assumed to be 8 percent of all chemical products. </w:t>
      </w:r>
    </w:p>
    <w:p w:rsidRPr="00CB5054" w:rsidR="00866620" w:rsidP="00866620" w:rsidRDefault="00866620" w14:paraId="6606BA94" w14:textId="77777777">
      <w:pPr>
        <w:pStyle w:val="Default"/>
      </w:pPr>
    </w:p>
    <w:p w:rsidRPr="00CB5054" w:rsidR="00866620" w:rsidP="00866620" w:rsidRDefault="00866620" w14:paraId="2B30BEEC" w14:textId="77777777">
      <w:pPr>
        <w:pStyle w:val="Default"/>
      </w:pPr>
      <w:r w:rsidRPr="00CB5054">
        <w:rPr>
          <w:b/>
          <w:bCs/>
        </w:rPr>
        <w:t>Number of chemical products per establishment</w:t>
      </w:r>
      <w:r w:rsidRPr="00945B11">
        <w:rPr>
          <w:bCs/>
        </w:rPr>
        <w:t>:</w:t>
      </w:r>
      <w:r w:rsidRPr="00CB5054">
        <w:rPr>
          <w:b/>
          <w:bCs/>
        </w:rPr>
        <w:t xml:space="preserve"> </w:t>
      </w:r>
      <w:r w:rsidRPr="00CB5054">
        <w:t>Th</w:t>
      </w:r>
      <w:r w:rsidR="00280BA0">
        <w:t>e</w:t>
      </w:r>
      <w:r w:rsidRPr="00CB5054">
        <w:t xml:space="preserve"> RIA estimated that the typical manufacturing establishment has </w:t>
      </w:r>
      <w:r w:rsidR="00C00788">
        <w:t>22</w:t>
      </w:r>
      <w:r w:rsidRPr="00CB5054" w:rsidR="00C00788">
        <w:t xml:space="preserve"> </w:t>
      </w:r>
      <w:r w:rsidRPr="00CB5054">
        <w:t xml:space="preserve">hazardous chemicals, and that the typical non-manufacturing establishment has </w:t>
      </w:r>
      <w:r w:rsidRPr="00CB5054" w:rsidR="00C00788">
        <w:t>1</w:t>
      </w:r>
      <w:r w:rsidR="00C00788">
        <w:t>5</w:t>
      </w:r>
      <w:r w:rsidRPr="00CB5054" w:rsidR="00C00788">
        <w:t xml:space="preserve"> </w:t>
      </w:r>
      <w:r w:rsidRPr="00CB5054">
        <w:t xml:space="preserve">hazardous chemicals. </w:t>
      </w:r>
    </w:p>
    <w:p w:rsidRPr="00CB5054" w:rsidR="00866620" w:rsidP="00866620" w:rsidRDefault="00866620" w14:paraId="08192094" w14:textId="77777777">
      <w:pPr>
        <w:pStyle w:val="Default"/>
        <w:rPr>
          <w:b/>
          <w:bCs/>
        </w:rPr>
      </w:pPr>
    </w:p>
    <w:p w:rsidRPr="00CB5054" w:rsidR="00866620" w:rsidP="00866620" w:rsidRDefault="00866620" w14:paraId="47039420" w14:textId="77777777">
      <w:pPr>
        <w:pStyle w:val="Default"/>
      </w:pPr>
      <w:r w:rsidRPr="00CB5054">
        <w:rPr>
          <w:b/>
          <w:bCs/>
        </w:rPr>
        <w:t>Number of Shipped Containers of Hazardous Chemicals</w:t>
      </w:r>
      <w:r w:rsidRPr="00945B11">
        <w:rPr>
          <w:bCs/>
        </w:rPr>
        <w:t xml:space="preserve">: </w:t>
      </w:r>
      <w:r w:rsidR="006E6195">
        <w:rPr>
          <w:bCs/>
        </w:rPr>
        <w:t>Based on the FEA, the number of shipped containers of hazardous chemicals is</w:t>
      </w:r>
      <w:r w:rsidRPr="00CB5054" w:rsidR="006E6195">
        <w:t xml:space="preserve"> </w:t>
      </w:r>
      <w:r w:rsidR="00F47192">
        <w:t>1,337</w:t>
      </w:r>
      <w:r w:rsidR="006E6195">
        <w:t xml:space="preserve"> million. </w:t>
      </w:r>
      <w:r w:rsidRPr="00CB5054">
        <w:t xml:space="preserve"> </w:t>
      </w:r>
    </w:p>
    <w:p w:rsidRPr="00CB5054" w:rsidR="00866620" w:rsidP="00866620" w:rsidRDefault="00866620" w14:paraId="6F56589A" w14:textId="77777777">
      <w:pPr>
        <w:pStyle w:val="Default"/>
        <w:rPr>
          <w:b/>
          <w:bCs/>
        </w:rPr>
      </w:pPr>
    </w:p>
    <w:p w:rsidRPr="00C768B4" w:rsidR="00C768B4" w:rsidP="00866620" w:rsidRDefault="00C768B4" w14:paraId="5E920900" w14:textId="77777777">
      <w:pPr>
        <w:pStyle w:val="Default"/>
        <w:rPr>
          <w:bCs/>
        </w:rPr>
      </w:pPr>
      <w:r w:rsidRPr="00CB5054">
        <w:rPr>
          <w:b/>
          <w:bCs/>
        </w:rPr>
        <w:t>Number of in-plant containers</w:t>
      </w:r>
      <w:r w:rsidRPr="00280B11">
        <w:rPr>
          <w:bCs/>
        </w:rPr>
        <w:t>:</w:t>
      </w:r>
      <w:r>
        <w:rPr>
          <w:b/>
          <w:bCs/>
        </w:rPr>
        <w:t xml:space="preserve"> </w:t>
      </w:r>
      <w:r w:rsidRPr="006E6195" w:rsidR="006E6195">
        <w:rPr>
          <w:bCs/>
        </w:rPr>
        <w:t>T</w:t>
      </w:r>
      <w:r w:rsidR="006E6195">
        <w:rPr>
          <w:bCs/>
        </w:rPr>
        <w:t xml:space="preserve">he number of </w:t>
      </w:r>
      <w:r w:rsidRPr="00CB5054" w:rsidR="006E6195">
        <w:t xml:space="preserve">containers of hazardous chemicals used entirely in-plant was assumed to be </w:t>
      </w:r>
      <w:r w:rsidR="00B321B1">
        <w:t>10</w:t>
      </w:r>
      <w:r w:rsidRPr="00CB5054" w:rsidR="00B321B1">
        <w:t xml:space="preserve"> </w:t>
      </w:r>
      <w:r w:rsidRPr="00CB5054" w:rsidR="006E6195">
        <w:t>percent of the number of shipped containers of hazardous chemicals.</w:t>
      </w:r>
      <w:r>
        <w:rPr>
          <w:bCs/>
        </w:rPr>
        <w:t xml:space="preserve"> </w:t>
      </w:r>
    </w:p>
    <w:p w:rsidRPr="00CB5054" w:rsidR="00C768B4" w:rsidP="00866620" w:rsidRDefault="00C768B4" w14:paraId="237024FC" w14:textId="77777777">
      <w:pPr>
        <w:pStyle w:val="Default"/>
        <w:rPr>
          <w:b/>
          <w:bCs/>
        </w:rPr>
      </w:pPr>
    </w:p>
    <w:p w:rsidRPr="00CB5054" w:rsidR="00866620" w:rsidP="00866620" w:rsidRDefault="00866620" w14:paraId="2047A52D" w14:textId="77777777">
      <w:pPr>
        <w:pStyle w:val="Default"/>
      </w:pPr>
      <w:r w:rsidRPr="00CB5054">
        <w:rPr>
          <w:b/>
          <w:bCs/>
        </w:rPr>
        <w:t>Percentage of establishments already in compliance</w:t>
      </w:r>
      <w:r w:rsidRPr="00280B11">
        <w:rPr>
          <w:bCs/>
        </w:rPr>
        <w:t>:</w:t>
      </w:r>
      <w:r w:rsidRPr="00CB5054">
        <w:rPr>
          <w:b/>
          <w:bCs/>
        </w:rPr>
        <w:t xml:space="preserve"> </w:t>
      </w:r>
      <w:r w:rsidRPr="00CB5054">
        <w:t>The RIA found that 60 percent of all establishments were in compliance with the basic provisions of the HCS, primarily as a result of state laws existing prior to the OSHA standard. Hence, HCS is assumed to account for (1-.6) or 40 percent of the burdens and costs since, in the absence of HCS, 60 percent of the burden would continue as a result of state statute</w:t>
      </w:r>
      <w:r w:rsidR="004358E8">
        <w:t>s</w:t>
      </w:r>
      <w:r w:rsidRPr="00CB5054">
        <w:t xml:space="preserve">. </w:t>
      </w:r>
    </w:p>
    <w:p w:rsidR="00866620" w:rsidP="00866620" w:rsidRDefault="00866620" w14:paraId="779869B7" w14:textId="77777777">
      <w:pPr>
        <w:pStyle w:val="Default"/>
        <w:rPr>
          <w:b/>
          <w:bCs/>
        </w:rPr>
      </w:pPr>
    </w:p>
    <w:p w:rsidR="0041296B" w:rsidP="00866620" w:rsidRDefault="0041296B" w14:paraId="2D1C7E6D" w14:textId="77777777">
      <w:pPr>
        <w:pStyle w:val="Default"/>
        <w:rPr>
          <w:b/>
          <w:bCs/>
        </w:rPr>
      </w:pPr>
    </w:p>
    <w:p w:rsidR="0041296B" w:rsidP="00866620" w:rsidRDefault="0041296B" w14:paraId="392AF9A2" w14:textId="77777777">
      <w:pPr>
        <w:pStyle w:val="Default"/>
        <w:rPr>
          <w:b/>
          <w:bCs/>
        </w:rPr>
      </w:pPr>
    </w:p>
    <w:p w:rsidR="0041296B" w:rsidP="00866620" w:rsidRDefault="0041296B" w14:paraId="40B7941E" w14:textId="77777777">
      <w:pPr>
        <w:pStyle w:val="Default"/>
        <w:rPr>
          <w:b/>
          <w:bCs/>
        </w:rPr>
      </w:pPr>
    </w:p>
    <w:p w:rsidR="0041296B" w:rsidP="00866620" w:rsidRDefault="0041296B" w14:paraId="5DBA1BB0" w14:textId="77777777">
      <w:pPr>
        <w:pStyle w:val="Default"/>
        <w:rPr>
          <w:b/>
          <w:bCs/>
        </w:rPr>
      </w:pPr>
    </w:p>
    <w:p w:rsidRPr="00CB5054" w:rsidR="0041296B" w:rsidP="00866620" w:rsidRDefault="0041296B" w14:paraId="47C51224" w14:textId="77777777">
      <w:pPr>
        <w:pStyle w:val="Default"/>
        <w:rPr>
          <w:b/>
          <w:bCs/>
        </w:rPr>
      </w:pPr>
    </w:p>
    <w:p w:rsidRPr="00CB5054" w:rsidR="00866620" w:rsidP="00866620" w:rsidRDefault="00866620" w14:paraId="6E55DBCC" w14:textId="77777777">
      <w:pPr>
        <w:pStyle w:val="Default"/>
        <w:jc w:val="center"/>
      </w:pPr>
      <w:r w:rsidRPr="00CB5054">
        <w:rPr>
          <w:b/>
          <w:bCs/>
        </w:rPr>
        <w:t xml:space="preserve">Exhibit A-1 </w:t>
      </w:r>
    </w:p>
    <w:p w:rsidRPr="00CB5054" w:rsidR="00866620" w:rsidP="00866620" w:rsidRDefault="00866620" w14:paraId="6EDE1073" w14:textId="77777777">
      <w:pPr>
        <w:pStyle w:val="Default"/>
        <w:jc w:val="center"/>
        <w:rPr>
          <w:b/>
          <w:bCs/>
        </w:rPr>
      </w:pPr>
      <w:r w:rsidRPr="00CB5054">
        <w:rPr>
          <w:b/>
          <w:bCs/>
        </w:rPr>
        <w:t xml:space="preserve">Basic Values for the Analysis </w:t>
      </w:r>
    </w:p>
    <w:p w:rsidRPr="00CB5054" w:rsidR="00866620" w:rsidP="00866620" w:rsidRDefault="00866620" w14:paraId="582A08FB" w14:textId="77777777">
      <w:pPr>
        <w:pStyle w:val="Default"/>
        <w:jc w:val="center"/>
      </w:pPr>
    </w:p>
    <w:p w:rsidRPr="00CB5054" w:rsidR="00866620" w:rsidP="00866620" w:rsidRDefault="00866620" w14:paraId="5FA7731A" w14:textId="77777777">
      <w:pPr>
        <w:pStyle w:val="Default"/>
      </w:pPr>
      <w:r w:rsidRPr="00CB5054">
        <w:rPr>
          <w:b/>
          <w:bCs/>
        </w:rPr>
        <w:t xml:space="preserve">Number of Affected Establishments </w:t>
      </w:r>
    </w:p>
    <w:p w:rsidRPr="00CB5054" w:rsidR="00866620" w:rsidP="007F1206" w:rsidRDefault="00866620" w14:paraId="35F79831" w14:textId="77777777">
      <w:pPr>
        <w:pStyle w:val="Default"/>
        <w:ind w:left="2880" w:firstLine="720"/>
      </w:pPr>
      <w:r w:rsidRPr="00CB5054">
        <w:t xml:space="preserve">Manufacturing </w:t>
      </w:r>
      <w:r w:rsidR="00153C4F">
        <w:t>85,081</w:t>
      </w:r>
      <w:r w:rsidRPr="00CB5054">
        <w:t xml:space="preserve"> </w:t>
      </w:r>
    </w:p>
    <w:p w:rsidRPr="00CB5054" w:rsidR="00866620" w:rsidP="007F1206" w:rsidRDefault="00866620" w14:paraId="76967148" w14:textId="77777777">
      <w:pPr>
        <w:pStyle w:val="Default"/>
        <w:ind w:left="2880" w:firstLine="720"/>
      </w:pPr>
      <w:r w:rsidRPr="00CB5054">
        <w:t>Non-Manufacturing</w:t>
      </w:r>
      <w:r w:rsidR="00153C4F">
        <w:rPr>
          <w:rStyle w:val="FootnoteReference"/>
        </w:rPr>
        <w:footnoteReference w:id="7"/>
      </w:r>
      <w:r w:rsidRPr="00CB5054">
        <w:t xml:space="preserve"> </w:t>
      </w:r>
      <w:r w:rsidR="00153C4F">
        <w:t>4,933,235</w:t>
      </w:r>
    </w:p>
    <w:p w:rsidRPr="00CB5054" w:rsidR="007F1206" w:rsidP="007F1206" w:rsidRDefault="007F1206" w14:paraId="0484BD10" w14:textId="77777777">
      <w:pPr>
        <w:pStyle w:val="Default"/>
        <w:ind w:left="2880" w:firstLine="720"/>
      </w:pPr>
    </w:p>
    <w:p w:rsidRPr="00CB5054" w:rsidR="00866620" w:rsidP="00866620" w:rsidRDefault="00866620" w14:paraId="7355C37C" w14:textId="5A389A2B">
      <w:pPr>
        <w:pStyle w:val="Default"/>
      </w:pPr>
      <w:r w:rsidRPr="00CB5054">
        <w:rPr>
          <w:b/>
          <w:bCs/>
        </w:rPr>
        <w:t xml:space="preserve">New Establishments as a percentage of </w:t>
      </w:r>
      <w:r w:rsidR="003338BA">
        <w:rPr>
          <w:b/>
          <w:bCs/>
        </w:rPr>
        <w:t xml:space="preserve">Affected </w:t>
      </w:r>
      <w:r w:rsidRPr="00CB5054">
        <w:rPr>
          <w:b/>
          <w:bCs/>
        </w:rPr>
        <w:t xml:space="preserve"> </w:t>
      </w:r>
    </w:p>
    <w:p w:rsidRPr="00CB5054" w:rsidR="00866620" w:rsidP="00866620" w:rsidRDefault="00866620" w14:paraId="3C39607C" w14:textId="77777777">
      <w:pPr>
        <w:pStyle w:val="Default"/>
      </w:pPr>
      <w:r w:rsidRPr="00CB5054">
        <w:rPr>
          <w:b/>
          <w:bCs/>
        </w:rPr>
        <w:t xml:space="preserve">Establishments </w:t>
      </w:r>
    </w:p>
    <w:p w:rsidRPr="00CB5054" w:rsidR="00866620" w:rsidP="007F1206" w:rsidRDefault="00866620" w14:paraId="00375961" w14:textId="6569475B">
      <w:pPr>
        <w:pStyle w:val="Default"/>
        <w:ind w:left="2880" w:firstLine="720"/>
      </w:pPr>
      <w:r w:rsidRPr="00CB5054">
        <w:t>Manufacturing</w:t>
      </w:r>
      <w:r w:rsidR="003338BA">
        <w:t xml:space="preserve"> </w:t>
      </w:r>
      <w:r w:rsidR="00153C4F">
        <w:t>6,126</w:t>
      </w:r>
      <w:r w:rsidR="009E6FDF">
        <w:t xml:space="preserve"> </w:t>
      </w:r>
      <w:r w:rsidR="007A002C">
        <w:t xml:space="preserve">(85,081 </w:t>
      </w:r>
      <w:r w:rsidR="006C6B8B">
        <w:t xml:space="preserve">x </w:t>
      </w:r>
      <w:r w:rsidR="007A002C">
        <w:t>7.2%)</w:t>
      </w:r>
      <w:r w:rsidR="003338BA">
        <w:t xml:space="preserve"> </w:t>
      </w:r>
    </w:p>
    <w:p w:rsidRPr="00CB5054" w:rsidR="00866620" w:rsidP="007F1206" w:rsidRDefault="009E6FDF" w14:paraId="666C9A07" w14:textId="1F727ACA">
      <w:pPr>
        <w:pStyle w:val="Default"/>
        <w:ind w:left="2880" w:firstLine="720"/>
      </w:pPr>
      <w:r>
        <w:t>Non-Manufacturing</w:t>
      </w:r>
      <w:r w:rsidR="003338BA">
        <w:t xml:space="preserve"> </w:t>
      </w:r>
      <w:r w:rsidR="00153C4F">
        <w:t>626,521</w:t>
      </w:r>
      <w:r w:rsidR="007A002C">
        <w:t xml:space="preserve"> (4,933,235 x 12.7%)</w:t>
      </w:r>
    </w:p>
    <w:p w:rsidRPr="00CB5054" w:rsidR="007F1206" w:rsidP="007F1206" w:rsidRDefault="007F1206" w14:paraId="6F5DFCCC" w14:textId="77777777">
      <w:pPr>
        <w:pStyle w:val="Default"/>
        <w:ind w:left="2880" w:firstLine="720"/>
      </w:pPr>
    </w:p>
    <w:p w:rsidRPr="00CB5054" w:rsidR="00866620" w:rsidP="00866620" w:rsidRDefault="002D07A0" w14:paraId="03B808D0" w14:textId="77777777">
      <w:pPr>
        <w:pStyle w:val="Default"/>
      </w:pPr>
      <w:r>
        <w:rPr>
          <w:b/>
          <w:bCs/>
        </w:rPr>
        <w:t xml:space="preserve">Total </w:t>
      </w:r>
      <w:r w:rsidRPr="00CB5054" w:rsidR="00866620">
        <w:rPr>
          <w:b/>
          <w:bCs/>
        </w:rPr>
        <w:t xml:space="preserve">Workers </w:t>
      </w:r>
      <w:r w:rsidRPr="00CB5054" w:rsidR="007F1206">
        <w:rPr>
          <w:b/>
          <w:bCs/>
        </w:rPr>
        <w:tab/>
      </w:r>
      <w:r w:rsidRPr="00CB5054" w:rsidR="007F1206">
        <w:rPr>
          <w:b/>
          <w:bCs/>
        </w:rPr>
        <w:tab/>
      </w:r>
      <w:r w:rsidR="002567E2">
        <w:rPr>
          <w:b/>
          <w:bCs/>
        </w:rPr>
        <w:tab/>
      </w:r>
      <w:r w:rsidR="00153C4F">
        <w:rPr>
          <w:bCs/>
        </w:rPr>
        <w:t>120,942,696</w:t>
      </w:r>
      <w:r w:rsidRPr="00CB5054" w:rsidR="00BF75EE">
        <w:t xml:space="preserve"> </w:t>
      </w:r>
    </w:p>
    <w:p w:rsidRPr="00CB5054" w:rsidR="007F1206" w:rsidP="00866620" w:rsidRDefault="007F1206" w14:paraId="4636B9DA" w14:textId="77777777">
      <w:pPr>
        <w:pStyle w:val="Default"/>
      </w:pPr>
    </w:p>
    <w:p w:rsidRPr="00CB5054" w:rsidR="00866620" w:rsidP="00866620" w:rsidRDefault="00866620" w14:paraId="3C84B311" w14:textId="77777777">
      <w:pPr>
        <w:pStyle w:val="Default"/>
      </w:pPr>
      <w:r w:rsidRPr="00CB5054">
        <w:rPr>
          <w:b/>
          <w:bCs/>
        </w:rPr>
        <w:t xml:space="preserve">Number of Chemicals Products </w:t>
      </w:r>
      <w:r w:rsidRPr="00CB5054" w:rsidR="007F1206">
        <w:rPr>
          <w:b/>
          <w:bCs/>
        </w:rPr>
        <w:tab/>
      </w:r>
      <w:r w:rsidR="00176FFB">
        <w:t>1,399,145</w:t>
      </w:r>
    </w:p>
    <w:p w:rsidRPr="00CB5054" w:rsidR="007F1206" w:rsidP="00866620" w:rsidRDefault="007F1206" w14:paraId="49D668F8" w14:textId="77777777">
      <w:pPr>
        <w:pStyle w:val="Default"/>
      </w:pPr>
    </w:p>
    <w:p w:rsidRPr="00CB5054" w:rsidR="00866620" w:rsidP="00866620" w:rsidRDefault="00866620" w14:paraId="4185CB1C" w14:textId="77777777">
      <w:pPr>
        <w:pStyle w:val="Default"/>
      </w:pPr>
      <w:r w:rsidRPr="00CB5054">
        <w:rPr>
          <w:b/>
          <w:bCs/>
        </w:rPr>
        <w:t xml:space="preserve">Percentage of New Chemicals Products Annually </w:t>
      </w:r>
      <w:r w:rsidRPr="00CB5054" w:rsidR="007F1206">
        <w:rPr>
          <w:b/>
          <w:bCs/>
        </w:rPr>
        <w:tab/>
      </w:r>
      <w:r w:rsidRPr="00CB5054">
        <w:t xml:space="preserve">8.0% </w:t>
      </w:r>
    </w:p>
    <w:p w:rsidRPr="00CB5054" w:rsidR="007F1206" w:rsidP="00866620" w:rsidRDefault="007F1206" w14:paraId="44CDC2EB" w14:textId="77777777">
      <w:pPr>
        <w:pStyle w:val="Default"/>
      </w:pPr>
    </w:p>
    <w:p w:rsidRPr="00CB5054" w:rsidR="00866620" w:rsidP="00866620" w:rsidRDefault="00866620" w14:paraId="24BB91BB" w14:textId="77777777">
      <w:pPr>
        <w:pStyle w:val="Default"/>
        <w:rPr>
          <w:b/>
          <w:bCs/>
        </w:rPr>
      </w:pPr>
      <w:r w:rsidRPr="00CB5054">
        <w:rPr>
          <w:b/>
          <w:bCs/>
        </w:rPr>
        <w:t xml:space="preserve">Number of Hazardous Chemicals Products per Establishment </w:t>
      </w:r>
    </w:p>
    <w:p w:rsidRPr="00CB5054" w:rsidR="007F1206" w:rsidP="00866620" w:rsidRDefault="007F1206" w14:paraId="4AD27D0A" w14:textId="77777777">
      <w:pPr>
        <w:pStyle w:val="Default"/>
      </w:pPr>
    </w:p>
    <w:p w:rsidRPr="00CB5054" w:rsidR="00866620" w:rsidP="007F1206" w:rsidRDefault="00866620" w14:paraId="0813B4C4" w14:textId="77777777">
      <w:pPr>
        <w:pStyle w:val="Default"/>
        <w:ind w:left="2880" w:firstLine="720"/>
      </w:pPr>
      <w:r w:rsidRPr="00CB5054">
        <w:t xml:space="preserve">Manufacturing </w:t>
      </w:r>
      <w:r w:rsidR="00C00788">
        <w:t>22</w:t>
      </w:r>
      <w:r w:rsidRPr="00CB5054" w:rsidR="00C00788">
        <w:t xml:space="preserve"> </w:t>
      </w:r>
    </w:p>
    <w:p w:rsidRPr="00CB5054" w:rsidR="00866620" w:rsidP="007F1206" w:rsidRDefault="00866620" w14:paraId="770A654B" w14:textId="77777777">
      <w:pPr>
        <w:pStyle w:val="Default"/>
        <w:ind w:left="2880" w:firstLine="720"/>
      </w:pPr>
      <w:r w:rsidRPr="00CB5054">
        <w:t xml:space="preserve">Non-Manufacturing </w:t>
      </w:r>
      <w:r w:rsidR="00C00788">
        <w:t>15</w:t>
      </w:r>
      <w:r w:rsidRPr="00CB5054" w:rsidR="00C00788">
        <w:t xml:space="preserve"> </w:t>
      </w:r>
    </w:p>
    <w:p w:rsidRPr="00CB5054" w:rsidR="007F1206" w:rsidP="007F1206" w:rsidRDefault="007F1206" w14:paraId="64DCE0E2" w14:textId="77777777">
      <w:pPr>
        <w:pStyle w:val="Default"/>
        <w:ind w:left="2880" w:firstLine="720"/>
      </w:pPr>
    </w:p>
    <w:p w:rsidRPr="00CB5054" w:rsidR="006E6195" w:rsidP="006E6195" w:rsidRDefault="00866620" w14:paraId="08AC3B03" w14:textId="77777777">
      <w:pPr>
        <w:pStyle w:val="Default"/>
      </w:pPr>
      <w:r w:rsidRPr="00CB5054">
        <w:rPr>
          <w:b/>
          <w:bCs/>
        </w:rPr>
        <w:t xml:space="preserve">Number of Shipped Containers of Hazardous Chemicals </w:t>
      </w:r>
      <w:r w:rsidR="00F47192">
        <w:t>1,337</w:t>
      </w:r>
      <w:r w:rsidR="006E6195">
        <w:t>,000,000</w:t>
      </w:r>
    </w:p>
    <w:p w:rsidRPr="00CB5054" w:rsidR="007F1206" w:rsidP="00866620" w:rsidRDefault="007F1206" w14:paraId="52608DB3" w14:textId="77777777">
      <w:pPr>
        <w:pStyle w:val="Default"/>
        <w:rPr>
          <w:b/>
          <w:bCs/>
        </w:rPr>
      </w:pPr>
    </w:p>
    <w:p w:rsidRPr="00CB5054" w:rsidR="00866620" w:rsidP="00866620" w:rsidRDefault="00866620" w14:paraId="5D28DAED" w14:textId="77777777">
      <w:pPr>
        <w:pStyle w:val="Default"/>
      </w:pPr>
      <w:r w:rsidRPr="00CB5054">
        <w:rPr>
          <w:b/>
          <w:bCs/>
        </w:rPr>
        <w:t>Number of In-Plant Containers</w:t>
      </w:r>
      <w:r w:rsidR="00064C1A">
        <w:rPr>
          <w:b/>
          <w:bCs/>
        </w:rPr>
        <w:t xml:space="preserve"> </w:t>
      </w:r>
      <w:r w:rsidR="00F47192">
        <w:rPr>
          <w:bCs/>
        </w:rPr>
        <w:t>133,7</w:t>
      </w:r>
      <w:r w:rsidR="0001403F">
        <w:rPr>
          <w:bCs/>
        </w:rPr>
        <w:t>00,000</w:t>
      </w:r>
      <w:r w:rsidRPr="00CB5054" w:rsidR="007F1206">
        <w:rPr>
          <w:b/>
          <w:bCs/>
        </w:rPr>
        <w:tab/>
      </w:r>
      <w:r w:rsidRPr="00CB5054">
        <w:rPr>
          <w:b/>
          <w:bCs/>
        </w:rPr>
        <w:t xml:space="preserve"> </w:t>
      </w:r>
    </w:p>
    <w:p w:rsidRPr="00CB5054" w:rsidR="00866620" w:rsidP="00866620" w:rsidRDefault="00866620" w14:paraId="03639A35" w14:textId="77777777">
      <w:pPr>
        <w:pStyle w:val="Default"/>
      </w:pPr>
      <w:r w:rsidRPr="00CB5054">
        <w:rPr>
          <w:b/>
          <w:bCs/>
        </w:rPr>
        <w:t xml:space="preserve">Percentage of Establishments Already in </w:t>
      </w:r>
    </w:p>
    <w:p w:rsidRPr="00F67DA7" w:rsidR="00F67DA7" w:rsidP="00F67DA7" w:rsidRDefault="00866620" w14:paraId="1F1F8A25" w14:textId="77777777">
      <w:pPr>
        <w:shd w:val="solid" w:color="FFFFFF" w:fill="FFFFFF"/>
        <w:rPr>
          <w:b/>
          <w:color w:val="000000"/>
          <w:sz w:val="24"/>
          <w:szCs w:val="24"/>
        </w:rPr>
      </w:pPr>
      <w:r w:rsidRPr="00CB5054">
        <w:rPr>
          <w:b/>
          <w:bCs/>
          <w:color w:val="000000"/>
          <w:sz w:val="24"/>
          <w:szCs w:val="24"/>
        </w:rPr>
        <w:t xml:space="preserve">Compliance as a Result of State Standards </w:t>
      </w:r>
      <w:r w:rsidRPr="00CB5054">
        <w:rPr>
          <w:color w:val="000000"/>
          <w:sz w:val="24"/>
          <w:szCs w:val="24"/>
        </w:rPr>
        <w:t>60%</w:t>
      </w:r>
      <w:r w:rsidRPr="00CB5054" w:rsidR="007F1206">
        <w:rPr>
          <w:rStyle w:val="FootnoteReference"/>
          <w:color w:val="000000"/>
          <w:sz w:val="24"/>
          <w:szCs w:val="24"/>
        </w:rPr>
        <w:footnoteReference w:id="8"/>
      </w:r>
    </w:p>
    <w:p w:rsidR="00F67DA7" w:rsidP="007F1206" w:rsidRDefault="00F67DA7" w14:paraId="18036B56" w14:textId="77777777">
      <w:pPr>
        <w:pStyle w:val="Default"/>
        <w:rPr>
          <w:b/>
          <w:bCs/>
        </w:rPr>
      </w:pPr>
    </w:p>
    <w:p w:rsidRPr="00CB5054" w:rsidR="00F67DA7" w:rsidP="00F67DA7" w:rsidRDefault="00F67DA7" w14:paraId="56397711" w14:textId="77777777">
      <w:pPr>
        <w:pStyle w:val="Default"/>
      </w:pPr>
      <w:r w:rsidRPr="00CB5054">
        <w:rPr>
          <w:b/>
          <w:bCs/>
        </w:rPr>
        <w:t xml:space="preserve">Compensation Wage Rates </w:t>
      </w:r>
    </w:p>
    <w:p w:rsidR="00F67DA7" w:rsidP="00F67DA7" w:rsidRDefault="00F67DA7" w14:paraId="7599A32F" w14:textId="77777777">
      <w:pPr>
        <w:pStyle w:val="Default"/>
      </w:pPr>
    </w:p>
    <w:p w:rsidR="00F67DA7" w:rsidP="00F67DA7" w:rsidRDefault="00F67DA7" w14:paraId="22164460" w14:textId="77777777">
      <w:pPr>
        <w:pStyle w:val="Default"/>
      </w:pPr>
      <w:r w:rsidRPr="00CB5054">
        <w:t xml:space="preserve">The Agency determined average wage rates using average hourly earnings, including benefits, to represent the cost of worker time. The Agency adopted the mean wage rates from </w:t>
      </w:r>
      <w:r w:rsidRPr="00CB5054">
        <w:rPr>
          <w:i/>
          <w:iCs/>
        </w:rPr>
        <w:t xml:space="preserve">“May </w:t>
      </w:r>
      <w:r w:rsidRPr="00CB5054" w:rsidR="00B12DAD">
        <w:rPr>
          <w:i/>
          <w:iCs/>
        </w:rPr>
        <w:t>201</w:t>
      </w:r>
      <w:r w:rsidR="00B12DAD">
        <w:rPr>
          <w:i/>
          <w:iCs/>
        </w:rPr>
        <w:t>8</w:t>
      </w:r>
      <w:r w:rsidRPr="00CB5054" w:rsidR="00B12DAD">
        <w:rPr>
          <w:i/>
          <w:iCs/>
        </w:rPr>
        <w:t xml:space="preserve"> </w:t>
      </w:r>
      <w:r w:rsidRPr="00CB5054">
        <w:rPr>
          <w:i/>
          <w:iCs/>
        </w:rPr>
        <w:t xml:space="preserve">National Occupational Employment and Wage Estimates,” </w:t>
      </w:r>
      <w:r w:rsidRPr="00CB5054">
        <w:t>U.S. Department of Labor, Bureau of Labor Statistics</w:t>
      </w:r>
      <w:r w:rsidR="00E362FA">
        <w:t>.</w:t>
      </w:r>
      <w:r w:rsidRPr="00CB5054">
        <w:t xml:space="preserve"> Total compensation for these occupational categories includes an adjustment of </w:t>
      </w:r>
      <w:r w:rsidR="008B1382">
        <w:t>29.9</w:t>
      </w:r>
      <w:r w:rsidR="00AC4CA8">
        <w:t xml:space="preserve"> </w:t>
      </w:r>
      <w:r w:rsidRPr="00CB5054">
        <w:t>percent</w:t>
      </w:r>
      <w:r w:rsidR="0099269D">
        <w:t xml:space="preserve"> (.299)</w:t>
      </w:r>
      <w:r w:rsidR="002E04C7">
        <w:t>,</w:t>
      </w:r>
      <w:r w:rsidRPr="00CB5054">
        <w:t xml:space="preserve"> </w:t>
      </w:r>
      <w:r w:rsidRPr="00CB5054">
        <w:rPr>
          <w:i/>
          <w:iCs/>
        </w:rPr>
        <w:t xml:space="preserve">Employment Costs Index, </w:t>
      </w:r>
      <w:r w:rsidR="008B1382">
        <w:rPr>
          <w:i/>
          <w:iCs/>
        </w:rPr>
        <w:t>December</w:t>
      </w:r>
      <w:r w:rsidR="00AC4CA8">
        <w:rPr>
          <w:i/>
          <w:iCs/>
        </w:rPr>
        <w:t xml:space="preserve"> 2019</w:t>
      </w:r>
      <w:r w:rsidR="00AC4CA8">
        <w:rPr>
          <w:rStyle w:val="FootnoteReference"/>
          <w:i/>
          <w:iCs/>
        </w:rPr>
        <w:footnoteReference w:id="9"/>
      </w:r>
      <w:r w:rsidR="002C38CA">
        <w:rPr>
          <w:i/>
          <w:iCs/>
        </w:rPr>
        <w:t xml:space="preserve"> </w:t>
      </w:r>
      <w:r w:rsidRPr="00CB5054">
        <w:t xml:space="preserve">for fringe benefits; this figure represents the average level of fringe benefits in the private sector. The costs of labor used in this analysis are, therefore, estimates of total hourly compensation. These hourly wages are: </w:t>
      </w:r>
    </w:p>
    <w:p w:rsidR="00B12DAD" w:rsidP="00F67DA7" w:rsidRDefault="00B12DAD" w14:paraId="4B49EBEB" w14:textId="77777777">
      <w:pPr>
        <w:pStyle w:val="Default"/>
      </w:pPr>
    </w:p>
    <w:p w:rsidRPr="007056ED" w:rsidR="00B12DAD" w:rsidP="008B1382" w:rsidRDefault="00B12DAD" w14:paraId="6DEC766D" w14:textId="77777777">
      <w:pPr>
        <w:pStyle w:val="Default"/>
        <w:ind w:left="2160" w:firstLine="720"/>
        <w:rPr>
          <w:b/>
        </w:rPr>
      </w:pPr>
      <w:r>
        <w:rPr>
          <w:b/>
        </w:rPr>
        <w:t>Table 1 – Estimated Wage Rate</w:t>
      </w:r>
    </w:p>
    <w:p w:rsidR="00B12DAD" w:rsidP="00F67DA7" w:rsidRDefault="00B12DAD" w14:paraId="23882E8F" w14:textId="77777777">
      <w:pPr>
        <w:pStyle w:val="Defaul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2"/>
        <w:gridCol w:w="1644"/>
        <w:gridCol w:w="1540"/>
        <w:gridCol w:w="1539"/>
        <w:gridCol w:w="1505"/>
      </w:tblGrid>
      <w:tr w:rsidR="00B12DAD" w:rsidTr="006D73C3" w14:paraId="713B56B4" w14:textId="77777777">
        <w:trPr>
          <w:tblHeader/>
        </w:trPr>
        <w:tc>
          <w:tcPr>
            <w:tcW w:w="2407" w:type="dxa"/>
            <w:shd w:val="clear" w:color="auto" w:fill="C5E0B3"/>
          </w:tcPr>
          <w:p w:rsidRPr="008B1382" w:rsidR="00B12DAD" w:rsidP="00C133F0" w:rsidRDefault="00B12DAD" w14:paraId="3A6EDA46" w14:textId="77777777">
            <w:pPr>
              <w:pStyle w:val="Default"/>
              <w:widowControl w:val="0"/>
              <w:overflowPunct w:val="0"/>
            </w:pPr>
            <w:r w:rsidRPr="008B1382">
              <w:rPr>
                <w:b/>
              </w:rPr>
              <w:t>Occupational Title</w:t>
            </w:r>
          </w:p>
        </w:tc>
        <w:tc>
          <w:tcPr>
            <w:tcW w:w="1675" w:type="dxa"/>
            <w:shd w:val="clear" w:color="auto" w:fill="C5E0B3"/>
          </w:tcPr>
          <w:p w:rsidRPr="008B1382" w:rsidR="00B12DAD" w:rsidP="00C133F0" w:rsidRDefault="00B12DAD" w14:paraId="49B87D5B" w14:textId="77777777">
            <w:pPr>
              <w:pStyle w:val="Default"/>
              <w:widowControl w:val="0"/>
              <w:overflowPunct w:val="0"/>
            </w:pPr>
            <w:r w:rsidRPr="008B1382">
              <w:rPr>
                <w:b/>
              </w:rPr>
              <w:t>Standard Occupation Code</w:t>
            </w:r>
          </w:p>
        </w:tc>
        <w:tc>
          <w:tcPr>
            <w:tcW w:w="1604" w:type="dxa"/>
            <w:shd w:val="clear" w:color="auto" w:fill="C5E0B3"/>
          </w:tcPr>
          <w:p w:rsidR="00B12DAD" w:rsidP="0099269D" w:rsidRDefault="00B12DAD" w14:paraId="45ADE24D" w14:textId="77777777">
            <w:pPr>
              <w:pStyle w:val="Default"/>
              <w:widowControl w:val="0"/>
              <w:overflowPunct w:val="0"/>
              <w:jc w:val="center"/>
              <w:rPr>
                <w:b/>
              </w:rPr>
            </w:pPr>
            <w:r w:rsidRPr="008B1382">
              <w:rPr>
                <w:b/>
              </w:rPr>
              <w:t>Mean Hourly Wage</w:t>
            </w:r>
          </w:p>
          <w:p w:rsidRPr="0099269D" w:rsidR="0099269D" w:rsidP="0099269D" w:rsidRDefault="0099269D" w14:paraId="3ACF806F" w14:textId="77777777">
            <w:pPr>
              <w:pStyle w:val="Default"/>
              <w:widowControl w:val="0"/>
              <w:overflowPunct w:val="0"/>
              <w:jc w:val="center"/>
              <w:rPr>
                <w:i/>
              </w:rPr>
            </w:pPr>
            <w:r>
              <w:rPr>
                <w:b/>
                <w:i/>
              </w:rPr>
              <w:t>a</w:t>
            </w:r>
          </w:p>
        </w:tc>
        <w:tc>
          <w:tcPr>
            <w:tcW w:w="1602" w:type="dxa"/>
            <w:shd w:val="clear" w:color="auto" w:fill="C5E0B3"/>
          </w:tcPr>
          <w:p w:rsidR="00B12DAD" w:rsidP="0099269D" w:rsidRDefault="00B12DAD" w14:paraId="457F01B5" w14:textId="77777777">
            <w:pPr>
              <w:pStyle w:val="Default"/>
              <w:widowControl w:val="0"/>
              <w:overflowPunct w:val="0"/>
              <w:jc w:val="center"/>
              <w:rPr>
                <w:b/>
              </w:rPr>
            </w:pPr>
            <w:r w:rsidRPr="008B1382">
              <w:rPr>
                <w:b/>
              </w:rPr>
              <w:t>Fringe Benefits</w:t>
            </w:r>
          </w:p>
          <w:p w:rsidRPr="0099269D" w:rsidR="0099269D" w:rsidP="0099269D" w:rsidRDefault="0099269D" w14:paraId="34715F5C" w14:textId="77777777">
            <w:pPr>
              <w:pStyle w:val="Default"/>
              <w:widowControl w:val="0"/>
              <w:overflowPunct w:val="0"/>
              <w:jc w:val="center"/>
              <w:rPr>
                <w:i/>
              </w:rPr>
            </w:pPr>
            <w:r>
              <w:rPr>
                <w:b/>
                <w:i/>
              </w:rPr>
              <w:t>b</w:t>
            </w:r>
          </w:p>
        </w:tc>
        <w:tc>
          <w:tcPr>
            <w:tcW w:w="1568" w:type="dxa"/>
            <w:shd w:val="clear" w:color="auto" w:fill="C5E0B3"/>
          </w:tcPr>
          <w:p w:rsidR="00B12DAD" w:rsidP="0099269D" w:rsidRDefault="00B12DAD" w14:paraId="7C6427C2" w14:textId="77777777">
            <w:pPr>
              <w:pStyle w:val="Default"/>
              <w:widowControl w:val="0"/>
              <w:overflowPunct w:val="0"/>
              <w:jc w:val="center"/>
              <w:rPr>
                <w:b/>
              </w:rPr>
            </w:pPr>
            <w:r w:rsidRPr="008B1382">
              <w:rPr>
                <w:b/>
              </w:rPr>
              <w:t>Wage Rate</w:t>
            </w:r>
          </w:p>
          <w:p w:rsidR="0099269D" w:rsidP="0099269D" w:rsidRDefault="0099269D" w14:paraId="2956276D" w14:textId="77777777">
            <w:pPr>
              <w:pStyle w:val="Default"/>
              <w:widowControl w:val="0"/>
              <w:overflowPunct w:val="0"/>
              <w:jc w:val="center"/>
              <w:rPr>
                <w:b/>
                <w:i/>
              </w:rPr>
            </w:pPr>
            <w:r>
              <w:rPr>
                <w:b/>
                <w:i/>
              </w:rPr>
              <w:t>c</w:t>
            </w:r>
          </w:p>
          <w:p w:rsidRPr="0099269D" w:rsidR="0099269D" w:rsidP="0099269D" w:rsidRDefault="0099269D" w14:paraId="69335471" w14:textId="4011FFE0">
            <w:pPr>
              <w:pStyle w:val="Default"/>
              <w:widowControl w:val="0"/>
              <w:overflowPunct w:val="0"/>
              <w:jc w:val="center"/>
              <w:rPr>
                <w:b/>
                <w:i/>
              </w:rPr>
            </w:pPr>
            <w:r>
              <w:rPr>
                <w:b/>
                <w:i/>
              </w:rPr>
              <w:t>[c=</w:t>
            </w:r>
            <w:r w:rsidR="00B41E99">
              <w:rPr>
                <w:b/>
                <w:i/>
              </w:rPr>
              <w:t>a</w:t>
            </w:r>
            <w:r>
              <w:rPr>
                <w:b/>
                <w:i/>
              </w:rPr>
              <w:t>/(1-b)]</w:t>
            </w:r>
          </w:p>
        </w:tc>
      </w:tr>
      <w:tr w:rsidR="00B12DAD" w:rsidTr="00EB5228" w14:paraId="17F39805" w14:textId="77777777">
        <w:tc>
          <w:tcPr>
            <w:tcW w:w="2407" w:type="dxa"/>
            <w:shd w:val="clear" w:color="auto" w:fill="auto"/>
          </w:tcPr>
          <w:p w:rsidRPr="008B1382" w:rsidR="00B12DAD" w:rsidP="00C133F0" w:rsidRDefault="00B12DAD" w14:paraId="0C7A2790" w14:textId="77777777">
            <w:pPr>
              <w:pStyle w:val="Default"/>
              <w:widowControl w:val="0"/>
              <w:overflowPunct w:val="0"/>
            </w:pPr>
            <w:r w:rsidRPr="008B1382">
              <w:t xml:space="preserve">Supervisors/Managers  </w:t>
            </w:r>
          </w:p>
        </w:tc>
        <w:tc>
          <w:tcPr>
            <w:tcW w:w="1675" w:type="dxa"/>
            <w:shd w:val="clear" w:color="auto" w:fill="auto"/>
          </w:tcPr>
          <w:p w:rsidRPr="008B1382" w:rsidR="00B12DAD" w:rsidP="00C133F0" w:rsidRDefault="00B12DAD" w14:paraId="454C6FA4" w14:textId="77777777">
            <w:pPr>
              <w:pStyle w:val="Default"/>
              <w:widowControl w:val="0"/>
              <w:overflowPunct w:val="0"/>
            </w:pPr>
            <w:r w:rsidRPr="008B1382">
              <w:t>11-3051</w:t>
            </w:r>
          </w:p>
        </w:tc>
        <w:tc>
          <w:tcPr>
            <w:tcW w:w="1604" w:type="dxa"/>
            <w:shd w:val="clear" w:color="auto" w:fill="auto"/>
          </w:tcPr>
          <w:p w:rsidRPr="008B1382" w:rsidR="00B12DAD" w:rsidP="00C133F0" w:rsidRDefault="00EE075C" w14:paraId="2063C67D" w14:textId="77777777">
            <w:pPr>
              <w:pStyle w:val="Default"/>
              <w:widowControl w:val="0"/>
              <w:overflowPunct w:val="0"/>
            </w:pPr>
            <w:r w:rsidRPr="008B1382">
              <w:t>$54.51</w:t>
            </w:r>
            <w:r w:rsidRPr="008B1382" w:rsidR="00065723">
              <w:rPr>
                <w:rStyle w:val="FootnoteReference"/>
              </w:rPr>
              <w:footnoteReference w:id="10"/>
            </w:r>
          </w:p>
        </w:tc>
        <w:tc>
          <w:tcPr>
            <w:tcW w:w="1602" w:type="dxa"/>
            <w:shd w:val="clear" w:color="auto" w:fill="auto"/>
          </w:tcPr>
          <w:p w:rsidRPr="008B1382" w:rsidR="00B12DAD" w:rsidP="00C133F0" w:rsidRDefault="00E67CD6" w14:paraId="2EC27012" w14:textId="77777777">
            <w:pPr>
              <w:pStyle w:val="Default"/>
              <w:widowControl w:val="0"/>
              <w:overflowPunct w:val="0"/>
            </w:pPr>
            <w:r>
              <w:t>.</w:t>
            </w:r>
            <w:r w:rsidR="008B1382">
              <w:t>299</w:t>
            </w:r>
          </w:p>
          <w:p w:rsidRPr="008B1382" w:rsidR="002C38CA" w:rsidP="00C133F0" w:rsidRDefault="002C38CA" w14:paraId="74522107" w14:textId="77777777">
            <w:pPr>
              <w:pStyle w:val="Default"/>
              <w:widowControl w:val="0"/>
              <w:overflowPunct w:val="0"/>
            </w:pPr>
          </w:p>
        </w:tc>
        <w:tc>
          <w:tcPr>
            <w:tcW w:w="1568" w:type="dxa"/>
            <w:shd w:val="clear" w:color="auto" w:fill="auto"/>
          </w:tcPr>
          <w:p w:rsidRPr="008B1382" w:rsidR="00B12DAD" w:rsidP="00C133F0" w:rsidRDefault="002E04C7" w14:paraId="0DC9F61E" w14:textId="77777777">
            <w:pPr>
              <w:pStyle w:val="Default"/>
              <w:widowControl w:val="0"/>
              <w:overflowPunct w:val="0"/>
            </w:pPr>
            <w:r w:rsidRPr="008B1382">
              <w:t>$</w:t>
            </w:r>
            <w:r w:rsidR="00B81D6A">
              <w:t>77.76</w:t>
            </w:r>
          </w:p>
        </w:tc>
      </w:tr>
      <w:tr w:rsidR="00E67CD6" w:rsidTr="00EB5228" w14:paraId="7CA4B301" w14:textId="77777777">
        <w:tc>
          <w:tcPr>
            <w:tcW w:w="2407" w:type="dxa"/>
            <w:shd w:val="clear" w:color="auto" w:fill="auto"/>
          </w:tcPr>
          <w:p w:rsidRPr="008B1382" w:rsidR="00E67CD6" w:rsidP="00E67CD6" w:rsidRDefault="00E67CD6" w14:paraId="771BB75A" w14:textId="77777777">
            <w:pPr>
              <w:pStyle w:val="Default"/>
              <w:widowControl w:val="0"/>
              <w:overflowPunct w:val="0"/>
            </w:pPr>
            <w:r w:rsidRPr="008B1382">
              <w:t>Logistic Workers</w:t>
            </w:r>
          </w:p>
        </w:tc>
        <w:tc>
          <w:tcPr>
            <w:tcW w:w="1675" w:type="dxa"/>
            <w:shd w:val="clear" w:color="auto" w:fill="auto"/>
          </w:tcPr>
          <w:p w:rsidRPr="008B1382" w:rsidR="00E67CD6" w:rsidP="00E67CD6" w:rsidRDefault="00E67CD6" w14:paraId="7D55F918" w14:textId="77777777">
            <w:pPr>
              <w:pStyle w:val="Default"/>
              <w:widowControl w:val="0"/>
              <w:overflowPunct w:val="0"/>
            </w:pPr>
            <w:r w:rsidRPr="008B1382">
              <w:t>13-1081</w:t>
            </w:r>
          </w:p>
        </w:tc>
        <w:tc>
          <w:tcPr>
            <w:tcW w:w="1604" w:type="dxa"/>
            <w:shd w:val="clear" w:color="auto" w:fill="auto"/>
          </w:tcPr>
          <w:p w:rsidRPr="008B1382" w:rsidR="00E67CD6" w:rsidP="00E67CD6" w:rsidRDefault="00E67CD6" w14:paraId="6642023B" w14:textId="77777777">
            <w:pPr>
              <w:pStyle w:val="Default"/>
              <w:widowControl w:val="0"/>
              <w:overflowPunct w:val="0"/>
            </w:pPr>
            <w:r w:rsidRPr="008B1382">
              <w:t>$37.85</w:t>
            </w:r>
            <w:r w:rsidRPr="008B1382">
              <w:rPr>
                <w:rStyle w:val="FootnoteReference"/>
              </w:rPr>
              <w:footnoteReference w:id="11"/>
            </w:r>
          </w:p>
        </w:tc>
        <w:tc>
          <w:tcPr>
            <w:tcW w:w="1602" w:type="dxa"/>
            <w:shd w:val="clear" w:color="auto" w:fill="auto"/>
          </w:tcPr>
          <w:p w:rsidRPr="008B1382" w:rsidR="00E67CD6" w:rsidP="00E67CD6" w:rsidRDefault="00E67CD6" w14:paraId="0D5C7CA9" w14:textId="77777777">
            <w:pPr>
              <w:pStyle w:val="Default"/>
              <w:widowControl w:val="0"/>
              <w:overflowPunct w:val="0"/>
            </w:pPr>
            <w:r>
              <w:t>.299</w:t>
            </w:r>
          </w:p>
          <w:p w:rsidRPr="008B1382" w:rsidR="00E67CD6" w:rsidP="00E67CD6" w:rsidRDefault="00E67CD6" w14:paraId="30271019" w14:textId="77777777">
            <w:pPr>
              <w:pStyle w:val="Default"/>
              <w:widowControl w:val="0"/>
              <w:overflowPunct w:val="0"/>
            </w:pPr>
          </w:p>
        </w:tc>
        <w:tc>
          <w:tcPr>
            <w:tcW w:w="1568" w:type="dxa"/>
            <w:shd w:val="clear" w:color="auto" w:fill="auto"/>
          </w:tcPr>
          <w:p w:rsidRPr="008B1382" w:rsidR="00E67CD6" w:rsidP="00E67CD6" w:rsidRDefault="00E67CD6" w14:paraId="65A16B77" w14:textId="77777777">
            <w:pPr>
              <w:pStyle w:val="Default"/>
              <w:widowControl w:val="0"/>
              <w:overflowPunct w:val="0"/>
            </w:pPr>
            <w:r w:rsidRPr="008B1382">
              <w:t>$</w:t>
            </w:r>
            <w:r>
              <w:t>53.99</w:t>
            </w:r>
          </w:p>
        </w:tc>
      </w:tr>
      <w:tr w:rsidR="00E67CD6" w:rsidTr="00EB5228" w14:paraId="1BDDA8E2" w14:textId="77777777">
        <w:tc>
          <w:tcPr>
            <w:tcW w:w="2407" w:type="dxa"/>
            <w:shd w:val="clear" w:color="auto" w:fill="auto"/>
          </w:tcPr>
          <w:p w:rsidRPr="008B1382" w:rsidR="00E67CD6" w:rsidP="00E67CD6" w:rsidRDefault="00E67CD6" w14:paraId="55743A74" w14:textId="77777777">
            <w:pPr>
              <w:pStyle w:val="Default"/>
              <w:widowControl w:val="0"/>
              <w:overflowPunct w:val="0"/>
            </w:pPr>
            <w:r w:rsidRPr="00EB5228">
              <w:t>Occupational Health &amp; Safety Specialist</w:t>
            </w:r>
          </w:p>
        </w:tc>
        <w:tc>
          <w:tcPr>
            <w:tcW w:w="1675" w:type="dxa"/>
            <w:shd w:val="clear" w:color="auto" w:fill="auto"/>
          </w:tcPr>
          <w:p w:rsidRPr="008B1382" w:rsidR="00E67CD6" w:rsidP="00E67CD6" w:rsidRDefault="00E67CD6" w14:paraId="66F34F2D" w14:textId="77777777">
            <w:pPr>
              <w:pStyle w:val="Default"/>
              <w:widowControl w:val="0"/>
              <w:overflowPunct w:val="0"/>
            </w:pPr>
            <w:r w:rsidRPr="00EB5228">
              <w:t>29-9011</w:t>
            </w:r>
          </w:p>
        </w:tc>
        <w:tc>
          <w:tcPr>
            <w:tcW w:w="1604" w:type="dxa"/>
            <w:shd w:val="clear" w:color="auto" w:fill="auto"/>
          </w:tcPr>
          <w:p w:rsidRPr="008B1382" w:rsidR="00E67CD6" w:rsidP="00E67CD6" w:rsidRDefault="00E67CD6" w14:paraId="1F3165CA" w14:textId="77777777">
            <w:pPr>
              <w:pStyle w:val="Default"/>
              <w:widowControl w:val="0"/>
              <w:overflowPunct w:val="0"/>
            </w:pPr>
            <w:r>
              <w:t>$36.03</w:t>
            </w:r>
          </w:p>
        </w:tc>
        <w:tc>
          <w:tcPr>
            <w:tcW w:w="1602" w:type="dxa"/>
            <w:shd w:val="clear" w:color="auto" w:fill="auto"/>
          </w:tcPr>
          <w:p w:rsidRPr="008B1382" w:rsidR="00E67CD6" w:rsidP="00E67CD6" w:rsidRDefault="00E67CD6" w14:paraId="451AB433" w14:textId="77777777">
            <w:pPr>
              <w:pStyle w:val="Default"/>
              <w:widowControl w:val="0"/>
              <w:overflowPunct w:val="0"/>
            </w:pPr>
            <w:r>
              <w:t>.299</w:t>
            </w:r>
          </w:p>
          <w:p w:rsidRPr="008B1382" w:rsidR="00E67CD6" w:rsidP="00E67CD6" w:rsidRDefault="00E67CD6" w14:paraId="2C7FDCC0" w14:textId="77777777">
            <w:pPr>
              <w:pStyle w:val="Default"/>
              <w:widowControl w:val="0"/>
              <w:overflowPunct w:val="0"/>
            </w:pPr>
          </w:p>
        </w:tc>
        <w:tc>
          <w:tcPr>
            <w:tcW w:w="1568" w:type="dxa"/>
            <w:shd w:val="clear" w:color="auto" w:fill="auto"/>
          </w:tcPr>
          <w:p w:rsidRPr="008B1382" w:rsidR="00E67CD6" w:rsidP="00E67CD6" w:rsidRDefault="00E67CD6" w14:paraId="40446B85" w14:textId="77777777">
            <w:pPr>
              <w:pStyle w:val="Default"/>
              <w:widowControl w:val="0"/>
              <w:overflowPunct w:val="0"/>
            </w:pPr>
            <w:r>
              <w:t>$51.40</w:t>
            </w:r>
          </w:p>
        </w:tc>
      </w:tr>
      <w:tr w:rsidR="00E67CD6" w:rsidTr="00EB5228" w14:paraId="20A998B4" w14:textId="77777777">
        <w:tc>
          <w:tcPr>
            <w:tcW w:w="2407" w:type="dxa"/>
            <w:shd w:val="clear" w:color="auto" w:fill="auto"/>
          </w:tcPr>
          <w:p w:rsidRPr="008B1382" w:rsidR="00E67CD6" w:rsidP="00E67CD6" w:rsidRDefault="00E67CD6" w14:paraId="21A4983B" w14:textId="77777777">
            <w:pPr>
              <w:pStyle w:val="Default"/>
              <w:widowControl w:val="0"/>
              <w:overflowPunct w:val="0"/>
            </w:pPr>
            <w:r w:rsidRPr="008B1382">
              <w:t>Clerical/Secretary</w:t>
            </w:r>
          </w:p>
        </w:tc>
        <w:tc>
          <w:tcPr>
            <w:tcW w:w="1675" w:type="dxa"/>
            <w:shd w:val="clear" w:color="auto" w:fill="auto"/>
          </w:tcPr>
          <w:p w:rsidRPr="008B1382" w:rsidR="00E67CD6" w:rsidP="00E67CD6" w:rsidRDefault="00E67CD6" w14:paraId="4270D6C4" w14:textId="77777777">
            <w:pPr>
              <w:pStyle w:val="Default"/>
              <w:widowControl w:val="0"/>
              <w:overflowPunct w:val="0"/>
            </w:pPr>
            <w:r w:rsidRPr="008B1382">
              <w:t>43-6014</w:t>
            </w:r>
          </w:p>
        </w:tc>
        <w:tc>
          <w:tcPr>
            <w:tcW w:w="1604" w:type="dxa"/>
            <w:shd w:val="clear" w:color="auto" w:fill="auto"/>
          </w:tcPr>
          <w:p w:rsidRPr="008B1382" w:rsidR="00E67CD6" w:rsidP="00E67CD6" w:rsidRDefault="00E67CD6" w14:paraId="7DEBF40B" w14:textId="77777777">
            <w:pPr>
              <w:pStyle w:val="Default"/>
              <w:widowControl w:val="0"/>
              <w:overflowPunct w:val="0"/>
            </w:pPr>
            <w:r w:rsidRPr="008B1382">
              <w:t>$18.28</w:t>
            </w:r>
            <w:r w:rsidRPr="008B1382">
              <w:rPr>
                <w:rStyle w:val="FootnoteReference"/>
              </w:rPr>
              <w:footnoteReference w:id="12"/>
            </w:r>
          </w:p>
        </w:tc>
        <w:tc>
          <w:tcPr>
            <w:tcW w:w="1602" w:type="dxa"/>
            <w:shd w:val="clear" w:color="auto" w:fill="auto"/>
          </w:tcPr>
          <w:p w:rsidRPr="008B1382" w:rsidR="00E67CD6" w:rsidP="00E67CD6" w:rsidRDefault="00E67CD6" w14:paraId="5FFE37D7" w14:textId="77777777">
            <w:pPr>
              <w:pStyle w:val="Default"/>
              <w:widowControl w:val="0"/>
              <w:overflowPunct w:val="0"/>
            </w:pPr>
            <w:r>
              <w:t>.299</w:t>
            </w:r>
          </w:p>
          <w:p w:rsidRPr="008B1382" w:rsidR="00E67CD6" w:rsidP="00E67CD6" w:rsidRDefault="00E67CD6" w14:paraId="36B11809" w14:textId="77777777">
            <w:pPr>
              <w:pStyle w:val="Default"/>
              <w:widowControl w:val="0"/>
              <w:overflowPunct w:val="0"/>
            </w:pPr>
          </w:p>
        </w:tc>
        <w:tc>
          <w:tcPr>
            <w:tcW w:w="1568" w:type="dxa"/>
            <w:shd w:val="clear" w:color="auto" w:fill="auto"/>
          </w:tcPr>
          <w:p w:rsidRPr="008B1382" w:rsidR="00E67CD6" w:rsidP="00E67CD6" w:rsidRDefault="00E67CD6" w14:paraId="42F3DE72" w14:textId="77777777">
            <w:pPr>
              <w:pStyle w:val="Default"/>
              <w:widowControl w:val="0"/>
              <w:overflowPunct w:val="0"/>
            </w:pPr>
            <w:r w:rsidRPr="008B1382">
              <w:t>$</w:t>
            </w:r>
            <w:r>
              <w:t>26.08</w:t>
            </w:r>
          </w:p>
        </w:tc>
      </w:tr>
    </w:tbl>
    <w:p w:rsidRPr="00CB5054" w:rsidR="00B12DAD" w:rsidP="00F67DA7" w:rsidRDefault="00B12DAD" w14:paraId="2553EA57" w14:textId="77777777">
      <w:pPr>
        <w:pStyle w:val="Default"/>
      </w:pPr>
    </w:p>
    <w:p w:rsidRPr="00CB5054" w:rsidR="00F67DA7" w:rsidP="00F67DA7" w:rsidRDefault="00F67DA7" w14:paraId="1F51C0E2" w14:textId="77777777">
      <w:pPr>
        <w:pStyle w:val="Default"/>
      </w:pPr>
    </w:p>
    <w:p w:rsidRPr="00CB5054" w:rsidR="00F67DA7" w:rsidP="00F67DA7" w:rsidRDefault="00F67DA7" w14:paraId="1E615733" w14:textId="77777777">
      <w:pPr>
        <w:shd w:val="solid" w:color="FFFFFF" w:fill="FFFFFF"/>
        <w:rPr>
          <w:b/>
          <w:color w:val="000000"/>
          <w:sz w:val="24"/>
          <w:szCs w:val="24"/>
        </w:rPr>
      </w:pPr>
    </w:p>
    <w:p w:rsidRPr="00CB5054" w:rsidR="007F1206" w:rsidP="007F1206" w:rsidRDefault="007F1206" w14:paraId="175B02BE" w14:textId="77777777">
      <w:pPr>
        <w:pStyle w:val="Default"/>
      </w:pPr>
      <w:r w:rsidRPr="00CB5054">
        <w:rPr>
          <w:b/>
          <w:bCs/>
        </w:rPr>
        <w:t xml:space="preserve">1. Written Hazard Communication Programs (§ 1910.1200(e)) </w:t>
      </w:r>
    </w:p>
    <w:p w:rsidR="007F1206" w:rsidP="007F1206" w:rsidRDefault="007F1206" w14:paraId="1984E3E1" w14:textId="77777777">
      <w:pPr>
        <w:pStyle w:val="Default"/>
        <w:rPr>
          <w:b/>
          <w:bCs/>
        </w:rPr>
      </w:pPr>
      <w:r w:rsidRPr="00CB5054">
        <w:rPr>
          <w:b/>
          <w:bCs/>
        </w:rPr>
        <w:t xml:space="preserve">(New Establishments) </w:t>
      </w:r>
    </w:p>
    <w:p w:rsidRPr="00CB5054" w:rsidR="0097611C" w:rsidP="007F1206" w:rsidRDefault="0097611C" w14:paraId="1A26F2B3" w14:textId="77777777">
      <w:pPr>
        <w:pStyle w:val="Default"/>
      </w:pPr>
    </w:p>
    <w:p w:rsidRPr="00CB5054" w:rsidR="007F1206" w:rsidP="007F1206" w:rsidRDefault="007F1206" w14:paraId="63398D33" w14:textId="37B69FF6">
      <w:pPr>
        <w:pStyle w:val="Default"/>
      </w:pPr>
      <w:r w:rsidRPr="00CB5054">
        <w:t xml:space="preserve">Written Hazard Communication Program: All affected establishments must have a written hazard communication program explaining how the establishment meets the criteria of the standard with respect to labeling, SDSs, and worker information and training as discussed under paragraph (e) of the standard. The RIA estimates manufacturing plants take an average of 5 hours (4 professional hours and 1 clerical hour) to develop a written hazard communication program while non-manufacturing facilities take an average of 2.5 hours (2 hours professional and .5 clerical). </w:t>
      </w:r>
    </w:p>
    <w:p w:rsidRPr="00CB5054" w:rsidR="007F1206" w:rsidP="007F1206" w:rsidRDefault="007F1206" w14:paraId="31EAC501" w14:textId="77777777">
      <w:pPr>
        <w:pStyle w:val="Default"/>
        <w:ind w:right="-80"/>
      </w:pPr>
    </w:p>
    <w:p w:rsidRPr="00CB5054" w:rsidR="007F1206" w:rsidP="007F1206" w:rsidRDefault="007F1206" w14:paraId="16948B49" w14:textId="77777777">
      <w:pPr>
        <w:pStyle w:val="Default"/>
        <w:ind w:right="-80"/>
      </w:pPr>
      <w:r w:rsidRPr="00CB5054">
        <w:t xml:space="preserve">To determine the total number of </w:t>
      </w:r>
      <w:r w:rsidRPr="00CB5054">
        <w:rPr>
          <w:i/>
          <w:iCs/>
        </w:rPr>
        <w:t xml:space="preserve">new </w:t>
      </w:r>
      <w:r w:rsidRPr="00CB5054">
        <w:t xml:space="preserve">manufacturing and non-manufacturing establishments the agency multiplied the total number of manufacturing and non-manufacturing establishments by the rate of entry. </w:t>
      </w:r>
    </w:p>
    <w:p w:rsidRPr="00CB5054" w:rsidR="007F1206" w:rsidP="007F1206" w:rsidRDefault="007F1206" w14:paraId="5BB033C7" w14:textId="77777777">
      <w:pPr>
        <w:pStyle w:val="Default"/>
        <w:ind w:right="-80"/>
      </w:pPr>
    </w:p>
    <w:p w:rsidRPr="00CB5054" w:rsidR="007F1206" w:rsidP="007F1206" w:rsidRDefault="007F1206" w14:paraId="11BF4558" w14:textId="77777777">
      <w:pPr>
        <w:pStyle w:val="Default"/>
        <w:ind w:right="-80"/>
      </w:pPr>
      <w:r w:rsidRPr="00CB5054">
        <w:t xml:space="preserve">In addition, since sixty percent of establishments were in compliance prior to the promulgation of the HCS as a result of State Standards, the total number of new establishments was multiplied </w:t>
      </w:r>
      <w:r w:rsidRPr="00AD1097">
        <w:t xml:space="preserve">by </w:t>
      </w:r>
      <w:r w:rsidRPr="00AB0B90">
        <w:t>40%</w:t>
      </w:r>
      <w:r w:rsidRPr="00AD1097">
        <w:t xml:space="preserve"> to reflect</w:t>
      </w:r>
      <w:r w:rsidRPr="00CB5054">
        <w:t xml:space="preserve"> burden hours and costs attributed to the HCS. </w:t>
      </w:r>
    </w:p>
    <w:p w:rsidRPr="00CB5054" w:rsidR="0025445D" w:rsidP="007F1206" w:rsidRDefault="0025445D" w14:paraId="71D3F198" w14:textId="77777777">
      <w:pPr>
        <w:pStyle w:val="Default"/>
        <w:ind w:right="-80"/>
      </w:pPr>
    </w:p>
    <w:p w:rsidRPr="00CB5054" w:rsidR="007F1206" w:rsidP="007F1206" w:rsidRDefault="007F1206" w14:paraId="6AE84FFF" w14:textId="77777777">
      <w:pPr>
        <w:pStyle w:val="Default"/>
        <w:ind w:right="-80"/>
      </w:pPr>
      <w:r w:rsidRPr="00CB5054">
        <w:rPr>
          <w:u w:val="single"/>
        </w:rPr>
        <w:t>Number of new establishments affected</w:t>
      </w:r>
      <w:r w:rsidRPr="00CB5054">
        <w:t xml:space="preserve">: </w:t>
      </w:r>
    </w:p>
    <w:p w:rsidRPr="00CB5054" w:rsidR="007F1206" w:rsidP="007F1206" w:rsidRDefault="007F1206" w14:paraId="6D51EC89" w14:textId="77777777">
      <w:pPr>
        <w:pStyle w:val="Default"/>
        <w:ind w:right="-80"/>
        <w:rPr>
          <w:sz w:val="23"/>
          <w:szCs w:val="23"/>
        </w:rPr>
      </w:pPr>
    </w:p>
    <w:p w:rsidR="007F1206" w:rsidP="007F1206" w:rsidRDefault="007F1206" w14:paraId="7AEC2A31" w14:textId="77777777">
      <w:pPr>
        <w:pStyle w:val="Default"/>
        <w:ind w:right="-80"/>
      </w:pPr>
      <w:r w:rsidRPr="00CB5054">
        <w:t xml:space="preserve">New manufacturing establishments: </w:t>
      </w:r>
      <w:r w:rsidR="00DA273B">
        <w:t>85,081</w:t>
      </w:r>
      <w:r w:rsidRPr="00CB5054">
        <w:t xml:space="preserve"> manufacturing establishments x .072 (rate of entry) x 40% = </w:t>
      </w:r>
      <w:r w:rsidR="00CA16E1">
        <w:t>2,450</w:t>
      </w:r>
      <w:r w:rsidRPr="00CB5054" w:rsidR="00BF75EE">
        <w:t xml:space="preserve"> </w:t>
      </w:r>
      <w:r w:rsidRPr="00CB5054">
        <w:t xml:space="preserve">affected new manufacturing establishments. </w:t>
      </w:r>
    </w:p>
    <w:p w:rsidRPr="00CB5054" w:rsidR="006D3DAF" w:rsidP="007F1206" w:rsidRDefault="006D3DAF" w14:paraId="511BA5B1" w14:textId="77777777">
      <w:pPr>
        <w:pStyle w:val="Default"/>
        <w:ind w:right="-80"/>
      </w:pPr>
    </w:p>
    <w:p w:rsidRPr="00CB5054" w:rsidR="007F1206" w:rsidP="007F1206" w:rsidRDefault="007F1206" w14:paraId="2CB055F0" w14:textId="77777777">
      <w:pPr>
        <w:pStyle w:val="Default"/>
        <w:ind w:right="-80"/>
      </w:pPr>
      <w:r w:rsidRPr="00CB5054">
        <w:t xml:space="preserve">New non-manufacturing establishments: </w:t>
      </w:r>
      <w:r w:rsidR="00DA273B">
        <w:t>4,933,235</w:t>
      </w:r>
      <w:r w:rsidRPr="00CB5054">
        <w:t xml:space="preserve"> non-manufacturing establishments x .127 (rate of entry) x 40% = </w:t>
      </w:r>
      <w:r w:rsidR="00CA16E1">
        <w:t>250,608</w:t>
      </w:r>
      <w:r w:rsidRPr="00CB5054">
        <w:t xml:space="preserve"> affected new non-manufacturing establishments </w:t>
      </w:r>
    </w:p>
    <w:p w:rsidRPr="00CB5054" w:rsidR="007F1206" w:rsidP="007F1206" w:rsidRDefault="007F1206" w14:paraId="03DD9B7A" w14:textId="77777777">
      <w:pPr>
        <w:pStyle w:val="Default"/>
        <w:ind w:right="-80"/>
        <w:rPr>
          <w:b/>
          <w:bCs/>
        </w:rPr>
      </w:pPr>
    </w:p>
    <w:p w:rsidR="00AB0B90" w:rsidP="007F1206" w:rsidRDefault="00AB0B90" w14:paraId="67A24F24" w14:textId="77777777">
      <w:pPr>
        <w:pStyle w:val="Default"/>
        <w:ind w:right="-80"/>
        <w:rPr>
          <w:b/>
          <w:bCs/>
        </w:rPr>
      </w:pPr>
    </w:p>
    <w:p w:rsidR="00AB0B90" w:rsidP="007F1206" w:rsidRDefault="00AB0B90" w14:paraId="58C2FE47" w14:textId="77777777">
      <w:pPr>
        <w:pStyle w:val="Default"/>
        <w:ind w:right="-80"/>
        <w:rPr>
          <w:b/>
          <w:bCs/>
        </w:rPr>
      </w:pPr>
    </w:p>
    <w:p w:rsidR="00AB0B90" w:rsidP="007F1206" w:rsidRDefault="00AB0B90" w14:paraId="4BA1E0B4" w14:textId="77777777">
      <w:pPr>
        <w:pStyle w:val="Default"/>
        <w:ind w:right="-80"/>
        <w:rPr>
          <w:b/>
          <w:bCs/>
        </w:rPr>
      </w:pPr>
    </w:p>
    <w:p w:rsidR="00AB0B90" w:rsidP="007F1206" w:rsidRDefault="00AB0B90" w14:paraId="1C363D59" w14:textId="77777777">
      <w:pPr>
        <w:pStyle w:val="Default"/>
        <w:ind w:right="-80"/>
        <w:rPr>
          <w:b/>
          <w:bCs/>
        </w:rPr>
      </w:pPr>
    </w:p>
    <w:p w:rsidRPr="00CB5054" w:rsidR="007F1206" w:rsidP="007F1206" w:rsidRDefault="007F1206" w14:paraId="67DC3EA5" w14:textId="77777777">
      <w:pPr>
        <w:pStyle w:val="Default"/>
        <w:ind w:right="-80"/>
      </w:pPr>
      <w:r w:rsidRPr="00CB5054">
        <w:rPr>
          <w:b/>
          <w:bCs/>
        </w:rPr>
        <w:t>Burden Hours and Costs</w:t>
      </w:r>
      <w:r w:rsidRPr="002567E2">
        <w:rPr>
          <w:bCs/>
        </w:rPr>
        <w:t>:</w:t>
      </w:r>
      <w:r w:rsidRPr="00CB5054">
        <w:rPr>
          <w:b/>
          <w:bCs/>
        </w:rPr>
        <w:t xml:space="preserve"> </w:t>
      </w:r>
    </w:p>
    <w:p w:rsidRPr="00CB5054" w:rsidR="007F1206" w:rsidP="007F1206" w:rsidRDefault="007F1206" w14:paraId="075C2C71" w14:textId="77777777">
      <w:pPr>
        <w:pStyle w:val="Default"/>
        <w:ind w:right="-80"/>
      </w:pPr>
    </w:p>
    <w:p w:rsidRPr="00CB5054" w:rsidR="007F1206" w:rsidP="007F1206" w:rsidRDefault="007F1206" w14:paraId="76219F1F" w14:textId="77777777">
      <w:pPr>
        <w:pStyle w:val="Default"/>
        <w:ind w:right="-80"/>
      </w:pPr>
      <w:r w:rsidRPr="00CB5054">
        <w:rPr>
          <w:u w:val="single"/>
        </w:rPr>
        <w:t>Manufacturing</w:t>
      </w:r>
      <w:r w:rsidRPr="00CB5054">
        <w:t xml:space="preserve">: </w:t>
      </w:r>
    </w:p>
    <w:p w:rsidRPr="00CB5054" w:rsidR="007F1206" w:rsidP="007F1206" w:rsidRDefault="007F1206" w14:paraId="02E271AF" w14:textId="77777777">
      <w:pPr>
        <w:pStyle w:val="Default"/>
        <w:ind w:left="720" w:right="-80"/>
        <w:rPr>
          <w:b/>
          <w:bCs/>
        </w:rPr>
      </w:pPr>
    </w:p>
    <w:p w:rsidRPr="00CB5054" w:rsidR="007F1206" w:rsidP="007F1206" w:rsidRDefault="007F1206" w14:paraId="442FFF25" w14:textId="77777777">
      <w:pPr>
        <w:pStyle w:val="Default"/>
        <w:ind w:left="720" w:right="-80"/>
      </w:pPr>
      <w:r w:rsidRPr="00CB5054">
        <w:rPr>
          <w:b/>
          <w:bCs/>
        </w:rPr>
        <w:t>Burden hours</w:t>
      </w:r>
      <w:r w:rsidRPr="00CB5054">
        <w:t xml:space="preserve">: </w:t>
      </w:r>
    </w:p>
    <w:p w:rsidRPr="00CB5054" w:rsidR="007F1206" w:rsidP="007F1206" w:rsidRDefault="00CA16E1" w14:paraId="005C0D9B" w14:textId="77777777">
      <w:pPr>
        <w:pStyle w:val="Default"/>
        <w:ind w:right="-80" w:firstLine="720"/>
      </w:pPr>
      <w:r>
        <w:t>2,450</w:t>
      </w:r>
      <w:r w:rsidRPr="00CB5054" w:rsidR="00BF75EE">
        <w:t xml:space="preserve"> </w:t>
      </w:r>
      <w:r w:rsidRPr="00CB5054" w:rsidR="007F1206">
        <w:t xml:space="preserve">affected new establishments x </w:t>
      </w:r>
      <w:r w:rsidR="00273D4D">
        <w:t>4</w:t>
      </w:r>
      <w:r w:rsidRPr="00CB5054" w:rsidR="00273D4D">
        <w:t xml:space="preserve"> </w:t>
      </w:r>
      <w:r w:rsidRPr="00CB5054" w:rsidR="007F1206">
        <w:t xml:space="preserve">hours professional = </w:t>
      </w:r>
      <w:r w:rsidR="00103D7B">
        <w:t>9,800</w:t>
      </w:r>
      <w:r w:rsidR="00840930">
        <w:t xml:space="preserve"> </w:t>
      </w:r>
      <w:r w:rsidRPr="00CB5054" w:rsidR="007F1206">
        <w:t>h</w:t>
      </w:r>
      <w:r w:rsidR="002567E2">
        <w:t>ours</w:t>
      </w:r>
      <w:r w:rsidRPr="00CB5054" w:rsidR="007F1206">
        <w:t xml:space="preserve"> </w:t>
      </w:r>
    </w:p>
    <w:p w:rsidR="00252B13" w:rsidP="007F1206" w:rsidRDefault="00CA16E1" w14:paraId="6682B1A6" w14:textId="77777777">
      <w:pPr>
        <w:pStyle w:val="Default"/>
        <w:ind w:left="720" w:right="-80"/>
        <w:rPr>
          <w:b/>
          <w:bCs/>
        </w:rPr>
      </w:pPr>
      <w:r>
        <w:t>2,450</w:t>
      </w:r>
      <w:r w:rsidRPr="00CB5054" w:rsidR="00BF75EE">
        <w:t xml:space="preserve"> </w:t>
      </w:r>
      <w:r w:rsidRPr="00CB5054" w:rsidR="007F1206">
        <w:t xml:space="preserve">affected new establishments x 1 hour clerical = </w:t>
      </w:r>
      <w:r>
        <w:t>2,450</w:t>
      </w:r>
      <w:r w:rsidRPr="00CB5054" w:rsidR="00BF75EE">
        <w:t xml:space="preserve"> </w:t>
      </w:r>
      <w:r w:rsidRPr="00CB5054" w:rsidR="007F1206">
        <w:t>h</w:t>
      </w:r>
      <w:r w:rsidR="002567E2">
        <w:t>ours</w:t>
      </w:r>
    </w:p>
    <w:p w:rsidR="006D3DAF" w:rsidP="007F1206" w:rsidRDefault="007F1206" w14:paraId="3EE60BF1" w14:textId="77777777">
      <w:pPr>
        <w:pStyle w:val="Default"/>
        <w:ind w:left="720" w:right="-80"/>
        <w:rPr>
          <w:b/>
          <w:bCs/>
        </w:rPr>
      </w:pPr>
      <w:r w:rsidRPr="00CB5054">
        <w:rPr>
          <w:b/>
          <w:bCs/>
        </w:rPr>
        <w:t xml:space="preserve">Total burden hours </w:t>
      </w:r>
      <w:r w:rsidRPr="00CB5054">
        <w:t xml:space="preserve">= </w:t>
      </w:r>
      <w:r w:rsidR="00103D7B">
        <w:t>12,250</w:t>
      </w:r>
      <w:r w:rsidRPr="00CB5054" w:rsidR="006A4AE0">
        <w:t xml:space="preserve"> </w:t>
      </w:r>
      <w:r w:rsidRPr="00CB5054">
        <w:t xml:space="preserve">hours </w:t>
      </w:r>
    </w:p>
    <w:p w:rsidR="006D3DAF" w:rsidP="007F1206" w:rsidRDefault="006D3DAF" w14:paraId="1A64EE3A" w14:textId="77777777">
      <w:pPr>
        <w:pStyle w:val="Default"/>
        <w:ind w:left="720" w:right="-80"/>
        <w:rPr>
          <w:b/>
          <w:bCs/>
        </w:rPr>
      </w:pPr>
    </w:p>
    <w:p w:rsidRPr="00CB5054" w:rsidR="007F1206" w:rsidP="007F1206" w:rsidRDefault="007F1206" w14:paraId="2D13DA19" w14:textId="77777777">
      <w:pPr>
        <w:pStyle w:val="Default"/>
        <w:ind w:left="720" w:right="-80"/>
      </w:pPr>
      <w:r w:rsidRPr="00CB5054">
        <w:rPr>
          <w:b/>
          <w:bCs/>
        </w:rPr>
        <w:t>Cost</w:t>
      </w:r>
      <w:r w:rsidRPr="00CB5054">
        <w:t xml:space="preserve">: </w:t>
      </w:r>
    </w:p>
    <w:p w:rsidRPr="00CB5054" w:rsidR="007F1206" w:rsidP="00401AC9" w:rsidRDefault="00103D7B" w14:paraId="6DA2BF4E" w14:textId="77777777">
      <w:pPr>
        <w:pStyle w:val="Default"/>
        <w:ind w:right="-80" w:firstLine="720"/>
      </w:pPr>
      <w:r>
        <w:t>9,800</w:t>
      </w:r>
      <w:r w:rsidRPr="00CB5054" w:rsidR="006A4AE0">
        <w:t xml:space="preserve"> </w:t>
      </w:r>
      <w:r w:rsidRPr="00CB5054" w:rsidR="007F1206">
        <w:t xml:space="preserve">hours x </w:t>
      </w:r>
      <w:r w:rsidR="00252B13">
        <w:t>$</w:t>
      </w:r>
      <w:r w:rsidR="000E45F3">
        <w:t>77.76</w:t>
      </w:r>
      <w:r w:rsidRPr="00CB5054" w:rsidR="00BA18E9">
        <w:t xml:space="preserve"> </w:t>
      </w:r>
      <w:r w:rsidRPr="00CB5054" w:rsidR="007F1206">
        <w:t>professional wage rate hour = $</w:t>
      </w:r>
      <w:r w:rsidR="00531DF9">
        <w:t>762,048</w:t>
      </w:r>
    </w:p>
    <w:p w:rsidRPr="00CB5054" w:rsidR="007F1206" w:rsidP="00401AC9" w:rsidRDefault="00CA16E1" w14:paraId="17920574" w14:textId="77777777">
      <w:pPr>
        <w:shd w:val="solid" w:color="FFFFFF" w:fill="FFFFFF"/>
        <w:ind w:firstLine="720"/>
        <w:rPr>
          <w:b/>
          <w:color w:val="000000"/>
          <w:sz w:val="24"/>
          <w:szCs w:val="24"/>
        </w:rPr>
      </w:pPr>
      <w:r>
        <w:rPr>
          <w:color w:val="000000"/>
          <w:sz w:val="24"/>
          <w:szCs w:val="24"/>
        </w:rPr>
        <w:t>2,450</w:t>
      </w:r>
      <w:r w:rsidRPr="00CB5054" w:rsidR="00BF75EE">
        <w:rPr>
          <w:color w:val="000000"/>
          <w:sz w:val="24"/>
          <w:szCs w:val="24"/>
        </w:rPr>
        <w:t xml:space="preserve"> </w:t>
      </w:r>
      <w:r w:rsidRPr="00CB5054" w:rsidR="007F1206">
        <w:rPr>
          <w:color w:val="000000"/>
          <w:sz w:val="24"/>
          <w:szCs w:val="24"/>
        </w:rPr>
        <w:t xml:space="preserve">hours x </w:t>
      </w:r>
      <w:r w:rsidR="00252B13">
        <w:rPr>
          <w:color w:val="000000"/>
          <w:sz w:val="24"/>
          <w:szCs w:val="24"/>
        </w:rPr>
        <w:t>$</w:t>
      </w:r>
      <w:r w:rsidR="00DC556E">
        <w:rPr>
          <w:color w:val="000000"/>
          <w:sz w:val="24"/>
          <w:szCs w:val="24"/>
        </w:rPr>
        <w:t>26.08</w:t>
      </w:r>
      <w:r w:rsidRPr="00CB5054" w:rsidR="006421BC">
        <w:rPr>
          <w:color w:val="000000"/>
          <w:sz w:val="24"/>
          <w:szCs w:val="24"/>
        </w:rPr>
        <w:t xml:space="preserve"> </w:t>
      </w:r>
      <w:r w:rsidRPr="00CB5054" w:rsidR="007F1206">
        <w:rPr>
          <w:color w:val="000000"/>
          <w:sz w:val="24"/>
          <w:szCs w:val="24"/>
        </w:rPr>
        <w:t>clerical wage rate = $</w:t>
      </w:r>
      <w:r w:rsidR="00531DF9">
        <w:rPr>
          <w:color w:val="000000"/>
          <w:sz w:val="24"/>
          <w:szCs w:val="24"/>
        </w:rPr>
        <w:t>63,896</w:t>
      </w:r>
    </w:p>
    <w:p w:rsidRPr="00CB5054" w:rsidR="007F1206" w:rsidP="00401AC9" w:rsidRDefault="007F1206" w14:paraId="57E7FF31" w14:textId="77777777">
      <w:pPr>
        <w:pStyle w:val="Default"/>
        <w:ind w:right="-80" w:firstLine="720"/>
      </w:pPr>
      <w:r w:rsidRPr="00CB5054">
        <w:rPr>
          <w:b/>
          <w:bCs/>
        </w:rPr>
        <w:t xml:space="preserve">Total cost </w:t>
      </w:r>
      <w:r w:rsidRPr="00CB5054">
        <w:t>= $</w:t>
      </w:r>
      <w:r w:rsidR="005C56E0">
        <w:t>825,944</w:t>
      </w:r>
    </w:p>
    <w:p w:rsidR="00252B13" w:rsidP="007F1206" w:rsidRDefault="00252B13" w14:paraId="7A35E2A6" w14:textId="77777777">
      <w:pPr>
        <w:pStyle w:val="Default"/>
        <w:rPr>
          <w:u w:val="single"/>
        </w:rPr>
      </w:pPr>
    </w:p>
    <w:p w:rsidR="007F1206" w:rsidP="007F1206" w:rsidRDefault="007F1206" w14:paraId="0044F112" w14:textId="77777777">
      <w:pPr>
        <w:pStyle w:val="Default"/>
      </w:pPr>
      <w:r w:rsidRPr="00CB5054">
        <w:rPr>
          <w:u w:val="single"/>
        </w:rPr>
        <w:t>Non-Manufacturing</w:t>
      </w:r>
      <w:r w:rsidRPr="00CB5054">
        <w:t xml:space="preserve">: </w:t>
      </w:r>
    </w:p>
    <w:p w:rsidRPr="00CB5054" w:rsidR="00252B13" w:rsidP="007F1206" w:rsidRDefault="00252B13" w14:paraId="6FE0EF44" w14:textId="77777777">
      <w:pPr>
        <w:pStyle w:val="Default"/>
      </w:pPr>
    </w:p>
    <w:p w:rsidRPr="00CB5054" w:rsidR="00035C91" w:rsidP="00401AC9" w:rsidRDefault="00252B13" w14:paraId="2347F898" w14:textId="77777777">
      <w:pPr>
        <w:pStyle w:val="Default"/>
      </w:pPr>
      <w:r>
        <w:rPr>
          <w:b/>
          <w:bCs/>
        </w:rPr>
        <w:tab/>
      </w:r>
      <w:r w:rsidRPr="00CB5054" w:rsidR="007F1206">
        <w:rPr>
          <w:b/>
          <w:bCs/>
        </w:rPr>
        <w:t>Burden hours</w:t>
      </w:r>
      <w:r w:rsidRPr="002567E2" w:rsidR="007F1206">
        <w:rPr>
          <w:bCs/>
        </w:rPr>
        <w:t>:</w:t>
      </w:r>
      <w:r w:rsidRPr="00CB5054" w:rsidR="007F1206">
        <w:rPr>
          <w:b/>
          <w:bCs/>
        </w:rPr>
        <w:t xml:space="preserve"> </w:t>
      </w:r>
    </w:p>
    <w:p w:rsidRPr="00CB5054" w:rsidR="007F1206" w:rsidP="00401AC9" w:rsidRDefault="00CA16E1" w14:paraId="1B18AEDF" w14:textId="77777777">
      <w:pPr>
        <w:pStyle w:val="Default"/>
        <w:ind w:firstLine="720"/>
      </w:pPr>
      <w:r>
        <w:t>250,608</w:t>
      </w:r>
      <w:r w:rsidRPr="00CB5054" w:rsidR="006A4AE0">
        <w:t xml:space="preserve"> </w:t>
      </w:r>
      <w:r w:rsidRPr="00CB5054" w:rsidR="007F1206">
        <w:t xml:space="preserve">affected new establishments x </w:t>
      </w:r>
      <w:r w:rsidR="00273D4D">
        <w:t>2</w:t>
      </w:r>
      <w:r w:rsidRPr="00CB5054" w:rsidR="00273D4D">
        <w:t xml:space="preserve"> </w:t>
      </w:r>
      <w:r w:rsidRPr="00CB5054" w:rsidR="007F1206">
        <w:t xml:space="preserve">hours professional = </w:t>
      </w:r>
      <w:r w:rsidR="00103D7B">
        <w:t>501,216</w:t>
      </w:r>
      <w:r w:rsidRPr="00CB5054" w:rsidR="007F1206">
        <w:t xml:space="preserve"> h</w:t>
      </w:r>
      <w:r w:rsidR="00035C91">
        <w:t>ours</w:t>
      </w:r>
    </w:p>
    <w:p w:rsidRPr="00CB5054" w:rsidR="007F1206" w:rsidP="00401AC9" w:rsidRDefault="00CA16E1" w14:paraId="1CF957B6" w14:textId="77777777">
      <w:pPr>
        <w:pStyle w:val="Default"/>
        <w:ind w:firstLine="720"/>
      </w:pPr>
      <w:r>
        <w:t>250,608</w:t>
      </w:r>
      <w:r w:rsidRPr="00CB5054" w:rsidR="006A4AE0">
        <w:t xml:space="preserve"> </w:t>
      </w:r>
      <w:r w:rsidRPr="00CB5054" w:rsidR="007F1206">
        <w:t xml:space="preserve">affected new establishments x .5 clerical = </w:t>
      </w:r>
      <w:r w:rsidR="00103D7B">
        <w:t>125,304</w:t>
      </w:r>
      <w:r w:rsidRPr="00CB5054" w:rsidR="007F1206">
        <w:t xml:space="preserve"> h</w:t>
      </w:r>
      <w:r w:rsidR="00035C91">
        <w:t>ours</w:t>
      </w:r>
    </w:p>
    <w:p w:rsidRPr="00CB5054" w:rsidR="007F1206" w:rsidP="00401AC9" w:rsidRDefault="007F1206" w14:paraId="24A6AB86" w14:textId="77777777">
      <w:pPr>
        <w:pStyle w:val="Default"/>
        <w:ind w:firstLine="720"/>
      </w:pPr>
      <w:r w:rsidRPr="00CB5054">
        <w:rPr>
          <w:b/>
          <w:bCs/>
        </w:rPr>
        <w:t xml:space="preserve">Total burden hours </w:t>
      </w:r>
      <w:r w:rsidRPr="00CB5054">
        <w:t xml:space="preserve">= </w:t>
      </w:r>
      <w:r w:rsidR="00103D7B">
        <w:t>626,520</w:t>
      </w:r>
      <w:r w:rsidRPr="00CB5054">
        <w:t xml:space="preserve"> hours </w:t>
      </w:r>
    </w:p>
    <w:p w:rsidRPr="00CB5054" w:rsidR="005B0809" w:rsidP="007F1206" w:rsidRDefault="005B0809" w14:paraId="290EF552" w14:textId="77777777">
      <w:pPr>
        <w:pStyle w:val="Default"/>
        <w:ind w:left="2340" w:hanging="900"/>
      </w:pPr>
    </w:p>
    <w:p w:rsidRPr="00CB5054" w:rsidR="007F1206" w:rsidP="007F1206" w:rsidRDefault="007F1206" w14:paraId="3DE602C3" w14:textId="77777777">
      <w:pPr>
        <w:pStyle w:val="Default"/>
        <w:ind w:left="1440" w:hanging="720"/>
      </w:pPr>
      <w:r w:rsidRPr="00CB5054">
        <w:rPr>
          <w:b/>
          <w:bCs/>
        </w:rPr>
        <w:t>Cost</w:t>
      </w:r>
      <w:r w:rsidRPr="002567E2">
        <w:rPr>
          <w:bCs/>
        </w:rPr>
        <w:t xml:space="preserve">: </w:t>
      </w:r>
    </w:p>
    <w:p w:rsidRPr="00CB5054" w:rsidR="007F1206" w:rsidP="00401AC9" w:rsidRDefault="00103D7B" w14:paraId="3C04C09E" w14:textId="77777777">
      <w:pPr>
        <w:pStyle w:val="Default"/>
        <w:ind w:firstLine="720"/>
      </w:pPr>
      <w:r>
        <w:t>501,216</w:t>
      </w:r>
      <w:r w:rsidRPr="00CB5054" w:rsidR="00865904">
        <w:t xml:space="preserve"> </w:t>
      </w:r>
      <w:r w:rsidRPr="00CB5054" w:rsidR="007F1206">
        <w:t xml:space="preserve">hours x </w:t>
      </w:r>
      <w:r w:rsidR="00252B13">
        <w:t>$</w:t>
      </w:r>
      <w:r w:rsidR="000E45F3">
        <w:t>77.76</w:t>
      </w:r>
      <w:r w:rsidRPr="00CB5054" w:rsidR="00BA18E9">
        <w:t xml:space="preserve"> </w:t>
      </w:r>
      <w:r w:rsidRPr="00CB5054" w:rsidR="007F1206">
        <w:t xml:space="preserve">professional wage rate = </w:t>
      </w:r>
      <w:r w:rsidRPr="004C24A4" w:rsidR="004C24A4">
        <w:t>$</w:t>
      </w:r>
      <w:r w:rsidR="004C7C2F">
        <w:t>38,974,556</w:t>
      </w:r>
    </w:p>
    <w:p w:rsidRPr="00CB5054" w:rsidR="007F1206" w:rsidP="00401AC9" w:rsidRDefault="00103D7B" w14:paraId="1D5E35B5" w14:textId="77777777">
      <w:pPr>
        <w:pStyle w:val="Default"/>
        <w:ind w:firstLine="720"/>
      </w:pPr>
      <w:r>
        <w:t>125,304</w:t>
      </w:r>
      <w:r w:rsidRPr="00CB5054" w:rsidR="00865904">
        <w:t xml:space="preserve"> </w:t>
      </w:r>
      <w:r w:rsidRPr="00CB5054" w:rsidR="007F1206">
        <w:t xml:space="preserve">hours x </w:t>
      </w:r>
      <w:r w:rsidR="00252B13">
        <w:t>$</w:t>
      </w:r>
      <w:r w:rsidR="00DC556E">
        <w:t>26.08</w:t>
      </w:r>
      <w:r w:rsidRPr="00CB5054" w:rsidR="006421BC">
        <w:t xml:space="preserve"> </w:t>
      </w:r>
      <w:r w:rsidRPr="00CB5054" w:rsidR="007F1206">
        <w:t>clerical wage rate =</w:t>
      </w:r>
      <w:r w:rsidRPr="004C24A4" w:rsidR="004C24A4">
        <w:t xml:space="preserve"> $</w:t>
      </w:r>
      <w:r w:rsidR="004C7C2F">
        <w:t>3,267,928</w:t>
      </w:r>
      <w:r w:rsidRPr="004C24A4" w:rsidR="004C24A4">
        <w:t xml:space="preserve"> </w:t>
      </w:r>
    </w:p>
    <w:p w:rsidRPr="00401AC9" w:rsidR="007F1206" w:rsidP="00401AC9" w:rsidRDefault="007F1206" w14:paraId="423F1F18" w14:textId="77777777">
      <w:pPr>
        <w:pStyle w:val="Default"/>
        <w:ind w:firstLine="720"/>
      </w:pPr>
      <w:r w:rsidRPr="00CB5054">
        <w:rPr>
          <w:b/>
          <w:bCs/>
        </w:rPr>
        <w:t>Total cost</w:t>
      </w:r>
      <w:r w:rsidRPr="002567E2">
        <w:rPr>
          <w:bCs/>
        </w:rPr>
        <w:t>:</w:t>
      </w:r>
      <w:r w:rsidRPr="00CB5054">
        <w:rPr>
          <w:b/>
          <w:bCs/>
        </w:rPr>
        <w:t xml:space="preserve"> </w:t>
      </w:r>
      <w:r w:rsidRPr="00401AC9" w:rsidR="004C24A4">
        <w:rPr>
          <w:bCs/>
        </w:rPr>
        <w:t>$</w:t>
      </w:r>
      <w:r w:rsidR="004B49FA">
        <w:rPr>
          <w:bCs/>
        </w:rPr>
        <w:t>42,242,484</w:t>
      </w:r>
      <w:r w:rsidRPr="00401AC9" w:rsidR="004C24A4">
        <w:rPr>
          <w:bCs/>
        </w:rPr>
        <w:t xml:space="preserve"> </w:t>
      </w:r>
    </w:p>
    <w:p w:rsidRPr="00CB5054" w:rsidR="005B0809" w:rsidP="00401AC9" w:rsidRDefault="004C24A4" w14:paraId="0A98BA5B" w14:textId="77777777">
      <w:pPr>
        <w:pStyle w:val="Default"/>
        <w:tabs>
          <w:tab w:val="left" w:pos="2535"/>
        </w:tabs>
        <w:ind w:left="1440"/>
        <w:rPr>
          <w:sz w:val="23"/>
          <w:szCs w:val="23"/>
        </w:rPr>
      </w:pPr>
      <w:r>
        <w:rPr>
          <w:sz w:val="23"/>
          <w:szCs w:val="23"/>
        </w:rPr>
        <w:tab/>
      </w:r>
    </w:p>
    <w:p w:rsidRPr="009B51D1" w:rsidR="007F1206" w:rsidP="007F1206" w:rsidRDefault="007F1206" w14:paraId="2031F859" w14:textId="77777777">
      <w:pPr>
        <w:pStyle w:val="Default"/>
        <w:rPr>
          <w:u w:val="single"/>
        </w:rPr>
      </w:pPr>
      <w:r w:rsidRPr="009B51D1">
        <w:rPr>
          <w:u w:val="single"/>
        </w:rPr>
        <w:t xml:space="preserve">Total Burden Hours and Costs: </w:t>
      </w:r>
    </w:p>
    <w:p w:rsidRPr="00CB5054" w:rsidR="007F1206" w:rsidP="007F1206" w:rsidRDefault="007F1206" w14:paraId="04F18C60" w14:textId="52ADF81C">
      <w:pPr>
        <w:pStyle w:val="Default"/>
        <w:ind w:left="1440" w:firstLine="720"/>
        <w:rPr>
          <w:u w:val="single"/>
        </w:rPr>
      </w:pPr>
      <w:r w:rsidRPr="009B51D1">
        <w:t>Manufacturing</w:t>
      </w:r>
      <w:r w:rsidRPr="00CB5054">
        <w:t xml:space="preserve"> </w:t>
      </w:r>
      <w:r w:rsidRPr="00CB5054" w:rsidR="00CF78D3">
        <w:tab/>
      </w:r>
      <w:r w:rsidR="00683F3B">
        <w:t>Non-</w:t>
      </w:r>
      <w:r w:rsidRPr="009B51D1">
        <w:t>Manufacturing</w:t>
      </w:r>
      <w:r w:rsidRPr="00CB5054">
        <w:t xml:space="preserve"> </w:t>
      </w:r>
      <w:r w:rsidRPr="00CB5054" w:rsidR="00CF78D3">
        <w:tab/>
      </w:r>
      <w:r w:rsidR="00683F3B">
        <w:tab/>
      </w:r>
      <w:r w:rsidRPr="009B51D1">
        <w:t>T</w:t>
      </w:r>
      <w:r w:rsidRPr="009B51D1" w:rsidR="00683F3B">
        <w:t>otal</w:t>
      </w:r>
      <w:r w:rsidRPr="00CB5054">
        <w:rPr>
          <w:u w:val="single"/>
        </w:rPr>
        <w:t xml:space="preserve"> </w:t>
      </w:r>
    </w:p>
    <w:p w:rsidRPr="00CB5054" w:rsidR="007F1206" w:rsidP="00CF78D3" w:rsidRDefault="007F1206" w14:paraId="41A2E90F" w14:textId="5982A9DB">
      <w:pPr>
        <w:pStyle w:val="Default"/>
      </w:pPr>
      <w:r w:rsidRPr="00CB5054">
        <w:rPr>
          <w:b/>
          <w:bCs/>
        </w:rPr>
        <w:t>Burden hours</w:t>
      </w:r>
      <w:r w:rsidRPr="00D639B1">
        <w:rPr>
          <w:bCs/>
        </w:rPr>
        <w:t xml:space="preserve">: </w:t>
      </w:r>
      <w:r w:rsidRPr="00CB5054" w:rsidR="00CF78D3">
        <w:rPr>
          <w:b/>
          <w:bCs/>
        </w:rPr>
        <w:tab/>
      </w:r>
      <w:r w:rsidR="00BA3180">
        <w:t>12,250</w:t>
      </w:r>
      <w:r w:rsidRPr="00CB5054" w:rsidR="00A62277">
        <w:t xml:space="preserve"> </w:t>
      </w:r>
      <w:r w:rsidRPr="00CB5054" w:rsidR="00CF78D3">
        <w:tab/>
      </w:r>
      <w:r w:rsidRPr="00CB5054" w:rsidR="00CF78D3">
        <w:tab/>
      </w:r>
      <w:r w:rsidR="00BA3180">
        <w:t>626,520</w:t>
      </w:r>
      <w:r w:rsidRPr="00CB5054" w:rsidR="00A62277">
        <w:t xml:space="preserve"> </w:t>
      </w:r>
      <w:r w:rsidRPr="00CB5054" w:rsidR="00CF78D3">
        <w:tab/>
      </w:r>
      <w:r w:rsidRPr="00CB5054" w:rsidR="00CF78D3">
        <w:tab/>
      </w:r>
      <w:r w:rsidRPr="00CB5054">
        <w:t xml:space="preserve"> </w:t>
      </w:r>
      <w:r w:rsidR="00683F3B">
        <w:tab/>
      </w:r>
      <w:r w:rsidR="007B7BC6">
        <w:t>638,770</w:t>
      </w:r>
    </w:p>
    <w:p w:rsidRPr="0037570A" w:rsidR="004C24A4" w:rsidP="00401AC9" w:rsidRDefault="007F1206" w14:paraId="21D3C868" w14:textId="3A42C57E">
      <w:pPr>
        <w:pStyle w:val="Default"/>
        <w:tabs>
          <w:tab w:val="left" w:pos="720"/>
          <w:tab w:val="left" w:pos="1440"/>
          <w:tab w:val="left" w:pos="2160"/>
          <w:tab w:val="left" w:pos="2880"/>
          <w:tab w:val="left" w:pos="3600"/>
          <w:tab w:val="left" w:pos="4320"/>
          <w:tab w:val="left" w:pos="5040"/>
          <w:tab w:val="left" w:pos="6735"/>
        </w:tabs>
        <w:ind w:firstLine="720"/>
      </w:pPr>
      <w:r w:rsidRPr="00CB5054">
        <w:rPr>
          <w:b/>
          <w:bCs/>
        </w:rPr>
        <w:t xml:space="preserve">Cost: </w:t>
      </w:r>
      <w:r w:rsidRPr="00CB5054" w:rsidR="00CF78D3">
        <w:rPr>
          <w:b/>
          <w:bCs/>
        </w:rPr>
        <w:tab/>
      </w:r>
      <w:r w:rsidR="004C24A4">
        <w:rPr>
          <w:b/>
          <w:bCs/>
        </w:rPr>
        <w:t xml:space="preserve">        </w:t>
      </w:r>
      <w:r w:rsidRPr="00CB5054" w:rsidR="00A62277">
        <w:t>$</w:t>
      </w:r>
      <w:r w:rsidR="005C56E0">
        <w:t>825,944</w:t>
      </w:r>
      <w:r w:rsidRPr="00CB5054" w:rsidR="00D25AC6">
        <w:t xml:space="preserve"> </w:t>
      </w:r>
      <w:r w:rsidRPr="00CB5054" w:rsidR="00CF78D3">
        <w:tab/>
      </w:r>
      <w:r w:rsidR="004C24A4">
        <w:t xml:space="preserve">       $</w:t>
      </w:r>
      <w:r w:rsidR="004B49FA">
        <w:rPr>
          <w:bCs/>
        </w:rPr>
        <w:t>42,242,484</w:t>
      </w:r>
      <w:r w:rsidRPr="0037570A" w:rsidR="004C24A4">
        <w:rPr>
          <w:bCs/>
        </w:rPr>
        <w:t xml:space="preserve"> </w:t>
      </w:r>
      <w:r w:rsidR="004C24A4">
        <w:rPr>
          <w:bCs/>
        </w:rPr>
        <w:t xml:space="preserve">                </w:t>
      </w:r>
      <w:r w:rsidR="00683F3B">
        <w:rPr>
          <w:bCs/>
        </w:rPr>
        <w:tab/>
      </w:r>
      <w:r w:rsidR="00277F05">
        <w:rPr>
          <w:bCs/>
        </w:rPr>
        <w:t>$</w:t>
      </w:r>
      <w:r w:rsidR="004B49FA">
        <w:rPr>
          <w:bCs/>
        </w:rPr>
        <w:t>43,068,428</w:t>
      </w:r>
    </w:p>
    <w:p w:rsidRPr="00CB5054" w:rsidR="004C24A4" w:rsidP="004C24A4" w:rsidRDefault="004C24A4" w14:paraId="54BBFD18" w14:textId="77777777">
      <w:pPr>
        <w:pStyle w:val="Default"/>
        <w:tabs>
          <w:tab w:val="left" w:pos="2535"/>
        </w:tabs>
        <w:ind w:left="1440"/>
        <w:rPr>
          <w:sz w:val="23"/>
          <w:szCs w:val="23"/>
        </w:rPr>
      </w:pPr>
      <w:r>
        <w:rPr>
          <w:sz w:val="23"/>
          <w:szCs w:val="23"/>
        </w:rPr>
        <w:tab/>
      </w:r>
    </w:p>
    <w:p w:rsidRPr="00CB5054" w:rsidR="007F1206" w:rsidP="007F1206" w:rsidRDefault="007F1206" w14:paraId="4AE96E37" w14:textId="77777777">
      <w:pPr>
        <w:pStyle w:val="Default"/>
      </w:pPr>
      <w:r w:rsidRPr="00CB5054">
        <w:rPr>
          <w:b/>
          <w:bCs/>
        </w:rPr>
        <w:t>2</w:t>
      </w:r>
      <w:r w:rsidRPr="00CB5054">
        <w:t xml:space="preserve">. </w:t>
      </w:r>
      <w:r w:rsidRPr="00CB5054">
        <w:rPr>
          <w:b/>
          <w:bCs/>
        </w:rPr>
        <w:t xml:space="preserve">Written Hazard Communication Program (§ 1910.1200(e)) </w:t>
      </w:r>
    </w:p>
    <w:p w:rsidRPr="00CB5054" w:rsidR="007F1206" w:rsidP="007F1206" w:rsidRDefault="007F1206" w14:paraId="78360E6A" w14:textId="77777777">
      <w:pPr>
        <w:pStyle w:val="Default"/>
        <w:rPr>
          <w:b/>
          <w:bCs/>
        </w:rPr>
      </w:pPr>
      <w:r w:rsidRPr="00CB5054">
        <w:rPr>
          <w:b/>
          <w:bCs/>
        </w:rPr>
        <w:t xml:space="preserve">(Existing Establishments) </w:t>
      </w:r>
    </w:p>
    <w:p w:rsidRPr="00CB5054" w:rsidR="007F1206" w:rsidP="007F1206" w:rsidRDefault="007F1206" w14:paraId="4CD401ED" w14:textId="77777777">
      <w:pPr>
        <w:pStyle w:val="Default"/>
      </w:pPr>
    </w:p>
    <w:p w:rsidRPr="00CB5054" w:rsidR="007F1206" w:rsidP="007F1206" w:rsidRDefault="007F1206" w14:paraId="7C5AC007" w14:textId="77777777">
      <w:pPr>
        <w:pStyle w:val="Default"/>
      </w:pPr>
      <w:r w:rsidRPr="00CB5054">
        <w:t xml:space="preserve">OSHA estimates existing manufacturing establishments take 1 hour and non-manufacturing establishments .5 hour to update and maintain their hazard communication programs. Forty percent of the establishments incur burden hours and costs as a result of the HCS. </w:t>
      </w:r>
    </w:p>
    <w:p w:rsidRPr="00CB5054" w:rsidR="00477383" w:rsidP="007F1206" w:rsidRDefault="00477383" w14:paraId="4085D211" w14:textId="77777777">
      <w:pPr>
        <w:pStyle w:val="Default"/>
      </w:pPr>
    </w:p>
    <w:p w:rsidRPr="00CB5054" w:rsidR="007F1206" w:rsidP="007F1206" w:rsidRDefault="007F1206" w14:paraId="68D8A406" w14:textId="77777777">
      <w:pPr>
        <w:pStyle w:val="Default"/>
      </w:pPr>
      <w:r w:rsidRPr="00CB5054">
        <w:rPr>
          <w:u w:val="single"/>
        </w:rPr>
        <w:t>Number of Existing Establishments Affected</w:t>
      </w:r>
      <w:r w:rsidRPr="00CB5054">
        <w:t xml:space="preserve">: </w:t>
      </w:r>
    </w:p>
    <w:p w:rsidRPr="00CB5054" w:rsidR="007F1206" w:rsidP="007F1206" w:rsidRDefault="007F1206" w14:paraId="5A196FD1" w14:textId="77777777">
      <w:pPr>
        <w:pStyle w:val="Default"/>
      </w:pPr>
    </w:p>
    <w:p w:rsidRPr="00CB5054" w:rsidR="007F1206" w:rsidP="007F1206" w:rsidRDefault="007F1206" w14:paraId="1CE38583" w14:textId="77777777">
      <w:pPr>
        <w:pStyle w:val="Default"/>
      </w:pPr>
      <w:r w:rsidRPr="00CB5054">
        <w:t xml:space="preserve">Existing manufacturing establishments affected: </w:t>
      </w:r>
      <w:r w:rsidR="00DA273B">
        <w:t>85,081</w:t>
      </w:r>
      <w:r w:rsidRPr="00CB5054" w:rsidR="00D14757">
        <w:t xml:space="preserve"> </w:t>
      </w:r>
      <w:r w:rsidRPr="00CB5054">
        <w:t xml:space="preserve">manufacturing establishments x 40% = </w:t>
      </w:r>
      <w:r w:rsidR="007B7BC6">
        <w:t>34,032</w:t>
      </w:r>
      <w:r w:rsidRPr="00CB5054" w:rsidR="00D14757">
        <w:t xml:space="preserve"> </w:t>
      </w:r>
      <w:r w:rsidRPr="00CB5054">
        <w:t xml:space="preserve">affected establishments; </w:t>
      </w:r>
      <w:r w:rsidR="007B7BC6">
        <w:t>34,032</w:t>
      </w:r>
      <w:r w:rsidRPr="00CB5054" w:rsidR="00D14757">
        <w:t xml:space="preserve"> </w:t>
      </w:r>
      <w:r w:rsidRPr="00CB5054">
        <w:t xml:space="preserve">affected establishments - </w:t>
      </w:r>
      <w:r w:rsidR="00CA16E1">
        <w:t>2,450</w:t>
      </w:r>
      <w:r w:rsidRPr="00CB5054" w:rsidR="00D14757">
        <w:t xml:space="preserve"> </w:t>
      </w:r>
      <w:r w:rsidRPr="00CB5054">
        <w:t xml:space="preserve">new manufacturing establishments affected = </w:t>
      </w:r>
      <w:r w:rsidR="007B7BC6">
        <w:t>31,582</w:t>
      </w:r>
      <w:r w:rsidRPr="00CB5054" w:rsidR="00D14757">
        <w:t xml:space="preserve"> </w:t>
      </w:r>
      <w:r w:rsidRPr="00CB5054">
        <w:t xml:space="preserve">existing establishments affected. </w:t>
      </w:r>
    </w:p>
    <w:p w:rsidRPr="00CB5054" w:rsidR="00CF78D3" w:rsidP="007F1206" w:rsidRDefault="00CF78D3" w14:paraId="5F85AB3C" w14:textId="77777777">
      <w:pPr>
        <w:pStyle w:val="Default"/>
      </w:pPr>
    </w:p>
    <w:p w:rsidRPr="00CB5054" w:rsidR="007F1206" w:rsidP="007F1206" w:rsidRDefault="007F1206" w14:paraId="260702ED" w14:textId="77777777">
      <w:pPr>
        <w:pStyle w:val="Default"/>
      </w:pPr>
      <w:r w:rsidRPr="00CB5054">
        <w:t>Existing non</w:t>
      </w:r>
      <w:r w:rsidRPr="00CB5054" w:rsidR="00FA671B">
        <w:t>-</w:t>
      </w:r>
      <w:r w:rsidRPr="00CB5054">
        <w:t xml:space="preserve">manufacturing establishments affected: </w:t>
      </w:r>
      <w:r w:rsidR="00DA273B">
        <w:t>4,933,235</w:t>
      </w:r>
      <w:r w:rsidRPr="00CB5054" w:rsidR="00D14757">
        <w:t xml:space="preserve"> </w:t>
      </w:r>
      <w:r w:rsidRPr="00CB5054">
        <w:t xml:space="preserve">non-manufacturing establishments </w:t>
      </w:r>
      <w:r w:rsidRPr="00AD1097">
        <w:t xml:space="preserve">x </w:t>
      </w:r>
      <w:r w:rsidRPr="00AB0B90">
        <w:t>40%</w:t>
      </w:r>
      <w:r w:rsidRPr="00AD1097">
        <w:t xml:space="preserve"> = </w:t>
      </w:r>
      <w:r w:rsidR="007B7BC6">
        <w:t>1,973,294</w:t>
      </w:r>
      <w:r w:rsidRPr="00CB5054">
        <w:t xml:space="preserve"> affected establishments; then </w:t>
      </w:r>
      <w:r w:rsidR="007B7BC6">
        <w:t>1,973,294</w:t>
      </w:r>
      <w:r w:rsidRPr="00CB5054" w:rsidR="00CD67B2">
        <w:t xml:space="preserve"> </w:t>
      </w:r>
      <w:r w:rsidRPr="00CB5054">
        <w:t xml:space="preserve">affected establishments - </w:t>
      </w:r>
      <w:r w:rsidR="00CA16E1">
        <w:t>250,608</w:t>
      </w:r>
      <w:r w:rsidRPr="00CB5054" w:rsidR="00CD67B2">
        <w:t xml:space="preserve"> </w:t>
      </w:r>
      <w:r w:rsidRPr="00CB5054" w:rsidR="0042270F">
        <w:t xml:space="preserve">new </w:t>
      </w:r>
      <w:r w:rsidRPr="00CB5054">
        <w:t>non</w:t>
      </w:r>
      <w:r w:rsidRPr="00CB5054" w:rsidR="00FA671B">
        <w:t>-</w:t>
      </w:r>
      <w:r w:rsidRPr="00CB5054">
        <w:t xml:space="preserve">manufacturing establishments affected = </w:t>
      </w:r>
      <w:r w:rsidR="007B7BC6">
        <w:t>1,722,686</w:t>
      </w:r>
      <w:r w:rsidRPr="00CB5054" w:rsidR="00CD67B2">
        <w:t xml:space="preserve"> </w:t>
      </w:r>
      <w:r w:rsidRPr="00CB5054">
        <w:t xml:space="preserve">existing establishments affected. </w:t>
      </w:r>
    </w:p>
    <w:p w:rsidRPr="00CB5054" w:rsidR="00CF78D3" w:rsidP="007F1206" w:rsidRDefault="00CF78D3" w14:paraId="760807AD" w14:textId="77777777">
      <w:pPr>
        <w:pStyle w:val="Default"/>
        <w:rPr>
          <w:sz w:val="23"/>
          <w:szCs w:val="23"/>
        </w:rPr>
      </w:pPr>
    </w:p>
    <w:p w:rsidRPr="00CB5054" w:rsidR="007F1206" w:rsidP="007F1206" w:rsidRDefault="007F1206" w14:paraId="2D1B5FED" w14:textId="77777777">
      <w:pPr>
        <w:pStyle w:val="Default"/>
      </w:pPr>
      <w:r w:rsidRPr="00CB5054">
        <w:rPr>
          <w:u w:val="single"/>
        </w:rPr>
        <w:t>Manufacturing</w:t>
      </w:r>
      <w:r w:rsidRPr="00CB5054">
        <w:t xml:space="preserve">: </w:t>
      </w:r>
    </w:p>
    <w:p w:rsidRPr="00CB5054" w:rsidR="007F1206" w:rsidP="007F1206" w:rsidRDefault="007F1206" w14:paraId="0E3BC61E" w14:textId="77777777">
      <w:pPr>
        <w:pStyle w:val="Default"/>
      </w:pPr>
    </w:p>
    <w:p w:rsidRPr="00CB5054" w:rsidR="007F1206" w:rsidP="007F1206" w:rsidRDefault="007F1206" w14:paraId="262C1729" w14:textId="77777777">
      <w:pPr>
        <w:pStyle w:val="Default"/>
        <w:ind w:firstLine="720"/>
      </w:pPr>
      <w:r w:rsidRPr="00CB5054">
        <w:rPr>
          <w:b/>
          <w:bCs/>
        </w:rPr>
        <w:t>Burden hours</w:t>
      </w:r>
      <w:r w:rsidRPr="00982C2A">
        <w:rPr>
          <w:bCs/>
        </w:rPr>
        <w:t>:</w:t>
      </w:r>
      <w:r w:rsidRPr="00CB5054">
        <w:rPr>
          <w:b/>
          <w:bCs/>
        </w:rPr>
        <w:t xml:space="preserve"> </w:t>
      </w:r>
      <w:r w:rsidRPr="008B1382" w:rsidR="007B7BC6">
        <w:rPr>
          <w:bCs/>
        </w:rPr>
        <w:t>31,582</w:t>
      </w:r>
      <w:r w:rsidRPr="00CB5054" w:rsidR="00CD67B2">
        <w:t xml:space="preserve"> </w:t>
      </w:r>
      <w:r w:rsidRPr="00CB5054">
        <w:t xml:space="preserve">existing establishments x </w:t>
      </w:r>
      <w:r w:rsidR="00273D4D">
        <w:t>1</w:t>
      </w:r>
      <w:r w:rsidRPr="00CB5054" w:rsidR="00273D4D">
        <w:t xml:space="preserve"> </w:t>
      </w:r>
      <w:r w:rsidRPr="00CB5054">
        <w:t xml:space="preserve">hour = </w:t>
      </w:r>
      <w:r w:rsidRPr="00964269" w:rsidR="007B7BC6">
        <w:rPr>
          <w:bCs/>
        </w:rPr>
        <w:t>31,582</w:t>
      </w:r>
      <w:r w:rsidRPr="00CB5054" w:rsidR="00CD67B2">
        <w:t xml:space="preserve"> </w:t>
      </w:r>
      <w:r w:rsidRPr="00CB5054">
        <w:t xml:space="preserve">hours </w:t>
      </w:r>
    </w:p>
    <w:p w:rsidRPr="00CB5054" w:rsidR="007F1206" w:rsidP="007F1206" w:rsidRDefault="007F1206" w14:paraId="04814475" w14:textId="315800FF">
      <w:pPr>
        <w:shd w:val="solid" w:color="FFFFFF" w:fill="FFFFFF"/>
        <w:ind w:left="1440"/>
        <w:rPr>
          <w:b/>
          <w:color w:val="000000"/>
          <w:sz w:val="24"/>
          <w:szCs w:val="24"/>
        </w:rPr>
      </w:pPr>
      <w:r w:rsidRPr="00CB5054">
        <w:rPr>
          <w:b/>
          <w:bCs/>
          <w:color w:val="000000"/>
          <w:sz w:val="24"/>
          <w:szCs w:val="24"/>
        </w:rPr>
        <w:t>Cost</w:t>
      </w:r>
      <w:r w:rsidRPr="00982C2A">
        <w:rPr>
          <w:bCs/>
          <w:color w:val="000000"/>
          <w:sz w:val="24"/>
          <w:szCs w:val="24"/>
        </w:rPr>
        <w:t xml:space="preserve">: </w:t>
      </w:r>
      <w:r w:rsidR="00683F3B">
        <w:rPr>
          <w:bCs/>
          <w:color w:val="000000"/>
          <w:sz w:val="24"/>
          <w:szCs w:val="24"/>
        </w:rPr>
        <w:t xml:space="preserve">    </w:t>
      </w:r>
      <w:r w:rsidRPr="008B1382" w:rsidR="007B7BC6">
        <w:rPr>
          <w:bCs/>
          <w:sz w:val="24"/>
          <w:szCs w:val="24"/>
        </w:rPr>
        <w:t>31,582</w:t>
      </w:r>
      <w:r w:rsidRPr="00CB5054" w:rsidR="0085256B">
        <w:rPr>
          <w:color w:val="000000"/>
        </w:rPr>
        <w:t xml:space="preserve"> </w:t>
      </w:r>
      <w:r w:rsidRPr="00CB5054">
        <w:rPr>
          <w:color w:val="000000"/>
          <w:sz w:val="24"/>
          <w:szCs w:val="24"/>
        </w:rPr>
        <w:t xml:space="preserve">hours x </w:t>
      </w:r>
      <w:r w:rsidR="00252B13">
        <w:rPr>
          <w:color w:val="000000"/>
          <w:sz w:val="24"/>
          <w:szCs w:val="24"/>
        </w:rPr>
        <w:t>$</w:t>
      </w:r>
      <w:r w:rsidR="000E45F3">
        <w:rPr>
          <w:color w:val="000000"/>
          <w:sz w:val="24"/>
          <w:szCs w:val="24"/>
        </w:rPr>
        <w:t>77.76</w:t>
      </w:r>
      <w:r w:rsidRPr="00CB5054" w:rsidR="00BA18E9">
        <w:rPr>
          <w:color w:val="000000"/>
          <w:sz w:val="24"/>
          <w:szCs w:val="24"/>
        </w:rPr>
        <w:t xml:space="preserve"> </w:t>
      </w:r>
      <w:r w:rsidRPr="00CB5054">
        <w:rPr>
          <w:color w:val="000000"/>
          <w:sz w:val="24"/>
          <w:szCs w:val="24"/>
        </w:rPr>
        <w:t>= $</w:t>
      </w:r>
      <w:r w:rsidR="007B7BC6">
        <w:rPr>
          <w:color w:val="000000"/>
          <w:sz w:val="24"/>
          <w:szCs w:val="24"/>
        </w:rPr>
        <w:t>2,</w:t>
      </w:r>
      <w:r w:rsidR="004C7C2F">
        <w:rPr>
          <w:color w:val="000000"/>
          <w:sz w:val="24"/>
          <w:szCs w:val="24"/>
        </w:rPr>
        <w:t>455,816</w:t>
      </w:r>
    </w:p>
    <w:p w:rsidRPr="00CB5054" w:rsidR="007F1206" w:rsidP="00D80711" w:rsidRDefault="007F1206" w14:paraId="6E2BF7B2" w14:textId="77777777">
      <w:pPr>
        <w:shd w:val="solid" w:color="FFFFFF" w:fill="FFFFFF"/>
        <w:rPr>
          <w:b/>
          <w:color w:val="000000"/>
          <w:sz w:val="24"/>
          <w:szCs w:val="24"/>
        </w:rPr>
      </w:pPr>
    </w:p>
    <w:p w:rsidRPr="00CB5054" w:rsidR="00001CE2" w:rsidP="00001CE2" w:rsidRDefault="00001CE2" w14:paraId="27CA5489" w14:textId="77777777">
      <w:pPr>
        <w:pStyle w:val="Default"/>
      </w:pPr>
      <w:r w:rsidRPr="00CB5054">
        <w:rPr>
          <w:u w:val="single"/>
        </w:rPr>
        <w:t>Non-Manufacturing</w:t>
      </w:r>
      <w:r w:rsidRPr="00CB5054">
        <w:t xml:space="preserve">: </w:t>
      </w:r>
    </w:p>
    <w:p w:rsidRPr="00CB5054" w:rsidR="0042270F" w:rsidP="00001CE2" w:rsidRDefault="0042270F" w14:paraId="1819E2C4" w14:textId="77777777">
      <w:pPr>
        <w:pStyle w:val="Default"/>
      </w:pPr>
    </w:p>
    <w:p w:rsidRPr="00CB5054" w:rsidR="00001CE2" w:rsidP="00001CE2" w:rsidRDefault="00001CE2" w14:paraId="341D2842" w14:textId="77777777">
      <w:pPr>
        <w:pStyle w:val="Default"/>
        <w:ind w:firstLine="720"/>
      </w:pPr>
      <w:r w:rsidRPr="00CB5054">
        <w:rPr>
          <w:b/>
          <w:bCs/>
        </w:rPr>
        <w:t>Burden hours</w:t>
      </w:r>
      <w:r w:rsidRPr="00D639B1">
        <w:rPr>
          <w:bCs/>
        </w:rPr>
        <w:t xml:space="preserve">: </w:t>
      </w:r>
      <w:r w:rsidR="007B7BC6">
        <w:t>1,722,686</w:t>
      </w:r>
      <w:r w:rsidRPr="00CB5054" w:rsidR="0042270F">
        <w:t xml:space="preserve"> </w:t>
      </w:r>
      <w:r w:rsidRPr="00CB5054">
        <w:t xml:space="preserve">establishments x </w:t>
      </w:r>
      <w:r w:rsidR="00D20A0C">
        <w:t>.5</w:t>
      </w:r>
      <w:r w:rsidRPr="00CB5054" w:rsidR="00D20A0C">
        <w:t xml:space="preserve"> </w:t>
      </w:r>
      <w:r w:rsidRPr="00CB5054">
        <w:t xml:space="preserve">hour = </w:t>
      </w:r>
      <w:r w:rsidR="007B7BC6">
        <w:t>861,343</w:t>
      </w:r>
      <w:r w:rsidRPr="00CB5054">
        <w:t xml:space="preserve"> hours </w:t>
      </w:r>
    </w:p>
    <w:p w:rsidRPr="00CB5054" w:rsidR="00001CE2" w:rsidP="00001CE2" w:rsidRDefault="00001CE2" w14:paraId="5D9E4883" w14:textId="20109B9F">
      <w:pPr>
        <w:pStyle w:val="Default"/>
        <w:ind w:firstLine="1440"/>
      </w:pPr>
      <w:r w:rsidRPr="00CB5054">
        <w:rPr>
          <w:b/>
          <w:bCs/>
        </w:rPr>
        <w:t>Cost</w:t>
      </w:r>
      <w:r w:rsidRPr="00D639B1">
        <w:rPr>
          <w:bCs/>
        </w:rPr>
        <w:t>:</w:t>
      </w:r>
      <w:r w:rsidRPr="00CB5054">
        <w:rPr>
          <w:b/>
          <w:bCs/>
        </w:rPr>
        <w:t xml:space="preserve"> </w:t>
      </w:r>
      <w:r w:rsidR="00683F3B">
        <w:rPr>
          <w:b/>
          <w:bCs/>
        </w:rPr>
        <w:t xml:space="preserve">       </w:t>
      </w:r>
      <w:r w:rsidRPr="008B1382" w:rsidR="007B7BC6">
        <w:rPr>
          <w:bCs/>
        </w:rPr>
        <w:t>861,343</w:t>
      </w:r>
      <w:r w:rsidRPr="00CB5054" w:rsidR="0085256B">
        <w:t xml:space="preserve"> </w:t>
      </w:r>
      <w:r w:rsidRPr="00CB5054">
        <w:t xml:space="preserve">hours x </w:t>
      </w:r>
      <w:r w:rsidR="00252B13">
        <w:t>$</w:t>
      </w:r>
      <w:r w:rsidR="000E45F3">
        <w:t>77.76</w:t>
      </w:r>
      <w:r w:rsidRPr="00CB5054" w:rsidR="00BA18E9">
        <w:t xml:space="preserve"> </w:t>
      </w:r>
      <w:r w:rsidRPr="00CB5054">
        <w:t xml:space="preserve">= </w:t>
      </w:r>
      <w:r w:rsidR="00AD2CB0">
        <w:t>$</w:t>
      </w:r>
      <w:r w:rsidR="004C7C2F">
        <w:t>66,978,032</w:t>
      </w:r>
      <w:r w:rsidRPr="00AD2CB0" w:rsidR="00AD2CB0">
        <w:t xml:space="preserve"> </w:t>
      </w:r>
    </w:p>
    <w:p w:rsidRPr="00CB5054" w:rsidR="00001CE2" w:rsidP="00001CE2" w:rsidRDefault="00001CE2" w14:paraId="1C50AFF2" w14:textId="77777777">
      <w:pPr>
        <w:pStyle w:val="Default"/>
      </w:pPr>
    </w:p>
    <w:p w:rsidRPr="009B51D1" w:rsidR="00001CE2" w:rsidP="00001CE2" w:rsidRDefault="00001CE2" w14:paraId="5E7A8F09" w14:textId="496597FF">
      <w:pPr>
        <w:pStyle w:val="Default"/>
        <w:rPr>
          <w:u w:val="single"/>
        </w:rPr>
      </w:pPr>
      <w:r w:rsidRPr="009B51D1">
        <w:rPr>
          <w:u w:val="single"/>
        </w:rPr>
        <w:t>Total Burden hours and costs</w:t>
      </w:r>
      <w:r w:rsidRPr="009B51D1" w:rsidR="009B51D1">
        <w:rPr>
          <w:u w:val="single"/>
        </w:rPr>
        <w:t>:</w:t>
      </w:r>
      <w:r w:rsidRPr="009B51D1">
        <w:rPr>
          <w:u w:val="single"/>
        </w:rPr>
        <w:t xml:space="preserve"> </w:t>
      </w:r>
    </w:p>
    <w:p w:rsidRPr="00CB5054" w:rsidR="00001CE2" w:rsidP="00001CE2" w:rsidRDefault="00E870A9" w14:paraId="65E0AE9C" w14:textId="21DE3913">
      <w:pPr>
        <w:pStyle w:val="Default"/>
        <w:ind w:left="1440" w:firstLine="720"/>
        <w:rPr>
          <w:b/>
          <w:bCs/>
        </w:rPr>
      </w:pPr>
      <w:r w:rsidRPr="00CB5054">
        <w:t xml:space="preserve">Manufacturing </w:t>
      </w:r>
      <w:r w:rsidRPr="00CB5054">
        <w:tab/>
      </w:r>
      <w:r w:rsidR="00683F3B">
        <w:t>Non-</w:t>
      </w:r>
      <w:r w:rsidRPr="00CB5054" w:rsidR="00001CE2">
        <w:t xml:space="preserve">Manufacturing </w:t>
      </w:r>
      <w:r w:rsidRPr="00CB5054" w:rsidR="00001CE2">
        <w:tab/>
      </w:r>
      <w:r w:rsidR="00683F3B">
        <w:t xml:space="preserve">        </w:t>
      </w:r>
      <w:r w:rsidRPr="00CB5054" w:rsidR="00001CE2">
        <w:t>T</w:t>
      </w:r>
      <w:r w:rsidR="00683F3B">
        <w:t>otal</w:t>
      </w:r>
      <w:r w:rsidRPr="00CB5054" w:rsidR="00001CE2">
        <w:t xml:space="preserve"> </w:t>
      </w:r>
    </w:p>
    <w:p w:rsidRPr="00401AC9" w:rsidR="00001CE2" w:rsidP="00001CE2" w:rsidRDefault="00001CE2" w14:paraId="77977C1F" w14:textId="77777777">
      <w:pPr>
        <w:pStyle w:val="Default"/>
      </w:pPr>
      <w:r w:rsidRPr="00401AC9">
        <w:rPr>
          <w:b/>
          <w:bCs/>
        </w:rPr>
        <w:t>Burden hours</w:t>
      </w:r>
      <w:r w:rsidRPr="00401AC9">
        <w:rPr>
          <w:bCs/>
        </w:rPr>
        <w:t xml:space="preserve">: </w:t>
      </w:r>
      <w:r w:rsidRPr="00401AC9">
        <w:rPr>
          <w:bCs/>
        </w:rPr>
        <w:tab/>
      </w:r>
      <w:r w:rsidRPr="00401AC9" w:rsidR="00AD2CB0">
        <w:rPr>
          <w:bCs/>
        </w:rPr>
        <w:t xml:space="preserve">      </w:t>
      </w:r>
      <w:r w:rsidR="0019416E">
        <w:rPr>
          <w:bCs/>
        </w:rPr>
        <w:t>31,582</w:t>
      </w:r>
      <w:r w:rsidRPr="00401AC9" w:rsidR="0085256B">
        <w:t xml:space="preserve"> </w:t>
      </w:r>
      <w:r w:rsidRPr="00401AC9">
        <w:tab/>
      </w:r>
      <w:r w:rsidRPr="00401AC9">
        <w:tab/>
      </w:r>
      <w:r w:rsidR="00AD2CB0">
        <w:t xml:space="preserve">       </w:t>
      </w:r>
      <w:r w:rsidR="0019416E">
        <w:t>861,343</w:t>
      </w:r>
      <w:r w:rsidRPr="00401AC9" w:rsidR="0085256B">
        <w:t xml:space="preserve"> </w:t>
      </w:r>
      <w:r w:rsidRPr="00401AC9">
        <w:tab/>
      </w:r>
      <w:r w:rsidRPr="00401AC9" w:rsidR="00E870A9">
        <w:tab/>
      </w:r>
      <w:r w:rsidR="00AD2CB0">
        <w:t xml:space="preserve">       </w:t>
      </w:r>
      <w:r w:rsidR="00C103F1">
        <w:t>892,925</w:t>
      </w:r>
      <w:r w:rsidRPr="00401AC9">
        <w:t xml:space="preserve"> </w:t>
      </w:r>
    </w:p>
    <w:p w:rsidRPr="00401AC9" w:rsidR="00AD2CB0" w:rsidP="00AD2CB0" w:rsidRDefault="00001CE2" w14:paraId="0981AF38" w14:textId="77777777">
      <w:pPr>
        <w:rPr>
          <w:bCs/>
          <w:kern w:val="0"/>
          <w:sz w:val="24"/>
          <w:szCs w:val="24"/>
        </w:rPr>
      </w:pPr>
      <w:r w:rsidRPr="00401AC9">
        <w:rPr>
          <w:b/>
          <w:bCs/>
          <w:sz w:val="24"/>
          <w:szCs w:val="24"/>
        </w:rPr>
        <w:t>Costs</w:t>
      </w:r>
      <w:r w:rsidRPr="00401AC9">
        <w:rPr>
          <w:bCs/>
          <w:sz w:val="24"/>
          <w:szCs w:val="24"/>
        </w:rPr>
        <w:t xml:space="preserve">: </w:t>
      </w:r>
      <w:r w:rsidRPr="00401AC9" w:rsidR="00AD2CB0">
        <w:rPr>
          <w:bCs/>
          <w:sz w:val="24"/>
          <w:szCs w:val="24"/>
        </w:rPr>
        <w:tab/>
      </w:r>
      <w:r w:rsidRPr="00401AC9" w:rsidR="00AD2CB0">
        <w:rPr>
          <w:bCs/>
          <w:sz w:val="24"/>
          <w:szCs w:val="24"/>
        </w:rPr>
        <w:tab/>
        <w:t xml:space="preserve">             </w:t>
      </w:r>
      <w:r w:rsidRPr="00401AC9" w:rsidR="00AB63F5">
        <w:rPr>
          <w:sz w:val="24"/>
          <w:szCs w:val="24"/>
        </w:rPr>
        <w:t>$</w:t>
      </w:r>
      <w:r w:rsidR="004B49FA">
        <w:rPr>
          <w:color w:val="000000"/>
          <w:sz w:val="24"/>
          <w:szCs w:val="24"/>
        </w:rPr>
        <w:t>2,455,816</w:t>
      </w:r>
      <w:r w:rsidRPr="00401AC9">
        <w:rPr>
          <w:sz w:val="24"/>
          <w:szCs w:val="24"/>
        </w:rPr>
        <w:tab/>
      </w:r>
      <w:r w:rsidRPr="00401AC9">
        <w:rPr>
          <w:sz w:val="24"/>
          <w:szCs w:val="24"/>
        </w:rPr>
        <w:tab/>
      </w:r>
      <w:r w:rsidRPr="00401AC9" w:rsidR="00AD2CB0">
        <w:rPr>
          <w:sz w:val="24"/>
          <w:szCs w:val="24"/>
        </w:rPr>
        <w:t>$</w:t>
      </w:r>
      <w:r w:rsidRPr="009F6AEF" w:rsidR="004B49FA">
        <w:rPr>
          <w:sz w:val="24"/>
          <w:szCs w:val="24"/>
        </w:rPr>
        <w:t>66,978,032</w:t>
      </w:r>
      <w:r w:rsidRPr="00401AC9" w:rsidR="00AD2CB0">
        <w:rPr>
          <w:sz w:val="24"/>
          <w:szCs w:val="24"/>
        </w:rPr>
        <w:t xml:space="preserve"> </w:t>
      </w:r>
      <w:r w:rsidRPr="00401AC9">
        <w:rPr>
          <w:sz w:val="24"/>
          <w:szCs w:val="24"/>
        </w:rPr>
        <w:tab/>
      </w:r>
      <w:r w:rsidRPr="00401AC9">
        <w:rPr>
          <w:sz w:val="24"/>
          <w:szCs w:val="24"/>
        </w:rPr>
        <w:tab/>
      </w:r>
      <w:r w:rsidRPr="00401AC9" w:rsidR="00AD2CB0">
        <w:rPr>
          <w:bCs/>
          <w:kern w:val="0"/>
          <w:sz w:val="24"/>
          <w:szCs w:val="24"/>
        </w:rPr>
        <w:t>$</w:t>
      </w:r>
      <w:r w:rsidR="004B49FA">
        <w:rPr>
          <w:bCs/>
          <w:kern w:val="0"/>
          <w:sz w:val="24"/>
          <w:szCs w:val="24"/>
        </w:rPr>
        <w:t>69,433,848</w:t>
      </w:r>
      <w:r w:rsidRPr="00401AC9" w:rsidR="00AD2CB0">
        <w:rPr>
          <w:bCs/>
          <w:kern w:val="0"/>
          <w:sz w:val="24"/>
          <w:szCs w:val="24"/>
        </w:rPr>
        <w:t xml:space="preserve"> </w:t>
      </w:r>
    </w:p>
    <w:p w:rsidRPr="00CB5054" w:rsidR="00001CE2" w:rsidP="00401AC9" w:rsidRDefault="00AD2CB0" w14:paraId="4F2BB7DB" w14:textId="77777777">
      <w:pPr>
        <w:pStyle w:val="Default"/>
        <w:tabs>
          <w:tab w:val="left" w:pos="7320"/>
        </w:tabs>
        <w:rPr>
          <w:b/>
          <w:bCs/>
        </w:rPr>
      </w:pPr>
      <w:r>
        <w:rPr>
          <w:b/>
          <w:bCs/>
        </w:rPr>
        <w:tab/>
      </w:r>
    </w:p>
    <w:p w:rsidRPr="00CB5054" w:rsidR="00001CE2" w:rsidP="00001CE2" w:rsidRDefault="00001CE2" w14:paraId="5B393575" w14:textId="77777777">
      <w:pPr>
        <w:pStyle w:val="Default"/>
        <w:rPr>
          <w:b/>
          <w:bCs/>
        </w:rPr>
      </w:pPr>
      <w:r w:rsidRPr="00CB5054">
        <w:rPr>
          <w:b/>
          <w:bCs/>
        </w:rPr>
        <w:t xml:space="preserve">3. Hazard </w:t>
      </w:r>
      <w:r w:rsidR="00982C2A">
        <w:rPr>
          <w:b/>
          <w:bCs/>
        </w:rPr>
        <w:t>Classification</w:t>
      </w:r>
      <w:r w:rsidRPr="00CB5054">
        <w:rPr>
          <w:b/>
          <w:bCs/>
        </w:rPr>
        <w:t xml:space="preserve"> (§ 1910.1200(d)) </w:t>
      </w:r>
    </w:p>
    <w:p w:rsidRPr="00CB5054" w:rsidR="00001CE2" w:rsidP="00001CE2" w:rsidRDefault="00001CE2" w14:paraId="3CC4AEBC" w14:textId="77777777">
      <w:pPr>
        <w:pStyle w:val="Default"/>
      </w:pPr>
    </w:p>
    <w:p w:rsidRPr="00CB5054" w:rsidR="00001CE2" w:rsidP="00001CE2" w:rsidRDefault="00001CE2" w14:paraId="607024FB" w14:textId="77777777">
      <w:pPr>
        <w:pStyle w:val="Default"/>
      </w:pPr>
      <w:r w:rsidRPr="00CB5054">
        <w:t xml:space="preserve"> </w:t>
      </w:r>
      <w:r w:rsidR="00982C2A">
        <w:t xml:space="preserve">Chemical manufacturers and importers must evaluate chemicals produced in their workplaces or imported by them to classify the chemicals in accordance with the standard.  For each chemical, the chemical manufacturer or importer must determine the hazard classes, and, </w:t>
      </w:r>
      <w:r w:rsidR="00982C2A">
        <w:rPr>
          <w:i/>
          <w:iCs/>
        </w:rPr>
        <w:t>where appropriate</w:t>
      </w:r>
      <w:r w:rsidR="00982C2A">
        <w:t xml:space="preserve">, the category of each class that apply to the chemical being classified. </w:t>
      </w:r>
      <w:r w:rsidR="00982C2A">
        <w:rPr>
          <w:color w:val="FF0000"/>
        </w:rPr>
        <w:t xml:space="preserve"> </w:t>
      </w:r>
      <w:r w:rsidR="00982C2A">
        <w:t xml:space="preserve">Employers are not required to classify chemicals unless they choose not to rely on the classification performed by the chemical manufacturer or importer for the chemical to satisfy this requirement. </w:t>
      </w:r>
      <w:r w:rsidRPr="00CB5054">
        <w:t xml:space="preserve">On average, a professional takes 8 hours to conduct the hazard </w:t>
      </w:r>
      <w:r w:rsidR="00982C2A">
        <w:t xml:space="preserve">classification and </w:t>
      </w:r>
      <w:r w:rsidRPr="00CB5054">
        <w:t xml:space="preserve">to develop the necessary labels and SDSs. </w:t>
      </w:r>
      <w:r w:rsidRPr="00CB5054">
        <w:tab/>
      </w:r>
    </w:p>
    <w:p w:rsidRPr="00CB5054" w:rsidR="00001CE2" w:rsidP="00001CE2" w:rsidRDefault="00001CE2" w14:paraId="4947A459" w14:textId="77777777">
      <w:pPr>
        <w:pStyle w:val="Default"/>
      </w:pPr>
    </w:p>
    <w:p w:rsidRPr="00CB5054" w:rsidR="00001CE2" w:rsidP="00001CE2" w:rsidRDefault="00001CE2" w14:paraId="5C78CB23" w14:textId="77777777">
      <w:pPr>
        <w:pStyle w:val="Default"/>
      </w:pPr>
      <w:r w:rsidRPr="00CB5054">
        <w:t xml:space="preserve">The total number of affected chemical products </w:t>
      </w:r>
      <w:r w:rsidR="00A96AA7">
        <w:t>559,658</w:t>
      </w:r>
      <w:r w:rsidRPr="00CB5054">
        <w:t xml:space="preserve"> is determined by multiplying the total number of chemical products </w:t>
      </w:r>
      <w:r w:rsidR="00A96AA7">
        <w:t>1,399,145</w:t>
      </w:r>
      <w:r w:rsidRPr="00CB5054">
        <w:t xml:space="preserve"> </w:t>
      </w:r>
      <w:r w:rsidRPr="00AD1097">
        <w:t xml:space="preserve">by </w:t>
      </w:r>
      <w:r w:rsidRPr="00AB0B90">
        <w:rPr>
          <w:color w:val="auto"/>
        </w:rPr>
        <w:t>40</w:t>
      </w:r>
      <w:r w:rsidRPr="00AD1097">
        <w:t xml:space="preserve"> perc</w:t>
      </w:r>
      <w:r w:rsidRPr="00CB5054">
        <w:t xml:space="preserve">ent. The percentage of new chemical products annually is 8% of the total affected chemical products which is </w:t>
      </w:r>
      <w:r w:rsidR="00A96AA7">
        <w:t>44,773</w:t>
      </w:r>
      <w:r w:rsidRPr="00CB5054">
        <w:t>.</w:t>
      </w:r>
    </w:p>
    <w:p w:rsidRPr="00CB5054" w:rsidR="00001CE2" w:rsidP="00001CE2" w:rsidRDefault="00001CE2" w14:paraId="2115F1A2" w14:textId="77777777">
      <w:pPr>
        <w:pStyle w:val="Default"/>
      </w:pPr>
      <w:r w:rsidRPr="00CB5054">
        <w:t xml:space="preserve"> </w:t>
      </w:r>
    </w:p>
    <w:p w:rsidRPr="00CB5054" w:rsidR="00001CE2" w:rsidP="00001CE2" w:rsidRDefault="00001CE2" w14:paraId="61E38740" w14:textId="77777777">
      <w:pPr>
        <w:pStyle w:val="Default"/>
        <w:ind w:firstLine="720"/>
      </w:pPr>
      <w:r w:rsidRPr="00CB5054">
        <w:rPr>
          <w:b/>
          <w:bCs/>
        </w:rPr>
        <w:t>Burden hours</w:t>
      </w:r>
      <w:r w:rsidRPr="00D639B1">
        <w:rPr>
          <w:bCs/>
        </w:rPr>
        <w:t>:</w:t>
      </w:r>
      <w:r w:rsidRPr="00CB5054">
        <w:rPr>
          <w:b/>
          <w:bCs/>
        </w:rPr>
        <w:t xml:space="preserve"> </w:t>
      </w:r>
      <w:r w:rsidR="00A96AA7">
        <w:t>44,773</w:t>
      </w:r>
      <w:r w:rsidRPr="00CB5054" w:rsidR="00E52D86">
        <w:t xml:space="preserve"> </w:t>
      </w:r>
      <w:r w:rsidRPr="00CB5054">
        <w:t xml:space="preserve">new hazardous products x 8 hours = </w:t>
      </w:r>
      <w:r w:rsidR="00A96AA7">
        <w:t>358,184</w:t>
      </w:r>
      <w:r w:rsidRPr="00CB5054">
        <w:t xml:space="preserve"> hours </w:t>
      </w:r>
    </w:p>
    <w:p w:rsidR="00395ACA" w:rsidP="00001CE2" w:rsidRDefault="00001CE2" w14:paraId="70C89350" w14:textId="18AD578B">
      <w:pPr>
        <w:pStyle w:val="Default"/>
        <w:ind w:firstLine="1440"/>
      </w:pPr>
      <w:r w:rsidRPr="00CB5054">
        <w:rPr>
          <w:b/>
          <w:bCs/>
        </w:rPr>
        <w:t>Cost</w:t>
      </w:r>
      <w:r w:rsidRPr="00D639B1">
        <w:rPr>
          <w:bCs/>
        </w:rPr>
        <w:t>:</w:t>
      </w:r>
      <w:r w:rsidRPr="00CB5054">
        <w:rPr>
          <w:b/>
          <w:bCs/>
        </w:rPr>
        <w:t xml:space="preserve"> </w:t>
      </w:r>
      <w:r w:rsidR="00683F3B">
        <w:rPr>
          <w:b/>
          <w:bCs/>
        </w:rPr>
        <w:t xml:space="preserve">    </w:t>
      </w:r>
      <w:r w:rsidR="00A96AA7">
        <w:t>358,184</w:t>
      </w:r>
      <w:r w:rsidRPr="00CB5054" w:rsidR="00E52D86">
        <w:t xml:space="preserve"> </w:t>
      </w:r>
      <w:r w:rsidRPr="00CB5054">
        <w:t xml:space="preserve">hours x </w:t>
      </w:r>
      <w:r w:rsidR="00252B13">
        <w:t>$</w:t>
      </w:r>
      <w:r w:rsidR="000E45F3">
        <w:t>77.76</w:t>
      </w:r>
      <w:r w:rsidRPr="00CB5054" w:rsidR="00BA18E9">
        <w:t xml:space="preserve"> </w:t>
      </w:r>
      <w:r w:rsidRPr="00CB5054">
        <w:t>= $</w:t>
      </w:r>
      <w:r w:rsidR="004C7C2F">
        <w:t>27,852,388</w:t>
      </w:r>
    </w:p>
    <w:p w:rsidR="00A3588F" w:rsidP="00CD252D" w:rsidRDefault="00A3588F" w14:paraId="59C867EF" w14:textId="77777777">
      <w:pPr>
        <w:pStyle w:val="Default"/>
      </w:pPr>
    </w:p>
    <w:p w:rsidRPr="00CB5054" w:rsidR="00001CE2" w:rsidP="00001CE2" w:rsidRDefault="003648B8" w14:paraId="78483009" w14:textId="77777777">
      <w:pPr>
        <w:pStyle w:val="Default"/>
        <w:rPr>
          <w:b/>
          <w:bCs/>
        </w:rPr>
      </w:pPr>
      <w:r>
        <w:rPr>
          <w:b/>
          <w:bCs/>
        </w:rPr>
        <w:t>4</w:t>
      </w:r>
      <w:r w:rsidR="00F806FA">
        <w:rPr>
          <w:b/>
          <w:bCs/>
        </w:rPr>
        <w:t xml:space="preserve">. </w:t>
      </w:r>
      <w:r>
        <w:rPr>
          <w:b/>
          <w:bCs/>
        </w:rPr>
        <w:t xml:space="preserve"> </w:t>
      </w:r>
      <w:r w:rsidRPr="00CB5054" w:rsidR="00001CE2">
        <w:rPr>
          <w:b/>
          <w:bCs/>
        </w:rPr>
        <w:t xml:space="preserve">Sending of </w:t>
      </w:r>
      <w:r w:rsidRPr="00CB5054" w:rsidR="008925F4">
        <w:rPr>
          <w:b/>
          <w:bCs/>
        </w:rPr>
        <w:t>SDS</w:t>
      </w:r>
      <w:r w:rsidRPr="00CB5054" w:rsidR="00001CE2">
        <w:rPr>
          <w:b/>
          <w:bCs/>
        </w:rPr>
        <w:t xml:space="preserve">s (§ 1910.1200(g)) </w:t>
      </w:r>
    </w:p>
    <w:p w:rsidRPr="00CB5054" w:rsidR="00001CE2" w:rsidP="00001CE2" w:rsidRDefault="00001CE2" w14:paraId="0467BEE9" w14:textId="77777777">
      <w:pPr>
        <w:pStyle w:val="Default"/>
      </w:pPr>
      <w:r w:rsidRPr="00CB5054">
        <w:rPr>
          <w:b/>
          <w:bCs/>
        </w:rPr>
        <w:t>(Sending</w:t>
      </w:r>
      <w:r w:rsidRPr="00CB5054" w:rsidR="00014EB1">
        <w:rPr>
          <w:b/>
          <w:bCs/>
        </w:rPr>
        <w:t xml:space="preserve"> </w:t>
      </w:r>
      <w:r w:rsidRPr="00CB5054" w:rsidR="008925F4">
        <w:rPr>
          <w:b/>
          <w:bCs/>
        </w:rPr>
        <w:t>SDS</w:t>
      </w:r>
      <w:r w:rsidRPr="00CB5054" w:rsidR="00014EB1">
        <w:rPr>
          <w:b/>
          <w:bCs/>
        </w:rPr>
        <w:t>s for</w:t>
      </w:r>
      <w:r w:rsidRPr="00CB5054">
        <w:rPr>
          <w:b/>
          <w:bCs/>
        </w:rPr>
        <w:t xml:space="preserve"> </w:t>
      </w:r>
      <w:r w:rsidR="00D25AC6">
        <w:rPr>
          <w:b/>
          <w:bCs/>
        </w:rPr>
        <w:t xml:space="preserve">new </w:t>
      </w:r>
      <w:r w:rsidRPr="00CB5054">
        <w:rPr>
          <w:b/>
          <w:bCs/>
        </w:rPr>
        <w:t xml:space="preserve">hazardous chemicals to </w:t>
      </w:r>
      <w:r w:rsidR="00D25AC6">
        <w:rPr>
          <w:b/>
          <w:bCs/>
        </w:rPr>
        <w:t xml:space="preserve">existing </w:t>
      </w:r>
      <w:r w:rsidRPr="00CB5054">
        <w:rPr>
          <w:b/>
          <w:bCs/>
        </w:rPr>
        <w:t>establishments)</w:t>
      </w:r>
    </w:p>
    <w:p w:rsidRPr="00CB5054" w:rsidR="00001CE2" w:rsidP="00001CE2" w:rsidRDefault="00001CE2" w14:paraId="1B13AB04" w14:textId="77777777">
      <w:pPr>
        <w:pStyle w:val="Default"/>
        <w:ind w:hanging="7920"/>
      </w:pPr>
      <w:r w:rsidRPr="00CB5054">
        <w:rPr>
          <w:b/>
          <w:bCs/>
        </w:rPr>
        <w:t>(Sending MSDS</w:t>
      </w:r>
    </w:p>
    <w:p w:rsidRPr="00CB5054" w:rsidR="00001CE2" w:rsidP="00001CE2" w:rsidRDefault="00001CE2" w14:paraId="5C947F09" w14:textId="77777777">
      <w:pPr>
        <w:pStyle w:val="Default"/>
      </w:pPr>
      <w:r w:rsidRPr="00CB5054">
        <w:t xml:space="preserve">Manufacturers, importers, or employers distributing hazardous chemicals or products must send </w:t>
      </w:r>
      <w:r w:rsidRPr="00CB5054" w:rsidR="008925F4">
        <w:t>SDS</w:t>
      </w:r>
      <w:r w:rsidRPr="00CB5054">
        <w:t>s to establishments receiving the</w:t>
      </w:r>
      <w:r w:rsidR="003670AD">
        <w:t xml:space="preserve"> </w:t>
      </w:r>
      <w:r w:rsidR="00F92202">
        <w:t xml:space="preserve">new </w:t>
      </w:r>
      <w:r w:rsidRPr="00CB5054" w:rsidR="00F92202">
        <w:t>hazardous</w:t>
      </w:r>
      <w:r w:rsidRPr="00CB5054">
        <w:t xml:space="preserve"> chemical or product. </w:t>
      </w:r>
      <w:r w:rsidRPr="00CB5054" w:rsidR="00014EB1">
        <w:t xml:space="preserve">OSHA estimates </w:t>
      </w:r>
      <w:r w:rsidRPr="00CB5054">
        <w:t xml:space="preserve">a manufacturer, importer, or employer generating the </w:t>
      </w:r>
      <w:r w:rsidRPr="00CB5054" w:rsidR="008925F4">
        <w:t>SDS</w:t>
      </w:r>
      <w:r w:rsidRPr="00CB5054">
        <w:t xml:space="preserve"> takes .14 clerical hours to distribute a </w:t>
      </w:r>
      <w:r w:rsidRPr="00CB5054" w:rsidR="008925F4">
        <w:t>SDS</w:t>
      </w:r>
      <w:r w:rsidRPr="00CB5054">
        <w:t xml:space="preserve">. </w:t>
      </w:r>
      <w:r w:rsidR="000633CD">
        <w:t>Only 8% of the hazard chemicals will be new annually.</w:t>
      </w:r>
    </w:p>
    <w:p w:rsidR="00001CE2" w:rsidP="00001CE2" w:rsidRDefault="00001CE2" w14:paraId="47DA5A28" w14:textId="77777777">
      <w:pPr>
        <w:pStyle w:val="Default"/>
      </w:pPr>
    </w:p>
    <w:p w:rsidRPr="00CB5054" w:rsidR="00BC2EA8" w:rsidP="00001CE2" w:rsidRDefault="00C00788" w14:paraId="1EC17ADD" w14:textId="77777777">
      <w:pPr>
        <w:pStyle w:val="Default"/>
      </w:pPr>
      <w:r>
        <w:t>To determine the number of new hazardous chemicals existing establishments receive, OSHA estimated tha</w:t>
      </w:r>
      <w:r w:rsidR="00945B11">
        <w:t>t</w:t>
      </w:r>
      <w:r>
        <w:t>, on average, each manufacturing establishment has 22 hazardous chemicals</w:t>
      </w:r>
      <w:r w:rsidR="00FD22B9">
        <w:t>.</w:t>
      </w:r>
      <w:r>
        <w:t xml:space="preserve"> Therefore, the number of new chemical</w:t>
      </w:r>
      <w:r w:rsidR="00821A19">
        <w:t>s</w:t>
      </w:r>
      <w:r>
        <w:t xml:space="preserve"> per manufacturing establishment averages </w:t>
      </w:r>
      <w:r w:rsidR="00283768">
        <w:t>1.76</w:t>
      </w:r>
      <w:r w:rsidR="00BC2EA8">
        <w:t xml:space="preserve"> new chemicals.</w:t>
      </w:r>
    </w:p>
    <w:p w:rsidR="00001CE2" w:rsidP="00D80711" w:rsidRDefault="00001CE2" w14:paraId="7F932AF3" w14:textId="77777777">
      <w:pPr>
        <w:shd w:val="solid" w:color="FFFFFF" w:fill="FFFFFF"/>
        <w:rPr>
          <w:b/>
          <w:color w:val="000000"/>
          <w:sz w:val="22"/>
          <w:szCs w:val="22"/>
        </w:rPr>
      </w:pPr>
    </w:p>
    <w:p w:rsidRPr="009B51D1" w:rsidR="00283768" w:rsidP="00D80711" w:rsidRDefault="00283768" w14:paraId="4BE3B519" w14:textId="77777777">
      <w:pPr>
        <w:shd w:val="solid" w:color="FFFFFF" w:fill="FFFFFF"/>
        <w:rPr>
          <w:color w:val="000000"/>
          <w:sz w:val="24"/>
          <w:szCs w:val="24"/>
          <w:u w:val="single"/>
        </w:rPr>
      </w:pPr>
      <w:r w:rsidRPr="009B51D1">
        <w:rPr>
          <w:color w:val="000000"/>
          <w:sz w:val="24"/>
          <w:szCs w:val="24"/>
          <w:u w:val="single"/>
        </w:rPr>
        <w:t>Manufacturing:</w:t>
      </w:r>
    </w:p>
    <w:p w:rsidRPr="00CB5054" w:rsidR="00BC2EA8" w:rsidP="00D80711" w:rsidRDefault="00BC2EA8" w14:paraId="79A74DA1" w14:textId="77777777">
      <w:pPr>
        <w:shd w:val="solid" w:color="FFFFFF" w:fill="FFFFFF"/>
        <w:rPr>
          <w:b/>
          <w:color w:val="000000"/>
          <w:sz w:val="22"/>
          <w:szCs w:val="22"/>
        </w:rPr>
      </w:pPr>
    </w:p>
    <w:p w:rsidRPr="00CB5054" w:rsidR="00001CE2" w:rsidP="00001CE2" w:rsidRDefault="00001CE2" w14:paraId="225A199E" w14:textId="77777777">
      <w:pPr>
        <w:pStyle w:val="Default"/>
        <w:ind w:left="1620" w:hanging="1620"/>
      </w:pPr>
      <w:r w:rsidRPr="00CB5054">
        <w:rPr>
          <w:b/>
          <w:bCs/>
        </w:rPr>
        <w:t>Burden hours</w:t>
      </w:r>
      <w:r w:rsidRPr="00982C2A">
        <w:rPr>
          <w:bCs/>
        </w:rPr>
        <w:t>:</w:t>
      </w:r>
      <w:r w:rsidRPr="00CB5054">
        <w:rPr>
          <w:b/>
          <w:bCs/>
        </w:rPr>
        <w:t xml:space="preserve"> </w:t>
      </w:r>
      <w:r w:rsidR="003A0150">
        <w:t>31,582</w:t>
      </w:r>
      <w:r w:rsidRPr="00CB5054" w:rsidR="00BC2EA8">
        <w:t xml:space="preserve"> </w:t>
      </w:r>
      <w:r w:rsidR="00BC2EA8">
        <w:t xml:space="preserve">establishments x </w:t>
      </w:r>
      <w:r w:rsidR="00283768">
        <w:t>1.76</w:t>
      </w:r>
      <w:r w:rsidR="00BC2EA8">
        <w:t xml:space="preserve"> new hazardous chemicals </w:t>
      </w:r>
      <w:r w:rsidRPr="00CB5054">
        <w:t xml:space="preserve">x .14 hour = </w:t>
      </w:r>
      <w:r w:rsidR="003A0150">
        <w:t>7,782</w:t>
      </w:r>
      <w:r w:rsidRPr="00CB5054">
        <w:t xml:space="preserve"> hours </w:t>
      </w:r>
    </w:p>
    <w:p w:rsidRPr="00CB5054" w:rsidR="00001CE2" w:rsidP="00001CE2" w:rsidRDefault="00001CE2" w14:paraId="75958D40" w14:textId="77777777">
      <w:pPr>
        <w:pStyle w:val="Default"/>
        <w:ind w:firstLine="720"/>
      </w:pPr>
      <w:r w:rsidRPr="00CB5054">
        <w:rPr>
          <w:b/>
          <w:bCs/>
        </w:rPr>
        <w:t>Cost</w:t>
      </w:r>
      <w:r w:rsidRPr="00982C2A">
        <w:rPr>
          <w:bCs/>
        </w:rPr>
        <w:t>:</w:t>
      </w:r>
      <w:r w:rsidR="006D3DAF">
        <w:rPr>
          <w:bCs/>
        </w:rPr>
        <w:t xml:space="preserve">    </w:t>
      </w:r>
      <w:r w:rsidRPr="00CB5054">
        <w:rPr>
          <w:b/>
          <w:bCs/>
        </w:rPr>
        <w:t xml:space="preserve"> </w:t>
      </w:r>
      <w:r w:rsidR="003A0150">
        <w:t>7,782</w:t>
      </w:r>
      <w:r w:rsidRPr="00CB5054" w:rsidR="00014EB1">
        <w:t xml:space="preserve"> </w:t>
      </w:r>
      <w:r w:rsidRPr="00CB5054">
        <w:t xml:space="preserve">hours x </w:t>
      </w:r>
      <w:r w:rsidR="00252B13">
        <w:t>$</w:t>
      </w:r>
      <w:r w:rsidR="00DC556E">
        <w:t>26.08</w:t>
      </w:r>
      <w:r w:rsidRPr="00CB5054" w:rsidR="0068668C">
        <w:t xml:space="preserve"> </w:t>
      </w:r>
      <w:r w:rsidRPr="00CB5054">
        <w:t>= $</w:t>
      </w:r>
      <w:r w:rsidR="004C7C2F">
        <w:t>202,955</w:t>
      </w:r>
      <w:r w:rsidRPr="00CB5054">
        <w:t xml:space="preserve"> </w:t>
      </w:r>
    </w:p>
    <w:p w:rsidR="00283768" w:rsidP="00283768" w:rsidRDefault="00283768" w14:paraId="0558BBB3" w14:textId="77777777">
      <w:pPr>
        <w:shd w:val="solid" w:color="FFFFFF" w:fill="FFFFFF"/>
        <w:rPr>
          <w:color w:val="000000"/>
          <w:sz w:val="24"/>
          <w:szCs w:val="24"/>
        </w:rPr>
      </w:pPr>
    </w:p>
    <w:p w:rsidR="00283768" w:rsidP="00283768" w:rsidRDefault="00283768" w14:paraId="382587C9" w14:textId="77777777">
      <w:pPr>
        <w:shd w:val="solid" w:color="FFFFFF" w:fill="FFFFFF"/>
        <w:rPr>
          <w:color w:val="000000"/>
          <w:sz w:val="24"/>
          <w:szCs w:val="24"/>
        </w:rPr>
      </w:pPr>
      <w:r>
        <w:rPr>
          <w:color w:val="000000"/>
          <w:sz w:val="24"/>
          <w:szCs w:val="24"/>
        </w:rPr>
        <w:t xml:space="preserve">For non-manufacturing establishments, there are 15 hazardous chemicals, assuming an eight percent new chemical </w:t>
      </w:r>
      <w:r w:rsidR="00982C2A">
        <w:rPr>
          <w:color w:val="000000"/>
          <w:sz w:val="24"/>
          <w:szCs w:val="24"/>
        </w:rPr>
        <w:t>rate;</w:t>
      </w:r>
      <w:r>
        <w:rPr>
          <w:color w:val="000000"/>
          <w:sz w:val="24"/>
          <w:szCs w:val="24"/>
        </w:rPr>
        <w:t xml:space="preserve"> the number of new chemicals for non-manufacturing establishments is 1.2.</w:t>
      </w:r>
    </w:p>
    <w:p w:rsidR="00283768" w:rsidP="00283768" w:rsidRDefault="00283768" w14:paraId="12D707FC" w14:textId="77777777">
      <w:pPr>
        <w:shd w:val="solid" w:color="FFFFFF" w:fill="FFFFFF"/>
        <w:rPr>
          <w:color w:val="000000"/>
          <w:sz w:val="24"/>
          <w:szCs w:val="24"/>
        </w:rPr>
      </w:pPr>
    </w:p>
    <w:p w:rsidRPr="009B51D1" w:rsidR="00283768" w:rsidP="00283768" w:rsidRDefault="00283768" w14:paraId="5E59F97B" w14:textId="77777777">
      <w:pPr>
        <w:shd w:val="solid" w:color="FFFFFF" w:fill="FFFFFF"/>
        <w:rPr>
          <w:color w:val="000000"/>
          <w:sz w:val="24"/>
          <w:szCs w:val="24"/>
          <w:u w:val="single"/>
        </w:rPr>
      </w:pPr>
      <w:r w:rsidRPr="009B51D1">
        <w:rPr>
          <w:color w:val="000000"/>
          <w:sz w:val="24"/>
          <w:szCs w:val="24"/>
          <w:u w:val="single"/>
        </w:rPr>
        <w:t>Non-Manufacturing:</w:t>
      </w:r>
    </w:p>
    <w:p w:rsidRPr="00BC2EA8" w:rsidR="00283768" w:rsidP="00283768" w:rsidRDefault="00283768" w14:paraId="3CC4C098" w14:textId="77777777">
      <w:pPr>
        <w:shd w:val="solid" w:color="FFFFFF" w:fill="FFFFFF"/>
        <w:rPr>
          <w:color w:val="000000"/>
          <w:sz w:val="24"/>
          <w:szCs w:val="24"/>
        </w:rPr>
      </w:pPr>
    </w:p>
    <w:p w:rsidRPr="00CB5054" w:rsidR="00283768" w:rsidP="00283768" w:rsidRDefault="00283768" w14:paraId="631D6A0C" w14:textId="77777777">
      <w:pPr>
        <w:pStyle w:val="Default"/>
        <w:ind w:left="1620" w:hanging="1620"/>
      </w:pPr>
      <w:r w:rsidRPr="00CB5054">
        <w:rPr>
          <w:b/>
          <w:bCs/>
        </w:rPr>
        <w:t>Burden hours</w:t>
      </w:r>
      <w:r w:rsidRPr="00982C2A">
        <w:rPr>
          <w:bCs/>
        </w:rPr>
        <w:t xml:space="preserve">: </w:t>
      </w:r>
      <w:r w:rsidR="003A0150">
        <w:t>1,722,686</w:t>
      </w:r>
      <w:r w:rsidRPr="00CB5054" w:rsidR="00A42143">
        <w:t xml:space="preserve"> </w:t>
      </w:r>
      <w:r>
        <w:t xml:space="preserve">establishments x 1.2 new hazardous chemicals </w:t>
      </w:r>
      <w:r w:rsidRPr="00CB5054">
        <w:t xml:space="preserve">x .14 hour = </w:t>
      </w:r>
      <w:r w:rsidR="003A0150">
        <w:t>289,411</w:t>
      </w:r>
      <w:r w:rsidRPr="00CB5054">
        <w:t xml:space="preserve"> hours </w:t>
      </w:r>
    </w:p>
    <w:p w:rsidR="00283768" w:rsidP="00283768" w:rsidRDefault="00283768" w14:paraId="7A7A3E99" w14:textId="6C979B63">
      <w:pPr>
        <w:pStyle w:val="Default"/>
        <w:ind w:firstLine="720"/>
      </w:pPr>
      <w:r w:rsidRPr="00CB5054">
        <w:rPr>
          <w:b/>
          <w:bCs/>
        </w:rPr>
        <w:t>Cost</w:t>
      </w:r>
      <w:r w:rsidRPr="00982C2A">
        <w:rPr>
          <w:bCs/>
        </w:rPr>
        <w:t xml:space="preserve">: </w:t>
      </w:r>
      <w:r w:rsidR="00126CEA">
        <w:rPr>
          <w:bCs/>
        </w:rPr>
        <w:tab/>
        <w:t xml:space="preserve">  </w:t>
      </w:r>
      <w:r w:rsidR="003A0150">
        <w:rPr>
          <w:bCs/>
        </w:rPr>
        <w:t>289,411</w:t>
      </w:r>
      <w:r w:rsidRPr="00CB5054">
        <w:t xml:space="preserve"> hours x </w:t>
      </w:r>
      <w:r w:rsidR="00252B13">
        <w:t>$</w:t>
      </w:r>
      <w:r w:rsidR="00DC556E">
        <w:t>26.08</w:t>
      </w:r>
      <w:r w:rsidRPr="00CB5054">
        <w:t xml:space="preserve"> = $</w:t>
      </w:r>
      <w:r w:rsidR="004C7C2F">
        <w:t>7,547</w:t>
      </w:r>
      <w:r w:rsidR="004B49FA">
        <w:t>,</w:t>
      </w:r>
      <w:r w:rsidR="004C7C2F">
        <w:t>839</w:t>
      </w:r>
    </w:p>
    <w:p w:rsidR="00A42143" w:rsidP="00283768" w:rsidRDefault="00A42143" w14:paraId="3EC07788" w14:textId="77777777">
      <w:pPr>
        <w:pStyle w:val="Default"/>
        <w:ind w:firstLine="720"/>
      </w:pPr>
    </w:p>
    <w:p w:rsidRPr="009B51D1" w:rsidR="00A42143" w:rsidP="00EC30E5" w:rsidRDefault="00A42143" w14:paraId="78B6714C" w14:textId="77777777">
      <w:pPr>
        <w:pStyle w:val="Default"/>
        <w:rPr>
          <w:u w:val="single"/>
        </w:rPr>
      </w:pPr>
      <w:r w:rsidRPr="009B51D1">
        <w:rPr>
          <w:u w:val="single"/>
        </w:rPr>
        <w:t>Total Burden hours and cost:</w:t>
      </w:r>
    </w:p>
    <w:p w:rsidR="00A42143" w:rsidP="00283768" w:rsidRDefault="00A42143" w14:paraId="0A256919" w14:textId="30B7B7DB">
      <w:pPr>
        <w:pStyle w:val="Default"/>
        <w:ind w:firstLine="720"/>
      </w:pPr>
      <w:r>
        <w:tab/>
      </w:r>
      <w:r>
        <w:tab/>
      </w:r>
      <w:r>
        <w:tab/>
      </w:r>
      <w:r>
        <w:tab/>
      </w:r>
      <w:r w:rsidR="00035C91">
        <w:tab/>
      </w:r>
    </w:p>
    <w:p w:rsidRPr="00CB5054" w:rsidR="00A42143" w:rsidP="00283768" w:rsidRDefault="00035C91" w14:paraId="583D9A8E" w14:textId="48DAEB71">
      <w:pPr>
        <w:pStyle w:val="Default"/>
        <w:ind w:firstLine="720"/>
      </w:pPr>
      <w:r>
        <w:tab/>
      </w:r>
      <w:r w:rsidR="00A42143">
        <w:t>Manufacturing</w:t>
      </w:r>
      <w:r w:rsidR="00A42143">
        <w:tab/>
      </w:r>
      <w:r w:rsidR="00A42143">
        <w:tab/>
      </w:r>
      <w:r w:rsidR="00A42143">
        <w:tab/>
      </w:r>
      <w:r w:rsidR="009B51D1">
        <w:t>Non-</w:t>
      </w:r>
      <w:r w:rsidR="00126CEA">
        <w:t>Manufacturing</w:t>
      </w:r>
      <w:r w:rsidR="00A42143">
        <w:tab/>
      </w:r>
      <w:r w:rsidR="00A42143">
        <w:tab/>
        <w:t>Total</w:t>
      </w:r>
    </w:p>
    <w:p w:rsidRPr="00A42143" w:rsidR="00001CE2" w:rsidP="00D80711" w:rsidRDefault="00035C91" w14:paraId="4E5F1573" w14:textId="77777777">
      <w:pPr>
        <w:shd w:val="solid" w:color="FFFFFF" w:fill="FFFFFF"/>
        <w:rPr>
          <w:b/>
          <w:color w:val="000000"/>
          <w:sz w:val="24"/>
          <w:szCs w:val="24"/>
        </w:rPr>
      </w:pPr>
      <w:r>
        <w:rPr>
          <w:b/>
          <w:color w:val="000000"/>
          <w:sz w:val="22"/>
          <w:szCs w:val="22"/>
        </w:rPr>
        <w:t xml:space="preserve">Burden Hours: </w:t>
      </w:r>
      <w:r w:rsidR="00A42143">
        <w:rPr>
          <w:b/>
          <w:color w:val="000000"/>
          <w:sz w:val="22"/>
          <w:szCs w:val="22"/>
        </w:rPr>
        <w:tab/>
      </w:r>
      <w:r w:rsidR="003A0150">
        <w:rPr>
          <w:sz w:val="24"/>
          <w:szCs w:val="24"/>
        </w:rPr>
        <w:t>7,782</w:t>
      </w:r>
      <w:r w:rsidRPr="00A42143" w:rsidR="00A42143">
        <w:rPr>
          <w:sz w:val="24"/>
          <w:szCs w:val="24"/>
        </w:rPr>
        <w:tab/>
      </w:r>
      <w:r w:rsidRPr="00A42143" w:rsidR="00A42143">
        <w:rPr>
          <w:sz w:val="24"/>
          <w:szCs w:val="24"/>
        </w:rPr>
        <w:tab/>
      </w:r>
      <w:r w:rsidRPr="00A42143" w:rsidR="00A42143">
        <w:rPr>
          <w:sz w:val="24"/>
          <w:szCs w:val="24"/>
        </w:rPr>
        <w:tab/>
      </w:r>
      <w:r w:rsidRPr="00A42143" w:rsidR="00A42143">
        <w:rPr>
          <w:sz w:val="24"/>
          <w:szCs w:val="24"/>
        </w:rPr>
        <w:tab/>
      </w:r>
      <w:r w:rsidR="003A0150">
        <w:rPr>
          <w:sz w:val="24"/>
          <w:szCs w:val="24"/>
        </w:rPr>
        <w:t>289,411</w:t>
      </w:r>
      <w:r w:rsidR="00EC30E5">
        <w:rPr>
          <w:sz w:val="24"/>
          <w:szCs w:val="24"/>
        </w:rPr>
        <w:tab/>
      </w:r>
      <w:r>
        <w:rPr>
          <w:sz w:val="24"/>
          <w:szCs w:val="24"/>
        </w:rPr>
        <w:t xml:space="preserve">        </w:t>
      </w:r>
      <w:r w:rsidR="004968F2">
        <w:rPr>
          <w:sz w:val="24"/>
          <w:szCs w:val="24"/>
        </w:rPr>
        <w:t>297,193</w:t>
      </w:r>
    </w:p>
    <w:p w:rsidR="00A42143" w:rsidP="00D80711" w:rsidRDefault="00035C91" w14:paraId="30C6AAC7" w14:textId="77777777">
      <w:pPr>
        <w:shd w:val="solid" w:color="FFFFFF" w:fill="FFFFFF"/>
        <w:rPr>
          <w:sz w:val="24"/>
          <w:szCs w:val="24"/>
        </w:rPr>
      </w:pPr>
      <w:r>
        <w:rPr>
          <w:b/>
          <w:color w:val="000000"/>
          <w:sz w:val="24"/>
          <w:szCs w:val="24"/>
        </w:rPr>
        <w:t>Cost:</w:t>
      </w:r>
      <w:r>
        <w:rPr>
          <w:b/>
          <w:color w:val="000000"/>
          <w:sz w:val="24"/>
          <w:szCs w:val="24"/>
        </w:rPr>
        <w:tab/>
        <w:t xml:space="preserve">  </w:t>
      </w:r>
      <w:r w:rsidRPr="00A42143" w:rsidR="00A42143">
        <w:rPr>
          <w:b/>
          <w:color w:val="000000"/>
          <w:sz w:val="24"/>
          <w:szCs w:val="24"/>
        </w:rPr>
        <w:tab/>
      </w:r>
      <w:r>
        <w:rPr>
          <w:b/>
          <w:color w:val="000000"/>
          <w:sz w:val="24"/>
          <w:szCs w:val="24"/>
        </w:rPr>
        <w:t xml:space="preserve">     </w:t>
      </w:r>
      <w:r w:rsidRPr="00A42143" w:rsidR="00A42143">
        <w:rPr>
          <w:sz w:val="24"/>
          <w:szCs w:val="24"/>
        </w:rPr>
        <w:t>$</w:t>
      </w:r>
      <w:r w:rsidRPr="009F6AEF" w:rsidR="004B49FA">
        <w:rPr>
          <w:sz w:val="24"/>
          <w:szCs w:val="24"/>
        </w:rPr>
        <w:t>202,955</w:t>
      </w:r>
      <w:r w:rsidRPr="00A42143" w:rsidR="00A42143">
        <w:rPr>
          <w:sz w:val="24"/>
          <w:szCs w:val="24"/>
        </w:rPr>
        <w:tab/>
      </w:r>
      <w:r w:rsidRPr="00A42143" w:rsidR="00A42143">
        <w:rPr>
          <w:sz w:val="24"/>
          <w:szCs w:val="24"/>
        </w:rPr>
        <w:tab/>
      </w:r>
      <w:r w:rsidR="00854661">
        <w:rPr>
          <w:sz w:val="24"/>
          <w:szCs w:val="24"/>
        </w:rPr>
        <w:t xml:space="preserve">   </w:t>
      </w:r>
      <w:r w:rsidRPr="00A42143" w:rsidR="00A42143">
        <w:rPr>
          <w:sz w:val="24"/>
          <w:szCs w:val="24"/>
        </w:rPr>
        <w:tab/>
      </w:r>
      <w:r>
        <w:rPr>
          <w:sz w:val="24"/>
          <w:szCs w:val="24"/>
        </w:rPr>
        <w:t xml:space="preserve">   </w:t>
      </w:r>
      <w:r w:rsidR="00854661">
        <w:rPr>
          <w:sz w:val="24"/>
          <w:szCs w:val="24"/>
        </w:rPr>
        <w:t xml:space="preserve">   </w:t>
      </w:r>
      <w:r>
        <w:rPr>
          <w:sz w:val="24"/>
          <w:szCs w:val="24"/>
        </w:rPr>
        <w:t xml:space="preserve">  </w:t>
      </w:r>
      <w:r w:rsidRPr="00A42143" w:rsidR="00A42143">
        <w:rPr>
          <w:sz w:val="24"/>
          <w:szCs w:val="24"/>
        </w:rPr>
        <w:t>$</w:t>
      </w:r>
      <w:r w:rsidRPr="009F6AEF" w:rsidR="004B49FA">
        <w:rPr>
          <w:sz w:val="24"/>
          <w:szCs w:val="24"/>
        </w:rPr>
        <w:t>7,547,839</w:t>
      </w:r>
      <w:r w:rsidR="00BF184D">
        <w:rPr>
          <w:sz w:val="24"/>
          <w:szCs w:val="24"/>
        </w:rPr>
        <w:t xml:space="preserve"> </w:t>
      </w:r>
      <w:r w:rsidR="00854661">
        <w:rPr>
          <w:sz w:val="24"/>
          <w:szCs w:val="24"/>
        </w:rPr>
        <w:t xml:space="preserve"> </w:t>
      </w:r>
      <w:r w:rsidR="00EC30E5">
        <w:rPr>
          <w:sz w:val="24"/>
          <w:szCs w:val="24"/>
        </w:rPr>
        <w:tab/>
      </w:r>
      <w:r>
        <w:rPr>
          <w:sz w:val="24"/>
          <w:szCs w:val="24"/>
        </w:rPr>
        <w:t xml:space="preserve">   </w:t>
      </w:r>
      <w:r w:rsidR="00EC30E5">
        <w:rPr>
          <w:sz w:val="24"/>
          <w:szCs w:val="24"/>
        </w:rPr>
        <w:t>$</w:t>
      </w:r>
      <w:r w:rsidR="004B49FA">
        <w:rPr>
          <w:sz w:val="24"/>
          <w:szCs w:val="24"/>
        </w:rPr>
        <w:t>7,750,794</w:t>
      </w:r>
    </w:p>
    <w:p w:rsidR="003670AD" w:rsidP="00D80711" w:rsidRDefault="003670AD" w14:paraId="50927181" w14:textId="77777777">
      <w:pPr>
        <w:shd w:val="solid" w:color="FFFFFF" w:fill="FFFFFF"/>
        <w:rPr>
          <w:sz w:val="24"/>
          <w:szCs w:val="24"/>
        </w:rPr>
      </w:pPr>
    </w:p>
    <w:p w:rsidR="0085395B" w:rsidP="003670AD" w:rsidRDefault="0085395B" w14:paraId="1D193A35" w14:textId="77777777">
      <w:pPr>
        <w:pStyle w:val="Default"/>
        <w:rPr>
          <w:b/>
          <w:bCs/>
        </w:rPr>
      </w:pPr>
    </w:p>
    <w:p w:rsidRPr="00AB0B90" w:rsidR="0085395B" w:rsidP="0085395B" w:rsidRDefault="0085395B" w14:paraId="6BDABCA6" w14:textId="77777777">
      <w:pPr>
        <w:pStyle w:val="Default"/>
        <w:rPr>
          <w:bCs/>
        </w:rPr>
      </w:pPr>
      <w:r w:rsidRPr="008B1382">
        <w:rPr>
          <w:b/>
          <w:bCs/>
        </w:rPr>
        <w:t>5</w:t>
      </w:r>
      <w:r w:rsidRPr="00AB0B90">
        <w:rPr>
          <w:bCs/>
        </w:rPr>
        <w:t xml:space="preserve">. </w:t>
      </w:r>
      <w:r w:rsidRPr="00447023">
        <w:rPr>
          <w:b/>
          <w:bCs/>
        </w:rPr>
        <w:t>Sending of SDSs (§ 1910.1200(g))</w:t>
      </w:r>
      <w:r w:rsidRPr="00AB0B90">
        <w:rPr>
          <w:bCs/>
        </w:rPr>
        <w:t xml:space="preserve"> </w:t>
      </w:r>
    </w:p>
    <w:p w:rsidRPr="0085395B" w:rsidR="0085395B" w:rsidP="0085395B" w:rsidRDefault="0085395B" w14:paraId="41840B64" w14:textId="77777777">
      <w:pPr>
        <w:pStyle w:val="Default"/>
        <w:rPr>
          <w:b/>
          <w:bCs/>
        </w:rPr>
      </w:pPr>
      <w:r w:rsidRPr="0085395B">
        <w:rPr>
          <w:b/>
          <w:bCs/>
        </w:rPr>
        <w:t>(Sending SDSs for all hazardous chemicals to new establishments)</w:t>
      </w:r>
    </w:p>
    <w:p w:rsidRPr="00AB0B90" w:rsidR="0085395B" w:rsidP="0085395B" w:rsidRDefault="0085395B" w14:paraId="01B5C224" w14:textId="77777777">
      <w:pPr>
        <w:pStyle w:val="Default"/>
        <w:rPr>
          <w:bCs/>
        </w:rPr>
      </w:pPr>
    </w:p>
    <w:p w:rsidRPr="00AB0B90" w:rsidR="0085395B" w:rsidP="0085395B" w:rsidRDefault="0085395B" w14:paraId="34E58525" w14:textId="77777777">
      <w:pPr>
        <w:pStyle w:val="Default"/>
        <w:rPr>
          <w:bCs/>
        </w:rPr>
      </w:pPr>
      <w:r w:rsidRPr="00AB0B90">
        <w:rPr>
          <w:bCs/>
        </w:rPr>
        <w:t>Manufacturers, importers, or employers developing SDSs, must distribute SDSs to new establishments for all initial hazardous chemicals and for new chemical products they may receive during the year. The clerical time required to send SDSs to new establishments is the same as for existing establishments, .14 hours. OSHA recognizes that the time it takes for manufacturers, importers, or employers to transmit SDSs is overestimated because some are sent electronically.</w:t>
      </w:r>
    </w:p>
    <w:p w:rsidRPr="00AB0B90" w:rsidR="0085395B" w:rsidP="0085395B" w:rsidRDefault="0085395B" w14:paraId="64319A68" w14:textId="77777777">
      <w:pPr>
        <w:pStyle w:val="Default"/>
        <w:rPr>
          <w:bCs/>
        </w:rPr>
      </w:pPr>
    </w:p>
    <w:p w:rsidRPr="009B51D1" w:rsidR="0085395B" w:rsidP="0085395B" w:rsidRDefault="0085395B" w14:paraId="5DFD80F0" w14:textId="77777777">
      <w:pPr>
        <w:pStyle w:val="Default"/>
        <w:rPr>
          <w:bCs/>
          <w:u w:val="single"/>
        </w:rPr>
      </w:pPr>
      <w:r w:rsidRPr="009B51D1">
        <w:rPr>
          <w:bCs/>
          <w:u w:val="single"/>
        </w:rPr>
        <w:t>Manufacturing:</w:t>
      </w:r>
    </w:p>
    <w:p w:rsidRPr="00AB0B90" w:rsidR="0085395B" w:rsidP="0085395B" w:rsidRDefault="0085395B" w14:paraId="61486C60" w14:textId="77777777">
      <w:pPr>
        <w:pStyle w:val="Default"/>
        <w:rPr>
          <w:bCs/>
        </w:rPr>
      </w:pPr>
    </w:p>
    <w:p w:rsidRPr="00AB0B90" w:rsidR="0085395B" w:rsidP="0085395B" w:rsidRDefault="0085395B" w14:paraId="32727C03" w14:textId="77777777">
      <w:pPr>
        <w:pStyle w:val="Default"/>
        <w:rPr>
          <w:bCs/>
        </w:rPr>
      </w:pPr>
      <w:r w:rsidRPr="00AB0B90">
        <w:rPr>
          <w:bCs/>
        </w:rPr>
        <w:t>OSHA estimates that the new manufacturing establishments receive an average of 22 SDSs; 22 hazardous chemicals for purchasing initially, plus the 1.76 for the new hazardous chemicals establishments purchase annually.</w:t>
      </w:r>
    </w:p>
    <w:p w:rsidRPr="00AB0B90" w:rsidR="0085395B" w:rsidP="0085395B" w:rsidRDefault="0085395B" w14:paraId="6D0C5076" w14:textId="77777777">
      <w:pPr>
        <w:pStyle w:val="Default"/>
        <w:rPr>
          <w:bCs/>
        </w:rPr>
      </w:pPr>
    </w:p>
    <w:p w:rsidRPr="00AB0B90" w:rsidR="0085395B" w:rsidP="0085395B" w:rsidRDefault="0085395B" w14:paraId="0C77A2C0" w14:textId="77777777">
      <w:pPr>
        <w:pStyle w:val="Default"/>
        <w:rPr>
          <w:bCs/>
        </w:rPr>
      </w:pPr>
      <w:r w:rsidRPr="008B1382">
        <w:rPr>
          <w:b/>
          <w:bCs/>
        </w:rPr>
        <w:t>Burden hours</w:t>
      </w:r>
      <w:r w:rsidRPr="00AB0B90">
        <w:rPr>
          <w:bCs/>
        </w:rPr>
        <w:t xml:space="preserve">: </w:t>
      </w:r>
      <w:r w:rsidR="00CA16E1">
        <w:rPr>
          <w:bCs/>
        </w:rPr>
        <w:t>2,450</w:t>
      </w:r>
      <w:r w:rsidRPr="00AB0B90">
        <w:rPr>
          <w:bCs/>
        </w:rPr>
        <w:t xml:space="preserve"> new establishments x 23.76 hazardous chemicals x .14 hour = 8,</w:t>
      </w:r>
      <w:r w:rsidR="00DC6D1A">
        <w:rPr>
          <w:bCs/>
        </w:rPr>
        <w:t>150</w:t>
      </w:r>
      <w:r w:rsidRPr="00AB0B90">
        <w:rPr>
          <w:bCs/>
        </w:rPr>
        <w:t xml:space="preserve"> hours </w:t>
      </w:r>
    </w:p>
    <w:p w:rsidRPr="00AB0B90" w:rsidR="0085395B" w:rsidP="0085395B" w:rsidRDefault="0085395B" w14:paraId="64AB582B" w14:textId="77777777">
      <w:pPr>
        <w:pStyle w:val="Default"/>
        <w:rPr>
          <w:bCs/>
        </w:rPr>
      </w:pPr>
      <w:r w:rsidRPr="008B1382">
        <w:rPr>
          <w:b/>
          <w:bCs/>
        </w:rPr>
        <w:t>Cost</w:t>
      </w:r>
      <w:r w:rsidRPr="00AB0B90">
        <w:rPr>
          <w:bCs/>
        </w:rPr>
        <w:t>: 8,</w:t>
      </w:r>
      <w:r w:rsidR="00DC6D1A">
        <w:rPr>
          <w:bCs/>
        </w:rPr>
        <w:t>150</w:t>
      </w:r>
      <w:r w:rsidRPr="00AB0B90">
        <w:rPr>
          <w:bCs/>
        </w:rPr>
        <w:t xml:space="preserve"> hours x $</w:t>
      </w:r>
      <w:r w:rsidR="00DC556E">
        <w:rPr>
          <w:bCs/>
        </w:rPr>
        <w:t>26.08</w:t>
      </w:r>
      <w:r w:rsidRPr="00AB0B90">
        <w:rPr>
          <w:bCs/>
        </w:rPr>
        <w:t xml:space="preserve"> = $</w:t>
      </w:r>
      <w:r w:rsidR="004C7C2F">
        <w:rPr>
          <w:bCs/>
        </w:rPr>
        <w:t>212,552</w:t>
      </w:r>
    </w:p>
    <w:p w:rsidRPr="00AB0B90" w:rsidR="0085395B" w:rsidP="0085395B" w:rsidRDefault="0085395B" w14:paraId="1C626136" w14:textId="77777777">
      <w:pPr>
        <w:pStyle w:val="Default"/>
        <w:rPr>
          <w:bCs/>
        </w:rPr>
      </w:pPr>
    </w:p>
    <w:p w:rsidRPr="009B51D1" w:rsidR="0085395B" w:rsidP="0085395B" w:rsidRDefault="0085395B" w14:paraId="05380433" w14:textId="77777777">
      <w:pPr>
        <w:pStyle w:val="Default"/>
        <w:rPr>
          <w:bCs/>
          <w:u w:val="single"/>
        </w:rPr>
      </w:pPr>
      <w:r w:rsidRPr="009B51D1">
        <w:rPr>
          <w:bCs/>
          <w:u w:val="single"/>
        </w:rPr>
        <w:t>Non-manufacturing:</w:t>
      </w:r>
    </w:p>
    <w:p w:rsidRPr="00AB0B90" w:rsidR="0085395B" w:rsidP="0085395B" w:rsidRDefault="0085395B" w14:paraId="5105D91D" w14:textId="77777777">
      <w:pPr>
        <w:pStyle w:val="Default"/>
        <w:rPr>
          <w:bCs/>
        </w:rPr>
      </w:pPr>
    </w:p>
    <w:p w:rsidRPr="00AB0B90" w:rsidR="0085395B" w:rsidP="0085395B" w:rsidRDefault="0085395B" w14:paraId="68671D67" w14:textId="77777777">
      <w:pPr>
        <w:pStyle w:val="Default"/>
        <w:rPr>
          <w:bCs/>
        </w:rPr>
      </w:pPr>
      <w:r w:rsidRPr="00AB0B90">
        <w:rPr>
          <w:bCs/>
        </w:rPr>
        <w:t xml:space="preserve">Non-manufacturing establishments receive an estimated 16.2; (15 SDSs + 1.2 new </w:t>
      </w:r>
      <w:r>
        <w:rPr>
          <w:bCs/>
        </w:rPr>
        <w:t>h</w:t>
      </w:r>
      <w:r w:rsidRPr="00AB0B90">
        <w:rPr>
          <w:bCs/>
        </w:rPr>
        <w:t>azardous chemicals)</w:t>
      </w:r>
    </w:p>
    <w:p w:rsidRPr="00AB0B90" w:rsidR="0085395B" w:rsidP="0085395B" w:rsidRDefault="0085395B" w14:paraId="56DFD986" w14:textId="77777777">
      <w:pPr>
        <w:pStyle w:val="Default"/>
        <w:rPr>
          <w:bCs/>
        </w:rPr>
      </w:pPr>
    </w:p>
    <w:p w:rsidRPr="00AB0B90" w:rsidR="0085395B" w:rsidP="00683F3B" w:rsidRDefault="0085395B" w14:paraId="64A8D31A" w14:textId="7BB01207">
      <w:pPr>
        <w:pStyle w:val="Default"/>
        <w:rPr>
          <w:bCs/>
        </w:rPr>
      </w:pPr>
      <w:r w:rsidRPr="008B1382">
        <w:rPr>
          <w:b/>
          <w:bCs/>
        </w:rPr>
        <w:t>Burden hours</w:t>
      </w:r>
      <w:r w:rsidRPr="00AB0B90">
        <w:rPr>
          <w:bCs/>
        </w:rPr>
        <w:t xml:space="preserve">: </w:t>
      </w:r>
      <w:r w:rsidR="00CA16E1">
        <w:rPr>
          <w:bCs/>
        </w:rPr>
        <w:t>250,608</w:t>
      </w:r>
      <w:r w:rsidRPr="00AB0B90">
        <w:rPr>
          <w:bCs/>
        </w:rPr>
        <w:t xml:space="preserve"> new non-manufacturing establishments x 16.2 hazardous </w:t>
      </w:r>
      <w:r w:rsidR="00683F3B">
        <w:rPr>
          <w:bCs/>
        </w:rPr>
        <w:t xml:space="preserve">   </w:t>
      </w:r>
      <w:r w:rsidRPr="00AB0B90">
        <w:rPr>
          <w:bCs/>
        </w:rPr>
        <w:t xml:space="preserve">chemicals x .14 hour = </w:t>
      </w:r>
      <w:r w:rsidR="00187E8E">
        <w:rPr>
          <w:bCs/>
        </w:rPr>
        <w:t>568,379</w:t>
      </w:r>
      <w:r w:rsidRPr="00AB0B90">
        <w:rPr>
          <w:bCs/>
        </w:rPr>
        <w:t xml:space="preserve"> hours </w:t>
      </w:r>
    </w:p>
    <w:p w:rsidRPr="00AB0B90" w:rsidR="0085395B" w:rsidP="0085395B" w:rsidRDefault="0085395B" w14:paraId="3BB77C17" w14:textId="44C08118">
      <w:pPr>
        <w:pStyle w:val="Default"/>
        <w:rPr>
          <w:bCs/>
        </w:rPr>
      </w:pPr>
      <w:r w:rsidRPr="008B1382">
        <w:rPr>
          <w:b/>
          <w:bCs/>
        </w:rPr>
        <w:t>Cost</w:t>
      </w:r>
      <w:r w:rsidRPr="00AB0B90">
        <w:rPr>
          <w:bCs/>
        </w:rPr>
        <w:t xml:space="preserve">: </w:t>
      </w:r>
      <w:r w:rsidR="00893373">
        <w:rPr>
          <w:bCs/>
        </w:rPr>
        <w:t xml:space="preserve">                </w:t>
      </w:r>
      <w:r w:rsidR="00187E8E">
        <w:rPr>
          <w:bCs/>
        </w:rPr>
        <w:t>568,379</w:t>
      </w:r>
      <w:r w:rsidRPr="00AB0B90">
        <w:rPr>
          <w:bCs/>
        </w:rPr>
        <w:t xml:space="preserve"> hours x $</w:t>
      </w:r>
      <w:r w:rsidR="00DC556E">
        <w:rPr>
          <w:bCs/>
        </w:rPr>
        <w:t>26.08</w:t>
      </w:r>
      <w:r w:rsidRPr="00AB0B90">
        <w:rPr>
          <w:bCs/>
        </w:rPr>
        <w:t>= $</w:t>
      </w:r>
      <w:r w:rsidR="004C7C2F">
        <w:rPr>
          <w:bCs/>
        </w:rPr>
        <w:t>14,823,324</w:t>
      </w:r>
    </w:p>
    <w:p w:rsidRPr="00AB0B90" w:rsidR="0085395B" w:rsidP="0085395B" w:rsidRDefault="0085395B" w14:paraId="09204A90" w14:textId="77777777">
      <w:pPr>
        <w:pStyle w:val="Default"/>
        <w:rPr>
          <w:bCs/>
        </w:rPr>
      </w:pPr>
    </w:p>
    <w:p w:rsidRPr="009B51D1" w:rsidR="0085395B" w:rsidP="0085395B" w:rsidRDefault="0085395B" w14:paraId="36D91F60" w14:textId="77777777">
      <w:pPr>
        <w:pStyle w:val="Default"/>
        <w:rPr>
          <w:bCs/>
          <w:u w:val="single"/>
        </w:rPr>
      </w:pPr>
      <w:r w:rsidRPr="009B51D1">
        <w:rPr>
          <w:bCs/>
          <w:u w:val="single"/>
        </w:rPr>
        <w:t>Total Burden hours and cost:</w:t>
      </w:r>
    </w:p>
    <w:p w:rsidRPr="00AB0B90" w:rsidR="0085395B" w:rsidP="0085395B" w:rsidRDefault="0085395B" w14:paraId="42956E08" w14:textId="4882FAA9">
      <w:pPr>
        <w:pStyle w:val="Default"/>
        <w:rPr>
          <w:bCs/>
        </w:rPr>
      </w:pPr>
      <w:r w:rsidRPr="00AB0B90">
        <w:rPr>
          <w:bCs/>
        </w:rPr>
        <w:tab/>
      </w:r>
      <w:r w:rsidRPr="00AB0B90">
        <w:rPr>
          <w:bCs/>
        </w:rPr>
        <w:tab/>
      </w:r>
      <w:r w:rsidRPr="00AB0B90">
        <w:rPr>
          <w:bCs/>
        </w:rPr>
        <w:tab/>
      </w:r>
      <w:r w:rsidRPr="00AB0B90">
        <w:rPr>
          <w:bCs/>
        </w:rPr>
        <w:tab/>
      </w:r>
      <w:r w:rsidR="00126CEA">
        <w:rPr>
          <w:bCs/>
        </w:rPr>
        <w:tab/>
      </w:r>
    </w:p>
    <w:p w:rsidRPr="00AB0B90" w:rsidR="0085395B" w:rsidP="007C255B" w:rsidRDefault="00126CEA" w14:paraId="79AAFFAC" w14:textId="63DEFE71">
      <w:pPr>
        <w:pStyle w:val="Default"/>
        <w:ind w:left="1440" w:firstLine="720"/>
        <w:rPr>
          <w:bCs/>
        </w:rPr>
      </w:pPr>
      <w:r>
        <w:rPr>
          <w:bCs/>
        </w:rPr>
        <w:t>Manufacturing</w:t>
      </w:r>
      <w:r>
        <w:rPr>
          <w:bCs/>
        </w:rPr>
        <w:tab/>
      </w:r>
      <w:r>
        <w:rPr>
          <w:bCs/>
        </w:rPr>
        <w:tab/>
      </w:r>
      <w:r w:rsidR="00683F3B">
        <w:rPr>
          <w:bCs/>
        </w:rPr>
        <w:t>Non-</w:t>
      </w:r>
      <w:r w:rsidRPr="00AB0B90" w:rsidR="0085395B">
        <w:rPr>
          <w:bCs/>
        </w:rPr>
        <w:t>Manufacturing</w:t>
      </w:r>
      <w:r w:rsidRPr="00AB0B90" w:rsidR="0085395B">
        <w:rPr>
          <w:bCs/>
        </w:rPr>
        <w:tab/>
      </w:r>
      <w:r w:rsidRPr="00AB0B90" w:rsidR="0085395B">
        <w:rPr>
          <w:bCs/>
        </w:rPr>
        <w:tab/>
        <w:t xml:space="preserve">       Total</w:t>
      </w:r>
    </w:p>
    <w:p w:rsidRPr="00AB0B90" w:rsidR="0085395B" w:rsidP="0085395B" w:rsidRDefault="0085395B" w14:paraId="301F505D" w14:textId="7423843E">
      <w:pPr>
        <w:pStyle w:val="Default"/>
        <w:rPr>
          <w:bCs/>
        </w:rPr>
      </w:pPr>
      <w:r w:rsidRPr="009B51D1">
        <w:rPr>
          <w:b/>
          <w:bCs/>
        </w:rPr>
        <w:t>Burden hours:</w:t>
      </w:r>
      <w:r w:rsidRPr="00AB0B90">
        <w:rPr>
          <w:bCs/>
        </w:rPr>
        <w:t xml:space="preserve">  </w:t>
      </w:r>
      <w:r w:rsidR="00893373">
        <w:rPr>
          <w:bCs/>
        </w:rPr>
        <w:tab/>
        <w:t xml:space="preserve">      </w:t>
      </w:r>
      <w:r w:rsidRPr="00AB0B90">
        <w:rPr>
          <w:bCs/>
        </w:rPr>
        <w:t>8,</w:t>
      </w:r>
      <w:r w:rsidR="00187E8E">
        <w:rPr>
          <w:bCs/>
        </w:rPr>
        <w:t>150</w:t>
      </w:r>
      <w:r w:rsidRPr="00AB0B90">
        <w:rPr>
          <w:bCs/>
        </w:rPr>
        <w:tab/>
      </w:r>
      <w:r w:rsidRPr="00AB0B90">
        <w:rPr>
          <w:bCs/>
        </w:rPr>
        <w:tab/>
        <w:t xml:space="preserve">       </w:t>
      </w:r>
      <w:r w:rsidR="00187E8E">
        <w:rPr>
          <w:bCs/>
        </w:rPr>
        <w:t>568,379</w:t>
      </w:r>
      <w:r w:rsidRPr="00AB0B90">
        <w:rPr>
          <w:bCs/>
        </w:rPr>
        <w:tab/>
      </w:r>
      <w:r w:rsidRPr="00AB0B90">
        <w:rPr>
          <w:bCs/>
        </w:rPr>
        <w:tab/>
      </w:r>
      <w:r w:rsidRPr="00AB0B90">
        <w:rPr>
          <w:bCs/>
        </w:rPr>
        <w:tab/>
        <w:t xml:space="preserve">       </w:t>
      </w:r>
      <w:r w:rsidR="0036388E">
        <w:rPr>
          <w:bCs/>
        </w:rPr>
        <w:t>576,529</w:t>
      </w:r>
    </w:p>
    <w:p w:rsidRPr="00AB0B90" w:rsidR="0085395B" w:rsidP="0085395B" w:rsidRDefault="0085395B" w14:paraId="3C5AC266" w14:textId="11954399">
      <w:pPr>
        <w:pStyle w:val="Default"/>
        <w:rPr>
          <w:bCs/>
        </w:rPr>
      </w:pPr>
      <w:r w:rsidRPr="009B51D1">
        <w:rPr>
          <w:b/>
          <w:bCs/>
        </w:rPr>
        <w:t>Cost:</w:t>
      </w:r>
      <w:r w:rsidRPr="00AB0B90">
        <w:rPr>
          <w:bCs/>
        </w:rPr>
        <w:t xml:space="preserve">            </w:t>
      </w:r>
      <w:r w:rsidR="00893373">
        <w:rPr>
          <w:bCs/>
        </w:rPr>
        <w:t xml:space="preserve">    </w:t>
      </w:r>
      <w:r w:rsidR="00893373">
        <w:rPr>
          <w:bCs/>
        </w:rPr>
        <w:tab/>
        <w:t xml:space="preserve"> </w:t>
      </w:r>
      <w:r w:rsidRPr="00AB0B90">
        <w:rPr>
          <w:bCs/>
        </w:rPr>
        <w:t>$</w:t>
      </w:r>
      <w:r w:rsidR="00F81DFB">
        <w:rPr>
          <w:bCs/>
        </w:rPr>
        <w:t>212,552</w:t>
      </w:r>
      <w:r w:rsidRPr="00AB0B90">
        <w:rPr>
          <w:bCs/>
        </w:rPr>
        <w:tab/>
      </w:r>
      <w:r w:rsidRPr="00AB0B90">
        <w:rPr>
          <w:bCs/>
        </w:rPr>
        <w:tab/>
        <w:t>$</w:t>
      </w:r>
      <w:r w:rsidR="00F81DFB">
        <w:rPr>
          <w:bCs/>
        </w:rPr>
        <w:t>14,823,324</w:t>
      </w:r>
      <w:r w:rsidRPr="00AB0B90">
        <w:rPr>
          <w:bCs/>
        </w:rPr>
        <w:tab/>
      </w:r>
      <w:r w:rsidRPr="00AB0B90">
        <w:rPr>
          <w:bCs/>
        </w:rPr>
        <w:tab/>
      </w:r>
      <w:r w:rsidRPr="00AB0B90">
        <w:rPr>
          <w:bCs/>
        </w:rPr>
        <w:tab/>
        <w:t>$</w:t>
      </w:r>
      <w:r w:rsidR="00F81DFB">
        <w:rPr>
          <w:bCs/>
        </w:rPr>
        <w:t>15,035,876</w:t>
      </w:r>
    </w:p>
    <w:p w:rsidRPr="00AB0B90" w:rsidR="0085395B" w:rsidP="003670AD" w:rsidRDefault="0085395B" w14:paraId="00E088E4" w14:textId="77777777">
      <w:pPr>
        <w:pStyle w:val="Default"/>
        <w:rPr>
          <w:bCs/>
        </w:rPr>
      </w:pPr>
    </w:p>
    <w:p w:rsidRPr="00CB5054" w:rsidR="003670AD" w:rsidP="003670AD" w:rsidRDefault="00E54F85" w14:paraId="40F05165" w14:textId="77777777">
      <w:pPr>
        <w:pStyle w:val="Default"/>
        <w:rPr>
          <w:b/>
          <w:bCs/>
        </w:rPr>
      </w:pPr>
      <w:r>
        <w:rPr>
          <w:b/>
          <w:bCs/>
        </w:rPr>
        <w:t>6</w:t>
      </w:r>
      <w:r w:rsidR="00BF184D">
        <w:rPr>
          <w:b/>
          <w:bCs/>
        </w:rPr>
        <w:t>.</w:t>
      </w:r>
      <w:r w:rsidR="005972F5">
        <w:rPr>
          <w:b/>
          <w:bCs/>
        </w:rPr>
        <w:t xml:space="preserve"> </w:t>
      </w:r>
      <w:r w:rsidR="00BF184D">
        <w:rPr>
          <w:b/>
          <w:bCs/>
        </w:rPr>
        <w:t xml:space="preserve"> </w:t>
      </w:r>
      <w:r w:rsidRPr="00CB5054" w:rsidR="003670AD">
        <w:rPr>
          <w:b/>
          <w:bCs/>
        </w:rPr>
        <w:t xml:space="preserve">Sending of SDSs (§ 1910.1200(g)) </w:t>
      </w:r>
    </w:p>
    <w:p w:rsidRPr="00CB5054" w:rsidR="003670AD" w:rsidP="003670AD" w:rsidRDefault="003670AD" w14:paraId="5E6F5CDE" w14:textId="77777777">
      <w:pPr>
        <w:pStyle w:val="Default"/>
      </w:pPr>
      <w:r w:rsidRPr="00CB5054">
        <w:rPr>
          <w:b/>
          <w:bCs/>
        </w:rPr>
        <w:t>(Sending SDSs for</w:t>
      </w:r>
      <w:r>
        <w:rPr>
          <w:b/>
          <w:bCs/>
        </w:rPr>
        <w:t xml:space="preserve"> existing </w:t>
      </w:r>
      <w:r w:rsidRPr="00CB5054">
        <w:rPr>
          <w:b/>
          <w:bCs/>
        </w:rPr>
        <w:t xml:space="preserve">hazardous chemicals to </w:t>
      </w:r>
      <w:r>
        <w:rPr>
          <w:b/>
          <w:bCs/>
        </w:rPr>
        <w:t xml:space="preserve">existing </w:t>
      </w:r>
      <w:r w:rsidRPr="00CB5054">
        <w:rPr>
          <w:b/>
          <w:bCs/>
        </w:rPr>
        <w:t>establishments)</w:t>
      </w:r>
    </w:p>
    <w:p w:rsidRPr="00CB5054" w:rsidR="003670AD" w:rsidP="00AB0B90" w:rsidRDefault="003670AD" w14:paraId="714A9965" w14:textId="77777777">
      <w:pPr>
        <w:pStyle w:val="Default"/>
        <w:tabs>
          <w:tab w:val="center" w:pos="360"/>
        </w:tabs>
        <w:ind w:hanging="7920"/>
      </w:pPr>
      <w:r w:rsidRPr="00CB5054">
        <w:rPr>
          <w:b/>
          <w:bCs/>
        </w:rPr>
        <w:t>(Sending MSDS</w:t>
      </w:r>
      <w:r w:rsidR="009B00FD">
        <w:rPr>
          <w:b/>
          <w:bCs/>
        </w:rPr>
        <w:tab/>
      </w:r>
    </w:p>
    <w:p w:rsidRPr="00CB5054" w:rsidR="003670AD" w:rsidP="003670AD" w:rsidRDefault="003670AD" w14:paraId="55EBB558" w14:textId="77777777">
      <w:pPr>
        <w:pStyle w:val="Default"/>
      </w:pPr>
      <w:r w:rsidRPr="00CB5054">
        <w:t>Manufacturers, importers, or employers distributing hazardous chemicals or products must send SDSs to establishments receiving the hazardous chemical or product. OSHA estimates a manufacturer, importer, or employer generating the SDS takes .14 clerical hours to distribute a</w:t>
      </w:r>
      <w:r w:rsidR="00FD709A">
        <w:t>n existing</w:t>
      </w:r>
      <w:r w:rsidRPr="00CB5054">
        <w:t xml:space="preserve"> SDS</w:t>
      </w:r>
      <w:r w:rsidR="00FD709A">
        <w:t xml:space="preserve"> to a manufacturer deciding to use an existing hazardous chemical</w:t>
      </w:r>
      <w:r w:rsidR="00006F7A">
        <w:t xml:space="preserve"> that they had not previously used</w:t>
      </w:r>
      <w:r w:rsidRPr="00CB5054">
        <w:t>.</w:t>
      </w:r>
      <w:r>
        <w:t xml:space="preserve"> </w:t>
      </w:r>
      <w:r w:rsidR="00006F7A">
        <w:t>OSHA estimates that, on average, half of establishments (the equivalent of every</w:t>
      </w:r>
      <w:r>
        <w:t xml:space="preserve"> existing </w:t>
      </w:r>
      <w:r w:rsidR="00006F7A">
        <w:t xml:space="preserve">establishment newly using </w:t>
      </w:r>
      <w:r w:rsidR="00FD709A">
        <w:t>.</w:t>
      </w:r>
      <w:r>
        <w:t xml:space="preserve">5 </w:t>
      </w:r>
      <w:r w:rsidR="00006F7A">
        <w:t>existing</w:t>
      </w:r>
      <w:r>
        <w:t xml:space="preserve"> chemicals</w:t>
      </w:r>
      <w:r w:rsidR="00006F7A">
        <w:t>) will newly use an existing chemical</w:t>
      </w:r>
      <w:r>
        <w:t>.</w:t>
      </w:r>
    </w:p>
    <w:p w:rsidR="003670AD" w:rsidP="003670AD" w:rsidRDefault="003670AD" w14:paraId="4E98E256" w14:textId="77777777">
      <w:pPr>
        <w:shd w:val="solid" w:color="FFFFFF" w:fill="FFFFFF"/>
        <w:rPr>
          <w:b/>
          <w:color w:val="000000"/>
          <w:sz w:val="22"/>
          <w:szCs w:val="22"/>
        </w:rPr>
      </w:pPr>
    </w:p>
    <w:p w:rsidRPr="00283768" w:rsidR="003670AD" w:rsidP="003670AD" w:rsidRDefault="003670AD" w14:paraId="5A2FD043" w14:textId="77777777">
      <w:pPr>
        <w:shd w:val="solid" w:color="FFFFFF" w:fill="FFFFFF"/>
        <w:rPr>
          <w:color w:val="000000"/>
          <w:sz w:val="24"/>
          <w:szCs w:val="24"/>
        </w:rPr>
      </w:pPr>
      <w:r w:rsidRPr="009B51D1">
        <w:rPr>
          <w:color w:val="000000"/>
          <w:sz w:val="24"/>
          <w:szCs w:val="24"/>
          <w:u w:val="single"/>
        </w:rPr>
        <w:t>Manufacturing</w:t>
      </w:r>
      <w:r>
        <w:rPr>
          <w:color w:val="000000"/>
          <w:sz w:val="24"/>
          <w:szCs w:val="24"/>
        </w:rPr>
        <w:t>:</w:t>
      </w:r>
    </w:p>
    <w:p w:rsidRPr="00CB5054" w:rsidR="003670AD" w:rsidP="003670AD" w:rsidRDefault="003670AD" w14:paraId="77557E11" w14:textId="77777777">
      <w:pPr>
        <w:shd w:val="solid" w:color="FFFFFF" w:fill="FFFFFF"/>
        <w:rPr>
          <w:b/>
          <w:color w:val="000000"/>
          <w:sz w:val="22"/>
          <w:szCs w:val="22"/>
        </w:rPr>
      </w:pPr>
    </w:p>
    <w:p w:rsidRPr="00CB5054" w:rsidR="003670AD" w:rsidP="003670AD" w:rsidRDefault="003670AD" w14:paraId="25D24950" w14:textId="77777777">
      <w:pPr>
        <w:pStyle w:val="Default"/>
        <w:ind w:left="1620" w:hanging="1620"/>
      </w:pPr>
      <w:r w:rsidRPr="00CB5054">
        <w:rPr>
          <w:b/>
          <w:bCs/>
        </w:rPr>
        <w:t>Burden hours</w:t>
      </w:r>
      <w:r w:rsidRPr="00982C2A">
        <w:rPr>
          <w:bCs/>
        </w:rPr>
        <w:t>:</w:t>
      </w:r>
      <w:r w:rsidRPr="00CB5054">
        <w:rPr>
          <w:b/>
          <w:bCs/>
        </w:rPr>
        <w:t xml:space="preserve"> </w:t>
      </w:r>
      <w:r w:rsidR="003A0150">
        <w:t>31,582</w:t>
      </w:r>
      <w:r w:rsidRPr="00CB5054">
        <w:t xml:space="preserve"> </w:t>
      </w:r>
      <w:r>
        <w:t xml:space="preserve">establishments x .5 existing hazardous chemicals </w:t>
      </w:r>
      <w:r w:rsidRPr="00CB5054">
        <w:t xml:space="preserve">x .14 hour = </w:t>
      </w:r>
      <w:r w:rsidR="003806AA">
        <w:t>2,211</w:t>
      </w:r>
      <w:r w:rsidR="00611F06">
        <w:t xml:space="preserve"> hours</w:t>
      </w:r>
    </w:p>
    <w:p w:rsidRPr="00CB5054" w:rsidR="003670AD" w:rsidP="003670AD" w:rsidRDefault="003670AD" w14:paraId="0F5354B6" w14:textId="77777777">
      <w:pPr>
        <w:pStyle w:val="Default"/>
        <w:ind w:firstLine="720"/>
      </w:pPr>
      <w:r w:rsidRPr="00CB5054">
        <w:rPr>
          <w:b/>
          <w:bCs/>
        </w:rPr>
        <w:t>Cost</w:t>
      </w:r>
      <w:r w:rsidRPr="00982C2A">
        <w:rPr>
          <w:bCs/>
        </w:rPr>
        <w:t>:</w:t>
      </w:r>
      <w:r>
        <w:rPr>
          <w:bCs/>
        </w:rPr>
        <w:t xml:space="preserve">    </w:t>
      </w:r>
      <w:r w:rsidRPr="00CB5054">
        <w:rPr>
          <w:b/>
          <w:bCs/>
        </w:rPr>
        <w:t xml:space="preserve"> </w:t>
      </w:r>
      <w:r w:rsidR="00BE4489">
        <w:t xml:space="preserve"> </w:t>
      </w:r>
      <w:r w:rsidR="003806AA">
        <w:t>2,211</w:t>
      </w:r>
      <w:r w:rsidRPr="00CB5054">
        <w:t xml:space="preserve"> hours x </w:t>
      </w:r>
      <w:r w:rsidR="00252B13">
        <w:t>$</w:t>
      </w:r>
      <w:r w:rsidR="00DC556E">
        <w:t>26.08</w:t>
      </w:r>
      <w:r w:rsidRPr="00CB5054">
        <w:t xml:space="preserve"> = $</w:t>
      </w:r>
      <w:r w:rsidR="004C7C2F">
        <w:t>57,663</w:t>
      </w:r>
    </w:p>
    <w:p w:rsidR="003670AD" w:rsidP="003670AD" w:rsidRDefault="003670AD" w14:paraId="0AE58B02" w14:textId="77777777">
      <w:pPr>
        <w:shd w:val="solid" w:color="FFFFFF" w:fill="FFFFFF"/>
        <w:rPr>
          <w:color w:val="000000"/>
          <w:sz w:val="24"/>
          <w:szCs w:val="24"/>
        </w:rPr>
      </w:pPr>
    </w:p>
    <w:p w:rsidR="003670AD" w:rsidP="003670AD" w:rsidRDefault="003670AD" w14:paraId="23128ABE" w14:textId="77777777">
      <w:pPr>
        <w:shd w:val="solid" w:color="FFFFFF" w:fill="FFFFFF"/>
        <w:rPr>
          <w:color w:val="000000"/>
          <w:sz w:val="24"/>
          <w:szCs w:val="24"/>
        </w:rPr>
      </w:pPr>
      <w:r>
        <w:rPr>
          <w:color w:val="000000"/>
          <w:sz w:val="24"/>
          <w:szCs w:val="24"/>
        </w:rPr>
        <w:t xml:space="preserve">For non-manufacturing establishments, </w:t>
      </w:r>
      <w:r w:rsidRPr="00006F7A" w:rsidR="00006F7A">
        <w:rPr>
          <w:color w:val="000000"/>
          <w:sz w:val="24"/>
          <w:szCs w:val="24"/>
        </w:rPr>
        <w:t xml:space="preserve">OSHA </w:t>
      </w:r>
      <w:r w:rsidR="00006F7A">
        <w:rPr>
          <w:color w:val="000000"/>
          <w:sz w:val="24"/>
          <w:szCs w:val="24"/>
        </w:rPr>
        <w:t xml:space="preserve">also </w:t>
      </w:r>
      <w:r w:rsidRPr="00006F7A" w:rsidR="00006F7A">
        <w:rPr>
          <w:color w:val="000000"/>
          <w:sz w:val="24"/>
          <w:szCs w:val="24"/>
        </w:rPr>
        <w:t>estimates that, on average, half of establishments (the equivalent of every existing establishment newly using .5 existing chemicals) will newly use an existing chemica</w:t>
      </w:r>
      <w:r w:rsidR="00006F7A">
        <w:rPr>
          <w:color w:val="000000"/>
          <w:sz w:val="24"/>
          <w:szCs w:val="24"/>
        </w:rPr>
        <w:t xml:space="preserve">l.  </w:t>
      </w:r>
    </w:p>
    <w:p w:rsidR="00006F7A" w:rsidP="003670AD" w:rsidRDefault="00006F7A" w14:paraId="19616BA6" w14:textId="77777777">
      <w:pPr>
        <w:shd w:val="solid" w:color="FFFFFF" w:fill="FFFFFF"/>
        <w:rPr>
          <w:color w:val="000000"/>
          <w:sz w:val="24"/>
          <w:szCs w:val="24"/>
        </w:rPr>
      </w:pPr>
    </w:p>
    <w:p w:rsidR="003670AD" w:rsidP="003670AD" w:rsidRDefault="003670AD" w14:paraId="496B83DD" w14:textId="77777777">
      <w:pPr>
        <w:shd w:val="solid" w:color="FFFFFF" w:fill="FFFFFF"/>
        <w:rPr>
          <w:color w:val="000000"/>
          <w:sz w:val="24"/>
          <w:szCs w:val="24"/>
        </w:rPr>
      </w:pPr>
      <w:r w:rsidRPr="009B51D1">
        <w:rPr>
          <w:color w:val="000000"/>
          <w:sz w:val="24"/>
          <w:szCs w:val="24"/>
          <w:u w:val="single"/>
        </w:rPr>
        <w:t>Non-Manufacturing</w:t>
      </w:r>
      <w:r>
        <w:rPr>
          <w:color w:val="000000"/>
          <w:sz w:val="24"/>
          <w:szCs w:val="24"/>
        </w:rPr>
        <w:t>:</w:t>
      </w:r>
    </w:p>
    <w:p w:rsidRPr="00BC2EA8" w:rsidR="003670AD" w:rsidP="003670AD" w:rsidRDefault="003670AD" w14:paraId="3CAE96D8" w14:textId="77777777">
      <w:pPr>
        <w:shd w:val="solid" w:color="FFFFFF" w:fill="FFFFFF"/>
        <w:rPr>
          <w:color w:val="000000"/>
          <w:sz w:val="24"/>
          <w:szCs w:val="24"/>
        </w:rPr>
      </w:pPr>
    </w:p>
    <w:p w:rsidRPr="00CB5054" w:rsidR="003670AD" w:rsidP="003670AD" w:rsidRDefault="003670AD" w14:paraId="10DDA2FB" w14:textId="7BF4D7EA">
      <w:pPr>
        <w:pStyle w:val="Default"/>
        <w:ind w:left="1620" w:hanging="1620"/>
      </w:pPr>
      <w:r w:rsidRPr="00CB5054">
        <w:rPr>
          <w:b/>
          <w:bCs/>
        </w:rPr>
        <w:t>Burden hours</w:t>
      </w:r>
      <w:r w:rsidRPr="00982C2A">
        <w:rPr>
          <w:bCs/>
        </w:rPr>
        <w:t xml:space="preserve">: </w:t>
      </w:r>
      <w:r w:rsidR="003A0150">
        <w:t>1,722,686</w:t>
      </w:r>
      <w:r w:rsidRPr="00CB5054">
        <w:t xml:space="preserve"> </w:t>
      </w:r>
      <w:r>
        <w:t xml:space="preserve">establishments x .5 new hazardous chemicals </w:t>
      </w:r>
      <w:r w:rsidRPr="00CB5054">
        <w:t xml:space="preserve">x .14 hour = </w:t>
      </w:r>
      <w:r w:rsidR="00DE2CB6">
        <w:t>120,588</w:t>
      </w:r>
      <w:r w:rsidR="00FD709A">
        <w:t xml:space="preserve"> </w:t>
      </w:r>
      <w:r w:rsidRPr="00CB5054">
        <w:t xml:space="preserve">hours </w:t>
      </w:r>
    </w:p>
    <w:p w:rsidR="003670AD" w:rsidP="003670AD" w:rsidRDefault="003670AD" w14:paraId="21C227BD" w14:textId="5C59B115">
      <w:pPr>
        <w:pStyle w:val="Default"/>
        <w:ind w:firstLine="720"/>
      </w:pPr>
      <w:r w:rsidRPr="00CB5054">
        <w:rPr>
          <w:b/>
          <w:bCs/>
        </w:rPr>
        <w:t>Cost</w:t>
      </w:r>
      <w:r w:rsidRPr="00982C2A">
        <w:rPr>
          <w:bCs/>
        </w:rPr>
        <w:t xml:space="preserve">: </w:t>
      </w:r>
      <w:r w:rsidR="00683F3B">
        <w:rPr>
          <w:bCs/>
        </w:rPr>
        <w:t xml:space="preserve">     </w:t>
      </w:r>
      <w:r w:rsidR="00DE2CB6">
        <w:t>120,588</w:t>
      </w:r>
      <w:r w:rsidRPr="00CB5054">
        <w:t xml:space="preserve"> hours x </w:t>
      </w:r>
      <w:r w:rsidR="00252B13">
        <w:t>$</w:t>
      </w:r>
      <w:r w:rsidR="00DC556E">
        <w:t>26.08</w:t>
      </w:r>
      <w:r w:rsidRPr="00CB5054">
        <w:t xml:space="preserve"> = $</w:t>
      </w:r>
      <w:r w:rsidR="00DB4F8C">
        <w:t>3,144,935</w:t>
      </w:r>
      <w:r w:rsidRPr="00CB5054">
        <w:t xml:space="preserve"> </w:t>
      </w:r>
    </w:p>
    <w:p w:rsidR="003670AD" w:rsidP="003670AD" w:rsidRDefault="003670AD" w14:paraId="307B4C1D" w14:textId="77777777">
      <w:pPr>
        <w:pStyle w:val="Default"/>
        <w:ind w:firstLine="720"/>
      </w:pPr>
    </w:p>
    <w:p w:rsidRPr="009B51D1" w:rsidR="003670AD" w:rsidP="003670AD" w:rsidRDefault="003670AD" w14:paraId="0523AED5" w14:textId="77777777">
      <w:pPr>
        <w:pStyle w:val="Default"/>
        <w:rPr>
          <w:u w:val="single"/>
        </w:rPr>
      </w:pPr>
      <w:r w:rsidRPr="009B51D1">
        <w:rPr>
          <w:u w:val="single"/>
        </w:rPr>
        <w:t>Total Burden hours and cost:</w:t>
      </w:r>
    </w:p>
    <w:p w:rsidR="003670AD" w:rsidP="003670AD" w:rsidRDefault="003670AD" w14:paraId="44F6E0FE" w14:textId="2466B7CE">
      <w:pPr>
        <w:pStyle w:val="Default"/>
        <w:ind w:firstLine="720"/>
      </w:pPr>
      <w:r>
        <w:tab/>
      </w:r>
      <w:r>
        <w:tab/>
      </w:r>
      <w:r>
        <w:tab/>
      </w:r>
      <w:r>
        <w:tab/>
      </w:r>
      <w:r>
        <w:tab/>
      </w:r>
    </w:p>
    <w:p w:rsidRPr="00CB5054" w:rsidR="003670AD" w:rsidP="003670AD" w:rsidRDefault="003670AD" w14:paraId="4E225247" w14:textId="73A0F444">
      <w:pPr>
        <w:pStyle w:val="Default"/>
        <w:ind w:firstLine="720"/>
      </w:pPr>
      <w:r>
        <w:tab/>
        <w:t>Manufacturing</w:t>
      </w:r>
      <w:r>
        <w:tab/>
      </w:r>
      <w:r>
        <w:tab/>
      </w:r>
      <w:r>
        <w:tab/>
      </w:r>
      <w:r w:rsidR="00126CEA">
        <w:t>Non-</w:t>
      </w:r>
      <w:r>
        <w:t>Manufacturing</w:t>
      </w:r>
      <w:r>
        <w:tab/>
      </w:r>
      <w:r>
        <w:tab/>
      </w:r>
      <w:r>
        <w:tab/>
        <w:t>Total</w:t>
      </w:r>
    </w:p>
    <w:p w:rsidR="00FD709A" w:rsidP="003670AD" w:rsidRDefault="003670AD" w14:paraId="15BB5E1D" w14:textId="3666D4A9">
      <w:pPr>
        <w:shd w:val="solid" w:color="FFFFFF" w:fill="FFFFFF"/>
        <w:rPr>
          <w:sz w:val="24"/>
          <w:szCs w:val="24"/>
        </w:rPr>
      </w:pPr>
      <w:r>
        <w:rPr>
          <w:b/>
          <w:color w:val="000000"/>
          <w:sz w:val="22"/>
          <w:szCs w:val="22"/>
        </w:rPr>
        <w:t>Burden Hours</w:t>
      </w:r>
      <w:r w:rsidRPr="00401AC9">
        <w:rPr>
          <w:color w:val="000000"/>
          <w:sz w:val="22"/>
          <w:szCs w:val="22"/>
        </w:rPr>
        <w:t xml:space="preserve">: </w:t>
      </w:r>
      <w:r>
        <w:rPr>
          <w:b/>
          <w:color w:val="000000"/>
          <w:sz w:val="22"/>
          <w:szCs w:val="22"/>
        </w:rPr>
        <w:tab/>
      </w:r>
      <w:r w:rsidR="003806AA">
        <w:rPr>
          <w:sz w:val="24"/>
          <w:szCs w:val="24"/>
        </w:rPr>
        <w:t>2,211</w:t>
      </w:r>
      <w:r w:rsidR="00FD709A">
        <w:rPr>
          <w:sz w:val="24"/>
          <w:szCs w:val="24"/>
        </w:rPr>
        <w:tab/>
      </w:r>
      <w:r w:rsidR="00FD709A">
        <w:rPr>
          <w:sz w:val="24"/>
          <w:szCs w:val="24"/>
        </w:rPr>
        <w:tab/>
      </w:r>
      <w:r w:rsidR="00FD709A">
        <w:rPr>
          <w:sz w:val="24"/>
          <w:szCs w:val="24"/>
        </w:rPr>
        <w:tab/>
      </w:r>
      <w:r w:rsidR="00126CEA">
        <w:rPr>
          <w:sz w:val="24"/>
          <w:szCs w:val="24"/>
        </w:rPr>
        <w:t xml:space="preserve">      </w:t>
      </w:r>
      <w:r w:rsidR="00DE2CB6">
        <w:rPr>
          <w:sz w:val="24"/>
          <w:szCs w:val="24"/>
        </w:rPr>
        <w:t>120,588</w:t>
      </w:r>
      <w:r>
        <w:rPr>
          <w:sz w:val="24"/>
          <w:szCs w:val="24"/>
        </w:rPr>
        <w:tab/>
        <w:t xml:space="preserve">        </w:t>
      </w:r>
      <w:r w:rsidR="00126CEA">
        <w:rPr>
          <w:sz w:val="24"/>
          <w:szCs w:val="24"/>
        </w:rPr>
        <w:t xml:space="preserve">                          </w:t>
      </w:r>
      <w:r w:rsidR="00DE2CB6">
        <w:rPr>
          <w:sz w:val="24"/>
          <w:szCs w:val="24"/>
        </w:rPr>
        <w:t>122,799</w:t>
      </w:r>
    </w:p>
    <w:p w:rsidR="003670AD" w:rsidP="003670AD" w:rsidRDefault="003670AD" w14:paraId="50163CBA" w14:textId="77777777">
      <w:pPr>
        <w:shd w:val="solid" w:color="FFFFFF" w:fill="FFFFFF"/>
        <w:rPr>
          <w:sz w:val="24"/>
          <w:szCs w:val="24"/>
        </w:rPr>
      </w:pPr>
      <w:r>
        <w:rPr>
          <w:b/>
          <w:color w:val="000000"/>
          <w:sz w:val="24"/>
          <w:szCs w:val="24"/>
        </w:rPr>
        <w:t>Cost</w:t>
      </w:r>
      <w:r w:rsidRPr="00401AC9">
        <w:rPr>
          <w:color w:val="000000"/>
          <w:sz w:val="24"/>
          <w:szCs w:val="24"/>
        </w:rPr>
        <w:t>:</w:t>
      </w:r>
      <w:r w:rsidRPr="00401AC9">
        <w:rPr>
          <w:color w:val="000000"/>
          <w:sz w:val="24"/>
          <w:szCs w:val="24"/>
        </w:rPr>
        <w:tab/>
      </w:r>
      <w:r>
        <w:rPr>
          <w:b/>
          <w:color w:val="000000"/>
          <w:sz w:val="24"/>
          <w:szCs w:val="24"/>
        </w:rPr>
        <w:t xml:space="preserve">  </w:t>
      </w:r>
      <w:r w:rsidRPr="00A42143">
        <w:rPr>
          <w:b/>
          <w:color w:val="000000"/>
          <w:sz w:val="24"/>
          <w:szCs w:val="24"/>
        </w:rPr>
        <w:tab/>
      </w:r>
      <w:r>
        <w:rPr>
          <w:b/>
          <w:color w:val="000000"/>
          <w:sz w:val="24"/>
          <w:szCs w:val="24"/>
        </w:rPr>
        <w:t xml:space="preserve"> </w:t>
      </w:r>
      <w:r w:rsidR="00FD709A">
        <w:rPr>
          <w:b/>
          <w:color w:val="000000"/>
          <w:sz w:val="24"/>
          <w:szCs w:val="24"/>
        </w:rPr>
        <w:t xml:space="preserve">   </w:t>
      </w:r>
      <w:r>
        <w:rPr>
          <w:b/>
          <w:color w:val="000000"/>
          <w:sz w:val="24"/>
          <w:szCs w:val="24"/>
        </w:rPr>
        <w:t xml:space="preserve">    </w:t>
      </w:r>
      <w:r w:rsidRPr="00A42143">
        <w:rPr>
          <w:sz w:val="24"/>
          <w:szCs w:val="24"/>
        </w:rPr>
        <w:t>$</w:t>
      </w:r>
      <w:r w:rsidR="00F81DFB">
        <w:rPr>
          <w:sz w:val="24"/>
          <w:szCs w:val="24"/>
        </w:rPr>
        <w:t>57,663</w:t>
      </w:r>
      <w:r w:rsidRPr="00A42143">
        <w:rPr>
          <w:sz w:val="24"/>
          <w:szCs w:val="24"/>
        </w:rPr>
        <w:tab/>
      </w:r>
      <w:r w:rsidRPr="00A42143">
        <w:rPr>
          <w:sz w:val="24"/>
          <w:szCs w:val="24"/>
        </w:rPr>
        <w:tab/>
      </w:r>
      <w:r>
        <w:rPr>
          <w:sz w:val="24"/>
          <w:szCs w:val="24"/>
        </w:rPr>
        <w:t xml:space="preserve">   </w:t>
      </w:r>
      <w:r w:rsidRPr="00A42143">
        <w:rPr>
          <w:sz w:val="24"/>
          <w:szCs w:val="24"/>
        </w:rPr>
        <w:tab/>
      </w:r>
      <w:r>
        <w:rPr>
          <w:sz w:val="24"/>
          <w:szCs w:val="24"/>
        </w:rPr>
        <w:t xml:space="preserve">        </w:t>
      </w:r>
      <w:r w:rsidRPr="00A42143">
        <w:rPr>
          <w:sz w:val="24"/>
          <w:szCs w:val="24"/>
        </w:rPr>
        <w:t>$</w:t>
      </w:r>
      <w:r w:rsidR="00F81DFB">
        <w:rPr>
          <w:sz w:val="24"/>
          <w:szCs w:val="24"/>
        </w:rPr>
        <w:t>3,144,935</w:t>
      </w:r>
      <w:r>
        <w:rPr>
          <w:sz w:val="24"/>
          <w:szCs w:val="24"/>
        </w:rPr>
        <w:t xml:space="preserve"> </w:t>
      </w:r>
      <w:r>
        <w:rPr>
          <w:sz w:val="24"/>
          <w:szCs w:val="24"/>
        </w:rPr>
        <w:tab/>
        <w:t xml:space="preserve">   $</w:t>
      </w:r>
      <w:r w:rsidR="00DE2CB6">
        <w:rPr>
          <w:sz w:val="24"/>
          <w:szCs w:val="24"/>
        </w:rPr>
        <w:t>3,</w:t>
      </w:r>
      <w:r w:rsidR="00F81DFB">
        <w:rPr>
          <w:sz w:val="24"/>
          <w:szCs w:val="24"/>
        </w:rPr>
        <w:t>202,598</w:t>
      </w:r>
    </w:p>
    <w:p w:rsidR="003670AD" w:rsidP="003670AD" w:rsidRDefault="003670AD" w14:paraId="00247C46" w14:textId="77777777">
      <w:pPr>
        <w:shd w:val="solid" w:color="FFFFFF" w:fill="FFFFFF"/>
        <w:rPr>
          <w:sz w:val="24"/>
          <w:szCs w:val="24"/>
        </w:rPr>
      </w:pPr>
    </w:p>
    <w:p w:rsidRPr="00AB0B90" w:rsidR="008D478C" w:rsidP="008D478C" w:rsidRDefault="00E54F85" w14:paraId="12C02E99" w14:textId="77777777">
      <w:pPr>
        <w:pStyle w:val="Default"/>
        <w:rPr>
          <w:bCs/>
        </w:rPr>
      </w:pPr>
      <w:r>
        <w:rPr>
          <w:b/>
          <w:bCs/>
        </w:rPr>
        <w:t>7</w:t>
      </w:r>
      <w:r w:rsidRPr="00FF1F12" w:rsidR="008D478C">
        <w:rPr>
          <w:b/>
          <w:bCs/>
        </w:rPr>
        <w:t>.  Revising SDSs</w:t>
      </w:r>
    </w:p>
    <w:p w:rsidRPr="00AB0B90" w:rsidR="008D478C" w:rsidP="008D478C" w:rsidRDefault="008D478C" w14:paraId="71C85AA7" w14:textId="77777777">
      <w:pPr>
        <w:pStyle w:val="Default"/>
        <w:rPr>
          <w:bCs/>
        </w:rPr>
      </w:pPr>
    </w:p>
    <w:p w:rsidRPr="00AB0B90" w:rsidR="008D478C" w:rsidP="008D478C" w:rsidRDefault="008D478C" w14:paraId="2E4AB448" w14:textId="77777777">
      <w:pPr>
        <w:pStyle w:val="Default"/>
        <w:rPr>
          <w:bCs/>
        </w:rPr>
      </w:pPr>
      <w:r w:rsidRPr="00AB0B90">
        <w:rPr>
          <w:bCs/>
        </w:rPr>
        <w:t xml:space="preserve">The Agency estimated a few SDSs, and accompanying labels as necessary, will need to be revised.  OSHA estimates that one-half of one percent (.005) of the SDS would need to be revised.  Given the standardized format of the SDS and that any new significant information that chemical manufacturers, importers, distributors, or employers would become aware of would not require a comprehensive revision of the SDS.  For the purposes of estimating burden hours, OSHA estimates it will take 15 minutes </w:t>
      </w:r>
      <w:r w:rsidR="003E1123">
        <w:rPr>
          <w:bCs/>
        </w:rPr>
        <w:t xml:space="preserve">(0.25 hour) </w:t>
      </w:r>
      <w:r w:rsidRPr="00AB0B90">
        <w:rPr>
          <w:bCs/>
        </w:rPr>
        <w:t>for a supervisor/manager to update the SDS, and if necessary the associated label.</w:t>
      </w:r>
    </w:p>
    <w:p w:rsidRPr="00AB0B90" w:rsidR="008D478C" w:rsidP="008D478C" w:rsidRDefault="008D478C" w14:paraId="02F304B4" w14:textId="77777777">
      <w:pPr>
        <w:pStyle w:val="Default"/>
        <w:rPr>
          <w:bCs/>
        </w:rPr>
      </w:pPr>
    </w:p>
    <w:p w:rsidRPr="00AB0B90" w:rsidR="008D478C" w:rsidP="008D478C" w:rsidRDefault="008D478C" w14:paraId="40081900" w14:textId="77777777">
      <w:pPr>
        <w:pStyle w:val="Default"/>
        <w:rPr>
          <w:bCs/>
        </w:rPr>
      </w:pPr>
      <w:r w:rsidRPr="00AB0B90">
        <w:rPr>
          <w:bCs/>
        </w:rPr>
        <w:tab/>
      </w:r>
      <w:r w:rsidRPr="009B51D1">
        <w:rPr>
          <w:b/>
          <w:bCs/>
        </w:rPr>
        <w:t>Burden hours:</w:t>
      </w:r>
      <w:r w:rsidRPr="00AB0B90">
        <w:rPr>
          <w:bCs/>
        </w:rPr>
        <w:t xml:space="preserve">  </w:t>
      </w:r>
      <w:r w:rsidR="003E1123">
        <w:rPr>
          <w:bCs/>
        </w:rPr>
        <w:t>1,399,145</w:t>
      </w:r>
      <w:r w:rsidRPr="00AB0B90">
        <w:rPr>
          <w:bCs/>
        </w:rPr>
        <w:t xml:space="preserve"> SDS x .5% x .25 hour = 1,7</w:t>
      </w:r>
      <w:r w:rsidR="003E1123">
        <w:rPr>
          <w:bCs/>
        </w:rPr>
        <w:t>49</w:t>
      </w:r>
      <w:r w:rsidRPr="00AB0B90">
        <w:rPr>
          <w:bCs/>
        </w:rPr>
        <w:t xml:space="preserve"> hours</w:t>
      </w:r>
    </w:p>
    <w:p w:rsidRPr="00AB0B90" w:rsidR="008D478C" w:rsidP="008D478C" w:rsidRDefault="008D478C" w14:paraId="11B3E3E8" w14:textId="77777777">
      <w:pPr>
        <w:pStyle w:val="Default"/>
        <w:rPr>
          <w:bCs/>
        </w:rPr>
      </w:pPr>
      <w:r w:rsidRPr="00AB0B90">
        <w:rPr>
          <w:bCs/>
        </w:rPr>
        <w:tab/>
      </w:r>
      <w:r w:rsidRPr="00AB0B90">
        <w:rPr>
          <w:bCs/>
        </w:rPr>
        <w:tab/>
        <w:t xml:space="preserve">   </w:t>
      </w:r>
      <w:r w:rsidRPr="009B51D1">
        <w:rPr>
          <w:b/>
          <w:bCs/>
        </w:rPr>
        <w:t>Cost:</w:t>
      </w:r>
      <w:r w:rsidRPr="00AB0B90">
        <w:rPr>
          <w:bCs/>
        </w:rPr>
        <w:t xml:space="preserve"> 1,7</w:t>
      </w:r>
      <w:r w:rsidR="003E1123">
        <w:rPr>
          <w:bCs/>
        </w:rPr>
        <w:t>49</w:t>
      </w:r>
      <w:r w:rsidRPr="00AB0B90">
        <w:rPr>
          <w:bCs/>
        </w:rPr>
        <w:t xml:space="preserve"> hours x $</w:t>
      </w:r>
      <w:r w:rsidR="000E45F3">
        <w:rPr>
          <w:bCs/>
        </w:rPr>
        <w:t>77.76</w:t>
      </w:r>
      <w:r w:rsidRPr="00AB0B90">
        <w:rPr>
          <w:bCs/>
        </w:rPr>
        <w:t xml:space="preserve"> wage hour professional = $</w:t>
      </w:r>
      <w:r w:rsidR="00DB4F8C">
        <w:rPr>
          <w:bCs/>
        </w:rPr>
        <w:t>136,002</w:t>
      </w:r>
    </w:p>
    <w:p w:rsidR="008D478C" w:rsidP="00CD607A" w:rsidRDefault="008D478C" w14:paraId="3D3AE9AA" w14:textId="77777777">
      <w:pPr>
        <w:pStyle w:val="Default"/>
        <w:rPr>
          <w:b/>
          <w:bCs/>
        </w:rPr>
      </w:pPr>
    </w:p>
    <w:p w:rsidRPr="00CB5054" w:rsidR="00CD607A" w:rsidP="00CD607A" w:rsidRDefault="00E54F85" w14:paraId="1822E2F2" w14:textId="77777777">
      <w:pPr>
        <w:pStyle w:val="Default"/>
      </w:pPr>
      <w:r>
        <w:rPr>
          <w:b/>
          <w:bCs/>
        </w:rPr>
        <w:t>8</w:t>
      </w:r>
      <w:r w:rsidRPr="00CB5054" w:rsidR="00CD607A">
        <w:rPr>
          <w:b/>
          <w:bCs/>
        </w:rPr>
        <w:t xml:space="preserve">. Obtaining &amp; Maintaining </w:t>
      </w:r>
      <w:r w:rsidRPr="00CB5054" w:rsidR="008925F4">
        <w:rPr>
          <w:b/>
          <w:bCs/>
        </w:rPr>
        <w:t>SDS</w:t>
      </w:r>
      <w:r w:rsidRPr="00CB5054" w:rsidR="00CD607A">
        <w:rPr>
          <w:b/>
          <w:bCs/>
        </w:rPr>
        <w:t xml:space="preserve">s (§ 1910.1200(g)) </w:t>
      </w:r>
    </w:p>
    <w:p w:rsidRPr="00CB5054" w:rsidR="00CD607A" w:rsidP="00CD607A" w:rsidRDefault="00CD607A" w14:paraId="0D691CA2" w14:textId="77777777">
      <w:pPr>
        <w:pStyle w:val="Default"/>
        <w:rPr>
          <w:b/>
          <w:bCs/>
        </w:rPr>
      </w:pPr>
      <w:r w:rsidRPr="00CB5054">
        <w:rPr>
          <w:b/>
          <w:bCs/>
        </w:rPr>
        <w:t xml:space="preserve">(Existing Establishments) </w:t>
      </w:r>
    </w:p>
    <w:p w:rsidRPr="00CB5054" w:rsidR="00CD607A" w:rsidP="00CD607A" w:rsidRDefault="00CD607A" w14:paraId="147C279B" w14:textId="77777777">
      <w:pPr>
        <w:pStyle w:val="Default"/>
      </w:pPr>
    </w:p>
    <w:p w:rsidRPr="00CB5054" w:rsidR="00CD607A" w:rsidP="00CD607A" w:rsidRDefault="00CD607A" w14:paraId="7A0813FC" w14:textId="77777777">
      <w:pPr>
        <w:pStyle w:val="Default"/>
      </w:pPr>
      <w:r w:rsidRPr="00CB5054">
        <w:t xml:space="preserve">All existing establishments that have hazardous chemicals must maintain </w:t>
      </w:r>
      <w:r w:rsidRPr="00CB5054" w:rsidR="008925F4">
        <w:t>SDS</w:t>
      </w:r>
      <w:r w:rsidRPr="00CB5054">
        <w:t xml:space="preserve">s, and may need to obtain </w:t>
      </w:r>
      <w:r w:rsidRPr="00CB5054" w:rsidR="008925F4">
        <w:t>SDS</w:t>
      </w:r>
      <w:r w:rsidRPr="00CB5054">
        <w:t xml:space="preserve">s. Smaller establishments or establishments with fewer chemicals spend less time to obtain and maintain </w:t>
      </w:r>
      <w:r w:rsidRPr="00CB5054" w:rsidR="008925F4">
        <w:t>SDS</w:t>
      </w:r>
      <w:r w:rsidRPr="00CB5054">
        <w:t xml:space="preserve">s, while larger companies, companies with a greater number of chemicals, and construction companies having to keep </w:t>
      </w:r>
      <w:r w:rsidRPr="00CB5054" w:rsidR="008925F4">
        <w:t>SDS</w:t>
      </w:r>
      <w:r w:rsidRPr="00CB5054">
        <w:t xml:space="preserve">s at various job sites take a greater amount of time obtaining and maintaining </w:t>
      </w:r>
      <w:r w:rsidRPr="00CB5054" w:rsidR="008925F4">
        <w:t>SDS</w:t>
      </w:r>
      <w:r w:rsidRPr="00CB5054">
        <w:t xml:space="preserve">s. To account for this variance in time, OSHA estimates an average of 1 hour of clerical time per establishment is needed to obtain and maintain </w:t>
      </w:r>
      <w:r w:rsidRPr="00CB5054" w:rsidR="008925F4">
        <w:t>SDS</w:t>
      </w:r>
      <w:r w:rsidRPr="00CB5054">
        <w:t xml:space="preserve">s. OSHA assumes 40 percent of the establishments incur burden hours and costs as a result of the HCS. </w:t>
      </w:r>
    </w:p>
    <w:p w:rsidRPr="00CB5054" w:rsidR="00CD607A" w:rsidP="00CD607A" w:rsidRDefault="00CD607A" w14:paraId="22F3B0F8" w14:textId="77777777">
      <w:pPr>
        <w:pStyle w:val="Default"/>
      </w:pPr>
    </w:p>
    <w:p w:rsidRPr="00CB5054" w:rsidR="00CD607A" w:rsidP="00CD607A" w:rsidRDefault="00CD607A" w14:paraId="79D8EED6" w14:textId="77777777">
      <w:pPr>
        <w:pStyle w:val="Default"/>
      </w:pPr>
      <w:r w:rsidRPr="00CB5054">
        <w:rPr>
          <w:u w:val="single"/>
        </w:rPr>
        <w:t>Manufacturing</w:t>
      </w:r>
      <w:r w:rsidRPr="00CB5054">
        <w:t xml:space="preserve">: </w:t>
      </w:r>
    </w:p>
    <w:p w:rsidRPr="00CB5054" w:rsidR="00CD607A" w:rsidP="00CD607A" w:rsidRDefault="00CD607A" w14:paraId="124F724B" w14:textId="77777777">
      <w:pPr>
        <w:pStyle w:val="Default"/>
      </w:pPr>
    </w:p>
    <w:p w:rsidRPr="00CB5054" w:rsidR="00CD607A" w:rsidP="00CD607A" w:rsidRDefault="00CD607A" w14:paraId="0CE0661D" w14:textId="77777777">
      <w:pPr>
        <w:pStyle w:val="Default"/>
        <w:ind w:firstLine="720"/>
      </w:pPr>
      <w:r w:rsidRPr="00CB5054">
        <w:rPr>
          <w:b/>
          <w:bCs/>
        </w:rPr>
        <w:t>Burden hours</w:t>
      </w:r>
      <w:r w:rsidRPr="00BB3A6E">
        <w:rPr>
          <w:bCs/>
        </w:rPr>
        <w:t xml:space="preserve">: </w:t>
      </w:r>
      <w:r w:rsidR="003A0150">
        <w:t>31,582</w:t>
      </w:r>
      <w:r w:rsidRPr="00CB5054" w:rsidR="00E52D86">
        <w:t xml:space="preserve"> </w:t>
      </w:r>
      <w:r w:rsidRPr="00CB5054">
        <w:t xml:space="preserve">existing establishments affected x 1 hour = </w:t>
      </w:r>
      <w:r w:rsidR="003A0150">
        <w:t>31,582</w:t>
      </w:r>
      <w:r w:rsidRPr="00CB5054" w:rsidR="00E52D86">
        <w:t xml:space="preserve"> </w:t>
      </w:r>
      <w:r w:rsidRPr="00CB5054">
        <w:t xml:space="preserve">hours </w:t>
      </w:r>
    </w:p>
    <w:p w:rsidRPr="00CB5054" w:rsidR="00CD607A" w:rsidP="00CD607A" w:rsidRDefault="00CD607A" w14:paraId="17BA2939" w14:textId="70144EF9">
      <w:pPr>
        <w:pStyle w:val="Default"/>
        <w:ind w:firstLine="1440"/>
      </w:pPr>
      <w:r w:rsidRPr="00CB5054">
        <w:rPr>
          <w:b/>
          <w:bCs/>
        </w:rPr>
        <w:t>Cost</w:t>
      </w:r>
      <w:r w:rsidRPr="00BB3A6E">
        <w:rPr>
          <w:bCs/>
        </w:rPr>
        <w:t>:</w:t>
      </w:r>
      <w:r w:rsidRPr="00CB5054">
        <w:rPr>
          <w:b/>
          <w:bCs/>
        </w:rPr>
        <w:t xml:space="preserve"> </w:t>
      </w:r>
      <w:r w:rsidR="00126CEA">
        <w:rPr>
          <w:b/>
          <w:bCs/>
        </w:rPr>
        <w:t xml:space="preserve">    </w:t>
      </w:r>
      <w:r w:rsidR="003A0150">
        <w:t>31,582</w:t>
      </w:r>
      <w:r w:rsidRPr="00CB5054" w:rsidR="00E52D86">
        <w:t xml:space="preserve"> </w:t>
      </w:r>
      <w:r w:rsidRPr="00CB5054">
        <w:t xml:space="preserve">hours x </w:t>
      </w:r>
      <w:r w:rsidR="00252B13">
        <w:t>$</w:t>
      </w:r>
      <w:r w:rsidR="00DC556E">
        <w:t>26.08</w:t>
      </w:r>
      <w:r w:rsidRPr="00CB5054" w:rsidR="00F37DB2">
        <w:t xml:space="preserve"> </w:t>
      </w:r>
      <w:r w:rsidRPr="00CB5054">
        <w:t>= $</w:t>
      </w:r>
      <w:r w:rsidR="00DB4F8C">
        <w:t>823,659</w:t>
      </w:r>
      <w:r w:rsidRPr="00CB5054">
        <w:t xml:space="preserve"> </w:t>
      </w:r>
    </w:p>
    <w:p w:rsidRPr="00CB5054" w:rsidR="00CD607A" w:rsidP="00CD607A" w:rsidRDefault="00CD607A" w14:paraId="5BCC3C82" w14:textId="77777777">
      <w:pPr>
        <w:pStyle w:val="Default"/>
        <w:ind w:firstLine="1440"/>
      </w:pPr>
    </w:p>
    <w:p w:rsidRPr="00CB5054" w:rsidR="00CD607A" w:rsidP="00CD607A" w:rsidRDefault="00CD607A" w14:paraId="453A2809" w14:textId="77777777">
      <w:pPr>
        <w:pStyle w:val="Default"/>
      </w:pPr>
      <w:r w:rsidRPr="00CB5054">
        <w:rPr>
          <w:u w:val="single"/>
        </w:rPr>
        <w:t>Non-Manufacturing</w:t>
      </w:r>
      <w:r w:rsidRPr="00CB5054">
        <w:t xml:space="preserve">: </w:t>
      </w:r>
    </w:p>
    <w:p w:rsidRPr="00CB5054" w:rsidR="00CD607A" w:rsidP="00CD607A" w:rsidRDefault="00CD607A" w14:paraId="631EAED2" w14:textId="77777777">
      <w:pPr>
        <w:pStyle w:val="Default"/>
      </w:pPr>
    </w:p>
    <w:p w:rsidRPr="00CB5054" w:rsidR="00CD607A" w:rsidP="008A3EFF" w:rsidRDefault="00CD607A" w14:paraId="2B25880E" w14:textId="77777777">
      <w:pPr>
        <w:pStyle w:val="Default"/>
        <w:ind w:left="720"/>
      </w:pPr>
      <w:r w:rsidRPr="00CB5054">
        <w:rPr>
          <w:b/>
          <w:bCs/>
        </w:rPr>
        <w:t>Burden hours</w:t>
      </w:r>
      <w:r w:rsidRPr="00BB3A6E" w:rsidR="00967C74">
        <w:rPr>
          <w:bCs/>
        </w:rPr>
        <w:t>:</w:t>
      </w:r>
      <w:r w:rsidRPr="00CB5054" w:rsidR="00967C74">
        <w:rPr>
          <w:b/>
          <w:bCs/>
        </w:rPr>
        <w:t xml:space="preserve"> </w:t>
      </w:r>
      <w:r w:rsidR="003A0150">
        <w:t>1,722,686</w:t>
      </w:r>
      <w:r w:rsidRPr="00CB5054" w:rsidR="00F860E9">
        <w:t xml:space="preserve"> </w:t>
      </w:r>
      <w:r w:rsidRPr="00CB5054">
        <w:t xml:space="preserve">existing establishments affected x 1 hour = </w:t>
      </w:r>
      <w:r w:rsidR="003A0150">
        <w:t>1,722,686</w:t>
      </w:r>
      <w:r w:rsidRPr="00CB5054" w:rsidR="00F860E9">
        <w:t xml:space="preserve"> </w:t>
      </w:r>
      <w:r w:rsidRPr="00CB5054">
        <w:t xml:space="preserve">hours </w:t>
      </w:r>
    </w:p>
    <w:p w:rsidR="00CD607A" w:rsidP="00CD607A" w:rsidRDefault="00CD607A" w14:paraId="59E14BCA" w14:textId="7FA3CA8C">
      <w:pPr>
        <w:pStyle w:val="Default"/>
        <w:ind w:firstLine="1440"/>
      </w:pPr>
      <w:r w:rsidRPr="00CB5054">
        <w:rPr>
          <w:b/>
          <w:bCs/>
        </w:rPr>
        <w:t>Cost</w:t>
      </w:r>
      <w:r w:rsidRPr="00BB3A6E">
        <w:rPr>
          <w:bCs/>
        </w:rPr>
        <w:t>:</w:t>
      </w:r>
      <w:r w:rsidRPr="00CB5054">
        <w:rPr>
          <w:b/>
          <w:bCs/>
        </w:rPr>
        <w:t xml:space="preserve"> </w:t>
      </w:r>
      <w:r w:rsidR="00126CEA">
        <w:rPr>
          <w:b/>
          <w:bCs/>
        </w:rPr>
        <w:t xml:space="preserve">    </w:t>
      </w:r>
      <w:r w:rsidR="003A0150">
        <w:t>1,722,686</w:t>
      </w:r>
      <w:r w:rsidRPr="00CB5054" w:rsidR="00F860E9">
        <w:t xml:space="preserve"> </w:t>
      </w:r>
      <w:r w:rsidRPr="00CB5054">
        <w:t xml:space="preserve">hours x </w:t>
      </w:r>
      <w:r w:rsidR="00252B13">
        <w:t>$</w:t>
      </w:r>
      <w:r w:rsidR="00DC556E">
        <w:t>26.08</w:t>
      </w:r>
      <w:r w:rsidRPr="00CB5054">
        <w:t xml:space="preserve"> = $</w:t>
      </w:r>
      <w:r w:rsidR="00DB4F8C">
        <w:t>44,927,651</w:t>
      </w:r>
    </w:p>
    <w:p w:rsidRPr="00CB5054" w:rsidR="001D31AF" w:rsidP="00CD607A" w:rsidRDefault="001D31AF" w14:paraId="332561E5" w14:textId="77777777">
      <w:pPr>
        <w:pStyle w:val="Default"/>
        <w:ind w:firstLine="1440"/>
      </w:pPr>
    </w:p>
    <w:p w:rsidRPr="00CB5054" w:rsidR="00CD607A" w:rsidP="00CD607A" w:rsidRDefault="00CD607A" w14:paraId="3C295C0B" w14:textId="77777777">
      <w:pPr>
        <w:pStyle w:val="Default"/>
        <w:rPr>
          <w:sz w:val="23"/>
          <w:szCs w:val="23"/>
        </w:rPr>
      </w:pPr>
      <w:r w:rsidRPr="00CB5054">
        <w:rPr>
          <w:sz w:val="23"/>
          <w:szCs w:val="23"/>
          <w:u w:val="single"/>
        </w:rPr>
        <w:t>Total Burden hours and costs</w:t>
      </w:r>
      <w:r w:rsidRPr="00CB5054">
        <w:rPr>
          <w:sz w:val="23"/>
          <w:szCs w:val="23"/>
        </w:rPr>
        <w:t xml:space="preserve">: </w:t>
      </w:r>
    </w:p>
    <w:p w:rsidRPr="00CB5054" w:rsidR="00CD607A" w:rsidP="00CD607A" w:rsidRDefault="00CD607A" w14:paraId="19BCE146" w14:textId="77777777">
      <w:pPr>
        <w:pStyle w:val="Default"/>
      </w:pPr>
    </w:p>
    <w:p w:rsidRPr="00CB5054" w:rsidR="00CD607A" w:rsidP="00CD607A" w:rsidRDefault="00CD607A" w14:paraId="7E1AF4A5" w14:textId="7189B4C1">
      <w:pPr>
        <w:pStyle w:val="Default"/>
        <w:ind w:left="2160"/>
      </w:pPr>
      <w:r w:rsidRPr="00CB5054">
        <w:t xml:space="preserve">Manufacturing </w:t>
      </w:r>
      <w:r w:rsidRPr="00CB5054">
        <w:tab/>
        <w:t xml:space="preserve">Non-Manufacturing </w:t>
      </w:r>
      <w:r w:rsidRPr="00CB5054">
        <w:tab/>
        <w:t>T</w:t>
      </w:r>
      <w:r w:rsidR="009B51D1">
        <w:t>otal</w:t>
      </w:r>
      <w:r w:rsidRPr="00CB5054">
        <w:t xml:space="preserve"> </w:t>
      </w:r>
    </w:p>
    <w:p w:rsidRPr="00CB5054" w:rsidR="00CD607A" w:rsidP="00CD607A" w:rsidRDefault="00CD607A" w14:paraId="6B286350" w14:textId="77777777">
      <w:pPr>
        <w:pStyle w:val="Default"/>
      </w:pPr>
      <w:r w:rsidRPr="00CB5054">
        <w:rPr>
          <w:b/>
          <w:bCs/>
        </w:rPr>
        <w:t xml:space="preserve">            Burden hours</w:t>
      </w:r>
      <w:r w:rsidRPr="00BB3A6E">
        <w:rPr>
          <w:bCs/>
        </w:rPr>
        <w:t>:</w:t>
      </w:r>
      <w:r w:rsidRPr="00CB5054">
        <w:rPr>
          <w:b/>
          <w:bCs/>
        </w:rPr>
        <w:t xml:space="preserve"> </w:t>
      </w:r>
      <w:r w:rsidR="003A0150">
        <w:t>31,582</w:t>
      </w:r>
      <w:r w:rsidRPr="00CB5054">
        <w:tab/>
      </w:r>
      <w:r w:rsidRPr="00CB5054">
        <w:tab/>
      </w:r>
      <w:r w:rsidR="003A0150">
        <w:t>1,722,686</w:t>
      </w:r>
      <w:r w:rsidRPr="00CB5054">
        <w:tab/>
      </w:r>
      <w:r w:rsidRPr="00CB5054">
        <w:tab/>
      </w:r>
      <w:r w:rsidR="004968F2">
        <w:t>1,754,268</w:t>
      </w:r>
      <w:r w:rsidRPr="00CB5054">
        <w:t xml:space="preserve"> </w:t>
      </w:r>
    </w:p>
    <w:p w:rsidRPr="00CB5054" w:rsidR="00CD607A" w:rsidP="00CD607A" w:rsidRDefault="00CD607A" w14:paraId="0776DA32" w14:textId="77777777">
      <w:pPr>
        <w:shd w:val="solid" w:color="FFFFFF" w:fill="FFFFFF"/>
        <w:ind w:left="720" w:firstLine="720"/>
        <w:rPr>
          <w:color w:val="000000"/>
          <w:sz w:val="24"/>
          <w:szCs w:val="24"/>
        </w:rPr>
      </w:pPr>
      <w:r w:rsidRPr="00CB5054">
        <w:rPr>
          <w:b/>
          <w:bCs/>
          <w:color w:val="000000"/>
          <w:sz w:val="24"/>
          <w:szCs w:val="24"/>
        </w:rPr>
        <w:t>Costs</w:t>
      </w:r>
      <w:r w:rsidRPr="00BB3A6E">
        <w:rPr>
          <w:bCs/>
          <w:color w:val="000000"/>
          <w:sz w:val="24"/>
          <w:szCs w:val="24"/>
        </w:rPr>
        <w:t>:</w:t>
      </w:r>
      <w:r w:rsidRPr="00CB5054">
        <w:rPr>
          <w:b/>
          <w:bCs/>
          <w:color w:val="000000"/>
          <w:sz w:val="24"/>
          <w:szCs w:val="24"/>
        </w:rPr>
        <w:t xml:space="preserve"> </w:t>
      </w:r>
      <w:r w:rsidRPr="00CB5054" w:rsidR="006A38C8">
        <w:rPr>
          <w:color w:val="000000"/>
          <w:sz w:val="24"/>
          <w:szCs w:val="24"/>
        </w:rPr>
        <w:t>$</w:t>
      </w:r>
      <w:r w:rsidR="00B351E0">
        <w:rPr>
          <w:color w:val="000000"/>
          <w:sz w:val="24"/>
          <w:szCs w:val="24"/>
        </w:rPr>
        <w:t>823,659</w:t>
      </w:r>
      <w:r w:rsidRPr="003E1123">
        <w:rPr>
          <w:color w:val="000000"/>
          <w:sz w:val="24"/>
          <w:szCs w:val="24"/>
        </w:rPr>
        <w:tab/>
      </w:r>
      <w:r w:rsidRPr="003E1123">
        <w:rPr>
          <w:color w:val="000000"/>
          <w:sz w:val="24"/>
          <w:szCs w:val="24"/>
        </w:rPr>
        <w:tab/>
      </w:r>
      <w:r w:rsidRPr="003E1123" w:rsidR="006A38C8">
        <w:rPr>
          <w:color w:val="000000"/>
          <w:sz w:val="24"/>
          <w:szCs w:val="24"/>
        </w:rPr>
        <w:t>$</w:t>
      </w:r>
      <w:r w:rsidR="00B351E0">
        <w:rPr>
          <w:color w:val="000000"/>
          <w:sz w:val="24"/>
          <w:szCs w:val="24"/>
        </w:rPr>
        <w:t>44,927,651</w:t>
      </w:r>
      <w:r w:rsidRPr="00CB5054">
        <w:rPr>
          <w:color w:val="000000"/>
          <w:sz w:val="24"/>
          <w:szCs w:val="24"/>
        </w:rPr>
        <w:tab/>
      </w:r>
      <w:r w:rsidRPr="00CB5054">
        <w:rPr>
          <w:color w:val="000000"/>
          <w:sz w:val="24"/>
          <w:szCs w:val="24"/>
        </w:rPr>
        <w:tab/>
        <w:t>$</w:t>
      </w:r>
      <w:r w:rsidR="00B351E0">
        <w:rPr>
          <w:color w:val="000000"/>
          <w:sz w:val="24"/>
          <w:szCs w:val="24"/>
        </w:rPr>
        <w:t>45,751,310</w:t>
      </w:r>
    </w:p>
    <w:p w:rsidRPr="00CB5054" w:rsidR="00CD607A" w:rsidP="00CD607A" w:rsidRDefault="00CD607A" w14:paraId="759D5374" w14:textId="77777777">
      <w:pPr>
        <w:shd w:val="solid" w:color="FFFFFF" w:fill="FFFFFF"/>
        <w:rPr>
          <w:color w:val="000000"/>
          <w:sz w:val="23"/>
          <w:szCs w:val="23"/>
        </w:rPr>
      </w:pPr>
    </w:p>
    <w:p w:rsidRPr="008D055F" w:rsidR="00CD607A" w:rsidP="00CD607A" w:rsidRDefault="00E54F85" w14:paraId="2F977830" w14:textId="77777777">
      <w:pPr>
        <w:pStyle w:val="Default"/>
      </w:pPr>
      <w:r>
        <w:rPr>
          <w:b/>
          <w:bCs/>
        </w:rPr>
        <w:t>9</w:t>
      </w:r>
      <w:r w:rsidRPr="008D055F" w:rsidR="00830B77">
        <w:rPr>
          <w:b/>
          <w:bCs/>
        </w:rPr>
        <w:t>.</w:t>
      </w:r>
      <w:r w:rsidRPr="008D055F" w:rsidR="00CD607A">
        <w:rPr>
          <w:b/>
          <w:bCs/>
        </w:rPr>
        <w:t xml:space="preserve"> Obtaining &amp; Maintaining </w:t>
      </w:r>
      <w:r w:rsidRPr="008D055F" w:rsidR="008925F4">
        <w:rPr>
          <w:b/>
          <w:bCs/>
        </w:rPr>
        <w:t>SDS</w:t>
      </w:r>
      <w:r w:rsidRPr="008D055F" w:rsidR="00CD607A">
        <w:rPr>
          <w:b/>
          <w:bCs/>
        </w:rPr>
        <w:t xml:space="preserve"> (§ 1910.1200(g)) </w:t>
      </w:r>
    </w:p>
    <w:p w:rsidRPr="008D055F" w:rsidR="00CD607A" w:rsidP="00CD607A" w:rsidRDefault="00CD607A" w14:paraId="60EA8468" w14:textId="77777777">
      <w:pPr>
        <w:pStyle w:val="Default"/>
        <w:rPr>
          <w:b/>
          <w:bCs/>
        </w:rPr>
      </w:pPr>
      <w:r w:rsidRPr="008D055F">
        <w:rPr>
          <w:b/>
          <w:bCs/>
        </w:rPr>
        <w:t xml:space="preserve">(New Establishments) </w:t>
      </w:r>
    </w:p>
    <w:p w:rsidRPr="008D055F" w:rsidR="00CD607A" w:rsidP="00CD607A" w:rsidRDefault="00CD607A" w14:paraId="1FE661C0" w14:textId="77777777">
      <w:pPr>
        <w:pStyle w:val="Default"/>
      </w:pPr>
    </w:p>
    <w:p w:rsidRPr="008D055F" w:rsidR="00CD607A" w:rsidP="00CD607A" w:rsidRDefault="00CD607A" w14:paraId="6440BFAA" w14:textId="77777777">
      <w:pPr>
        <w:shd w:val="solid" w:color="FFFFFF" w:fill="FFFFFF"/>
        <w:rPr>
          <w:b/>
          <w:color w:val="000000"/>
          <w:sz w:val="24"/>
          <w:szCs w:val="24"/>
        </w:rPr>
      </w:pPr>
      <w:r w:rsidRPr="008D055F">
        <w:rPr>
          <w:color w:val="000000"/>
          <w:sz w:val="24"/>
          <w:szCs w:val="24"/>
        </w:rPr>
        <w:t xml:space="preserve">All new establishments receive and maintain </w:t>
      </w:r>
      <w:r w:rsidRPr="008D055F" w:rsidR="008925F4">
        <w:rPr>
          <w:color w:val="000000"/>
          <w:sz w:val="24"/>
          <w:szCs w:val="24"/>
        </w:rPr>
        <w:t>SDS</w:t>
      </w:r>
      <w:r w:rsidRPr="008D055F">
        <w:rPr>
          <w:color w:val="000000"/>
          <w:sz w:val="24"/>
          <w:szCs w:val="24"/>
        </w:rPr>
        <w:t xml:space="preserve">s for hazardous chemicals at their locations. On occasion new establishments may need to obtain </w:t>
      </w:r>
      <w:r w:rsidRPr="008D055F" w:rsidR="008925F4">
        <w:rPr>
          <w:color w:val="000000"/>
          <w:sz w:val="24"/>
          <w:szCs w:val="24"/>
        </w:rPr>
        <w:t>SDS</w:t>
      </w:r>
      <w:r w:rsidRPr="008D055F">
        <w:rPr>
          <w:color w:val="000000"/>
          <w:sz w:val="24"/>
          <w:szCs w:val="24"/>
        </w:rPr>
        <w:t xml:space="preserve">s. A clerical worker spends an average of .14 hour per </w:t>
      </w:r>
      <w:r w:rsidRPr="008D055F" w:rsidR="008925F4">
        <w:rPr>
          <w:color w:val="000000"/>
          <w:sz w:val="24"/>
          <w:szCs w:val="24"/>
        </w:rPr>
        <w:t>SDS</w:t>
      </w:r>
      <w:r w:rsidRPr="008D055F">
        <w:rPr>
          <w:color w:val="000000"/>
          <w:sz w:val="24"/>
          <w:szCs w:val="24"/>
        </w:rPr>
        <w:t xml:space="preserve"> to obtain and maintain the </w:t>
      </w:r>
      <w:r w:rsidRPr="008D055F" w:rsidR="008925F4">
        <w:rPr>
          <w:color w:val="000000"/>
          <w:sz w:val="24"/>
          <w:szCs w:val="24"/>
        </w:rPr>
        <w:t>SDS</w:t>
      </w:r>
      <w:r w:rsidRPr="008D055F">
        <w:rPr>
          <w:color w:val="000000"/>
          <w:sz w:val="24"/>
          <w:szCs w:val="24"/>
        </w:rPr>
        <w:t xml:space="preserve">s. The Agency recognizes that the .14 hour </w:t>
      </w:r>
      <w:r w:rsidRPr="008D055F" w:rsidR="00BB3A6E">
        <w:rPr>
          <w:color w:val="000000"/>
          <w:sz w:val="24"/>
          <w:szCs w:val="24"/>
        </w:rPr>
        <w:t xml:space="preserve">is </w:t>
      </w:r>
      <w:r w:rsidRPr="008D055F">
        <w:rPr>
          <w:color w:val="000000"/>
          <w:sz w:val="24"/>
          <w:szCs w:val="24"/>
        </w:rPr>
        <w:t>an over</w:t>
      </w:r>
      <w:r w:rsidRPr="008D055F" w:rsidR="00BB3A6E">
        <w:rPr>
          <w:color w:val="000000"/>
          <w:sz w:val="24"/>
          <w:szCs w:val="24"/>
        </w:rPr>
        <w:t xml:space="preserve"> </w:t>
      </w:r>
      <w:r w:rsidRPr="008D055F">
        <w:rPr>
          <w:color w:val="000000"/>
          <w:sz w:val="24"/>
          <w:szCs w:val="24"/>
        </w:rPr>
        <w:t xml:space="preserve">estimate given numerous employers receive, obtain, and maintain </w:t>
      </w:r>
      <w:r w:rsidRPr="008D055F" w:rsidR="008925F4">
        <w:rPr>
          <w:color w:val="000000"/>
          <w:sz w:val="24"/>
          <w:szCs w:val="24"/>
        </w:rPr>
        <w:t>SDS</w:t>
      </w:r>
      <w:r w:rsidRPr="008D055F">
        <w:rPr>
          <w:color w:val="000000"/>
          <w:sz w:val="24"/>
          <w:szCs w:val="24"/>
        </w:rPr>
        <w:t>s electronically.</w:t>
      </w:r>
    </w:p>
    <w:p w:rsidRPr="008D055F" w:rsidR="00CD607A" w:rsidP="00D80711" w:rsidRDefault="00CD607A" w14:paraId="2305D073" w14:textId="77777777">
      <w:pPr>
        <w:shd w:val="solid" w:color="FFFFFF" w:fill="FFFFFF"/>
        <w:rPr>
          <w:b/>
          <w:color w:val="000000"/>
          <w:sz w:val="24"/>
          <w:szCs w:val="24"/>
        </w:rPr>
      </w:pPr>
    </w:p>
    <w:p w:rsidRPr="008D055F" w:rsidR="00CD607A" w:rsidP="00CD607A" w:rsidRDefault="00CD607A" w14:paraId="311A90A3" w14:textId="77777777">
      <w:pPr>
        <w:pStyle w:val="Default"/>
      </w:pPr>
      <w:r w:rsidRPr="008D055F">
        <w:t xml:space="preserve">The number of new manufacturing establishments affected by the HCS is </w:t>
      </w:r>
      <w:r w:rsidR="00CA16E1">
        <w:t>2,450</w:t>
      </w:r>
      <w:r w:rsidRPr="008D055F">
        <w:t xml:space="preserve">, and the number of new non-manufacturing establishments affected is </w:t>
      </w:r>
      <w:r w:rsidR="00CA16E1">
        <w:t>250,608</w:t>
      </w:r>
      <w:r w:rsidRPr="008D055F">
        <w:t xml:space="preserve"> (see number 1 “Written Hazard Communication Program (New Establishments)).” </w:t>
      </w:r>
      <w:r w:rsidRPr="008D055F" w:rsidR="00DA4698">
        <w:t>OSHA</w:t>
      </w:r>
      <w:r w:rsidRPr="008D055F">
        <w:t xml:space="preserve"> estimates that new manufacturing establishments require a total of </w:t>
      </w:r>
      <w:r w:rsidRPr="008D055F" w:rsidR="00342E8F">
        <w:t xml:space="preserve">23.76 </w:t>
      </w:r>
      <w:r w:rsidRPr="008D055F" w:rsidR="008925F4">
        <w:t>SDS</w:t>
      </w:r>
      <w:r w:rsidRPr="008D055F">
        <w:t xml:space="preserve">s, and non-manufacturing establishments require </w:t>
      </w:r>
      <w:r w:rsidRPr="008D055F" w:rsidR="00342E8F">
        <w:t xml:space="preserve">16.2 </w:t>
      </w:r>
      <w:r w:rsidRPr="008D055F" w:rsidR="008925F4">
        <w:t>SDS</w:t>
      </w:r>
      <w:r w:rsidRPr="008D055F">
        <w:t xml:space="preserve">s. The burden hours are determined by multiplying the number of establishments by the total number of </w:t>
      </w:r>
      <w:r w:rsidRPr="008D055F" w:rsidR="008925F4">
        <w:t>SDS</w:t>
      </w:r>
      <w:r w:rsidRPr="008D055F">
        <w:t xml:space="preserve">s per establishment by the time to obtain and maintain </w:t>
      </w:r>
      <w:r w:rsidRPr="008D055F" w:rsidR="008925F4">
        <w:t>SDS</w:t>
      </w:r>
      <w:r w:rsidRPr="008D055F">
        <w:t xml:space="preserve">s. </w:t>
      </w:r>
    </w:p>
    <w:p w:rsidRPr="008D055F" w:rsidR="0027122F" w:rsidP="00CD607A" w:rsidRDefault="0027122F" w14:paraId="632B9448" w14:textId="77777777">
      <w:pPr>
        <w:pStyle w:val="Default"/>
        <w:rPr>
          <w:sz w:val="23"/>
          <w:szCs w:val="23"/>
          <w:u w:val="single"/>
        </w:rPr>
      </w:pPr>
    </w:p>
    <w:p w:rsidRPr="008D055F" w:rsidR="00CD607A" w:rsidP="00CD607A" w:rsidRDefault="00CD607A" w14:paraId="19E46A8C" w14:textId="77777777">
      <w:pPr>
        <w:pStyle w:val="Default"/>
      </w:pPr>
      <w:r w:rsidRPr="008D055F">
        <w:rPr>
          <w:u w:val="single"/>
        </w:rPr>
        <w:t>Manufacturing</w:t>
      </w:r>
      <w:r w:rsidRPr="008D055F">
        <w:t xml:space="preserve">: </w:t>
      </w:r>
    </w:p>
    <w:p w:rsidRPr="008D055F" w:rsidR="0027122F" w:rsidP="00CD607A" w:rsidRDefault="0027122F" w14:paraId="6AD82EE9" w14:textId="77777777">
      <w:pPr>
        <w:pStyle w:val="Default"/>
        <w:ind w:firstLine="720"/>
        <w:rPr>
          <w:b/>
          <w:bCs/>
        </w:rPr>
      </w:pPr>
    </w:p>
    <w:p w:rsidRPr="008D055F" w:rsidR="00CD607A" w:rsidP="00CD607A" w:rsidRDefault="00CD607A" w14:paraId="028C8760" w14:textId="77777777">
      <w:pPr>
        <w:pStyle w:val="Default"/>
        <w:ind w:firstLine="720"/>
      </w:pPr>
      <w:r w:rsidRPr="008D055F">
        <w:rPr>
          <w:b/>
          <w:bCs/>
        </w:rPr>
        <w:t>Burden hours</w:t>
      </w:r>
      <w:r w:rsidRPr="008D055F">
        <w:rPr>
          <w:bCs/>
        </w:rPr>
        <w:t xml:space="preserve">: </w:t>
      </w:r>
      <w:r w:rsidR="00CA16E1">
        <w:t>2,450</w:t>
      </w:r>
      <w:r w:rsidRPr="008D055F" w:rsidR="00F860E9">
        <w:t xml:space="preserve"> </w:t>
      </w:r>
      <w:r w:rsidRPr="008D055F">
        <w:t xml:space="preserve">establishments x </w:t>
      </w:r>
      <w:r w:rsidRPr="008D055F" w:rsidR="00342E8F">
        <w:t xml:space="preserve">23.76 </w:t>
      </w:r>
      <w:r w:rsidRPr="008D055F" w:rsidR="008925F4">
        <w:t>SDS</w:t>
      </w:r>
      <w:r w:rsidRPr="008D055F">
        <w:t>s x .14 hour =</w:t>
      </w:r>
      <w:r w:rsidR="004C514E">
        <w:t>8,150</w:t>
      </w:r>
      <w:r w:rsidRPr="008D055F" w:rsidR="00F860E9">
        <w:t xml:space="preserve"> </w:t>
      </w:r>
      <w:r w:rsidRPr="008D055F">
        <w:t xml:space="preserve">hours </w:t>
      </w:r>
    </w:p>
    <w:p w:rsidR="004328F1" w:rsidP="00CD607A" w:rsidRDefault="00CD607A" w14:paraId="6432228C" w14:textId="77777777">
      <w:pPr>
        <w:pStyle w:val="Default"/>
        <w:ind w:left="720" w:firstLine="720"/>
      </w:pPr>
      <w:r w:rsidRPr="008D055F">
        <w:rPr>
          <w:b/>
          <w:bCs/>
        </w:rPr>
        <w:t>Cost</w:t>
      </w:r>
      <w:r w:rsidRPr="008D055F">
        <w:rPr>
          <w:bCs/>
        </w:rPr>
        <w:t xml:space="preserve">: </w:t>
      </w:r>
      <w:r w:rsidRPr="008D055F" w:rsidR="00342E8F">
        <w:t>8,</w:t>
      </w:r>
      <w:r w:rsidR="004C514E">
        <w:t>150</w:t>
      </w:r>
      <w:r w:rsidRPr="008D055F" w:rsidR="00F860E9">
        <w:t xml:space="preserve"> </w:t>
      </w:r>
      <w:r w:rsidRPr="008D055F">
        <w:t xml:space="preserve">hours x </w:t>
      </w:r>
      <w:r w:rsidR="00252B13">
        <w:t>$</w:t>
      </w:r>
      <w:r w:rsidR="00DC556E">
        <w:t>26.08</w:t>
      </w:r>
      <w:r w:rsidRPr="008D055F">
        <w:t xml:space="preserve"> = $</w:t>
      </w:r>
      <w:r w:rsidR="00DB4F8C">
        <w:t>212,552</w:t>
      </w:r>
    </w:p>
    <w:p w:rsidRPr="008D055F" w:rsidR="0027122F" w:rsidP="00CD607A" w:rsidRDefault="0027122F" w14:paraId="7264494C" w14:textId="77777777">
      <w:pPr>
        <w:pStyle w:val="Default"/>
        <w:ind w:left="720" w:firstLine="720"/>
      </w:pPr>
    </w:p>
    <w:p w:rsidRPr="008D055F" w:rsidR="00CD607A" w:rsidP="00CD607A" w:rsidRDefault="00CD607A" w14:paraId="0C5CE3CC" w14:textId="77777777">
      <w:pPr>
        <w:pStyle w:val="Default"/>
      </w:pPr>
      <w:r w:rsidRPr="008D055F">
        <w:rPr>
          <w:u w:val="single"/>
        </w:rPr>
        <w:t>Non-Manufacturing</w:t>
      </w:r>
      <w:r w:rsidRPr="008D055F">
        <w:t xml:space="preserve">: </w:t>
      </w:r>
    </w:p>
    <w:p w:rsidRPr="008D055F" w:rsidR="0027122F" w:rsidP="00CD607A" w:rsidRDefault="0027122F" w14:paraId="629BADE6" w14:textId="77777777">
      <w:pPr>
        <w:pStyle w:val="Default"/>
      </w:pPr>
    </w:p>
    <w:p w:rsidRPr="008D055F" w:rsidR="00CD607A" w:rsidP="00CD607A" w:rsidRDefault="00CD607A" w14:paraId="096B3184" w14:textId="77777777">
      <w:pPr>
        <w:pStyle w:val="Default"/>
        <w:ind w:left="2880" w:hanging="2160"/>
      </w:pPr>
      <w:r w:rsidRPr="008D055F">
        <w:rPr>
          <w:b/>
          <w:bCs/>
        </w:rPr>
        <w:t>Burden hours</w:t>
      </w:r>
      <w:r w:rsidRPr="008D055F">
        <w:rPr>
          <w:bCs/>
        </w:rPr>
        <w:t>:</w:t>
      </w:r>
      <w:r w:rsidRPr="008D055F">
        <w:rPr>
          <w:b/>
          <w:bCs/>
        </w:rPr>
        <w:t xml:space="preserve"> </w:t>
      </w:r>
      <w:r w:rsidR="00CA16E1">
        <w:t>250,608</w:t>
      </w:r>
      <w:r w:rsidRPr="008D055F" w:rsidR="000F2413">
        <w:t xml:space="preserve"> </w:t>
      </w:r>
      <w:r w:rsidRPr="008D055F">
        <w:t xml:space="preserve">establishments x </w:t>
      </w:r>
      <w:r w:rsidRPr="008D055F" w:rsidR="00342E8F">
        <w:t xml:space="preserve">16.2 </w:t>
      </w:r>
      <w:r w:rsidRPr="008D055F" w:rsidR="008925F4">
        <w:t>SDS</w:t>
      </w:r>
      <w:r w:rsidRPr="008D055F">
        <w:t xml:space="preserve">s x .14 hour = </w:t>
      </w:r>
      <w:r w:rsidR="004C514E">
        <w:t>568,379</w:t>
      </w:r>
      <w:r w:rsidRPr="008D055F">
        <w:t xml:space="preserve"> hours </w:t>
      </w:r>
    </w:p>
    <w:p w:rsidRPr="008D055F" w:rsidR="00CD607A" w:rsidP="0027122F" w:rsidRDefault="00CD607A" w14:paraId="70574A13" w14:textId="77777777">
      <w:pPr>
        <w:pStyle w:val="Default"/>
        <w:ind w:left="720" w:firstLine="720"/>
      </w:pPr>
      <w:r w:rsidRPr="008D055F">
        <w:rPr>
          <w:b/>
          <w:bCs/>
        </w:rPr>
        <w:t>Cost</w:t>
      </w:r>
      <w:r w:rsidRPr="008D055F">
        <w:rPr>
          <w:bCs/>
        </w:rPr>
        <w:t>:</w:t>
      </w:r>
      <w:r w:rsidRPr="008D055F">
        <w:rPr>
          <w:b/>
          <w:bCs/>
        </w:rPr>
        <w:t xml:space="preserve"> </w:t>
      </w:r>
      <w:r w:rsidRPr="008B1382" w:rsidR="004C514E">
        <w:rPr>
          <w:bCs/>
        </w:rPr>
        <w:t>568,379</w:t>
      </w:r>
      <w:r w:rsidRPr="008D055F" w:rsidR="000F2413">
        <w:t xml:space="preserve"> </w:t>
      </w:r>
      <w:r w:rsidRPr="008D055F">
        <w:t xml:space="preserve">hours x </w:t>
      </w:r>
      <w:r w:rsidR="00252B13">
        <w:t>$</w:t>
      </w:r>
      <w:r w:rsidR="00DC556E">
        <w:t>26.08</w:t>
      </w:r>
      <w:r w:rsidRPr="008D055F" w:rsidR="00F37DB2">
        <w:t xml:space="preserve"> </w:t>
      </w:r>
      <w:r w:rsidRPr="008D055F">
        <w:t>= $</w:t>
      </w:r>
      <w:r w:rsidR="00DB4F8C">
        <w:t>14,823,324</w:t>
      </w:r>
    </w:p>
    <w:p w:rsidRPr="008D055F" w:rsidR="0027122F" w:rsidP="00CD607A" w:rsidRDefault="0027122F" w14:paraId="5FC1B2C9" w14:textId="77777777">
      <w:pPr>
        <w:pStyle w:val="Default"/>
      </w:pPr>
    </w:p>
    <w:p w:rsidRPr="008D055F" w:rsidR="00CD607A" w:rsidP="00CD607A" w:rsidRDefault="00CD607A" w14:paraId="24F4BAD6" w14:textId="77777777">
      <w:pPr>
        <w:pStyle w:val="Default"/>
        <w:rPr>
          <w:u w:val="single"/>
        </w:rPr>
      </w:pPr>
      <w:r w:rsidRPr="008D055F">
        <w:rPr>
          <w:u w:val="single"/>
        </w:rPr>
        <w:t xml:space="preserve">Total Burden hours and costs </w:t>
      </w:r>
    </w:p>
    <w:p w:rsidRPr="008D055F" w:rsidR="00CD607A" w:rsidP="0027122F" w:rsidRDefault="00CD607A" w14:paraId="1C4D349F" w14:textId="69260B19">
      <w:pPr>
        <w:pStyle w:val="Default"/>
        <w:ind w:left="2160" w:firstLine="720"/>
      </w:pPr>
      <w:r w:rsidRPr="008D055F">
        <w:t xml:space="preserve">Manufacturing </w:t>
      </w:r>
      <w:r w:rsidRPr="008D055F" w:rsidR="0027122F">
        <w:tab/>
      </w:r>
      <w:r w:rsidR="009B51D1">
        <w:t>Non-</w:t>
      </w:r>
      <w:r w:rsidRPr="008D055F">
        <w:t>Manufacturing</w:t>
      </w:r>
      <w:r w:rsidRPr="008D055F" w:rsidR="0027122F">
        <w:tab/>
      </w:r>
      <w:r w:rsidR="009B51D1">
        <w:t>Total</w:t>
      </w:r>
      <w:r w:rsidRPr="008D055F">
        <w:t xml:space="preserve"> </w:t>
      </w:r>
    </w:p>
    <w:p w:rsidRPr="008D055F" w:rsidR="00CD607A" w:rsidP="00CD607A" w:rsidRDefault="00CD607A" w14:paraId="58E88AC8" w14:textId="77777777">
      <w:pPr>
        <w:pStyle w:val="Default"/>
        <w:ind w:firstLine="720"/>
      </w:pPr>
      <w:r w:rsidRPr="008D055F">
        <w:rPr>
          <w:b/>
          <w:bCs/>
        </w:rPr>
        <w:t>Burden</w:t>
      </w:r>
      <w:r w:rsidR="00296677">
        <w:rPr>
          <w:b/>
          <w:bCs/>
        </w:rPr>
        <w:t xml:space="preserve"> </w:t>
      </w:r>
      <w:r w:rsidRPr="008D055F">
        <w:rPr>
          <w:b/>
          <w:bCs/>
        </w:rPr>
        <w:t>hours</w:t>
      </w:r>
      <w:r w:rsidRPr="008D055F">
        <w:rPr>
          <w:bCs/>
        </w:rPr>
        <w:t xml:space="preserve">: </w:t>
      </w:r>
      <w:r w:rsidRPr="008D055F" w:rsidR="0027122F">
        <w:rPr>
          <w:b/>
          <w:bCs/>
        </w:rPr>
        <w:tab/>
      </w:r>
      <w:r w:rsidRPr="008D055F" w:rsidR="00342E8F">
        <w:t>8,</w:t>
      </w:r>
      <w:r w:rsidR="004C514E">
        <w:t>150</w:t>
      </w:r>
      <w:r w:rsidRPr="008D055F" w:rsidR="00F860E9">
        <w:tab/>
      </w:r>
      <w:r w:rsidRPr="008D055F" w:rsidR="0027122F">
        <w:tab/>
      </w:r>
      <w:r w:rsidRPr="008D055F" w:rsidR="000F2413">
        <w:tab/>
      </w:r>
      <w:r w:rsidR="004C514E">
        <w:t>568,379</w:t>
      </w:r>
      <w:r w:rsidRPr="008D055F" w:rsidR="0027122F">
        <w:tab/>
      </w:r>
      <w:r w:rsidRPr="008D055F" w:rsidR="0027122F">
        <w:tab/>
      </w:r>
      <w:r w:rsidR="004C514E">
        <w:t>576,529</w:t>
      </w:r>
    </w:p>
    <w:p w:rsidRPr="008D055F" w:rsidR="00CD607A" w:rsidP="00CD607A" w:rsidRDefault="00CD607A" w14:paraId="6C20FE62" w14:textId="77777777">
      <w:pPr>
        <w:pStyle w:val="Default"/>
        <w:ind w:firstLine="720"/>
      </w:pPr>
      <w:r w:rsidRPr="008D055F">
        <w:rPr>
          <w:b/>
          <w:bCs/>
        </w:rPr>
        <w:t>Cost</w:t>
      </w:r>
      <w:r w:rsidRPr="008D055F">
        <w:rPr>
          <w:bCs/>
        </w:rPr>
        <w:t xml:space="preserve">: </w:t>
      </w:r>
      <w:r w:rsidRPr="008D055F" w:rsidR="0027122F">
        <w:rPr>
          <w:b/>
          <w:bCs/>
        </w:rPr>
        <w:tab/>
      </w:r>
      <w:r w:rsidRPr="008D055F" w:rsidR="0027122F">
        <w:rPr>
          <w:b/>
          <w:bCs/>
        </w:rPr>
        <w:tab/>
      </w:r>
      <w:r w:rsidRPr="008D055F" w:rsidR="0027122F">
        <w:rPr>
          <w:b/>
          <w:bCs/>
        </w:rPr>
        <w:tab/>
      </w:r>
      <w:r w:rsidRPr="008D055F" w:rsidR="00F860E9">
        <w:t>$</w:t>
      </w:r>
      <w:r w:rsidR="00B351E0">
        <w:t>212,552</w:t>
      </w:r>
      <w:r w:rsidRPr="008D055F" w:rsidR="0027122F">
        <w:tab/>
      </w:r>
      <w:r w:rsidRPr="008D055F" w:rsidR="0027122F">
        <w:tab/>
      </w:r>
      <w:r w:rsidRPr="008D055F" w:rsidR="006524B6">
        <w:t>$</w:t>
      </w:r>
      <w:r w:rsidR="00B351E0">
        <w:t>14,823,324</w:t>
      </w:r>
      <w:r w:rsidRPr="008D055F" w:rsidR="0027122F">
        <w:tab/>
      </w:r>
      <w:r w:rsidRPr="008D055F" w:rsidR="0027122F">
        <w:tab/>
      </w:r>
      <w:r w:rsidRPr="008D055F">
        <w:t>$</w:t>
      </w:r>
      <w:r w:rsidR="00B351E0">
        <w:t>15,035,876</w:t>
      </w:r>
      <w:r w:rsidRPr="008D055F">
        <w:t xml:space="preserve"> </w:t>
      </w:r>
    </w:p>
    <w:p w:rsidRPr="00CB5054" w:rsidR="0027122F" w:rsidP="00CD607A" w:rsidRDefault="0027122F" w14:paraId="48CBECBD" w14:textId="77777777">
      <w:pPr>
        <w:pStyle w:val="Default"/>
        <w:ind w:firstLine="720"/>
      </w:pPr>
    </w:p>
    <w:p w:rsidRPr="00AB0B90" w:rsidR="00CD607A" w:rsidP="00CD607A" w:rsidRDefault="00E54F85" w14:paraId="5245E14E" w14:textId="77777777">
      <w:pPr>
        <w:pStyle w:val="Default"/>
        <w:rPr>
          <w:b/>
          <w:bCs/>
          <w:color w:val="auto"/>
        </w:rPr>
      </w:pPr>
      <w:r>
        <w:rPr>
          <w:b/>
          <w:bCs/>
          <w:color w:val="auto"/>
        </w:rPr>
        <w:t>10</w:t>
      </w:r>
      <w:r w:rsidRPr="00AB0B90" w:rsidR="00CD607A">
        <w:rPr>
          <w:b/>
          <w:bCs/>
          <w:color w:val="auto"/>
        </w:rPr>
        <w:t>.</w:t>
      </w:r>
      <w:r w:rsidRPr="00AB0B90" w:rsidR="00CD607A">
        <w:rPr>
          <w:b/>
          <w:bCs/>
          <w:color w:val="FF0000"/>
        </w:rPr>
        <w:t xml:space="preserve"> </w:t>
      </w:r>
      <w:r w:rsidRPr="00AB0B90" w:rsidR="00CD607A">
        <w:rPr>
          <w:b/>
          <w:bCs/>
          <w:color w:val="auto"/>
        </w:rPr>
        <w:t xml:space="preserve">Labeling Shipping Containers (§ 1910.1200(f)) </w:t>
      </w:r>
    </w:p>
    <w:p w:rsidRPr="00AB0B90" w:rsidR="0027122F" w:rsidP="00CD607A" w:rsidRDefault="0027122F" w14:paraId="5DE15496" w14:textId="77777777">
      <w:pPr>
        <w:pStyle w:val="Default"/>
        <w:rPr>
          <w:b/>
          <w:color w:val="auto"/>
        </w:rPr>
      </w:pPr>
    </w:p>
    <w:p w:rsidRPr="00AB0B90" w:rsidR="00CD607A" w:rsidP="00CD607A" w:rsidRDefault="00CD607A" w14:paraId="2876E3DF" w14:textId="77777777">
      <w:pPr>
        <w:pStyle w:val="Default"/>
        <w:rPr>
          <w:color w:val="auto"/>
          <w:sz w:val="23"/>
          <w:szCs w:val="23"/>
        </w:rPr>
      </w:pPr>
      <w:r w:rsidRPr="00AB0B90">
        <w:rPr>
          <w:color w:val="auto"/>
        </w:rPr>
        <w:t>There is no burden for affixing labels to off-site containers because it is usual and customary practice for manufacturers to affix labels to containers being shipped.</w:t>
      </w:r>
      <w:r w:rsidRPr="00AB0B90">
        <w:rPr>
          <w:color w:val="auto"/>
          <w:sz w:val="23"/>
          <w:szCs w:val="23"/>
        </w:rPr>
        <w:t xml:space="preserve"> </w:t>
      </w:r>
    </w:p>
    <w:p w:rsidRPr="00AB0B90" w:rsidR="0027122F" w:rsidP="00CD607A" w:rsidRDefault="0027122F" w14:paraId="7410B2A2" w14:textId="77777777">
      <w:pPr>
        <w:pStyle w:val="Default"/>
        <w:rPr>
          <w:color w:val="auto"/>
          <w:sz w:val="23"/>
          <w:szCs w:val="23"/>
        </w:rPr>
      </w:pPr>
    </w:p>
    <w:p w:rsidRPr="00CB5054" w:rsidR="00CD607A" w:rsidP="00CD607A" w:rsidRDefault="00E54F85" w14:paraId="3FA1DBC6" w14:textId="77777777">
      <w:pPr>
        <w:pStyle w:val="Default"/>
        <w:rPr>
          <w:b/>
          <w:bCs/>
        </w:rPr>
      </w:pPr>
      <w:r>
        <w:rPr>
          <w:b/>
          <w:bCs/>
        </w:rPr>
        <w:t>11</w:t>
      </w:r>
      <w:r w:rsidRPr="00CB5054" w:rsidR="00CD607A">
        <w:rPr>
          <w:b/>
          <w:bCs/>
        </w:rPr>
        <w:t xml:space="preserve">. Labeling of In-Plant Containers (§ 1910.1200(f)(5)) </w:t>
      </w:r>
    </w:p>
    <w:p w:rsidRPr="00CB5054" w:rsidR="0027122F" w:rsidP="00CD607A" w:rsidRDefault="0027122F" w14:paraId="3F791C90" w14:textId="77777777">
      <w:pPr>
        <w:pStyle w:val="Default"/>
      </w:pPr>
    </w:p>
    <w:p w:rsidRPr="00CB5054" w:rsidR="00CD607A" w:rsidP="00CD607A" w:rsidRDefault="00CD607A" w14:paraId="24498DCA" w14:textId="77777777">
      <w:pPr>
        <w:pStyle w:val="Default"/>
      </w:pPr>
      <w:r w:rsidRPr="00CB5054">
        <w:t xml:space="preserve">Labeling in-plant containers: Employers must ensure that portable containers that are transferred from the workers who filled them to other workers are labeled. </w:t>
      </w:r>
      <w:r w:rsidR="00C768B4">
        <w:t>It is</w:t>
      </w:r>
      <w:r w:rsidRPr="00CB5054">
        <w:t xml:space="preserve"> estimated </w:t>
      </w:r>
      <w:r w:rsidR="00C768B4">
        <w:t xml:space="preserve">that </w:t>
      </w:r>
      <w:r w:rsidRPr="00CB5054">
        <w:t xml:space="preserve">approximately 12 seconds (.0033 hour) of workers time per container. OSHA assumes 40 percent of the containers incur burden hours and costs as a result of the HCS. </w:t>
      </w:r>
    </w:p>
    <w:p w:rsidRPr="00CB5054" w:rsidR="0027122F" w:rsidP="00CD607A" w:rsidRDefault="0027122F" w14:paraId="34D1512E" w14:textId="77777777">
      <w:pPr>
        <w:pStyle w:val="Default"/>
      </w:pPr>
    </w:p>
    <w:p w:rsidRPr="00CB5054" w:rsidR="00CD607A" w:rsidP="00CD607A" w:rsidRDefault="00CD607A" w14:paraId="5D242089" w14:textId="77777777">
      <w:pPr>
        <w:pStyle w:val="Default"/>
        <w:ind w:left="2340" w:hanging="1620"/>
      </w:pPr>
      <w:r w:rsidRPr="00CB5054">
        <w:rPr>
          <w:b/>
          <w:bCs/>
        </w:rPr>
        <w:t>Burden hours</w:t>
      </w:r>
      <w:r w:rsidRPr="003E65D4">
        <w:rPr>
          <w:bCs/>
        </w:rPr>
        <w:t xml:space="preserve">: </w:t>
      </w:r>
      <w:r w:rsidRPr="007533F6" w:rsidR="007533F6">
        <w:rPr>
          <w:bCs/>
        </w:rPr>
        <w:t xml:space="preserve"> </w:t>
      </w:r>
      <w:r w:rsidR="004C514E">
        <w:rPr>
          <w:bCs/>
        </w:rPr>
        <w:t>133,700,000</w:t>
      </w:r>
      <w:r w:rsidRPr="00CB5054">
        <w:t xml:space="preserve"> (# of containers) x 40% x .0033 hours per container = </w:t>
      </w:r>
      <w:r w:rsidR="004C514E">
        <w:t>176,484</w:t>
      </w:r>
      <w:r w:rsidRPr="00CB5054">
        <w:t xml:space="preserve"> hours </w:t>
      </w:r>
    </w:p>
    <w:p w:rsidR="00F92202" w:rsidP="00CD607A" w:rsidRDefault="00CD607A" w14:paraId="4E0104E8" w14:textId="74639AB2">
      <w:pPr>
        <w:pStyle w:val="Default"/>
        <w:ind w:firstLine="1440"/>
      </w:pPr>
      <w:r w:rsidRPr="00CB5054">
        <w:rPr>
          <w:b/>
          <w:bCs/>
        </w:rPr>
        <w:t>Cost</w:t>
      </w:r>
      <w:r w:rsidRPr="003E65D4">
        <w:rPr>
          <w:bCs/>
        </w:rPr>
        <w:t xml:space="preserve">: </w:t>
      </w:r>
      <w:r w:rsidR="00C1493A">
        <w:rPr>
          <w:bCs/>
        </w:rPr>
        <w:t xml:space="preserve">     </w:t>
      </w:r>
      <w:r w:rsidR="004C514E">
        <w:rPr>
          <w:bCs/>
        </w:rPr>
        <w:t>176,484</w:t>
      </w:r>
      <w:r w:rsidRPr="00CB5054" w:rsidR="007533F6">
        <w:t xml:space="preserve"> </w:t>
      </w:r>
      <w:r w:rsidRPr="00CB5054">
        <w:t xml:space="preserve">hours x </w:t>
      </w:r>
      <w:r w:rsidR="00252B13">
        <w:t>$</w:t>
      </w:r>
      <w:r w:rsidR="000E45F3">
        <w:t>53.99</w:t>
      </w:r>
      <w:r w:rsidRPr="00CB5054">
        <w:t xml:space="preserve"> (worker) = $</w:t>
      </w:r>
      <w:r w:rsidR="00DB4F8C">
        <w:t>9,528,371</w:t>
      </w:r>
    </w:p>
    <w:p w:rsidRPr="00CB5054" w:rsidR="0027122F" w:rsidP="00CD607A" w:rsidRDefault="0027122F" w14:paraId="182609A8" w14:textId="77777777">
      <w:pPr>
        <w:pStyle w:val="Default"/>
        <w:ind w:firstLine="1440"/>
        <w:rPr>
          <w:sz w:val="23"/>
          <w:szCs w:val="23"/>
        </w:rPr>
      </w:pPr>
    </w:p>
    <w:p w:rsidRPr="00CB5054" w:rsidR="00CD607A" w:rsidP="00CD607A" w:rsidRDefault="004C6CA8" w14:paraId="064D2F8D" w14:textId="77777777">
      <w:pPr>
        <w:pStyle w:val="Default"/>
        <w:rPr>
          <w:b/>
          <w:bCs/>
        </w:rPr>
      </w:pPr>
      <w:r>
        <w:rPr>
          <w:b/>
          <w:bCs/>
        </w:rPr>
        <w:t>1</w:t>
      </w:r>
      <w:r w:rsidR="00E54F85">
        <w:rPr>
          <w:b/>
          <w:bCs/>
        </w:rPr>
        <w:t>2</w:t>
      </w:r>
      <w:r w:rsidRPr="00CB5054" w:rsidR="00CD607A">
        <w:rPr>
          <w:b/>
          <w:bCs/>
        </w:rPr>
        <w:t xml:space="preserve">. Access to Trade Secrets (§ 1910.1200(i)) </w:t>
      </w:r>
    </w:p>
    <w:p w:rsidRPr="00CB5054" w:rsidR="0027122F" w:rsidP="00CD607A" w:rsidRDefault="0027122F" w14:paraId="5A25EC91" w14:textId="77777777">
      <w:pPr>
        <w:pStyle w:val="Default"/>
      </w:pPr>
    </w:p>
    <w:p w:rsidRPr="00CB5054" w:rsidR="00CD607A" w:rsidP="008A3EFF" w:rsidRDefault="00CD607A" w14:paraId="7BF1674A" w14:textId="77777777">
      <w:pPr>
        <w:shd w:val="solid" w:color="FFFFFF" w:fill="FFFFFF"/>
        <w:rPr>
          <w:color w:val="000000"/>
          <w:sz w:val="24"/>
          <w:szCs w:val="24"/>
        </w:rPr>
      </w:pPr>
      <w:r w:rsidRPr="00CB5054">
        <w:rPr>
          <w:color w:val="000000"/>
          <w:sz w:val="24"/>
          <w:szCs w:val="24"/>
        </w:rPr>
        <w:t>Burden hours are estimated for employers to respond to requests from workers, their representatives, and health professionals for trade secret information. The Agency estimates an average of 7 situations requiring access to trade secrets per 10,000 workers working in</w:t>
      </w:r>
      <w:r w:rsidRPr="00CB5054" w:rsidR="008A3EFF">
        <w:rPr>
          <w:color w:val="000000"/>
          <w:sz w:val="24"/>
          <w:szCs w:val="24"/>
        </w:rPr>
        <w:t xml:space="preserve"> </w:t>
      </w:r>
      <w:r w:rsidRPr="00CB5054">
        <w:rPr>
          <w:color w:val="000000"/>
          <w:sz w:val="24"/>
          <w:szCs w:val="24"/>
        </w:rPr>
        <w:t xml:space="preserve">establishments with hazardous chemicals. OSHA estimates there are </w:t>
      </w:r>
      <w:r w:rsidRPr="008B1382" w:rsidR="00BA0F18">
        <w:rPr>
          <w:bCs/>
          <w:sz w:val="24"/>
          <w:szCs w:val="24"/>
        </w:rPr>
        <w:t>120,942,696</w:t>
      </w:r>
      <w:r w:rsidRPr="00CB5054" w:rsidR="00367968">
        <w:rPr>
          <w:color w:val="000000"/>
        </w:rPr>
        <w:t xml:space="preserve"> </w:t>
      </w:r>
      <w:r w:rsidRPr="00CB5054">
        <w:rPr>
          <w:color w:val="000000"/>
          <w:sz w:val="24"/>
          <w:szCs w:val="24"/>
        </w:rPr>
        <w:t>workers</w:t>
      </w:r>
      <w:r w:rsidRPr="00CB5054" w:rsidR="0027122F">
        <w:rPr>
          <w:rStyle w:val="FootnoteReference"/>
          <w:color w:val="000000"/>
          <w:sz w:val="24"/>
          <w:szCs w:val="24"/>
        </w:rPr>
        <w:footnoteReference w:id="13"/>
      </w:r>
      <w:r w:rsidRPr="00CB5054">
        <w:rPr>
          <w:color w:val="000000"/>
          <w:sz w:val="24"/>
          <w:szCs w:val="24"/>
        </w:rPr>
        <w:t xml:space="preserve"> covered by the HCS, therefore, the Agency estimates there are </w:t>
      </w:r>
      <w:r w:rsidR="00BA0F18">
        <w:rPr>
          <w:color w:val="000000"/>
          <w:sz w:val="24"/>
          <w:szCs w:val="24"/>
        </w:rPr>
        <w:t>84,660</w:t>
      </w:r>
      <w:r w:rsidRPr="00CB5054" w:rsidR="00AD43B1">
        <w:rPr>
          <w:color w:val="000000"/>
        </w:rPr>
        <w:t xml:space="preserve"> </w:t>
      </w:r>
      <w:r w:rsidRPr="00CB5054">
        <w:rPr>
          <w:color w:val="000000"/>
          <w:sz w:val="24"/>
          <w:szCs w:val="24"/>
        </w:rPr>
        <w:t>access requests (</w:t>
      </w:r>
      <w:r w:rsidRPr="008B1382" w:rsidR="00BA0F18">
        <w:rPr>
          <w:bCs/>
          <w:sz w:val="24"/>
          <w:szCs w:val="24"/>
        </w:rPr>
        <w:t>120,942,696</w:t>
      </w:r>
      <w:r w:rsidRPr="00CB5054" w:rsidR="00DA4698">
        <w:rPr>
          <w:color w:val="000000"/>
        </w:rPr>
        <w:t xml:space="preserve"> </w:t>
      </w:r>
      <w:r w:rsidRPr="00CB5054">
        <w:rPr>
          <w:color w:val="000000"/>
          <w:sz w:val="24"/>
          <w:szCs w:val="24"/>
        </w:rPr>
        <w:t xml:space="preserve">workers/10,000 workers x 7 situations ), and that a professional requires 4 hours to respond to each request. </w:t>
      </w:r>
    </w:p>
    <w:p w:rsidRPr="00CB5054" w:rsidR="0027122F" w:rsidP="00CD607A" w:rsidRDefault="0027122F" w14:paraId="7714824F" w14:textId="77777777">
      <w:pPr>
        <w:pStyle w:val="Default"/>
      </w:pPr>
    </w:p>
    <w:p w:rsidRPr="00CB5054" w:rsidR="00CD607A" w:rsidP="00CD607A" w:rsidRDefault="00CD607A" w14:paraId="68D7F76C" w14:textId="77777777">
      <w:pPr>
        <w:pStyle w:val="Default"/>
        <w:ind w:firstLine="720"/>
      </w:pPr>
      <w:r w:rsidRPr="00CB5054">
        <w:rPr>
          <w:b/>
          <w:bCs/>
        </w:rPr>
        <w:t>Burden hours</w:t>
      </w:r>
      <w:r w:rsidRPr="003E65D4">
        <w:rPr>
          <w:bCs/>
        </w:rPr>
        <w:t xml:space="preserve">: </w:t>
      </w:r>
      <w:r w:rsidR="00BA0F18">
        <w:rPr>
          <w:bCs/>
        </w:rPr>
        <w:t>84,660</w:t>
      </w:r>
      <w:r w:rsidRPr="00CB5054">
        <w:t xml:space="preserve"> requests x 4 hours = </w:t>
      </w:r>
      <w:r w:rsidR="00BA0F18">
        <w:t>338,640</w:t>
      </w:r>
      <w:r w:rsidRPr="00CB5054">
        <w:t xml:space="preserve"> hours </w:t>
      </w:r>
    </w:p>
    <w:p w:rsidRPr="00CB5054" w:rsidR="00CD607A" w:rsidP="00CD607A" w:rsidRDefault="00CD607A" w14:paraId="403BEBA3" w14:textId="77777777">
      <w:pPr>
        <w:pStyle w:val="Default"/>
        <w:ind w:firstLine="1440"/>
      </w:pPr>
      <w:r w:rsidRPr="00CB5054">
        <w:rPr>
          <w:b/>
          <w:bCs/>
        </w:rPr>
        <w:t>Cost</w:t>
      </w:r>
      <w:r w:rsidRPr="003E65D4">
        <w:rPr>
          <w:bCs/>
        </w:rPr>
        <w:t>:</w:t>
      </w:r>
      <w:r w:rsidRPr="00CB5054">
        <w:rPr>
          <w:b/>
          <w:bCs/>
        </w:rPr>
        <w:t xml:space="preserve"> </w:t>
      </w:r>
      <w:r w:rsidR="00BA0F18">
        <w:t>338,640</w:t>
      </w:r>
      <w:r w:rsidRPr="00CB5054" w:rsidR="00AD43B1">
        <w:t xml:space="preserve"> </w:t>
      </w:r>
      <w:r w:rsidRPr="00CB5054">
        <w:t xml:space="preserve">hours x </w:t>
      </w:r>
      <w:r w:rsidR="00252B13">
        <w:t>$</w:t>
      </w:r>
      <w:r w:rsidR="000E45F3">
        <w:t>77.76</w:t>
      </w:r>
      <w:r w:rsidRPr="00CB5054" w:rsidR="00BA18E9">
        <w:t xml:space="preserve"> </w:t>
      </w:r>
      <w:r w:rsidRPr="00CB5054">
        <w:t>= $</w:t>
      </w:r>
      <w:r w:rsidR="00DB4F8C">
        <w:t>26,332,646</w:t>
      </w:r>
    </w:p>
    <w:p w:rsidRPr="00CB5054" w:rsidR="0027122F" w:rsidP="00CD607A" w:rsidRDefault="0027122F" w14:paraId="55CB9A4A" w14:textId="77777777">
      <w:pPr>
        <w:pStyle w:val="Default"/>
        <w:ind w:firstLine="1440"/>
        <w:rPr>
          <w:sz w:val="23"/>
          <w:szCs w:val="23"/>
        </w:rPr>
      </w:pPr>
    </w:p>
    <w:p w:rsidRPr="00C675F5" w:rsidR="00CD607A" w:rsidP="00CD607A" w:rsidRDefault="00B7028D" w14:paraId="7EEAED0F" w14:textId="77777777">
      <w:pPr>
        <w:pStyle w:val="Default"/>
        <w:rPr>
          <w:b/>
          <w:bCs/>
        </w:rPr>
      </w:pPr>
      <w:r w:rsidRPr="00C675F5">
        <w:rPr>
          <w:b/>
          <w:bCs/>
        </w:rPr>
        <w:t>1</w:t>
      </w:r>
      <w:r w:rsidR="00E54F85">
        <w:rPr>
          <w:b/>
          <w:bCs/>
        </w:rPr>
        <w:t>3</w:t>
      </w:r>
      <w:r w:rsidRPr="00C675F5" w:rsidR="00CD607A">
        <w:t xml:space="preserve">. </w:t>
      </w:r>
      <w:r w:rsidR="00E86C10">
        <w:t xml:space="preserve"> </w:t>
      </w:r>
      <w:r w:rsidRPr="00C675F5" w:rsidR="00CD607A">
        <w:rPr>
          <w:b/>
          <w:bCs/>
        </w:rPr>
        <w:t>Employee Access (§ 1910.1200(d)</w:t>
      </w:r>
      <w:r w:rsidR="00522B65">
        <w:rPr>
          <w:b/>
          <w:bCs/>
        </w:rPr>
        <w:t>,</w:t>
      </w:r>
      <w:r w:rsidRPr="00C675F5" w:rsidR="00CD607A">
        <w:rPr>
          <w:b/>
          <w:bCs/>
        </w:rPr>
        <w:t xml:space="preserve">(c) and §1910.1200(e)(4)) </w:t>
      </w:r>
    </w:p>
    <w:p w:rsidRPr="00CB5054" w:rsidR="0027122F" w:rsidP="00CD607A" w:rsidRDefault="0027122F" w14:paraId="15955309" w14:textId="77777777">
      <w:pPr>
        <w:pStyle w:val="Default"/>
        <w:rPr>
          <w:sz w:val="23"/>
          <w:szCs w:val="23"/>
        </w:rPr>
      </w:pPr>
    </w:p>
    <w:p w:rsidR="0027122F" w:rsidP="00CD607A" w:rsidRDefault="00CD607A" w14:paraId="1C9F3A0B" w14:textId="77777777">
      <w:pPr>
        <w:pStyle w:val="Default"/>
      </w:pPr>
      <w:r w:rsidRPr="00CB5054">
        <w:t xml:space="preserve">OSHA estimates an average of 1.5 requests per establishment for worker access to the written programs and </w:t>
      </w:r>
      <w:r w:rsidRPr="00CB5054" w:rsidR="008925F4">
        <w:t>SDS</w:t>
      </w:r>
      <w:r w:rsidRPr="00CB5054">
        <w:t>s. OSHA estimates a clerk takes 10 minutes (.1</w:t>
      </w:r>
      <w:r w:rsidR="00C37F23">
        <w:t>6</w:t>
      </w:r>
      <w:r w:rsidRPr="00CB5054">
        <w:t xml:space="preserve">7 hour) to show the worker the relevant documents and to return them to a file after the worker has examined them. OSHA assumes </w:t>
      </w:r>
      <w:r w:rsidRPr="00AB0B90">
        <w:t>40</w:t>
      </w:r>
      <w:r w:rsidRPr="00CB5054">
        <w:t xml:space="preserve"> percent of the establishments (</w:t>
      </w:r>
      <w:r w:rsidR="00445EB0">
        <w:t>5,018,316</w:t>
      </w:r>
      <w:r w:rsidRPr="00CB5054">
        <w:t xml:space="preserve"> establishments x 40% = </w:t>
      </w:r>
      <w:r w:rsidR="00445EB0">
        <w:t>2,007,326</w:t>
      </w:r>
      <w:r w:rsidRPr="00CB5054" w:rsidR="002E4CF2">
        <w:t xml:space="preserve"> </w:t>
      </w:r>
      <w:r w:rsidRPr="00CB5054">
        <w:t>establishments) incur burden hours and costs for providing workers access as a result of the HCS.</w:t>
      </w:r>
    </w:p>
    <w:p w:rsidR="00C37F23" w:rsidP="00CD607A" w:rsidRDefault="00C37F23" w14:paraId="23826D32" w14:textId="77777777">
      <w:pPr>
        <w:pStyle w:val="Default"/>
      </w:pPr>
    </w:p>
    <w:p w:rsidR="00C37F23" w:rsidP="00CD607A" w:rsidRDefault="00C37F23" w14:paraId="5DA3EFA7" w14:textId="77777777">
      <w:pPr>
        <w:pStyle w:val="Default"/>
      </w:pPr>
      <w:r>
        <w:t xml:space="preserve">     </w:t>
      </w:r>
      <w:r w:rsidRPr="007D1C5D">
        <w:rPr>
          <w:b/>
        </w:rPr>
        <w:t>Burden hours:</w:t>
      </w:r>
      <w:r>
        <w:t xml:space="preserve"> </w:t>
      </w:r>
      <w:r w:rsidR="00445EB0">
        <w:t>2,007,326</w:t>
      </w:r>
      <w:r>
        <w:t xml:space="preserve"> establishments x 1.5 response x .167 hours = </w:t>
      </w:r>
      <w:r w:rsidR="00445EB0">
        <w:t>502,835</w:t>
      </w:r>
      <w:r>
        <w:t xml:space="preserve"> hours</w:t>
      </w:r>
    </w:p>
    <w:p w:rsidR="00765E6A" w:rsidP="00CD607A" w:rsidRDefault="00C37F23" w14:paraId="752DC75C" w14:textId="77777777">
      <w:pPr>
        <w:pStyle w:val="Default"/>
      </w:pPr>
      <w:r>
        <w:t xml:space="preserve">                  </w:t>
      </w:r>
      <w:r w:rsidRPr="007D1C5D">
        <w:rPr>
          <w:b/>
        </w:rPr>
        <w:t>Cost:</w:t>
      </w:r>
      <w:r>
        <w:t xml:space="preserve"> </w:t>
      </w:r>
      <w:r w:rsidR="00F5356F">
        <w:t xml:space="preserve">  </w:t>
      </w:r>
      <w:r w:rsidR="00445EB0">
        <w:t>502,835</w:t>
      </w:r>
      <w:r w:rsidR="00F5356F">
        <w:t xml:space="preserve"> hours x $</w:t>
      </w:r>
      <w:r w:rsidR="00DC556E">
        <w:t>26.08</w:t>
      </w:r>
      <w:r w:rsidR="00F5356F">
        <w:t xml:space="preserve"> </w:t>
      </w:r>
      <w:r w:rsidR="00EF0F3E">
        <w:t>= $</w:t>
      </w:r>
      <w:r w:rsidR="00DB4F8C">
        <w:t>13,113,937</w:t>
      </w:r>
    </w:p>
    <w:p w:rsidR="00EF0F3E" w:rsidP="00CD607A" w:rsidRDefault="00EF0F3E" w14:paraId="784611A0" w14:textId="77777777">
      <w:pPr>
        <w:pStyle w:val="Default"/>
      </w:pPr>
    </w:p>
    <w:p w:rsidR="00714621" w:rsidP="00AB0B90" w:rsidRDefault="00714621" w14:paraId="331F150C" w14:textId="77777777">
      <w:pPr>
        <w:pStyle w:val="Default"/>
        <w:tabs>
          <w:tab w:val="left" w:pos="0"/>
        </w:tabs>
      </w:pPr>
    </w:p>
    <w:p w:rsidRPr="00AB0B90" w:rsidR="0098303E" w:rsidP="0098303E" w:rsidRDefault="003E1123" w14:paraId="4A7732D1" w14:textId="77777777">
      <w:pPr>
        <w:pStyle w:val="Default"/>
        <w:rPr>
          <w:b/>
        </w:rPr>
      </w:pPr>
      <w:r>
        <w:rPr>
          <w:b/>
        </w:rPr>
        <w:t>1</w:t>
      </w:r>
      <w:r w:rsidR="00E54F85">
        <w:rPr>
          <w:b/>
        </w:rPr>
        <w:t>4</w:t>
      </w:r>
      <w:r w:rsidRPr="00AB0B90" w:rsidR="00B05269">
        <w:rPr>
          <w:b/>
        </w:rPr>
        <w:t xml:space="preserve">. </w:t>
      </w:r>
      <w:r w:rsidRPr="00AB0B90" w:rsidR="0098303E">
        <w:rPr>
          <w:b/>
        </w:rPr>
        <w:t>Revisions due to 2012 HCS rulemaking</w:t>
      </w:r>
    </w:p>
    <w:p w:rsidRPr="00AB0B90" w:rsidR="0098303E" w:rsidP="0098303E" w:rsidRDefault="0098303E" w14:paraId="59E56460" w14:textId="77777777">
      <w:pPr>
        <w:pStyle w:val="Default"/>
      </w:pPr>
    </w:p>
    <w:p w:rsidRPr="00AB0B90" w:rsidR="0098303E" w:rsidP="0098303E" w:rsidRDefault="0098303E" w14:paraId="504898A8" w14:textId="77777777">
      <w:pPr>
        <w:pStyle w:val="Default"/>
      </w:pPr>
      <w:r w:rsidRPr="00AB0B90">
        <w:t>Labels - Chemical manufacturers, importers, distributors, or employers who become newly aware of any significant information regarding the hazards of a chemical must revise the labels for the chemical within six months of becoming aware of the new information, and must ensure that labels on containers of hazardous chemicals shipped after that time contain the new information.</w:t>
      </w:r>
    </w:p>
    <w:p w:rsidRPr="00AB0B90" w:rsidR="0098303E" w:rsidP="0098303E" w:rsidRDefault="0098303E" w14:paraId="0C154072" w14:textId="77777777">
      <w:pPr>
        <w:pStyle w:val="Default"/>
        <w:rPr>
          <w:i/>
        </w:rPr>
      </w:pPr>
    </w:p>
    <w:p w:rsidRPr="00AB0B90" w:rsidR="0098303E" w:rsidP="0098303E" w:rsidRDefault="0098303E" w14:paraId="26561FF8" w14:textId="77777777">
      <w:pPr>
        <w:pStyle w:val="Default"/>
      </w:pPr>
      <w:r w:rsidRPr="00AB0B90">
        <w:t>SDS - Chemical manufacturers, importers, distributors, or employers who become newly aware of any significant information regarding the hazards of a chemical must revise the SDS for the chemical within six months of becoming aware of the new information, and must ensure that SDSs of hazardous chemicals shipped after that time contain the new information.</w:t>
      </w:r>
    </w:p>
    <w:p w:rsidRPr="00AB0B90" w:rsidR="0098303E" w:rsidP="0098303E" w:rsidRDefault="0098303E" w14:paraId="51153CAB" w14:textId="77777777">
      <w:pPr>
        <w:pStyle w:val="Default"/>
      </w:pPr>
    </w:p>
    <w:p w:rsidR="00123BA6" w:rsidP="0098303E" w:rsidRDefault="00123BA6" w14:paraId="36C54237" w14:textId="77777777">
      <w:pPr>
        <w:pStyle w:val="Default"/>
      </w:pPr>
    </w:p>
    <w:p w:rsidR="0098303E" w:rsidP="0098303E" w:rsidRDefault="0098303E" w14:paraId="488A0681" w14:textId="77777777">
      <w:pPr>
        <w:pStyle w:val="Default"/>
      </w:pPr>
    </w:p>
    <w:p w:rsidRPr="00AB0B90" w:rsidR="00EF0F3E" w:rsidP="0098303E" w:rsidRDefault="00EF0F3E" w14:paraId="72286A7D" w14:textId="77777777">
      <w:pPr>
        <w:pStyle w:val="Default"/>
      </w:pPr>
    </w:p>
    <w:p w:rsidR="00296677" w:rsidP="00AB0B90" w:rsidRDefault="0098303E" w14:paraId="138A1F45" w14:textId="77777777">
      <w:pPr>
        <w:pStyle w:val="Default"/>
      </w:pPr>
      <w:r w:rsidRPr="00AB0B90">
        <w:tab/>
      </w:r>
    </w:p>
    <w:p w:rsidR="002E6D9D" w:rsidP="0098303E" w:rsidRDefault="002E6D9D" w14:paraId="34DE563C" w14:textId="77777777">
      <w:pPr>
        <w:pStyle w:val="Default"/>
        <w:jc w:val="center"/>
        <w:rPr>
          <w:b/>
          <w:bCs/>
          <w:sz w:val="23"/>
          <w:szCs w:val="23"/>
        </w:rPr>
      </w:pPr>
    </w:p>
    <w:p w:rsidR="007D1C5D" w:rsidP="0098303E" w:rsidRDefault="007D1C5D" w14:paraId="1157174F" w14:textId="77777777">
      <w:pPr>
        <w:pStyle w:val="Default"/>
        <w:jc w:val="center"/>
        <w:rPr>
          <w:b/>
          <w:bCs/>
          <w:sz w:val="23"/>
          <w:szCs w:val="23"/>
        </w:rPr>
      </w:pPr>
    </w:p>
    <w:p w:rsidR="007D1C5D" w:rsidP="0098303E" w:rsidRDefault="007D1C5D" w14:paraId="7BDEC7FF" w14:textId="77777777">
      <w:pPr>
        <w:pStyle w:val="Default"/>
        <w:jc w:val="center"/>
        <w:rPr>
          <w:b/>
          <w:bCs/>
          <w:sz w:val="23"/>
          <w:szCs w:val="23"/>
        </w:rPr>
      </w:pPr>
    </w:p>
    <w:p w:rsidR="007D1C5D" w:rsidP="0098303E" w:rsidRDefault="007D1C5D" w14:paraId="37F76E8D" w14:textId="77777777">
      <w:pPr>
        <w:pStyle w:val="Default"/>
        <w:jc w:val="center"/>
        <w:rPr>
          <w:b/>
          <w:bCs/>
          <w:sz w:val="23"/>
          <w:szCs w:val="23"/>
        </w:rPr>
      </w:pPr>
    </w:p>
    <w:p w:rsidRPr="00AB0B90" w:rsidR="0098303E" w:rsidP="0098303E" w:rsidRDefault="00C37F23" w14:paraId="509F102A" w14:textId="1EB2446B">
      <w:pPr>
        <w:pStyle w:val="Default"/>
        <w:jc w:val="center"/>
        <w:rPr>
          <w:sz w:val="23"/>
          <w:szCs w:val="23"/>
        </w:rPr>
      </w:pPr>
      <w:r w:rsidRPr="00F5356F">
        <w:rPr>
          <w:b/>
          <w:bCs/>
          <w:sz w:val="23"/>
          <w:szCs w:val="23"/>
        </w:rPr>
        <w:t xml:space="preserve">Table </w:t>
      </w:r>
      <w:r w:rsidR="00EA5203">
        <w:rPr>
          <w:b/>
          <w:bCs/>
          <w:sz w:val="23"/>
          <w:szCs w:val="23"/>
        </w:rPr>
        <w:t>2</w:t>
      </w:r>
      <w:r w:rsidRPr="00AB0B90" w:rsidR="0098303E">
        <w:rPr>
          <w:b/>
          <w:bCs/>
          <w:sz w:val="23"/>
          <w:szCs w:val="23"/>
        </w:rPr>
        <w:t xml:space="preserve"> - Burden Hours and Costs for Revisions</w:t>
      </w:r>
    </w:p>
    <w:p w:rsidR="0098303E" w:rsidP="0098303E" w:rsidRDefault="0098303E" w14:paraId="013C0955" w14:textId="77777777">
      <w:pPr>
        <w:shd w:val="solid" w:color="FFFFFF" w:fill="FFFFFF"/>
        <w:jc w:val="center"/>
        <w:rPr>
          <w:b/>
          <w:bCs/>
          <w:color w:val="000000"/>
          <w:sz w:val="23"/>
          <w:szCs w:val="23"/>
        </w:rPr>
      </w:pPr>
      <w:r w:rsidRPr="00AB0B90">
        <w:rPr>
          <w:b/>
          <w:bCs/>
          <w:color w:val="000000"/>
          <w:sz w:val="23"/>
          <w:szCs w:val="23"/>
        </w:rPr>
        <w:t>to Safety Data Sheets and Labeling Requirements</w:t>
      </w:r>
    </w:p>
    <w:p w:rsidRPr="00AB0B90" w:rsidR="0041296B" w:rsidP="0098303E" w:rsidRDefault="0041296B" w14:paraId="773EAED5" w14:textId="77777777">
      <w:pPr>
        <w:shd w:val="solid" w:color="FFFFFF" w:fill="FFFFFF"/>
        <w:jc w:val="center"/>
        <w:rPr>
          <w:b/>
          <w:bCs/>
          <w:color w:val="000000"/>
          <w:sz w:val="24"/>
          <w:szCs w:val="24"/>
        </w:rPr>
      </w:pPr>
    </w:p>
    <w:tbl>
      <w:tblPr>
        <w:tblW w:w="10422" w:type="dxa"/>
        <w:tblInd w:w="-594" w:type="dxa"/>
        <w:tblLayout w:type="fixed"/>
        <w:tblLook w:val="0000" w:firstRow="0" w:lastRow="0" w:firstColumn="0" w:lastColumn="0" w:noHBand="0" w:noVBand="0"/>
      </w:tblPr>
      <w:tblGrid>
        <w:gridCol w:w="1473"/>
        <w:gridCol w:w="1816"/>
        <w:gridCol w:w="1239"/>
        <w:gridCol w:w="1124"/>
        <w:gridCol w:w="900"/>
        <w:gridCol w:w="1350"/>
        <w:gridCol w:w="1170"/>
        <w:gridCol w:w="1350"/>
      </w:tblGrid>
      <w:tr w:rsidRPr="00AB0B90" w:rsidR="00C9596B" w:rsidTr="009B4116" w14:paraId="785F1FD4"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D9E2F3"/>
            <w:noWrap/>
            <w:vAlign w:val="bottom"/>
          </w:tcPr>
          <w:p w:rsidRPr="00AB0B90" w:rsidR="00C9596B" w:rsidP="001A0DB4" w:rsidRDefault="00C9596B" w14:paraId="3AC620FC" w14:textId="77777777">
            <w:pPr>
              <w:widowControl/>
              <w:overflowPunct/>
              <w:autoSpaceDE/>
              <w:autoSpaceDN/>
              <w:adjustRightInd/>
              <w:rPr>
                <w:b/>
                <w:color w:val="000000"/>
                <w:kern w:val="0"/>
              </w:rPr>
            </w:pPr>
            <w:r w:rsidRPr="00AB0B90">
              <w:rPr>
                <w:b/>
                <w:color w:val="000000"/>
                <w:kern w:val="0"/>
              </w:rPr>
              <w:t>Establishment Size</w:t>
            </w:r>
          </w:p>
        </w:tc>
        <w:tc>
          <w:tcPr>
            <w:tcW w:w="1816" w:type="dxa"/>
            <w:tcBorders>
              <w:top w:val="single" w:color="auto" w:sz="4" w:space="0"/>
              <w:left w:val="single" w:color="auto" w:sz="4" w:space="0"/>
              <w:bottom w:val="single" w:color="auto" w:sz="4" w:space="0"/>
              <w:right w:val="single" w:color="auto" w:sz="4" w:space="0"/>
            </w:tcBorders>
            <w:shd w:val="clear" w:color="auto" w:fill="D9E2F3"/>
            <w:noWrap/>
            <w:vAlign w:val="center"/>
          </w:tcPr>
          <w:p w:rsidRPr="00AB0B90" w:rsidR="00C9596B" w:rsidP="009B4116" w:rsidRDefault="00C9596B" w14:paraId="5DEC2F73" w14:textId="77777777">
            <w:pPr>
              <w:widowControl/>
              <w:overflowPunct/>
              <w:autoSpaceDE/>
              <w:autoSpaceDN/>
              <w:adjustRightInd/>
              <w:jc w:val="right"/>
              <w:rPr>
                <w:b/>
                <w:color w:val="000000"/>
                <w:kern w:val="0"/>
              </w:rPr>
            </w:pPr>
            <w:r w:rsidRPr="00AB0B90">
              <w:rPr>
                <w:b/>
                <w:color w:val="000000"/>
                <w:kern w:val="0"/>
              </w:rPr>
              <w:t># of SDSs</w:t>
            </w:r>
          </w:p>
        </w:tc>
        <w:tc>
          <w:tcPr>
            <w:tcW w:w="1239" w:type="dxa"/>
            <w:tcBorders>
              <w:top w:val="single" w:color="auto" w:sz="4" w:space="0"/>
              <w:left w:val="single" w:color="auto" w:sz="4" w:space="0"/>
              <w:bottom w:val="single" w:color="auto" w:sz="4" w:space="0"/>
              <w:right w:val="single" w:color="auto" w:sz="4" w:space="0"/>
            </w:tcBorders>
            <w:shd w:val="clear" w:color="auto" w:fill="D9E2F3"/>
            <w:noWrap/>
            <w:vAlign w:val="center"/>
          </w:tcPr>
          <w:p w:rsidRPr="00AB0B90" w:rsidR="00C9596B" w:rsidP="009B4116" w:rsidRDefault="00C9596B" w14:paraId="48E528B1" w14:textId="77777777">
            <w:pPr>
              <w:widowControl/>
              <w:overflowPunct/>
              <w:autoSpaceDE/>
              <w:autoSpaceDN/>
              <w:adjustRightInd/>
              <w:jc w:val="right"/>
              <w:rPr>
                <w:b/>
                <w:color w:val="000000"/>
                <w:kern w:val="0"/>
              </w:rPr>
            </w:pPr>
            <w:r w:rsidRPr="00AB0B90">
              <w:rPr>
                <w:b/>
                <w:color w:val="000000"/>
                <w:kern w:val="0"/>
              </w:rPr>
              <w:t>% Not in Compliance</w:t>
            </w:r>
            <w:r>
              <w:rPr>
                <w:b/>
                <w:color w:val="000000"/>
                <w:kern w:val="0"/>
              </w:rPr>
              <w:t xml:space="preserve"> </w:t>
            </w:r>
          </w:p>
        </w:tc>
        <w:tc>
          <w:tcPr>
            <w:tcW w:w="1124" w:type="dxa"/>
            <w:tcBorders>
              <w:top w:val="single" w:color="auto" w:sz="4" w:space="0"/>
              <w:left w:val="single" w:color="auto" w:sz="4" w:space="0"/>
              <w:bottom w:val="single" w:color="auto" w:sz="4" w:space="0"/>
              <w:right w:val="single" w:color="auto" w:sz="4" w:space="0"/>
            </w:tcBorders>
            <w:shd w:val="clear" w:color="auto" w:fill="D9E2F3"/>
            <w:vAlign w:val="center"/>
          </w:tcPr>
          <w:p w:rsidRPr="00AB0B90" w:rsidR="00C9596B" w:rsidP="009B4116" w:rsidRDefault="00C9596B" w14:paraId="1A56E6F2" w14:textId="77777777">
            <w:pPr>
              <w:widowControl/>
              <w:overflowPunct/>
              <w:autoSpaceDE/>
              <w:autoSpaceDN/>
              <w:adjustRightInd/>
              <w:jc w:val="right"/>
              <w:rPr>
                <w:b/>
                <w:color w:val="000000"/>
                <w:kern w:val="0"/>
              </w:rPr>
            </w:pPr>
            <w:r>
              <w:rPr>
                <w:b/>
                <w:color w:val="000000"/>
                <w:kern w:val="0"/>
              </w:rPr>
              <w:t>Total Responses</w:t>
            </w:r>
          </w:p>
        </w:tc>
        <w:tc>
          <w:tcPr>
            <w:tcW w:w="900" w:type="dxa"/>
            <w:tcBorders>
              <w:top w:val="single" w:color="auto" w:sz="4" w:space="0"/>
              <w:left w:val="single" w:color="auto" w:sz="4" w:space="0"/>
              <w:bottom w:val="single" w:color="auto" w:sz="4" w:space="0"/>
              <w:right w:val="single" w:color="auto" w:sz="4" w:space="0"/>
            </w:tcBorders>
            <w:shd w:val="clear" w:color="auto" w:fill="D9E2F3"/>
            <w:vAlign w:val="center"/>
          </w:tcPr>
          <w:p w:rsidRPr="00AB0B90" w:rsidR="00C9596B" w:rsidP="009B4116" w:rsidRDefault="00C9596B" w14:paraId="12E680D2" w14:textId="77777777">
            <w:pPr>
              <w:widowControl/>
              <w:overflowPunct/>
              <w:autoSpaceDE/>
              <w:autoSpaceDN/>
              <w:adjustRightInd/>
              <w:jc w:val="right"/>
              <w:rPr>
                <w:b/>
                <w:color w:val="000000"/>
                <w:kern w:val="0"/>
              </w:rPr>
            </w:pPr>
            <w:r w:rsidRPr="00AB0B90">
              <w:rPr>
                <w:b/>
                <w:color w:val="000000"/>
                <w:kern w:val="0"/>
              </w:rPr>
              <w:t>Hours/SDS</w:t>
            </w:r>
          </w:p>
        </w:tc>
        <w:tc>
          <w:tcPr>
            <w:tcW w:w="1350" w:type="dxa"/>
            <w:tcBorders>
              <w:top w:val="single" w:color="auto" w:sz="4" w:space="0"/>
              <w:left w:val="single" w:color="auto" w:sz="4" w:space="0"/>
              <w:bottom w:val="single" w:color="auto" w:sz="4" w:space="0"/>
              <w:right w:val="single" w:color="auto" w:sz="4" w:space="0"/>
            </w:tcBorders>
            <w:shd w:val="clear" w:color="auto" w:fill="D9E2F3"/>
            <w:noWrap/>
            <w:vAlign w:val="center"/>
          </w:tcPr>
          <w:p w:rsidRPr="00AB0B90" w:rsidR="00C9596B" w:rsidP="009B4116" w:rsidRDefault="00C9596B" w14:paraId="2FE8C6E4" w14:textId="77777777">
            <w:pPr>
              <w:widowControl/>
              <w:overflowPunct/>
              <w:autoSpaceDE/>
              <w:autoSpaceDN/>
              <w:adjustRightInd/>
              <w:jc w:val="right"/>
              <w:rPr>
                <w:b/>
                <w:color w:val="000000"/>
                <w:kern w:val="0"/>
              </w:rPr>
            </w:pPr>
            <w:r w:rsidRPr="00AB0B90">
              <w:rPr>
                <w:b/>
                <w:color w:val="000000"/>
                <w:kern w:val="0"/>
              </w:rPr>
              <w:t>Total Burden Hours</w:t>
            </w:r>
          </w:p>
        </w:tc>
        <w:tc>
          <w:tcPr>
            <w:tcW w:w="1170" w:type="dxa"/>
            <w:tcBorders>
              <w:top w:val="single" w:color="auto" w:sz="4" w:space="0"/>
              <w:left w:val="single" w:color="auto" w:sz="4" w:space="0"/>
              <w:bottom w:val="single" w:color="auto" w:sz="4" w:space="0"/>
              <w:right w:val="single" w:color="auto" w:sz="4" w:space="0"/>
            </w:tcBorders>
            <w:shd w:val="clear" w:color="auto" w:fill="D9E2F3"/>
            <w:noWrap/>
            <w:vAlign w:val="center"/>
          </w:tcPr>
          <w:p w:rsidRPr="00AB0B90" w:rsidR="00C9596B" w:rsidP="009B4116" w:rsidRDefault="00C9596B" w14:paraId="1022E110" w14:textId="77777777">
            <w:pPr>
              <w:widowControl/>
              <w:overflowPunct/>
              <w:autoSpaceDE/>
              <w:autoSpaceDN/>
              <w:adjustRightInd/>
              <w:jc w:val="right"/>
              <w:rPr>
                <w:b/>
                <w:color w:val="000000"/>
                <w:kern w:val="0"/>
              </w:rPr>
            </w:pPr>
            <w:r>
              <w:rPr>
                <w:b/>
                <w:color w:val="000000"/>
                <w:kern w:val="0"/>
              </w:rPr>
              <w:t xml:space="preserve">Mean </w:t>
            </w:r>
            <w:r w:rsidRPr="00AB0B90">
              <w:rPr>
                <w:b/>
                <w:color w:val="000000"/>
                <w:kern w:val="0"/>
              </w:rPr>
              <w:t>Hourly Wage</w:t>
            </w:r>
          </w:p>
        </w:tc>
        <w:tc>
          <w:tcPr>
            <w:tcW w:w="1350" w:type="dxa"/>
            <w:tcBorders>
              <w:top w:val="single" w:color="auto" w:sz="4" w:space="0"/>
              <w:left w:val="single" w:color="auto" w:sz="4" w:space="0"/>
              <w:bottom w:val="single" w:color="auto" w:sz="4" w:space="0"/>
              <w:right w:val="single" w:color="auto" w:sz="4" w:space="0"/>
            </w:tcBorders>
            <w:shd w:val="clear" w:color="auto" w:fill="D9E2F3"/>
            <w:noWrap/>
            <w:vAlign w:val="center"/>
          </w:tcPr>
          <w:p w:rsidRPr="00AB0B90" w:rsidR="00C9596B" w:rsidP="009B4116" w:rsidRDefault="00C9596B" w14:paraId="2520DA30" w14:textId="77777777">
            <w:pPr>
              <w:widowControl/>
              <w:overflowPunct/>
              <w:autoSpaceDE/>
              <w:autoSpaceDN/>
              <w:adjustRightInd/>
              <w:jc w:val="right"/>
              <w:rPr>
                <w:b/>
                <w:color w:val="000000"/>
                <w:kern w:val="0"/>
              </w:rPr>
            </w:pPr>
            <w:r w:rsidRPr="00AB0B90">
              <w:rPr>
                <w:b/>
                <w:color w:val="000000"/>
                <w:kern w:val="0"/>
              </w:rPr>
              <w:t>Total Burden Cost</w:t>
            </w:r>
          </w:p>
        </w:tc>
      </w:tr>
      <w:tr w:rsidRPr="00AB0B90" w:rsidR="00C9596B" w:rsidTr="008B1382" w14:paraId="696C317D"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7454F149" w14:textId="77777777">
            <w:pPr>
              <w:widowControl/>
              <w:overflowPunct/>
              <w:autoSpaceDE/>
              <w:autoSpaceDN/>
              <w:adjustRightInd/>
              <w:rPr>
                <w:color w:val="000000"/>
                <w:kern w:val="0"/>
              </w:rPr>
            </w:pP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79B985A9"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5D49A63E" w14:textId="77777777">
            <w:pPr>
              <w:widowControl/>
              <w:overflowPunct/>
              <w:autoSpaceDE/>
              <w:autoSpaceDN/>
              <w:adjustRightInd/>
              <w:rPr>
                <w:color w:val="000000"/>
                <w:kern w:val="0"/>
              </w:rPr>
            </w:pPr>
          </w:p>
        </w:tc>
        <w:tc>
          <w:tcPr>
            <w:tcW w:w="1124" w:type="dxa"/>
            <w:tcBorders>
              <w:top w:val="single" w:color="auto" w:sz="4" w:space="0"/>
              <w:left w:val="single" w:color="auto" w:sz="4" w:space="0"/>
              <w:bottom w:val="single" w:color="auto" w:sz="4" w:space="0"/>
              <w:right w:val="single" w:color="auto" w:sz="4" w:space="0"/>
            </w:tcBorders>
          </w:tcPr>
          <w:p w:rsidRPr="00AB0B90" w:rsidR="00C9596B" w:rsidP="001A0DB4" w:rsidRDefault="00C9596B" w14:paraId="6D7B907B" w14:textId="77777777">
            <w:pPr>
              <w:widowControl/>
              <w:overflowPunct/>
              <w:autoSpaceDE/>
              <w:autoSpaceDN/>
              <w:adjustRightInd/>
              <w:rPr>
                <w:color w:val="000000"/>
                <w:kern w:val="0"/>
              </w:rPr>
            </w:pPr>
          </w:p>
        </w:tc>
        <w:tc>
          <w:tcPr>
            <w:tcW w:w="900" w:type="dxa"/>
            <w:tcBorders>
              <w:top w:val="single" w:color="auto" w:sz="4" w:space="0"/>
              <w:left w:val="single" w:color="auto" w:sz="4" w:space="0"/>
              <w:bottom w:val="single" w:color="auto" w:sz="4" w:space="0"/>
              <w:right w:val="single" w:color="auto" w:sz="4" w:space="0"/>
            </w:tcBorders>
            <w:vAlign w:val="bottom"/>
          </w:tcPr>
          <w:p w:rsidRPr="00AB0B90" w:rsidR="00C9596B" w:rsidP="001A0DB4" w:rsidRDefault="00C9596B" w14:paraId="3862B778" w14:textId="77777777">
            <w:pPr>
              <w:widowControl/>
              <w:overflowPunct/>
              <w:autoSpaceDE/>
              <w:autoSpaceDN/>
              <w:adjustRightInd/>
              <w:rPr>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3E2548F1" w14:textId="77777777">
            <w:pPr>
              <w:widowControl/>
              <w:overflowPunct/>
              <w:autoSpaceDE/>
              <w:autoSpaceDN/>
              <w:adjustRightInd/>
              <w:rPr>
                <w:color w:val="000000"/>
                <w:kern w:val="0"/>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376C10EE" w14:textId="77777777">
            <w:pPr>
              <w:widowControl/>
              <w:overflowPunct/>
              <w:autoSpaceDE/>
              <w:autoSpaceDN/>
              <w:adjustRightInd/>
              <w:rPr>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1A0DB4" w:rsidRDefault="00C9596B" w14:paraId="47D249F6" w14:textId="77777777">
            <w:pPr>
              <w:widowControl/>
              <w:overflowPunct/>
              <w:autoSpaceDE/>
              <w:autoSpaceDN/>
              <w:adjustRightInd/>
              <w:rPr>
                <w:color w:val="000000"/>
                <w:kern w:val="0"/>
              </w:rPr>
            </w:pPr>
          </w:p>
        </w:tc>
      </w:tr>
      <w:tr w:rsidRPr="00AB0B90" w:rsidR="00C9596B" w:rsidTr="008B1382" w14:paraId="65207AE1"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76B3816B" w14:textId="77777777">
            <w:pPr>
              <w:widowControl/>
              <w:overflowPunct/>
              <w:autoSpaceDE/>
              <w:autoSpaceDN/>
              <w:adjustRightInd/>
              <w:rPr>
                <w:color w:val="000000"/>
                <w:kern w:val="0"/>
              </w:rPr>
            </w:pPr>
            <w:r w:rsidRPr="00AB0B90">
              <w:rPr>
                <w:color w:val="000000"/>
                <w:kern w:val="0"/>
              </w:rPr>
              <w:t>1-19</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A5AA5" w:rsidR="00C9596B" w:rsidP="00053035" w:rsidRDefault="00C9596B" w14:paraId="5F78CD1F" w14:textId="77777777">
            <w:pPr>
              <w:widowControl/>
              <w:overflowPunct/>
              <w:autoSpaceDE/>
              <w:autoSpaceDN/>
              <w:adjustRightInd/>
              <w:jc w:val="right"/>
              <w:rPr>
                <w:color w:val="000000"/>
                <w:kern w:val="0"/>
              </w:rPr>
            </w:pPr>
            <w:r w:rsidRPr="00DD287E">
              <w:t>116,076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386203CA" w14:textId="77777777">
            <w:pPr>
              <w:widowControl/>
              <w:overflowPunct/>
              <w:autoSpaceDE/>
              <w:autoSpaceDN/>
              <w:adjustRightInd/>
              <w:jc w:val="right"/>
              <w:rPr>
                <w:color w:val="000000"/>
                <w:kern w:val="0"/>
              </w:rPr>
            </w:pPr>
            <w:r w:rsidRPr="00AB0B90">
              <w:rPr>
                <w:color w:val="000000"/>
                <w:kern w:val="0"/>
              </w:rPr>
              <w:t>99%</w:t>
            </w:r>
          </w:p>
        </w:tc>
        <w:tc>
          <w:tcPr>
            <w:tcW w:w="1124" w:type="dxa"/>
            <w:tcBorders>
              <w:top w:val="single" w:color="auto" w:sz="4" w:space="0"/>
              <w:left w:val="single" w:color="auto" w:sz="4" w:space="0"/>
              <w:bottom w:val="single" w:color="auto" w:sz="4" w:space="0"/>
              <w:right w:val="single" w:color="auto" w:sz="4" w:space="0"/>
            </w:tcBorders>
          </w:tcPr>
          <w:p w:rsidR="00C9596B" w:rsidP="00053035" w:rsidRDefault="00B10A0E" w14:paraId="23383AF2" w14:textId="77777777">
            <w:pPr>
              <w:widowControl/>
              <w:overflowPunct/>
              <w:autoSpaceDE/>
              <w:autoSpaceDN/>
              <w:adjustRightInd/>
              <w:jc w:val="right"/>
              <w:rPr>
                <w:color w:val="000000"/>
                <w:kern w:val="0"/>
              </w:rPr>
            </w:pPr>
            <w:r>
              <w:rPr>
                <w:color w:val="000000"/>
                <w:kern w:val="0"/>
              </w:rPr>
              <w:t>114,915</w:t>
            </w:r>
          </w:p>
        </w:tc>
        <w:tc>
          <w:tcPr>
            <w:tcW w:w="900" w:type="dxa"/>
            <w:tcBorders>
              <w:top w:val="single" w:color="auto" w:sz="4" w:space="0"/>
              <w:left w:val="single" w:color="auto" w:sz="4" w:space="0"/>
              <w:bottom w:val="single" w:color="auto" w:sz="4" w:space="0"/>
              <w:right w:val="single" w:color="auto" w:sz="4" w:space="0"/>
            </w:tcBorders>
            <w:vAlign w:val="bottom"/>
          </w:tcPr>
          <w:p w:rsidRPr="00AB0B90" w:rsidR="00C9596B" w:rsidDel="006421B2" w:rsidP="00053035" w:rsidRDefault="00C9596B" w14:paraId="3F3A123B" w14:textId="77777777">
            <w:pPr>
              <w:widowControl/>
              <w:overflowPunct/>
              <w:autoSpaceDE/>
              <w:autoSpaceDN/>
              <w:adjustRightInd/>
              <w:jc w:val="right"/>
              <w:rPr>
                <w:color w:val="000000"/>
                <w:kern w:val="0"/>
              </w:rPr>
            </w:pPr>
            <w:r>
              <w:rPr>
                <w:color w:val="000000"/>
                <w:kern w:val="0"/>
              </w:rPr>
              <w:t>.</w:t>
            </w:r>
            <w:r w:rsidRPr="00AB0B90">
              <w:rPr>
                <w:color w:val="000000"/>
                <w:kern w:val="0"/>
              </w:rPr>
              <w:t>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D5850" w:rsidR="00C9596B" w:rsidP="00053035" w:rsidRDefault="00C9596B" w14:paraId="31DA43BE" w14:textId="77777777">
            <w:pPr>
              <w:widowControl/>
              <w:overflowPunct/>
              <w:autoSpaceDE/>
              <w:autoSpaceDN/>
              <w:adjustRightInd/>
              <w:jc w:val="right"/>
              <w:rPr>
                <w:color w:val="000000"/>
                <w:kern w:val="0"/>
              </w:rPr>
            </w:pPr>
            <w:r w:rsidRPr="008B1382">
              <w:rPr>
                <w:color w:val="000000"/>
              </w:rPr>
              <w:t>80,441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1D658F7D" w14:textId="77777777">
            <w:pPr>
              <w:widowControl/>
              <w:overflowPunct/>
              <w:autoSpaceDE/>
              <w:autoSpaceDN/>
              <w:adjustRightInd/>
              <w:jc w:val="right"/>
              <w:rPr>
                <w:color w:val="000000"/>
                <w:kern w:val="0"/>
              </w:rPr>
            </w:pPr>
            <w:r>
              <w:rPr>
                <w:color w:val="000000"/>
                <w:kern w:val="0"/>
              </w:rPr>
              <w:t>$</w:t>
            </w:r>
            <w:r w:rsidR="00DC556E">
              <w:rPr>
                <w:color w:val="000000"/>
                <w:kern w:val="0"/>
              </w:rPr>
              <w:t>51.40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DB4F8C" w:rsidRDefault="00B10A0E" w14:paraId="5C3E827A" w14:textId="77777777">
            <w:pPr>
              <w:widowControl/>
              <w:overflowPunct/>
              <w:autoSpaceDE/>
              <w:autoSpaceDN/>
              <w:adjustRightInd/>
              <w:jc w:val="right"/>
              <w:rPr>
                <w:color w:val="000000"/>
                <w:kern w:val="0"/>
              </w:rPr>
            </w:pPr>
            <w:r>
              <w:rPr>
                <w:color w:val="000000"/>
                <w:kern w:val="0"/>
              </w:rPr>
              <w:t>$</w:t>
            </w:r>
            <w:r w:rsidR="00DB4F8C">
              <w:rPr>
                <w:color w:val="000000"/>
                <w:kern w:val="0"/>
              </w:rPr>
              <w:t>4,134,667</w:t>
            </w:r>
          </w:p>
        </w:tc>
      </w:tr>
      <w:tr w:rsidRPr="00AB0B90" w:rsidR="00C9596B" w:rsidTr="008B1382" w14:paraId="692C27B0"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2A16ED8B" w14:textId="77777777">
            <w:pPr>
              <w:widowControl/>
              <w:overflowPunct/>
              <w:autoSpaceDE/>
              <w:autoSpaceDN/>
              <w:adjustRightInd/>
              <w:rPr>
                <w:color w:val="000000"/>
                <w:kern w:val="0"/>
              </w:rPr>
            </w:pPr>
            <w:r w:rsidRPr="00AB0B90">
              <w:rPr>
                <w:color w:val="000000"/>
                <w:kern w:val="0"/>
              </w:rPr>
              <w:t>20-99</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A5AA5" w:rsidR="00C9596B" w:rsidP="00053035" w:rsidRDefault="00C9596B" w14:paraId="4CA3C53D" w14:textId="77777777">
            <w:pPr>
              <w:widowControl/>
              <w:overflowPunct/>
              <w:autoSpaceDE/>
              <w:autoSpaceDN/>
              <w:adjustRightInd/>
              <w:jc w:val="right"/>
              <w:rPr>
                <w:color w:val="000000"/>
                <w:kern w:val="0"/>
              </w:rPr>
            </w:pPr>
            <w:r w:rsidRPr="00DD287E">
              <w:t>126,333</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41D28389" w14:textId="77777777">
            <w:pPr>
              <w:widowControl/>
              <w:overflowPunct/>
              <w:autoSpaceDE/>
              <w:autoSpaceDN/>
              <w:adjustRightInd/>
              <w:jc w:val="right"/>
              <w:rPr>
                <w:color w:val="000000"/>
                <w:kern w:val="0"/>
              </w:rPr>
            </w:pPr>
            <w:r w:rsidRPr="00AB0B90">
              <w:rPr>
                <w:color w:val="000000"/>
                <w:kern w:val="0"/>
              </w:rPr>
              <w:t>95%</w:t>
            </w:r>
          </w:p>
        </w:tc>
        <w:tc>
          <w:tcPr>
            <w:tcW w:w="1124" w:type="dxa"/>
            <w:tcBorders>
              <w:top w:val="single" w:color="auto" w:sz="4" w:space="0"/>
              <w:left w:val="single" w:color="auto" w:sz="4" w:space="0"/>
              <w:bottom w:val="single" w:color="auto" w:sz="4" w:space="0"/>
              <w:right w:val="single" w:color="auto" w:sz="4" w:space="0"/>
            </w:tcBorders>
          </w:tcPr>
          <w:p w:rsidR="00C9596B" w:rsidP="00B10A0E" w:rsidRDefault="00B10A0E" w14:paraId="440CF875" w14:textId="77777777">
            <w:pPr>
              <w:widowControl/>
              <w:overflowPunct/>
              <w:autoSpaceDE/>
              <w:autoSpaceDN/>
              <w:adjustRightInd/>
              <w:jc w:val="right"/>
              <w:rPr>
                <w:color w:val="000000"/>
                <w:kern w:val="0"/>
              </w:rPr>
            </w:pPr>
            <w:r>
              <w:rPr>
                <w:color w:val="000000"/>
                <w:kern w:val="0"/>
              </w:rPr>
              <w:t>120,016</w:t>
            </w:r>
          </w:p>
        </w:tc>
        <w:tc>
          <w:tcPr>
            <w:tcW w:w="900" w:type="dxa"/>
            <w:tcBorders>
              <w:top w:val="single" w:color="auto" w:sz="4" w:space="0"/>
              <w:left w:val="single" w:color="auto" w:sz="4" w:space="0"/>
              <w:bottom w:val="single" w:color="auto" w:sz="4" w:space="0"/>
              <w:right w:val="single" w:color="auto" w:sz="4" w:space="0"/>
            </w:tcBorders>
            <w:vAlign w:val="bottom"/>
          </w:tcPr>
          <w:p w:rsidRPr="00AB0B90" w:rsidR="00C9596B" w:rsidDel="006421B2" w:rsidP="00053035" w:rsidRDefault="00C9596B" w14:paraId="40A48A9A" w14:textId="77777777">
            <w:pPr>
              <w:widowControl/>
              <w:overflowPunct/>
              <w:autoSpaceDE/>
              <w:autoSpaceDN/>
              <w:adjustRightInd/>
              <w:jc w:val="right"/>
              <w:rPr>
                <w:color w:val="000000"/>
                <w:kern w:val="0"/>
              </w:rPr>
            </w:pPr>
            <w:r>
              <w:rPr>
                <w:color w:val="000000"/>
                <w:kern w:val="0"/>
              </w:rPr>
              <w:t>.</w:t>
            </w:r>
            <w:r w:rsidRPr="00AB0B90">
              <w:rPr>
                <w:color w:val="000000"/>
                <w:kern w:val="0"/>
              </w:rPr>
              <w:t>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D5850" w:rsidR="00C9596B" w:rsidP="00053035" w:rsidRDefault="00C9596B" w14:paraId="03661795" w14:textId="77777777">
            <w:pPr>
              <w:widowControl/>
              <w:overflowPunct/>
              <w:autoSpaceDE/>
              <w:autoSpaceDN/>
              <w:adjustRightInd/>
              <w:jc w:val="right"/>
              <w:rPr>
                <w:color w:val="000000"/>
                <w:kern w:val="0"/>
              </w:rPr>
            </w:pPr>
            <w:r w:rsidRPr="008B1382">
              <w:rPr>
                <w:color w:val="000000"/>
              </w:rPr>
              <w:t>84,011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7EA3563D" w14:textId="77777777">
            <w:pPr>
              <w:widowControl/>
              <w:overflowPunct/>
              <w:autoSpaceDE/>
              <w:autoSpaceDN/>
              <w:adjustRightInd/>
              <w:jc w:val="right"/>
              <w:rPr>
                <w:color w:val="000000"/>
                <w:kern w:val="0"/>
              </w:rPr>
            </w:pPr>
            <w:r>
              <w:rPr>
                <w:color w:val="000000"/>
                <w:kern w:val="0"/>
              </w:rPr>
              <w:t>$</w:t>
            </w:r>
            <w:r w:rsidR="00DC556E">
              <w:rPr>
                <w:color w:val="000000"/>
                <w:kern w:val="0"/>
              </w:rPr>
              <w:t>51.40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DB4F8C" w:rsidRDefault="00B10A0E" w14:paraId="5B305B51" w14:textId="77777777">
            <w:pPr>
              <w:widowControl/>
              <w:overflowPunct/>
              <w:autoSpaceDE/>
              <w:autoSpaceDN/>
              <w:adjustRightInd/>
              <w:jc w:val="right"/>
              <w:rPr>
                <w:color w:val="000000"/>
                <w:kern w:val="0"/>
              </w:rPr>
            </w:pPr>
            <w:r>
              <w:rPr>
                <w:color w:val="000000"/>
                <w:kern w:val="0"/>
              </w:rPr>
              <w:t>$</w:t>
            </w:r>
            <w:r w:rsidR="00DB4F8C">
              <w:rPr>
                <w:color w:val="000000"/>
                <w:kern w:val="0"/>
              </w:rPr>
              <w:t>4,318,165</w:t>
            </w:r>
          </w:p>
        </w:tc>
      </w:tr>
      <w:tr w:rsidRPr="00AB0B90" w:rsidR="00C9596B" w:rsidTr="008B1382" w14:paraId="521307E1"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5DFB6F0A" w14:textId="77777777">
            <w:pPr>
              <w:widowControl/>
              <w:overflowPunct/>
              <w:autoSpaceDE/>
              <w:autoSpaceDN/>
              <w:adjustRightInd/>
              <w:rPr>
                <w:color w:val="000000"/>
                <w:kern w:val="0"/>
              </w:rPr>
            </w:pPr>
            <w:r w:rsidRPr="00AB0B90">
              <w:rPr>
                <w:color w:val="000000"/>
                <w:kern w:val="0"/>
              </w:rPr>
              <w:t>100-499</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A5AA5" w:rsidR="00C9596B" w:rsidP="00053035" w:rsidRDefault="00C9596B" w14:paraId="11DFC640" w14:textId="77777777">
            <w:pPr>
              <w:widowControl/>
              <w:overflowPunct/>
              <w:autoSpaceDE/>
              <w:autoSpaceDN/>
              <w:adjustRightInd/>
              <w:jc w:val="right"/>
              <w:rPr>
                <w:color w:val="000000"/>
                <w:kern w:val="0"/>
              </w:rPr>
            </w:pPr>
            <w:r w:rsidRPr="00DD287E">
              <w:t>232,179</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50C54324" w14:textId="77777777">
            <w:pPr>
              <w:widowControl/>
              <w:overflowPunct/>
              <w:autoSpaceDE/>
              <w:autoSpaceDN/>
              <w:adjustRightInd/>
              <w:jc w:val="right"/>
              <w:rPr>
                <w:color w:val="000000"/>
                <w:kern w:val="0"/>
              </w:rPr>
            </w:pPr>
            <w:r w:rsidRPr="00AB0B90">
              <w:rPr>
                <w:color w:val="000000"/>
                <w:kern w:val="0"/>
              </w:rPr>
              <w:t>75%</w:t>
            </w:r>
          </w:p>
        </w:tc>
        <w:tc>
          <w:tcPr>
            <w:tcW w:w="1124" w:type="dxa"/>
            <w:tcBorders>
              <w:top w:val="single" w:color="auto" w:sz="4" w:space="0"/>
              <w:left w:val="single" w:color="auto" w:sz="4" w:space="0"/>
              <w:bottom w:val="single" w:color="auto" w:sz="4" w:space="0"/>
              <w:right w:val="single" w:color="auto" w:sz="4" w:space="0"/>
            </w:tcBorders>
          </w:tcPr>
          <w:p w:rsidR="00C9596B" w:rsidP="00053035" w:rsidRDefault="00B10A0E" w14:paraId="3AAD9744" w14:textId="77777777">
            <w:pPr>
              <w:widowControl/>
              <w:overflowPunct/>
              <w:autoSpaceDE/>
              <w:autoSpaceDN/>
              <w:adjustRightInd/>
              <w:jc w:val="right"/>
              <w:rPr>
                <w:color w:val="000000"/>
                <w:kern w:val="0"/>
              </w:rPr>
            </w:pPr>
            <w:r>
              <w:rPr>
                <w:color w:val="000000"/>
                <w:kern w:val="0"/>
              </w:rPr>
              <w:t>174,134</w:t>
            </w:r>
          </w:p>
        </w:tc>
        <w:tc>
          <w:tcPr>
            <w:tcW w:w="900" w:type="dxa"/>
            <w:tcBorders>
              <w:top w:val="single" w:color="auto" w:sz="4" w:space="0"/>
              <w:left w:val="single" w:color="auto" w:sz="4" w:space="0"/>
              <w:bottom w:val="single" w:color="auto" w:sz="4" w:space="0"/>
              <w:right w:val="single" w:color="auto" w:sz="4" w:space="0"/>
            </w:tcBorders>
            <w:vAlign w:val="bottom"/>
          </w:tcPr>
          <w:p w:rsidRPr="00AB0B90" w:rsidR="00C9596B" w:rsidDel="006421B2" w:rsidP="00053035" w:rsidRDefault="00C9596B" w14:paraId="3090E7B7" w14:textId="77777777">
            <w:pPr>
              <w:widowControl/>
              <w:overflowPunct/>
              <w:autoSpaceDE/>
              <w:autoSpaceDN/>
              <w:adjustRightInd/>
              <w:jc w:val="right"/>
              <w:rPr>
                <w:color w:val="000000"/>
                <w:kern w:val="0"/>
              </w:rPr>
            </w:pPr>
            <w:r>
              <w:rPr>
                <w:color w:val="000000"/>
                <w:kern w:val="0"/>
              </w:rPr>
              <w:t>.</w:t>
            </w:r>
            <w:r w:rsidRPr="00AB0B90">
              <w:rPr>
                <w:color w:val="000000"/>
                <w:kern w:val="0"/>
              </w:rPr>
              <w:t>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D5850" w:rsidR="00C9596B" w:rsidP="00053035" w:rsidRDefault="00C9596B" w14:paraId="4216336B" w14:textId="77777777">
            <w:pPr>
              <w:widowControl/>
              <w:overflowPunct/>
              <w:autoSpaceDE/>
              <w:autoSpaceDN/>
              <w:adjustRightInd/>
              <w:jc w:val="right"/>
              <w:rPr>
                <w:color w:val="000000"/>
                <w:kern w:val="0"/>
              </w:rPr>
            </w:pPr>
            <w:r w:rsidRPr="008B1382">
              <w:rPr>
                <w:color w:val="000000"/>
              </w:rPr>
              <w:t>87,067</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68BF64D6" w14:textId="77777777">
            <w:pPr>
              <w:widowControl/>
              <w:overflowPunct/>
              <w:autoSpaceDE/>
              <w:autoSpaceDN/>
              <w:adjustRightInd/>
              <w:jc w:val="right"/>
              <w:rPr>
                <w:color w:val="000000"/>
                <w:kern w:val="0"/>
              </w:rPr>
            </w:pPr>
            <w:r>
              <w:rPr>
                <w:color w:val="000000"/>
                <w:kern w:val="0"/>
              </w:rPr>
              <w:t>$</w:t>
            </w:r>
            <w:r w:rsidR="00DC556E">
              <w:rPr>
                <w:color w:val="000000"/>
                <w:kern w:val="0"/>
              </w:rPr>
              <w:t>51.40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DB4F8C" w:rsidRDefault="00B10A0E" w14:paraId="118C6533" w14:textId="77777777">
            <w:pPr>
              <w:widowControl/>
              <w:overflowPunct/>
              <w:autoSpaceDE/>
              <w:autoSpaceDN/>
              <w:adjustRightInd/>
              <w:jc w:val="right"/>
              <w:rPr>
                <w:color w:val="000000"/>
                <w:kern w:val="0"/>
              </w:rPr>
            </w:pPr>
            <w:r>
              <w:rPr>
                <w:color w:val="000000"/>
                <w:kern w:val="0"/>
              </w:rPr>
              <w:t>$</w:t>
            </w:r>
            <w:r w:rsidR="00DB4F8C">
              <w:rPr>
                <w:color w:val="000000"/>
                <w:kern w:val="0"/>
              </w:rPr>
              <w:t>4,475,244</w:t>
            </w:r>
          </w:p>
        </w:tc>
      </w:tr>
      <w:tr w:rsidRPr="00AB0B90" w:rsidR="00C9596B" w:rsidTr="008B1382" w14:paraId="2E392AD1"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3F221EFA" w14:textId="77777777">
            <w:pPr>
              <w:widowControl/>
              <w:overflowPunct/>
              <w:autoSpaceDE/>
              <w:autoSpaceDN/>
              <w:adjustRightInd/>
              <w:rPr>
                <w:color w:val="000000"/>
                <w:kern w:val="0"/>
              </w:rPr>
            </w:pPr>
            <w:r w:rsidRPr="00AB0B90">
              <w:rPr>
                <w:color w:val="000000"/>
                <w:kern w:val="0"/>
              </w:rPr>
              <w:t>500+</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A5AA5" w:rsidR="00C9596B" w:rsidP="00053035" w:rsidRDefault="00C9596B" w14:paraId="1B0B274D" w14:textId="77777777">
            <w:pPr>
              <w:widowControl/>
              <w:overflowPunct/>
              <w:autoSpaceDE/>
              <w:autoSpaceDN/>
              <w:adjustRightInd/>
              <w:jc w:val="right"/>
              <w:rPr>
                <w:color w:val="000000"/>
                <w:kern w:val="0"/>
              </w:rPr>
            </w:pPr>
            <w:r w:rsidRPr="00DD287E">
              <w:t>924,557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15EF7D95" w14:textId="77777777">
            <w:pPr>
              <w:widowControl/>
              <w:overflowPunct/>
              <w:autoSpaceDE/>
              <w:autoSpaceDN/>
              <w:adjustRightInd/>
              <w:jc w:val="right"/>
              <w:rPr>
                <w:color w:val="000000"/>
                <w:kern w:val="0"/>
              </w:rPr>
            </w:pPr>
            <w:r w:rsidRPr="00AB0B90">
              <w:rPr>
                <w:color w:val="000000"/>
                <w:kern w:val="0"/>
              </w:rPr>
              <w:t>25%</w:t>
            </w:r>
          </w:p>
        </w:tc>
        <w:tc>
          <w:tcPr>
            <w:tcW w:w="1124" w:type="dxa"/>
            <w:tcBorders>
              <w:top w:val="single" w:color="auto" w:sz="4" w:space="0"/>
              <w:left w:val="single" w:color="auto" w:sz="4" w:space="0"/>
              <w:bottom w:val="single" w:color="auto" w:sz="4" w:space="0"/>
              <w:right w:val="single" w:color="auto" w:sz="4" w:space="0"/>
            </w:tcBorders>
          </w:tcPr>
          <w:p w:rsidR="00C9596B" w:rsidP="00053035" w:rsidRDefault="007D6F33" w14:paraId="1FB170FB" w14:textId="77777777">
            <w:pPr>
              <w:widowControl/>
              <w:overflowPunct/>
              <w:autoSpaceDE/>
              <w:autoSpaceDN/>
              <w:adjustRightInd/>
              <w:jc w:val="right"/>
              <w:rPr>
                <w:color w:val="000000"/>
                <w:kern w:val="0"/>
              </w:rPr>
            </w:pPr>
            <w:r>
              <w:rPr>
                <w:color w:val="000000"/>
                <w:kern w:val="0"/>
              </w:rPr>
              <w:t>231,139</w:t>
            </w:r>
          </w:p>
        </w:tc>
        <w:tc>
          <w:tcPr>
            <w:tcW w:w="900" w:type="dxa"/>
            <w:tcBorders>
              <w:top w:val="single" w:color="auto" w:sz="4" w:space="0"/>
              <w:left w:val="single" w:color="auto" w:sz="4" w:space="0"/>
              <w:bottom w:val="single" w:color="auto" w:sz="4" w:space="0"/>
              <w:right w:val="single" w:color="auto" w:sz="4" w:space="0"/>
            </w:tcBorders>
            <w:vAlign w:val="bottom"/>
          </w:tcPr>
          <w:p w:rsidRPr="00AB0B90" w:rsidR="00C9596B" w:rsidDel="006421B2" w:rsidP="00053035" w:rsidRDefault="00C9596B" w14:paraId="75481B55" w14:textId="77777777">
            <w:pPr>
              <w:widowControl/>
              <w:overflowPunct/>
              <w:autoSpaceDE/>
              <w:autoSpaceDN/>
              <w:adjustRightInd/>
              <w:jc w:val="right"/>
              <w:rPr>
                <w:color w:val="000000"/>
                <w:kern w:val="0"/>
              </w:rPr>
            </w:pPr>
            <w:r>
              <w:rPr>
                <w:color w:val="000000"/>
                <w:kern w:val="0"/>
              </w:rPr>
              <w:t>.</w:t>
            </w:r>
            <w:r w:rsidRPr="00AB0B90">
              <w:rPr>
                <w:color w:val="000000"/>
                <w:kern w:val="0"/>
              </w:rPr>
              <w:t>3</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D5850" w:rsidR="00C9596B" w:rsidP="00053035" w:rsidRDefault="00C9596B" w14:paraId="6A4D7706" w14:textId="77777777">
            <w:pPr>
              <w:widowControl/>
              <w:overflowPunct/>
              <w:autoSpaceDE/>
              <w:autoSpaceDN/>
              <w:adjustRightInd/>
              <w:jc w:val="right"/>
              <w:rPr>
                <w:color w:val="000000"/>
                <w:kern w:val="0"/>
              </w:rPr>
            </w:pPr>
            <w:r w:rsidRPr="008B1382">
              <w:rPr>
                <w:color w:val="000000"/>
              </w:rPr>
              <w:t>69,342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053035" w:rsidRDefault="00C9596B" w14:paraId="38DC17CB" w14:textId="77777777">
            <w:pPr>
              <w:widowControl/>
              <w:overflowPunct/>
              <w:autoSpaceDE/>
              <w:autoSpaceDN/>
              <w:adjustRightInd/>
              <w:jc w:val="right"/>
              <w:rPr>
                <w:color w:val="000000"/>
                <w:kern w:val="0"/>
              </w:rPr>
            </w:pPr>
            <w:r>
              <w:rPr>
                <w:color w:val="000000"/>
                <w:kern w:val="0"/>
              </w:rPr>
              <w:t>$</w:t>
            </w:r>
            <w:r w:rsidR="00DC556E">
              <w:rPr>
                <w:color w:val="000000"/>
                <w:kern w:val="0"/>
              </w:rPr>
              <w:t>51.40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5C56E0" w:rsidRDefault="00B10A0E" w14:paraId="6E898ED3" w14:textId="77777777">
            <w:pPr>
              <w:widowControl/>
              <w:overflowPunct/>
              <w:autoSpaceDE/>
              <w:autoSpaceDN/>
              <w:adjustRightInd/>
              <w:jc w:val="right"/>
              <w:rPr>
                <w:color w:val="000000"/>
                <w:kern w:val="0"/>
              </w:rPr>
            </w:pPr>
            <w:r>
              <w:rPr>
                <w:color w:val="000000"/>
                <w:kern w:val="0"/>
              </w:rPr>
              <w:t>$</w:t>
            </w:r>
            <w:r w:rsidR="00DB4F8C">
              <w:rPr>
                <w:color w:val="000000"/>
                <w:kern w:val="0"/>
              </w:rPr>
              <w:t>3,564</w:t>
            </w:r>
            <w:r w:rsidR="005C56E0">
              <w:rPr>
                <w:color w:val="000000"/>
                <w:kern w:val="0"/>
              </w:rPr>
              <w:t>,179</w:t>
            </w:r>
          </w:p>
        </w:tc>
      </w:tr>
      <w:tr w:rsidRPr="00AB0B90" w:rsidR="00C9596B" w:rsidTr="008B1382" w14:paraId="47FBC862"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622C58A2" w14:textId="77777777">
            <w:pPr>
              <w:widowControl/>
              <w:overflowPunct/>
              <w:autoSpaceDE/>
              <w:autoSpaceDN/>
              <w:adjustRightInd/>
              <w:rPr>
                <w:color w:val="000000"/>
                <w:kern w:val="0"/>
              </w:rPr>
            </w:pP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5A512E58"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776BCA98" w14:textId="77777777">
            <w:pPr>
              <w:widowControl/>
              <w:overflowPunct/>
              <w:autoSpaceDE/>
              <w:autoSpaceDN/>
              <w:adjustRightInd/>
              <w:rPr>
                <w:color w:val="000000"/>
                <w:kern w:val="0"/>
              </w:rPr>
            </w:pPr>
          </w:p>
        </w:tc>
        <w:tc>
          <w:tcPr>
            <w:tcW w:w="1124" w:type="dxa"/>
            <w:tcBorders>
              <w:top w:val="single" w:color="auto" w:sz="4" w:space="0"/>
              <w:left w:val="single" w:color="auto" w:sz="4" w:space="0"/>
              <w:bottom w:val="single" w:color="auto" w:sz="4" w:space="0"/>
              <w:right w:val="single" w:color="auto" w:sz="4" w:space="0"/>
            </w:tcBorders>
          </w:tcPr>
          <w:p w:rsidRPr="00AB0B90" w:rsidR="00C9596B" w:rsidP="007E6BF8" w:rsidRDefault="00C9596B" w14:paraId="7D48273F" w14:textId="77777777">
            <w:pPr>
              <w:widowControl/>
              <w:overflowPunct/>
              <w:autoSpaceDE/>
              <w:autoSpaceDN/>
              <w:adjustRightInd/>
              <w:rPr>
                <w:color w:val="000000"/>
                <w:kern w:val="0"/>
              </w:rPr>
            </w:pPr>
          </w:p>
        </w:tc>
        <w:tc>
          <w:tcPr>
            <w:tcW w:w="900" w:type="dxa"/>
            <w:tcBorders>
              <w:top w:val="single" w:color="auto" w:sz="4" w:space="0"/>
              <w:left w:val="single" w:color="auto" w:sz="4" w:space="0"/>
              <w:bottom w:val="single" w:color="auto" w:sz="4" w:space="0"/>
              <w:right w:val="single" w:color="auto" w:sz="4" w:space="0"/>
            </w:tcBorders>
          </w:tcPr>
          <w:p w:rsidRPr="00AB0B90" w:rsidR="00C9596B" w:rsidP="007E6BF8" w:rsidRDefault="00C9596B" w14:paraId="541689CE" w14:textId="77777777">
            <w:pPr>
              <w:widowControl/>
              <w:overflowPunct/>
              <w:autoSpaceDE/>
              <w:autoSpaceDN/>
              <w:adjustRightInd/>
              <w:rPr>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7FB18FA7" w14:textId="77777777">
            <w:pPr>
              <w:widowControl/>
              <w:overflowPunct/>
              <w:autoSpaceDE/>
              <w:autoSpaceDN/>
              <w:adjustRightInd/>
              <w:rPr>
                <w:color w:val="000000"/>
                <w:kern w:val="0"/>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59E1087B" w14:textId="77777777">
            <w:pPr>
              <w:widowControl/>
              <w:overflowPunct/>
              <w:autoSpaceDE/>
              <w:autoSpaceDN/>
              <w:adjustRightInd/>
              <w:rPr>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290F389E" w14:textId="77777777">
            <w:pPr>
              <w:widowControl/>
              <w:overflowPunct/>
              <w:autoSpaceDE/>
              <w:autoSpaceDN/>
              <w:adjustRightInd/>
              <w:rPr>
                <w:color w:val="000000"/>
                <w:kern w:val="0"/>
              </w:rPr>
            </w:pPr>
          </w:p>
        </w:tc>
      </w:tr>
      <w:tr w:rsidRPr="00AB0B90" w:rsidR="00C9596B" w:rsidTr="009B4116" w14:paraId="2BF572FB" w14:textId="77777777">
        <w:trPr>
          <w:trHeight w:val="80"/>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21434047" w14:textId="77777777">
            <w:pPr>
              <w:widowControl/>
              <w:overflowPunct/>
              <w:autoSpaceDE/>
              <w:autoSpaceDN/>
              <w:adjustRightInd/>
              <w:rPr>
                <w:b/>
                <w:color w:val="000000"/>
                <w:kern w:val="0"/>
              </w:rPr>
            </w:pPr>
            <w:r w:rsidRPr="00AB0B90">
              <w:rPr>
                <w:b/>
                <w:color w:val="000000"/>
                <w:kern w:val="0"/>
              </w:rPr>
              <w:t>Total</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2C05B41E" w14:textId="77777777">
            <w:pPr>
              <w:widowControl/>
              <w:overflowPunct/>
              <w:autoSpaceDE/>
              <w:autoSpaceDN/>
              <w:adjustRightInd/>
              <w:jc w:val="right"/>
              <w:rPr>
                <w:b/>
                <w:color w:val="000000"/>
                <w:kern w:val="0"/>
              </w:rPr>
            </w:pPr>
            <w:r>
              <w:rPr>
                <w:b/>
                <w:color w:val="000000"/>
                <w:kern w:val="0"/>
              </w:rPr>
              <w:t>1,399,145</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71DBB1F2" w14:textId="77777777">
            <w:pPr>
              <w:widowControl/>
              <w:overflowPunct/>
              <w:autoSpaceDE/>
              <w:autoSpaceDN/>
              <w:adjustRightInd/>
              <w:rPr>
                <w:b/>
                <w:color w:val="000000"/>
                <w:kern w:val="0"/>
              </w:rPr>
            </w:pPr>
          </w:p>
        </w:tc>
        <w:tc>
          <w:tcPr>
            <w:tcW w:w="1124" w:type="dxa"/>
            <w:tcBorders>
              <w:top w:val="single" w:color="auto" w:sz="4" w:space="0"/>
              <w:left w:val="single" w:color="auto" w:sz="4" w:space="0"/>
              <w:bottom w:val="single" w:color="auto" w:sz="4" w:space="0"/>
              <w:right w:val="single" w:color="auto" w:sz="4" w:space="0"/>
            </w:tcBorders>
            <w:vAlign w:val="center"/>
          </w:tcPr>
          <w:p w:rsidRPr="00AB0B90" w:rsidR="00C9596B" w:rsidP="009B4116" w:rsidRDefault="007D6F33" w14:paraId="144682F5" w14:textId="77777777">
            <w:pPr>
              <w:widowControl/>
              <w:overflowPunct/>
              <w:autoSpaceDE/>
              <w:autoSpaceDN/>
              <w:adjustRightInd/>
              <w:jc w:val="right"/>
              <w:rPr>
                <w:b/>
                <w:color w:val="000000"/>
                <w:kern w:val="0"/>
              </w:rPr>
            </w:pPr>
            <w:r>
              <w:rPr>
                <w:b/>
                <w:color w:val="000000"/>
                <w:kern w:val="0"/>
              </w:rPr>
              <w:t>640,204</w:t>
            </w:r>
          </w:p>
        </w:tc>
        <w:tc>
          <w:tcPr>
            <w:tcW w:w="900" w:type="dxa"/>
            <w:tcBorders>
              <w:top w:val="single" w:color="auto" w:sz="4" w:space="0"/>
              <w:left w:val="single" w:color="auto" w:sz="4" w:space="0"/>
              <w:bottom w:val="single" w:color="auto" w:sz="4" w:space="0"/>
              <w:right w:val="single" w:color="auto" w:sz="4" w:space="0"/>
            </w:tcBorders>
            <w:vAlign w:val="center"/>
          </w:tcPr>
          <w:p w:rsidRPr="00AB0B90" w:rsidR="00C9596B" w:rsidP="009B4116" w:rsidRDefault="00C9596B" w14:paraId="701AB629" w14:textId="77777777">
            <w:pPr>
              <w:widowControl/>
              <w:overflowPunct/>
              <w:autoSpaceDE/>
              <w:autoSpaceDN/>
              <w:adjustRightInd/>
              <w:jc w:val="right"/>
              <w:rPr>
                <w:b/>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B1382" w:rsidR="00C9596B" w:rsidP="009B4116" w:rsidRDefault="00C9596B" w14:paraId="4BCB35D6" w14:textId="77777777">
            <w:pPr>
              <w:widowControl/>
              <w:overflowPunct/>
              <w:autoSpaceDE/>
              <w:autoSpaceDN/>
              <w:adjustRightInd/>
              <w:jc w:val="right"/>
              <w:rPr>
                <w:bCs/>
                <w:kern w:val="0"/>
              </w:rPr>
            </w:pPr>
            <w:r w:rsidRPr="008B1382">
              <w:rPr>
                <w:bCs/>
              </w:rPr>
              <w:t>320,861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7E6BF8" w:rsidRDefault="00C9596B" w14:paraId="4DDD1ECB" w14:textId="77777777">
            <w:pPr>
              <w:widowControl/>
              <w:overflowPunct/>
              <w:autoSpaceDE/>
              <w:autoSpaceDN/>
              <w:adjustRightInd/>
              <w:rPr>
                <w:b/>
                <w:color w:val="000000"/>
                <w:kern w:val="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C9596B" w:rsidP="00DB4F8C" w:rsidRDefault="00B10A0E" w14:paraId="36F33999" w14:textId="77777777">
            <w:pPr>
              <w:widowControl/>
              <w:overflowPunct/>
              <w:autoSpaceDE/>
              <w:autoSpaceDN/>
              <w:adjustRightInd/>
              <w:jc w:val="right"/>
              <w:rPr>
                <w:b/>
                <w:color w:val="000000"/>
                <w:kern w:val="0"/>
              </w:rPr>
            </w:pPr>
            <w:r>
              <w:rPr>
                <w:b/>
                <w:color w:val="000000"/>
                <w:kern w:val="0"/>
              </w:rPr>
              <w:t>$</w:t>
            </w:r>
            <w:r w:rsidR="00DB4F8C">
              <w:rPr>
                <w:b/>
                <w:color w:val="000000"/>
                <w:kern w:val="0"/>
              </w:rPr>
              <w:t>16,492,255</w:t>
            </w:r>
          </w:p>
        </w:tc>
      </w:tr>
      <w:tr w:rsidRPr="00AB0B90" w:rsidR="00C9596B" w:rsidTr="008B1382" w14:paraId="48F3CDC9" w14:textId="77777777">
        <w:trPr>
          <w:trHeight w:val="80"/>
        </w:trPr>
        <w:tc>
          <w:tcPr>
            <w:tcW w:w="1473" w:type="dxa"/>
            <w:tcBorders>
              <w:top w:val="single" w:color="auto" w:sz="4" w:space="0"/>
              <w:left w:val="nil"/>
              <w:bottom w:val="nil"/>
              <w:right w:val="nil"/>
            </w:tcBorders>
            <w:shd w:val="clear" w:color="auto" w:fill="auto"/>
            <w:noWrap/>
            <w:vAlign w:val="bottom"/>
          </w:tcPr>
          <w:p w:rsidRPr="00AB0B90" w:rsidR="00C9596B" w:rsidP="007E6BF8" w:rsidRDefault="00C9596B" w14:paraId="0248DD35" w14:textId="77777777">
            <w:pPr>
              <w:widowControl/>
              <w:overflowPunct/>
              <w:autoSpaceDE/>
              <w:autoSpaceDN/>
              <w:adjustRightInd/>
              <w:rPr>
                <w:b/>
                <w:color w:val="000000"/>
                <w:kern w:val="0"/>
              </w:rPr>
            </w:pPr>
          </w:p>
        </w:tc>
        <w:tc>
          <w:tcPr>
            <w:tcW w:w="1816" w:type="dxa"/>
            <w:tcBorders>
              <w:top w:val="single" w:color="auto" w:sz="4" w:space="0"/>
              <w:left w:val="nil"/>
              <w:bottom w:val="nil"/>
              <w:right w:val="nil"/>
            </w:tcBorders>
            <w:shd w:val="clear" w:color="auto" w:fill="auto"/>
            <w:noWrap/>
            <w:vAlign w:val="bottom"/>
          </w:tcPr>
          <w:p w:rsidRPr="00AB0B90" w:rsidR="00C9596B" w:rsidP="007E6BF8" w:rsidRDefault="00C9596B" w14:paraId="405ADB73" w14:textId="77777777">
            <w:pPr>
              <w:widowControl/>
              <w:overflowPunct/>
              <w:autoSpaceDE/>
              <w:autoSpaceDN/>
              <w:adjustRightInd/>
              <w:jc w:val="right"/>
              <w:rPr>
                <w:b/>
                <w:color w:val="000000"/>
                <w:kern w:val="0"/>
              </w:rPr>
            </w:pPr>
          </w:p>
        </w:tc>
        <w:tc>
          <w:tcPr>
            <w:tcW w:w="1239" w:type="dxa"/>
            <w:tcBorders>
              <w:top w:val="single" w:color="auto" w:sz="4" w:space="0"/>
              <w:left w:val="nil"/>
              <w:bottom w:val="nil"/>
              <w:right w:val="nil"/>
            </w:tcBorders>
            <w:shd w:val="clear" w:color="auto" w:fill="auto"/>
            <w:noWrap/>
            <w:vAlign w:val="bottom"/>
          </w:tcPr>
          <w:p w:rsidRPr="00AB0B90" w:rsidR="00C9596B" w:rsidP="007E6BF8" w:rsidRDefault="00C9596B" w14:paraId="78A19029" w14:textId="77777777">
            <w:pPr>
              <w:widowControl/>
              <w:overflowPunct/>
              <w:autoSpaceDE/>
              <w:autoSpaceDN/>
              <w:adjustRightInd/>
              <w:rPr>
                <w:b/>
                <w:color w:val="000000"/>
                <w:kern w:val="0"/>
              </w:rPr>
            </w:pPr>
          </w:p>
        </w:tc>
        <w:tc>
          <w:tcPr>
            <w:tcW w:w="1124" w:type="dxa"/>
            <w:tcBorders>
              <w:top w:val="single" w:color="auto" w:sz="4" w:space="0"/>
              <w:left w:val="nil"/>
              <w:bottom w:val="nil"/>
              <w:right w:val="nil"/>
            </w:tcBorders>
          </w:tcPr>
          <w:p w:rsidRPr="00AB0B90" w:rsidR="00C9596B" w:rsidP="007E6BF8" w:rsidRDefault="00C9596B" w14:paraId="69246D61" w14:textId="77777777">
            <w:pPr>
              <w:widowControl/>
              <w:overflowPunct/>
              <w:autoSpaceDE/>
              <w:autoSpaceDN/>
              <w:adjustRightInd/>
              <w:rPr>
                <w:b/>
                <w:color w:val="000000"/>
                <w:kern w:val="0"/>
              </w:rPr>
            </w:pPr>
          </w:p>
        </w:tc>
        <w:tc>
          <w:tcPr>
            <w:tcW w:w="900" w:type="dxa"/>
            <w:tcBorders>
              <w:top w:val="single" w:color="auto" w:sz="4" w:space="0"/>
              <w:left w:val="nil"/>
              <w:bottom w:val="nil"/>
              <w:right w:val="nil"/>
            </w:tcBorders>
          </w:tcPr>
          <w:p w:rsidRPr="00AB0B90" w:rsidR="00C9596B" w:rsidP="007E6BF8" w:rsidRDefault="00C9596B" w14:paraId="3584FF13" w14:textId="77777777">
            <w:pPr>
              <w:widowControl/>
              <w:overflowPunct/>
              <w:autoSpaceDE/>
              <w:autoSpaceDN/>
              <w:adjustRightInd/>
              <w:rPr>
                <w:b/>
                <w:color w:val="000000"/>
                <w:kern w:val="0"/>
              </w:rPr>
            </w:pPr>
          </w:p>
        </w:tc>
        <w:tc>
          <w:tcPr>
            <w:tcW w:w="1350" w:type="dxa"/>
            <w:tcBorders>
              <w:top w:val="single" w:color="auto" w:sz="4" w:space="0"/>
              <w:left w:val="nil"/>
              <w:bottom w:val="nil"/>
              <w:right w:val="nil"/>
            </w:tcBorders>
            <w:shd w:val="clear" w:color="auto" w:fill="auto"/>
            <w:noWrap/>
            <w:vAlign w:val="bottom"/>
          </w:tcPr>
          <w:p w:rsidRPr="00AB0B90" w:rsidR="00C9596B" w:rsidP="007E6BF8" w:rsidRDefault="00C9596B" w14:paraId="4A3A57C4" w14:textId="77777777">
            <w:pPr>
              <w:widowControl/>
              <w:overflowPunct/>
              <w:autoSpaceDE/>
              <w:autoSpaceDN/>
              <w:adjustRightInd/>
              <w:rPr>
                <w:b/>
                <w:color w:val="000000"/>
                <w:kern w:val="0"/>
              </w:rPr>
            </w:pPr>
          </w:p>
        </w:tc>
        <w:tc>
          <w:tcPr>
            <w:tcW w:w="1170" w:type="dxa"/>
            <w:tcBorders>
              <w:top w:val="single" w:color="auto" w:sz="4" w:space="0"/>
              <w:left w:val="nil"/>
              <w:bottom w:val="nil"/>
              <w:right w:val="nil"/>
            </w:tcBorders>
            <w:shd w:val="clear" w:color="auto" w:fill="auto"/>
            <w:noWrap/>
            <w:vAlign w:val="bottom"/>
          </w:tcPr>
          <w:p w:rsidRPr="00AB0B90" w:rsidR="00C9596B" w:rsidP="007E6BF8" w:rsidRDefault="00C9596B" w14:paraId="3B45C834" w14:textId="77777777">
            <w:pPr>
              <w:widowControl/>
              <w:overflowPunct/>
              <w:autoSpaceDE/>
              <w:autoSpaceDN/>
              <w:adjustRightInd/>
              <w:rPr>
                <w:b/>
                <w:color w:val="000000"/>
                <w:kern w:val="0"/>
              </w:rPr>
            </w:pPr>
          </w:p>
        </w:tc>
        <w:tc>
          <w:tcPr>
            <w:tcW w:w="1350" w:type="dxa"/>
            <w:tcBorders>
              <w:top w:val="single" w:color="auto" w:sz="4" w:space="0"/>
              <w:left w:val="nil"/>
              <w:bottom w:val="nil"/>
              <w:right w:val="nil"/>
            </w:tcBorders>
            <w:shd w:val="clear" w:color="auto" w:fill="auto"/>
            <w:noWrap/>
            <w:vAlign w:val="bottom"/>
          </w:tcPr>
          <w:p w:rsidRPr="00AB0B90" w:rsidR="00C9596B" w:rsidP="007E6BF8" w:rsidRDefault="00C9596B" w14:paraId="7F1E5019" w14:textId="77777777">
            <w:pPr>
              <w:widowControl/>
              <w:overflowPunct/>
              <w:autoSpaceDE/>
              <w:autoSpaceDN/>
              <w:adjustRightInd/>
              <w:jc w:val="right"/>
              <w:rPr>
                <w:b/>
                <w:color w:val="000000"/>
                <w:kern w:val="0"/>
              </w:rPr>
            </w:pPr>
          </w:p>
        </w:tc>
      </w:tr>
    </w:tbl>
    <w:p w:rsidRPr="00AB0B90" w:rsidR="00296677" w:rsidP="00AB0B90" w:rsidRDefault="00296677" w14:paraId="1444CC40" w14:textId="77777777">
      <w:pPr>
        <w:pStyle w:val="Default"/>
        <w:tabs>
          <w:tab w:val="left" w:pos="0"/>
        </w:tabs>
        <w:rPr>
          <w:color w:val="auto"/>
          <w:kern w:val="28"/>
        </w:rPr>
      </w:pPr>
    </w:p>
    <w:p w:rsidR="00AB0B90" w:rsidP="009965D1" w:rsidRDefault="00AB0B90" w14:paraId="2E5C75DD" w14:textId="77777777">
      <w:pPr>
        <w:jc w:val="center"/>
        <w:rPr>
          <w:b/>
          <w:bCs/>
          <w:color w:val="000000"/>
          <w:sz w:val="24"/>
          <w:szCs w:val="24"/>
        </w:rPr>
      </w:pPr>
    </w:p>
    <w:p w:rsidR="00AB0B90" w:rsidP="009965D1" w:rsidRDefault="00AB0B90" w14:paraId="2C22651F" w14:textId="77777777">
      <w:pPr>
        <w:jc w:val="center"/>
        <w:rPr>
          <w:b/>
          <w:bCs/>
          <w:color w:val="000000"/>
          <w:sz w:val="24"/>
          <w:szCs w:val="24"/>
        </w:rPr>
      </w:pPr>
    </w:p>
    <w:p w:rsidR="00296677" w:rsidP="007D1C5D" w:rsidRDefault="00BB0669" w14:paraId="3E8E14D4" w14:textId="6C870AFD">
      <w:pPr>
        <w:jc w:val="center"/>
        <w:rPr>
          <w:b/>
          <w:bCs/>
          <w:color w:val="000000"/>
          <w:sz w:val="24"/>
          <w:szCs w:val="24"/>
        </w:rPr>
      </w:pPr>
      <w:r w:rsidRPr="00CB5054">
        <w:rPr>
          <w:b/>
          <w:bCs/>
          <w:color w:val="000000"/>
          <w:sz w:val="24"/>
          <w:szCs w:val="24"/>
        </w:rPr>
        <w:t xml:space="preserve">Table </w:t>
      </w:r>
      <w:r>
        <w:rPr>
          <w:b/>
          <w:bCs/>
          <w:color w:val="000000"/>
          <w:sz w:val="24"/>
          <w:szCs w:val="24"/>
        </w:rPr>
        <w:t xml:space="preserve">3 – </w:t>
      </w:r>
      <w:r w:rsidR="007D1C5D">
        <w:rPr>
          <w:b/>
          <w:bCs/>
          <w:color w:val="000000"/>
          <w:sz w:val="24"/>
          <w:szCs w:val="24"/>
        </w:rPr>
        <w:t xml:space="preserve">Estimated Annualized Respondent Hour and Cost </w:t>
      </w:r>
      <w:r w:rsidRPr="00CB5054" w:rsidR="00296677">
        <w:rPr>
          <w:b/>
          <w:color w:val="000000"/>
          <w:sz w:val="24"/>
          <w:szCs w:val="24"/>
        </w:rPr>
        <w:t>Burden</w:t>
      </w:r>
      <w:r w:rsidR="007D1C5D">
        <w:rPr>
          <w:b/>
          <w:color w:val="000000"/>
          <w:sz w:val="24"/>
          <w:szCs w:val="24"/>
        </w:rPr>
        <w:t>s</w:t>
      </w:r>
    </w:p>
    <w:tbl>
      <w:tblPr>
        <w:tblW w:w="10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4"/>
        <w:gridCol w:w="1961"/>
        <w:gridCol w:w="1436"/>
        <w:gridCol w:w="1350"/>
        <w:gridCol w:w="1295"/>
        <w:gridCol w:w="1080"/>
        <w:gridCol w:w="1441"/>
      </w:tblGrid>
      <w:tr w:rsidRPr="00327942" w:rsidR="00651D09" w:rsidTr="007C255B" w14:paraId="2FAFC309" w14:textId="77777777">
        <w:trPr>
          <w:tblHeader/>
          <w:jc w:val="center"/>
        </w:trPr>
        <w:tc>
          <w:tcPr>
            <w:tcW w:w="2264" w:type="dxa"/>
            <w:tcBorders>
              <w:bottom w:val="thinThickMediumGap" w:color="auto" w:sz="24" w:space="0"/>
            </w:tcBorders>
            <w:shd w:val="clear" w:color="auto" w:fill="B4C6E7"/>
          </w:tcPr>
          <w:p w:rsidRPr="00327942" w:rsidR="0060204F" w:rsidP="00E01FA0" w:rsidRDefault="0060204F" w14:paraId="6BC1D630" w14:textId="77777777">
            <w:pPr>
              <w:jc w:val="center"/>
              <w:rPr>
                <w:b/>
                <w:color w:val="000000"/>
              </w:rPr>
            </w:pPr>
            <w:r w:rsidRPr="00327942">
              <w:rPr>
                <w:b/>
                <w:color w:val="000000"/>
              </w:rPr>
              <w:t>Information Collection Requirement</w:t>
            </w:r>
          </w:p>
        </w:tc>
        <w:tc>
          <w:tcPr>
            <w:tcW w:w="1961" w:type="dxa"/>
            <w:tcBorders>
              <w:bottom w:val="thinThickMediumGap" w:color="auto" w:sz="24" w:space="0"/>
            </w:tcBorders>
            <w:shd w:val="clear" w:color="auto" w:fill="B4C6E7"/>
          </w:tcPr>
          <w:p w:rsidRPr="00327942" w:rsidR="0060204F" w:rsidP="00E01FA0" w:rsidRDefault="00F4756D" w14:paraId="0642F317" w14:textId="77777777">
            <w:pPr>
              <w:jc w:val="center"/>
              <w:rPr>
                <w:b/>
                <w:color w:val="000000"/>
              </w:rPr>
            </w:pPr>
            <w:r>
              <w:rPr>
                <w:b/>
                <w:color w:val="000000"/>
              </w:rPr>
              <w:t>Occupation</w:t>
            </w:r>
          </w:p>
        </w:tc>
        <w:tc>
          <w:tcPr>
            <w:tcW w:w="1436" w:type="dxa"/>
            <w:tcBorders>
              <w:bottom w:val="thinThickMediumGap" w:color="auto" w:sz="24" w:space="0"/>
            </w:tcBorders>
            <w:shd w:val="clear" w:color="auto" w:fill="B4C6E7"/>
          </w:tcPr>
          <w:p w:rsidR="00A47D18" w:rsidP="00E01FA0" w:rsidRDefault="00A47D18" w14:paraId="648F3069" w14:textId="77777777">
            <w:pPr>
              <w:jc w:val="center"/>
              <w:rPr>
                <w:b/>
                <w:color w:val="000000"/>
              </w:rPr>
            </w:pPr>
          </w:p>
          <w:p w:rsidRPr="00AB0B90" w:rsidR="0060204F" w:rsidP="00E01FA0" w:rsidRDefault="0060204F" w14:paraId="51747260" w14:textId="0E0B5A2D">
            <w:pPr>
              <w:jc w:val="center"/>
              <w:rPr>
                <w:b/>
                <w:color w:val="000000"/>
              </w:rPr>
            </w:pPr>
            <w:r>
              <w:rPr>
                <w:b/>
                <w:color w:val="000000"/>
              </w:rPr>
              <w:t xml:space="preserve">Total </w:t>
            </w:r>
            <w:r w:rsidR="00A47D18">
              <w:rPr>
                <w:b/>
                <w:color w:val="000000"/>
              </w:rPr>
              <w:t xml:space="preserve">Number of </w:t>
            </w:r>
            <w:r w:rsidRPr="00327942">
              <w:rPr>
                <w:b/>
                <w:color w:val="000000"/>
              </w:rPr>
              <w:t>Responses</w:t>
            </w:r>
          </w:p>
        </w:tc>
        <w:tc>
          <w:tcPr>
            <w:tcW w:w="1350" w:type="dxa"/>
            <w:tcBorders>
              <w:bottom w:val="thinThickMediumGap" w:color="auto" w:sz="24" w:space="0"/>
            </w:tcBorders>
            <w:shd w:val="clear" w:color="auto" w:fill="B4C6E7"/>
          </w:tcPr>
          <w:p w:rsidR="0060204F" w:rsidP="00E01FA0" w:rsidRDefault="00373129" w14:paraId="448CB334" w14:textId="77777777">
            <w:pPr>
              <w:jc w:val="center"/>
              <w:rPr>
                <w:b/>
                <w:color w:val="000000"/>
              </w:rPr>
            </w:pPr>
            <w:r>
              <w:rPr>
                <w:b/>
                <w:color w:val="000000"/>
              </w:rPr>
              <w:t>Time per Response</w:t>
            </w:r>
          </w:p>
          <w:p w:rsidRPr="00AB0B90" w:rsidR="00A47D18" w:rsidP="00E01FA0" w:rsidRDefault="00A47D18" w14:paraId="7B54AF7A" w14:textId="2F048B88">
            <w:pPr>
              <w:jc w:val="center"/>
              <w:rPr>
                <w:b/>
                <w:color w:val="000000"/>
              </w:rPr>
            </w:pPr>
            <w:r>
              <w:rPr>
                <w:b/>
                <w:color w:val="000000"/>
              </w:rPr>
              <w:t>(In Hours)</w:t>
            </w:r>
          </w:p>
        </w:tc>
        <w:tc>
          <w:tcPr>
            <w:tcW w:w="1295" w:type="dxa"/>
            <w:tcBorders>
              <w:bottom w:val="thinThickMediumGap" w:color="auto" w:sz="24" w:space="0"/>
            </w:tcBorders>
            <w:shd w:val="clear" w:color="auto" w:fill="B4C6E7"/>
          </w:tcPr>
          <w:p w:rsidR="0060204F" w:rsidP="007D1C5D" w:rsidRDefault="007D1C5D" w14:paraId="219E58E2" w14:textId="77777777">
            <w:pPr>
              <w:jc w:val="center"/>
              <w:rPr>
                <w:b/>
                <w:color w:val="000000"/>
              </w:rPr>
            </w:pPr>
            <w:r>
              <w:rPr>
                <w:b/>
                <w:color w:val="000000"/>
              </w:rPr>
              <w:t xml:space="preserve">Total </w:t>
            </w:r>
            <w:r w:rsidRPr="00AB0B90" w:rsidR="0060204F">
              <w:rPr>
                <w:b/>
                <w:color w:val="000000"/>
              </w:rPr>
              <w:t xml:space="preserve"> Burden Hours</w:t>
            </w:r>
          </w:p>
          <w:p w:rsidRPr="00AB0B90" w:rsidR="00A47D18" w:rsidP="007D1C5D" w:rsidRDefault="00A47D18" w14:paraId="7ADCDD05" w14:textId="5FE488F0">
            <w:pPr>
              <w:jc w:val="center"/>
              <w:rPr>
                <w:b/>
                <w:color w:val="000000"/>
              </w:rPr>
            </w:pPr>
            <w:r>
              <w:rPr>
                <w:b/>
                <w:color w:val="000000"/>
              </w:rPr>
              <w:t>(rounded)</w:t>
            </w:r>
          </w:p>
        </w:tc>
        <w:tc>
          <w:tcPr>
            <w:tcW w:w="1080" w:type="dxa"/>
            <w:tcBorders>
              <w:bottom w:val="thinThickMediumGap" w:color="auto" w:sz="24" w:space="0"/>
            </w:tcBorders>
            <w:shd w:val="clear" w:color="auto" w:fill="B4C6E7"/>
          </w:tcPr>
          <w:p w:rsidRPr="00327942" w:rsidR="0060204F" w:rsidP="00E01FA0" w:rsidRDefault="00A47D18" w14:paraId="0617F2D8" w14:textId="5C831834">
            <w:pPr>
              <w:jc w:val="center"/>
              <w:rPr>
                <w:b/>
                <w:color w:val="000000"/>
              </w:rPr>
            </w:pPr>
            <w:r>
              <w:rPr>
                <w:b/>
                <w:color w:val="000000"/>
              </w:rPr>
              <w:t xml:space="preserve">Average </w:t>
            </w:r>
            <w:r w:rsidR="0060204F">
              <w:rPr>
                <w:b/>
                <w:color w:val="000000"/>
              </w:rPr>
              <w:t>Wage Rate</w:t>
            </w:r>
          </w:p>
        </w:tc>
        <w:tc>
          <w:tcPr>
            <w:tcW w:w="1441" w:type="dxa"/>
            <w:tcBorders>
              <w:bottom w:val="thinThickMediumGap" w:color="auto" w:sz="24" w:space="0"/>
            </w:tcBorders>
            <w:shd w:val="clear" w:color="auto" w:fill="B4C6E7"/>
          </w:tcPr>
          <w:p w:rsidR="00F54C24" w:rsidP="00E01FA0" w:rsidRDefault="007D1C5D" w14:paraId="522DF542" w14:textId="77777777">
            <w:pPr>
              <w:jc w:val="center"/>
              <w:rPr>
                <w:b/>
                <w:color w:val="000000"/>
              </w:rPr>
            </w:pPr>
            <w:r>
              <w:rPr>
                <w:b/>
                <w:color w:val="000000"/>
              </w:rPr>
              <w:t xml:space="preserve">Total </w:t>
            </w:r>
          </w:p>
          <w:p w:rsidR="00F54C24" w:rsidP="00E01FA0" w:rsidRDefault="007D1C5D" w14:paraId="5AC47DBC" w14:textId="77777777">
            <w:pPr>
              <w:jc w:val="center"/>
              <w:rPr>
                <w:b/>
                <w:color w:val="000000"/>
              </w:rPr>
            </w:pPr>
            <w:r>
              <w:rPr>
                <w:b/>
                <w:color w:val="000000"/>
              </w:rPr>
              <w:t xml:space="preserve">Buren </w:t>
            </w:r>
          </w:p>
          <w:p w:rsidR="0060204F" w:rsidP="00E01FA0" w:rsidRDefault="0060204F" w14:paraId="17EB2CED" w14:textId="1D3D7BD6">
            <w:pPr>
              <w:jc w:val="center"/>
              <w:rPr>
                <w:b/>
                <w:color w:val="000000"/>
              </w:rPr>
            </w:pPr>
            <w:r w:rsidRPr="00327942">
              <w:rPr>
                <w:b/>
                <w:color w:val="000000"/>
              </w:rPr>
              <w:t>Costs</w:t>
            </w:r>
          </w:p>
          <w:p w:rsidRPr="00327942" w:rsidR="00A47D18" w:rsidP="00F54C24" w:rsidRDefault="00A47D18" w14:paraId="5FCBFCD8" w14:textId="491BAF0E">
            <w:pPr>
              <w:jc w:val="center"/>
              <w:rPr>
                <w:b/>
                <w:color w:val="000000"/>
              </w:rPr>
            </w:pPr>
            <w:r>
              <w:rPr>
                <w:b/>
                <w:color w:val="000000"/>
              </w:rPr>
              <w:t>(rounded</w:t>
            </w:r>
            <w:r w:rsidR="00F54C24">
              <w:rPr>
                <w:b/>
                <w:color w:val="000000"/>
              </w:rPr>
              <w:t>)</w:t>
            </w:r>
            <w:r>
              <w:rPr>
                <w:b/>
                <w:color w:val="000000"/>
              </w:rPr>
              <w:t xml:space="preserve"> </w:t>
            </w:r>
          </w:p>
        </w:tc>
      </w:tr>
      <w:tr w:rsidRPr="00327942" w:rsidR="00651D09" w:rsidTr="002740CF" w14:paraId="59CA096F" w14:textId="77777777">
        <w:trPr>
          <w:jc w:val="center"/>
        </w:trPr>
        <w:tc>
          <w:tcPr>
            <w:tcW w:w="5661" w:type="dxa"/>
            <w:gridSpan w:val="3"/>
            <w:tcBorders>
              <w:top w:val="thinThickMediumGap" w:color="auto" w:sz="24" w:space="0"/>
            </w:tcBorders>
            <w:shd w:val="clear" w:color="auto" w:fill="D5DCE4"/>
          </w:tcPr>
          <w:p w:rsidRPr="00327942" w:rsidR="00651D09" w:rsidP="00E01FA0" w:rsidRDefault="00651D09" w14:paraId="04D9FE93" w14:textId="77777777">
            <w:pPr>
              <w:rPr>
                <w:color w:val="000000"/>
              </w:rPr>
            </w:pPr>
            <w:r w:rsidRPr="00327942">
              <w:rPr>
                <w:color w:val="000000"/>
              </w:rPr>
              <w:t>1.Written Hazard Communication Program (New Establishments)</w:t>
            </w:r>
          </w:p>
          <w:p w:rsidR="00651D09" w:rsidP="00E01FA0" w:rsidRDefault="00651D09" w14:paraId="3A07F9C3" w14:textId="77777777">
            <w:pPr>
              <w:jc w:val="right"/>
            </w:pPr>
          </w:p>
        </w:tc>
        <w:tc>
          <w:tcPr>
            <w:tcW w:w="1350" w:type="dxa"/>
            <w:tcBorders>
              <w:top w:val="thinThickMediumGap" w:color="auto" w:sz="24" w:space="0"/>
            </w:tcBorders>
            <w:shd w:val="clear" w:color="auto" w:fill="D5DCE4"/>
          </w:tcPr>
          <w:p w:rsidR="00651D09" w:rsidP="00E01FA0" w:rsidRDefault="00651D09" w14:paraId="5F0575B2" w14:textId="77777777">
            <w:pPr>
              <w:jc w:val="right"/>
            </w:pPr>
          </w:p>
        </w:tc>
        <w:tc>
          <w:tcPr>
            <w:tcW w:w="1295" w:type="dxa"/>
            <w:tcBorders>
              <w:top w:val="thinThickMediumGap" w:color="auto" w:sz="24" w:space="0"/>
            </w:tcBorders>
            <w:shd w:val="clear" w:color="auto" w:fill="D5DCE4"/>
          </w:tcPr>
          <w:p w:rsidRPr="00AB0B90" w:rsidR="00651D09" w:rsidP="00E01FA0" w:rsidRDefault="00651D09" w14:paraId="6F810EEB" w14:textId="77777777">
            <w:pPr>
              <w:jc w:val="right"/>
            </w:pPr>
          </w:p>
        </w:tc>
        <w:tc>
          <w:tcPr>
            <w:tcW w:w="1080" w:type="dxa"/>
            <w:tcBorders>
              <w:top w:val="thinThickMediumGap" w:color="auto" w:sz="24" w:space="0"/>
            </w:tcBorders>
            <w:shd w:val="clear" w:color="auto" w:fill="D5DCE4"/>
          </w:tcPr>
          <w:p w:rsidRPr="00F14192" w:rsidR="00651D09" w:rsidP="00E01FA0" w:rsidRDefault="00651D09" w14:paraId="452644BB" w14:textId="77777777">
            <w:pPr>
              <w:jc w:val="right"/>
            </w:pPr>
          </w:p>
        </w:tc>
        <w:tc>
          <w:tcPr>
            <w:tcW w:w="1441" w:type="dxa"/>
            <w:tcBorders>
              <w:top w:val="thinThickMediumGap" w:color="auto" w:sz="24" w:space="0"/>
            </w:tcBorders>
            <w:shd w:val="clear" w:color="auto" w:fill="D5DCE4"/>
          </w:tcPr>
          <w:p w:rsidRPr="00401AC9" w:rsidR="00651D09" w:rsidP="00E01FA0" w:rsidRDefault="00651D09" w14:paraId="6827A168" w14:textId="77777777">
            <w:pPr>
              <w:jc w:val="right"/>
              <w:rPr>
                <w:bCs/>
              </w:rPr>
            </w:pPr>
            <w:r w:rsidRPr="00401AC9">
              <w:rPr>
                <w:bCs/>
              </w:rPr>
              <w:t xml:space="preserve"> </w:t>
            </w:r>
          </w:p>
          <w:p w:rsidRPr="00401AC9" w:rsidR="00651D09" w:rsidP="00E01FA0" w:rsidRDefault="00651D09" w14:paraId="53680D10" w14:textId="77777777">
            <w:pPr>
              <w:jc w:val="right"/>
            </w:pPr>
          </w:p>
        </w:tc>
      </w:tr>
      <w:tr w:rsidRPr="00327942" w:rsidR="00BB0669" w:rsidTr="007C255B" w14:paraId="4C35202A" w14:textId="77777777">
        <w:trPr>
          <w:jc w:val="center"/>
        </w:trPr>
        <w:tc>
          <w:tcPr>
            <w:tcW w:w="2264" w:type="dxa"/>
            <w:shd w:val="clear" w:color="auto" w:fill="auto"/>
          </w:tcPr>
          <w:p w:rsidRPr="00327942" w:rsidR="000D26A0" w:rsidP="00E01FA0" w:rsidRDefault="00A46519" w14:paraId="36D8D35F" w14:textId="77777777">
            <w:pPr>
              <w:rPr>
                <w:color w:val="000000"/>
              </w:rPr>
            </w:pPr>
            <w:r>
              <w:rPr>
                <w:color w:val="000000"/>
              </w:rPr>
              <w:t>Manufacturing</w:t>
            </w:r>
          </w:p>
        </w:tc>
        <w:tc>
          <w:tcPr>
            <w:tcW w:w="1961" w:type="dxa"/>
            <w:shd w:val="clear" w:color="auto" w:fill="auto"/>
          </w:tcPr>
          <w:p w:rsidRPr="00AB0B90" w:rsidR="000D26A0" w:rsidDel="00026146" w:rsidP="009F6AEF" w:rsidRDefault="00F4756D" w14:paraId="3731BA81" w14:textId="77777777">
            <w:pPr>
              <w:jc w:val="center"/>
            </w:pPr>
            <w:r>
              <w:t>Supervisor</w:t>
            </w:r>
          </w:p>
        </w:tc>
        <w:tc>
          <w:tcPr>
            <w:tcW w:w="1436" w:type="dxa"/>
          </w:tcPr>
          <w:p w:rsidR="000D26A0" w:rsidP="00E01FA0" w:rsidRDefault="00A46519" w14:paraId="09CCBC49" w14:textId="77777777">
            <w:pPr>
              <w:jc w:val="right"/>
            </w:pPr>
            <w:r>
              <w:t>2,450</w:t>
            </w:r>
          </w:p>
        </w:tc>
        <w:tc>
          <w:tcPr>
            <w:tcW w:w="1350" w:type="dxa"/>
          </w:tcPr>
          <w:p w:rsidR="000D26A0" w:rsidP="00E01FA0" w:rsidRDefault="00A46519" w14:paraId="0E5FF2B2" w14:textId="77777777">
            <w:pPr>
              <w:jc w:val="right"/>
            </w:pPr>
            <w:r>
              <w:t>4</w:t>
            </w:r>
          </w:p>
        </w:tc>
        <w:tc>
          <w:tcPr>
            <w:tcW w:w="1295" w:type="dxa"/>
            <w:shd w:val="clear" w:color="auto" w:fill="auto"/>
          </w:tcPr>
          <w:p w:rsidR="000D26A0" w:rsidP="00E01FA0" w:rsidRDefault="00A46519" w14:paraId="11EE56A8" w14:textId="77777777">
            <w:pPr>
              <w:jc w:val="right"/>
            </w:pPr>
            <w:r>
              <w:t>9,800</w:t>
            </w:r>
          </w:p>
        </w:tc>
        <w:tc>
          <w:tcPr>
            <w:tcW w:w="1080" w:type="dxa"/>
            <w:shd w:val="clear" w:color="auto" w:fill="auto"/>
          </w:tcPr>
          <w:p w:rsidR="000D26A0" w:rsidDel="00E37681" w:rsidP="00E01FA0" w:rsidRDefault="00A46519" w14:paraId="7F7F2326" w14:textId="77777777">
            <w:pPr>
              <w:jc w:val="right"/>
            </w:pPr>
            <w:r>
              <w:t>$77.76</w:t>
            </w:r>
          </w:p>
        </w:tc>
        <w:tc>
          <w:tcPr>
            <w:tcW w:w="1441" w:type="dxa"/>
            <w:shd w:val="clear" w:color="auto" w:fill="auto"/>
          </w:tcPr>
          <w:p w:rsidRPr="00401AC9" w:rsidR="000D26A0" w:rsidP="00E01FA0" w:rsidRDefault="00427E18" w14:paraId="4B746AE1" w14:textId="77777777">
            <w:pPr>
              <w:jc w:val="right"/>
            </w:pPr>
            <w:r>
              <w:t>$762,048</w:t>
            </w:r>
          </w:p>
        </w:tc>
      </w:tr>
      <w:tr w:rsidRPr="00327942" w:rsidR="009D4C9E" w:rsidTr="007C255B" w14:paraId="5B5BC289" w14:textId="77777777">
        <w:trPr>
          <w:jc w:val="center"/>
        </w:trPr>
        <w:tc>
          <w:tcPr>
            <w:tcW w:w="2264" w:type="dxa"/>
            <w:shd w:val="clear" w:color="auto" w:fill="auto"/>
          </w:tcPr>
          <w:p w:rsidRPr="00327942" w:rsidR="009D4C9E" w:rsidP="00E01FA0" w:rsidRDefault="009D4C9E" w14:paraId="2D1FD0B6" w14:textId="77777777">
            <w:pPr>
              <w:rPr>
                <w:color w:val="000000"/>
              </w:rPr>
            </w:pPr>
          </w:p>
        </w:tc>
        <w:tc>
          <w:tcPr>
            <w:tcW w:w="1961" w:type="dxa"/>
            <w:shd w:val="clear" w:color="auto" w:fill="auto"/>
          </w:tcPr>
          <w:p w:rsidRPr="00AB0B90" w:rsidR="009D4C9E" w:rsidDel="00026146" w:rsidP="009F6AEF" w:rsidRDefault="00F4756D" w14:paraId="3896ADB6" w14:textId="77777777">
            <w:pPr>
              <w:jc w:val="center"/>
            </w:pPr>
            <w:r>
              <w:t>Clerical</w:t>
            </w:r>
          </w:p>
        </w:tc>
        <w:tc>
          <w:tcPr>
            <w:tcW w:w="1436" w:type="dxa"/>
          </w:tcPr>
          <w:p w:rsidR="009D4C9E" w:rsidP="00E01FA0" w:rsidRDefault="00A46519" w14:paraId="0792DF8F" w14:textId="77777777">
            <w:pPr>
              <w:jc w:val="right"/>
            </w:pPr>
            <w:r>
              <w:t>2,450</w:t>
            </w:r>
          </w:p>
        </w:tc>
        <w:tc>
          <w:tcPr>
            <w:tcW w:w="1350" w:type="dxa"/>
          </w:tcPr>
          <w:p w:rsidR="009D4C9E" w:rsidP="00E01FA0" w:rsidRDefault="00A46519" w14:paraId="28972C85" w14:textId="77777777">
            <w:pPr>
              <w:jc w:val="right"/>
            </w:pPr>
            <w:r>
              <w:t>1</w:t>
            </w:r>
          </w:p>
        </w:tc>
        <w:tc>
          <w:tcPr>
            <w:tcW w:w="1295" w:type="dxa"/>
            <w:shd w:val="clear" w:color="auto" w:fill="auto"/>
          </w:tcPr>
          <w:p w:rsidR="009D4C9E" w:rsidP="00E01FA0" w:rsidRDefault="00A46519" w14:paraId="4A93AD4D" w14:textId="77777777">
            <w:pPr>
              <w:jc w:val="right"/>
            </w:pPr>
            <w:r>
              <w:t>2,450</w:t>
            </w:r>
          </w:p>
        </w:tc>
        <w:tc>
          <w:tcPr>
            <w:tcW w:w="1080" w:type="dxa"/>
            <w:shd w:val="clear" w:color="auto" w:fill="auto"/>
          </w:tcPr>
          <w:p w:rsidR="009D4C9E" w:rsidDel="00E37681" w:rsidP="00E01FA0" w:rsidRDefault="00A46519" w14:paraId="1E6C4BA6" w14:textId="77777777">
            <w:pPr>
              <w:jc w:val="right"/>
            </w:pPr>
            <w:r>
              <w:t>$26.08</w:t>
            </w:r>
          </w:p>
        </w:tc>
        <w:tc>
          <w:tcPr>
            <w:tcW w:w="1441" w:type="dxa"/>
            <w:shd w:val="clear" w:color="auto" w:fill="auto"/>
          </w:tcPr>
          <w:p w:rsidRPr="00401AC9" w:rsidR="009D4C9E" w:rsidP="00E01FA0" w:rsidRDefault="00427E18" w14:paraId="3B9EEFA1" w14:textId="77777777">
            <w:pPr>
              <w:jc w:val="right"/>
            </w:pPr>
            <w:r>
              <w:t>$63,896</w:t>
            </w:r>
          </w:p>
        </w:tc>
      </w:tr>
      <w:tr w:rsidRPr="00327942" w:rsidR="009D4C9E" w:rsidTr="007C255B" w14:paraId="31F8835E" w14:textId="77777777">
        <w:trPr>
          <w:jc w:val="center"/>
        </w:trPr>
        <w:tc>
          <w:tcPr>
            <w:tcW w:w="2264" w:type="dxa"/>
            <w:shd w:val="clear" w:color="auto" w:fill="auto"/>
          </w:tcPr>
          <w:p w:rsidRPr="00327942" w:rsidR="009D4C9E" w:rsidP="00E01FA0" w:rsidRDefault="00A46519" w14:paraId="6A42F3CF" w14:textId="77777777">
            <w:pPr>
              <w:rPr>
                <w:color w:val="000000"/>
              </w:rPr>
            </w:pPr>
            <w:r>
              <w:rPr>
                <w:color w:val="000000"/>
              </w:rPr>
              <w:t>Non-Manufacturing</w:t>
            </w:r>
          </w:p>
        </w:tc>
        <w:tc>
          <w:tcPr>
            <w:tcW w:w="1961" w:type="dxa"/>
            <w:shd w:val="clear" w:color="auto" w:fill="auto"/>
          </w:tcPr>
          <w:p w:rsidRPr="00AB0B90" w:rsidR="009D4C9E" w:rsidDel="00026146" w:rsidP="009F6AEF" w:rsidRDefault="00F4756D" w14:paraId="25903793" w14:textId="77777777">
            <w:pPr>
              <w:jc w:val="center"/>
            </w:pPr>
            <w:r>
              <w:t>Supervisor</w:t>
            </w:r>
          </w:p>
        </w:tc>
        <w:tc>
          <w:tcPr>
            <w:tcW w:w="1436" w:type="dxa"/>
          </w:tcPr>
          <w:p w:rsidR="009D4C9E" w:rsidP="00E01FA0" w:rsidRDefault="00A46519" w14:paraId="28B0C10B" w14:textId="77777777">
            <w:pPr>
              <w:jc w:val="right"/>
            </w:pPr>
            <w:r>
              <w:t>250,608</w:t>
            </w:r>
          </w:p>
        </w:tc>
        <w:tc>
          <w:tcPr>
            <w:tcW w:w="1350" w:type="dxa"/>
          </w:tcPr>
          <w:p w:rsidR="009D4C9E" w:rsidP="00E01FA0" w:rsidRDefault="00A46519" w14:paraId="1FEA9725" w14:textId="77777777">
            <w:pPr>
              <w:jc w:val="right"/>
            </w:pPr>
            <w:r>
              <w:t>2</w:t>
            </w:r>
          </w:p>
        </w:tc>
        <w:tc>
          <w:tcPr>
            <w:tcW w:w="1295" w:type="dxa"/>
            <w:shd w:val="clear" w:color="auto" w:fill="auto"/>
          </w:tcPr>
          <w:p w:rsidR="009D4C9E" w:rsidP="00E01FA0" w:rsidRDefault="00A46519" w14:paraId="05B5193F" w14:textId="77777777">
            <w:pPr>
              <w:jc w:val="right"/>
            </w:pPr>
            <w:r>
              <w:t>501,216</w:t>
            </w:r>
          </w:p>
        </w:tc>
        <w:tc>
          <w:tcPr>
            <w:tcW w:w="1080" w:type="dxa"/>
            <w:shd w:val="clear" w:color="auto" w:fill="auto"/>
          </w:tcPr>
          <w:p w:rsidR="009D4C9E" w:rsidDel="00E37681" w:rsidP="00E01FA0" w:rsidRDefault="00A46519" w14:paraId="0F963F36" w14:textId="77777777">
            <w:pPr>
              <w:jc w:val="right"/>
            </w:pPr>
            <w:r>
              <w:t>$77.76</w:t>
            </w:r>
          </w:p>
        </w:tc>
        <w:tc>
          <w:tcPr>
            <w:tcW w:w="1441" w:type="dxa"/>
            <w:shd w:val="clear" w:color="auto" w:fill="auto"/>
          </w:tcPr>
          <w:p w:rsidRPr="00401AC9" w:rsidR="009D4C9E" w:rsidP="00E01FA0" w:rsidRDefault="00427E18" w14:paraId="1203AC5F" w14:textId="77777777">
            <w:pPr>
              <w:jc w:val="right"/>
            </w:pPr>
            <w:r>
              <w:t>$38,974,556</w:t>
            </w:r>
          </w:p>
        </w:tc>
      </w:tr>
      <w:tr w:rsidRPr="00327942" w:rsidR="009403CD" w:rsidTr="007C255B" w14:paraId="55941754" w14:textId="77777777">
        <w:trPr>
          <w:jc w:val="center"/>
        </w:trPr>
        <w:tc>
          <w:tcPr>
            <w:tcW w:w="2264" w:type="dxa"/>
            <w:shd w:val="clear" w:color="auto" w:fill="auto"/>
          </w:tcPr>
          <w:p w:rsidRPr="00327942" w:rsidR="009403CD" w:rsidP="00E01FA0" w:rsidRDefault="009403CD" w14:paraId="25D4723C" w14:textId="77777777">
            <w:pPr>
              <w:rPr>
                <w:color w:val="000000"/>
              </w:rPr>
            </w:pPr>
          </w:p>
        </w:tc>
        <w:tc>
          <w:tcPr>
            <w:tcW w:w="1961" w:type="dxa"/>
            <w:shd w:val="clear" w:color="auto" w:fill="auto"/>
          </w:tcPr>
          <w:p w:rsidRPr="00AB0B90" w:rsidR="009403CD" w:rsidDel="00026146" w:rsidP="009F6AEF" w:rsidRDefault="00F4756D" w14:paraId="622F2D67" w14:textId="77777777">
            <w:pPr>
              <w:jc w:val="center"/>
            </w:pPr>
            <w:r>
              <w:t>Clerical</w:t>
            </w:r>
          </w:p>
        </w:tc>
        <w:tc>
          <w:tcPr>
            <w:tcW w:w="1436" w:type="dxa"/>
          </w:tcPr>
          <w:p w:rsidR="009403CD" w:rsidP="00E01FA0" w:rsidRDefault="00A46519" w14:paraId="46EDBECE" w14:textId="77777777">
            <w:pPr>
              <w:jc w:val="right"/>
            </w:pPr>
            <w:r>
              <w:t>250,608</w:t>
            </w:r>
          </w:p>
        </w:tc>
        <w:tc>
          <w:tcPr>
            <w:tcW w:w="1350" w:type="dxa"/>
          </w:tcPr>
          <w:p w:rsidR="009403CD" w:rsidP="00E01FA0" w:rsidRDefault="00A46519" w14:paraId="29BDBE60" w14:textId="77777777">
            <w:pPr>
              <w:jc w:val="right"/>
            </w:pPr>
            <w:r>
              <w:t>0.5</w:t>
            </w:r>
          </w:p>
        </w:tc>
        <w:tc>
          <w:tcPr>
            <w:tcW w:w="1295" w:type="dxa"/>
            <w:shd w:val="clear" w:color="auto" w:fill="auto"/>
          </w:tcPr>
          <w:p w:rsidR="009403CD" w:rsidP="00E01FA0" w:rsidRDefault="00A46519" w14:paraId="6F3D4509" w14:textId="77777777">
            <w:pPr>
              <w:jc w:val="right"/>
            </w:pPr>
            <w:r>
              <w:t>125,304</w:t>
            </w:r>
          </w:p>
        </w:tc>
        <w:tc>
          <w:tcPr>
            <w:tcW w:w="1080" w:type="dxa"/>
            <w:shd w:val="clear" w:color="auto" w:fill="auto"/>
          </w:tcPr>
          <w:p w:rsidR="009403CD" w:rsidDel="00E37681" w:rsidP="00E01FA0" w:rsidRDefault="00A46519" w14:paraId="1C8E5425" w14:textId="77777777">
            <w:pPr>
              <w:jc w:val="right"/>
            </w:pPr>
            <w:r>
              <w:t>$26.08</w:t>
            </w:r>
          </w:p>
        </w:tc>
        <w:tc>
          <w:tcPr>
            <w:tcW w:w="1441" w:type="dxa"/>
            <w:shd w:val="clear" w:color="auto" w:fill="auto"/>
          </w:tcPr>
          <w:p w:rsidRPr="00401AC9" w:rsidR="009403CD" w:rsidP="00E01FA0" w:rsidRDefault="00427E18" w14:paraId="1B3EDC3F" w14:textId="77777777">
            <w:pPr>
              <w:jc w:val="right"/>
            </w:pPr>
            <w:r>
              <w:t>$3,267,928</w:t>
            </w:r>
          </w:p>
        </w:tc>
      </w:tr>
      <w:tr w:rsidRPr="00327942" w:rsidR="00BB0669" w:rsidTr="007C255B" w14:paraId="5F201547" w14:textId="77777777">
        <w:trPr>
          <w:jc w:val="center"/>
        </w:trPr>
        <w:tc>
          <w:tcPr>
            <w:tcW w:w="2264" w:type="dxa"/>
            <w:shd w:val="clear" w:color="auto" w:fill="auto"/>
          </w:tcPr>
          <w:p w:rsidRPr="00327942" w:rsidR="009403CD" w:rsidP="00E01FA0" w:rsidRDefault="009403CD" w14:paraId="2D4FE56E" w14:textId="77777777">
            <w:pPr>
              <w:rPr>
                <w:color w:val="000000"/>
              </w:rPr>
            </w:pPr>
            <w:r>
              <w:rPr>
                <w:color w:val="000000"/>
              </w:rPr>
              <w:t>Subtotal</w:t>
            </w:r>
          </w:p>
        </w:tc>
        <w:tc>
          <w:tcPr>
            <w:tcW w:w="1961" w:type="dxa"/>
            <w:shd w:val="clear" w:color="auto" w:fill="auto"/>
          </w:tcPr>
          <w:p w:rsidRPr="00AB0B90" w:rsidR="009403CD" w:rsidDel="00026146" w:rsidP="00E01FA0" w:rsidRDefault="009403CD" w14:paraId="6D2186B9" w14:textId="77777777">
            <w:pPr>
              <w:jc w:val="right"/>
            </w:pPr>
          </w:p>
        </w:tc>
        <w:tc>
          <w:tcPr>
            <w:tcW w:w="1436" w:type="dxa"/>
          </w:tcPr>
          <w:p w:rsidR="009403CD" w:rsidP="00E01FA0" w:rsidRDefault="009403CD" w14:paraId="3A3A5846" w14:textId="77777777">
            <w:pPr>
              <w:jc w:val="right"/>
            </w:pPr>
            <w:r>
              <w:t>506,116</w:t>
            </w:r>
          </w:p>
        </w:tc>
        <w:tc>
          <w:tcPr>
            <w:tcW w:w="1350" w:type="dxa"/>
          </w:tcPr>
          <w:p w:rsidR="009403CD" w:rsidP="00E01FA0" w:rsidRDefault="009403CD" w14:paraId="6B595303" w14:textId="77777777">
            <w:pPr>
              <w:jc w:val="right"/>
            </w:pPr>
          </w:p>
        </w:tc>
        <w:tc>
          <w:tcPr>
            <w:tcW w:w="1295" w:type="dxa"/>
            <w:shd w:val="clear" w:color="auto" w:fill="auto"/>
          </w:tcPr>
          <w:p w:rsidR="009403CD" w:rsidP="00E01FA0" w:rsidRDefault="009403CD" w14:paraId="5CD29545" w14:textId="77777777">
            <w:pPr>
              <w:jc w:val="right"/>
            </w:pPr>
            <w:r>
              <w:t>638,770</w:t>
            </w:r>
          </w:p>
        </w:tc>
        <w:tc>
          <w:tcPr>
            <w:tcW w:w="1080" w:type="dxa"/>
            <w:shd w:val="clear" w:color="auto" w:fill="auto"/>
          </w:tcPr>
          <w:p w:rsidR="009403CD" w:rsidDel="00E37681" w:rsidP="00E01FA0" w:rsidRDefault="009403CD" w14:paraId="15B56996" w14:textId="77777777">
            <w:pPr>
              <w:jc w:val="right"/>
            </w:pPr>
          </w:p>
        </w:tc>
        <w:tc>
          <w:tcPr>
            <w:tcW w:w="1441" w:type="dxa"/>
            <w:shd w:val="clear" w:color="auto" w:fill="auto"/>
          </w:tcPr>
          <w:p w:rsidRPr="00401AC9" w:rsidR="009403CD" w:rsidP="00E01FA0" w:rsidRDefault="009403CD" w14:paraId="6BA05A15" w14:textId="77777777">
            <w:pPr>
              <w:jc w:val="right"/>
              <w:rPr>
                <w:bCs/>
              </w:rPr>
            </w:pPr>
            <w:r w:rsidRPr="00401AC9">
              <w:rPr>
                <w:bCs/>
              </w:rPr>
              <w:t>$</w:t>
            </w:r>
            <w:r w:rsidR="00427E18">
              <w:rPr>
                <w:bCs/>
              </w:rPr>
              <w:t>43,068,428</w:t>
            </w:r>
            <w:r w:rsidRPr="00401AC9">
              <w:rPr>
                <w:bCs/>
              </w:rPr>
              <w:t xml:space="preserve"> </w:t>
            </w:r>
          </w:p>
          <w:p w:rsidRPr="00401AC9" w:rsidR="009403CD" w:rsidP="00E01FA0" w:rsidRDefault="009403CD" w14:paraId="01ACD97C" w14:textId="77777777">
            <w:pPr>
              <w:jc w:val="right"/>
            </w:pPr>
          </w:p>
        </w:tc>
      </w:tr>
      <w:tr w:rsidRPr="00327942" w:rsidR="00651D09" w:rsidTr="002740CF" w14:paraId="5A694AF7" w14:textId="77777777">
        <w:trPr>
          <w:jc w:val="center"/>
        </w:trPr>
        <w:tc>
          <w:tcPr>
            <w:tcW w:w="5661" w:type="dxa"/>
            <w:gridSpan w:val="3"/>
            <w:shd w:val="clear" w:color="auto" w:fill="D5DCE4"/>
          </w:tcPr>
          <w:p w:rsidRPr="00327942" w:rsidR="00651D09" w:rsidP="00E01FA0" w:rsidRDefault="00651D09" w14:paraId="6CDD3D94" w14:textId="77777777">
            <w:pPr>
              <w:rPr>
                <w:color w:val="000000"/>
              </w:rPr>
            </w:pPr>
            <w:r w:rsidRPr="00327942">
              <w:rPr>
                <w:color w:val="000000"/>
              </w:rPr>
              <w:t>2. Written Hazard Communication Program (Existing Establishments)</w:t>
            </w:r>
          </w:p>
          <w:p w:rsidR="00651D09" w:rsidP="00E01FA0" w:rsidRDefault="00651D09" w14:paraId="7E90401C" w14:textId="77777777">
            <w:pPr>
              <w:jc w:val="right"/>
            </w:pPr>
          </w:p>
        </w:tc>
        <w:tc>
          <w:tcPr>
            <w:tcW w:w="1350" w:type="dxa"/>
            <w:shd w:val="clear" w:color="auto" w:fill="D5DCE4"/>
          </w:tcPr>
          <w:p w:rsidR="00651D09" w:rsidP="00E01FA0" w:rsidRDefault="00651D09" w14:paraId="7EF8815B" w14:textId="77777777">
            <w:pPr>
              <w:jc w:val="right"/>
            </w:pPr>
          </w:p>
        </w:tc>
        <w:tc>
          <w:tcPr>
            <w:tcW w:w="1295" w:type="dxa"/>
            <w:shd w:val="clear" w:color="auto" w:fill="D5DCE4"/>
          </w:tcPr>
          <w:p w:rsidRPr="00AB0B90" w:rsidR="00651D09" w:rsidP="00E01FA0" w:rsidRDefault="00651D09" w14:paraId="1E8784C2" w14:textId="77777777">
            <w:pPr>
              <w:jc w:val="right"/>
            </w:pPr>
          </w:p>
        </w:tc>
        <w:tc>
          <w:tcPr>
            <w:tcW w:w="1080" w:type="dxa"/>
            <w:shd w:val="clear" w:color="auto" w:fill="D5DCE4"/>
          </w:tcPr>
          <w:p w:rsidRPr="00F14192" w:rsidR="00651D09" w:rsidP="00E01FA0" w:rsidRDefault="00651D09" w14:paraId="4FFCD454" w14:textId="77777777">
            <w:pPr>
              <w:jc w:val="right"/>
            </w:pPr>
          </w:p>
        </w:tc>
        <w:tc>
          <w:tcPr>
            <w:tcW w:w="1441" w:type="dxa"/>
            <w:shd w:val="clear" w:color="auto" w:fill="D5DCE4"/>
          </w:tcPr>
          <w:p w:rsidRPr="00401AC9" w:rsidR="00651D09" w:rsidP="00E01FA0" w:rsidRDefault="00651D09" w14:paraId="316A69CA" w14:textId="77777777">
            <w:pPr>
              <w:jc w:val="right"/>
            </w:pPr>
          </w:p>
        </w:tc>
      </w:tr>
      <w:tr w:rsidRPr="00327942" w:rsidR="00BB0669" w:rsidTr="007C255B" w14:paraId="4B488E13" w14:textId="77777777">
        <w:trPr>
          <w:trHeight w:val="347"/>
          <w:jc w:val="center"/>
        </w:trPr>
        <w:tc>
          <w:tcPr>
            <w:tcW w:w="2264" w:type="dxa"/>
            <w:shd w:val="clear" w:color="auto" w:fill="auto"/>
          </w:tcPr>
          <w:p w:rsidRPr="00327942" w:rsidR="000D26A0" w:rsidP="00E01FA0" w:rsidRDefault="00B80FB9" w14:paraId="146DC4BE" w14:textId="77777777">
            <w:pPr>
              <w:rPr>
                <w:color w:val="000000"/>
              </w:rPr>
            </w:pPr>
            <w:r>
              <w:rPr>
                <w:color w:val="000000"/>
              </w:rPr>
              <w:t>Manufacturing</w:t>
            </w:r>
          </w:p>
        </w:tc>
        <w:tc>
          <w:tcPr>
            <w:tcW w:w="1961" w:type="dxa"/>
            <w:shd w:val="clear" w:color="auto" w:fill="auto"/>
          </w:tcPr>
          <w:p w:rsidRPr="00AB0B90" w:rsidR="000D26A0" w:rsidDel="00026146" w:rsidP="009F6AEF" w:rsidRDefault="00F4756D" w14:paraId="52216CC9" w14:textId="77777777">
            <w:pPr>
              <w:jc w:val="center"/>
            </w:pPr>
            <w:r>
              <w:t>Supervisor</w:t>
            </w:r>
          </w:p>
        </w:tc>
        <w:tc>
          <w:tcPr>
            <w:tcW w:w="1436" w:type="dxa"/>
          </w:tcPr>
          <w:p w:rsidR="000D26A0" w:rsidP="00E01FA0" w:rsidRDefault="005C0522" w14:paraId="67574AF6" w14:textId="77777777">
            <w:pPr>
              <w:jc w:val="right"/>
            </w:pPr>
            <w:r>
              <w:t>31,582</w:t>
            </w:r>
          </w:p>
        </w:tc>
        <w:tc>
          <w:tcPr>
            <w:tcW w:w="1350" w:type="dxa"/>
          </w:tcPr>
          <w:p w:rsidR="000D26A0" w:rsidP="00E01FA0" w:rsidRDefault="005C0522" w14:paraId="1AE3A772" w14:textId="77777777">
            <w:pPr>
              <w:jc w:val="right"/>
            </w:pPr>
            <w:r>
              <w:t>1</w:t>
            </w:r>
          </w:p>
        </w:tc>
        <w:tc>
          <w:tcPr>
            <w:tcW w:w="1295" w:type="dxa"/>
            <w:shd w:val="clear" w:color="auto" w:fill="auto"/>
          </w:tcPr>
          <w:p w:rsidR="000D26A0" w:rsidP="00E01FA0" w:rsidRDefault="005C0522" w14:paraId="2A9B7F5B" w14:textId="77777777">
            <w:pPr>
              <w:jc w:val="right"/>
            </w:pPr>
            <w:r>
              <w:t>31,582</w:t>
            </w:r>
          </w:p>
        </w:tc>
        <w:tc>
          <w:tcPr>
            <w:tcW w:w="1080" w:type="dxa"/>
            <w:shd w:val="clear" w:color="auto" w:fill="auto"/>
          </w:tcPr>
          <w:p w:rsidR="000D26A0" w:rsidDel="00E37681" w:rsidP="00E01FA0" w:rsidRDefault="005C0522" w14:paraId="2A718FB7" w14:textId="77777777">
            <w:pPr>
              <w:jc w:val="right"/>
            </w:pPr>
            <w:r>
              <w:t>$77.76</w:t>
            </w:r>
          </w:p>
        </w:tc>
        <w:tc>
          <w:tcPr>
            <w:tcW w:w="1441" w:type="dxa"/>
            <w:shd w:val="clear" w:color="auto" w:fill="auto"/>
          </w:tcPr>
          <w:p w:rsidRPr="00401AC9" w:rsidR="000D26A0" w:rsidP="00E01FA0" w:rsidRDefault="005C0522" w14:paraId="61A32829" w14:textId="77777777">
            <w:pPr>
              <w:jc w:val="right"/>
              <w:rPr>
                <w:bCs/>
              </w:rPr>
            </w:pPr>
            <w:r>
              <w:rPr>
                <w:bCs/>
              </w:rPr>
              <w:t>$</w:t>
            </w:r>
            <w:r w:rsidR="00C02D07">
              <w:rPr>
                <w:bCs/>
              </w:rPr>
              <w:t>2,455,816</w:t>
            </w:r>
          </w:p>
        </w:tc>
      </w:tr>
      <w:tr w:rsidRPr="00327942" w:rsidR="009403CD" w:rsidTr="007C255B" w14:paraId="674218D8" w14:textId="77777777">
        <w:trPr>
          <w:trHeight w:val="347"/>
          <w:jc w:val="center"/>
        </w:trPr>
        <w:tc>
          <w:tcPr>
            <w:tcW w:w="2264" w:type="dxa"/>
            <w:shd w:val="clear" w:color="auto" w:fill="auto"/>
          </w:tcPr>
          <w:p w:rsidRPr="00327942" w:rsidR="009403CD" w:rsidP="00E01FA0" w:rsidRDefault="00B80FB9" w14:paraId="397F5F4C" w14:textId="77777777">
            <w:pPr>
              <w:rPr>
                <w:color w:val="000000"/>
              </w:rPr>
            </w:pPr>
            <w:r>
              <w:rPr>
                <w:color w:val="000000"/>
              </w:rPr>
              <w:t>Non-Manufacturing</w:t>
            </w:r>
          </w:p>
        </w:tc>
        <w:tc>
          <w:tcPr>
            <w:tcW w:w="1961" w:type="dxa"/>
            <w:shd w:val="clear" w:color="auto" w:fill="auto"/>
          </w:tcPr>
          <w:p w:rsidRPr="00AB0B90" w:rsidR="009403CD" w:rsidDel="00026146" w:rsidP="009F6AEF" w:rsidRDefault="00F4756D" w14:paraId="6677ABC4" w14:textId="77777777">
            <w:pPr>
              <w:jc w:val="center"/>
            </w:pPr>
            <w:r>
              <w:t>Supervisor</w:t>
            </w:r>
          </w:p>
        </w:tc>
        <w:tc>
          <w:tcPr>
            <w:tcW w:w="1436" w:type="dxa"/>
          </w:tcPr>
          <w:p w:rsidR="009403CD" w:rsidP="00E01FA0" w:rsidRDefault="005C0522" w14:paraId="18057125" w14:textId="77777777">
            <w:pPr>
              <w:jc w:val="right"/>
            </w:pPr>
            <w:r>
              <w:t>1,722,686</w:t>
            </w:r>
          </w:p>
        </w:tc>
        <w:tc>
          <w:tcPr>
            <w:tcW w:w="1350" w:type="dxa"/>
          </w:tcPr>
          <w:p w:rsidR="009403CD" w:rsidP="00E01FA0" w:rsidRDefault="005C0522" w14:paraId="23D26459" w14:textId="77777777">
            <w:pPr>
              <w:jc w:val="right"/>
            </w:pPr>
            <w:r>
              <w:t>0.5</w:t>
            </w:r>
          </w:p>
        </w:tc>
        <w:tc>
          <w:tcPr>
            <w:tcW w:w="1295" w:type="dxa"/>
            <w:shd w:val="clear" w:color="auto" w:fill="auto"/>
          </w:tcPr>
          <w:p w:rsidR="009403CD" w:rsidP="00E01FA0" w:rsidRDefault="005C0522" w14:paraId="59605DE2" w14:textId="77777777">
            <w:pPr>
              <w:jc w:val="right"/>
            </w:pPr>
            <w:r>
              <w:t>861,343</w:t>
            </w:r>
          </w:p>
        </w:tc>
        <w:tc>
          <w:tcPr>
            <w:tcW w:w="1080" w:type="dxa"/>
            <w:shd w:val="clear" w:color="auto" w:fill="auto"/>
          </w:tcPr>
          <w:p w:rsidR="009403CD" w:rsidDel="00E37681" w:rsidP="00E01FA0" w:rsidRDefault="005C0522" w14:paraId="60FE7FBD" w14:textId="77777777">
            <w:pPr>
              <w:jc w:val="right"/>
            </w:pPr>
            <w:r>
              <w:t>$77.76</w:t>
            </w:r>
          </w:p>
        </w:tc>
        <w:tc>
          <w:tcPr>
            <w:tcW w:w="1441" w:type="dxa"/>
            <w:shd w:val="clear" w:color="auto" w:fill="auto"/>
          </w:tcPr>
          <w:p w:rsidRPr="00401AC9" w:rsidR="009403CD" w:rsidP="00E01FA0" w:rsidRDefault="005C0522" w14:paraId="1E77714B" w14:textId="77777777">
            <w:pPr>
              <w:jc w:val="right"/>
              <w:rPr>
                <w:bCs/>
              </w:rPr>
            </w:pPr>
            <w:r>
              <w:rPr>
                <w:bCs/>
              </w:rPr>
              <w:t>$</w:t>
            </w:r>
            <w:r w:rsidR="00C02D07">
              <w:rPr>
                <w:bCs/>
              </w:rPr>
              <w:t>66,978,032</w:t>
            </w:r>
          </w:p>
        </w:tc>
      </w:tr>
      <w:tr w:rsidRPr="00327942" w:rsidR="00BB0669" w:rsidTr="007C255B" w14:paraId="6B547ADC" w14:textId="77777777">
        <w:trPr>
          <w:trHeight w:val="347"/>
          <w:jc w:val="center"/>
        </w:trPr>
        <w:tc>
          <w:tcPr>
            <w:tcW w:w="2264" w:type="dxa"/>
            <w:shd w:val="clear" w:color="auto" w:fill="auto"/>
          </w:tcPr>
          <w:p w:rsidRPr="00327942" w:rsidR="005C0522" w:rsidP="00E01FA0" w:rsidRDefault="005C0522" w14:paraId="6DC0050F" w14:textId="77777777">
            <w:pPr>
              <w:rPr>
                <w:color w:val="000000"/>
              </w:rPr>
            </w:pPr>
            <w:r>
              <w:rPr>
                <w:color w:val="000000"/>
              </w:rPr>
              <w:t>Subtotal</w:t>
            </w:r>
          </w:p>
        </w:tc>
        <w:tc>
          <w:tcPr>
            <w:tcW w:w="1961" w:type="dxa"/>
            <w:shd w:val="clear" w:color="auto" w:fill="auto"/>
          </w:tcPr>
          <w:p w:rsidRPr="00AB0B90" w:rsidR="005C0522" w:rsidDel="00026146" w:rsidP="00E01FA0" w:rsidRDefault="005C0522" w14:paraId="7A8F148B" w14:textId="77777777">
            <w:pPr>
              <w:jc w:val="right"/>
            </w:pPr>
          </w:p>
        </w:tc>
        <w:tc>
          <w:tcPr>
            <w:tcW w:w="1436" w:type="dxa"/>
          </w:tcPr>
          <w:p w:rsidR="005C0522" w:rsidP="00E01FA0" w:rsidRDefault="005C0522" w14:paraId="5E1421B0" w14:textId="77777777">
            <w:pPr>
              <w:jc w:val="right"/>
            </w:pPr>
            <w:r>
              <w:t>1,754,268</w:t>
            </w:r>
          </w:p>
        </w:tc>
        <w:tc>
          <w:tcPr>
            <w:tcW w:w="1350" w:type="dxa"/>
          </w:tcPr>
          <w:p w:rsidR="005C0522" w:rsidP="00E01FA0" w:rsidRDefault="005C0522" w14:paraId="455D4D41" w14:textId="77777777">
            <w:pPr>
              <w:jc w:val="right"/>
            </w:pPr>
          </w:p>
        </w:tc>
        <w:tc>
          <w:tcPr>
            <w:tcW w:w="1295" w:type="dxa"/>
            <w:shd w:val="clear" w:color="auto" w:fill="auto"/>
          </w:tcPr>
          <w:p w:rsidR="005C0522" w:rsidP="00E01FA0" w:rsidRDefault="005C0522" w14:paraId="27699B2B" w14:textId="77777777">
            <w:pPr>
              <w:jc w:val="right"/>
            </w:pPr>
            <w:r>
              <w:t>892,925</w:t>
            </w:r>
          </w:p>
        </w:tc>
        <w:tc>
          <w:tcPr>
            <w:tcW w:w="1080" w:type="dxa"/>
            <w:shd w:val="clear" w:color="auto" w:fill="auto"/>
          </w:tcPr>
          <w:p w:rsidR="005C0522" w:rsidDel="00E37681" w:rsidP="00E01FA0" w:rsidRDefault="005C0522" w14:paraId="19729152" w14:textId="77777777">
            <w:pPr>
              <w:jc w:val="right"/>
            </w:pPr>
          </w:p>
        </w:tc>
        <w:tc>
          <w:tcPr>
            <w:tcW w:w="1441" w:type="dxa"/>
            <w:shd w:val="clear" w:color="auto" w:fill="auto"/>
          </w:tcPr>
          <w:p w:rsidRPr="00401AC9" w:rsidR="005C0522" w:rsidP="00E01FA0" w:rsidRDefault="005C0522" w14:paraId="5B3DC251" w14:textId="77777777">
            <w:pPr>
              <w:jc w:val="right"/>
              <w:rPr>
                <w:bCs/>
              </w:rPr>
            </w:pPr>
            <w:r w:rsidRPr="00401AC9">
              <w:t>$</w:t>
            </w:r>
            <w:r w:rsidR="00C02D07">
              <w:t>69,433,848</w:t>
            </w:r>
            <w:r w:rsidRPr="00401AC9">
              <w:t xml:space="preserve"> </w:t>
            </w:r>
          </w:p>
        </w:tc>
      </w:tr>
      <w:tr w:rsidRPr="00327942" w:rsidR="00651D09" w:rsidTr="002740CF" w14:paraId="69018482" w14:textId="77777777">
        <w:trPr>
          <w:trHeight w:val="347"/>
          <w:jc w:val="center"/>
        </w:trPr>
        <w:tc>
          <w:tcPr>
            <w:tcW w:w="5661" w:type="dxa"/>
            <w:gridSpan w:val="3"/>
            <w:shd w:val="clear" w:color="auto" w:fill="D5DCE4"/>
          </w:tcPr>
          <w:p w:rsidRPr="00327942" w:rsidR="00651D09" w:rsidP="00E01FA0" w:rsidRDefault="00651D09" w14:paraId="22FA372B" w14:textId="77777777">
            <w:pPr>
              <w:rPr>
                <w:color w:val="000000"/>
              </w:rPr>
            </w:pPr>
            <w:r w:rsidRPr="00327942">
              <w:rPr>
                <w:color w:val="000000"/>
              </w:rPr>
              <w:t>3.Hazard Classification</w:t>
            </w:r>
          </w:p>
          <w:p w:rsidR="00651D09" w:rsidP="00E01FA0" w:rsidRDefault="00651D09" w14:paraId="7423402A" w14:textId="77777777">
            <w:pPr>
              <w:jc w:val="right"/>
            </w:pPr>
          </w:p>
        </w:tc>
        <w:tc>
          <w:tcPr>
            <w:tcW w:w="1350" w:type="dxa"/>
            <w:shd w:val="clear" w:color="auto" w:fill="D5DCE4"/>
          </w:tcPr>
          <w:p w:rsidR="00651D09" w:rsidP="00E01FA0" w:rsidRDefault="00651D09" w14:paraId="07617968" w14:textId="77777777">
            <w:pPr>
              <w:jc w:val="right"/>
            </w:pPr>
          </w:p>
        </w:tc>
        <w:tc>
          <w:tcPr>
            <w:tcW w:w="1295" w:type="dxa"/>
            <w:shd w:val="clear" w:color="auto" w:fill="D5DCE4"/>
          </w:tcPr>
          <w:p w:rsidRPr="00AB0B90" w:rsidR="00651D09" w:rsidP="00E01FA0" w:rsidRDefault="00651D09" w14:paraId="417B3EDB" w14:textId="77777777">
            <w:pPr>
              <w:jc w:val="right"/>
            </w:pPr>
          </w:p>
        </w:tc>
        <w:tc>
          <w:tcPr>
            <w:tcW w:w="1080" w:type="dxa"/>
            <w:shd w:val="clear" w:color="auto" w:fill="D5DCE4"/>
          </w:tcPr>
          <w:p w:rsidRPr="00F14192" w:rsidR="00651D09" w:rsidP="00E01FA0" w:rsidRDefault="00651D09" w14:paraId="30273A9D" w14:textId="77777777">
            <w:pPr>
              <w:jc w:val="right"/>
            </w:pPr>
          </w:p>
        </w:tc>
        <w:tc>
          <w:tcPr>
            <w:tcW w:w="1441" w:type="dxa"/>
            <w:shd w:val="clear" w:color="auto" w:fill="D5DCE4"/>
          </w:tcPr>
          <w:p w:rsidRPr="00401AC9" w:rsidR="00651D09" w:rsidP="00E01FA0" w:rsidRDefault="00651D09" w14:paraId="6C0077D1" w14:textId="77777777">
            <w:pPr>
              <w:jc w:val="right"/>
            </w:pPr>
          </w:p>
        </w:tc>
      </w:tr>
      <w:tr w:rsidRPr="00327942" w:rsidR="00BB0669" w:rsidTr="007C255B" w14:paraId="09852A2B" w14:textId="77777777">
        <w:trPr>
          <w:jc w:val="center"/>
        </w:trPr>
        <w:tc>
          <w:tcPr>
            <w:tcW w:w="2264" w:type="dxa"/>
            <w:shd w:val="clear" w:color="auto" w:fill="auto"/>
          </w:tcPr>
          <w:p w:rsidRPr="009E6EC3" w:rsidR="00F4756D" w:rsidP="00F4756D" w:rsidRDefault="00F4756D" w14:paraId="7A456B88" w14:textId="77777777"/>
        </w:tc>
        <w:tc>
          <w:tcPr>
            <w:tcW w:w="1961" w:type="dxa"/>
            <w:shd w:val="clear" w:color="auto" w:fill="auto"/>
          </w:tcPr>
          <w:p w:rsidRPr="00AB0B90" w:rsidR="00F4756D" w:rsidDel="00026146" w:rsidP="009F6AEF" w:rsidRDefault="00F4756D" w14:paraId="543B275B" w14:textId="77777777">
            <w:pPr>
              <w:jc w:val="center"/>
            </w:pPr>
            <w:r>
              <w:t>Supervisor</w:t>
            </w:r>
          </w:p>
        </w:tc>
        <w:tc>
          <w:tcPr>
            <w:tcW w:w="1436" w:type="dxa"/>
          </w:tcPr>
          <w:p w:rsidR="00F4756D" w:rsidP="00F4756D" w:rsidRDefault="00F4756D" w14:paraId="7C61BE13" w14:textId="77777777">
            <w:pPr>
              <w:jc w:val="right"/>
            </w:pPr>
            <w:r>
              <w:t>44,773</w:t>
            </w:r>
          </w:p>
        </w:tc>
        <w:tc>
          <w:tcPr>
            <w:tcW w:w="1350" w:type="dxa"/>
          </w:tcPr>
          <w:p w:rsidR="00F4756D" w:rsidP="00F4756D" w:rsidRDefault="00F4756D" w14:paraId="4CC5CDF2" w14:textId="77777777">
            <w:pPr>
              <w:jc w:val="right"/>
            </w:pPr>
            <w:r>
              <w:t>8</w:t>
            </w:r>
          </w:p>
        </w:tc>
        <w:tc>
          <w:tcPr>
            <w:tcW w:w="1295" w:type="dxa"/>
            <w:shd w:val="clear" w:color="auto" w:fill="auto"/>
          </w:tcPr>
          <w:p w:rsidR="00F4756D" w:rsidP="00F4756D" w:rsidRDefault="00F4756D" w14:paraId="5B7A9E3F" w14:textId="77777777">
            <w:pPr>
              <w:jc w:val="right"/>
            </w:pPr>
            <w:r>
              <w:t>358,184</w:t>
            </w:r>
          </w:p>
        </w:tc>
        <w:tc>
          <w:tcPr>
            <w:tcW w:w="1080" w:type="dxa"/>
            <w:shd w:val="clear" w:color="auto" w:fill="auto"/>
          </w:tcPr>
          <w:p w:rsidR="00F4756D" w:rsidDel="00E37681" w:rsidP="00F4756D" w:rsidRDefault="00F4756D" w14:paraId="0A15AEDB" w14:textId="77777777">
            <w:pPr>
              <w:jc w:val="right"/>
            </w:pPr>
            <w:r>
              <w:t>$77.76</w:t>
            </w:r>
          </w:p>
        </w:tc>
        <w:tc>
          <w:tcPr>
            <w:tcW w:w="1441" w:type="dxa"/>
            <w:shd w:val="clear" w:color="auto" w:fill="auto"/>
          </w:tcPr>
          <w:p w:rsidRPr="00401AC9" w:rsidR="00F4756D" w:rsidP="00F4756D" w:rsidRDefault="00F4756D" w14:paraId="7CE1C479" w14:textId="77777777">
            <w:pPr>
              <w:jc w:val="right"/>
              <w:rPr>
                <w:bCs/>
              </w:rPr>
            </w:pPr>
            <w:r w:rsidRPr="00401AC9">
              <w:rPr>
                <w:bCs/>
              </w:rPr>
              <w:t>$</w:t>
            </w:r>
            <w:r>
              <w:rPr>
                <w:bCs/>
              </w:rPr>
              <w:t>27,852,388</w:t>
            </w:r>
          </w:p>
          <w:p w:rsidRPr="009E6EC3" w:rsidR="00F4756D" w:rsidP="00F4756D" w:rsidRDefault="00F4756D" w14:paraId="7C3B49A5" w14:textId="77777777">
            <w:pPr>
              <w:jc w:val="right"/>
            </w:pPr>
          </w:p>
        </w:tc>
      </w:tr>
      <w:tr w:rsidRPr="00327942" w:rsidR="00F4756D" w:rsidTr="002740CF" w14:paraId="21CA6421" w14:textId="77777777">
        <w:trPr>
          <w:jc w:val="center"/>
        </w:trPr>
        <w:tc>
          <w:tcPr>
            <w:tcW w:w="5661" w:type="dxa"/>
            <w:gridSpan w:val="3"/>
            <w:shd w:val="clear" w:color="auto" w:fill="D5DCE4"/>
          </w:tcPr>
          <w:p w:rsidR="00F4756D" w:rsidP="00F4756D" w:rsidRDefault="00F4756D" w14:paraId="54AF6466" w14:textId="77777777">
            <w:pPr>
              <w:rPr>
                <w:color w:val="000000"/>
              </w:rPr>
            </w:pPr>
            <w:r w:rsidRPr="009E6EC3">
              <w:t xml:space="preserve">4. Sending SDSs for new hazardous chemicals </w:t>
            </w:r>
            <w:r w:rsidR="00B80FB9">
              <w:t xml:space="preserve">to </w:t>
            </w:r>
            <w:r w:rsidRPr="009E6EC3">
              <w:t>existing establishments</w:t>
            </w:r>
          </w:p>
          <w:p w:rsidR="00F4756D" w:rsidP="00F4756D" w:rsidRDefault="00F4756D" w14:paraId="67AB8068" w14:textId="77777777">
            <w:pPr>
              <w:jc w:val="right"/>
            </w:pPr>
          </w:p>
        </w:tc>
        <w:tc>
          <w:tcPr>
            <w:tcW w:w="1350" w:type="dxa"/>
            <w:shd w:val="clear" w:color="auto" w:fill="D5DCE4"/>
          </w:tcPr>
          <w:p w:rsidR="00F4756D" w:rsidP="00F4756D" w:rsidRDefault="00F4756D" w14:paraId="396A1071" w14:textId="77777777">
            <w:pPr>
              <w:jc w:val="right"/>
            </w:pPr>
          </w:p>
        </w:tc>
        <w:tc>
          <w:tcPr>
            <w:tcW w:w="1295" w:type="dxa"/>
            <w:shd w:val="clear" w:color="auto" w:fill="D5DCE4"/>
          </w:tcPr>
          <w:p w:rsidRPr="00AB0B90" w:rsidR="00F4756D" w:rsidP="00F4756D" w:rsidRDefault="00F4756D" w14:paraId="35057FCA" w14:textId="77777777">
            <w:pPr>
              <w:jc w:val="right"/>
              <w:rPr>
                <w:rStyle w:val="CommentReference"/>
              </w:rPr>
            </w:pPr>
          </w:p>
        </w:tc>
        <w:tc>
          <w:tcPr>
            <w:tcW w:w="1080" w:type="dxa"/>
            <w:shd w:val="clear" w:color="auto" w:fill="D5DCE4"/>
          </w:tcPr>
          <w:p w:rsidRPr="00F14192" w:rsidR="00F4756D" w:rsidP="00F4756D" w:rsidRDefault="00F4756D" w14:paraId="2F043FD3" w14:textId="77777777">
            <w:pPr>
              <w:jc w:val="right"/>
            </w:pPr>
          </w:p>
        </w:tc>
        <w:tc>
          <w:tcPr>
            <w:tcW w:w="1441" w:type="dxa"/>
            <w:shd w:val="clear" w:color="auto" w:fill="D5DCE4"/>
          </w:tcPr>
          <w:p w:rsidRPr="00401AC9" w:rsidR="00F4756D" w:rsidP="00F4756D" w:rsidRDefault="00F4756D" w14:paraId="51115A84" w14:textId="77777777">
            <w:pPr>
              <w:jc w:val="right"/>
              <w:rPr>
                <w:bCs/>
              </w:rPr>
            </w:pPr>
          </w:p>
        </w:tc>
      </w:tr>
      <w:tr w:rsidRPr="00327942" w:rsidR="00BB0669" w:rsidTr="007C255B" w14:paraId="29AA5268" w14:textId="77777777">
        <w:trPr>
          <w:jc w:val="center"/>
        </w:trPr>
        <w:tc>
          <w:tcPr>
            <w:tcW w:w="2264" w:type="dxa"/>
            <w:shd w:val="clear" w:color="auto" w:fill="auto"/>
          </w:tcPr>
          <w:p w:rsidRPr="00F374E4" w:rsidR="00F4756D" w:rsidP="00F4756D" w:rsidRDefault="00F4756D" w14:paraId="6C700839" w14:textId="77777777">
            <w:pPr>
              <w:rPr>
                <w:color w:val="000000"/>
              </w:rPr>
            </w:pPr>
            <w:r>
              <w:rPr>
                <w:color w:val="000000"/>
              </w:rPr>
              <w:t>Manufacturing</w:t>
            </w:r>
          </w:p>
        </w:tc>
        <w:tc>
          <w:tcPr>
            <w:tcW w:w="1961" w:type="dxa"/>
            <w:shd w:val="clear" w:color="auto" w:fill="auto"/>
          </w:tcPr>
          <w:p w:rsidRPr="00AB0B90" w:rsidR="00F4756D" w:rsidDel="00026146" w:rsidP="009F6AEF" w:rsidRDefault="009004D3" w14:paraId="20F8626D" w14:textId="77777777">
            <w:pPr>
              <w:jc w:val="center"/>
            </w:pPr>
            <w:r>
              <w:t>Clerical</w:t>
            </w:r>
          </w:p>
        </w:tc>
        <w:tc>
          <w:tcPr>
            <w:tcW w:w="1436" w:type="dxa"/>
          </w:tcPr>
          <w:p w:rsidR="00F4756D" w:rsidP="00F4756D" w:rsidRDefault="00F4756D" w14:paraId="73E4C2D7" w14:textId="77777777">
            <w:pPr>
              <w:jc w:val="right"/>
            </w:pPr>
            <w:r>
              <w:t>55,584</w:t>
            </w:r>
          </w:p>
        </w:tc>
        <w:tc>
          <w:tcPr>
            <w:tcW w:w="1350" w:type="dxa"/>
          </w:tcPr>
          <w:p w:rsidR="00F4756D" w:rsidP="00F4756D" w:rsidRDefault="00F4756D" w14:paraId="2A13AABE" w14:textId="77777777">
            <w:pPr>
              <w:jc w:val="right"/>
            </w:pPr>
            <w:r>
              <w:t>0.14</w:t>
            </w:r>
          </w:p>
        </w:tc>
        <w:tc>
          <w:tcPr>
            <w:tcW w:w="1295" w:type="dxa"/>
            <w:shd w:val="clear" w:color="auto" w:fill="auto"/>
          </w:tcPr>
          <w:p w:rsidR="00F4756D" w:rsidP="00F4756D" w:rsidRDefault="00F4756D" w14:paraId="4F89FF95" w14:textId="77777777">
            <w:pPr>
              <w:jc w:val="right"/>
            </w:pPr>
            <w:r>
              <w:t>7,782</w:t>
            </w:r>
          </w:p>
        </w:tc>
        <w:tc>
          <w:tcPr>
            <w:tcW w:w="1080" w:type="dxa"/>
            <w:shd w:val="clear" w:color="auto" w:fill="auto"/>
          </w:tcPr>
          <w:p w:rsidR="00F4756D" w:rsidDel="00E37681" w:rsidP="00F4756D" w:rsidRDefault="00F4756D" w14:paraId="7C1ED8AF" w14:textId="77777777">
            <w:pPr>
              <w:jc w:val="right"/>
            </w:pPr>
            <w:r>
              <w:t>$26.08</w:t>
            </w:r>
          </w:p>
        </w:tc>
        <w:tc>
          <w:tcPr>
            <w:tcW w:w="1441" w:type="dxa"/>
            <w:shd w:val="clear" w:color="auto" w:fill="auto"/>
          </w:tcPr>
          <w:p w:rsidRPr="00401AC9" w:rsidR="00F4756D" w:rsidP="00F4756D" w:rsidRDefault="00F4756D" w14:paraId="466B9E72" w14:textId="77777777">
            <w:pPr>
              <w:jc w:val="right"/>
              <w:rPr>
                <w:bCs/>
              </w:rPr>
            </w:pPr>
            <w:r>
              <w:rPr>
                <w:bCs/>
              </w:rPr>
              <w:t>$202,955</w:t>
            </w:r>
          </w:p>
        </w:tc>
      </w:tr>
      <w:tr w:rsidRPr="00327942" w:rsidR="00F4756D" w:rsidTr="007C255B" w14:paraId="3EE81E23" w14:textId="77777777">
        <w:trPr>
          <w:jc w:val="center"/>
        </w:trPr>
        <w:tc>
          <w:tcPr>
            <w:tcW w:w="2264" w:type="dxa"/>
            <w:shd w:val="clear" w:color="auto" w:fill="auto"/>
          </w:tcPr>
          <w:p w:rsidRPr="00F374E4" w:rsidR="00F4756D" w:rsidP="00F4756D" w:rsidRDefault="00F4756D" w14:paraId="06283534" w14:textId="77777777">
            <w:pPr>
              <w:rPr>
                <w:color w:val="000000"/>
              </w:rPr>
            </w:pPr>
            <w:r>
              <w:rPr>
                <w:color w:val="000000"/>
              </w:rPr>
              <w:t>Non-Manufacturing</w:t>
            </w:r>
          </w:p>
        </w:tc>
        <w:tc>
          <w:tcPr>
            <w:tcW w:w="1961" w:type="dxa"/>
            <w:shd w:val="clear" w:color="auto" w:fill="auto"/>
          </w:tcPr>
          <w:p w:rsidRPr="00AB0B90" w:rsidR="00F4756D" w:rsidDel="00026146" w:rsidP="009F6AEF" w:rsidRDefault="009004D3" w14:paraId="4F8DC210" w14:textId="77777777">
            <w:pPr>
              <w:jc w:val="center"/>
            </w:pPr>
            <w:r>
              <w:t>Clerical</w:t>
            </w:r>
          </w:p>
        </w:tc>
        <w:tc>
          <w:tcPr>
            <w:tcW w:w="1436" w:type="dxa"/>
          </w:tcPr>
          <w:p w:rsidR="00F4756D" w:rsidP="00F4756D" w:rsidRDefault="00F4756D" w14:paraId="0C5AC62B" w14:textId="77777777">
            <w:pPr>
              <w:jc w:val="right"/>
            </w:pPr>
            <w:r>
              <w:t>2,067,223</w:t>
            </w:r>
          </w:p>
        </w:tc>
        <w:tc>
          <w:tcPr>
            <w:tcW w:w="1350" w:type="dxa"/>
          </w:tcPr>
          <w:p w:rsidR="00F4756D" w:rsidP="00F4756D" w:rsidRDefault="00F4756D" w14:paraId="117117BF" w14:textId="77777777">
            <w:pPr>
              <w:jc w:val="right"/>
            </w:pPr>
            <w:r>
              <w:t>0.14</w:t>
            </w:r>
          </w:p>
        </w:tc>
        <w:tc>
          <w:tcPr>
            <w:tcW w:w="1295" w:type="dxa"/>
            <w:shd w:val="clear" w:color="auto" w:fill="auto"/>
          </w:tcPr>
          <w:p w:rsidR="00F4756D" w:rsidP="00F4756D" w:rsidRDefault="00F4756D" w14:paraId="3AA8AFBC" w14:textId="77777777">
            <w:pPr>
              <w:jc w:val="right"/>
            </w:pPr>
            <w:r>
              <w:t>289,411</w:t>
            </w:r>
          </w:p>
        </w:tc>
        <w:tc>
          <w:tcPr>
            <w:tcW w:w="1080" w:type="dxa"/>
            <w:shd w:val="clear" w:color="auto" w:fill="auto"/>
          </w:tcPr>
          <w:p w:rsidR="00F4756D" w:rsidDel="00E37681" w:rsidP="00F4756D" w:rsidRDefault="00F4756D" w14:paraId="746AA5B9" w14:textId="77777777">
            <w:pPr>
              <w:jc w:val="right"/>
            </w:pPr>
            <w:r>
              <w:t>$26.08</w:t>
            </w:r>
          </w:p>
        </w:tc>
        <w:tc>
          <w:tcPr>
            <w:tcW w:w="1441" w:type="dxa"/>
            <w:shd w:val="clear" w:color="auto" w:fill="auto"/>
          </w:tcPr>
          <w:p w:rsidRPr="00401AC9" w:rsidR="00F4756D" w:rsidP="00F4756D" w:rsidRDefault="00F4756D" w14:paraId="3A648FA9" w14:textId="77777777">
            <w:pPr>
              <w:jc w:val="right"/>
              <w:rPr>
                <w:bCs/>
              </w:rPr>
            </w:pPr>
            <w:r>
              <w:rPr>
                <w:bCs/>
              </w:rPr>
              <w:t>$7,547,839</w:t>
            </w:r>
          </w:p>
        </w:tc>
      </w:tr>
      <w:tr w:rsidRPr="00327942" w:rsidR="00BB0669" w:rsidTr="007C255B" w14:paraId="197F41EA" w14:textId="77777777">
        <w:trPr>
          <w:jc w:val="center"/>
        </w:trPr>
        <w:tc>
          <w:tcPr>
            <w:tcW w:w="2264" w:type="dxa"/>
            <w:shd w:val="clear" w:color="auto" w:fill="auto"/>
          </w:tcPr>
          <w:p w:rsidRPr="00F374E4" w:rsidR="00F4756D" w:rsidP="00F4756D" w:rsidRDefault="00F4756D" w14:paraId="69D8F316" w14:textId="77777777">
            <w:pPr>
              <w:rPr>
                <w:color w:val="000000"/>
              </w:rPr>
            </w:pPr>
            <w:r>
              <w:rPr>
                <w:color w:val="000000"/>
              </w:rPr>
              <w:t>Subtotal</w:t>
            </w:r>
          </w:p>
        </w:tc>
        <w:tc>
          <w:tcPr>
            <w:tcW w:w="1961" w:type="dxa"/>
            <w:shd w:val="clear" w:color="auto" w:fill="auto"/>
          </w:tcPr>
          <w:p w:rsidRPr="00AB0B90" w:rsidR="00F4756D" w:rsidDel="00026146" w:rsidP="00F4756D" w:rsidRDefault="00F4756D" w14:paraId="42F2930B" w14:textId="77777777">
            <w:pPr>
              <w:jc w:val="right"/>
            </w:pPr>
          </w:p>
        </w:tc>
        <w:tc>
          <w:tcPr>
            <w:tcW w:w="1436" w:type="dxa"/>
          </w:tcPr>
          <w:p w:rsidR="00F4756D" w:rsidP="00F4756D" w:rsidRDefault="00F4756D" w14:paraId="6EFFF718" w14:textId="77777777">
            <w:pPr>
              <w:jc w:val="right"/>
            </w:pPr>
            <w:r>
              <w:t>2,122,807</w:t>
            </w:r>
          </w:p>
        </w:tc>
        <w:tc>
          <w:tcPr>
            <w:tcW w:w="1350" w:type="dxa"/>
          </w:tcPr>
          <w:p w:rsidR="00F4756D" w:rsidP="00F4756D" w:rsidRDefault="00F4756D" w14:paraId="6CB73559" w14:textId="77777777">
            <w:pPr>
              <w:jc w:val="right"/>
            </w:pPr>
          </w:p>
        </w:tc>
        <w:tc>
          <w:tcPr>
            <w:tcW w:w="1295" w:type="dxa"/>
            <w:shd w:val="clear" w:color="auto" w:fill="auto"/>
          </w:tcPr>
          <w:p w:rsidR="00F4756D" w:rsidP="00F4756D" w:rsidRDefault="00F4756D" w14:paraId="4B868B3F" w14:textId="77777777">
            <w:pPr>
              <w:jc w:val="right"/>
            </w:pPr>
            <w:r>
              <w:t>297,193</w:t>
            </w:r>
          </w:p>
        </w:tc>
        <w:tc>
          <w:tcPr>
            <w:tcW w:w="1080" w:type="dxa"/>
            <w:shd w:val="clear" w:color="auto" w:fill="auto"/>
          </w:tcPr>
          <w:p w:rsidR="00F4756D" w:rsidDel="00E37681" w:rsidP="00F4756D" w:rsidRDefault="00F4756D" w14:paraId="0398C9BB" w14:textId="77777777">
            <w:pPr>
              <w:jc w:val="right"/>
            </w:pPr>
          </w:p>
        </w:tc>
        <w:tc>
          <w:tcPr>
            <w:tcW w:w="1441" w:type="dxa"/>
            <w:shd w:val="clear" w:color="auto" w:fill="auto"/>
          </w:tcPr>
          <w:p w:rsidRPr="00401AC9" w:rsidR="00F4756D" w:rsidP="00F4756D" w:rsidRDefault="00F4756D" w14:paraId="177FB63F" w14:textId="77777777">
            <w:pPr>
              <w:jc w:val="right"/>
              <w:rPr>
                <w:bCs/>
              </w:rPr>
            </w:pPr>
            <w:r w:rsidRPr="009E6EC3">
              <w:t>$</w:t>
            </w:r>
            <w:r>
              <w:t>7,750,794</w:t>
            </w:r>
          </w:p>
        </w:tc>
      </w:tr>
      <w:tr w:rsidRPr="00327942" w:rsidR="00F4756D" w:rsidTr="002740CF" w14:paraId="07FD4493" w14:textId="77777777">
        <w:trPr>
          <w:jc w:val="center"/>
        </w:trPr>
        <w:tc>
          <w:tcPr>
            <w:tcW w:w="5661" w:type="dxa"/>
            <w:gridSpan w:val="3"/>
            <w:shd w:val="clear" w:color="auto" w:fill="D5DCE4"/>
          </w:tcPr>
          <w:p w:rsidRPr="003D01B0" w:rsidR="00F4756D" w:rsidP="00F4756D" w:rsidRDefault="00F4756D" w14:paraId="42107C3C" w14:textId="77777777">
            <w:pPr>
              <w:rPr>
                <w:color w:val="000000"/>
              </w:rPr>
            </w:pPr>
            <w:r w:rsidRPr="00F374E4">
              <w:rPr>
                <w:color w:val="000000"/>
              </w:rPr>
              <w:t>5. Sending SDSs (</w:t>
            </w:r>
            <w:r w:rsidRPr="00F5356F">
              <w:rPr>
                <w:color w:val="000000"/>
              </w:rPr>
              <w:t xml:space="preserve">New </w:t>
            </w:r>
            <w:r w:rsidRPr="003D01B0">
              <w:rPr>
                <w:color w:val="000000"/>
              </w:rPr>
              <w:t>Establishments)</w:t>
            </w:r>
          </w:p>
          <w:p w:rsidR="00F4756D" w:rsidP="00F4756D" w:rsidRDefault="00F4756D" w14:paraId="0D7AD58E" w14:textId="77777777">
            <w:pPr>
              <w:jc w:val="right"/>
            </w:pPr>
          </w:p>
        </w:tc>
        <w:tc>
          <w:tcPr>
            <w:tcW w:w="1350" w:type="dxa"/>
            <w:shd w:val="clear" w:color="auto" w:fill="D5DCE4"/>
          </w:tcPr>
          <w:p w:rsidR="00F4756D" w:rsidP="00F4756D" w:rsidRDefault="00F4756D" w14:paraId="3C5F4E33" w14:textId="77777777">
            <w:pPr>
              <w:jc w:val="right"/>
            </w:pPr>
          </w:p>
        </w:tc>
        <w:tc>
          <w:tcPr>
            <w:tcW w:w="1295" w:type="dxa"/>
            <w:shd w:val="clear" w:color="auto" w:fill="D5DCE4"/>
          </w:tcPr>
          <w:p w:rsidRPr="00AB0B90" w:rsidR="00F4756D" w:rsidP="00F4756D" w:rsidRDefault="00F4756D" w14:paraId="2F47DB69" w14:textId="77777777">
            <w:pPr>
              <w:jc w:val="right"/>
              <w:rPr>
                <w:rFonts w:ascii="Calibri" w:hAnsi="Calibri"/>
              </w:rPr>
            </w:pPr>
          </w:p>
        </w:tc>
        <w:tc>
          <w:tcPr>
            <w:tcW w:w="1080" w:type="dxa"/>
            <w:shd w:val="clear" w:color="auto" w:fill="D5DCE4"/>
          </w:tcPr>
          <w:p w:rsidRPr="00F14192" w:rsidR="00F4756D" w:rsidP="00F4756D" w:rsidRDefault="00F4756D" w14:paraId="72B91FA9" w14:textId="77777777">
            <w:pPr>
              <w:jc w:val="right"/>
              <w:rPr>
                <w:rFonts w:ascii="Calibri" w:hAnsi="Calibri"/>
              </w:rPr>
            </w:pPr>
          </w:p>
        </w:tc>
        <w:tc>
          <w:tcPr>
            <w:tcW w:w="1441" w:type="dxa"/>
            <w:shd w:val="clear" w:color="auto" w:fill="D5DCE4"/>
          </w:tcPr>
          <w:p w:rsidRPr="00401AC9" w:rsidR="00F4756D" w:rsidP="00F4756D" w:rsidRDefault="00F4756D" w14:paraId="43009267" w14:textId="77777777">
            <w:pPr>
              <w:jc w:val="right"/>
            </w:pPr>
          </w:p>
        </w:tc>
      </w:tr>
      <w:tr w:rsidRPr="00327942" w:rsidR="00BB0669" w:rsidTr="009E6FDF" w14:paraId="7B6DE08E" w14:textId="77777777">
        <w:trPr>
          <w:trHeight w:val="395"/>
          <w:jc w:val="center"/>
        </w:trPr>
        <w:tc>
          <w:tcPr>
            <w:tcW w:w="2264" w:type="dxa"/>
            <w:shd w:val="clear" w:color="auto" w:fill="auto"/>
            <w:vAlign w:val="center"/>
          </w:tcPr>
          <w:p w:rsidR="00F4756D" w:rsidP="00F4756D" w:rsidRDefault="00F4756D" w14:paraId="1A3C7600" w14:textId="77777777">
            <w:pPr>
              <w:rPr>
                <w:color w:val="000000"/>
              </w:rPr>
            </w:pPr>
            <w:r>
              <w:rPr>
                <w:color w:val="000000"/>
              </w:rPr>
              <w:t>Manufacturing</w:t>
            </w:r>
          </w:p>
        </w:tc>
        <w:tc>
          <w:tcPr>
            <w:tcW w:w="1961" w:type="dxa"/>
            <w:shd w:val="clear" w:color="auto" w:fill="auto"/>
            <w:vAlign w:val="center"/>
          </w:tcPr>
          <w:p w:rsidRPr="00AB0B90" w:rsidR="00F4756D" w:rsidDel="00026146" w:rsidP="009F6AEF" w:rsidRDefault="00F4756D" w14:paraId="1C879320" w14:textId="77777777">
            <w:pPr>
              <w:jc w:val="center"/>
              <w:rPr>
                <w:color w:val="000000"/>
              </w:rPr>
            </w:pPr>
            <w:r>
              <w:rPr>
                <w:color w:val="000000"/>
              </w:rPr>
              <w:t>Clerical</w:t>
            </w:r>
          </w:p>
        </w:tc>
        <w:tc>
          <w:tcPr>
            <w:tcW w:w="1436" w:type="dxa"/>
            <w:vAlign w:val="center"/>
          </w:tcPr>
          <w:p w:rsidR="00F4756D" w:rsidP="00F4756D" w:rsidRDefault="00F4756D" w14:paraId="18240426" w14:textId="77777777">
            <w:pPr>
              <w:jc w:val="right"/>
              <w:rPr>
                <w:color w:val="000000"/>
              </w:rPr>
            </w:pPr>
            <w:r>
              <w:rPr>
                <w:color w:val="000000"/>
              </w:rPr>
              <w:t>58,212</w:t>
            </w:r>
          </w:p>
        </w:tc>
        <w:tc>
          <w:tcPr>
            <w:tcW w:w="1350" w:type="dxa"/>
            <w:vAlign w:val="center"/>
          </w:tcPr>
          <w:p w:rsidR="00F4756D" w:rsidP="00F4756D" w:rsidRDefault="00F4756D" w14:paraId="38BFF142" w14:textId="77777777">
            <w:pPr>
              <w:jc w:val="right"/>
              <w:rPr>
                <w:color w:val="000000"/>
              </w:rPr>
            </w:pPr>
            <w:r>
              <w:t>0.14</w:t>
            </w:r>
          </w:p>
        </w:tc>
        <w:tc>
          <w:tcPr>
            <w:tcW w:w="1295" w:type="dxa"/>
            <w:shd w:val="clear" w:color="auto" w:fill="auto"/>
            <w:vAlign w:val="center"/>
          </w:tcPr>
          <w:p w:rsidR="00F4756D" w:rsidP="00F4756D" w:rsidRDefault="00F4756D" w14:paraId="36974772" w14:textId="77777777">
            <w:pPr>
              <w:jc w:val="right"/>
              <w:rPr>
                <w:color w:val="000000"/>
              </w:rPr>
            </w:pPr>
            <w:r>
              <w:rPr>
                <w:color w:val="000000"/>
              </w:rPr>
              <w:t>8,150</w:t>
            </w:r>
          </w:p>
        </w:tc>
        <w:tc>
          <w:tcPr>
            <w:tcW w:w="1080" w:type="dxa"/>
            <w:shd w:val="clear" w:color="auto" w:fill="auto"/>
            <w:vAlign w:val="center"/>
          </w:tcPr>
          <w:p w:rsidR="00F4756D" w:rsidDel="00E37681" w:rsidP="00F4756D" w:rsidRDefault="00F4756D" w14:paraId="649CAB6A" w14:textId="77777777">
            <w:pPr>
              <w:jc w:val="right"/>
            </w:pPr>
            <w:r>
              <w:t>$26.08</w:t>
            </w:r>
          </w:p>
        </w:tc>
        <w:tc>
          <w:tcPr>
            <w:tcW w:w="1441" w:type="dxa"/>
            <w:shd w:val="clear" w:color="auto" w:fill="auto"/>
            <w:vAlign w:val="center"/>
          </w:tcPr>
          <w:p w:rsidR="00F4756D" w:rsidP="00F4756D" w:rsidRDefault="00F4756D" w14:paraId="6968FAE4" w14:textId="77777777">
            <w:pPr>
              <w:jc w:val="right"/>
              <w:rPr>
                <w:bCs/>
              </w:rPr>
            </w:pPr>
            <w:r>
              <w:rPr>
                <w:bCs/>
              </w:rPr>
              <w:t>$212,552</w:t>
            </w:r>
          </w:p>
        </w:tc>
      </w:tr>
      <w:tr w:rsidRPr="00327942" w:rsidR="00F4756D" w:rsidTr="007C255B" w14:paraId="17C4EB77" w14:textId="77777777">
        <w:trPr>
          <w:trHeight w:val="395"/>
          <w:jc w:val="center"/>
        </w:trPr>
        <w:tc>
          <w:tcPr>
            <w:tcW w:w="2264" w:type="dxa"/>
            <w:shd w:val="clear" w:color="auto" w:fill="auto"/>
            <w:vAlign w:val="center"/>
          </w:tcPr>
          <w:p w:rsidR="00F4756D" w:rsidP="00F4756D" w:rsidRDefault="00F4756D" w14:paraId="414C9EB9" w14:textId="77777777">
            <w:pPr>
              <w:rPr>
                <w:color w:val="000000"/>
              </w:rPr>
            </w:pPr>
            <w:r>
              <w:rPr>
                <w:color w:val="000000"/>
              </w:rPr>
              <w:t>Non-Manufacturing</w:t>
            </w:r>
          </w:p>
        </w:tc>
        <w:tc>
          <w:tcPr>
            <w:tcW w:w="1961" w:type="dxa"/>
            <w:shd w:val="clear" w:color="auto" w:fill="auto"/>
            <w:vAlign w:val="center"/>
          </w:tcPr>
          <w:p w:rsidRPr="00AB0B90" w:rsidR="00F4756D" w:rsidDel="00026146" w:rsidP="009F6AEF" w:rsidRDefault="00F4756D" w14:paraId="3371F1DB" w14:textId="77777777">
            <w:pPr>
              <w:jc w:val="center"/>
              <w:rPr>
                <w:color w:val="000000"/>
              </w:rPr>
            </w:pPr>
            <w:r>
              <w:rPr>
                <w:color w:val="000000"/>
              </w:rPr>
              <w:t>Clerical</w:t>
            </w:r>
          </w:p>
        </w:tc>
        <w:tc>
          <w:tcPr>
            <w:tcW w:w="1436" w:type="dxa"/>
            <w:vAlign w:val="center"/>
          </w:tcPr>
          <w:p w:rsidR="00F4756D" w:rsidP="00F4756D" w:rsidRDefault="00F4756D" w14:paraId="35581F73" w14:textId="77777777">
            <w:pPr>
              <w:jc w:val="right"/>
              <w:rPr>
                <w:color w:val="000000"/>
              </w:rPr>
            </w:pPr>
            <w:r>
              <w:rPr>
                <w:color w:val="000000"/>
              </w:rPr>
              <w:t>4,059,850</w:t>
            </w:r>
          </w:p>
        </w:tc>
        <w:tc>
          <w:tcPr>
            <w:tcW w:w="1350" w:type="dxa"/>
            <w:vAlign w:val="center"/>
          </w:tcPr>
          <w:p w:rsidR="00F4756D" w:rsidP="00F4756D" w:rsidRDefault="00F4756D" w14:paraId="10BB3DCC" w14:textId="77777777">
            <w:pPr>
              <w:jc w:val="right"/>
              <w:rPr>
                <w:color w:val="000000"/>
              </w:rPr>
            </w:pPr>
            <w:r>
              <w:t>0.14</w:t>
            </w:r>
          </w:p>
        </w:tc>
        <w:tc>
          <w:tcPr>
            <w:tcW w:w="1295" w:type="dxa"/>
            <w:shd w:val="clear" w:color="auto" w:fill="auto"/>
            <w:vAlign w:val="center"/>
          </w:tcPr>
          <w:p w:rsidR="00F4756D" w:rsidP="00F4756D" w:rsidRDefault="00F4756D" w14:paraId="7A3E655E" w14:textId="77777777">
            <w:pPr>
              <w:jc w:val="right"/>
              <w:rPr>
                <w:color w:val="000000"/>
              </w:rPr>
            </w:pPr>
            <w:r>
              <w:rPr>
                <w:color w:val="000000"/>
              </w:rPr>
              <w:t>568,379</w:t>
            </w:r>
          </w:p>
        </w:tc>
        <w:tc>
          <w:tcPr>
            <w:tcW w:w="1080" w:type="dxa"/>
            <w:shd w:val="clear" w:color="auto" w:fill="auto"/>
            <w:vAlign w:val="center"/>
          </w:tcPr>
          <w:p w:rsidR="00F4756D" w:rsidDel="00E37681" w:rsidP="00F4756D" w:rsidRDefault="00F4756D" w14:paraId="46C3B212" w14:textId="77777777">
            <w:pPr>
              <w:jc w:val="right"/>
            </w:pPr>
            <w:r>
              <w:t>$26.08</w:t>
            </w:r>
          </w:p>
        </w:tc>
        <w:tc>
          <w:tcPr>
            <w:tcW w:w="1441" w:type="dxa"/>
            <w:shd w:val="clear" w:color="auto" w:fill="auto"/>
            <w:vAlign w:val="center"/>
          </w:tcPr>
          <w:p w:rsidR="00F4756D" w:rsidP="00F4756D" w:rsidRDefault="00F4756D" w14:paraId="5C933E2B" w14:textId="77777777">
            <w:pPr>
              <w:jc w:val="right"/>
              <w:rPr>
                <w:bCs/>
              </w:rPr>
            </w:pPr>
            <w:r>
              <w:rPr>
                <w:bCs/>
              </w:rPr>
              <w:t>$14,823,324</w:t>
            </w:r>
          </w:p>
        </w:tc>
      </w:tr>
      <w:tr w:rsidRPr="00327942" w:rsidR="00BB0669" w:rsidTr="007C255B" w14:paraId="1F16D443" w14:textId="77777777">
        <w:trPr>
          <w:trHeight w:val="485"/>
          <w:jc w:val="center"/>
        </w:trPr>
        <w:tc>
          <w:tcPr>
            <w:tcW w:w="2264" w:type="dxa"/>
            <w:shd w:val="clear" w:color="auto" w:fill="auto"/>
          </w:tcPr>
          <w:p w:rsidR="007D1C5D" w:rsidP="00F4756D" w:rsidRDefault="007D1C5D" w14:paraId="3E4D4BFC" w14:textId="77777777">
            <w:pPr>
              <w:rPr>
                <w:color w:val="000000"/>
              </w:rPr>
            </w:pPr>
          </w:p>
          <w:p w:rsidR="00F4756D" w:rsidP="00F4756D" w:rsidRDefault="00F4756D" w14:paraId="7889E0A9" w14:textId="3A67E1C6">
            <w:pPr>
              <w:rPr>
                <w:color w:val="000000"/>
              </w:rPr>
            </w:pPr>
            <w:r>
              <w:rPr>
                <w:color w:val="000000"/>
              </w:rPr>
              <w:t>Subtotal</w:t>
            </w:r>
          </w:p>
        </w:tc>
        <w:tc>
          <w:tcPr>
            <w:tcW w:w="1961" w:type="dxa"/>
            <w:shd w:val="clear" w:color="auto" w:fill="auto"/>
          </w:tcPr>
          <w:p w:rsidRPr="00AB0B90" w:rsidR="00F4756D" w:rsidDel="00026146" w:rsidP="00F4756D" w:rsidRDefault="00F4756D" w14:paraId="5C7CA895" w14:textId="77777777">
            <w:pPr>
              <w:jc w:val="right"/>
              <w:rPr>
                <w:color w:val="000000"/>
              </w:rPr>
            </w:pPr>
          </w:p>
        </w:tc>
        <w:tc>
          <w:tcPr>
            <w:tcW w:w="1436" w:type="dxa"/>
          </w:tcPr>
          <w:p w:rsidR="007D1C5D" w:rsidP="009F6AEF" w:rsidRDefault="007D1C5D" w14:paraId="71347532" w14:textId="77777777">
            <w:pPr>
              <w:jc w:val="right"/>
            </w:pPr>
          </w:p>
          <w:p w:rsidR="00F4756D" w:rsidP="009F6AEF" w:rsidRDefault="00F4756D" w14:paraId="355C3944" w14:textId="1A20A3B1">
            <w:pPr>
              <w:jc w:val="right"/>
              <w:rPr>
                <w:color w:val="000000"/>
              </w:rPr>
            </w:pPr>
            <w:r>
              <w:t>4,118,062</w:t>
            </w:r>
          </w:p>
        </w:tc>
        <w:tc>
          <w:tcPr>
            <w:tcW w:w="1350" w:type="dxa"/>
          </w:tcPr>
          <w:p w:rsidR="00F4756D" w:rsidP="00F4756D" w:rsidRDefault="00F4756D" w14:paraId="2E0DB714" w14:textId="77777777">
            <w:pPr>
              <w:jc w:val="right"/>
              <w:rPr>
                <w:color w:val="000000"/>
              </w:rPr>
            </w:pPr>
          </w:p>
        </w:tc>
        <w:tc>
          <w:tcPr>
            <w:tcW w:w="1295" w:type="dxa"/>
            <w:shd w:val="clear" w:color="auto" w:fill="auto"/>
          </w:tcPr>
          <w:p w:rsidR="007D1C5D" w:rsidP="007D1C5D" w:rsidRDefault="007D1C5D" w14:paraId="30F20F51" w14:textId="77777777"/>
          <w:p w:rsidR="00F4756D" w:rsidP="007D1C5D" w:rsidRDefault="007D1C5D" w14:paraId="5F3537C8" w14:textId="74979C99">
            <w:pPr>
              <w:rPr>
                <w:color w:val="000000"/>
              </w:rPr>
            </w:pPr>
            <w:r>
              <w:t xml:space="preserve">        </w:t>
            </w:r>
            <w:r w:rsidR="00F4756D">
              <w:t>576,529</w:t>
            </w:r>
          </w:p>
        </w:tc>
        <w:tc>
          <w:tcPr>
            <w:tcW w:w="1080" w:type="dxa"/>
            <w:shd w:val="clear" w:color="auto" w:fill="auto"/>
          </w:tcPr>
          <w:p w:rsidR="00F4756D" w:rsidDel="00E37681" w:rsidP="00F4756D" w:rsidRDefault="00F4756D" w14:paraId="17A9D25E" w14:textId="77777777">
            <w:pPr>
              <w:jc w:val="right"/>
            </w:pPr>
          </w:p>
        </w:tc>
        <w:tc>
          <w:tcPr>
            <w:tcW w:w="1441" w:type="dxa"/>
            <w:shd w:val="clear" w:color="auto" w:fill="auto"/>
          </w:tcPr>
          <w:p w:rsidR="007D1C5D" w:rsidP="00F4756D" w:rsidRDefault="00F54C24" w14:paraId="0A51790E" w14:textId="7BA9DFCB">
            <w:pPr>
              <w:jc w:val="right"/>
              <w:rPr>
                <w:bCs/>
              </w:rPr>
            </w:pPr>
            <w:r>
              <w:rPr>
                <w:bCs/>
              </w:rPr>
              <w:t xml:space="preserve"> </w:t>
            </w:r>
          </w:p>
          <w:p w:rsidRPr="00401AC9" w:rsidR="00F4756D" w:rsidP="00F4756D" w:rsidRDefault="00F4756D" w14:paraId="68F82A66" w14:textId="370D0A50">
            <w:pPr>
              <w:jc w:val="right"/>
              <w:rPr>
                <w:bCs/>
              </w:rPr>
            </w:pPr>
            <w:r w:rsidRPr="00401AC9">
              <w:rPr>
                <w:bCs/>
              </w:rPr>
              <w:t>$</w:t>
            </w:r>
            <w:r>
              <w:rPr>
                <w:bCs/>
              </w:rPr>
              <w:t>15,035,876</w:t>
            </w:r>
          </w:p>
          <w:p w:rsidR="00F4756D" w:rsidP="00F4756D" w:rsidRDefault="00F4756D" w14:paraId="137F8B7C" w14:textId="77777777">
            <w:pPr>
              <w:jc w:val="right"/>
              <w:rPr>
                <w:bCs/>
              </w:rPr>
            </w:pPr>
          </w:p>
        </w:tc>
      </w:tr>
      <w:tr w:rsidRPr="00327942" w:rsidR="00F4756D" w:rsidTr="002740CF" w14:paraId="638EFE96" w14:textId="77777777">
        <w:trPr>
          <w:trHeight w:val="458"/>
          <w:jc w:val="center"/>
        </w:trPr>
        <w:tc>
          <w:tcPr>
            <w:tcW w:w="5661" w:type="dxa"/>
            <w:gridSpan w:val="3"/>
            <w:shd w:val="clear" w:color="auto" w:fill="D5DCE4"/>
          </w:tcPr>
          <w:p w:rsidR="00F4756D" w:rsidP="009F6AEF" w:rsidRDefault="00F4756D" w14:paraId="49D9DB5E" w14:textId="77777777">
            <w:pPr>
              <w:rPr>
                <w:color w:val="000000"/>
              </w:rPr>
            </w:pPr>
            <w:r>
              <w:rPr>
                <w:color w:val="000000"/>
              </w:rPr>
              <w:t>6</w:t>
            </w:r>
            <w:r w:rsidRPr="00F374E4">
              <w:rPr>
                <w:color w:val="000000"/>
              </w:rPr>
              <w:t xml:space="preserve">.  </w:t>
            </w:r>
            <w:r w:rsidRPr="003D01B0">
              <w:rPr>
                <w:color w:val="000000"/>
              </w:rPr>
              <w:t xml:space="preserve"> Sending SDS</w:t>
            </w:r>
            <w:r w:rsidR="00B80FB9">
              <w:rPr>
                <w:color w:val="000000"/>
              </w:rPr>
              <w:t>s</w:t>
            </w:r>
            <w:r w:rsidRPr="003D01B0">
              <w:rPr>
                <w:color w:val="000000"/>
              </w:rPr>
              <w:t xml:space="preserve"> (Existing Establishments)</w:t>
            </w:r>
          </w:p>
        </w:tc>
        <w:tc>
          <w:tcPr>
            <w:tcW w:w="1350" w:type="dxa"/>
            <w:shd w:val="clear" w:color="auto" w:fill="D5DCE4"/>
          </w:tcPr>
          <w:p w:rsidR="00F4756D" w:rsidP="00F4756D" w:rsidRDefault="00F4756D" w14:paraId="45C1747F" w14:textId="77777777">
            <w:pPr>
              <w:jc w:val="right"/>
              <w:rPr>
                <w:color w:val="000000"/>
              </w:rPr>
            </w:pPr>
          </w:p>
        </w:tc>
        <w:tc>
          <w:tcPr>
            <w:tcW w:w="1295" w:type="dxa"/>
            <w:shd w:val="clear" w:color="auto" w:fill="D5DCE4"/>
          </w:tcPr>
          <w:p w:rsidRPr="00AB0B90" w:rsidR="00F4756D" w:rsidP="00F4756D" w:rsidRDefault="00F4756D" w14:paraId="299F13B0" w14:textId="77777777">
            <w:pPr>
              <w:jc w:val="right"/>
              <w:rPr>
                <w:color w:val="000000"/>
              </w:rPr>
            </w:pPr>
          </w:p>
        </w:tc>
        <w:tc>
          <w:tcPr>
            <w:tcW w:w="1080" w:type="dxa"/>
            <w:shd w:val="clear" w:color="auto" w:fill="D5DCE4"/>
          </w:tcPr>
          <w:p w:rsidR="00F4756D" w:rsidDel="009B00FD" w:rsidP="00F4756D" w:rsidRDefault="00F4756D" w14:paraId="56C321D3" w14:textId="77777777">
            <w:pPr>
              <w:jc w:val="right"/>
            </w:pPr>
          </w:p>
        </w:tc>
        <w:tc>
          <w:tcPr>
            <w:tcW w:w="1441" w:type="dxa"/>
            <w:shd w:val="clear" w:color="auto" w:fill="D5DCE4"/>
          </w:tcPr>
          <w:p w:rsidR="00F4756D" w:rsidP="00F4756D" w:rsidRDefault="00F4756D" w14:paraId="16F58228" w14:textId="77777777">
            <w:pPr>
              <w:jc w:val="right"/>
              <w:rPr>
                <w:bCs/>
              </w:rPr>
            </w:pPr>
          </w:p>
        </w:tc>
      </w:tr>
      <w:tr w:rsidRPr="00327942" w:rsidR="00BB0669" w:rsidTr="007C255B" w14:paraId="55C979B0" w14:textId="77777777">
        <w:trPr>
          <w:trHeight w:val="476"/>
          <w:jc w:val="center"/>
        </w:trPr>
        <w:tc>
          <w:tcPr>
            <w:tcW w:w="2264" w:type="dxa"/>
            <w:shd w:val="clear" w:color="auto" w:fill="auto"/>
          </w:tcPr>
          <w:p w:rsidR="00F4756D" w:rsidP="00F4756D" w:rsidRDefault="00F4756D" w14:paraId="7FC9BA52" w14:textId="77777777">
            <w:r>
              <w:t>Manufacturing</w:t>
            </w:r>
          </w:p>
        </w:tc>
        <w:tc>
          <w:tcPr>
            <w:tcW w:w="1961" w:type="dxa"/>
            <w:shd w:val="clear" w:color="auto" w:fill="auto"/>
          </w:tcPr>
          <w:p w:rsidRPr="00DB116E" w:rsidR="00F4756D" w:rsidDel="00026146" w:rsidP="009F6AEF" w:rsidRDefault="00F4756D" w14:paraId="78FDE953" w14:textId="77777777">
            <w:pPr>
              <w:jc w:val="center"/>
            </w:pPr>
            <w:r>
              <w:t>Clerical</w:t>
            </w:r>
          </w:p>
        </w:tc>
        <w:tc>
          <w:tcPr>
            <w:tcW w:w="1436" w:type="dxa"/>
          </w:tcPr>
          <w:p w:rsidR="00F4756D" w:rsidP="00F4756D" w:rsidRDefault="00F4756D" w14:paraId="3FED1A00" w14:textId="77777777">
            <w:pPr>
              <w:jc w:val="right"/>
            </w:pPr>
            <w:r>
              <w:t>15,791</w:t>
            </w:r>
          </w:p>
        </w:tc>
        <w:tc>
          <w:tcPr>
            <w:tcW w:w="1350" w:type="dxa"/>
          </w:tcPr>
          <w:p w:rsidR="00F4756D" w:rsidP="00F4756D" w:rsidRDefault="00F4756D" w14:paraId="060B4DCB" w14:textId="77777777">
            <w:pPr>
              <w:jc w:val="right"/>
            </w:pPr>
            <w:r>
              <w:t>0.14</w:t>
            </w:r>
          </w:p>
        </w:tc>
        <w:tc>
          <w:tcPr>
            <w:tcW w:w="1295" w:type="dxa"/>
            <w:shd w:val="clear" w:color="auto" w:fill="auto"/>
          </w:tcPr>
          <w:p w:rsidR="00F4756D" w:rsidP="00F4756D" w:rsidRDefault="00F4756D" w14:paraId="7AB40569" w14:textId="77777777">
            <w:pPr>
              <w:jc w:val="right"/>
            </w:pPr>
            <w:r>
              <w:t>2,211</w:t>
            </w:r>
          </w:p>
        </w:tc>
        <w:tc>
          <w:tcPr>
            <w:tcW w:w="1080" w:type="dxa"/>
            <w:shd w:val="clear" w:color="auto" w:fill="auto"/>
          </w:tcPr>
          <w:p w:rsidR="00F4756D" w:rsidDel="00E37681" w:rsidP="00F4756D" w:rsidRDefault="00F4756D" w14:paraId="674094D6" w14:textId="77777777">
            <w:pPr>
              <w:jc w:val="right"/>
            </w:pPr>
            <w:r>
              <w:t>$26.08</w:t>
            </w:r>
          </w:p>
        </w:tc>
        <w:tc>
          <w:tcPr>
            <w:tcW w:w="1441" w:type="dxa"/>
            <w:shd w:val="clear" w:color="auto" w:fill="auto"/>
          </w:tcPr>
          <w:p w:rsidRPr="000A13DE" w:rsidR="00F4756D" w:rsidP="00F4756D" w:rsidRDefault="00F4756D" w14:paraId="339AD426" w14:textId="77777777">
            <w:pPr>
              <w:jc w:val="right"/>
            </w:pPr>
            <w:r>
              <w:t>$57,663</w:t>
            </w:r>
          </w:p>
        </w:tc>
      </w:tr>
      <w:tr w:rsidRPr="00327942" w:rsidR="00F4756D" w:rsidTr="007C255B" w14:paraId="6A549A30" w14:textId="77777777">
        <w:trPr>
          <w:trHeight w:val="512"/>
          <w:jc w:val="center"/>
        </w:trPr>
        <w:tc>
          <w:tcPr>
            <w:tcW w:w="2264" w:type="dxa"/>
            <w:shd w:val="clear" w:color="auto" w:fill="auto"/>
          </w:tcPr>
          <w:p w:rsidR="00F4756D" w:rsidP="00F4756D" w:rsidRDefault="00F4756D" w14:paraId="2D4E4482" w14:textId="77777777">
            <w:r>
              <w:t>Non-Manufacturing</w:t>
            </w:r>
          </w:p>
        </w:tc>
        <w:tc>
          <w:tcPr>
            <w:tcW w:w="1961" w:type="dxa"/>
            <w:shd w:val="clear" w:color="auto" w:fill="auto"/>
          </w:tcPr>
          <w:p w:rsidRPr="00DB116E" w:rsidR="00F4756D" w:rsidDel="00026146" w:rsidP="009F6AEF" w:rsidRDefault="00A71FC7" w14:paraId="2EA6F476" w14:textId="77777777">
            <w:pPr>
              <w:jc w:val="center"/>
            </w:pPr>
            <w:r>
              <w:t>Clerical</w:t>
            </w:r>
          </w:p>
        </w:tc>
        <w:tc>
          <w:tcPr>
            <w:tcW w:w="1436" w:type="dxa"/>
          </w:tcPr>
          <w:p w:rsidR="00F4756D" w:rsidP="00F4756D" w:rsidRDefault="00F4756D" w14:paraId="55FD2669" w14:textId="77777777">
            <w:pPr>
              <w:jc w:val="right"/>
              <w:rPr>
                <w:color w:val="000000"/>
              </w:rPr>
            </w:pPr>
            <w:r>
              <w:rPr>
                <w:color w:val="000000"/>
              </w:rPr>
              <w:t>861343</w:t>
            </w:r>
          </w:p>
        </w:tc>
        <w:tc>
          <w:tcPr>
            <w:tcW w:w="1350" w:type="dxa"/>
          </w:tcPr>
          <w:p w:rsidR="00F4756D" w:rsidP="00F4756D" w:rsidRDefault="00F4756D" w14:paraId="6BB77849" w14:textId="77777777">
            <w:pPr>
              <w:jc w:val="right"/>
            </w:pPr>
            <w:r>
              <w:t>0.14</w:t>
            </w:r>
          </w:p>
        </w:tc>
        <w:tc>
          <w:tcPr>
            <w:tcW w:w="1295" w:type="dxa"/>
            <w:shd w:val="clear" w:color="auto" w:fill="auto"/>
          </w:tcPr>
          <w:p w:rsidR="00F4756D" w:rsidP="00F4756D" w:rsidRDefault="00F4756D" w14:paraId="788E892B" w14:textId="77777777">
            <w:pPr>
              <w:jc w:val="right"/>
              <w:rPr>
                <w:color w:val="000000"/>
              </w:rPr>
            </w:pPr>
            <w:r>
              <w:rPr>
                <w:color w:val="000000"/>
              </w:rPr>
              <w:t>120,588</w:t>
            </w:r>
          </w:p>
        </w:tc>
        <w:tc>
          <w:tcPr>
            <w:tcW w:w="1080" w:type="dxa"/>
            <w:shd w:val="clear" w:color="auto" w:fill="auto"/>
          </w:tcPr>
          <w:p w:rsidR="00F4756D" w:rsidDel="00E37681" w:rsidP="00F4756D" w:rsidRDefault="00F4756D" w14:paraId="0F31322E" w14:textId="77777777">
            <w:pPr>
              <w:jc w:val="right"/>
            </w:pPr>
            <w:r>
              <w:t>$26.08</w:t>
            </w:r>
          </w:p>
        </w:tc>
        <w:tc>
          <w:tcPr>
            <w:tcW w:w="1441" w:type="dxa"/>
            <w:shd w:val="clear" w:color="auto" w:fill="auto"/>
          </w:tcPr>
          <w:p w:rsidR="00F4756D" w:rsidP="00F4756D" w:rsidRDefault="00F4756D" w14:paraId="6D5ED66A" w14:textId="77777777">
            <w:pPr>
              <w:jc w:val="right"/>
              <w:rPr>
                <w:bCs/>
              </w:rPr>
            </w:pPr>
            <w:r>
              <w:rPr>
                <w:bCs/>
              </w:rPr>
              <w:t>$3,144,935</w:t>
            </w:r>
          </w:p>
        </w:tc>
      </w:tr>
      <w:tr w:rsidRPr="00327942" w:rsidR="00BB0669" w:rsidTr="007C255B" w14:paraId="56914E7A" w14:textId="77777777">
        <w:trPr>
          <w:trHeight w:val="440"/>
          <w:jc w:val="center"/>
        </w:trPr>
        <w:tc>
          <w:tcPr>
            <w:tcW w:w="2264" w:type="dxa"/>
            <w:shd w:val="clear" w:color="auto" w:fill="auto"/>
          </w:tcPr>
          <w:p w:rsidR="00F4756D" w:rsidP="00F4756D" w:rsidRDefault="00F4756D" w14:paraId="4AAC230A" w14:textId="77777777">
            <w:r>
              <w:t>Subtotal</w:t>
            </w:r>
          </w:p>
        </w:tc>
        <w:tc>
          <w:tcPr>
            <w:tcW w:w="1961" w:type="dxa"/>
            <w:shd w:val="clear" w:color="auto" w:fill="auto"/>
          </w:tcPr>
          <w:p w:rsidRPr="00DB116E" w:rsidR="00F4756D" w:rsidDel="00026146" w:rsidP="00F4756D" w:rsidRDefault="00F4756D" w14:paraId="48C91D49" w14:textId="77777777">
            <w:pPr>
              <w:jc w:val="right"/>
            </w:pPr>
          </w:p>
        </w:tc>
        <w:tc>
          <w:tcPr>
            <w:tcW w:w="1436" w:type="dxa"/>
          </w:tcPr>
          <w:p w:rsidR="00F4756D" w:rsidP="00F4756D" w:rsidRDefault="00F4756D" w14:paraId="66754D83" w14:textId="77777777">
            <w:pPr>
              <w:jc w:val="right"/>
            </w:pPr>
            <w:r>
              <w:rPr>
                <w:color w:val="000000"/>
              </w:rPr>
              <w:t>877,134</w:t>
            </w:r>
          </w:p>
        </w:tc>
        <w:tc>
          <w:tcPr>
            <w:tcW w:w="1350" w:type="dxa"/>
          </w:tcPr>
          <w:p w:rsidR="00F4756D" w:rsidP="00F4756D" w:rsidRDefault="00F4756D" w14:paraId="3D2B8C2E" w14:textId="77777777">
            <w:pPr>
              <w:jc w:val="right"/>
            </w:pPr>
          </w:p>
        </w:tc>
        <w:tc>
          <w:tcPr>
            <w:tcW w:w="1295" w:type="dxa"/>
            <w:shd w:val="clear" w:color="auto" w:fill="auto"/>
          </w:tcPr>
          <w:p w:rsidR="00F4756D" w:rsidP="00F4756D" w:rsidRDefault="00F4756D" w14:paraId="4AADA8A3" w14:textId="77777777">
            <w:pPr>
              <w:jc w:val="right"/>
            </w:pPr>
            <w:r>
              <w:rPr>
                <w:color w:val="000000"/>
              </w:rPr>
              <w:t>122,799</w:t>
            </w:r>
          </w:p>
        </w:tc>
        <w:tc>
          <w:tcPr>
            <w:tcW w:w="1080" w:type="dxa"/>
            <w:shd w:val="clear" w:color="auto" w:fill="auto"/>
          </w:tcPr>
          <w:p w:rsidR="00F4756D" w:rsidDel="00E37681" w:rsidP="00F4756D" w:rsidRDefault="00F4756D" w14:paraId="032B4C96" w14:textId="77777777">
            <w:pPr>
              <w:jc w:val="right"/>
            </w:pPr>
          </w:p>
        </w:tc>
        <w:tc>
          <w:tcPr>
            <w:tcW w:w="1441" w:type="dxa"/>
            <w:shd w:val="clear" w:color="auto" w:fill="auto"/>
          </w:tcPr>
          <w:p w:rsidRPr="000A13DE" w:rsidR="00F4756D" w:rsidP="009F6AEF" w:rsidRDefault="00F4756D" w14:paraId="2F25C207" w14:textId="77777777">
            <w:pPr>
              <w:jc w:val="right"/>
            </w:pPr>
            <w:r>
              <w:rPr>
                <w:bCs/>
              </w:rPr>
              <w:t>$3,202,598</w:t>
            </w:r>
          </w:p>
        </w:tc>
      </w:tr>
      <w:tr w:rsidRPr="00327942" w:rsidR="00F4756D" w:rsidTr="002740CF" w14:paraId="39E111FC" w14:textId="77777777">
        <w:trPr>
          <w:trHeight w:val="458"/>
          <w:jc w:val="center"/>
        </w:trPr>
        <w:tc>
          <w:tcPr>
            <w:tcW w:w="5661" w:type="dxa"/>
            <w:gridSpan w:val="3"/>
            <w:shd w:val="clear" w:color="auto" w:fill="D5DCE4"/>
          </w:tcPr>
          <w:p w:rsidR="00F4756D" w:rsidDel="00B33433" w:rsidP="00F4756D" w:rsidRDefault="00F4756D" w14:paraId="1F7C7730" w14:textId="77777777">
            <w:pPr>
              <w:rPr>
                <w:color w:val="000000"/>
              </w:rPr>
            </w:pPr>
            <w:r>
              <w:t xml:space="preserve">7.  </w:t>
            </w:r>
            <w:r w:rsidRPr="000A13DE">
              <w:t>Revising SDSs (Existing Establishments)</w:t>
            </w:r>
          </w:p>
          <w:p w:rsidR="00F4756D" w:rsidP="00F4756D" w:rsidRDefault="00F4756D" w14:paraId="04F53040" w14:textId="77777777">
            <w:pPr>
              <w:jc w:val="right"/>
            </w:pPr>
          </w:p>
        </w:tc>
        <w:tc>
          <w:tcPr>
            <w:tcW w:w="1350" w:type="dxa"/>
            <w:shd w:val="clear" w:color="auto" w:fill="D5DCE4"/>
          </w:tcPr>
          <w:p w:rsidR="00F4756D" w:rsidP="00F4756D" w:rsidRDefault="00F4756D" w14:paraId="4D48C97C" w14:textId="77777777">
            <w:pPr>
              <w:jc w:val="right"/>
            </w:pPr>
          </w:p>
        </w:tc>
        <w:tc>
          <w:tcPr>
            <w:tcW w:w="1295" w:type="dxa"/>
            <w:shd w:val="clear" w:color="auto" w:fill="D5DCE4"/>
          </w:tcPr>
          <w:p w:rsidRPr="00AB0B90" w:rsidR="00F4756D" w:rsidP="00F4756D" w:rsidRDefault="00F4756D" w14:paraId="7C6689C3" w14:textId="77777777">
            <w:pPr>
              <w:jc w:val="right"/>
              <w:rPr>
                <w:color w:val="000000"/>
              </w:rPr>
            </w:pPr>
          </w:p>
        </w:tc>
        <w:tc>
          <w:tcPr>
            <w:tcW w:w="1080" w:type="dxa"/>
            <w:shd w:val="clear" w:color="auto" w:fill="D5DCE4"/>
          </w:tcPr>
          <w:p w:rsidR="00F4756D" w:rsidDel="009B00FD" w:rsidP="00F4756D" w:rsidRDefault="00F4756D" w14:paraId="04BFF761" w14:textId="77777777">
            <w:pPr>
              <w:jc w:val="right"/>
            </w:pPr>
          </w:p>
        </w:tc>
        <w:tc>
          <w:tcPr>
            <w:tcW w:w="1441" w:type="dxa"/>
            <w:shd w:val="clear" w:color="auto" w:fill="D5DCE4"/>
          </w:tcPr>
          <w:p w:rsidR="00F4756D" w:rsidP="00F4756D" w:rsidRDefault="00F4756D" w14:paraId="5381E954" w14:textId="77777777">
            <w:pPr>
              <w:jc w:val="right"/>
              <w:rPr>
                <w:bCs/>
              </w:rPr>
            </w:pPr>
          </w:p>
        </w:tc>
      </w:tr>
      <w:tr w:rsidRPr="00327942" w:rsidR="00F4756D" w:rsidTr="007C255B" w14:paraId="67EC95C0" w14:textId="77777777">
        <w:trPr>
          <w:trHeight w:val="467"/>
          <w:jc w:val="center"/>
        </w:trPr>
        <w:tc>
          <w:tcPr>
            <w:tcW w:w="2264" w:type="dxa"/>
            <w:shd w:val="clear" w:color="auto" w:fill="auto"/>
          </w:tcPr>
          <w:p w:rsidR="00F4756D" w:rsidP="00F4756D" w:rsidRDefault="00F4756D" w14:paraId="0A7BBB8E" w14:textId="77777777">
            <w:r>
              <w:t>Subtotal</w:t>
            </w:r>
          </w:p>
        </w:tc>
        <w:tc>
          <w:tcPr>
            <w:tcW w:w="1961" w:type="dxa"/>
            <w:shd w:val="clear" w:color="auto" w:fill="auto"/>
          </w:tcPr>
          <w:p w:rsidRPr="00DB116E" w:rsidR="00F4756D" w:rsidDel="00026146" w:rsidP="009F6AEF" w:rsidRDefault="00A71FC7" w14:paraId="47D6E33E" w14:textId="77777777">
            <w:pPr>
              <w:jc w:val="center"/>
            </w:pPr>
            <w:r>
              <w:t>Supervisor</w:t>
            </w:r>
          </w:p>
        </w:tc>
        <w:tc>
          <w:tcPr>
            <w:tcW w:w="1436" w:type="dxa"/>
          </w:tcPr>
          <w:p w:rsidR="00F4756D" w:rsidP="00F4756D" w:rsidRDefault="00F4756D" w14:paraId="19D8A541" w14:textId="77777777">
            <w:pPr>
              <w:jc w:val="right"/>
            </w:pPr>
            <w:r>
              <w:t>6,996</w:t>
            </w:r>
          </w:p>
        </w:tc>
        <w:tc>
          <w:tcPr>
            <w:tcW w:w="1350" w:type="dxa"/>
          </w:tcPr>
          <w:p w:rsidR="00F4756D" w:rsidP="00F4756D" w:rsidRDefault="00F4756D" w14:paraId="27487F63" w14:textId="77777777">
            <w:pPr>
              <w:jc w:val="right"/>
            </w:pPr>
            <w:r>
              <w:t>0.25</w:t>
            </w:r>
          </w:p>
        </w:tc>
        <w:tc>
          <w:tcPr>
            <w:tcW w:w="1295" w:type="dxa"/>
            <w:shd w:val="clear" w:color="auto" w:fill="auto"/>
          </w:tcPr>
          <w:p w:rsidR="00F4756D" w:rsidP="00F4756D" w:rsidRDefault="00F4756D" w14:paraId="234BCB77" w14:textId="77777777">
            <w:pPr>
              <w:jc w:val="right"/>
            </w:pPr>
            <w:r>
              <w:t>1,749</w:t>
            </w:r>
          </w:p>
        </w:tc>
        <w:tc>
          <w:tcPr>
            <w:tcW w:w="1080" w:type="dxa"/>
            <w:shd w:val="clear" w:color="auto" w:fill="auto"/>
          </w:tcPr>
          <w:p w:rsidR="00F4756D" w:rsidDel="00E37681" w:rsidP="00F4756D" w:rsidRDefault="00B80FB9" w14:paraId="2DC9472F" w14:textId="77777777">
            <w:pPr>
              <w:jc w:val="right"/>
            </w:pPr>
            <w:r>
              <w:t>$</w:t>
            </w:r>
            <w:r w:rsidR="00F4756D">
              <w:t>77.76</w:t>
            </w:r>
          </w:p>
        </w:tc>
        <w:tc>
          <w:tcPr>
            <w:tcW w:w="1441" w:type="dxa"/>
            <w:shd w:val="clear" w:color="auto" w:fill="auto"/>
          </w:tcPr>
          <w:p w:rsidRPr="000A13DE" w:rsidR="00F4756D" w:rsidP="009F6AEF" w:rsidRDefault="00F4756D" w14:paraId="1DBC9D55" w14:textId="77777777">
            <w:pPr>
              <w:jc w:val="right"/>
            </w:pPr>
            <w:r w:rsidRPr="000A13DE">
              <w:t>$</w:t>
            </w:r>
            <w:r>
              <w:t>136,002</w:t>
            </w:r>
          </w:p>
        </w:tc>
      </w:tr>
      <w:tr w:rsidRPr="00327942" w:rsidR="00F4756D" w:rsidTr="002740CF" w14:paraId="3A7E38BB" w14:textId="77777777">
        <w:trPr>
          <w:trHeight w:val="413"/>
          <w:jc w:val="center"/>
        </w:trPr>
        <w:tc>
          <w:tcPr>
            <w:tcW w:w="5661" w:type="dxa"/>
            <w:gridSpan w:val="3"/>
            <w:shd w:val="clear" w:color="auto" w:fill="D5DCE4"/>
          </w:tcPr>
          <w:p w:rsidR="00F4756D" w:rsidP="00F4756D" w:rsidRDefault="00F4756D" w14:paraId="7A39D8B6" w14:textId="77777777">
            <w:pPr>
              <w:rPr>
                <w:color w:val="000000"/>
              </w:rPr>
            </w:pPr>
            <w:r>
              <w:rPr>
                <w:color w:val="000000"/>
              </w:rPr>
              <w:t>8</w:t>
            </w:r>
            <w:r w:rsidRPr="006B0E06">
              <w:rPr>
                <w:color w:val="000000"/>
              </w:rPr>
              <w:t>. Obtaining and Maintaining SDSs (Existing Establishments)</w:t>
            </w:r>
          </w:p>
          <w:p w:rsidR="00F4756D" w:rsidP="00F4756D" w:rsidRDefault="00F4756D" w14:paraId="183BC8E3" w14:textId="77777777">
            <w:pPr>
              <w:jc w:val="right"/>
              <w:rPr>
                <w:color w:val="000000"/>
              </w:rPr>
            </w:pPr>
          </w:p>
        </w:tc>
        <w:tc>
          <w:tcPr>
            <w:tcW w:w="1350" w:type="dxa"/>
            <w:shd w:val="clear" w:color="auto" w:fill="D5DCE4"/>
          </w:tcPr>
          <w:p w:rsidR="00F4756D" w:rsidP="00F4756D" w:rsidRDefault="00F4756D" w14:paraId="48966F3A" w14:textId="77777777">
            <w:pPr>
              <w:jc w:val="right"/>
              <w:rPr>
                <w:color w:val="000000"/>
              </w:rPr>
            </w:pPr>
          </w:p>
        </w:tc>
        <w:tc>
          <w:tcPr>
            <w:tcW w:w="1295" w:type="dxa"/>
            <w:shd w:val="clear" w:color="auto" w:fill="D5DCE4"/>
          </w:tcPr>
          <w:p w:rsidRPr="00AB0B90" w:rsidR="00F4756D" w:rsidP="00F4756D" w:rsidRDefault="00F4756D" w14:paraId="4E35D7D7" w14:textId="77777777">
            <w:pPr>
              <w:jc w:val="right"/>
              <w:rPr>
                <w:color w:val="000000"/>
              </w:rPr>
            </w:pPr>
          </w:p>
        </w:tc>
        <w:tc>
          <w:tcPr>
            <w:tcW w:w="1080" w:type="dxa"/>
            <w:shd w:val="clear" w:color="auto" w:fill="D5DCE4"/>
          </w:tcPr>
          <w:p w:rsidR="00F4756D" w:rsidP="00F4756D" w:rsidRDefault="00F4756D" w14:paraId="02A62FCC" w14:textId="77777777">
            <w:pPr>
              <w:jc w:val="right"/>
            </w:pPr>
          </w:p>
        </w:tc>
        <w:tc>
          <w:tcPr>
            <w:tcW w:w="1441" w:type="dxa"/>
            <w:shd w:val="clear" w:color="auto" w:fill="D5DCE4"/>
          </w:tcPr>
          <w:p w:rsidRPr="00401AC9" w:rsidR="00F4756D" w:rsidP="00F4756D" w:rsidRDefault="00F4756D" w14:paraId="3C844CAC" w14:textId="77777777">
            <w:pPr>
              <w:jc w:val="right"/>
              <w:rPr>
                <w:color w:val="000000"/>
              </w:rPr>
            </w:pPr>
          </w:p>
        </w:tc>
      </w:tr>
      <w:tr w:rsidRPr="00327942" w:rsidR="00F4756D" w:rsidTr="007C255B" w14:paraId="3931DD17" w14:textId="77777777">
        <w:trPr>
          <w:trHeight w:val="413"/>
          <w:jc w:val="center"/>
        </w:trPr>
        <w:tc>
          <w:tcPr>
            <w:tcW w:w="2264" w:type="dxa"/>
            <w:shd w:val="clear" w:color="auto" w:fill="auto"/>
          </w:tcPr>
          <w:p w:rsidR="00F4756D" w:rsidP="00F4756D" w:rsidRDefault="00F4756D" w14:paraId="17532B0A" w14:textId="77777777">
            <w:pPr>
              <w:rPr>
                <w:color w:val="000000"/>
              </w:rPr>
            </w:pPr>
            <w:r>
              <w:rPr>
                <w:color w:val="000000"/>
              </w:rPr>
              <w:t>Manufacturing</w:t>
            </w:r>
          </w:p>
        </w:tc>
        <w:tc>
          <w:tcPr>
            <w:tcW w:w="1961" w:type="dxa"/>
            <w:shd w:val="clear" w:color="auto" w:fill="auto"/>
          </w:tcPr>
          <w:p w:rsidRPr="00AB0B90" w:rsidR="00F4756D" w:rsidDel="00026146" w:rsidP="009F6AEF" w:rsidRDefault="00A71FC7" w14:paraId="6CA6CE96" w14:textId="77777777">
            <w:pPr>
              <w:jc w:val="center"/>
              <w:rPr>
                <w:color w:val="000000"/>
              </w:rPr>
            </w:pPr>
            <w:r>
              <w:rPr>
                <w:color w:val="000000"/>
              </w:rPr>
              <w:t>Clerical</w:t>
            </w:r>
          </w:p>
        </w:tc>
        <w:tc>
          <w:tcPr>
            <w:tcW w:w="1436" w:type="dxa"/>
          </w:tcPr>
          <w:p w:rsidR="00F4756D" w:rsidP="00F4756D" w:rsidRDefault="00F4756D" w14:paraId="565033EC" w14:textId="77777777">
            <w:pPr>
              <w:jc w:val="right"/>
              <w:rPr>
                <w:color w:val="000000"/>
              </w:rPr>
            </w:pPr>
            <w:r>
              <w:rPr>
                <w:color w:val="000000"/>
              </w:rPr>
              <w:t>31,582</w:t>
            </w:r>
          </w:p>
        </w:tc>
        <w:tc>
          <w:tcPr>
            <w:tcW w:w="1350" w:type="dxa"/>
          </w:tcPr>
          <w:p w:rsidR="00F4756D" w:rsidP="00F4756D" w:rsidRDefault="00F4756D" w14:paraId="5DE4C012" w14:textId="77777777">
            <w:pPr>
              <w:jc w:val="right"/>
              <w:rPr>
                <w:color w:val="000000"/>
              </w:rPr>
            </w:pPr>
            <w:r>
              <w:rPr>
                <w:color w:val="000000"/>
              </w:rPr>
              <w:t>1</w:t>
            </w:r>
          </w:p>
        </w:tc>
        <w:tc>
          <w:tcPr>
            <w:tcW w:w="1295" w:type="dxa"/>
            <w:shd w:val="clear" w:color="auto" w:fill="auto"/>
          </w:tcPr>
          <w:p w:rsidR="00F4756D" w:rsidP="00F4756D" w:rsidRDefault="00F4756D" w14:paraId="2BA95C7D" w14:textId="77777777">
            <w:pPr>
              <w:jc w:val="right"/>
              <w:rPr>
                <w:color w:val="000000"/>
              </w:rPr>
            </w:pPr>
            <w:r>
              <w:rPr>
                <w:color w:val="000000"/>
              </w:rPr>
              <w:t>31,582</w:t>
            </w:r>
          </w:p>
        </w:tc>
        <w:tc>
          <w:tcPr>
            <w:tcW w:w="1080" w:type="dxa"/>
            <w:shd w:val="clear" w:color="auto" w:fill="auto"/>
          </w:tcPr>
          <w:p w:rsidR="00F4756D" w:rsidDel="00E37681" w:rsidP="00F4756D" w:rsidRDefault="00F4756D" w14:paraId="1B4DFB1C" w14:textId="77777777">
            <w:pPr>
              <w:jc w:val="right"/>
            </w:pPr>
            <w:r>
              <w:t>$26.08</w:t>
            </w:r>
          </w:p>
        </w:tc>
        <w:tc>
          <w:tcPr>
            <w:tcW w:w="1441" w:type="dxa"/>
            <w:shd w:val="clear" w:color="auto" w:fill="auto"/>
          </w:tcPr>
          <w:p w:rsidR="00F4756D" w:rsidP="00F4756D" w:rsidRDefault="00F4756D" w14:paraId="19A71087" w14:textId="77777777">
            <w:pPr>
              <w:jc w:val="right"/>
              <w:rPr>
                <w:bCs/>
              </w:rPr>
            </w:pPr>
            <w:r>
              <w:rPr>
                <w:bCs/>
              </w:rPr>
              <w:t>$823,659</w:t>
            </w:r>
          </w:p>
        </w:tc>
      </w:tr>
      <w:tr w:rsidRPr="00327942" w:rsidR="00F4756D" w:rsidTr="007C255B" w14:paraId="66EEBF3C" w14:textId="77777777">
        <w:trPr>
          <w:trHeight w:val="449"/>
          <w:jc w:val="center"/>
        </w:trPr>
        <w:tc>
          <w:tcPr>
            <w:tcW w:w="2264" w:type="dxa"/>
            <w:shd w:val="clear" w:color="auto" w:fill="auto"/>
          </w:tcPr>
          <w:p w:rsidR="00F4756D" w:rsidP="00F4756D" w:rsidRDefault="00F4756D" w14:paraId="48FB9139" w14:textId="77777777">
            <w:pPr>
              <w:rPr>
                <w:color w:val="000000"/>
              </w:rPr>
            </w:pPr>
            <w:r>
              <w:rPr>
                <w:color w:val="000000"/>
              </w:rPr>
              <w:t>Non-Manufacturing</w:t>
            </w:r>
          </w:p>
        </w:tc>
        <w:tc>
          <w:tcPr>
            <w:tcW w:w="1961" w:type="dxa"/>
            <w:shd w:val="clear" w:color="auto" w:fill="auto"/>
          </w:tcPr>
          <w:p w:rsidRPr="00AB0B90" w:rsidR="00F4756D" w:rsidDel="00026146" w:rsidP="009F6AEF" w:rsidRDefault="00A71FC7" w14:paraId="75FF17B0" w14:textId="77777777">
            <w:pPr>
              <w:jc w:val="center"/>
              <w:rPr>
                <w:color w:val="000000"/>
              </w:rPr>
            </w:pPr>
            <w:r>
              <w:rPr>
                <w:color w:val="000000"/>
              </w:rPr>
              <w:t>Clerical</w:t>
            </w:r>
          </w:p>
        </w:tc>
        <w:tc>
          <w:tcPr>
            <w:tcW w:w="1436" w:type="dxa"/>
          </w:tcPr>
          <w:p w:rsidR="00F4756D" w:rsidP="00F4756D" w:rsidRDefault="00F4756D" w14:paraId="563CAEED" w14:textId="77777777">
            <w:pPr>
              <w:jc w:val="right"/>
              <w:rPr>
                <w:color w:val="000000"/>
              </w:rPr>
            </w:pPr>
            <w:r>
              <w:rPr>
                <w:color w:val="000000"/>
              </w:rPr>
              <w:t>1,722,686</w:t>
            </w:r>
          </w:p>
        </w:tc>
        <w:tc>
          <w:tcPr>
            <w:tcW w:w="1350" w:type="dxa"/>
          </w:tcPr>
          <w:p w:rsidR="00F4756D" w:rsidP="00F4756D" w:rsidRDefault="00F4756D" w14:paraId="710F9AD4" w14:textId="77777777">
            <w:pPr>
              <w:jc w:val="right"/>
              <w:rPr>
                <w:color w:val="000000"/>
              </w:rPr>
            </w:pPr>
            <w:r>
              <w:rPr>
                <w:color w:val="000000"/>
              </w:rPr>
              <w:t>1</w:t>
            </w:r>
          </w:p>
        </w:tc>
        <w:tc>
          <w:tcPr>
            <w:tcW w:w="1295" w:type="dxa"/>
            <w:shd w:val="clear" w:color="auto" w:fill="auto"/>
          </w:tcPr>
          <w:p w:rsidR="00F4756D" w:rsidP="00F4756D" w:rsidRDefault="00F4756D" w14:paraId="7EB3A3F5" w14:textId="77777777">
            <w:pPr>
              <w:jc w:val="right"/>
              <w:rPr>
                <w:color w:val="000000"/>
              </w:rPr>
            </w:pPr>
            <w:r>
              <w:rPr>
                <w:color w:val="000000"/>
              </w:rPr>
              <w:t>1,722,686</w:t>
            </w:r>
          </w:p>
        </w:tc>
        <w:tc>
          <w:tcPr>
            <w:tcW w:w="1080" w:type="dxa"/>
            <w:shd w:val="clear" w:color="auto" w:fill="auto"/>
          </w:tcPr>
          <w:p w:rsidR="00F4756D" w:rsidDel="00E37681" w:rsidP="00F4756D" w:rsidRDefault="00F4756D" w14:paraId="4CA5F267" w14:textId="77777777">
            <w:pPr>
              <w:jc w:val="right"/>
            </w:pPr>
            <w:r>
              <w:t>$26.08</w:t>
            </w:r>
          </w:p>
        </w:tc>
        <w:tc>
          <w:tcPr>
            <w:tcW w:w="1441" w:type="dxa"/>
            <w:shd w:val="clear" w:color="auto" w:fill="auto"/>
          </w:tcPr>
          <w:p w:rsidR="00F4756D" w:rsidP="00F4756D" w:rsidRDefault="00F4756D" w14:paraId="155131C3" w14:textId="77777777">
            <w:pPr>
              <w:jc w:val="right"/>
              <w:rPr>
                <w:bCs/>
              </w:rPr>
            </w:pPr>
            <w:r>
              <w:rPr>
                <w:bCs/>
              </w:rPr>
              <w:t>$44,927,651</w:t>
            </w:r>
          </w:p>
        </w:tc>
      </w:tr>
      <w:tr w:rsidRPr="00327942" w:rsidR="00F4756D" w:rsidTr="007C255B" w14:paraId="3BC8E2A8" w14:textId="77777777">
        <w:trPr>
          <w:trHeight w:val="341"/>
          <w:jc w:val="center"/>
        </w:trPr>
        <w:tc>
          <w:tcPr>
            <w:tcW w:w="2264" w:type="dxa"/>
            <w:shd w:val="clear" w:color="auto" w:fill="auto"/>
          </w:tcPr>
          <w:p w:rsidR="00F4756D" w:rsidP="00F4756D" w:rsidRDefault="00F4756D" w14:paraId="702B3FE1" w14:textId="77777777">
            <w:pPr>
              <w:rPr>
                <w:color w:val="000000"/>
              </w:rPr>
            </w:pPr>
            <w:r>
              <w:rPr>
                <w:color w:val="000000"/>
              </w:rPr>
              <w:t>Subtotal</w:t>
            </w:r>
          </w:p>
        </w:tc>
        <w:tc>
          <w:tcPr>
            <w:tcW w:w="1961" w:type="dxa"/>
            <w:shd w:val="clear" w:color="auto" w:fill="auto"/>
          </w:tcPr>
          <w:p w:rsidRPr="00AB0B90" w:rsidR="00F4756D" w:rsidDel="00026146" w:rsidP="00F4756D" w:rsidRDefault="00F4756D" w14:paraId="463E87D5" w14:textId="77777777">
            <w:pPr>
              <w:jc w:val="right"/>
              <w:rPr>
                <w:color w:val="000000"/>
              </w:rPr>
            </w:pPr>
          </w:p>
        </w:tc>
        <w:tc>
          <w:tcPr>
            <w:tcW w:w="1436" w:type="dxa"/>
          </w:tcPr>
          <w:p w:rsidR="00F4756D" w:rsidP="00F4756D" w:rsidRDefault="00F4756D" w14:paraId="67EDE233" w14:textId="77777777">
            <w:pPr>
              <w:jc w:val="right"/>
              <w:rPr>
                <w:color w:val="000000"/>
              </w:rPr>
            </w:pPr>
            <w:r>
              <w:rPr>
                <w:color w:val="000000"/>
              </w:rPr>
              <w:t>1,754,268</w:t>
            </w:r>
          </w:p>
        </w:tc>
        <w:tc>
          <w:tcPr>
            <w:tcW w:w="1350" w:type="dxa"/>
          </w:tcPr>
          <w:p w:rsidR="00F4756D" w:rsidP="00F4756D" w:rsidRDefault="00F4756D" w14:paraId="2C0BA6FB" w14:textId="77777777">
            <w:pPr>
              <w:jc w:val="right"/>
              <w:rPr>
                <w:color w:val="000000"/>
              </w:rPr>
            </w:pPr>
          </w:p>
        </w:tc>
        <w:tc>
          <w:tcPr>
            <w:tcW w:w="1295" w:type="dxa"/>
            <w:shd w:val="clear" w:color="auto" w:fill="auto"/>
          </w:tcPr>
          <w:p w:rsidR="00F4756D" w:rsidP="00F4756D" w:rsidRDefault="00F4756D" w14:paraId="5611A69A" w14:textId="77777777">
            <w:pPr>
              <w:jc w:val="right"/>
              <w:rPr>
                <w:color w:val="000000"/>
              </w:rPr>
            </w:pPr>
            <w:r>
              <w:rPr>
                <w:color w:val="000000"/>
              </w:rPr>
              <w:t>1,754,268</w:t>
            </w:r>
          </w:p>
        </w:tc>
        <w:tc>
          <w:tcPr>
            <w:tcW w:w="1080" w:type="dxa"/>
            <w:shd w:val="clear" w:color="auto" w:fill="auto"/>
          </w:tcPr>
          <w:p w:rsidR="00F4756D" w:rsidDel="00E37681" w:rsidP="00F4756D" w:rsidRDefault="00F4756D" w14:paraId="7E313D5B" w14:textId="77777777">
            <w:pPr>
              <w:jc w:val="right"/>
            </w:pPr>
          </w:p>
        </w:tc>
        <w:tc>
          <w:tcPr>
            <w:tcW w:w="1441" w:type="dxa"/>
            <w:shd w:val="clear" w:color="auto" w:fill="auto"/>
          </w:tcPr>
          <w:p w:rsidRPr="00401AC9" w:rsidR="00F4756D" w:rsidP="00F4756D" w:rsidRDefault="00F4756D" w14:paraId="420BBCFA" w14:textId="77777777">
            <w:pPr>
              <w:jc w:val="right"/>
              <w:rPr>
                <w:bCs/>
              </w:rPr>
            </w:pPr>
            <w:r>
              <w:rPr>
                <w:bCs/>
              </w:rPr>
              <w:t>$45,751,310</w:t>
            </w:r>
          </w:p>
          <w:p w:rsidR="00F4756D" w:rsidP="00F4756D" w:rsidRDefault="00F4756D" w14:paraId="575D9278" w14:textId="77777777">
            <w:pPr>
              <w:jc w:val="right"/>
              <w:rPr>
                <w:bCs/>
              </w:rPr>
            </w:pPr>
          </w:p>
        </w:tc>
      </w:tr>
      <w:tr w:rsidRPr="00327942" w:rsidR="00F4756D" w:rsidTr="002740CF" w14:paraId="5BD1DE39" w14:textId="77777777">
        <w:trPr>
          <w:jc w:val="center"/>
        </w:trPr>
        <w:tc>
          <w:tcPr>
            <w:tcW w:w="5661" w:type="dxa"/>
            <w:gridSpan w:val="3"/>
            <w:shd w:val="clear" w:color="auto" w:fill="D5DCE4"/>
          </w:tcPr>
          <w:p w:rsidRPr="00327942" w:rsidR="00F4756D" w:rsidP="00F4756D" w:rsidRDefault="00F4756D" w14:paraId="24AC1170" w14:textId="77777777">
            <w:pPr>
              <w:rPr>
                <w:color w:val="000000"/>
              </w:rPr>
            </w:pPr>
            <w:r>
              <w:rPr>
                <w:color w:val="000000"/>
              </w:rPr>
              <w:t>9</w:t>
            </w:r>
            <w:r w:rsidRPr="00327942">
              <w:rPr>
                <w:color w:val="000000"/>
              </w:rPr>
              <w:t xml:space="preserve">. </w:t>
            </w:r>
            <w:r>
              <w:t xml:space="preserve"> </w:t>
            </w:r>
            <w:r w:rsidRPr="006B0E06">
              <w:rPr>
                <w:color w:val="000000"/>
              </w:rPr>
              <w:t>Obtaining and Maintaining (New Establishments)</w:t>
            </w:r>
          </w:p>
          <w:p w:rsidR="00F4756D" w:rsidP="00F4756D" w:rsidRDefault="00F4756D" w14:paraId="7825B752" w14:textId="77777777">
            <w:pPr>
              <w:jc w:val="right"/>
              <w:rPr>
                <w:color w:val="000000"/>
              </w:rPr>
            </w:pPr>
          </w:p>
        </w:tc>
        <w:tc>
          <w:tcPr>
            <w:tcW w:w="1350" w:type="dxa"/>
            <w:shd w:val="clear" w:color="auto" w:fill="D5DCE4"/>
          </w:tcPr>
          <w:p w:rsidR="00F4756D" w:rsidP="00F4756D" w:rsidRDefault="00F4756D" w14:paraId="59F6C97C" w14:textId="77777777">
            <w:pPr>
              <w:jc w:val="right"/>
              <w:rPr>
                <w:color w:val="000000"/>
              </w:rPr>
            </w:pPr>
          </w:p>
        </w:tc>
        <w:tc>
          <w:tcPr>
            <w:tcW w:w="1295" w:type="dxa"/>
            <w:shd w:val="clear" w:color="auto" w:fill="D5DCE4"/>
          </w:tcPr>
          <w:p w:rsidRPr="00AB0B90" w:rsidR="00F4756D" w:rsidP="00F4756D" w:rsidRDefault="00F4756D" w14:paraId="6B9C8E42" w14:textId="77777777">
            <w:pPr>
              <w:jc w:val="right"/>
              <w:rPr>
                <w:color w:val="000000"/>
              </w:rPr>
            </w:pPr>
          </w:p>
        </w:tc>
        <w:tc>
          <w:tcPr>
            <w:tcW w:w="1080" w:type="dxa"/>
            <w:shd w:val="clear" w:color="auto" w:fill="D5DCE4"/>
          </w:tcPr>
          <w:p w:rsidRPr="00327942" w:rsidR="00F4756D" w:rsidP="00F4756D" w:rsidRDefault="00F4756D" w14:paraId="700A6F9D" w14:textId="77777777">
            <w:pPr>
              <w:jc w:val="right"/>
              <w:rPr>
                <w:rFonts w:ascii="Calibri" w:hAnsi="Calibri"/>
                <w:color w:val="000000"/>
              </w:rPr>
            </w:pPr>
          </w:p>
        </w:tc>
        <w:tc>
          <w:tcPr>
            <w:tcW w:w="1441" w:type="dxa"/>
            <w:shd w:val="clear" w:color="auto" w:fill="D5DCE4"/>
          </w:tcPr>
          <w:p w:rsidRPr="00401AC9" w:rsidR="00F4756D" w:rsidP="00F4756D" w:rsidRDefault="00F4756D" w14:paraId="5B68BAC4" w14:textId="77777777">
            <w:pPr>
              <w:jc w:val="right"/>
              <w:rPr>
                <w:color w:val="000000"/>
              </w:rPr>
            </w:pPr>
          </w:p>
        </w:tc>
      </w:tr>
      <w:tr w:rsidRPr="00327942" w:rsidR="00F4756D" w:rsidTr="007C255B" w14:paraId="79058A95" w14:textId="77777777">
        <w:trPr>
          <w:trHeight w:val="341"/>
          <w:jc w:val="center"/>
        </w:trPr>
        <w:tc>
          <w:tcPr>
            <w:tcW w:w="2264" w:type="dxa"/>
            <w:shd w:val="clear" w:color="auto" w:fill="auto"/>
          </w:tcPr>
          <w:p w:rsidR="00F4756D" w:rsidP="00F4756D" w:rsidRDefault="00F4756D" w14:paraId="1D471590" w14:textId="77777777">
            <w:pPr>
              <w:rPr>
                <w:color w:val="000000"/>
              </w:rPr>
            </w:pPr>
            <w:r>
              <w:rPr>
                <w:color w:val="000000"/>
              </w:rPr>
              <w:t>Manufacturing</w:t>
            </w:r>
          </w:p>
        </w:tc>
        <w:tc>
          <w:tcPr>
            <w:tcW w:w="1961" w:type="dxa"/>
            <w:shd w:val="clear" w:color="auto" w:fill="auto"/>
          </w:tcPr>
          <w:p w:rsidRPr="00AB0B90" w:rsidR="00F4756D" w:rsidDel="00026146" w:rsidP="009F6AEF" w:rsidRDefault="00A71FC7" w14:paraId="4B12FB85" w14:textId="77777777">
            <w:pPr>
              <w:jc w:val="center"/>
              <w:rPr>
                <w:color w:val="000000"/>
              </w:rPr>
            </w:pPr>
            <w:r>
              <w:rPr>
                <w:color w:val="000000"/>
              </w:rPr>
              <w:t>Clerical</w:t>
            </w:r>
          </w:p>
        </w:tc>
        <w:tc>
          <w:tcPr>
            <w:tcW w:w="1436" w:type="dxa"/>
          </w:tcPr>
          <w:p w:rsidR="00F4756D" w:rsidP="00F4756D" w:rsidRDefault="00F4756D" w14:paraId="3247FEB9" w14:textId="77777777">
            <w:pPr>
              <w:jc w:val="right"/>
              <w:rPr>
                <w:color w:val="000000"/>
              </w:rPr>
            </w:pPr>
            <w:r>
              <w:rPr>
                <w:color w:val="000000"/>
              </w:rPr>
              <w:t>58,212</w:t>
            </w:r>
          </w:p>
        </w:tc>
        <w:tc>
          <w:tcPr>
            <w:tcW w:w="1350" w:type="dxa"/>
          </w:tcPr>
          <w:p w:rsidR="00F4756D" w:rsidP="00F4756D" w:rsidRDefault="00F4756D" w14:paraId="0F03DE25" w14:textId="77777777">
            <w:pPr>
              <w:jc w:val="right"/>
              <w:rPr>
                <w:color w:val="000000"/>
              </w:rPr>
            </w:pPr>
            <w:r>
              <w:t>0.14</w:t>
            </w:r>
          </w:p>
        </w:tc>
        <w:tc>
          <w:tcPr>
            <w:tcW w:w="1295" w:type="dxa"/>
            <w:shd w:val="clear" w:color="auto" w:fill="auto"/>
          </w:tcPr>
          <w:p w:rsidR="00F4756D" w:rsidP="00F4756D" w:rsidRDefault="00F4756D" w14:paraId="226DEA3D" w14:textId="77777777">
            <w:pPr>
              <w:jc w:val="right"/>
              <w:rPr>
                <w:color w:val="000000"/>
              </w:rPr>
            </w:pPr>
            <w:r>
              <w:rPr>
                <w:color w:val="000000"/>
              </w:rPr>
              <w:t>8,150</w:t>
            </w:r>
          </w:p>
        </w:tc>
        <w:tc>
          <w:tcPr>
            <w:tcW w:w="1080" w:type="dxa"/>
            <w:shd w:val="clear" w:color="auto" w:fill="auto"/>
          </w:tcPr>
          <w:p w:rsidR="00F4756D" w:rsidDel="00E37681" w:rsidP="00F4756D" w:rsidRDefault="00F4756D" w14:paraId="6DBFF3DC" w14:textId="77777777">
            <w:pPr>
              <w:jc w:val="right"/>
            </w:pPr>
            <w:r>
              <w:t>$26.08</w:t>
            </w:r>
          </w:p>
        </w:tc>
        <w:tc>
          <w:tcPr>
            <w:tcW w:w="1441" w:type="dxa"/>
            <w:shd w:val="clear" w:color="auto" w:fill="auto"/>
          </w:tcPr>
          <w:p w:rsidRPr="00401AC9" w:rsidR="00F4756D" w:rsidP="00F4756D" w:rsidRDefault="00F4756D" w14:paraId="77FB269F" w14:textId="77777777">
            <w:pPr>
              <w:jc w:val="right"/>
              <w:rPr>
                <w:bCs/>
              </w:rPr>
            </w:pPr>
            <w:r>
              <w:rPr>
                <w:bCs/>
              </w:rPr>
              <w:t>$212,552</w:t>
            </w:r>
          </w:p>
        </w:tc>
      </w:tr>
      <w:tr w:rsidRPr="00327942" w:rsidR="00F4756D" w:rsidTr="007C255B" w14:paraId="180964EC" w14:textId="77777777">
        <w:trPr>
          <w:trHeight w:val="377"/>
          <w:jc w:val="center"/>
        </w:trPr>
        <w:tc>
          <w:tcPr>
            <w:tcW w:w="2264" w:type="dxa"/>
            <w:shd w:val="clear" w:color="auto" w:fill="auto"/>
          </w:tcPr>
          <w:p w:rsidR="00F4756D" w:rsidP="00F4756D" w:rsidRDefault="00F4756D" w14:paraId="64A27AD3" w14:textId="77777777">
            <w:pPr>
              <w:rPr>
                <w:color w:val="000000"/>
              </w:rPr>
            </w:pPr>
            <w:r>
              <w:rPr>
                <w:color w:val="000000"/>
              </w:rPr>
              <w:t>Non-Manufacturing</w:t>
            </w:r>
          </w:p>
        </w:tc>
        <w:tc>
          <w:tcPr>
            <w:tcW w:w="1961" w:type="dxa"/>
            <w:shd w:val="clear" w:color="auto" w:fill="auto"/>
          </w:tcPr>
          <w:p w:rsidRPr="00AB0B90" w:rsidR="00F4756D" w:rsidDel="00026146" w:rsidP="009F6AEF" w:rsidRDefault="00A71FC7" w14:paraId="484EE4DE" w14:textId="77777777">
            <w:pPr>
              <w:jc w:val="center"/>
              <w:rPr>
                <w:color w:val="000000"/>
              </w:rPr>
            </w:pPr>
            <w:r>
              <w:rPr>
                <w:color w:val="000000"/>
              </w:rPr>
              <w:t>Clerical</w:t>
            </w:r>
          </w:p>
        </w:tc>
        <w:tc>
          <w:tcPr>
            <w:tcW w:w="1436" w:type="dxa"/>
          </w:tcPr>
          <w:p w:rsidR="00F4756D" w:rsidP="00F4756D" w:rsidRDefault="00F4756D" w14:paraId="15AEE7ED" w14:textId="77777777">
            <w:pPr>
              <w:jc w:val="right"/>
              <w:rPr>
                <w:color w:val="000000"/>
              </w:rPr>
            </w:pPr>
            <w:r>
              <w:rPr>
                <w:color w:val="000000"/>
              </w:rPr>
              <w:t>4,059,850</w:t>
            </w:r>
          </w:p>
        </w:tc>
        <w:tc>
          <w:tcPr>
            <w:tcW w:w="1350" w:type="dxa"/>
          </w:tcPr>
          <w:p w:rsidR="00F4756D" w:rsidP="00F4756D" w:rsidRDefault="00F4756D" w14:paraId="72042950" w14:textId="77777777">
            <w:pPr>
              <w:jc w:val="right"/>
              <w:rPr>
                <w:color w:val="000000"/>
              </w:rPr>
            </w:pPr>
            <w:r>
              <w:t>0.14</w:t>
            </w:r>
          </w:p>
        </w:tc>
        <w:tc>
          <w:tcPr>
            <w:tcW w:w="1295" w:type="dxa"/>
            <w:shd w:val="clear" w:color="auto" w:fill="auto"/>
          </w:tcPr>
          <w:p w:rsidR="00F4756D" w:rsidP="00F4756D" w:rsidRDefault="00F4756D" w14:paraId="24B1E770" w14:textId="77777777">
            <w:pPr>
              <w:jc w:val="right"/>
              <w:rPr>
                <w:color w:val="000000"/>
              </w:rPr>
            </w:pPr>
            <w:r>
              <w:rPr>
                <w:color w:val="000000"/>
              </w:rPr>
              <w:t>568,379</w:t>
            </w:r>
          </w:p>
        </w:tc>
        <w:tc>
          <w:tcPr>
            <w:tcW w:w="1080" w:type="dxa"/>
            <w:shd w:val="clear" w:color="auto" w:fill="auto"/>
          </w:tcPr>
          <w:p w:rsidR="00F4756D" w:rsidDel="00E37681" w:rsidP="00F4756D" w:rsidRDefault="00F4756D" w14:paraId="58087373" w14:textId="77777777">
            <w:pPr>
              <w:jc w:val="right"/>
            </w:pPr>
            <w:r>
              <w:t>$26.08</w:t>
            </w:r>
          </w:p>
        </w:tc>
        <w:tc>
          <w:tcPr>
            <w:tcW w:w="1441" w:type="dxa"/>
            <w:shd w:val="clear" w:color="auto" w:fill="auto"/>
          </w:tcPr>
          <w:p w:rsidRPr="00401AC9" w:rsidR="00F4756D" w:rsidP="00F4756D" w:rsidRDefault="00F4756D" w14:paraId="5741F2B8" w14:textId="77777777">
            <w:pPr>
              <w:jc w:val="right"/>
              <w:rPr>
                <w:bCs/>
              </w:rPr>
            </w:pPr>
            <w:r>
              <w:rPr>
                <w:bCs/>
              </w:rPr>
              <w:t>$14,823,324</w:t>
            </w:r>
          </w:p>
        </w:tc>
      </w:tr>
      <w:tr w:rsidRPr="00327942" w:rsidR="00F4756D" w:rsidTr="007C255B" w14:paraId="05802EC3" w14:textId="77777777">
        <w:trPr>
          <w:trHeight w:val="359"/>
          <w:jc w:val="center"/>
        </w:trPr>
        <w:tc>
          <w:tcPr>
            <w:tcW w:w="2264" w:type="dxa"/>
            <w:shd w:val="clear" w:color="auto" w:fill="auto"/>
          </w:tcPr>
          <w:p w:rsidR="00F4756D" w:rsidP="00F4756D" w:rsidRDefault="00F4756D" w14:paraId="3B7170AD" w14:textId="77777777">
            <w:pPr>
              <w:rPr>
                <w:color w:val="000000"/>
              </w:rPr>
            </w:pPr>
          </w:p>
        </w:tc>
        <w:tc>
          <w:tcPr>
            <w:tcW w:w="1961" w:type="dxa"/>
            <w:shd w:val="clear" w:color="auto" w:fill="auto"/>
          </w:tcPr>
          <w:p w:rsidRPr="00AB0B90" w:rsidR="00F4756D" w:rsidDel="00026146" w:rsidP="00F4756D" w:rsidRDefault="00F4756D" w14:paraId="09FC6681" w14:textId="77777777">
            <w:pPr>
              <w:jc w:val="right"/>
              <w:rPr>
                <w:color w:val="000000"/>
              </w:rPr>
            </w:pPr>
          </w:p>
        </w:tc>
        <w:tc>
          <w:tcPr>
            <w:tcW w:w="1436" w:type="dxa"/>
          </w:tcPr>
          <w:p w:rsidR="00F4756D" w:rsidP="00F4756D" w:rsidRDefault="00F4756D" w14:paraId="32F52B8B" w14:textId="77777777">
            <w:pPr>
              <w:jc w:val="right"/>
              <w:rPr>
                <w:color w:val="000000"/>
              </w:rPr>
            </w:pPr>
            <w:r>
              <w:rPr>
                <w:color w:val="000000"/>
              </w:rPr>
              <w:t>4,118,062</w:t>
            </w:r>
          </w:p>
        </w:tc>
        <w:tc>
          <w:tcPr>
            <w:tcW w:w="1350" w:type="dxa"/>
          </w:tcPr>
          <w:p w:rsidR="00F4756D" w:rsidP="00F4756D" w:rsidRDefault="00F4756D" w14:paraId="029454AF" w14:textId="77777777">
            <w:pPr>
              <w:jc w:val="right"/>
              <w:rPr>
                <w:color w:val="000000"/>
              </w:rPr>
            </w:pPr>
          </w:p>
        </w:tc>
        <w:tc>
          <w:tcPr>
            <w:tcW w:w="1295" w:type="dxa"/>
            <w:shd w:val="clear" w:color="auto" w:fill="auto"/>
          </w:tcPr>
          <w:p w:rsidR="00F4756D" w:rsidP="00F4756D" w:rsidRDefault="00F4756D" w14:paraId="0F81613E" w14:textId="77777777">
            <w:pPr>
              <w:jc w:val="right"/>
              <w:rPr>
                <w:color w:val="000000"/>
              </w:rPr>
            </w:pPr>
            <w:r>
              <w:rPr>
                <w:color w:val="000000"/>
              </w:rPr>
              <w:t>576,529</w:t>
            </w:r>
          </w:p>
        </w:tc>
        <w:tc>
          <w:tcPr>
            <w:tcW w:w="1080" w:type="dxa"/>
            <w:shd w:val="clear" w:color="auto" w:fill="auto"/>
          </w:tcPr>
          <w:p w:rsidR="00F4756D" w:rsidDel="00E37681" w:rsidP="00F4756D" w:rsidRDefault="00F4756D" w14:paraId="717C4CAF" w14:textId="77777777">
            <w:pPr>
              <w:jc w:val="right"/>
            </w:pPr>
          </w:p>
        </w:tc>
        <w:tc>
          <w:tcPr>
            <w:tcW w:w="1441" w:type="dxa"/>
            <w:shd w:val="clear" w:color="auto" w:fill="auto"/>
          </w:tcPr>
          <w:p w:rsidRPr="00401AC9" w:rsidR="00F4756D" w:rsidP="00F4756D" w:rsidRDefault="00F4756D" w14:paraId="4896B927" w14:textId="77777777">
            <w:pPr>
              <w:jc w:val="right"/>
              <w:rPr>
                <w:bCs/>
              </w:rPr>
            </w:pPr>
            <w:r w:rsidRPr="00401AC9">
              <w:rPr>
                <w:bCs/>
              </w:rPr>
              <w:t>$</w:t>
            </w:r>
            <w:r>
              <w:rPr>
                <w:bCs/>
              </w:rPr>
              <w:t>15,035,876</w:t>
            </w:r>
          </w:p>
          <w:p w:rsidRPr="00401AC9" w:rsidR="00F4756D" w:rsidP="00F4756D" w:rsidRDefault="00F4756D" w14:paraId="5949F671" w14:textId="77777777">
            <w:pPr>
              <w:jc w:val="right"/>
              <w:rPr>
                <w:bCs/>
              </w:rPr>
            </w:pPr>
          </w:p>
        </w:tc>
      </w:tr>
      <w:tr w:rsidRPr="00327942" w:rsidR="00F4756D" w:rsidTr="002740CF" w14:paraId="1C2DF73D" w14:textId="77777777">
        <w:trPr>
          <w:jc w:val="center"/>
        </w:trPr>
        <w:tc>
          <w:tcPr>
            <w:tcW w:w="5661" w:type="dxa"/>
            <w:gridSpan w:val="3"/>
            <w:shd w:val="clear" w:color="auto" w:fill="D5DCE4"/>
          </w:tcPr>
          <w:p w:rsidRPr="00327942" w:rsidR="00F4756D" w:rsidP="00F4756D" w:rsidRDefault="00F4756D" w14:paraId="218E9CEC" w14:textId="77777777">
            <w:pPr>
              <w:rPr>
                <w:color w:val="000000"/>
              </w:rPr>
            </w:pPr>
            <w:r>
              <w:rPr>
                <w:color w:val="000000"/>
              </w:rPr>
              <w:t>10</w:t>
            </w:r>
            <w:r w:rsidRPr="00327942">
              <w:rPr>
                <w:color w:val="000000"/>
              </w:rPr>
              <w:t xml:space="preserve">. </w:t>
            </w:r>
            <w:r w:rsidRPr="00CA0652">
              <w:rPr>
                <w:color w:val="000000"/>
              </w:rPr>
              <w:t xml:space="preserve"> Labeling Shipped Containers</w:t>
            </w:r>
            <w:r w:rsidRPr="00CA0652" w:rsidDel="00CA0652">
              <w:rPr>
                <w:color w:val="000000"/>
              </w:rPr>
              <w:t xml:space="preserve"> </w:t>
            </w:r>
          </w:p>
          <w:p w:rsidRPr="00AB0B90" w:rsidR="00F4756D" w:rsidP="00F4756D" w:rsidRDefault="00F4756D" w14:paraId="7726D868" w14:textId="77777777">
            <w:pPr>
              <w:jc w:val="right"/>
              <w:rPr>
                <w:color w:val="000000"/>
              </w:rPr>
            </w:pPr>
          </w:p>
        </w:tc>
        <w:tc>
          <w:tcPr>
            <w:tcW w:w="1350" w:type="dxa"/>
            <w:shd w:val="clear" w:color="auto" w:fill="D5DCE4"/>
          </w:tcPr>
          <w:p w:rsidRPr="00AB0B90" w:rsidR="00F4756D" w:rsidP="00F4756D" w:rsidRDefault="00F4756D" w14:paraId="28490358" w14:textId="77777777">
            <w:pPr>
              <w:jc w:val="right"/>
              <w:rPr>
                <w:color w:val="000000"/>
              </w:rPr>
            </w:pPr>
          </w:p>
        </w:tc>
        <w:tc>
          <w:tcPr>
            <w:tcW w:w="1295" w:type="dxa"/>
            <w:shd w:val="clear" w:color="auto" w:fill="D5DCE4"/>
          </w:tcPr>
          <w:p w:rsidRPr="00AB0B90" w:rsidR="00F4756D" w:rsidP="00F4756D" w:rsidRDefault="00F4756D" w14:paraId="141220A9" w14:textId="77777777">
            <w:pPr>
              <w:jc w:val="right"/>
              <w:rPr>
                <w:color w:val="000000"/>
              </w:rPr>
            </w:pPr>
          </w:p>
        </w:tc>
        <w:tc>
          <w:tcPr>
            <w:tcW w:w="1080" w:type="dxa"/>
            <w:shd w:val="clear" w:color="auto" w:fill="D5DCE4"/>
          </w:tcPr>
          <w:p w:rsidRPr="00327942" w:rsidR="00F4756D" w:rsidP="00F4756D" w:rsidRDefault="00F4756D" w14:paraId="167BB722" w14:textId="77777777">
            <w:pPr>
              <w:jc w:val="right"/>
              <w:rPr>
                <w:color w:val="000000"/>
              </w:rPr>
            </w:pPr>
          </w:p>
        </w:tc>
        <w:tc>
          <w:tcPr>
            <w:tcW w:w="1441" w:type="dxa"/>
            <w:shd w:val="clear" w:color="auto" w:fill="D5DCE4"/>
          </w:tcPr>
          <w:p w:rsidRPr="00401AC9" w:rsidR="00F4756D" w:rsidP="00F4756D" w:rsidRDefault="00F4756D" w14:paraId="232D4E9F" w14:textId="77777777">
            <w:pPr>
              <w:jc w:val="right"/>
              <w:rPr>
                <w:color w:val="000000"/>
              </w:rPr>
            </w:pPr>
          </w:p>
        </w:tc>
      </w:tr>
      <w:tr w:rsidRPr="00327942" w:rsidR="00F4756D" w:rsidTr="007C255B" w14:paraId="2CAEDBA3" w14:textId="77777777">
        <w:trPr>
          <w:trHeight w:val="455"/>
          <w:jc w:val="center"/>
        </w:trPr>
        <w:tc>
          <w:tcPr>
            <w:tcW w:w="2264" w:type="dxa"/>
            <w:shd w:val="clear" w:color="auto" w:fill="auto"/>
          </w:tcPr>
          <w:p w:rsidR="00F4756D" w:rsidP="00F4756D" w:rsidRDefault="00F4756D" w14:paraId="2A72B1F5" w14:textId="77777777">
            <w:pPr>
              <w:rPr>
                <w:color w:val="000000"/>
              </w:rPr>
            </w:pPr>
          </w:p>
        </w:tc>
        <w:tc>
          <w:tcPr>
            <w:tcW w:w="1961" w:type="dxa"/>
            <w:shd w:val="clear" w:color="auto" w:fill="auto"/>
          </w:tcPr>
          <w:p w:rsidRPr="00AB0B90" w:rsidR="00F4756D" w:rsidDel="00026146" w:rsidP="00F4756D" w:rsidRDefault="00F4756D" w14:paraId="0D21D2D5" w14:textId="77777777">
            <w:pPr>
              <w:jc w:val="right"/>
              <w:rPr>
                <w:color w:val="000000"/>
              </w:rPr>
            </w:pPr>
          </w:p>
        </w:tc>
        <w:tc>
          <w:tcPr>
            <w:tcW w:w="1436" w:type="dxa"/>
          </w:tcPr>
          <w:p w:rsidR="00F4756D" w:rsidP="00F4756D" w:rsidRDefault="00F4756D" w14:paraId="65A1EC26" w14:textId="77777777">
            <w:pPr>
              <w:jc w:val="right"/>
              <w:rPr>
                <w:color w:val="000000"/>
              </w:rPr>
            </w:pPr>
            <w:r>
              <w:rPr>
                <w:color w:val="000000"/>
              </w:rPr>
              <w:t>0</w:t>
            </w:r>
          </w:p>
        </w:tc>
        <w:tc>
          <w:tcPr>
            <w:tcW w:w="1350" w:type="dxa"/>
          </w:tcPr>
          <w:p w:rsidR="00F4756D" w:rsidP="00F4756D" w:rsidRDefault="00F4756D" w14:paraId="0FED658B" w14:textId="77777777">
            <w:pPr>
              <w:jc w:val="right"/>
              <w:rPr>
                <w:color w:val="000000"/>
              </w:rPr>
            </w:pPr>
          </w:p>
        </w:tc>
        <w:tc>
          <w:tcPr>
            <w:tcW w:w="1295" w:type="dxa"/>
            <w:shd w:val="clear" w:color="auto" w:fill="auto"/>
          </w:tcPr>
          <w:p w:rsidR="00F4756D" w:rsidDel="00283B61" w:rsidP="00F4756D" w:rsidRDefault="00F4756D" w14:paraId="215D4304" w14:textId="77777777">
            <w:pPr>
              <w:jc w:val="right"/>
              <w:rPr>
                <w:color w:val="000000"/>
              </w:rPr>
            </w:pPr>
            <w:r>
              <w:rPr>
                <w:color w:val="000000"/>
              </w:rPr>
              <w:t>0</w:t>
            </w:r>
          </w:p>
        </w:tc>
        <w:tc>
          <w:tcPr>
            <w:tcW w:w="1080" w:type="dxa"/>
            <w:shd w:val="clear" w:color="auto" w:fill="auto"/>
          </w:tcPr>
          <w:p w:rsidR="00F4756D" w:rsidDel="00E37681" w:rsidP="00F4756D" w:rsidRDefault="00F4756D" w14:paraId="11E0A8CD" w14:textId="77777777">
            <w:pPr>
              <w:jc w:val="right"/>
              <w:rPr>
                <w:color w:val="000000"/>
              </w:rPr>
            </w:pPr>
          </w:p>
        </w:tc>
        <w:tc>
          <w:tcPr>
            <w:tcW w:w="1441" w:type="dxa"/>
            <w:shd w:val="clear" w:color="auto" w:fill="auto"/>
          </w:tcPr>
          <w:p w:rsidRPr="00401AC9" w:rsidR="00F4756D" w:rsidDel="00283B61" w:rsidP="00F4756D" w:rsidRDefault="00F4756D" w14:paraId="72B88AB9" w14:textId="77777777">
            <w:pPr>
              <w:jc w:val="right"/>
              <w:rPr>
                <w:bCs/>
              </w:rPr>
            </w:pPr>
            <w:r>
              <w:rPr>
                <w:bCs/>
              </w:rPr>
              <w:t>0</w:t>
            </w:r>
          </w:p>
        </w:tc>
      </w:tr>
      <w:tr w:rsidRPr="00327942" w:rsidR="00F4756D" w:rsidTr="002740CF" w14:paraId="56D61B19" w14:textId="77777777">
        <w:trPr>
          <w:trHeight w:val="455"/>
          <w:jc w:val="center"/>
        </w:trPr>
        <w:tc>
          <w:tcPr>
            <w:tcW w:w="5661" w:type="dxa"/>
            <w:gridSpan w:val="3"/>
            <w:shd w:val="clear" w:color="auto" w:fill="D5DCE4"/>
          </w:tcPr>
          <w:p w:rsidRPr="00327942" w:rsidR="00F4756D" w:rsidP="00F4756D" w:rsidRDefault="00F4756D" w14:paraId="4B2CBC94" w14:textId="77777777">
            <w:pPr>
              <w:rPr>
                <w:color w:val="000000"/>
              </w:rPr>
            </w:pPr>
            <w:r>
              <w:rPr>
                <w:color w:val="000000"/>
              </w:rPr>
              <w:t>11</w:t>
            </w:r>
            <w:r w:rsidRPr="00327942">
              <w:rPr>
                <w:color w:val="000000"/>
              </w:rPr>
              <w:t xml:space="preserve">. </w:t>
            </w:r>
            <w:r>
              <w:t xml:space="preserve"> </w:t>
            </w:r>
            <w:r w:rsidRPr="00CA0652">
              <w:rPr>
                <w:color w:val="000000"/>
              </w:rPr>
              <w:t>Labeling of In-Plant Containers</w:t>
            </w:r>
            <w:r w:rsidRPr="00CA0652" w:rsidDel="00CA0652">
              <w:rPr>
                <w:color w:val="000000"/>
              </w:rPr>
              <w:t xml:space="preserve"> </w:t>
            </w:r>
          </w:p>
          <w:p w:rsidR="00F4756D" w:rsidP="00F4756D" w:rsidRDefault="00F4756D" w14:paraId="0E4B54BB" w14:textId="77777777">
            <w:pPr>
              <w:jc w:val="right"/>
              <w:rPr>
                <w:color w:val="000000"/>
              </w:rPr>
            </w:pPr>
          </w:p>
        </w:tc>
        <w:tc>
          <w:tcPr>
            <w:tcW w:w="1350" w:type="dxa"/>
            <w:shd w:val="clear" w:color="auto" w:fill="D5DCE4"/>
          </w:tcPr>
          <w:p w:rsidR="00F4756D" w:rsidP="00F4756D" w:rsidRDefault="00F4756D" w14:paraId="7AFE510A" w14:textId="77777777">
            <w:pPr>
              <w:jc w:val="right"/>
              <w:rPr>
                <w:color w:val="000000"/>
              </w:rPr>
            </w:pPr>
          </w:p>
        </w:tc>
        <w:tc>
          <w:tcPr>
            <w:tcW w:w="1295" w:type="dxa"/>
            <w:shd w:val="clear" w:color="auto" w:fill="D5DCE4"/>
          </w:tcPr>
          <w:p w:rsidRPr="00AB0B90" w:rsidR="00F4756D" w:rsidP="00F4756D" w:rsidRDefault="00F4756D" w14:paraId="0977D4F0" w14:textId="77777777">
            <w:pPr>
              <w:jc w:val="right"/>
              <w:rPr>
                <w:color w:val="000000"/>
              </w:rPr>
            </w:pPr>
          </w:p>
        </w:tc>
        <w:tc>
          <w:tcPr>
            <w:tcW w:w="1080" w:type="dxa"/>
            <w:shd w:val="clear" w:color="auto" w:fill="D5DCE4"/>
          </w:tcPr>
          <w:p w:rsidRPr="00327942" w:rsidR="00F4756D" w:rsidP="00F4756D" w:rsidRDefault="00F4756D" w14:paraId="5530A8AB" w14:textId="77777777">
            <w:pPr>
              <w:jc w:val="right"/>
              <w:rPr>
                <w:color w:val="000000"/>
              </w:rPr>
            </w:pPr>
          </w:p>
        </w:tc>
        <w:tc>
          <w:tcPr>
            <w:tcW w:w="1441" w:type="dxa"/>
            <w:shd w:val="clear" w:color="auto" w:fill="D5DCE4"/>
          </w:tcPr>
          <w:p w:rsidRPr="00401AC9" w:rsidR="00F4756D" w:rsidP="00F4756D" w:rsidRDefault="00F4756D" w14:paraId="46C38BC7" w14:textId="77777777">
            <w:pPr>
              <w:jc w:val="right"/>
              <w:rPr>
                <w:color w:val="000000"/>
              </w:rPr>
            </w:pPr>
          </w:p>
        </w:tc>
      </w:tr>
      <w:tr w:rsidRPr="00327942" w:rsidR="00F4756D" w:rsidTr="007C255B" w14:paraId="35BF8764" w14:textId="77777777">
        <w:trPr>
          <w:trHeight w:val="458"/>
          <w:jc w:val="center"/>
        </w:trPr>
        <w:tc>
          <w:tcPr>
            <w:tcW w:w="2264" w:type="dxa"/>
            <w:shd w:val="clear" w:color="auto" w:fill="auto"/>
          </w:tcPr>
          <w:p w:rsidR="00F4756D" w:rsidP="00F4756D" w:rsidRDefault="00F4756D" w14:paraId="6EDA64B2" w14:textId="77777777">
            <w:pPr>
              <w:rPr>
                <w:color w:val="000000"/>
              </w:rPr>
            </w:pPr>
            <w:r>
              <w:rPr>
                <w:color w:val="000000"/>
              </w:rPr>
              <w:t>Subtotal</w:t>
            </w:r>
          </w:p>
        </w:tc>
        <w:tc>
          <w:tcPr>
            <w:tcW w:w="1961" w:type="dxa"/>
            <w:shd w:val="clear" w:color="auto" w:fill="auto"/>
          </w:tcPr>
          <w:p w:rsidRPr="00AB0B90" w:rsidR="00F4756D" w:rsidDel="00026146" w:rsidP="009F6AEF" w:rsidRDefault="00A71FC7" w14:paraId="4B55FFF8" w14:textId="77777777">
            <w:pPr>
              <w:jc w:val="center"/>
              <w:rPr>
                <w:color w:val="000000"/>
              </w:rPr>
            </w:pPr>
            <w:r>
              <w:rPr>
                <w:color w:val="000000"/>
              </w:rPr>
              <w:t>Logistic Worker</w:t>
            </w:r>
          </w:p>
        </w:tc>
        <w:tc>
          <w:tcPr>
            <w:tcW w:w="1436" w:type="dxa"/>
          </w:tcPr>
          <w:p w:rsidR="00F4756D" w:rsidP="00F4756D" w:rsidRDefault="00F4756D" w14:paraId="3D4997F3" w14:textId="77777777">
            <w:pPr>
              <w:jc w:val="right"/>
              <w:rPr>
                <w:color w:val="000000"/>
              </w:rPr>
            </w:pPr>
            <w:r>
              <w:rPr>
                <w:color w:val="000000"/>
              </w:rPr>
              <w:t>53,480,000</w:t>
            </w:r>
          </w:p>
        </w:tc>
        <w:tc>
          <w:tcPr>
            <w:tcW w:w="1350" w:type="dxa"/>
          </w:tcPr>
          <w:p w:rsidR="00F4756D" w:rsidP="00F4756D" w:rsidRDefault="00F4756D" w14:paraId="4B570A5C" w14:textId="77777777">
            <w:pPr>
              <w:jc w:val="right"/>
              <w:rPr>
                <w:color w:val="000000"/>
              </w:rPr>
            </w:pPr>
            <w:r>
              <w:rPr>
                <w:color w:val="000000"/>
              </w:rPr>
              <w:t>0.0033</w:t>
            </w:r>
          </w:p>
        </w:tc>
        <w:tc>
          <w:tcPr>
            <w:tcW w:w="1295" w:type="dxa"/>
            <w:shd w:val="clear" w:color="auto" w:fill="auto"/>
          </w:tcPr>
          <w:p w:rsidR="00F4756D" w:rsidP="00F4756D" w:rsidRDefault="00F4756D" w14:paraId="65355764" w14:textId="77777777">
            <w:pPr>
              <w:jc w:val="right"/>
              <w:rPr>
                <w:color w:val="000000"/>
              </w:rPr>
            </w:pPr>
            <w:r>
              <w:rPr>
                <w:color w:val="000000"/>
              </w:rPr>
              <w:t>176,484</w:t>
            </w:r>
          </w:p>
        </w:tc>
        <w:tc>
          <w:tcPr>
            <w:tcW w:w="1080" w:type="dxa"/>
            <w:shd w:val="clear" w:color="auto" w:fill="auto"/>
          </w:tcPr>
          <w:p w:rsidR="00F4756D" w:rsidDel="00E37681" w:rsidP="00F4756D" w:rsidRDefault="00F4756D" w14:paraId="4A668DB7" w14:textId="77777777">
            <w:pPr>
              <w:jc w:val="right"/>
              <w:rPr>
                <w:color w:val="000000"/>
              </w:rPr>
            </w:pPr>
            <w:r>
              <w:rPr>
                <w:color w:val="000000"/>
              </w:rPr>
              <w:t>$53.99</w:t>
            </w:r>
          </w:p>
        </w:tc>
        <w:tc>
          <w:tcPr>
            <w:tcW w:w="1441" w:type="dxa"/>
            <w:shd w:val="clear" w:color="auto" w:fill="auto"/>
          </w:tcPr>
          <w:p w:rsidRPr="00401AC9" w:rsidR="00F4756D" w:rsidP="00F4756D" w:rsidRDefault="00F4756D" w14:paraId="5B577F05" w14:textId="77777777">
            <w:pPr>
              <w:jc w:val="right"/>
              <w:rPr>
                <w:bCs/>
              </w:rPr>
            </w:pPr>
            <w:r w:rsidRPr="00401AC9">
              <w:rPr>
                <w:bCs/>
              </w:rPr>
              <w:t>$</w:t>
            </w:r>
            <w:r>
              <w:rPr>
                <w:bCs/>
              </w:rPr>
              <w:t>9,528,371</w:t>
            </w:r>
            <w:r w:rsidRPr="00401AC9">
              <w:rPr>
                <w:bCs/>
              </w:rPr>
              <w:t xml:space="preserve"> </w:t>
            </w:r>
          </w:p>
          <w:p w:rsidRPr="00401AC9" w:rsidR="00F4756D" w:rsidP="00F4756D" w:rsidRDefault="00F4756D" w14:paraId="46B0BEFA" w14:textId="77777777">
            <w:pPr>
              <w:jc w:val="right"/>
              <w:rPr>
                <w:color w:val="000000"/>
              </w:rPr>
            </w:pPr>
          </w:p>
          <w:p w:rsidRPr="00401AC9" w:rsidR="00F4756D" w:rsidP="00F4756D" w:rsidRDefault="00F4756D" w14:paraId="059B66B3" w14:textId="77777777">
            <w:pPr>
              <w:jc w:val="right"/>
              <w:rPr>
                <w:bCs/>
              </w:rPr>
            </w:pPr>
          </w:p>
        </w:tc>
      </w:tr>
      <w:tr w:rsidRPr="00327942" w:rsidR="00F4756D" w:rsidTr="002740CF" w14:paraId="7B46D550" w14:textId="77777777">
        <w:trPr>
          <w:jc w:val="center"/>
        </w:trPr>
        <w:tc>
          <w:tcPr>
            <w:tcW w:w="5661" w:type="dxa"/>
            <w:gridSpan w:val="3"/>
            <w:shd w:val="clear" w:color="auto" w:fill="D5DCE4"/>
          </w:tcPr>
          <w:p w:rsidRPr="00327942" w:rsidR="00F4756D" w:rsidP="00F4756D" w:rsidRDefault="00F4756D" w14:paraId="0FB9E12C" w14:textId="77777777">
            <w:pPr>
              <w:rPr>
                <w:color w:val="000000"/>
              </w:rPr>
            </w:pPr>
            <w:r>
              <w:rPr>
                <w:color w:val="000000"/>
              </w:rPr>
              <w:t>12</w:t>
            </w:r>
            <w:r w:rsidRPr="00CA0652">
              <w:rPr>
                <w:color w:val="000000"/>
              </w:rPr>
              <w:t>. Access to Trade Secrets</w:t>
            </w:r>
            <w:r w:rsidRPr="00CA0652" w:rsidDel="00CA0652">
              <w:rPr>
                <w:color w:val="000000"/>
              </w:rPr>
              <w:t xml:space="preserve"> </w:t>
            </w:r>
          </w:p>
          <w:p w:rsidR="00F4756D" w:rsidP="00F4756D" w:rsidRDefault="00F4756D" w14:paraId="6900004A" w14:textId="77777777">
            <w:pPr>
              <w:jc w:val="right"/>
              <w:rPr>
                <w:color w:val="000000"/>
              </w:rPr>
            </w:pPr>
          </w:p>
        </w:tc>
        <w:tc>
          <w:tcPr>
            <w:tcW w:w="1350" w:type="dxa"/>
            <w:shd w:val="clear" w:color="auto" w:fill="D5DCE4"/>
          </w:tcPr>
          <w:p w:rsidR="00F4756D" w:rsidP="00F4756D" w:rsidRDefault="00F4756D" w14:paraId="401816A3" w14:textId="77777777">
            <w:pPr>
              <w:jc w:val="right"/>
              <w:rPr>
                <w:color w:val="000000"/>
              </w:rPr>
            </w:pPr>
          </w:p>
        </w:tc>
        <w:tc>
          <w:tcPr>
            <w:tcW w:w="1295" w:type="dxa"/>
            <w:shd w:val="clear" w:color="auto" w:fill="D5DCE4"/>
          </w:tcPr>
          <w:p w:rsidRPr="00AB0B90" w:rsidR="00F4756D" w:rsidP="00F4756D" w:rsidRDefault="00F4756D" w14:paraId="77293970" w14:textId="77777777">
            <w:pPr>
              <w:jc w:val="right"/>
              <w:rPr>
                <w:color w:val="000000"/>
              </w:rPr>
            </w:pPr>
          </w:p>
        </w:tc>
        <w:tc>
          <w:tcPr>
            <w:tcW w:w="1080" w:type="dxa"/>
            <w:shd w:val="clear" w:color="auto" w:fill="D5DCE4"/>
          </w:tcPr>
          <w:p w:rsidRPr="00327942" w:rsidR="00F4756D" w:rsidP="00F4756D" w:rsidRDefault="00F4756D" w14:paraId="038D6FCF" w14:textId="77777777">
            <w:pPr>
              <w:jc w:val="right"/>
              <w:rPr>
                <w:color w:val="000000"/>
              </w:rPr>
            </w:pPr>
          </w:p>
        </w:tc>
        <w:tc>
          <w:tcPr>
            <w:tcW w:w="1441" w:type="dxa"/>
            <w:shd w:val="clear" w:color="auto" w:fill="D5DCE4"/>
          </w:tcPr>
          <w:p w:rsidRPr="00401AC9" w:rsidR="00F4756D" w:rsidP="00F4756D" w:rsidRDefault="00F4756D" w14:paraId="6406FDE3" w14:textId="77777777">
            <w:pPr>
              <w:jc w:val="right"/>
              <w:rPr>
                <w:color w:val="000000"/>
              </w:rPr>
            </w:pPr>
          </w:p>
        </w:tc>
      </w:tr>
      <w:tr w:rsidRPr="00327942" w:rsidR="00F4756D" w:rsidTr="007C255B" w14:paraId="30C688D4" w14:textId="77777777">
        <w:trPr>
          <w:jc w:val="center"/>
        </w:trPr>
        <w:tc>
          <w:tcPr>
            <w:tcW w:w="2264" w:type="dxa"/>
            <w:shd w:val="clear" w:color="auto" w:fill="auto"/>
          </w:tcPr>
          <w:p w:rsidR="00F4756D" w:rsidP="00F4756D" w:rsidRDefault="00F4756D" w14:paraId="677254D2" w14:textId="77777777">
            <w:pPr>
              <w:rPr>
                <w:color w:val="000000"/>
              </w:rPr>
            </w:pPr>
          </w:p>
        </w:tc>
        <w:tc>
          <w:tcPr>
            <w:tcW w:w="1961" w:type="dxa"/>
            <w:shd w:val="clear" w:color="auto" w:fill="auto"/>
          </w:tcPr>
          <w:p w:rsidRPr="00AB0B90" w:rsidR="00F4756D" w:rsidDel="00026146" w:rsidP="009F6AEF" w:rsidRDefault="00A71FC7" w14:paraId="282CF8BF" w14:textId="77777777">
            <w:pPr>
              <w:jc w:val="center"/>
              <w:rPr>
                <w:color w:val="000000"/>
              </w:rPr>
            </w:pPr>
            <w:r>
              <w:rPr>
                <w:color w:val="000000"/>
              </w:rPr>
              <w:t>Supervisor</w:t>
            </w:r>
          </w:p>
        </w:tc>
        <w:tc>
          <w:tcPr>
            <w:tcW w:w="1436" w:type="dxa"/>
          </w:tcPr>
          <w:p w:rsidR="00F4756D" w:rsidP="00F4756D" w:rsidRDefault="00F4756D" w14:paraId="604F85E9" w14:textId="77777777">
            <w:pPr>
              <w:jc w:val="right"/>
              <w:rPr>
                <w:color w:val="000000"/>
              </w:rPr>
            </w:pPr>
            <w:r>
              <w:rPr>
                <w:color w:val="000000"/>
              </w:rPr>
              <w:t>84,660</w:t>
            </w:r>
          </w:p>
        </w:tc>
        <w:tc>
          <w:tcPr>
            <w:tcW w:w="1350" w:type="dxa"/>
          </w:tcPr>
          <w:p w:rsidR="00F4756D" w:rsidP="00F4756D" w:rsidRDefault="00F4756D" w14:paraId="65D12345" w14:textId="77777777">
            <w:pPr>
              <w:jc w:val="right"/>
              <w:rPr>
                <w:color w:val="000000"/>
              </w:rPr>
            </w:pPr>
            <w:r>
              <w:rPr>
                <w:color w:val="000000"/>
              </w:rPr>
              <w:t>4</w:t>
            </w:r>
          </w:p>
        </w:tc>
        <w:tc>
          <w:tcPr>
            <w:tcW w:w="1295" w:type="dxa"/>
            <w:shd w:val="clear" w:color="auto" w:fill="auto"/>
          </w:tcPr>
          <w:p w:rsidR="00F4756D" w:rsidP="00F4756D" w:rsidRDefault="00F4756D" w14:paraId="2342EFED" w14:textId="77777777">
            <w:pPr>
              <w:jc w:val="right"/>
              <w:rPr>
                <w:color w:val="000000"/>
              </w:rPr>
            </w:pPr>
            <w:r>
              <w:rPr>
                <w:color w:val="000000"/>
              </w:rPr>
              <w:t>338,640</w:t>
            </w:r>
          </w:p>
        </w:tc>
        <w:tc>
          <w:tcPr>
            <w:tcW w:w="1080" w:type="dxa"/>
            <w:shd w:val="clear" w:color="auto" w:fill="auto"/>
          </w:tcPr>
          <w:p w:rsidR="00F4756D" w:rsidDel="00E37681" w:rsidP="00F4756D" w:rsidRDefault="00F4756D" w14:paraId="59FB131D" w14:textId="77777777">
            <w:pPr>
              <w:jc w:val="right"/>
              <w:rPr>
                <w:color w:val="000000"/>
              </w:rPr>
            </w:pPr>
            <w:r>
              <w:rPr>
                <w:color w:val="000000"/>
              </w:rPr>
              <w:t>$77.76</w:t>
            </w:r>
          </w:p>
        </w:tc>
        <w:tc>
          <w:tcPr>
            <w:tcW w:w="1441" w:type="dxa"/>
            <w:shd w:val="clear" w:color="auto" w:fill="auto"/>
          </w:tcPr>
          <w:p w:rsidRPr="00401AC9" w:rsidR="00F4756D" w:rsidP="00420B5D" w:rsidRDefault="00F4756D" w14:paraId="10192C56" w14:textId="77777777">
            <w:pPr>
              <w:jc w:val="right"/>
              <w:rPr>
                <w:color w:val="000000"/>
              </w:rPr>
            </w:pPr>
            <w:r w:rsidRPr="00401AC9">
              <w:rPr>
                <w:color w:val="000000"/>
              </w:rPr>
              <w:t>$</w:t>
            </w:r>
            <w:r w:rsidR="00420B5D">
              <w:rPr>
                <w:color w:val="000000"/>
              </w:rPr>
              <w:t>26,332,646</w:t>
            </w:r>
          </w:p>
        </w:tc>
      </w:tr>
      <w:tr w:rsidRPr="00327942" w:rsidR="00781124" w:rsidTr="002740CF" w14:paraId="416BD4BA" w14:textId="77777777">
        <w:trPr>
          <w:jc w:val="center"/>
        </w:trPr>
        <w:tc>
          <w:tcPr>
            <w:tcW w:w="5661" w:type="dxa"/>
            <w:gridSpan w:val="3"/>
            <w:shd w:val="clear" w:color="auto" w:fill="D5DCE4"/>
          </w:tcPr>
          <w:p w:rsidRPr="00327942" w:rsidR="00781124" w:rsidP="00F4756D" w:rsidRDefault="00781124" w14:paraId="4B7BFF96" w14:textId="77777777">
            <w:pPr>
              <w:tabs>
                <w:tab w:val="center" w:pos="1017"/>
              </w:tabs>
              <w:rPr>
                <w:color w:val="000000"/>
              </w:rPr>
            </w:pPr>
            <w:r>
              <w:rPr>
                <w:color w:val="000000"/>
              </w:rPr>
              <w:t>13.</w:t>
            </w:r>
            <w:r>
              <w:rPr>
                <w:color w:val="000000"/>
              </w:rPr>
              <w:tab/>
            </w:r>
            <w:r>
              <w:t xml:space="preserve"> </w:t>
            </w:r>
            <w:r w:rsidRPr="009D1128">
              <w:rPr>
                <w:color w:val="000000"/>
              </w:rPr>
              <w:t>Employee Access</w:t>
            </w:r>
          </w:p>
          <w:p w:rsidR="00781124" w:rsidP="00F4756D" w:rsidRDefault="00781124" w14:paraId="6F08FDC6" w14:textId="77777777">
            <w:pPr>
              <w:jc w:val="right"/>
              <w:rPr>
                <w:color w:val="000000"/>
              </w:rPr>
            </w:pPr>
          </w:p>
        </w:tc>
        <w:tc>
          <w:tcPr>
            <w:tcW w:w="1350" w:type="dxa"/>
            <w:shd w:val="clear" w:color="auto" w:fill="D5DCE4"/>
          </w:tcPr>
          <w:p w:rsidR="00781124" w:rsidP="00F4756D" w:rsidRDefault="00781124" w14:paraId="46FC7E6E" w14:textId="77777777">
            <w:pPr>
              <w:jc w:val="right"/>
              <w:rPr>
                <w:color w:val="000000"/>
              </w:rPr>
            </w:pPr>
          </w:p>
        </w:tc>
        <w:tc>
          <w:tcPr>
            <w:tcW w:w="1295" w:type="dxa"/>
            <w:shd w:val="clear" w:color="auto" w:fill="D5DCE4"/>
          </w:tcPr>
          <w:p w:rsidRPr="00AB0B90" w:rsidR="00781124" w:rsidP="00F4756D" w:rsidRDefault="00781124" w14:paraId="5F8B1235" w14:textId="77777777">
            <w:pPr>
              <w:jc w:val="right"/>
              <w:rPr>
                <w:color w:val="000000"/>
              </w:rPr>
            </w:pPr>
          </w:p>
        </w:tc>
        <w:tc>
          <w:tcPr>
            <w:tcW w:w="1080" w:type="dxa"/>
            <w:shd w:val="clear" w:color="auto" w:fill="D5DCE4"/>
          </w:tcPr>
          <w:p w:rsidRPr="00327942" w:rsidR="00781124" w:rsidP="00F4756D" w:rsidRDefault="00781124" w14:paraId="754669B2" w14:textId="77777777">
            <w:pPr>
              <w:jc w:val="right"/>
              <w:rPr>
                <w:color w:val="000000"/>
              </w:rPr>
            </w:pPr>
          </w:p>
        </w:tc>
        <w:tc>
          <w:tcPr>
            <w:tcW w:w="1441" w:type="dxa"/>
            <w:shd w:val="clear" w:color="auto" w:fill="D5DCE4"/>
          </w:tcPr>
          <w:p w:rsidRPr="00401AC9" w:rsidR="00781124" w:rsidP="00F4756D" w:rsidRDefault="00781124" w14:paraId="2951C7D4" w14:textId="77777777">
            <w:pPr>
              <w:jc w:val="right"/>
              <w:rPr>
                <w:color w:val="000000"/>
              </w:rPr>
            </w:pPr>
          </w:p>
        </w:tc>
      </w:tr>
      <w:tr w:rsidRPr="00327942" w:rsidR="00BB0669" w:rsidTr="007C255B" w14:paraId="5479B86F" w14:textId="77777777">
        <w:trPr>
          <w:trHeight w:val="293"/>
          <w:jc w:val="center"/>
        </w:trPr>
        <w:tc>
          <w:tcPr>
            <w:tcW w:w="2264" w:type="dxa"/>
            <w:shd w:val="clear" w:color="auto" w:fill="auto"/>
          </w:tcPr>
          <w:p w:rsidRPr="00327942" w:rsidR="00F4756D" w:rsidP="00F4756D" w:rsidRDefault="00F4756D" w14:paraId="60CCACB3" w14:textId="77777777">
            <w:pPr>
              <w:rPr>
                <w:color w:val="000000"/>
              </w:rPr>
            </w:pPr>
            <w:r>
              <w:rPr>
                <w:color w:val="000000"/>
              </w:rPr>
              <w:t>Subtotal</w:t>
            </w:r>
          </w:p>
        </w:tc>
        <w:tc>
          <w:tcPr>
            <w:tcW w:w="1961" w:type="dxa"/>
            <w:shd w:val="clear" w:color="auto" w:fill="auto"/>
          </w:tcPr>
          <w:p w:rsidRPr="00FF1F12" w:rsidR="00F4756D" w:rsidP="009F6AEF" w:rsidRDefault="00781124" w14:paraId="270A33A8" w14:textId="77777777">
            <w:pPr>
              <w:jc w:val="center"/>
              <w:rPr>
                <w:color w:val="000000"/>
              </w:rPr>
            </w:pPr>
            <w:r>
              <w:rPr>
                <w:color w:val="000000"/>
              </w:rPr>
              <w:t>Clerical</w:t>
            </w:r>
          </w:p>
        </w:tc>
        <w:tc>
          <w:tcPr>
            <w:tcW w:w="1436" w:type="dxa"/>
          </w:tcPr>
          <w:p w:rsidRPr="002C0B15" w:rsidR="00F4756D" w:rsidP="00F4756D" w:rsidRDefault="00F4756D" w14:paraId="4D6C8BB2" w14:textId="77777777">
            <w:pPr>
              <w:jc w:val="right"/>
              <w:rPr>
                <w:color w:val="000000"/>
              </w:rPr>
            </w:pPr>
            <w:r>
              <w:rPr>
                <w:color w:val="000000"/>
              </w:rPr>
              <w:t>3,010,989</w:t>
            </w:r>
          </w:p>
        </w:tc>
        <w:tc>
          <w:tcPr>
            <w:tcW w:w="1350" w:type="dxa"/>
          </w:tcPr>
          <w:p w:rsidRPr="002C0B15" w:rsidR="00F4756D" w:rsidP="00F4756D" w:rsidRDefault="00F4756D" w14:paraId="5838196F" w14:textId="77777777">
            <w:pPr>
              <w:jc w:val="right"/>
              <w:rPr>
                <w:color w:val="000000"/>
              </w:rPr>
            </w:pPr>
            <w:r>
              <w:rPr>
                <w:color w:val="000000"/>
              </w:rPr>
              <w:t>0.167</w:t>
            </w:r>
          </w:p>
        </w:tc>
        <w:tc>
          <w:tcPr>
            <w:tcW w:w="1295" w:type="dxa"/>
            <w:shd w:val="clear" w:color="auto" w:fill="auto"/>
          </w:tcPr>
          <w:p w:rsidRPr="002C0B15" w:rsidR="00F4756D" w:rsidP="00F4756D" w:rsidRDefault="00F4756D" w14:paraId="7B349522" w14:textId="77777777">
            <w:pPr>
              <w:jc w:val="right"/>
              <w:rPr>
                <w:color w:val="000000"/>
              </w:rPr>
            </w:pPr>
            <w:r>
              <w:rPr>
                <w:color w:val="000000"/>
              </w:rPr>
              <w:t>502,835</w:t>
            </w:r>
          </w:p>
        </w:tc>
        <w:tc>
          <w:tcPr>
            <w:tcW w:w="1080" w:type="dxa"/>
            <w:shd w:val="clear" w:color="auto" w:fill="auto"/>
          </w:tcPr>
          <w:p w:rsidRPr="00327942" w:rsidR="00F4756D" w:rsidP="00F4756D" w:rsidRDefault="00F4756D" w14:paraId="2B4A2314" w14:textId="77777777">
            <w:pPr>
              <w:jc w:val="right"/>
              <w:rPr>
                <w:color w:val="000000"/>
              </w:rPr>
            </w:pPr>
            <w:r>
              <w:rPr>
                <w:color w:val="000000"/>
              </w:rPr>
              <w:t>$26.08</w:t>
            </w:r>
          </w:p>
        </w:tc>
        <w:tc>
          <w:tcPr>
            <w:tcW w:w="1441" w:type="dxa"/>
            <w:shd w:val="clear" w:color="auto" w:fill="auto"/>
          </w:tcPr>
          <w:p w:rsidRPr="00401AC9" w:rsidR="00F4756D" w:rsidP="009F6AEF" w:rsidRDefault="00542E51" w14:paraId="56307521" w14:textId="77777777">
            <w:pPr>
              <w:tabs>
                <w:tab w:val="right" w:pos="1099"/>
              </w:tabs>
              <w:rPr>
                <w:color w:val="000000"/>
              </w:rPr>
            </w:pPr>
            <w:r>
              <w:rPr>
                <w:bCs/>
              </w:rPr>
              <w:tab/>
            </w:r>
            <w:r w:rsidR="00F4756D">
              <w:rPr>
                <w:bCs/>
              </w:rPr>
              <w:t>$13,113,937</w:t>
            </w:r>
          </w:p>
          <w:p w:rsidRPr="00401AC9" w:rsidR="00F4756D" w:rsidP="00F4756D" w:rsidRDefault="00F4756D" w14:paraId="1C0A5C0A" w14:textId="77777777">
            <w:pPr>
              <w:jc w:val="right"/>
              <w:rPr>
                <w:color w:val="000000"/>
              </w:rPr>
            </w:pPr>
          </w:p>
        </w:tc>
      </w:tr>
      <w:tr w:rsidRPr="00327942" w:rsidR="00F4756D" w:rsidTr="002740CF" w14:paraId="74B62EB5" w14:textId="77777777">
        <w:trPr>
          <w:jc w:val="center"/>
        </w:trPr>
        <w:tc>
          <w:tcPr>
            <w:tcW w:w="5661" w:type="dxa"/>
            <w:gridSpan w:val="3"/>
            <w:shd w:val="clear" w:color="auto" w:fill="D5DCE4"/>
          </w:tcPr>
          <w:p w:rsidRPr="00327942" w:rsidR="00F4756D" w:rsidP="00F4756D" w:rsidRDefault="00F4756D" w14:paraId="5CA55B21" w14:textId="77777777">
            <w:pPr>
              <w:rPr>
                <w:color w:val="000000"/>
              </w:rPr>
            </w:pPr>
            <w:r w:rsidRPr="00327942">
              <w:rPr>
                <w:color w:val="000000"/>
              </w:rPr>
              <w:t>1</w:t>
            </w:r>
            <w:r>
              <w:rPr>
                <w:color w:val="000000"/>
              </w:rPr>
              <w:t>4</w:t>
            </w:r>
            <w:r w:rsidRPr="00327942">
              <w:rPr>
                <w:color w:val="000000"/>
              </w:rPr>
              <w:t xml:space="preserve">. </w:t>
            </w:r>
            <w:r>
              <w:t xml:space="preserve"> </w:t>
            </w:r>
            <w:r w:rsidRPr="009D1128">
              <w:rPr>
                <w:color w:val="000000"/>
              </w:rPr>
              <w:t>Revisions to the Safety Data Sheets and Labeling</w:t>
            </w:r>
            <w:r w:rsidRPr="009D1128" w:rsidDel="009D1128">
              <w:rPr>
                <w:color w:val="000000"/>
              </w:rPr>
              <w:t xml:space="preserve"> </w:t>
            </w:r>
          </w:p>
          <w:p w:rsidR="00F4756D" w:rsidP="00F4756D" w:rsidRDefault="00F4756D" w14:paraId="4EA5F4E7" w14:textId="77777777">
            <w:pPr>
              <w:jc w:val="right"/>
            </w:pPr>
          </w:p>
        </w:tc>
        <w:tc>
          <w:tcPr>
            <w:tcW w:w="1350" w:type="dxa"/>
            <w:shd w:val="clear" w:color="auto" w:fill="D5DCE4"/>
          </w:tcPr>
          <w:p w:rsidR="00F4756D" w:rsidP="00F4756D" w:rsidRDefault="00F4756D" w14:paraId="4FB11BAE" w14:textId="77777777">
            <w:pPr>
              <w:jc w:val="right"/>
            </w:pPr>
          </w:p>
        </w:tc>
        <w:tc>
          <w:tcPr>
            <w:tcW w:w="1295" w:type="dxa"/>
            <w:shd w:val="clear" w:color="auto" w:fill="D5DCE4"/>
          </w:tcPr>
          <w:p w:rsidRPr="00334BF8" w:rsidR="00F4756D" w:rsidP="00F4756D" w:rsidRDefault="00F4756D" w14:paraId="587FD347" w14:textId="77777777">
            <w:pPr>
              <w:jc w:val="right"/>
            </w:pPr>
          </w:p>
        </w:tc>
        <w:tc>
          <w:tcPr>
            <w:tcW w:w="1080" w:type="dxa"/>
            <w:shd w:val="clear" w:color="auto" w:fill="D5DCE4"/>
          </w:tcPr>
          <w:p w:rsidRPr="00327942" w:rsidR="00F4756D" w:rsidP="00F4756D" w:rsidRDefault="00F4756D" w14:paraId="3AD9284E" w14:textId="77777777">
            <w:pPr>
              <w:jc w:val="right"/>
              <w:rPr>
                <w:color w:val="000000"/>
              </w:rPr>
            </w:pPr>
          </w:p>
        </w:tc>
        <w:tc>
          <w:tcPr>
            <w:tcW w:w="1441" w:type="dxa"/>
            <w:shd w:val="clear" w:color="auto" w:fill="D5DCE4"/>
          </w:tcPr>
          <w:p w:rsidRPr="00401AC9" w:rsidR="00F4756D" w:rsidP="00F4756D" w:rsidRDefault="00F4756D" w14:paraId="37EC0630" w14:textId="77777777">
            <w:pPr>
              <w:jc w:val="right"/>
              <w:rPr>
                <w:color w:val="000000"/>
              </w:rPr>
            </w:pPr>
          </w:p>
        </w:tc>
      </w:tr>
      <w:tr w:rsidRPr="00327942" w:rsidR="00BB0669" w:rsidTr="009E6FDF" w14:paraId="041EB486" w14:textId="77777777">
        <w:trPr>
          <w:jc w:val="center"/>
        </w:trPr>
        <w:tc>
          <w:tcPr>
            <w:tcW w:w="2264" w:type="dxa"/>
            <w:shd w:val="clear" w:color="auto" w:fill="auto"/>
            <w:vAlign w:val="center"/>
          </w:tcPr>
          <w:p w:rsidRPr="00327942" w:rsidR="00B64803" w:rsidP="00B64803" w:rsidRDefault="00B64803" w14:paraId="0C2ADCB4" w14:textId="77777777">
            <w:pPr>
              <w:rPr>
                <w:color w:val="000000"/>
              </w:rPr>
            </w:pPr>
            <w:r>
              <w:rPr>
                <w:color w:val="000000"/>
              </w:rPr>
              <w:t>1-19</w:t>
            </w:r>
          </w:p>
        </w:tc>
        <w:tc>
          <w:tcPr>
            <w:tcW w:w="1961" w:type="dxa"/>
            <w:shd w:val="clear" w:color="auto" w:fill="auto"/>
            <w:vAlign w:val="center"/>
          </w:tcPr>
          <w:p w:rsidR="00B64803" w:rsidP="009F6AEF" w:rsidRDefault="00B64803" w14:paraId="5F69F10B" w14:textId="77777777">
            <w:pPr>
              <w:jc w:val="center"/>
              <w:rPr>
                <w:sz w:val="18"/>
                <w:szCs w:val="18"/>
              </w:rPr>
            </w:pPr>
            <w:r w:rsidRPr="009F6AEF">
              <w:rPr>
                <w:sz w:val="18"/>
                <w:szCs w:val="18"/>
              </w:rPr>
              <w:t>Occupational Health &amp; Safety Specialist</w:t>
            </w:r>
          </w:p>
          <w:p w:rsidRPr="009F6AEF" w:rsidR="005F77A9" w:rsidP="009F6AEF" w:rsidRDefault="005F77A9" w14:paraId="63619E1C" w14:textId="7594901F">
            <w:pPr>
              <w:jc w:val="center"/>
              <w:rPr>
                <w:color w:val="000000"/>
                <w:sz w:val="18"/>
                <w:szCs w:val="18"/>
              </w:rPr>
            </w:pPr>
          </w:p>
        </w:tc>
        <w:tc>
          <w:tcPr>
            <w:tcW w:w="1436" w:type="dxa"/>
            <w:vAlign w:val="center"/>
          </w:tcPr>
          <w:p w:rsidRPr="002C0B15" w:rsidR="00B64803" w:rsidP="00B64803" w:rsidRDefault="00B64803" w14:paraId="32FB8545" w14:textId="77777777">
            <w:pPr>
              <w:jc w:val="right"/>
              <w:rPr>
                <w:color w:val="000000"/>
              </w:rPr>
            </w:pPr>
            <w:r>
              <w:rPr>
                <w:color w:val="000000"/>
              </w:rPr>
              <w:t>114,915</w:t>
            </w:r>
          </w:p>
        </w:tc>
        <w:tc>
          <w:tcPr>
            <w:tcW w:w="1350" w:type="dxa"/>
            <w:vAlign w:val="center"/>
          </w:tcPr>
          <w:p w:rsidRPr="002C0B15" w:rsidR="00B64803" w:rsidP="00B64803" w:rsidRDefault="00B64803" w14:paraId="76346D86" w14:textId="77777777">
            <w:pPr>
              <w:jc w:val="right"/>
              <w:rPr>
                <w:color w:val="000000"/>
              </w:rPr>
            </w:pPr>
            <w:r>
              <w:rPr>
                <w:color w:val="000000"/>
              </w:rPr>
              <w:t>0.7</w:t>
            </w:r>
          </w:p>
        </w:tc>
        <w:tc>
          <w:tcPr>
            <w:tcW w:w="1295" w:type="dxa"/>
            <w:shd w:val="clear" w:color="auto" w:fill="auto"/>
            <w:vAlign w:val="center"/>
          </w:tcPr>
          <w:p w:rsidRPr="002C0B15" w:rsidR="00B64803" w:rsidP="00B64803" w:rsidRDefault="00B64803" w14:paraId="545A9621" w14:textId="77777777">
            <w:pPr>
              <w:jc w:val="right"/>
              <w:rPr>
                <w:color w:val="000000"/>
              </w:rPr>
            </w:pPr>
            <w:r>
              <w:rPr>
                <w:color w:val="000000"/>
              </w:rPr>
              <w:t>80,441</w:t>
            </w:r>
          </w:p>
        </w:tc>
        <w:tc>
          <w:tcPr>
            <w:tcW w:w="1080" w:type="dxa"/>
            <w:shd w:val="clear" w:color="auto" w:fill="auto"/>
            <w:vAlign w:val="center"/>
          </w:tcPr>
          <w:p w:rsidRPr="00327942" w:rsidR="00B64803" w:rsidP="00B64803" w:rsidRDefault="00B64803" w14:paraId="323E51EC" w14:textId="77777777">
            <w:pPr>
              <w:jc w:val="right"/>
              <w:rPr>
                <w:color w:val="000000"/>
              </w:rPr>
            </w:pPr>
            <w:r>
              <w:rPr>
                <w:color w:val="000000"/>
              </w:rPr>
              <w:t>$51.40</w:t>
            </w:r>
          </w:p>
        </w:tc>
        <w:tc>
          <w:tcPr>
            <w:tcW w:w="1441" w:type="dxa"/>
            <w:shd w:val="clear" w:color="auto" w:fill="auto"/>
            <w:vAlign w:val="center"/>
          </w:tcPr>
          <w:p w:rsidRPr="00401AC9" w:rsidR="00B64803" w:rsidP="00B64803" w:rsidRDefault="00B64803" w14:paraId="1BD98DB9" w14:textId="77777777">
            <w:pPr>
              <w:jc w:val="right"/>
              <w:rPr>
                <w:color w:val="000000"/>
              </w:rPr>
            </w:pPr>
            <w:r>
              <w:rPr>
                <w:color w:val="000000"/>
              </w:rPr>
              <w:t>$4,134,667</w:t>
            </w:r>
          </w:p>
        </w:tc>
      </w:tr>
      <w:tr w:rsidRPr="00327942" w:rsidR="009004D3" w:rsidTr="007C255B" w14:paraId="03CD5B75" w14:textId="77777777">
        <w:trPr>
          <w:jc w:val="center"/>
        </w:trPr>
        <w:tc>
          <w:tcPr>
            <w:tcW w:w="2264" w:type="dxa"/>
            <w:shd w:val="clear" w:color="auto" w:fill="auto"/>
          </w:tcPr>
          <w:p w:rsidRPr="00327942" w:rsidR="009004D3" w:rsidP="009004D3" w:rsidRDefault="009004D3" w14:paraId="290022A4" w14:textId="77777777">
            <w:pPr>
              <w:rPr>
                <w:color w:val="000000"/>
              </w:rPr>
            </w:pPr>
            <w:r>
              <w:rPr>
                <w:color w:val="000000"/>
              </w:rPr>
              <w:t>20-99</w:t>
            </w:r>
          </w:p>
        </w:tc>
        <w:tc>
          <w:tcPr>
            <w:tcW w:w="1961" w:type="dxa"/>
            <w:shd w:val="clear" w:color="auto" w:fill="auto"/>
          </w:tcPr>
          <w:p w:rsidRPr="009F6AEF" w:rsidR="009004D3" w:rsidP="009F6AEF" w:rsidRDefault="009004D3" w14:paraId="053DBCA2" w14:textId="77777777">
            <w:pPr>
              <w:jc w:val="center"/>
              <w:rPr>
                <w:color w:val="000000"/>
                <w:sz w:val="18"/>
                <w:szCs w:val="18"/>
              </w:rPr>
            </w:pPr>
            <w:r w:rsidRPr="009F6AEF">
              <w:rPr>
                <w:sz w:val="18"/>
                <w:szCs w:val="18"/>
              </w:rPr>
              <w:t>Occupational Health &amp; Safety Specialist</w:t>
            </w:r>
          </w:p>
        </w:tc>
        <w:tc>
          <w:tcPr>
            <w:tcW w:w="1436" w:type="dxa"/>
          </w:tcPr>
          <w:p w:rsidRPr="002C0B15" w:rsidR="009004D3" w:rsidP="009004D3" w:rsidRDefault="009004D3" w14:paraId="2C7A382B" w14:textId="77777777">
            <w:pPr>
              <w:jc w:val="right"/>
              <w:rPr>
                <w:color w:val="000000"/>
              </w:rPr>
            </w:pPr>
            <w:r>
              <w:rPr>
                <w:color w:val="000000"/>
              </w:rPr>
              <w:t>120,016</w:t>
            </w:r>
          </w:p>
        </w:tc>
        <w:tc>
          <w:tcPr>
            <w:tcW w:w="1350" w:type="dxa"/>
          </w:tcPr>
          <w:p w:rsidRPr="002C0B15" w:rsidR="009004D3" w:rsidP="009004D3" w:rsidRDefault="009004D3" w14:paraId="67C98EA1" w14:textId="77777777">
            <w:pPr>
              <w:jc w:val="right"/>
              <w:rPr>
                <w:color w:val="000000"/>
              </w:rPr>
            </w:pPr>
            <w:r>
              <w:rPr>
                <w:color w:val="000000"/>
              </w:rPr>
              <w:t>0.7</w:t>
            </w:r>
          </w:p>
        </w:tc>
        <w:tc>
          <w:tcPr>
            <w:tcW w:w="1295" w:type="dxa"/>
            <w:shd w:val="clear" w:color="auto" w:fill="auto"/>
          </w:tcPr>
          <w:p w:rsidRPr="002C0B15" w:rsidR="009004D3" w:rsidP="009004D3" w:rsidRDefault="009004D3" w14:paraId="3A719B7E" w14:textId="77777777">
            <w:pPr>
              <w:jc w:val="right"/>
              <w:rPr>
                <w:color w:val="000000"/>
              </w:rPr>
            </w:pPr>
            <w:r>
              <w:rPr>
                <w:color w:val="000000"/>
              </w:rPr>
              <w:t>84,011</w:t>
            </w:r>
          </w:p>
        </w:tc>
        <w:tc>
          <w:tcPr>
            <w:tcW w:w="1080" w:type="dxa"/>
            <w:shd w:val="clear" w:color="auto" w:fill="auto"/>
          </w:tcPr>
          <w:p w:rsidR="009004D3" w:rsidDel="00E37681" w:rsidP="009004D3" w:rsidRDefault="009004D3" w14:paraId="336704EB" w14:textId="77777777">
            <w:pPr>
              <w:jc w:val="right"/>
              <w:rPr>
                <w:color w:val="000000"/>
              </w:rPr>
            </w:pPr>
            <w:r>
              <w:rPr>
                <w:color w:val="000000"/>
              </w:rPr>
              <w:t>$51.40</w:t>
            </w:r>
          </w:p>
        </w:tc>
        <w:tc>
          <w:tcPr>
            <w:tcW w:w="1441" w:type="dxa"/>
            <w:shd w:val="clear" w:color="auto" w:fill="auto"/>
          </w:tcPr>
          <w:p w:rsidRPr="00401AC9" w:rsidR="009004D3" w:rsidP="009004D3" w:rsidRDefault="009004D3" w14:paraId="1234848A" w14:textId="77777777">
            <w:pPr>
              <w:jc w:val="right"/>
              <w:rPr>
                <w:color w:val="000000"/>
              </w:rPr>
            </w:pPr>
            <w:r>
              <w:rPr>
                <w:color w:val="000000"/>
              </w:rPr>
              <w:t>$4,318,165</w:t>
            </w:r>
          </w:p>
        </w:tc>
      </w:tr>
      <w:tr w:rsidRPr="00327942" w:rsidR="009004D3" w:rsidTr="007C255B" w14:paraId="518A0DB1" w14:textId="77777777">
        <w:trPr>
          <w:trHeight w:val="485"/>
          <w:jc w:val="center"/>
        </w:trPr>
        <w:tc>
          <w:tcPr>
            <w:tcW w:w="2264" w:type="dxa"/>
            <w:shd w:val="clear" w:color="auto" w:fill="auto"/>
            <w:vAlign w:val="center"/>
          </w:tcPr>
          <w:p w:rsidR="007D1C5D" w:rsidP="009004D3" w:rsidRDefault="007D1C5D" w14:paraId="1192B876" w14:textId="77777777">
            <w:pPr>
              <w:rPr>
                <w:color w:val="000000"/>
              </w:rPr>
            </w:pPr>
          </w:p>
          <w:p w:rsidRPr="00327942" w:rsidR="009004D3" w:rsidP="009004D3" w:rsidRDefault="009004D3" w14:paraId="783A4941" w14:textId="71883629">
            <w:pPr>
              <w:rPr>
                <w:color w:val="000000"/>
              </w:rPr>
            </w:pPr>
            <w:r>
              <w:rPr>
                <w:color w:val="000000"/>
              </w:rPr>
              <w:t>100-499-</w:t>
            </w:r>
          </w:p>
        </w:tc>
        <w:tc>
          <w:tcPr>
            <w:tcW w:w="1961" w:type="dxa"/>
            <w:shd w:val="clear" w:color="auto" w:fill="auto"/>
            <w:vAlign w:val="center"/>
          </w:tcPr>
          <w:p w:rsidRPr="009F6AEF" w:rsidR="009004D3" w:rsidP="009F6AEF" w:rsidRDefault="009004D3" w14:paraId="6F1933D4" w14:textId="77777777">
            <w:pPr>
              <w:jc w:val="center"/>
              <w:rPr>
                <w:color w:val="000000"/>
                <w:sz w:val="18"/>
                <w:szCs w:val="18"/>
              </w:rPr>
            </w:pPr>
            <w:r w:rsidRPr="009F6AEF">
              <w:rPr>
                <w:sz w:val="18"/>
                <w:szCs w:val="18"/>
              </w:rPr>
              <w:t>Occupational Health &amp; Safety Specialist</w:t>
            </w:r>
          </w:p>
        </w:tc>
        <w:tc>
          <w:tcPr>
            <w:tcW w:w="1436" w:type="dxa"/>
            <w:vAlign w:val="center"/>
          </w:tcPr>
          <w:p w:rsidR="007D1C5D" w:rsidP="009004D3" w:rsidRDefault="007D1C5D" w14:paraId="48BE65CB" w14:textId="77777777">
            <w:pPr>
              <w:jc w:val="right"/>
              <w:rPr>
                <w:color w:val="000000"/>
              </w:rPr>
            </w:pPr>
          </w:p>
          <w:p w:rsidRPr="002C0B15" w:rsidR="009004D3" w:rsidP="009004D3" w:rsidRDefault="009004D3" w14:paraId="34E6378A" w14:textId="19F0DF97">
            <w:pPr>
              <w:jc w:val="right"/>
              <w:rPr>
                <w:color w:val="000000"/>
              </w:rPr>
            </w:pPr>
            <w:r>
              <w:rPr>
                <w:color w:val="000000"/>
              </w:rPr>
              <w:t>174,134</w:t>
            </w:r>
          </w:p>
        </w:tc>
        <w:tc>
          <w:tcPr>
            <w:tcW w:w="1350" w:type="dxa"/>
            <w:vAlign w:val="center"/>
          </w:tcPr>
          <w:p w:rsidR="007D1C5D" w:rsidP="009004D3" w:rsidRDefault="007D1C5D" w14:paraId="15008644" w14:textId="77777777">
            <w:pPr>
              <w:jc w:val="right"/>
              <w:rPr>
                <w:color w:val="000000"/>
              </w:rPr>
            </w:pPr>
          </w:p>
          <w:p w:rsidRPr="002C0B15" w:rsidR="009004D3" w:rsidP="009004D3" w:rsidRDefault="009004D3" w14:paraId="7EED75C8" w14:textId="1F40D38D">
            <w:pPr>
              <w:jc w:val="right"/>
              <w:rPr>
                <w:color w:val="000000"/>
              </w:rPr>
            </w:pPr>
            <w:r>
              <w:rPr>
                <w:color w:val="000000"/>
              </w:rPr>
              <w:t>0.5</w:t>
            </w:r>
          </w:p>
        </w:tc>
        <w:tc>
          <w:tcPr>
            <w:tcW w:w="1295" w:type="dxa"/>
            <w:shd w:val="clear" w:color="auto" w:fill="auto"/>
            <w:vAlign w:val="center"/>
          </w:tcPr>
          <w:p w:rsidR="007D1C5D" w:rsidP="009004D3" w:rsidRDefault="007D1C5D" w14:paraId="4F9EDDED" w14:textId="77777777">
            <w:pPr>
              <w:jc w:val="right"/>
              <w:rPr>
                <w:color w:val="000000"/>
              </w:rPr>
            </w:pPr>
          </w:p>
          <w:p w:rsidRPr="002C0B15" w:rsidR="009004D3" w:rsidP="009004D3" w:rsidRDefault="009004D3" w14:paraId="76CC72E3" w14:textId="4C1EAB4F">
            <w:pPr>
              <w:jc w:val="right"/>
              <w:rPr>
                <w:color w:val="000000"/>
              </w:rPr>
            </w:pPr>
            <w:r>
              <w:rPr>
                <w:color w:val="000000"/>
              </w:rPr>
              <w:t>87,067</w:t>
            </w:r>
          </w:p>
        </w:tc>
        <w:tc>
          <w:tcPr>
            <w:tcW w:w="1080" w:type="dxa"/>
            <w:shd w:val="clear" w:color="auto" w:fill="auto"/>
            <w:vAlign w:val="center"/>
          </w:tcPr>
          <w:p w:rsidR="007D1C5D" w:rsidP="009004D3" w:rsidRDefault="007D1C5D" w14:paraId="44F9231D" w14:textId="77777777">
            <w:pPr>
              <w:jc w:val="right"/>
              <w:rPr>
                <w:color w:val="000000"/>
              </w:rPr>
            </w:pPr>
          </w:p>
          <w:p w:rsidR="009004D3" w:rsidDel="00E37681" w:rsidP="009004D3" w:rsidRDefault="009004D3" w14:paraId="1C606AC6" w14:textId="7E92133E">
            <w:pPr>
              <w:jc w:val="right"/>
              <w:rPr>
                <w:color w:val="000000"/>
              </w:rPr>
            </w:pPr>
            <w:r>
              <w:rPr>
                <w:color w:val="000000"/>
              </w:rPr>
              <w:t>$51.40</w:t>
            </w:r>
          </w:p>
        </w:tc>
        <w:tc>
          <w:tcPr>
            <w:tcW w:w="1441" w:type="dxa"/>
            <w:shd w:val="clear" w:color="auto" w:fill="auto"/>
            <w:vAlign w:val="center"/>
          </w:tcPr>
          <w:p w:rsidR="007D1C5D" w:rsidP="009004D3" w:rsidRDefault="007D1C5D" w14:paraId="5F368376" w14:textId="77777777">
            <w:pPr>
              <w:jc w:val="right"/>
              <w:rPr>
                <w:color w:val="000000"/>
              </w:rPr>
            </w:pPr>
          </w:p>
          <w:p w:rsidRPr="00401AC9" w:rsidR="009004D3" w:rsidP="009004D3" w:rsidRDefault="009004D3" w14:paraId="39ECEE98" w14:textId="47F00D2E">
            <w:pPr>
              <w:jc w:val="right"/>
              <w:rPr>
                <w:color w:val="000000"/>
              </w:rPr>
            </w:pPr>
            <w:r>
              <w:rPr>
                <w:color w:val="000000"/>
              </w:rPr>
              <w:t>$4,475,244</w:t>
            </w:r>
          </w:p>
        </w:tc>
      </w:tr>
      <w:tr w:rsidRPr="00327942" w:rsidR="009004D3" w:rsidTr="007C255B" w14:paraId="2FD38F80" w14:textId="77777777">
        <w:trPr>
          <w:trHeight w:val="530"/>
          <w:jc w:val="center"/>
        </w:trPr>
        <w:tc>
          <w:tcPr>
            <w:tcW w:w="2264" w:type="dxa"/>
            <w:shd w:val="clear" w:color="auto" w:fill="auto"/>
          </w:tcPr>
          <w:p w:rsidR="007D1C5D" w:rsidP="009004D3" w:rsidRDefault="007D1C5D" w14:paraId="79607C76" w14:textId="77777777">
            <w:pPr>
              <w:rPr>
                <w:color w:val="000000"/>
              </w:rPr>
            </w:pPr>
          </w:p>
          <w:p w:rsidRPr="00327942" w:rsidR="009004D3" w:rsidP="009004D3" w:rsidRDefault="009004D3" w14:paraId="383C1C4A" w14:textId="5D073A9D">
            <w:pPr>
              <w:rPr>
                <w:color w:val="000000"/>
              </w:rPr>
            </w:pPr>
            <w:r>
              <w:rPr>
                <w:color w:val="000000"/>
              </w:rPr>
              <w:t>500+</w:t>
            </w:r>
          </w:p>
        </w:tc>
        <w:tc>
          <w:tcPr>
            <w:tcW w:w="1961" w:type="dxa"/>
            <w:shd w:val="clear" w:color="auto" w:fill="auto"/>
          </w:tcPr>
          <w:p w:rsidR="007D1C5D" w:rsidP="009F6AEF" w:rsidRDefault="007D1C5D" w14:paraId="6F667CCA" w14:textId="77777777">
            <w:pPr>
              <w:jc w:val="center"/>
              <w:rPr>
                <w:sz w:val="18"/>
                <w:szCs w:val="18"/>
              </w:rPr>
            </w:pPr>
          </w:p>
          <w:p w:rsidRPr="009F6AEF" w:rsidR="009004D3" w:rsidP="009F6AEF" w:rsidRDefault="009004D3" w14:paraId="75160651" w14:textId="4A21026A">
            <w:pPr>
              <w:jc w:val="center"/>
              <w:rPr>
                <w:color w:val="000000"/>
                <w:sz w:val="18"/>
                <w:szCs w:val="18"/>
              </w:rPr>
            </w:pPr>
            <w:r w:rsidRPr="009F6AEF">
              <w:rPr>
                <w:sz w:val="18"/>
                <w:szCs w:val="18"/>
              </w:rPr>
              <w:t>Occupational Health &amp; Safety Specialist</w:t>
            </w:r>
          </w:p>
        </w:tc>
        <w:tc>
          <w:tcPr>
            <w:tcW w:w="1436" w:type="dxa"/>
          </w:tcPr>
          <w:p w:rsidR="007D1C5D" w:rsidP="009004D3" w:rsidRDefault="007D1C5D" w14:paraId="7EE2205C" w14:textId="77777777">
            <w:pPr>
              <w:jc w:val="right"/>
              <w:rPr>
                <w:color w:val="000000"/>
              </w:rPr>
            </w:pPr>
          </w:p>
          <w:p w:rsidRPr="002C0B15" w:rsidR="009004D3" w:rsidP="009004D3" w:rsidRDefault="009004D3" w14:paraId="68FD3D8C" w14:textId="74C684D0">
            <w:pPr>
              <w:jc w:val="right"/>
              <w:rPr>
                <w:color w:val="000000"/>
              </w:rPr>
            </w:pPr>
            <w:r>
              <w:rPr>
                <w:color w:val="000000"/>
              </w:rPr>
              <w:t>231,139</w:t>
            </w:r>
          </w:p>
        </w:tc>
        <w:tc>
          <w:tcPr>
            <w:tcW w:w="1350" w:type="dxa"/>
          </w:tcPr>
          <w:p w:rsidR="007D1C5D" w:rsidP="009004D3" w:rsidRDefault="007D1C5D" w14:paraId="199CF073" w14:textId="77777777">
            <w:pPr>
              <w:jc w:val="right"/>
              <w:rPr>
                <w:color w:val="000000"/>
              </w:rPr>
            </w:pPr>
          </w:p>
          <w:p w:rsidRPr="002C0B15" w:rsidR="009004D3" w:rsidP="009004D3" w:rsidRDefault="009004D3" w14:paraId="562F01E5" w14:textId="3BC542B5">
            <w:pPr>
              <w:jc w:val="right"/>
              <w:rPr>
                <w:color w:val="000000"/>
              </w:rPr>
            </w:pPr>
            <w:r>
              <w:rPr>
                <w:color w:val="000000"/>
              </w:rPr>
              <w:t>0.3</w:t>
            </w:r>
          </w:p>
        </w:tc>
        <w:tc>
          <w:tcPr>
            <w:tcW w:w="1295" w:type="dxa"/>
            <w:shd w:val="clear" w:color="auto" w:fill="auto"/>
          </w:tcPr>
          <w:p w:rsidR="007D1C5D" w:rsidP="009004D3" w:rsidRDefault="007D1C5D" w14:paraId="2953A0BB" w14:textId="77777777">
            <w:pPr>
              <w:jc w:val="right"/>
              <w:rPr>
                <w:color w:val="000000"/>
              </w:rPr>
            </w:pPr>
          </w:p>
          <w:p w:rsidRPr="002C0B15" w:rsidR="009004D3" w:rsidP="009004D3" w:rsidRDefault="009004D3" w14:paraId="64688674" w14:textId="0EE95AF8">
            <w:pPr>
              <w:jc w:val="right"/>
              <w:rPr>
                <w:color w:val="000000"/>
              </w:rPr>
            </w:pPr>
            <w:r>
              <w:rPr>
                <w:color w:val="000000"/>
              </w:rPr>
              <w:t>69,342</w:t>
            </w:r>
          </w:p>
        </w:tc>
        <w:tc>
          <w:tcPr>
            <w:tcW w:w="1080" w:type="dxa"/>
            <w:shd w:val="clear" w:color="auto" w:fill="auto"/>
          </w:tcPr>
          <w:p w:rsidR="009004D3" w:rsidDel="00E37681" w:rsidP="009004D3" w:rsidRDefault="009004D3" w14:paraId="18FB0F4C" w14:textId="77777777">
            <w:pPr>
              <w:jc w:val="right"/>
              <w:rPr>
                <w:color w:val="000000"/>
              </w:rPr>
            </w:pPr>
            <w:r>
              <w:rPr>
                <w:color w:val="000000"/>
              </w:rPr>
              <w:t>$51.40</w:t>
            </w:r>
          </w:p>
        </w:tc>
        <w:tc>
          <w:tcPr>
            <w:tcW w:w="1441" w:type="dxa"/>
            <w:shd w:val="clear" w:color="auto" w:fill="auto"/>
          </w:tcPr>
          <w:p w:rsidRPr="00401AC9" w:rsidR="009004D3" w:rsidP="009004D3" w:rsidRDefault="009004D3" w14:paraId="72869373" w14:textId="77777777">
            <w:pPr>
              <w:jc w:val="right"/>
              <w:rPr>
                <w:color w:val="000000"/>
              </w:rPr>
            </w:pPr>
            <w:r>
              <w:rPr>
                <w:color w:val="000000"/>
              </w:rPr>
              <w:t>$3,564,179</w:t>
            </w:r>
          </w:p>
        </w:tc>
      </w:tr>
      <w:tr w:rsidRPr="00327942" w:rsidR="009004D3" w:rsidTr="007C255B" w14:paraId="01B07BA2" w14:textId="77777777">
        <w:trPr>
          <w:jc w:val="center"/>
        </w:trPr>
        <w:tc>
          <w:tcPr>
            <w:tcW w:w="2264" w:type="dxa"/>
            <w:shd w:val="clear" w:color="auto" w:fill="auto"/>
          </w:tcPr>
          <w:p w:rsidRPr="00327942" w:rsidR="009004D3" w:rsidP="009004D3" w:rsidRDefault="009004D3" w14:paraId="6234EA8E" w14:textId="77777777">
            <w:pPr>
              <w:rPr>
                <w:color w:val="000000"/>
              </w:rPr>
            </w:pPr>
            <w:r>
              <w:rPr>
                <w:color w:val="000000"/>
              </w:rPr>
              <w:t>Subtotal</w:t>
            </w:r>
          </w:p>
        </w:tc>
        <w:tc>
          <w:tcPr>
            <w:tcW w:w="1961" w:type="dxa"/>
            <w:shd w:val="clear" w:color="auto" w:fill="auto"/>
          </w:tcPr>
          <w:p w:rsidRPr="00FF1F12" w:rsidR="009004D3" w:rsidP="009004D3" w:rsidRDefault="009004D3" w14:paraId="23172740" w14:textId="77777777">
            <w:pPr>
              <w:jc w:val="right"/>
              <w:rPr>
                <w:color w:val="000000"/>
              </w:rPr>
            </w:pPr>
          </w:p>
        </w:tc>
        <w:tc>
          <w:tcPr>
            <w:tcW w:w="1436" w:type="dxa"/>
          </w:tcPr>
          <w:p w:rsidRPr="002C0B15" w:rsidR="009004D3" w:rsidP="009004D3" w:rsidRDefault="009004D3" w14:paraId="4A4977AC" w14:textId="77777777">
            <w:pPr>
              <w:jc w:val="right"/>
              <w:rPr>
                <w:color w:val="000000"/>
              </w:rPr>
            </w:pPr>
            <w:r>
              <w:rPr>
                <w:color w:val="000000"/>
              </w:rPr>
              <w:t>640,204</w:t>
            </w:r>
          </w:p>
        </w:tc>
        <w:tc>
          <w:tcPr>
            <w:tcW w:w="1350" w:type="dxa"/>
          </w:tcPr>
          <w:p w:rsidRPr="002C0B15" w:rsidR="009004D3" w:rsidP="009004D3" w:rsidRDefault="009004D3" w14:paraId="7F80EEE0" w14:textId="77777777">
            <w:pPr>
              <w:jc w:val="right"/>
              <w:rPr>
                <w:color w:val="000000"/>
              </w:rPr>
            </w:pPr>
          </w:p>
        </w:tc>
        <w:tc>
          <w:tcPr>
            <w:tcW w:w="1295" w:type="dxa"/>
            <w:shd w:val="clear" w:color="auto" w:fill="auto"/>
          </w:tcPr>
          <w:p w:rsidRPr="002C0B15" w:rsidR="009004D3" w:rsidP="009004D3" w:rsidRDefault="009004D3" w14:paraId="10590F13" w14:textId="77777777">
            <w:pPr>
              <w:jc w:val="right"/>
              <w:rPr>
                <w:color w:val="000000"/>
              </w:rPr>
            </w:pPr>
            <w:r>
              <w:t>320,861</w:t>
            </w:r>
          </w:p>
        </w:tc>
        <w:tc>
          <w:tcPr>
            <w:tcW w:w="1080" w:type="dxa"/>
            <w:shd w:val="clear" w:color="auto" w:fill="auto"/>
          </w:tcPr>
          <w:p w:rsidR="009004D3" w:rsidDel="00E37681" w:rsidP="009004D3" w:rsidRDefault="009004D3" w14:paraId="43A3FD94" w14:textId="77777777">
            <w:pPr>
              <w:jc w:val="right"/>
              <w:rPr>
                <w:color w:val="000000"/>
              </w:rPr>
            </w:pPr>
          </w:p>
        </w:tc>
        <w:tc>
          <w:tcPr>
            <w:tcW w:w="1441" w:type="dxa"/>
            <w:shd w:val="clear" w:color="auto" w:fill="auto"/>
          </w:tcPr>
          <w:p w:rsidRPr="00401AC9" w:rsidR="009004D3" w:rsidP="009004D3" w:rsidRDefault="009004D3" w14:paraId="05440105" w14:textId="77777777">
            <w:pPr>
              <w:jc w:val="right"/>
              <w:rPr>
                <w:bCs/>
              </w:rPr>
            </w:pPr>
            <w:r w:rsidRPr="00401AC9">
              <w:rPr>
                <w:bCs/>
              </w:rPr>
              <w:t>$</w:t>
            </w:r>
            <w:r>
              <w:rPr>
                <w:bCs/>
              </w:rPr>
              <w:t>16,492,255</w:t>
            </w:r>
            <w:r w:rsidRPr="00401AC9">
              <w:rPr>
                <w:bCs/>
              </w:rPr>
              <w:t xml:space="preserve"> </w:t>
            </w:r>
          </w:p>
          <w:p w:rsidRPr="00401AC9" w:rsidR="009004D3" w:rsidP="009004D3" w:rsidRDefault="009004D3" w14:paraId="1CE7BFA9" w14:textId="77777777">
            <w:pPr>
              <w:jc w:val="right"/>
              <w:rPr>
                <w:color w:val="000000"/>
              </w:rPr>
            </w:pPr>
          </w:p>
        </w:tc>
      </w:tr>
      <w:tr w:rsidRPr="00327942" w:rsidR="009004D3" w:rsidTr="007C255B" w14:paraId="0AC7CC3D" w14:textId="77777777">
        <w:trPr>
          <w:jc w:val="center"/>
        </w:trPr>
        <w:tc>
          <w:tcPr>
            <w:tcW w:w="2264" w:type="dxa"/>
            <w:shd w:val="clear" w:color="auto" w:fill="D5DCE4"/>
          </w:tcPr>
          <w:p w:rsidR="009004D3" w:rsidP="009004D3" w:rsidRDefault="009004D3" w14:paraId="6A83A308" w14:textId="77777777">
            <w:pPr>
              <w:rPr>
                <w:color w:val="000000"/>
              </w:rPr>
            </w:pPr>
          </w:p>
        </w:tc>
        <w:tc>
          <w:tcPr>
            <w:tcW w:w="1961" w:type="dxa"/>
            <w:shd w:val="clear" w:color="auto" w:fill="D5DCE4"/>
          </w:tcPr>
          <w:p w:rsidRPr="00FF1F12" w:rsidR="009004D3" w:rsidP="009004D3" w:rsidRDefault="009004D3" w14:paraId="5712580D" w14:textId="77777777">
            <w:pPr>
              <w:jc w:val="right"/>
              <w:rPr>
                <w:color w:val="000000"/>
              </w:rPr>
            </w:pPr>
          </w:p>
        </w:tc>
        <w:tc>
          <w:tcPr>
            <w:tcW w:w="1436" w:type="dxa"/>
            <w:shd w:val="clear" w:color="auto" w:fill="D5DCE4"/>
          </w:tcPr>
          <w:p w:rsidR="009004D3" w:rsidP="009004D3" w:rsidRDefault="009004D3" w14:paraId="75C8DC03" w14:textId="77777777">
            <w:pPr>
              <w:jc w:val="right"/>
              <w:rPr>
                <w:color w:val="000000"/>
              </w:rPr>
            </w:pPr>
          </w:p>
        </w:tc>
        <w:tc>
          <w:tcPr>
            <w:tcW w:w="1350" w:type="dxa"/>
            <w:shd w:val="clear" w:color="auto" w:fill="D5DCE4"/>
          </w:tcPr>
          <w:p w:rsidRPr="002C0B15" w:rsidR="009004D3" w:rsidP="009004D3" w:rsidRDefault="009004D3" w14:paraId="35AD5182" w14:textId="77777777">
            <w:pPr>
              <w:jc w:val="right"/>
              <w:rPr>
                <w:color w:val="000000"/>
              </w:rPr>
            </w:pPr>
          </w:p>
        </w:tc>
        <w:tc>
          <w:tcPr>
            <w:tcW w:w="1295" w:type="dxa"/>
            <w:shd w:val="clear" w:color="auto" w:fill="D5DCE4"/>
          </w:tcPr>
          <w:p w:rsidR="009004D3" w:rsidP="009004D3" w:rsidRDefault="009004D3" w14:paraId="551CA9CA" w14:textId="77777777">
            <w:pPr>
              <w:jc w:val="right"/>
            </w:pPr>
          </w:p>
        </w:tc>
        <w:tc>
          <w:tcPr>
            <w:tcW w:w="1080" w:type="dxa"/>
            <w:shd w:val="clear" w:color="auto" w:fill="D5DCE4"/>
          </w:tcPr>
          <w:p w:rsidR="009004D3" w:rsidDel="00E37681" w:rsidP="009004D3" w:rsidRDefault="009004D3" w14:paraId="47AA81C0" w14:textId="77777777">
            <w:pPr>
              <w:jc w:val="right"/>
              <w:rPr>
                <w:color w:val="000000"/>
              </w:rPr>
            </w:pPr>
          </w:p>
        </w:tc>
        <w:tc>
          <w:tcPr>
            <w:tcW w:w="1441" w:type="dxa"/>
            <w:shd w:val="clear" w:color="auto" w:fill="D5DCE4"/>
          </w:tcPr>
          <w:p w:rsidRPr="00401AC9" w:rsidR="009004D3" w:rsidP="009004D3" w:rsidRDefault="009004D3" w14:paraId="734074A5" w14:textId="77777777">
            <w:pPr>
              <w:jc w:val="right"/>
              <w:rPr>
                <w:bCs/>
              </w:rPr>
            </w:pPr>
          </w:p>
        </w:tc>
      </w:tr>
      <w:tr w:rsidRPr="00327942" w:rsidR="009004D3" w:rsidTr="007C255B" w14:paraId="3E9591E7" w14:textId="77777777">
        <w:trPr>
          <w:jc w:val="center"/>
        </w:trPr>
        <w:tc>
          <w:tcPr>
            <w:tcW w:w="2264" w:type="dxa"/>
            <w:shd w:val="clear" w:color="auto" w:fill="D5DCE4"/>
          </w:tcPr>
          <w:p w:rsidRPr="00327942" w:rsidR="009004D3" w:rsidP="009004D3" w:rsidRDefault="009004D3" w14:paraId="2DF30206" w14:textId="77777777">
            <w:pPr>
              <w:rPr>
                <w:b/>
                <w:color w:val="000000"/>
              </w:rPr>
            </w:pPr>
            <w:r w:rsidRPr="00327942">
              <w:rPr>
                <w:b/>
                <w:color w:val="000000"/>
              </w:rPr>
              <w:t>TOTAL</w:t>
            </w:r>
          </w:p>
        </w:tc>
        <w:tc>
          <w:tcPr>
            <w:tcW w:w="1961" w:type="dxa"/>
            <w:shd w:val="clear" w:color="auto" w:fill="D5DCE4"/>
          </w:tcPr>
          <w:p w:rsidRPr="00FF1F12" w:rsidR="009004D3" w:rsidP="009004D3" w:rsidRDefault="009004D3" w14:paraId="5EA16D0E" w14:textId="77777777">
            <w:pPr>
              <w:jc w:val="right"/>
              <w:rPr>
                <w:color w:val="000000"/>
              </w:rPr>
            </w:pPr>
          </w:p>
        </w:tc>
        <w:tc>
          <w:tcPr>
            <w:tcW w:w="1436" w:type="dxa"/>
            <w:shd w:val="clear" w:color="auto" w:fill="D5DCE4"/>
          </w:tcPr>
          <w:p w:rsidRPr="009F6AEF" w:rsidR="009004D3" w:rsidP="009F6AEF" w:rsidRDefault="009004D3" w14:paraId="71E199DC" w14:textId="77777777">
            <w:pPr>
              <w:jc w:val="right"/>
              <w:rPr>
                <w:b/>
                <w:color w:val="000000"/>
              </w:rPr>
            </w:pPr>
            <w:r w:rsidRPr="009F6AEF">
              <w:rPr>
                <w:b/>
              </w:rPr>
              <w:t>72,5</w:t>
            </w:r>
            <w:r w:rsidRPr="009F6AEF" w:rsidR="00130804">
              <w:rPr>
                <w:b/>
              </w:rPr>
              <w:t>18,339</w:t>
            </w:r>
          </w:p>
        </w:tc>
        <w:tc>
          <w:tcPr>
            <w:tcW w:w="1350" w:type="dxa"/>
            <w:shd w:val="clear" w:color="auto" w:fill="D5DCE4"/>
          </w:tcPr>
          <w:p w:rsidRPr="009F6AEF" w:rsidR="009004D3" w:rsidP="009004D3" w:rsidRDefault="009004D3" w14:paraId="76D87CB6" w14:textId="77777777">
            <w:pPr>
              <w:jc w:val="right"/>
              <w:rPr>
                <w:b/>
                <w:color w:val="000000"/>
              </w:rPr>
            </w:pPr>
          </w:p>
        </w:tc>
        <w:tc>
          <w:tcPr>
            <w:tcW w:w="1295" w:type="dxa"/>
            <w:shd w:val="clear" w:color="auto" w:fill="D5DCE4"/>
          </w:tcPr>
          <w:p w:rsidRPr="009F6AEF" w:rsidR="009004D3" w:rsidP="009004D3" w:rsidRDefault="009004D3" w14:paraId="6A35529E" w14:textId="77777777">
            <w:pPr>
              <w:jc w:val="right"/>
              <w:rPr>
                <w:b/>
                <w:color w:val="000000"/>
              </w:rPr>
            </w:pPr>
            <w:r w:rsidRPr="009F6AEF">
              <w:rPr>
                <w:b/>
                <w:color w:val="000000"/>
              </w:rPr>
              <w:t>6,557,766</w:t>
            </w:r>
          </w:p>
        </w:tc>
        <w:tc>
          <w:tcPr>
            <w:tcW w:w="1080" w:type="dxa"/>
            <w:shd w:val="clear" w:color="auto" w:fill="D5DCE4"/>
          </w:tcPr>
          <w:p w:rsidRPr="009F6AEF" w:rsidR="009004D3" w:rsidP="009004D3" w:rsidRDefault="009004D3" w14:paraId="1AAF6505" w14:textId="77777777">
            <w:pPr>
              <w:jc w:val="right"/>
              <w:rPr>
                <w:b/>
                <w:color w:val="000000"/>
              </w:rPr>
            </w:pPr>
          </w:p>
        </w:tc>
        <w:tc>
          <w:tcPr>
            <w:tcW w:w="1441" w:type="dxa"/>
            <w:shd w:val="clear" w:color="auto" w:fill="D5DCE4"/>
            <w:vAlign w:val="center"/>
          </w:tcPr>
          <w:p w:rsidRPr="009F6AEF" w:rsidR="009004D3" w:rsidP="0049311D" w:rsidRDefault="009004D3" w14:paraId="55C340B0" w14:textId="77777777">
            <w:pPr>
              <w:jc w:val="right"/>
              <w:rPr>
                <w:b/>
                <w:color w:val="000000"/>
              </w:rPr>
            </w:pPr>
            <w:r w:rsidRPr="009F6AEF">
              <w:rPr>
                <w:b/>
                <w:bCs/>
              </w:rPr>
              <w:t>$</w:t>
            </w:r>
            <w:r w:rsidRPr="009F6AEF" w:rsidR="00130804">
              <w:rPr>
                <w:b/>
                <w:bCs/>
              </w:rPr>
              <w:t>29</w:t>
            </w:r>
            <w:r w:rsidR="0049311D">
              <w:rPr>
                <w:b/>
                <w:bCs/>
              </w:rPr>
              <w:t>2,734,329</w:t>
            </w:r>
          </w:p>
        </w:tc>
      </w:tr>
    </w:tbl>
    <w:p w:rsidR="00296677" w:rsidP="009965D1" w:rsidRDefault="009965D1" w14:paraId="0B0B2F53" w14:textId="77777777">
      <w:pPr>
        <w:jc w:val="center"/>
        <w:rPr>
          <w:b/>
          <w:color w:val="000000"/>
          <w:sz w:val="24"/>
          <w:szCs w:val="24"/>
        </w:rPr>
      </w:pPr>
      <w:r w:rsidRPr="00A83371">
        <w:rPr>
          <w:b/>
          <w:color w:val="000000"/>
          <w:sz w:val="24"/>
          <w:szCs w:val="24"/>
        </w:rPr>
        <w:t xml:space="preserve"> </w:t>
      </w:r>
    </w:p>
    <w:p w:rsidR="00296677" w:rsidP="009965D1" w:rsidRDefault="00296677" w14:paraId="472345EA" w14:textId="77777777">
      <w:pPr>
        <w:jc w:val="center"/>
        <w:rPr>
          <w:b/>
          <w:color w:val="000000"/>
          <w:sz w:val="24"/>
          <w:szCs w:val="24"/>
        </w:rPr>
      </w:pPr>
    </w:p>
    <w:p w:rsidRPr="00CB5054" w:rsidR="00D80711" w:rsidP="00D80711" w:rsidRDefault="00D80711" w14:paraId="2F3DF5C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B5054">
        <w:rPr>
          <w:b/>
          <w:bCs/>
          <w:color w:val="000000"/>
        </w:rPr>
        <w:t>13.  Provide an estimate of the total annual cost burden to respondents or recordkeepers resulting from the collection of information.  (Do not include the cost of any hour burden show in Item 12 and 14).</w:t>
      </w:r>
    </w:p>
    <w:p w:rsidRPr="00CB5054" w:rsidR="00D80711" w:rsidP="00D80711" w:rsidRDefault="00D80711" w14:paraId="770AAFF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color w:val="000000"/>
        </w:rPr>
      </w:pPr>
      <w:r w:rsidRPr="00CB5054">
        <w:rPr>
          <w:b/>
          <w:bCs/>
          <w:color w:val="000000"/>
        </w:rPr>
        <w:tab/>
      </w:r>
    </w:p>
    <w:p w:rsidRPr="00CB5054" w:rsidR="00D80711" w:rsidP="00D80711" w:rsidRDefault="00D80711" w14:paraId="700DFE1B"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r w:rsidRPr="00CB5054">
        <w:rPr>
          <w:b/>
          <w:bCs/>
          <w:color w:val="000000"/>
        </w:rPr>
        <w:t>The cost estimate should be split into two components: (a) a total capital and startup cost component (annualized over its expected useful like);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B5054" w:rsidR="00D80711" w:rsidP="00D80711" w:rsidRDefault="00D80711" w14:paraId="63DA4E6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p>
    <w:p w:rsidRPr="00CB5054" w:rsidR="00D80711" w:rsidP="00D80711" w:rsidRDefault="00D80711" w14:paraId="48FF150B" w14:textId="77777777">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r w:rsidRPr="00CB5054">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 submission public comment process and use existing economic or regulatory impact analysis associated with the rule making containing the information collection, as appropriate.</w:t>
      </w:r>
    </w:p>
    <w:p w:rsidRPr="00CB5054" w:rsidR="00D80711" w:rsidP="00D80711" w:rsidRDefault="00D80711" w14:paraId="7CD72D5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CB5054" w:rsidR="00D80711" w:rsidP="00D80711" w:rsidRDefault="00D80711" w14:paraId="65F38DD1"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r w:rsidRPr="00CB5054">
        <w:rPr>
          <w:b/>
          <w:bCs/>
          <w:color w:val="000000"/>
        </w:rPr>
        <w:t>Generally, estimates should not include purchases of equipment or services</w:t>
      </w:r>
      <w:r w:rsidRPr="00CB5054">
        <w:rPr>
          <w:b/>
          <w:bCs/>
          <w:color w:val="000000"/>
        </w:rPr>
        <w:tab/>
        <w:t>,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4766F" w:rsidR="0094766F" w:rsidP="00B25F34" w:rsidRDefault="0094766F" w14:paraId="4B9466B6" w14:textId="77777777">
      <w:pPr>
        <w:pStyle w:val="Default"/>
        <w:rPr>
          <w:sz w:val="23"/>
          <w:szCs w:val="23"/>
        </w:rPr>
      </w:pPr>
    </w:p>
    <w:p w:rsidRPr="00C675F5" w:rsidR="0066647C" w:rsidP="00B25F34" w:rsidRDefault="0066647C" w14:paraId="17354184" w14:textId="77777777">
      <w:pPr>
        <w:pStyle w:val="Default"/>
        <w:rPr>
          <w:sz w:val="23"/>
          <w:szCs w:val="23"/>
          <w:u w:val="single"/>
        </w:rPr>
      </w:pPr>
      <w:r w:rsidRPr="00C675F5">
        <w:rPr>
          <w:sz w:val="23"/>
          <w:szCs w:val="23"/>
          <w:u w:val="single"/>
        </w:rPr>
        <w:t>Transmitting SDSs</w:t>
      </w:r>
    </w:p>
    <w:p w:rsidR="0066647C" w:rsidP="00B25F34" w:rsidRDefault="0066647C" w14:paraId="711F1FEB" w14:textId="77777777">
      <w:pPr>
        <w:pStyle w:val="Default"/>
        <w:rPr>
          <w:sz w:val="23"/>
          <w:szCs w:val="23"/>
        </w:rPr>
      </w:pPr>
    </w:p>
    <w:p w:rsidR="00B25F34" w:rsidP="00B25F34" w:rsidRDefault="00B25F34" w14:paraId="521878B3" w14:textId="77777777">
      <w:pPr>
        <w:pStyle w:val="Default"/>
        <w:rPr>
          <w:sz w:val="23"/>
          <w:szCs w:val="23"/>
        </w:rPr>
      </w:pPr>
      <w:r>
        <w:rPr>
          <w:sz w:val="23"/>
          <w:szCs w:val="23"/>
        </w:rPr>
        <w:t>The cost to develop and transmit SDSs varies depending on transmission of SDSs. Many importers and manufacture</w:t>
      </w:r>
      <w:r w:rsidR="00AD1E40">
        <w:rPr>
          <w:sz w:val="23"/>
          <w:szCs w:val="23"/>
        </w:rPr>
        <w:t xml:space="preserve">rs of hazardous chemicals send </w:t>
      </w:r>
      <w:r>
        <w:rPr>
          <w:sz w:val="23"/>
          <w:szCs w:val="23"/>
        </w:rPr>
        <w:t>SDSs electronically. In these situations, there are no costs to importers and manufactures to transmit the SDSs downstream to employers, including distributors</w:t>
      </w:r>
      <w:r w:rsidR="00BA11FE">
        <w:rPr>
          <w:sz w:val="23"/>
          <w:szCs w:val="23"/>
        </w:rPr>
        <w:t>.</w:t>
      </w:r>
      <w:r>
        <w:rPr>
          <w:sz w:val="23"/>
          <w:szCs w:val="23"/>
        </w:rPr>
        <w:t xml:space="preserve">  Importers and manufacturers also send paper copies of SDSs with their hazardous chemicals. Many employers copy SDSs in-house for distribution. Based on the cost of toner and paper; the cost for importers and manufacturers is approximately 7 cents per page ($.07). To estimate costs for the various production and distribution of SDSs, OSHA assumes that all SDSs are tran</w:t>
      </w:r>
      <w:r w:rsidR="00BA11FE">
        <w:rPr>
          <w:sz w:val="23"/>
          <w:szCs w:val="23"/>
        </w:rPr>
        <w:t xml:space="preserve">smitted by paper. The cost for </w:t>
      </w:r>
      <w:r>
        <w:rPr>
          <w:sz w:val="23"/>
          <w:szCs w:val="23"/>
        </w:rPr>
        <w:t xml:space="preserve">SDSs are determined by totaling the number of SDSs distributed then multiplying the total by $.07 </w:t>
      </w:r>
    </w:p>
    <w:p w:rsidR="00B25F34" w:rsidP="00B25F34" w:rsidRDefault="00B25F34" w14:paraId="0FDB4E76" w14:textId="77777777">
      <w:pPr>
        <w:pStyle w:val="Default"/>
        <w:rPr>
          <w:sz w:val="23"/>
          <w:szCs w:val="23"/>
        </w:rPr>
      </w:pPr>
    </w:p>
    <w:p w:rsidR="00B25F34" w:rsidP="00B25F34" w:rsidRDefault="00B25F34" w14:paraId="6B5DB9C4" w14:textId="77777777">
      <w:pPr>
        <w:pStyle w:val="Default"/>
        <w:rPr>
          <w:sz w:val="23"/>
          <w:szCs w:val="23"/>
        </w:rPr>
      </w:pPr>
      <w:r>
        <w:rPr>
          <w:sz w:val="23"/>
          <w:szCs w:val="23"/>
        </w:rPr>
        <w:t xml:space="preserve">Under </w:t>
      </w:r>
      <w:r w:rsidR="00681F34">
        <w:rPr>
          <w:sz w:val="23"/>
          <w:szCs w:val="23"/>
        </w:rPr>
        <w:t xml:space="preserve">Item 12, number </w:t>
      </w:r>
      <w:r w:rsidR="001C252B">
        <w:rPr>
          <w:sz w:val="23"/>
          <w:szCs w:val="23"/>
        </w:rPr>
        <w:t>4</w:t>
      </w:r>
      <w:r>
        <w:rPr>
          <w:sz w:val="23"/>
          <w:szCs w:val="23"/>
        </w:rPr>
        <w:t xml:space="preserve"> titled “Sending SDSs </w:t>
      </w:r>
      <w:r w:rsidR="00AD1E40">
        <w:rPr>
          <w:sz w:val="23"/>
          <w:szCs w:val="23"/>
        </w:rPr>
        <w:t>for new hazardous chemicals</w:t>
      </w:r>
      <w:r w:rsidRPr="00401AC9" w:rsidR="00AD1E40">
        <w:rPr>
          <w:sz w:val="23"/>
          <w:szCs w:val="23"/>
        </w:rPr>
        <w:t>, to existing establishments</w:t>
      </w:r>
      <w:r w:rsidRPr="00401AC9">
        <w:rPr>
          <w:sz w:val="23"/>
          <w:szCs w:val="23"/>
        </w:rPr>
        <w:t>”</w:t>
      </w:r>
      <w:r>
        <w:rPr>
          <w:sz w:val="23"/>
          <w:szCs w:val="23"/>
        </w:rPr>
        <w:t xml:space="preserve"> OSHA est</w:t>
      </w:r>
      <w:r w:rsidR="00776FCD">
        <w:rPr>
          <w:sz w:val="23"/>
          <w:szCs w:val="23"/>
        </w:rPr>
        <w:t xml:space="preserve">imates that a total of </w:t>
      </w:r>
      <w:r w:rsidR="00362855">
        <w:rPr>
          <w:sz w:val="23"/>
          <w:szCs w:val="23"/>
        </w:rPr>
        <w:t>55,584</w:t>
      </w:r>
      <w:r w:rsidR="00776FCD">
        <w:rPr>
          <w:sz w:val="23"/>
          <w:szCs w:val="23"/>
        </w:rPr>
        <w:t xml:space="preserve"> </w:t>
      </w:r>
      <w:r>
        <w:rPr>
          <w:sz w:val="23"/>
          <w:szCs w:val="23"/>
        </w:rPr>
        <w:t>SDSs</w:t>
      </w:r>
      <w:r>
        <w:rPr>
          <w:rStyle w:val="FootnoteReference"/>
          <w:sz w:val="23"/>
          <w:szCs w:val="23"/>
        </w:rPr>
        <w:footnoteReference w:id="14"/>
      </w:r>
      <w:r>
        <w:rPr>
          <w:sz w:val="16"/>
          <w:szCs w:val="16"/>
        </w:rPr>
        <w:t xml:space="preserve">  </w:t>
      </w:r>
      <w:r>
        <w:rPr>
          <w:sz w:val="23"/>
          <w:szCs w:val="23"/>
        </w:rPr>
        <w:t>are sent to existing manufacturing e</w:t>
      </w:r>
      <w:r w:rsidR="00C2565B">
        <w:rPr>
          <w:sz w:val="23"/>
          <w:szCs w:val="23"/>
        </w:rPr>
        <w:t xml:space="preserve">stablishments </w:t>
      </w:r>
      <w:r w:rsidR="00304897">
        <w:rPr>
          <w:sz w:val="23"/>
          <w:szCs w:val="23"/>
        </w:rPr>
        <w:t xml:space="preserve">and </w:t>
      </w:r>
      <w:r w:rsidR="00B92E98">
        <w:rPr>
          <w:sz w:val="23"/>
          <w:szCs w:val="23"/>
        </w:rPr>
        <w:t>2,067,223</w:t>
      </w:r>
      <w:r w:rsidR="00304897">
        <w:t xml:space="preserve"> </w:t>
      </w:r>
      <w:r>
        <w:rPr>
          <w:sz w:val="23"/>
          <w:szCs w:val="23"/>
        </w:rPr>
        <w:t>SDSs</w:t>
      </w:r>
      <w:r>
        <w:rPr>
          <w:sz w:val="16"/>
          <w:szCs w:val="16"/>
        </w:rPr>
        <w:t xml:space="preserve"> </w:t>
      </w:r>
      <w:r>
        <w:rPr>
          <w:sz w:val="23"/>
          <w:szCs w:val="23"/>
        </w:rPr>
        <w:t>are sent to non-manufacturing establishments</w:t>
      </w:r>
      <w:r w:rsidR="00C2565B">
        <w:rPr>
          <w:rStyle w:val="FootnoteReference"/>
          <w:sz w:val="23"/>
          <w:szCs w:val="23"/>
        </w:rPr>
        <w:footnoteReference w:id="15"/>
      </w:r>
      <w:r>
        <w:rPr>
          <w:sz w:val="23"/>
          <w:szCs w:val="23"/>
        </w:rPr>
        <w:t>. Therefore, the total number of SDSs received by existing manufacturing and non-manufactu</w:t>
      </w:r>
      <w:r w:rsidR="00304897">
        <w:rPr>
          <w:sz w:val="23"/>
          <w:szCs w:val="23"/>
        </w:rPr>
        <w:t xml:space="preserve">ring establishments is </w:t>
      </w:r>
      <w:r w:rsidRPr="005F0CFD" w:rsidR="00B92E98">
        <w:rPr>
          <w:sz w:val="23"/>
          <w:szCs w:val="23"/>
          <w:u w:val="single"/>
        </w:rPr>
        <w:t>2,122,807</w:t>
      </w:r>
      <w:r>
        <w:rPr>
          <w:sz w:val="23"/>
          <w:szCs w:val="23"/>
        </w:rPr>
        <w:t xml:space="preserve">. </w:t>
      </w:r>
    </w:p>
    <w:p w:rsidR="006A258B" w:rsidP="00B25F34" w:rsidRDefault="006A258B" w14:paraId="05AC7730" w14:textId="77777777">
      <w:pPr>
        <w:pStyle w:val="Default"/>
        <w:rPr>
          <w:sz w:val="23"/>
          <w:szCs w:val="23"/>
        </w:rPr>
      </w:pPr>
    </w:p>
    <w:p w:rsidRPr="006A258B" w:rsidR="006A258B" w:rsidP="006A258B" w:rsidRDefault="006A258B" w14:paraId="44651DF7" w14:textId="77777777">
      <w:pPr>
        <w:pStyle w:val="Default"/>
        <w:rPr>
          <w:sz w:val="23"/>
          <w:szCs w:val="23"/>
        </w:rPr>
      </w:pPr>
      <w:r w:rsidRPr="006A258B">
        <w:rPr>
          <w:sz w:val="23"/>
          <w:szCs w:val="23"/>
        </w:rPr>
        <w:t xml:space="preserve">Under Item 12, number 5 titled “Sending SDSs for all hazardous chemicals to new establishments,” OSHA estimates a Total of </w:t>
      </w:r>
      <w:r w:rsidR="00260DFC">
        <w:rPr>
          <w:sz w:val="23"/>
          <w:szCs w:val="23"/>
        </w:rPr>
        <w:t>58,212</w:t>
      </w:r>
      <w:r w:rsidRPr="006A258B">
        <w:rPr>
          <w:sz w:val="23"/>
          <w:szCs w:val="23"/>
        </w:rPr>
        <w:t xml:space="preserve"> SDSs are sent to new manufacturing establishments and </w:t>
      </w:r>
      <w:r w:rsidR="00260DFC">
        <w:rPr>
          <w:sz w:val="23"/>
          <w:szCs w:val="23"/>
        </w:rPr>
        <w:t>4,059,850</w:t>
      </w:r>
      <w:r w:rsidRPr="006A258B">
        <w:rPr>
          <w:sz w:val="23"/>
          <w:szCs w:val="23"/>
        </w:rPr>
        <w:t xml:space="preserve"> SDSs are sent to new non-manufacturing establishments.</w:t>
      </w:r>
      <w:r>
        <w:rPr>
          <w:rStyle w:val="FootnoteReference"/>
          <w:sz w:val="23"/>
          <w:szCs w:val="23"/>
        </w:rPr>
        <w:footnoteReference w:id="16"/>
      </w:r>
      <w:r w:rsidRPr="006A258B">
        <w:rPr>
          <w:sz w:val="23"/>
          <w:szCs w:val="23"/>
        </w:rPr>
        <w:t xml:space="preserve">   The total number of SDSs sent to new establishments is </w:t>
      </w:r>
      <w:r w:rsidRPr="005F0CFD" w:rsidR="00260DFC">
        <w:rPr>
          <w:sz w:val="23"/>
          <w:szCs w:val="23"/>
          <w:u w:val="single"/>
        </w:rPr>
        <w:t>4,118,062</w:t>
      </w:r>
      <w:r w:rsidRPr="006A258B">
        <w:rPr>
          <w:sz w:val="23"/>
          <w:szCs w:val="23"/>
        </w:rPr>
        <w:t xml:space="preserve"> SDSs.  </w:t>
      </w:r>
    </w:p>
    <w:p w:rsidR="00F811C4" w:rsidP="006A258B" w:rsidRDefault="00F811C4" w14:paraId="763B690A" w14:textId="77777777">
      <w:pPr>
        <w:pStyle w:val="Default"/>
        <w:rPr>
          <w:sz w:val="23"/>
          <w:szCs w:val="23"/>
        </w:rPr>
      </w:pPr>
    </w:p>
    <w:p w:rsidR="008D055F" w:rsidP="008D055F" w:rsidRDefault="008D055F" w14:paraId="60399C71" w14:textId="77777777">
      <w:pPr>
        <w:pStyle w:val="Default"/>
        <w:rPr>
          <w:color w:val="auto"/>
        </w:rPr>
      </w:pPr>
      <w:r>
        <w:rPr>
          <w:sz w:val="23"/>
          <w:szCs w:val="23"/>
        </w:rPr>
        <w:t>Under Item 12, number 5(a) titled “Sending SDSs for existing hazardous chemicals to exiting establishments,” OSHA estimates a to</w:t>
      </w:r>
      <w:r>
        <w:rPr>
          <w:color w:val="auto"/>
        </w:rPr>
        <w:t xml:space="preserve">tal of </w:t>
      </w:r>
      <w:r w:rsidR="00260DFC">
        <w:rPr>
          <w:color w:val="auto"/>
        </w:rPr>
        <w:t>15,791</w:t>
      </w:r>
      <w:r>
        <w:rPr>
          <w:color w:val="auto"/>
        </w:rPr>
        <w:t xml:space="preserve"> existing SDSs are sent to existing manufacturing establishments and </w:t>
      </w:r>
      <w:r w:rsidR="00260DFC">
        <w:rPr>
          <w:color w:val="auto"/>
        </w:rPr>
        <w:t>861,343</w:t>
      </w:r>
      <w:r>
        <w:t xml:space="preserve"> existing</w:t>
      </w:r>
      <w:r>
        <w:rPr>
          <w:color w:val="auto"/>
        </w:rPr>
        <w:t xml:space="preserve"> SDSs are sent to existing non-manufacturing establishments. </w:t>
      </w:r>
      <w:r>
        <w:rPr>
          <w:rStyle w:val="FootnoteReference"/>
          <w:color w:val="auto"/>
        </w:rPr>
        <w:footnoteReference w:id="17"/>
      </w:r>
      <w:r>
        <w:rPr>
          <w:color w:val="auto"/>
        </w:rPr>
        <w:t xml:space="preserve">. The total number of SDSs is </w:t>
      </w:r>
      <w:r w:rsidRPr="005F0CFD" w:rsidR="00260DFC">
        <w:rPr>
          <w:color w:val="auto"/>
          <w:u w:val="single"/>
        </w:rPr>
        <w:t>877,134</w:t>
      </w:r>
      <w:r w:rsidRPr="005F0CFD">
        <w:rPr>
          <w:color w:val="auto"/>
          <w:u w:val="single"/>
        </w:rPr>
        <w:t>.</w:t>
      </w:r>
    </w:p>
    <w:p w:rsidR="006773C6" w:rsidP="008D055F" w:rsidRDefault="006773C6" w14:paraId="1D3385FA" w14:textId="77777777">
      <w:pPr>
        <w:pStyle w:val="Default"/>
        <w:rPr>
          <w:color w:val="auto"/>
        </w:rPr>
      </w:pPr>
    </w:p>
    <w:p w:rsidR="006773C6" w:rsidP="008D055F" w:rsidRDefault="006773C6" w14:paraId="5CA78303" w14:textId="77777777">
      <w:pPr>
        <w:pStyle w:val="Default"/>
        <w:rPr>
          <w:color w:val="auto"/>
        </w:rPr>
      </w:pPr>
      <w:r w:rsidRPr="003C6538">
        <w:rPr>
          <w:b/>
          <w:color w:val="auto"/>
        </w:rPr>
        <w:t>The total number of SDSs</w:t>
      </w:r>
      <w:r w:rsidRPr="006773C6">
        <w:rPr>
          <w:color w:val="auto"/>
        </w:rPr>
        <w:t xml:space="preserve"> is </w:t>
      </w:r>
      <w:r w:rsidR="00260DFC">
        <w:rPr>
          <w:color w:val="auto"/>
        </w:rPr>
        <w:t>7,118,003</w:t>
      </w:r>
      <w:r>
        <w:rPr>
          <w:color w:val="auto"/>
        </w:rPr>
        <w:t xml:space="preserve"> (</w:t>
      </w:r>
      <w:r w:rsidR="00260DFC">
        <w:rPr>
          <w:sz w:val="23"/>
          <w:szCs w:val="23"/>
        </w:rPr>
        <w:t>2,122,807</w:t>
      </w:r>
      <w:r>
        <w:rPr>
          <w:color w:val="auto"/>
          <w:sz w:val="23"/>
          <w:szCs w:val="23"/>
        </w:rPr>
        <w:t xml:space="preserve"> +</w:t>
      </w:r>
      <w:r w:rsidR="00260DFC">
        <w:rPr>
          <w:sz w:val="23"/>
          <w:szCs w:val="23"/>
        </w:rPr>
        <w:t>4,118,062</w:t>
      </w:r>
      <w:r>
        <w:rPr>
          <w:color w:val="auto"/>
          <w:sz w:val="23"/>
          <w:szCs w:val="23"/>
        </w:rPr>
        <w:t xml:space="preserve"> </w:t>
      </w:r>
      <w:r>
        <w:rPr>
          <w:sz w:val="23"/>
          <w:szCs w:val="23"/>
        </w:rPr>
        <w:t xml:space="preserve">+ </w:t>
      </w:r>
      <w:r w:rsidR="00260DFC">
        <w:rPr>
          <w:color w:val="auto"/>
        </w:rPr>
        <w:t>877,134</w:t>
      </w:r>
      <w:r>
        <w:rPr>
          <w:color w:val="auto"/>
        </w:rPr>
        <w:t>)</w:t>
      </w:r>
    </w:p>
    <w:p w:rsidR="00F103E5" w:rsidP="00AB0B90" w:rsidRDefault="00304897" w14:paraId="2159F6F6" w14:textId="77777777">
      <w:pPr>
        <w:pStyle w:val="Default"/>
        <w:rPr>
          <w:b/>
          <w:sz w:val="22"/>
          <w:szCs w:val="22"/>
        </w:rPr>
      </w:pPr>
      <w:r>
        <w:rPr>
          <w:color w:val="auto"/>
        </w:rPr>
        <w:tab/>
      </w:r>
      <w:r w:rsidR="00B25F34">
        <w:rPr>
          <w:b/>
          <w:bCs/>
          <w:color w:val="auto"/>
          <w:sz w:val="23"/>
          <w:szCs w:val="23"/>
        </w:rPr>
        <w:t>Cost</w:t>
      </w:r>
      <w:r w:rsidR="00350C1A">
        <w:rPr>
          <w:b/>
          <w:bCs/>
          <w:color w:val="auto"/>
          <w:sz w:val="23"/>
          <w:szCs w:val="23"/>
        </w:rPr>
        <w:t>:</w:t>
      </w:r>
      <w:r w:rsidR="002B4A1B">
        <w:rPr>
          <w:color w:val="auto"/>
          <w:sz w:val="23"/>
          <w:szCs w:val="23"/>
        </w:rPr>
        <w:t xml:space="preserve"> </w:t>
      </w:r>
      <w:r w:rsidR="00260DFC">
        <w:rPr>
          <w:color w:val="auto"/>
          <w:sz w:val="23"/>
          <w:szCs w:val="23"/>
        </w:rPr>
        <w:t>7,118,003</w:t>
      </w:r>
      <w:r w:rsidR="006773C6">
        <w:rPr>
          <w:color w:val="auto"/>
          <w:sz w:val="23"/>
          <w:szCs w:val="23"/>
        </w:rPr>
        <w:t xml:space="preserve"> </w:t>
      </w:r>
      <w:r w:rsidR="00B25F34">
        <w:rPr>
          <w:color w:val="auto"/>
          <w:sz w:val="23"/>
          <w:szCs w:val="23"/>
        </w:rPr>
        <w:t xml:space="preserve">SDSs x 2 </w:t>
      </w:r>
      <w:r w:rsidR="00E51B9D">
        <w:rPr>
          <w:color w:val="auto"/>
          <w:sz w:val="23"/>
          <w:szCs w:val="23"/>
        </w:rPr>
        <w:t xml:space="preserve">pages x .07 dollar = </w:t>
      </w:r>
      <w:r w:rsidRPr="005F0CFD" w:rsidR="00E51B9D">
        <w:rPr>
          <w:color w:val="auto"/>
          <w:sz w:val="23"/>
          <w:szCs w:val="23"/>
          <w:u w:val="single"/>
        </w:rPr>
        <w:t>$</w:t>
      </w:r>
      <w:r w:rsidRPr="005F0CFD" w:rsidR="00AA4DC6">
        <w:rPr>
          <w:color w:val="auto"/>
          <w:sz w:val="23"/>
          <w:szCs w:val="23"/>
          <w:u w:val="single"/>
        </w:rPr>
        <w:t>996,520</w:t>
      </w:r>
      <w:r w:rsidR="006773C6">
        <w:rPr>
          <w:b/>
          <w:color w:val="auto"/>
          <w:sz w:val="23"/>
          <w:szCs w:val="23"/>
        </w:rPr>
        <w:tab/>
      </w:r>
      <w:r w:rsidR="006773C6">
        <w:rPr>
          <w:b/>
          <w:color w:val="auto"/>
          <w:sz w:val="23"/>
          <w:szCs w:val="23"/>
        </w:rPr>
        <w:tab/>
      </w:r>
      <w:r w:rsidR="006773C6">
        <w:rPr>
          <w:b/>
          <w:color w:val="auto"/>
          <w:sz w:val="23"/>
          <w:szCs w:val="23"/>
        </w:rPr>
        <w:tab/>
      </w:r>
      <w:r w:rsidR="006773C6">
        <w:rPr>
          <w:b/>
          <w:color w:val="auto"/>
          <w:sz w:val="23"/>
          <w:szCs w:val="23"/>
        </w:rPr>
        <w:tab/>
      </w:r>
      <w:r w:rsidR="006773C6">
        <w:rPr>
          <w:b/>
          <w:color w:val="auto"/>
          <w:sz w:val="23"/>
          <w:szCs w:val="23"/>
        </w:rPr>
        <w:tab/>
      </w:r>
    </w:p>
    <w:p w:rsidRPr="00150D7E" w:rsidR="00F103E5" w:rsidP="00EC1DAF" w:rsidRDefault="00150D7E" w14:paraId="13641249"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150D7E">
        <w:rPr>
          <w:b/>
          <w:color w:val="000000"/>
          <w:sz w:val="22"/>
          <w:szCs w:val="22"/>
        </w:rPr>
        <w:t xml:space="preserve">Printing </w:t>
      </w:r>
      <w:r w:rsidRPr="00150D7E" w:rsidR="00F103E5">
        <w:rPr>
          <w:b/>
          <w:color w:val="000000"/>
          <w:sz w:val="22"/>
          <w:szCs w:val="22"/>
        </w:rPr>
        <w:t>Cost</w:t>
      </w:r>
      <w:r>
        <w:rPr>
          <w:b/>
          <w:strike/>
          <w:color w:val="000000"/>
          <w:sz w:val="22"/>
          <w:szCs w:val="22"/>
        </w:rPr>
        <w:t xml:space="preserve"> </w:t>
      </w:r>
      <w:r w:rsidRPr="00150D7E">
        <w:rPr>
          <w:b/>
          <w:color w:val="000000"/>
          <w:sz w:val="22"/>
          <w:szCs w:val="22"/>
        </w:rPr>
        <w:t>for Labels</w:t>
      </w:r>
      <w:r w:rsidRPr="00150D7E" w:rsidR="00F103E5">
        <w:rPr>
          <w:b/>
          <w:color w:val="000000"/>
          <w:sz w:val="22"/>
          <w:szCs w:val="22"/>
        </w:rPr>
        <w:t>:</w:t>
      </w:r>
    </w:p>
    <w:p w:rsidRPr="00150D7E" w:rsidR="00F103E5" w:rsidP="00EC1DAF" w:rsidRDefault="00F103E5" w14:paraId="011E48F9"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463004" w:rsidR="00876AE4" w:rsidP="00876AE4" w:rsidRDefault="00D761B9" w14:paraId="01E232C1" w14:textId="7DA536AD">
      <w:pPr>
        <w:pStyle w:val="CommentText"/>
        <w:rPr>
          <w:sz w:val="24"/>
          <w:szCs w:val="24"/>
        </w:rPr>
      </w:pPr>
      <w:r w:rsidRPr="00463004">
        <w:rPr>
          <w:sz w:val="24"/>
          <w:szCs w:val="24"/>
        </w:rPr>
        <w:t>The total estimate</w:t>
      </w:r>
      <w:r w:rsidRPr="00463004" w:rsidR="00F103E5">
        <w:rPr>
          <w:sz w:val="24"/>
          <w:szCs w:val="24"/>
        </w:rPr>
        <w:t>d</w:t>
      </w:r>
      <w:r w:rsidRPr="00463004">
        <w:rPr>
          <w:sz w:val="24"/>
          <w:szCs w:val="24"/>
        </w:rPr>
        <w:t xml:space="preserve"> for color printer cost is </w:t>
      </w:r>
      <w:r w:rsidRPr="005F0CFD">
        <w:rPr>
          <w:sz w:val="24"/>
          <w:szCs w:val="24"/>
          <w:u w:val="single"/>
        </w:rPr>
        <w:t>$24,074,395</w:t>
      </w:r>
      <w:r w:rsidRPr="00334BF8">
        <w:rPr>
          <w:sz w:val="24"/>
          <w:szCs w:val="24"/>
        </w:rPr>
        <w:t xml:space="preserve"> </w:t>
      </w:r>
      <w:r w:rsidRPr="00463004">
        <w:rPr>
          <w:sz w:val="24"/>
          <w:szCs w:val="24"/>
        </w:rPr>
        <w:t>for all establishments.</w:t>
      </w:r>
      <w:r w:rsidRPr="00463004" w:rsidR="00861D67">
        <w:rPr>
          <w:sz w:val="24"/>
          <w:szCs w:val="24"/>
        </w:rPr>
        <w:t xml:space="preserve"> </w:t>
      </w:r>
      <w:r w:rsidRPr="00463004" w:rsidR="001A21AA">
        <w:rPr>
          <w:sz w:val="24"/>
          <w:szCs w:val="24"/>
        </w:rPr>
        <w:t xml:space="preserve"> </w:t>
      </w:r>
      <w:r w:rsidRPr="00463004" w:rsidR="00861D67">
        <w:rPr>
          <w:sz w:val="24"/>
          <w:szCs w:val="24"/>
        </w:rPr>
        <w:t xml:space="preserve">See Table </w:t>
      </w:r>
      <w:r w:rsidR="00EA5203">
        <w:rPr>
          <w:sz w:val="24"/>
          <w:szCs w:val="24"/>
        </w:rPr>
        <w:t>4</w:t>
      </w:r>
      <w:r w:rsidRPr="00463004" w:rsidR="00861D67">
        <w:rPr>
          <w:sz w:val="24"/>
          <w:szCs w:val="24"/>
        </w:rPr>
        <w:t xml:space="preserve">, </w:t>
      </w:r>
      <w:r w:rsidRPr="00463004" w:rsidR="00861D67">
        <w:rPr>
          <w:i/>
          <w:sz w:val="24"/>
          <w:szCs w:val="24"/>
        </w:rPr>
        <w:t>Summary of</w:t>
      </w:r>
      <w:r w:rsidRPr="00463004" w:rsidR="00876AE4">
        <w:rPr>
          <w:i/>
          <w:sz w:val="24"/>
          <w:szCs w:val="24"/>
        </w:rPr>
        <w:t xml:space="preserve"> Color Printing Costs</w:t>
      </w:r>
      <w:r w:rsidRPr="00463004" w:rsidR="00861D67">
        <w:rPr>
          <w:sz w:val="24"/>
          <w:szCs w:val="24"/>
        </w:rPr>
        <w:t>.</w:t>
      </w:r>
      <w:r w:rsidRPr="00463004" w:rsidR="00876AE4">
        <w:rPr>
          <w:sz w:val="24"/>
          <w:szCs w:val="24"/>
        </w:rPr>
        <w:t xml:space="preserve"> The cost of colored printers and printing is only for labels and not SDSs, as SDSs may be printed in black and white and still remain in compliance.  Labels with pictograms require color printing for the red borders of the pictograms.</w:t>
      </w:r>
    </w:p>
    <w:p w:rsidRPr="00150D7E" w:rsidR="003D087E" w:rsidP="00EC1DAF" w:rsidRDefault="003D087E" w14:paraId="5DC1D5BA" w14:textId="77777777">
      <w:pPr>
        <w:pStyle w:val="Default"/>
      </w:pPr>
    </w:p>
    <w:p w:rsidRPr="00F03EEB" w:rsidR="0041296B" w:rsidP="00EC1DAF" w:rsidRDefault="0041296B" w14:paraId="29C176E8" w14:textId="77777777">
      <w:pPr>
        <w:pStyle w:val="Default"/>
        <w:rPr>
          <w:u w:val="single"/>
        </w:rPr>
      </w:pPr>
    </w:p>
    <w:tbl>
      <w:tblPr>
        <w:tblpPr w:leftFromText="180" w:rightFromText="180" w:vertAnchor="text" w:horzAnchor="margin" w:tblpXSpec="center" w:tblpY="109"/>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1545"/>
        <w:gridCol w:w="2697"/>
        <w:gridCol w:w="1390"/>
        <w:gridCol w:w="1683"/>
        <w:gridCol w:w="1685"/>
      </w:tblGrid>
      <w:tr w:rsidRPr="00150D7E" w:rsidR="0041296B" w:rsidTr="00B80FB9" w14:paraId="2EC23D64" w14:textId="77777777">
        <w:tc>
          <w:tcPr>
            <w:tcW w:w="10440" w:type="dxa"/>
            <w:gridSpan w:val="6"/>
            <w:tcBorders>
              <w:top w:val="single" w:color="auto" w:sz="4" w:space="0"/>
              <w:left w:val="single" w:color="auto" w:sz="4" w:space="0"/>
              <w:bottom w:val="single" w:color="auto" w:sz="4" w:space="0"/>
              <w:right w:val="single" w:color="auto" w:sz="4" w:space="0"/>
            </w:tcBorders>
            <w:shd w:val="clear" w:color="auto" w:fill="auto"/>
          </w:tcPr>
          <w:p w:rsidRPr="00150D7E" w:rsidR="0041296B" w:rsidP="00EA5203" w:rsidRDefault="0041296B" w14:paraId="7DFB5A40" w14:textId="77777777">
            <w:pPr>
              <w:jc w:val="center"/>
              <w:rPr>
                <w:b/>
                <w:sz w:val="24"/>
                <w:szCs w:val="24"/>
              </w:rPr>
            </w:pPr>
            <w:r w:rsidRPr="00150D7E">
              <w:rPr>
                <w:b/>
              </w:rPr>
              <w:t xml:space="preserve">Table </w:t>
            </w:r>
            <w:r w:rsidR="00EA5203">
              <w:rPr>
                <w:b/>
              </w:rPr>
              <w:t>4</w:t>
            </w:r>
            <w:r w:rsidRPr="00150D7E">
              <w:rPr>
                <w:b/>
              </w:rPr>
              <w:t xml:space="preserve"> Summary of Color Printing Costs</w:t>
            </w:r>
          </w:p>
        </w:tc>
      </w:tr>
      <w:tr w:rsidRPr="00150D7E" w:rsidR="0041296B" w:rsidTr="00B80FB9" w14:paraId="411A6E59" w14:textId="77777777">
        <w:tc>
          <w:tcPr>
            <w:tcW w:w="1440"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6CB9EDC8" w14:textId="77777777">
            <w:pPr>
              <w:rPr>
                <w:b/>
              </w:rPr>
            </w:pPr>
            <w:r w:rsidRPr="00150D7E">
              <w:rPr>
                <w:b/>
              </w:rPr>
              <w:t>Size Category</w:t>
            </w:r>
          </w:p>
        </w:tc>
        <w:tc>
          <w:tcPr>
            <w:tcW w:w="1545"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33E4044C" w14:textId="77777777">
            <w:pPr>
              <w:rPr>
                <w:b/>
              </w:rPr>
            </w:pPr>
            <w:r w:rsidRPr="00150D7E">
              <w:rPr>
                <w:b/>
              </w:rPr>
              <w:t>Annualized Printer Cost per Label</w:t>
            </w:r>
          </w:p>
        </w:tc>
        <w:tc>
          <w:tcPr>
            <w:tcW w:w="2697"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4D85AE27" w14:textId="77777777">
            <w:pPr>
              <w:rPr>
                <w:b/>
              </w:rPr>
            </w:pPr>
            <w:r w:rsidRPr="00150D7E">
              <w:rPr>
                <w:b/>
              </w:rPr>
              <w:t>Annualized Cartridge/Ribbon/Stock Costs per Label</w:t>
            </w:r>
          </w:p>
        </w:tc>
        <w:tc>
          <w:tcPr>
            <w:tcW w:w="1390"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1C76E024" w14:textId="77777777">
            <w:pPr>
              <w:rPr>
                <w:b/>
              </w:rPr>
            </w:pPr>
            <w:r w:rsidRPr="00150D7E">
              <w:rPr>
                <w:b/>
              </w:rPr>
              <w:t>Total Annualized Costs per Label</w:t>
            </w:r>
          </w:p>
        </w:tc>
        <w:tc>
          <w:tcPr>
            <w:tcW w:w="1683"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178193FB" w14:textId="77777777">
            <w:pPr>
              <w:rPr>
                <w:b/>
              </w:rPr>
            </w:pPr>
            <w:r w:rsidRPr="00150D7E">
              <w:rPr>
                <w:b/>
              </w:rPr>
              <w:t>Total Annualized Costs per Establishment</w:t>
            </w:r>
          </w:p>
        </w:tc>
        <w:tc>
          <w:tcPr>
            <w:tcW w:w="1685" w:type="dxa"/>
            <w:tcBorders>
              <w:top w:val="single" w:color="auto" w:sz="4" w:space="0"/>
              <w:left w:val="single" w:color="auto" w:sz="4" w:space="0"/>
              <w:bottom w:val="single" w:color="auto" w:sz="4" w:space="0"/>
              <w:right w:val="single" w:color="auto" w:sz="4" w:space="0"/>
            </w:tcBorders>
            <w:shd w:val="pct5" w:color="auto" w:fill="CCFFFF"/>
          </w:tcPr>
          <w:p w:rsidRPr="00150D7E" w:rsidR="0041296B" w:rsidP="0041296B" w:rsidRDefault="0041296B" w14:paraId="6116C1EC" w14:textId="77777777">
            <w:pPr>
              <w:rPr>
                <w:b/>
              </w:rPr>
            </w:pPr>
            <w:r w:rsidRPr="00150D7E">
              <w:rPr>
                <w:b/>
              </w:rPr>
              <w:t>Total Annualized Costs, All Establishments</w:t>
            </w:r>
          </w:p>
        </w:tc>
      </w:tr>
      <w:tr w:rsidRPr="00150D7E" w:rsidR="0041296B" w:rsidTr="0041296B" w14:paraId="0B3CC5AF" w14:textId="77777777">
        <w:trPr>
          <w:trHeight w:val="449"/>
        </w:trPr>
        <w:tc>
          <w:tcPr>
            <w:tcW w:w="10440" w:type="dxa"/>
            <w:gridSpan w:val="6"/>
            <w:tcBorders>
              <w:top w:val="single" w:color="auto" w:sz="4" w:space="0"/>
              <w:left w:val="single" w:color="auto" w:sz="4" w:space="0"/>
              <w:bottom w:val="single" w:color="auto" w:sz="4" w:space="0"/>
              <w:right w:val="single" w:color="auto" w:sz="4" w:space="0"/>
            </w:tcBorders>
            <w:shd w:val="clear" w:color="auto" w:fill="F3F3F3"/>
          </w:tcPr>
          <w:p w:rsidRPr="00150D7E" w:rsidR="0041296B" w:rsidP="0041296B" w:rsidRDefault="0041296B" w14:paraId="2E083096" w14:textId="77777777">
            <w:pPr>
              <w:rPr>
                <w:b/>
              </w:rPr>
            </w:pPr>
            <w:r w:rsidRPr="00150D7E">
              <w:rPr>
                <w:b/>
              </w:rPr>
              <w:t>Category 1: Companies Printing Only B&amp;W and No Color Printer</w:t>
            </w:r>
          </w:p>
        </w:tc>
      </w:tr>
      <w:tr w:rsidRPr="00150D7E" w:rsidR="0041296B" w:rsidTr="0041296B" w14:paraId="1BB54C68"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5788039" w14:textId="77777777">
            <w:r w:rsidRPr="00150D7E">
              <w:t>Very 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ADBE6A4" w14:textId="77777777">
            <w:r w:rsidRPr="00150D7E">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12C1CEA" w14:textId="77777777">
            <w:r w:rsidRPr="00150D7E">
              <w:t>$0.13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45DEFE2" w14:textId="77777777">
            <w:r w:rsidRPr="00150D7E">
              <w:t>$0.14</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2C897C2" w14:textId="77777777">
            <w:r w:rsidRPr="00150D7E">
              <w:t>$91.74</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4729B1B" w14:textId="77777777">
            <w:r w:rsidRPr="00150D7E">
              <w:t>$1,489,571</w:t>
            </w:r>
          </w:p>
        </w:tc>
      </w:tr>
      <w:tr w:rsidRPr="00150D7E" w:rsidR="0041296B" w:rsidTr="0041296B" w14:paraId="6E9EB2F4"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540E3FC" w14:textId="77777777">
            <w:r w:rsidRPr="00150D7E">
              <w:t>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757708D8" w14:textId="77777777">
            <w:r w:rsidRPr="003F0A08">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729B3F8D" w14:textId="77777777">
            <w:r w:rsidRPr="003F0A08">
              <w:t>$0.13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48E1F271" w14:textId="77777777">
            <w:r w:rsidRPr="003F0A08">
              <w:t>$0.13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F1EBA63" w14:textId="77777777">
            <w:r w:rsidRPr="00150D7E">
              <w:t>$570.41</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8E11990" w14:textId="77777777">
            <w:r w:rsidRPr="00150D7E">
              <w:t>$2,552,483</w:t>
            </w:r>
          </w:p>
        </w:tc>
      </w:tr>
      <w:tr w:rsidRPr="00150D7E" w:rsidR="0041296B" w:rsidTr="0041296B" w14:paraId="7E75F09A"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9442E67" w14:textId="77777777">
            <w:r w:rsidRPr="00150D7E">
              <w:t>Medium</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27B517AF" w14:textId="77777777">
            <w:r w:rsidRPr="003F0A08">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695A6E7C" w14:textId="77777777">
            <w:r w:rsidRPr="003F0A08">
              <w:t>$0.01</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3F0A08" w:rsidR="0041296B" w:rsidP="0041296B" w:rsidRDefault="0041296B" w14:paraId="4D4D8A0D" w14:textId="77777777">
            <w:r w:rsidRPr="003F0A08">
              <w:t>$0.01</w:t>
            </w:r>
            <w:bookmarkStart w:name="_GoBack" w:id="27"/>
            <w:bookmarkEnd w:id="27"/>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2B5E9FE" w14:textId="77777777">
            <w:r w:rsidRPr="00150D7E">
              <w:t>$142.02</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7DE83E1" w14:textId="77777777">
            <w:r w:rsidRPr="00150D7E">
              <w:t>$321,896</w:t>
            </w:r>
          </w:p>
        </w:tc>
      </w:tr>
      <w:tr w:rsidRPr="00150D7E" w:rsidR="0041296B" w:rsidTr="0041296B" w14:paraId="6FCFDAE4"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D9C480C" w14:textId="77777777">
            <w:r w:rsidRPr="00150D7E">
              <w:t>Large</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F84B0D4" w14:textId="77777777">
            <w:r w:rsidRPr="00150D7E">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0807EE5" w14:textId="77777777">
            <w:r w:rsidRPr="00150D7E">
              <w:t>$0.01</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C90F4C7" w14:textId="77777777">
            <w:r w:rsidRPr="00150D7E">
              <w:t>$0.02</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00B4B1D" w14:textId="77777777">
            <w:r w:rsidRPr="00150D7E">
              <w:t>$1,091.86</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C4D62B0" w14:textId="77777777">
            <w:r w:rsidRPr="00150D7E">
              <w:t>$806,560</w:t>
            </w:r>
          </w:p>
        </w:tc>
      </w:tr>
      <w:tr w:rsidRPr="00150D7E" w:rsidR="0041296B" w:rsidTr="0041296B" w14:paraId="5FFBCA8C" w14:textId="77777777">
        <w:tc>
          <w:tcPr>
            <w:tcW w:w="10440" w:type="dxa"/>
            <w:gridSpan w:val="6"/>
            <w:tcBorders>
              <w:top w:val="single" w:color="auto" w:sz="4" w:space="0"/>
              <w:left w:val="single" w:color="auto" w:sz="4" w:space="0"/>
              <w:bottom w:val="single" w:color="auto" w:sz="4" w:space="0"/>
              <w:right w:val="single" w:color="auto" w:sz="4" w:space="0"/>
            </w:tcBorders>
            <w:shd w:val="clear" w:color="auto" w:fill="F3F3F3"/>
          </w:tcPr>
          <w:p w:rsidRPr="00150D7E" w:rsidR="0041296B" w:rsidP="0041296B" w:rsidRDefault="0041296B" w14:paraId="140D5ED5" w14:textId="77777777">
            <w:pPr>
              <w:rPr>
                <w:b/>
              </w:rPr>
            </w:pPr>
            <w:r w:rsidRPr="00150D7E">
              <w:rPr>
                <w:b/>
              </w:rPr>
              <w:t>Category 2: Companies Printing B&amp;W but Own Color Printer</w:t>
            </w:r>
          </w:p>
        </w:tc>
      </w:tr>
      <w:tr w:rsidRPr="00150D7E" w:rsidR="0041296B" w:rsidTr="0041296B" w14:paraId="347E3E87"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9964D67" w14:textId="77777777">
            <w:r w:rsidRPr="00150D7E">
              <w:t>Very 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6243B83" w14:textId="77777777">
            <w:r w:rsidRPr="00150D7E">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70BFB49" w14:textId="77777777">
            <w:r w:rsidRPr="00150D7E">
              <w:t>$0.13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1B41289" w14:textId="77777777">
            <w:r w:rsidRPr="00150D7E">
              <w:t>$0.14</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437E4A5" w14:textId="77777777">
            <w:r w:rsidRPr="00150D7E">
              <w:t>$91.74</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F4B3D5E" w14:textId="77777777">
            <w:r w:rsidRPr="00150D7E">
              <w:t>$496,524</w:t>
            </w:r>
          </w:p>
        </w:tc>
      </w:tr>
      <w:tr w:rsidRPr="00150D7E" w:rsidR="0041296B" w:rsidTr="0041296B" w14:paraId="7B2BB7C8"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A3192CA" w14:textId="77777777">
            <w:r w:rsidRPr="00150D7E">
              <w:t>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AD92FBF" w14:textId="77777777">
            <w:r w:rsidRPr="00150D7E">
              <w:t>$0.00</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9095621" w14:textId="77777777">
            <w:r w:rsidRPr="00150D7E">
              <w:t>$0.13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639FC1F" w14:textId="77777777">
            <w:r w:rsidRPr="00150D7E">
              <w:t>$0.13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989D35A" w14:textId="77777777">
            <w:r w:rsidRPr="00150D7E">
              <w:t>$551.81</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77E1656" w14:textId="77777777">
            <w:r w:rsidRPr="00150D7E">
              <w:t>$823,074</w:t>
            </w:r>
          </w:p>
        </w:tc>
      </w:tr>
      <w:tr w:rsidRPr="00150D7E" w:rsidR="0041296B" w:rsidTr="0041296B" w14:paraId="04DCCE54"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7366BFD" w14:textId="77777777">
            <w:r w:rsidRPr="00150D7E">
              <w:t>Medium</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DD9BE52" w14:textId="77777777">
            <w:r w:rsidRPr="00150D7E">
              <w:t>$0.00</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56741D5" w14:textId="77777777">
            <w:r w:rsidRPr="00150D7E">
              <w:t>$0.01</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5554D63" w14:textId="77777777">
            <w:r w:rsidRPr="00150D7E">
              <w:t>$0.01</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486B3F9" w14:textId="77777777">
            <w:r w:rsidRPr="00150D7E">
              <w:t>$123.42</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EB3053E" w14:textId="77777777">
            <w:r w:rsidRPr="00150D7E">
              <w:t>$93,242</w:t>
            </w:r>
          </w:p>
        </w:tc>
      </w:tr>
      <w:tr w:rsidRPr="00150D7E" w:rsidR="0041296B" w:rsidTr="0041296B" w14:paraId="1CEDE7E2"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5E425D6" w14:textId="77777777">
            <w:r w:rsidRPr="00150D7E">
              <w:t>Large</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C8C5ADC" w14:textId="77777777">
            <w:r w:rsidRPr="00150D7E">
              <w:t>$0.01</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F8674C6" w14:textId="77777777">
            <w:r w:rsidRPr="00150D7E">
              <w:t>$0.01</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43ABB61" w14:textId="77777777">
            <w:r w:rsidRPr="00150D7E">
              <w:t>$0.02</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C333E00" w14:textId="77777777">
            <w:r w:rsidRPr="00150D7E">
              <w:t>$905.80</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4DE3D99" w14:textId="77777777">
            <w:r w:rsidRPr="00150D7E">
              <w:t>$2,007,345</w:t>
            </w:r>
          </w:p>
        </w:tc>
      </w:tr>
      <w:tr w:rsidRPr="00150D7E" w:rsidR="0041296B" w:rsidTr="0041296B" w14:paraId="185EE623" w14:textId="77777777">
        <w:tc>
          <w:tcPr>
            <w:tcW w:w="10440" w:type="dxa"/>
            <w:gridSpan w:val="6"/>
            <w:tcBorders>
              <w:top w:val="single" w:color="auto" w:sz="4" w:space="0"/>
              <w:left w:val="single" w:color="auto" w:sz="4" w:space="0"/>
              <w:bottom w:val="single" w:color="auto" w:sz="4" w:space="0"/>
              <w:right w:val="single" w:color="auto" w:sz="4" w:space="0"/>
            </w:tcBorders>
            <w:shd w:val="clear" w:color="auto" w:fill="F3F3F3"/>
          </w:tcPr>
          <w:p w:rsidRPr="00150D7E" w:rsidR="0041296B" w:rsidP="0041296B" w:rsidRDefault="0041296B" w14:paraId="6DE57FA6" w14:textId="77777777">
            <w:pPr>
              <w:rPr>
                <w:b/>
              </w:rPr>
            </w:pPr>
            <w:r w:rsidRPr="00150D7E">
              <w:rPr>
                <w:b/>
              </w:rPr>
              <w:t>Category 3: Companies Using Pre- Printed Stock/Labels</w:t>
            </w:r>
          </w:p>
        </w:tc>
      </w:tr>
      <w:tr w:rsidRPr="00150D7E" w:rsidR="0041296B" w:rsidTr="0041296B" w14:paraId="49E76B3D"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BAF96AC" w14:textId="77777777">
            <w:r w:rsidRPr="00150D7E">
              <w:t>Very 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A3402AC"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857778B" w14:textId="77777777">
            <w:r w:rsidRPr="00150D7E">
              <w:t>$0.03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E920162" w14:textId="77777777">
            <w:r w:rsidRPr="00150D7E">
              <w:t>$0.03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24C1067" w14:textId="77777777">
            <w:r w:rsidRPr="00150D7E">
              <w:t>$22.28</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B1E065F" w14:textId="77777777">
            <w:r w:rsidRPr="00150D7E">
              <w:t>$482,349</w:t>
            </w:r>
          </w:p>
        </w:tc>
      </w:tr>
      <w:tr w:rsidRPr="00150D7E" w:rsidR="0041296B" w:rsidTr="0041296B" w14:paraId="053DF265"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E09DF65" w14:textId="77777777">
            <w:r w:rsidRPr="00150D7E">
              <w:t>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BCC1688"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F894E61" w14:textId="77777777">
            <w:r w:rsidRPr="00150D7E">
              <w:t>$0.03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190932A" w14:textId="77777777">
            <w:r w:rsidRPr="00150D7E">
              <w:t>$0.03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26A8760" w14:textId="77777777">
            <w:r w:rsidRPr="00150D7E">
              <w:t>$144.11</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BD854E8" w14:textId="77777777">
            <w:r w:rsidRPr="00150D7E">
              <w:t>$859,807</w:t>
            </w:r>
          </w:p>
        </w:tc>
      </w:tr>
      <w:tr w:rsidRPr="00150D7E" w:rsidR="0041296B" w:rsidTr="0041296B" w14:paraId="385B9323"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488C351" w14:textId="77777777">
            <w:r w:rsidRPr="00150D7E">
              <w:t>Medium</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DB9BDDC"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9B58D0B" w14:textId="77777777">
            <w:r w:rsidRPr="00150D7E">
              <w:t>$0.03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4F0BD08" w14:textId="77777777">
            <w:r w:rsidRPr="00150D7E">
              <w:t>$0.03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290B42C" w14:textId="77777777">
            <w:r w:rsidRPr="00150D7E">
              <w:t>$431.02</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45CD4C6" w14:textId="77777777">
            <w:r w:rsidRPr="00150D7E">
              <w:t>$1,302,548</w:t>
            </w:r>
          </w:p>
        </w:tc>
      </w:tr>
      <w:tr w:rsidRPr="00150D7E" w:rsidR="0041296B" w:rsidTr="0041296B" w14:paraId="4F1DB4F4"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C286C13" w14:textId="77777777">
            <w:r w:rsidRPr="00150D7E">
              <w:t>Large</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5C6DDE2"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93AFDCB" w14:textId="77777777">
            <w:r w:rsidRPr="00150D7E">
              <w:t>$0.03</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72734A7" w14:textId="77777777">
            <w:r w:rsidRPr="00150D7E">
              <w:t>$0.03</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61BD7B0" w14:textId="77777777">
            <w:r w:rsidRPr="00150D7E">
              <w:t>$1,738.06</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52E5FCB" w14:textId="77777777">
            <w:r w:rsidRPr="00150D7E">
              <w:t>$12,839,037</w:t>
            </w:r>
          </w:p>
        </w:tc>
      </w:tr>
      <w:tr w:rsidRPr="00150D7E" w:rsidR="0041296B" w:rsidTr="0041296B" w14:paraId="2B27694C" w14:textId="77777777">
        <w:tc>
          <w:tcPr>
            <w:tcW w:w="10440" w:type="dxa"/>
            <w:gridSpan w:val="6"/>
            <w:tcBorders>
              <w:top w:val="single" w:color="auto" w:sz="4" w:space="0"/>
              <w:left w:val="single" w:color="auto" w:sz="4" w:space="0"/>
              <w:bottom w:val="single" w:color="auto" w:sz="4" w:space="0"/>
              <w:right w:val="single" w:color="auto" w:sz="4" w:space="0"/>
            </w:tcBorders>
            <w:shd w:val="clear" w:color="auto" w:fill="F3F3F3"/>
          </w:tcPr>
          <w:p w:rsidRPr="00150D7E" w:rsidR="0041296B" w:rsidP="0041296B" w:rsidRDefault="0041296B" w14:paraId="41B3D60C" w14:textId="77777777">
            <w:pPr>
              <w:rPr>
                <w:b/>
              </w:rPr>
            </w:pPr>
            <w:r w:rsidRPr="00150D7E">
              <w:rPr>
                <w:b/>
              </w:rPr>
              <w:t>Category 4: Companies Printing Color Labels</w:t>
            </w:r>
          </w:p>
        </w:tc>
      </w:tr>
      <w:tr w:rsidRPr="00150D7E" w:rsidR="0041296B" w:rsidTr="0041296B" w14:paraId="40C1115C"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1FF4168" w14:textId="77777777">
            <w:r w:rsidRPr="00150D7E">
              <w:t>Very 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87D007B"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E885662" w14:textId="77777777">
            <w:r w:rsidRPr="00150D7E">
              <w:t>$-</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F66D66D" w14:textId="77777777">
            <w:r w:rsidRPr="00150D7E">
              <w:t>$-</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73CF1DC" w14:textId="77777777">
            <w:r w:rsidRPr="00150D7E">
              <w:t>$-</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8174BBB" w14:textId="77777777">
            <w:r w:rsidRPr="00150D7E">
              <w:t>$-</w:t>
            </w:r>
          </w:p>
        </w:tc>
      </w:tr>
      <w:tr w:rsidRPr="00150D7E" w:rsidR="0041296B" w:rsidTr="0041296B" w14:paraId="629D349D"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9C3DAC0" w14:textId="77777777">
            <w:r w:rsidRPr="00150D7E">
              <w:t>Small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9ABD9E7"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0D3712C" w14:textId="77777777">
            <w:r w:rsidRPr="00150D7E">
              <w:t>$-</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AA9815F" w14:textId="77777777">
            <w:r w:rsidRPr="00150D7E">
              <w:t>$-</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3D4F1EE" w14:textId="77777777">
            <w:r w:rsidRPr="00150D7E">
              <w:t>$-</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B51F7D4" w14:textId="77777777">
            <w:r w:rsidRPr="00150D7E">
              <w:t>$-</w:t>
            </w:r>
          </w:p>
        </w:tc>
      </w:tr>
      <w:tr w:rsidRPr="00150D7E" w:rsidR="0041296B" w:rsidTr="0041296B" w14:paraId="46A46A97"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3F85881" w14:textId="77777777">
            <w:r w:rsidRPr="00150D7E">
              <w:t>Medium</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968352A"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DCC601B" w14:textId="77777777">
            <w:r w:rsidRPr="00150D7E">
              <w:t>$-</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48FA91A" w14:textId="77777777">
            <w:r w:rsidRPr="00150D7E">
              <w:t>$-</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6571440" w14:textId="77777777">
            <w:r w:rsidRPr="00150D7E">
              <w:t>$-</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5B0B1DD" w14:textId="77777777">
            <w:r w:rsidRPr="00150D7E">
              <w:t>$-</w:t>
            </w:r>
          </w:p>
        </w:tc>
      </w:tr>
      <w:tr w:rsidRPr="00150D7E" w:rsidR="0041296B" w:rsidTr="0041296B" w14:paraId="0FA2E07A"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C99EDA3" w14:textId="77777777">
            <w:r w:rsidRPr="00150D7E">
              <w:t>Large</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83E4455" w14:textId="77777777">
            <w:r w:rsidRPr="00150D7E">
              <w:t>$-</w:t>
            </w:r>
          </w:p>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7D03A9B" w14:textId="77777777">
            <w:r w:rsidRPr="00150D7E">
              <w:t>$-</w:t>
            </w:r>
          </w:p>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A654253" w14:textId="77777777">
            <w:r w:rsidRPr="00150D7E">
              <w:t>$-</w:t>
            </w:r>
          </w:p>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69AE20EC" w14:textId="77777777">
            <w:r w:rsidRPr="00150D7E">
              <w:t>$-</w:t>
            </w:r>
          </w:p>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831F578" w14:textId="77777777">
            <w:r w:rsidRPr="00150D7E">
              <w:t>$-</w:t>
            </w:r>
          </w:p>
        </w:tc>
      </w:tr>
      <w:tr w:rsidRPr="00150D7E" w:rsidR="0041296B" w:rsidTr="0041296B" w14:paraId="31CD6094"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768A60AA" w14:textId="77777777"/>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5AB4A60" w14:textId="77777777"/>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7511F04" w14:textId="77777777"/>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E1FA3A2" w14:textId="77777777"/>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ED56D1F" w14:textId="77777777"/>
        </w:tc>
        <w:tc>
          <w:tcPr>
            <w:tcW w:w="168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4CC80DFC" w14:textId="77777777"/>
        </w:tc>
      </w:tr>
      <w:tr w:rsidRPr="00150D7E" w:rsidR="0041296B" w:rsidTr="0041296B" w14:paraId="2259F758" w14:textId="77777777">
        <w:tc>
          <w:tcPr>
            <w:tcW w:w="144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2EFED40D" w14:textId="77777777">
            <w:pPr>
              <w:rPr>
                <w:b/>
              </w:rPr>
            </w:pPr>
            <w:r w:rsidRPr="00150D7E">
              <w:rPr>
                <w:b/>
              </w:rPr>
              <w:t>Total</w:t>
            </w:r>
          </w:p>
        </w:tc>
        <w:tc>
          <w:tcPr>
            <w:tcW w:w="1545"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0119B8BD" w14:textId="77777777"/>
        </w:tc>
        <w:tc>
          <w:tcPr>
            <w:tcW w:w="2697"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52D0DF1C" w14:textId="77777777"/>
        </w:tc>
        <w:tc>
          <w:tcPr>
            <w:tcW w:w="1390"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320C14B5" w14:textId="77777777"/>
        </w:tc>
        <w:tc>
          <w:tcPr>
            <w:tcW w:w="1683" w:type="dxa"/>
            <w:tcBorders>
              <w:top w:val="single" w:color="auto" w:sz="4" w:space="0"/>
              <w:left w:val="single" w:color="auto" w:sz="4" w:space="0"/>
              <w:bottom w:val="single" w:color="auto" w:sz="4" w:space="0"/>
              <w:right w:val="single" w:color="auto" w:sz="4" w:space="0"/>
            </w:tcBorders>
            <w:shd w:val="clear" w:color="auto" w:fill="auto"/>
          </w:tcPr>
          <w:p w:rsidRPr="00150D7E" w:rsidR="0041296B" w:rsidP="0041296B" w:rsidRDefault="0041296B" w14:paraId="14833966" w14:textId="77777777"/>
        </w:tc>
        <w:tc>
          <w:tcPr>
            <w:tcW w:w="1685" w:type="dxa"/>
            <w:tcBorders>
              <w:top w:val="single" w:color="auto" w:sz="4" w:space="0"/>
              <w:left w:val="single" w:color="auto" w:sz="4" w:space="0"/>
              <w:bottom w:val="single" w:color="auto" w:sz="4" w:space="0"/>
              <w:right w:val="single" w:color="auto" w:sz="4" w:space="0"/>
            </w:tcBorders>
            <w:shd w:val="clear" w:color="auto" w:fill="auto"/>
          </w:tcPr>
          <w:p w:rsidRPr="0094766F" w:rsidR="0041296B" w:rsidP="0041296B" w:rsidRDefault="0041296B" w14:paraId="093DC923" w14:textId="77777777">
            <w:pPr>
              <w:jc w:val="center"/>
              <w:rPr>
                <w:b/>
              </w:rPr>
            </w:pPr>
            <w:r>
              <w:rPr>
                <w:b/>
              </w:rPr>
              <w:t>24,074,436</w:t>
            </w:r>
          </w:p>
        </w:tc>
      </w:tr>
      <w:tr w:rsidRPr="00150D7E" w:rsidR="0041296B" w:rsidTr="0041296B" w14:paraId="00262BDA" w14:textId="77777777">
        <w:tc>
          <w:tcPr>
            <w:tcW w:w="1440"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7072A436" w14:textId="77777777">
            <w:pPr>
              <w:rPr>
                <w:sz w:val="22"/>
                <w:szCs w:val="22"/>
              </w:rPr>
            </w:pPr>
          </w:p>
        </w:tc>
        <w:tc>
          <w:tcPr>
            <w:tcW w:w="1545"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7912A320" w14:textId="77777777">
            <w:pPr>
              <w:rPr>
                <w:sz w:val="22"/>
                <w:szCs w:val="22"/>
              </w:rPr>
            </w:pPr>
          </w:p>
        </w:tc>
        <w:tc>
          <w:tcPr>
            <w:tcW w:w="2697"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5B08F809" w14:textId="77777777">
            <w:pPr>
              <w:rPr>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02206364" w14:textId="77777777">
            <w:pPr>
              <w:rPr>
                <w:sz w:val="22"/>
                <w:szCs w:val="22"/>
              </w:rPr>
            </w:pPr>
          </w:p>
        </w:tc>
        <w:tc>
          <w:tcPr>
            <w:tcW w:w="1683"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2F9198F2" w14:textId="77777777">
            <w:pPr>
              <w:rPr>
                <w:sz w:val="22"/>
                <w:szCs w:val="22"/>
              </w:rPr>
            </w:pPr>
          </w:p>
        </w:tc>
        <w:tc>
          <w:tcPr>
            <w:tcW w:w="1685" w:type="dxa"/>
            <w:tcBorders>
              <w:top w:val="single" w:color="auto" w:sz="4" w:space="0"/>
              <w:left w:val="single" w:color="auto" w:sz="4" w:space="0"/>
              <w:bottom w:val="single" w:color="auto" w:sz="4" w:space="0"/>
              <w:right w:val="single" w:color="auto" w:sz="4" w:space="0"/>
            </w:tcBorders>
            <w:shd w:val="clear" w:color="auto" w:fill="B3B3B3"/>
          </w:tcPr>
          <w:p w:rsidRPr="00150D7E" w:rsidR="0041296B" w:rsidP="0041296B" w:rsidRDefault="0041296B" w14:paraId="7FA5366F" w14:textId="77777777">
            <w:pPr>
              <w:rPr>
                <w:sz w:val="22"/>
                <w:szCs w:val="22"/>
              </w:rPr>
            </w:pPr>
          </w:p>
        </w:tc>
      </w:tr>
    </w:tbl>
    <w:p w:rsidR="00150D7E" w:rsidP="00EC1DAF" w:rsidRDefault="00150D7E" w14:paraId="536CF07C" w14:textId="77777777">
      <w:pPr>
        <w:pStyle w:val="Default"/>
      </w:pPr>
    </w:p>
    <w:p w:rsidRPr="00150D7E" w:rsidR="003D087E" w:rsidP="003D087E" w:rsidRDefault="003D087E" w14:paraId="144FD994" w14:textId="77777777">
      <w:r w:rsidRPr="00150D7E">
        <w:t>1 – Includes the cost of printers annualized over five years and the cost of printing supplies incurred over a 20-year period beginning four years after the rule is published$ - entries indicated no costs, while $0.000 entries are non-zero fractions of a penny</w:t>
      </w:r>
      <w:r w:rsidR="00AB0B90">
        <w:t>.</w:t>
      </w:r>
    </w:p>
    <w:p w:rsidRPr="00150D7E" w:rsidR="003D087E" w:rsidP="003D087E" w:rsidRDefault="003D087E" w14:paraId="565AC620" w14:textId="77777777"/>
    <w:p w:rsidRPr="00150D7E" w:rsidR="003D087E" w:rsidP="003D087E" w:rsidRDefault="003D087E" w14:paraId="736F9EC6" w14:textId="77777777">
      <w:r w:rsidRPr="00150D7E">
        <w:t>Source: Office of Regulatory Analysis, OSHA</w:t>
      </w:r>
      <w:r w:rsidR="00415C9B">
        <w:t>,</w:t>
      </w:r>
      <w:r w:rsidRPr="00150D7E">
        <w:t xml:space="preserve"> based on ERG (2011).</w:t>
      </w:r>
    </w:p>
    <w:p w:rsidR="00861D67" w:rsidP="00EC1DAF" w:rsidRDefault="00861D67" w14:paraId="1C2B1A60" w14:textId="4B265BDE">
      <w:pPr>
        <w:pStyle w:val="Default"/>
      </w:pPr>
    </w:p>
    <w:p w:rsidRPr="00F03EEB" w:rsidR="006422AA" w:rsidP="006422AA" w:rsidRDefault="006422AA" w14:paraId="545AFB0B" w14:textId="77777777">
      <w:pPr>
        <w:pStyle w:val="Default"/>
        <w:rPr>
          <w:b/>
          <w:u w:val="single"/>
        </w:rPr>
      </w:pPr>
      <w:r w:rsidRPr="00F03EEB">
        <w:rPr>
          <w:b/>
        </w:rPr>
        <w:t xml:space="preserve">The total cost for producing and transmitting SDS ($996,520), and developing color labels ($24,074,436) is </w:t>
      </w:r>
      <w:r w:rsidRPr="004A6B61">
        <w:rPr>
          <w:b/>
          <w:u w:val="single"/>
        </w:rPr>
        <w:t>$25,070,956.</w:t>
      </w:r>
    </w:p>
    <w:p w:rsidRPr="00150D7E" w:rsidR="006422AA" w:rsidP="00EC1DAF" w:rsidRDefault="006422AA" w14:paraId="199F4278" w14:textId="77777777">
      <w:pPr>
        <w:pStyle w:val="Default"/>
      </w:pPr>
    </w:p>
    <w:p w:rsidRPr="00CB5054" w:rsidR="00D80711" w:rsidP="00D80711" w:rsidRDefault="00D80711" w14:paraId="3C9FA5DF"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sidRPr="00CB5054">
        <w:rPr>
          <w:b/>
          <w:bCs/>
          <w:color w:val="000000"/>
        </w:rPr>
        <w:t xml:space="preserve">14.   Provide estimates of annualized cost to the Federal government.  Also, provide a description of the method used to estimate cost, which should include quantification of hours, operational expenses (such as equipment, overhead, printing, and support staff), and </w:t>
      </w:r>
      <w:r w:rsidR="00DB1BB4">
        <w:rPr>
          <w:b/>
          <w:bCs/>
          <w:color w:val="000000"/>
        </w:rPr>
        <w:t>m</w:t>
      </w:r>
      <w:r w:rsidRPr="00CB5054">
        <w:rPr>
          <w:b/>
          <w:bCs/>
          <w:color w:val="000000"/>
        </w:rPr>
        <w:t>ay other expense that would not have been incurred without this collection of information.  Agencies also may aggregate cost estimates from Items 12, 13, and 14 in a single table.</w:t>
      </w:r>
    </w:p>
    <w:p w:rsidR="00DB1BB4" w:rsidP="00D80711" w:rsidRDefault="00DB1BB4" w14:paraId="53AB436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sz w:val="24"/>
          <w:szCs w:val="24"/>
        </w:rPr>
      </w:pPr>
    </w:p>
    <w:p w:rsidRPr="00CB5054" w:rsidR="00EC1DAF" w:rsidP="00AB0B90" w:rsidRDefault="00931208" w14:paraId="6C46067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570"/>
          <w:tab w:val="left" w:pos="7200"/>
          <w:tab w:val="left" w:pos="7830"/>
          <w:tab w:val="left" w:pos="7920"/>
          <w:tab w:val="left" w:pos="8640"/>
          <w:tab w:val="left" w:pos="9360"/>
        </w:tabs>
        <w:ind w:hanging="1800"/>
        <w:rPr>
          <w:color w:val="000000"/>
          <w:sz w:val="24"/>
          <w:szCs w:val="24"/>
        </w:rPr>
      </w:pPr>
      <w:r>
        <w:rPr>
          <w:color w:val="000000"/>
          <w:sz w:val="24"/>
          <w:szCs w:val="24"/>
        </w:rPr>
        <w:tab/>
      </w:r>
      <w:r w:rsidRPr="00DB1BB4" w:rsidR="00DB1BB4">
        <w:rPr>
          <w:color w:val="000000"/>
          <w:sz w:val="24"/>
          <w:szCs w:val="24"/>
        </w:rPr>
        <w:t>Usually, OSHA requests access to records during an inspection.  Information collected by</w:t>
      </w:r>
      <w:r w:rsidR="00714621">
        <w:rPr>
          <w:color w:val="000000"/>
          <w:sz w:val="24"/>
          <w:szCs w:val="24"/>
        </w:rPr>
        <w:t xml:space="preserve"> </w:t>
      </w:r>
      <w:r w:rsidRPr="00DB1BB4" w:rsidR="00DB1BB4">
        <w:rPr>
          <w:color w:val="000000"/>
          <w:sz w:val="24"/>
          <w:szCs w:val="24"/>
        </w:rPr>
        <w:t>the Agency during the investigation is not subject to the PRA under 5 CFR 1320.4(a)(2).  Therefore, OSHA takes no burden or cost in Item 14 of this Supporting Statement for disclosing information during an inspection.</w:t>
      </w:r>
      <w:r w:rsidRPr="00CB5054" w:rsidR="00D80711">
        <w:rPr>
          <w:color w:val="000000"/>
          <w:sz w:val="24"/>
          <w:szCs w:val="24"/>
        </w:rPr>
        <w:tab/>
      </w:r>
    </w:p>
    <w:p w:rsidRPr="00CB5054" w:rsidR="00876AE4" w:rsidP="00EC1DAF" w:rsidRDefault="00876AE4" w14:paraId="5572A53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2A3A4DB6" w14:textId="77777777">
      <w:pPr>
        <w:ind w:left="720" w:hanging="720"/>
        <w:rPr>
          <w:b/>
          <w:bCs/>
          <w:color w:val="000000"/>
          <w:sz w:val="24"/>
          <w:szCs w:val="24"/>
          <w:lang w:val="en-JM"/>
        </w:rPr>
      </w:pPr>
      <w:r w:rsidRPr="00AB0B90">
        <w:rPr>
          <w:b/>
          <w:bCs/>
          <w:color w:val="000000"/>
          <w:sz w:val="24"/>
          <w:szCs w:val="24"/>
        </w:rPr>
        <w:t xml:space="preserve">15.  </w:t>
      </w:r>
      <w:r w:rsidRPr="00AB0B90">
        <w:rPr>
          <w:b/>
          <w:bCs/>
          <w:color w:val="000000"/>
          <w:sz w:val="24"/>
          <w:szCs w:val="24"/>
          <w:lang w:val="en-JM"/>
        </w:rPr>
        <w:t>Explain the reasons for any program changes or adjustments.</w:t>
      </w:r>
    </w:p>
    <w:p w:rsidRPr="00AB0B90" w:rsidR="00394F69" w:rsidP="00D80711" w:rsidRDefault="00394F69" w14:paraId="19C40135" w14:textId="77777777">
      <w:pPr>
        <w:ind w:left="720" w:hanging="720"/>
        <w:rPr>
          <w:color w:val="000000"/>
          <w:sz w:val="24"/>
          <w:szCs w:val="24"/>
        </w:rPr>
      </w:pPr>
    </w:p>
    <w:p w:rsidR="00463004" w:rsidP="00C675F5" w:rsidRDefault="00D6483D" w14:paraId="0F6F09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463004">
        <w:rPr>
          <w:color w:val="000000"/>
          <w:sz w:val="24"/>
          <w:szCs w:val="24"/>
        </w:rPr>
        <w:t xml:space="preserve">OSHA is requesting an adjustment decrease </w:t>
      </w:r>
      <w:r w:rsidR="00D63372">
        <w:rPr>
          <w:color w:val="000000"/>
          <w:sz w:val="24"/>
          <w:szCs w:val="24"/>
        </w:rPr>
        <w:t xml:space="preserve">in burden hours from 7,309,058 hours to 6,557,766 hours, a difference </w:t>
      </w:r>
      <w:r w:rsidRPr="00463004" w:rsidR="00876AE4">
        <w:rPr>
          <w:color w:val="000000"/>
          <w:sz w:val="24"/>
          <w:szCs w:val="24"/>
        </w:rPr>
        <w:t xml:space="preserve">of </w:t>
      </w:r>
      <w:r w:rsidR="00FD52C3">
        <w:rPr>
          <w:color w:val="000000"/>
          <w:sz w:val="24"/>
          <w:szCs w:val="24"/>
        </w:rPr>
        <w:t>-</w:t>
      </w:r>
      <w:r w:rsidR="00D63372">
        <w:rPr>
          <w:color w:val="000000"/>
          <w:sz w:val="24"/>
          <w:szCs w:val="24"/>
        </w:rPr>
        <w:t>751,292</w:t>
      </w:r>
      <w:r w:rsidR="00983190">
        <w:rPr>
          <w:color w:val="000000"/>
          <w:sz w:val="24"/>
          <w:szCs w:val="24"/>
        </w:rPr>
        <w:t xml:space="preserve"> </w:t>
      </w:r>
      <w:r w:rsidR="00D63372">
        <w:rPr>
          <w:color w:val="000000"/>
          <w:sz w:val="24"/>
          <w:szCs w:val="24"/>
        </w:rPr>
        <w:t>hours</w:t>
      </w:r>
      <w:r w:rsidRPr="00463004">
        <w:rPr>
          <w:color w:val="000000"/>
          <w:sz w:val="24"/>
          <w:szCs w:val="24"/>
        </w:rPr>
        <w:t xml:space="preserve">.  The decrease is primarily due to </w:t>
      </w:r>
      <w:r w:rsidR="00D63372">
        <w:rPr>
          <w:color w:val="000000"/>
          <w:sz w:val="24"/>
          <w:szCs w:val="24"/>
        </w:rPr>
        <w:t>a decrease in the number of establishments and the number of employees</w:t>
      </w:r>
      <w:r w:rsidR="00C8688B">
        <w:rPr>
          <w:color w:val="000000"/>
          <w:sz w:val="24"/>
          <w:szCs w:val="24"/>
        </w:rPr>
        <w:t>.</w:t>
      </w:r>
      <w:r w:rsidRPr="00463004">
        <w:rPr>
          <w:color w:val="000000"/>
          <w:sz w:val="24"/>
          <w:szCs w:val="24"/>
        </w:rPr>
        <w:t xml:space="preserve"> </w:t>
      </w:r>
      <w:r w:rsidR="00544090">
        <w:rPr>
          <w:color w:val="000000"/>
          <w:sz w:val="24"/>
          <w:szCs w:val="24"/>
        </w:rPr>
        <w:t xml:space="preserve">See Table </w:t>
      </w:r>
      <w:r w:rsidR="002B2EE6">
        <w:rPr>
          <w:color w:val="000000"/>
          <w:sz w:val="24"/>
          <w:szCs w:val="24"/>
        </w:rPr>
        <w:t>5</w:t>
      </w:r>
      <w:r w:rsidR="00544090">
        <w:rPr>
          <w:color w:val="000000"/>
          <w:sz w:val="24"/>
          <w:szCs w:val="24"/>
        </w:rPr>
        <w:t>.</w:t>
      </w:r>
    </w:p>
    <w:p w:rsidRPr="00853FE3" w:rsidR="00F92202" w:rsidP="00C675F5" w:rsidRDefault="00F92202" w14:paraId="31D2E6E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63004" w:rsidP="00401AC9" w:rsidRDefault="00463004" w14:paraId="02F0D01D" w14:textId="77777777">
      <w:pPr>
        <w:rPr>
          <w:sz w:val="24"/>
          <w:szCs w:val="24"/>
        </w:rPr>
      </w:pPr>
      <w:r w:rsidRPr="00853FE3">
        <w:rPr>
          <w:color w:val="000000"/>
          <w:sz w:val="24"/>
          <w:szCs w:val="24"/>
        </w:rPr>
        <w:t>OSHA is also request</w:t>
      </w:r>
      <w:r w:rsidR="007849FF">
        <w:rPr>
          <w:color w:val="000000"/>
          <w:sz w:val="24"/>
          <w:szCs w:val="24"/>
        </w:rPr>
        <w:t>ing</w:t>
      </w:r>
      <w:r w:rsidRPr="00853FE3" w:rsidR="00853FE3">
        <w:rPr>
          <w:color w:val="000000"/>
          <w:sz w:val="24"/>
          <w:szCs w:val="24"/>
        </w:rPr>
        <w:t xml:space="preserve"> a cost adjustment decrease of $</w:t>
      </w:r>
      <w:r w:rsidR="00420B5D">
        <w:rPr>
          <w:color w:val="000000"/>
          <w:sz w:val="24"/>
          <w:szCs w:val="24"/>
        </w:rPr>
        <w:t>76,445</w:t>
      </w:r>
      <w:r w:rsidR="007250DA">
        <w:rPr>
          <w:rFonts w:ascii="Arial" w:hAnsi="Arial" w:cs="Arial"/>
          <w:kern w:val="0"/>
          <w:sz w:val="18"/>
          <w:szCs w:val="18"/>
        </w:rPr>
        <w:t xml:space="preserve"> </w:t>
      </w:r>
      <w:r w:rsidRPr="00853FE3" w:rsidR="00853FE3">
        <w:rPr>
          <w:color w:val="000000"/>
          <w:sz w:val="24"/>
          <w:szCs w:val="24"/>
        </w:rPr>
        <w:t xml:space="preserve">from </w:t>
      </w:r>
      <w:r w:rsidRPr="00401AC9" w:rsidR="00853FE3">
        <w:rPr>
          <w:sz w:val="24"/>
          <w:szCs w:val="24"/>
        </w:rPr>
        <w:t>$</w:t>
      </w:r>
      <w:r w:rsidRPr="00401AC9" w:rsidR="004A3B61">
        <w:rPr>
          <w:sz w:val="24"/>
          <w:szCs w:val="24"/>
        </w:rPr>
        <w:t>25,147,401</w:t>
      </w:r>
      <w:r w:rsidR="00962FB4">
        <w:rPr>
          <w:sz w:val="24"/>
          <w:szCs w:val="24"/>
        </w:rPr>
        <w:t xml:space="preserve"> to $25,070,956</w:t>
      </w:r>
      <w:r w:rsidRPr="00853FE3" w:rsidR="00853FE3">
        <w:rPr>
          <w:sz w:val="24"/>
          <w:szCs w:val="24"/>
        </w:rPr>
        <w:t>.  The cost reduction results from</w:t>
      </w:r>
      <w:r w:rsidR="00571885">
        <w:rPr>
          <w:sz w:val="24"/>
          <w:szCs w:val="24"/>
        </w:rPr>
        <w:t xml:space="preserve"> employers </w:t>
      </w:r>
      <w:r w:rsidRPr="00853FE3" w:rsidR="00853FE3">
        <w:rPr>
          <w:sz w:val="24"/>
          <w:szCs w:val="24"/>
        </w:rPr>
        <w:t>modifying software that can be used to classify chemical and to produce corresponding SDS and labels</w:t>
      </w:r>
      <w:r w:rsidR="005E1513">
        <w:rPr>
          <w:sz w:val="24"/>
          <w:szCs w:val="24"/>
        </w:rPr>
        <w:t>.</w:t>
      </w:r>
      <w:r w:rsidR="00544090">
        <w:rPr>
          <w:sz w:val="24"/>
          <w:szCs w:val="24"/>
        </w:rPr>
        <w:t xml:space="preserve"> </w:t>
      </w:r>
    </w:p>
    <w:p w:rsidR="001D31AF" w:rsidP="00401AC9" w:rsidRDefault="001D31AF" w14:paraId="6B6C91BE" w14:textId="3A6EFDE5">
      <w:pPr>
        <w:rPr>
          <w:sz w:val="24"/>
          <w:szCs w:val="24"/>
        </w:rPr>
      </w:pPr>
    </w:p>
    <w:p w:rsidR="002718BD" w:rsidP="00401AC9" w:rsidRDefault="002718BD" w14:paraId="4F0F19CD" w14:textId="6C6C9268">
      <w:pPr>
        <w:rPr>
          <w:sz w:val="24"/>
          <w:szCs w:val="24"/>
        </w:rPr>
      </w:pPr>
    </w:p>
    <w:p w:rsidR="002718BD" w:rsidP="00401AC9" w:rsidRDefault="002718BD" w14:paraId="1C3997AB" w14:textId="294AFFC8">
      <w:pPr>
        <w:rPr>
          <w:sz w:val="24"/>
          <w:szCs w:val="24"/>
        </w:rPr>
      </w:pPr>
    </w:p>
    <w:p w:rsidR="002718BD" w:rsidP="00401AC9" w:rsidRDefault="002718BD" w14:paraId="3D4363F6" w14:textId="6E21A42F">
      <w:pPr>
        <w:rPr>
          <w:sz w:val="24"/>
          <w:szCs w:val="24"/>
        </w:rPr>
      </w:pPr>
    </w:p>
    <w:p w:rsidR="002718BD" w:rsidP="00401AC9" w:rsidRDefault="002718BD" w14:paraId="1BA49FF4" w14:textId="5D81FF0C">
      <w:pPr>
        <w:rPr>
          <w:sz w:val="24"/>
          <w:szCs w:val="24"/>
        </w:rPr>
      </w:pPr>
    </w:p>
    <w:p w:rsidR="002718BD" w:rsidP="00401AC9" w:rsidRDefault="002718BD" w14:paraId="5F2262E6" w14:textId="77777777">
      <w:pPr>
        <w:rPr>
          <w:sz w:val="24"/>
          <w:szCs w:val="24"/>
        </w:rPr>
      </w:pPr>
    </w:p>
    <w:p w:rsidRPr="009F6AEF" w:rsidR="00544090" w:rsidP="00401AC9" w:rsidRDefault="00544090" w14:paraId="3F20227B" w14:textId="77777777">
      <w:pPr>
        <w:rPr>
          <w:b/>
          <w:sz w:val="24"/>
          <w:szCs w:val="24"/>
        </w:rPr>
      </w:pPr>
      <w:r w:rsidRPr="009F6AEF">
        <w:rPr>
          <w:b/>
          <w:sz w:val="24"/>
          <w:szCs w:val="24"/>
        </w:rPr>
        <w:t xml:space="preserve">Table </w:t>
      </w:r>
      <w:r w:rsidR="002B2EE6">
        <w:rPr>
          <w:b/>
          <w:sz w:val="24"/>
          <w:szCs w:val="24"/>
        </w:rPr>
        <w:t>5</w:t>
      </w:r>
      <w:r w:rsidRPr="009F6AEF">
        <w:rPr>
          <w:b/>
          <w:sz w:val="24"/>
          <w:szCs w:val="24"/>
        </w:rPr>
        <w:t xml:space="preserve"> – Summary of the Adjustment Decrease</w:t>
      </w:r>
      <w:r w:rsidRPr="009F6AEF" w:rsidR="007E7E5C">
        <w:rPr>
          <w:b/>
          <w:sz w:val="24"/>
          <w:szCs w:val="24"/>
        </w:rPr>
        <w:t xml:space="preserve"> in the Burden Hours</w:t>
      </w:r>
    </w:p>
    <w:tbl>
      <w:tblPr>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93"/>
        <w:gridCol w:w="1777"/>
        <w:gridCol w:w="1980"/>
        <w:gridCol w:w="1980"/>
      </w:tblGrid>
      <w:tr w:rsidRPr="00327942" w:rsidR="00A5305A" w:rsidTr="002740CF" w14:paraId="6E8725A9" w14:textId="77777777">
        <w:trPr>
          <w:tblHeader/>
          <w:jc w:val="center"/>
        </w:trPr>
        <w:tc>
          <w:tcPr>
            <w:tcW w:w="2993" w:type="dxa"/>
            <w:tcBorders>
              <w:bottom w:val="thinThickMediumGap" w:color="auto" w:sz="24" w:space="0"/>
            </w:tcBorders>
            <w:shd w:val="clear" w:color="auto" w:fill="D9E2F3"/>
          </w:tcPr>
          <w:p w:rsidRPr="00327942" w:rsidR="001D31AF" w:rsidP="00A5305A" w:rsidRDefault="001D31AF" w14:paraId="4ED7AE36" w14:textId="77777777">
            <w:pPr>
              <w:jc w:val="center"/>
              <w:rPr>
                <w:b/>
                <w:color w:val="000000"/>
              </w:rPr>
            </w:pPr>
            <w:r w:rsidRPr="00327942">
              <w:rPr>
                <w:b/>
                <w:color w:val="000000"/>
              </w:rPr>
              <w:t>Information Collection Requirement</w:t>
            </w:r>
          </w:p>
        </w:tc>
        <w:tc>
          <w:tcPr>
            <w:tcW w:w="1777" w:type="dxa"/>
            <w:tcBorders>
              <w:bottom w:val="thinThickMediumGap" w:color="auto" w:sz="24" w:space="0"/>
            </w:tcBorders>
            <w:shd w:val="clear" w:color="auto" w:fill="D9E2F3"/>
          </w:tcPr>
          <w:p w:rsidRPr="00327942" w:rsidR="001D31AF" w:rsidP="00A5305A" w:rsidRDefault="001D31AF" w14:paraId="43432C2D" w14:textId="77777777">
            <w:pPr>
              <w:jc w:val="center"/>
              <w:rPr>
                <w:b/>
                <w:color w:val="000000"/>
              </w:rPr>
            </w:pPr>
            <w:r w:rsidRPr="00327942">
              <w:rPr>
                <w:b/>
                <w:color w:val="000000"/>
              </w:rPr>
              <w:t>Existing Burden Hours</w:t>
            </w:r>
          </w:p>
        </w:tc>
        <w:tc>
          <w:tcPr>
            <w:tcW w:w="1980" w:type="dxa"/>
            <w:tcBorders>
              <w:bottom w:val="thinThickMediumGap" w:color="auto" w:sz="24" w:space="0"/>
            </w:tcBorders>
            <w:shd w:val="clear" w:color="auto" w:fill="D9E2F3"/>
          </w:tcPr>
          <w:p w:rsidRPr="00AB0B90" w:rsidR="001D31AF" w:rsidP="00A5305A" w:rsidRDefault="001D31AF" w14:paraId="03029D08" w14:textId="77777777">
            <w:pPr>
              <w:jc w:val="center"/>
              <w:rPr>
                <w:b/>
                <w:color w:val="000000"/>
              </w:rPr>
            </w:pPr>
            <w:r w:rsidRPr="00AB0B90">
              <w:rPr>
                <w:b/>
                <w:color w:val="000000"/>
              </w:rPr>
              <w:t>Requested Burden Hours</w:t>
            </w:r>
          </w:p>
        </w:tc>
        <w:tc>
          <w:tcPr>
            <w:tcW w:w="1980" w:type="dxa"/>
            <w:tcBorders>
              <w:bottom w:val="thinThickMediumGap" w:color="auto" w:sz="24" w:space="0"/>
            </w:tcBorders>
            <w:shd w:val="clear" w:color="auto" w:fill="D9E2F3"/>
          </w:tcPr>
          <w:p w:rsidRPr="00327942" w:rsidR="001D31AF" w:rsidP="00A5305A" w:rsidRDefault="001D31AF" w14:paraId="164EF7DA" w14:textId="77777777">
            <w:pPr>
              <w:jc w:val="center"/>
              <w:rPr>
                <w:b/>
                <w:color w:val="000000"/>
              </w:rPr>
            </w:pPr>
            <w:r>
              <w:rPr>
                <w:b/>
                <w:color w:val="000000"/>
              </w:rPr>
              <w:t>Adjustment Change</w:t>
            </w:r>
          </w:p>
        </w:tc>
      </w:tr>
      <w:tr w:rsidRPr="00F14192" w:rsidR="00A5305A" w:rsidTr="00A5305A" w14:paraId="3C4970C1" w14:textId="77777777">
        <w:trPr>
          <w:jc w:val="center"/>
        </w:trPr>
        <w:tc>
          <w:tcPr>
            <w:tcW w:w="2993" w:type="dxa"/>
            <w:tcBorders>
              <w:top w:val="thinThickMediumGap" w:color="auto" w:sz="24" w:space="0"/>
            </w:tcBorders>
            <w:shd w:val="clear" w:color="auto" w:fill="auto"/>
          </w:tcPr>
          <w:p w:rsidRPr="00327942" w:rsidR="001D31AF" w:rsidP="00A5305A" w:rsidRDefault="001D31AF" w14:paraId="51BCAF77" w14:textId="77777777">
            <w:pPr>
              <w:rPr>
                <w:color w:val="000000"/>
              </w:rPr>
            </w:pPr>
            <w:r w:rsidRPr="00327942">
              <w:rPr>
                <w:color w:val="000000"/>
              </w:rPr>
              <w:t>1.Written Hazard Communication Program (New Establishments)</w:t>
            </w:r>
          </w:p>
        </w:tc>
        <w:tc>
          <w:tcPr>
            <w:tcW w:w="1777" w:type="dxa"/>
            <w:tcBorders>
              <w:top w:val="thinThickMediumGap" w:color="auto" w:sz="24" w:space="0"/>
            </w:tcBorders>
            <w:shd w:val="clear" w:color="auto" w:fill="auto"/>
          </w:tcPr>
          <w:p w:rsidRPr="00F14192" w:rsidR="001D31AF" w:rsidP="00A5305A" w:rsidRDefault="001D31AF" w14:paraId="4EA457CC" w14:textId="77777777">
            <w:pPr>
              <w:jc w:val="right"/>
            </w:pPr>
            <w:r w:rsidRPr="00AB0B90">
              <w:t>687,758</w:t>
            </w:r>
          </w:p>
        </w:tc>
        <w:tc>
          <w:tcPr>
            <w:tcW w:w="1980" w:type="dxa"/>
            <w:tcBorders>
              <w:top w:val="thinThickMediumGap" w:color="auto" w:sz="24" w:space="0"/>
            </w:tcBorders>
            <w:shd w:val="clear" w:color="auto" w:fill="auto"/>
          </w:tcPr>
          <w:p w:rsidRPr="00AB0B90" w:rsidR="001D31AF" w:rsidP="00A5305A" w:rsidRDefault="001D31AF" w14:paraId="11C918B6" w14:textId="77777777">
            <w:pPr>
              <w:jc w:val="right"/>
            </w:pPr>
            <w:r>
              <w:t>638,770</w:t>
            </w:r>
          </w:p>
        </w:tc>
        <w:tc>
          <w:tcPr>
            <w:tcW w:w="1980" w:type="dxa"/>
            <w:tcBorders>
              <w:top w:val="thinThickMediumGap" w:color="auto" w:sz="24" w:space="0"/>
            </w:tcBorders>
            <w:shd w:val="clear" w:color="auto" w:fill="auto"/>
          </w:tcPr>
          <w:p w:rsidRPr="00F14192" w:rsidR="001D31AF" w:rsidP="00A5305A" w:rsidRDefault="001D31AF" w14:paraId="6AC5AB4C" w14:textId="77777777">
            <w:pPr>
              <w:jc w:val="right"/>
            </w:pPr>
            <w:r>
              <w:t>-48,988</w:t>
            </w:r>
          </w:p>
        </w:tc>
      </w:tr>
      <w:tr w:rsidRPr="00F14192" w:rsidR="00A5305A" w:rsidTr="007C255B" w14:paraId="47D781DA" w14:textId="77777777">
        <w:trPr>
          <w:trHeight w:val="1070"/>
          <w:jc w:val="center"/>
        </w:trPr>
        <w:tc>
          <w:tcPr>
            <w:tcW w:w="2993" w:type="dxa"/>
            <w:shd w:val="clear" w:color="auto" w:fill="auto"/>
          </w:tcPr>
          <w:p w:rsidR="002718BD" w:rsidP="00A5305A" w:rsidRDefault="002718BD" w14:paraId="15B88BC4" w14:textId="77777777">
            <w:pPr>
              <w:rPr>
                <w:color w:val="000000"/>
              </w:rPr>
            </w:pPr>
          </w:p>
          <w:p w:rsidRPr="00327942" w:rsidR="001D31AF" w:rsidP="00A5305A" w:rsidRDefault="001D31AF" w14:paraId="6877768D" w14:textId="01CC4D27">
            <w:pPr>
              <w:rPr>
                <w:color w:val="000000"/>
              </w:rPr>
            </w:pPr>
            <w:r w:rsidRPr="00327942">
              <w:rPr>
                <w:color w:val="000000"/>
              </w:rPr>
              <w:t>2. Written Hazard Communication Program (Existing Establishments)</w:t>
            </w:r>
          </w:p>
        </w:tc>
        <w:tc>
          <w:tcPr>
            <w:tcW w:w="1777" w:type="dxa"/>
            <w:shd w:val="clear" w:color="auto" w:fill="auto"/>
          </w:tcPr>
          <w:p w:rsidR="002718BD" w:rsidP="00A5305A" w:rsidRDefault="002718BD" w14:paraId="4782232A" w14:textId="77777777">
            <w:pPr>
              <w:jc w:val="right"/>
            </w:pPr>
          </w:p>
          <w:p w:rsidRPr="002C0B15" w:rsidR="001D31AF" w:rsidP="00A5305A" w:rsidRDefault="001D31AF" w14:paraId="4A0BE247" w14:textId="60CD855D">
            <w:pPr>
              <w:jc w:val="right"/>
            </w:pPr>
            <w:r w:rsidRPr="00AB0B90">
              <w:t>961,230</w:t>
            </w:r>
          </w:p>
        </w:tc>
        <w:tc>
          <w:tcPr>
            <w:tcW w:w="1980" w:type="dxa"/>
            <w:shd w:val="clear" w:color="auto" w:fill="auto"/>
          </w:tcPr>
          <w:p w:rsidR="002718BD" w:rsidP="00A5305A" w:rsidRDefault="002718BD" w14:paraId="2D973E69" w14:textId="77777777">
            <w:pPr>
              <w:jc w:val="right"/>
            </w:pPr>
          </w:p>
          <w:p w:rsidRPr="00AB0B90" w:rsidR="001D31AF" w:rsidP="00A5305A" w:rsidRDefault="001D31AF" w14:paraId="44F49C94" w14:textId="1393F128">
            <w:pPr>
              <w:jc w:val="right"/>
            </w:pPr>
            <w:r>
              <w:t>892,925</w:t>
            </w:r>
          </w:p>
        </w:tc>
        <w:tc>
          <w:tcPr>
            <w:tcW w:w="1980" w:type="dxa"/>
            <w:shd w:val="clear" w:color="auto" w:fill="auto"/>
          </w:tcPr>
          <w:p w:rsidR="002718BD" w:rsidP="00A5305A" w:rsidRDefault="002718BD" w14:paraId="1582CA5F" w14:textId="77777777">
            <w:pPr>
              <w:jc w:val="right"/>
            </w:pPr>
          </w:p>
          <w:p w:rsidRPr="00F14192" w:rsidR="001D31AF" w:rsidP="00A5305A" w:rsidRDefault="001D31AF" w14:paraId="7727AAFC" w14:textId="5D44050E">
            <w:pPr>
              <w:jc w:val="right"/>
            </w:pPr>
            <w:r>
              <w:t>-68,305</w:t>
            </w:r>
          </w:p>
        </w:tc>
      </w:tr>
      <w:tr w:rsidRPr="00F14192" w:rsidR="00A5305A" w:rsidTr="007C255B" w14:paraId="2079E7DD" w14:textId="77777777">
        <w:trPr>
          <w:trHeight w:val="737"/>
          <w:jc w:val="center"/>
        </w:trPr>
        <w:tc>
          <w:tcPr>
            <w:tcW w:w="2993" w:type="dxa"/>
            <w:shd w:val="clear" w:color="auto" w:fill="auto"/>
          </w:tcPr>
          <w:p w:rsidRPr="00327942" w:rsidR="001D31AF" w:rsidP="00A5305A" w:rsidRDefault="001D31AF" w14:paraId="319D6F39" w14:textId="77777777">
            <w:pPr>
              <w:rPr>
                <w:color w:val="000000"/>
              </w:rPr>
            </w:pPr>
            <w:r w:rsidRPr="00327942">
              <w:rPr>
                <w:color w:val="000000"/>
              </w:rPr>
              <w:t>3.Hazard Classification</w:t>
            </w:r>
          </w:p>
        </w:tc>
        <w:tc>
          <w:tcPr>
            <w:tcW w:w="1777" w:type="dxa"/>
            <w:shd w:val="clear" w:color="auto" w:fill="auto"/>
          </w:tcPr>
          <w:p w:rsidRPr="00FF1F12" w:rsidR="001D31AF" w:rsidP="00A5305A" w:rsidRDefault="001D31AF" w14:paraId="7FC0AE2D" w14:textId="77777777">
            <w:pPr>
              <w:jc w:val="right"/>
            </w:pPr>
            <w:r w:rsidRPr="00AB0B90">
              <w:t>362,144</w:t>
            </w:r>
          </w:p>
        </w:tc>
        <w:tc>
          <w:tcPr>
            <w:tcW w:w="1980" w:type="dxa"/>
            <w:shd w:val="clear" w:color="auto" w:fill="auto"/>
          </w:tcPr>
          <w:p w:rsidRPr="00AB0B90" w:rsidR="001D31AF" w:rsidP="00A5305A" w:rsidRDefault="001D31AF" w14:paraId="1DE6F7B3" w14:textId="77777777">
            <w:pPr>
              <w:jc w:val="right"/>
            </w:pPr>
            <w:r>
              <w:t>358,184</w:t>
            </w:r>
          </w:p>
        </w:tc>
        <w:tc>
          <w:tcPr>
            <w:tcW w:w="1980" w:type="dxa"/>
            <w:shd w:val="clear" w:color="auto" w:fill="auto"/>
          </w:tcPr>
          <w:p w:rsidRPr="00F14192" w:rsidR="001D31AF" w:rsidP="00A5305A" w:rsidRDefault="001D31AF" w14:paraId="40B9518A" w14:textId="77777777">
            <w:pPr>
              <w:jc w:val="right"/>
            </w:pPr>
            <w:r>
              <w:t>-3,960</w:t>
            </w:r>
          </w:p>
        </w:tc>
      </w:tr>
      <w:tr w:rsidRPr="00F14192" w:rsidR="00A5305A" w:rsidTr="007C255B" w14:paraId="170DB2AE" w14:textId="77777777">
        <w:trPr>
          <w:trHeight w:val="1007"/>
          <w:jc w:val="center"/>
        </w:trPr>
        <w:tc>
          <w:tcPr>
            <w:tcW w:w="2993" w:type="dxa"/>
            <w:shd w:val="clear" w:color="auto" w:fill="auto"/>
          </w:tcPr>
          <w:p w:rsidR="001D31AF" w:rsidP="00A5305A" w:rsidRDefault="001D31AF" w14:paraId="7FC0BCC2" w14:textId="77777777">
            <w:pPr>
              <w:rPr>
                <w:color w:val="000000"/>
              </w:rPr>
            </w:pPr>
            <w:r w:rsidRPr="009E6EC3">
              <w:t>4. Sending SDSs for new hazardous chemicals existing establishments</w:t>
            </w:r>
          </w:p>
        </w:tc>
        <w:tc>
          <w:tcPr>
            <w:tcW w:w="1777" w:type="dxa"/>
            <w:shd w:val="clear" w:color="auto" w:fill="auto"/>
          </w:tcPr>
          <w:p w:rsidRPr="002C0B15" w:rsidR="001D31AF" w:rsidDel="006B0E06" w:rsidP="00A5305A" w:rsidRDefault="001D31AF" w14:paraId="20165684" w14:textId="77777777">
            <w:pPr>
              <w:jc w:val="right"/>
            </w:pPr>
            <w:r w:rsidRPr="00AB0B90">
              <w:t>319,959</w:t>
            </w:r>
          </w:p>
        </w:tc>
        <w:tc>
          <w:tcPr>
            <w:tcW w:w="1980" w:type="dxa"/>
            <w:shd w:val="clear" w:color="auto" w:fill="auto"/>
          </w:tcPr>
          <w:p w:rsidRPr="00AB0B90" w:rsidR="001D31AF" w:rsidP="00A5305A" w:rsidRDefault="001D31AF" w14:paraId="1401B922" w14:textId="77777777">
            <w:pPr>
              <w:jc w:val="right"/>
              <w:rPr>
                <w:rStyle w:val="CommentReference"/>
              </w:rPr>
            </w:pPr>
            <w:r>
              <w:t>297,193</w:t>
            </w:r>
          </w:p>
        </w:tc>
        <w:tc>
          <w:tcPr>
            <w:tcW w:w="1980" w:type="dxa"/>
            <w:shd w:val="clear" w:color="auto" w:fill="auto"/>
          </w:tcPr>
          <w:p w:rsidRPr="00F14192" w:rsidR="001D31AF" w:rsidP="00A5305A" w:rsidRDefault="001D31AF" w14:paraId="21280327" w14:textId="77777777">
            <w:pPr>
              <w:jc w:val="right"/>
            </w:pPr>
            <w:r>
              <w:t>-22,766</w:t>
            </w:r>
          </w:p>
        </w:tc>
      </w:tr>
      <w:tr w:rsidRPr="00F14192" w:rsidR="00A5305A" w:rsidTr="007C255B" w14:paraId="2F0EA1D0" w14:textId="77777777">
        <w:trPr>
          <w:trHeight w:val="845"/>
          <w:jc w:val="center"/>
        </w:trPr>
        <w:tc>
          <w:tcPr>
            <w:tcW w:w="2993" w:type="dxa"/>
            <w:shd w:val="clear" w:color="auto" w:fill="auto"/>
          </w:tcPr>
          <w:p w:rsidRPr="003D01B0" w:rsidR="001D31AF" w:rsidP="00A5305A" w:rsidRDefault="001D31AF" w14:paraId="038C89F1" w14:textId="77777777">
            <w:pPr>
              <w:rPr>
                <w:color w:val="000000"/>
              </w:rPr>
            </w:pPr>
            <w:r w:rsidRPr="00F374E4">
              <w:rPr>
                <w:color w:val="000000"/>
              </w:rPr>
              <w:t>5. Sending SDSs (</w:t>
            </w:r>
            <w:r w:rsidRPr="00F5356F">
              <w:rPr>
                <w:color w:val="000000"/>
              </w:rPr>
              <w:t xml:space="preserve">New </w:t>
            </w:r>
            <w:r w:rsidRPr="003D01B0">
              <w:rPr>
                <w:color w:val="000000"/>
              </w:rPr>
              <w:t>Establishments)</w:t>
            </w:r>
          </w:p>
        </w:tc>
        <w:tc>
          <w:tcPr>
            <w:tcW w:w="1777" w:type="dxa"/>
            <w:shd w:val="clear" w:color="auto" w:fill="auto"/>
          </w:tcPr>
          <w:p w:rsidRPr="00FF1F12" w:rsidR="001D31AF" w:rsidP="00A5305A" w:rsidRDefault="001D31AF" w14:paraId="41949607" w14:textId="77777777">
            <w:pPr>
              <w:jc w:val="right"/>
            </w:pPr>
            <w:r w:rsidRPr="00AB0B90">
              <w:t>620,777</w:t>
            </w:r>
          </w:p>
        </w:tc>
        <w:tc>
          <w:tcPr>
            <w:tcW w:w="1980" w:type="dxa"/>
            <w:shd w:val="clear" w:color="auto" w:fill="auto"/>
          </w:tcPr>
          <w:p w:rsidRPr="00AB0B90" w:rsidR="001D31AF" w:rsidP="00A5305A" w:rsidRDefault="001D31AF" w14:paraId="7C4C5C36" w14:textId="77777777">
            <w:pPr>
              <w:jc w:val="right"/>
              <w:rPr>
                <w:rFonts w:ascii="Calibri" w:hAnsi="Calibri"/>
              </w:rPr>
            </w:pPr>
            <w:r>
              <w:t>576,529</w:t>
            </w:r>
          </w:p>
        </w:tc>
        <w:tc>
          <w:tcPr>
            <w:tcW w:w="1980" w:type="dxa"/>
            <w:shd w:val="clear" w:color="auto" w:fill="auto"/>
          </w:tcPr>
          <w:p w:rsidRPr="00F14192" w:rsidR="001D31AF" w:rsidP="00A5305A" w:rsidRDefault="001D31AF" w14:paraId="187A835F" w14:textId="77777777">
            <w:pPr>
              <w:jc w:val="right"/>
              <w:rPr>
                <w:rFonts w:ascii="Calibri" w:hAnsi="Calibri"/>
              </w:rPr>
            </w:pPr>
            <w:r>
              <w:t>-44,248</w:t>
            </w:r>
          </w:p>
        </w:tc>
      </w:tr>
      <w:tr w:rsidR="00A5305A" w:rsidDel="009B00FD" w:rsidTr="00A5305A" w14:paraId="54E849BB" w14:textId="77777777">
        <w:trPr>
          <w:trHeight w:val="857"/>
          <w:jc w:val="center"/>
        </w:trPr>
        <w:tc>
          <w:tcPr>
            <w:tcW w:w="2993" w:type="dxa"/>
            <w:shd w:val="clear" w:color="auto" w:fill="auto"/>
          </w:tcPr>
          <w:p w:rsidRPr="00F374E4" w:rsidR="001D31AF" w:rsidP="00A5305A" w:rsidRDefault="001D31AF" w14:paraId="5F627B48" w14:textId="77777777">
            <w:pPr>
              <w:rPr>
                <w:color w:val="000000"/>
              </w:rPr>
            </w:pPr>
            <w:r>
              <w:rPr>
                <w:color w:val="000000"/>
              </w:rPr>
              <w:t>6</w:t>
            </w:r>
            <w:r w:rsidRPr="00F374E4">
              <w:rPr>
                <w:color w:val="000000"/>
              </w:rPr>
              <w:t xml:space="preserve">.  </w:t>
            </w:r>
            <w:r w:rsidRPr="003D01B0">
              <w:rPr>
                <w:color w:val="000000"/>
              </w:rPr>
              <w:t xml:space="preserve"> Sending SDS (Existing Establishments)</w:t>
            </w:r>
          </w:p>
        </w:tc>
        <w:tc>
          <w:tcPr>
            <w:tcW w:w="1777" w:type="dxa"/>
            <w:shd w:val="clear" w:color="auto" w:fill="auto"/>
          </w:tcPr>
          <w:p w:rsidRPr="00FF1F12" w:rsidR="001D31AF" w:rsidP="00A5305A" w:rsidRDefault="001D31AF" w14:paraId="60206760" w14:textId="77777777">
            <w:pPr>
              <w:jc w:val="right"/>
              <w:rPr>
                <w:color w:val="000000"/>
              </w:rPr>
            </w:pPr>
            <w:r w:rsidRPr="00AB0B90">
              <w:rPr>
                <w:color w:val="000000"/>
              </w:rPr>
              <w:t>132,217</w:t>
            </w:r>
          </w:p>
        </w:tc>
        <w:tc>
          <w:tcPr>
            <w:tcW w:w="1980" w:type="dxa"/>
            <w:shd w:val="clear" w:color="auto" w:fill="auto"/>
          </w:tcPr>
          <w:p w:rsidRPr="00AB0B90" w:rsidR="001D31AF" w:rsidP="00A5305A" w:rsidRDefault="001D31AF" w14:paraId="562AAF22" w14:textId="77777777">
            <w:pPr>
              <w:jc w:val="right"/>
              <w:rPr>
                <w:color w:val="000000"/>
              </w:rPr>
            </w:pPr>
            <w:r>
              <w:rPr>
                <w:color w:val="000000"/>
              </w:rPr>
              <w:t>122,799</w:t>
            </w:r>
          </w:p>
        </w:tc>
        <w:tc>
          <w:tcPr>
            <w:tcW w:w="1980" w:type="dxa"/>
            <w:shd w:val="clear" w:color="auto" w:fill="auto"/>
          </w:tcPr>
          <w:p w:rsidR="001D31AF" w:rsidDel="009B00FD" w:rsidP="00A5305A" w:rsidRDefault="001D31AF" w14:paraId="3E8D7C59" w14:textId="77777777">
            <w:pPr>
              <w:jc w:val="right"/>
            </w:pPr>
            <w:r>
              <w:t>-9,418</w:t>
            </w:r>
          </w:p>
        </w:tc>
      </w:tr>
      <w:tr w:rsidR="00A5305A" w:rsidDel="009B00FD" w:rsidTr="00A5305A" w14:paraId="234E1BBD" w14:textId="77777777">
        <w:trPr>
          <w:trHeight w:val="857"/>
          <w:jc w:val="center"/>
        </w:trPr>
        <w:tc>
          <w:tcPr>
            <w:tcW w:w="2993" w:type="dxa"/>
            <w:shd w:val="clear" w:color="auto" w:fill="auto"/>
          </w:tcPr>
          <w:p w:rsidR="001D31AF" w:rsidDel="00B33433" w:rsidP="00A5305A" w:rsidRDefault="001D31AF" w14:paraId="6E617E3F" w14:textId="77777777">
            <w:pPr>
              <w:rPr>
                <w:color w:val="000000"/>
              </w:rPr>
            </w:pPr>
            <w:r>
              <w:t xml:space="preserve">7.  </w:t>
            </w:r>
            <w:r w:rsidRPr="000A13DE">
              <w:t>Revising SDSs (Existing Establishments)</w:t>
            </w:r>
          </w:p>
        </w:tc>
        <w:tc>
          <w:tcPr>
            <w:tcW w:w="1777" w:type="dxa"/>
            <w:shd w:val="clear" w:color="auto" w:fill="auto"/>
          </w:tcPr>
          <w:p w:rsidRPr="002C0B15" w:rsidR="001D31AF" w:rsidP="00A5305A" w:rsidRDefault="001D31AF" w14:paraId="2D3525A2" w14:textId="77777777">
            <w:pPr>
              <w:jc w:val="right"/>
              <w:rPr>
                <w:color w:val="000000"/>
              </w:rPr>
            </w:pPr>
            <w:r w:rsidRPr="00DB116E">
              <w:t xml:space="preserve"> 1,768</w:t>
            </w:r>
          </w:p>
        </w:tc>
        <w:tc>
          <w:tcPr>
            <w:tcW w:w="1980" w:type="dxa"/>
            <w:shd w:val="clear" w:color="auto" w:fill="auto"/>
          </w:tcPr>
          <w:p w:rsidRPr="00AB0B90" w:rsidR="001D31AF" w:rsidP="00A5305A" w:rsidRDefault="001D31AF" w14:paraId="6AF17D4F" w14:textId="77777777">
            <w:pPr>
              <w:jc w:val="right"/>
              <w:rPr>
                <w:color w:val="000000"/>
              </w:rPr>
            </w:pPr>
            <w:r>
              <w:t>1,749</w:t>
            </w:r>
          </w:p>
        </w:tc>
        <w:tc>
          <w:tcPr>
            <w:tcW w:w="1980" w:type="dxa"/>
            <w:shd w:val="clear" w:color="auto" w:fill="auto"/>
          </w:tcPr>
          <w:p w:rsidR="001D31AF" w:rsidDel="009B00FD" w:rsidP="00A5305A" w:rsidRDefault="001D31AF" w14:paraId="4D612826" w14:textId="77777777">
            <w:pPr>
              <w:jc w:val="right"/>
            </w:pPr>
            <w:r>
              <w:t>-19</w:t>
            </w:r>
          </w:p>
        </w:tc>
      </w:tr>
      <w:tr w:rsidR="00A5305A" w:rsidTr="00A5305A" w14:paraId="2D5B8AA8" w14:textId="77777777">
        <w:trPr>
          <w:trHeight w:val="857"/>
          <w:jc w:val="center"/>
        </w:trPr>
        <w:tc>
          <w:tcPr>
            <w:tcW w:w="2993" w:type="dxa"/>
            <w:shd w:val="clear" w:color="auto" w:fill="auto"/>
          </w:tcPr>
          <w:p w:rsidR="001D31AF" w:rsidP="00A5305A" w:rsidRDefault="001D31AF" w14:paraId="068AE4A6" w14:textId="77777777">
            <w:pPr>
              <w:rPr>
                <w:color w:val="000000"/>
              </w:rPr>
            </w:pPr>
            <w:r>
              <w:rPr>
                <w:color w:val="000000"/>
              </w:rPr>
              <w:t>8</w:t>
            </w:r>
            <w:r w:rsidRPr="006B0E06">
              <w:rPr>
                <w:color w:val="000000"/>
              </w:rPr>
              <w:t>. Obtaining and Maintaining SDSs (Existing Establishments)</w:t>
            </w:r>
          </w:p>
        </w:tc>
        <w:tc>
          <w:tcPr>
            <w:tcW w:w="1777" w:type="dxa"/>
            <w:shd w:val="clear" w:color="auto" w:fill="auto"/>
          </w:tcPr>
          <w:p w:rsidRPr="00FF1F12" w:rsidR="001D31AF" w:rsidP="00A5305A" w:rsidRDefault="001D31AF" w14:paraId="1972769E" w14:textId="77777777">
            <w:pPr>
              <w:jc w:val="right"/>
              <w:rPr>
                <w:color w:val="000000"/>
              </w:rPr>
            </w:pPr>
            <w:r w:rsidRPr="00AB0B90">
              <w:rPr>
                <w:color w:val="000000"/>
              </w:rPr>
              <w:t>1,888,818</w:t>
            </w:r>
          </w:p>
        </w:tc>
        <w:tc>
          <w:tcPr>
            <w:tcW w:w="1980" w:type="dxa"/>
            <w:shd w:val="clear" w:color="auto" w:fill="auto"/>
          </w:tcPr>
          <w:p w:rsidRPr="00AB0B90" w:rsidR="001D31AF" w:rsidP="00A5305A" w:rsidRDefault="001D31AF" w14:paraId="573D5BB8" w14:textId="77777777">
            <w:pPr>
              <w:jc w:val="right"/>
              <w:rPr>
                <w:color w:val="000000"/>
              </w:rPr>
            </w:pPr>
            <w:r>
              <w:rPr>
                <w:color w:val="000000"/>
              </w:rPr>
              <w:t>1,754,268</w:t>
            </w:r>
          </w:p>
        </w:tc>
        <w:tc>
          <w:tcPr>
            <w:tcW w:w="1980" w:type="dxa"/>
            <w:shd w:val="clear" w:color="auto" w:fill="auto"/>
          </w:tcPr>
          <w:p w:rsidR="001D31AF" w:rsidP="00A5305A" w:rsidRDefault="001D31AF" w14:paraId="67F49741" w14:textId="77777777">
            <w:pPr>
              <w:jc w:val="right"/>
            </w:pPr>
            <w:r>
              <w:t>-134,550</w:t>
            </w:r>
          </w:p>
        </w:tc>
      </w:tr>
      <w:tr w:rsidRPr="00327942" w:rsidR="00A5305A" w:rsidTr="00A5305A" w14:paraId="1AF0852E" w14:textId="77777777">
        <w:trPr>
          <w:jc w:val="center"/>
        </w:trPr>
        <w:tc>
          <w:tcPr>
            <w:tcW w:w="2993" w:type="dxa"/>
            <w:shd w:val="clear" w:color="auto" w:fill="auto"/>
          </w:tcPr>
          <w:p w:rsidRPr="00327942" w:rsidR="001D31AF" w:rsidP="00A5305A" w:rsidRDefault="001D31AF" w14:paraId="2BE3140B" w14:textId="77777777">
            <w:pPr>
              <w:rPr>
                <w:color w:val="000000"/>
              </w:rPr>
            </w:pPr>
            <w:r>
              <w:rPr>
                <w:color w:val="000000"/>
              </w:rPr>
              <w:t>9</w:t>
            </w:r>
            <w:r w:rsidRPr="00327942">
              <w:rPr>
                <w:color w:val="000000"/>
              </w:rPr>
              <w:t xml:space="preserve">. </w:t>
            </w:r>
            <w:r>
              <w:t xml:space="preserve"> </w:t>
            </w:r>
            <w:r w:rsidRPr="006B0E06">
              <w:rPr>
                <w:color w:val="000000"/>
              </w:rPr>
              <w:t>Obtaining and Maintaining (New Establishments)</w:t>
            </w:r>
          </w:p>
        </w:tc>
        <w:tc>
          <w:tcPr>
            <w:tcW w:w="1777" w:type="dxa"/>
            <w:shd w:val="clear" w:color="auto" w:fill="auto"/>
          </w:tcPr>
          <w:p w:rsidRPr="00FF1F12" w:rsidR="001D31AF" w:rsidP="00A5305A" w:rsidRDefault="001D31AF" w14:paraId="4184A8A3" w14:textId="77777777">
            <w:pPr>
              <w:jc w:val="right"/>
              <w:rPr>
                <w:color w:val="000000"/>
              </w:rPr>
            </w:pPr>
            <w:r w:rsidRPr="00AB0B90">
              <w:rPr>
                <w:color w:val="000000"/>
              </w:rPr>
              <w:t>620,777</w:t>
            </w:r>
          </w:p>
        </w:tc>
        <w:tc>
          <w:tcPr>
            <w:tcW w:w="1980" w:type="dxa"/>
            <w:shd w:val="clear" w:color="auto" w:fill="auto"/>
          </w:tcPr>
          <w:p w:rsidRPr="00AB0B90" w:rsidR="001D31AF" w:rsidP="00A5305A" w:rsidRDefault="001D31AF" w14:paraId="1946495D" w14:textId="77777777">
            <w:pPr>
              <w:jc w:val="right"/>
              <w:rPr>
                <w:color w:val="000000"/>
              </w:rPr>
            </w:pPr>
            <w:r>
              <w:rPr>
                <w:color w:val="000000"/>
              </w:rPr>
              <w:t>576,529</w:t>
            </w:r>
          </w:p>
        </w:tc>
        <w:tc>
          <w:tcPr>
            <w:tcW w:w="1980" w:type="dxa"/>
            <w:shd w:val="clear" w:color="auto" w:fill="auto"/>
          </w:tcPr>
          <w:p w:rsidRPr="00327942" w:rsidR="001D31AF" w:rsidP="00A5305A" w:rsidRDefault="001D31AF" w14:paraId="38792796" w14:textId="77777777">
            <w:pPr>
              <w:jc w:val="right"/>
              <w:rPr>
                <w:rFonts w:ascii="Calibri" w:hAnsi="Calibri"/>
                <w:color w:val="000000"/>
              </w:rPr>
            </w:pPr>
            <w:r>
              <w:t>-44,248</w:t>
            </w:r>
          </w:p>
        </w:tc>
      </w:tr>
      <w:tr w:rsidRPr="00327942" w:rsidR="00A5305A" w:rsidTr="00A5305A" w14:paraId="1B72A567" w14:textId="77777777">
        <w:trPr>
          <w:jc w:val="center"/>
        </w:trPr>
        <w:tc>
          <w:tcPr>
            <w:tcW w:w="2993" w:type="dxa"/>
            <w:shd w:val="clear" w:color="auto" w:fill="auto"/>
          </w:tcPr>
          <w:p w:rsidRPr="00327942" w:rsidR="001D31AF" w:rsidP="00A5305A" w:rsidRDefault="001D31AF" w14:paraId="1831E777" w14:textId="77777777">
            <w:pPr>
              <w:rPr>
                <w:color w:val="000000"/>
              </w:rPr>
            </w:pPr>
            <w:r>
              <w:rPr>
                <w:color w:val="000000"/>
              </w:rPr>
              <w:t>10</w:t>
            </w:r>
            <w:r w:rsidRPr="00327942">
              <w:rPr>
                <w:color w:val="000000"/>
              </w:rPr>
              <w:t xml:space="preserve">. </w:t>
            </w:r>
            <w:r w:rsidRPr="00CA0652">
              <w:rPr>
                <w:color w:val="000000"/>
              </w:rPr>
              <w:t xml:space="preserve"> Labeling Shipped Containers</w:t>
            </w:r>
            <w:r w:rsidRPr="00CA0652" w:rsidDel="00CA0652">
              <w:rPr>
                <w:color w:val="000000"/>
              </w:rPr>
              <w:t xml:space="preserve"> </w:t>
            </w:r>
          </w:p>
        </w:tc>
        <w:tc>
          <w:tcPr>
            <w:tcW w:w="1777" w:type="dxa"/>
            <w:shd w:val="clear" w:color="auto" w:fill="auto"/>
          </w:tcPr>
          <w:p w:rsidRPr="00FF1F12" w:rsidR="001D31AF" w:rsidP="00A5305A" w:rsidRDefault="001D31AF" w14:paraId="4D898B15" w14:textId="77777777">
            <w:pPr>
              <w:jc w:val="right"/>
              <w:rPr>
                <w:color w:val="000000"/>
              </w:rPr>
            </w:pPr>
            <w:r w:rsidRPr="00FF1F12">
              <w:rPr>
                <w:color w:val="000000"/>
              </w:rPr>
              <w:t>0</w:t>
            </w:r>
          </w:p>
        </w:tc>
        <w:tc>
          <w:tcPr>
            <w:tcW w:w="1980" w:type="dxa"/>
            <w:shd w:val="clear" w:color="auto" w:fill="auto"/>
          </w:tcPr>
          <w:p w:rsidRPr="00AB0B90" w:rsidR="001D31AF" w:rsidP="00A5305A" w:rsidRDefault="001D31AF" w14:paraId="30A99014" w14:textId="77777777">
            <w:pPr>
              <w:jc w:val="right"/>
              <w:rPr>
                <w:color w:val="000000"/>
              </w:rPr>
            </w:pPr>
            <w:r w:rsidRPr="00AB0B90">
              <w:rPr>
                <w:color w:val="000000"/>
              </w:rPr>
              <w:t>0</w:t>
            </w:r>
          </w:p>
        </w:tc>
        <w:tc>
          <w:tcPr>
            <w:tcW w:w="1980" w:type="dxa"/>
            <w:shd w:val="clear" w:color="auto" w:fill="auto"/>
          </w:tcPr>
          <w:p w:rsidRPr="00327942" w:rsidR="001D31AF" w:rsidP="00A5305A" w:rsidRDefault="001D31AF" w14:paraId="740914DF" w14:textId="77777777">
            <w:pPr>
              <w:jc w:val="right"/>
              <w:rPr>
                <w:color w:val="000000"/>
              </w:rPr>
            </w:pPr>
            <w:r>
              <w:rPr>
                <w:color w:val="000000"/>
              </w:rPr>
              <w:t>0</w:t>
            </w:r>
          </w:p>
        </w:tc>
      </w:tr>
      <w:tr w:rsidRPr="00327942" w:rsidR="00A5305A" w:rsidTr="00A5305A" w14:paraId="0145320E" w14:textId="77777777">
        <w:trPr>
          <w:trHeight w:val="455"/>
          <w:jc w:val="center"/>
        </w:trPr>
        <w:tc>
          <w:tcPr>
            <w:tcW w:w="2993" w:type="dxa"/>
            <w:shd w:val="clear" w:color="auto" w:fill="auto"/>
          </w:tcPr>
          <w:p w:rsidRPr="00327942" w:rsidR="001D31AF" w:rsidP="00A5305A" w:rsidRDefault="001D31AF" w14:paraId="18401399" w14:textId="77777777">
            <w:pPr>
              <w:rPr>
                <w:color w:val="000000"/>
              </w:rPr>
            </w:pPr>
            <w:r>
              <w:rPr>
                <w:color w:val="000000"/>
              </w:rPr>
              <w:t>11</w:t>
            </w:r>
            <w:r w:rsidRPr="00327942">
              <w:rPr>
                <w:color w:val="000000"/>
              </w:rPr>
              <w:t xml:space="preserve">. </w:t>
            </w:r>
            <w:r>
              <w:t xml:space="preserve"> </w:t>
            </w:r>
            <w:r w:rsidRPr="00CA0652">
              <w:rPr>
                <w:color w:val="000000"/>
              </w:rPr>
              <w:t>Labeling of In-Plant Containers</w:t>
            </w:r>
            <w:r w:rsidRPr="00CA0652" w:rsidDel="00CA0652">
              <w:rPr>
                <w:color w:val="000000"/>
              </w:rPr>
              <w:t xml:space="preserve"> </w:t>
            </w:r>
          </w:p>
        </w:tc>
        <w:tc>
          <w:tcPr>
            <w:tcW w:w="1777" w:type="dxa"/>
            <w:shd w:val="clear" w:color="auto" w:fill="auto"/>
          </w:tcPr>
          <w:p w:rsidRPr="00FF1F12" w:rsidR="001D31AF" w:rsidP="00A5305A" w:rsidRDefault="001D31AF" w14:paraId="6D3C8A61" w14:textId="77777777">
            <w:pPr>
              <w:jc w:val="right"/>
              <w:rPr>
                <w:color w:val="000000"/>
              </w:rPr>
            </w:pPr>
            <w:r w:rsidRPr="00AB0B90">
              <w:rPr>
                <w:color w:val="000000"/>
              </w:rPr>
              <w:t>125,268</w:t>
            </w:r>
          </w:p>
        </w:tc>
        <w:tc>
          <w:tcPr>
            <w:tcW w:w="1980" w:type="dxa"/>
            <w:shd w:val="clear" w:color="auto" w:fill="auto"/>
          </w:tcPr>
          <w:p w:rsidRPr="00AB0B90" w:rsidR="001D31AF" w:rsidP="00A5305A" w:rsidRDefault="001D31AF" w14:paraId="4695951D" w14:textId="77777777">
            <w:pPr>
              <w:jc w:val="right"/>
              <w:rPr>
                <w:color w:val="000000"/>
              </w:rPr>
            </w:pPr>
            <w:r>
              <w:rPr>
                <w:color w:val="000000"/>
              </w:rPr>
              <w:t>176,484</w:t>
            </w:r>
          </w:p>
        </w:tc>
        <w:tc>
          <w:tcPr>
            <w:tcW w:w="1980" w:type="dxa"/>
            <w:shd w:val="clear" w:color="auto" w:fill="auto"/>
          </w:tcPr>
          <w:p w:rsidRPr="00327942" w:rsidR="001D31AF" w:rsidP="00A5305A" w:rsidRDefault="001D31AF" w14:paraId="73864655" w14:textId="77777777">
            <w:pPr>
              <w:jc w:val="right"/>
              <w:rPr>
                <w:color w:val="000000"/>
              </w:rPr>
            </w:pPr>
            <w:r>
              <w:rPr>
                <w:color w:val="000000"/>
              </w:rPr>
              <w:t>51,216</w:t>
            </w:r>
          </w:p>
        </w:tc>
      </w:tr>
      <w:tr w:rsidRPr="00327942" w:rsidR="00A5305A" w:rsidTr="00A5305A" w14:paraId="2889F205" w14:textId="77777777">
        <w:trPr>
          <w:jc w:val="center"/>
        </w:trPr>
        <w:tc>
          <w:tcPr>
            <w:tcW w:w="2993" w:type="dxa"/>
            <w:shd w:val="clear" w:color="auto" w:fill="auto"/>
          </w:tcPr>
          <w:p w:rsidRPr="00327942" w:rsidR="001D31AF" w:rsidP="00A5305A" w:rsidRDefault="001D31AF" w14:paraId="569DEA46" w14:textId="77777777">
            <w:pPr>
              <w:rPr>
                <w:color w:val="000000"/>
              </w:rPr>
            </w:pPr>
            <w:r>
              <w:rPr>
                <w:color w:val="000000"/>
              </w:rPr>
              <w:t>12</w:t>
            </w:r>
            <w:r w:rsidRPr="00CA0652">
              <w:rPr>
                <w:color w:val="000000"/>
              </w:rPr>
              <w:t>. Access to Trade Secrets</w:t>
            </w:r>
            <w:r w:rsidRPr="00CA0652" w:rsidDel="00CA0652">
              <w:rPr>
                <w:color w:val="000000"/>
              </w:rPr>
              <w:t xml:space="preserve"> </w:t>
            </w:r>
          </w:p>
        </w:tc>
        <w:tc>
          <w:tcPr>
            <w:tcW w:w="1777" w:type="dxa"/>
            <w:shd w:val="clear" w:color="auto" w:fill="auto"/>
          </w:tcPr>
          <w:p w:rsidRPr="00FF1F12" w:rsidR="001D31AF" w:rsidP="00A5305A" w:rsidRDefault="001D31AF" w14:paraId="03315933" w14:textId="77777777">
            <w:pPr>
              <w:jc w:val="right"/>
              <w:rPr>
                <w:color w:val="000000"/>
              </w:rPr>
            </w:pPr>
            <w:r w:rsidRPr="00AB0B90">
              <w:rPr>
                <w:color w:val="000000"/>
              </w:rPr>
              <w:t>363,788</w:t>
            </w:r>
          </w:p>
        </w:tc>
        <w:tc>
          <w:tcPr>
            <w:tcW w:w="1980" w:type="dxa"/>
            <w:shd w:val="clear" w:color="auto" w:fill="auto"/>
          </w:tcPr>
          <w:p w:rsidRPr="00AB0B90" w:rsidR="001D31AF" w:rsidP="00A5305A" w:rsidRDefault="001D31AF" w14:paraId="1737A956" w14:textId="77777777">
            <w:pPr>
              <w:jc w:val="right"/>
              <w:rPr>
                <w:color w:val="000000"/>
              </w:rPr>
            </w:pPr>
            <w:r>
              <w:rPr>
                <w:color w:val="000000"/>
              </w:rPr>
              <w:t>338,640</w:t>
            </w:r>
          </w:p>
        </w:tc>
        <w:tc>
          <w:tcPr>
            <w:tcW w:w="1980" w:type="dxa"/>
            <w:shd w:val="clear" w:color="auto" w:fill="auto"/>
          </w:tcPr>
          <w:p w:rsidRPr="00327942" w:rsidR="001D31AF" w:rsidP="00A5305A" w:rsidRDefault="001D31AF" w14:paraId="4D67F760" w14:textId="77777777">
            <w:pPr>
              <w:jc w:val="right"/>
              <w:rPr>
                <w:color w:val="000000"/>
              </w:rPr>
            </w:pPr>
            <w:r>
              <w:rPr>
                <w:color w:val="000000"/>
              </w:rPr>
              <w:t>-25,148</w:t>
            </w:r>
          </w:p>
        </w:tc>
      </w:tr>
      <w:tr w:rsidRPr="00327942" w:rsidR="00A5305A" w:rsidTr="00A5305A" w14:paraId="0E06D089" w14:textId="77777777">
        <w:trPr>
          <w:jc w:val="center"/>
        </w:trPr>
        <w:tc>
          <w:tcPr>
            <w:tcW w:w="2993" w:type="dxa"/>
            <w:shd w:val="clear" w:color="auto" w:fill="auto"/>
          </w:tcPr>
          <w:p w:rsidRPr="00327942" w:rsidR="001D31AF" w:rsidP="00A5305A" w:rsidRDefault="001D31AF" w14:paraId="4F1682FB" w14:textId="77777777">
            <w:pPr>
              <w:tabs>
                <w:tab w:val="center" w:pos="1017"/>
              </w:tabs>
              <w:rPr>
                <w:color w:val="000000"/>
              </w:rPr>
            </w:pPr>
            <w:r>
              <w:rPr>
                <w:color w:val="000000"/>
              </w:rPr>
              <w:t>13.</w:t>
            </w:r>
            <w:r>
              <w:rPr>
                <w:color w:val="000000"/>
              </w:rPr>
              <w:tab/>
            </w:r>
            <w:r>
              <w:t xml:space="preserve"> </w:t>
            </w:r>
            <w:r w:rsidRPr="009D1128">
              <w:rPr>
                <w:color w:val="000000"/>
              </w:rPr>
              <w:t>Employee Access</w:t>
            </w:r>
          </w:p>
        </w:tc>
        <w:tc>
          <w:tcPr>
            <w:tcW w:w="1777" w:type="dxa"/>
            <w:shd w:val="clear" w:color="auto" w:fill="auto"/>
          </w:tcPr>
          <w:p w:rsidRPr="00FF1F12" w:rsidR="001D31AF" w:rsidP="00A5305A" w:rsidRDefault="001D31AF" w14:paraId="2DABB6DE" w14:textId="77777777">
            <w:pPr>
              <w:jc w:val="right"/>
              <w:rPr>
                <w:color w:val="000000"/>
              </w:rPr>
            </w:pPr>
            <w:r w:rsidRPr="00AB0B90">
              <w:rPr>
                <w:color w:val="000000"/>
              </w:rPr>
              <w:t>541,418</w:t>
            </w:r>
          </w:p>
        </w:tc>
        <w:tc>
          <w:tcPr>
            <w:tcW w:w="1980" w:type="dxa"/>
            <w:shd w:val="clear" w:color="auto" w:fill="auto"/>
          </w:tcPr>
          <w:p w:rsidRPr="00AB0B90" w:rsidR="001D31AF" w:rsidP="00A5305A" w:rsidRDefault="001D31AF" w14:paraId="2F933AC4" w14:textId="77777777">
            <w:pPr>
              <w:jc w:val="right"/>
              <w:rPr>
                <w:color w:val="000000"/>
              </w:rPr>
            </w:pPr>
            <w:r>
              <w:rPr>
                <w:color w:val="000000"/>
              </w:rPr>
              <w:t>502,835</w:t>
            </w:r>
          </w:p>
        </w:tc>
        <w:tc>
          <w:tcPr>
            <w:tcW w:w="1980" w:type="dxa"/>
            <w:shd w:val="clear" w:color="auto" w:fill="auto"/>
          </w:tcPr>
          <w:p w:rsidRPr="00327942" w:rsidR="001D31AF" w:rsidP="00A5305A" w:rsidRDefault="001D31AF" w14:paraId="3E423C0F" w14:textId="77777777">
            <w:pPr>
              <w:jc w:val="right"/>
              <w:rPr>
                <w:color w:val="000000"/>
              </w:rPr>
            </w:pPr>
            <w:r>
              <w:rPr>
                <w:color w:val="000000"/>
              </w:rPr>
              <w:t>-38,583</w:t>
            </w:r>
          </w:p>
        </w:tc>
      </w:tr>
      <w:tr w:rsidRPr="00327942" w:rsidR="00A5305A" w:rsidTr="00A5305A" w14:paraId="35C62D6E" w14:textId="77777777">
        <w:trPr>
          <w:trHeight w:val="293"/>
          <w:jc w:val="center"/>
        </w:trPr>
        <w:tc>
          <w:tcPr>
            <w:tcW w:w="2993" w:type="dxa"/>
            <w:shd w:val="clear" w:color="auto" w:fill="auto"/>
          </w:tcPr>
          <w:p w:rsidRPr="00327942" w:rsidR="001D31AF" w:rsidP="00A5305A" w:rsidRDefault="001D31AF" w14:paraId="367ADD61" w14:textId="77777777">
            <w:pPr>
              <w:rPr>
                <w:color w:val="000000"/>
              </w:rPr>
            </w:pPr>
          </w:p>
        </w:tc>
        <w:tc>
          <w:tcPr>
            <w:tcW w:w="1777" w:type="dxa"/>
            <w:shd w:val="clear" w:color="auto" w:fill="auto"/>
          </w:tcPr>
          <w:p w:rsidRPr="00FF1F12" w:rsidR="001D31AF" w:rsidP="00A5305A" w:rsidRDefault="001D31AF" w14:paraId="228BA244" w14:textId="77777777">
            <w:pPr>
              <w:jc w:val="right"/>
              <w:rPr>
                <w:color w:val="000000"/>
              </w:rPr>
            </w:pPr>
          </w:p>
        </w:tc>
        <w:tc>
          <w:tcPr>
            <w:tcW w:w="1980" w:type="dxa"/>
            <w:shd w:val="clear" w:color="auto" w:fill="auto"/>
          </w:tcPr>
          <w:p w:rsidRPr="002C0B15" w:rsidR="001D31AF" w:rsidP="00A5305A" w:rsidRDefault="001D31AF" w14:paraId="61DCBDE1" w14:textId="77777777">
            <w:pPr>
              <w:jc w:val="right"/>
              <w:rPr>
                <w:color w:val="000000"/>
              </w:rPr>
            </w:pPr>
          </w:p>
        </w:tc>
        <w:tc>
          <w:tcPr>
            <w:tcW w:w="1980" w:type="dxa"/>
            <w:shd w:val="clear" w:color="auto" w:fill="auto"/>
          </w:tcPr>
          <w:p w:rsidRPr="00327942" w:rsidR="001D31AF" w:rsidP="00A5305A" w:rsidRDefault="001D31AF" w14:paraId="6C6D3CE6" w14:textId="77777777">
            <w:pPr>
              <w:jc w:val="right"/>
              <w:rPr>
                <w:color w:val="000000"/>
              </w:rPr>
            </w:pPr>
            <w:r>
              <w:rPr>
                <w:color w:val="000000"/>
              </w:rPr>
              <w:t>0</w:t>
            </w:r>
          </w:p>
        </w:tc>
      </w:tr>
      <w:tr w:rsidRPr="00327942" w:rsidR="00A5305A" w:rsidTr="00A5305A" w14:paraId="4F1E1CDB" w14:textId="77777777">
        <w:trPr>
          <w:jc w:val="center"/>
        </w:trPr>
        <w:tc>
          <w:tcPr>
            <w:tcW w:w="2993" w:type="dxa"/>
            <w:shd w:val="clear" w:color="auto" w:fill="auto"/>
          </w:tcPr>
          <w:p w:rsidRPr="00327942" w:rsidR="001D31AF" w:rsidP="00A5305A" w:rsidRDefault="001D31AF" w14:paraId="0EC9A1C4" w14:textId="77777777">
            <w:pPr>
              <w:rPr>
                <w:color w:val="000000"/>
              </w:rPr>
            </w:pPr>
            <w:r w:rsidRPr="00327942">
              <w:rPr>
                <w:color w:val="000000"/>
              </w:rPr>
              <w:t>1</w:t>
            </w:r>
            <w:r>
              <w:rPr>
                <w:color w:val="000000"/>
              </w:rPr>
              <w:t>4</w:t>
            </w:r>
            <w:r w:rsidRPr="00327942">
              <w:rPr>
                <w:color w:val="000000"/>
              </w:rPr>
              <w:t xml:space="preserve">. </w:t>
            </w:r>
            <w:r>
              <w:t xml:space="preserve"> </w:t>
            </w:r>
            <w:r w:rsidRPr="009D1128">
              <w:rPr>
                <w:color w:val="000000"/>
              </w:rPr>
              <w:t>Revisions to the Safety Data Sheets and Labeling</w:t>
            </w:r>
            <w:r w:rsidRPr="009D1128" w:rsidDel="009D1128">
              <w:rPr>
                <w:color w:val="000000"/>
              </w:rPr>
              <w:t xml:space="preserve"> </w:t>
            </w:r>
          </w:p>
        </w:tc>
        <w:tc>
          <w:tcPr>
            <w:tcW w:w="1777" w:type="dxa"/>
            <w:shd w:val="clear" w:color="auto" w:fill="auto"/>
          </w:tcPr>
          <w:p w:rsidRPr="00FF1F12" w:rsidR="001D31AF" w:rsidP="00A5305A" w:rsidRDefault="001D31AF" w14:paraId="684F96A5" w14:textId="77777777">
            <w:pPr>
              <w:jc w:val="right"/>
              <w:rPr>
                <w:color w:val="000000"/>
              </w:rPr>
            </w:pPr>
            <w:r w:rsidRPr="00334BF8">
              <w:t>683,136</w:t>
            </w:r>
          </w:p>
        </w:tc>
        <w:tc>
          <w:tcPr>
            <w:tcW w:w="1980" w:type="dxa"/>
            <w:shd w:val="clear" w:color="auto" w:fill="auto"/>
          </w:tcPr>
          <w:p w:rsidRPr="00334BF8" w:rsidR="001D31AF" w:rsidP="00A5305A" w:rsidRDefault="001D31AF" w14:paraId="50532BDB" w14:textId="77777777">
            <w:pPr>
              <w:jc w:val="right"/>
            </w:pPr>
            <w:r>
              <w:t>320,861</w:t>
            </w:r>
          </w:p>
        </w:tc>
        <w:tc>
          <w:tcPr>
            <w:tcW w:w="1980" w:type="dxa"/>
            <w:shd w:val="clear" w:color="auto" w:fill="auto"/>
          </w:tcPr>
          <w:p w:rsidRPr="00327942" w:rsidR="001D31AF" w:rsidP="00A5305A" w:rsidRDefault="001D31AF" w14:paraId="21C64A53" w14:textId="77777777">
            <w:pPr>
              <w:jc w:val="right"/>
              <w:rPr>
                <w:color w:val="000000"/>
              </w:rPr>
            </w:pPr>
            <w:r>
              <w:rPr>
                <w:color w:val="000000"/>
              </w:rPr>
              <w:t>-362,275</w:t>
            </w:r>
          </w:p>
        </w:tc>
      </w:tr>
      <w:tr w:rsidRPr="00327942" w:rsidR="00A5305A" w:rsidTr="00A5305A" w14:paraId="08922BCC" w14:textId="77777777">
        <w:trPr>
          <w:jc w:val="center"/>
        </w:trPr>
        <w:tc>
          <w:tcPr>
            <w:tcW w:w="2993" w:type="dxa"/>
            <w:shd w:val="clear" w:color="auto" w:fill="auto"/>
          </w:tcPr>
          <w:p w:rsidRPr="00327942" w:rsidR="001D31AF" w:rsidP="00A5305A" w:rsidRDefault="001D31AF" w14:paraId="5145DB12" w14:textId="77777777">
            <w:pPr>
              <w:rPr>
                <w:color w:val="000000"/>
              </w:rPr>
            </w:pPr>
          </w:p>
        </w:tc>
        <w:tc>
          <w:tcPr>
            <w:tcW w:w="1777" w:type="dxa"/>
            <w:shd w:val="clear" w:color="auto" w:fill="auto"/>
          </w:tcPr>
          <w:p w:rsidRPr="00FF1F12" w:rsidR="001D31AF" w:rsidP="00A5305A" w:rsidRDefault="001D31AF" w14:paraId="7FF20F63" w14:textId="77777777">
            <w:pPr>
              <w:jc w:val="right"/>
              <w:rPr>
                <w:color w:val="000000"/>
              </w:rPr>
            </w:pPr>
          </w:p>
        </w:tc>
        <w:tc>
          <w:tcPr>
            <w:tcW w:w="1980" w:type="dxa"/>
            <w:shd w:val="clear" w:color="auto" w:fill="auto"/>
          </w:tcPr>
          <w:p w:rsidRPr="002C0B15" w:rsidR="001D31AF" w:rsidP="00A5305A" w:rsidRDefault="001D31AF" w14:paraId="04453E9B" w14:textId="77777777">
            <w:pPr>
              <w:jc w:val="right"/>
              <w:rPr>
                <w:color w:val="000000"/>
              </w:rPr>
            </w:pPr>
          </w:p>
        </w:tc>
        <w:tc>
          <w:tcPr>
            <w:tcW w:w="1980" w:type="dxa"/>
            <w:shd w:val="clear" w:color="auto" w:fill="auto"/>
          </w:tcPr>
          <w:p w:rsidRPr="00327942" w:rsidR="001D31AF" w:rsidP="00A5305A" w:rsidRDefault="001D31AF" w14:paraId="6F7F7AAD" w14:textId="77777777">
            <w:pPr>
              <w:jc w:val="right"/>
              <w:rPr>
                <w:color w:val="000000"/>
              </w:rPr>
            </w:pPr>
            <w:r>
              <w:rPr>
                <w:color w:val="000000"/>
              </w:rPr>
              <w:t>0</w:t>
            </w:r>
          </w:p>
        </w:tc>
      </w:tr>
      <w:tr w:rsidRPr="00876AE4" w:rsidR="00A5305A" w:rsidTr="00A5305A" w14:paraId="397C63D3" w14:textId="77777777">
        <w:trPr>
          <w:jc w:val="center"/>
        </w:trPr>
        <w:tc>
          <w:tcPr>
            <w:tcW w:w="2993" w:type="dxa"/>
            <w:shd w:val="clear" w:color="auto" w:fill="auto"/>
          </w:tcPr>
          <w:p w:rsidRPr="00327942" w:rsidR="001D31AF" w:rsidP="00A5305A" w:rsidRDefault="001D31AF" w14:paraId="6AA6E8C7" w14:textId="77777777">
            <w:pPr>
              <w:rPr>
                <w:b/>
                <w:color w:val="000000"/>
              </w:rPr>
            </w:pPr>
            <w:r w:rsidRPr="00327942">
              <w:rPr>
                <w:b/>
                <w:color w:val="000000"/>
              </w:rPr>
              <w:t>TOTAL</w:t>
            </w:r>
          </w:p>
        </w:tc>
        <w:tc>
          <w:tcPr>
            <w:tcW w:w="1777" w:type="dxa"/>
            <w:shd w:val="clear" w:color="auto" w:fill="auto"/>
          </w:tcPr>
          <w:p w:rsidRPr="009F6AEF" w:rsidR="001D31AF" w:rsidP="00A5305A" w:rsidRDefault="001D31AF" w14:paraId="203D18ED" w14:textId="77777777">
            <w:pPr>
              <w:jc w:val="right"/>
              <w:rPr>
                <w:b/>
                <w:color w:val="000000"/>
              </w:rPr>
            </w:pPr>
            <w:r w:rsidRPr="009F6AEF">
              <w:rPr>
                <w:b/>
                <w:color w:val="000000"/>
              </w:rPr>
              <w:t>7,309,058</w:t>
            </w:r>
          </w:p>
        </w:tc>
        <w:tc>
          <w:tcPr>
            <w:tcW w:w="1980" w:type="dxa"/>
            <w:shd w:val="clear" w:color="auto" w:fill="auto"/>
          </w:tcPr>
          <w:p w:rsidRPr="009F6AEF" w:rsidR="001D31AF" w:rsidP="00A5305A" w:rsidRDefault="001D31AF" w14:paraId="62F1EE86" w14:textId="77777777">
            <w:pPr>
              <w:jc w:val="right"/>
              <w:rPr>
                <w:b/>
                <w:color w:val="000000"/>
              </w:rPr>
            </w:pPr>
            <w:r w:rsidRPr="009F6AEF">
              <w:rPr>
                <w:b/>
                <w:color w:val="000000"/>
              </w:rPr>
              <w:t>6,557,766</w:t>
            </w:r>
          </w:p>
        </w:tc>
        <w:tc>
          <w:tcPr>
            <w:tcW w:w="1980" w:type="dxa"/>
            <w:shd w:val="clear" w:color="auto" w:fill="auto"/>
          </w:tcPr>
          <w:p w:rsidRPr="009F6AEF" w:rsidR="001D31AF" w:rsidP="00A5305A" w:rsidRDefault="001D31AF" w14:paraId="76586DE2" w14:textId="77777777">
            <w:pPr>
              <w:jc w:val="right"/>
              <w:rPr>
                <w:b/>
                <w:color w:val="000000"/>
              </w:rPr>
            </w:pPr>
            <w:r w:rsidRPr="009F6AEF">
              <w:rPr>
                <w:b/>
                <w:color w:val="000000"/>
              </w:rPr>
              <w:t>-751,292</w:t>
            </w:r>
          </w:p>
        </w:tc>
      </w:tr>
    </w:tbl>
    <w:p w:rsidRPr="00FF1F12" w:rsidR="00522B65" w:rsidP="00463004" w:rsidRDefault="00522B65" w14:paraId="740E5EB4" w14:textId="77777777">
      <w:pPr>
        <w:shd w:val="solid" w:color="FFFFFF" w:fill="FFFFFF"/>
        <w:tabs>
          <w:tab w:val="left" w:pos="0"/>
          <w:tab w:val="left" w:pos="720"/>
          <w:tab w:val="left" w:pos="1440"/>
          <w:tab w:val="left" w:pos="2160"/>
          <w:tab w:val="left" w:pos="2880"/>
          <w:tab w:val="left" w:pos="3600"/>
          <w:tab w:val="left" w:pos="4320"/>
        </w:tabs>
        <w:rPr>
          <w:sz w:val="24"/>
          <w:szCs w:val="24"/>
        </w:rPr>
      </w:pPr>
    </w:p>
    <w:p w:rsidRPr="00AB0B90" w:rsidR="00D80711" w:rsidP="00D80711" w:rsidRDefault="00D80711" w14:paraId="6654236A" w14:textId="77777777">
      <w:pPr>
        <w:shd w:val="solid" w:color="FFFFFF" w:fill="FFFFFF"/>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sz w:val="24"/>
          <w:szCs w:val="24"/>
        </w:rPr>
      </w:pPr>
      <w:r w:rsidRPr="00AB0B90">
        <w:rPr>
          <w:b/>
          <w:bCs/>
          <w:color w:val="000000"/>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B5054" w:rsidR="00D80711" w:rsidP="00D80711" w:rsidRDefault="00D80711" w14:paraId="44DF757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4BA96B6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information required to be collected by the Hazard Communication Standard will not have results that will be published for statistical use.</w:t>
      </w:r>
    </w:p>
    <w:p w:rsidRPr="00CB5054" w:rsidR="00D80711" w:rsidP="00D80711" w:rsidRDefault="00D80711" w14:paraId="3D8967B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6A258B" w:rsidRDefault="00564917" w14:paraId="5B5BCA04" w14:textId="77777777">
      <w:pPr>
        <w:tabs>
          <w:tab w:val="left" w:pos="450"/>
        </w:tabs>
        <w:rPr>
          <w:b/>
          <w:bCs/>
          <w:color w:val="000000"/>
          <w:sz w:val="24"/>
          <w:szCs w:val="24"/>
        </w:rPr>
      </w:pPr>
      <w:r w:rsidRPr="00AB0B90">
        <w:rPr>
          <w:b/>
          <w:bCs/>
          <w:color w:val="000000"/>
          <w:sz w:val="24"/>
          <w:szCs w:val="24"/>
        </w:rPr>
        <w:t xml:space="preserve">17.  </w:t>
      </w:r>
      <w:r w:rsidRPr="00AB0B90" w:rsidR="00D80711">
        <w:rPr>
          <w:b/>
          <w:bCs/>
          <w:color w:val="000000"/>
          <w:sz w:val="24"/>
          <w:szCs w:val="24"/>
        </w:rPr>
        <w:t>If</w:t>
      </w:r>
      <w:r w:rsidRPr="00AB0B90">
        <w:rPr>
          <w:b/>
          <w:bCs/>
          <w:color w:val="000000"/>
          <w:sz w:val="24"/>
          <w:szCs w:val="24"/>
        </w:rPr>
        <w:t xml:space="preserve"> </w:t>
      </w:r>
      <w:r w:rsidRPr="00AB0B90" w:rsidR="00D80711">
        <w:rPr>
          <w:b/>
          <w:bCs/>
          <w:color w:val="000000"/>
          <w:sz w:val="24"/>
          <w:szCs w:val="24"/>
        </w:rPr>
        <w:t>seeking approval to not display the expiration date for OMB approval of t</w:t>
      </w:r>
      <w:r w:rsidRPr="00AB0B90">
        <w:rPr>
          <w:b/>
          <w:bCs/>
          <w:color w:val="000000"/>
          <w:sz w:val="24"/>
          <w:szCs w:val="24"/>
        </w:rPr>
        <w:t xml:space="preserve">he information </w:t>
      </w:r>
      <w:r w:rsidRPr="00AB0B90" w:rsidR="00D80711">
        <w:rPr>
          <w:b/>
          <w:bCs/>
          <w:color w:val="000000"/>
          <w:sz w:val="24"/>
          <w:szCs w:val="24"/>
        </w:rPr>
        <w:t>collection, explain the reasons that display would be inappropriate.</w:t>
      </w:r>
    </w:p>
    <w:p w:rsidRPr="00CB5054" w:rsidR="00D80711" w:rsidP="00D80711" w:rsidRDefault="00D80711" w14:paraId="6B61D7B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239C6BC8" w14:textId="77777777">
      <w:pPr>
        <w:rPr>
          <w:color w:val="000000"/>
          <w:sz w:val="24"/>
          <w:szCs w:val="24"/>
        </w:rPr>
      </w:pPr>
      <w:r w:rsidRPr="00CB5054">
        <w:rPr>
          <w:color w:val="000000"/>
          <w:sz w:val="24"/>
          <w:szCs w:val="24"/>
        </w:rPr>
        <w:t>There are no forms associated with this collection of inf</w:t>
      </w:r>
      <w:r w:rsidRPr="00CB5054" w:rsidR="00564917">
        <w:rPr>
          <w:color w:val="000000"/>
          <w:sz w:val="24"/>
          <w:szCs w:val="24"/>
        </w:rPr>
        <w:t xml:space="preserve">ormation on which to display </w:t>
      </w:r>
      <w:r w:rsidRPr="00CB5054" w:rsidR="00F14192">
        <w:rPr>
          <w:color w:val="000000"/>
          <w:sz w:val="24"/>
          <w:szCs w:val="24"/>
        </w:rPr>
        <w:t>expiration</w:t>
      </w:r>
      <w:r w:rsidRPr="00CB5054">
        <w:rPr>
          <w:color w:val="000000"/>
          <w:sz w:val="24"/>
          <w:szCs w:val="24"/>
        </w:rPr>
        <w:t xml:space="preserve"> date.</w:t>
      </w:r>
    </w:p>
    <w:p w:rsidRPr="00CB5054" w:rsidR="00D80711" w:rsidP="00D80711" w:rsidRDefault="00D80711" w14:paraId="42DFA06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1819C44C"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AB0B90">
        <w:rPr>
          <w:b/>
          <w:bCs/>
          <w:color w:val="000000"/>
          <w:sz w:val="24"/>
          <w:szCs w:val="24"/>
        </w:rPr>
        <w:t>18.  Explain each exception to the certification statement.</w:t>
      </w:r>
      <w:r w:rsidRPr="00AB0B90">
        <w:rPr>
          <w:b/>
          <w:bCs/>
          <w:color w:val="000000"/>
          <w:sz w:val="24"/>
          <w:szCs w:val="24"/>
          <w:lang w:val="en-JM"/>
        </w:rPr>
        <w:t> </w:t>
      </w:r>
    </w:p>
    <w:p w:rsidRPr="00FF1F12" w:rsidR="00D80711" w:rsidP="00D80711" w:rsidRDefault="00D80711" w14:paraId="2F8C5D8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36EC7CDA" w14:textId="77777777">
      <w:pPr>
        <w:rPr>
          <w:color w:val="000000"/>
          <w:sz w:val="24"/>
          <w:szCs w:val="24"/>
          <w:lang w:val="en-JM"/>
        </w:rPr>
      </w:pPr>
      <w:r w:rsidRPr="00CB5054">
        <w:rPr>
          <w:color w:val="000000"/>
          <w:sz w:val="24"/>
          <w:szCs w:val="24"/>
          <w:lang w:val="en-JM"/>
        </w:rPr>
        <w:t>OSHA is not requesting an exception to the certification statement.</w:t>
      </w:r>
    </w:p>
    <w:p w:rsidRPr="00CB5054" w:rsidR="00223B17" w:rsidP="00D80711" w:rsidRDefault="00223B17" w14:paraId="297E8041" w14:textId="77777777">
      <w:pPr>
        <w:rPr>
          <w:color w:val="000000"/>
          <w:sz w:val="24"/>
          <w:szCs w:val="24"/>
          <w:lang w:val="en-JM"/>
        </w:rPr>
      </w:pPr>
    </w:p>
    <w:p w:rsidRPr="00CB5054" w:rsidR="00223B17" w:rsidP="00223B17" w:rsidRDefault="00223B17" w14:paraId="750AF4E8" w14:textId="77777777">
      <w:pPr>
        <w:outlineLvl w:val="0"/>
        <w:rPr>
          <w:b/>
          <w:color w:val="000000"/>
          <w:sz w:val="24"/>
          <w:szCs w:val="24"/>
        </w:rPr>
      </w:pPr>
      <w:r w:rsidRPr="00CB5054">
        <w:rPr>
          <w:b/>
          <w:color w:val="000000"/>
          <w:sz w:val="24"/>
          <w:szCs w:val="24"/>
        </w:rPr>
        <w:t>B. COLLECTION OF INFORMATION EMPLOYING STATISTICAL METHODS</w:t>
      </w:r>
    </w:p>
    <w:p w:rsidRPr="00CB5054" w:rsidR="00223B17" w:rsidP="00223B17" w:rsidRDefault="00223B17" w14:paraId="40626A6F" w14:textId="77777777">
      <w:pPr>
        <w:rPr>
          <w:b/>
          <w:color w:val="000000"/>
          <w:sz w:val="24"/>
          <w:szCs w:val="24"/>
        </w:rPr>
      </w:pPr>
    </w:p>
    <w:p w:rsidRPr="00CB5054" w:rsidR="00974F67" w:rsidP="00830F71" w:rsidRDefault="00223B17" w14:paraId="1A99EB6F" w14:textId="77777777">
      <w:pPr>
        <w:rPr>
          <w:b/>
          <w:color w:val="000000"/>
        </w:rPr>
      </w:pPr>
      <w:r w:rsidRPr="00CB5054">
        <w:rPr>
          <w:color w:val="000000"/>
          <w:sz w:val="24"/>
          <w:szCs w:val="24"/>
        </w:rPr>
        <w:t>The</w:t>
      </w:r>
      <w:r w:rsidRPr="00CB5054" w:rsidR="006D0C19">
        <w:rPr>
          <w:color w:val="000000"/>
          <w:sz w:val="24"/>
          <w:szCs w:val="24"/>
        </w:rPr>
        <w:t>se collection of information requirements</w:t>
      </w:r>
      <w:r w:rsidRPr="00CB5054">
        <w:rPr>
          <w:color w:val="000000"/>
          <w:sz w:val="24"/>
          <w:szCs w:val="24"/>
        </w:rPr>
        <w:t xml:space="preserve"> employ</w:t>
      </w:r>
      <w:r w:rsidRPr="00CB5054" w:rsidR="006D0C19">
        <w:rPr>
          <w:color w:val="000000"/>
          <w:sz w:val="24"/>
          <w:szCs w:val="24"/>
        </w:rPr>
        <w:t xml:space="preserve"> no</w:t>
      </w:r>
      <w:r w:rsidRPr="00CB5054">
        <w:rPr>
          <w:color w:val="000000"/>
          <w:sz w:val="24"/>
          <w:szCs w:val="24"/>
        </w:rPr>
        <w:t xml:space="preserve"> statistical methods</w:t>
      </w:r>
      <w:r w:rsidRPr="00CB5054">
        <w:rPr>
          <w:color w:val="000000"/>
        </w:rPr>
        <w:t>.</w:t>
      </w:r>
    </w:p>
    <w:sectPr w:rsidRPr="00CB5054" w:rsidR="00974F67" w:rsidSect="00830F71">
      <w:headerReference w:type="default" r:id="rId11"/>
      <w:footerReference w:type="even" r:id="rId12"/>
      <w:footerReference w:type="default" r:id="rId13"/>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9E3F" w14:textId="77777777" w:rsidR="006C7B46" w:rsidRDefault="006C7B46">
      <w:r>
        <w:separator/>
      </w:r>
    </w:p>
  </w:endnote>
  <w:endnote w:type="continuationSeparator" w:id="0">
    <w:p w14:paraId="44A41567" w14:textId="77777777" w:rsidR="006C7B46" w:rsidRDefault="006C7B46">
      <w:r>
        <w:continuationSeparator/>
      </w:r>
    </w:p>
  </w:endnote>
  <w:endnote w:type="continuationNotice" w:id="1">
    <w:p w14:paraId="581333F8" w14:textId="77777777" w:rsidR="006C7B46" w:rsidRDefault="006C7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880B" w14:textId="77777777" w:rsidR="005F0CFD" w:rsidRDefault="005F0CFD" w:rsidP="0095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AF1E1" w14:textId="77777777" w:rsidR="005F0CFD" w:rsidRDefault="005F0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FF3F" w14:textId="15F4220E" w:rsidR="005F0CFD" w:rsidRDefault="005F0CFD" w:rsidP="0095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0A08">
      <w:rPr>
        <w:rStyle w:val="PageNumber"/>
        <w:noProof/>
      </w:rPr>
      <w:t>22</w:t>
    </w:r>
    <w:r>
      <w:rPr>
        <w:rStyle w:val="PageNumber"/>
      </w:rPr>
      <w:fldChar w:fldCharType="end"/>
    </w:r>
  </w:p>
  <w:p w14:paraId="4E76EDF3" w14:textId="77777777" w:rsidR="005F0CFD" w:rsidRDefault="005F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994D" w14:textId="77777777" w:rsidR="006C7B46" w:rsidRDefault="006C7B46">
      <w:r>
        <w:separator/>
      </w:r>
    </w:p>
  </w:footnote>
  <w:footnote w:type="continuationSeparator" w:id="0">
    <w:p w14:paraId="69B9EAE3" w14:textId="77777777" w:rsidR="006C7B46" w:rsidRDefault="006C7B46">
      <w:r>
        <w:continuationSeparator/>
      </w:r>
    </w:p>
  </w:footnote>
  <w:footnote w:type="continuationNotice" w:id="1">
    <w:p w14:paraId="502EC40F" w14:textId="77777777" w:rsidR="006C7B46" w:rsidRDefault="006C7B46"/>
  </w:footnote>
  <w:footnote w:id="2">
    <w:p w14:paraId="7A6C20D7" w14:textId="77777777" w:rsidR="005F0CFD" w:rsidRPr="00933BFC" w:rsidRDefault="005F0CFD" w:rsidP="0012496E">
      <w:pPr>
        <w:ind w:left="180" w:hanging="180"/>
        <w:rPr>
          <w:kern w:val="0"/>
        </w:rPr>
      </w:pPr>
      <w:r>
        <w:rPr>
          <w:kern w:val="0"/>
        </w:rPr>
        <w:t xml:space="preserve">       </w:t>
      </w:r>
      <w:r w:rsidRPr="00933BFC">
        <w:rPr>
          <w:kern w:val="0"/>
          <w:vertAlign w:val="superscript"/>
        </w:rPr>
        <w:footnoteRef/>
      </w:r>
      <w:r w:rsidRPr="00933BFC">
        <w:rPr>
          <w:kern w:val="0"/>
        </w:rPr>
        <w:t xml:space="preserve"> </w:t>
      </w:r>
      <w:r w:rsidRPr="000D0FB0">
        <w:rPr>
          <w:kern w:val="0"/>
        </w:rPr>
        <w:t>The purpose of this Supporting Statement is to analyze and describe the burden hours and costs associated with the proposed revisions to the existing Hazard Communications information collection request</w:t>
      </w:r>
      <w:r>
        <w:rPr>
          <w:kern w:val="0"/>
        </w:rPr>
        <w:t xml:space="preserve">. </w:t>
      </w:r>
    </w:p>
  </w:footnote>
  <w:footnote w:id="3">
    <w:p w14:paraId="2134BFA9" w14:textId="77777777" w:rsidR="005F0CFD" w:rsidRPr="00047891" w:rsidRDefault="005F0CFD">
      <w:pPr>
        <w:pStyle w:val="FootnoteText"/>
        <w:rPr>
          <w:color w:val="FF0000"/>
        </w:rPr>
      </w:pPr>
      <w:r>
        <w:t xml:space="preserve">      </w:t>
      </w:r>
      <w:r>
        <w:rPr>
          <w:rStyle w:val="FootnoteReference"/>
        </w:rPr>
        <w:footnoteRef/>
      </w:r>
      <w:r>
        <w:t xml:space="preserve"> </w:t>
      </w:r>
      <w:r w:rsidRPr="000D0FB0">
        <w:rPr>
          <w:bCs/>
        </w:rPr>
        <w:t>As shown in the PP&amp;E report prepared under contract to the Department of Labor (and as reproduced in Table VII-2)</w:t>
      </w:r>
      <w:r w:rsidRPr="000D0FB0">
        <w:rPr>
          <w:bCs/>
          <w:color w:val="FF0000"/>
        </w:rPr>
        <w:t>.</w:t>
      </w:r>
    </w:p>
  </w:footnote>
  <w:footnote w:id="4">
    <w:p w14:paraId="7FA96B11" w14:textId="77777777" w:rsidR="005F0CFD" w:rsidRDefault="005F0CFD" w:rsidP="00401AC9">
      <w:pPr>
        <w:spacing w:after="240"/>
      </w:pPr>
      <w:r>
        <w:t xml:space="preserve">      </w:t>
      </w:r>
      <w:r w:rsidRPr="00BD6356">
        <w:rPr>
          <w:rStyle w:val="FootnoteReference"/>
          <w:sz w:val="22"/>
          <w:szCs w:val="22"/>
        </w:rPr>
        <w:footnoteRef/>
      </w:r>
      <w:r>
        <w:t xml:space="preserve"> Hazardous chemical means any chemical which is a physical hazard or a health hazard.</w:t>
      </w:r>
    </w:p>
  </w:footnote>
  <w:footnote w:id="5">
    <w:p w14:paraId="217D5F9E" w14:textId="77777777" w:rsidR="005F0CFD" w:rsidRPr="00287D85" w:rsidRDefault="005F0CFD" w:rsidP="00751D82">
      <w:pPr>
        <w:pStyle w:val="block1"/>
        <w:rPr>
          <w:color w:val="000000"/>
          <w:sz w:val="20"/>
          <w:szCs w:val="20"/>
        </w:rPr>
      </w:pPr>
      <w:r>
        <w:t xml:space="preserve">     </w:t>
      </w:r>
      <w:r>
        <w:rPr>
          <w:rStyle w:val="FootnoteReference"/>
        </w:rPr>
        <w:footnoteRef/>
      </w:r>
      <w:r>
        <w:t xml:space="preserve"> </w:t>
      </w:r>
      <w:r w:rsidRPr="00287D85">
        <w:rPr>
          <w:color w:val="000000"/>
          <w:sz w:val="20"/>
          <w:szCs w:val="20"/>
        </w:rPr>
        <w:t xml:space="preserve">OSHA is not taking a burden for </w:t>
      </w:r>
      <w:r>
        <w:rPr>
          <w:color w:val="000000"/>
          <w:sz w:val="20"/>
          <w:szCs w:val="20"/>
        </w:rPr>
        <w:t xml:space="preserve">the </w:t>
      </w:r>
      <w:r w:rsidRPr="00287D85">
        <w:rPr>
          <w:color w:val="000000"/>
          <w:sz w:val="20"/>
          <w:szCs w:val="20"/>
        </w:rPr>
        <w:t>training requirements specified by paragraph (h) of the HCS because these requirements are no longer considered collection of information requirements.</w:t>
      </w:r>
    </w:p>
    <w:p w14:paraId="61C9EE5D" w14:textId="77777777" w:rsidR="005F0CFD" w:rsidRPr="00287D85" w:rsidRDefault="005F0CFD" w:rsidP="00751D82">
      <w:pPr>
        <w:pStyle w:val="block1"/>
        <w:rPr>
          <w:sz w:val="20"/>
          <w:szCs w:val="20"/>
        </w:rPr>
      </w:pPr>
    </w:p>
  </w:footnote>
  <w:footnote w:id="6">
    <w:p w14:paraId="1ACA47F2" w14:textId="77777777" w:rsidR="005F0CFD" w:rsidRDefault="005F0CFD">
      <w:pPr>
        <w:pStyle w:val="FootnoteText"/>
      </w:pPr>
      <w:r>
        <w:t xml:space="preserve">     </w:t>
      </w:r>
      <w:r>
        <w:rPr>
          <w:rStyle w:val="FootnoteReference"/>
        </w:rPr>
        <w:footnoteRef/>
      </w:r>
      <w:r>
        <w:t xml:space="preserve"> This estimate includes those instances when chemical manufacturers, importers, distributors or employers become aware of any significant information regarding the hazards of a chemical and they are required to revise labels for the chemical.</w:t>
      </w:r>
    </w:p>
  </w:footnote>
  <w:footnote w:id="7">
    <w:p w14:paraId="5D36C071" w14:textId="77777777" w:rsidR="005F0CFD" w:rsidRDefault="005F0CFD">
      <w:pPr>
        <w:pStyle w:val="FootnoteText"/>
      </w:pPr>
      <w:r>
        <w:t xml:space="preserve">     </w:t>
      </w:r>
      <w:r>
        <w:rPr>
          <w:rStyle w:val="FootnoteReference"/>
        </w:rPr>
        <w:footnoteRef/>
      </w:r>
      <w:r>
        <w:t xml:space="preserve"> The total number of establishments is 5,018,316. Only 1.69% of the establishments, or 85,081 establishments, are manufacturing. Therefore, the total number of non-manufacturing establishments is 5,018,316 minus the 85,081, or 4,933,235.</w:t>
      </w:r>
    </w:p>
  </w:footnote>
  <w:footnote w:id="8">
    <w:p w14:paraId="18818B5D" w14:textId="77777777" w:rsidR="005F0CFD" w:rsidRDefault="005F0CFD">
      <w:pPr>
        <w:pStyle w:val="FootnoteText"/>
      </w:pPr>
      <w:r>
        <w:t xml:space="preserve">     </w:t>
      </w:r>
      <w:r>
        <w:rPr>
          <w:rStyle w:val="FootnoteReference"/>
        </w:rPr>
        <w:footnoteRef/>
      </w:r>
      <w:r>
        <w:t xml:space="preserve"> The Agency uses 40% in burden hour and cost equations to reflect that 60% of the establishments are already in compliance with State law.  </w:t>
      </w:r>
    </w:p>
  </w:footnote>
  <w:footnote w:id="9">
    <w:p w14:paraId="3CCC403C" w14:textId="77777777" w:rsidR="005F0CFD" w:rsidRDefault="005F0CFD">
      <w:pPr>
        <w:pStyle w:val="FootnoteText"/>
      </w:pPr>
      <w:r>
        <w:t xml:space="preserve">     </w:t>
      </w:r>
      <w:r>
        <w:rPr>
          <w:rStyle w:val="FootnoteReference"/>
        </w:rPr>
        <w:footnoteRef/>
      </w:r>
      <w:r>
        <w:t xml:space="preserve"> Source: </w:t>
      </w:r>
      <w:hyperlink r:id="rId1" w:history="1">
        <w:r w:rsidRPr="0083271A">
          <w:rPr>
            <w:rStyle w:val="Hyperlink"/>
          </w:rPr>
          <w:t>https://www.bls.gov/news.release/pdf/ecec.pdf</w:t>
        </w:r>
      </w:hyperlink>
      <w:r>
        <w:t xml:space="preserve"> (accessed on _May1, 2020).</w:t>
      </w:r>
    </w:p>
  </w:footnote>
  <w:footnote w:id="10">
    <w:p w14:paraId="02C90249" w14:textId="77777777" w:rsidR="005F0CFD" w:rsidRDefault="005F0CFD" w:rsidP="00A756E1">
      <w:pPr>
        <w:pStyle w:val="FootnoteText"/>
      </w:pPr>
      <w:r>
        <w:t xml:space="preserve">     </w:t>
      </w:r>
      <w:r>
        <w:rPr>
          <w:rStyle w:val="FootnoteReference"/>
        </w:rPr>
        <w:footnoteRef/>
      </w:r>
      <w:r>
        <w:t xml:space="preserve"> This mean hourly wage rate ($54.51) corresponds to SOC code 11-3051, “Industrial Production Managers.” (Source: </w:t>
      </w:r>
      <w:r>
        <w:rPr>
          <w:i/>
          <w:iCs/>
        </w:rPr>
        <w:t>May 2018 National Occupational Employment and Wage Estimates, United States,</w:t>
      </w:r>
      <w:r>
        <w:t xml:space="preserve"> U.S. Department of Labor, Bureau of Labor Statistics.)  </w:t>
      </w:r>
      <w:hyperlink r:id="rId2" w:history="1">
        <w:r w:rsidRPr="0083271A">
          <w:rPr>
            <w:rStyle w:val="Hyperlink"/>
          </w:rPr>
          <w:t>http://www.bls.gov/oes/tables.htm</w:t>
        </w:r>
      </w:hyperlink>
      <w:r>
        <w:t xml:space="preserve"> (accessed on May 1, 2020).</w:t>
      </w:r>
    </w:p>
  </w:footnote>
  <w:footnote w:id="11">
    <w:p w14:paraId="74695EBE" w14:textId="77777777" w:rsidR="005F0CFD" w:rsidRDefault="005F0CFD" w:rsidP="00A756E1">
      <w:pPr>
        <w:pStyle w:val="FootnoteText"/>
      </w:pPr>
      <w:r>
        <w:t xml:space="preserve">     </w:t>
      </w:r>
      <w:r>
        <w:rPr>
          <w:rStyle w:val="FootnoteReference"/>
        </w:rPr>
        <w:footnoteRef/>
      </w:r>
      <w:r>
        <w:t xml:space="preserve"> This mean hourly wage rate ($37.85) corresponds to SOC code 13-1081, “Logisticians.” (Source: </w:t>
      </w:r>
      <w:r>
        <w:rPr>
          <w:i/>
          <w:iCs/>
        </w:rPr>
        <w:t>May 2018 National Occupational Employment and Wage Estimates, United States,</w:t>
      </w:r>
      <w:r>
        <w:t xml:space="preserve"> U.S. Department of Labor, Bureau of Labor Statistics.)  </w:t>
      </w:r>
      <w:r w:rsidRPr="00364A27">
        <w:t>http://www.bls.gov/oes/tables.htm</w:t>
      </w:r>
      <w:r>
        <w:t xml:space="preserve"> (accessed on May 1, 2020).</w:t>
      </w:r>
    </w:p>
  </w:footnote>
  <w:footnote w:id="12">
    <w:p w14:paraId="09649005" w14:textId="77777777" w:rsidR="005F0CFD" w:rsidRDefault="005F0CFD" w:rsidP="00D727B2">
      <w:pPr>
        <w:pStyle w:val="FootnoteText"/>
      </w:pPr>
      <w:r>
        <w:t xml:space="preserve">     </w:t>
      </w:r>
      <w:r>
        <w:rPr>
          <w:rStyle w:val="FootnoteReference"/>
        </w:rPr>
        <w:footnoteRef/>
      </w:r>
      <w:r>
        <w:t xml:space="preserve"> This mean hourly wage rate ($18.28) corresponds to SOC code 43-6014, “Secretaries and Administrative Assistants, except Legal, Medical, and Executive.” (Source: </w:t>
      </w:r>
      <w:r>
        <w:rPr>
          <w:i/>
          <w:iCs/>
        </w:rPr>
        <w:t>May 2018 National Occupational Employment and Wage Estimates, United States,</w:t>
      </w:r>
      <w:r>
        <w:t xml:space="preserve"> U.S. Department of Labor, Bureau of Labor Statistics.) </w:t>
      </w:r>
      <w:hyperlink r:id="rId3" w:history="1">
        <w:r w:rsidRPr="0083271A">
          <w:rPr>
            <w:rStyle w:val="Hyperlink"/>
          </w:rPr>
          <w:t>http://www.bls.gov/oes/tables.htm</w:t>
        </w:r>
      </w:hyperlink>
      <w:r>
        <w:t xml:space="preserve"> (accessed on May 1, 2020).</w:t>
      </w:r>
    </w:p>
  </w:footnote>
  <w:footnote w:id="13">
    <w:p w14:paraId="71F5D712" w14:textId="77777777" w:rsidR="005F0CFD" w:rsidRDefault="005F0CFD" w:rsidP="00E9218A">
      <w:pPr>
        <w:pStyle w:val="FootnoteText"/>
      </w:pPr>
      <w:r>
        <w:t xml:space="preserve">     </w:t>
      </w:r>
      <w:r>
        <w:rPr>
          <w:rStyle w:val="FootnoteReference"/>
        </w:rPr>
        <w:footnoteRef/>
      </w:r>
      <w:r>
        <w:t xml:space="preserve"> Estimate of </w:t>
      </w:r>
      <w:r>
        <w:rPr>
          <w:bCs/>
        </w:rPr>
        <w:t>120,942,696</w:t>
      </w:r>
      <w:r>
        <w:t xml:space="preserve"> total workers.  </w:t>
      </w:r>
    </w:p>
  </w:footnote>
  <w:footnote w:id="14">
    <w:p w14:paraId="7F48C3C6" w14:textId="77777777" w:rsidR="005F0CFD" w:rsidRDefault="005F0CFD">
      <w:pPr>
        <w:pStyle w:val="FootnoteText"/>
      </w:pPr>
      <w:r>
        <w:t xml:space="preserve">     </w:t>
      </w:r>
      <w:r>
        <w:rPr>
          <w:rStyle w:val="FootnoteReference"/>
        </w:rPr>
        <w:footnoteRef/>
      </w:r>
      <w:r>
        <w:t xml:space="preserve"> Existing manufacturers receive a total of 55,584 SDSs (31,582 affected establishments x 1.76 new/revised SDSs). </w:t>
      </w:r>
    </w:p>
  </w:footnote>
  <w:footnote w:id="15">
    <w:p w14:paraId="258B750C" w14:textId="77777777" w:rsidR="005F0CFD" w:rsidRDefault="005F0CFD">
      <w:pPr>
        <w:pStyle w:val="FootnoteText"/>
      </w:pPr>
      <w:r>
        <w:t xml:space="preserve">     </w:t>
      </w:r>
      <w:r>
        <w:rPr>
          <w:rStyle w:val="FootnoteReference"/>
        </w:rPr>
        <w:footnoteRef/>
      </w:r>
      <w:r>
        <w:t xml:space="preserve"> Existing non-manufacturers receive a total of 2,067,223 SDSs (1,722,686 affected establishments x 1.2 new/revised SDSs).</w:t>
      </w:r>
    </w:p>
  </w:footnote>
  <w:footnote w:id="16">
    <w:p w14:paraId="72161969" w14:textId="77777777" w:rsidR="005F0CFD" w:rsidRDefault="005F0CFD">
      <w:pPr>
        <w:pStyle w:val="FootnoteText"/>
      </w:pPr>
      <w:r>
        <w:t xml:space="preserve">     </w:t>
      </w:r>
      <w:r>
        <w:rPr>
          <w:rStyle w:val="FootnoteReference"/>
        </w:rPr>
        <w:footnoteRef/>
      </w:r>
      <w:r>
        <w:t xml:space="preserve"> New manufacturers receive a total of 58,212 SDSs (2,450 establishments x 23.76 SDSs) and new non-manufacturing   receive a total of 4,059,850 SDSs (250,608 establishments x 16.2 SDSs).</w:t>
      </w:r>
    </w:p>
  </w:footnote>
  <w:footnote w:id="17">
    <w:p w14:paraId="54D9B8FF" w14:textId="6F1B428B" w:rsidR="005F0CFD" w:rsidRDefault="005F0CFD" w:rsidP="008D055F">
      <w:pPr>
        <w:pStyle w:val="FootnoteText"/>
      </w:pPr>
      <w:r>
        <w:t xml:space="preserve">     </w:t>
      </w:r>
      <w:r>
        <w:rPr>
          <w:rStyle w:val="FootnoteReference"/>
        </w:rPr>
        <w:footnoteRef/>
      </w:r>
      <w:r>
        <w:t xml:space="preserve"> Existing manufacturers receive a total of 15,791 SDSs (31,582 establishments x .5 SDSs) and new non-manufacturing  receive a total of 861,343 SDSs (1,722,686 establishments x .5 SDSs).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B47A" w14:textId="00130A8C" w:rsidR="005F0CFD" w:rsidRPr="00B141DE" w:rsidRDefault="005F0CFD" w:rsidP="00B141DE">
    <w:pPr>
      <w:pStyle w:val="Header"/>
      <w:rPr>
        <w:b/>
        <w:sz w:val="24"/>
        <w:szCs w:val="24"/>
      </w:rPr>
    </w:pPr>
    <w:r w:rsidRPr="00B141DE">
      <w:rPr>
        <w:b/>
        <w:color w:val="000000"/>
        <w:sz w:val="24"/>
        <w:szCs w:val="24"/>
      </w:rPr>
      <w:t>HAZARD COMMUNICATION STANDARD</w:t>
    </w:r>
    <w:r w:rsidRPr="00B141DE">
      <w:rPr>
        <w:b/>
        <w:sz w:val="24"/>
        <w:szCs w:val="24"/>
      </w:rPr>
      <w:t xml:space="preserve"> </w:t>
    </w:r>
  </w:p>
  <w:p w14:paraId="76683563" w14:textId="098CE229" w:rsidR="005F0CFD" w:rsidRPr="00B141DE" w:rsidRDefault="005F0CFD" w:rsidP="00252B13">
    <w:pPr>
      <w:rPr>
        <w:b/>
        <w:bCs/>
        <w:color w:val="000000"/>
        <w:sz w:val="24"/>
        <w:szCs w:val="24"/>
      </w:rPr>
    </w:pPr>
    <w:r w:rsidRPr="00B141DE">
      <w:rPr>
        <w:b/>
        <w:bCs/>
        <w:color w:val="000000"/>
        <w:sz w:val="24"/>
        <w:szCs w:val="24"/>
      </w:rPr>
      <w:t>1218-0072</w:t>
    </w:r>
  </w:p>
  <w:p w14:paraId="7CCD045A" w14:textId="7BF77220" w:rsidR="005F0CFD" w:rsidRPr="00B141DE" w:rsidRDefault="005F0CFD" w:rsidP="00252B13">
    <w:pPr>
      <w:rPr>
        <w:b/>
        <w:bCs/>
        <w:color w:val="000000"/>
        <w:sz w:val="24"/>
        <w:szCs w:val="24"/>
      </w:rPr>
    </w:pPr>
    <w:r w:rsidRPr="00B141DE">
      <w:rPr>
        <w:b/>
        <w:bCs/>
        <w:color w:val="000000"/>
        <w:sz w:val="24"/>
        <w:szCs w:val="24"/>
      </w:rPr>
      <w:t xml:space="preserve">October </w:t>
    </w:r>
    <w:r>
      <w:rPr>
        <w:b/>
        <w:bCs/>
        <w:color w:val="000000"/>
        <w:sz w:val="24"/>
        <w:szCs w:val="24"/>
      </w:rPr>
      <w:t xml:space="preserve">31, </w:t>
    </w:r>
    <w:r w:rsidRPr="00B141DE">
      <w:rPr>
        <w:b/>
        <w:bCs/>
        <w:color w:val="000000"/>
        <w:sz w:val="24"/>
        <w:szCs w:val="24"/>
      </w:rPr>
      <w:t>2020</w:t>
    </w:r>
  </w:p>
  <w:p w14:paraId="16D50DCE" w14:textId="77777777" w:rsidR="005F0CFD" w:rsidRDefault="005F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3C6D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70A7D"/>
    <w:multiLevelType w:val="hybridMultilevel"/>
    <w:tmpl w:val="368A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BE1"/>
    <w:multiLevelType w:val="hybridMultilevel"/>
    <w:tmpl w:val="9088144A"/>
    <w:lvl w:ilvl="0" w:tplc="368857C4">
      <w:start w:val="1"/>
      <w:numFmt w:val="upp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622AE"/>
    <w:multiLevelType w:val="multilevel"/>
    <w:tmpl w:val="62A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B6ABB"/>
    <w:multiLevelType w:val="hybridMultilevel"/>
    <w:tmpl w:val="1F9862C8"/>
    <w:lvl w:ilvl="0" w:tplc="5C6878A0">
      <w:start w:val="2"/>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E61F1F"/>
    <w:multiLevelType w:val="hybridMultilevel"/>
    <w:tmpl w:val="4CB0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F3194F"/>
    <w:multiLevelType w:val="multilevel"/>
    <w:tmpl w:val="465A69F4"/>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A07A9"/>
    <w:multiLevelType w:val="hybridMultilevel"/>
    <w:tmpl w:val="09984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8D633F"/>
    <w:multiLevelType w:val="hybridMultilevel"/>
    <w:tmpl w:val="7A2A27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0"/>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11"/>
    <w:rsid w:val="00000BD7"/>
    <w:rsid w:val="00001CE2"/>
    <w:rsid w:val="00001FEF"/>
    <w:rsid w:val="000054AB"/>
    <w:rsid w:val="00006F7A"/>
    <w:rsid w:val="000077CE"/>
    <w:rsid w:val="00007881"/>
    <w:rsid w:val="00010ED1"/>
    <w:rsid w:val="0001208B"/>
    <w:rsid w:val="0001403F"/>
    <w:rsid w:val="00014EB1"/>
    <w:rsid w:val="00017D09"/>
    <w:rsid w:val="00023A08"/>
    <w:rsid w:val="00026146"/>
    <w:rsid w:val="00027616"/>
    <w:rsid w:val="00027A90"/>
    <w:rsid w:val="00033E1D"/>
    <w:rsid w:val="00035C91"/>
    <w:rsid w:val="00036EAC"/>
    <w:rsid w:val="00043EDB"/>
    <w:rsid w:val="000476F2"/>
    <w:rsid w:val="00047891"/>
    <w:rsid w:val="00051549"/>
    <w:rsid w:val="00051E5E"/>
    <w:rsid w:val="00053035"/>
    <w:rsid w:val="000550F8"/>
    <w:rsid w:val="0005529A"/>
    <w:rsid w:val="0006027D"/>
    <w:rsid w:val="000633CD"/>
    <w:rsid w:val="00064754"/>
    <w:rsid w:val="00064C1A"/>
    <w:rsid w:val="00065723"/>
    <w:rsid w:val="00067478"/>
    <w:rsid w:val="000710C7"/>
    <w:rsid w:val="000714C4"/>
    <w:rsid w:val="00072E23"/>
    <w:rsid w:val="00074B3F"/>
    <w:rsid w:val="00085607"/>
    <w:rsid w:val="00085D6A"/>
    <w:rsid w:val="00087BD0"/>
    <w:rsid w:val="00091169"/>
    <w:rsid w:val="000923C5"/>
    <w:rsid w:val="0009340A"/>
    <w:rsid w:val="0009509A"/>
    <w:rsid w:val="000970C9"/>
    <w:rsid w:val="000A1263"/>
    <w:rsid w:val="000A186E"/>
    <w:rsid w:val="000A3E4B"/>
    <w:rsid w:val="000A3E73"/>
    <w:rsid w:val="000A4AE3"/>
    <w:rsid w:val="000A4C1F"/>
    <w:rsid w:val="000A61A1"/>
    <w:rsid w:val="000A6C27"/>
    <w:rsid w:val="000B5D4F"/>
    <w:rsid w:val="000B6B8B"/>
    <w:rsid w:val="000B74A7"/>
    <w:rsid w:val="000C2916"/>
    <w:rsid w:val="000C2CFC"/>
    <w:rsid w:val="000D0FB0"/>
    <w:rsid w:val="000D26A0"/>
    <w:rsid w:val="000D3563"/>
    <w:rsid w:val="000D4598"/>
    <w:rsid w:val="000D561C"/>
    <w:rsid w:val="000D5980"/>
    <w:rsid w:val="000D7ACE"/>
    <w:rsid w:val="000E28B2"/>
    <w:rsid w:val="000E40C1"/>
    <w:rsid w:val="000E45F3"/>
    <w:rsid w:val="000E7491"/>
    <w:rsid w:val="000F187B"/>
    <w:rsid w:val="000F20C3"/>
    <w:rsid w:val="000F2413"/>
    <w:rsid w:val="000F30D0"/>
    <w:rsid w:val="000F6B7D"/>
    <w:rsid w:val="00102D9A"/>
    <w:rsid w:val="00103D7B"/>
    <w:rsid w:val="00106D89"/>
    <w:rsid w:val="00107AA3"/>
    <w:rsid w:val="001109FF"/>
    <w:rsid w:val="00113FFB"/>
    <w:rsid w:val="0011689E"/>
    <w:rsid w:val="00116ADD"/>
    <w:rsid w:val="00117CD7"/>
    <w:rsid w:val="00122BE8"/>
    <w:rsid w:val="00123BA6"/>
    <w:rsid w:val="00124085"/>
    <w:rsid w:val="0012496E"/>
    <w:rsid w:val="00126CEA"/>
    <w:rsid w:val="00126E47"/>
    <w:rsid w:val="0012721A"/>
    <w:rsid w:val="00130804"/>
    <w:rsid w:val="00134FDA"/>
    <w:rsid w:val="00136259"/>
    <w:rsid w:val="0014134F"/>
    <w:rsid w:val="00147BBD"/>
    <w:rsid w:val="00150D7E"/>
    <w:rsid w:val="001512F4"/>
    <w:rsid w:val="0015393E"/>
    <w:rsid w:val="00153C4F"/>
    <w:rsid w:val="001545C4"/>
    <w:rsid w:val="00165A74"/>
    <w:rsid w:val="00167354"/>
    <w:rsid w:val="00176FFB"/>
    <w:rsid w:val="00177BA1"/>
    <w:rsid w:val="00183434"/>
    <w:rsid w:val="0018533D"/>
    <w:rsid w:val="001878EC"/>
    <w:rsid w:val="00187C87"/>
    <w:rsid w:val="00187E8E"/>
    <w:rsid w:val="001900B4"/>
    <w:rsid w:val="00191CEE"/>
    <w:rsid w:val="001923C5"/>
    <w:rsid w:val="00193D27"/>
    <w:rsid w:val="0019416E"/>
    <w:rsid w:val="00195EA7"/>
    <w:rsid w:val="00196BBA"/>
    <w:rsid w:val="0019757B"/>
    <w:rsid w:val="001A07EB"/>
    <w:rsid w:val="001A0DB4"/>
    <w:rsid w:val="001A21AA"/>
    <w:rsid w:val="001A5591"/>
    <w:rsid w:val="001A743A"/>
    <w:rsid w:val="001B36B2"/>
    <w:rsid w:val="001B3AB3"/>
    <w:rsid w:val="001B4831"/>
    <w:rsid w:val="001B508D"/>
    <w:rsid w:val="001B50B1"/>
    <w:rsid w:val="001B7550"/>
    <w:rsid w:val="001C252B"/>
    <w:rsid w:val="001C313E"/>
    <w:rsid w:val="001C3615"/>
    <w:rsid w:val="001C63EC"/>
    <w:rsid w:val="001C6EE5"/>
    <w:rsid w:val="001D16BC"/>
    <w:rsid w:val="001D31AF"/>
    <w:rsid w:val="001F1B51"/>
    <w:rsid w:val="001F2F63"/>
    <w:rsid w:val="001F5ACB"/>
    <w:rsid w:val="00210284"/>
    <w:rsid w:val="0021053C"/>
    <w:rsid w:val="00213530"/>
    <w:rsid w:val="0021673B"/>
    <w:rsid w:val="00217542"/>
    <w:rsid w:val="002214BD"/>
    <w:rsid w:val="00221BAE"/>
    <w:rsid w:val="00222C92"/>
    <w:rsid w:val="00223B17"/>
    <w:rsid w:val="002253D5"/>
    <w:rsid w:val="00226CCA"/>
    <w:rsid w:val="00227062"/>
    <w:rsid w:val="002349AD"/>
    <w:rsid w:val="00236C1B"/>
    <w:rsid w:val="0024104A"/>
    <w:rsid w:val="00244B6A"/>
    <w:rsid w:val="002471FF"/>
    <w:rsid w:val="00252B13"/>
    <w:rsid w:val="0025445D"/>
    <w:rsid w:val="002553D4"/>
    <w:rsid w:val="00256411"/>
    <w:rsid w:val="002567E2"/>
    <w:rsid w:val="00256E71"/>
    <w:rsid w:val="00257C14"/>
    <w:rsid w:val="00260DFC"/>
    <w:rsid w:val="00260F89"/>
    <w:rsid w:val="0027122F"/>
    <w:rsid w:val="002718BD"/>
    <w:rsid w:val="00273D4D"/>
    <w:rsid w:val="002740CF"/>
    <w:rsid w:val="002749AB"/>
    <w:rsid w:val="00277F05"/>
    <w:rsid w:val="0028072E"/>
    <w:rsid w:val="00280B11"/>
    <w:rsid w:val="00280BA0"/>
    <w:rsid w:val="00283768"/>
    <w:rsid w:val="00283B61"/>
    <w:rsid w:val="0028497F"/>
    <w:rsid w:val="00286B1D"/>
    <w:rsid w:val="00287072"/>
    <w:rsid w:val="00287D85"/>
    <w:rsid w:val="00290BF1"/>
    <w:rsid w:val="00290D13"/>
    <w:rsid w:val="00295680"/>
    <w:rsid w:val="00296677"/>
    <w:rsid w:val="002A0AF4"/>
    <w:rsid w:val="002A119D"/>
    <w:rsid w:val="002A18D2"/>
    <w:rsid w:val="002A1E1D"/>
    <w:rsid w:val="002A24B4"/>
    <w:rsid w:val="002A77DD"/>
    <w:rsid w:val="002B2EE6"/>
    <w:rsid w:val="002B2EF7"/>
    <w:rsid w:val="002B4A1B"/>
    <w:rsid w:val="002B5664"/>
    <w:rsid w:val="002C0B15"/>
    <w:rsid w:val="002C3627"/>
    <w:rsid w:val="002C38CA"/>
    <w:rsid w:val="002C3F2F"/>
    <w:rsid w:val="002C7D1E"/>
    <w:rsid w:val="002D07A0"/>
    <w:rsid w:val="002D1D46"/>
    <w:rsid w:val="002D2779"/>
    <w:rsid w:val="002D5FD0"/>
    <w:rsid w:val="002E04C7"/>
    <w:rsid w:val="002E4CF2"/>
    <w:rsid w:val="002E6D9D"/>
    <w:rsid w:val="002F02F7"/>
    <w:rsid w:val="002F1256"/>
    <w:rsid w:val="002F1C1A"/>
    <w:rsid w:val="002F39B7"/>
    <w:rsid w:val="002F467B"/>
    <w:rsid w:val="00300781"/>
    <w:rsid w:val="00303E74"/>
    <w:rsid w:val="00304897"/>
    <w:rsid w:val="00307FE7"/>
    <w:rsid w:val="00316689"/>
    <w:rsid w:val="00316F83"/>
    <w:rsid w:val="003178DB"/>
    <w:rsid w:val="00325888"/>
    <w:rsid w:val="00325C28"/>
    <w:rsid w:val="00325C2B"/>
    <w:rsid w:val="00327942"/>
    <w:rsid w:val="00330700"/>
    <w:rsid w:val="00332BBD"/>
    <w:rsid w:val="003338BA"/>
    <w:rsid w:val="00334211"/>
    <w:rsid w:val="00334BF8"/>
    <w:rsid w:val="00337901"/>
    <w:rsid w:val="003417CC"/>
    <w:rsid w:val="00342E8F"/>
    <w:rsid w:val="00350C1A"/>
    <w:rsid w:val="003520F1"/>
    <w:rsid w:val="00353F97"/>
    <w:rsid w:val="00354B3B"/>
    <w:rsid w:val="00362855"/>
    <w:rsid w:val="00362E59"/>
    <w:rsid w:val="003636BC"/>
    <w:rsid w:val="0036388E"/>
    <w:rsid w:val="003648B8"/>
    <w:rsid w:val="00364A27"/>
    <w:rsid w:val="00365B95"/>
    <w:rsid w:val="00366270"/>
    <w:rsid w:val="003670AD"/>
    <w:rsid w:val="00367968"/>
    <w:rsid w:val="00372574"/>
    <w:rsid w:val="00373129"/>
    <w:rsid w:val="00373ABB"/>
    <w:rsid w:val="00375527"/>
    <w:rsid w:val="00376F94"/>
    <w:rsid w:val="003806AA"/>
    <w:rsid w:val="0038350F"/>
    <w:rsid w:val="003840EB"/>
    <w:rsid w:val="00386785"/>
    <w:rsid w:val="00391B33"/>
    <w:rsid w:val="00394F69"/>
    <w:rsid w:val="00395ACA"/>
    <w:rsid w:val="00397888"/>
    <w:rsid w:val="00397DF5"/>
    <w:rsid w:val="003A0150"/>
    <w:rsid w:val="003A3F95"/>
    <w:rsid w:val="003A6DA0"/>
    <w:rsid w:val="003A7A89"/>
    <w:rsid w:val="003B1682"/>
    <w:rsid w:val="003B345B"/>
    <w:rsid w:val="003B3EED"/>
    <w:rsid w:val="003B6C8A"/>
    <w:rsid w:val="003B7DA1"/>
    <w:rsid w:val="003C1B57"/>
    <w:rsid w:val="003C2ED3"/>
    <w:rsid w:val="003C6538"/>
    <w:rsid w:val="003C7025"/>
    <w:rsid w:val="003D087E"/>
    <w:rsid w:val="003D0E7F"/>
    <w:rsid w:val="003D0F21"/>
    <w:rsid w:val="003D436B"/>
    <w:rsid w:val="003D6B46"/>
    <w:rsid w:val="003E1123"/>
    <w:rsid w:val="003E62E7"/>
    <w:rsid w:val="003E65D4"/>
    <w:rsid w:val="003E73A8"/>
    <w:rsid w:val="003F0A08"/>
    <w:rsid w:val="003F290D"/>
    <w:rsid w:val="003F2F04"/>
    <w:rsid w:val="00400F01"/>
    <w:rsid w:val="00401AC9"/>
    <w:rsid w:val="00402355"/>
    <w:rsid w:val="00402DE9"/>
    <w:rsid w:val="00411CCD"/>
    <w:rsid w:val="0041296B"/>
    <w:rsid w:val="0041508C"/>
    <w:rsid w:val="00415C9B"/>
    <w:rsid w:val="00416539"/>
    <w:rsid w:val="00420B5D"/>
    <w:rsid w:val="0042120D"/>
    <w:rsid w:val="004221D0"/>
    <w:rsid w:val="0042270F"/>
    <w:rsid w:val="00423E63"/>
    <w:rsid w:val="00425000"/>
    <w:rsid w:val="00427943"/>
    <w:rsid w:val="00427E18"/>
    <w:rsid w:val="00431EB8"/>
    <w:rsid w:val="004328F1"/>
    <w:rsid w:val="0043387B"/>
    <w:rsid w:val="00434BBA"/>
    <w:rsid w:val="004358E8"/>
    <w:rsid w:val="00445223"/>
    <w:rsid w:val="00445EB0"/>
    <w:rsid w:val="00446564"/>
    <w:rsid w:val="00446F0E"/>
    <w:rsid w:val="00447023"/>
    <w:rsid w:val="00451659"/>
    <w:rsid w:val="00451ABD"/>
    <w:rsid w:val="004523C5"/>
    <w:rsid w:val="00456E90"/>
    <w:rsid w:val="004574D8"/>
    <w:rsid w:val="00460052"/>
    <w:rsid w:val="00463004"/>
    <w:rsid w:val="0046505B"/>
    <w:rsid w:val="00465EB5"/>
    <w:rsid w:val="00473AAC"/>
    <w:rsid w:val="00477383"/>
    <w:rsid w:val="004841AD"/>
    <w:rsid w:val="00485CA8"/>
    <w:rsid w:val="004927D2"/>
    <w:rsid w:val="0049311D"/>
    <w:rsid w:val="004941DE"/>
    <w:rsid w:val="0049473B"/>
    <w:rsid w:val="004968F2"/>
    <w:rsid w:val="004977B8"/>
    <w:rsid w:val="004A08B9"/>
    <w:rsid w:val="004A1C2B"/>
    <w:rsid w:val="004A1DAB"/>
    <w:rsid w:val="004A1F80"/>
    <w:rsid w:val="004A2467"/>
    <w:rsid w:val="004A2635"/>
    <w:rsid w:val="004A3075"/>
    <w:rsid w:val="004A3B61"/>
    <w:rsid w:val="004A4B92"/>
    <w:rsid w:val="004A6B61"/>
    <w:rsid w:val="004B06F4"/>
    <w:rsid w:val="004B2A00"/>
    <w:rsid w:val="004B49FA"/>
    <w:rsid w:val="004B5BB2"/>
    <w:rsid w:val="004B65C8"/>
    <w:rsid w:val="004B6CE6"/>
    <w:rsid w:val="004C1901"/>
    <w:rsid w:val="004C1937"/>
    <w:rsid w:val="004C24A4"/>
    <w:rsid w:val="004C514E"/>
    <w:rsid w:val="004C602B"/>
    <w:rsid w:val="004C6CA8"/>
    <w:rsid w:val="004C7C2F"/>
    <w:rsid w:val="004C7C73"/>
    <w:rsid w:val="004D322A"/>
    <w:rsid w:val="004D4971"/>
    <w:rsid w:val="004E0984"/>
    <w:rsid w:val="004E28C3"/>
    <w:rsid w:val="004F616B"/>
    <w:rsid w:val="00501EA1"/>
    <w:rsid w:val="00505134"/>
    <w:rsid w:val="00507F08"/>
    <w:rsid w:val="00511FB6"/>
    <w:rsid w:val="005164A2"/>
    <w:rsid w:val="0051656A"/>
    <w:rsid w:val="00516CF1"/>
    <w:rsid w:val="00521E7E"/>
    <w:rsid w:val="00522B65"/>
    <w:rsid w:val="00531DF9"/>
    <w:rsid w:val="0053597F"/>
    <w:rsid w:val="00542E51"/>
    <w:rsid w:val="00544090"/>
    <w:rsid w:val="00554C8A"/>
    <w:rsid w:val="005560A3"/>
    <w:rsid w:val="005600EF"/>
    <w:rsid w:val="00564917"/>
    <w:rsid w:val="0057078B"/>
    <w:rsid w:val="00571885"/>
    <w:rsid w:val="00573AFF"/>
    <w:rsid w:val="00573C4A"/>
    <w:rsid w:val="0057450D"/>
    <w:rsid w:val="005748C3"/>
    <w:rsid w:val="005768E7"/>
    <w:rsid w:val="00577AD5"/>
    <w:rsid w:val="00580EF1"/>
    <w:rsid w:val="00582EE1"/>
    <w:rsid w:val="0059208A"/>
    <w:rsid w:val="00592F82"/>
    <w:rsid w:val="00592FB4"/>
    <w:rsid w:val="00594C15"/>
    <w:rsid w:val="005972F5"/>
    <w:rsid w:val="005A0828"/>
    <w:rsid w:val="005A24C2"/>
    <w:rsid w:val="005A3FED"/>
    <w:rsid w:val="005A7F24"/>
    <w:rsid w:val="005B043B"/>
    <w:rsid w:val="005B0809"/>
    <w:rsid w:val="005B3608"/>
    <w:rsid w:val="005B5023"/>
    <w:rsid w:val="005B5D3A"/>
    <w:rsid w:val="005C0522"/>
    <w:rsid w:val="005C56E0"/>
    <w:rsid w:val="005D0814"/>
    <w:rsid w:val="005D1D88"/>
    <w:rsid w:val="005D2BFB"/>
    <w:rsid w:val="005D5850"/>
    <w:rsid w:val="005D6367"/>
    <w:rsid w:val="005D7150"/>
    <w:rsid w:val="005E1513"/>
    <w:rsid w:val="005E5366"/>
    <w:rsid w:val="005E656B"/>
    <w:rsid w:val="005F0CFD"/>
    <w:rsid w:val="005F77A9"/>
    <w:rsid w:val="00601BF2"/>
    <w:rsid w:val="0060204F"/>
    <w:rsid w:val="00603FDD"/>
    <w:rsid w:val="0060643B"/>
    <w:rsid w:val="00611F06"/>
    <w:rsid w:val="00615A58"/>
    <w:rsid w:val="0061789D"/>
    <w:rsid w:val="006234DF"/>
    <w:rsid w:val="006241BC"/>
    <w:rsid w:val="00624A24"/>
    <w:rsid w:val="00634044"/>
    <w:rsid w:val="006340D2"/>
    <w:rsid w:val="00635E47"/>
    <w:rsid w:val="00636E1B"/>
    <w:rsid w:val="0063729A"/>
    <w:rsid w:val="006378B8"/>
    <w:rsid w:val="006421B2"/>
    <w:rsid w:val="006421BC"/>
    <w:rsid w:val="006422AA"/>
    <w:rsid w:val="0064273E"/>
    <w:rsid w:val="00646D7E"/>
    <w:rsid w:val="00647491"/>
    <w:rsid w:val="006476DC"/>
    <w:rsid w:val="00647858"/>
    <w:rsid w:val="00647B40"/>
    <w:rsid w:val="00647DB8"/>
    <w:rsid w:val="00651673"/>
    <w:rsid w:val="00651D09"/>
    <w:rsid w:val="006524B6"/>
    <w:rsid w:val="006527AC"/>
    <w:rsid w:val="006546D8"/>
    <w:rsid w:val="00655715"/>
    <w:rsid w:val="00660007"/>
    <w:rsid w:val="006635C2"/>
    <w:rsid w:val="0066534A"/>
    <w:rsid w:val="0066647C"/>
    <w:rsid w:val="00667567"/>
    <w:rsid w:val="00672721"/>
    <w:rsid w:val="00675A99"/>
    <w:rsid w:val="006773C6"/>
    <w:rsid w:val="006777E9"/>
    <w:rsid w:val="00681F34"/>
    <w:rsid w:val="00682451"/>
    <w:rsid w:val="00682B31"/>
    <w:rsid w:val="00682C56"/>
    <w:rsid w:val="00683F3B"/>
    <w:rsid w:val="006863E1"/>
    <w:rsid w:val="0068668C"/>
    <w:rsid w:val="0069009E"/>
    <w:rsid w:val="006902C2"/>
    <w:rsid w:val="00692899"/>
    <w:rsid w:val="006947C2"/>
    <w:rsid w:val="006A0EAC"/>
    <w:rsid w:val="006A258B"/>
    <w:rsid w:val="006A38C8"/>
    <w:rsid w:val="006A4AE0"/>
    <w:rsid w:val="006B0E06"/>
    <w:rsid w:val="006B1648"/>
    <w:rsid w:val="006B1A7E"/>
    <w:rsid w:val="006B57C1"/>
    <w:rsid w:val="006C0C6F"/>
    <w:rsid w:val="006C259B"/>
    <w:rsid w:val="006C5277"/>
    <w:rsid w:val="006C6B8B"/>
    <w:rsid w:val="006C7363"/>
    <w:rsid w:val="006C7B46"/>
    <w:rsid w:val="006D0C19"/>
    <w:rsid w:val="006D3DAF"/>
    <w:rsid w:val="006D3E86"/>
    <w:rsid w:val="006D4A1E"/>
    <w:rsid w:val="006D51A5"/>
    <w:rsid w:val="006D57AB"/>
    <w:rsid w:val="006D73C3"/>
    <w:rsid w:val="006E28E7"/>
    <w:rsid w:val="006E42CB"/>
    <w:rsid w:val="006E6195"/>
    <w:rsid w:val="006F0BA2"/>
    <w:rsid w:val="006F282A"/>
    <w:rsid w:val="006F3110"/>
    <w:rsid w:val="006F424F"/>
    <w:rsid w:val="006F5296"/>
    <w:rsid w:val="0070406C"/>
    <w:rsid w:val="00706010"/>
    <w:rsid w:val="00706799"/>
    <w:rsid w:val="00714621"/>
    <w:rsid w:val="00714804"/>
    <w:rsid w:val="0071568B"/>
    <w:rsid w:val="007156F1"/>
    <w:rsid w:val="00721936"/>
    <w:rsid w:val="00723131"/>
    <w:rsid w:val="007250DA"/>
    <w:rsid w:val="00727073"/>
    <w:rsid w:val="007302C4"/>
    <w:rsid w:val="00733EAB"/>
    <w:rsid w:val="00734C05"/>
    <w:rsid w:val="00741ABF"/>
    <w:rsid w:val="007422F8"/>
    <w:rsid w:val="007423AA"/>
    <w:rsid w:val="00745AE8"/>
    <w:rsid w:val="00746F0C"/>
    <w:rsid w:val="00747F0E"/>
    <w:rsid w:val="007517F2"/>
    <w:rsid w:val="00751D82"/>
    <w:rsid w:val="00752146"/>
    <w:rsid w:val="007533F6"/>
    <w:rsid w:val="00754701"/>
    <w:rsid w:val="00760F17"/>
    <w:rsid w:val="00761407"/>
    <w:rsid w:val="0076145C"/>
    <w:rsid w:val="00764C4C"/>
    <w:rsid w:val="00765E6A"/>
    <w:rsid w:val="0077152C"/>
    <w:rsid w:val="00771BB8"/>
    <w:rsid w:val="0077245E"/>
    <w:rsid w:val="00776FCD"/>
    <w:rsid w:val="007801AB"/>
    <w:rsid w:val="00781124"/>
    <w:rsid w:val="00781D6E"/>
    <w:rsid w:val="00782813"/>
    <w:rsid w:val="00782A36"/>
    <w:rsid w:val="007849FF"/>
    <w:rsid w:val="00784EC5"/>
    <w:rsid w:val="00787921"/>
    <w:rsid w:val="00794E5F"/>
    <w:rsid w:val="00797BCA"/>
    <w:rsid w:val="007A002C"/>
    <w:rsid w:val="007A07CB"/>
    <w:rsid w:val="007A518F"/>
    <w:rsid w:val="007A56BC"/>
    <w:rsid w:val="007B0F04"/>
    <w:rsid w:val="007B47B0"/>
    <w:rsid w:val="007B7561"/>
    <w:rsid w:val="007B7BC6"/>
    <w:rsid w:val="007C255B"/>
    <w:rsid w:val="007D1C5D"/>
    <w:rsid w:val="007D493A"/>
    <w:rsid w:val="007D6F33"/>
    <w:rsid w:val="007E0663"/>
    <w:rsid w:val="007E1603"/>
    <w:rsid w:val="007E5641"/>
    <w:rsid w:val="007E5D34"/>
    <w:rsid w:val="007E6BF8"/>
    <w:rsid w:val="007E7BA2"/>
    <w:rsid w:val="007E7E5C"/>
    <w:rsid w:val="007F1206"/>
    <w:rsid w:val="007F1D95"/>
    <w:rsid w:val="007F5281"/>
    <w:rsid w:val="007F6CAE"/>
    <w:rsid w:val="007F76CF"/>
    <w:rsid w:val="008047FB"/>
    <w:rsid w:val="00804F23"/>
    <w:rsid w:val="0080666A"/>
    <w:rsid w:val="008066F3"/>
    <w:rsid w:val="00806E5F"/>
    <w:rsid w:val="008100B3"/>
    <w:rsid w:val="0081042C"/>
    <w:rsid w:val="0081119B"/>
    <w:rsid w:val="00812176"/>
    <w:rsid w:val="00821A19"/>
    <w:rsid w:val="008220EA"/>
    <w:rsid w:val="00822E5D"/>
    <w:rsid w:val="00824ABE"/>
    <w:rsid w:val="00826DF7"/>
    <w:rsid w:val="008309FB"/>
    <w:rsid w:val="00830B77"/>
    <w:rsid w:val="00830C21"/>
    <w:rsid w:val="00830F71"/>
    <w:rsid w:val="00831DF5"/>
    <w:rsid w:val="00832C02"/>
    <w:rsid w:val="00834894"/>
    <w:rsid w:val="0083692A"/>
    <w:rsid w:val="00840930"/>
    <w:rsid w:val="00851A0D"/>
    <w:rsid w:val="0085256B"/>
    <w:rsid w:val="00853143"/>
    <w:rsid w:val="0085329A"/>
    <w:rsid w:val="0085395B"/>
    <w:rsid w:val="00853FE3"/>
    <w:rsid w:val="00854661"/>
    <w:rsid w:val="00854A4F"/>
    <w:rsid w:val="0086068B"/>
    <w:rsid w:val="00861D67"/>
    <w:rsid w:val="00865904"/>
    <w:rsid w:val="00865EAF"/>
    <w:rsid w:val="00866620"/>
    <w:rsid w:val="0086737F"/>
    <w:rsid w:val="00876AE4"/>
    <w:rsid w:val="00880D8E"/>
    <w:rsid w:val="0088494D"/>
    <w:rsid w:val="00887424"/>
    <w:rsid w:val="008925F4"/>
    <w:rsid w:val="00893373"/>
    <w:rsid w:val="00896437"/>
    <w:rsid w:val="00896738"/>
    <w:rsid w:val="0089731A"/>
    <w:rsid w:val="008A2D9C"/>
    <w:rsid w:val="008A382B"/>
    <w:rsid w:val="008A3EFF"/>
    <w:rsid w:val="008A532B"/>
    <w:rsid w:val="008B1382"/>
    <w:rsid w:val="008B2C1E"/>
    <w:rsid w:val="008B3DDC"/>
    <w:rsid w:val="008B5743"/>
    <w:rsid w:val="008C0D38"/>
    <w:rsid w:val="008D055F"/>
    <w:rsid w:val="008D478C"/>
    <w:rsid w:val="008D4935"/>
    <w:rsid w:val="008D67CD"/>
    <w:rsid w:val="008E1BAA"/>
    <w:rsid w:val="008E1C72"/>
    <w:rsid w:val="008E4282"/>
    <w:rsid w:val="008E44DF"/>
    <w:rsid w:val="008E4F4A"/>
    <w:rsid w:val="008E7C28"/>
    <w:rsid w:val="008F15B4"/>
    <w:rsid w:val="008F2612"/>
    <w:rsid w:val="008F7220"/>
    <w:rsid w:val="009004D3"/>
    <w:rsid w:val="00900C88"/>
    <w:rsid w:val="00914A41"/>
    <w:rsid w:val="00916F32"/>
    <w:rsid w:val="009251B1"/>
    <w:rsid w:val="00926A01"/>
    <w:rsid w:val="00926C97"/>
    <w:rsid w:val="00927871"/>
    <w:rsid w:val="00931208"/>
    <w:rsid w:val="00933BFC"/>
    <w:rsid w:val="009370A3"/>
    <w:rsid w:val="009403CD"/>
    <w:rsid w:val="009415F8"/>
    <w:rsid w:val="0094268E"/>
    <w:rsid w:val="00942AE9"/>
    <w:rsid w:val="00942DA1"/>
    <w:rsid w:val="00945B11"/>
    <w:rsid w:val="0094766F"/>
    <w:rsid w:val="00947CCE"/>
    <w:rsid w:val="00954797"/>
    <w:rsid w:val="0095547C"/>
    <w:rsid w:val="00957BC2"/>
    <w:rsid w:val="00962FB4"/>
    <w:rsid w:val="00963639"/>
    <w:rsid w:val="00965720"/>
    <w:rsid w:val="00967C74"/>
    <w:rsid w:val="0097113B"/>
    <w:rsid w:val="0097294E"/>
    <w:rsid w:val="00974F67"/>
    <w:rsid w:val="0097566F"/>
    <w:rsid w:val="0097611C"/>
    <w:rsid w:val="00977E34"/>
    <w:rsid w:val="00982C2A"/>
    <w:rsid w:val="0098303E"/>
    <w:rsid w:val="00983190"/>
    <w:rsid w:val="00986086"/>
    <w:rsid w:val="0098641A"/>
    <w:rsid w:val="00987904"/>
    <w:rsid w:val="00990842"/>
    <w:rsid w:val="0099269D"/>
    <w:rsid w:val="009949CF"/>
    <w:rsid w:val="009965D1"/>
    <w:rsid w:val="009A05D8"/>
    <w:rsid w:val="009A0ED1"/>
    <w:rsid w:val="009A2294"/>
    <w:rsid w:val="009A4E73"/>
    <w:rsid w:val="009A6968"/>
    <w:rsid w:val="009A7691"/>
    <w:rsid w:val="009B00FD"/>
    <w:rsid w:val="009B4116"/>
    <w:rsid w:val="009B486A"/>
    <w:rsid w:val="009B51D1"/>
    <w:rsid w:val="009B577B"/>
    <w:rsid w:val="009B6100"/>
    <w:rsid w:val="009C4149"/>
    <w:rsid w:val="009C773B"/>
    <w:rsid w:val="009D1128"/>
    <w:rsid w:val="009D18C2"/>
    <w:rsid w:val="009D3134"/>
    <w:rsid w:val="009D4C9E"/>
    <w:rsid w:val="009E24D9"/>
    <w:rsid w:val="009E4671"/>
    <w:rsid w:val="009E6FDF"/>
    <w:rsid w:val="009F59B7"/>
    <w:rsid w:val="009F5A9B"/>
    <w:rsid w:val="009F6AEF"/>
    <w:rsid w:val="009F739B"/>
    <w:rsid w:val="00A04A10"/>
    <w:rsid w:val="00A0578C"/>
    <w:rsid w:val="00A100C9"/>
    <w:rsid w:val="00A109ED"/>
    <w:rsid w:val="00A13429"/>
    <w:rsid w:val="00A17A53"/>
    <w:rsid w:val="00A239C2"/>
    <w:rsid w:val="00A249B9"/>
    <w:rsid w:val="00A25B29"/>
    <w:rsid w:val="00A3378F"/>
    <w:rsid w:val="00A357EA"/>
    <w:rsid w:val="00A3588F"/>
    <w:rsid w:val="00A35B50"/>
    <w:rsid w:val="00A40148"/>
    <w:rsid w:val="00A419EC"/>
    <w:rsid w:val="00A42143"/>
    <w:rsid w:val="00A46519"/>
    <w:rsid w:val="00A47D18"/>
    <w:rsid w:val="00A5305A"/>
    <w:rsid w:val="00A53728"/>
    <w:rsid w:val="00A53BB8"/>
    <w:rsid w:val="00A5595F"/>
    <w:rsid w:val="00A62277"/>
    <w:rsid w:val="00A64B05"/>
    <w:rsid w:val="00A64D32"/>
    <w:rsid w:val="00A652CB"/>
    <w:rsid w:val="00A677D1"/>
    <w:rsid w:val="00A67932"/>
    <w:rsid w:val="00A71FC7"/>
    <w:rsid w:val="00A730F5"/>
    <w:rsid w:val="00A756E1"/>
    <w:rsid w:val="00A828A2"/>
    <w:rsid w:val="00A83371"/>
    <w:rsid w:val="00A91641"/>
    <w:rsid w:val="00A91D69"/>
    <w:rsid w:val="00A92CCF"/>
    <w:rsid w:val="00A932B7"/>
    <w:rsid w:val="00A96AA7"/>
    <w:rsid w:val="00A96E0C"/>
    <w:rsid w:val="00AA0657"/>
    <w:rsid w:val="00AA0D74"/>
    <w:rsid w:val="00AA4489"/>
    <w:rsid w:val="00AA4DC6"/>
    <w:rsid w:val="00AA70E4"/>
    <w:rsid w:val="00AA7B9E"/>
    <w:rsid w:val="00AB0152"/>
    <w:rsid w:val="00AB0B90"/>
    <w:rsid w:val="00AB2D02"/>
    <w:rsid w:val="00AB3F17"/>
    <w:rsid w:val="00AB5296"/>
    <w:rsid w:val="00AB63F5"/>
    <w:rsid w:val="00AB66FE"/>
    <w:rsid w:val="00AB7F34"/>
    <w:rsid w:val="00AC1604"/>
    <w:rsid w:val="00AC3C0E"/>
    <w:rsid w:val="00AC4CA8"/>
    <w:rsid w:val="00AC6765"/>
    <w:rsid w:val="00AC6E9D"/>
    <w:rsid w:val="00AC74EA"/>
    <w:rsid w:val="00AC7FE7"/>
    <w:rsid w:val="00AD1097"/>
    <w:rsid w:val="00AD16A9"/>
    <w:rsid w:val="00AD1E40"/>
    <w:rsid w:val="00AD2CB0"/>
    <w:rsid w:val="00AD43B1"/>
    <w:rsid w:val="00AD4B71"/>
    <w:rsid w:val="00AD58DB"/>
    <w:rsid w:val="00AE217F"/>
    <w:rsid w:val="00AE312F"/>
    <w:rsid w:val="00AE3843"/>
    <w:rsid w:val="00AE7667"/>
    <w:rsid w:val="00AF1B28"/>
    <w:rsid w:val="00AF2CF8"/>
    <w:rsid w:val="00AF345F"/>
    <w:rsid w:val="00AF6402"/>
    <w:rsid w:val="00B02175"/>
    <w:rsid w:val="00B0303C"/>
    <w:rsid w:val="00B0478C"/>
    <w:rsid w:val="00B05269"/>
    <w:rsid w:val="00B10A0E"/>
    <w:rsid w:val="00B11862"/>
    <w:rsid w:val="00B12DAD"/>
    <w:rsid w:val="00B141DE"/>
    <w:rsid w:val="00B162AD"/>
    <w:rsid w:val="00B20824"/>
    <w:rsid w:val="00B238EE"/>
    <w:rsid w:val="00B25178"/>
    <w:rsid w:val="00B25F34"/>
    <w:rsid w:val="00B321B1"/>
    <w:rsid w:val="00B33433"/>
    <w:rsid w:val="00B347CC"/>
    <w:rsid w:val="00B35181"/>
    <w:rsid w:val="00B351E0"/>
    <w:rsid w:val="00B35D0D"/>
    <w:rsid w:val="00B37E30"/>
    <w:rsid w:val="00B37F34"/>
    <w:rsid w:val="00B40803"/>
    <w:rsid w:val="00B41E99"/>
    <w:rsid w:val="00B41F09"/>
    <w:rsid w:val="00B433C1"/>
    <w:rsid w:val="00B4342C"/>
    <w:rsid w:val="00B477DB"/>
    <w:rsid w:val="00B47902"/>
    <w:rsid w:val="00B5647F"/>
    <w:rsid w:val="00B64803"/>
    <w:rsid w:val="00B7028D"/>
    <w:rsid w:val="00B72720"/>
    <w:rsid w:val="00B72DAD"/>
    <w:rsid w:val="00B75515"/>
    <w:rsid w:val="00B7599B"/>
    <w:rsid w:val="00B75EEB"/>
    <w:rsid w:val="00B76D04"/>
    <w:rsid w:val="00B778CE"/>
    <w:rsid w:val="00B80FB9"/>
    <w:rsid w:val="00B81D6A"/>
    <w:rsid w:val="00B82897"/>
    <w:rsid w:val="00B840A6"/>
    <w:rsid w:val="00B84757"/>
    <w:rsid w:val="00B8579E"/>
    <w:rsid w:val="00B90322"/>
    <w:rsid w:val="00B906C3"/>
    <w:rsid w:val="00B92092"/>
    <w:rsid w:val="00B92E98"/>
    <w:rsid w:val="00B94B26"/>
    <w:rsid w:val="00BA04FD"/>
    <w:rsid w:val="00BA0921"/>
    <w:rsid w:val="00BA0F18"/>
    <w:rsid w:val="00BA11FE"/>
    <w:rsid w:val="00BA18E9"/>
    <w:rsid w:val="00BA2619"/>
    <w:rsid w:val="00BA3180"/>
    <w:rsid w:val="00BA4631"/>
    <w:rsid w:val="00BA54F7"/>
    <w:rsid w:val="00BA5881"/>
    <w:rsid w:val="00BA7466"/>
    <w:rsid w:val="00BB0669"/>
    <w:rsid w:val="00BB2689"/>
    <w:rsid w:val="00BB3A6E"/>
    <w:rsid w:val="00BB3C35"/>
    <w:rsid w:val="00BB518C"/>
    <w:rsid w:val="00BB58A5"/>
    <w:rsid w:val="00BB7076"/>
    <w:rsid w:val="00BB7D35"/>
    <w:rsid w:val="00BC1474"/>
    <w:rsid w:val="00BC2741"/>
    <w:rsid w:val="00BC2EA8"/>
    <w:rsid w:val="00BC3259"/>
    <w:rsid w:val="00BC572B"/>
    <w:rsid w:val="00BC6F41"/>
    <w:rsid w:val="00BC777C"/>
    <w:rsid w:val="00BD127D"/>
    <w:rsid w:val="00BD3120"/>
    <w:rsid w:val="00BD4037"/>
    <w:rsid w:val="00BD52E7"/>
    <w:rsid w:val="00BD5F99"/>
    <w:rsid w:val="00BE2724"/>
    <w:rsid w:val="00BE4489"/>
    <w:rsid w:val="00BE51D9"/>
    <w:rsid w:val="00BE6D9E"/>
    <w:rsid w:val="00BE70FB"/>
    <w:rsid w:val="00BF184D"/>
    <w:rsid w:val="00BF3370"/>
    <w:rsid w:val="00BF57D0"/>
    <w:rsid w:val="00BF5E4C"/>
    <w:rsid w:val="00BF60E6"/>
    <w:rsid w:val="00BF6B50"/>
    <w:rsid w:val="00BF75EE"/>
    <w:rsid w:val="00C00788"/>
    <w:rsid w:val="00C02469"/>
    <w:rsid w:val="00C02544"/>
    <w:rsid w:val="00C02D07"/>
    <w:rsid w:val="00C06396"/>
    <w:rsid w:val="00C103F1"/>
    <w:rsid w:val="00C1332D"/>
    <w:rsid w:val="00C133F0"/>
    <w:rsid w:val="00C13F2F"/>
    <w:rsid w:val="00C1493A"/>
    <w:rsid w:val="00C226D7"/>
    <w:rsid w:val="00C253C6"/>
    <w:rsid w:val="00C2565B"/>
    <w:rsid w:val="00C30EE0"/>
    <w:rsid w:val="00C32EEE"/>
    <w:rsid w:val="00C3782F"/>
    <w:rsid w:val="00C37F23"/>
    <w:rsid w:val="00C43142"/>
    <w:rsid w:val="00C4350B"/>
    <w:rsid w:val="00C513B4"/>
    <w:rsid w:val="00C52B94"/>
    <w:rsid w:val="00C53C46"/>
    <w:rsid w:val="00C60B77"/>
    <w:rsid w:val="00C64CD3"/>
    <w:rsid w:val="00C675F5"/>
    <w:rsid w:val="00C71C35"/>
    <w:rsid w:val="00C721A7"/>
    <w:rsid w:val="00C74027"/>
    <w:rsid w:val="00C7405E"/>
    <w:rsid w:val="00C74E7D"/>
    <w:rsid w:val="00C764D9"/>
    <w:rsid w:val="00C768B4"/>
    <w:rsid w:val="00C77066"/>
    <w:rsid w:val="00C77A98"/>
    <w:rsid w:val="00C8688B"/>
    <w:rsid w:val="00C86962"/>
    <w:rsid w:val="00C87580"/>
    <w:rsid w:val="00C90559"/>
    <w:rsid w:val="00C90ACF"/>
    <w:rsid w:val="00C910B9"/>
    <w:rsid w:val="00C91650"/>
    <w:rsid w:val="00C9165C"/>
    <w:rsid w:val="00C921F2"/>
    <w:rsid w:val="00C93281"/>
    <w:rsid w:val="00C93624"/>
    <w:rsid w:val="00C9596B"/>
    <w:rsid w:val="00C95FBF"/>
    <w:rsid w:val="00C97082"/>
    <w:rsid w:val="00CA0652"/>
    <w:rsid w:val="00CA16E1"/>
    <w:rsid w:val="00CA1791"/>
    <w:rsid w:val="00CA1DF9"/>
    <w:rsid w:val="00CA253E"/>
    <w:rsid w:val="00CA3555"/>
    <w:rsid w:val="00CA35B1"/>
    <w:rsid w:val="00CA6F91"/>
    <w:rsid w:val="00CA7376"/>
    <w:rsid w:val="00CB1E30"/>
    <w:rsid w:val="00CB3442"/>
    <w:rsid w:val="00CB4429"/>
    <w:rsid w:val="00CB5054"/>
    <w:rsid w:val="00CB6C4D"/>
    <w:rsid w:val="00CB7929"/>
    <w:rsid w:val="00CC2AEF"/>
    <w:rsid w:val="00CC7499"/>
    <w:rsid w:val="00CD1743"/>
    <w:rsid w:val="00CD252D"/>
    <w:rsid w:val="00CD25B6"/>
    <w:rsid w:val="00CD4E1B"/>
    <w:rsid w:val="00CD5D55"/>
    <w:rsid w:val="00CD5E46"/>
    <w:rsid w:val="00CD607A"/>
    <w:rsid w:val="00CD670F"/>
    <w:rsid w:val="00CD67B2"/>
    <w:rsid w:val="00CE2343"/>
    <w:rsid w:val="00CE3C7B"/>
    <w:rsid w:val="00CE3FF7"/>
    <w:rsid w:val="00CF383C"/>
    <w:rsid w:val="00CF78D3"/>
    <w:rsid w:val="00D00118"/>
    <w:rsid w:val="00D0045B"/>
    <w:rsid w:val="00D0366C"/>
    <w:rsid w:val="00D0711B"/>
    <w:rsid w:val="00D073CD"/>
    <w:rsid w:val="00D1048C"/>
    <w:rsid w:val="00D11204"/>
    <w:rsid w:val="00D1401B"/>
    <w:rsid w:val="00D14757"/>
    <w:rsid w:val="00D20A0C"/>
    <w:rsid w:val="00D20FD7"/>
    <w:rsid w:val="00D214E3"/>
    <w:rsid w:val="00D22AC8"/>
    <w:rsid w:val="00D25AC6"/>
    <w:rsid w:val="00D2621D"/>
    <w:rsid w:val="00D27418"/>
    <w:rsid w:val="00D43539"/>
    <w:rsid w:val="00D454C3"/>
    <w:rsid w:val="00D4717B"/>
    <w:rsid w:val="00D5355E"/>
    <w:rsid w:val="00D55341"/>
    <w:rsid w:val="00D63372"/>
    <w:rsid w:val="00D639B1"/>
    <w:rsid w:val="00D6483D"/>
    <w:rsid w:val="00D650E6"/>
    <w:rsid w:val="00D663D6"/>
    <w:rsid w:val="00D66C68"/>
    <w:rsid w:val="00D70AF7"/>
    <w:rsid w:val="00D727B2"/>
    <w:rsid w:val="00D761B9"/>
    <w:rsid w:val="00D80711"/>
    <w:rsid w:val="00D80CF3"/>
    <w:rsid w:val="00D81482"/>
    <w:rsid w:val="00D9305F"/>
    <w:rsid w:val="00DA1318"/>
    <w:rsid w:val="00DA1A73"/>
    <w:rsid w:val="00DA273B"/>
    <w:rsid w:val="00DA4698"/>
    <w:rsid w:val="00DA4CC1"/>
    <w:rsid w:val="00DA4CD1"/>
    <w:rsid w:val="00DA5AA5"/>
    <w:rsid w:val="00DA610F"/>
    <w:rsid w:val="00DB116E"/>
    <w:rsid w:val="00DB1BB4"/>
    <w:rsid w:val="00DB24EB"/>
    <w:rsid w:val="00DB3005"/>
    <w:rsid w:val="00DB3B43"/>
    <w:rsid w:val="00DB4F8C"/>
    <w:rsid w:val="00DB7019"/>
    <w:rsid w:val="00DC17B6"/>
    <w:rsid w:val="00DC45CB"/>
    <w:rsid w:val="00DC5038"/>
    <w:rsid w:val="00DC556E"/>
    <w:rsid w:val="00DC6D1A"/>
    <w:rsid w:val="00DD0A9E"/>
    <w:rsid w:val="00DD287E"/>
    <w:rsid w:val="00DD30CC"/>
    <w:rsid w:val="00DE0E67"/>
    <w:rsid w:val="00DE2CB6"/>
    <w:rsid w:val="00DE7C95"/>
    <w:rsid w:val="00DF0A96"/>
    <w:rsid w:val="00DF112E"/>
    <w:rsid w:val="00DF11B5"/>
    <w:rsid w:val="00DF4E4B"/>
    <w:rsid w:val="00DF5E9E"/>
    <w:rsid w:val="00DF7AF0"/>
    <w:rsid w:val="00E01FA0"/>
    <w:rsid w:val="00E0250A"/>
    <w:rsid w:val="00E15208"/>
    <w:rsid w:val="00E17F05"/>
    <w:rsid w:val="00E207F5"/>
    <w:rsid w:val="00E20A3A"/>
    <w:rsid w:val="00E21605"/>
    <w:rsid w:val="00E23288"/>
    <w:rsid w:val="00E23DFD"/>
    <w:rsid w:val="00E26114"/>
    <w:rsid w:val="00E33B77"/>
    <w:rsid w:val="00E362FA"/>
    <w:rsid w:val="00E37681"/>
    <w:rsid w:val="00E41BA6"/>
    <w:rsid w:val="00E41E3D"/>
    <w:rsid w:val="00E42FF2"/>
    <w:rsid w:val="00E45D8F"/>
    <w:rsid w:val="00E514C2"/>
    <w:rsid w:val="00E51905"/>
    <w:rsid w:val="00E51B9D"/>
    <w:rsid w:val="00E52D86"/>
    <w:rsid w:val="00E53431"/>
    <w:rsid w:val="00E535AA"/>
    <w:rsid w:val="00E54F85"/>
    <w:rsid w:val="00E56059"/>
    <w:rsid w:val="00E5707F"/>
    <w:rsid w:val="00E60296"/>
    <w:rsid w:val="00E65376"/>
    <w:rsid w:val="00E67CD6"/>
    <w:rsid w:val="00E72C0F"/>
    <w:rsid w:val="00E7741F"/>
    <w:rsid w:val="00E7755B"/>
    <w:rsid w:val="00E77A51"/>
    <w:rsid w:val="00E821A8"/>
    <w:rsid w:val="00E82E27"/>
    <w:rsid w:val="00E8372D"/>
    <w:rsid w:val="00E86075"/>
    <w:rsid w:val="00E863C2"/>
    <w:rsid w:val="00E86C10"/>
    <w:rsid w:val="00E870A9"/>
    <w:rsid w:val="00E879FD"/>
    <w:rsid w:val="00E90DF2"/>
    <w:rsid w:val="00E9218A"/>
    <w:rsid w:val="00E946E9"/>
    <w:rsid w:val="00E94B26"/>
    <w:rsid w:val="00EA1CCF"/>
    <w:rsid w:val="00EA20C2"/>
    <w:rsid w:val="00EA5203"/>
    <w:rsid w:val="00EB1119"/>
    <w:rsid w:val="00EB512B"/>
    <w:rsid w:val="00EB5228"/>
    <w:rsid w:val="00EC1DAF"/>
    <w:rsid w:val="00EC2D30"/>
    <w:rsid w:val="00EC30E5"/>
    <w:rsid w:val="00EC41E9"/>
    <w:rsid w:val="00EC4542"/>
    <w:rsid w:val="00EE075C"/>
    <w:rsid w:val="00EE0D80"/>
    <w:rsid w:val="00EE63A1"/>
    <w:rsid w:val="00EF0F3E"/>
    <w:rsid w:val="00EF0F99"/>
    <w:rsid w:val="00EF1D4E"/>
    <w:rsid w:val="00EF52E1"/>
    <w:rsid w:val="00EF6832"/>
    <w:rsid w:val="00EF764F"/>
    <w:rsid w:val="00F012AC"/>
    <w:rsid w:val="00F012B1"/>
    <w:rsid w:val="00F012C6"/>
    <w:rsid w:val="00F03EEB"/>
    <w:rsid w:val="00F04BD7"/>
    <w:rsid w:val="00F05804"/>
    <w:rsid w:val="00F103E5"/>
    <w:rsid w:val="00F104CA"/>
    <w:rsid w:val="00F10580"/>
    <w:rsid w:val="00F11E8F"/>
    <w:rsid w:val="00F12A2F"/>
    <w:rsid w:val="00F14192"/>
    <w:rsid w:val="00F14AE8"/>
    <w:rsid w:val="00F15504"/>
    <w:rsid w:val="00F17401"/>
    <w:rsid w:val="00F20330"/>
    <w:rsid w:val="00F203E3"/>
    <w:rsid w:val="00F241EF"/>
    <w:rsid w:val="00F27920"/>
    <w:rsid w:val="00F32E91"/>
    <w:rsid w:val="00F342F6"/>
    <w:rsid w:val="00F34AC8"/>
    <w:rsid w:val="00F34AF2"/>
    <w:rsid w:val="00F374E4"/>
    <w:rsid w:val="00F37DB2"/>
    <w:rsid w:val="00F37F29"/>
    <w:rsid w:val="00F443C0"/>
    <w:rsid w:val="00F44D1C"/>
    <w:rsid w:val="00F46504"/>
    <w:rsid w:val="00F47192"/>
    <w:rsid w:val="00F4756D"/>
    <w:rsid w:val="00F514C1"/>
    <w:rsid w:val="00F523ED"/>
    <w:rsid w:val="00F5356F"/>
    <w:rsid w:val="00F54C24"/>
    <w:rsid w:val="00F61802"/>
    <w:rsid w:val="00F6544B"/>
    <w:rsid w:val="00F65546"/>
    <w:rsid w:val="00F675DB"/>
    <w:rsid w:val="00F67DA7"/>
    <w:rsid w:val="00F7276F"/>
    <w:rsid w:val="00F72973"/>
    <w:rsid w:val="00F7537F"/>
    <w:rsid w:val="00F76A01"/>
    <w:rsid w:val="00F7758C"/>
    <w:rsid w:val="00F806FA"/>
    <w:rsid w:val="00F811C4"/>
    <w:rsid w:val="00F8151E"/>
    <w:rsid w:val="00F81857"/>
    <w:rsid w:val="00F81DFB"/>
    <w:rsid w:val="00F83B17"/>
    <w:rsid w:val="00F8554A"/>
    <w:rsid w:val="00F860E9"/>
    <w:rsid w:val="00F87BD9"/>
    <w:rsid w:val="00F92202"/>
    <w:rsid w:val="00F966C8"/>
    <w:rsid w:val="00FA671B"/>
    <w:rsid w:val="00FA7E9E"/>
    <w:rsid w:val="00FB0C92"/>
    <w:rsid w:val="00FB6FB1"/>
    <w:rsid w:val="00FC079A"/>
    <w:rsid w:val="00FC0D52"/>
    <w:rsid w:val="00FC1534"/>
    <w:rsid w:val="00FC32C6"/>
    <w:rsid w:val="00FC38A2"/>
    <w:rsid w:val="00FC5CC0"/>
    <w:rsid w:val="00FC5E38"/>
    <w:rsid w:val="00FC748B"/>
    <w:rsid w:val="00FD22B9"/>
    <w:rsid w:val="00FD52C3"/>
    <w:rsid w:val="00FD709A"/>
    <w:rsid w:val="00FD7759"/>
    <w:rsid w:val="00FE1A94"/>
    <w:rsid w:val="00FE77A9"/>
    <w:rsid w:val="00FF1BCC"/>
    <w:rsid w:val="00FF1F12"/>
    <w:rsid w:val="00FF2964"/>
    <w:rsid w:val="00FF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1DC39"/>
  <w15:chartTrackingRefBased/>
  <w15:docId w15:val="{39A94817-4BEB-4962-8746-8887DDE2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0F"/>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D80711"/>
    <w:pPr>
      <w:widowControl/>
      <w:overflowPunct/>
      <w:autoSpaceDE/>
      <w:autoSpaceDN/>
      <w:adjustRightInd/>
      <w:spacing w:before="100" w:beforeAutospacing="1" w:after="100" w:afterAutospacing="1"/>
    </w:pPr>
    <w:rPr>
      <w:kern w:val="0"/>
      <w:sz w:val="24"/>
      <w:szCs w:val="24"/>
    </w:rPr>
  </w:style>
  <w:style w:type="table" w:styleId="TableGrid">
    <w:name w:val="Table Grid"/>
    <w:basedOn w:val="TableNormal"/>
    <w:rsid w:val="00D80711"/>
    <w:pPr>
      <w:widowControl w:val="0"/>
      <w:overflowPunct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0711"/>
    <w:rPr>
      <w:rFonts w:ascii="Tahoma" w:hAnsi="Tahoma" w:cs="Tahoma"/>
      <w:sz w:val="16"/>
      <w:szCs w:val="16"/>
    </w:rPr>
  </w:style>
  <w:style w:type="paragraph" w:styleId="FootnoteText">
    <w:name w:val="footnote text"/>
    <w:basedOn w:val="Normal"/>
    <w:link w:val="FootnoteTextChar"/>
    <w:uiPriority w:val="99"/>
    <w:semiHidden/>
    <w:rsid w:val="009370A3"/>
  </w:style>
  <w:style w:type="character" w:customStyle="1" w:styleId="FootnoteTextChar">
    <w:name w:val="Footnote Text Char"/>
    <w:link w:val="FootnoteText"/>
    <w:uiPriority w:val="99"/>
    <w:semiHidden/>
    <w:rsid w:val="00B8579E"/>
    <w:rPr>
      <w:kern w:val="28"/>
      <w:lang w:val="en-US" w:eastAsia="en-US" w:bidi="ar-SA"/>
    </w:rPr>
  </w:style>
  <w:style w:type="character" w:styleId="FootnoteReference">
    <w:name w:val="footnote reference"/>
    <w:uiPriority w:val="99"/>
    <w:semiHidden/>
    <w:rsid w:val="009370A3"/>
    <w:rPr>
      <w:vertAlign w:val="superscript"/>
    </w:rPr>
  </w:style>
  <w:style w:type="character" w:styleId="CommentReference">
    <w:name w:val="annotation reference"/>
    <w:semiHidden/>
    <w:rsid w:val="00047891"/>
    <w:rPr>
      <w:sz w:val="16"/>
      <w:szCs w:val="16"/>
    </w:rPr>
  </w:style>
  <w:style w:type="paragraph" w:styleId="CommentText">
    <w:name w:val="annotation text"/>
    <w:basedOn w:val="Normal"/>
    <w:link w:val="CommentTextChar"/>
    <w:semiHidden/>
    <w:rsid w:val="00047891"/>
  </w:style>
  <w:style w:type="character" w:customStyle="1" w:styleId="CommentTextChar">
    <w:name w:val="Comment Text Char"/>
    <w:link w:val="CommentText"/>
    <w:semiHidden/>
    <w:locked/>
    <w:rsid w:val="00FF1BCC"/>
    <w:rPr>
      <w:kern w:val="28"/>
      <w:lang w:val="en-US" w:eastAsia="en-US" w:bidi="ar-SA"/>
    </w:rPr>
  </w:style>
  <w:style w:type="paragraph" w:styleId="CommentSubject">
    <w:name w:val="annotation subject"/>
    <w:basedOn w:val="CommentText"/>
    <w:next w:val="CommentText"/>
    <w:semiHidden/>
    <w:rsid w:val="00047891"/>
    <w:rPr>
      <w:b/>
      <w:bCs/>
    </w:rPr>
  </w:style>
  <w:style w:type="paragraph" w:customStyle="1" w:styleId="Level1">
    <w:name w:val="Level 1"/>
    <w:basedOn w:val="Normal"/>
    <w:rsid w:val="00635E47"/>
    <w:pPr>
      <w:numPr>
        <w:numId w:val="5"/>
      </w:numPr>
      <w:overflowPunct/>
      <w:ind w:hanging="720"/>
      <w:outlineLvl w:val="0"/>
    </w:pPr>
    <w:rPr>
      <w:kern w:val="0"/>
      <w:sz w:val="24"/>
      <w:szCs w:val="24"/>
    </w:rPr>
  </w:style>
  <w:style w:type="character" w:styleId="Hyperlink">
    <w:name w:val="Hyperlink"/>
    <w:rsid w:val="002F02F7"/>
    <w:rPr>
      <w:color w:val="0000FF"/>
      <w:u w:val="single"/>
    </w:rPr>
  </w:style>
  <w:style w:type="paragraph" w:customStyle="1" w:styleId="Default">
    <w:name w:val="Default"/>
    <w:uiPriority w:val="99"/>
    <w:rsid w:val="00E17F05"/>
    <w:pPr>
      <w:autoSpaceDE w:val="0"/>
      <w:autoSpaceDN w:val="0"/>
      <w:adjustRightInd w:val="0"/>
    </w:pPr>
    <w:rPr>
      <w:color w:val="000000"/>
      <w:sz w:val="24"/>
      <w:szCs w:val="24"/>
    </w:rPr>
  </w:style>
  <w:style w:type="paragraph" w:styleId="Footer">
    <w:name w:val="footer"/>
    <w:basedOn w:val="Normal"/>
    <w:rsid w:val="00C7405E"/>
    <w:pPr>
      <w:tabs>
        <w:tab w:val="center" w:pos="4320"/>
        <w:tab w:val="right" w:pos="8640"/>
      </w:tabs>
    </w:pPr>
  </w:style>
  <w:style w:type="character" w:styleId="PageNumber">
    <w:name w:val="page number"/>
    <w:basedOn w:val="DefaultParagraphFont"/>
    <w:rsid w:val="00C7405E"/>
  </w:style>
  <w:style w:type="paragraph" w:styleId="Title">
    <w:name w:val="Title"/>
    <w:basedOn w:val="Normal"/>
    <w:link w:val="TitleChar"/>
    <w:uiPriority w:val="10"/>
    <w:qFormat/>
    <w:rsid w:val="0088494D"/>
    <w:pPr>
      <w:tabs>
        <w:tab w:val="center" w:pos="4860"/>
      </w:tabs>
      <w:overflowPunct/>
      <w:jc w:val="center"/>
    </w:pPr>
    <w:rPr>
      <w:b/>
      <w:bCs/>
      <w:kern w:val="0"/>
      <w:sz w:val="24"/>
      <w:szCs w:val="24"/>
    </w:rPr>
  </w:style>
  <w:style w:type="paragraph" w:styleId="Header">
    <w:name w:val="header"/>
    <w:basedOn w:val="Normal"/>
    <w:link w:val="HeaderChar"/>
    <w:uiPriority w:val="99"/>
    <w:rsid w:val="00C95FBF"/>
    <w:pPr>
      <w:tabs>
        <w:tab w:val="center" w:pos="4680"/>
        <w:tab w:val="right" w:pos="9360"/>
      </w:tabs>
    </w:pPr>
  </w:style>
  <w:style w:type="character" w:customStyle="1" w:styleId="HeaderChar">
    <w:name w:val="Header Char"/>
    <w:link w:val="Header"/>
    <w:uiPriority w:val="99"/>
    <w:rsid w:val="00C95FBF"/>
    <w:rPr>
      <w:kern w:val="28"/>
    </w:rPr>
  </w:style>
  <w:style w:type="paragraph" w:styleId="Revision">
    <w:name w:val="Revision"/>
    <w:hidden/>
    <w:uiPriority w:val="99"/>
    <w:semiHidden/>
    <w:rsid w:val="00287D85"/>
    <w:rPr>
      <w:kern w:val="28"/>
    </w:rPr>
  </w:style>
  <w:style w:type="character" w:customStyle="1" w:styleId="TitleChar">
    <w:name w:val="Title Char"/>
    <w:link w:val="Title"/>
    <w:uiPriority w:val="10"/>
    <w:rsid w:val="00465EB5"/>
    <w:rPr>
      <w:b/>
      <w:bCs/>
      <w:sz w:val="24"/>
      <w:szCs w:val="24"/>
    </w:rPr>
  </w:style>
  <w:style w:type="character" w:customStyle="1" w:styleId="FootnoteTextChar1">
    <w:name w:val="Footnote Text Char1"/>
    <w:uiPriority w:val="99"/>
    <w:semiHidden/>
    <w:locked/>
    <w:rsid w:val="00465EB5"/>
    <w:rPr>
      <w:rFonts w:ascii="Times New Roman" w:eastAsia="Gulim"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0759">
      <w:bodyDiv w:val="1"/>
      <w:marLeft w:val="0"/>
      <w:marRight w:val="0"/>
      <w:marTop w:val="0"/>
      <w:marBottom w:val="0"/>
      <w:divBdr>
        <w:top w:val="none" w:sz="0" w:space="0" w:color="auto"/>
        <w:left w:val="none" w:sz="0" w:space="0" w:color="auto"/>
        <w:bottom w:val="none" w:sz="0" w:space="0" w:color="auto"/>
        <w:right w:val="none" w:sz="0" w:space="0" w:color="auto"/>
      </w:divBdr>
    </w:div>
    <w:div w:id="95830043">
      <w:bodyDiv w:val="1"/>
      <w:marLeft w:val="0"/>
      <w:marRight w:val="0"/>
      <w:marTop w:val="0"/>
      <w:marBottom w:val="0"/>
      <w:divBdr>
        <w:top w:val="none" w:sz="0" w:space="0" w:color="auto"/>
        <w:left w:val="none" w:sz="0" w:space="0" w:color="auto"/>
        <w:bottom w:val="none" w:sz="0" w:space="0" w:color="auto"/>
        <w:right w:val="none" w:sz="0" w:space="0" w:color="auto"/>
      </w:divBdr>
    </w:div>
    <w:div w:id="188488812">
      <w:bodyDiv w:val="1"/>
      <w:marLeft w:val="0"/>
      <w:marRight w:val="0"/>
      <w:marTop w:val="0"/>
      <w:marBottom w:val="0"/>
      <w:divBdr>
        <w:top w:val="none" w:sz="0" w:space="0" w:color="auto"/>
        <w:left w:val="none" w:sz="0" w:space="0" w:color="auto"/>
        <w:bottom w:val="none" w:sz="0" w:space="0" w:color="auto"/>
        <w:right w:val="none" w:sz="0" w:space="0" w:color="auto"/>
      </w:divBdr>
    </w:div>
    <w:div w:id="408769717">
      <w:bodyDiv w:val="1"/>
      <w:marLeft w:val="1230"/>
      <w:marRight w:val="0"/>
      <w:marTop w:val="0"/>
      <w:marBottom w:val="0"/>
      <w:divBdr>
        <w:top w:val="none" w:sz="0" w:space="0" w:color="auto"/>
        <w:left w:val="none" w:sz="0" w:space="0" w:color="auto"/>
        <w:bottom w:val="none" w:sz="0" w:space="0" w:color="auto"/>
        <w:right w:val="none" w:sz="0" w:space="0" w:color="auto"/>
      </w:divBdr>
    </w:div>
    <w:div w:id="527718695">
      <w:bodyDiv w:val="1"/>
      <w:marLeft w:val="0"/>
      <w:marRight w:val="0"/>
      <w:marTop w:val="0"/>
      <w:marBottom w:val="0"/>
      <w:divBdr>
        <w:top w:val="none" w:sz="0" w:space="0" w:color="auto"/>
        <w:left w:val="none" w:sz="0" w:space="0" w:color="auto"/>
        <w:bottom w:val="none" w:sz="0" w:space="0" w:color="auto"/>
        <w:right w:val="none" w:sz="0" w:space="0" w:color="auto"/>
      </w:divBdr>
    </w:div>
    <w:div w:id="562330739">
      <w:bodyDiv w:val="1"/>
      <w:marLeft w:val="0"/>
      <w:marRight w:val="0"/>
      <w:marTop w:val="0"/>
      <w:marBottom w:val="0"/>
      <w:divBdr>
        <w:top w:val="none" w:sz="0" w:space="0" w:color="auto"/>
        <w:left w:val="none" w:sz="0" w:space="0" w:color="auto"/>
        <w:bottom w:val="none" w:sz="0" w:space="0" w:color="auto"/>
        <w:right w:val="none" w:sz="0" w:space="0" w:color="auto"/>
      </w:divBdr>
    </w:div>
    <w:div w:id="627010486">
      <w:bodyDiv w:val="1"/>
      <w:marLeft w:val="0"/>
      <w:marRight w:val="0"/>
      <w:marTop w:val="0"/>
      <w:marBottom w:val="0"/>
      <w:divBdr>
        <w:top w:val="none" w:sz="0" w:space="0" w:color="auto"/>
        <w:left w:val="none" w:sz="0" w:space="0" w:color="auto"/>
        <w:bottom w:val="none" w:sz="0" w:space="0" w:color="auto"/>
        <w:right w:val="none" w:sz="0" w:space="0" w:color="auto"/>
      </w:divBdr>
    </w:div>
    <w:div w:id="654724030">
      <w:bodyDiv w:val="1"/>
      <w:marLeft w:val="1230"/>
      <w:marRight w:val="0"/>
      <w:marTop w:val="0"/>
      <w:marBottom w:val="0"/>
      <w:divBdr>
        <w:top w:val="none" w:sz="0" w:space="0" w:color="auto"/>
        <w:left w:val="none" w:sz="0" w:space="0" w:color="auto"/>
        <w:bottom w:val="none" w:sz="0" w:space="0" w:color="auto"/>
        <w:right w:val="none" w:sz="0" w:space="0" w:color="auto"/>
      </w:divBdr>
      <w:divsChild>
        <w:div w:id="731851106">
          <w:marLeft w:val="0"/>
          <w:marRight w:val="0"/>
          <w:marTop w:val="0"/>
          <w:marBottom w:val="0"/>
          <w:divBdr>
            <w:top w:val="none" w:sz="0" w:space="0" w:color="auto"/>
            <w:left w:val="none" w:sz="0" w:space="0" w:color="auto"/>
            <w:bottom w:val="none" w:sz="0" w:space="0" w:color="auto"/>
            <w:right w:val="none" w:sz="0" w:space="0" w:color="auto"/>
          </w:divBdr>
        </w:div>
      </w:divsChild>
    </w:div>
    <w:div w:id="701906201">
      <w:bodyDiv w:val="1"/>
      <w:marLeft w:val="0"/>
      <w:marRight w:val="0"/>
      <w:marTop w:val="0"/>
      <w:marBottom w:val="0"/>
      <w:divBdr>
        <w:top w:val="none" w:sz="0" w:space="0" w:color="auto"/>
        <w:left w:val="none" w:sz="0" w:space="0" w:color="auto"/>
        <w:bottom w:val="none" w:sz="0" w:space="0" w:color="auto"/>
        <w:right w:val="none" w:sz="0" w:space="0" w:color="auto"/>
      </w:divBdr>
    </w:div>
    <w:div w:id="821625092">
      <w:bodyDiv w:val="1"/>
      <w:marLeft w:val="0"/>
      <w:marRight w:val="0"/>
      <w:marTop w:val="0"/>
      <w:marBottom w:val="0"/>
      <w:divBdr>
        <w:top w:val="none" w:sz="0" w:space="0" w:color="auto"/>
        <w:left w:val="none" w:sz="0" w:space="0" w:color="auto"/>
        <w:bottom w:val="none" w:sz="0" w:space="0" w:color="auto"/>
        <w:right w:val="none" w:sz="0" w:space="0" w:color="auto"/>
      </w:divBdr>
    </w:div>
    <w:div w:id="892619893">
      <w:bodyDiv w:val="1"/>
      <w:marLeft w:val="0"/>
      <w:marRight w:val="0"/>
      <w:marTop w:val="0"/>
      <w:marBottom w:val="0"/>
      <w:divBdr>
        <w:top w:val="none" w:sz="0" w:space="0" w:color="auto"/>
        <w:left w:val="none" w:sz="0" w:space="0" w:color="auto"/>
        <w:bottom w:val="none" w:sz="0" w:space="0" w:color="auto"/>
        <w:right w:val="none" w:sz="0" w:space="0" w:color="auto"/>
      </w:divBdr>
    </w:div>
    <w:div w:id="930771343">
      <w:bodyDiv w:val="1"/>
      <w:marLeft w:val="0"/>
      <w:marRight w:val="0"/>
      <w:marTop w:val="0"/>
      <w:marBottom w:val="0"/>
      <w:divBdr>
        <w:top w:val="none" w:sz="0" w:space="0" w:color="auto"/>
        <w:left w:val="none" w:sz="0" w:space="0" w:color="auto"/>
        <w:bottom w:val="none" w:sz="0" w:space="0" w:color="auto"/>
        <w:right w:val="none" w:sz="0" w:space="0" w:color="auto"/>
      </w:divBdr>
    </w:div>
    <w:div w:id="999385823">
      <w:bodyDiv w:val="1"/>
      <w:marLeft w:val="0"/>
      <w:marRight w:val="0"/>
      <w:marTop w:val="0"/>
      <w:marBottom w:val="0"/>
      <w:divBdr>
        <w:top w:val="none" w:sz="0" w:space="0" w:color="auto"/>
        <w:left w:val="none" w:sz="0" w:space="0" w:color="auto"/>
        <w:bottom w:val="none" w:sz="0" w:space="0" w:color="auto"/>
        <w:right w:val="none" w:sz="0" w:space="0" w:color="auto"/>
      </w:divBdr>
    </w:div>
    <w:div w:id="1002663965">
      <w:bodyDiv w:val="1"/>
      <w:marLeft w:val="0"/>
      <w:marRight w:val="0"/>
      <w:marTop w:val="0"/>
      <w:marBottom w:val="0"/>
      <w:divBdr>
        <w:top w:val="none" w:sz="0" w:space="0" w:color="auto"/>
        <w:left w:val="none" w:sz="0" w:space="0" w:color="auto"/>
        <w:bottom w:val="none" w:sz="0" w:space="0" w:color="auto"/>
        <w:right w:val="none" w:sz="0" w:space="0" w:color="auto"/>
      </w:divBdr>
    </w:div>
    <w:div w:id="1061176378">
      <w:bodyDiv w:val="1"/>
      <w:marLeft w:val="0"/>
      <w:marRight w:val="0"/>
      <w:marTop w:val="0"/>
      <w:marBottom w:val="0"/>
      <w:divBdr>
        <w:top w:val="none" w:sz="0" w:space="0" w:color="auto"/>
        <w:left w:val="none" w:sz="0" w:space="0" w:color="auto"/>
        <w:bottom w:val="none" w:sz="0" w:space="0" w:color="auto"/>
        <w:right w:val="none" w:sz="0" w:space="0" w:color="auto"/>
      </w:divBdr>
    </w:div>
    <w:div w:id="1136491380">
      <w:bodyDiv w:val="1"/>
      <w:marLeft w:val="0"/>
      <w:marRight w:val="0"/>
      <w:marTop w:val="0"/>
      <w:marBottom w:val="0"/>
      <w:divBdr>
        <w:top w:val="none" w:sz="0" w:space="0" w:color="auto"/>
        <w:left w:val="none" w:sz="0" w:space="0" w:color="auto"/>
        <w:bottom w:val="none" w:sz="0" w:space="0" w:color="auto"/>
        <w:right w:val="none" w:sz="0" w:space="0" w:color="auto"/>
      </w:divBdr>
    </w:div>
    <w:div w:id="1252735624">
      <w:bodyDiv w:val="1"/>
      <w:marLeft w:val="0"/>
      <w:marRight w:val="0"/>
      <w:marTop w:val="0"/>
      <w:marBottom w:val="0"/>
      <w:divBdr>
        <w:top w:val="none" w:sz="0" w:space="0" w:color="auto"/>
        <w:left w:val="none" w:sz="0" w:space="0" w:color="auto"/>
        <w:bottom w:val="none" w:sz="0" w:space="0" w:color="auto"/>
        <w:right w:val="none" w:sz="0" w:space="0" w:color="auto"/>
      </w:divBdr>
    </w:div>
    <w:div w:id="1311906673">
      <w:bodyDiv w:val="1"/>
      <w:marLeft w:val="0"/>
      <w:marRight w:val="0"/>
      <w:marTop w:val="0"/>
      <w:marBottom w:val="0"/>
      <w:divBdr>
        <w:top w:val="none" w:sz="0" w:space="0" w:color="auto"/>
        <w:left w:val="none" w:sz="0" w:space="0" w:color="auto"/>
        <w:bottom w:val="none" w:sz="0" w:space="0" w:color="auto"/>
        <w:right w:val="none" w:sz="0" w:space="0" w:color="auto"/>
      </w:divBdr>
    </w:div>
    <w:div w:id="1320648091">
      <w:bodyDiv w:val="1"/>
      <w:marLeft w:val="0"/>
      <w:marRight w:val="0"/>
      <w:marTop w:val="0"/>
      <w:marBottom w:val="0"/>
      <w:divBdr>
        <w:top w:val="none" w:sz="0" w:space="0" w:color="auto"/>
        <w:left w:val="none" w:sz="0" w:space="0" w:color="auto"/>
        <w:bottom w:val="none" w:sz="0" w:space="0" w:color="auto"/>
        <w:right w:val="none" w:sz="0" w:space="0" w:color="auto"/>
      </w:divBdr>
    </w:div>
    <w:div w:id="1410418771">
      <w:bodyDiv w:val="1"/>
      <w:marLeft w:val="0"/>
      <w:marRight w:val="0"/>
      <w:marTop w:val="0"/>
      <w:marBottom w:val="0"/>
      <w:divBdr>
        <w:top w:val="none" w:sz="0" w:space="0" w:color="auto"/>
        <w:left w:val="none" w:sz="0" w:space="0" w:color="auto"/>
        <w:bottom w:val="none" w:sz="0" w:space="0" w:color="auto"/>
        <w:right w:val="none" w:sz="0" w:space="0" w:color="auto"/>
      </w:divBdr>
    </w:div>
    <w:div w:id="1547061799">
      <w:bodyDiv w:val="1"/>
      <w:marLeft w:val="0"/>
      <w:marRight w:val="0"/>
      <w:marTop w:val="0"/>
      <w:marBottom w:val="0"/>
      <w:divBdr>
        <w:top w:val="none" w:sz="0" w:space="0" w:color="auto"/>
        <w:left w:val="none" w:sz="0" w:space="0" w:color="auto"/>
        <w:bottom w:val="none" w:sz="0" w:space="0" w:color="auto"/>
        <w:right w:val="none" w:sz="0" w:space="0" w:color="auto"/>
      </w:divBdr>
    </w:div>
    <w:div w:id="1552888367">
      <w:bodyDiv w:val="1"/>
      <w:marLeft w:val="0"/>
      <w:marRight w:val="0"/>
      <w:marTop w:val="0"/>
      <w:marBottom w:val="0"/>
      <w:divBdr>
        <w:top w:val="none" w:sz="0" w:space="0" w:color="auto"/>
        <w:left w:val="none" w:sz="0" w:space="0" w:color="auto"/>
        <w:bottom w:val="none" w:sz="0" w:space="0" w:color="auto"/>
        <w:right w:val="none" w:sz="0" w:space="0" w:color="auto"/>
      </w:divBdr>
    </w:div>
    <w:div w:id="1564608176">
      <w:bodyDiv w:val="1"/>
      <w:marLeft w:val="0"/>
      <w:marRight w:val="0"/>
      <w:marTop w:val="0"/>
      <w:marBottom w:val="0"/>
      <w:divBdr>
        <w:top w:val="none" w:sz="0" w:space="0" w:color="auto"/>
        <w:left w:val="none" w:sz="0" w:space="0" w:color="auto"/>
        <w:bottom w:val="none" w:sz="0" w:space="0" w:color="auto"/>
        <w:right w:val="none" w:sz="0" w:space="0" w:color="auto"/>
      </w:divBdr>
    </w:div>
    <w:div w:id="1727222485">
      <w:bodyDiv w:val="1"/>
      <w:marLeft w:val="0"/>
      <w:marRight w:val="0"/>
      <w:marTop w:val="0"/>
      <w:marBottom w:val="0"/>
      <w:divBdr>
        <w:top w:val="none" w:sz="0" w:space="0" w:color="auto"/>
        <w:left w:val="none" w:sz="0" w:space="0" w:color="auto"/>
        <w:bottom w:val="none" w:sz="0" w:space="0" w:color="auto"/>
        <w:right w:val="none" w:sz="0" w:space="0" w:color="auto"/>
      </w:divBdr>
    </w:div>
    <w:div w:id="1747802011">
      <w:bodyDiv w:val="1"/>
      <w:marLeft w:val="1230"/>
      <w:marRight w:val="0"/>
      <w:marTop w:val="0"/>
      <w:marBottom w:val="0"/>
      <w:divBdr>
        <w:top w:val="none" w:sz="0" w:space="0" w:color="auto"/>
        <w:left w:val="none" w:sz="0" w:space="0" w:color="auto"/>
        <w:bottom w:val="none" w:sz="0" w:space="0" w:color="auto"/>
        <w:right w:val="none" w:sz="0" w:space="0" w:color="auto"/>
      </w:divBdr>
    </w:div>
    <w:div w:id="1787040071">
      <w:bodyDiv w:val="1"/>
      <w:marLeft w:val="0"/>
      <w:marRight w:val="0"/>
      <w:marTop w:val="0"/>
      <w:marBottom w:val="0"/>
      <w:divBdr>
        <w:top w:val="none" w:sz="0" w:space="0" w:color="auto"/>
        <w:left w:val="none" w:sz="0" w:space="0" w:color="auto"/>
        <w:bottom w:val="none" w:sz="0" w:space="0" w:color="auto"/>
        <w:right w:val="none" w:sz="0" w:space="0" w:color="auto"/>
      </w:divBdr>
    </w:div>
    <w:div w:id="1838884986">
      <w:bodyDiv w:val="1"/>
      <w:marLeft w:val="0"/>
      <w:marRight w:val="0"/>
      <w:marTop w:val="0"/>
      <w:marBottom w:val="0"/>
      <w:divBdr>
        <w:top w:val="none" w:sz="0" w:space="0" w:color="auto"/>
        <w:left w:val="none" w:sz="0" w:space="0" w:color="auto"/>
        <w:bottom w:val="none" w:sz="0" w:space="0" w:color="auto"/>
        <w:right w:val="none" w:sz="0" w:space="0" w:color="auto"/>
      </w:divBdr>
    </w:div>
    <w:div w:id="1884514525">
      <w:bodyDiv w:val="1"/>
      <w:marLeft w:val="0"/>
      <w:marRight w:val="0"/>
      <w:marTop w:val="0"/>
      <w:marBottom w:val="0"/>
      <w:divBdr>
        <w:top w:val="none" w:sz="0" w:space="0" w:color="auto"/>
        <w:left w:val="none" w:sz="0" w:space="0" w:color="auto"/>
        <w:bottom w:val="none" w:sz="0" w:space="0" w:color="auto"/>
        <w:right w:val="none" w:sz="0" w:space="0" w:color="auto"/>
      </w:divBdr>
    </w:div>
    <w:div w:id="19385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tables.htm" TargetMode="External"/><Relationship Id="rId2" Type="http://schemas.openxmlformats.org/officeDocument/2006/relationships/hyperlink" Target="http://www.bls.gov/oes/tables.htm"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6E30-8859-48B0-B7E8-F2BF1257CFA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s>
</ds:datastoreItem>
</file>

<file path=customXml/itemProps2.xml><?xml version="1.0" encoding="utf-8"?>
<ds:datastoreItem xmlns:ds="http://schemas.openxmlformats.org/officeDocument/2006/customXml" ds:itemID="{942119A4-E498-42D2-B82F-31642B1D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65139-AFBD-4414-947E-52D1ACF41E5F}">
  <ds:schemaRefs>
    <ds:schemaRef ds:uri="http://schemas.microsoft.com/sharepoint/v3/contenttype/forms"/>
  </ds:schemaRefs>
</ds:datastoreItem>
</file>

<file path=customXml/itemProps4.xml><?xml version="1.0" encoding="utf-8"?>
<ds:datastoreItem xmlns:ds="http://schemas.openxmlformats.org/officeDocument/2006/customXml" ds:itemID="{866EA7A6-2AB7-40D5-98FF-B6146E86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8520</Words>
  <Characters>51306</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59707</CharactersWithSpaces>
  <SharedDoc>false</SharedDoc>
  <HLinks>
    <vt:vector size="18" baseType="variant">
      <vt:variant>
        <vt:i4>1966094</vt:i4>
      </vt:variant>
      <vt:variant>
        <vt:i4>6</vt:i4>
      </vt:variant>
      <vt:variant>
        <vt:i4>0</vt:i4>
      </vt:variant>
      <vt:variant>
        <vt:i4>5</vt:i4>
      </vt:variant>
      <vt:variant>
        <vt:lpwstr>http://www.bls.gov/oes/tables.htm</vt:lpwstr>
      </vt:variant>
      <vt:variant>
        <vt:lpwstr/>
      </vt:variant>
      <vt:variant>
        <vt:i4>1966094</vt:i4>
      </vt:variant>
      <vt:variant>
        <vt:i4>3</vt:i4>
      </vt:variant>
      <vt:variant>
        <vt:i4>0</vt:i4>
      </vt:variant>
      <vt:variant>
        <vt:i4>5</vt:i4>
      </vt:variant>
      <vt:variant>
        <vt:lpwstr>http://www.bls.gov/oes/tables.htm</vt:lpwstr>
      </vt:variant>
      <vt:variant>
        <vt:lpwstr/>
      </vt: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jhill</dc:creator>
  <cp:keywords/>
  <dc:description/>
  <cp:lastModifiedBy>Cannon, Belinda - OSHA</cp:lastModifiedBy>
  <cp:revision>2</cp:revision>
  <cp:lastPrinted>2017-10-16T15:34:00Z</cp:lastPrinted>
  <dcterms:created xsi:type="dcterms:W3CDTF">2020-10-23T16:56:00Z</dcterms:created>
  <dcterms:modified xsi:type="dcterms:W3CDTF">2020-10-23T16:56:00Z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