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E06" w:rsidP="006D5BAA" w:rsidRDefault="00BB2E06">
      <w:pPr>
        <w:spacing w:line="240" w:lineRule="atLeast"/>
        <w:jc w:val="center"/>
        <w:rPr>
          <w:b/>
          <w:caps/>
          <w:sz w:val="24"/>
        </w:rPr>
      </w:pPr>
      <w:bookmarkStart w:name="_GoBack" w:id="0"/>
      <w:bookmarkEnd w:id="0"/>
    </w:p>
    <w:p w:rsidRPr="007E6629" w:rsidR="006D5BAA" w:rsidP="006D5BAA" w:rsidRDefault="006D5BAA">
      <w:pPr>
        <w:spacing w:line="240" w:lineRule="atLeast"/>
        <w:jc w:val="center"/>
        <w:rPr>
          <w:b/>
          <w:caps/>
          <w:sz w:val="24"/>
        </w:rPr>
      </w:pPr>
      <w:r w:rsidRPr="007E6629">
        <w:rPr>
          <w:b/>
          <w:caps/>
          <w:sz w:val="24"/>
        </w:rPr>
        <w:t xml:space="preserve">Supporting Statement </w:t>
      </w:r>
      <w:r w:rsidRPr="007E6629" w:rsidR="006E4270">
        <w:rPr>
          <w:b/>
          <w:caps/>
          <w:sz w:val="24"/>
        </w:rPr>
        <w:t>for</w:t>
      </w:r>
    </w:p>
    <w:p w:rsidRPr="007E6629" w:rsidR="006D5BAA" w:rsidP="006D5BAA" w:rsidRDefault="006D5BAA">
      <w:pPr>
        <w:spacing w:line="240" w:lineRule="atLeast"/>
        <w:jc w:val="center"/>
        <w:rPr>
          <w:b/>
          <w:caps/>
          <w:sz w:val="24"/>
        </w:rPr>
      </w:pPr>
      <w:r w:rsidRPr="007E6629">
        <w:rPr>
          <w:b/>
          <w:caps/>
          <w:sz w:val="24"/>
        </w:rPr>
        <w:t>BLS Current Employment Statistics Program</w:t>
      </w:r>
    </w:p>
    <w:p w:rsidR="00BB2E06" w:rsidP="006D5BAA" w:rsidRDefault="00BB2E06">
      <w:pPr>
        <w:spacing w:line="240" w:lineRule="atLeast"/>
        <w:jc w:val="center"/>
        <w:rPr>
          <w:b/>
          <w:sz w:val="24"/>
        </w:rPr>
      </w:pPr>
    </w:p>
    <w:p w:rsidRPr="000B3650" w:rsidR="00BB2E06" w:rsidP="00BB2E06" w:rsidRDefault="00BB2E06">
      <w:pPr>
        <w:jc w:val="center"/>
        <w:rPr>
          <w:b/>
          <w:bCs/>
          <w:sz w:val="24"/>
          <w:szCs w:val="24"/>
        </w:rPr>
      </w:pPr>
      <w:r w:rsidRPr="000B3650">
        <w:rPr>
          <w:b/>
          <w:bCs/>
          <w:sz w:val="24"/>
          <w:szCs w:val="24"/>
        </w:rPr>
        <w:t xml:space="preserve">OMB CONTROL NO. 1220-0011 </w:t>
      </w:r>
    </w:p>
    <w:p w:rsidRPr="001F1B13" w:rsidR="006D5BAA" w:rsidP="006D5BAA" w:rsidRDefault="006D5BAA">
      <w:pPr>
        <w:spacing w:line="240" w:lineRule="atLeast"/>
        <w:jc w:val="center"/>
        <w:rPr>
          <w:sz w:val="24"/>
        </w:rPr>
      </w:pPr>
    </w:p>
    <w:p w:rsidR="006D5BAA" w:rsidRDefault="006D5BAA">
      <w:pPr>
        <w:spacing w:line="240" w:lineRule="exact"/>
        <w:rPr>
          <w:b/>
          <w:sz w:val="24"/>
          <w:szCs w:val="24"/>
        </w:rPr>
      </w:pPr>
    </w:p>
    <w:p w:rsidRPr="00ED6E5C" w:rsidR="00CE7538" w:rsidRDefault="00CE7538">
      <w:pPr>
        <w:spacing w:line="240" w:lineRule="exact"/>
        <w:rPr>
          <w:b/>
          <w:sz w:val="24"/>
          <w:szCs w:val="24"/>
        </w:rPr>
      </w:pPr>
      <w:r w:rsidRPr="00ED6E5C">
        <w:rPr>
          <w:b/>
          <w:sz w:val="24"/>
          <w:szCs w:val="24"/>
        </w:rPr>
        <w:t>B.  COLLECTION OF DATA EMPLOYING STATISTICAL METHODS</w:t>
      </w:r>
    </w:p>
    <w:p w:rsidRPr="00ED6E5C" w:rsidR="00CE7538" w:rsidRDefault="00CE7538">
      <w:pPr>
        <w:spacing w:line="240" w:lineRule="exact"/>
        <w:rPr>
          <w:sz w:val="24"/>
          <w:szCs w:val="24"/>
        </w:rPr>
      </w:pPr>
    </w:p>
    <w:p w:rsidRPr="00ED6E5C" w:rsidR="00CE7538" w:rsidP="007E6629" w:rsidRDefault="00AA641F">
      <w:pPr>
        <w:rPr>
          <w:b/>
          <w:sz w:val="24"/>
          <w:szCs w:val="24"/>
        </w:rPr>
      </w:pPr>
      <w:r w:rsidRPr="00ED6E5C">
        <w:rPr>
          <w:b/>
          <w:sz w:val="24"/>
          <w:szCs w:val="24"/>
        </w:rPr>
        <w:t xml:space="preserve">1.  </w:t>
      </w:r>
      <w:r w:rsidR="00403E90">
        <w:rPr>
          <w:b/>
          <w:sz w:val="24"/>
          <w:szCs w:val="24"/>
        </w:rPr>
        <w:t xml:space="preserve">  </w:t>
      </w:r>
      <w:r w:rsidRPr="00541F1C" w:rsidR="00BB2E06">
        <w:rPr>
          <w:b/>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ED6E5C" w:rsidR="00CE7538" w:rsidRDefault="00CE7538">
      <w:pPr>
        <w:spacing w:line="240" w:lineRule="exact"/>
        <w:rPr>
          <w:sz w:val="24"/>
          <w:szCs w:val="24"/>
        </w:rPr>
      </w:pPr>
    </w:p>
    <w:p w:rsidRPr="00ED6E5C" w:rsidR="00CE7538" w:rsidP="005903E9" w:rsidRDefault="00CE7538">
      <w:pPr>
        <w:rPr>
          <w:sz w:val="24"/>
          <w:szCs w:val="24"/>
        </w:rPr>
      </w:pPr>
      <w:r w:rsidRPr="00ED6E5C">
        <w:rPr>
          <w:sz w:val="24"/>
          <w:szCs w:val="24"/>
        </w:rPr>
        <w:t>The Current Employment Statistics (CES) sample</w:t>
      </w:r>
      <w:r w:rsidRPr="00ED6E5C" w:rsidR="00250E89">
        <w:rPr>
          <w:sz w:val="24"/>
          <w:szCs w:val="24"/>
        </w:rPr>
        <w:t xml:space="preserve"> for the private sector</w:t>
      </w:r>
      <w:r w:rsidRPr="00ED6E5C">
        <w:rPr>
          <w:sz w:val="24"/>
          <w:szCs w:val="24"/>
        </w:rPr>
        <w:t xml:space="preserve"> is drawn from a </w:t>
      </w:r>
      <w:r w:rsidRPr="00ED6E5C" w:rsidR="00250E89">
        <w:rPr>
          <w:sz w:val="24"/>
          <w:szCs w:val="24"/>
        </w:rPr>
        <w:t xml:space="preserve">private sector </w:t>
      </w:r>
      <w:r w:rsidRPr="00ED6E5C">
        <w:rPr>
          <w:sz w:val="24"/>
          <w:szCs w:val="24"/>
        </w:rPr>
        <w:t xml:space="preserve">universe comprised of </w:t>
      </w:r>
      <w:r w:rsidRPr="00ED6E5C" w:rsidR="0031220B">
        <w:rPr>
          <w:sz w:val="24"/>
          <w:szCs w:val="24"/>
        </w:rPr>
        <w:t>about</w:t>
      </w:r>
      <w:r w:rsidRPr="00ED6E5C">
        <w:rPr>
          <w:sz w:val="24"/>
          <w:szCs w:val="24"/>
        </w:rPr>
        <w:t xml:space="preserve"> </w:t>
      </w:r>
      <w:r w:rsidRPr="00BA3DB2" w:rsidR="00152161">
        <w:rPr>
          <w:sz w:val="24"/>
          <w:szCs w:val="24"/>
        </w:rPr>
        <w:t>7.</w:t>
      </w:r>
      <w:r w:rsidRPr="00BA3DB2" w:rsidR="00CA06B3">
        <w:rPr>
          <w:sz w:val="24"/>
          <w:szCs w:val="24"/>
        </w:rPr>
        <w:t>6</w:t>
      </w:r>
      <w:r w:rsidRPr="00BA3DB2">
        <w:rPr>
          <w:sz w:val="24"/>
          <w:szCs w:val="24"/>
        </w:rPr>
        <w:t xml:space="preserve"> million</w:t>
      </w:r>
      <w:r w:rsidRPr="00ED6E5C" w:rsidR="0031220B">
        <w:rPr>
          <w:sz w:val="24"/>
          <w:szCs w:val="24"/>
        </w:rPr>
        <w:t xml:space="preserve"> in-scope</w:t>
      </w:r>
      <w:r w:rsidRPr="00ED6E5C">
        <w:rPr>
          <w:sz w:val="24"/>
          <w:szCs w:val="24"/>
        </w:rPr>
        <w:t xml:space="preserve"> U.S. private business establishments (worksites)</w:t>
      </w:r>
      <w:r w:rsidRPr="00ED6E5C" w:rsidR="00250E89">
        <w:rPr>
          <w:sz w:val="24"/>
          <w:szCs w:val="24"/>
        </w:rPr>
        <w:t>.</w:t>
      </w:r>
      <w:r w:rsidRPr="00ED6E5C" w:rsidR="00AA641F">
        <w:rPr>
          <w:sz w:val="24"/>
          <w:szCs w:val="24"/>
        </w:rPr>
        <w:t xml:space="preserve">  </w:t>
      </w:r>
      <w:r w:rsidRPr="00ED6E5C">
        <w:rPr>
          <w:sz w:val="24"/>
          <w:szCs w:val="24"/>
        </w:rPr>
        <w:t xml:space="preserve">Private </w:t>
      </w:r>
      <w:r w:rsidRPr="00ED6E5C" w:rsidR="00AA641F">
        <w:rPr>
          <w:sz w:val="24"/>
          <w:szCs w:val="24"/>
        </w:rPr>
        <w:t>h</w:t>
      </w:r>
      <w:r w:rsidRPr="00ED6E5C">
        <w:rPr>
          <w:sz w:val="24"/>
          <w:szCs w:val="24"/>
        </w:rPr>
        <w:t xml:space="preserve">ouseholds and all agriculture except </w:t>
      </w:r>
      <w:r w:rsidRPr="00ED6E5C" w:rsidR="00AE27B8">
        <w:rPr>
          <w:sz w:val="24"/>
          <w:szCs w:val="24"/>
        </w:rPr>
        <w:t xml:space="preserve">logging </w:t>
      </w:r>
      <w:r w:rsidRPr="00ED6E5C">
        <w:rPr>
          <w:sz w:val="24"/>
          <w:szCs w:val="24"/>
        </w:rPr>
        <w:t xml:space="preserve">are excluded from the frame. </w:t>
      </w:r>
      <w:r w:rsidRPr="00ED6E5C" w:rsidR="00AA641F">
        <w:rPr>
          <w:sz w:val="24"/>
          <w:szCs w:val="24"/>
        </w:rPr>
        <w:t xml:space="preserve"> </w:t>
      </w:r>
      <w:r w:rsidRPr="00ED6E5C">
        <w:rPr>
          <w:sz w:val="24"/>
          <w:szCs w:val="24"/>
        </w:rPr>
        <w:t>The universe frame, known as the Longitudinal Database (LDB), serves as the sampling frame and research database of the Bureau of Labor Statistics (BLS).  The primary data source for the LDB is the Quarterly Contribution Reports filed by employers with their State’s Unemployment Insurance Agency.</w:t>
      </w:r>
      <w:r w:rsidRPr="00ED6E5C" w:rsidR="00250E89">
        <w:rPr>
          <w:sz w:val="24"/>
          <w:szCs w:val="24"/>
        </w:rPr>
        <w:t xml:space="preserve">  The BLS has cooperative agreements with each State to access these data through the Quarterly Census of Employment and Wages (QCEW) </w:t>
      </w:r>
      <w:r w:rsidRPr="00ED6E5C" w:rsidR="00FD191A">
        <w:rPr>
          <w:sz w:val="24"/>
          <w:szCs w:val="24"/>
        </w:rPr>
        <w:t>p</w:t>
      </w:r>
      <w:r w:rsidRPr="00ED6E5C" w:rsidR="00250E89">
        <w:rPr>
          <w:sz w:val="24"/>
          <w:szCs w:val="24"/>
        </w:rPr>
        <w:t>rogram.</w:t>
      </w:r>
      <w:r w:rsidRPr="00ED6E5C">
        <w:rPr>
          <w:sz w:val="24"/>
          <w:szCs w:val="24"/>
        </w:rPr>
        <w:t xml:space="preserve">  The LDB contains microdata records with the na</w:t>
      </w:r>
      <w:r w:rsidRPr="00ED6E5C" w:rsidR="00462752">
        <w:rPr>
          <w:sz w:val="24"/>
          <w:szCs w:val="24"/>
        </w:rPr>
        <w:t>m</w:t>
      </w:r>
      <w:r w:rsidRPr="00ED6E5C">
        <w:rPr>
          <w:sz w:val="24"/>
          <w:szCs w:val="24"/>
        </w:rPr>
        <w:t xml:space="preserve">e, location, </w:t>
      </w:r>
      <w:r w:rsidR="005903E9">
        <w:rPr>
          <w:sz w:val="24"/>
          <w:szCs w:val="24"/>
        </w:rPr>
        <w:t>North American Industry Classification System (</w:t>
      </w:r>
      <w:r w:rsidRPr="00ED6E5C">
        <w:rPr>
          <w:sz w:val="24"/>
          <w:szCs w:val="24"/>
        </w:rPr>
        <w:t>NAICS</w:t>
      </w:r>
      <w:r w:rsidR="005903E9">
        <w:rPr>
          <w:sz w:val="24"/>
          <w:szCs w:val="24"/>
        </w:rPr>
        <w:t>)</w:t>
      </w:r>
      <w:r w:rsidRPr="00ED6E5C">
        <w:rPr>
          <w:sz w:val="24"/>
          <w:szCs w:val="24"/>
        </w:rPr>
        <w:t xml:space="preserve"> industrial classification, employment, and wages of nearly all nonfarm establishments in the United States.  Each quarter, the LDB is updated with the most recent universe data available.  </w:t>
      </w:r>
    </w:p>
    <w:p w:rsidRPr="00ED6E5C" w:rsidR="00CE7538" w:rsidP="005903E9" w:rsidRDefault="00CE7538">
      <w:pPr>
        <w:rPr>
          <w:sz w:val="24"/>
          <w:szCs w:val="24"/>
        </w:rPr>
      </w:pPr>
    </w:p>
    <w:p w:rsidRPr="00ED6E5C" w:rsidR="00CE7538" w:rsidP="005903E9" w:rsidRDefault="00CE7538">
      <w:pPr>
        <w:rPr>
          <w:sz w:val="24"/>
          <w:szCs w:val="24"/>
        </w:rPr>
      </w:pPr>
      <w:r w:rsidRPr="00ED6E5C">
        <w:rPr>
          <w:sz w:val="24"/>
          <w:szCs w:val="24"/>
        </w:rPr>
        <w:t xml:space="preserve">The CES probability sample includes approximately </w:t>
      </w:r>
      <w:r w:rsidR="0080455C">
        <w:rPr>
          <w:sz w:val="24"/>
          <w:szCs w:val="24"/>
        </w:rPr>
        <w:t>206,000</w:t>
      </w:r>
      <w:r w:rsidRPr="00ED6E5C">
        <w:rPr>
          <w:sz w:val="24"/>
          <w:szCs w:val="24"/>
        </w:rPr>
        <w:t xml:space="preserve"> Unemployment Insurance</w:t>
      </w:r>
      <w:r w:rsidRPr="00ED6E5C" w:rsidR="00AA641F">
        <w:rPr>
          <w:sz w:val="24"/>
          <w:szCs w:val="24"/>
        </w:rPr>
        <w:t> </w:t>
      </w:r>
      <w:r w:rsidRPr="00ED6E5C">
        <w:rPr>
          <w:sz w:val="24"/>
          <w:szCs w:val="24"/>
        </w:rPr>
        <w:t xml:space="preserve">(UI) accounts selected from the approximately </w:t>
      </w:r>
      <w:r w:rsidRPr="00BA3DB2" w:rsidR="00CA06B3">
        <w:rPr>
          <w:sz w:val="24"/>
          <w:szCs w:val="24"/>
        </w:rPr>
        <w:t>6.2</w:t>
      </w:r>
      <w:r w:rsidRPr="00BA3DB2" w:rsidR="003C182F">
        <w:rPr>
          <w:sz w:val="24"/>
          <w:szCs w:val="24"/>
        </w:rPr>
        <w:t xml:space="preserve"> million </w:t>
      </w:r>
      <w:r w:rsidRPr="00BA3DB2">
        <w:rPr>
          <w:sz w:val="24"/>
          <w:szCs w:val="24"/>
        </w:rPr>
        <w:t xml:space="preserve">UI accounts in the private sector.  The sampled UI accounts cover approximately </w:t>
      </w:r>
      <w:r w:rsidRPr="00BA3DB2" w:rsidR="00F059DF">
        <w:rPr>
          <w:sz w:val="24"/>
          <w:szCs w:val="24"/>
        </w:rPr>
        <w:t>1 million</w:t>
      </w:r>
      <w:r w:rsidRPr="00ED6E5C">
        <w:rPr>
          <w:sz w:val="24"/>
          <w:szCs w:val="24"/>
        </w:rPr>
        <w:t xml:space="preserve"> individual worksites.  These UI accounts are selected on a random probability basis as described in section 2a below.</w:t>
      </w:r>
    </w:p>
    <w:p w:rsidRPr="00ED6E5C" w:rsidR="00CE7538" w:rsidP="005903E9" w:rsidRDefault="00CE7538">
      <w:pPr>
        <w:rPr>
          <w:sz w:val="24"/>
          <w:szCs w:val="24"/>
        </w:rPr>
      </w:pPr>
    </w:p>
    <w:p w:rsidRPr="00ED6E5C" w:rsidR="002D7252" w:rsidP="005903E9" w:rsidRDefault="00CE7538">
      <w:pPr>
        <w:rPr>
          <w:sz w:val="24"/>
          <w:szCs w:val="24"/>
        </w:rPr>
      </w:pPr>
      <w:r w:rsidRPr="00BA3DB2">
        <w:rPr>
          <w:sz w:val="24"/>
          <w:szCs w:val="24"/>
        </w:rPr>
        <w:t xml:space="preserve">In addition, </w:t>
      </w:r>
      <w:r w:rsidRPr="00BA3DB2" w:rsidR="009E58FD">
        <w:rPr>
          <w:sz w:val="24"/>
          <w:szCs w:val="24"/>
        </w:rPr>
        <w:t xml:space="preserve">the </w:t>
      </w:r>
      <w:r w:rsidRPr="00BA3DB2">
        <w:rPr>
          <w:sz w:val="24"/>
          <w:szCs w:val="24"/>
        </w:rPr>
        <w:t xml:space="preserve">CES </w:t>
      </w:r>
      <w:r w:rsidRPr="00BA3DB2" w:rsidR="009E58FD">
        <w:rPr>
          <w:sz w:val="24"/>
          <w:szCs w:val="24"/>
        </w:rPr>
        <w:t xml:space="preserve">program </w:t>
      </w:r>
      <w:r w:rsidRPr="00BA3DB2">
        <w:rPr>
          <w:sz w:val="24"/>
          <w:szCs w:val="24"/>
        </w:rPr>
        <w:t xml:space="preserve">collects data from Federal, State, and </w:t>
      </w:r>
      <w:r w:rsidRPr="00BA3DB2" w:rsidR="00AA641F">
        <w:rPr>
          <w:sz w:val="24"/>
          <w:szCs w:val="24"/>
        </w:rPr>
        <w:t>l</w:t>
      </w:r>
      <w:r w:rsidRPr="00BA3DB2">
        <w:rPr>
          <w:sz w:val="24"/>
          <w:szCs w:val="24"/>
        </w:rPr>
        <w:t xml:space="preserve">ocal governments.  </w:t>
      </w:r>
      <w:r w:rsidRPr="00BA3DB2" w:rsidR="00B14991">
        <w:rPr>
          <w:sz w:val="24"/>
          <w:szCs w:val="24"/>
        </w:rPr>
        <w:t>T</w:t>
      </w:r>
      <w:r w:rsidRPr="00BA3DB2">
        <w:rPr>
          <w:sz w:val="24"/>
          <w:szCs w:val="24"/>
        </w:rPr>
        <w:t>he governments</w:t>
      </w:r>
      <w:r w:rsidRPr="00BA3DB2" w:rsidR="00B14991">
        <w:rPr>
          <w:sz w:val="24"/>
          <w:szCs w:val="24"/>
        </w:rPr>
        <w:t>’</w:t>
      </w:r>
      <w:r w:rsidRPr="00BA3DB2">
        <w:rPr>
          <w:sz w:val="24"/>
          <w:szCs w:val="24"/>
        </w:rPr>
        <w:t xml:space="preserve"> sample is not selected on a probability basis, </w:t>
      </w:r>
      <w:r w:rsidRPr="00BA3DB2" w:rsidR="00B14991">
        <w:rPr>
          <w:sz w:val="24"/>
          <w:szCs w:val="24"/>
        </w:rPr>
        <w:t xml:space="preserve">because </w:t>
      </w:r>
      <w:r w:rsidRPr="00BA3DB2">
        <w:rPr>
          <w:sz w:val="24"/>
          <w:szCs w:val="24"/>
        </w:rPr>
        <w:t>data are collected for a large percentage of</w:t>
      </w:r>
      <w:r w:rsidRPr="00BA3DB2" w:rsidR="00ED6E5C">
        <w:rPr>
          <w:sz w:val="24"/>
          <w:szCs w:val="24"/>
        </w:rPr>
        <w:t xml:space="preserve"> </w:t>
      </w:r>
      <w:r w:rsidRPr="00BA3DB2">
        <w:rPr>
          <w:sz w:val="24"/>
          <w:szCs w:val="24"/>
        </w:rPr>
        <w:t xml:space="preserve">the population employment. </w:t>
      </w:r>
      <w:r w:rsidRPr="00BA3DB2" w:rsidR="00AA641F">
        <w:rPr>
          <w:sz w:val="24"/>
          <w:szCs w:val="24"/>
        </w:rPr>
        <w:t xml:space="preserve"> </w:t>
      </w:r>
      <w:r w:rsidRPr="00BA3DB2">
        <w:rPr>
          <w:sz w:val="24"/>
          <w:szCs w:val="24"/>
        </w:rPr>
        <w:t xml:space="preserve">Data are collected for: approximately </w:t>
      </w:r>
      <w:r w:rsidRPr="00BA3DB2" w:rsidR="00176CCF">
        <w:rPr>
          <w:sz w:val="24"/>
          <w:szCs w:val="24"/>
        </w:rPr>
        <w:t>84.7</w:t>
      </w:r>
      <w:r w:rsidRPr="00BA3DB2" w:rsidR="00AA641F">
        <w:rPr>
          <w:sz w:val="24"/>
          <w:szCs w:val="24"/>
        </w:rPr>
        <w:t xml:space="preserve"> percent</w:t>
      </w:r>
      <w:r w:rsidRPr="00BA3DB2">
        <w:rPr>
          <w:sz w:val="24"/>
          <w:szCs w:val="24"/>
        </w:rPr>
        <w:t xml:space="preserve"> (</w:t>
      </w:r>
      <w:r w:rsidRPr="00BA3DB2" w:rsidR="002D7252">
        <w:rPr>
          <w:sz w:val="24"/>
          <w:szCs w:val="24"/>
        </w:rPr>
        <w:t>2.</w:t>
      </w:r>
      <w:r w:rsidRPr="00BA3DB2" w:rsidR="005C628B">
        <w:rPr>
          <w:sz w:val="24"/>
          <w:szCs w:val="24"/>
        </w:rPr>
        <w:t>80</w:t>
      </w:r>
      <w:r w:rsidRPr="00BA3DB2">
        <w:rPr>
          <w:sz w:val="24"/>
          <w:szCs w:val="24"/>
        </w:rPr>
        <w:t xml:space="preserve"> million employees) of total Federal civilian employment; approximately </w:t>
      </w:r>
      <w:r w:rsidRPr="00BA3DB2" w:rsidR="00176CCF">
        <w:rPr>
          <w:sz w:val="24"/>
          <w:szCs w:val="24"/>
        </w:rPr>
        <w:t>87.7</w:t>
      </w:r>
      <w:r w:rsidRPr="00BA3DB2" w:rsidR="00AA641F">
        <w:rPr>
          <w:sz w:val="24"/>
          <w:szCs w:val="24"/>
        </w:rPr>
        <w:t xml:space="preserve"> percent</w:t>
      </w:r>
      <w:r w:rsidRPr="00BA3DB2">
        <w:rPr>
          <w:sz w:val="24"/>
          <w:szCs w:val="24"/>
        </w:rPr>
        <w:t xml:space="preserve"> (</w:t>
      </w:r>
      <w:r w:rsidRPr="00BA3DB2" w:rsidR="00176CCF">
        <w:rPr>
          <w:sz w:val="24"/>
          <w:szCs w:val="24"/>
        </w:rPr>
        <w:t>4.6</w:t>
      </w:r>
      <w:r w:rsidRPr="00BA3DB2" w:rsidR="005C628B">
        <w:rPr>
          <w:sz w:val="24"/>
          <w:szCs w:val="24"/>
        </w:rPr>
        <w:t>7</w:t>
      </w:r>
      <w:r w:rsidRPr="00BA3DB2">
        <w:rPr>
          <w:sz w:val="24"/>
          <w:szCs w:val="24"/>
        </w:rPr>
        <w:t xml:space="preserve"> million employees) of total State employment; and approximately </w:t>
      </w:r>
      <w:r w:rsidRPr="00BA3DB2" w:rsidR="00176CCF">
        <w:rPr>
          <w:sz w:val="24"/>
          <w:szCs w:val="24"/>
        </w:rPr>
        <w:t>72.8</w:t>
      </w:r>
      <w:r w:rsidRPr="00BA3DB2" w:rsidR="00AA641F">
        <w:rPr>
          <w:sz w:val="24"/>
          <w:szCs w:val="24"/>
        </w:rPr>
        <w:t xml:space="preserve"> percent</w:t>
      </w:r>
      <w:r w:rsidRPr="00BA3DB2">
        <w:rPr>
          <w:sz w:val="24"/>
          <w:szCs w:val="24"/>
        </w:rPr>
        <w:t xml:space="preserve"> (</w:t>
      </w:r>
      <w:r w:rsidRPr="00BA3DB2" w:rsidR="00176CCF">
        <w:rPr>
          <w:sz w:val="24"/>
          <w:szCs w:val="24"/>
        </w:rPr>
        <w:t>1</w:t>
      </w:r>
      <w:r w:rsidRPr="00BA3DB2" w:rsidR="005C628B">
        <w:rPr>
          <w:sz w:val="24"/>
          <w:szCs w:val="24"/>
        </w:rPr>
        <w:t>4</w:t>
      </w:r>
      <w:r w:rsidRPr="00BA3DB2" w:rsidR="00176CCF">
        <w:rPr>
          <w:sz w:val="24"/>
          <w:szCs w:val="24"/>
        </w:rPr>
        <w:t>.</w:t>
      </w:r>
      <w:r w:rsidRPr="00BA3DB2" w:rsidR="005C628B">
        <w:rPr>
          <w:sz w:val="24"/>
          <w:szCs w:val="24"/>
        </w:rPr>
        <w:t>23</w:t>
      </w:r>
      <w:r w:rsidRPr="00BA3DB2">
        <w:rPr>
          <w:sz w:val="24"/>
          <w:szCs w:val="24"/>
        </w:rPr>
        <w:t xml:space="preserve"> million employees) of total </w:t>
      </w:r>
      <w:r w:rsidRPr="00BA3DB2" w:rsidR="00AA641F">
        <w:rPr>
          <w:sz w:val="24"/>
          <w:szCs w:val="24"/>
        </w:rPr>
        <w:t>l</w:t>
      </w:r>
      <w:r w:rsidRPr="00BA3DB2">
        <w:rPr>
          <w:sz w:val="24"/>
          <w:szCs w:val="24"/>
        </w:rPr>
        <w:t xml:space="preserve">ocal government employment. </w:t>
      </w:r>
      <w:r w:rsidRPr="00BA3DB2" w:rsidR="00AA641F">
        <w:rPr>
          <w:sz w:val="24"/>
          <w:szCs w:val="24"/>
        </w:rPr>
        <w:t xml:space="preserve"> </w:t>
      </w:r>
      <w:r w:rsidRPr="00BA3DB2">
        <w:rPr>
          <w:sz w:val="24"/>
          <w:szCs w:val="24"/>
        </w:rPr>
        <w:t xml:space="preserve">The government sample units are selected from the </w:t>
      </w:r>
      <w:r w:rsidRPr="00BA3DB2" w:rsidR="00322EEA">
        <w:rPr>
          <w:sz w:val="24"/>
          <w:szCs w:val="24"/>
        </w:rPr>
        <w:t>19,</w:t>
      </w:r>
      <w:r w:rsidRPr="00BA3DB2" w:rsidR="005C628B">
        <w:rPr>
          <w:sz w:val="24"/>
          <w:szCs w:val="24"/>
        </w:rPr>
        <w:t>700</w:t>
      </w:r>
      <w:r w:rsidRPr="00BA3DB2">
        <w:rPr>
          <w:sz w:val="24"/>
          <w:szCs w:val="24"/>
        </w:rPr>
        <w:t xml:space="preserve"> State, and </w:t>
      </w:r>
      <w:r w:rsidRPr="00BA3DB2" w:rsidR="00322EEA">
        <w:rPr>
          <w:sz w:val="24"/>
          <w:szCs w:val="24"/>
        </w:rPr>
        <w:t>7</w:t>
      </w:r>
      <w:r w:rsidRPr="00BA3DB2" w:rsidR="005C628B">
        <w:rPr>
          <w:sz w:val="24"/>
          <w:szCs w:val="24"/>
        </w:rPr>
        <w:t>5</w:t>
      </w:r>
      <w:r w:rsidRPr="00BA3DB2" w:rsidR="00322EEA">
        <w:rPr>
          <w:sz w:val="24"/>
          <w:szCs w:val="24"/>
        </w:rPr>
        <w:t>,</w:t>
      </w:r>
      <w:r w:rsidRPr="00BA3DB2" w:rsidR="005C628B">
        <w:rPr>
          <w:sz w:val="24"/>
          <w:szCs w:val="24"/>
        </w:rPr>
        <w:t>213</w:t>
      </w:r>
      <w:r w:rsidRPr="00BA3DB2">
        <w:rPr>
          <w:sz w:val="24"/>
          <w:szCs w:val="24"/>
        </w:rPr>
        <w:t xml:space="preserve"> </w:t>
      </w:r>
      <w:r w:rsidRPr="00BA3DB2" w:rsidR="00AA641F">
        <w:rPr>
          <w:sz w:val="24"/>
          <w:szCs w:val="24"/>
        </w:rPr>
        <w:t>l</w:t>
      </w:r>
      <w:r w:rsidRPr="00BA3DB2">
        <w:rPr>
          <w:sz w:val="24"/>
          <w:szCs w:val="24"/>
        </w:rPr>
        <w:t xml:space="preserve">ocal government UI </w:t>
      </w:r>
      <w:r w:rsidRPr="00BA3DB2" w:rsidR="00AA641F">
        <w:rPr>
          <w:sz w:val="24"/>
          <w:szCs w:val="24"/>
        </w:rPr>
        <w:t>a</w:t>
      </w:r>
      <w:r w:rsidRPr="00BA3DB2">
        <w:rPr>
          <w:sz w:val="24"/>
          <w:szCs w:val="24"/>
        </w:rPr>
        <w:t>ccounts on the LDB.</w:t>
      </w:r>
      <w:r w:rsidRPr="00BA3DB2" w:rsidR="008B3FB0">
        <w:rPr>
          <w:sz w:val="24"/>
          <w:szCs w:val="24"/>
        </w:rPr>
        <w:t xml:space="preserve">  Federal government employment is </w:t>
      </w:r>
      <w:r w:rsidRPr="00BA3DB2" w:rsidR="00B14991">
        <w:rPr>
          <w:sz w:val="24"/>
          <w:szCs w:val="24"/>
        </w:rPr>
        <w:t xml:space="preserve">largely </w:t>
      </w:r>
      <w:r w:rsidRPr="00BA3DB2" w:rsidR="008B3FB0">
        <w:rPr>
          <w:sz w:val="24"/>
          <w:szCs w:val="24"/>
        </w:rPr>
        <w:t>collected from the National Finance Center.</w:t>
      </w:r>
    </w:p>
    <w:p w:rsidRPr="00ED6E5C" w:rsidR="002D7252" w:rsidP="005903E9" w:rsidRDefault="002D7252">
      <w:pPr>
        <w:rPr>
          <w:sz w:val="24"/>
          <w:szCs w:val="24"/>
        </w:rPr>
      </w:pPr>
    </w:p>
    <w:p w:rsidRPr="00ED6E5C" w:rsidR="00CE7538" w:rsidP="005903E9" w:rsidRDefault="00CE7538">
      <w:pPr>
        <w:rPr>
          <w:sz w:val="24"/>
          <w:szCs w:val="24"/>
        </w:rPr>
      </w:pPr>
      <w:r w:rsidRPr="00ED6E5C">
        <w:rPr>
          <w:sz w:val="24"/>
          <w:szCs w:val="24"/>
        </w:rPr>
        <w:lastRenderedPageBreak/>
        <w:t xml:space="preserve">Data from sample members are collected each month on employment, hours, and earnings.  The survey is a Federal-State cooperative survey, with the national sample being a composite of the State samples.  </w:t>
      </w:r>
    </w:p>
    <w:p w:rsidR="00CE7538" w:rsidP="005903E9" w:rsidRDefault="00CE7538">
      <w:pPr>
        <w:rPr>
          <w:sz w:val="24"/>
          <w:szCs w:val="24"/>
        </w:rPr>
      </w:pPr>
    </w:p>
    <w:p w:rsidR="00BB2E06" w:rsidP="005903E9" w:rsidRDefault="00BB2E06">
      <w:pPr>
        <w:rPr>
          <w:sz w:val="24"/>
          <w:szCs w:val="24"/>
        </w:rPr>
      </w:pPr>
    </w:p>
    <w:p w:rsidRPr="00541F1C" w:rsidR="00BB2E06" w:rsidP="0000106D" w:rsidRDefault="00BB2E06">
      <w:pPr>
        <w:rPr>
          <w:b/>
          <w:sz w:val="24"/>
          <w:szCs w:val="24"/>
        </w:rPr>
      </w:pPr>
      <w:r w:rsidRPr="00541F1C">
        <w:rPr>
          <w:b/>
          <w:sz w:val="24"/>
          <w:szCs w:val="24"/>
        </w:rPr>
        <w:t xml:space="preserve">2. </w:t>
      </w:r>
      <w:r>
        <w:rPr>
          <w:b/>
        </w:rPr>
        <w:t xml:space="preserve"> </w:t>
      </w:r>
      <w:r w:rsidRPr="00541F1C">
        <w:rPr>
          <w:b/>
          <w:sz w:val="24"/>
          <w:szCs w:val="24"/>
        </w:rPr>
        <w:t>Describe the procedures for the collection of information including:</w:t>
      </w:r>
    </w:p>
    <w:p w:rsidRPr="008634E8" w:rsidR="00BB2E06" w:rsidP="000E2E89" w:rsidRDefault="00BB2E06">
      <w:pPr>
        <w:pStyle w:val="ListParagraph"/>
        <w:widowControl/>
        <w:numPr>
          <w:ilvl w:val="0"/>
          <w:numId w:val="6"/>
        </w:numPr>
        <w:rPr>
          <w:rFonts w:ascii="Times New Roman" w:hAnsi="Times New Roman"/>
          <w:b/>
        </w:rPr>
      </w:pPr>
      <w:r w:rsidRPr="008634E8">
        <w:rPr>
          <w:rFonts w:ascii="Times New Roman" w:hAnsi="Times New Roman"/>
          <w:b/>
        </w:rPr>
        <w:t>Statistical methodology for stratification and sample</w:t>
      </w:r>
      <w:r>
        <w:rPr>
          <w:rFonts w:ascii="Times New Roman" w:hAnsi="Times New Roman"/>
          <w:b/>
        </w:rPr>
        <w:t xml:space="preserve"> </w:t>
      </w:r>
      <w:r w:rsidRPr="008634E8">
        <w:rPr>
          <w:rFonts w:ascii="Times New Roman" w:hAnsi="Times New Roman"/>
          <w:b/>
        </w:rPr>
        <w:t>selection,</w:t>
      </w:r>
    </w:p>
    <w:p w:rsidRPr="008634E8" w:rsidR="00BB2E06" w:rsidP="000E2E89" w:rsidRDefault="00BB2E06">
      <w:pPr>
        <w:pStyle w:val="ListParagraph"/>
        <w:widowControl/>
        <w:numPr>
          <w:ilvl w:val="0"/>
          <w:numId w:val="5"/>
        </w:numPr>
        <w:rPr>
          <w:rFonts w:ascii="Times New Roman" w:hAnsi="Times New Roman"/>
          <w:b/>
        </w:rPr>
      </w:pPr>
      <w:r w:rsidRPr="008634E8">
        <w:rPr>
          <w:rFonts w:ascii="Times New Roman" w:hAnsi="Times New Roman"/>
          <w:b/>
        </w:rPr>
        <w:t>Estimation procedure,</w:t>
      </w:r>
    </w:p>
    <w:p w:rsidRPr="008634E8" w:rsidR="00BB2E06" w:rsidP="007E6629" w:rsidRDefault="00BB2E06">
      <w:pPr>
        <w:pStyle w:val="ListParagraph"/>
        <w:widowControl/>
        <w:numPr>
          <w:ilvl w:val="0"/>
          <w:numId w:val="5"/>
        </w:numPr>
        <w:rPr>
          <w:rFonts w:ascii="Times New Roman" w:hAnsi="Times New Roman"/>
          <w:b/>
        </w:rPr>
      </w:pPr>
      <w:r w:rsidRPr="008634E8">
        <w:rPr>
          <w:rFonts w:ascii="Times New Roman" w:hAnsi="Times New Roman"/>
          <w:b/>
        </w:rPr>
        <w:t>Degree of accuracy needed for the purpose described in the justification,</w:t>
      </w:r>
    </w:p>
    <w:p w:rsidRPr="008634E8" w:rsidR="00BB2E06" w:rsidP="007E6629" w:rsidRDefault="00BB2E06">
      <w:pPr>
        <w:pStyle w:val="ListParagraph"/>
        <w:widowControl/>
        <w:numPr>
          <w:ilvl w:val="0"/>
          <w:numId w:val="5"/>
        </w:numPr>
        <w:rPr>
          <w:rFonts w:ascii="Times New Roman" w:hAnsi="Times New Roman"/>
          <w:b/>
        </w:rPr>
      </w:pPr>
      <w:r w:rsidRPr="008634E8">
        <w:rPr>
          <w:rFonts w:ascii="Times New Roman" w:hAnsi="Times New Roman"/>
          <w:b/>
        </w:rPr>
        <w:t>Unusual problems requiring specialized sampling procedures, and</w:t>
      </w:r>
    </w:p>
    <w:p w:rsidRPr="008634E8" w:rsidR="00BB2E06" w:rsidP="007E6629" w:rsidRDefault="00BB2E06">
      <w:pPr>
        <w:pStyle w:val="ListParagraph"/>
        <w:widowControl/>
        <w:numPr>
          <w:ilvl w:val="0"/>
          <w:numId w:val="5"/>
        </w:numPr>
        <w:rPr>
          <w:rFonts w:ascii="Times New Roman" w:hAnsi="Times New Roman"/>
          <w:b/>
        </w:rPr>
      </w:pPr>
      <w:r w:rsidRPr="008634E8">
        <w:rPr>
          <w:rFonts w:ascii="Times New Roman" w:hAnsi="Times New Roman"/>
          <w:b/>
        </w:rPr>
        <w:t>Any use of periodic (less frequent than annual) data collection cycles to reduce burden.</w:t>
      </w:r>
    </w:p>
    <w:p w:rsidRPr="00ED6E5C" w:rsidR="00BB2E06" w:rsidP="005903E9" w:rsidRDefault="00BB2E06">
      <w:pPr>
        <w:rPr>
          <w:sz w:val="24"/>
          <w:szCs w:val="24"/>
        </w:rPr>
      </w:pPr>
    </w:p>
    <w:p w:rsidRPr="00ED6E5C" w:rsidR="00CE7538" w:rsidRDefault="00CE7538">
      <w:pPr>
        <w:spacing w:line="240" w:lineRule="exact"/>
        <w:rPr>
          <w:b/>
          <w:sz w:val="24"/>
          <w:szCs w:val="24"/>
        </w:rPr>
      </w:pPr>
      <w:r w:rsidRPr="00ED6E5C">
        <w:rPr>
          <w:b/>
          <w:sz w:val="24"/>
          <w:szCs w:val="24"/>
        </w:rPr>
        <w:t>2a.</w:t>
      </w:r>
      <w:r w:rsidRPr="00ED6E5C" w:rsidR="00AA641F">
        <w:rPr>
          <w:b/>
          <w:sz w:val="24"/>
          <w:szCs w:val="24"/>
        </w:rPr>
        <w:t xml:space="preserve"> </w:t>
      </w:r>
      <w:r w:rsidRPr="00ED6E5C">
        <w:rPr>
          <w:b/>
          <w:sz w:val="24"/>
          <w:szCs w:val="24"/>
        </w:rPr>
        <w:t xml:space="preserve"> S</w:t>
      </w:r>
      <w:r w:rsidR="00BB2E06">
        <w:rPr>
          <w:b/>
          <w:sz w:val="24"/>
          <w:szCs w:val="24"/>
        </w:rPr>
        <w:t>tatistical methodology for stratification and s</w:t>
      </w:r>
      <w:r w:rsidRPr="00ED6E5C">
        <w:rPr>
          <w:b/>
          <w:sz w:val="24"/>
          <w:szCs w:val="24"/>
        </w:rPr>
        <w:t xml:space="preserve">ample </w:t>
      </w:r>
      <w:r w:rsidR="00BB2E06">
        <w:rPr>
          <w:b/>
          <w:sz w:val="24"/>
          <w:szCs w:val="24"/>
        </w:rPr>
        <w:t>d</w:t>
      </w:r>
      <w:r w:rsidRPr="00ED6E5C">
        <w:rPr>
          <w:b/>
          <w:sz w:val="24"/>
          <w:szCs w:val="24"/>
        </w:rPr>
        <w:t>esign</w:t>
      </w:r>
    </w:p>
    <w:p w:rsidRPr="00ED6E5C" w:rsidR="00CE7538" w:rsidP="003073BC" w:rsidRDefault="00CE7538">
      <w:pPr>
        <w:rPr>
          <w:b/>
          <w:sz w:val="24"/>
          <w:szCs w:val="24"/>
        </w:rPr>
      </w:pPr>
    </w:p>
    <w:p w:rsidRPr="00ED6E5C" w:rsidR="00CE7538" w:rsidP="003073BC" w:rsidRDefault="00CE7538">
      <w:pPr>
        <w:rPr>
          <w:sz w:val="24"/>
          <w:szCs w:val="24"/>
        </w:rPr>
      </w:pPr>
      <w:r w:rsidRPr="00ED6E5C">
        <w:rPr>
          <w:sz w:val="24"/>
          <w:szCs w:val="24"/>
        </w:rPr>
        <w:t xml:space="preserve">The CES probability sample is a stratified, simple random sample, where the strata are defined by </w:t>
      </w:r>
      <w:r w:rsidR="009E58FD">
        <w:rPr>
          <w:sz w:val="24"/>
          <w:szCs w:val="24"/>
        </w:rPr>
        <w:t>S</w:t>
      </w:r>
      <w:r w:rsidRPr="00ED6E5C" w:rsidR="009E58FD">
        <w:rPr>
          <w:sz w:val="24"/>
          <w:szCs w:val="24"/>
        </w:rPr>
        <w:t>tate</w:t>
      </w:r>
      <w:r w:rsidRPr="00ED6E5C">
        <w:rPr>
          <w:sz w:val="24"/>
          <w:szCs w:val="24"/>
        </w:rPr>
        <w:t>, major</w:t>
      </w:r>
      <w:r w:rsidRPr="00ED6E5C" w:rsidR="00AE27B8">
        <w:rPr>
          <w:sz w:val="24"/>
          <w:szCs w:val="24"/>
        </w:rPr>
        <w:t xml:space="preserve"> (NAICS)</w:t>
      </w:r>
      <w:r w:rsidRPr="00ED6E5C">
        <w:rPr>
          <w:sz w:val="24"/>
          <w:szCs w:val="24"/>
        </w:rPr>
        <w:t xml:space="preserve"> industry division, and employment size (</w:t>
      </w:r>
      <w:r w:rsidRPr="00ED6E5C" w:rsidR="00314C37">
        <w:rPr>
          <w:sz w:val="24"/>
          <w:szCs w:val="24"/>
        </w:rPr>
        <w:t xml:space="preserve">BLS Handbook of Methods, Chapter 2, page 5, </w:t>
      </w:r>
      <w:r w:rsidR="00ED6E5C">
        <w:rPr>
          <w:sz w:val="24"/>
          <w:szCs w:val="24"/>
        </w:rPr>
        <w:t>Bureau of Labor Statistics, 2011)</w:t>
      </w:r>
      <w:r w:rsidRPr="00ED6E5C">
        <w:rPr>
          <w:sz w:val="24"/>
          <w:szCs w:val="24"/>
        </w:rPr>
        <w:t xml:space="preserve">.  Stratification groups population members together for the purpose of sample allocation and selection.  With 13 industries and 8 size classes, there are 104 total strata per State (Erkens, Huff, and Gershunskaya, 2005).  The sampling rates for each stratum are determined through a method known as optimum allocation, which distributes a fixed number of sample units across a set of strata to minimize the overall variance, or sampling error, on the employment estimates at a </w:t>
      </w:r>
      <w:r w:rsidR="009E58FD">
        <w:rPr>
          <w:sz w:val="24"/>
          <w:szCs w:val="24"/>
        </w:rPr>
        <w:t>S</w:t>
      </w:r>
      <w:r w:rsidRPr="00ED6E5C" w:rsidR="009E58FD">
        <w:rPr>
          <w:sz w:val="24"/>
          <w:szCs w:val="24"/>
        </w:rPr>
        <w:t xml:space="preserve">tate </w:t>
      </w:r>
      <w:r w:rsidRPr="00ED6E5C">
        <w:rPr>
          <w:sz w:val="24"/>
          <w:szCs w:val="24"/>
        </w:rPr>
        <w:t xml:space="preserve">level.  </w:t>
      </w:r>
    </w:p>
    <w:p w:rsidRPr="00ED6E5C" w:rsidR="00CE7538" w:rsidP="003073BC" w:rsidRDefault="00CE7538">
      <w:pPr>
        <w:rPr>
          <w:sz w:val="24"/>
          <w:szCs w:val="24"/>
        </w:rPr>
      </w:pPr>
    </w:p>
    <w:p w:rsidRPr="00ED6E5C" w:rsidR="00CE7538" w:rsidP="003073BC" w:rsidRDefault="00CE7538">
      <w:pPr>
        <w:rPr>
          <w:sz w:val="24"/>
          <w:szCs w:val="24"/>
        </w:rPr>
      </w:pPr>
      <w:r w:rsidRPr="00ED6E5C">
        <w:rPr>
          <w:sz w:val="24"/>
          <w:szCs w:val="24"/>
        </w:rPr>
        <w:t xml:space="preserve">The </w:t>
      </w:r>
      <w:r w:rsidRPr="00ED6E5C" w:rsidR="00AA641F">
        <w:rPr>
          <w:sz w:val="24"/>
          <w:szCs w:val="24"/>
        </w:rPr>
        <w:t>UI</w:t>
      </w:r>
      <w:r w:rsidRPr="00ED6E5C">
        <w:rPr>
          <w:sz w:val="24"/>
          <w:szCs w:val="24"/>
        </w:rPr>
        <w:t xml:space="preserve"> account is the basic sampling unit of the CES survey.  UI account numbers are unique within a State and include all individual establishments within a firm.  Though the LDB is updated on a quarterly basis, the sample is redrawn annually due to budget </w:t>
      </w:r>
      <w:r w:rsidRPr="00ED6E5C" w:rsidR="001F0B3F">
        <w:rPr>
          <w:sz w:val="24"/>
          <w:szCs w:val="24"/>
        </w:rPr>
        <w:t xml:space="preserve">and operational </w:t>
      </w:r>
      <w:r w:rsidRPr="00ED6E5C">
        <w:rPr>
          <w:sz w:val="24"/>
          <w:szCs w:val="24"/>
        </w:rPr>
        <w:t>constraints.  The annual sample is redrawn to reflect the changes in the population or the sampling frame.  These changes include, but are not limited to: removal of establishments that have gone out of business; inclusion of new establishments (i.e., births); growth or decline in the employment of each establishment and consequently the UI account; and updated industrial classification for some establishments.  The annual sample of UI accounts is drawn using a permanent random numbers technique in order to achieve the desired sample overlap with the UIs from previous samples (Butani, Robertson, and Mueller, 1998).  The use of this technique keeps solicitation costs within budget and keeps the sample statistically valid in terms of updated probabilities of selection that reflect all recent changes (Crankshaw, Kujawa, and Stamas</w:t>
      </w:r>
      <w:r w:rsidRPr="00ED6E5C" w:rsidR="00E00B4B">
        <w:rPr>
          <w:sz w:val="24"/>
          <w:szCs w:val="24"/>
        </w:rPr>
        <w:t>,</w:t>
      </w:r>
      <w:r w:rsidRPr="00ED6E5C">
        <w:rPr>
          <w:sz w:val="24"/>
          <w:szCs w:val="24"/>
        </w:rPr>
        <w:t xml:space="preserve"> 2002).  In addition to the annual redraw, the CES sample is updated on a semi-annual basis, as more recent universe data becomes available.  The semi-annual update provides the opportunity to sample birth units that were not previously on the sampling frame during the annual redraw.  </w:t>
      </w:r>
    </w:p>
    <w:p w:rsidRPr="00ED6E5C" w:rsidR="00CE7538" w:rsidP="003073BC" w:rsidRDefault="00CE7538">
      <w:pPr>
        <w:rPr>
          <w:sz w:val="24"/>
          <w:szCs w:val="24"/>
        </w:rPr>
      </w:pPr>
      <w:r w:rsidRPr="00ED6E5C">
        <w:rPr>
          <w:sz w:val="24"/>
          <w:szCs w:val="24"/>
        </w:rPr>
        <w:t xml:space="preserve">  </w:t>
      </w:r>
    </w:p>
    <w:p w:rsidRPr="00ED6E5C" w:rsidR="00CE7538" w:rsidP="003073BC" w:rsidRDefault="008B3FB0">
      <w:pPr>
        <w:rPr>
          <w:sz w:val="24"/>
          <w:szCs w:val="24"/>
        </w:rPr>
      </w:pPr>
      <w:r w:rsidRPr="00ED6E5C">
        <w:rPr>
          <w:sz w:val="24"/>
          <w:szCs w:val="24"/>
        </w:rPr>
        <w:t>Large</w:t>
      </w:r>
      <w:r w:rsidRPr="00ED6E5C" w:rsidR="00CE7538">
        <w:rPr>
          <w:sz w:val="24"/>
          <w:szCs w:val="24"/>
        </w:rPr>
        <w:t xml:space="preserve"> UI accounts are sampled with </w:t>
      </w:r>
      <w:r w:rsidRPr="00ED6E5C">
        <w:rPr>
          <w:sz w:val="24"/>
          <w:szCs w:val="24"/>
        </w:rPr>
        <w:t xml:space="preserve">virtual </w:t>
      </w:r>
      <w:r w:rsidRPr="00ED6E5C" w:rsidR="00CE7538">
        <w:rPr>
          <w:sz w:val="24"/>
          <w:szCs w:val="24"/>
        </w:rPr>
        <w:t xml:space="preserve">certainty.  In addition, all units reporting through the Electronic Data Interchange (EDI) center are sampled with certainty.  EDI units are collected via direct file transmission from large, multi-unit employers for whom conventional data collection methods would be less cost effective.  </w:t>
      </w:r>
    </w:p>
    <w:p w:rsidRPr="00ED6E5C" w:rsidR="00CE7538" w:rsidP="003073BC" w:rsidRDefault="00CE7538">
      <w:pPr>
        <w:rPr>
          <w:sz w:val="24"/>
          <w:szCs w:val="24"/>
        </w:rPr>
      </w:pPr>
    </w:p>
    <w:p w:rsidRPr="00ED6E5C" w:rsidR="00CE7538" w:rsidP="003073BC" w:rsidRDefault="00CE7538">
      <w:pPr>
        <w:rPr>
          <w:sz w:val="24"/>
          <w:szCs w:val="24"/>
        </w:rPr>
      </w:pPr>
      <w:r w:rsidRPr="00ED6E5C">
        <w:rPr>
          <w:sz w:val="24"/>
          <w:szCs w:val="24"/>
        </w:rPr>
        <w:lastRenderedPageBreak/>
        <w:t>The size of the currently selected probability sample and sample coverage is shown in the following table.</w:t>
      </w:r>
    </w:p>
    <w:p w:rsidR="00757A6E" w:rsidP="003073BC" w:rsidRDefault="00757A6E"/>
    <w:p w:rsidRPr="00ED6E5C" w:rsidR="00757A6E" w:rsidP="00757A6E" w:rsidRDefault="00757A6E">
      <w:pPr>
        <w:jc w:val="center"/>
      </w:pPr>
      <w:r w:rsidRPr="00ED6E5C">
        <w:t>CES Survey Universe and Sample Size Comparison on NAICS basis, Private Sector</w:t>
      </w:r>
    </w:p>
    <w:p w:rsidR="00757A6E" w:rsidP="00757A6E" w:rsidRDefault="00757A6E">
      <w:pPr>
        <w:jc w:val="center"/>
      </w:pPr>
      <w:r w:rsidRPr="00ED6E5C">
        <w:t>(in thousands)</w:t>
      </w:r>
    </w:p>
    <w:p w:rsidR="00767968" w:rsidP="00757A6E" w:rsidRDefault="00767968">
      <w:pPr>
        <w:jc w:val="center"/>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10"/>
        <w:gridCol w:w="1080"/>
        <w:gridCol w:w="1260"/>
        <w:gridCol w:w="1440"/>
        <w:gridCol w:w="1080"/>
        <w:gridCol w:w="1170"/>
        <w:gridCol w:w="1440"/>
      </w:tblGrid>
      <w:tr w:rsidRPr="00ED6E5C" w:rsidR="00757A6E" w:rsidTr="00E17E44">
        <w:tblPrEx>
          <w:tblCellMar>
            <w:top w:w="0" w:type="dxa"/>
            <w:bottom w:w="0" w:type="dxa"/>
          </w:tblCellMar>
        </w:tblPrEx>
        <w:trPr>
          <w:cantSplit/>
        </w:trPr>
        <w:tc>
          <w:tcPr>
            <w:tcW w:w="1710" w:type="dxa"/>
          </w:tcPr>
          <w:p w:rsidRPr="00ED6E5C" w:rsidR="00757A6E" w:rsidP="00072467" w:rsidRDefault="00757A6E"/>
          <w:p w:rsidRPr="00ED6E5C" w:rsidR="00757A6E" w:rsidP="00072467" w:rsidRDefault="00757A6E"/>
        </w:tc>
        <w:tc>
          <w:tcPr>
            <w:tcW w:w="3780" w:type="dxa"/>
            <w:gridSpan w:val="3"/>
          </w:tcPr>
          <w:p w:rsidRPr="0017115B" w:rsidR="00757A6E" w:rsidP="005C628B" w:rsidRDefault="00757A6E">
            <w:pPr>
              <w:jc w:val="center"/>
              <w:rPr>
                <w:b/>
              </w:rPr>
            </w:pPr>
            <w:r w:rsidRPr="0017115B">
              <w:rPr>
                <w:b/>
              </w:rPr>
              <w:t>Universe (March 201</w:t>
            </w:r>
            <w:r w:rsidR="00197E5A">
              <w:rPr>
                <w:b/>
              </w:rPr>
              <w:t>9)</w:t>
            </w:r>
          </w:p>
        </w:tc>
        <w:tc>
          <w:tcPr>
            <w:tcW w:w="3690" w:type="dxa"/>
            <w:gridSpan w:val="3"/>
          </w:tcPr>
          <w:p w:rsidRPr="0017115B" w:rsidR="00757A6E" w:rsidP="00767968" w:rsidRDefault="00757A6E">
            <w:pPr>
              <w:jc w:val="center"/>
              <w:rPr>
                <w:b/>
              </w:rPr>
            </w:pPr>
            <w:r w:rsidRPr="0017115B">
              <w:rPr>
                <w:b/>
              </w:rPr>
              <w:t>Sample (March 201</w:t>
            </w:r>
            <w:r w:rsidR="000D5509">
              <w:rPr>
                <w:b/>
              </w:rPr>
              <w:t>9</w:t>
            </w:r>
            <w:r w:rsidRPr="0017115B">
              <w:rPr>
                <w:b/>
              </w:rPr>
              <w:t>)</w:t>
            </w:r>
          </w:p>
        </w:tc>
      </w:tr>
      <w:tr w:rsidRPr="00ED6E5C" w:rsidR="00757A6E" w:rsidTr="00E17E44">
        <w:tblPrEx>
          <w:tblCellMar>
            <w:top w:w="0" w:type="dxa"/>
            <w:bottom w:w="0" w:type="dxa"/>
          </w:tblCellMar>
        </w:tblPrEx>
        <w:tc>
          <w:tcPr>
            <w:tcW w:w="1710" w:type="dxa"/>
          </w:tcPr>
          <w:p w:rsidRPr="0017115B" w:rsidR="00757A6E" w:rsidP="00072467" w:rsidRDefault="00757A6E">
            <w:pPr>
              <w:rPr>
                <w:b/>
              </w:rPr>
            </w:pPr>
            <w:r w:rsidRPr="0017115B">
              <w:rPr>
                <w:b/>
              </w:rPr>
              <w:t>Industry</w:t>
            </w:r>
          </w:p>
        </w:tc>
        <w:tc>
          <w:tcPr>
            <w:tcW w:w="1080" w:type="dxa"/>
          </w:tcPr>
          <w:p w:rsidRPr="0017115B" w:rsidR="00757A6E" w:rsidP="00072467" w:rsidRDefault="00757A6E">
            <w:pPr>
              <w:jc w:val="center"/>
              <w:rPr>
                <w:b/>
              </w:rPr>
            </w:pPr>
            <w:r w:rsidRPr="0017115B">
              <w:rPr>
                <w:b/>
              </w:rPr>
              <w:t xml:space="preserve">UI </w:t>
            </w:r>
          </w:p>
          <w:p w:rsidRPr="0017115B" w:rsidR="00757A6E" w:rsidP="00072467" w:rsidRDefault="00757A6E">
            <w:pPr>
              <w:jc w:val="center"/>
              <w:rPr>
                <w:b/>
              </w:rPr>
            </w:pPr>
            <w:r w:rsidRPr="0017115B">
              <w:rPr>
                <w:b/>
              </w:rPr>
              <w:t>Accounts</w:t>
            </w:r>
          </w:p>
        </w:tc>
        <w:tc>
          <w:tcPr>
            <w:tcW w:w="1260" w:type="dxa"/>
          </w:tcPr>
          <w:p w:rsidRPr="0017115B" w:rsidR="00757A6E" w:rsidP="00072467" w:rsidRDefault="00757A6E">
            <w:pPr>
              <w:jc w:val="center"/>
              <w:rPr>
                <w:b/>
              </w:rPr>
            </w:pPr>
            <w:r w:rsidRPr="0017115B">
              <w:rPr>
                <w:b/>
              </w:rPr>
              <w:t xml:space="preserve">Reporting </w:t>
            </w:r>
          </w:p>
          <w:p w:rsidRPr="0017115B" w:rsidR="00757A6E" w:rsidP="00072467" w:rsidRDefault="00757A6E">
            <w:pPr>
              <w:jc w:val="center"/>
              <w:rPr>
                <w:b/>
              </w:rPr>
            </w:pPr>
            <w:r w:rsidRPr="0017115B">
              <w:rPr>
                <w:b/>
              </w:rPr>
              <w:t>Units</w:t>
            </w:r>
          </w:p>
        </w:tc>
        <w:tc>
          <w:tcPr>
            <w:tcW w:w="1440" w:type="dxa"/>
          </w:tcPr>
          <w:p w:rsidRPr="0017115B" w:rsidR="00757A6E" w:rsidP="00072467" w:rsidRDefault="00757A6E">
            <w:pPr>
              <w:jc w:val="center"/>
              <w:rPr>
                <w:b/>
              </w:rPr>
            </w:pPr>
            <w:r w:rsidRPr="0017115B">
              <w:rPr>
                <w:b/>
              </w:rPr>
              <w:t>Employment</w:t>
            </w:r>
          </w:p>
        </w:tc>
        <w:tc>
          <w:tcPr>
            <w:tcW w:w="1080" w:type="dxa"/>
          </w:tcPr>
          <w:p w:rsidRPr="0017115B" w:rsidR="00757A6E" w:rsidP="00072467" w:rsidRDefault="00757A6E">
            <w:pPr>
              <w:jc w:val="center"/>
              <w:rPr>
                <w:b/>
              </w:rPr>
            </w:pPr>
            <w:r w:rsidRPr="0017115B">
              <w:rPr>
                <w:b/>
              </w:rPr>
              <w:t xml:space="preserve">UI </w:t>
            </w:r>
          </w:p>
          <w:p w:rsidRPr="0017115B" w:rsidR="00757A6E" w:rsidP="00072467" w:rsidRDefault="00757A6E">
            <w:pPr>
              <w:jc w:val="center"/>
              <w:rPr>
                <w:b/>
              </w:rPr>
            </w:pPr>
            <w:r w:rsidRPr="0017115B">
              <w:rPr>
                <w:b/>
              </w:rPr>
              <w:t>Accounts</w:t>
            </w:r>
          </w:p>
        </w:tc>
        <w:tc>
          <w:tcPr>
            <w:tcW w:w="1170" w:type="dxa"/>
          </w:tcPr>
          <w:p w:rsidRPr="0017115B" w:rsidR="00757A6E" w:rsidP="00072467" w:rsidRDefault="00757A6E">
            <w:pPr>
              <w:jc w:val="center"/>
              <w:rPr>
                <w:b/>
              </w:rPr>
            </w:pPr>
            <w:r w:rsidRPr="0017115B">
              <w:rPr>
                <w:b/>
              </w:rPr>
              <w:t xml:space="preserve">Reporting </w:t>
            </w:r>
          </w:p>
          <w:p w:rsidRPr="0017115B" w:rsidR="00757A6E" w:rsidP="00072467" w:rsidRDefault="00757A6E">
            <w:pPr>
              <w:jc w:val="center"/>
              <w:rPr>
                <w:b/>
              </w:rPr>
            </w:pPr>
            <w:r w:rsidRPr="0017115B">
              <w:rPr>
                <w:b/>
              </w:rPr>
              <w:t>Units</w:t>
            </w:r>
          </w:p>
        </w:tc>
        <w:tc>
          <w:tcPr>
            <w:tcW w:w="1440" w:type="dxa"/>
          </w:tcPr>
          <w:p w:rsidRPr="0017115B" w:rsidR="00757A6E" w:rsidP="00072467" w:rsidRDefault="00757A6E">
            <w:pPr>
              <w:jc w:val="center"/>
              <w:rPr>
                <w:b/>
              </w:rPr>
            </w:pPr>
            <w:r w:rsidRPr="0017115B">
              <w:rPr>
                <w:b/>
              </w:rPr>
              <w:t>Employment</w:t>
            </w:r>
          </w:p>
        </w:tc>
      </w:tr>
      <w:tr w:rsidRPr="00ED6E5C" w:rsidR="000E396C" w:rsidTr="00E17E44">
        <w:tblPrEx>
          <w:tblCellMar>
            <w:top w:w="0" w:type="dxa"/>
            <w:bottom w:w="0" w:type="dxa"/>
          </w:tblCellMar>
        </w:tblPrEx>
        <w:tc>
          <w:tcPr>
            <w:tcW w:w="1710" w:type="dxa"/>
          </w:tcPr>
          <w:p w:rsidRPr="00ED6E5C" w:rsidR="000E396C" w:rsidP="000E396C" w:rsidRDefault="000E396C">
            <w:r w:rsidRPr="00ED6E5C">
              <w:t>Mining and Logging</w:t>
            </w:r>
          </w:p>
        </w:tc>
        <w:tc>
          <w:tcPr>
            <w:tcW w:w="1080" w:type="dxa"/>
            <w:tcBorders>
              <w:top w:val="single" w:color="auto" w:sz="4" w:space="0"/>
              <w:left w:val="single" w:color="auto" w:sz="8" w:space="0"/>
              <w:bottom w:val="single" w:color="auto" w:sz="4" w:space="0"/>
              <w:right w:val="single" w:color="auto" w:sz="4" w:space="0"/>
            </w:tcBorders>
            <w:shd w:val="clear" w:color="auto" w:fill="auto"/>
            <w:vAlign w:val="bottom"/>
          </w:tcPr>
          <w:p w:rsidRPr="00BA3DB2" w:rsidR="000E396C" w:rsidP="0017115B" w:rsidRDefault="000E396C">
            <w:pPr>
              <w:jc w:val="right"/>
              <w:rPr>
                <w:color w:val="000000"/>
              </w:rPr>
            </w:pPr>
            <w:r w:rsidRPr="00BA3DB2">
              <w:rPr>
                <w:color w:val="000000"/>
              </w:rPr>
              <w:t>3</w:t>
            </w:r>
            <w:r w:rsidRPr="00BA3DB2" w:rsidR="00233393">
              <w:rPr>
                <w:color w:val="000000"/>
              </w:rPr>
              <w:t>0.3</w:t>
            </w:r>
          </w:p>
        </w:tc>
        <w:tc>
          <w:tcPr>
            <w:tcW w:w="1260" w:type="dxa"/>
            <w:tcBorders>
              <w:top w:val="single" w:color="auto" w:sz="4" w:space="0"/>
              <w:left w:val="nil"/>
              <w:bottom w:val="single" w:color="auto" w:sz="4" w:space="0"/>
              <w:right w:val="single" w:color="auto" w:sz="4" w:space="0"/>
            </w:tcBorders>
            <w:shd w:val="clear" w:color="auto" w:fill="auto"/>
            <w:vAlign w:val="bottom"/>
          </w:tcPr>
          <w:p w:rsidRPr="00BA3DB2" w:rsidR="000E396C" w:rsidP="0017115B" w:rsidRDefault="00D84B95">
            <w:pPr>
              <w:jc w:val="right"/>
              <w:rPr>
                <w:color w:val="000000"/>
              </w:rPr>
            </w:pPr>
            <w:r w:rsidRPr="00BA3DB2">
              <w:rPr>
                <w:color w:val="000000"/>
              </w:rPr>
              <w:t>36.0</w:t>
            </w:r>
          </w:p>
        </w:tc>
        <w:tc>
          <w:tcPr>
            <w:tcW w:w="1440" w:type="dxa"/>
            <w:tcBorders>
              <w:top w:val="single" w:color="auto" w:sz="4" w:space="0"/>
              <w:left w:val="nil"/>
              <w:bottom w:val="single" w:color="auto" w:sz="4" w:space="0"/>
              <w:right w:val="single" w:color="auto" w:sz="8" w:space="0"/>
            </w:tcBorders>
            <w:shd w:val="clear" w:color="auto" w:fill="auto"/>
            <w:vAlign w:val="bottom"/>
          </w:tcPr>
          <w:p w:rsidRPr="00BA3DB2" w:rsidR="000E396C" w:rsidP="0017115B" w:rsidRDefault="00844343">
            <w:pPr>
              <w:jc w:val="right"/>
              <w:rPr>
                <w:color w:val="000000"/>
              </w:rPr>
            </w:pPr>
            <w:r w:rsidRPr="00BA3DB2">
              <w:rPr>
                <w:color w:val="000000"/>
              </w:rPr>
              <w:t>739.4</w:t>
            </w:r>
          </w:p>
        </w:tc>
        <w:tc>
          <w:tcPr>
            <w:tcW w:w="1080" w:type="dxa"/>
            <w:tcBorders>
              <w:top w:val="single" w:color="auto" w:sz="4" w:space="0"/>
              <w:left w:val="single" w:color="auto" w:sz="8" w:space="0"/>
              <w:bottom w:val="single" w:color="auto" w:sz="4" w:space="0"/>
              <w:right w:val="single" w:color="auto" w:sz="4" w:space="0"/>
            </w:tcBorders>
            <w:shd w:val="clear" w:color="auto" w:fill="auto"/>
            <w:vAlign w:val="bottom"/>
          </w:tcPr>
          <w:p w:rsidRPr="00BA3DB2" w:rsidR="000E396C" w:rsidP="0017115B" w:rsidRDefault="00BB0433">
            <w:pPr>
              <w:jc w:val="right"/>
              <w:rPr>
                <w:color w:val="000000"/>
              </w:rPr>
            </w:pPr>
            <w:r w:rsidRPr="00BA3DB2">
              <w:rPr>
                <w:color w:val="000000"/>
              </w:rPr>
              <w:t>2.0</w:t>
            </w:r>
          </w:p>
        </w:tc>
        <w:tc>
          <w:tcPr>
            <w:tcW w:w="1170" w:type="dxa"/>
            <w:tcBorders>
              <w:top w:val="single" w:color="auto" w:sz="4" w:space="0"/>
              <w:left w:val="nil"/>
              <w:bottom w:val="single" w:color="auto" w:sz="4" w:space="0"/>
              <w:right w:val="single" w:color="auto" w:sz="4" w:space="0"/>
            </w:tcBorders>
            <w:shd w:val="clear" w:color="auto" w:fill="auto"/>
            <w:vAlign w:val="bottom"/>
          </w:tcPr>
          <w:p w:rsidRPr="00BA3DB2" w:rsidR="000E396C" w:rsidP="0017115B" w:rsidRDefault="005076F1">
            <w:pPr>
              <w:jc w:val="right"/>
              <w:rPr>
                <w:color w:val="000000"/>
              </w:rPr>
            </w:pPr>
            <w:r w:rsidRPr="00BA3DB2">
              <w:rPr>
                <w:color w:val="000000"/>
              </w:rPr>
              <w:t>5.7</w:t>
            </w:r>
          </w:p>
        </w:tc>
        <w:tc>
          <w:tcPr>
            <w:tcW w:w="1440" w:type="dxa"/>
            <w:tcBorders>
              <w:top w:val="single" w:color="auto" w:sz="4" w:space="0"/>
              <w:left w:val="nil"/>
              <w:bottom w:val="single" w:color="auto" w:sz="4" w:space="0"/>
              <w:right w:val="single" w:color="auto" w:sz="8" w:space="0"/>
            </w:tcBorders>
            <w:shd w:val="clear" w:color="auto" w:fill="auto"/>
            <w:vAlign w:val="bottom"/>
          </w:tcPr>
          <w:p w:rsidRPr="00BA3DB2" w:rsidR="000E396C" w:rsidP="0017115B" w:rsidRDefault="00671BE4">
            <w:pPr>
              <w:jc w:val="right"/>
              <w:rPr>
                <w:color w:val="000000"/>
              </w:rPr>
            </w:pPr>
            <w:r w:rsidRPr="00BA3DB2">
              <w:rPr>
                <w:color w:val="000000"/>
              </w:rPr>
              <w:t>362.1</w:t>
            </w:r>
          </w:p>
        </w:tc>
      </w:tr>
      <w:tr w:rsidRPr="00ED6E5C" w:rsidR="000E396C" w:rsidTr="00E17E44">
        <w:tblPrEx>
          <w:tblCellMar>
            <w:top w:w="0" w:type="dxa"/>
            <w:bottom w:w="0" w:type="dxa"/>
          </w:tblCellMar>
        </w:tblPrEx>
        <w:tc>
          <w:tcPr>
            <w:tcW w:w="1710" w:type="dxa"/>
          </w:tcPr>
          <w:p w:rsidRPr="00ED6E5C" w:rsidR="000E396C" w:rsidP="000E396C" w:rsidRDefault="000E396C">
            <w:r w:rsidRPr="00ED6E5C">
              <w:t>Construction</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0E396C">
            <w:pPr>
              <w:jc w:val="right"/>
              <w:rPr>
                <w:color w:val="000000"/>
              </w:rPr>
            </w:pPr>
            <w:r w:rsidRPr="00BA3DB2">
              <w:rPr>
                <w:color w:val="000000"/>
              </w:rPr>
              <w:t>6</w:t>
            </w:r>
            <w:r w:rsidRPr="00BA3DB2" w:rsidR="00233393">
              <w:rPr>
                <w:color w:val="000000"/>
              </w:rPr>
              <w:t>71.6</w:t>
            </w:r>
          </w:p>
        </w:tc>
        <w:tc>
          <w:tcPr>
            <w:tcW w:w="1260" w:type="dxa"/>
            <w:tcBorders>
              <w:top w:val="nil"/>
              <w:left w:val="nil"/>
              <w:bottom w:val="single" w:color="auto" w:sz="4" w:space="0"/>
              <w:right w:val="single" w:color="auto" w:sz="4" w:space="0"/>
            </w:tcBorders>
            <w:shd w:val="clear" w:color="auto" w:fill="auto"/>
            <w:vAlign w:val="bottom"/>
          </w:tcPr>
          <w:p w:rsidRPr="00BA3DB2" w:rsidR="000E396C" w:rsidP="0017115B" w:rsidRDefault="00D84B95">
            <w:pPr>
              <w:jc w:val="right"/>
              <w:rPr>
                <w:color w:val="000000"/>
              </w:rPr>
            </w:pPr>
            <w:r w:rsidRPr="00BA3DB2">
              <w:rPr>
                <w:color w:val="000000"/>
              </w:rPr>
              <w:t>700.1</w:t>
            </w:r>
          </w:p>
        </w:tc>
        <w:tc>
          <w:tcPr>
            <w:tcW w:w="1440" w:type="dxa"/>
            <w:tcBorders>
              <w:top w:val="nil"/>
              <w:left w:val="nil"/>
              <w:bottom w:val="single" w:color="auto" w:sz="4" w:space="0"/>
              <w:right w:val="single" w:color="auto" w:sz="8" w:space="0"/>
            </w:tcBorders>
            <w:shd w:val="clear" w:color="auto" w:fill="auto"/>
            <w:vAlign w:val="bottom"/>
          </w:tcPr>
          <w:p w:rsidRPr="00BA3DB2" w:rsidR="000E396C" w:rsidP="0017115B" w:rsidRDefault="00844343">
            <w:pPr>
              <w:jc w:val="right"/>
              <w:rPr>
                <w:color w:val="000000"/>
              </w:rPr>
            </w:pPr>
            <w:r w:rsidRPr="00BA3DB2">
              <w:rPr>
                <w:color w:val="000000"/>
              </w:rPr>
              <w:t>7,160.0</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BB0433">
            <w:pPr>
              <w:jc w:val="right"/>
              <w:rPr>
                <w:color w:val="000000"/>
              </w:rPr>
            </w:pPr>
            <w:r w:rsidRPr="00BA3DB2">
              <w:rPr>
                <w:color w:val="000000"/>
              </w:rPr>
              <w:t>18.5</w:t>
            </w:r>
          </w:p>
        </w:tc>
        <w:tc>
          <w:tcPr>
            <w:tcW w:w="1170" w:type="dxa"/>
            <w:tcBorders>
              <w:top w:val="nil"/>
              <w:left w:val="nil"/>
              <w:bottom w:val="single" w:color="auto" w:sz="4" w:space="0"/>
              <w:right w:val="single" w:color="auto" w:sz="4" w:space="0"/>
            </w:tcBorders>
            <w:shd w:val="clear" w:color="auto" w:fill="auto"/>
            <w:vAlign w:val="bottom"/>
          </w:tcPr>
          <w:p w:rsidRPr="00BA3DB2" w:rsidR="000E396C" w:rsidP="0017115B" w:rsidRDefault="005076F1">
            <w:pPr>
              <w:jc w:val="right"/>
              <w:rPr>
                <w:color w:val="000000"/>
              </w:rPr>
            </w:pPr>
            <w:r w:rsidRPr="00BA3DB2">
              <w:rPr>
                <w:color w:val="000000"/>
              </w:rPr>
              <w:t>40.4</w:t>
            </w:r>
          </w:p>
        </w:tc>
        <w:tc>
          <w:tcPr>
            <w:tcW w:w="1440" w:type="dxa"/>
            <w:tcBorders>
              <w:top w:val="nil"/>
              <w:left w:val="nil"/>
              <w:bottom w:val="single" w:color="auto" w:sz="4" w:space="0"/>
              <w:right w:val="single" w:color="auto" w:sz="8" w:space="0"/>
            </w:tcBorders>
            <w:shd w:val="clear" w:color="auto" w:fill="auto"/>
            <w:vAlign w:val="bottom"/>
          </w:tcPr>
          <w:p w:rsidRPr="00BA3DB2" w:rsidR="000E396C" w:rsidP="0017115B" w:rsidRDefault="00671BE4">
            <w:pPr>
              <w:jc w:val="right"/>
              <w:rPr>
                <w:color w:val="000000"/>
              </w:rPr>
            </w:pPr>
            <w:r w:rsidRPr="00BA3DB2">
              <w:rPr>
                <w:color w:val="000000"/>
              </w:rPr>
              <w:t>1</w:t>
            </w:r>
            <w:r w:rsidRPr="00BA3DB2" w:rsidR="00DE7783">
              <w:rPr>
                <w:color w:val="000000"/>
              </w:rPr>
              <w:t>,</w:t>
            </w:r>
            <w:r w:rsidRPr="00BA3DB2">
              <w:rPr>
                <w:color w:val="000000"/>
              </w:rPr>
              <w:t>476.1</w:t>
            </w:r>
          </w:p>
        </w:tc>
      </w:tr>
      <w:tr w:rsidRPr="00ED6E5C" w:rsidR="000E396C" w:rsidTr="00E17E44">
        <w:tblPrEx>
          <w:tblCellMar>
            <w:top w:w="0" w:type="dxa"/>
            <w:bottom w:w="0" w:type="dxa"/>
          </w:tblCellMar>
        </w:tblPrEx>
        <w:tc>
          <w:tcPr>
            <w:tcW w:w="1710" w:type="dxa"/>
          </w:tcPr>
          <w:p w:rsidRPr="00ED6E5C" w:rsidR="000E396C" w:rsidP="000E396C" w:rsidRDefault="000E396C">
            <w:r w:rsidRPr="00ED6E5C">
              <w:t>Manufacturing</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0E396C">
            <w:pPr>
              <w:jc w:val="right"/>
              <w:rPr>
                <w:color w:val="000000"/>
              </w:rPr>
            </w:pPr>
            <w:r w:rsidRPr="00BA3DB2">
              <w:rPr>
                <w:color w:val="000000"/>
              </w:rPr>
              <w:t>2</w:t>
            </w:r>
            <w:r w:rsidRPr="00BA3DB2" w:rsidR="00233393">
              <w:rPr>
                <w:color w:val="000000"/>
              </w:rPr>
              <w:t>95.0</w:t>
            </w:r>
          </w:p>
        </w:tc>
        <w:tc>
          <w:tcPr>
            <w:tcW w:w="126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D84B95">
            <w:pPr>
              <w:jc w:val="right"/>
              <w:rPr>
                <w:color w:val="000000"/>
              </w:rPr>
            </w:pPr>
            <w:r w:rsidRPr="00BA3DB2">
              <w:rPr>
                <w:color w:val="000000"/>
              </w:rPr>
              <w:t>327.0</w:t>
            </w:r>
          </w:p>
        </w:tc>
        <w:tc>
          <w:tcPr>
            <w:tcW w:w="144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844343">
            <w:pPr>
              <w:jc w:val="right"/>
              <w:rPr>
                <w:color w:val="000000"/>
              </w:rPr>
            </w:pPr>
            <w:r w:rsidRPr="00BA3DB2">
              <w:rPr>
                <w:color w:val="000000"/>
              </w:rPr>
              <w:t>12,866.4</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BB0433">
            <w:pPr>
              <w:jc w:val="right"/>
              <w:rPr>
                <w:color w:val="000000"/>
              </w:rPr>
            </w:pPr>
            <w:r w:rsidRPr="00BA3DB2">
              <w:rPr>
                <w:color w:val="000000"/>
              </w:rPr>
              <w:t>13.4</w:t>
            </w:r>
          </w:p>
        </w:tc>
        <w:tc>
          <w:tcPr>
            <w:tcW w:w="117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5076F1">
            <w:pPr>
              <w:jc w:val="right"/>
              <w:rPr>
                <w:color w:val="000000"/>
              </w:rPr>
            </w:pPr>
            <w:r w:rsidRPr="00BA3DB2">
              <w:rPr>
                <w:color w:val="000000"/>
              </w:rPr>
              <w:t>31.7</w:t>
            </w:r>
          </w:p>
        </w:tc>
        <w:tc>
          <w:tcPr>
            <w:tcW w:w="144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DE7783">
            <w:pPr>
              <w:jc w:val="right"/>
              <w:rPr>
                <w:color w:val="000000"/>
              </w:rPr>
            </w:pPr>
            <w:r w:rsidRPr="00BA3DB2">
              <w:rPr>
                <w:color w:val="000000"/>
              </w:rPr>
              <w:t>5,142.2</w:t>
            </w:r>
          </w:p>
        </w:tc>
      </w:tr>
      <w:tr w:rsidRPr="00ED6E5C" w:rsidR="000E396C" w:rsidTr="00E17E44">
        <w:tblPrEx>
          <w:tblCellMar>
            <w:top w:w="0" w:type="dxa"/>
            <w:bottom w:w="0" w:type="dxa"/>
          </w:tblCellMar>
        </w:tblPrEx>
        <w:tc>
          <w:tcPr>
            <w:tcW w:w="1710" w:type="dxa"/>
          </w:tcPr>
          <w:p w:rsidRPr="00ED6E5C" w:rsidR="000E396C" w:rsidP="000E396C" w:rsidRDefault="000E396C">
            <w:r>
              <w:t>Services</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233393">
            <w:pPr>
              <w:jc w:val="right"/>
              <w:rPr>
                <w:color w:val="000000"/>
              </w:rPr>
            </w:pPr>
            <w:r w:rsidRPr="00BA3DB2">
              <w:rPr>
                <w:color w:val="000000"/>
              </w:rPr>
              <w:t>5</w:t>
            </w:r>
            <w:r w:rsidRPr="00BA3DB2" w:rsidR="00844343">
              <w:rPr>
                <w:color w:val="000000"/>
              </w:rPr>
              <w:t>,</w:t>
            </w:r>
            <w:r w:rsidRPr="00BA3DB2">
              <w:rPr>
                <w:color w:val="000000"/>
              </w:rPr>
              <w:t>179.8</w:t>
            </w:r>
          </w:p>
        </w:tc>
        <w:tc>
          <w:tcPr>
            <w:tcW w:w="126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D84B95">
            <w:pPr>
              <w:jc w:val="right"/>
              <w:rPr>
                <w:color w:val="000000"/>
              </w:rPr>
            </w:pPr>
            <w:r w:rsidRPr="00BA3DB2">
              <w:rPr>
                <w:color w:val="000000"/>
              </w:rPr>
              <w:t>6</w:t>
            </w:r>
            <w:r w:rsidRPr="00BA3DB2" w:rsidR="00844343">
              <w:rPr>
                <w:color w:val="000000"/>
              </w:rPr>
              <w:t>,</w:t>
            </w:r>
            <w:r w:rsidRPr="00BA3DB2">
              <w:rPr>
                <w:color w:val="000000"/>
              </w:rPr>
              <w:t>503.4</w:t>
            </w:r>
          </w:p>
        </w:tc>
        <w:tc>
          <w:tcPr>
            <w:tcW w:w="144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844343">
            <w:pPr>
              <w:jc w:val="right"/>
              <w:rPr>
                <w:color w:val="000000"/>
              </w:rPr>
            </w:pPr>
            <w:r w:rsidRPr="00BA3DB2">
              <w:rPr>
                <w:color w:val="000000"/>
              </w:rPr>
              <w:t>98,430.6</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BB0433">
            <w:pPr>
              <w:jc w:val="right"/>
              <w:rPr>
                <w:color w:val="000000"/>
              </w:rPr>
            </w:pPr>
            <w:r w:rsidRPr="00BA3DB2">
              <w:rPr>
                <w:color w:val="000000"/>
              </w:rPr>
              <w:t>168.2</w:t>
            </w:r>
          </w:p>
        </w:tc>
        <w:tc>
          <w:tcPr>
            <w:tcW w:w="117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5076F1">
            <w:pPr>
              <w:jc w:val="right"/>
              <w:rPr>
                <w:color w:val="000000"/>
              </w:rPr>
            </w:pPr>
            <w:r w:rsidRPr="00BA3DB2">
              <w:rPr>
                <w:color w:val="000000"/>
              </w:rPr>
              <w:t>988.3</w:t>
            </w:r>
          </w:p>
        </w:tc>
        <w:tc>
          <w:tcPr>
            <w:tcW w:w="144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DE7783">
            <w:pPr>
              <w:jc w:val="right"/>
              <w:rPr>
                <w:color w:val="000000"/>
              </w:rPr>
            </w:pPr>
            <w:r w:rsidRPr="00BA3DB2">
              <w:rPr>
                <w:color w:val="000000"/>
              </w:rPr>
              <w:t>44,442.6</w:t>
            </w:r>
          </w:p>
        </w:tc>
      </w:tr>
      <w:tr w:rsidRPr="00ED6E5C" w:rsidR="000E396C" w:rsidTr="00E17E44">
        <w:tblPrEx>
          <w:tblCellMar>
            <w:top w:w="0" w:type="dxa"/>
            <w:bottom w:w="0" w:type="dxa"/>
          </w:tblCellMar>
        </w:tblPrEx>
        <w:trPr>
          <w:trHeight w:val="233"/>
        </w:trPr>
        <w:tc>
          <w:tcPr>
            <w:tcW w:w="1710" w:type="dxa"/>
          </w:tcPr>
          <w:p w:rsidRPr="00ED6E5C" w:rsidR="000E396C" w:rsidP="000E396C" w:rsidRDefault="000E396C">
            <w:r>
              <w:t>Education</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233393">
            <w:pPr>
              <w:jc w:val="right"/>
              <w:rPr>
                <w:color w:val="000000"/>
              </w:rPr>
            </w:pPr>
            <w:r w:rsidRPr="00BA3DB2">
              <w:rPr>
                <w:color w:val="000000"/>
              </w:rPr>
              <w:t>100.0</w:t>
            </w:r>
          </w:p>
        </w:tc>
        <w:tc>
          <w:tcPr>
            <w:tcW w:w="1260" w:type="dxa"/>
            <w:tcBorders>
              <w:top w:val="nil"/>
              <w:left w:val="nil"/>
              <w:bottom w:val="single" w:color="auto" w:sz="4" w:space="0"/>
              <w:right w:val="single" w:color="auto" w:sz="4" w:space="0"/>
            </w:tcBorders>
            <w:shd w:val="clear" w:color="auto" w:fill="auto"/>
            <w:vAlign w:val="bottom"/>
          </w:tcPr>
          <w:p w:rsidRPr="00BA3DB2" w:rsidR="000E396C" w:rsidP="0017115B" w:rsidRDefault="00D84B95">
            <w:pPr>
              <w:jc w:val="right"/>
              <w:rPr>
                <w:color w:val="000000"/>
              </w:rPr>
            </w:pPr>
            <w:r w:rsidRPr="00BA3DB2">
              <w:rPr>
                <w:color w:val="000000"/>
              </w:rPr>
              <w:t>109.0</w:t>
            </w:r>
          </w:p>
        </w:tc>
        <w:tc>
          <w:tcPr>
            <w:tcW w:w="1440" w:type="dxa"/>
            <w:tcBorders>
              <w:top w:val="nil"/>
              <w:left w:val="nil"/>
              <w:bottom w:val="single" w:color="auto" w:sz="4" w:space="0"/>
              <w:right w:val="single" w:color="auto" w:sz="8" w:space="0"/>
            </w:tcBorders>
            <w:shd w:val="clear" w:color="auto" w:fill="auto"/>
            <w:vAlign w:val="bottom"/>
          </w:tcPr>
          <w:p w:rsidRPr="00BA3DB2" w:rsidR="000E396C" w:rsidP="0017115B" w:rsidRDefault="00844343">
            <w:pPr>
              <w:jc w:val="right"/>
              <w:rPr>
                <w:color w:val="000000"/>
              </w:rPr>
            </w:pPr>
            <w:r w:rsidRPr="00BA3DB2">
              <w:rPr>
                <w:color w:val="000000"/>
              </w:rPr>
              <w:t>2,974.6</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BB0433">
            <w:pPr>
              <w:jc w:val="right"/>
              <w:rPr>
                <w:color w:val="000000"/>
              </w:rPr>
            </w:pPr>
            <w:r w:rsidRPr="00BA3DB2">
              <w:rPr>
                <w:color w:val="000000"/>
              </w:rPr>
              <w:t>4.00</w:t>
            </w:r>
          </w:p>
        </w:tc>
        <w:tc>
          <w:tcPr>
            <w:tcW w:w="1170" w:type="dxa"/>
            <w:tcBorders>
              <w:top w:val="nil"/>
              <w:left w:val="nil"/>
              <w:bottom w:val="single" w:color="auto" w:sz="4" w:space="0"/>
              <w:right w:val="single" w:color="auto" w:sz="4" w:space="0"/>
            </w:tcBorders>
            <w:shd w:val="clear" w:color="auto" w:fill="auto"/>
            <w:vAlign w:val="bottom"/>
          </w:tcPr>
          <w:p w:rsidRPr="00BA3DB2" w:rsidR="000E396C" w:rsidP="0017115B" w:rsidRDefault="005076F1">
            <w:pPr>
              <w:jc w:val="right"/>
              <w:rPr>
                <w:color w:val="000000"/>
              </w:rPr>
            </w:pPr>
            <w:r w:rsidRPr="00BA3DB2">
              <w:rPr>
                <w:color w:val="000000"/>
              </w:rPr>
              <w:t>9.2</w:t>
            </w:r>
          </w:p>
        </w:tc>
        <w:tc>
          <w:tcPr>
            <w:tcW w:w="1440" w:type="dxa"/>
            <w:tcBorders>
              <w:top w:val="nil"/>
              <w:left w:val="nil"/>
              <w:bottom w:val="single" w:color="auto" w:sz="4" w:space="0"/>
              <w:right w:val="single" w:color="auto" w:sz="8" w:space="0"/>
            </w:tcBorders>
            <w:shd w:val="clear" w:color="auto" w:fill="auto"/>
            <w:vAlign w:val="bottom"/>
          </w:tcPr>
          <w:p w:rsidRPr="00BA3DB2" w:rsidR="000E396C" w:rsidP="0017115B" w:rsidRDefault="00DE7783">
            <w:pPr>
              <w:jc w:val="right"/>
              <w:rPr>
                <w:color w:val="000000"/>
              </w:rPr>
            </w:pPr>
            <w:r w:rsidRPr="00BA3DB2">
              <w:rPr>
                <w:color w:val="000000"/>
              </w:rPr>
              <w:t>1,438.5</w:t>
            </w:r>
          </w:p>
        </w:tc>
      </w:tr>
      <w:tr w:rsidRPr="00ED6E5C" w:rsidR="000E396C" w:rsidTr="00E17E44">
        <w:tblPrEx>
          <w:tblCellMar>
            <w:top w:w="0" w:type="dxa"/>
            <w:bottom w:w="0" w:type="dxa"/>
          </w:tblCellMar>
        </w:tblPrEx>
        <w:tc>
          <w:tcPr>
            <w:tcW w:w="1710" w:type="dxa"/>
          </w:tcPr>
          <w:p w:rsidRPr="0017115B" w:rsidR="000E396C" w:rsidP="000E396C" w:rsidRDefault="000E396C">
            <w:pPr>
              <w:rPr>
                <w:b/>
              </w:rPr>
            </w:pPr>
            <w:r w:rsidRPr="0017115B">
              <w:rPr>
                <w:b/>
              </w:rPr>
              <w:t>Total</w:t>
            </w:r>
          </w:p>
        </w:tc>
        <w:tc>
          <w:tcPr>
            <w:tcW w:w="108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233393">
            <w:pPr>
              <w:jc w:val="right"/>
              <w:rPr>
                <w:b/>
                <w:color w:val="000000"/>
              </w:rPr>
            </w:pPr>
            <w:r w:rsidRPr="00BA3DB2">
              <w:rPr>
                <w:b/>
                <w:color w:val="000000"/>
              </w:rPr>
              <w:t>6,276.7</w:t>
            </w:r>
          </w:p>
        </w:tc>
        <w:tc>
          <w:tcPr>
            <w:tcW w:w="126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D84B95">
            <w:pPr>
              <w:jc w:val="right"/>
              <w:rPr>
                <w:b/>
                <w:color w:val="000000"/>
              </w:rPr>
            </w:pPr>
            <w:r w:rsidRPr="00BA3DB2">
              <w:rPr>
                <w:b/>
                <w:color w:val="000000"/>
              </w:rPr>
              <w:t>7,675.5</w:t>
            </w:r>
          </w:p>
        </w:tc>
        <w:tc>
          <w:tcPr>
            <w:tcW w:w="144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F43DEE">
            <w:pPr>
              <w:jc w:val="right"/>
              <w:rPr>
                <w:b/>
                <w:color w:val="000000"/>
              </w:rPr>
            </w:pPr>
            <w:r w:rsidRPr="00BA3DB2">
              <w:rPr>
                <w:b/>
                <w:color w:val="000000"/>
              </w:rPr>
              <w:t>122,171</w:t>
            </w:r>
            <w:r w:rsidRPr="00BA3DB2" w:rsidR="00844343">
              <w:rPr>
                <w:b/>
                <w:color w:val="000000"/>
              </w:rPr>
              <w:t>.0</w:t>
            </w:r>
          </w:p>
        </w:tc>
        <w:tc>
          <w:tcPr>
            <w:tcW w:w="108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BB0433">
            <w:pPr>
              <w:jc w:val="right"/>
              <w:rPr>
                <w:b/>
                <w:color w:val="000000"/>
              </w:rPr>
            </w:pPr>
            <w:r w:rsidRPr="00BA3DB2">
              <w:rPr>
                <w:b/>
                <w:color w:val="000000"/>
              </w:rPr>
              <w:t>206.1</w:t>
            </w:r>
          </w:p>
        </w:tc>
        <w:tc>
          <w:tcPr>
            <w:tcW w:w="117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5076F1">
            <w:pPr>
              <w:jc w:val="right"/>
              <w:rPr>
                <w:b/>
                <w:color w:val="000000"/>
              </w:rPr>
            </w:pPr>
            <w:r w:rsidRPr="00BA3DB2">
              <w:rPr>
                <w:b/>
                <w:color w:val="000000"/>
              </w:rPr>
              <w:t>1,075.3</w:t>
            </w:r>
          </w:p>
        </w:tc>
        <w:tc>
          <w:tcPr>
            <w:tcW w:w="144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DE7783">
            <w:pPr>
              <w:jc w:val="right"/>
              <w:rPr>
                <w:b/>
                <w:color w:val="000000"/>
              </w:rPr>
            </w:pPr>
            <w:r w:rsidRPr="00BA3DB2">
              <w:rPr>
                <w:b/>
                <w:color w:val="000000"/>
              </w:rPr>
              <w:t>52,861.5</w:t>
            </w:r>
          </w:p>
        </w:tc>
      </w:tr>
    </w:tbl>
    <w:p w:rsidRPr="00ED6E5C" w:rsidR="00757A6E" w:rsidP="00757A6E" w:rsidRDefault="00757A6E">
      <w:pPr>
        <w:pStyle w:val="Index1"/>
        <w:rPr>
          <w:szCs w:val="24"/>
        </w:rPr>
      </w:pPr>
    </w:p>
    <w:p w:rsidRPr="00ED6E5C" w:rsidR="00CE7538" w:rsidRDefault="00CE7538">
      <w:pPr>
        <w:pStyle w:val="Index1"/>
        <w:rPr>
          <w:szCs w:val="24"/>
        </w:rPr>
      </w:pPr>
      <w:r w:rsidRPr="00ED6E5C">
        <w:rPr>
          <w:szCs w:val="24"/>
        </w:rPr>
        <w:t>2b.</w:t>
      </w:r>
      <w:r w:rsidRPr="00ED6E5C" w:rsidR="00AA641F">
        <w:rPr>
          <w:szCs w:val="24"/>
        </w:rPr>
        <w:t xml:space="preserve"> </w:t>
      </w:r>
      <w:r w:rsidRPr="00ED6E5C">
        <w:rPr>
          <w:szCs w:val="24"/>
        </w:rPr>
        <w:t xml:space="preserve"> Estimation Procedure</w:t>
      </w:r>
    </w:p>
    <w:p w:rsidRPr="00ED6E5C" w:rsidR="00CE7538" w:rsidP="003073BC" w:rsidRDefault="00CE7538">
      <w:pPr>
        <w:pStyle w:val="Header"/>
        <w:tabs>
          <w:tab w:val="clear" w:pos="4320"/>
          <w:tab w:val="clear" w:pos="8640"/>
        </w:tabs>
        <w:rPr>
          <w:rFonts w:ascii="Times New Roman" w:hAnsi="Times New Roman"/>
          <w:szCs w:val="24"/>
        </w:rPr>
      </w:pPr>
    </w:p>
    <w:p w:rsidRPr="00ED6E5C" w:rsidR="00CE7538" w:rsidP="003073BC" w:rsidRDefault="00CE7538">
      <w:pPr>
        <w:pStyle w:val="BodyText"/>
        <w:spacing w:line="240" w:lineRule="auto"/>
        <w:rPr>
          <w:szCs w:val="24"/>
        </w:rPr>
      </w:pPr>
      <w:r w:rsidRPr="00ED6E5C">
        <w:rPr>
          <w:szCs w:val="24"/>
        </w:rPr>
        <w:t>The estimation technique used in estimating All Employees (AE) is a weighted link-relative estimator, which is a form of ratio estimation (</w:t>
      </w:r>
      <w:r w:rsidRPr="00ED6E5C" w:rsidR="008D57DC">
        <w:rPr>
          <w:szCs w:val="24"/>
        </w:rPr>
        <w:t>f</w:t>
      </w:r>
      <w:r w:rsidRPr="00ED6E5C" w:rsidR="002A16C6">
        <w:rPr>
          <w:szCs w:val="24"/>
        </w:rPr>
        <w:t>o</w:t>
      </w:r>
      <w:r w:rsidRPr="00ED6E5C" w:rsidR="00536556">
        <w:rPr>
          <w:szCs w:val="24"/>
        </w:rPr>
        <w:t xml:space="preserve">r detailed mathematical formulae of this estimator, see </w:t>
      </w:r>
      <w:r w:rsidRPr="00ED6E5C" w:rsidR="009E2698">
        <w:rPr>
          <w:szCs w:val="24"/>
        </w:rPr>
        <w:t xml:space="preserve">the </w:t>
      </w:r>
      <w:r w:rsidRPr="00ED6E5C" w:rsidR="00314C37">
        <w:rPr>
          <w:szCs w:val="24"/>
        </w:rPr>
        <w:t xml:space="preserve">BLS Handbook of Methods, </w:t>
      </w:r>
      <w:r w:rsidRPr="00ED6E5C" w:rsidR="00536556">
        <w:rPr>
          <w:szCs w:val="24"/>
        </w:rPr>
        <w:t xml:space="preserve">Chapter 2, pages 5-7, </w:t>
      </w:r>
      <w:r w:rsidRPr="00ED6E5C">
        <w:rPr>
          <w:szCs w:val="24"/>
        </w:rPr>
        <w:t xml:space="preserve">Bureau of Labor Statistics, </w:t>
      </w:r>
      <w:r w:rsidR="00ED6E5C">
        <w:rPr>
          <w:szCs w:val="24"/>
        </w:rPr>
        <w:t>2011</w:t>
      </w:r>
      <w:r w:rsidRPr="00ED6E5C">
        <w:rPr>
          <w:szCs w:val="24"/>
        </w:rPr>
        <w:t>).  From a sample composed of establishments reporting for both the previous and current mon</w:t>
      </w:r>
      <w:r w:rsidRPr="00ED6E5C" w:rsidR="002A012A">
        <w:rPr>
          <w:szCs w:val="24"/>
        </w:rPr>
        <w:t>ths, the ratio of current month</w:t>
      </w:r>
      <w:r w:rsidRPr="00ED6E5C">
        <w:rPr>
          <w:szCs w:val="24"/>
        </w:rPr>
        <w:t xml:space="preserve"> weighted employment to that of the previous month, weighted employment is computed.  The weights are defined to be the inverse of the probability of selection in the sample. </w:t>
      </w:r>
      <w:r w:rsidRPr="00ED6E5C" w:rsidR="009E2698">
        <w:rPr>
          <w:szCs w:val="24"/>
        </w:rPr>
        <w:t xml:space="preserve"> </w:t>
      </w:r>
      <w:r w:rsidRPr="00ED6E5C">
        <w:rPr>
          <w:szCs w:val="24"/>
        </w:rPr>
        <w:t>The weight is calculated based on the number of UI accounts actually selected within each allocation cell.  Estimates are calculated within each estimation cell and then summed across appropriate cells to form estimates for aggregate levels.</w:t>
      </w:r>
    </w:p>
    <w:p w:rsidRPr="00ED6E5C" w:rsidR="00CE7538" w:rsidP="003073BC" w:rsidRDefault="00CE7538">
      <w:pPr>
        <w:pStyle w:val="BodyText"/>
        <w:spacing w:line="240" w:lineRule="auto"/>
        <w:rPr>
          <w:szCs w:val="24"/>
        </w:rPr>
      </w:pPr>
    </w:p>
    <w:p w:rsidRPr="00ED6E5C" w:rsidR="00CE7538" w:rsidP="003073BC" w:rsidRDefault="00CE7538">
      <w:pPr>
        <w:pStyle w:val="BodyText"/>
        <w:spacing w:line="240" w:lineRule="auto"/>
        <w:rPr>
          <w:szCs w:val="24"/>
        </w:rPr>
      </w:pPr>
      <w:r w:rsidRPr="00ED6E5C">
        <w:rPr>
          <w:szCs w:val="24"/>
        </w:rPr>
        <w:t xml:space="preserve">The weighted link and taper estimator used for non-AE datatypes accounts for the over-the-month change in the sampled units, but also includes a tapering feature used to keep the estimates close to the overall sample average over time.  The taper is considered to be a level correction.  Like the estimator for AE, only </w:t>
      </w:r>
      <w:r w:rsidRPr="00ED6E5C" w:rsidR="009E2698">
        <w:rPr>
          <w:szCs w:val="24"/>
        </w:rPr>
        <w:t xml:space="preserve">the </w:t>
      </w:r>
      <w:r w:rsidRPr="00ED6E5C">
        <w:rPr>
          <w:szCs w:val="24"/>
        </w:rPr>
        <w:t xml:space="preserve">matched sample is used to reduce the variance on the over-the-month change.  The estimator tapers the estimate toward the sample average for the previous month of the current matched sample before applying the current month’s change.  </w:t>
      </w:r>
    </w:p>
    <w:p w:rsidRPr="00ED6E5C" w:rsidR="00511912" w:rsidP="003073BC" w:rsidRDefault="00511912">
      <w:pPr>
        <w:pStyle w:val="BodyText"/>
        <w:spacing w:line="240" w:lineRule="auto"/>
        <w:rPr>
          <w:szCs w:val="24"/>
        </w:rPr>
      </w:pPr>
    </w:p>
    <w:p w:rsidRPr="00ED6E5C" w:rsidR="00CE7538" w:rsidRDefault="00CE7538">
      <w:pPr>
        <w:spacing w:line="240" w:lineRule="exact"/>
        <w:rPr>
          <w:b/>
          <w:sz w:val="24"/>
          <w:szCs w:val="24"/>
        </w:rPr>
      </w:pPr>
      <w:r w:rsidRPr="00ED6E5C">
        <w:rPr>
          <w:b/>
          <w:sz w:val="24"/>
          <w:szCs w:val="24"/>
        </w:rPr>
        <w:t xml:space="preserve">2c.  </w:t>
      </w:r>
      <w:r w:rsidR="00BB2E06">
        <w:rPr>
          <w:b/>
          <w:sz w:val="24"/>
          <w:szCs w:val="24"/>
        </w:rPr>
        <w:t>Degree of accuracy needed for the purpose described in the justification</w:t>
      </w:r>
    </w:p>
    <w:p w:rsidRPr="00ED6E5C" w:rsidR="00CE7538" w:rsidP="003073BC" w:rsidRDefault="00CE7538">
      <w:pPr>
        <w:rPr>
          <w:sz w:val="24"/>
          <w:szCs w:val="24"/>
        </w:rPr>
      </w:pPr>
    </w:p>
    <w:p w:rsidRPr="00ED6E5C" w:rsidR="00CE7538" w:rsidP="003073BC" w:rsidRDefault="00CE7538">
      <w:pPr>
        <w:rPr>
          <w:sz w:val="24"/>
          <w:szCs w:val="24"/>
        </w:rPr>
      </w:pPr>
      <w:r w:rsidRPr="00ED6E5C">
        <w:rPr>
          <w:sz w:val="24"/>
          <w:szCs w:val="24"/>
        </w:rPr>
        <w:t xml:space="preserve">Like other sample surveys, </w:t>
      </w:r>
      <w:r w:rsidR="009E58FD">
        <w:rPr>
          <w:sz w:val="24"/>
          <w:szCs w:val="24"/>
        </w:rPr>
        <w:t xml:space="preserve">the </w:t>
      </w:r>
      <w:r w:rsidRPr="00ED6E5C">
        <w:rPr>
          <w:sz w:val="24"/>
          <w:szCs w:val="24"/>
        </w:rPr>
        <w:t xml:space="preserve">CES </w:t>
      </w:r>
      <w:r w:rsidR="009E58FD">
        <w:rPr>
          <w:sz w:val="24"/>
          <w:szCs w:val="24"/>
        </w:rPr>
        <w:t xml:space="preserve">survey </w:t>
      </w:r>
      <w:r w:rsidRPr="00ED6E5C">
        <w:rPr>
          <w:sz w:val="24"/>
          <w:szCs w:val="24"/>
        </w:rPr>
        <w:t>is subject to two types of error, sampling and non</w:t>
      </w:r>
      <w:r w:rsidRPr="00ED6E5C" w:rsidR="009E2698">
        <w:rPr>
          <w:sz w:val="24"/>
          <w:szCs w:val="24"/>
        </w:rPr>
        <w:t>-</w:t>
      </w:r>
      <w:r w:rsidRPr="00ED6E5C">
        <w:rPr>
          <w:sz w:val="24"/>
          <w:szCs w:val="24"/>
        </w:rPr>
        <w:t>sampling error.  The magnitude of sampling error, or variance, is directly related to the size of the sample and the percentage of universe coverage achieved by the sample.  Because the CES sample covers about 40 percent of total universe employment, the sample error on the national</w:t>
      </w:r>
      <w:r w:rsidRPr="00ED6E5C" w:rsidR="00176D94">
        <w:rPr>
          <w:sz w:val="24"/>
          <w:szCs w:val="24"/>
        </w:rPr>
        <w:t>, first closing,</w:t>
      </w:r>
      <w:r w:rsidRPr="00ED6E5C">
        <w:rPr>
          <w:sz w:val="24"/>
          <w:szCs w:val="24"/>
        </w:rPr>
        <w:t xml:space="preserve"> total nonfarm </w:t>
      </w:r>
      <w:r w:rsidRPr="00ED6E5C" w:rsidR="00176D94">
        <w:rPr>
          <w:sz w:val="24"/>
          <w:szCs w:val="24"/>
        </w:rPr>
        <w:t xml:space="preserve">employment </w:t>
      </w:r>
      <w:r w:rsidRPr="00ED6E5C">
        <w:rPr>
          <w:sz w:val="24"/>
          <w:szCs w:val="24"/>
        </w:rPr>
        <w:t>estimate is small.  The relative standard error for the major industry divisions at the national level under the probability sample are given in the table below.</w:t>
      </w:r>
    </w:p>
    <w:p w:rsidRPr="00ED6E5C" w:rsidR="00CE7538" w:rsidP="003073BC" w:rsidRDefault="00CE7538">
      <w:pPr>
        <w:pStyle w:val="BodyText"/>
        <w:spacing w:line="240" w:lineRule="auto"/>
        <w:rPr>
          <w:szCs w:val="24"/>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0"/>
        <w:gridCol w:w="3690"/>
        <w:gridCol w:w="2970"/>
      </w:tblGrid>
      <w:tr w:rsidRPr="00ED6E5C" w:rsidR="00622DF3" w:rsidTr="00622DF3">
        <w:tblPrEx>
          <w:tblCellMar>
            <w:top w:w="0" w:type="dxa"/>
            <w:bottom w:w="0" w:type="dxa"/>
          </w:tblCellMar>
        </w:tblPrEx>
        <w:trPr>
          <w:tblHeader/>
        </w:trPr>
        <w:tc>
          <w:tcPr>
            <w:tcW w:w="2340" w:type="dxa"/>
          </w:tcPr>
          <w:p w:rsidR="00622DF3" w:rsidRDefault="00622DF3">
            <w:pPr>
              <w:pStyle w:val="BodyText"/>
              <w:jc w:val="center"/>
              <w:rPr>
                <w:b/>
                <w:szCs w:val="24"/>
              </w:rPr>
            </w:pPr>
            <w:r>
              <w:rPr>
                <w:b/>
                <w:szCs w:val="24"/>
              </w:rPr>
              <w:lastRenderedPageBreak/>
              <w:t>Industry</w:t>
            </w:r>
          </w:p>
          <w:p w:rsidR="00622DF3" w:rsidP="00622DF3" w:rsidRDefault="00622DF3">
            <w:pPr>
              <w:pStyle w:val="BodyText"/>
              <w:jc w:val="center"/>
              <w:rPr>
                <w:b/>
                <w:szCs w:val="24"/>
              </w:rPr>
            </w:pPr>
            <w:r>
              <w:rPr>
                <w:b/>
                <w:szCs w:val="24"/>
              </w:rPr>
              <w:t>(form type)</w:t>
            </w:r>
          </w:p>
        </w:tc>
        <w:tc>
          <w:tcPr>
            <w:tcW w:w="3690" w:type="dxa"/>
          </w:tcPr>
          <w:p w:rsidRPr="00ED6E5C" w:rsidR="00622DF3" w:rsidRDefault="00622DF3">
            <w:pPr>
              <w:pStyle w:val="BodyText"/>
              <w:jc w:val="center"/>
              <w:rPr>
                <w:b/>
                <w:szCs w:val="24"/>
              </w:rPr>
            </w:pPr>
            <w:r>
              <w:rPr>
                <w:b/>
                <w:szCs w:val="24"/>
              </w:rPr>
              <w:t xml:space="preserve">Major </w:t>
            </w:r>
            <w:r w:rsidRPr="00ED6E5C">
              <w:rPr>
                <w:b/>
                <w:szCs w:val="24"/>
              </w:rPr>
              <w:t>Industry Division</w:t>
            </w:r>
          </w:p>
        </w:tc>
        <w:tc>
          <w:tcPr>
            <w:tcW w:w="2970" w:type="dxa"/>
          </w:tcPr>
          <w:p w:rsidRPr="00ED6E5C" w:rsidR="00622DF3" w:rsidRDefault="00622DF3">
            <w:pPr>
              <w:pStyle w:val="BodyText"/>
              <w:jc w:val="center"/>
              <w:rPr>
                <w:b/>
                <w:szCs w:val="24"/>
              </w:rPr>
            </w:pPr>
            <w:r w:rsidRPr="00ED6E5C">
              <w:rPr>
                <w:b/>
                <w:szCs w:val="24"/>
              </w:rPr>
              <w:t>Average Relative Standard Error for All Employment (in percent)</w:t>
            </w:r>
          </w:p>
        </w:tc>
      </w:tr>
      <w:tr w:rsidRPr="00ED6E5C" w:rsidR="00622DF3" w:rsidTr="00622DF3">
        <w:tblPrEx>
          <w:tblCellMar>
            <w:top w:w="0" w:type="dxa"/>
            <w:bottom w:w="0" w:type="dxa"/>
          </w:tblCellMar>
        </w:tblPrEx>
        <w:tc>
          <w:tcPr>
            <w:tcW w:w="2340" w:type="dxa"/>
          </w:tcPr>
          <w:p w:rsidRPr="00ED6E5C" w:rsidR="00622DF3" w:rsidP="00622DF3" w:rsidRDefault="00622DF3">
            <w:pPr>
              <w:pStyle w:val="BodyText"/>
              <w:rPr>
                <w:szCs w:val="24"/>
              </w:rPr>
            </w:pPr>
            <w:r w:rsidRPr="00ED6E5C">
              <w:rPr>
                <w:szCs w:val="24"/>
              </w:rPr>
              <w:t>Mining and Logging</w:t>
            </w:r>
          </w:p>
        </w:tc>
        <w:tc>
          <w:tcPr>
            <w:tcW w:w="3690" w:type="dxa"/>
          </w:tcPr>
          <w:p w:rsidRPr="00ED6E5C" w:rsidR="00622DF3" w:rsidP="00622DF3" w:rsidRDefault="00622DF3">
            <w:pPr>
              <w:pStyle w:val="BodyText"/>
              <w:rPr>
                <w:szCs w:val="24"/>
              </w:rPr>
            </w:pPr>
            <w:r w:rsidRPr="00ED6E5C">
              <w:rPr>
                <w:szCs w:val="24"/>
              </w:rPr>
              <w:t>Mining and Logging</w:t>
            </w:r>
          </w:p>
        </w:tc>
        <w:tc>
          <w:tcPr>
            <w:tcW w:w="2970" w:type="dxa"/>
          </w:tcPr>
          <w:p w:rsidRPr="00ED6E5C" w:rsidR="00622DF3" w:rsidP="00622DF3" w:rsidRDefault="00622DF3">
            <w:pPr>
              <w:pStyle w:val="BodyText"/>
              <w:jc w:val="center"/>
              <w:rPr>
                <w:szCs w:val="24"/>
              </w:rPr>
            </w:pPr>
            <w:r w:rsidRPr="00ED6E5C">
              <w:rPr>
                <w:szCs w:val="24"/>
              </w:rPr>
              <w:t>1.</w:t>
            </w:r>
            <w:r>
              <w:rPr>
                <w:szCs w:val="24"/>
              </w:rPr>
              <w:t>8</w:t>
            </w:r>
          </w:p>
        </w:tc>
      </w:tr>
      <w:tr w:rsidRPr="00ED6E5C" w:rsidR="00622DF3" w:rsidTr="00622DF3">
        <w:tblPrEx>
          <w:tblCellMar>
            <w:top w:w="0" w:type="dxa"/>
            <w:bottom w:w="0" w:type="dxa"/>
          </w:tblCellMar>
        </w:tblPrEx>
        <w:tc>
          <w:tcPr>
            <w:tcW w:w="2340" w:type="dxa"/>
          </w:tcPr>
          <w:p w:rsidRPr="00ED6E5C" w:rsidR="00622DF3" w:rsidP="00622DF3" w:rsidRDefault="00622DF3">
            <w:pPr>
              <w:pStyle w:val="BodyText"/>
              <w:rPr>
                <w:szCs w:val="24"/>
              </w:rPr>
            </w:pPr>
            <w:r w:rsidRPr="00ED6E5C">
              <w:rPr>
                <w:szCs w:val="24"/>
              </w:rPr>
              <w:t>Construction</w:t>
            </w:r>
          </w:p>
        </w:tc>
        <w:tc>
          <w:tcPr>
            <w:tcW w:w="3690" w:type="dxa"/>
          </w:tcPr>
          <w:p w:rsidRPr="00ED6E5C" w:rsidR="00622DF3" w:rsidP="00622DF3" w:rsidRDefault="00622DF3">
            <w:pPr>
              <w:pStyle w:val="BodyText"/>
              <w:rPr>
                <w:szCs w:val="24"/>
              </w:rPr>
            </w:pPr>
            <w:r w:rsidRPr="00ED6E5C">
              <w:rPr>
                <w:szCs w:val="24"/>
              </w:rPr>
              <w:t>Construction</w:t>
            </w:r>
          </w:p>
        </w:tc>
        <w:tc>
          <w:tcPr>
            <w:tcW w:w="2970" w:type="dxa"/>
          </w:tcPr>
          <w:p w:rsidRPr="00ED6E5C" w:rsidR="00622DF3" w:rsidP="00622DF3" w:rsidRDefault="00622DF3">
            <w:pPr>
              <w:pStyle w:val="BodyText"/>
              <w:jc w:val="center"/>
              <w:rPr>
                <w:szCs w:val="24"/>
              </w:rPr>
            </w:pPr>
            <w:r w:rsidRPr="00ED6E5C">
              <w:rPr>
                <w:szCs w:val="24"/>
              </w:rPr>
              <w:t>0.</w:t>
            </w:r>
            <w:r>
              <w:rPr>
                <w:szCs w:val="24"/>
              </w:rPr>
              <w:t>8</w:t>
            </w:r>
          </w:p>
        </w:tc>
      </w:tr>
      <w:tr w:rsidRPr="00ED6E5C" w:rsidR="00622DF3" w:rsidTr="00622DF3">
        <w:tblPrEx>
          <w:tblCellMar>
            <w:top w:w="0" w:type="dxa"/>
            <w:bottom w:w="0" w:type="dxa"/>
          </w:tblCellMar>
        </w:tblPrEx>
        <w:tc>
          <w:tcPr>
            <w:tcW w:w="2340" w:type="dxa"/>
          </w:tcPr>
          <w:p w:rsidRPr="00ED6E5C" w:rsidR="00622DF3" w:rsidP="00622DF3" w:rsidRDefault="00622DF3">
            <w:pPr>
              <w:pStyle w:val="BodyText"/>
              <w:rPr>
                <w:szCs w:val="24"/>
              </w:rPr>
            </w:pPr>
            <w:r w:rsidRPr="00ED6E5C">
              <w:rPr>
                <w:szCs w:val="24"/>
              </w:rPr>
              <w:t>Manufacturing</w:t>
            </w:r>
          </w:p>
        </w:tc>
        <w:tc>
          <w:tcPr>
            <w:tcW w:w="3690" w:type="dxa"/>
          </w:tcPr>
          <w:p w:rsidRPr="00ED6E5C" w:rsidR="00622DF3" w:rsidP="00622DF3" w:rsidRDefault="00622DF3">
            <w:pPr>
              <w:pStyle w:val="BodyText"/>
              <w:rPr>
                <w:szCs w:val="24"/>
              </w:rPr>
            </w:pPr>
            <w:r w:rsidRPr="00ED6E5C">
              <w:rPr>
                <w:szCs w:val="24"/>
              </w:rPr>
              <w:t>Manufacturing</w:t>
            </w:r>
          </w:p>
        </w:tc>
        <w:tc>
          <w:tcPr>
            <w:tcW w:w="2970" w:type="dxa"/>
          </w:tcPr>
          <w:p w:rsidRPr="00ED6E5C" w:rsidR="00622DF3" w:rsidP="00622DF3" w:rsidRDefault="00622DF3">
            <w:pPr>
              <w:pStyle w:val="BodyText"/>
              <w:jc w:val="center"/>
              <w:rPr>
                <w:szCs w:val="24"/>
              </w:rPr>
            </w:pPr>
            <w:r w:rsidRPr="00ED6E5C">
              <w:rPr>
                <w:szCs w:val="24"/>
              </w:rPr>
              <w:t>0.3</w:t>
            </w:r>
          </w:p>
        </w:tc>
      </w:tr>
      <w:tr w:rsidRPr="00ED6E5C" w:rsidR="00622DF3" w:rsidTr="00622DF3">
        <w:tblPrEx>
          <w:tblCellMar>
            <w:top w:w="0" w:type="dxa"/>
            <w:bottom w:w="0" w:type="dxa"/>
          </w:tblCellMar>
        </w:tblPrEx>
        <w:tc>
          <w:tcPr>
            <w:tcW w:w="2340" w:type="dxa"/>
            <w:vMerge w:val="restart"/>
          </w:tcPr>
          <w:p w:rsidR="00622DF3" w:rsidP="00622DF3" w:rsidRDefault="00622DF3">
            <w:pPr>
              <w:pStyle w:val="BodyText"/>
              <w:rPr>
                <w:szCs w:val="24"/>
              </w:rPr>
            </w:pPr>
          </w:p>
          <w:p w:rsidR="00622DF3" w:rsidP="00622DF3" w:rsidRDefault="00622DF3">
            <w:pPr>
              <w:pStyle w:val="BodyText"/>
              <w:rPr>
                <w:szCs w:val="24"/>
              </w:rPr>
            </w:pPr>
          </w:p>
          <w:p w:rsidR="00622DF3" w:rsidP="00622DF3" w:rsidRDefault="00622DF3">
            <w:pPr>
              <w:pStyle w:val="BodyText"/>
              <w:rPr>
                <w:szCs w:val="24"/>
              </w:rPr>
            </w:pPr>
          </w:p>
          <w:p w:rsidR="00622DF3" w:rsidP="00622DF3" w:rsidRDefault="00622DF3">
            <w:pPr>
              <w:pStyle w:val="BodyText"/>
              <w:rPr>
                <w:szCs w:val="24"/>
              </w:rPr>
            </w:pPr>
          </w:p>
          <w:p w:rsidR="00622DF3" w:rsidP="00622DF3" w:rsidRDefault="00622DF3">
            <w:pPr>
              <w:pStyle w:val="BodyText"/>
              <w:rPr>
                <w:szCs w:val="24"/>
              </w:rPr>
            </w:pPr>
          </w:p>
          <w:p w:rsidRPr="00ED6E5C" w:rsidR="00622DF3" w:rsidP="00622DF3" w:rsidRDefault="00622DF3">
            <w:pPr>
              <w:pStyle w:val="BodyText"/>
              <w:rPr>
                <w:szCs w:val="24"/>
              </w:rPr>
            </w:pPr>
            <w:r>
              <w:rPr>
                <w:szCs w:val="24"/>
              </w:rPr>
              <w:t>Services</w:t>
            </w:r>
          </w:p>
        </w:tc>
        <w:tc>
          <w:tcPr>
            <w:tcW w:w="3690" w:type="dxa"/>
          </w:tcPr>
          <w:p w:rsidRPr="00ED6E5C" w:rsidR="00622DF3" w:rsidP="00622DF3" w:rsidRDefault="00622DF3">
            <w:pPr>
              <w:pStyle w:val="BodyText"/>
              <w:rPr>
                <w:szCs w:val="24"/>
              </w:rPr>
            </w:pPr>
            <w:r w:rsidRPr="00ED6E5C">
              <w:rPr>
                <w:szCs w:val="24"/>
              </w:rPr>
              <w:t>Wholesale Trade</w:t>
            </w:r>
          </w:p>
        </w:tc>
        <w:tc>
          <w:tcPr>
            <w:tcW w:w="2970" w:type="dxa"/>
          </w:tcPr>
          <w:p w:rsidRPr="00ED6E5C" w:rsidR="00622DF3" w:rsidP="00622DF3" w:rsidRDefault="00622DF3">
            <w:pPr>
              <w:pStyle w:val="BodyText"/>
              <w:jc w:val="center"/>
              <w:rPr>
                <w:szCs w:val="24"/>
              </w:rPr>
            </w:pPr>
            <w:r w:rsidRPr="00ED6E5C">
              <w:rPr>
                <w:szCs w:val="24"/>
              </w:rPr>
              <w:t>0.5</w:t>
            </w:r>
          </w:p>
        </w:tc>
      </w:tr>
      <w:tr w:rsidRPr="00ED6E5C" w:rsidR="00622DF3" w:rsidTr="00622DF3">
        <w:tblPrEx>
          <w:tblCellMar>
            <w:top w:w="0" w:type="dxa"/>
            <w:bottom w:w="0" w:type="dxa"/>
          </w:tblCellMar>
        </w:tblPrEx>
        <w:tc>
          <w:tcPr>
            <w:tcW w:w="2340" w:type="dxa"/>
            <w:vMerge/>
          </w:tcPr>
          <w:p w:rsidRPr="00ED6E5C" w:rsidR="00622DF3" w:rsidP="00622DF3" w:rsidRDefault="00622DF3">
            <w:pPr>
              <w:pStyle w:val="BodyText"/>
              <w:rPr>
                <w:szCs w:val="24"/>
              </w:rPr>
            </w:pPr>
          </w:p>
        </w:tc>
        <w:tc>
          <w:tcPr>
            <w:tcW w:w="3690" w:type="dxa"/>
          </w:tcPr>
          <w:p w:rsidRPr="00ED6E5C" w:rsidR="00622DF3" w:rsidP="00622DF3" w:rsidRDefault="00622DF3">
            <w:pPr>
              <w:pStyle w:val="BodyText"/>
              <w:rPr>
                <w:szCs w:val="24"/>
              </w:rPr>
            </w:pPr>
            <w:r w:rsidRPr="00ED6E5C">
              <w:rPr>
                <w:szCs w:val="24"/>
              </w:rPr>
              <w:t>Retail Trade</w:t>
            </w:r>
          </w:p>
        </w:tc>
        <w:tc>
          <w:tcPr>
            <w:tcW w:w="2970" w:type="dxa"/>
          </w:tcPr>
          <w:p w:rsidRPr="00ED6E5C" w:rsidR="00622DF3" w:rsidP="00622DF3" w:rsidRDefault="00622DF3">
            <w:pPr>
              <w:pStyle w:val="BodyText"/>
              <w:jc w:val="center"/>
              <w:rPr>
                <w:szCs w:val="24"/>
              </w:rPr>
            </w:pPr>
            <w:r w:rsidRPr="00ED6E5C">
              <w:rPr>
                <w:szCs w:val="24"/>
              </w:rPr>
              <w:t>0.3</w:t>
            </w:r>
          </w:p>
        </w:tc>
      </w:tr>
      <w:tr w:rsidRPr="00ED6E5C" w:rsidR="00622DF3" w:rsidTr="00622DF3">
        <w:tblPrEx>
          <w:tblCellMar>
            <w:top w:w="0" w:type="dxa"/>
            <w:bottom w:w="0" w:type="dxa"/>
          </w:tblCellMar>
        </w:tblPrEx>
        <w:tc>
          <w:tcPr>
            <w:tcW w:w="2340" w:type="dxa"/>
            <w:vMerge/>
          </w:tcPr>
          <w:p w:rsidRPr="00ED6E5C" w:rsidR="00622DF3" w:rsidP="00622DF3" w:rsidRDefault="00622DF3">
            <w:pPr>
              <w:pStyle w:val="BodyText"/>
              <w:rPr>
                <w:szCs w:val="24"/>
              </w:rPr>
            </w:pPr>
          </w:p>
        </w:tc>
        <w:tc>
          <w:tcPr>
            <w:tcW w:w="3690" w:type="dxa"/>
          </w:tcPr>
          <w:p w:rsidRPr="00ED6E5C" w:rsidR="00622DF3" w:rsidP="00622DF3" w:rsidRDefault="00622DF3">
            <w:pPr>
              <w:pStyle w:val="BodyText"/>
              <w:rPr>
                <w:szCs w:val="24"/>
              </w:rPr>
            </w:pPr>
            <w:r w:rsidRPr="00ED6E5C">
              <w:rPr>
                <w:szCs w:val="24"/>
              </w:rPr>
              <w:t>Transportation and Warehousing</w:t>
            </w:r>
          </w:p>
        </w:tc>
        <w:tc>
          <w:tcPr>
            <w:tcW w:w="2970" w:type="dxa"/>
          </w:tcPr>
          <w:p w:rsidRPr="00ED6E5C" w:rsidR="00622DF3" w:rsidP="00622DF3" w:rsidRDefault="00622DF3">
            <w:pPr>
              <w:pStyle w:val="BodyText"/>
              <w:jc w:val="center"/>
              <w:rPr>
                <w:szCs w:val="24"/>
              </w:rPr>
            </w:pPr>
            <w:r w:rsidRPr="00ED6E5C">
              <w:rPr>
                <w:szCs w:val="24"/>
              </w:rPr>
              <w:t>0.</w:t>
            </w:r>
            <w:r>
              <w:rPr>
                <w:szCs w:val="24"/>
              </w:rPr>
              <w:t>7</w:t>
            </w:r>
          </w:p>
        </w:tc>
      </w:tr>
      <w:tr w:rsidRPr="00ED6E5C" w:rsidR="00622DF3" w:rsidTr="00622DF3">
        <w:tblPrEx>
          <w:tblCellMar>
            <w:top w:w="0" w:type="dxa"/>
            <w:bottom w:w="0" w:type="dxa"/>
          </w:tblCellMar>
        </w:tblPrEx>
        <w:tc>
          <w:tcPr>
            <w:tcW w:w="2340" w:type="dxa"/>
            <w:vMerge/>
          </w:tcPr>
          <w:p w:rsidRPr="00ED6E5C" w:rsidR="00622DF3" w:rsidP="00622DF3" w:rsidRDefault="00622DF3">
            <w:pPr>
              <w:pStyle w:val="BodyText"/>
              <w:rPr>
                <w:szCs w:val="24"/>
              </w:rPr>
            </w:pPr>
          </w:p>
        </w:tc>
        <w:tc>
          <w:tcPr>
            <w:tcW w:w="3690" w:type="dxa"/>
          </w:tcPr>
          <w:p w:rsidRPr="00ED6E5C" w:rsidR="00622DF3" w:rsidP="00622DF3" w:rsidRDefault="00622DF3">
            <w:pPr>
              <w:pStyle w:val="BodyText"/>
              <w:rPr>
                <w:szCs w:val="24"/>
              </w:rPr>
            </w:pPr>
            <w:r w:rsidRPr="00ED6E5C">
              <w:rPr>
                <w:szCs w:val="24"/>
              </w:rPr>
              <w:t>Utilities</w:t>
            </w:r>
          </w:p>
        </w:tc>
        <w:tc>
          <w:tcPr>
            <w:tcW w:w="2970" w:type="dxa"/>
          </w:tcPr>
          <w:p w:rsidRPr="00ED6E5C" w:rsidR="00622DF3" w:rsidP="00622DF3" w:rsidRDefault="00622DF3">
            <w:pPr>
              <w:pStyle w:val="BodyText"/>
              <w:jc w:val="center"/>
              <w:rPr>
                <w:szCs w:val="24"/>
              </w:rPr>
            </w:pPr>
            <w:r w:rsidRPr="00ED6E5C">
              <w:rPr>
                <w:szCs w:val="24"/>
              </w:rPr>
              <w:t>1.</w:t>
            </w:r>
            <w:r>
              <w:rPr>
                <w:szCs w:val="24"/>
              </w:rPr>
              <w:t>3</w:t>
            </w:r>
          </w:p>
        </w:tc>
      </w:tr>
      <w:tr w:rsidRPr="00ED6E5C" w:rsidR="00622DF3" w:rsidTr="00622DF3">
        <w:tblPrEx>
          <w:tblCellMar>
            <w:top w:w="0" w:type="dxa"/>
            <w:bottom w:w="0" w:type="dxa"/>
          </w:tblCellMar>
        </w:tblPrEx>
        <w:tc>
          <w:tcPr>
            <w:tcW w:w="2340" w:type="dxa"/>
            <w:vMerge/>
          </w:tcPr>
          <w:p w:rsidRPr="00ED6E5C" w:rsidR="00622DF3" w:rsidP="00622DF3" w:rsidRDefault="00622DF3">
            <w:pPr>
              <w:pStyle w:val="BodyText"/>
              <w:rPr>
                <w:szCs w:val="24"/>
              </w:rPr>
            </w:pPr>
          </w:p>
        </w:tc>
        <w:tc>
          <w:tcPr>
            <w:tcW w:w="3690" w:type="dxa"/>
          </w:tcPr>
          <w:p w:rsidRPr="00ED6E5C" w:rsidR="00622DF3" w:rsidP="00622DF3" w:rsidRDefault="00622DF3">
            <w:pPr>
              <w:pStyle w:val="BodyText"/>
              <w:rPr>
                <w:szCs w:val="24"/>
              </w:rPr>
            </w:pPr>
            <w:r w:rsidRPr="00ED6E5C">
              <w:rPr>
                <w:szCs w:val="24"/>
              </w:rPr>
              <w:t>Information</w:t>
            </w:r>
          </w:p>
        </w:tc>
        <w:tc>
          <w:tcPr>
            <w:tcW w:w="2970" w:type="dxa"/>
          </w:tcPr>
          <w:p w:rsidRPr="00ED6E5C" w:rsidR="00622DF3" w:rsidP="00622DF3" w:rsidRDefault="00622DF3">
            <w:pPr>
              <w:pStyle w:val="BodyText"/>
              <w:jc w:val="center"/>
              <w:rPr>
                <w:szCs w:val="24"/>
              </w:rPr>
            </w:pPr>
            <w:r w:rsidRPr="00ED6E5C">
              <w:rPr>
                <w:szCs w:val="24"/>
              </w:rPr>
              <w:t>1.</w:t>
            </w:r>
            <w:r>
              <w:rPr>
                <w:szCs w:val="24"/>
              </w:rPr>
              <w:t>2</w:t>
            </w:r>
          </w:p>
        </w:tc>
      </w:tr>
      <w:tr w:rsidRPr="00ED6E5C" w:rsidR="00622DF3" w:rsidTr="00622DF3">
        <w:tblPrEx>
          <w:tblCellMar>
            <w:top w:w="0" w:type="dxa"/>
            <w:bottom w:w="0" w:type="dxa"/>
          </w:tblCellMar>
        </w:tblPrEx>
        <w:tc>
          <w:tcPr>
            <w:tcW w:w="2340" w:type="dxa"/>
            <w:vMerge/>
          </w:tcPr>
          <w:p w:rsidRPr="00ED6E5C" w:rsidR="00622DF3" w:rsidP="00622DF3" w:rsidRDefault="00622DF3">
            <w:pPr>
              <w:pStyle w:val="BodyText"/>
              <w:rPr>
                <w:szCs w:val="24"/>
              </w:rPr>
            </w:pPr>
          </w:p>
        </w:tc>
        <w:tc>
          <w:tcPr>
            <w:tcW w:w="3690" w:type="dxa"/>
          </w:tcPr>
          <w:p w:rsidRPr="00ED6E5C" w:rsidR="00622DF3" w:rsidP="00622DF3" w:rsidRDefault="00622DF3">
            <w:pPr>
              <w:pStyle w:val="BodyText"/>
              <w:rPr>
                <w:szCs w:val="24"/>
              </w:rPr>
            </w:pPr>
            <w:r w:rsidRPr="00ED6E5C">
              <w:rPr>
                <w:szCs w:val="24"/>
              </w:rPr>
              <w:t>Financial Activities</w:t>
            </w:r>
          </w:p>
        </w:tc>
        <w:tc>
          <w:tcPr>
            <w:tcW w:w="2970" w:type="dxa"/>
          </w:tcPr>
          <w:p w:rsidRPr="00ED6E5C" w:rsidR="00622DF3" w:rsidP="00622DF3" w:rsidRDefault="00622DF3">
            <w:pPr>
              <w:pStyle w:val="BodyText"/>
              <w:jc w:val="center"/>
              <w:rPr>
                <w:szCs w:val="24"/>
              </w:rPr>
            </w:pPr>
            <w:r w:rsidRPr="00ED6E5C">
              <w:rPr>
                <w:szCs w:val="24"/>
              </w:rPr>
              <w:t>0.</w:t>
            </w:r>
            <w:r>
              <w:rPr>
                <w:szCs w:val="24"/>
              </w:rPr>
              <w:t>4</w:t>
            </w:r>
          </w:p>
        </w:tc>
      </w:tr>
      <w:tr w:rsidRPr="00ED6E5C" w:rsidR="00622DF3" w:rsidTr="00622DF3">
        <w:tblPrEx>
          <w:tblCellMar>
            <w:top w:w="0" w:type="dxa"/>
            <w:bottom w:w="0" w:type="dxa"/>
          </w:tblCellMar>
        </w:tblPrEx>
        <w:tc>
          <w:tcPr>
            <w:tcW w:w="2340" w:type="dxa"/>
            <w:vMerge/>
          </w:tcPr>
          <w:p w:rsidRPr="00ED6E5C" w:rsidR="00622DF3" w:rsidP="00622DF3" w:rsidRDefault="00622DF3">
            <w:pPr>
              <w:pStyle w:val="BodyText"/>
              <w:rPr>
                <w:szCs w:val="24"/>
              </w:rPr>
            </w:pPr>
          </w:p>
        </w:tc>
        <w:tc>
          <w:tcPr>
            <w:tcW w:w="3690" w:type="dxa"/>
          </w:tcPr>
          <w:p w:rsidRPr="00ED6E5C" w:rsidR="00622DF3" w:rsidP="00622DF3" w:rsidRDefault="00622DF3">
            <w:pPr>
              <w:pStyle w:val="BodyText"/>
              <w:rPr>
                <w:szCs w:val="24"/>
              </w:rPr>
            </w:pPr>
            <w:r w:rsidRPr="00ED6E5C">
              <w:rPr>
                <w:szCs w:val="24"/>
              </w:rPr>
              <w:t>Professional and Business Services</w:t>
            </w:r>
          </w:p>
        </w:tc>
        <w:tc>
          <w:tcPr>
            <w:tcW w:w="2970" w:type="dxa"/>
          </w:tcPr>
          <w:p w:rsidRPr="00ED6E5C" w:rsidR="00622DF3" w:rsidP="00622DF3" w:rsidRDefault="00622DF3">
            <w:pPr>
              <w:pStyle w:val="BodyText"/>
              <w:jc w:val="center"/>
              <w:rPr>
                <w:szCs w:val="24"/>
              </w:rPr>
            </w:pPr>
            <w:r w:rsidRPr="00ED6E5C">
              <w:rPr>
                <w:szCs w:val="24"/>
              </w:rPr>
              <w:t>0.</w:t>
            </w:r>
            <w:r>
              <w:rPr>
                <w:szCs w:val="24"/>
              </w:rPr>
              <w:t>5</w:t>
            </w:r>
          </w:p>
        </w:tc>
      </w:tr>
      <w:tr w:rsidRPr="00ED6E5C" w:rsidR="00622DF3" w:rsidTr="00622DF3">
        <w:tblPrEx>
          <w:tblCellMar>
            <w:top w:w="0" w:type="dxa"/>
            <w:bottom w:w="0" w:type="dxa"/>
          </w:tblCellMar>
        </w:tblPrEx>
        <w:tc>
          <w:tcPr>
            <w:tcW w:w="2340" w:type="dxa"/>
            <w:vMerge/>
          </w:tcPr>
          <w:p w:rsidRPr="00ED6E5C" w:rsidR="00622DF3" w:rsidP="00622DF3" w:rsidRDefault="00622DF3">
            <w:pPr>
              <w:pStyle w:val="BodyText"/>
              <w:rPr>
                <w:szCs w:val="24"/>
              </w:rPr>
            </w:pPr>
          </w:p>
        </w:tc>
        <w:tc>
          <w:tcPr>
            <w:tcW w:w="3690" w:type="dxa"/>
          </w:tcPr>
          <w:p w:rsidRPr="00ED6E5C" w:rsidR="00622DF3" w:rsidP="00622DF3" w:rsidRDefault="00622DF3">
            <w:pPr>
              <w:pStyle w:val="BodyText"/>
              <w:rPr>
                <w:szCs w:val="24"/>
              </w:rPr>
            </w:pPr>
            <w:r w:rsidRPr="00ED6E5C">
              <w:rPr>
                <w:szCs w:val="24"/>
              </w:rPr>
              <w:t>Leisure and Hospitality</w:t>
            </w:r>
          </w:p>
        </w:tc>
        <w:tc>
          <w:tcPr>
            <w:tcW w:w="2970" w:type="dxa"/>
          </w:tcPr>
          <w:p w:rsidRPr="00ED6E5C" w:rsidR="00622DF3" w:rsidP="00622DF3" w:rsidRDefault="00622DF3">
            <w:pPr>
              <w:pStyle w:val="BodyText"/>
              <w:jc w:val="center"/>
              <w:rPr>
                <w:szCs w:val="24"/>
              </w:rPr>
            </w:pPr>
            <w:r w:rsidRPr="00ED6E5C">
              <w:rPr>
                <w:szCs w:val="24"/>
              </w:rPr>
              <w:t>0.</w:t>
            </w:r>
            <w:r>
              <w:rPr>
                <w:szCs w:val="24"/>
              </w:rPr>
              <w:t>5</w:t>
            </w:r>
          </w:p>
        </w:tc>
      </w:tr>
      <w:tr w:rsidRPr="00ED6E5C" w:rsidR="00622DF3" w:rsidTr="00622DF3">
        <w:tblPrEx>
          <w:tblCellMar>
            <w:top w:w="0" w:type="dxa"/>
            <w:bottom w:w="0" w:type="dxa"/>
          </w:tblCellMar>
        </w:tblPrEx>
        <w:tc>
          <w:tcPr>
            <w:tcW w:w="2340" w:type="dxa"/>
            <w:vMerge/>
          </w:tcPr>
          <w:p w:rsidRPr="00ED6E5C" w:rsidR="00622DF3" w:rsidP="00622DF3" w:rsidRDefault="00622DF3">
            <w:pPr>
              <w:pStyle w:val="BodyText"/>
              <w:rPr>
                <w:szCs w:val="24"/>
              </w:rPr>
            </w:pPr>
          </w:p>
        </w:tc>
        <w:tc>
          <w:tcPr>
            <w:tcW w:w="3690" w:type="dxa"/>
          </w:tcPr>
          <w:p w:rsidRPr="00ED6E5C" w:rsidR="00622DF3" w:rsidP="00622DF3" w:rsidRDefault="00622DF3">
            <w:pPr>
              <w:pStyle w:val="BodyText"/>
              <w:rPr>
                <w:szCs w:val="24"/>
              </w:rPr>
            </w:pPr>
            <w:r w:rsidRPr="00ED6E5C">
              <w:rPr>
                <w:szCs w:val="24"/>
              </w:rPr>
              <w:t>Health Services</w:t>
            </w:r>
          </w:p>
        </w:tc>
        <w:tc>
          <w:tcPr>
            <w:tcW w:w="2970" w:type="dxa"/>
          </w:tcPr>
          <w:p w:rsidRPr="00ED6E5C" w:rsidR="00622DF3" w:rsidP="00622DF3" w:rsidRDefault="00622DF3">
            <w:pPr>
              <w:pStyle w:val="BodyText"/>
              <w:jc w:val="center"/>
              <w:rPr>
                <w:szCs w:val="24"/>
              </w:rPr>
            </w:pPr>
            <w:r>
              <w:rPr>
                <w:szCs w:val="24"/>
              </w:rPr>
              <w:t>0.3</w:t>
            </w:r>
          </w:p>
        </w:tc>
      </w:tr>
      <w:tr w:rsidRPr="00ED6E5C" w:rsidR="00622DF3" w:rsidTr="00622DF3">
        <w:tblPrEx>
          <w:tblCellMar>
            <w:top w:w="0" w:type="dxa"/>
            <w:bottom w:w="0" w:type="dxa"/>
          </w:tblCellMar>
        </w:tblPrEx>
        <w:tc>
          <w:tcPr>
            <w:tcW w:w="2340" w:type="dxa"/>
            <w:vMerge/>
          </w:tcPr>
          <w:p w:rsidRPr="00ED6E5C" w:rsidR="00622DF3" w:rsidP="00622DF3" w:rsidRDefault="00622DF3">
            <w:pPr>
              <w:pStyle w:val="BodyText"/>
              <w:rPr>
                <w:szCs w:val="24"/>
              </w:rPr>
            </w:pPr>
          </w:p>
        </w:tc>
        <w:tc>
          <w:tcPr>
            <w:tcW w:w="3690" w:type="dxa"/>
          </w:tcPr>
          <w:p w:rsidRPr="00ED6E5C" w:rsidR="00622DF3" w:rsidP="00622DF3" w:rsidRDefault="00622DF3">
            <w:pPr>
              <w:pStyle w:val="BodyText"/>
              <w:rPr>
                <w:szCs w:val="24"/>
              </w:rPr>
            </w:pPr>
            <w:r w:rsidRPr="00ED6E5C">
              <w:rPr>
                <w:szCs w:val="24"/>
              </w:rPr>
              <w:t>Other Services</w:t>
            </w:r>
          </w:p>
        </w:tc>
        <w:tc>
          <w:tcPr>
            <w:tcW w:w="2970" w:type="dxa"/>
          </w:tcPr>
          <w:p w:rsidRPr="00ED6E5C" w:rsidR="00622DF3" w:rsidP="00622DF3" w:rsidRDefault="00622DF3">
            <w:pPr>
              <w:pStyle w:val="BodyText"/>
              <w:jc w:val="center"/>
              <w:rPr>
                <w:szCs w:val="24"/>
              </w:rPr>
            </w:pPr>
            <w:r w:rsidRPr="00ED6E5C">
              <w:rPr>
                <w:szCs w:val="24"/>
              </w:rPr>
              <w:t>0.5</w:t>
            </w:r>
          </w:p>
        </w:tc>
      </w:tr>
      <w:tr w:rsidRPr="00ED6E5C" w:rsidR="00622DF3" w:rsidTr="00622DF3">
        <w:tblPrEx>
          <w:tblCellMar>
            <w:top w:w="0" w:type="dxa"/>
            <w:bottom w:w="0" w:type="dxa"/>
          </w:tblCellMar>
        </w:tblPrEx>
        <w:tc>
          <w:tcPr>
            <w:tcW w:w="2340" w:type="dxa"/>
          </w:tcPr>
          <w:p w:rsidRPr="00ED6E5C" w:rsidR="00622DF3" w:rsidP="00622DF3" w:rsidRDefault="00622DF3">
            <w:pPr>
              <w:pStyle w:val="BodyText"/>
              <w:rPr>
                <w:szCs w:val="24"/>
              </w:rPr>
            </w:pPr>
            <w:r>
              <w:rPr>
                <w:szCs w:val="24"/>
              </w:rPr>
              <w:t>Education</w:t>
            </w:r>
          </w:p>
        </w:tc>
        <w:tc>
          <w:tcPr>
            <w:tcW w:w="3690" w:type="dxa"/>
          </w:tcPr>
          <w:p w:rsidRPr="00ED6E5C" w:rsidR="00622DF3" w:rsidP="00622DF3" w:rsidRDefault="00622DF3">
            <w:pPr>
              <w:pStyle w:val="BodyText"/>
              <w:rPr>
                <w:szCs w:val="24"/>
              </w:rPr>
            </w:pPr>
            <w:r w:rsidRPr="00ED6E5C">
              <w:rPr>
                <w:szCs w:val="24"/>
              </w:rPr>
              <w:t>Education</w:t>
            </w:r>
          </w:p>
        </w:tc>
        <w:tc>
          <w:tcPr>
            <w:tcW w:w="2970" w:type="dxa"/>
          </w:tcPr>
          <w:p w:rsidRPr="00ED6E5C" w:rsidR="00622DF3" w:rsidP="00622DF3" w:rsidRDefault="00622DF3">
            <w:pPr>
              <w:pStyle w:val="BodyText"/>
              <w:jc w:val="center"/>
              <w:rPr>
                <w:szCs w:val="24"/>
              </w:rPr>
            </w:pPr>
            <w:r w:rsidRPr="00ED6E5C">
              <w:rPr>
                <w:szCs w:val="24"/>
              </w:rPr>
              <w:t>0.</w:t>
            </w:r>
            <w:r>
              <w:rPr>
                <w:szCs w:val="24"/>
              </w:rPr>
              <w:t>9</w:t>
            </w:r>
          </w:p>
        </w:tc>
      </w:tr>
    </w:tbl>
    <w:p w:rsidRPr="00ED6E5C" w:rsidR="00CE7538" w:rsidP="003073BC" w:rsidRDefault="00CE7538">
      <w:pPr>
        <w:rPr>
          <w:b/>
          <w:sz w:val="24"/>
          <w:szCs w:val="24"/>
        </w:rPr>
      </w:pPr>
    </w:p>
    <w:p w:rsidRPr="00ED6E5C" w:rsidR="00CE7538" w:rsidP="003073BC" w:rsidRDefault="00CE7538">
      <w:pPr>
        <w:rPr>
          <w:sz w:val="24"/>
          <w:szCs w:val="24"/>
        </w:rPr>
      </w:pPr>
      <w:r w:rsidRPr="00ED6E5C">
        <w:rPr>
          <w:sz w:val="24"/>
          <w:szCs w:val="24"/>
        </w:rPr>
        <w:t>The estimation of sample variances for the CES survey is accomplished through the method of Balanced Half Samples (BHS).  This replication technique uses half samples of the original sample and calculates e</w:t>
      </w:r>
      <w:r w:rsidRPr="00ED6E5C" w:rsidR="007C6882">
        <w:rPr>
          <w:sz w:val="24"/>
          <w:szCs w:val="24"/>
        </w:rPr>
        <w:t xml:space="preserve">stimates using those subsamples.  The sample variance is calculated by measuring the variability of the estimates made from these subsamples.  </w:t>
      </w:r>
      <w:r w:rsidRPr="00ED6E5C">
        <w:rPr>
          <w:sz w:val="24"/>
          <w:szCs w:val="24"/>
        </w:rPr>
        <w:t>(</w:t>
      </w:r>
      <w:r w:rsidRPr="00ED6E5C" w:rsidR="00536556">
        <w:rPr>
          <w:sz w:val="24"/>
          <w:szCs w:val="24"/>
        </w:rPr>
        <w:t xml:space="preserve">For </w:t>
      </w:r>
      <w:r w:rsidRPr="00ED6E5C" w:rsidR="007C6882">
        <w:rPr>
          <w:sz w:val="24"/>
          <w:szCs w:val="24"/>
        </w:rPr>
        <w:t xml:space="preserve">a </w:t>
      </w:r>
      <w:r w:rsidRPr="00ED6E5C" w:rsidR="00536556">
        <w:rPr>
          <w:sz w:val="24"/>
          <w:szCs w:val="24"/>
        </w:rPr>
        <w:t xml:space="preserve">detailed mathematical </w:t>
      </w:r>
      <w:r w:rsidRPr="00ED6E5C" w:rsidR="007C6882">
        <w:rPr>
          <w:sz w:val="24"/>
          <w:szCs w:val="24"/>
        </w:rPr>
        <w:t xml:space="preserve">presentation of this method, see </w:t>
      </w:r>
      <w:r w:rsidRPr="00ED6E5C" w:rsidR="009E2698">
        <w:rPr>
          <w:sz w:val="24"/>
          <w:szCs w:val="24"/>
        </w:rPr>
        <w:t xml:space="preserve">the </w:t>
      </w:r>
      <w:r w:rsidRPr="00ED6E5C" w:rsidR="00314C37">
        <w:rPr>
          <w:sz w:val="24"/>
          <w:szCs w:val="24"/>
        </w:rPr>
        <w:t xml:space="preserve">BLS Handbook of Methods, </w:t>
      </w:r>
      <w:r w:rsidR="00ED6E5C">
        <w:rPr>
          <w:sz w:val="24"/>
          <w:szCs w:val="24"/>
        </w:rPr>
        <w:t>Chapter 2, pages 16-17</w:t>
      </w:r>
      <w:r w:rsidRPr="00ED6E5C" w:rsidR="007C6882">
        <w:rPr>
          <w:sz w:val="24"/>
          <w:szCs w:val="24"/>
        </w:rPr>
        <w:t xml:space="preserve">, </w:t>
      </w:r>
      <w:r w:rsidRPr="00ED6E5C">
        <w:rPr>
          <w:sz w:val="24"/>
          <w:szCs w:val="24"/>
        </w:rPr>
        <w:t xml:space="preserve">Bureau of Labor </w:t>
      </w:r>
      <w:r w:rsidR="00ED6E5C">
        <w:rPr>
          <w:sz w:val="24"/>
          <w:szCs w:val="24"/>
        </w:rPr>
        <w:t>Statistics, 2011</w:t>
      </w:r>
      <w:r w:rsidRPr="00ED6E5C" w:rsidR="007C6882">
        <w:rPr>
          <w:sz w:val="24"/>
          <w:szCs w:val="24"/>
        </w:rPr>
        <w:t>.</w:t>
      </w:r>
      <w:r w:rsidRPr="00ED6E5C">
        <w:rPr>
          <w:sz w:val="24"/>
          <w:szCs w:val="24"/>
        </w:rPr>
        <w:t>)</w:t>
      </w:r>
    </w:p>
    <w:p w:rsidRPr="00ED6E5C" w:rsidR="00CE7538" w:rsidP="003073BC" w:rsidRDefault="00CE7538">
      <w:pPr>
        <w:rPr>
          <w:b/>
          <w:sz w:val="24"/>
          <w:szCs w:val="24"/>
        </w:rPr>
      </w:pPr>
    </w:p>
    <w:p w:rsidR="00BB2E06" w:rsidRDefault="00CE7538">
      <w:pPr>
        <w:spacing w:line="240" w:lineRule="exact"/>
        <w:rPr>
          <w:b/>
          <w:sz w:val="24"/>
          <w:szCs w:val="24"/>
        </w:rPr>
      </w:pPr>
      <w:r w:rsidRPr="0000106D">
        <w:rPr>
          <w:b/>
          <w:sz w:val="24"/>
          <w:szCs w:val="24"/>
        </w:rPr>
        <w:t>2d.</w:t>
      </w:r>
      <w:r w:rsidRPr="0000106D" w:rsidR="00AA641F">
        <w:rPr>
          <w:b/>
          <w:sz w:val="24"/>
          <w:szCs w:val="24"/>
        </w:rPr>
        <w:t xml:space="preserve"> </w:t>
      </w:r>
      <w:r w:rsidRPr="000E2E89">
        <w:rPr>
          <w:b/>
          <w:sz w:val="24"/>
          <w:szCs w:val="24"/>
        </w:rPr>
        <w:t xml:space="preserve"> </w:t>
      </w:r>
      <w:r w:rsidRPr="007E6629" w:rsidR="00BB2E06">
        <w:rPr>
          <w:b/>
          <w:sz w:val="24"/>
          <w:szCs w:val="24"/>
        </w:rPr>
        <w:t>Unusual problems requiring specialized sampling procedures</w:t>
      </w:r>
      <w:r w:rsidRPr="0000106D" w:rsidR="00BB2E06">
        <w:rPr>
          <w:b/>
          <w:sz w:val="24"/>
          <w:szCs w:val="24"/>
        </w:rPr>
        <w:t xml:space="preserve"> </w:t>
      </w:r>
    </w:p>
    <w:p w:rsidR="00BB2E06" w:rsidRDefault="00BB2E06">
      <w:pPr>
        <w:spacing w:line="240" w:lineRule="exact"/>
        <w:rPr>
          <w:b/>
          <w:sz w:val="24"/>
          <w:szCs w:val="24"/>
        </w:rPr>
      </w:pPr>
    </w:p>
    <w:p w:rsidRPr="00ED6E5C" w:rsidR="00CE7538" w:rsidP="0000106D" w:rsidRDefault="00CE7538">
      <w:pPr>
        <w:spacing w:line="240" w:lineRule="exact"/>
        <w:rPr>
          <w:b/>
          <w:sz w:val="24"/>
          <w:szCs w:val="24"/>
        </w:rPr>
      </w:pPr>
      <w:r w:rsidRPr="00ED6E5C">
        <w:rPr>
          <w:b/>
          <w:sz w:val="24"/>
          <w:szCs w:val="24"/>
        </w:rPr>
        <w:t>Benchmark Revisions</w:t>
      </w:r>
    </w:p>
    <w:p w:rsidR="00CE7538" w:rsidP="003073BC" w:rsidRDefault="00CE7538">
      <w:pPr>
        <w:rPr>
          <w:b/>
          <w:sz w:val="24"/>
          <w:szCs w:val="24"/>
        </w:rPr>
      </w:pPr>
    </w:p>
    <w:p w:rsidRPr="00ED6E5C" w:rsidR="00CE7538" w:rsidP="003073BC" w:rsidRDefault="00CE7538">
      <w:pPr>
        <w:rPr>
          <w:b/>
          <w:sz w:val="24"/>
          <w:szCs w:val="24"/>
        </w:rPr>
      </w:pPr>
      <w:r w:rsidRPr="00ED6E5C">
        <w:rPr>
          <w:sz w:val="24"/>
          <w:szCs w:val="24"/>
        </w:rPr>
        <w:t>The sum of sampling and nonsampling error can be considered</w:t>
      </w:r>
      <w:r w:rsidRPr="00ED6E5C" w:rsidR="009E2698">
        <w:rPr>
          <w:sz w:val="24"/>
          <w:szCs w:val="24"/>
        </w:rPr>
        <w:t xml:space="preserve"> the</w:t>
      </w:r>
      <w:r w:rsidRPr="00ED6E5C">
        <w:rPr>
          <w:sz w:val="24"/>
          <w:szCs w:val="24"/>
        </w:rPr>
        <w:t xml:space="preserve"> total survey error.  Most sample surveys are only able to publish </w:t>
      </w:r>
      <w:r w:rsidRPr="00ED6E5C" w:rsidR="009E2698">
        <w:rPr>
          <w:sz w:val="24"/>
          <w:szCs w:val="24"/>
        </w:rPr>
        <w:t xml:space="preserve">the </w:t>
      </w:r>
      <w:r w:rsidRPr="00ED6E5C">
        <w:rPr>
          <w:sz w:val="24"/>
          <w:szCs w:val="24"/>
        </w:rPr>
        <w:t xml:space="preserve">sampling error as their only measure of error.  </w:t>
      </w:r>
      <w:r w:rsidR="009E58FD">
        <w:rPr>
          <w:sz w:val="24"/>
          <w:szCs w:val="24"/>
        </w:rPr>
        <w:t xml:space="preserve">The </w:t>
      </w:r>
      <w:r w:rsidRPr="00ED6E5C">
        <w:rPr>
          <w:sz w:val="24"/>
          <w:szCs w:val="24"/>
        </w:rPr>
        <w:t xml:space="preserve">CES </w:t>
      </w:r>
      <w:r w:rsidR="009E58FD">
        <w:rPr>
          <w:sz w:val="24"/>
          <w:szCs w:val="24"/>
        </w:rPr>
        <w:t xml:space="preserve">program </w:t>
      </w:r>
      <w:r w:rsidRPr="00ED6E5C">
        <w:rPr>
          <w:sz w:val="24"/>
          <w:szCs w:val="24"/>
        </w:rPr>
        <w:t>has the ability to produce an approximation of</w:t>
      </w:r>
      <w:r w:rsidRPr="00ED6E5C" w:rsidR="00017875">
        <w:rPr>
          <w:sz w:val="24"/>
          <w:szCs w:val="24"/>
        </w:rPr>
        <w:t xml:space="preserve"> the</w:t>
      </w:r>
      <w:r w:rsidRPr="00ED6E5C">
        <w:rPr>
          <w:sz w:val="24"/>
          <w:szCs w:val="24"/>
        </w:rPr>
        <w:t xml:space="preserve"> total error, on a lagged basis, because of the availability of the independently derived universe data</w:t>
      </w:r>
      <w:r w:rsidRPr="00ED6E5C" w:rsidR="008B3FB0">
        <w:rPr>
          <w:sz w:val="24"/>
          <w:szCs w:val="24"/>
        </w:rPr>
        <w:t xml:space="preserve"> from the QCEW </w:t>
      </w:r>
      <w:r w:rsidRPr="00ED6E5C" w:rsidR="00017875">
        <w:rPr>
          <w:sz w:val="24"/>
          <w:szCs w:val="24"/>
        </w:rPr>
        <w:t>p</w:t>
      </w:r>
      <w:r w:rsidRPr="00ED6E5C" w:rsidR="008B3FB0">
        <w:rPr>
          <w:sz w:val="24"/>
          <w:szCs w:val="24"/>
        </w:rPr>
        <w:t>rogram</w:t>
      </w:r>
      <w:r w:rsidRPr="00ED6E5C">
        <w:rPr>
          <w:sz w:val="24"/>
          <w:szCs w:val="24"/>
        </w:rPr>
        <w:t xml:space="preserve">.  While the benchmark error is used as a measure of </w:t>
      </w:r>
      <w:r w:rsidRPr="00ED6E5C" w:rsidR="00017875">
        <w:rPr>
          <w:sz w:val="24"/>
          <w:szCs w:val="24"/>
        </w:rPr>
        <w:t xml:space="preserve">the </w:t>
      </w:r>
      <w:r w:rsidRPr="00ED6E5C">
        <w:rPr>
          <w:sz w:val="24"/>
          <w:szCs w:val="24"/>
        </w:rPr>
        <w:t>total error for the CES survey estimate, it actually represents the difference between two independent estimates derived from separate processes, and</w:t>
      </w:r>
      <w:r w:rsidRPr="00ED6E5C" w:rsidR="00017875">
        <w:rPr>
          <w:sz w:val="24"/>
          <w:szCs w:val="24"/>
        </w:rPr>
        <w:t>,</w:t>
      </w:r>
      <w:r w:rsidRPr="00ED6E5C">
        <w:rPr>
          <w:sz w:val="24"/>
          <w:szCs w:val="24"/>
        </w:rPr>
        <w:t xml:space="preserve"> thus</w:t>
      </w:r>
      <w:r w:rsidRPr="00ED6E5C" w:rsidR="00017875">
        <w:rPr>
          <w:sz w:val="24"/>
          <w:szCs w:val="24"/>
        </w:rPr>
        <w:t>,</w:t>
      </w:r>
      <w:r w:rsidRPr="00ED6E5C">
        <w:rPr>
          <w:sz w:val="24"/>
          <w:szCs w:val="24"/>
        </w:rPr>
        <w:t xml:space="preserve"> reflects the errors present in each program.  Historically, the benchmark revision has been very small for total nonfarm employment.  Over the past decade, the </w:t>
      </w:r>
      <w:r w:rsidRPr="00ED6E5C" w:rsidR="00F11958">
        <w:rPr>
          <w:sz w:val="24"/>
          <w:szCs w:val="24"/>
        </w:rPr>
        <w:t xml:space="preserve">absolute </w:t>
      </w:r>
      <w:r w:rsidRPr="00ED6E5C">
        <w:rPr>
          <w:sz w:val="24"/>
          <w:szCs w:val="24"/>
        </w:rPr>
        <w:t xml:space="preserve">benchmark error has averaged </w:t>
      </w:r>
      <w:r w:rsidRPr="00BA3DB2" w:rsidR="00F11958">
        <w:rPr>
          <w:sz w:val="24"/>
          <w:szCs w:val="24"/>
        </w:rPr>
        <w:t>0.2</w:t>
      </w:r>
      <w:r w:rsidRPr="00BA3DB2">
        <w:rPr>
          <w:sz w:val="24"/>
          <w:szCs w:val="24"/>
        </w:rPr>
        <w:t xml:space="preserve"> percent, with an absolute range from </w:t>
      </w:r>
      <w:r w:rsidRPr="00BA3DB2" w:rsidR="00A63EC0">
        <w:rPr>
          <w:sz w:val="24"/>
          <w:szCs w:val="24"/>
        </w:rPr>
        <w:t>&lt;</w:t>
      </w:r>
      <w:r w:rsidRPr="00BA3DB2" w:rsidR="00E3195E">
        <w:rPr>
          <w:sz w:val="24"/>
          <w:szCs w:val="24"/>
        </w:rPr>
        <w:t>0.</w:t>
      </w:r>
      <w:r w:rsidRPr="00BA3DB2" w:rsidR="00A63EC0">
        <w:rPr>
          <w:sz w:val="24"/>
          <w:szCs w:val="24"/>
        </w:rPr>
        <w:t>05</w:t>
      </w:r>
      <w:r w:rsidRPr="00BA3DB2">
        <w:rPr>
          <w:sz w:val="24"/>
          <w:szCs w:val="24"/>
        </w:rPr>
        <w:t xml:space="preserve"> percent to </w:t>
      </w:r>
      <w:r w:rsidRPr="00BA3DB2" w:rsidR="00E3195E">
        <w:rPr>
          <w:sz w:val="24"/>
          <w:szCs w:val="24"/>
        </w:rPr>
        <w:t>0.</w:t>
      </w:r>
      <w:r w:rsidRPr="00BA3DB2" w:rsidR="00A63EC0">
        <w:rPr>
          <w:sz w:val="24"/>
          <w:szCs w:val="24"/>
        </w:rPr>
        <w:t>3</w:t>
      </w:r>
      <w:r w:rsidRPr="00ED6E5C">
        <w:rPr>
          <w:sz w:val="24"/>
          <w:szCs w:val="24"/>
        </w:rPr>
        <w:t xml:space="preserve"> percent.</w:t>
      </w:r>
    </w:p>
    <w:p w:rsidRPr="00ED6E5C" w:rsidR="00CE7538" w:rsidP="003073BC" w:rsidRDefault="00CE7538">
      <w:pPr>
        <w:rPr>
          <w:b/>
          <w:sz w:val="24"/>
          <w:szCs w:val="24"/>
        </w:rPr>
      </w:pPr>
    </w:p>
    <w:p w:rsidRPr="00ED6E5C" w:rsidR="00CE7538" w:rsidP="005903E9" w:rsidRDefault="00CE7538">
      <w:pPr>
        <w:spacing w:line="240" w:lineRule="exact"/>
        <w:rPr>
          <w:b/>
          <w:sz w:val="24"/>
          <w:szCs w:val="24"/>
        </w:rPr>
      </w:pPr>
      <w:r w:rsidRPr="00ED6E5C">
        <w:rPr>
          <w:b/>
          <w:sz w:val="24"/>
          <w:szCs w:val="24"/>
        </w:rPr>
        <w:t>Specialized Procedures</w:t>
      </w:r>
    </w:p>
    <w:p w:rsidRPr="00ED6E5C" w:rsidR="00CE7538" w:rsidP="003073BC" w:rsidRDefault="00CE7538">
      <w:pPr>
        <w:rPr>
          <w:sz w:val="24"/>
          <w:szCs w:val="24"/>
        </w:rPr>
      </w:pPr>
    </w:p>
    <w:p w:rsidRPr="00ED6E5C" w:rsidR="00CE7538" w:rsidP="003073BC" w:rsidRDefault="00CE7538">
      <w:pPr>
        <w:pStyle w:val="BodyText"/>
        <w:spacing w:line="240" w:lineRule="auto"/>
        <w:rPr>
          <w:szCs w:val="24"/>
        </w:rPr>
      </w:pPr>
      <w:r w:rsidRPr="00ED6E5C">
        <w:rPr>
          <w:szCs w:val="24"/>
        </w:rPr>
        <w:t xml:space="preserve">The </w:t>
      </w:r>
      <w:r w:rsidRPr="00ED6E5C" w:rsidR="00017875">
        <w:rPr>
          <w:szCs w:val="24"/>
        </w:rPr>
        <w:t xml:space="preserve">BLS </w:t>
      </w:r>
      <w:r w:rsidRPr="00ED6E5C">
        <w:rPr>
          <w:szCs w:val="24"/>
        </w:rPr>
        <w:t xml:space="preserve">has conducted extensive research into various ways to more directly capture the impact of new business births.  This research included obtaining early records of new UI accounts and a pilot program to solicit from this frame.  Operationally, a sample-based approach did not yield satisfactory results.  This was mainly due to the lack of a comprehensive sampling frame on a timely basis. </w:t>
      </w:r>
      <w:r w:rsidRPr="00ED6E5C" w:rsidR="007142BC">
        <w:rPr>
          <w:szCs w:val="24"/>
        </w:rPr>
        <w:t xml:space="preserve"> </w:t>
      </w:r>
      <w:r w:rsidRPr="00ED6E5C">
        <w:rPr>
          <w:szCs w:val="24"/>
        </w:rPr>
        <w:t xml:space="preserve">While both employment gains and losses from new and failed businesses are large in terms of over the year change, research conducted by the </w:t>
      </w:r>
      <w:r w:rsidRPr="00ED6E5C" w:rsidR="00017875">
        <w:rPr>
          <w:szCs w:val="24"/>
        </w:rPr>
        <w:t xml:space="preserve">BLS </w:t>
      </w:r>
      <w:r w:rsidRPr="00ED6E5C">
        <w:rPr>
          <w:szCs w:val="24"/>
        </w:rPr>
        <w:t xml:space="preserve">shows the net employment </w:t>
      </w:r>
      <w:r w:rsidRPr="00ED6E5C">
        <w:rPr>
          <w:szCs w:val="24"/>
        </w:rPr>
        <w:lastRenderedPageBreak/>
        <w:t>(employment gained minus employment lost) is small because the gains and losses offset each other (Mueller, 2006).  The sample design accounts for the majority of the employment gain from new businesses by imputing for UI accounts that have gone out-of-business (Kropf, Strifas, and Traetow, 2002).  On a semi-annual basis, the universe is reviewed to identify new births.  A portion of the births are selected on a probability basis.  Thus, only births (and deaths) since the semi-annual update (about a 15</w:t>
      </w:r>
      <w:r w:rsidRPr="00ED6E5C" w:rsidR="00017875">
        <w:rPr>
          <w:szCs w:val="24"/>
        </w:rPr>
        <w:t>-</w:t>
      </w:r>
      <w:r w:rsidRPr="00ED6E5C">
        <w:rPr>
          <w:szCs w:val="24"/>
        </w:rPr>
        <w:t xml:space="preserve">month lag) must be imputed for.  The </w:t>
      </w:r>
      <w:r w:rsidRPr="00ED6E5C" w:rsidR="00017875">
        <w:rPr>
          <w:szCs w:val="24"/>
        </w:rPr>
        <w:t xml:space="preserve">BLS </w:t>
      </w:r>
      <w:r w:rsidRPr="00ED6E5C">
        <w:rPr>
          <w:szCs w:val="24"/>
        </w:rPr>
        <w:t>has researched models to account for the residual birth employment not accounted for by the death imputation model.  Models are currently in use for all private-industry estimates.</w:t>
      </w:r>
    </w:p>
    <w:p w:rsidRPr="00ED6E5C" w:rsidR="00CE7538" w:rsidP="003073BC" w:rsidRDefault="00CE7538">
      <w:pPr>
        <w:pStyle w:val="BodyText"/>
        <w:spacing w:line="240" w:lineRule="auto"/>
        <w:rPr>
          <w:b/>
          <w:szCs w:val="24"/>
        </w:rPr>
      </w:pPr>
    </w:p>
    <w:p w:rsidRPr="007E6629" w:rsidR="0000106D" w:rsidP="007E6629" w:rsidRDefault="00CE7538">
      <w:pPr>
        <w:spacing w:line="240" w:lineRule="exact"/>
        <w:rPr>
          <w:b/>
          <w:sz w:val="24"/>
          <w:szCs w:val="24"/>
        </w:rPr>
      </w:pPr>
      <w:r w:rsidRPr="00ED6E5C">
        <w:rPr>
          <w:b/>
          <w:sz w:val="24"/>
          <w:szCs w:val="24"/>
        </w:rPr>
        <w:t>2</w:t>
      </w:r>
      <w:r w:rsidR="0000106D">
        <w:rPr>
          <w:b/>
          <w:sz w:val="24"/>
          <w:szCs w:val="24"/>
        </w:rPr>
        <w:t>e</w:t>
      </w:r>
      <w:r w:rsidRPr="00ED6E5C">
        <w:rPr>
          <w:b/>
          <w:sz w:val="24"/>
          <w:szCs w:val="24"/>
        </w:rPr>
        <w:t xml:space="preserve">. </w:t>
      </w:r>
      <w:r w:rsidR="001C4931">
        <w:rPr>
          <w:b/>
          <w:sz w:val="24"/>
          <w:szCs w:val="24"/>
        </w:rPr>
        <w:t xml:space="preserve"> </w:t>
      </w:r>
      <w:r w:rsidRPr="007E6629" w:rsidR="0000106D">
        <w:rPr>
          <w:b/>
          <w:sz w:val="24"/>
          <w:szCs w:val="24"/>
        </w:rPr>
        <w:t>Any use of periodic (less frequent than annual) data collection cycles to reduce burden.</w:t>
      </w:r>
    </w:p>
    <w:p w:rsidRPr="00ED6E5C" w:rsidR="00BB2E06" w:rsidP="003073BC" w:rsidRDefault="00BB2E06">
      <w:pPr>
        <w:rPr>
          <w:sz w:val="24"/>
          <w:szCs w:val="24"/>
        </w:rPr>
      </w:pPr>
    </w:p>
    <w:p w:rsidRPr="00ED6E5C" w:rsidR="00CE7538" w:rsidP="003073BC" w:rsidRDefault="00CE7538">
      <w:pPr>
        <w:rPr>
          <w:sz w:val="24"/>
          <w:szCs w:val="24"/>
        </w:rPr>
      </w:pPr>
      <w:r w:rsidRPr="00ED6E5C">
        <w:rPr>
          <w:sz w:val="24"/>
          <w:szCs w:val="24"/>
        </w:rPr>
        <w:t xml:space="preserve">The CES survey was mandated by Congress to be a monthly survey.  </w:t>
      </w:r>
    </w:p>
    <w:p w:rsidR="00CE7538" w:rsidP="003073BC" w:rsidRDefault="00CE7538">
      <w:pPr>
        <w:rPr>
          <w:sz w:val="24"/>
          <w:szCs w:val="24"/>
        </w:rPr>
      </w:pPr>
    </w:p>
    <w:p w:rsidRPr="00ED6E5C" w:rsidR="0000106D" w:rsidP="003073BC" w:rsidRDefault="0000106D">
      <w:pPr>
        <w:rPr>
          <w:sz w:val="24"/>
          <w:szCs w:val="24"/>
        </w:rPr>
      </w:pPr>
    </w:p>
    <w:p w:rsidRPr="00541F1C" w:rsidR="00BB2E06" w:rsidP="0000106D" w:rsidRDefault="00BB2E06">
      <w:pPr>
        <w:rPr>
          <w:b/>
          <w:sz w:val="24"/>
          <w:szCs w:val="24"/>
        </w:rPr>
      </w:pPr>
      <w:r w:rsidRPr="00541F1C">
        <w:rPr>
          <w:b/>
          <w:sz w:val="24"/>
          <w:szCs w:val="24"/>
        </w:rPr>
        <w:t xml:space="preserve">3. </w:t>
      </w:r>
      <w:r>
        <w:rPr>
          <w:b/>
        </w:rPr>
        <w:t xml:space="preserve"> </w:t>
      </w:r>
      <w:r w:rsidRPr="00541F1C">
        <w:rPr>
          <w:b/>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ED6E5C" w:rsidR="00CE7538" w:rsidP="007E6629" w:rsidRDefault="00CE7538">
      <w:pPr>
        <w:rPr>
          <w:sz w:val="24"/>
          <w:szCs w:val="24"/>
        </w:rPr>
      </w:pPr>
    </w:p>
    <w:p w:rsidRPr="00BA3DB2" w:rsidR="00CE7538" w:rsidP="003073BC" w:rsidRDefault="00CE7538">
      <w:pPr>
        <w:rPr>
          <w:sz w:val="24"/>
          <w:szCs w:val="24"/>
        </w:rPr>
      </w:pPr>
      <w:r w:rsidRPr="00ED6E5C">
        <w:rPr>
          <w:sz w:val="24"/>
          <w:szCs w:val="24"/>
        </w:rPr>
        <w:t xml:space="preserve">New firms are enrolled into the survey by interviewers working in BLS Data Collection Centers.  The response rate for new enrollments is about </w:t>
      </w:r>
      <w:r w:rsidRPr="00BA3DB2" w:rsidR="000E1A04">
        <w:rPr>
          <w:sz w:val="24"/>
          <w:szCs w:val="24"/>
        </w:rPr>
        <w:t xml:space="preserve">65 </w:t>
      </w:r>
      <w:r w:rsidRPr="00BA3DB2" w:rsidR="00017875">
        <w:rPr>
          <w:sz w:val="24"/>
          <w:szCs w:val="24"/>
        </w:rPr>
        <w:t>percent</w:t>
      </w:r>
      <w:r w:rsidRPr="00ED6E5C">
        <w:rPr>
          <w:sz w:val="24"/>
          <w:szCs w:val="24"/>
        </w:rPr>
        <w:t>.  After enrollment, sample attrition averages about 1</w:t>
      </w:r>
      <w:r w:rsidRPr="00ED6E5C" w:rsidR="00017875">
        <w:rPr>
          <w:sz w:val="24"/>
          <w:szCs w:val="24"/>
        </w:rPr>
        <w:t xml:space="preserve"> percent</w:t>
      </w:r>
      <w:r w:rsidRPr="00ED6E5C">
        <w:rPr>
          <w:sz w:val="24"/>
          <w:szCs w:val="24"/>
        </w:rPr>
        <w:t xml:space="preserve"> per month.  </w:t>
      </w:r>
      <w:r w:rsidR="009E58FD">
        <w:rPr>
          <w:sz w:val="24"/>
          <w:szCs w:val="24"/>
        </w:rPr>
        <w:t xml:space="preserve">The </w:t>
      </w:r>
      <w:r w:rsidRPr="00ED6E5C">
        <w:rPr>
          <w:sz w:val="24"/>
          <w:szCs w:val="24"/>
        </w:rPr>
        <w:t xml:space="preserve">CES </w:t>
      </w:r>
      <w:r w:rsidR="009E58FD">
        <w:rPr>
          <w:sz w:val="24"/>
          <w:szCs w:val="24"/>
        </w:rPr>
        <w:t xml:space="preserve">survey </w:t>
      </w:r>
      <w:r w:rsidRPr="00ED6E5C">
        <w:rPr>
          <w:sz w:val="24"/>
          <w:szCs w:val="24"/>
        </w:rPr>
        <w:t xml:space="preserve">rotates new units into the sample each </w:t>
      </w:r>
      <w:r w:rsidR="000E1A04">
        <w:rPr>
          <w:sz w:val="24"/>
          <w:szCs w:val="24"/>
        </w:rPr>
        <w:t>quarter</w:t>
      </w:r>
      <w:r w:rsidRPr="00ED6E5C" w:rsidR="000E1A04">
        <w:rPr>
          <w:sz w:val="24"/>
          <w:szCs w:val="24"/>
        </w:rPr>
        <w:t xml:space="preserve"> </w:t>
      </w:r>
      <w:r w:rsidRPr="00ED6E5C">
        <w:rPr>
          <w:sz w:val="24"/>
          <w:szCs w:val="24"/>
        </w:rPr>
        <w:t xml:space="preserve">both to replace deaths and to re-align the sample by industry and size.  </w:t>
      </w:r>
      <w:r w:rsidRPr="00BA3DB2">
        <w:rPr>
          <w:sz w:val="24"/>
          <w:szCs w:val="24"/>
        </w:rPr>
        <w:t>Typically about 25</w:t>
      </w:r>
      <w:r w:rsidRPr="00BA3DB2" w:rsidR="00FB210D">
        <w:rPr>
          <w:sz w:val="24"/>
          <w:szCs w:val="24"/>
        </w:rPr>
        <w:t xml:space="preserve"> to 30</w:t>
      </w:r>
      <w:r w:rsidRPr="00BA3DB2" w:rsidR="00017875">
        <w:rPr>
          <w:sz w:val="24"/>
          <w:szCs w:val="24"/>
        </w:rPr>
        <w:t xml:space="preserve"> percent</w:t>
      </w:r>
      <w:r w:rsidRPr="00BA3DB2">
        <w:rPr>
          <w:sz w:val="24"/>
          <w:szCs w:val="24"/>
        </w:rPr>
        <w:t xml:space="preserve"> of the units are replaced each year.</w:t>
      </w:r>
      <w:r w:rsidRPr="00BA3DB2" w:rsidR="00FB210D">
        <w:rPr>
          <w:sz w:val="24"/>
          <w:szCs w:val="24"/>
        </w:rPr>
        <w:t xml:space="preserve">  </w:t>
      </w:r>
    </w:p>
    <w:p w:rsidRPr="00BA3DB2" w:rsidR="00CE7538" w:rsidP="003073BC" w:rsidRDefault="00CE7538">
      <w:pPr>
        <w:rPr>
          <w:sz w:val="24"/>
          <w:szCs w:val="24"/>
        </w:rPr>
      </w:pPr>
    </w:p>
    <w:p w:rsidRPr="00ED6E5C" w:rsidR="00CE7538" w:rsidP="003073BC" w:rsidRDefault="00CE7538">
      <w:pPr>
        <w:rPr>
          <w:sz w:val="24"/>
          <w:szCs w:val="24"/>
        </w:rPr>
      </w:pPr>
      <w:r w:rsidRPr="00BA3DB2">
        <w:rPr>
          <w:sz w:val="24"/>
          <w:szCs w:val="24"/>
        </w:rPr>
        <w:t>The response rate used in making final estimates for the private</w:t>
      </w:r>
      <w:r w:rsidRPr="00BA3DB2" w:rsidR="007142BC">
        <w:rPr>
          <w:sz w:val="24"/>
          <w:szCs w:val="24"/>
        </w:rPr>
        <w:t xml:space="preserve"> </w:t>
      </w:r>
      <w:r w:rsidRPr="00BA3DB2">
        <w:rPr>
          <w:sz w:val="24"/>
          <w:szCs w:val="24"/>
        </w:rPr>
        <w:t xml:space="preserve">sector probability sample is about </w:t>
      </w:r>
      <w:r w:rsidRPr="00BA3DB2" w:rsidR="00C052C3">
        <w:rPr>
          <w:sz w:val="24"/>
          <w:szCs w:val="24"/>
        </w:rPr>
        <w:t xml:space="preserve">60 </w:t>
      </w:r>
      <w:r w:rsidRPr="00BA3DB2" w:rsidR="00017875">
        <w:rPr>
          <w:sz w:val="24"/>
          <w:szCs w:val="24"/>
        </w:rPr>
        <w:t>percent</w:t>
      </w:r>
      <w:r w:rsidRPr="00BA3DB2">
        <w:rPr>
          <w:sz w:val="24"/>
          <w:szCs w:val="24"/>
        </w:rPr>
        <w:t xml:space="preserve">.  As indicated earlier, these sample respondents from the private sector are combined with government reports that cover </w:t>
      </w:r>
      <w:r w:rsidRPr="00BA3DB2" w:rsidR="00E3195E">
        <w:rPr>
          <w:sz w:val="24"/>
          <w:szCs w:val="24"/>
        </w:rPr>
        <w:t>84.</w:t>
      </w:r>
      <w:r w:rsidRPr="00BA3DB2" w:rsidR="000D72C7">
        <w:rPr>
          <w:sz w:val="24"/>
          <w:szCs w:val="24"/>
        </w:rPr>
        <w:t>7</w:t>
      </w:r>
      <w:r w:rsidRPr="00BA3DB2" w:rsidR="00FF7F7E">
        <w:rPr>
          <w:sz w:val="24"/>
          <w:szCs w:val="24"/>
        </w:rPr>
        <w:t xml:space="preserve"> </w:t>
      </w:r>
      <w:r w:rsidRPr="00BA3DB2" w:rsidR="00017875">
        <w:rPr>
          <w:sz w:val="24"/>
          <w:szCs w:val="24"/>
        </w:rPr>
        <w:t>percent</w:t>
      </w:r>
      <w:r w:rsidRPr="00BA3DB2">
        <w:rPr>
          <w:sz w:val="24"/>
          <w:szCs w:val="24"/>
        </w:rPr>
        <w:t xml:space="preserve"> of Federal government employment, </w:t>
      </w:r>
      <w:r w:rsidRPr="00BA3DB2" w:rsidR="000D72C7">
        <w:rPr>
          <w:sz w:val="24"/>
          <w:szCs w:val="24"/>
        </w:rPr>
        <w:t>87.7</w:t>
      </w:r>
      <w:r w:rsidRPr="00BA3DB2" w:rsidR="00017875">
        <w:rPr>
          <w:sz w:val="24"/>
          <w:szCs w:val="24"/>
        </w:rPr>
        <w:t xml:space="preserve"> percent</w:t>
      </w:r>
      <w:r w:rsidRPr="00BA3DB2">
        <w:rPr>
          <w:sz w:val="24"/>
          <w:szCs w:val="24"/>
        </w:rPr>
        <w:t xml:space="preserve"> of State government employment, and </w:t>
      </w:r>
      <w:r w:rsidRPr="00BA3DB2" w:rsidR="000D72C7">
        <w:rPr>
          <w:sz w:val="24"/>
          <w:szCs w:val="24"/>
        </w:rPr>
        <w:t>72.8</w:t>
      </w:r>
      <w:r w:rsidRPr="00BA3DB2" w:rsidR="00017875">
        <w:rPr>
          <w:sz w:val="24"/>
          <w:szCs w:val="24"/>
        </w:rPr>
        <w:t xml:space="preserve"> percent</w:t>
      </w:r>
      <w:r w:rsidRPr="00BA3DB2">
        <w:rPr>
          <w:sz w:val="24"/>
          <w:szCs w:val="24"/>
        </w:rPr>
        <w:t xml:space="preserve"> of </w:t>
      </w:r>
      <w:r w:rsidRPr="00BA3DB2" w:rsidR="00017875">
        <w:rPr>
          <w:sz w:val="24"/>
          <w:szCs w:val="24"/>
        </w:rPr>
        <w:t>l</w:t>
      </w:r>
      <w:r w:rsidRPr="00BA3DB2">
        <w:rPr>
          <w:sz w:val="24"/>
          <w:szCs w:val="24"/>
        </w:rPr>
        <w:t>ocal government employment to make estimates for total nonfarm employment.</w:t>
      </w:r>
      <w:r w:rsidRPr="00ED6E5C">
        <w:rPr>
          <w:sz w:val="24"/>
          <w:szCs w:val="24"/>
        </w:rPr>
        <w:t xml:space="preserve"> </w:t>
      </w:r>
    </w:p>
    <w:p w:rsidRPr="00ED6E5C" w:rsidR="00CE7538" w:rsidP="003073BC" w:rsidRDefault="00CE7538">
      <w:pPr>
        <w:rPr>
          <w:sz w:val="24"/>
          <w:szCs w:val="24"/>
        </w:rPr>
      </w:pPr>
    </w:p>
    <w:p w:rsidRPr="00ED6E5C" w:rsidR="00CE7538" w:rsidP="003073BC" w:rsidRDefault="00CE7538">
      <w:pPr>
        <w:rPr>
          <w:sz w:val="24"/>
          <w:szCs w:val="24"/>
        </w:rPr>
      </w:pPr>
      <w:r w:rsidRPr="00ED6E5C">
        <w:rPr>
          <w:sz w:val="24"/>
          <w:szCs w:val="24"/>
        </w:rPr>
        <w:t>The link-relative estimating technique implicitly adjusts for nonrespondents using the respondents' relationship of current to previous month's employment within each estimation cell.</w:t>
      </w:r>
    </w:p>
    <w:p w:rsidRPr="00ED6E5C" w:rsidR="00CE7538" w:rsidP="003073BC" w:rsidRDefault="00CE7538">
      <w:pPr>
        <w:rPr>
          <w:sz w:val="24"/>
          <w:szCs w:val="24"/>
        </w:rPr>
      </w:pPr>
    </w:p>
    <w:p w:rsidRPr="00ED6E5C" w:rsidR="00CE7538" w:rsidP="003073BC" w:rsidRDefault="00017875">
      <w:pPr>
        <w:rPr>
          <w:sz w:val="24"/>
          <w:szCs w:val="24"/>
        </w:rPr>
      </w:pPr>
      <w:r w:rsidRPr="00ED6E5C">
        <w:rPr>
          <w:sz w:val="24"/>
          <w:szCs w:val="24"/>
        </w:rPr>
        <w:t>CES</w:t>
      </w:r>
      <w:r w:rsidRPr="00ED6E5C" w:rsidR="00CE7538">
        <w:rPr>
          <w:sz w:val="24"/>
          <w:szCs w:val="24"/>
        </w:rPr>
        <w:t xml:space="preserve"> survey estimates are generated three times for each month to reflect additional sample received</w:t>
      </w:r>
      <w:r w:rsidRPr="00ED6E5C" w:rsidR="00BB549E">
        <w:rPr>
          <w:sz w:val="24"/>
          <w:szCs w:val="24"/>
        </w:rPr>
        <w:t xml:space="preserve"> and error corrections</w:t>
      </w:r>
      <w:r w:rsidRPr="00ED6E5C" w:rsidR="00CE7538">
        <w:rPr>
          <w:sz w:val="24"/>
          <w:szCs w:val="24"/>
        </w:rPr>
        <w:t>.  (Estimates are revised two more times to reflect updated universe counts</w:t>
      </w:r>
      <w:r w:rsidRPr="00ED6E5C" w:rsidR="007453BF">
        <w:rPr>
          <w:sz w:val="24"/>
          <w:szCs w:val="24"/>
        </w:rPr>
        <w:t>.</w:t>
      </w:r>
      <w:r w:rsidRPr="00ED6E5C" w:rsidR="00CE7538">
        <w:rPr>
          <w:sz w:val="24"/>
          <w:szCs w:val="24"/>
        </w:rPr>
        <w:t xml:space="preserve">)  Policy makers in both the private and public sectors rely extensively on the first estimate for the month.  The </w:t>
      </w:r>
      <w:r w:rsidRPr="00ED6E5C">
        <w:rPr>
          <w:sz w:val="24"/>
          <w:szCs w:val="24"/>
        </w:rPr>
        <w:t xml:space="preserve">BLS </w:t>
      </w:r>
      <w:r w:rsidRPr="00ED6E5C" w:rsidR="00CE7538">
        <w:rPr>
          <w:sz w:val="24"/>
          <w:szCs w:val="24"/>
        </w:rPr>
        <w:t xml:space="preserve">has implemented procedures to limit the size of revisions in these preliminary estimates.  Automated collection methods, </w:t>
      </w:r>
      <w:r w:rsidRPr="00ED6E5C">
        <w:rPr>
          <w:sz w:val="24"/>
          <w:szCs w:val="24"/>
        </w:rPr>
        <w:t xml:space="preserve">such as </w:t>
      </w:r>
      <w:r w:rsidRPr="00ED6E5C" w:rsidR="00CE7538">
        <w:rPr>
          <w:sz w:val="24"/>
          <w:szCs w:val="24"/>
        </w:rPr>
        <w:t xml:space="preserve">CATI, </w:t>
      </w:r>
      <w:r w:rsidRPr="00ED6E5C" w:rsidR="000E664A">
        <w:rPr>
          <w:sz w:val="24"/>
          <w:szCs w:val="24"/>
        </w:rPr>
        <w:t xml:space="preserve">Web, and </w:t>
      </w:r>
      <w:r w:rsidRPr="00ED6E5C" w:rsidR="00CE7538">
        <w:rPr>
          <w:sz w:val="24"/>
          <w:szCs w:val="24"/>
        </w:rPr>
        <w:t>TDE</w:t>
      </w:r>
      <w:r w:rsidRPr="00ED6E5C">
        <w:rPr>
          <w:sz w:val="24"/>
          <w:szCs w:val="24"/>
        </w:rPr>
        <w:t>,</w:t>
      </w:r>
      <w:r w:rsidRPr="00ED6E5C" w:rsidR="000E664A">
        <w:rPr>
          <w:sz w:val="24"/>
          <w:szCs w:val="24"/>
        </w:rPr>
        <w:t xml:space="preserve"> </w:t>
      </w:r>
      <w:r w:rsidRPr="00ED6E5C" w:rsidR="00CE7538">
        <w:rPr>
          <w:sz w:val="24"/>
          <w:szCs w:val="24"/>
        </w:rPr>
        <w:t xml:space="preserve">have been identified as the best possible means of overcoming the revision problem in the first estimate.  These methods have been found to consistently </w:t>
      </w:r>
      <w:r w:rsidRPr="00ED6E5C" w:rsidR="000E664A">
        <w:rPr>
          <w:sz w:val="24"/>
          <w:szCs w:val="24"/>
        </w:rPr>
        <w:t xml:space="preserve">maintain </w:t>
      </w:r>
      <w:r w:rsidRPr="00ED6E5C" w:rsidR="004F2486">
        <w:rPr>
          <w:sz w:val="24"/>
          <w:szCs w:val="24"/>
        </w:rPr>
        <w:t xml:space="preserve">collection rates for preliminary </w:t>
      </w:r>
      <w:r w:rsidRPr="00ED6E5C" w:rsidR="00CE7538">
        <w:rPr>
          <w:sz w:val="24"/>
          <w:szCs w:val="24"/>
        </w:rPr>
        <w:t xml:space="preserve">estimates </w:t>
      </w:r>
      <w:r w:rsidRPr="00ED6E5C" w:rsidR="00F167F8">
        <w:rPr>
          <w:sz w:val="24"/>
          <w:szCs w:val="24"/>
        </w:rPr>
        <w:t xml:space="preserve">between </w:t>
      </w:r>
      <w:r w:rsidRPr="00BA3DB2" w:rsidR="00647D96">
        <w:rPr>
          <w:sz w:val="24"/>
          <w:szCs w:val="24"/>
        </w:rPr>
        <w:t xml:space="preserve">68 </w:t>
      </w:r>
      <w:r w:rsidRPr="00BA3DB2" w:rsidR="000E664A">
        <w:rPr>
          <w:sz w:val="24"/>
          <w:szCs w:val="24"/>
        </w:rPr>
        <w:t xml:space="preserve">and </w:t>
      </w:r>
      <w:r w:rsidRPr="00BA3DB2" w:rsidR="00F167F8">
        <w:rPr>
          <w:sz w:val="24"/>
          <w:szCs w:val="24"/>
        </w:rPr>
        <w:t>8</w:t>
      </w:r>
      <w:r w:rsidRPr="00BA3DB2" w:rsidR="00647D96">
        <w:rPr>
          <w:sz w:val="24"/>
          <w:szCs w:val="24"/>
        </w:rPr>
        <w:t>0</w:t>
      </w:r>
      <w:r w:rsidRPr="00BA3DB2" w:rsidR="0057002B">
        <w:rPr>
          <w:sz w:val="24"/>
          <w:szCs w:val="24"/>
        </w:rPr>
        <w:t xml:space="preserve"> </w:t>
      </w:r>
      <w:r w:rsidRPr="00BA3DB2">
        <w:rPr>
          <w:sz w:val="24"/>
          <w:szCs w:val="24"/>
        </w:rPr>
        <w:t>percent</w:t>
      </w:r>
      <w:r w:rsidRPr="00BA3DB2" w:rsidR="00FF1CC7">
        <w:rPr>
          <w:sz w:val="24"/>
          <w:szCs w:val="24"/>
        </w:rPr>
        <w:t>.</w:t>
      </w:r>
    </w:p>
    <w:p w:rsidRPr="00ED6E5C" w:rsidR="00CE7538" w:rsidP="003073BC" w:rsidRDefault="00CE7538">
      <w:pPr>
        <w:rPr>
          <w:sz w:val="24"/>
          <w:szCs w:val="24"/>
        </w:rPr>
      </w:pPr>
    </w:p>
    <w:p w:rsidRPr="00ED6E5C" w:rsidR="00CE7538" w:rsidP="003073BC" w:rsidRDefault="00017875">
      <w:pPr>
        <w:rPr>
          <w:sz w:val="24"/>
          <w:szCs w:val="24"/>
        </w:rPr>
      </w:pPr>
      <w:r w:rsidRPr="00ED6E5C">
        <w:rPr>
          <w:sz w:val="24"/>
          <w:szCs w:val="24"/>
        </w:rPr>
        <w:t xml:space="preserve">The </w:t>
      </w:r>
      <w:r w:rsidRPr="00ED6E5C" w:rsidR="00CE7538">
        <w:rPr>
          <w:sz w:val="24"/>
          <w:szCs w:val="24"/>
        </w:rPr>
        <w:t xml:space="preserve">BLS and the cooperating </w:t>
      </w:r>
      <w:r w:rsidRPr="00ED6E5C" w:rsidR="005A1A19">
        <w:rPr>
          <w:sz w:val="24"/>
          <w:szCs w:val="24"/>
        </w:rPr>
        <w:t xml:space="preserve">Territories </w:t>
      </w:r>
      <w:r w:rsidRPr="00ED6E5C" w:rsidR="00CE7538">
        <w:rPr>
          <w:sz w:val="24"/>
          <w:szCs w:val="24"/>
        </w:rPr>
        <w:t>conduct an extensive and vigorous program of notification and non</w:t>
      </w:r>
      <w:r w:rsidRPr="00ED6E5C">
        <w:rPr>
          <w:sz w:val="24"/>
          <w:szCs w:val="24"/>
        </w:rPr>
        <w:t>-</w:t>
      </w:r>
      <w:r w:rsidRPr="00ED6E5C" w:rsidR="00CE7538">
        <w:rPr>
          <w:sz w:val="24"/>
          <w:szCs w:val="24"/>
        </w:rPr>
        <w:t>response follow-up.  These include:</w:t>
      </w:r>
    </w:p>
    <w:p w:rsidRPr="00ED6E5C" w:rsidR="00CE7538" w:rsidP="003073BC" w:rsidRDefault="00CE7538">
      <w:pPr>
        <w:rPr>
          <w:sz w:val="24"/>
          <w:szCs w:val="24"/>
        </w:rPr>
      </w:pPr>
    </w:p>
    <w:p w:rsidRPr="00ED6E5C" w:rsidR="00CE7538" w:rsidP="003073BC" w:rsidRDefault="00CE7538">
      <w:pPr>
        <w:numPr>
          <w:ilvl w:val="0"/>
          <w:numId w:val="2"/>
        </w:numPr>
        <w:rPr>
          <w:sz w:val="24"/>
          <w:szCs w:val="24"/>
        </w:rPr>
      </w:pPr>
      <w:r w:rsidRPr="00ED6E5C">
        <w:rPr>
          <w:sz w:val="24"/>
          <w:szCs w:val="24"/>
        </w:rPr>
        <w:t xml:space="preserve">Targeted advance notice </w:t>
      </w:r>
      <w:r w:rsidR="00647D96">
        <w:rPr>
          <w:sz w:val="24"/>
          <w:szCs w:val="24"/>
        </w:rPr>
        <w:t>emails, postcards, and faxes</w:t>
      </w:r>
      <w:r w:rsidRPr="00ED6E5C">
        <w:rPr>
          <w:sz w:val="24"/>
          <w:szCs w:val="24"/>
        </w:rPr>
        <w:t>, sent to all sample units</w:t>
      </w:r>
      <w:r w:rsidRPr="00ED6E5C" w:rsidR="00017875">
        <w:rPr>
          <w:sz w:val="24"/>
          <w:szCs w:val="24"/>
        </w:rPr>
        <w:t>; and</w:t>
      </w:r>
    </w:p>
    <w:p w:rsidRPr="00ED6E5C" w:rsidR="00CE7538" w:rsidP="003073BC" w:rsidRDefault="00CE7538">
      <w:pPr>
        <w:numPr>
          <w:ilvl w:val="0"/>
          <w:numId w:val="2"/>
        </w:numPr>
        <w:rPr>
          <w:sz w:val="24"/>
          <w:szCs w:val="24"/>
        </w:rPr>
      </w:pPr>
      <w:r w:rsidRPr="00ED6E5C">
        <w:rPr>
          <w:sz w:val="24"/>
          <w:szCs w:val="24"/>
        </w:rPr>
        <w:t xml:space="preserve">Time specific nonresponse prompting </w:t>
      </w:r>
      <w:r w:rsidR="00647D96">
        <w:rPr>
          <w:sz w:val="24"/>
          <w:szCs w:val="24"/>
        </w:rPr>
        <w:t>emails, telephone calls, and faxes</w:t>
      </w:r>
      <w:r w:rsidRPr="00ED6E5C">
        <w:rPr>
          <w:sz w:val="24"/>
          <w:szCs w:val="24"/>
        </w:rPr>
        <w:t>.</w:t>
      </w:r>
    </w:p>
    <w:p w:rsidRPr="00ED6E5C" w:rsidR="00CE7538" w:rsidP="003073BC" w:rsidRDefault="00CE7538">
      <w:pPr>
        <w:rPr>
          <w:sz w:val="24"/>
          <w:szCs w:val="24"/>
        </w:rPr>
      </w:pPr>
    </w:p>
    <w:p w:rsidRPr="003073BC" w:rsidR="00FF7F7E" w:rsidP="003073BC" w:rsidRDefault="001319B5">
      <w:pPr>
        <w:rPr>
          <w:sz w:val="24"/>
          <w:szCs w:val="24"/>
        </w:rPr>
      </w:pPr>
      <w:r w:rsidRPr="003073BC">
        <w:rPr>
          <w:sz w:val="24"/>
          <w:szCs w:val="24"/>
        </w:rPr>
        <w:t>The BLS conducts</w:t>
      </w:r>
      <w:r w:rsidRPr="003073BC" w:rsidR="00FF7F7E">
        <w:rPr>
          <w:sz w:val="24"/>
          <w:szCs w:val="24"/>
        </w:rPr>
        <w:t xml:space="preserve"> an average </w:t>
      </w:r>
      <w:r w:rsidRPr="00BA3DB2" w:rsidR="00FF7F7E">
        <w:rPr>
          <w:sz w:val="24"/>
          <w:szCs w:val="24"/>
        </w:rPr>
        <w:t xml:space="preserve">of </w:t>
      </w:r>
      <w:r w:rsidRPr="00BA3DB2" w:rsidR="00C052C3">
        <w:rPr>
          <w:sz w:val="24"/>
          <w:szCs w:val="24"/>
        </w:rPr>
        <w:t>25,000</w:t>
      </w:r>
      <w:r w:rsidRPr="003073BC" w:rsidR="00FF7F7E">
        <w:rPr>
          <w:sz w:val="24"/>
          <w:szCs w:val="24"/>
        </w:rPr>
        <w:t xml:space="preserve"> non-respon</w:t>
      </w:r>
      <w:r w:rsidRPr="003073BC">
        <w:rPr>
          <w:sz w:val="24"/>
          <w:szCs w:val="24"/>
        </w:rPr>
        <w:t xml:space="preserve">se prompt phone calls and prints </w:t>
      </w:r>
      <w:r w:rsidR="00A0380F">
        <w:rPr>
          <w:sz w:val="24"/>
          <w:szCs w:val="24"/>
        </w:rPr>
        <w:t>28,000</w:t>
      </w:r>
      <w:r w:rsidRPr="003073BC">
        <w:rPr>
          <w:sz w:val="24"/>
          <w:szCs w:val="24"/>
        </w:rPr>
        <w:t xml:space="preserve"> non-response prompt postcards per month.</w:t>
      </w:r>
    </w:p>
    <w:p w:rsidRPr="003073BC" w:rsidR="00CE7538" w:rsidP="003073BC" w:rsidRDefault="00CE7538">
      <w:pPr>
        <w:rPr>
          <w:sz w:val="24"/>
          <w:szCs w:val="24"/>
        </w:rPr>
      </w:pPr>
    </w:p>
    <w:p w:rsidRPr="003073BC" w:rsidR="00CE7538" w:rsidP="003073BC" w:rsidRDefault="00CE7538">
      <w:pPr>
        <w:rPr>
          <w:sz w:val="24"/>
          <w:szCs w:val="24"/>
        </w:rPr>
      </w:pPr>
      <w:r w:rsidRPr="003073BC">
        <w:rPr>
          <w:sz w:val="24"/>
          <w:szCs w:val="24"/>
        </w:rPr>
        <w:t xml:space="preserve">In addition, </w:t>
      </w:r>
      <w:r w:rsidRPr="003073BC" w:rsidR="00017875">
        <w:rPr>
          <w:sz w:val="24"/>
          <w:szCs w:val="24"/>
        </w:rPr>
        <w:t xml:space="preserve">the </w:t>
      </w:r>
      <w:r w:rsidRPr="003073BC">
        <w:rPr>
          <w:sz w:val="24"/>
          <w:szCs w:val="24"/>
        </w:rPr>
        <w:t>BLS follow</w:t>
      </w:r>
      <w:r w:rsidRPr="003073BC" w:rsidR="005A1A19">
        <w:rPr>
          <w:sz w:val="24"/>
          <w:szCs w:val="24"/>
        </w:rPr>
        <w:t>s</w:t>
      </w:r>
      <w:r w:rsidRPr="003073BC">
        <w:rPr>
          <w:sz w:val="24"/>
          <w:szCs w:val="24"/>
        </w:rPr>
        <w:t xml:space="preserve"> an aggressive refusal conversion protocol.  Each month the BLS Data Collection Centers target prior refusals for re-contact.  About one-half of these refusals agree to resume reporting.</w:t>
      </w:r>
    </w:p>
    <w:p w:rsidRPr="003073BC" w:rsidR="00CE7538" w:rsidP="003073BC" w:rsidRDefault="00CE7538">
      <w:pPr>
        <w:rPr>
          <w:sz w:val="24"/>
          <w:szCs w:val="24"/>
        </w:rPr>
      </w:pPr>
    </w:p>
    <w:p w:rsidRPr="003073BC" w:rsidR="00CE7538" w:rsidP="003073BC" w:rsidRDefault="00CE7538">
      <w:pPr>
        <w:rPr>
          <w:sz w:val="24"/>
          <w:szCs w:val="24"/>
        </w:rPr>
      </w:pPr>
      <w:r w:rsidRPr="003073BC">
        <w:rPr>
          <w:sz w:val="24"/>
          <w:szCs w:val="24"/>
        </w:rPr>
        <w:t>Growth of EDI, the direct transfer of data from the firm to</w:t>
      </w:r>
      <w:r w:rsidRPr="003073BC" w:rsidR="00017875">
        <w:rPr>
          <w:sz w:val="24"/>
          <w:szCs w:val="24"/>
        </w:rPr>
        <w:t xml:space="preserve"> the</w:t>
      </w:r>
      <w:r w:rsidRPr="003073BC">
        <w:rPr>
          <w:sz w:val="24"/>
          <w:szCs w:val="24"/>
        </w:rPr>
        <w:t xml:space="preserve"> BLS, also provides a high level of response and stability.  </w:t>
      </w:r>
      <w:r w:rsidRPr="003073BC" w:rsidR="00017875">
        <w:rPr>
          <w:sz w:val="24"/>
          <w:szCs w:val="24"/>
        </w:rPr>
        <w:t xml:space="preserve">The </w:t>
      </w:r>
      <w:r w:rsidRPr="003073BC">
        <w:rPr>
          <w:sz w:val="24"/>
          <w:szCs w:val="24"/>
        </w:rPr>
        <w:t xml:space="preserve">BLS currently collects </w:t>
      </w:r>
      <w:r w:rsidRPr="00647D96" w:rsidR="00647D96">
        <w:rPr>
          <w:sz w:val="24"/>
          <w:szCs w:val="24"/>
        </w:rPr>
        <w:t>approximately 150,</w:t>
      </w:r>
      <w:r w:rsidRPr="00647D96" w:rsidR="00A609FE">
        <w:rPr>
          <w:sz w:val="24"/>
          <w:szCs w:val="24"/>
        </w:rPr>
        <w:t>000</w:t>
      </w:r>
      <w:r w:rsidRPr="00647D96">
        <w:rPr>
          <w:sz w:val="24"/>
          <w:szCs w:val="24"/>
        </w:rPr>
        <w:t xml:space="preserve"> </w:t>
      </w:r>
      <w:r w:rsidRPr="00BA3DB2">
        <w:rPr>
          <w:sz w:val="24"/>
          <w:szCs w:val="24"/>
        </w:rPr>
        <w:t xml:space="preserve">reports from </w:t>
      </w:r>
      <w:r w:rsidRPr="00647D96" w:rsidR="00973CE3">
        <w:rPr>
          <w:sz w:val="24"/>
          <w:szCs w:val="24"/>
        </w:rPr>
        <w:t>8</w:t>
      </w:r>
      <w:r w:rsidRPr="00BA3DB2" w:rsidR="00647D96">
        <w:rPr>
          <w:sz w:val="24"/>
          <w:szCs w:val="24"/>
        </w:rPr>
        <w:t>0</w:t>
      </w:r>
      <w:r w:rsidRPr="00647D96" w:rsidR="00CD4476">
        <w:rPr>
          <w:sz w:val="24"/>
          <w:szCs w:val="24"/>
        </w:rPr>
        <w:t xml:space="preserve"> </w:t>
      </w:r>
      <w:r w:rsidRPr="00647D96">
        <w:rPr>
          <w:sz w:val="24"/>
          <w:szCs w:val="24"/>
        </w:rPr>
        <w:t>large firms</w:t>
      </w:r>
      <w:r w:rsidRPr="003073BC">
        <w:rPr>
          <w:sz w:val="24"/>
          <w:szCs w:val="24"/>
        </w:rPr>
        <w:t xml:space="preserve"> via EDI.  For final estimates, virtually all of these firms provide data.  EDI also experiences very few refusals.</w:t>
      </w:r>
    </w:p>
    <w:p w:rsidRPr="003073BC" w:rsidR="00CE7538" w:rsidP="003073BC" w:rsidRDefault="00CE7538">
      <w:pPr>
        <w:rPr>
          <w:sz w:val="24"/>
          <w:szCs w:val="24"/>
        </w:rPr>
      </w:pPr>
    </w:p>
    <w:p w:rsidR="00CE7538" w:rsidP="003073BC" w:rsidRDefault="00CE7538">
      <w:pPr>
        <w:rPr>
          <w:sz w:val="24"/>
          <w:szCs w:val="24"/>
        </w:rPr>
      </w:pPr>
      <w:r w:rsidRPr="003073BC">
        <w:rPr>
          <w:sz w:val="24"/>
          <w:szCs w:val="24"/>
        </w:rPr>
        <w:t xml:space="preserve">Each year </w:t>
      </w:r>
      <w:r w:rsidRPr="003073BC" w:rsidR="00B72320">
        <w:rPr>
          <w:sz w:val="24"/>
          <w:szCs w:val="24"/>
        </w:rPr>
        <w:t xml:space="preserve">the </w:t>
      </w:r>
      <w:r w:rsidRPr="003073BC">
        <w:rPr>
          <w:sz w:val="24"/>
          <w:szCs w:val="24"/>
        </w:rPr>
        <w:t>BLS conducts analyses of the survey estimates and decomposes the total survey error into its various components including sampling error, non-response error, reporting error, and errors from other sources.  These analyses are possible since the LDB provides employment data for all units in the population.  It is possible to use this employment information to calculate CES estimates using all of the units selected in the sample (100</w:t>
      </w:r>
      <w:r w:rsidRPr="003073BC" w:rsidR="00B72320">
        <w:rPr>
          <w:sz w:val="24"/>
          <w:szCs w:val="24"/>
        </w:rPr>
        <w:t xml:space="preserve"> percent</w:t>
      </w:r>
      <w:r w:rsidRPr="003073BC">
        <w:rPr>
          <w:sz w:val="24"/>
          <w:szCs w:val="24"/>
        </w:rPr>
        <w:t xml:space="preserve"> response) and compare it with the CES estimates using only those units that responded to </w:t>
      </w:r>
      <w:r w:rsidR="009E58FD">
        <w:rPr>
          <w:sz w:val="24"/>
          <w:szCs w:val="24"/>
        </w:rPr>
        <w:t xml:space="preserve">the </w:t>
      </w:r>
      <w:r w:rsidRPr="003073BC">
        <w:rPr>
          <w:sz w:val="24"/>
          <w:szCs w:val="24"/>
        </w:rPr>
        <w:t>CES</w:t>
      </w:r>
      <w:r w:rsidR="009E58FD">
        <w:rPr>
          <w:sz w:val="24"/>
          <w:szCs w:val="24"/>
        </w:rPr>
        <w:t xml:space="preserve"> survey</w:t>
      </w:r>
      <w:r w:rsidRPr="003073BC">
        <w:rPr>
          <w:sz w:val="24"/>
          <w:szCs w:val="24"/>
        </w:rPr>
        <w:t xml:space="preserve">.  This provides a measure of the non-response error.  Similar methods are used to measure other sources of survey error which can then be aggregated to the total survey error.  </w:t>
      </w:r>
      <w:r w:rsidRPr="003073BC" w:rsidR="00630007">
        <w:rPr>
          <w:sz w:val="24"/>
          <w:szCs w:val="24"/>
        </w:rPr>
        <w:t>See Gershunskaya, Eltinge, and Huff,</w:t>
      </w:r>
      <w:r w:rsidRPr="003073BC" w:rsidR="00314C37">
        <w:rPr>
          <w:sz w:val="24"/>
          <w:szCs w:val="24"/>
        </w:rPr>
        <w:t xml:space="preserve"> </w:t>
      </w:r>
      <w:r w:rsidRPr="003073BC" w:rsidR="00630007">
        <w:rPr>
          <w:sz w:val="24"/>
          <w:szCs w:val="24"/>
        </w:rPr>
        <w:t xml:space="preserve">2002, for detailed mathematical formulae and numerical results on analysis of multiple error components in small domain estimates for the CES program.  </w:t>
      </w:r>
      <w:r w:rsidRPr="003073BC">
        <w:rPr>
          <w:sz w:val="24"/>
          <w:szCs w:val="24"/>
        </w:rPr>
        <w:t xml:space="preserve">These analyses are useful in determining the source of errors for past estimates; however, they have not yet proven useful in </w:t>
      </w:r>
      <w:r w:rsidRPr="00456E5F">
        <w:rPr>
          <w:sz w:val="24"/>
          <w:szCs w:val="24"/>
        </w:rPr>
        <w:t xml:space="preserve">predicting or limiting the errors in current estimates. </w:t>
      </w:r>
      <w:r w:rsidRPr="00456E5F" w:rsidR="00456E5F">
        <w:rPr>
          <w:sz w:val="24"/>
          <w:szCs w:val="24"/>
        </w:rPr>
        <w:t xml:space="preserve"> Gershunskaya and Huff (2009) found that</w:t>
      </w:r>
      <w:r w:rsidR="00456E5F">
        <w:rPr>
          <w:sz w:val="24"/>
          <w:szCs w:val="24"/>
        </w:rPr>
        <w:t xml:space="preserve"> </w:t>
      </w:r>
      <w:r w:rsidRPr="00BA3DB2" w:rsidR="00456E5F">
        <w:rPr>
          <w:sz w:val="24"/>
          <w:szCs w:val="24"/>
        </w:rPr>
        <w:t>non-response error was not a principal factor in the total survey error and that the non-response error is not unidirectional or particularly related to the response rates</w:t>
      </w:r>
      <w:r w:rsidR="00456E5F">
        <w:rPr>
          <w:sz w:val="24"/>
          <w:szCs w:val="24"/>
        </w:rPr>
        <w:t xml:space="preserve"> </w:t>
      </w:r>
      <w:r w:rsidRPr="00BA3DB2" w:rsidR="00456E5F">
        <w:rPr>
          <w:sz w:val="24"/>
          <w:szCs w:val="24"/>
        </w:rPr>
        <w:t>in a</w:t>
      </w:r>
      <w:r w:rsidRPr="00456E5F" w:rsidR="00027713">
        <w:rPr>
          <w:sz w:val="24"/>
          <w:szCs w:val="24"/>
        </w:rPr>
        <w:t xml:space="preserve"> research paper presented at the 2009 American Statistical Association Annual Meeting</w:t>
      </w:r>
      <w:r w:rsidRPr="00B04165" w:rsidR="00456E5F">
        <w:rPr>
          <w:sz w:val="24"/>
          <w:szCs w:val="24"/>
        </w:rPr>
        <w:t>.  The study covers the CES estimates from 2004 through 2008</w:t>
      </w:r>
      <w:r w:rsidRPr="00BA3DB2" w:rsidR="00027713">
        <w:rPr>
          <w:sz w:val="24"/>
          <w:szCs w:val="24"/>
        </w:rPr>
        <w:t xml:space="preserve">.  </w:t>
      </w:r>
      <w:r w:rsidRPr="003073BC">
        <w:rPr>
          <w:sz w:val="24"/>
          <w:szCs w:val="24"/>
        </w:rPr>
        <w:t>Detailed tables of response rates for the private</w:t>
      </w:r>
      <w:r w:rsidRPr="003073BC" w:rsidR="007142BC">
        <w:rPr>
          <w:sz w:val="24"/>
          <w:szCs w:val="24"/>
        </w:rPr>
        <w:t xml:space="preserve"> </w:t>
      </w:r>
      <w:r w:rsidRPr="003073BC">
        <w:rPr>
          <w:sz w:val="24"/>
          <w:szCs w:val="24"/>
        </w:rPr>
        <w:t xml:space="preserve">sector probability sample are available for </w:t>
      </w:r>
      <w:r w:rsidRPr="003073BC" w:rsidR="00630007">
        <w:rPr>
          <w:sz w:val="24"/>
          <w:szCs w:val="24"/>
        </w:rPr>
        <w:t>earlier years</w:t>
      </w:r>
      <w:r w:rsidRPr="003073BC">
        <w:rPr>
          <w:sz w:val="24"/>
          <w:szCs w:val="24"/>
        </w:rPr>
        <w:t xml:space="preserve"> and are updated on a</w:t>
      </w:r>
      <w:r w:rsidRPr="003073BC" w:rsidR="00630007">
        <w:rPr>
          <w:sz w:val="24"/>
          <w:szCs w:val="24"/>
        </w:rPr>
        <w:t>n annual</w:t>
      </w:r>
      <w:r w:rsidRPr="003073BC">
        <w:rPr>
          <w:sz w:val="24"/>
          <w:szCs w:val="24"/>
        </w:rPr>
        <w:t xml:space="preserve"> basis.</w:t>
      </w:r>
      <w:r w:rsidRPr="003073BC" w:rsidR="007C6882">
        <w:rPr>
          <w:sz w:val="24"/>
          <w:szCs w:val="24"/>
        </w:rPr>
        <w:t xml:space="preserve">  Details are available on request.</w:t>
      </w:r>
    </w:p>
    <w:p w:rsidR="008C67B9" w:rsidP="003073BC" w:rsidRDefault="008C67B9">
      <w:pPr>
        <w:rPr>
          <w:sz w:val="24"/>
          <w:szCs w:val="24"/>
        </w:rPr>
      </w:pPr>
    </w:p>
    <w:p w:rsidRPr="00B86A5B" w:rsidR="0000106D" w:rsidP="0000106D" w:rsidRDefault="0000106D">
      <w:pPr>
        <w:rPr>
          <w:b/>
          <w:sz w:val="24"/>
          <w:szCs w:val="24"/>
        </w:rPr>
      </w:pPr>
      <w:r w:rsidRPr="00B86A5B">
        <w:rPr>
          <w:b/>
          <w:sz w:val="24"/>
          <w:szCs w:val="24"/>
        </w:rPr>
        <w:t xml:space="preserve">Disaster Recovery </w:t>
      </w:r>
      <w:r>
        <w:rPr>
          <w:b/>
          <w:sz w:val="24"/>
          <w:szCs w:val="24"/>
        </w:rPr>
        <w:t>due to COVID-19</w:t>
      </w:r>
    </w:p>
    <w:p w:rsidR="0000106D" w:rsidP="0000106D" w:rsidRDefault="0000106D">
      <w:pPr>
        <w:rPr>
          <w:sz w:val="24"/>
          <w:szCs w:val="24"/>
        </w:rPr>
      </w:pPr>
    </w:p>
    <w:p w:rsidR="0000106D" w:rsidP="0000106D" w:rsidRDefault="0000106D">
      <w:pPr>
        <w:rPr>
          <w:sz w:val="24"/>
          <w:szCs w:val="24"/>
        </w:rPr>
      </w:pPr>
      <w:r>
        <w:rPr>
          <w:sz w:val="24"/>
          <w:szCs w:val="24"/>
        </w:rPr>
        <w:t xml:space="preserve">The CES program only made one change to data collection due to the coronavirus pandemic, directing most of the CATI respondents to provide data online since we did not have enough staff to collect information over the phone.  In order to do so, beginning with the March 2019 collection cycle we began sending our CATI respondents an email notification instructing them to report via the Web.    </w:t>
      </w:r>
    </w:p>
    <w:p w:rsidR="0000106D" w:rsidP="003073BC" w:rsidRDefault="0000106D">
      <w:pPr>
        <w:rPr>
          <w:sz w:val="24"/>
          <w:szCs w:val="24"/>
        </w:rPr>
      </w:pPr>
    </w:p>
    <w:p w:rsidR="0000106D" w:rsidP="003073BC" w:rsidRDefault="0000106D">
      <w:pPr>
        <w:rPr>
          <w:sz w:val="24"/>
          <w:szCs w:val="24"/>
        </w:rPr>
      </w:pPr>
    </w:p>
    <w:p w:rsidR="0000106D" w:rsidP="003073BC" w:rsidRDefault="0000106D">
      <w:pPr>
        <w:rPr>
          <w:sz w:val="24"/>
          <w:szCs w:val="24"/>
        </w:rPr>
      </w:pPr>
    </w:p>
    <w:p w:rsidRPr="007E6629" w:rsidR="00BB2E06" w:rsidP="0000106D" w:rsidRDefault="00BB2E06">
      <w:pPr>
        <w:rPr>
          <w:b/>
          <w:sz w:val="24"/>
          <w:szCs w:val="24"/>
        </w:rPr>
      </w:pPr>
      <w:r w:rsidRPr="00541F1C">
        <w:rPr>
          <w:b/>
          <w:sz w:val="24"/>
          <w:szCs w:val="24"/>
        </w:rPr>
        <w:lastRenderedPageBreak/>
        <w:t xml:space="preserve">4. </w:t>
      </w:r>
      <w:r>
        <w:rPr>
          <w:b/>
        </w:rPr>
        <w:t xml:space="preserve"> </w:t>
      </w:r>
      <w:r w:rsidRPr="00541F1C">
        <w:rPr>
          <w:b/>
          <w:sz w:val="24"/>
          <w:szCs w:val="24"/>
        </w:rPr>
        <w:t xml:space="preserve">Describe any tests of procedures or methods to be undertaken. Testing is encouraged as an effective means of refining collections of information to minimize burden and improve </w:t>
      </w:r>
      <w:r w:rsidRPr="000E2E89">
        <w:rPr>
          <w:b/>
          <w:sz w:val="24"/>
          <w:szCs w:val="24"/>
        </w:rPr>
        <w:t>utility. Tests must be approved if they call for</w:t>
      </w:r>
      <w:r w:rsidRPr="007E6629">
        <w:rPr>
          <w:b/>
          <w:sz w:val="24"/>
          <w:szCs w:val="24"/>
        </w:rPr>
        <w:t xml:space="preserve"> answers to identical questions from 10 or more respondents. A proposed test or set of test may be submitted for approval separately or in combination with the main collection of information.</w:t>
      </w:r>
    </w:p>
    <w:p w:rsidRPr="007E6629" w:rsidR="008C67B9" w:rsidP="003073BC" w:rsidRDefault="008C67B9">
      <w:pPr>
        <w:rPr>
          <w:sz w:val="24"/>
          <w:szCs w:val="24"/>
        </w:rPr>
      </w:pPr>
    </w:p>
    <w:p w:rsidRPr="007E6629" w:rsidR="00A528F7" w:rsidP="00A528F7" w:rsidRDefault="00A528F7">
      <w:pPr>
        <w:rPr>
          <w:sz w:val="24"/>
          <w:szCs w:val="24"/>
        </w:rPr>
      </w:pPr>
      <w:r w:rsidRPr="007E6629">
        <w:rPr>
          <w:sz w:val="24"/>
          <w:szCs w:val="24"/>
        </w:rPr>
        <w:t>CES has been testing several contact strategies to identify improvements made to materials sent to respondents by both postal mail and e-mail. The goal of these tests have been to identify changes that can increase response and/or minimize respondent burden. Previous tests resulted in transitioning from postcards to email reminders of upcoming reporting and the elimination of pocket folders sent with forms. Another test showed that there was no benefit in providing a letter in advance of address refinement, so these plans were cancelled.  For these tests, CES performed an analysis of response rates, number of phone calls placed to respondent, and total length of the calls, for control and test groups.  </w:t>
      </w:r>
    </w:p>
    <w:p w:rsidRPr="007E6629" w:rsidR="00A528F7" w:rsidP="00A528F7" w:rsidRDefault="00A528F7">
      <w:pPr>
        <w:rPr>
          <w:sz w:val="24"/>
          <w:szCs w:val="24"/>
        </w:rPr>
      </w:pPr>
    </w:p>
    <w:p w:rsidRPr="007E6629" w:rsidR="00A528F7" w:rsidP="00A528F7" w:rsidRDefault="00A528F7">
      <w:pPr>
        <w:rPr>
          <w:sz w:val="24"/>
          <w:szCs w:val="24"/>
        </w:rPr>
      </w:pPr>
      <w:r w:rsidRPr="007E6629">
        <w:rPr>
          <w:sz w:val="24"/>
          <w:szCs w:val="24"/>
        </w:rPr>
        <w:t xml:space="preserve">CES will continue to perform similar tests to continue to refine our contact strategies. This includes additional comparisons of forms sent by postal mail vs. email as well as changes to the wording of cover letters and/or emails to most clearly explain the goal of the contact.  We will continue to test these by reviewing response rates, number and total length of the calls. When it makes sense, we will also seek feedback from data collectors on whether changes being tested made the process of CES reporting clearer and easier understood. </w:t>
      </w:r>
    </w:p>
    <w:p w:rsidRPr="007E6629" w:rsidR="00A528F7" w:rsidP="001C4931" w:rsidRDefault="00A528F7">
      <w:pPr>
        <w:rPr>
          <w:sz w:val="24"/>
          <w:szCs w:val="24"/>
        </w:rPr>
      </w:pPr>
    </w:p>
    <w:p w:rsidR="002A7A80" w:rsidP="004A7F01" w:rsidRDefault="002A7A80">
      <w:pPr>
        <w:rPr>
          <w:sz w:val="24"/>
          <w:szCs w:val="24"/>
        </w:rPr>
      </w:pPr>
    </w:p>
    <w:p w:rsidRPr="00541F1C" w:rsidR="00BB2E06" w:rsidP="00BB2E06" w:rsidRDefault="00BB2E06">
      <w:pPr>
        <w:rPr>
          <w:b/>
          <w:sz w:val="24"/>
          <w:szCs w:val="24"/>
        </w:rPr>
      </w:pPr>
      <w:r w:rsidRPr="00541F1C">
        <w:rPr>
          <w:b/>
          <w:sz w:val="24"/>
          <w:szCs w:val="24"/>
        </w:rPr>
        <w:t xml:space="preserve">5. </w:t>
      </w:r>
      <w:r>
        <w:rPr>
          <w:b/>
        </w:rPr>
        <w:t xml:space="preserve"> </w:t>
      </w:r>
      <w:r w:rsidRPr="00541F1C">
        <w:rPr>
          <w:b/>
          <w:sz w:val="24"/>
          <w:szCs w:val="24"/>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ED6E5C" w:rsidR="00CE7538" w:rsidP="008B3582" w:rsidRDefault="00CE7538">
      <w:pPr>
        <w:rPr>
          <w:color w:val="000000"/>
          <w:sz w:val="24"/>
          <w:szCs w:val="24"/>
        </w:rPr>
      </w:pPr>
    </w:p>
    <w:p w:rsidRPr="00ED6E5C" w:rsidR="00450E96" w:rsidP="008B3582" w:rsidRDefault="00450E96">
      <w:pPr>
        <w:rPr>
          <w:color w:val="000000"/>
          <w:sz w:val="24"/>
          <w:szCs w:val="24"/>
        </w:rPr>
      </w:pPr>
      <w:r w:rsidRPr="00BA3DB2">
        <w:rPr>
          <w:color w:val="000000"/>
          <w:sz w:val="24"/>
          <w:szCs w:val="24"/>
        </w:rPr>
        <w:t xml:space="preserve">Mr. </w:t>
      </w:r>
      <w:r w:rsidR="0080455C">
        <w:rPr>
          <w:color w:val="000000"/>
          <w:sz w:val="24"/>
          <w:szCs w:val="24"/>
        </w:rPr>
        <w:t>Edwin Robison</w:t>
      </w:r>
      <w:r w:rsidRPr="00ED6E5C">
        <w:rPr>
          <w:color w:val="000000"/>
          <w:sz w:val="24"/>
          <w:szCs w:val="24"/>
        </w:rPr>
        <w:t xml:space="preserve">, Chief, Statistical Methods Division of the Office of Employment and Unemployment Statistics, is responsible for the statistical aspects of the CES survey.  </w:t>
      </w:r>
    </w:p>
    <w:p w:rsidR="00CE7538" w:rsidP="008B3582" w:rsidRDefault="00CE7538">
      <w:pPr>
        <w:rPr>
          <w:color w:val="000000"/>
          <w:sz w:val="24"/>
          <w:szCs w:val="24"/>
        </w:rPr>
      </w:pPr>
    </w:p>
    <w:p w:rsidR="00290EC9" w:rsidP="008B3582" w:rsidRDefault="00290EC9">
      <w:pPr>
        <w:rPr>
          <w:color w:val="000000"/>
          <w:sz w:val="24"/>
          <w:szCs w:val="24"/>
        </w:rPr>
      </w:pPr>
    </w:p>
    <w:p w:rsidRPr="00ED6E5C" w:rsidR="00CE7538" w:rsidP="008B3582" w:rsidRDefault="001C4931">
      <w:pPr>
        <w:pStyle w:val="Index1"/>
        <w:spacing w:line="240" w:lineRule="auto"/>
        <w:rPr>
          <w:color w:val="000000"/>
          <w:szCs w:val="24"/>
        </w:rPr>
      </w:pPr>
      <w:r>
        <w:rPr>
          <w:color w:val="000000"/>
          <w:szCs w:val="24"/>
        </w:rPr>
        <w:t>6</w:t>
      </w:r>
      <w:r w:rsidRPr="00ED6E5C" w:rsidR="00CE7538">
        <w:rPr>
          <w:color w:val="000000"/>
          <w:szCs w:val="24"/>
        </w:rPr>
        <w:t xml:space="preserve">.  </w:t>
      </w:r>
      <w:r w:rsidR="00403E90">
        <w:rPr>
          <w:color w:val="000000"/>
          <w:szCs w:val="24"/>
        </w:rPr>
        <w:t xml:space="preserve"> </w:t>
      </w:r>
      <w:r w:rsidRPr="00ED6E5C" w:rsidR="00CE7538">
        <w:rPr>
          <w:color w:val="000000"/>
          <w:szCs w:val="24"/>
        </w:rPr>
        <w:t>References</w:t>
      </w:r>
    </w:p>
    <w:p w:rsidRPr="00ED6E5C" w:rsidR="00CE7538" w:rsidP="005903E9" w:rsidRDefault="00CE7538">
      <w:pPr>
        <w:rPr>
          <w:sz w:val="24"/>
          <w:szCs w:val="24"/>
        </w:rPr>
      </w:pPr>
    </w:p>
    <w:p w:rsidRPr="00ED6E5C" w:rsidR="008B3FB0" w:rsidP="003073BC" w:rsidRDefault="008B3FB0">
      <w:pPr>
        <w:rPr>
          <w:color w:val="000000"/>
          <w:sz w:val="24"/>
          <w:szCs w:val="24"/>
        </w:rPr>
      </w:pPr>
      <w:r w:rsidRPr="00ED6E5C">
        <w:rPr>
          <w:color w:val="000000"/>
          <w:sz w:val="24"/>
          <w:szCs w:val="24"/>
        </w:rPr>
        <w:t>American Statistical Association (1994) "A Research Agenda to Guide and Improve the Current Employment Statistics Survey." American Statistical Association Panel for the Bureau of Labor Statistics' Current Employment Statistics Survey, January, 1994. Alexandria, VA: American Statistical Association.</w:t>
      </w:r>
    </w:p>
    <w:p w:rsidRPr="00ED6E5C" w:rsidR="008B3FB0" w:rsidP="004A7F01" w:rsidRDefault="008B3FB0">
      <w:pPr>
        <w:rPr>
          <w:color w:val="000000"/>
          <w:sz w:val="24"/>
          <w:szCs w:val="24"/>
        </w:rPr>
      </w:pPr>
    </w:p>
    <w:p w:rsidRPr="00ED6E5C" w:rsidR="008B3FB0" w:rsidP="00A74136" w:rsidRDefault="008B3FB0">
      <w:pPr>
        <w:autoSpaceDE w:val="0"/>
        <w:autoSpaceDN w:val="0"/>
        <w:adjustRightInd w:val="0"/>
        <w:rPr>
          <w:sz w:val="24"/>
          <w:szCs w:val="24"/>
        </w:rPr>
      </w:pPr>
      <w:r w:rsidRPr="00ED6E5C">
        <w:rPr>
          <w:sz w:val="24"/>
          <w:szCs w:val="24"/>
        </w:rPr>
        <w:t xml:space="preserve">Bureau of Labor Statistics. </w:t>
      </w:r>
      <w:r w:rsidRPr="00ED6E5C">
        <w:rPr>
          <w:sz w:val="24"/>
          <w:szCs w:val="24"/>
          <w:u w:val="single"/>
        </w:rPr>
        <w:t>BLS Handbook of Methods Chapter 2: Employment, Hours, and Earnings from the Establishment Survey</w:t>
      </w:r>
      <w:r w:rsidRPr="00ED6E5C">
        <w:rPr>
          <w:sz w:val="24"/>
          <w:szCs w:val="24"/>
        </w:rPr>
        <w:t xml:space="preserve">. Washington DC: Bureau of Labor Statistics, 2004, p.5. </w:t>
      </w:r>
      <w:hyperlink w:history="1" r:id="rId8">
        <w:r w:rsidRPr="00ED6E5C">
          <w:rPr>
            <w:rStyle w:val="Hyperlink"/>
            <w:sz w:val="24"/>
            <w:szCs w:val="24"/>
          </w:rPr>
          <w:t>http://www</w:t>
        </w:r>
        <w:r w:rsidRPr="00ED6E5C">
          <w:rPr>
            <w:rStyle w:val="Hyperlink"/>
            <w:sz w:val="24"/>
            <w:szCs w:val="24"/>
          </w:rPr>
          <w:t>.</w:t>
        </w:r>
        <w:r w:rsidRPr="00ED6E5C">
          <w:rPr>
            <w:rStyle w:val="Hyperlink"/>
            <w:sz w:val="24"/>
            <w:szCs w:val="24"/>
          </w:rPr>
          <w:t>bls.gov/opub/</w:t>
        </w:r>
        <w:r w:rsidRPr="00ED6E5C">
          <w:rPr>
            <w:rStyle w:val="Hyperlink"/>
            <w:sz w:val="24"/>
            <w:szCs w:val="24"/>
          </w:rPr>
          <w:t>h</w:t>
        </w:r>
        <w:r w:rsidRPr="00ED6E5C">
          <w:rPr>
            <w:rStyle w:val="Hyperlink"/>
            <w:sz w:val="24"/>
            <w:szCs w:val="24"/>
          </w:rPr>
          <w:t>o</w:t>
        </w:r>
        <w:r w:rsidRPr="00ED6E5C">
          <w:rPr>
            <w:rStyle w:val="Hyperlink"/>
            <w:sz w:val="24"/>
            <w:szCs w:val="24"/>
          </w:rPr>
          <w:t>m</w:t>
        </w:r>
        <w:r w:rsidRPr="00ED6E5C">
          <w:rPr>
            <w:rStyle w:val="Hyperlink"/>
            <w:sz w:val="24"/>
            <w:szCs w:val="24"/>
          </w:rPr>
          <w:t>/pdf/homch2.pdf</w:t>
        </w:r>
      </w:hyperlink>
    </w:p>
    <w:p w:rsidRPr="00ED6E5C" w:rsidR="008B3FB0" w:rsidP="00A74136" w:rsidRDefault="008B3FB0">
      <w:pPr>
        <w:autoSpaceDE w:val="0"/>
        <w:autoSpaceDN w:val="0"/>
        <w:adjustRightInd w:val="0"/>
        <w:rPr>
          <w:sz w:val="24"/>
          <w:szCs w:val="24"/>
        </w:rPr>
      </w:pPr>
    </w:p>
    <w:p w:rsidRPr="00ED6E5C" w:rsidR="008B3FB0" w:rsidP="00A566AF" w:rsidRDefault="008B3FB0">
      <w:pPr>
        <w:rPr>
          <w:sz w:val="24"/>
          <w:szCs w:val="24"/>
        </w:rPr>
      </w:pPr>
      <w:r w:rsidRPr="00ED6E5C">
        <w:rPr>
          <w:sz w:val="24"/>
          <w:szCs w:val="24"/>
        </w:rPr>
        <w:t xml:space="preserve">Bureau of Labor Statistics. </w:t>
      </w:r>
      <w:r w:rsidRPr="00ED6E5C">
        <w:rPr>
          <w:sz w:val="24"/>
          <w:szCs w:val="24"/>
          <w:u w:val="single"/>
        </w:rPr>
        <w:t>BLS Handbook of Methods Chapter 2: Employment, Hours, and Earnings from the Establishment Survey</w:t>
      </w:r>
      <w:r w:rsidRPr="00ED6E5C">
        <w:rPr>
          <w:sz w:val="24"/>
          <w:szCs w:val="24"/>
        </w:rPr>
        <w:t xml:space="preserve">.  Washington DC: Bureau of Labor Statistics, 2004, pp. 5-7. </w:t>
      </w:r>
      <w:hyperlink w:history="1" r:id="rId9">
        <w:r w:rsidRPr="00ED6E5C">
          <w:rPr>
            <w:rStyle w:val="Hyperlink"/>
            <w:sz w:val="24"/>
            <w:szCs w:val="24"/>
          </w:rPr>
          <w:t>http://ww</w:t>
        </w:r>
        <w:r w:rsidRPr="00ED6E5C">
          <w:rPr>
            <w:rStyle w:val="Hyperlink"/>
            <w:sz w:val="24"/>
            <w:szCs w:val="24"/>
          </w:rPr>
          <w:t>w</w:t>
        </w:r>
        <w:r w:rsidRPr="00ED6E5C">
          <w:rPr>
            <w:rStyle w:val="Hyperlink"/>
            <w:sz w:val="24"/>
            <w:szCs w:val="24"/>
          </w:rPr>
          <w:t>.bls.gov/op</w:t>
        </w:r>
        <w:r w:rsidRPr="00ED6E5C">
          <w:rPr>
            <w:rStyle w:val="Hyperlink"/>
            <w:sz w:val="24"/>
            <w:szCs w:val="24"/>
          </w:rPr>
          <w:t>u</w:t>
        </w:r>
        <w:r w:rsidRPr="00ED6E5C">
          <w:rPr>
            <w:rStyle w:val="Hyperlink"/>
            <w:sz w:val="24"/>
            <w:szCs w:val="24"/>
          </w:rPr>
          <w:t>b/hom/p</w:t>
        </w:r>
        <w:r w:rsidRPr="00ED6E5C">
          <w:rPr>
            <w:rStyle w:val="Hyperlink"/>
            <w:sz w:val="24"/>
            <w:szCs w:val="24"/>
          </w:rPr>
          <w:t>d</w:t>
        </w:r>
        <w:r w:rsidRPr="00ED6E5C">
          <w:rPr>
            <w:rStyle w:val="Hyperlink"/>
            <w:sz w:val="24"/>
            <w:szCs w:val="24"/>
          </w:rPr>
          <w:t>f/ho</w:t>
        </w:r>
        <w:r w:rsidRPr="00ED6E5C">
          <w:rPr>
            <w:rStyle w:val="Hyperlink"/>
            <w:sz w:val="24"/>
            <w:szCs w:val="24"/>
          </w:rPr>
          <w:t>m</w:t>
        </w:r>
        <w:r w:rsidRPr="00ED6E5C">
          <w:rPr>
            <w:rStyle w:val="Hyperlink"/>
            <w:sz w:val="24"/>
            <w:szCs w:val="24"/>
          </w:rPr>
          <w:t>ch2.pdf</w:t>
        </w:r>
      </w:hyperlink>
    </w:p>
    <w:p w:rsidRPr="00ED6E5C" w:rsidR="008B3FB0" w:rsidP="00A566AF" w:rsidRDefault="00505674">
      <w:pPr>
        <w:rPr>
          <w:sz w:val="24"/>
          <w:szCs w:val="24"/>
        </w:rPr>
      </w:pPr>
      <w:hyperlink w:history="1"/>
    </w:p>
    <w:p w:rsidRPr="00ED6E5C" w:rsidR="008B3FB0" w:rsidP="00A566AF" w:rsidRDefault="008B3FB0">
      <w:pPr>
        <w:rPr>
          <w:sz w:val="24"/>
          <w:szCs w:val="24"/>
        </w:rPr>
      </w:pPr>
      <w:r w:rsidRPr="00ED6E5C">
        <w:rPr>
          <w:sz w:val="24"/>
          <w:szCs w:val="24"/>
        </w:rPr>
        <w:t xml:space="preserve">Bureau of Labor Statistics. </w:t>
      </w:r>
      <w:r w:rsidRPr="00ED6E5C">
        <w:rPr>
          <w:sz w:val="24"/>
          <w:szCs w:val="24"/>
          <w:u w:val="single"/>
        </w:rPr>
        <w:t>BLS Handbook of Methods Chapter 2: Employment, Hours, and Earnings from the Establishment Survey</w:t>
      </w:r>
      <w:r w:rsidRPr="00ED6E5C">
        <w:rPr>
          <w:sz w:val="24"/>
          <w:szCs w:val="24"/>
        </w:rPr>
        <w:t xml:space="preserve">.  Washington DC: Bureau of Labor Statistics, 2004, pp. 8-9. </w:t>
      </w:r>
      <w:hyperlink w:history="1" r:id="rId10">
        <w:r w:rsidRPr="00ED6E5C">
          <w:rPr>
            <w:rStyle w:val="Hyperlink"/>
            <w:sz w:val="24"/>
            <w:szCs w:val="24"/>
          </w:rPr>
          <w:t>http://www.bls.gov</w:t>
        </w:r>
        <w:r w:rsidRPr="00ED6E5C">
          <w:rPr>
            <w:rStyle w:val="Hyperlink"/>
            <w:sz w:val="24"/>
            <w:szCs w:val="24"/>
          </w:rPr>
          <w:t>/</w:t>
        </w:r>
        <w:r w:rsidRPr="00ED6E5C">
          <w:rPr>
            <w:rStyle w:val="Hyperlink"/>
            <w:sz w:val="24"/>
            <w:szCs w:val="24"/>
          </w:rPr>
          <w:t>o</w:t>
        </w:r>
        <w:r w:rsidRPr="00ED6E5C">
          <w:rPr>
            <w:rStyle w:val="Hyperlink"/>
            <w:sz w:val="24"/>
            <w:szCs w:val="24"/>
          </w:rPr>
          <w:t>p</w:t>
        </w:r>
        <w:r w:rsidRPr="00ED6E5C">
          <w:rPr>
            <w:rStyle w:val="Hyperlink"/>
            <w:sz w:val="24"/>
            <w:szCs w:val="24"/>
          </w:rPr>
          <w:t>u</w:t>
        </w:r>
        <w:r w:rsidRPr="00ED6E5C">
          <w:rPr>
            <w:rStyle w:val="Hyperlink"/>
            <w:sz w:val="24"/>
            <w:szCs w:val="24"/>
          </w:rPr>
          <w:t>b</w:t>
        </w:r>
        <w:r w:rsidRPr="00ED6E5C">
          <w:rPr>
            <w:rStyle w:val="Hyperlink"/>
            <w:sz w:val="24"/>
            <w:szCs w:val="24"/>
          </w:rPr>
          <w:t>/</w:t>
        </w:r>
        <w:r w:rsidRPr="00ED6E5C">
          <w:rPr>
            <w:rStyle w:val="Hyperlink"/>
            <w:sz w:val="24"/>
            <w:szCs w:val="24"/>
          </w:rPr>
          <w:t>hom/pd</w:t>
        </w:r>
        <w:r w:rsidRPr="00ED6E5C">
          <w:rPr>
            <w:rStyle w:val="Hyperlink"/>
            <w:sz w:val="24"/>
            <w:szCs w:val="24"/>
          </w:rPr>
          <w:t>f</w:t>
        </w:r>
        <w:r w:rsidRPr="00ED6E5C">
          <w:rPr>
            <w:rStyle w:val="Hyperlink"/>
            <w:sz w:val="24"/>
            <w:szCs w:val="24"/>
          </w:rPr>
          <w:t>/homch2.pdf</w:t>
        </w:r>
      </w:hyperlink>
    </w:p>
    <w:p w:rsidRPr="00ED6E5C" w:rsidR="008B3FB0" w:rsidP="00A566AF" w:rsidRDefault="008B3FB0">
      <w:pPr>
        <w:rPr>
          <w:sz w:val="24"/>
          <w:szCs w:val="24"/>
        </w:rPr>
      </w:pPr>
    </w:p>
    <w:p w:rsidRPr="00ED6E5C" w:rsidR="0060307D" w:rsidP="00A566AF" w:rsidRDefault="0060307D">
      <w:pPr>
        <w:autoSpaceDE w:val="0"/>
        <w:autoSpaceDN w:val="0"/>
        <w:adjustRightInd w:val="0"/>
        <w:rPr>
          <w:sz w:val="24"/>
          <w:szCs w:val="24"/>
        </w:rPr>
      </w:pPr>
      <w:r w:rsidRPr="00ED6E5C">
        <w:rPr>
          <w:sz w:val="24"/>
          <w:szCs w:val="24"/>
        </w:rPr>
        <w:t>Butani, Shail, Kenneth W. Robertson, and Kirk Mueller (1998) "Assigning Permanent Random Numbers to the Bureau of Labor Statistics Longitudinal (Universe) Data Base."  Proceedings of the Survey Research Methods Section, American Statistical Association, 9-13 August, 1998. Dallas: American Statistical Association, 1998.</w:t>
      </w:r>
    </w:p>
    <w:p w:rsidRPr="00ED6E5C" w:rsidR="0060307D" w:rsidP="00A566AF" w:rsidRDefault="00BA3DB2">
      <w:pPr>
        <w:autoSpaceDE w:val="0"/>
        <w:autoSpaceDN w:val="0"/>
        <w:adjustRightInd w:val="0"/>
        <w:rPr>
          <w:sz w:val="24"/>
          <w:szCs w:val="24"/>
        </w:rPr>
      </w:pPr>
      <w:hyperlink w:history="1" r:id="rId11">
        <w:r w:rsidR="00293B60">
          <w:rPr>
            <w:rStyle w:val="Hyperlink"/>
            <w:sz w:val="24"/>
            <w:szCs w:val="24"/>
          </w:rPr>
          <w:t>http://www.bls.gov/osmr/research-p</w:t>
        </w:r>
        <w:r w:rsidR="00293B60">
          <w:rPr>
            <w:rStyle w:val="Hyperlink"/>
            <w:sz w:val="24"/>
            <w:szCs w:val="24"/>
          </w:rPr>
          <w:t>a</w:t>
        </w:r>
        <w:r w:rsidR="00293B60">
          <w:rPr>
            <w:rStyle w:val="Hyperlink"/>
            <w:sz w:val="24"/>
            <w:szCs w:val="24"/>
          </w:rPr>
          <w:t>pers/1998/pdf/st980080.pdf</w:t>
        </w:r>
      </w:hyperlink>
    </w:p>
    <w:p w:rsidRPr="00ED6E5C" w:rsidR="0060307D" w:rsidP="00A566AF" w:rsidRDefault="0060307D">
      <w:pPr>
        <w:autoSpaceDE w:val="0"/>
        <w:autoSpaceDN w:val="0"/>
        <w:adjustRightInd w:val="0"/>
        <w:rPr>
          <w:sz w:val="24"/>
          <w:szCs w:val="24"/>
        </w:rPr>
      </w:pPr>
    </w:p>
    <w:p w:rsidRPr="00ED6E5C" w:rsidR="0060307D" w:rsidP="00A566AF" w:rsidRDefault="0060307D">
      <w:pPr>
        <w:autoSpaceDE w:val="0"/>
        <w:autoSpaceDN w:val="0"/>
        <w:adjustRightInd w:val="0"/>
        <w:rPr>
          <w:sz w:val="24"/>
          <w:szCs w:val="24"/>
        </w:rPr>
      </w:pPr>
      <w:r w:rsidRPr="00ED6E5C">
        <w:rPr>
          <w:sz w:val="24"/>
          <w:szCs w:val="24"/>
        </w:rPr>
        <w:t>Crankshaw, Mark, Laurie Kujawa, and George Stamas (2002) "Recent Experiences in Survey Coordination and Sample Rotation within Monthly Business Establishment Surveys."  Proceedings of the Survey Research Methods Section, American Statistical Association, 11-15 August, 2002. New York: American Statistical Association, 2002.</w:t>
      </w:r>
    </w:p>
    <w:p w:rsidRPr="00293B60" w:rsidR="00293B60" w:rsidP="009E58FD" w:rsidRDefault="00293B60">
      <w:pPr>
        <w:autoSpaceDE w:val="0"/>
        <w:autoSpaceDN w:val="0"/>
        <w:adjustRightInd w:val="0"/>
        <w:rPr>
          <w:sz w:val="24"/>
          <w:szCs w:val="24"/>
        </w:rPr>
      </w:pPr>
      <w:r>
        <w:rPr>
          <w:sz w:val="24"/>
          <w:szCs w:val="24"/>
        </w:rPr>
        <w:fldChar w:fldCharType="begin"/>
      </w:r>
      <w:r>
        <w:rPr>
          <w:sz w:val="24"/>
          <w:szCs w:val="24"/>
        </w:rPr>
        <w:instrText xml:space="preserve"> HYPERLINK "</w:instrText>
      </w:r>
      <w:r w:rsidRPr="00293B60">
        <w:rPr>
          <w:sz w:val="24"/>
          <w:szCs w:val="24"/>
        </w:rPr>
        <w:instrText>http://www.bls.gov/osmr/research-papers/2002/pdf/st020290.pdf</w:instrText>
      </w:r>
    </w:p>
    <w:p w:rsidRPr="00A04F4D" w:rsidR="00293B60" w:rsidP="009E58FD" w:rsidRDefault="00293B60">
      <w:pPr>
        <w:autoSpaceDE w:val="0"/>
        <w:autoSpaceDN w:val="0"/>
        <w:adjustRightInd w:val="0"/>
        <w:rPr>
          <w:rStyle w:val="Hyperlink"/>
          <w:sz w:val="24"/>
          <w:szCs w:val="24"/>
        </w:rPr>
      </w:pPr>
      <w:r>
        <w:rPr>
          <w:sz w:val="24"/>
          <w:szCs w:val="24"/>
        </w:rPr>
        <w:instrText xml:space="preserve">" </w:instrText>
      </w:r>
      <w:r>
        <w:rPr>
          <w:sz w:val="24"/>
          <w:szCs w:val="24"/>
        </w:rPr>
        <w:fldChar w:fldCharType="separate"/>
      </w:r>
      <w:r w:rsidRPr="00A04F4D">
        <w:rPr>
          <w:rStyle w:val="Hyperlink"/>
          <w:sz w:val="24"/>
          <w:szCs w:val="24"/>
        </w:rPr>
        <w:t>http://www.bls.gov/osmr/research-p</w:t>
      </w:r>
      <w:r w:rsidRPr="00A04F4D">
        <w:rPr>
          <w:rStyle w:val="Hyperlink"/>
          <w:sz w:val="24"/>
          <w:szCs w:val="24"/>
        </w:rPr>
        <w:t>a</w:t>
      </w:r>
      <w:r w:rsidRPr="00A04F4D">
        <w:rPr>
          <w:rStyle w:val="Hyperlink"/>
          <w:sz w:val="24"/>
          <w:szCs w:val="24"/>
        </w:rPr>
        <w:t>p</w:t>
      </w:r>
      <w:r w:rsidRPr="00A04F4D">
        <w:rPr>
          <w:rStyle w:val="Hyperlink"/>
          <w:sz w:val="24"/>
          <w:szCs w:val="24"/>
        </w:rPr>
        <w:t>e</w:t>
      </w:r>
      <w:r w:rsidRPr="00A04F4D">
        <w:rPr>
          <w:rStyle w:val="Hyperlink"/>
          <w:sz w:val="24"/>
          <w:szCs w:val="24"/>
        </w:rPr>
        <w:t>rs</w:t>
      </w:r>
      <w:r w:rsidRPr="00A04F4D">
        <w:rPr>
          <w:rStyle w:val="Hyperlink"/>
          <w:sz w:val="24"/>
          <w:szCs w:val="24"/>
        </w:rPr>
        <w:t>/</w:t>
      </w:r>
      <w:r w:rsidRPr="00A04F4D">
        <w:rPr>
          <w:rStyle w:val="Hyperlink"/>
          <w:sz w:val="24"/>
          <w:szCs w:val="24"/>
        </w:rPr>
        <w:t>2002/pdf/st020290.pdf</w:t>
      </w:r>
    </w:p>
    <w:p w:rsidRPr="00ED6E5C" w:rsidR="008B3FB0" w:rsidP="009E58FD" w:rsidRDefault="00293B60">
      <w:pPr>
        <w:rPr>
          <w:sz w:val="24"/>
          <w:szCs w:val="24"/>
        </w:rPr>
      </w:pPr>
      <w:r>
        <w:rPr>
          <w:sz w:val="24"/>
          <w:szCs w:val="24"/>
        </w:rPr>
        <w:fldChar w:fldCharType="end"/>
      </w:r>
    </w:p>
    <w:p w:rsidRPr="00ED6E5C" w:rsidR="0060307D" w:rsidP="0058768B" w:rsidRDefault="0060307D">
      <w:pPr>
        <w:autoSpaceDE w:val="0"/>
        <w:autoSpaceDN w:val="0"/>
        <w:adjustRightInd w:val="0"/>
        <w:rPr>
          <w:sz w:val="24"/>
          <w:szCs w:val="24"/>
        </w:rPr>
      </w:pPr>
      <w:r w:rsidRPr="00ED6E5C">
        <w:rPr>
          <w:sz w:val="24"/>
          <w:szCs w:val="24"/>
        </w:rPr>
        <w:t>Erkens, Gregory, Larry L. Huff, and Julie B. Gershunskaya (2005) "Alternative Sample Allocations for the U.S. Current Employment Statistics Survey."  Proceedings of the Survey Research Methods Section, American Statistical Association, 7-11 August, 2005.  Minneapolis:  American Statistical Association, 2005, pp. 1-4.</w:t>
      </w:r>
    </w:p>
    <w:p w:rsidRPr="00293B60" w:rsidR="0060307D" w:rsidP="000739AB" w:rsidRDefault="00293B60">
      <w:pPr>
        <w:autoSpaceDE w:val="0"/>
        <w:autoSpaceDN w:val="0"/>
        <w:adjustRightInd w:val="0"/>
        <w:rPr>
          <w:sz w:val="24"/>
          <w:szCs w:val="24"/>
        </w:rPr>
      </w:pPr>
      <w:hyperlink w:history="1" r:id="rId12">
        <w:r w:rsidRPr="00A04F4D">
          <w:rPr>
            <w:rStyle w:val="Hyperlink"/>
            <w:sz w:val="24"/>
            <w:szCs w:val="24"/>
          </w:rPr>
          <w:t>https://www.bls.gov/osmr/rese</w:t>
        </w:r>
        <w:r w:rsidRPr="00A04F4D">
          <w:rPr>
            <w:rStyle w:val="Hyperlink"/>
            <w:sz w:val="24"/>
            <w:szCs w:val="24"/>
          </w:rPr>
          <w:t>a</w:t>
        </w:r>
        <w:r w:rsidRPr="00A04F4D">
          <w:rPr>
            <w:rStyle w:val="Hyperlink"/>
            <w:sz w:val="24"/>
            <w:szCs w:val="24"/>
          </w:rPr>
          <w:t>rch-papers/2005/pdf/st050240.pdf</w:t>
        </w:r>
      </w:hyperlink>
    </w:p>
    <w:p w:rsidRPr="00ED6E5C" w:rsidR="00293B60" w:rsidP="000739AB" w:rsidRDefault="00293B60">
      <w:pPr>
        <w:autoSpaceDE w:val="0"/>
        <w:autoSpaceDN w:val="0"/>
        <w:adjustRightInd w:val="0"/>
        <w:rPr>
          <w:sz w:val="24"/>
          <w:szCs w:val="24"/>
        </w:rPr>
      </w:pPr>
    </w:p>
    <w:p w:rsidRPr="00ED6E5C" w:rsidR="0060307D" w:rsidP="00095006" w:rsidRDefault="0060307D">
      <w:pPr>
        <w:rPr>
          <w:sz w:val="24"/>
          <w:szCs w:val="24"/>
        </w:rPr>
      </w:pPr>
      <w:r w:rsidRPr="00ED6E5C">
        <w:rPr>
          <w:sz w:val="24"/>
          <w:szCs w:val="24"/>
        </w:rPr>
        <w:t>Gershunskaya, Julie, John L. Eltinge, and Larry L. Huff (2002) “Use of Auxiliary Information to Evaluate a Synthetic Estimator in the U.S. Current Employment Statistics Program</w:t>
      </w:r>
      <w:r w:rsidRPr="00ED6E5C" w:rsidR="00AE4D6B">
        <w:rPr>
          <w:sz w:val="24"/>
          <w:szCs w:val="24"/>
        </w:rPr>
        <w:t>.</w:t>
      </w:r>
      <w:r w:rsidRPr="00ED6E5C">
        <w:rPr>
          <w:sz w:val="24"/>
          <w:szCs w:val="24"/>
        </w:rPr>
        <w:t xml:space="preserve">”  Proceedings of the Section on Survey Research Methods, American Statistical Association, </w:t>
      </w:r>
      <w:r w:rsidRPr="00ED6E5C" w:rsidR="00AE4D6B">
        <w:rPr>
          <w:sz w:val="24"/>
          <w:szCs w:val="24"/>
        </w:rPr>
        <w:t xml:space="preserve">11-15 </w:t>
      </w:r>
      <w:r w:rsidRPr="00ED6E5C">
        <w:rPr>
          <w:sz w:val="24"/>
          <w:szCs w:val="24"/>
        </w:rPr>
        <w:t>August, 2002. New York, NY: American Statistical Association, 2002.</w:t>
      </w:r>
    </w:p>
    <w:p w:rsidRPr="00ED6E5C" w:rsidR="0060307D" w:rsidP="009B1EE1" w:rsidRDefault="0060307D">
      <w:pPr>
        <w:rPr>
          <w:sz w:val="24"/>
          <w:szCs w:val="24"/>
        </w:rPr>
      </w:pPr>
      <w:hyperlink w:history="1" r:id="rId13">
        <w:r w:rsidRPr="00ED6E5C">
          <w:rPr>
            <w:rStyle w:val="Hyperlink"/>
            <w:sz w:val="24"/>
            <w:szCs w:val="24"/>
          </w:rPr>
          <w:t>http://www.amst</w:t>
        </w:r>
        <w:r w:rsidRPr="00ED6E5C">
          <w:rPr>
            <w:rStyle w:val="Hyperlink"/>
            <w:sz w:val="24"/>
            <w:szCs w:val="24"/>
          </w:rPr>
          <w:t>at.org/sec</w:t>
        </w:r>
        <w:r w:rsidRPr="00ED6E5C">
          <w:rPr>
            <w:rStyle w:val="Hyperlink"/>
            <w:sz w:val="24"/>
            <w:szCs w:val="24"/>
          </w:rPr>
          <w:t>t</w:t>
        </w:r>
        <w:r w:rsidRPr="00ED6E5C">
          <w:rPr>
            <w:rStyle w:val="Hyperlink"/>
            <w:sz w:val="24"/>
            <w:szCs w:val="24"/>
          </w:rPr>
          <w:t>ions/S</w:t>
        </w:r>
        <w:r w:rsidRPr="00ED6E5C">
          <w:rPr>
            <w:rStyle w:val="Hyperlink"/>
            <w:sz w:val="24"/>
            <w:szCs w:val="24"/>
          </w:rPr>
          <w:t>R</w:t>
        </w:r>
        <w:r w:rsidRPr="00ED6E5C">
          <w:rPr>
            <w:rStyle w:val="Hyperlink"/>
            <w:sz w:val="24"/>
            <w:szCs w:val="24"/>
          </w:rPr>
          <w:t>M</w:t>
        </w:r>
        <w:r w:rsidRPr="00ED6E5C">
          <w:rPr>
            <w:rStyle w:val="Hyperlink"/>
            <w:sz w:val="24"/>
            <w:szCs w:val="24"/>
          </w:rPr>
          <w:t>S/Proceedings/y2002/Files/JSM2002-000844.pdf</w:t>
        </w:r>
      </w:hyperlink>
    </w:p>
    <w:p w:rsidRPr="00ED6E5C" w:rsidR="0060307D" w:rsidP="00597040" w:rsidRDefault="0060307D">
      <w:pPr>
        <w:rPr>
          <w:sz w:val="24"/>
          <w:szCs w:val="24"/>
        </w:rPr>
      </w:pPr>
    </w:p>
    <w:p w:rsidRPr="00ED6E5C" w:rsidR="0060307D" w:rsidP="00597040" w:rsidRDefault="00AE6C54">
      <w:pPr>
        <w:autoSpaceDE w:val="0"/>
        <w:autoSpaceDN w:val="0"/>
        <w:adjustRightInd w:val="0"/>
        <w:rPr>
          <w:sz w:val="24"/>
          <w:szCs w:val="24"/>
        </w:rPr>
      </w:pPr>
      <w:r w:rsidRPr="00ED6E5C">
        <w:rPr>
          <w:sz w:val="24"/>
          <w:szCs w:val="24"/>
        </w:rPr>
        <w:t>Gershunskaya, Julie, and Larry Huff (2009) “Components of Error Analysis in the Current Employment Statistics Survey.”  Proceedings of the Survey Research Methods Section, American Statistical Association, 1-6 August 2009.  Washington, DC: American Statistical Association</w:t>
      </w:r>
      <w:r w:rsidRPr="00ED6E5C" w:rsidR="008B445B">
        <w:rPr>
          <w:sz w:val="24"/>
          <w:szCs w:val="24"/>
        </w:rPr>
        <w:t xml:space="preserve">, 2009.  </w:t>
      </w:r>
    </w:p>
    <w:p w:rsidRPr="00293B60" w:rsidR="0060307D" w:rsidP="005676A0" w:rsidRDefault="00293B60">
      <w:pPr>
        <w:autoSpaceDE w:val="0"/>
        <w:autoSpaceDN w:val="0"/>
        <w:adjustRightInd w:val="0"/>
        <w:rPr>
          <w:sz w:val="24"/>
          <w:szCs w:val="24"/>
        </w:rPr>
      </w:pPr>
      <w:hyperlink w:history="1" r:id="rId14">
        <w:r w:rsidRPr="00293B60">
          <w:rPr>
            <w:color w:val="0000FF"/>
            <w:sz w:val="24"/>
            <w:szCs w:val="24"/>
            <w:u w:val="single"/>
          </w:rPr>
          <w:t>https://www.bls.gov/osmr/research-pap</w:t>
        </w:r>
        <w:r w:rsidRPr="00293B60">
          <w:rPr>
            <w:color w:val="0000FF"/>
            <w:sz w:val="24"/>
            <w:szCs w:val="24"/>
            <w:u w:val="single"/>
          </w:rPr>
          <w:t>e</w:t>
        </w:r>
        <w:r w:rsidRPr="00293B60">
          <w:rPr>
            <w:color w:val="0000FF"/>
            <w:sz w:val="24"/>
            <w:szCs w:val="24"/>
            <w:u w:val="single"/>
          </w:rPr>
          <w:t>rs/2009/st090050.htm</w:t>
        </w:r>
      </w:hyperlink>
    </w:p>
    <w:p w:rsidRPr="00ED6E5C" w:rsidR="00293B60" w:rsidP="005676A0" w:rsidRDefault="00293B60">
      <w:pPr>
        <w:autoSpaceDE w:val="0"/>
        <w:autoSpaceDN w:val="0"/>
        <w:adjustRightInd w:val="0"/>
        <w:rPr>
          <w:sz w:val="24"/>
          <w:szCs w:val="24"/>
        </w:rPr>
      </w:pPr>
    </w:p>
    <w:p w:rsidRPr="00ED6E5C" w:rsidR="0060307D" w:rsidP="006E4270" w:rsidRDefault="0060307D">
      <w:pPr>
        <w:autoSpaceDE w:val="0"/>
        <w:autoSpaceDN w:val="0"/>
        <w:adjustRightInd w:val="0"/>
        <w:rPr>
          <w:sz w:val="24"/>
          <w:szCs w:val="24"/>
        </w:rPr>
      </w:pPr>
      <w:r w:rsidRPr="00ED6E5C">
        <w:rPr>
          <w:sz w:val="24"/>
          <w:szCs w:val="24"/>
        </w:rPr>
        <w:t>Goldenberg, Karen L., Susan E. Moore, and Richard J. Rosen (1994) "Commercial Payroll Software and the Quality of Employment Data."  Proceedings of the Survey Research Methods Section, American Statistical Association, 13-18 August, 1994. Toronto: American Statistical Association, 1994.</w:t>
      </w:r>
    </w:p>
    <w:p w:rsidRPr="00ED6E5C" w:rsidR="0060307D" w:rsidP="006E4270" w:rsidRDefault="0060307D">
      <w:pPr>
        <w:rPr>
          <w:sz w:val="24"/>
          <w:szCs w:val="24"/>
        </w:rPr>
      </w:pPr>
      <w:hyperlink w:history="1" r:id="rId15">
        <w:r w:rsidRPr="00ED6E5C">
          <w:rPr>
            <w:rStyle w:val="Hyperlink"/>
            <w:sz w:val="24"/>
            <w:szCs w:val="24"/>
          </w:rPr>
          <w:t>http://www.amstat.org/sectio</w:t>
        </w:r>
        <w:r w:rsidRPr="00ED6E5C">
          <w:rPr>
            <w:rStyle w:val="Hyperlink"/>
            <w:sz w:val="24"/>
            <w:szCs w:val="24"/>
          </w:rPr>
          <w:t>n</w:t>
        </w:r>
        <w:r w:rsidRPr="00ED6E5C">
          <w:rPr>
            <w:rStyle w:val="Hyperlink"/>
            <w:sz w:val="24"/>
            <w:szCs w:val="24"/>
          </w:rPr>
          <w:t>s/SR</w:t>
        </w:r>
        <w:r w:rsidRPr="00ED6E5C">
          <w:rPr>
            <w:rStyle w:val="Hyperlink"/>
            <w:sz w:val="24"/>
            <w:szCs w:val="24"/>
          </w:rPr>
          <w:t>M</w:t>
        </w:r>
        <w:r w:rsidRPr="00ED6E5C">
          <w:rPr>
            <w:rStyle w:val="Hyperlink"/>
            <w:sz w:val="24"/>
            <w:szCs w:val="24"/>
          </w:rPr>
          <w:t>S/Proceedings/papers/1994_178.pdf</w:t>
        </w:r>
      </w:hyperlink>
    </w:p>
    <w:p w:rsidRPr="00ED6E5C" w:rsidR="0060307D" w:rsidP="006E4270" w:rsidRDefault="0060307D">
      <w:pPr>
        <w:rPr>
          <w:sz w:val="24"/>
          <w:szCs w:val="24"/>
        </w:rPr>
      </w:pPr>
    </w:p>
    <w:p w:rsidRPr="00ED6E5C" w:rsidR="0060307D" w:rsidP="006E4270" w:rsidRDefault="0042234D">
      <w:pPr>
        <w:autoSpaceDE w:val="0"/>
        <w:autoSpaceDN w:val="0"/>
        <w:adjustRightInd w:val="0"/>
        <w:rPr>
          <w:sz w:val="24"/>
          <w:szCs w:val="24"/>
        </w:rPr>
      </w:pPr>
      <w:r w:rsidRPr="00ED6E5C">
        <w:rPr>
          <w:sz w:val="24"/>
          <w:szCs w:val="24"/>
        </w:rPr>
        <w:t>Kristin Fairman, Margaret Applebau</w:t>
      </w:r>
      <w:r w:rsidRPr="00ED6E5C" w:rsidR="00482437">
        <w:rPr>
          <w:sz w:val="24"/>
          <w:szCs w:val="24"/>
        </w:rPr>
        <w:t>m</w:t>
      </w:r>
      <w:r w:rsidRPr="00ED6E5C">
        <w:rPr>
          <w:sz w:val="24"/>
          <w:szCs w:val="24"/>
        </w:rPr>
        <w:t>, Chris Manning</w:t>
      </w:r>
      <w:r w:rsidRPr="00ED6E5C" w:rsidR="00AE4D6B">
        <w:rPr>
          <w:sz w:val="24"/>
          <w:szCs w:val="24"/>
        </w:rPr>
        <w:t>,</w:t>
      </w:r>
      <w:r w:rsidRPr="00ED6E5C">
        <w:rPr>
          <w:sz w:val="24"/>
          <w:szCs w:val="24"/>
        </w:rPr>
        <w:t xml:space="preserve"> and Polly Phipps (2009) “Response Analysis Survey: Examining Reasons for Employment Differences Between the QCEW and the CES Survey” </w:t>
      </w:r>
      <w:r w:rsidRPr="00ED6E5C" w:rsidR="00AE4D6B">
        <w:rPr>
          <w:sz w:val="24"/>
          <w:szCs w:val="24"/>
        </w:rPr>
        <w:t>Proceedings</w:t>
      </w:r>
      <w:r w:rsidRPr="00ED6E5C">
        <w:rPr>
          <w:sz w:val="24"/>
          <w:szCs w:val="24"/>
        </w:rPr>
        <w:t xml:space="preserve"> of the Survey Research Methods Section, American Statistical Association, 1-6 August 2009.  Washington, DC: American Statistical Association, 2009.  </w:t>
      </w:r>
    </w:p>
    <w:p w:rsidRPr="00293B60" w:rsidR="00293B60" w:rsidP="006E4270" w:rsidRDefault="00293B60">
      <w:pPr>
        <w:autoSpaceDE w:val="0"/>
        <w:autoSpaceDN w:val="0"/>
        <w:adjustRightInd w:val="0"/>
        <w:rPr>
          <w:sz w:val="24"/>
          <w:szCs w:val="24"/>
        </w:rPr>
      </w:pPr>
      <w:hyperlink w:history="1" r:id="rId16">
        <w:r w:rsidRPr="00293B60">
          <w:rPr>
            <w:color w:val="0000FF"/>
            <w:sz w:val="24"/>
            <w:szCs w:val="24"/>
            <w:u w:val="single"/>
          </w:rPr>
          <w:t>https://www.bls.gov/osmr</w:t>
        </w:r>
        <w:r w:rsidRPr="00293B60">
          <w:rPr>
            <w:color w:val="0000FF"/>
            <w:sz w:val="24"/>
            <w:szCs w:val="24"/>
            <w:u w:val="single"/>
          </w:rPr>
          <w:t>/</w:t>
        </w:r>
        <w:r w:rsidRPr="00293B60">
          <w:rPr>
            <w:color w:val="0000FF"/>
            <w:sz w:val="24"/>
            <w:szCs w:val="24"/>
            <w:u w:val="single"/>
          </w:rPr>
          <w:t>resea</w:t>
        </w:r>
        <w:r w:rsidRPr="00293B60">
          <w:rPr>
            <w:color w:val="0000FF"/>
            <w:sz w:val="24"/>
            <w:szCs w:val="24"/>
            <w:u w:val="single"/>
          </w:rPr>
          <w:t>r</w:t>
        </w:r>
        <w:r w:rsidRPr="00293B60">
          <w:rPr>
            <w:color w:val="0000FF"/>
            <w:sz w:val="24"/>
            <w:szCs w:val="24"/>
            <w:u w:val="single"/>
          </w:rPr>
          <w:t>ch-p</w:t>
        </w:r>
        <w:r w:rsidRPr="00293B60">
          <w:rPr>
            <w:color w:val="0000FF"/>
            <w:sz w:val="24"/>
            <w:szCs w:val="24"/>
            <w:u w:val="single"/>
          </w:rPr>
          <w:t>a</w:t>
        </w:r>
        <w:r w:rsidRPr="00293B60">
          <w:rPr>
            <w:color w:val="0000FF"/>
            <w:sz w:val="24"/>
            <w:szCs w:val="24"/>
            <w:u w:val="single"/>
          </w:rPr>
          <w:t>pers/2009/st090240.htm</w:t>
        </w:r>
      </w:hyperlink>
    </w:p>
    <w:p w:rsidRPr="00ED6E5C" w:rsidR="00293B60" w:rsidP="006E4270" w:rsidRDefault="00293B60">
      <w:pPr>
        <w:autoSpaceDE w:val="0"/>
        <w:autoSpaceDN w:val="0"/>
        <w:adjustRightInd w:val="0"/>
        <w:rPr>
          <w:sz w:val="24"/>
          <w:szCs w:val="24"/>
        </w:rPr>
      </w:pPr>
    </w:p>
    <w:p w:rsidRPr="00ED6E5C" w:rsidR="0060307D" w:rsidP="006E4270" w:rsidRDefault="0060307D">
      <w:pPr>
        <w:rPr>
          <w:sz w:val="24"/>
          <w:szCs w:val="24"/>
        </w:rPr>
      </w:pPr>
      <w:r w:rsidRPr="00ED6E5C">
        <w:rPr>
          <w:bCs/>
          <w:color w:val="000000"/>
          <w:sz w:val="24"/>
          <w:szCs w:val="24"/>
        </w:rPr>
        <w:t>Kropf, Jurgen, Sharon Strifas, and Monica Traetow</w:t>
      </w:r>
      <w:r w:rsidRPr="00ED6E5C">
        <w:rPr>
          <w:color w:val="000000"/>
          <w:sz w:val="24"/>
          <w:szCs w:val="24"/>
        </w:rPr>
        <w:t xml:space="preserve"> (2002) "Accounting for Business Births and Deaths in CES: Bias vs. Net Birth/Death Modeling."  </w:t>
      </w:r>
      <w:r w:rsidRPr="00ED6E5C">
        <w:rPr>
          <w:sz w:val="24"/>
          <w:szCs w:val="24"/>
        </w:rPr>
        <w:t xml:space="preserve">Washington DC: Bureau of Labor Statistics, 2002.  </w:t>
      </w:r>
    </w:p>
    <w:p w:rsidRPr="0059091E" w:rsidR="0059091E" w:rsidP="006E4270" w:rsidRDefault="0059091E">
      <w:pPr>
        <w:rPr>
          <w:sz w:val="24"/>
          <w:szCs w:val="24"/>
        </w:rPr>
      </w:pPr>
      <w:hyperlink w:history="1" r:id="rId17">
        <w:r w:rsidRPr="0059091E">
          <w:rPr>
            <w:rStyle w:val="Hyperlink"/>
            <w:sz w:val="24"/>
            <w:szCs w:val="24"/>
            <w:lang w:val="en"/>
          </w:rPr>
          <w:t>https://www.bls.gov/osmr/research-papers/2002/pdf/st020090.pdf</w:t>
        </w:r>
      </w:hyperlink>
    </w:p>
    <w:p w:rsidRPr="00ED6E5C" w:rsidR="00CE7538" w:rsidP="006E4270" w:rsidRDefault="00CE7538">
      <w:pPr>
        <w:autoSpaceDE w:val="0"/>
        <w:autoSpaceDN w:val="0"/>
        <w:adjustRightInd w:val="0"/>
        <w:rPr>
          <w:sz w:val="24"/>
          <w:szCs w:val="24"/>
        </w:rPr>
      </w:pPr>
    </w:p>
    <w:p w:rsidRPr="00ED6E5C" w:rsidR="00CE7538" w:rsidP="006E4270" w:rsidRDefault="00CE7538">
      <w:pPr>
        <w:rPr>
          <w:sz w:val="24"/>
          <w:szCs w:val="24"/>
        </w:rPr>
      </w:pPr>
      <w:r w:rsidRPr="00ED6E5C">
        <w:rPr>
          <w:sz w:val="24"/>
          <w:szCs w:val="24"/>
        </w:rPr>
        <w:t xml:space="preserve">Mueller, Kirk (2006) "Impact of business births and deaths in the payroll survey."  </w:t>
      </w:r>
      <w:r w:rsidRPr="00ED6E5C">
        <w:rPr>
          <w:sz w:val="24"/>
          <w:szCs w:val="24"/>
          <w:u w:val="single"/>
        </w:rPr>
        <w:t>Monthly Labor Review</w:t>
      </w:r>
      <w:r w:rsidRPr="00ED6E5C">
        <w:rPr>
          <w:sz w:val="24"/>
          <w:szCs w:val="24"/>
        </w:rPr>
        <w:t xml:space="preserve">, Vol. 129, No. 5, May 2006, pp. 28-34.  </w:t>
      </w:r>
      <w:hyperlink w:history="1" r:id="rId18">
        <w:r w:rsidRPr="00ED6E5C">
          <w:rPr>
            <w:rStyle w:val="Hyperlink"/>
            <w:sz w:val="24"/>
            <w:szCs w:val="24"/>
          </w:rPr>
          <w:t>http://www.bls.gov/o</w:t>
        </w:r>
        <w:r w:rsidRPr="00ED6E5C">
          <w:rPr>
            <w:rStyle w:val="Hyperlink"/>
            <w:sz w:val="24"/>
            <w:szCs w:val="24"/>
          </w:rPr>
          <w:t>p</w:t>
        </w:r>
        <w:r w:rsidRPr="00ED6E5C">
          <w:rPr>
            <w:rStyle w:val="Hyperlink"/>
            <w:sz w:val="24"/>
            <w:szCs w:val="24"/>
          </w:rPr>
          <w:t>u</w:t>
        </w:r>
        <w:r w:rsidRPr="00ED6E5C">
          <w:rPr>
            <w:rStyle w:val="Hyperlink"/>
            <w:sz w:val="24"/>
            <w:szCs w:val="24"/>
          </w:rPr>
          <w:t>b</w:t>
        </w:r>
        <w:r w:rsidRPr="00ED6E5C">
          <w:rPr>
            <w:rStyle w:val="Hyperlink"/>
            <w:sz w:val="24"/>
            <w:szCs w:val="24"/>
          </w:rPr>
          <w:t>/mlr/2006/05/art4f</w:t>
        </w:r>
        <w:r w:rsidRPr="00ED6E5C">
          <w:rPr>
            <w:rStyle w:val="Hyperlink"/>
            <w:sz w:val="24"/>
            <w:szCs w:val="24"/>
          </w:rPr>
          <w:t>u</w:t>
        </w:r>
        <w:r w:rsidRPr="00ED6E5C">
          <w:rPr>
            <w:rStyle w:val="Hyperlink"/>
            <w:sz w:val="24"/>
            <w:szCs w:val="24"/>
          </w:rPr>
          <w:t>ll.pdf</w:t>
        </w:r>
      </w:hyperlink>
    </w:p>
    <w:p w:rsidRPr="00ED6E5C" w:rsidR="00CE7538" w:rsidP="006E4270" w:rsidRDefault="00CE7538">
      <w:pPr>
        <w:rPr>
          <w:sz w:val="24"/>
          <w:szCs w:val="24"/>
        </w:rPr>
      </w:pPr>
    </w:p>
    <w:p w:rsidRPr="00ED6E5C" w:rsidR="00CE7538" w:rsidP="006E4270" w:rsidRDefault="00CE7538">
      <w:pPr>
        <w:autoSpaceDE w:val="0"/>
        <w:autoSpaceDN w:val="0"/>
        <w:adjustRightInd w:val="0"/>
        <w:rPr>
          <w:sz w:val="24"/>
          <w:szCs w:val="24"/>
        </w:rPr>
      </w:pPr>
      <w:r w:rsidRPr="00ED6E5C">
        <w:rPr>
          <w:sz w:val="24"/>
          <w:szCs w:val="24"/>
        </w:rPr>
        <w:t>Werking, George S., Richard L. Clayton, and Richard J. Rosen (1995) "Studying the Causes of Employment Count Differences Reported in Two BLS Programs."  Proceedings of the Survey Research Methods Section, American Statistical Association, 13-17 August, 1995. Orlando: American Statistical Association, 1995.</w:t>
      </w:r>
    </w:p>
    <w:p w:rsidRPr="00AA641F" w:rsidR="00CE7538" w:rsidP="006E4270" w:rsidRDefault="00CE7538">
      <w:pPr>
        <w:rPr>
          <w:sz w:val="24"/>
          <w:szCs w:val="24"/>
        </w:rPr>
      </w:pPr>
      <w:hyperlink w:history="1" r:id="rId19">
        <w:r w:rsidRPr="00ED6E5C">
          <w:rPr>
            <w:rStyle w:val="Hyperlink"/>
            <w:sz w:val="24"/>
            <w:szCs w:val="24"/>
          </w:rPr>
          <w:t>http://www.amstat.org/se</w:t>
        </w:r>
        <w:r w:rsidRPr="00ED6E5C">
          <w:rPr>
            <w:rStyle w:val="Hyperlink"/>
            <w:sz w:val="24"/>
            <w:szCs w:val="24"/>
          </w:rPr>
          <w:t>c</w:t>
        </w:r>
        <w:r w:rsidRPr="00ED6E5C">
          <w:rPr>
            <w:rStyle w:val="Hyperlink"/>
            <w:sz w:val="24"/>
            <w:szCs w:val="24"/>
          </w:rPr>
          <w:t>tions</w:t>
        </w:r>
        <w:r w:rsidRPr="00ED6E5C">
          <w:rPr>
            <w:rStyle w:val="Hyperlink"/>
            <w:sz w:val="24"/>
            <w:szCs w:val="24"/>
          </w:rPr>
          <w:t>/</w:t>
        </w:r>
        <w:r w:rsidRPr="00ED6E5C">
          <w:rPr>
            <w:rStyle w:val="Hyperlink"/>
            <w:sz w:val="24"/>
            <w:szCs w:val="24"/>
          </w:rPr>
          <w:t>SRMS/Proceedings/papers/1995_137.pdf</w:t>
        </w:r>
      </w:hyperlink>
    </w:p>
    <w:sectPr w:rsidRPr="00AA641F" w:rsidR="00CE7538" w:rsidSect="00B14AC1">
      <w:headerReference w:type="default" r:id="rId20"/>
      <w:footerReference w:type="even" r:id="rId21"/>
      <w:footerReference w:type="default" r:id="rId22"/>
      <w:footnotePr>
        <w:numRestart w:val="eachSect"/>
      </w:footnotePr>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A81" w:rsidRDefault="007D7A81">
      <w:r>
        <w:separator/>
      </w:r>
    </w:p>
  </w:endnote>
  <w:endnote w:type="continuationSeparator" w:id="0">
    <w:p w:rsidR="007D7A81" w:rsidRDefault="007D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cp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D6B" w:rsidRDefault="00AE4D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AE4D6B" w:rsidRDefault="00AE4D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AC1" w:rsidRDefault="00B14AC1">
    <w:pPr>
      <w:pStyle w:val="Footer"/>
      <w:jc w:val="center"/>
    </w:pPr>
    <w:r>
      <w:fldChar w:fldCharType="begin"/>
    </w:r>
    <w:r>
      <w:instrText xml:space="preserve"> PAGE   \* MERGEFORMAT </w:instrText>
    </w:r>
    <w:r>
      <w:fldChar w:fldCharType="separate"/>
    </w:r>
    <w:r w:rsidR="007F0557">
      <w:rPr>
        <w:noProof/>
      </w:rPr>
      <w:t>1</w:t>
    </w:r>
    <w:r>
      <w:fldChar w:fldCharType="end"/>
    </w:r>
  </w:p>
  <w:p w:rsidR="00AE4D6B" w:rsidRDefault="00AE4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A81" w:rsidRDefault="007D7A81">
      <w:r>
        <w:separator/>
      </w:r>
    </w:p>
  </w:footnote>
  <w:footnote w:type="continuationSeparator" w:id="0">
    <w:p w:rsidR="007D7A81" w:rsidRDefault="007D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49" w:rsidRPr="007E6629" w:rsidRDefault="003D6A49" w:rsidP="003D6A49">
    <w:pPr>
      <w:pStyle w:val="Header"/>
      <w:rPr>
        <w:rFonts w:ascii="Times New Roman" w:hAnsi="Times New Roman"/>
        <w:sz w:val="20"/>
      </w:rPr>
    </w:pPr>
    <w:r w:rsidRPr="007E6629">
      <w:rPr>
        <w:rFonts w:ascii="Times New Roman" w:hAnsi="Times New Roman"/>
        <w:sz w:val="20"/>
      </w:rPr>
      <w:t>Current Employment Statistics</w:t>
    </w:r>
  </w:p>
  <w:p w:rsidR="003D6A49" w:rsidRPr="007E6629" w:rsidRDefault="00BB2E06" w:rsidP="003D6A49">
    <w:pPr>
      <w:pStyle w:val="Header"/>
      <w:rPr>
        <w:rFonts w:ascii="Times New Roman" w:hAnsi="Times New Roman"/>
        <w:sz w:val="20"/>
      </w:rPr>
    </w:pPr>
    <w:r w:rsidRPr="007E6629">
      <w:rPr>
        <w:rFonts w:ascii="Times New Roman" w:hAnsi="Times New Roman"/>
        <w:sz w:val="20"/>
      </w:rPr>
      <w:t xml:space="preserve">OMB Control No. </w:t>
    </w:r>
    <w:r w:rsidR="003D6A49" w:rsidRPr="007E6629">
      <w:rPr>
        <w:rFonts w:ascii="Times New Roman" w:hAnsi="Times New Roman"/>
        <w:sz w:val="20"/>
      </w:rPr>
      <w:t>1220-0011</w:t>
    </w:r>
  </w:p>
  <w:p w:rsidR="003D6A49" w:rsidRPr="007E6629" w:rsidRDefault="00BB2E06" w:rsidP="003D6A49">
    <w:pPr>
      <w:pStyle w:val="Header"/>
      <w:rPr>
        <w:rFonts w:ascii="Times New Roman" w:hAnsi="Times New Roman"/>
        <w:sz w:val="20"/>
      </w:rPr>
    </w:pPr>
    <w:r w:rsidRPr="007E6629">
      <w:rPr>
        <w:rFonts w:ascii="Times New Roman" w:hAnsi="Times New Roman"/>
        <w:sz w:val="20"/>
      </w:rPr>
      <w:t>OMB Expiration Date: 12/31/2020</w:t>
    </w:r>
  </w:p>
  <w:p w:rsidR="003D6A49" w:rsidRPr="007E6629" w:rsidRDefault="003D6A49">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15:restartNumberingAfterBreak="0">
    <w:nsid w:val="273A11A8"/>
    <w:multiLevelType w:val="hybridMultilevel"/>
    <w:tmpl w:val="550877E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E6567"/>
    <w:multiLevelType w:val="hybridMultilevel"/>
    <w:tmpl w:val="2D2AE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63"/>
    <w:rsid w:val="0000106D"/>
    <w:rsid w:val="000029F5"/>
    <w:rsid w:val="0000435A"/>
    <w:rsid w:val="00017875"/>
    <w:rsid w:val="00027713"/>
    <w:rsid w:val="00061432"/>
    <w:rsid w:val="00061EA3"/>
    <w:rsid w:val="00070293"/>
    <w:rsid w:val="00072467"/>
    <w:rsid w:val="0007327B"/>
    <w:rsid w:val="000739AB"/>
    <w:rsid w:val="00086011"/>
    <w:rsid w:val="0009152F"/>
    <w:rsid w:val="00093237"/>
    <w:rsid w:val="00095006"/>
    <w:rsid w:val="000B38AA"/>
    <w:rsid w:val="000D5509"/>
    <w:rsid w:val="000D72C7"/>
    <w:rsid w:val="000E1A04"/>
    <w:rsid w:val="000E2E89"/>
    <w:rsid w:val="000E396C"/>
    <w:rsid w:val="000E4513"/>
    <w:rsid w:val="000E5496"/>
    <w:rsid w:val="000E664A"/>
    <w:rsid w:val="001064F8"/>
    <w:rsid w:val="001319B5"/>
    <w:rsid w:val="00152161"/>
    <w:rsid w:val="00160B78"/>
    <w:rsid w:val="0017115B"/>
    <w:rsid w:val="0017657C"/>
    <w:rsid w:val="00176CCF"/>
    <w:rsid w:val="00176D94"/>
    <w:rsid w:val="0018697F"/>
    <w:rsid w:val="001907E2"/>
    <w:rsid w:val="001962ED"/>
    <w:rsid w:val="00197E5A"/>
    <w:rsid w:val="001A3182"/>
    <w:rsid w:val="001C4931"/>
    <w:rsid w:val="001D2036"/>
    <w:rsid w:val="001F0B3F"/>
    <w:rsid w:val="00233393"/>
    <w:rsid w:val="002463AC"/>
    <w:rsid w:val="00250E89"/>
    <w:rsid w:val="00254C9A"/>
    <w:rsid w:val="00290EC9"/>
    <w:rsid w:val="00293B60"/>
    <w:rsid w:val="002A012A"/>
    <w:rsid w:val="002A16C6"/>
    <w:rsid w:val="002A7A80"/>
    <w:rsid w:val="002B6931"/>
    <w:rsid w:val="002D2965"/>
    <w:rsid w:val="002D7252"/>
    <w:rsid w:val="002F1484"/>
    <w:rsid w:val="002F3637"/>
    <w:rsid w:val="003073BC"/>
    <w:rsid w:val="0031220B"/>
    <w:rsid w:val="00314C37"/>
    <w:rsid w:val="00315C91"/>
    <w:rsid w:val="00322EEA"/>
    <w:rsid w:val="003245F2"/>
    <w:rsid w:val="00357F28"/>
    <w:rsid w:val="00375122"/>
    <w:rsid w:val="00386191"/>
    <w:rsid w:val="003974B3"/>
    <w:rsid w:val="003B2505"/>
    <w:rsid w:val="003B3E24"/>
    <w:rsid w:val="003B6FCD"/>
    <w:rsid w:val="003C182F"/>
    <w:rsid w:val="003D2E80"/>
    <w:rsid w:val="003D5575"/>
    <w:rsid w:val="003D697F"/>
    <w:rsid w:val="003D6A49"/>
    <w:rsid w:val="00403E90"/>
    <w:rsid w:val="0042234D"/>
    <w:rsid w:val="0044092C"/>
    <w:rsid w:val="00450E96"/>
    <w:rsid w:val="00456E5F"/>
    <w:rsid w:val="004577C6"/>
    <w:rsid w:val="004621B8"/>
    <w:rsid w:val="00462752"/>
    <w:rsid w:val="00482437"/>
    <w:rsid w:val="004900F5"/>
    <w:rsid w:val="004A00FE"/>
    <w:rsid w:val="004A13DE"/>
    <w:rsid w:val="004A7F01"/>
    <w:rsid w:val="004E4930"/>
    <w:rsid w:val="004F2486"/>
    <w:rsid w:val="004F2A3F"/>
    <w:rsid w:val="00500BB4"/>
    <w:rsid w:val="00505674"/>
    <w:rsid w:val="005076F1"/>
    <w:rsid w:val="00507E20"/>
    <w:rsid w:val="00511700"/>
    <w:rsid w:val="005117F6"/>
    <w:rsid w:val="00511912"/>
    <w:rsid w:val="00520B28"/>
    <w:rsid w:val="00533CD9"/>
    <w:rsid w:val="00536556"/>
    <w:rsid w:val="005407D6"/>
    <w:rsid w:val="005500FE"/>
    <w:rsid w:val="0056502A"/>
    <w:rsid w:val="00566689"/>
    <w:rsid w:val="005676A0"/>
    <w:rsid w:val="0057002B"/>
    <w:rsid w:val="0058768B"/>
    <w:rsid w:val="005903E9"/>
    <w:rsid w:val="0059091E"/>
    <w:rsid w:val="005967D2"/>
    <w:rsid w:val="00597040"/>
    <w:rsid w:val="005A1A19"/>
    <w:rsid w:val="005B7FA1"/>
    <w:rsid w:val="005C1553"/>
    <w:rsid w:val="005C36D3"/>
    <w:rsid w:val="005C5608"/>
    <w:rsid w:val="005C628B"/>
    <w:rsid w:val="005F6F35"/>
    <w:rsid w:val="0060000B"/>
    <w:rsid w:val="0060307D"/>
    <w:rsid w:val="00606B79"/>
    <w:rsid w:val="00614E71"/>
    <w:rsid w:val="00622DF3"/>
    <w:rsid w:val="00630007"/>
    <w:rsid w:val="00630136"/>
    <w:rsid w:val="00646C86"/>
    <w:rsid w:val="00647D96"/>
    <w:rsid w:val="00661028"/>
    <w:rsid w:val="00671BE4"/>
    <w:rsid w:val="00694A5C"/>
    <w:rsid w:val="006D5BAA"/>
    <w:rsid w:val="006E4270"/>
    <w:rsid w:val="006F0B1E"/>
    <w:rsid w:val="007142BC"/>
    <w:rsid w:val="00741DF3"/>
    <w:rsid w:val="007453BF"/>
    <w:rsid w:val="00753039"/>
    <w:rsid w:val="00757A6E"/>
    <w:rsid w:val="00760611"/>
    <w:rsid w:val="00767968"/>
    <w:rsid w:val="00787CA2"/>
    <w:rsid w:val="00795227"/>
    <w:rsid w:val="007A18E0"/>
    <w:rsid w:val="007C25ED"/>
    <w:rsid w:val="007C6882"/>
    <w:rsid w:val="007D7A81"/>
    <w:rsid w:val="007E6629"/>
    <w:rsid w:val="007F0557"/>
    <w:rsid w:val="007F3065"/>
    <w:rsid w:val="007F623D"/>
    <w:rsid w:val="00801FD4"/>
    <w:rsid w:val="0080455C"/>
    <w:rsid w:val="00806612"/>
    <w:rsid w:val="008168EF"/>
    <w:rsid w:val="008347E0"/>
    <w:rsid w:val="00840ADC"/>
    <w:rsid w:val="00844343"/>
    <w:rsid w:val="0084461D"/>
    <w:rsid w:val="008757F8"/>
    <w:rsid w:val="00877102"/>
    <w:rsid w:val="00880D5E"/>
    <w:rsid w:val="00891853"/>
    <w:rsid w:val="008B3582"/>
    <w:rsid w:val="008B3FB0"/>
    <w:rsid w:val="008B4218"/>
    <w:rsid w:val="008B445B"/>
    <w:rsid w:val="008C67B9"/>
    <w:rsid w:val="008C7512"/>
    <w:rsid w:val="008D57DC"/>
    <w:rsid w:val="008D659A"/>
    <w:rsid w:val="008E0271"/>
    <w:rsid w:val="00911075"/>
    <w:rsid w:val="00914E6D"/>
    <w:rsid w:val="00921830"/>
    <w:rsid w:val="00934E86"/>
    <w:rsid w:val="00941381"/>
    <w:rsid w:val="009542EF"/>
    <w:rsid w:val="009607A7"/>
    <w:rsid w:val="00970CBB"/>
    <w:rsid w:val="00972B67"/>
    <w:rsid w:val="00973CE3"/>
    <w:rsid w:val="00977ACD"/>
    <w:rsid w:val="00991B39"/>
    <w:rsid w:val="009B1EE1"/>
    <w:rsid w:val="009B54FB"/>
    <w:rsid w:val="009C5F37"/>
    <w:rsid w:val="009C6902"/>
    <w:rsid w:val="009E2698"/>
    <w:rsid w:val="009E58FD"/>
    <w:rsid w:val="009E6DAE"/>
    <w:rsid w:val="00A0380F"/>
    <w:rsid w:val="00A17F06"/>
    <w:rsid w:val="00A528F7"/>
    <w:rsid w:val="00A566AF"/>
    <w:rsid w:val="00A609FE"/>
    <w:rsid w:val="00A63EC0"/>
    <w:rsid w:val="00A74136"/>
    <w:rsid w:val="00A90238"/>
    <w:rsid w:val="00AA3F03"/>
    <w:rsid w:val="00AA5AC0"/>
    <w:rsid w:val="00AA641F"/>
    <w:rsid w:val="00AB0A7E"/>
    <w:rsid w:val="00AD027F"/>
    <w:rsid w:val="00AE27B8"/>
    <w:rsid w:val="00AE4D6B"/>
    <w:rsid w:val="00AE6C54"/>
    <w:rsid w:val="00AF221B"/>
    <w:rsid w:val="00AF2EA4"/>
    <w:rsid w:val="00B043F9"/>
    <w:rsid w:val="00B05015"/>
    <w:rsid w:val="00B14991"/>
    <w:rsid w:val="00B14AC1"/>
    <w:rsid w:val="00B72320"/>
    <w:rsid w:val="00B755F5"/>
    <w:rsid w:val="00B9042A"/>
    <w:rsid w:val="00B9174E"/>
    <w:rsid w:val="00B96D85"/>
    <w:rsid w:val="00BA3DB2"/>
    <w:rsid w:val="00BA7DF7"/>
    <w:rsid w:val="00BB0433"/>
    <w:rsid w:val="00BB2E06"/>
    <w:rsid w:val="00BB549E"/>
    <w:rsid w:val="00BC122B"/>
    <w:rsid w:val="00BD124B"/>
    <w:rsid w:val="00BD3826"/>
    <w:rsid w:val="00BD49CD"/>
    <w:rsid w:val="00BD6A98"/>
    <w:rsid w:val="00BF342A"/>
    <w:rsid w:val="00C052C3"/>
    <w:rsid w:val="00C06596"/>
    <w:rsid w:val="00C11441"/>
    <w:rsid w:val="00C35416"/>
    <w:rsid w:val="00C42EC0"/>
    <w:rsid w:val="00C525E8"/>
    <w:rsid w:val="00C5501E"/>
    <w:rsid w:val="00C60916"/>
    <w:rsid w:val="00C626C5"/>
    <w:rsid w:val="00C77D80"/>
    <w:rsid w:val="00C86A8E"/>
    <w:rsid w:val="00C953B6"/>
    <w:rsid w:val="00C9742D"/>
    <w:rsid w:val="00CA06B3"/>
    <w:rsid w:val="00CC603E"/>
    <w:rsid w:val="00CD4476"/>
    <w:rsid w:val="00CE0EFF"/>
    <w:rsid w:val="00CE7538"/>
    <w:rsid w:val="00D07E6B"/>
    <w:rsid w:val="00D12100"/>
    <w:rsid w:val="00D31927"/>
    <w:rsid w:val="00D53263"/>
    <w:rsid w:val="00D653E5"/>
    <w:rsid w:val="00D74189"/>
    <w:rsid w:val="00D84B95"/>
    <w:rsid w:val="00D91A00"/>
    <w:rsid w:val="00D94553"/>
    <w:rsid w:val="00DA1945"/>
    <w:rsid w:val="00DA42D3"/>
    <w:rsid w:val="00DB4B5B"/>
    <w:rsid w:val="00DE3BAA"/>
    <w:rsid w:val="00DE7783"/>
    <w:rsid w:val="00E00B4B"/>
    <w:rsid w:val="00E12C36"/>
    <w:rsid w:val="00E17E44"/>
    <w:rsid w:val="00E254A5"/>
    <w:rsid w:val="00E3195E"/>
    <w:rsid w:val="00E34F25"/>
    <w:rsid w:val="00E4192D"/>
    <w:rsid w:val="00E4764B"/>
    <w:rsid w:val="00E72A84"/>
    <w:rsid w:val="00EB6887"/>
    <w:rsid w:val="00EC66CD"/>
    <w:rsid w:val="00ED06BF"/>
    <w:rsid w:val="00ED6E5C"/>
    <w:rsid w:val="00F059DF"/>
    <w:rsid w:val="00F11958"/>
    <w:rsid w:val="00F13763"/>
    <w:rsid w:val="00F167F8"/>
    <w:rsid w:val="00F26F69"/>
    <w:rsid w:val="00F31376"/>
    <w:rsid w:val="00F36D49"/>
    <w:rsid w:val="00F43DEE"/>
    <w:rsid w:val="00F74BFF"/>
    <w:rsid w:val="00F92106"/>
    <w:rsid w:val="00FB210D"/>
    <w:rsid w:val="00FC5C16"/>
    <w:rsid w:val="00FD191A"/>
    <w:rsid w:val="00FE02A1"/>
    <w:rsid w:val="00FE196D"/>
    <w:rsid w:val="00FE37A7"/>
    <w:rsid w:val="00FF1CC7"/>
    <w:rsid w:val="00FF5F05"/>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61A388A-F1BE-4A47-9EBB-FBAAB4AC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Index1">
    <w:name w:val="index 1"/>
    <w:basedOn w:val="Normal"/>
    <w:next w:val="Normal"/>
    <w:autoRedefine/>
    <w:semiHidden/>
    <w:pPr>
      <w:spacing w:line="240" w:lineRule="exact"/>
    </w:pPr>
    <w:rPr>
      <w:b/>
      <w:sz w:val="24"/>
    </w:rPr>
  </w:style>
  <w:style w:type="paragraph" w:styleId="Header">
    <w:name w:val="header"/>
    <w:basedOn w:val="Normal"/>
    <w:link w:val="HeaderChar"/>
    <w:pPr>
      <w:tabs>
        <w:tab w:val="center" w:pos="4320"/>
        <w:tab w:val="right" w:pos="8640"/>
      </w:tabs>
    </w:pPr>
    <w:rPr>
      <w:rFonts w:ascii="Courier" w:hAnsi="Courier"/>
      <w:sz w:val="24"/>
    </w:rPr>
  </w:style>
  <w:style w:type="paragraph" w:styleId="BodyText">
    <w:name w:val="Body Text"/>
    <w:basedOn w:val="Normal"/>
    <w:link w:val="BodyTextChar"/>
    <w:pPr>
      <w:spacing w:line="240" w:lineRule="exact"/>
    </w:pPr>
    <w:rPr>
      <w:sz w:val="24"/>
    </w:rPr>
  </w:style>
  <w:style w:type="character" w:styleId="FollowedHyperlink">
    <w:name w:val="FollowedHyperlink"/>
    <w:rPr>
      <w:color w:val="60642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Strong">
    <w:name w:val="Strong"/>
    <w:uiPriority w:val="22"/>
    <w:qFormat/>
    <w:rsid w:val="002F1484"/>
    <w:rPr>
      <w:b/>
      <w:bCs/>
    </w:rPr>
  </w:style>
  <w:style w:type="character" w:customStyle="1" w:styleId="FooterChar">
    <w:name w:val="Footer Char"/>
    <w:basedOn w:val="DefaultParagraphFont"/>
    <w:link w:val="Footer"/>
    <w:uiPriority w:val="99"/>
    <w:rsid w:val="00B14AC1"/>
  </w:style>
  <w:style w:type="character" w:customStyle="1" w:styleId="BodyTextChar">
    <w:name w:val="Body Text Char"/>
    <w:link w:val="BodyText"/>
    <w:rsid w:val="00661028"/>
    <w:rPr>
      <w:sz w:val="24"/>
    </w:rPr>
  </w:style>
  <w:style w:type="character" w:customStyle="1" w:styleId="HeaderChar">
    <w:name w:val="Header Char"/>
    <w:link w:val="Header"/>
    <w:rsid w:val="003D6A49"/>
    <w:rPr>
      <w:rFonts w:ascii="Courier" w:hAnsi="Courier"/>
      <w:sz w:val="24"/>
    </w:rPr>
  </w:style>
  <w:style w:type="character" w:styleId="HTMLCite">
    <w:name w:val="HTML Cite"/>
    <w:uiPriority w:val="99"/>
    <w:unhideWhenUsed/>
    <w:rsid w:val="0059091E"/>
    <w:rPr>
      <w:i w:val="0"/>
      <w:iCs w:val="0"/>
      <w:color w:val="006621"/>
    </w:rPr>
  </w:style>
  <w:style w:type="paragraph" w:styleId="ListParagraph">
    <w:name w:val="List Paragraph"/>
    <w:basedOn w:val="Normal"/>
    <w:uiPriority w:val="34"/>
    <w:qFormat/>
    <w:rsid w:val="00BB2E06"/>
    <w:pPr>
      <w:widowControl w:val="0"/>
      <w:autoSpaceDE w:val="0"/>
      <w:autoSpaceDN w:val="0"/>
      <w:adjustRightInd w:val="0"/>
      <w:ind w:left="720"/>
      <w:contextualSpacing/>
    </w:pPr>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3357">
      <w:bodyDiv w:val="1"/>
      <w:marLeft w:val="0"/>
      <w:marRight w:val="0"/>
      <w:marTop w:val="0"/>
      <w:marBottom w:val="0"/>
      <w:divBdr>
        <w:top w:val="none" w:sz="0" w:space="0" w:color="auto"/>
        <w:left w:val="none" w:sz="0" w:space="0" w:color="auto"/>
        <w:bottom w:val="none" w:sz="0" w:space="0" w:color="auto"/>
        <w:right w:val="none" w:sz="0" w:space="0" w:color="auto"/>
      </w:divBdr>
    </w:div>
    <w:div w:id="140342845">
      <w:bodyDiv w:val="1"/>
      <w:marLeft w:val="0"/>
      <w:marRight w:val="0"/>
      <w:marTop w:val="0"/>
      <w:marBottom w:val="0"/>
      <w:divBdr>
        <w:top w:val="none" w:sz="0" w:space="0" w:color="auto"/>
        <w:left w:val="none" w:sz="0" w:space="0" w:color="auto"/>
        <w:bottom w:val="none" w:sz="0" w:space="0" w:color="auto"/>
        <w:right w:val="none" w:sz="0" w:space="0" w:color="auto"/>
      </w:divBdr>
      <w:divsChild>
        <w:div w:id="1685016311">
          <w:marLeft w:val="0"/>
          <w:marRight w:val="0"/>
          <w:marTop w:val="0"/>
          <w:marBottom w:val="0"/>
          <w:divBdr>
            <w:top w:val="none" w:sz="0" w:space="0" w:color="auto"/>
            <w:left w:val="none" w:sz="0" w:space="0" w:color="auto"/>
            <w:bottom w:val="none" w:sz="0" w:space="0" w:color="auto"/>
            <w:right w:val="none" w:sz="0" w:space="0" w:color="auto"/>
          </w:divBdr>
          <w:divsChild>
            <w:div w:id="311563405">
              <w:marLeft w:val="0"/>
              <w:marRight w:val="0"/>
              <w:marTop w:val="0"/>
              <w:marBottom w:val="0"/>
              <w:divBdr>
                <w:top w:val="none" w:sz="0" w:space="0" w:color="auto"/>
                <w:left w:val="single" w:sz="6" w:space="0" w:color="E2E2E2"/>
                <w:bottom w:val="none" w:sz="0" w:space="0" w:color="auto"/>
                <w:right w:val="single" w:sz="6" w:space="0" w:color="E2E2E2"/>
              </w:divBdr>
              <w:divsChild>
                <w:div w:id="1177692944">
                  <w:marLeft w:val="0"/>
                  <w:marRight w:val="0"/>
                  <w:marTop w:val="0"/>
                  <w:marBottom w:val="0"/>
                  <w:divBdr>
                    <w:top w:val="none" w:sz="0" w:space="0" w:color="auto"/>
                    <w:left w:val="none" w:sz="0" w:space="0" w:color="auto"/>
                    <w:bottom w:val="none" w:sz="0" w:space="0" w:color="auto"/>
                    <w:right w:val="none" w:sz="0" w:space="0" w:color="auto"/>
                  </w:divBdr>
                  <w:divsChild>
                    <w:div w:id="7214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86369">
      <w:bodyDiv w:val="1"/>
      <w:marLeft w:val="0"/>
      <w:marRight w:val="0"/>
      <w:marTop w:val="0"/>
      <w:marBottom w:val="0"/>
      <w:divBdr>
        <w:top w:val="none" w:sz="0" w:space="0" w:color="auto"/>
        <w:left w:val="none" w:sz="0" w:space="0" w:color="auto"/>
        <w:bottom w:val="none" w:sz="0" w:space="0" w:color="auto"/>
        <w:right w:val="none" w:sz="0" w:space="0" w:color="auto"/>
      </w:divBdr>
      <w:divsChild>
        <w:div w:id="128403796">
          <w:marLeft w:val="0"/>
          <w:marRight w:val="0"/>
          <w:marTop w:val="0"/>
          <w:marBottom w:val="0"/>
          <w:divBdr>
            <w:top w:val="none" w:sz="0" w:space="0" w:color="auto"/>
            <w:left w:val="none" w:sz="0" w:space="0" w:color="auto"/>
            <w:bottom w:val="none" w:sz="0" w:space="0" w:color="auto"/>
            <w:right w:val="none" w:sz="0" w:space="0" w:color="auto"/>
          </w:divBdr>
          <w:divsChild>
            <w:div w:id="1131749862">
              <w:marLeft w:val="0"/>
              <w:marRight w:val="0"/>
              <w:marTop w:val="0"/>
              <w:marBottom w:val="0"/>
              <w:divBdr>
                <w:top w:val="none" w:sz="0" w:space="0" w:color="auto"/>
                <w:left w:val="single" w:sz="6" w:space="0" w:color="E2E2E2"/>
                <w:bottom w:val="none" w:sz="0" w:space="0" w:color="auto"/>
                <w:right w:val="single" w:sz="6" w:space="0" w:color="E2E2E2"/>
              </w:divBdr>
              <w:divsChild>
                <w:div w:id="1138062072">
                  <w:marLeft w:val="0"/>
                  <w:marRight w:val="0"/>
                  <w:marTop w:val="0"/>
                  <w:marBottom w:val="0"/>
                  <w:divBdr>
                    <w:top w:val="none" w:sz="0" w:space="0" w:color="auto"/>
                    <w:left w:val="none" w:sz="0" w:space="0" w:color="auto"/>
                    <w:bottom w:val="none" w:sz="0" w:space="0" w:color="auto"/>
                    <w:right w:val="none" w:sz="0" w:space="0" w:color="auto"/>
                  </w:divBdr>
                  <w:divsChild>
                    <w:div w:id="4527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pub/hom/pdf/homch2.pdf" TargetMode="External"/><Relationship Id="rId13" Type="http://schemas.openxmlformats.org/officeDocument/2006/relationships/hyperlink" Target="http://www.amstat.org/sections/SRMS/Proceedings/y2002/Files/JSM2002-000844.pdf" TargetMode="External"/><Relationship Id="rId18" Type="http://schemas.openxmlformats.org/officeDocument/2006/relationships/hyperlink" Target="http://www.bls.gov/opub/mlr/2006/05/art4full.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ls.gov/osmr/research-papers/2005/pdf/st050240.pdf" TargetMode="External"/><Relationship Id="rId17" Type="http://schemas.openxmlformats.org/officeDocument/2006/relationships/hyperlink" Target="https://www.bls.gov/osmr/research-papers/2002/pdf/st020090.pdf" TargetMode="External"/><Relationship Id="rId2" Type="http://schemas.openxmlformats.org/officeDocument/2006/relationships/numbering" Target="numbering.xml"/><Relationship Id="rId16" Type="http://schemas.openxmlformats.org/officeDocument/2006/relationships/hyperlink" Target="https://www.bls.gov/osmr/research-papers/2009/st090240.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smr/research-papers/1998/pdf/st98008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mstat.org/sections/SRMS/Proceedings/papers/1994_178.pdf" TargetMode="External"/><Relationship Id="rId23" Type="http://schemas.openxmlformats.org/officeDocument/2006/relationships/fontTable" Target="fontTable.xml"/><Relationship Id="rId10" Type="http://schemas.openxmlformats.org/officeDocument/2006/relationships/hyperlink" Target="http://www.bls.gov/opub/hom/pdf/homch2.pdf" TargetMode="External"/><Relationship Id="rId19" Type="http://schemas.openxmlformats.org/officeDocument/2006/relationships/hyperlink" Target="http://www.amstat.org/sections/SRMS/Proceedings/papers/1995_137.pdf" TargetMode="External"/><Relationship Id="rId4" Type="http://schemas.openxmlformats.org/officeDocument/2006/relationships/settings" Target="settings.xml"/><Relationship Id="rId9" Type="http://schemas.openxmlformats.org/officeDocument/2006/relationships/hyperlink" Target="http://www.bls.gov/opub/hom/pdf/homch2.pdf" TargetMode="External"/><Relationship Id="rId14" Type="http://schemas.openxmlformats.org/officeDocument/2006/relationships/hyperlink" Target="https://www.bls.gov/osmr/research-papers/2009/st090050.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7A97-FE48-4EA6-BA59-D2A60C26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24969</CharactersWithSpaces>
  <SharedDoc>false</SharedDoc>
  <HLinks>
    <vt:vector size="78" baseType="variant">
      <vt:variant>
        <vt:i4>1769512</vt:i4>
      </vt:variant>
      <vt:variant>
        <vt:i4>39</vt:i4>
      </vt:variant>
      <vt:variant>
        <vt:i4>0</vt:i4>
      </vt:variant>
      <vt:variant>
        <vt:i4>5</vt:i4>
      </vt:variant>
      <vt:variant>
        <vt:lpwstr>http://www.amstat.org/sections/SRMS/Proceedings/papers/1995_137.pdf</vt:lpwstr>
      </vt:variant>
      <vt:variant>
        <vt:lpwstr/>
      </vt:variant>
      <vt:variant>
        <vt:i4>851986</vt:i4>
      </vt:variant>
      <vt:variant>
        <vt:i4>36</vt:i4>
      </vt:variant>
      <vt:variant>
        <vt:i4>0</vt:i4>
      </vt:variant>
      <vt:variant>
        <vt:i4>5</vt:i4>
      </vt:variant>
      <vt:variant>
        <vt:lpwstr>http://www.bls.gov/opub/mlr/2006/05/art4full.pdf</vt:lpwstr>
      </vt:variant>
      <vt:variant>
        <vt:lpwstr/>
      </vt:variant>
      <vt:variant>
        <vt:i4>2359358</vt:i4>
      </vt:variant>
      <vt:variant>
        <vt:i4>33</vt:i4>
      </vt:variant>
      <vt:variant>
        <vt:i4>0</vt:i4>
      </vt:variant>
      <vt:variant>
        <vt:i4>5</vt:i4>
      </vt:variant>
      <vt:variant>
        <vt:lpwstr>https://www.bls.gov/osmr/research-papers/2002/pdf/st020090.pdf</vt:lpwstr>
      </vt:variant>
      <vt:variant>
        <vt:lpwstr/>
      </vt:variant>
      <vt:variant>
        <vt:i4>7667774</vt:i4>
      </vt:variant>
      <vt:variant>
        <vt:i4>30</vt:i4>
      </vt:variant>
      <vt:variant>
        <vt:i4>0</vt:i4>
      </vt:variant>
      <vt:variant>
        <vt:i4>5</vt:i4>
      </vt:variant>
      <vt:variant>
        <vt:lpwstr>https://www.bls.gov/osmr/research-papers/2009/st090240.htm</vt:lpwstr>
      </vt:variant>
      <vt:variant>
        <vt:lpwstr/>
      </vt:variant>
      <vt:variant>
        <vt:i4>2031654</vt:i4>
      </vt:variant>
      <vt:variant>
        <vt:i4>27</vt:i4>
      </vt:variant>
      <vt:variant>
        <vt:i4>0</vt:i4>
      </vt:variant>
      <vt:variant>
        <vt:i4>5</vt:i4>
      </vt:variant>
      <vt:variant>
        <vt:lpwstr>http://www.amstat.org/sections/SRMS/Proceedings/papers/1994_178.pdf</vt:lpwstr>
      </vt:variant>
      <vt:variant>
        <vt:lpwstr/>
      </vt:variant>
      <vt:variant>
        <vt:i4>7798847</vt:i4>
      </vt:variant>
      <vt:variant>
        <vt:i4>24</vt:i4>
      </vt:variant>
      <vt:variant>
        <vt:i4>0</vt:i4>
      </vt:variant>
      <vt:variant>
        <vt:i4>5</vt:i4>
      </vt:variant>
      <vt:variant>
        <vt:lpwstr>https://www.bls.gov/osmr/research-papers/2009/st090050.htm</vt:lpwstr>
      </vt:variant>
      <vt:variant>
        <vt:lpwstr/>
      </vt:variant>
      <vt:variant>
        <vt:i4>3801206</vt:i4>
      </vt:variant>
      <vt:variant>
        <vt:i4>21</vt:i4>
      </vt:variant>
      <vt:variant>
        <vt:i4>0</vt:i4>
      </vt:variant>
      <vt:variant>
        <vt:i4>5</vt:i4>
      </vt:variant>
      <vt:variant>
        <vt:lpwstr>http://www.amstat.org/sections/SRMS/Proceedings/y2002/Files/JSM2002-000844.pdf</vt:lpwstr>
      </vt:variant>
      <vt:variant>
        <vt:lpwstr/>
      </vt:variant>
      <vt:variant>
        <vt:i4>2162740</vt:i4>
      </vt:variant>
      <vt:variant>
        <vt:i4>18</vt:i4>
      </vt:variant>
      <vt:variant>
        <vt:i4>0</vt:i4>
      </vt:variant>
      <vt:variant>
        <vt:i4>5</vt:i4>
      </vt:variant>
      <vt:variant>
        <vt:lpwstr>https://www.bls.gov/osmr/research-papers/2005/pdf/st050240.pdf</vt:lpwstr>
      </vt:variant>
      <vt:variant>
        <vt:lpwstr/>
      </vt:variant>
      <vt:variant>
        <vt:i4>5570648</vt:i4>
      </vt:variant>
      <vt:variant>
        <vt:i4>15</vt:i4>
      </vt:variant>
      <vt:variant>
        <vt:i4>0</vt:i4>
      </vt:variant>
      <vt:variant>
        <vt:i4>5</vt:i4>
      </vt:variant>
      <vt:variant>
        <vt:lpwstr>http://www.bls.gov/osmr/research-papers/2002/pdf/st020290.pdf</vt:lpwstr>
      </vt:variant>
      <vt:variant>
        <vt:lpwstr/>
      </vt:variant>
      <vt:variant>
        <vt:i4>6160474</vt:i4>
      </vt:variant>
      <vt:variant>
        <vt:i4>12</vt:i4>
      </vt:variant>
      <vt:variant>
        <vt:i4>0</vt:i4>
      </vt:variant>
      <vt:variant>
        <vt:i4>5</vt:i4>
      </vt:variant>
      <vt:variant>
        <vt:lpwstr>http://www.bls.gov/osmr/research-papers/1998/pdf/st980080.pdf</vt:lpwstr>
      </vt:variant>
      <vt:variant>
        <vt:lpwstr/>
      </vt:variant>
      <vt:variant>
        <vt:i4>3997812</vt:i4>
      </vt:variant>
      <vt:variant>
        <vt:i4>9</vt:i4>
      </vt:variant>
      <vt:variant>
        <vt:i4>0</vt:i4>
      </vt:variant>
      <vt:variant>
        <vt:i4>5</vt:i4>
      </vt:variant>
      <vt:variant>
        <vt:lpwstr>http://www.bls.gov/opub/hom/pdf/homch2.pdf</vt:lpwstr>
      </vt:variant>
      <vt:variant>
        <vt:lpwstr/>
      </vt:variant>
      <vt:variant>
        <vt:i4>3997812</vt:i4>
      </vt:variant>
      <vt:variant>
        <vt:i4>3</vt:i4>
      </vt:variant>
      <vt:variant>
        <vt:i4>0</vt:i4>
      </vt:variant>
      <vt:variant>
        <vt:i4>5</vt:i4>
      </vt:variant>
      <vt:variant>
        <vt:lpwstr>http://www.bls.gov/opub/hom/pdf/homch2.pdf</vt:lpwstr>
      </vt:variant>
      <vt:variant>
        <vt:lpwstr/>
      </vt:variant>
      <vt:variant>
        <vt:i4>3997812</vt:i4>
      </vt:variant>
      <vt:variant>
        <vt:i4>0</vt:i4>
      </vt:variant>
      <vt:variant>
        <vt:i4>0</vt:i4>
      </vt:variant>
      <vt:variant>
        <vt:i4>5</vt:i4>
      </vt:variant>
      <vt:variant>
        <vt:lpwstr>http://www.bls.gov/opub/hom/pdf/homch2.pdf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Rowan, Carol - BLS</cp:lastModifiedBy>
  <cp:revision>2</cp:revision>
  <cp:lastPrinted>2011-03-25T20:18:00Z</cp:lastPrinted>
  <dcterms:created xsi:type="dcterms:W3CDTF">2020-09-24T18:21:00Z</dcterms:created>
  <dcterms:modified xsi:type="dcterms:W3CDTF">2020-09-24T18:21:00Z</dcterms:modified>
</cp:coreProperties>
</file>