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73" w:rsidRDefault="00901A03" w14:paraId="2F2DA42E" w14:textId="0BCFB1D2">
      <w:r>
        <w:t xml:space="preserve">WHD </w:t>
      </w:r>
      <w:r w:rsidR="005F72DE">
        <w:t>Response to comment submitted in response to 30 day notice</w:t>
      </w:r>
    </w:p>
    <w:p w:rsidR="005F72DE" w:rsidP="005F72DE" w:rsidRDefault="005F72DE" w14:paraId="05004956" w14:textId="77777777">
      <w:pPr>
        <w:tabs>
          <w:tab w:val="left" w:pos="720"/>
        </w:tabs>
        <w:ind w:left="720" w:hanging="720"/>
        <w:rPr>
          <w:rFonts w:ascii="Times New Roman" w:hAnsi="Times New Roman"/>
          <w:szCs w:val="24"/>
        </w:rPr>
      </w:pPr>
      <w:r w:rsidRPr="00614849">
        <w:rPr>
          <w:rFonts w:ascii="Times New Roman" w:hAnsi="Times New Roman"/>
          <w:b/>
          <w:szCs w:val="24"/>
        </w:rPr>
        <w:t>Public Comments</w:t>
      </w:r>
    </w:p>
    <w:p w:rsidR="005F72DE" w:rsidP="005F72DE" w:rsidRDefault="005F72DE" w14:paraId="770A2CCC" w14:textId="77777777">
      <w:pPr>
        <w:rPr>
          <w:rFonts w:ascii="Times New Roman" w:hAnsi="Times New Roman" w:eastAsia="Calibri"/>
          <w:szCs w:val="24"/>
        </w:rPr>
      </w:pPr>
      <w:r>
        <w:rPr>
          <w:rFonts w:ascii="Times New Roman" w:hAnsi="Times New Roman" w:eastAsia="Calibri"/>
          <w:szCs w:val="24"/>
        </w:rPr>
        <w:t xml:space="preserve">The Department received two comments in response to the 30-day notice.  One comment submitted to the Department was a general statement of opposition, but the other comment suggested specific, technical changes to the forms.  The Department has carefully considered the timely submitted comments addressing the proposed changes.  Significant issues raised in the comments are discussed below, along with the Department’s responses to those comments.  </w:t>
      </w:r>
    </w:p>
    <w:p w:rsidRPr="00C724DF" w:rsidR="00C724DF" w:rsidRDefault="00C724DF" w14:paraId="5C659607" w14:textId="77777777">
      <w:pPr>
        <w:rPr>
          <w:rFonts w:ascii="Times New Roman" w:hAnsi="Times New Roman" w:cs="Times New Roman"/>
          <w:b/>
        </w:rPr>
      </w:pPr>
      <w:r>
        <w:rPr>
          <w:rFonts w:ascii="Times New Roman" w:hAnsi="Times New Roman" w:cs="Times New Roman"/>
          <w:b/>
        </w:rPr>
        <w:t xml:space="preserve">Item 6 </w:t>
      </w:r>
    </w:p>
    <w:p w:rsidR="009C222A" w:rsidRDefault="005F72DE" w14:paraId="40397790" w14:textId="4C5A4536">
      <w:pPr>
        <w:rPr>
          <w:rFonts w:ascii="Times New Roman" w:hAnsi="Times New Roman" w:cs="Times New Roman"/>
        </w:rPr>
      </w:pPr>
      <w:r>
        <w:rPr>
          <w:rFonts w:ascii="Times New Roman" w:hAnsi="Times New Roman" w:cs="Times New Roman"/>
        </w:rPr>
        <w:t xml:space="preserve">The commenter suggests that the Department edit Item 6 of form WH-530 to ask applicants to </w:t>
      </w:r>
      <w:r w:rsidR="009C222A">
        <w:rPr>
          <w:rFonts w:ascii="Times New Roman" w:hAnsi="Times New Roman" w:cs="Times New Roman"/>
        </w:rPr>
        <w:t>identify specific items that would</w:t>
      </w:r>
      <w:r>
        <w:rPr>
          <w:rFonts w:ascii="Times New Roman" w:hAnsi="Times New Roman" w:cs="Times New Roman"/>
        </w:rPr>
        <w:t xml:space="preserve"> preclude them from being issued a certificate of registration.  Specifically, the commenter states that the Department should provide fields to allow applicants</w:t>
      </w:r>
      <w:r w:rsidR="009C222A">
        <w:rPr>
          <w:rFonts w:ascii="Times New Roman" w:hAnsi="Times New Roman" w:cs="Times New Roman"/>
        </w:rPr>
        <w:t xml:space="preserve"> to disclose all MSPA monetary judgments against them, whether the judgment has been satisfied, and the date on which the judgment was paid in full.  The commenter also suggests that the applicant identify </w:t>
      </w:r>
      <w:r>
        <w:rPr>
          <w:rFonts w:ascii="Times New Roman" w:hAnsi="Times New Roman" w:cs="Times New Roman"/>
        </w:rPr>
        <w:t xml:space="preserve">if a </w:t>
      </w:r>
      <w:r w:rsidR="009C222A">
        <w:rPr>
          <w:rFonts w:ascii="Times New Roman" w:hAnsi="Times New Roman" w:cs="Times New Roman"/>
        </w:rPr>
        <w:t>family member has been refused issuance or renewal of a certificate, or has had a certificate suspended or revok</w:t>
      </w:r>
      <w:r w:rsidR="00901A03">
        <w:rPr>
          <w:rFonts w:ascii="Times New Roman" w:hAnsi="Times New Roman" w:cs="Times New Roman"/>
        </w:rPr>
        <w:t>ed, and then attest</w:t>
      </w:r>
      <w:r w:rsidR="009C222A">
        <w:rPr>
          <w:rFonts w:ascii="Times New Roman" w:hAnsi="Times New Roman" w:cs="Times New Roman"/>
        </w:rPr>
        <w:t xml:space="preserve"> that the ineligible family member is not the real party in interest for the present application</w:t>
      </w:r>
      <w:r w:rsidR="00BF70B8">
        <w:rPr>
          <w:rFonts w:ascii="Times New Roman" w:hAnsi="Times New Roman" w:cs="Times New Roman"/>
        </w:rPr>
        <w:t xml:space="preserve"> (colloquially known as “fronting”)</w:t>
      </w:r>
      <w:r w:rsidR="009C222A">
        <w:rPr>
          <w:rFonts w:ascii="Times New Roman" w:hAnsi="Times New Roman" w:cs="Times New Roman"/>
        </w:rPr>
        <w:t xml:space="preserve">.  The commenter states that these fields will help the Department recognize when an applicant should not be issued a certificate because they have not paid a court judgment or are not the real party in interest. </w:t>
      </w:r>
    </w:p>
    <w:p w:rsidR="00C724DF" w:rsidRDefault="009C222A" w14:paraId="37889BD4" w14:textId="573599E4">
      <w:pPr>
        <w:rPr>
          <w:rFonts w:ascii="Times New Roman" w:hAnsi="Times New Roman" w:cs="Times New Roman"/>
        </w:rPr>
      </w:pPr>
      <w:r>
        <w:rPr>
          <w:rFonts w:ascii="Times New Roman" w:hAnsi="Times New Roman" w:cs="Times New Roman"/>
        </w:rPr>
        <w:t>The Department declines to adopt these suggested f</w:t>
      </w:r>
      <w:r w:rsidR="009F5D7C">
        <w:rPr>
          <w:rFonts w:ascii="Times New Roman" w:hAnsi="Times New Roman" w:cs="Times New Roman"/>
        </w:rPr>
        <w:t>ields</w:t>
      </w:r>
      <w:r w:rsidR="00585097">
        <w:rPr>
          <w:rFonts w:ascii="Times New Roman" w:hAnsi="Times New Roman" w:cs="Times New Roman"/>
        </w:rPr>
        <w:t>.</w:t>
      </w:r>
      <w:r w:rsidR="009F5D7C">
        <w:rPr>
          <w:rFonts w:ascii="Times New Roman" w:hAnsi="Times New Roman" w:cs="Times New Roman"/>
        </w:rPr>
        <w:t xml:space="preserve"> </w:t>
      </w:r>
      <w:r w:rsidR="00585097">
        <w:rPr>
          <w:rFonts w:ascii="Times New Roman" w:hAnsi="Times New Roman" w:cs="Times New Roman"/>
        </w:rPr>
        <w:t xml:space="preserve"> T</w:t>
      </w:r>
      <w:r w:rsidR="009F5D7C">
        <w:rPr>
          <w:rFonts w:ascii="Times New Roman" w:hAnsi="Times New Roman" w:cs="Times New Roman"/>
        </w:rPr>
        <w:t xml:space="preserve">he Department’s experience with applicants self-reporting criminal convictions in item 6 indicates that truthful self-reporting </w:t>
      </w:r>
      <w:r w:rsidR="00BF70B8">
        <w:rPr>
          <w:rFonts w:ascii="Times New Roman" w:hAnsi="Times New Roman" w:cs="Times New Roman"/>
        </w:rPr>
        <w:t xml:space="preserve">cannot reliably be expected.  </w:t>
      </w:r>
      <w:r w:rsidR="00C724DF">
        <w:rPr>
          <w:rFonts w:ascii="Times New Roman" w:hAnsi="Times New Roman" w:cs="Times New Roman"/>
        </w:rPr>
        <w:t>The Department</w:t>
      </w:r>
      <w:r w:rsidR="00585097">
        <w:rPr>
          <w:rFonts w:ascii="Times New Roman" w:hAnsi="Times New Roman" w:cs="Times New Roman"/>
        </w:rPr>
        <w:t xml:space="preserve"> </w:t>
      </w:r>
      <w:r w:rsidR="00C724DF">
        <w:rPr>
          <w:rFonts w:ascii="Times New Roman" w:hAnsi="Times New Roman" w:cs="Times New Roman"/>
        </w:rPr>
        <w:t xml:space="preserve">encourages farmworkers and legal aid organizations to notify the agency if a MSPA civil judgment remains unpaid so that appropriate action may be taken.  </w:t>
      </w:r>
      <w:r w:rsidR="00585097">
        <w:rPr>
          <w:rFonts w:ascii="Times New Roman" w:hAnsi="Times New Roman" w:cs="Times New Roman"/>
        </w:rPr>
        <w:t>The</w:t>
      </w:r>
      <w:r w:rsidR="00A26D99">
        <w:rPr>
          <w:rFonts w:ascii="Times New Roman" w:hAnsi="Times New Roman" w:cs="Times New Roman"/>
        </w:rPr>
        <w:t xml:space="preserve"> Department </w:t>
      </w:r>
      <w:r w:rsidR="00F25561">
        <w:rPr>
          <w:rFonts w:ascii="Times New Roman" w:hAnsi="Times New Roman" w:cs="Times New Roman"/>
        </w:rPr>
        <w:t xml:space="preserve">may </w:t>
      </w:r>
      <w:r w:rsidR="00A26D99">
        <w:rPr>
          <w:rFonts w:ascii="Times New Roman" w:hAnsi="Times New Roman" w:cs="Times New Roman"/>
        </w:rPr>
        <w:t xml:space="preserve">refuse to issue </w:t>
      </w:r>
      <w:r w:rsidR="00585097">
        <w:rPr>
          <w:rFonts w:ascii="Times New Roman" w:hAnsi="Times New Roman" w:cs="Times New Roman"/>
        </w:rPr>
        <w:t xml:space="preserve">or revoke </w:t>
      </w:r>
      <w:r w:rsidR="00A26D99">
        <w:rPr>
          <w:rFonts w:ascii="Times New Roman" w:hAnsi="Times New Roman" w:cs="Times New Roman"/>
        </w:rPr>
        <w:t xml:space="preserve">a certificate of registration </w:t>
      </w:r>
      <w:r w:rsidR="00585097">
        <w:rPr>
          <w:rFonts w:ascii="Times New Roman" w:hAnsi="Times New Roman" w:cs="Times New Roman"/>
        </w:rPr>
        <w:t>when there is</w:t>
      </w:r>
      <w:r w:rsidR="00A26D99">
        <w:rPr>
          <w:rFonts w:ascii="Times New Roman" w:hAnsi="Times New Roman" w:cs="Times New Roman"/>
        </w:rPr>
        <w:t xml:space="preserve"> an unpaid court judgment</w:t>
      </w:r>
      <w:r w:rsidR="00F25561">
        <w:rPr>
          <w:rFonts w:ascii="Times New Roman" w:hAnsi="Times New Roman" w:cs="Times New Roman"/>
        </w:rPr>
        <w:t xml:space="preserve"> under MSPA</w:t>
      </w:r>
      <w:r w:rsidR="00C724DF">
        <w:rPr>
          <w:rFonts w:ascii="Times New Roman" w:hAnsi="Times New Roman" w:cs="Times New Roman"/>
        </w:rPr>
        <w:t xml:space="preserve"> obtained </w:t>
      </w:r>
      <w:r w:rsidR="00A26D99">
        <w:rPr>
          <w:rFonts w:ascii="Times New Roman" w:hAnsi="Times New Roman" w:cs="Times New Roman"/>
        </w:rPr>
        <w:t>by the Secretary of Labor</w:t>
      </w:r>
      <w:r w:rsidR="00F25561">
        <w:rPr>
          <w:rFonts w:ascii="Times New Roman" w:hAnsi="Times New Roman" w:cs="Times New Roman"/>
        </w:rPr>
        <w:t xml:space="preserve"> or any other person or when there is a failure to comply with any final order issued by the Secretary of Labor</w:t>
      </w:r>
      <w:r w:rsidR="00C724DF">
        <w:rPr>
          <w:rFonts w:ascii="Times New Roman" w:hAnsi="Times New Roman" w:cs="Times New Roman"/>
        </w:rPr>
        <w:t>.</w:t>
      </w:r>
    </w:p>
    <w:p w:rsidR="00DD34D1" w:rsidRDefault="00BF70B8" w14:paraId="0ECEF580" w14:textId="7A8490E8">
      <w:pPr>
        <w:rPr>
          <w:rFonts w:ascii="Times New Roman" w:hAnsi="Times New Roman" w:cs="Times New Roman"/>
        </w:rPr>
      </w:pPr>
      <w:r>
        <w:rPr>
          <w:rFonts w:ascii="Times New Roman" w:hAnsi="Times New Roman" w:cs="Times New Roman"/>
        </w:rPr>
        <w:t xml:space="preserve">In the case of </w:t>
      </w:r>
      <w:r w:rsidR="00C724DF">
        <w:rPr>
          <w:rFonts w:ascii="Times New Roman" w:hAnsi="Times New Roman" w:cs="Times New Roman"/>
        </w:rPr>
        <w:t>“</w:t>
      </w:r>
      <w:r>
        <w:rPr>
          <w:rFonts w:ascii="Times New Roman" w:hAnsi="Times New Roman" w:cs="Times New Roman"/>
        </w:rPr>
        <w:t>fronting</w:t>
      </w:r>
      <w:r w:rsidR="00A26D97">
        <w:rPr>
          <w:rFonts w:ascii="Times New Roman" w:hAnsi="Times New Roman" w:cs="Times New Roman"/>
        </w:rPr>
        <w:t>,</w:t>
      </w:r>
      <w:r w:rsidR="00C724DF">
        <w:rPr>
          <w:rFonts w:ascii="Times New Roman" w:hAnsi="Times New Roman" w:cs="Times New Roman"/>
        </w:rPr>
        <w:t>”</w:t>
      </w:r>
      <w:r>
        <w:rPr>
          <w:rFonts w:ascii="Times New Roman" w:hAnsi="Times New Roman" w:cs="Times New Roman"/>
        </w:rPr>
        <w:t xml:space="preserve"> </w:t>
      </w:r>
      <w:r w:rsidR="00247FFA">
        <w:rPr>
          <w:rFonts w:ascii="Times New Roman" w:hAnsi="Times New Roman" w:cs="Times New Roman"/>
        </w:rPr>
        <w:t xml:space="preserve">whether </w:t>
      </w:r>
      <w:r>
        <w:rPr>
          <w:rFonts w:ascii="Times New Roman" w:hAnsi="Times New Roman" w:cs="Times New Roman"/>
        </w:rPr>
        <w:t>the applicant is the real party in in</w:t>
      </w:r>
      <w:r w:rsidR="00247FFA">
        <w:rPr>
          <w:rFonts w:ascii="Times New Roman" w:hAnsi="Times New Roman" w:cs="Times New Roman"/>
        </w:rPr>
        <w:t>terest is a fact-dependent determination and frequently requires an investigation; it is unlikely to be determined based on a disclosure on an application.</w:t>
      </w:r>
      <w:r w:rsidR="00C724DF">
        <w:rPr>
          <w:rFonts w:ascii="Times New Roman" w:hAnsi="Times New Roman" w:cs="Times New Roman"/>
        </w:rPr>
        <w:t xml:space="preserve"> </w:t>
      </w:r>
      <w:r w:rsidR="00A26D97">
        <w:rPr>
          <w:rFonts w:ascii="Times New Roman" w:hAnsi="Times New Roman" w:cs="Times New Roman"/>
        </w:rPr>
        <w:t xml:space="preserve"> When t</w:t>
      </w:r>
      <w:r w:rsidR="00C724DF">
        <w:rPr>
          <w:rFonts w:ascii="Times New Roman" w:hAnsi="Times New Roman" w:cs="Times New Roman"/>
        </w:rPr>
        <w:t>he Department encounters “fronting” in its MSPA investigations</w:t>
      </w:r>
      <w:r w:rsidR="00A26D97">
        <w:rPr>
          <w:rFonts w:ascii="Times New Roman" w:hAnsi="Times New Roman" w:cs="Times New Roman"/>
        </w:rPr>
        <w:t>, it</w:t>
      </w:r>
      <w:r w:rsidR="00C724DF">
        <w:rPr>
          <w:rFonts w:ascii="Times New Roman" w:hAnsi="Times New Roman" w:cs="Times New Roman"/>
        </w:rPr>
        <w:t xml:space="preserve"> </w:t>
      </w:r>
      <w:r w:rsidR="00A35079">
        <w:rPr>
          <w:rFonts w:ascii="Times New Roman" w:hAnsi="Times New Roman" w:cs="Times New Roman"/>
        </w:rPr>
        <w:t xml:space="preserve">undertakes appropriate revocation or denial actions.  The Department encourages the public to report allegations of “fronting” </w:t>
      </w:r>
      <w:r w:rsidR="00D43986">
        <w:rPr>
          <w:rFonts w:ascii="Times New Roman" w:hAnsi="Times New Roman" w:cs="Times New Roman"/>
        </w:rPr>
        <w:t>to the Wage and Hour Division</w:t>
      </w:r>
      <w:r w:rsidR="00A26D97">
        <w:rPr>
          <w:rFonts w:ascii="Times New Roman" w:hAnsi="Times New Roman" w:cs="Times New Roman"/>
        </w:rPr>
        <w:t xml:space="preserve"> (WHD)</w:t>
      </w:r>
      <w:r w:rsidR="00D43986">
        <w:rPr>
          <w:rFonts w:ascii="Times New Roman" w:hAnsi="Times New Roman" w:cs="Times New Roman"/>
        </w:rPr>
        <w:t xml:space="preserve"> </w:t>
      </w:r>
      <w:r w:rsidR="00924671">
        <w:rPr>
          <w:rFonts w:ascii="Times New Roman" w:hAnsi="Times New Roman" w:cs="Times New Roman"/>
        </w:rPr>
        <w:t>to be</w:t>
      </w:r>
      <w:r w:rsidR="00A35079">
        <w:rPr>
          <w:rFonts w:ascii="Times New Roman" w:hAnsi="Times New Roman" w:cs="Times New Roman"/>
        </w:rPr>
        <w:t xml:space="preserve"> investigated.  </w:t>
      </w:r>
    </w:p>
    <w:p w:rsidRPr="00C724DF" w:rsidR="00DD34D1" w:rsidP="00DD34D1" w:rsidRDefault="00DD34D1" w14:paraId="34ACEF0A" w14:textId="77777777">
      <w:pPr>
        <w:rPr>
          <w:rFonts w:ascii="Times New Roman" w:hAnsi="Times New Roman" w:cs="Times New Roman"/>
          <w:b/>
        </w:rPr>
      </w:pPr>
      <w:r>
        <w:rPr>
          <w:rFonts w:ascii="Times New Roman" w:hAnsi="Times New Roman" w:cs="Times New Roman"/>
          <w:b/>
        </w:rPr>
        <w:t xml:space="preserve">Item 10 </w:t>
      </w:r>
    </w:p>
    <w:p w:rsidR="00D43986" w:rsidRDefault="00DD34D1" w14:paraId="695B2DAB" w14:textId="4AB8050C">
      <w:pPr>
        <w:rPr>
          <w:rFonts w:ascii="Times New Roman" w:hAnsi="Times New Roman" w:cs="Times New Roman"/>
        </w:rPr>
      </w:pPr>
      <w:r>
        <w:rPr>
          <w:rFonts w:ascii="Times New Roman" w:hAnsi="Times New Roman" w:cs="Times New Roman"/>
        </w:rPr>
        <w:t>The commenter</w:t>
      </w:r>
      <w:r w:rsidR="00D43986">
        <w:rPr>
          <w:rFonts w:ascii="Times New Roman" w:hAnsi="Times New Roman" w:cs="Times New Roman"/>
        </w:rPr>
        <w:t xml:space="preserve"> suggests that the WH-530 ask how liability insurance will be provided.  The Department agrees with this comment and has added fields for the applicant to identify how it will comply with the insurance or liability bond requirements </w:t>
      </w:r>
      <w:r w:rsidR="00A26D97">
        <w:rPr>
          <w:rFonts w:ascii="Times New Roman" w:hAnsi="Times New Roman" w:cs="Times New Roman"/>
        </w:rPr>
        <w:t xml:space="preserve">when </w:t>
      </w:r>
      <w:r w:rsidR="00D43986">
        <w:rPr>
          <w:rFonts w:ascii="Times New Roman" w:hAnsi="Times New Roman" w:cs="Times New Roman"/>
        </w:rPr>
        <w:t xml:space="preserve">transporting workers. </w:t>
      </w:r>
    </w:p>
    <w:p w:rsidR="00D859A9" w:rsidRDefault="00D43986" w14:paraId="69F3ED8F" w14:textId="5B305D3D">
      <w:pPr>
        <w:rPr>
          <w:rFonts w:ascii="Times New Roman" w:hAnsi="Times New Roman" w:cs="Times New Roman"/>
        </w:rPr>
      </w:pPr>
      <w:r>
        <w:rPr>
          <w:rFonts w:ascii="Times New Roman" w:hAnsi="Times New Roman" w:cs="Times New Roman"/>
        </w:rPr>
        <w:t>The c</w:t>
      </w:r>
      <w:r w:rsidR="0079450B">
        <w:rPr>
          <w:rFonts w:ascii="Times New Roman" w:hAnsi="Times New Roman" w:cs="Times New Roman"/>
        </w:rPr>
        <w:t>ommenter also suggests that, if the applicant is using workers’ compensation insurance to obtain authorization</w:t>
      </w:r>
      <w:r w:rsidR="001008FE">
        <w:rPr>
          <w:rFonts w:ascii="Times New Roman" w:hAnsi="Times New Roman" w:cs="Times New Roman"/>
        </w:rPr>
        <w:t>, the Department should require the disclosure of the insured entity and, if the insured entity is not the applicant, the contract between the insured company and the applicant to determine if any gaps in insurance coverage exist.  The commenter states that workers’ compensation insurance frequently does not cover all circumstances of transportation, particularly if the workers’ compensation is furnished by professional employment organizations (PEOs)</w:t>
      </w:r>
      <w:r w:rsidR="00D859A9">
        <w:rPr>
          <w:rFonts w:ascii="Times New Roman" w:hAnsi="Times New Roman" w:cs="Times New Roman"/>
        </w:rPr>
        <w:t xml:space="preserve">. </w:t>
      </w:r>
      <w:r w:rsidR="00A26D97">
        <w:rPr>
          <w:rFonts w:ascii="Times New Roman" w:hAnsi="Times New Roman" w:cs="Times New Roman"/>
        </w:rPr>
        <w:t xml:space="preserve"> </w:t>
      </w:r>
      <w:r w:rsidR="001008FE">
        <w:rPr>
          <w:rFonts w:ascii="Times New Roman" w:hAnsi="Times New Roman" w:cs="Times New Roman"/>
        </w:rPr>
        <w:t xml:space="preserve">The Department agrees that workers’ compensation insurance that insufficiently covers all transportation is a common problem in the industry.  However, the issue is not limited to PEOs; rather, </w:t>
      </w:r>
      <w:r w:rsidR="00192B57">
        <w:rPr>
          <w:rFonts w:ascii="Times New Roman" w:hAnsi="Times New Roman" w:cs="Times New Roman"/>
        </w:rPr>
        <w:t xml:space="preserve">the question as to </w:t>
      </w:r>
      <w:r w:rsidR="001008FE">
        <w:rPr>
          <w:rFonts w:ascii="Times New Roman" w:hAnsi="Times New Roman" w:cs="Times New Roman"/>
        </w:rPr>
        <w:t>whether workers’</w:t>
      </w:r>
      <w:r w:rsidR="00D859A9">
        <w:rPr>
          <w:rFonts w:ascii="Times New Roman" w:hAnsi="Times New Roman" w:cs="Times New Roman"/>
        </w:rPr>
        <w:t xml:space="preserve"> compensation </w:t>
      </w:r>
      <w:r w:rsidR="00901A03">
        <w:rPr>
          <w:rFonts w:ascii="Times New Roman" w:hAnsi="Times New Roman" w:cs="Times New Roman"/>
        </w:rPr>
        <w:t xml:space="preserve">insurance </w:t>
      </w:r>
      <w:r w:rsidR="00D859A9">
        <w:rPr>
          <w:rFonts w:ascii="Times New Roman" w:hAnsi="Times New Roman" w:cs="Times New Roman"/>
        </w:rPr>
        <w:t xml:space="preserve">covers </w:t>
      </w:r>
      <w:r w:rsidR="00D859A9">
        <w:rPr>
          <w:rFonts w:ascii="Times New Roman" w:hAnsi="Times New Roman" w:cs="Times New Roman"/>
        </w:rPr>
        <w:lastRenderedPageBreak/>
        <w:t>all</w:t>
      </w:r>
      <w:r w:rsidR="001008FE">
        <w:rPr>
          <w:rFonts w:ascii="Times New Roman" w:hAnsi="Times New Roman" w:cs="Times New Roman"/>
        </w:rPr>
        <w:t xml:space="preserve"> transportation depends on</w:t>
      </w:r>
      <w:r w:rsidR="00D859A9">
        <w:rPr>
          <w:rFonts w:ascii="Times New Roman" w:hAnsi="Times New Roman" w:cs="Times New Roman"/>
        </w:rPr>
        <w:t xml:space="preserve"> a multitude of factors, including</w:t>
      </w:r>
      <w:r w:rsidR="001008FE">
        <w:rPr>
          <w:rFonts w:ascii="Times New Roman" w:hAnsi="Times New Roman" w:cs="Times New Roman"/>
        </w:rPr>
        <w:t xml:space="preserve"> state laws, the </w:t>
      </w:r>
      <w:r w:rsidR="00D859A9">
        <w:rPr>
          <w:rFonts w:ascii="Times New Roman" w:hAnsi="Times New Roman" w:cs="Times New Roman"/>
        </w:rPr>
        <w:t xml:space="preserve">purpose and/or destination of the transportation, and the employer of the employees being transported (in addition to those issues the commenter identified with respect to PEOs).  As a result, the Department doubts that its examination of a contract between the applicant and a PEO would assure that no gaps in workers’ compensation insurance coverage exists.     </w:t>
      </w:r>
      <w:r w:rsidR="001008FE">
        <w:rPr>
          <w:rFonts w:ascii="Times New Roman" w:hAnsi="Times New Roman" w:cs="Times New Roman"/>
        </w:rPr>
        <w:t xml:space="preserve">  </w:t>
      </w:r>
      <w:r w:rsidR="0079450B">
        <w:rPr>
          <w:rFonts w:ascii="Times New Roman" w:hAnsi="Times New Roman" w:cs="Times New Roman"/>
        </w:rPr>
        <w:t xml:space="preserve"> </w:t>
      </w:r>
      <w:r>
        <w:rPr>
          <w:rFonts w:ascii="Times New Roman" w:hAnsi="Times New Roman" w:cs="Times New Roman"/>
        </w:rPr>
        <w:t xml:space="preserve"> </w:t>
      </w:r>
    </w:p>
    <w:p w:rsidR="00D859A9" w:rsidRDefault="00D859A9" w14:paraId="4DED6B21" w14:textId="57D77C0E">
      <w:pPr>
        <w:rPr>
          <w:rFonts w:ascii="Times New Roman" w:hAnsi="Times New Roman" w:cs="Times New Roman"/>
        </w:rPr>
      </w:pPr>
      <w:r>
        <w:rPr>
          <w:rFonts w:ascii="Times New Roman" w:hAnsi="Times New Roman" w:cs="Times New Roman"/>
        </w:rPr>
        <w:t xml:space="preserve">The Department declines to adopt the commenter’s specific suggestions with respect to workers’ compensation and PEOs, but has included other revisions to address the commenter’s concerns.  Specifically, the Department has edited the WH-530 to require the applicant, if using workers’ compensation in lieu of vehicle insurance, to disclose </w:t>
      </w:r>
      <w:r w:rsidR="00901A03">
        <w:rPr>
          <w:rFonts w:ascii="Times New Roman" w:hAnsi="Times New Roman" w:cs="Times New Roman"/>
        </w:rPr>
        <w:t xml:space="preserve">on the form </w:t>
      </w:r>
      <w:r>
        <w:rPr>
          <w:rFonts w:ascii="Times New Roman" w:hAnsi="Times New Roman" w:cs="Times New Roman"/>
        </w:rPr>
        <w:t>the circumstances in which the applicant will transport workers.  Additionally, the Department has</w:t>
      </w:r>
      <w:r w:rsidR="001D6CD1">
        <w:rPr>
          <w:rFonts w:ascii="Times New Roman" w:hAnsi="Times New Roman" w:cs="Times New Roman"/>
        </w:rPr>
        <w:t xml:space="preserve"> edited the form to require that the applicant</w:t>
      </w:r>
      <w:r w:rsidR="006C3671">
        <w:rPr>
          <w:rFonts w:ascii="Times New Roman" w:hAnsi="Times New Roman" w:cs="Times New Roman"/>
        </w:rPr>
        <w:t xml:space="preserve"> using workers’ compensation instead of vehicle insurance</w:t>
      </w:r>
      <w:r w:rsidR="001D6CD1">
        <w:rPr>
          <w:rFonts w:ascii="Times New Roman" w:hAnsi="Times New Roman" w:cs="Times New Roman"/>
        </w:rPr>
        <w:t xml:space="preserve"> attest that it has truthfully listed all circumstances of transportation and that these circumstances are covered under applicable State law.  These fields replace</w:t>
      </w:r>
      <w:r w:rsidR="00901A03">
        <w:rPr>
          <w:rFonts w:ascii="Times New Roman" w:hAnsi="Times New Roman" w:cs="Times New Roman"/>
        </w:rPr>
        <w:t xml:space="preserve"> and attempt to standardize</w:t>
      </w:r>
      <w:r w:rsidR="001D6CD1">
        <w:rPr>
          <w:rFonts w:ascii="Times New Roman" w:hAnsi="Times New Roman" w:cs="Times New Roman"/>
        </w:rPr>
        <w:t xml:space="preserve"> the written statement requested by the WH-530 submitted as part of the 30-day notice</w:t>
      </w:r>
      <w:r w:rsidR="006C3671">
        <w:rPr>
          <w:rFonts w:ascii="Times New Roman" w:hAnsi="Times New Roman" w:cs="Times New Roman"/>
        </w:rPr>
        <w:t xml:space="preserve"> (85 Fed. Reg. 17099 (March 26, 2020))</w:t>
      </w:r>
      <w:r w:rsidR="001D6CD1">
        <w:rPr>
          <w:rFonts w:ascii="Times New Roman" w:hAnsi="Times New Roman" w:cs="Times New Roman"/>
        </w:rPr>
        <w:t xml:space="preserve">.    </w:t>
      </w:r>
      <w:r>
        <w:rPr>
          <w:rFonts w:ascii="Times New Roman" w:hAnsi="Times New Roman" w:cs="Times New Roman"/>
        </w:rPr>
        <w:t xml:space="preserve"> </w:t>
      </w:r>
    </w:p>
    <w:p w:rsidR="00442F00" w:rsidRDefault="004B67C6" w14:paraId="3B1FE33D" w14:textId="10A68570">
      <w:pPr>
        <w:rPr>
          <w:rFonts w:ascii="Times New Roman" w:hAnsi="Times New Roman" w:cs="Times New Roman"/>
        </w:rPr>
      </w:pPr>
      <w:r>
        <w:rPr>
          <w:rFonts w:ascii="Times New Roman" w:hAnsi="Times New Roman" w:cs="Times New Roman"/>
        </w:rPr>
        <w:t>In addition, the commenter</w:t>
      </w:r>
      <w:r w:rsidR="00924671">
        <w:rPr>
          <w:rFonts w:ascii="Times New Roman" w:hAnsi="Times New Roman" w:cs="Times New Roman"/>
        </w:rPr>
        <w:t xml:space="preserve"> suggests that form WH-530 include a statement of the applicant’s intention to comply with the MSPA transportation provisions.  The Department agrees with the suggestion and has added a statement of intent</w:t>
      </w:r>
      <w:r w:rsidR="00901A03">
        <w:rPr>
          <w:rFonts w:ascii="Times New Roman" w:hAnsi="Times New Roman" w:cs="Times New Roman"/>
        </w:rPr>
        <w:t xml:space="preserve"> to comply</w:t>
      </w:r>
      <w:r w:rsidR="00A26D97">
        <w:rPr>
          <w:rFonts w:ascii="Times New Roman" w:hAnsi="Times New Roman" w:cs="Times New Roman"/>
        </w:rPr>
        <w:t>, as well as</w:t>
      </w:r>
      <w:r w:rsidR="00901A03">
        <w:rPr>
          <w:rFonts w:ascii="Times New Roman" w:hAnsi="Times New Roman" w:cs="Times New Roman"/>
        </w:rPr>
        <w:t xml:space="preserve"> co</w:t>
      </w:r>
      <w:r w:rsidR="00771899">
        <w:rPr>
          <w:rFonts w:ascii="Times New Roman" w:hAnsi="Times New Roman" w:cs="Times New Roman"/>
        </w:rPr>
        <w:t xml:space="preserve">rresponding </w:t>
      </w:r>
      <w:r w:rsidR="00901A03">
        <w:rPr>
          <w:rFonts w:ascii="Times New Roman" w:hAnsi="Times New Roman" w:cs="Times New Roman"/>
        </w:rPr>
        <w:t>language in</w:t>
      </w:r>
      <w:r w:rsidR="007B0401">
        <w:rPr>
          <w:rFonts w:ascii="Times New Roman" w:hAnsi="Times New Roman" w:cs="Times New Roman"/>
        </w:rPr>
        <w:t xml:space="preserve"> the instructions.  </w:t>
      </w:r>
    </w:p>
    <w:p w:rsidR="004B67C6" w:rsidRDefault="00442F00" w14:paraId="2833A536" w14:textId="1AF7AEE1">
      <w:pPr>
        <w:rPr>
          <w:rFonts w:ascii="Times New Roman" w:hAnsi="Times New Roman" w:cs="Times New Roman"/>
        </w:rPr>
      </w:pPr>
      <w:r>
        <w:rPr>
          <w:rFonts w:ascii="Times New Roman" w:hAnsi="Times New Roman" w:cs="Times New Roman"/>
          <w:b/>
        </w:rPr>
        <w:t>Instructions Item 7</w:t>
      </w:r>
      <w:r w:rsidR="004B67C6">
        <w:rPr>
          <w:rFonts w:ascii="Times New Roman" w:hAnsi="Times New Roman" w:cs="Times New Roman"/>
        </w:rPr>
        <w:t xml:space="preserve"> </w:t>
      </w:r>
    </w:p>
    <w:p w:rsidR="005F72DE" w:rsidRDefault="007E3269" w14:paraId="6055C263" w14:textId="2D07009B">
      <w:pPr>
        <w:rPr>
          <w:rFonts w:ascii="Times New Roman" w:hAnsi="Times New Roman" w:cs="Times New Roman"/>
        </w:rPr>
      </w:pPr>
      <w:r>
        <w:rPr>
          <w:rFonts w:ascii="Times New Roman" w:hAnsi="Times New Roman" w:cs="Times New Roman"/>
        </w:rPr>
        <w:t>The commenter suggests that the word “so” is superfluous and should be deleted.  The Department agrees with the sugge</w:t>
      </w:r>
      <w:r w:rsidR="00771899">
        <w:rPr>
          <w:rFonts w:ascii="Times New Roman" w:hAnsi="Times New Roman" w:cs="Times New Roman"/>
        </w:rPr>
        <w:t>stion and has edited the form accordingly</w:t>
      </w:r>
      <w:r>
        <w:rPr>
          <w:rFonts w:ascii="Times New Roman" w:hAnsi="Times New Roman" w:cs="Times New Roman"/>
        </w:rPr>
        <w:t xml:space="preserve">. </w:t>
      </w:r>
    </w:p>
    <w:p w:rsidR="007E3269" w:rsidP="007E3269" w:rsidRDefault="007E3269" w14:paraId="68BED8DC" w14:textId="6105CBDD">
      <w:pPr>
        <w:rPr>
          <w:rFonts w:ascii="Times New Roman" w:hAnsi="Times New Roman" w:cs="Times New Roman"/>
          <w:b/>
        </w:rPr>
      </w:pPr>
      <w:r>
        <w:rPr>
          <w:rFonts w:ascii="Times New Roman" w:hAnsi="Times New Roman" w:cs="Times New Roman"/>
          <w:b/>
        </w:rPr>
        <w:t>Instructions Item 8</w:t>
      </w:r>
    </w:p>
    <w:p w:rsidR="007E3269" w:rsidP="007E3269" w:rsidRDefault="007E3269" w14:paraId="487F7E99" w14:textId="3E5DB757">
      <w:pPr>
        <w:rPr>
          <w:rFonts w:ascii="Times New Roman" w:hAnsi="Times New Roman" w:cs="Times New Roman"/>
        </w:rPr>
      </w:pPr>
      <w:r>
        <w:rPr>
          <w:rFonts w:ascii="Times New Roman" w:hAnsi="Times New Roman" w:cs="Times New Roman"/>
        </w:rPr>
        <w:t xml:space="preserve">The commenter suggests that the instructions reference 29 CFR 500.20(h)(5) to </w:t>
      </w:r>
      <w:r w:rsidR="00C36457">
        <w:rPr>
          <w:rFonts w:ascii="Times New Roman" w:hAnsi="Times New Roman" w:cs="Times New Roman"/>
        </w:rPr>
        <w:t>more fully discuss</w:t>
      </w:r>
      <w:r>
        <w:rPr>
          <w:rFonts w:ascii="Times New Roman" w:hAnsi="Times New Roman" w:cs="Times New Roman"/>
        </w:rPr>
        <w:t xml:space="preserve"> the term “employ.”  The Department </w:t>
      </w:r>
      <w:r w:rsidR="00010CF7">
        <w:rPr>
          <w:rFonts w:ascii="Times New Roman" w:hAnsi="Times New Roman" w:cs="Times New Roman"/>
        </w:rPr>
        <w:t xml:space="preserve">agrees with the suggestion and has edited </w:t>
      </w:r>
      <w:r w:rsidR="00372F93">
        <w:rPr>
          <w:rFonts w:ascii="Times New Roman" w:hAnsi="Times New Roman" w:cs="Times New Roman"/>
        </w:rPr>
        <w:t>the instructions</w:t>
      </w:r>
      <w:r w:rsidR="00010CF7">
        <w:rPr>
          <w:rFonts w:ascii="Times New Roman" w:hAnsi="Times New Roman" w:cs="Times New Roman"/>
        </w:rPr>
        <w:t xml:space="preserve"> to reference 29 CFR 500.20(h)</w:t>
      </w:r>
      <w:r w:rsidR="003D227D">
        <w:rPr>
          <w:rFonts w:ascii="Times New Roman" w:hAnsi="Times New Roman" w:cs="Times New Roman"/>
        </w:rPr>
        <w:t xml:space="preserve"> in its entirety rather than only one component of the </w:t>
      </w:r>
      <w:r w:rsidR="008357DB">
        <w:rPr>
          <w:rFonts w:ascii="Times New Roman" w:hAnsi="Times New Roman" w:cs="Times New Roman"/>
        </w:rPr>
        <w:t xml:space="preserve">regulatory </w:t>
      </w:r>
      <w:r w:rsidR="003D227D">
        <w:rPr>
          <w:rFonts w:ascii="Times New Roman" w:hAnsi="Times New Roman" w:cs="Times New Roman"/>
        </w:rPr>
        <w:t>definition</w:t>
      </w:r>
      <w:r>
        <w:rPr>
          <w:rFonts w:ascii="Times New Roman" w:hAnsi="Times New Roman" w:cs="Times New Roman"/>
        </w:rPr>
        <w:t xml:space="preserve">.  </w:t>
      </w:r>
    </w:p>
    <w:p w:rsidR="00C37A6B" w:rsidP="00C37A6B" w:rsidRDefault="007E3269" w14:paraId="4630D861" w14:textId="63EB9464">
      <w:pPr>
        <w:rPr>
          <w:rFonts w:ascii="Times New Roman" w:hAnsi="Times New Roman" w:cs="Times New Roman"/>
          <w:b/>
        </w:rPr>
      </w:pPr>
      <w:r>
        <w:rPr>
          <w:rFonts w:ascii="Times New Roman" w:hAnsi="Times New Roman" w:cs="Times New Roman"/>
        </w:rPr>
        <w:t xml:space="preserve"> </w:t>
      </w:r>
      <w:r w:rsidR="00C37A6B">
        <w:rPr>
          <w:rFonts w:ascii="Times New Roman" w:hAnsi="Times New Roman" w:cs="Times New Roman"/>
          <w:b/>
        </w:rPr>
        <w:t>Instructions Item 11</w:t>
      </w:r>
    </w:p>
    <w:p w:rsidR="009B6547" w:rsidRDefault="00C37A6B" w14:paraId="7E9510DC" w14:textId="3A2EA1D4">
      <w:pPr>
        <w:rPr>
          <w:rFonts w:ascii="Times New Roman" w:hAnsi="Times New Roman" w:cs="Times New Roman"/>
        </w:rPr>
      </w:pPr>
      <w:r>
        <w:rPr>
          <w:rFonts w:ascii="Times New Roman" w:hAnsi="Times New Roman" w:cs="Times New Roman"/>
        </w:rPr>
        <w:t xml:space="preserve">The commenter suggests that </w:t>
      </w:r>
      <w:r w:rsidR="00140F63">
        <w:rPr>
          <w:rFonts w:ascii="Times New Roman" w:hAnsi="Times New Roman" w:cs="Times New Roman"/>
        </w:rPr>
        <w:t xml:space="preserve">the instructions in item 11 be modified to reflect that a Federal agency may complete a housing inspection.  The commenter further writes that many State and local governments do not complete </w:t>
      </w:r>
      <w:r w:rsidR="00202FFD">
        <w:rPr>
          <w:rFonts w:ascii="Times New Roman" w:hAnsi="Times New Roman" w:cs="Times New Roman"/>
        </w:rPr>
        <w:t>housing inspections</w:t>
      </w:r>
      <w:r w:rsidR="009B6547">
        <w:rPr>
          <w:rFonts w:ascii="Times New Roman" w:hAnsi="Times New Roman" w:cs="Times New Roman"/>
        </w:rPr>
        <w:t>, and that the WHD</w:t>
      </w:r>
      <w:r w:rsidR="00202FFD">
        <w:rPr>
          <w:rFonts w:ascii="Times New Roman" w:hAnsi="Times New Roman" w:cs="Times New Roman"/>
        </w:rPr>
        <w:t xml:space="preserve"> should be identified as the Federal agency to receive housing inspection requests.  </w:t>
      </w:r>
    </w:p>
    <w:p w:rsidRPr="005F72DE" w:rsidR="007E3269" w:rsidRDefault="00202FFD" w14:paraId="3FCF56B9" w14:textId="2C4F5395">
      <w:pPr>
        <w:rPr>
          <w:rFonts w:ascii="Times New Roman" w:hAnsi="Times New Roman" w:cs="Times New Roman"/>
        </w:rPr>
      </w:pPr>
      <w:r>
        <w:rPr>
          <w:rFonts w:ascii="Times New Roman" w:hAnsi="Times New Roman" w:cs="Times New Roman"/>
        </w:rPr>
        <w:t>The Department declines to adopt t</w:t>
      </w:r>
      <w:r w:rsidR="00411DD6">
        <w:rPr>
          <w:rFonts w:ascii="Times New Roman" w:hAnsi="Times New Roman" w:cs="Times New Roman"/>
        </w:rPr>
        <w:t>he proposed language.</w:t>
      </w:r>
      <w:r w:rsidR="009B6547">
        <w:rPr>
          <w:rFonts w:ascii="Times New Roman" w:hAnsi="Times New Roman" w:cs="Times New Roman"/>
        </w:rPr>
        <w:t xml:space="preserve">  The instructions </w:t>
      </w:r>
      <w:r w:rsidR="00A365AB">
        <w:rPr>
          <w:rFonts w:ascii="Times New Roman" w:hAnsi="Times New Roman" w:cs="Times New Roman"/>
        </w:rPr>
        <w:t xml:space="preserve">track the statutory and regulatory language </w:t>
      </w:r>
      <w:r w:rsidR="003515D9">
        <w:rPr>
          <w:rFonts w:ascii="Times New Roman" w:hAnsi="Times New Roman" w:cs="Times New Roman"/>
        </w:rPr>
        <w:t xml:space="preserve">by </w:t>
      </w:r>
      <w:r w:rsidR="00A365AB">
        <w:rPr>
          <w:rFonts w:ascii="Times New Roman" w:hAnsi="Times New Roman" w:cs="Times New Roman"/>
        </w:rPr>
        <w:t>indicating</w:t>
      </w:r>
      <w:r w:rsidR="009B6547">
        <w:rPr>
          <w:rFonts w:ascii="Times New Roman" w:hAnsi="Times New Roman" w:cs="Times New Roman"/>
        </w:rPr>
        <w:t xml:space="preserve"> that “another appropria</w:t>
      </w:r>
      <w:bookmarkStart w:name="_GoBack" w:id="0"/>
      <w:bookmarkEnd w:id="0"/>
      <w:r w:rsidR="009B6547">
        <w:rPr>
          <w:rFonts w:ascii="Times New Roman" w:hAnsi="Times New Roman" w:cs="Times New Roman"/>
        </w:rPr>
        <w:t>te agency”</w:t>
      </w:r>
      <w:r w:rsidR="00A365AB">
        <w:rPr>
          <w:rFonts w:ascii="Times New Roman" w:hAnsi="Times New Roman" w:cs="Times New Roman"/>
        </w:rPr>
        <w:t xml:space="preserve"> may </w:t>
      </w:r>
      <w:r w:rsidR="009B6547">
        <w:rPr>
          <w:rFonts w:ascii="Times New Roman" w:hAnsi="Times New Roman" w:cs="Times New Roman"/>
        </w:rPr>
        <w:t>complete a housing inspection</w:t>
      </w:r>
      <w:r w:rsidR="00A365AB">
        <w:rPr>
          <w:rFonts w:ascii="Times New Roman" w:hAnsi="Times New Roman" w:cs="Times New Roman"/>
        </w:rPr>
        <w:t xml:space="preserve"> (in addition to State and local authorities)</w:t>
      </w:r>
      <w:r w:rsidR="009B6547">
        <w:rPr>
          <w:rFonts w:ascii="Times New Roman" w:hAnsi="Times New Roman" w:cs="Times New Roman"/>
        </w:rPr>
        <w:t xml:space="preserve">. </w:t>
      </w:r>
      <w:r w:rsidR="00F17A67">
        <w:rPr>
          <w:rFonts w:ascii="Times New Roman" w:hAnsi="Times New Roman" w:cs="Times New Roman"/>
        </w:rPr>
        <w:t xml:space="preserve"> </w:t>
      </w:r>
      <w:r w:rsidR="003515D9">
        <w:rPr>
          <w:rFonts w:ascii="Times New Roman" w:hAnsi="Times New Roman" w:cs="Times New Roman"/>
        </w:rPr>
        <w:t>M</w:t>
      </w:r>
      <w:r w:rsidR="00411DD6">
        <w:rPr>
          <w:rFonts w:ascii="Times New Roman" w:hAnsi="Times New Roman" w:cs="Times New Roman"/>
        </w:rPr>
        <w:t>any S</w:t>
      </w:r>
      <w:r w:rsidR="009B6547">
        <w:rPr>
          <w:rFonts w:ascii="Times New Roman" w:hAnsi="Times New Roman" w:cs="Times New Roman"/>
        </w:rPr>
        <w:t>tate and/or</w:t>
      </w:r>
      <w:r w:rsidR="00411DD6">
        <w:rPr>
          <w:rFonts w:ascii="Times New Roman" w:hAnsi="Times New Roman" w:cs="Times New Roman"/>
        </w:rPr>
        <w:t xml:space="preserve"> local government</w:t>
      </w:r>
      <w:r w:rsidR="009B6547">
        <w:rPr>
          <w:rFonts w:ascii="Times New Roman" w:hAnsi="Times New Roman" w:cs="Times New Roman"/>
        </w:rPr>
        <w:t>s</w:t>
      </w:r>
      <w:r w:rsidR="00411DD6">
        <w:rPr>
          <w:rFonts w:ascii="Times New Roman" w:hAnsi="Times New Roman" w:cs="Times New Roman"/>
        </w:rPr>
        <w:t xml:space="preserve"> </w:t>
      </w:r>
      <w:r w:rsidR="009B6547">
        <w:rPr>
          <w:rFonts w:ascii="Times New Roman" w:hAnsi="Times New Roman" w:cs="Times New Roman"/>
        </w:rPr>
        <w:t>have</w:t>
      </w:r>
      <w:r w:rsidR="00411DD6">
        <w:rPr>
          <w:rFonts w:ascii="Times New Roman" w:hAnsi="Times New Roman" w:cs="Times New Roman"/>
        </w:rPr>
        <w:t xml:space="preserve"> </w:t>
      </w:r>
      <w:r w:rsidR="009B6547">
        <w:rPr>
          <w:rFonts w:ascii="Times New Roman" w:hAnsi="Times New Roman" w:cs="Times New Roman"/>
        </w:rPr>
        <w:t xml:space="preserve">well-developed, </w:t>
      </w:r>
      <w:r w:rsidR="00411DD6">
        <w:rPr>
          <w:rFonts w:ascii="Times New Roman" w:hAnsi="Times New Roman" w:cs="Times New Roman"/>
        </w:rPr>
        <w:t>established procedures for performing housing pre-occupancy inspections to ensure compliance with State and local laws as well as with the</w:t>
      </w:r>
      <w:r w:rsidR="009B6547">
        <w:rPr>
          <w:rFonts w:ascii="Times New Roman" w:hAnsi="Times New Roman" w:cs="Times New Roman"/>
        </w:rPr>
        <w:t xml:space="preserve"> F</w:t>
      </w:r>
      <w:r w:rsidR="00A365AB">
        <w:rPr>
          <w:rFonts w:ascii="Times New Roman" w:hAnsi="Times New Roman" w:cs="Times New Roman"/>
        </w:rPr>
        <w:t>ederal standards.  Indeed,</w:t>
      </w:r>
      <w:r w:rsidR="009B6547">
        <w:rPr>
          <w:rFonts w:ascii="Times New Roman" w:hAnsi="Times New Roman" w:cs="Times New Roman"/>
        </w:rPr>
        <w:t xml:space="preserve"> </w:t>
      </w:r>
      <w:r w:rsidR="008D4D5A">
        <w:rPr>
          <w:rFonts w:ascii="Times New Roman" w:hAnsi="Times New Roman" w:cs="Times New Roman"/>
        </w:rPr>
        <w:t>many</w:t>
      </w:r>
      <w:r w:rsidR="00411DD6">
        <w:rPr>
          <w:rFonts w:ascii="Times New Roman" w:hAnsi="Times New Roman" w:cs="Times New Roman"/>
        </w:rPr>
        <w:t xml:space="preserve"> of the housing permits that the Department receives </w:t>
      </w:r>
      <w:r w:rsidR="003515D9">
        <w:rPr>
          <w:rFonts w:ascii="Times New Roman" w:hAnsi="Times New Roman" w:cs="Times New Roman"/>
        </w:rPr>
        <w:t xml:space="preserve">in connection with requests for housing authorization </w:t>
      </w:r>
      <w:r w:rsidR="00411DD6">
        <w:rPr>
          <w:rFonts w:ascii="Times New Roman" w:hAnsi="Times New Roman" w:cs="Times New Roman"/>
        </w:rPr>
        <w:t>reflect inspections performed by State and</w:t>
      </w:r>
      <w:r w:rsidR="003515D9">
        <w:rPr>
          <w:rFonts w:ascii="Times New Roman" w:hAnsi="Times New Roman" w:cs="Times New Roman"/>
        </w:rPr>
        <w:t>/or</w:t>
      </w:r>
      <w:r w:rsidR="00411DD6">
        <w:rPr>
          <w:rFonts w:ascii="Times New Roman" w:hAnsi="Times New Roman" w:cs="Times New Roman"/>
        </w:rPr>
        <w:t xml:space="preserve"> local governments.  </w:t>
      </w:r>
    </w:p>
    <w:sectPr w:rsidRPr="005F72DE" w:rsidR="007E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DE"/>
    <w:rsid w:val="00010CF7"/>
    <w:rsid w:val="00044642"/>
    <w:rsid w:val="001008FE"/>
    <w:rsid w:val="00140F63"/>
    <w:rsid w:val="00157989"/>
    <w:rsid w:val="00192B57"/>
    <w:rsid w:val="001D6CD1"/>
    <w:rsid w:val="00202FFD"/>
    <w:rsid w:val="00247FFA"/>
    <w:rsid w:val="002660B4"/>
    <w:rsid w:val="003255B8"/>
    <w:rsid w:val="003515D9"/>
    <w:rsid w:val="00372A42"/>
    <w:rsid w:val="00372F93"/>
    <w:rsid w:val="003A7378"/>
    <w:rsid w:val="003D227D"/>
    <w:rsid w:val="00411DD6"/>
    <w:rsid w:val="00442F00"/>
    <w:rsid w:val="004B67C6"/>
    <w:rsid w:val="004C3290"/>
    <w:rsid w:val="004D3E73"/>
    <w:rsid w:val="00585097"/>
    <w:rsid w:val="005923A7"/>
    <w:rsid w:val="00596138"/>
    <w:rsid w:val="005F72DE"/>
    <w:rsid w:val="006C3671"/>
    <w:rsid w:val="006C7637"/>
    <w:rsid w:val="00771899"/>
    <w:rsid w:val="0079450B"/>
    <w:rsid w:val="007B0401"/>
    <w:rsid w:val="007E3269"/>
    <w:rsid w:val="007F12F4"/>
    <w:rsid w:val="008357DB"/>
    <w:rsid w:val="00870499"/>
    <w:rsid w:val="00881BAB"/>
    <w:rsid w:val="008A06AD"/>
    <w:rsid w:val="008D4D5A"/>
    <w:rsid w:val="00901A03"/>
    <w:rsid w:val="00901C9D"/>
    <w:rsid w:val="00914AC8"/>
    <w:rsid w:val="00924671"/>
    <w:rsid w:val="009B6547"/>
    <w:rsid w:val="009C222A"/>
    <w:rsid w:val="009E6974"/>
    <w:rsid w:val="009F5D7C"/>
    <w:rsid w:val="00A26D97"/>
    <w:rsid w:val="00A26D99"/>
    <w:rsid w:val="00A35079"/>
    <w:rsid w:val="00A365AB"/>
    <w:rsid w:val="00A668FE"/>
    <w:rsid w:val="00BA3F42"/>
    <w:rsid w:val="00BF526B"/>
    <w:rsid w:val="00BF70B8"/>
    <w:rsid w:val="00C36457"/>
    <w:rsid w:val="00C37A6B"/>
    <w:rsid w:val="00C724DF"/>
    <w:rsid w:val="00CB69A4"/>
    <w:rsid w:val="00CC1A57"/>
    <w:rsid w:val="00CE5E52"/>
    <w:rsid w:val="00D43986"/>
    <w:rsid w:val="00D859A9"/>
    <w:rsid w:val="00DD34D1"/>
    <w:rsid w:val="00DE53B6"/>
    <w:rsid w:val="00E85CB5"/>
    <w:rsid w:val="00E93394"/>
    <w:rsid w:val="00F17A67"/>
    <w:rsid w:val="00F2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AB71"/>
  <w15:chartTrackingRefBased/>
  <w15:docId w15:val="{940964D3-B410-4D25-91A1-0D0A4215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72DE"/>
    <w:rPr>
      <w:color w:val="0000FF"/>
      <w:u w:val="single"/>
    </w:rPr>
  </w:style>
  <w:style w:type="paragraph" w:styleId="ListParagraph">
    <w:name w:val="List Paragraph"/>
    <w:basedOn w:val="Normal"/>
    <w:uiPriority w:val="34"/>
    <w:qFormat/>
    <w:rsid w:val="00247FFA"/>
    <w:pPr>
      <w:ind w:left="720"/>
      <w:contextualSpacing/>
    </w:pPr>
  </w:style>
  <w:style w:type="character" w:styleId="CommentReference">
    <w:name w:val="annotation reference"/>
    <w:basedOn w:val="DefaultParagraphFont"/>
    <w:uiPriority w:val="99"/>
    <w:semiHidden/>
    <w:unhideWhenUsed/>
    <w:rsid w:val="001D6CD1"/>
    <w:rPr>
      <w:sz w:val="16"/>
      <w:szCs w:val="16"/>
    </w:rPr>
  </w:style>
  <w:style w:type="paragraph" w:styleId="CommentText">
    <w:name w:val="annotation text"/>
    <w:basedOn w:val="Normal"/>
    <w:link w:val="CommentTextChar"/>
    <w:uiPriority w:val="99"/>
    <w:semiHidden/>
    <w:unhideWhenUsed/>
    <w:rsid w:val="001D6CD1"/>
    <w:pPr>
      <w:spacing w:line="240" w:lineRule="auto"/>
    </w:pPr>
    <w:rPr>
      <w:sz w:val="20"/>
      <w:szCs w:val="20"/>
    </w:rPr>
  </w:style>
  <w:style w:type="character" w:customStyle="1" w:styleId="CommentTextChar">
    <w:name w:val="Comment Text Char"/>
    <w:basedOn w:val="DefaultParagraphFont"/>
    <w:link w:val="CommentText"/>
    <w:uiPriority w:val="99"/>
    <w:semiHidden/>
    <w:rsid w:val="001D6CD1"/>
    <w:rPr>
      <w:sz w:val="20"/>
      <w:szCs w:val="20"/>
    </w:rPr>
  </w:style>
  <w:style w:type="paragraph" w:styleId="CommentSubject">
    <w:name w:val="annotation subject"/>
    <w:basedOn w:val="CommentText"/>
    <w:next w:val="CommentText"/>
    <w:link w:val="CommentSubjectChar"/>
    <w:uiPriority w:val="99"/>
    <w:semiHidden/>
    <w:unhideWhenUsed/>
    <w:rsid w:val="001D6CD1"/>
    <w:rPr>
      <w:b/>
      <w:bCs/>
    </w:rPr>
  </w:style>
  <w:style w:type="character" w:customStyle="1" w:styleId="CommentSubjectChar">
    <w:name w:val="Comment Subject Char"/>
    <w:basedOn w:val="CommentTextChar"/>
    <w:link w:val="CommentSubject"/>
    <w:uiPriority w:val="99"/>
    <w:semiHidden/>
    <w:rsid w:val="001D6CD1"/>
    <w:rPr>
      <w:b/>
      <w:bCs/>
      <w:sz w:val="20"/>
      <w:szCs w:val="20"/>
    </w:rPr>
  </w:style>
  <w:style w:type="paragraph" w:styleId="BalloonText">
    <w:name w:val="Balloon Text"/>
    <w:basedOn w:val="Normal"/>
    <w:link w:val="BalloonTextChar"/>
    <w:uiPriority w:val="99"/>
    <w:semiHidden/>
    <w:unhideWhenUsed/>
    <w:rsid w:val="001D6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8b04ad7f0b6171821f46334f57f78b11">
  <xsd:schema xmlns:xsd="http://www.w3.org/2001/XMLSchema" xmlns:xs="http://www.w3.org/2001/XMLSchema" xmlns:p="http://schemas.microsoft.com/office/2006/metadata/properties" xmlns:ns3="2b487234-2a61-45b0-86e3-998bf12a0e9d" xmlns:ns4="2a1ba486-ff2f-4459-80ac-1ab5aa17f82f" targetNamespace="http://schemas.microsoft.com/office/2006/metadata/properties" ma:root="true" ma:fieldsID="c4311d18d09c9dd616ab457c7e9034a0" ns3:_="" ns4:_="">
    <xsd:import namespace="2b487234-2a61-45b0-86e3-998bf12a0e9d"/>
    <xsd:import namespace="2a1ba486-ff2f-4459-80ac-1ab5aa17f8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FC720-CEAD-438F-90CF-81BD506B4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87234-2a61-45b0-86e3-998bf12a0e9d"/>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68054-A286-4643-A756-A077D2175856}">
  <ds:schemaRefs>
    <ds:schemaRef ds:uri="http://schemas.microsoft.com/sharepoint/v3/contenttype/forms"/>
  </ds:schemaRefs>
</ds:datastoreItem>
</file>

<file path=customXml/itemProps3.xml><?xml version="1.0" encoding="utf-8"?>
<ds:datastoreItem xmlns:ds="http://schemas.openxmlformats.org/officeDocument/2006/customXml" ds:itemID="{64FA30B2-2F5A-4EC1-8388-F9843BA728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 B - WHD</dc:creator>
  <cp:keywords/>
  <dc:description/>
  <cp:lastModifiedBy>Lee, Jennifer B - WHD</cp:lastModifiedBy>
  <cp:revision>3</cp:revision>
  <dcterms:created xsi:type="dcterms:W3CDTF">2020-05-22T19:19:00Z</dcterms:created>
  <dcterms:modified xsi:type="dcterms:W3CDTF">2020-05-22T19:20:00Z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