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6531F4" w:rsidR="00C37CD8" w:rsidP="00C705A3" w:rsidRDefault="00C37CD8">
      <w:pPr>
        <w:rPr>
          <w:rFonts w:ascii="Arial" w:hAnsi="Arial" w:cs="Arial"/>
          <w:b/>
          <w:bCs/>
          <w:i/>
          <w:iCs/>
          <w:color w:val="33CCCC"/>
          <w:sz w:val="22"/>
          <w:szCs w:val="22"/>
          <w:u w:val="single"/>
        </w:rPr>
      </w:pPr>
    </w:p>
    <w:p w:rsidRPr="00730632" w:rsidR="003A5DE5" w:rsidP="00466B49" w:rsidRDefault="003A5DE5">
      <w:pPr>
        <w:ind w:left="-360" w:right="-360"/>
        <w:jc w:val="center"/>
        <w:rPr>
          <w:rFonts w:ascii="Arial" w:hAnsi="Arial" w:cs="Arial"/>
          <w:b/>
          <w:bCs/>
          <w:sz w:val="22"/>
          <w:szCs w:val="22"/>
          <w:u w:val="single"/>
        </w:rPr>
      </w:pPr>
      <w:r w:rsidRPr="00730632">
        <w:rPr>
          <w:rFonts w:ascii="Arial" w:hAnsi="Arial" w:cs="Arial"/>
          <w:b/>
          <w:bCs/>
          <w:sz w:val="22"/>
          <w:szCs w:val="22"/>
          <w:u w:val="single"/>
        </w:rPr>
        <w:t xml:space="preserve">Supporting Statement </w:t>
      </w:r>
    </w:p>
    <w:p w:rsidRPr="00730632" w:rsidR="00C705A3" w:rsidP="00466B49" w:rsidRDefault="00C705A3">
      <w:pPr>
        <w:ind w:left="-360" w:right="-360"/>
        <w:jc w:val="center"/>
        <w:rPr>
          <w:rFonts w:ascii="Arial" w:hAnsi="Arial" w:cs="Arial"/>
          <w:b/>
          <w:bCs/>
          <w:sz w:val="22"/>
          <w:szCs w:val="22"/>
          <w:u w:val="single"/>
        </w:rPr>
      </w:pPr>
      <w:r w:rsidRPr="00730632">
        <w:rPr>
          <w:rFonts w:ascii="Arial" w:hAnsi="Arial" w:cs="Arial"/>
          <w:b/>
          <w:bCs/>
          <w:sz w:val="22"/>
          <w:szCs w:val="22"/>
          <w:u w:val="single"/>
        </w:rPr>
        <w:t>U.S. Department of the Treasury</w:t>
      </w:r>
    </w:p>
    <w:p w:rsidRPr="00730632" w:rsidR="00C705A3" w:rsidP="00466B49" w:rsidRDefault="00C705A3">
      <w:pPr>
        <w:ind w:left="-360" w:right="-360"/>
        <w:jc w:val="center"/>
        <w:rPr>
          <w:rFonts w:ascii="Arial" w:hAnsi="Arial" w:cs="Arial"/>
          <w:b/>
          <w:bCs/>
          <w:sz w:val="22"/>
          <w:szCs w:val="22"/>
          <w:u w:val="single"/>
        </w:rPr>
      </w:pPr>
      <w:r w:rsidRPr="00730632">
        <w:rPr>
          <w:rFonts w:ascii="Arial" w:hAnsi="Arial" w:cs="Arial"/>
          <w:b/>
          <w:bCs/>
          <w:sz w:val="22"/>
          <w:szCs w:val="22"/>
          <w:u w:val="single"/>
        </w:rPr>
        <w:t>Office of Cybersecurity and Critical Infrastructure Protection</w:t>
      </w:r>
    </w:p>
    <w:p w:rsidRPr="00730632" w:rsidR="00C705A3" w:rsidP="00466B49" w:rsidRDefault="00C705A3">
      <w:pPr>
        <w:ind w:left="-360" w:right="-360"/>
        <w:jc w:val="center"/>
        <w:rPr>
          <w:rFonts w:ascii="Arial" w:hAnsi="Arial" w:cs="Arial"/>
          <w:b/>
          <w:bCs/>
          <w:sz w:val="22"/>
          <w:szCs w:val="22"/>
          <w:u w:val="single"/>
        </w:rPr>
      </w:pPr>
      <w:r w:rsidRPr="00730632">
        <w:rPr>
          <w:rFonts w:ascii="Arial" w:hAnsi="Arial" w:cs="Arial"/>
          <w:b/>
          <w:bCs/>
          <w:sz w:val="22"/>
          <w:szCs w:val="22"/>
          <w:u w:val="single"/>
        </w:rPr>
        <w:t>Financial Sector Information Collection</w:t>
      </w:r>
    </w:p>
    <w:p w:rsidRPr="00730632" w:rsidR="00C37CD8" w:rsidP="00466B49" w:rsidRDefault="00C37CD8">
      <w:pPr>
        <w:ind w:left="-360" w:right="-360"/>
        <w:jc w:val="center"/>
        <w:rPr>
          <w:rFonts w:ascii="Arial" w:hAnsi="Arial" w:cs="Arial"/>
          <w:color w:val="3366FF"/>
          <w:sz w:val="22"/>
          <w:szCs w:val="22"/>
          <w:u w:val="single"/>
        </w:rPr>
      </w:pPr>
      <w:r w:rsidRPr="00730632">
        <w:rPr>
          <w:rFonts w:ascii="Arial" w:hAnsi="Arial" w:cs="Arial"/>
          <w:b/>
          <w:bCs/>
          <w:sz w:val="22"/>
          <w:szCs w:val="22"/>
          <w:u w:val="single"/>
        </w:rPr>
        <w:t xml:space="preserve">OMB </w:t>
      </w:r>
      <w:r w:rsidR="000E376F">
        <w:rPr>
          <w:rFonts w:ascii="Arial" w:hAnsi="Arial" w:cs="Arial"/>
          <w:b/>
          <w:bCs/>
          <w:sz w:val="22"/>
          <w:szCs w:val="22"/>
          <w:u w:val="single"/>
        </w:rPr>
        <w:t xml:space="preserve"> 1505-0265</w:t>
      </w:r>
    </w:p>
    <w:p w:rsidRPr="003917E5" w:rsidR="008C325F" w:rsidP="00466B49" w:rsidRDefault="003917E5">
      <w:pPr>
        <w:ind w:left="-360" w:right="-360"/>
        <w:jc w:val="center"/>
        <w:rPr>
          <w:rFonts w:ascii="Arial" w:hAnsi="Arial" w:cs="Arial"/>
          <w:sz w:val="22"/>
          <w:szCs w:val="22"/>
        </w:rPr>
      </w:pPr>
      <w:r w:rsidRPr="003917E5">
        <w:rPr>
          <w:rFonts w:ascii="Arial" w:hAnsi="Arial" w:cs="Arial"/>
          <w:sz w:val="22"/>
          <w:szCs w:val="22"/>
        </w:rPr>
        <w:t>Survey</w:t>
      </w:r>
      <w:r w:rsidR="00553941">
        <w:rPr>
          <w:rFonts w:ascii="Arial" w:hAnsi="Arial" w:cs="Arial"/>
          <w:sz w:val="22"/>
          <w:szCs w:val="22"/>
        </w:rPr>
        <w:t xml:space="preserve"> to Identify and Analyze the Operations Dependenc</w:t>
      </w:r>
      <w:r w:rsidR="000E376F">
        <w:rPr>
          <w:rFonts w:ascii="Arial" w:hAnsi="Arial" w:cs="Arial"/>
          <w:sz w:val="22"/>
          <w:szCs w:val="22"/>
        </w:rPr>
        <w:t>i</w:t>
      </w:r>
      <w:r w:rsidR="00553941">
        <w:rPr>
          <w:rFonts w:ascii="Arial" w:hAnsi="Arial" w:cs="Arial"/>
          <w:sz w:val="22"/>
          <w:szCs w:val="22"/>
        </w:rPr>
        <w:t>es of Financial Services Sector Critical Functions</w:t>
      </w:r>
    </w:p>
    <w:p w:rsidRPr="00730632" w:rsidR="00EC10FF" w:rsidP="00BC5EF3" w:rsidRDefault="00EC10F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Arial" w:hAnsi="Arial" w:cs="Arial"/>
          <w:sz w:val="22"/>
          <w:szCs w:val="22"/>
        </w:rPr>
      </w:pPr>
    </w:p>
    <w:p w:rsidRPr="00A97044" w:rsidR="00114166" w:rsidP="00214E51" w:rsidRDefault="006378A1">
      <w:pPr>
        <w:numPr>
          <w:ilvl w:val="0"/>
          <w:numId w:val="20"/>
        </w:numPr>
        <w:tabs>
          <w:tab w:val="left" w:pos="540"/>
        </w:tabs>
        <w:spacing w:before="120" w:after="120"/>
        <w:rPr>
          <w:rFonts w:ascii="Arial" w:hAnsi="Arial" w:cs="Arial"/>
          <w:b/>
          <w:bCs/>
          <w:sz w:val="22"/>
          <w:szCs w:val="22"/>
        </w:rPr>
      </w:pPr>
      <w:bookmarkStart w:name="_GoBack" w:id="0"/>
      <w:bookmarkEnd w:id="0"/>
      <w:r w:rsidRPr="00730632">
        <w:rPr>
          <w:rFonts w:ascii="Arial" w:hAnsi="Arial" w:cs="Arial"/>
          <w:b/>
          <w:bCs/>
          <w:sz w:val="22"/>
          <w:szCs w:val="22"/>
        </w:rPr>
        <w:t>Collections of Information Employing Statistical Methods.</w:t>
      </w:r>
    </w:p>
    <w:p w:rsidRPr="00A97044" w:rsidR="00114166" w:rsidP="00A97044" w:rsidRDefault="00114166">
      <w:pPr>
        <w:numPr>
          <w:ilvl w:val="1"/>
          <w:numId w:val="11"/>
        </w:numPr>
        <w:tabs>
          <w:tab w:val="clear" w:pos="360"/>
          <w:tab w:val="left" w:pos="540"/>
        </w:tabs>
        <w:spacing w:before="120" w:after="120"/>
        <w:rPr>
          <w:rFonts w:ascii="Arial" w:hAnsi="Arial" w:cs="Arial"/>
          <w:b/>
          <w:bCs/>
          <w:sz w:val="22"/>
          <w:szCs w:val="22"/>
        </w:rPr>
      </w:pPr>
      <w:r w:rsidRPr="00114166">
        <w:rPr>
          <w:rFonts w:ascii="Arial" w:hAnsi="Arial" w:cs="Arial"/>
          <w:b/>
          <w:bCs/>
          <w:sz w:val="22"/>
          <w:szCs w:val="22"/>
        </w:rPr>
        <w:t xml:space="preserve">Describe (including a numerical estimate) the potential </w:t>
      </w:r>
      <w:r w:rsidR="00A97044">
        <w:rPr>
          <w:rFonts w:ascii="Arial" w:hAnsi="Arial" w:cs="Arial"/>
          <w:b/>
          <w:bCs/>
          <w:sz w:val="22"/>
          <w:szCs w:val="22"/>
        </w:rPr>
        <w:t xml:space="preserve">respondent universe and any </w:t>
      </w:r>
      <w:r w:rsidRPr="00A97044">
        <w:rPr>
          <w:rFonts w:ascii="Arial" w:hAnsi="Arial" w:cs="Arial"/>
          <w:b/>
          <w:bCs/>
          <w:sz w:val="22"/>
          <w:szCs w:val="22"/>
        </w:rPr>
        <w:t>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 during the last collection.</w:t>
      </w:r>
    </w:p>
    <w:p w:rsidRPr="00114166" w:rsidR="00114166" w:rsidP="00114166" w:rsidRDefault="00A97044">
      <w:pPr>
        <w:tabs>
          <w:tab w:val="left" w:pos="540"/>
        </w:tabs>
        <w:spacing w:before="120" w:after="120"/>
        <w:rPr>
          <w:rFonts w:ascii="Arial" w:hAnsi="Arial" w:cs="Arial"/>
          <w:bCs/>
          <w:sz w:val="22"/>
          <w:szCs w:val="22"/>
        </w:rPr>
      </w:pPr>
      <w:r>
        <w:rPr>
          <w:rFonts w:ascii="Arial" w:hAnsi="Arial" w:cs="Arial"/>
          <w:bCs/>
          <w:sz w:val="22"/>
          <w:szCs w:val="22"/>
        </w:rPr>
        <w:t xml:space="preserve">The potential respondent universe numbers approximately fifty (50) total respondents. This includes all financial services firms identified as Section 9 in Executive Order 13636, as well as additional systemically important institutions and market utilities (not designated Section 9) that provide or support critical services, functions, and operations based on market share. Treasury anticipates a response rate of approximately fifty percent (50%), with a higher response rate among the Section 9 firms given Treasury’s more regular interaction with those firms. </w:t>
      </w:r>
    </w:p>
    <w:p w:rsidRPr="00114166" w:rsidR="00114166" w:rsidP="00114166" w:rsidRDefault="00114166">
      <w:pPr>
        <w:numPr>
          <w:ilvl w:val="1"/>
          <w:numId w:val="11"/>
        </w:numPr>
        <w:tabs>
          <w:tab w:val="clear" w:pos="360"/>
          <w:tab w:val="left" w:pos="540"/>
        </w:tabs>
        <w:spacing w:before="120" w:after="120"/>
        <w:rPr>
          <w:rFonts w:ascii="Arial" w:hAnsi="Arial" w:cs="Arial"/>
          <w:b/>
          <w:bCs/>
          <w:sz w:val="22"/>
          <w:szCs w:val="22"/>
        </w:rPr>
      </w:pPr>
      <w:r w:rsidRPr="00114166">
        <w:rPr>
          <w:rFonts w:ascii="Arial" w:hAnsi="Arial" w:cs="Arial"/>
          <w:b/>
          <w:bCs/>
          <w:sz w:val="22"/>
          <w:szCs w:val="22"/>
        </w:rPr>
        <w:t>Describe the procedures for the collection of information including:</w:t>
      </w:r>
    </w:p>
    <w:p w:rsidRPr="00BD125E" w:rsidR="00114166" w:rsidP="00114166" w:rsidRDefault="00144250">
      <w:pPr>
        <w:tabs>
          <w:tab w:val="left" w:pos="540"/>
        </w:tabs>
        <w:spacing w:before="120" w:after="120"/>
        <w:rPr>
          <w:rFonts w:ascii="Arial" w:hAnsi="Arial" w:cs="Arial"/>
          <w:bCs/>
          <w:sz w:val="22"/>
          <w:szCs w:val="22"/>
        </w:rPr>
      </w:pPr>
      <w:r>
        <w:rPr>
          <w:rFonts w:ascii="Arial" w:hAnsi="Arial" w:cs="Arial"/>
          <w:bCs/>
          <w:sz w:val="22"/>
          <w:szCs w:val="22"/>
        </w:rPr>
        <w:t xml:space="preserve">Treasury </w:t>
      </w:r>
      <w:r w:rsidR="00AA1DB3">
        <w:rPr>
          <w:rFonts w:ascii="Arial" w:hAnsi="Arial" w:cs="Arial"/>
          <w:bCs/>
          <w:sz w:val="22"/>
          <w:szCs w:val="22"/>
        </w:rPr>
        <w:t>has not employed a statistical methodology as this information collection is not being conducted among a sample, but instead the entire Section 9 population and additional critical entities. Treasury intends to reduce respondent burden by requesting an initial information collection, with any subsequent information collection(s) being limited to critical updates and/or changes in the data. Treasury does not intend to seek this information on more than a semi-annual basis.</w:t>
      </w:r>
    </w:p>
    <w:p w:rsidRPr="00114166" w:rsidR="00114166" w:rsidP="00114166" w:rsidRDefault="00114166">
      <w:pPr>
        <w:numPr>
          <w:ilvl w:val="1"/>
          <w:numId w:val="11"/>
        </w:numPr>
        <w:tabs>
          <w:tab w:val="clear" w:pos="360"/>
          <w:tab w:val="left" w:pos="540"/>
        </w:tabs>
        <w:spacing w:before="120" w:after="120"/>
        <w:rPr>
          <w:rFonts w:ascii="Arial" w:hAnsi="Arial" w:cs="Arial"/>
          <w:b/>
          <w:bCs/>
          <w:sz w:val="22"/>
          <w:szCs w:val="22"/>
        </w:rPr>
      </w:pPr>
      <w:r w:rsidRPr="00114166">
        <w:rPr>
          <w:rFonts w:ascii="Arial" w:hAnsi="Arial" w:cs="Arial"/>
          <w:b/>
          <w:bCs/>
          <w:sz w:val="22"/>
          <w:szCs w:val="22"/>
        </w:rPr>
        <w:t>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rsidR="00114166" w:rsidP="00114166" w:rsidRDefault="00BD125E">
      <w:pPr>
        <w:tabs>
          <w:tab w:val="left" w:pos="540"/>
        </w:tabs>
        <w:spacing w:before="120" w:after="120"/>
        <w:rPr>
          <w:rFonts w:ascii="Arial" w:hAnsi="Arial" w:cs="Arial"/>
          <w:bCs/>
          <w:sz w:val="22"/>
          <w:szCs w:val="22"/>
        </w:rPr>
      </w:pPr>
      <w:r>
        <w:rPr>
          <w:rFonts w:ascii="Arial" w:hAnsi="Arial" w:cs="Arial"/>
          <w:bCs/>
          <w:sz w:val="22"/>
          <w:szCs w:val="22"/>
        </w:rPr>
        <w:t xml:space="preserve">Treasury intends to maximize response rates through extensive outreach among respondents. Treasury maintains regular and robust engagement with the anticipated respondent pool as part of its routine SSA duties, and also has established relationships with several sector associations and organizations, including the Financial Services Sector Coordinating Council (FSSCC). FSSCC leadership has indicated to Treasury a desire to support this effort and encourage and facilitate responses among its member firms as appropriate. The Financial and Banking Infrastructure Information Committee (FBIIC), which includes all Federal financial regulatory agencies and which Treasury chairs, has also expressed support for this information collection. Treasury anticipates FSSCC and FBIIC support, along with the triannual joint FSSCC/FBIIC meetings, will reduce the nonresponse rate. </w:t>
      </w:r>
    </w:p>
    <w:p w:rsidRPr="00114166" w:rsidR="00BD125E" w:rsidP="00BD125E" w:rsidRDefault="00BD125E">
      <w:pPr>
        <w:numPr>
          <w:ilvl w:val="1"/>
          <w:numId w:val="11"/>
        </w:numPr>
        <w:tabs>
          <w:tab w:val="clear" w:pos="360"/>
          <w:tab w:val="left" w:pos="540"/>
        </w:tabs>
        <w:spacing w:before="120" w:after="120"/>
        <w:rPr>
          <w:rFonts w:ascii="Arial" w:hAnsi="Arial" w:cs="Arial"/>
          <w:b/>
          <w:bCs/>
          <w:sz w:val="22"/>
          <w:szCs w:val="22"/>
        </w:rPr>
      </w:pPr>
      <w:r w:rsidRPr="00114166">
        <w:rPr>
          <w:rFonts w:ascii="Arial" w:hAnsi="Arial" w:cs="Arial"/>
          <w:b/>
          <w:bCs/>
          <w:sz w:val="22"/>
          <w:szCs w:val="22"/>
        </w:rPr>
        <w:lastRenderedPageBreak/>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 information.</w:t>
      </w:r>
    </w:p>
    <w:p w:rsidRPr="00114166" w:rsidR="00BD125E" w:rsidP="00BD125E" w:rsidRDefault="00BD125E">
      <w:pPr>
        <w:tabs>
          <w:tab w:val="left" w:pos="540"/>
        </w:tabs>
        <w:spacing w:before="120" w:after="120"/>
        <w:rPr>
          <w:rFonts w:ascii="Arial" w:hAnsi="Arial" w:cs="Arial"/>
          <w:bCs/>
          <w:sz w:val="22"/>
          <w:szCs w:val="22"/>
        </w:rPr>
      </w:pPr>
      <w:r>
        <w:rPr>
          <w:rFonts w:ascii="Arial" w:hAnsi="Arial" w:cs="Arial"/>
          <w:bCs/>
          <w:sz w:val="22"/>
          <w:szCs w:val="22"/>
        </w:rPr>
        <w:t>Treasury has tested the functionality of the Access database file that will be used by respondents to record and submit information. Treasury has not tested specific survey questions.</w:t>
      </w:r>
    </w:p>
    <w:p w:rsidRPr="00114166" w:rsidR="00BD125E" w:rsidP="00BD125E" w:rsidRDefault="00BD125E">
      <w:pPr>
        <w:numPr>
          <w:ilvl w:val="1"/>
          <w:numId w:val="11"/>
        </w:numPr>
        <w:tabs>
          <w:tab w:val="clear" w:pos="360"/>
          <w:tab w:val="left" w:pos="540"/>
        </w:tabs>
        <w:spacing w:before="120" w:after="120"/>
        <w:rPr>
          <w:rFonts w:ascii="Arial" w:hAnsi="Arial" w:cs="Arial"/>
          <w:b/>
          <w:bCs/>
          <w:sz w:val="22"/>
          <w:szCs w:val="22"/>
        </w:rPr>
      </w:pPr>
      <w:bookmarkStart w:name="OLE_LINK1" w:id="1"/>
      <w:bookmarkStart w:name="OLE_LINK2" w:id="2"/>
      <w:r w:rsidRPr="00114166">
        <w:rPr>
          <w:rFonts w:ascii="Arial" w:hAnsi="Arial" w:cs="Arial"/>
          <w:b/>
          <w:bCs/>
          <w:sz w:val="22"/>
          <w:szCs w:val="22"/>
        </w:rPr>
        <w:t>Provide the name and telephone number of individuals consulted on statistical aspects of the design and the name of the bureau unit, contractor(s), grantee(s), or other person(s) who will actually collect and/or analyze the information for the bureau.</w:t>
      </w:r>
    </w:p>
    <w:bookmarkEnd w:id="1"/>
    <w:bookmarkEnd w:id="2"/>
    <w:p w:rsidRPr="00114166" w:rsidR="00BD125E" w:rsidP="00BD125E" w:rsidRDefault="00BD125E">
      <w:pPr>
        <w:tabs>
          <w:tab w:val="left" w:pos="540"/>
        </w:tabs>
        <w:spacing w:before="120" w:after="120"/>
        <w:rPr>
          <w:rFonts w:ascii="Arial" w:hAnsi="Arial" w:cs="Arial"/>
          <w:bCs/>
          <w:sz w:val="22"/>
          <w:szCs w:val="22"/>
        </w:rPr>
      </w:pPr>
      <w:r w:rsidRPr="00114166">
        <w:rPr>
          <w:rFonts w:ascii="Arial" w:hAnsi="Arial" w:cs="Arial"/>
          <w:bCs/>
          <w:sz w:val="22"/>
          <w:szCs w:val="22"/>
        </w:rPr>
        <w:t xml:space="preserve">Include all individuals who have contributed to or commented on the survey, sample frame, statistical methods or other aspects of the collection.  </w:t>
      </w:r>
    </w:p>
    <w:p w:rsidR="00BD125E" w:rsidP="00BD125E" w:rsidRDefault="00BD125E">
      <w:pPr>
        <w:tabs>
          <w:tab w:val="left" w:pos="540"/>
        </w:tabs>
        <w:spacing w:before="120" w:after="120"/>
        <w:rPr>
          <w:rFonts w:ascii="Arial" w:hAnsi="Arial" w:cs="Arial"/>
          <w:bCs/>
          <w:sz w:val="22"/>
          <w:szCs w:val="22"/>
        </w:rPr>
      </w:pPr>
      <w:r w:rsidRPr="00745656">
        <w:rPr>
          <w:rFonts w:ascii="Arial" w:hAnsi="Arial" w:cs="Arial"/>
          <w:bCs/>
          <w:i/>
          <w:sz w:val="22"/>
          <w:szCs w:val="22"/>
        </w:rPr>
        <w:t>Consulted</w:t>
      </w:r>
      <w:r>
        <w:rPr>
          <w:rFonts w:ascii="Arial" w:hAnsi="Arial" w:cs="Arial"/>
          <w:bCs/>
          <w:sz w:val="22"/>
          <w:szCs w:val="22"/>
        </w:rPr>
        <w:t>:</w:t>
      </w:r>
    </w:p>
    <w:p w:rsidR="00BD125E" w:rsidP="00745656" w:rsidRDefault="00BD125E">
      <w:pPr>
        <w:tabs>
          <w:tab w:val="left" w:pos="540"/>
        </w:tabs>
        <w:spacing w:before="120" w:after="120"/>
        <w:contextualSpacing/>
        <w:rPr>
          <w:rFonts w:ascii="Arial" w:hAnsi="Arial" w:cs="Arial"/>
          <w:bCs/>
          <w:sz w:val="22"/>
          <w:szCs w:val="22"/>
        </w:rPr>
      </w:pPr>
      <w:r>
        <w:rPr>
          <w:rFonts w:ascii="Arial" w:hAnsi="Arial" w:cs="Arial"/>
          <w:bCs/>
          <w:sz w:val="22"/>
          <w:szCs w:val="22"/>
        </w:rPr>
        <w:t>David Lacquement, U.S. Department of the Treasury, (</w:t>
      </w:r>
      <w:r w:rsidRPr="00BD125E">
        <w:rPr>
          <w:rFonts w:ascii="Arial" w:hAnsi="Arial" w:cs="Arial"/>
          <w:bCs/>
          <w:sz w:val="22"/>
          <w:szCs w:val="22"/>
        </w:rPr>
        <w:t>202</w:t>
      </w:r>
      <w:r>
        <w:rPr>
          <w:rFonts w:ascii="Arial" w:hAnsi="Arial" w:cs="Arial"/>
          <w:bCs/>
          <w:sz w:val="22"/>
          <w:szCs w:val="22"/>
        </w:rPr>
        <w:t>)</w:t>
      </w:r>
      <w:r w:rsidRPr="00BD125E">
        <w:rPr>
          <w:rFonts w:ascii="Arial" w:hAnsi="Arial" w:cs="Arial"/>
          <w:bCs/>
          <w:sz w:val="22"/>
          <w:szCs w:val="22"/>
        </w:rPr>
        <w:t xml:space="preserve"> 622-1173</w:t>
      </w:r>
    </w:p>
    <w:p w:rsidR="00BD125E" w:rsidP="00745656" w:rsidRDefault="00BD125E">
      <w:pPr>
        <w:tabs>
          <w:tab w:val="left" w:pos="540"/>
        </w:tabs>
        <w:spacing w:before="120" w:after="120"/>
        <w:contextualSpacing/>
        <w:rPr>
          <w:rFonts w:ascii="Arial" w:hAnsi="Arial" w:cs="Arial"/>
          <w:bCs/>
          <w:sz w:val="22"/>
          <w:szCs w:val="22"/>
        </w:rPr>
      </w:pPr>
      <w:r>
        <w:rPr>
          <w:rFonts w:ascii="Arial" w:hAnsi="Arial" w:cs="Arial"/>
          <w:bCs/>
          <w:sz w:val="22"/>
          <w:szCs w:val="22"/>
        </w:rPr>
        <w:t>Alexandra Friedman, U.S. Department of the Treasury, (202) 622-1543</w:t>
      </w:r>
    </w:p>
    <w:p w:rsidR="00BD125E" w:rsidP="00745656" w:rsidRDefault="00BD125E">
      <w:pPr>
        <w:tabs>
          <w:tab w:val="left" w:pos="540"/>
        </w:tabs>
        <w:spacing w:before="120" w:after="120"/>
        <w:contextualSpacing/>
        <w:rPr>
          <w:rFonts w:ascii="Arial" w:hAnsi="Arial" w:cs="Arial"/>
          <w:bCs/>
          <w:sz w:val="22"/>
          <w:szCs w:val="22"/>
        </w:rPr>
      </w:pPr>
      <w:r>
        <w:rPr>
          <w:rFonts w:ascii="Arial" w:hAnsi="Arial" w:cs="Arial"/>
          <w:bCs/>
          <w:sz w:val="22"/>
          <w:szCs w:val="22"/>
        </w:rPr>
        <w:t>Cameron Dicker, U.S. Department of the Treasury, (202) 622-2058</w:t>
      </w:r>
    </w:p>
    <w:p w:rsidR="00BD125E" w:rsidP="00745656" w:rsidRDefault="00BD125E">
      <w:pPr>
        <w:tabs>
          <w:tab w:val="left" w:pos="540"/>
        </w:tabs>
        <w:spacing w:before="120" w:after="120"/>
        <w:contextualSpacing/>
        <w:rPr>
          <w:rFonts w:ascii="Arial" w:hAnsi="Arial" w:cs="Arial"/>
          <w:bCs/>
          <w:sz w:val="22"/>
          <w:szCs w:val="22"/>
        </w:rPr>
      </w:pPr>
      <w:r>
        <w:rPr>
          <w:rFonts w:ascii="Arial" w:hAnsi="Arial" w:cs="Arial"/>
          <w:bCs/>
          <w:sz w:val="22"/>
          <w:szCs w:val="22"/>
        </w:rPr>
        <w:t>Elizabeth Irwin, U.S. Department of the Treasury, (202) 622-3376</w:t>
      </w:r>
    </w:p>
    <w:p w:rsidRPr="00745656" w:rsidR="00745656" w:rsidP="00BD125E" w:rsidRDefault="00745656">
      <w:pPr>
        <w:tabs>
          <w:tab w:val="left" w:pos="540"/>
        </w:tabs>
        <w:spacing w:before="120" w:after="120"/>
        <w:rPr>
          <w:rFonts w:ascii="Arial" w:hAnsi="Arial" w:cs="Arial"/>
          <w:bCs/>
          <w:i/>
          <w:sz w:val="22"/>
          <w:szCs w:val="22"/>
        </w:rPr>
      </w:pPr>
      <w:r w:rsidRPr="00745656">
        <w:rPr>
          <w:rFonts w:ascii="Arial" w:hAnsi="Arial" w:cs="Arial"/>
          <w:bCs/>
          <w:i/>
          <w:sz w:val="22"/>
          <w:szCs w:val="22"/>
        </w:rPr>
        <w:t>Consulted and will conduct analysis:</w:t>
      </w:r>
    </w:p>
    <w:p w:rsidR="00745656" w:rsidP="00745656" w:rsidRDefault="00745656">
      <w:pPr>
        <w:tabs>
          <w:tab w:val="left" w:pos="540"/>
        </w:tabs>
        <w:spacing w:before="120" w:after="120"/>
        <w:contextualSpacing/>
        <w:rPr>
          <w:rFonts w:ascii="Arial" w:hAnsi="Arial" w:cs="Arial"/>
          <w:bCs/>
          <w:sz w:val="22"/>
          <w:szCs w:val="22"/>
        </w:rPr>
      </w:pPr>
      <w:r>
        <w:rPr>
          <w:rFonts w:ascii="Arial" w:hAnsi="Arial" w:cs="Arial"/>
          <w:bCs/>
          <w:sz w:val="22"/>
          <w:szCs w:val="22"/>
        </w:rPr>
        <w:t>Adam Pastrich, U.S. Department of the Treasury, (202) 622-0435</w:t>
      </w:r>
    </w:p>
    <w:p w:rsidRPr="00BD125E" w:rsidR="00BD125E" w:rsidP="00745656" w:rsidRDefault="00BD125E">
      <w:pPr>
        <w:tabs>
          <w:tab w:val="left" w:pos="540"/>
        </w:tabs>
        <w:spacing w:before="120" w:after="120"/>
        <w:contextualSpacing/>
        <w:rPr>
          <w:rFonts w:ascii="Arial" w:hAnsi="Arial" w:cs="Arial"/>
          <w:bCs/>
          <w:sz w:val="22"/>
          <w:szCs w:val="22"/>
        </w:rPr>
      </w:pPr>
      <w:r w:rsidRPr="00BD125E">
        <w:rPr>
          <w:rFonts w:ascii="Arial" w:hAnsi="Arial" w:cs="Arial"/>
          <w:bCs/>
          <w:sz w:val="22"/>
          <w:szCs w:val="22"/>
        </w:rPr>
        <w:t>Tara McGovern</w:t>
      </w:r>
      <w:r>
        <w:rPr>
          <w:rFonts w:ascii="Arial" w:hAnsi="Arial" w:cs="Arial"/>
          <w:bCs/>
          <w:sz w:val="22"/>
          <w:szCs w:val="22"/>
        </w:rPr>
        <w:t>, Institute for Defense Analyses,</w:t>
      </w:r>
      <w:r w:rsidRPr="00BD125E">
        <w:rPr>
          <w:rFonts w:ascii="Arial" w:hAnsi="Arial" w:cs="Arial"/>
          <w:bCs/>
          <w:sz w:val="22"/>
          <w:szCs w:val="22"/>
        </w:rPr>
        <w:t xml:space="preserve"> </w:t>
      </w:r>
      <w:r>
        <w:rPr>
          <w:rFonts w:ascii="Arial" w:hAnsi="Arial" w:cs="Arial"/>
          <w:bCs/>
          <w:sz w:val="22"/>
          <w:szCs w:val="22"/>
        </w:rPr>
        <w:t>(703) 5</w:t>
      </w:r>
      <w:r w:rsidRPr="00BD125E">
        <w:rPr>
          <w:rFonts w:ascii="Arial" w:hAnsi="Arial" w:cs="Arial"/>
          <w:bCs/>
          <w:sz w:val="22"/>
          <w:szCs w:val="22"/>
        </w:rPr>
        <w:t>78-2804</w:t>
      </w:r>
    </w:p>
    <w:p w:rsidRPr="00BD125E" w:rsidR="00BD125E" w:rsidP="00745656" w:rsidRDefault="00BD125E">
      <w:pPr>
        <w:tabs>
          <w:tab w:val="left" w:pos="540"/>
        </w:tabs>
        <w:spacing w:before="120" w:after="120"/>
        <w:contextualSpacing/>
        <w:rPr>
          <w:rFonts w:ascii="Arial" w:hAnsi="Arial" w:cs="Arial"/>
          <w:bCs/>
          <w:sz w:val="22"/>
          <w:szCs w:val="22"/>
        </w:rPr>
      </w:pPr>
      <w:r w:rsidRPr="00BD125E">
        <w:rPr>
          <w:rFonts w:ascii="Arial" w:hAnsi="Arial" w:cs="Arial"/>
          <w:bCs/>
          <w:sz w:val="22"/>
          <w:szCs w:val="22"/>
        </w:rPr>
        <w:t>Richard White</w:t>
      </w:r>
      <w:r>
        <w:rPr>
          <w:rFonts w:ascii="Arial" w:hAnsi="Arial" w:cs="Arial"/>
          <w:bCs/>
          <w:sz w:val="22"/>
          <w:szCs w:val="22"/>
        </w:rPr>
        <w:t>, Institute for Defense Analyses,</w:t>
      </w:r>
      <w:r w:rsidRPr="00BD125E">
        <w:rPr>
          <w:rFonts w:ascii="Arial" w:hAnsi="Arial" w:cs="Arial"/>
          <w:bCs/>
          <w:sz w:val="22"/>
          <w:szCs w:val="22"/>
        </w:rPr>
        <w:t xml:space="preserve"> </w:t>
      </w:r>
      <w:r>
        <w:rPr>
          <w:rFonts w:ascii="Arial" w:hAnsi="Arial" w:cs="Arial"/>
          <w:bCs/>
          <w:sz w:val="22"/>
          <w:szCs w:val="22"/>
        </w:rPr>
        <w:t>(703) </w:t>
      </w:r>
      <w:r w:rsidRPr="00BD125E">
        <w:rPr>
          <w:rFonts w:ascii="Arial" w:hAnsi="Arial" w:cs="Arial"/>
          <w:bCs/>
          <w:sz w:val="22"/>
          <w:szCs w:val="22"/>
        </w:rPr>
        <w:t>845-2120</w:t>
      </w:r>
    </w:p>
    <w:p w:rsidRPr="00BD125E" w:rsidR="00BD125E" w:rsidP="00745656" w:rsidRDefault="00BD125E">
      <w:pPr>
        <w:tabs>
          <w:tab w:val="left" w:pos="540"/>
        </w:tabs>
        <w:spacing w:before="120" w:after="120"/>
        <w:contextualSpacing/>
        <w:rPr>
          <w:rFonts w:ascii="Arial" w:hAnsi="Arial" w:cs="Arial"/>
          <w:bCs/>
          <w:sz w:val="22"/>
          <w:szCs w:val="22"/>
        </w:rPr>
      </w:pPr>
      <w:r w:rsidRPr="00BD125E">
        <w:rPr>
          <w:rFonts w:ascii="Arial" w:hAnsi="Arial" w:cs="Arial"/>
          <w:bCs/>
          <w:sz w:val="22"/>
          <w:szCs w:val="22"/>
        </w:rPr>
        <w:t>Theresa Mitchell</w:t>
      </w:r>
      <w:r>
        <w:rPr>
          <w:rFonts w:ascii="Arial" w:hAnsi="Arial" w:cs="Arial"/>
          <w:bCs/>
          <w:sz w:val="22"/>
          <w:szCs w:val="22"/>
        </w:rPr>
        <w:t>, Institute for Defense Analyses,</w:t>
      </w:r>
      <w:r w:rsidRPr="00BD125E">
        <w:rPr>
          <w:rFonts w:ascii="Arial" w:hAnsi="Arial" w:cs="Arial"/>
          <w:bCs/>
          <w:sz w:val="22"/>
          <w:szCs w:val="22"/>
        </w:rPr>
        <w:t xml:space="preserve"> </w:t>
      </w:r>
      <w:r>
        <w:rPr>
          <w:rFonts w:ascii="Arial" w:hAnsi="Arial" w:cs="Arial"/>
          <w:bCs/>
          <w:sz w:val="22"/>
          <w:szCs w:val="22"/>
        </w:rPr>
        <w:t xml:space="preserve">(703) </w:t>
      </w:r>
      <w:r w:rsidRPr="00BD125E">
        <w:rPr>
          <w:rFonts w:ascii="Arial" w:hAnsi="Arial" w:cs="Arial"/>
          <w:bCs/>
          <w:sz w:val="22"/>
          <w:szCs w:val="22"/>
        </w:rPr>
        <w:t>845-2160</w:t>
      </w:r>
    </w:p>
    <w:p w:rsidRPr="00BD125E" w:rsidR="00BD125E" w:rsidP="00745656" w:rsidRDefault="00BD125E">
      <w:pPr>
        <w:tabs>
          <w:tab w:val="left" w:pos="540"/>
        </w:tabs>
        <w:spacing w:before="120" w:after="120"/>
        <w:contextualSpacing/>
        <w:rPr>
          <w:rFonts w:ascii="Arial" w:hAnsi="Arial" w:cs="Arial"/>
          <w:bCs/>
          <w:sz w:val="22"/>
          <w:szCs w:val="22"/>
        </w:rPr>
      </w:pPr>
      <w:r w:rsidRPr="00BD125E">
        <w:rPr>
          <w:rFonts w:ascii="Arial" w:hAnsi="Arial" w:cs="Arial"/>
          <w:bCs/>
          <w:sz w:val="22"/>
          <w:szCs w:val="22"/>
        </w:rPr>
        <w:t>Brian Vickers</w:t>
      </w:r>
      <w:r>
        <w:rPr>
          <w:rFonts w:ascii="Arial" w:hAnsi="Arial" w:cs="Arial"/>
          <w:bCs/>
          <w:sz w:val="22"/>
          <w:szCs w:val="22"/>
        </w:rPr>
        <w:t>, Institute for Defense Analyses,</w:t>
      </w:r>
      <w:r w:rsidRPr="00BD125E">
        <w:rPr>
          <w:rFonts w:ascii="Arial" w:hAnsi="Arial" w:cs="Arial"/>
          <w:bCs/>
          <w:sz w:val="22"/>
          <w:szCs w:val="22"/>
        </w:rPr>
        <w:t xml:space="preserve"> </w:t>
      </w:r>
      <w:r>
        <w:rPr>
          <w:rFonts w:ascii="Arial" w:hAnsi="Arial" w:cs="Arial"/>
          <w:bCs/>
          <w:sz w:val="22"/>
          <w:szCs w:val="22"/>
        </w:rPr>
        <w:t>(703) </w:t>
      </w:r>
      <w:r w:rsidRPr="00BD125E">
        <w:rPr>
          <w:rFonts w:ascii="Arial" w:hAnsi="Arial" w:cs="Arial"/>
          <w:bCs/>
          <w:sz w:val="22"/>
          <w:szCs w:val="22"/>
        </w:rPr>
        <w:t>845-6899</w:t>
      </w:r>
    </w:p>
    <w:p w:rsidRPr="00BD125E" w:rsidR="00BD125E" w:rsidP="00745656" w:rsidRDefault="00BD125E">
      <w:pPr>
        <w:tabs>
          <w:tab w:val="left" w:pos="540"/>
        </w:tabs>
        <w:spacing w:before="120" w:after="120"/>
        <w:contextualSpacing/>
        <w:rPr>
          <w:rFonts w:ascii="Arial" w:hAnsi="Arial" w:cs="Arial"/>
          <w:bCs/>
          <w:sz w:val="22"/>
          <w:szCs w:val="22"/>
        </w:rPr>
      </w:pPr>
      <w:r w:rsidRPr="00BD125E">
        <w:rPr>
          <w:rFonts w:ascii="Arial" w:hAnsi="Arial" w:cs="Arial"/>
          <w:bCs/>
          <w:sz w:val="22"/>
          <w:szCs w:val="22"/>
        </w:rPr>
        <w:t>Robert Stimets</w:t>
      </w:r>
      <w:r>
        <w:rPr>
          <w:rFonts w:ascii="Arial" w:hAnsi="Arial" w:cs="Arial"/>
          <w:bCs/>
          <w:sz w:val="22"/>
          <w:szCs w:val="22"/>
        </w:rPr>
        <w:t>, Institute for Defense Analyses,</w:t>
      </w:r>
      <w:r w:rsidRPr="00BD125E">
        <w:rPr>
          <w:rFonts w:ascii="Arial" w:hAnsi="Arial" w:cs="Arial"/>
          <w:bCs/>
          <w:sz w:val="22"/>
          <w:szCs w:val="22"/>
        </w:rPr>
        <w:t xml:space="preserve"> </w:t>
      </w:r>
      <w:r>
        <w:rPr>
          <w:rFonts w:ascii="Arial" w:hAnsi="Arial" w:cs="Arial"/>
          <w:bCs/>
          <w:sz w:val="22"/>
          <w:szCs w:val="22"/>
        </w:rPr>
        <w:t>(703) </w:t>
      </w:r>
      <w:r w:rsidRPr="00BD125E">
        <w:rPr>
          <w:rFonts w:ascii="Arial" w:hAnsi="Arial" w:cs="Arial"/>
          <w:bCs/>
          <w:sz w:val="22"/>
          <w:szCs w:val="22"/>
        </w:rPr>
        <w:t>845-6744</w:t>
      </w:r>
    </w:p>
    <w:p w:rsidRPr="00BD125E" w:rsidR="00BD125E" w:rsidP="00BD125E" w:rsidRDefault="00745656">
      <w:pPr>
        <w:tabs>
          <w:tab w:val="left" w:pos="540"/>
        </w:tabs>
        <w:spacing w:before="120" w:after="120"/>
        <w:rPr>
          <w:rFonts w:ascii="Arial" w:hAnsi="Arial" w:cs="Arial"/>
          <w:b/>
          <w:bCs/>
          <w:sz w:val="22"/>
          <w:szCs w:val="22"/>
        </w:rPr>
      </w:pPr>
      <w:r>
        <w:rPr>
          <w:rFonts w:ascii="Arial" w:hAnsi="Arial" w:cs="Arial"/>
          <w:bCs/>
          <w:i/>
          <w:sz w:val="22"/>
          <w:szCs w:val="22"/>
        </w:rPr>
        <w:t>Will c</w:t>
      </w:r>
      <w:r w:rsidRPr="00745656">
        <w:rPr>
          <w:rFonts w:ascii="Arial" w:hAnsi="Arial" w:cs="Arial"/>
          <w:bCs/>
          <w:i/>
          <w:sz w:val="22"/>
          <w:szCs w:val="22"/>
        </w:rPr>
        <w:t>onduct analysis only</w:t>
      </w:r>
      <w:r>
        <w:rPr>
          <w:rFonts w:ascii="Arial" w:hAnsi="Arial" w:cs="Arial"/>
          <w:bCs/>
          <w:sz w:val="22"/>
          <w:szCs w:val="22"/>
        </w:rPr>
        <w:t>:</w:t>
      </w:r>
    </w:p>
    <w:p w:rsidRPr="00F95B38" w:rsidR="00114166" w:rsidP="00BD125E" w:rsidRDefault="00745656">
      <w:pPr>
        <w:tabs>
          <w:tab w:val="left" w:pos="540"/>
        </w:tabs>
        <w:spacing w:before="120" w:after="120"/>
        <w:rPr>
          <w:rFonts w:ascii="Arial" w:hAnsi="Arial" w:cs="Arial"/>
          <w:bCs/>
          <w:sz w:val="22"/>
          <w:szCs w:val="22"/>
        </w:rPr>
      </w:pPr>
      <w:r>
        <w:rPr>
          <w:rFonts w:ascii="Arial" w:hAnsi="Arial" w:cs="Arial"/>
          <w:bCs/>
          <w:sz w:val="22"/>
          <w:szCs w:val="22"/>
        </w:rPr>
        <w:t xml:space="preserve">Kelly Tran, Institute for Defense Analyses, (703) </w:t>
      </w:r>
      <w:r w:rsidRPr="00BD125E" w:rsidR="00BD125E">
        <w:rPr>
          <w:rFonts w:ascii="Arial" w:hAnsi="Arial" w:cs="Arial"/>
          <w:bCs/>
          <w:sz w:val="22"/>
          <w:szCs w:val="22"/>
        </w:rPr>
        <w:t>845-2517</w:t>
      </w:r>
    </w:p>
    <w:sectPr w:rsidRPr="00F95B38" w:rsidR="00114166" w:rsidSect="00F8418A">
      <w:footerReference w:type="default" r:id="rId12"/>
      <w:type w:val="continuous"/>
      <w:pgSz w:w="12240" w:h="15840"/>
      <w:pgMar w:top="1440" w:right="1440" w:bottom="1170" w:left="1440" w:header="1080" w:footer="662"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6499" w:rsidRDefault="00A96499">
      <w:r>
        <w:separator/>
      </w:r>
    </w:p>
  </w:endnote>
  <w:endnote w:type="continuationSeparator" w:id="0">
    <w:p w:rsidR="00A96499" w:rsidRDefault="00A964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0AA3" w:rsidRPr="00745656" w:rsidRDefault="00C80AA3" w:rsidP="00427A81">
    <w:pPr>
      <w:tabs>
        <w:tab w:val="right" w:pos="9360"/>
      </w:tabs>
      <w:rPr>
        <w:rFonts w:ascii="Arial" w:hAnsi="Arial" w:cs="Arial"/>
        <w:sz w:val="22"/>
        <w:szCs w:val="22"/>
      </w:rPr>
    </w:pPr>
    <w:r w:rsidRPr="00427A81">
      <w:rPr>
        <w:rFonts w:ascii="Arial Narrow" w:hAnsi="Arial Narrow" w:cs="Arial"/>
        <w:sz w:val="20"/>
        <w:szCs w:val="20"/>
      </w:rPr>
      <w:tab/>
    </w:r>
    <w:r w:rsidRPr="00745656">
      <w:rPr>
        <w:rFonts w:ascii="Arial" w:hAnsi="Arial" w:cs="Arial"/>
        <w:sz w:val="22"/>
        <w:szCs w:val="22"/>
      </w:rPr>
      <w:fldChar w:fldCharType="begin"/>
    </w:r>
    <w:r w:rsidRPr="00745656">
      <w:rPr>
        <w:rFonts w:ascii="Arial" w:hAnsi="Arial" w:cs="Arial"/>
        <w:sz w:val="22"/>
        <w:szCs w:val="22"/>
      </w:rPr>
      <w:instrText xml:space="preserve">PAGE </w:instrText>
    </w:r>
    <w:r w:rsidRPr="00745656">
      <w:rPr>
        <w:rFonts w:ascii="Arial" w:hAnsi="Arial" w:cs="Arial"/>
        <w:sz w:val="22"/>
        <w:szCs w:val="22"/>
      </w:rPr>
      <w:fldChar w:fldCharType="separate"/>
    </w:r>
    <w:r w:rsidR="00214E51">
      <w:rPr>
        <w:rFonts w:ascii="Arial" w:hAnsi="Arial" w:cs="Arial"/>
        <w:noProof/>
        <w:sz w:val="22"/>
        <w:szCs w:val="22"/>
      </w:rPr>
      <w:t>1</w:t>
    </w:r>
    <w:r w:rsidRPr="00745656">
      <w:rPr>
        <w:rFonts w:ascii="Arial" w:hAnsi="Arial"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6499" w:rsidRDefault="00A96499">
      <w:r>
        <w:separator/>
      </w:r>
    </w:p>
  </w:footnote>
  <w:footnote w:type="continuationSeparator" w:id="0">
    <w:p w:rsidR="00A96499" w:rsidRDefault="00A964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3C7E3050"/>
    <w:lvl w:ilvl="0">
      <w:numFmt w:val="decimal"/>
      <w:lvlText w:val="*"/>
      <w:lvlJc w:val="left"/>
    </w:lvl>
  </w:abstractNum>
  <w:abstractNum w:abstractNumId="1" w15:restartNumberingAfterBreak="0">
    <w:nsid w:val="00000001"/>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0000002"/>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15:restartNumberingAfterBreak="0">
    <w:nsid w:val="00000003"/>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 w15:restartNumberingAfterBreak="0">
    <w:nsid w:val="00000004"/>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5" w15:restartNumberingAfterBreak="0">
    <w:nsid w:val="00000005"/>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6" w15:restartNumberingAfterBreak="0">
    <w:nsid w:val="00000006"/>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7" w15:restartNumberingAfterBreak="0">
    <w:nsid w:val="00000007"/>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8" w15:restartNumberingAfterBreak="0">
    <w:nsid w:val="00000008"/>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9" w15:restartNumberingAfterBreak="0">
    <w:nsid w:val="00000009"/>
    <w:multiLevelType w:val="multilevel"/>
    <w:tmpl w:val="00000000"/>
    <w:lvl w:ilvl="0">
      <w:start w:val="1"/>
      <w:numFmt w:val="decimal"/>
      <w:pStyle w:val="Level1"/>
      <w:lvlText w:val="%1)"/>
      <w:lvlJc w:val="left"/>
      <w:pPr>
        <w:tabs>
          <w:tab w:val="num" w:pos="722"/>
        </w:tabs>
        <w:ind w:left="722" w:hanging="361"/>
      </w:pPr>
      <w:rPr>
        <w:rFonts w:ascii="Times New Roman" w:hAnsi="Times New Roman"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0" w15:restartNumberingAfterBreak="0">
    <w:nsid w:val="0000000A"/>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1" w15:restartNumberingAfterBreak="0">
    <w:nsid w:val="0000000B"/>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2" w15:restartNumberingAfterBreak="0">
    <w:nsid w:val="0000000C"/>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3" w15:restartNumberingAfterBreak="0">
    <w:nsid w:val="0000000D"/>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4" w15:restartNumberingAfterBreak="0">
    <w:nsid w:val="0000000E"/>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5" w15:restartNumberingAfterBreak="0">
    <w:nsid w:val="0000000F"/>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6" w15:restartNumberingAfterBreak="0">
    <w:nsid w:val="00000010"/>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7" w15:restartNumberingAfterBreak="0">
    <w:nsid w:val="00C94FAB"/>
    <w:multiLevelType w:val="hybridMultilevel"/>
    <w:tmpl w:val="CE10DF7C"/>
    <w:lvl w:ilvl="0" w:tplc="D5F00CBE">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8" w15:restartNumberingAfterBreak="0">
    <w:nsid w:val="041E1FC7"/>
    <w:multiLevelType w:val="hybridMultilevel"/>
    <w:tmpl w:val="34A88332"/>
    <w:lvl w:ilvl="0" w:tplc="9F448330">
      <w:start w:val="6"/>
      <w:numFmt w:val="decimal"/>
      <w:lvlText w:val="%1."/>
      <w:lvlJc w:val="left"/>
      <w:pPr>
        <w:tabs>
          <w:tab w:val="num" w:pos="720"/>
        </w:tabs>
        <w:ind w:left="720" w:hanging="360"/>
      </w:pPr>
      <w:rPr>
        <w:rFonts w:ascii="Tahoma" w:hAnsi="Tahoma" w:cs="Tahoma"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05856836"/>
    <w:multiLevelType w:val="hybridMultilevel"/>
    <w:tmpl w:val="0818EBC0"/>
    <w:lvl w:ilvl="0" w:tplc="0409000F">
      <w:start w:val="1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0E311DA6"/>
    <w:multiLevelType w:val="hybridMultilevel"/>
    <w:tmpl w:val="4B520FF2"/>
    <w:lvl w:ilvl="0" w:tplc="0409000F">
      <w:start w:val="1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10122E19"/>
    <w:multiLevelType w:val="hybridMultilevel"/>
    <w:tmpl w:val="BC7098BE"/>
    <w:lvl w:ilvl="0" w:tplc="8DC0907A">
      <w:start w:val="1"/>
      <w:numFmt w:val="lowerLetter"/>
      <w:lvlText w:val="%1."/>
      <w:lvlJc w:val="left"/>
      <w:pPr>
        <w:tabs>
          <w:tab w:val="num" w:pos="720"/>
        </w:tabs>
        <w:ind w:left="720" w:hanging="360"/>
      </w:pPr>
      <w:rPr>
        <w:rFonts w:hint="default"/>
      </w:rPr>
    </w:lvl>
    <w:lvl w:ilvl="1" w:tplc="D6143CB2">
      <w:start w:val="1"/>
      <w:numFmt w:val="decimal"/>
      <w:lvlText w:val="%2."/>
      <w:lvlJc w:val="left"/>
      <w:pPr>
        <w:tabs>
          <w:tab w:val="num" w:pos="360"/>
        </w:tabs>
        <w:ind w:left="36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2" w15:restartNumberingAfterBreak="0">
    <w:nsid w:val="1195410D"/>
    <w:multiLevelType w:val="hybridMultilevel"/>
    <w:tmpl w:val="A49C7A84"/>
    <w:lvl w:ilvl="0" w:tplc="028C1A92">
      <w:start w:val="1"/>
      <w:numFmt w:val="bullet"/>
      <w:lvlText w:val=""/>
      <w:lvlJc w:val="left"/>
      <w:pPr>
        <w:tabs>
          <w:tab w:val="num" w:pos="864"/>
        </w:tabs>
        <w:ind w:left="864"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3" w15:restartNumberingAfterBreak="0">
    <w:nsid w:val="1B815FB6"/>
    <w:multiLevelType w:val="hybridMultilevel"/>
    <w:tmpl w:val="2D14AC46"/>
    <w:lvl w:ilvl="0" w:tplc="0409000F">
      <w:start w:val="1"/>
      <w:numFmt w:val="decimal"/>
      <w:lvlText w:val="%1."/>
      <w:lvlJc w:val="left"/>
      <w:pPr>
        <w:tabs>
          <w:tab w:val="num" w:pos="1081"/>
        </w:tabs>
        <w:ind w:left="1081" w:hanging="360"/>
      </w:pPr>
    </w:lvl>
    <w:lvl w:ilvl="1" w:tplc="04090019">
      <w:start w:val="1"/>
      <w:numFmt w:val="lowerLetter"/>
      <w:lvlText w:val="%2."/>
      <w:lvlJc w:val="left"/>
      <w:pPr>
        <w:tabs>
          <w:tab w:val="num" w:pos="1801"/>
        </w:tabs>
        <w:ind w:left="1801" w:hanging="360"/>
      </w:pPr>
    </w:lvl>
    <w:lvl w:ilvl="2" w:tplc="0409001B">
      <w:start w:val="1"/>
      <w:numFmt w:val="lowerRoman"/>
      <w:lvlText w:val="%3."/>
      <w:lvlJc w:val="right"/>
      <w:pPr>
        <w:tabs>
          <w:tab w:val="num" w:pos="2521"/>
        </w:tabs>
        <w:ind w:left="2521" w:hanging="180"/>
      </w:pPr>
    </w:lvl>
    <w:lvl w:ilvl="3" w:tplc="0409000F">
      <w:start w:val="1"/>
      <w:numFmt w:val="decimal"/>
      <w:lvlText w:val="%4."/>
      <w:lvlJc w:val="left"/>
      <w:pPr>
        <w:tabs>
          <w:tab w:val="num" w:pos="3241"/>
        </w:tabs>
        <w:ind w:left="3241" w:hanging="360"/>
      </w:pPr>
    </w:lvl>
    <w:lvl w:ilvl="4" w:tplc="04090019">
      <w:start w:val="1"/>
      <w:numFmt w:val="lowerLetter"/>
      <w:lvlText w:val="%5."/>
      <w:lvlJc w:val="left"/>
      <w:pPr>
        <w:tabs>
          <w:tab w:val="num" w:pos="3961"/>
        </w:tabs>
        <w:ind w:left="3961" w:hanging="360"/>
      </w:pPr>
    </w:lvl>
    <w:lvl w:ilvl="5" w:tplc="0409001B">
      <w:start w:val="1"/>
      <w:numFmt w:val="lowerRoman"/>
      <w:lvlText w:val="%6."/>
      <w:lvlJc w:val="right"/>
      <w:pPr>
        <w:tabs>
          <w:tab w:val="num" w:pos="4681"/>
        </w:tabs>
        <w:ind w:left="4681" w:hanging="180"/>
      </w:pPr>
    </w:lvl>
    <w:lvl w:ilvl="6" w:tplc="0409000F">
      <w:start w:val="1"/>
      <w:numFmt w:val="decimal"/>
      <w:lvlText w:val="%7."/>
      <w:lvlJc w:val="left"/>
      <w:pPr>
        <w:tabs>
          <w:tab w:val="num" w:pos="5401"/>
        </w:tabs>
        <w:ind w:left="5401" w:hanging="360"/>
      </w:pPr>
    </w:lvl>
    <w:lvl w:ilvl="7" w:tplc="04090019">
      <w:start w:val="1"/>
      <w:numFmt w:val="lowerLetter"/>
      <w:lvlText w:val="%8."/>
      <w:lvlJc w:val="left"/>
      <w:pPr>
        <w:tabs>
          <w:tab w:val="num" w:pos="6121"/>
        </w:tabs>
        <w:ind w:left="6121" w:hanging="360"/>
      </w:pPr>
    </w:lvl>
    <w:lvl w:ilvl="8" w:tplc="0409001B">
      <w:start w:val="1"/>
      <w:numFmt w:val="lowerRoman"/>
      <w:lvlText w:val="%9."/>
      <w:lvlJc w:val="right"/>
      <w:pPr>
        <w:tabs>
          <w:tab w:val="num" w:pos="6841"/>
        </w:tabs>
        <w:ind w:left="6841" w:hanging="180"/>
      </w:pPr>
    </w:lvl>
  </w:abstractNum>
  <w:abstractNum w:abstractNumId="24" w15:restartNumberingAfterBreak="0">
    <w:nsid w:val="27E119F4"/>
    <w:multiLevelType w:val="multilevel"/>
    <w:tmpl w:val="0ECCEE1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2F5A5BE0"/>
    <w:multiLevelType w:val="hybridMultilevel"/>
    <w:tmpl w:val="F6F6D258"/>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26" w15:restartNumberingAfterBreak="0">
    <w:nsid w:val="314F726D"/>
    <w:multiLevelType w:val="hybridMultilevel"/>
    <w:tmpl w:val="39ACF688"/>
    <w:lvl w:ilvl="0" w:tplc="39E0C782">
      <w:start w:val="2"/>
      <w:numFmt w:val="upperLetter"/>
      <w:lvlText w:val="%1."/>
      <w:lvlJc w:val="left"/>
      <w:pPr>
        <w:tabs>
          <w:tab w:val="num" w:pos="360"/>
        </w:tabs>
        <w:ind w:left="360" w:hanging="360"/>
      </w:pPr>
      <w:rPr>
        <w:rFonts w:hint="default"/>
      </w:rPr>
    </w:lvl>
    <w:lvl w:ilvl="1" w:tplc="ED208D48">
      <w:start w:val="7"/>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7" w15:restartNumberingAfterBreak="0">
    <w:nsid w:val="33307E33"/>
    <w:multiLevelType w:val="hybridMultilevel"/>
    <w:tmpl w:val="77463774"/>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3A2E2407"/>
    <w:multiLevelType w:val="hybridMultilevel"/>
    <w:tmpl w:val="48F67F58"/>
    <w:lvl w:ilvl="0" w:tplc="0409000F">
      <w:start w:val="1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3B96265A"/>
    <w:multiLevelType w:val="hybridMultilevel"/>
    <w:tmpl w:val="085C2160"/>
    <w:lvl w:ilvl="0" w:tplc="480AF38A">
      <w:start w:val="5"/>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15:restartNumberingAfterBreak="0">
    <w:nsid w:val="3DB2103A"/>
    <w:multiLevelType w:val="hybridMultilevel"/>
    <w:tmpl w:val="C01EDB16"/>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3DCC707B"/>
    <w:multiLevelType w:val="hybridMultilevel"/>
    <w:tmpl w:val="C77683BC"/>
    <w:lvl w:ilvl="0" w:tplc="0409000F">
      <w:start w:val="1"/>
      <w:numFmt w:val="decimal"/>
      <w:lvlText w:val="%1."/>
      <w:lvlJc w:val="left"/>
      <w:pPr>
        <w:tabs>
          <w:tab w:val="num" w:pos="1081"/>
        </w:tabs>
        <w:ind w:left="1081" w:hanging="360"/>
      </w:pPr>
    </w:lvl>
    <w:lvl w:ilvl="1" w:tplc="04090019">
      <w:start w:val="1"/>
      <w:numFmt w:val="lowerLetter"/>
      <w:lvlText w:val="%2."/>
      <w:lvlJc w:val="left"/>
      <w:pPr>
        <w:tabs>
          <w:tab w:val="num" w:pos="1801"/>
        </w:tabs>
        <w:ind w:left="1801" w:hanging="360"/>
      </w:pPr>
    </w:lvl>
    <w:lvl w:ilvl="2" w:tplc="0409001B">
      <w:start w:val="1"/>
      <w:numFmt w:val="lowerRoman"/>
      <w:lvlText w:val="%3."/>
      <w:lvlJc w:val="right"/>
      <w:pPr>
        <w:tabs>
          <w:tab w:val="num" w:pos="2521"/>
        </w:tabs>
        <w:ind w:left="2521" w:hanging="180"/>
      </w:pPr>
    </w:lvl>
    <w:lvl w:ilvl="3" w:tplc="0409000F">
      <w:start w:val="1"/>
      <w:numFmt w:val="decimal"/>
      <w:lvlText w:val="%4."/>
      <w:lvlJc w:val="left"/>
      <w:pPr>
        <w:tabs>
          <w:tab w:val="num" w:pos="3241"/>
        </w:tabs>
        <w:ind w:left="3241" w:hanging="360"/>
      </w:pPr>
    </w:lvl>
    <w:lvl w:ilvl="4" w:tplc="04090019">
      <w:start w:val="1"/>
      <w:numFmt w:val="lowerLetter"/>
      <w:lvlText w:val="%5."/>
      <w:lvlJc w:val="left"/>
      <w:pPr>
        <w:tabs>
          <w:tab w:val="num" w:pos="3961"/>
        </w:tabs>
        <w:ind w:left="3961" w:hanging="360"/>
      </w:pPr>
    </w:lvl>
    <w:lvl w:ilvl="5" w:tplc="0409001B">
      <w:start w:val="1"/>
      <w:numFmt w:val="lowerRoman"/>
      <w:lvlText w:val="%6."/>
      <w:lvlJc w:val="right"/>
      <w:pPr>
        <w:tabs>
          <w:tab w:val="num" w:pos="4681"/>
        </w:tabs>
        <w:ind w:left="4681" w:hanging="180"/>
      </w:pPr>
    </w:lvl>
    <w:lvl w:ilvl="6" w:tplc="0409000F">
      <w:start w:val="1"/>
      <w:numFmt w:val="decimal"/>
      <w:lvlText w:val="%7."/>
      <w:lvlJc w:val="left"/>
      <w:pPr>
        <w:tabs>
          <w:tab w:val="num" w:pos="5401"/>
        </w:tabs>
        <w:ind w:left="5401" w:hanging="360"/>
      </w:pPr>
    </w:lvl>
    <w:lvl w:ilvl="7" w:tplc="04090019">
      <w:start w:val="1"/>
      <w:numFmt w:val="lowerLetter"/>
      <w:lvlText w:val="%8."/>
      <w:lvlJc w:val="left"/>
      <w:pPr>
        <w:tabs>
          <w:tab w:val="num" w:pos="6121"/>
        </w:tabs>
        <w:ind w:left="6121" w:hanging="360"/>
      </w:pPr>
    </w:lvl>
    <w:lvl w:ilvl="8" w:tplc="0409001B">
      <w:start w:val="1"/>
      <w:numFmt w:val="lowerRoman"/>
      <w:lvlText w:val="%9."/>
      <w:lvlJc w:val="right"/>
      <w:pPr>
        <w:tabs>
          <w:tab w:val="num" w:pos="6841"/>
        </w:tabs>
        <w:ind w:left="6841" w:hanging="180"/>
      </w:pPr>
    </w:lvl>
  </w:abstractNum>
  <w:abstractNum w:abstractNumId="32" w15:restartNumberingAfterBreak="0">
    <w:nsid w:val="3EA32344"/>
    <w:multiLevelType w:val="hybridMultilevel"/>
    <w:tmpl w:val="2E3061DC"/>
    <w:lvl w:ilvl="0" w:tplc="515EFD82">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42C70789"/>
    <w:multiLevelType w:val="hybridMultilevel"/>
    <w:tmpl w:val="9B266760"/>
    <w:lvl w:ilvl="0" w:tplc="028C1A92">
      <w:start w:val="1"/>
      <w:numFmt w:val="bullet"/>
      <w:lvlText w:val=""/>
      <w:lvlJc w:val="left"/>
      <w:pPr>
        <w:tabs>
          <w:tab w:val="num" w:pos="864"/>
        </w:tabs>
        <w:ind w:left="864"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4" w15:restartNumberingAfterBreak="0">
    <w:nsid w:val="4AA2732C"/>
    <w:multiLevelType w:val="hybridMultilevel"/>
    <w:tmpl w:val="931AFAF8"/>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5" w15:restartNumberingAfterBreak="0">
    <w:nsid w:val="4BC17C63"/>
    <w:multiLevelType w:val="hybridMultilevel"/>
    <w:tmpl w:val="8C4CAF50"/>
    <w:lvl w:ilvl="0" w:tplc="0409000F">
      <w:start w:val="2"/>
      <w:numFmt w:val="decimal"/>
      <w:lvlText w:val="%1."/>
      <w:lvlJc w:val="left"/>
      <w:pPr>
        <w:tabs>
          <w:tab w:val="num" w:pos="720"/>
        </w:tabs>
        <w:ind w:left="720" w:hanging="360"/>
      </w:pPr>
      <w:rPr>
        <w:rFonts w:hint="default"/>
      </w:rPr>
    </w:lvl>
    <w:lvl w:ilvl="1" w:tplc="0D221ADA">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6" w15:restartNumberingAfterBreak="0">
    <w:nsid w:val="51666997"/>
    <w:multiLevelType w:val="hybridMultilevel"/>
    <w:tmpl w:val="3FCA76C2"/>
    <w:lvl w:ilvl="0" w:tplc="0409000F">
      <w:start w:val="1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516C53D3"/>
    <w:multiLevelType w:val="hybridMultilevel"/>
    <w:tmpl w:val="F84032A0"/>
    <w:lvl w:ilvl="0" w:tplc="4FEC9F9C">
      <w:start w:val="1"/>
      <w:numFmt w:val="bullet"/>
      <w:lvlText w:val=""/>
      <w:lvlJc w:val="left"/>
      <w:pPr>
        <w:tabs>
          <w:tab w:val="num" w:pos="432"/>
        </w:tabs>
        <w:ind w:left="432" w:hanging="144"/>
      </w:pPr>
      <w:rPr>
        <w:rFonts w:ascii="Symbol" w:hAnsi="Symbol" w:cs="Symbol" w:hint="default"/>
      </w:rPr>
    </w:lvl>
    <w:lvl w:ilvl="1" w:tplc="04090003">
      <w:start w:val="1"/>
      <w:numFmt w:val="bullet"/>
      <w:lvlText w:val="o"/>
      <w:lvlJc w:val="left"/>
      <w:pPr>
        <w:tabs>
          <w:tab w:val="num" w:pos="1728"/>
        </w:tabs>
        <w:ind w:left="1728" w:hanging="360"/>
      </w:pPr>
      <w:rPr>
        <w:rFonts w:ascii="Courier New" w:hAnsi="Courier New" w:cs="Courier New" w:hint="default"/>
      </w:rPr>
    </w:lvl>
    <w:lvl w:ilvl="2" w:tplc="04090005">
      <w:start w:val="1"/>
      <w:numFmt w:val="bullet"/>
      <w:lvlText w:val=""/>
      <w:lvlJc w:val="left"/>
      <w:pPr>
        <w:tabs>
          <w:tab w:val="num" w:pos="2448"/>
        </w:tabs>
        <w:ind w:left="2448" w:hanging="360"/>
      </w:pPr>
      <w:rPr>
        <w:rFonts w:ascii="Wingdings" w:hAnsi="Wingdings" w:cs="Wingdings" w:hint="default"/>
      </w:rPr>
    </w:lvl>
    <w:lvl w:ilvl="3" w:tplc="04090001">
      <w:start w:val="1"/>
      <w:numFmt w:val="bullet"/>
      <w:lvlText w:val=""/>
      <w:lvlJc w:val="left"/>
      <w:pPr>
        <w:tabs>
          <w:tab w:val="num" w:pos="3168"/>
        </w:tabs>
        <w:ind w:left="3168" w:hanging="360"/>
      </w:pPr>
      <w:rPr>
        <w:rFonts w:ascii="Symbol" w:hAnsi="Symbol" w:cs="Symbol" w:hint="default"/>
      </w:rPr>
    </w:lvl>
    <w:lvl w:ilvl="4" w:tplc="04090003">
      <w:start w:val="1"/>
      <w:numFmt w:val="bullet"/>
      <w:lvlText w:val="o"/>
      <w:lvlJc w:val="left"/>
      <w:pPr>
        <w:tabs>
          <w:tab w:val="num" w:pos="3888"/>
        </w:tabs>
        <w:ind w:left="3888" w:hanging="360"/>
      </w:pPr>
      <w:rPr>
        <w:rFonts w:ascii="Courier New" w:hAnsi="Courier New" w:cs="Courier New" w:hint="default"/>
      </w:rPr>
    </w:lvl>
    <w:lvl w:ilvl="5" w:tplc="04090005">
      <w:start w:val="1"/>
      <w:numFmt w:val="bullet"/>
      <w:lvlText w:val=""/>
      <w:lvlJc w:val="left"/>
      <w:pPr>
        <w:tabs>
          <w:tab w:val="num" w:pos="4608"/>
        </w:tabs>
        <w:ind w:left="4608" w:hanging="360"/>
      </w:pPr>
      <w:rPr>
        <w:rFonts w:ascii="Wingdings" w:hAnsi="Wingdings" w:cs="Wingdings" w:hint="default"/>
      </w:rPr>
    </w:lvl>
    <w:lvl w:ilvl="6" w:tplc="04090001">
      <w:start w:val="1"/>
      <w:numFmt w:val="bullet"/>
      <w:lvlText w:val=""/>
      <w:lvlJc w:val="left"/>
      <w:pPr>
        <w:tabs>
          <w:tab w:val="num" w:pos="5328"/>
        </w:tabs>
        <w:ind w:left="5328" w:hanging="360"/>
      </w:pPr>
      <w:rPr>
        <w:rFonts w:ascii="Symbol" w:hAnsi="Symbol" w:cs="Symbol" w:hint="default"/>
      </w:rPr>
    </w:lvl>
    <w:lvl w:ilvl="7" w:tplc="04090003">
      <w:start w:val="1"/>
      <w:numFmt w:val="bullet"/>
      <w:lvlText w:val="o"/>
      <w:lvlJc w:val="left"/>
      <w:pPr>
        <w:tabs>
          <w:tab w:val="num" w:pos="6048"/>
        </w:tabs>
        <w:ind w:left="6048" w:hanging="360"/>
      </w:pPr>
      <w:rPr>
        <w:rFonts w:ascii="Courier New" w:hAnsi="Courier New" w:cs="Courier New" w:hint="default"/>
      </w:rPr>
    </w:lvl>
    <w:lvl w:ilvl="8" w:tplc="04090005">
      <w:start w:val="1"/>
      <w:numFmt w:val="bullet"/>
      <w:lvlText w:val=""/>
      <w:lvlJc w:val="left"/>
      <w:pPr>
        <w:tabs>
          <w:tab w:val="num" w:pos="6768"/>
        </w:tabs>
        <w:ind w:left="6768" w:hanging="360"/>
      </w:pPr>
      <w:rPr>
        <w:rFonts w:ascii="Wingdings" w:hAnsi="Wingdings" w:cs="Wingdings" w:hint="default"/>
      </w:rPr>
    </w:lvl>
  </w:abstractNum>
  <w:abstractNum w:abstractNumId="38" w15:restartNumberingAfterBreak="0">
    <w:nsid w:val="51D362AF"/>
    <w:multiLevelType w:val="hybridMultilevel"/>
    <w:tmpl w:val="502ACA7C"/>
    <w:lvl w:ilvl="0" w:tplc="4FEC9F9C">
      <w:start w:val="1"/>
      <w:numFmt w:val="bullet"/>
      <w:lvlText w:val=""/>
      <w:lvlJc w:val="left"/>
      <w:pPr>
        <w:tabs>
          <w:tab w:val="num" w:pos="144"/>
        </w:tabs>
        <w:ind w:left="144" w:hanging="144"/>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9" w15:restartNumberingAfterBreak="0">
    <w:nsid w:val="59141E62"/>
    <w:multiLevelType w:val="hybridMultilevel"/>
    <w:tmpl w:val="8E98D726"/>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5BFD38FD"/>
    <w:multiLevelType w:val="hybridMultilevel"/>
    <w:tmpl w:val="E4E6F2E2"/>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656C318D"/>
    <w:multiLevelType w:val="multilevel"/>
    <w:tmpl w:val="456EFA4E"/>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15:restartNumberingAfterBreak="0">
    <w:nsid w:val="6FED18F7"/>
    <w:multiLevelType w:val="hybridMultilevel"/>
    <w:tmpl w:val="BF5CD562"/>
    <w:lvl w:ilvl="0" w:tplc="4FEC9F9C">
      <w:start w:val="1"/>
      <w:numFmt w:val="bullet"/>
      <w:lvlText w:val=""/>
      <w:lvlJc w:val="left"/>
      <w:pPr>
        <w:tabs>
          <w:tab w:val="num" w:pos="144"/>
        </w:tabs>
        <w:ind w:left="144" w:hanging="144"/>
      </w:pPr>
      <w:rPr>
        <w:rFonts w:ascii="Symbol" w:hAnsi="Symbol" w:cs="Symbol"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3" w15:restartNumberingAfterBreak="0">
    <w:nsid w:val="74FC357D"/>
    <w:multiLevelType w:val="hybridMultilevel"/>
    <w:tmpl w:val="56903636"/>
    <w:lvl w:ilvl="0" w:tplc="3C6C64A4">
      <w:start w:val="1"/>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4" w15:restartNumberingAfterBreak="0">
    <w:nsid w:val="7CD42F58"/>
    <w:multiLevelType w:val="hybridMultilevel"/>
    <w:tmpl w:val="E00011C6"/>
    <w:lvl w:ilvl="0" w:tplc="4FEC9F9C">
      <w:start w:val="1"/>
      <w:numFmt w:val="bullet"/>
      <w:lvlText w:val=""/>
      <w:lvlJc w:val="left"/>
      <w:pPr>
        <w:tabs>
          <w:tab w:val="num" w:pos="865"/>
        </w:tabs>
        <w:ind w:left="865" w:hanging="144"/>
      </w:pPr>
      <w:rPr>
        <w:rFonts w:ascii="Symbol" w:hAnsi="Symbol" w:cs="Symbol" w:hint="default"/>
      </w:rPr>
    </w:lvl>
    <w:lvl w:ilvl="1" w:tplc="04090019">
      <w:start w:val="1"/>
      <w:numFmt w:val="lowerLetter"/>
      <w:lvlText w:val="%2."/>
      <w:lvlJc w:val="left"/>
      <w:pPr>
        <w:tabs>
          <w:tab w:val="num" w:pos="1801"/>
        </w:tabs>
        <w:ind w:left="1801" w:hanging="360"/>
      </w:pPr>
    </w:lvl>
    <w:lvl w:ilvl="2" w:tplc="0409001B">
      <w:start w:val="1"/>
      <w:numFmt w:val="lowerRoman"/>
      <w:lvlText w:val="%3."/>
      <w:lvlJc w:val="right"/>
      <w:pPr>
        <w:tabs>
          <w:tab w:val="num" w:pos="2521"/>
        </w:tabs>
        <w:ind w:left="2521" w:hanging="180"/>
      </w:pPr>
    </w:lvl>
    <w:lvl w:ilvl="3" w:tplc="0409000F">
      <w:start w:val="1"/>
      <w:numFmt w:val="decimal"/>
      <w:lvlText w:val="%4."/>
      <w:lvlJc w:val="left"/>
      <w:pPr>
        <w:tabs>
          <w:tab w:val="num" w:pos="3241"/>
        </w:tabs>
        <w:ind w:left="3241" w:hanging="360"/>
      </w:pPr>
    </w:lvl>
    <w:lvl w:ilvl="4" w:tplc="04090019">
      <w:start w:val="1"/>
      <w:numFmt w:val="lowerLetter"/>
      <w:lvlText w:val="%5."/>
      <w:lvlJc w:val="left"/>
      <w:pPr>
        <w:tabs>
          <w:tab w:val="num" w:pos="3961"/>
        </w:tabs>
        <w:ind w:left="3961" w:hanging="360"/>
      </w:pPr>
    </w:lvl>
    <w:lvl w:ilvl="5" w:tplc="0409001B">
      <w:start w:val="1"/>
      <w:numFmt w:val="lowerRoman"/>
      <w:lvlText w:val="%6."/>
      <w:lvlJc w:val="right"/>
      <w:pPr>
        <w:tabs>
          <w:tab w:val="num" w:pos="4681"/>
        </w:tabs>
        <w:ind w:left="4681" w:hanging="180"/>
      </w:pPr>
    </w:lvl>
    <w:lvl w:ilvl="6" w:tplc="0409000F">
      <w:start w:val="1"/>
      <w:numFmt w:val="decimal"/>
      <w:lvlText w:val="%7."/>
      <w:lvlJc w:val="left"/>
      <w:pPr>
        <w:tabs>
          <w:tab w:val="num" w:pos="5401"/>
        </w:tabs>
        <w:ind w:left="5401" w:hanging="360"/>
      </w:pPr>
    </w:lvl>
    <w:lvl w:ilvl="7" w:tplc="04090019">
      <w:start w:val="1"/>
      <w:numFmt w:val="lowerLetter"/>
      <w:lvlText w:val="%8."/>
      <w:lvlJc w:val="left"/>
      <w:pPr>
        <w:tabs>
          <w:tab w:val="num" w:pos="6121"/>
        </w:tabs>
        <w:ind w:left="6121" w:hanging="360"/>
      </w:pPr>
    </w:lvl>
    <w:lvl w:ilvl="8" w:tplc="0409001B">
      <w:start w:val="1"/>
      <w:numFmt w:val="lowerRoman"/>
      <w:lvlText w:val="%9."/>
      <w:lvlJc w:val="right"/>
      <w:pPr>
        <w:tabs>
          <w:tab w:val="num" w:pos="6841"/>
        </w:tabs>
        <w:ind w:left="6841" w:hanging="180"/>
      </w:pPr>
    </w:lvl>
  </w:abstractNum>
  <w:abstractNum w:abstractNumId="45" w15:restartNumberingAfterBreak="0">
    <w:nsid w:val="7E3519A8"/>
    <w:multiLevelType w:val="hybridMultilevel"/>
    <w:tmpl w:val="990ABEF0"/>
    <w:lvl w:ilvl="0" w:tplc="480AF38A">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0"/>
    <w:lvlOverride w:ilvl="0">
      <w:lvl w:ilvl="0">
        <w:numFmt w:val="bullet"/>
        <w:lvlText w:val="·"/>
        <w:legacy w:legacy="1" w:legacySpace="0" w:legacyIndent="361"/>
        <w:lvlJc w:val="left"/>
        <w:pPr>
          <w:ind w:left="361" w:hanging="361"/>
        </w:pPr>
        <w:rPr>
          <w:rFonts w:ascii="Times New Roman" w:hAnsi="Times New Roman" w:cs="Times New Roman" w:hint="default"/>
        </w:rPr>
      </w:lvl>
    </w:lvlOverride>
  </w:num>
  <w:num w:numId="3">
    <w:abstractNumId w:val="0"/>
    <w:lvlOverride w:ilvl="0">
      <w:lvl w:ilvl="0">
        <w:numFmt w:val="bullet"/>
        <w:lvlText w:val="­"/>
        <w:legacy w:legacy="1" w:legacySpace="0" w:legacyIndent="361"/>
        <w:lvlJc w:val="left"/>
        <w:pPr>
          <w:ind w:left="722" w:hanging="361"/>
        </w:pPr>
        <w:rPr>
          <w:rFonts w:ascii="Times New Roman" w:hAnsi="Times New Roman" w:cs="Times New Roman" w:hint="default"/>
        </w:rPr>
      </w:lvl>
    </w:lvlOverride>
  </w:num>
  <w:num w:numId="4">
    <w:abstractNumId w:val="0"/>
    <w:lvlOverride w:ilvl="0">
      <w:lvl w:ilvl="0">
        <w:numFmt w:val="bullet"/>
        <w:lvlText w:val="·"/>
        <w:legacy w:legacy="1" w:legacySpace="0" w:legacyIndent="186"/>
        <w:lvlJc w:val="left"/>
        <w:pPr>
          <w:ind w:left="474" w:hanging="186"/>
        </w:pPr>
        <w:rPr>
          <w:rFonts w:ascii="Times New Roman" w:hAnsi="Times New Roman" w:cs="Times New Roman" w:hint="default"/>
        </w:rPr>
      </w:lvl>
    </w:lvlOverride>
  </w:num>
  <w:num w:numId="5">
    <w:abstractNumId w:val="31"/>
  </w:num>
  <w:num w:numId="6">
    <w:abstractNumId w:val="23"/>
  </w:num>
  <w:num w:numId="7">
    <w:abstractNumId w:val="35"/>
  </w:num>
  <w:num w:numId="8">
    <w:abstractNumId w:val="34"/>
  </w:num>
  <w:num w:numId="9">
    <w:abstractNumId w:val="25"/>
  </w:num>
  <w:num w:numId="10">
    <w:abstractNumId w:val="17"/>
  </w:num>
  <w:num w:numId="11">
    <w:abstractNumId w:val="21"/>
  </w:num>
  <w:num w:numId="12">
    <w:abstractNumId w:val="44"/>
  </w:num>
  <w:num w:numId="13">
    <w:abstractNumId w:val="42"/>
  </w:num>
  <w:num w:numId="14">
    <w:abstractNumId w:val="33"/>
  </w:num>
  <w:num w:numId="15">
    <w:abstractNumId w:val="22"/>
  </w:num>
  <w:num w:numId="16">
    <w:abstractNumId w:val="38"/>
  </w:num>
  <w:num w:numId="17">
    <w:abstractNumId w:val="24"/>
  </w:num>
  <w:num w:numId="18">
    <w:abstractNumId w:val="41"/>
  </w:num>
  <w:num w:numId="19">
    <w:abstractNumId w:val="37"/>
  </w:num>
  <w:num w:numId="20">
    <w:abstractNumId w:val="26"/>
  </w:num>
  <w:num w:numId="21">
    <w:abstractNumId w:val="45"/>
  </w:num>
  <w:num w:numId="22">
    <w:abstractNumId w:val="29"/>
  </w:num>
  <w:num w:numId="23">
    <w:abstractNumId w:val="18"/>
  </w:num>
  <w:num w:numId="24">
    <w:abstractNumId w:val="40"/>
  </w:num>
  <w:num w:numId="25">
    <w:abstractNumId w:val="30"/>
  </w:num>
  <w:num w:numId="26">
    <w:abstractNumId w:val="27"/>
  </w:num>
  <w:num w:numId="27">
    <w:abstractNumId w:val="39"/>
  </w:num>
  <w:num w:numId="28">
    <w:abstractNumId w:val="36"/>
  </w:num>
  <w:num w:numId="29">
    <w:abstractNumId w:val="28"/>
  </w:num>
  <w:num w:numId="30">
    <w:abstractNumId w:val="20"/>
  </w:num>
  <w:num w:numId="31">
    <w:abstractNumId w:val="19"/>
  </w:num>
  <w:num w:numId="32">
    <w:abstractNumId w:val="32"/>
  </w:num>
  <w:num w:numId="33">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4B59"/>
    <w:rsid w:val="00000263"/>
    <w:rsid w:val="00007B8B"/>
    <w:rsid w:val="00023E04"/>
    <w:rsid w:val="000356B0"/>
    <w:rsid w:val="00041DA5"/>
    <w:rsid w:val="00052C24"/>
    <w:rsid w:val="00053A6A"/>
    <w:rsid w:val="00063823"/>
    <w:rsid w:val="00064098"/>
    <w:rsid w:val="00064E0F"/>
    <w:rsid w:val="0007407E"/>
    <w:rsid w:val="00076BA1"/>
    <w:rsid w:val="000846A2"/>
    <w:rsid w:val="000A2579"/>
    <w:rsid w:val="000B6993"/>
    <w:rsid w:val="000E2178"/>
    <w:rsid w:val="000E376F"/>
    <w:rsid w:val="000E7EB7"/>
    <w:rsid w:val="000F4DC6"/>
    <w:rsid w:val="000F50B1"/>
    <w:rsid w:val="000F7181"/>
    <w:rsid w:val="000F7D65"/>
    <w:rsid w:val="00112515"/>
    <w:rsid w:val="00114166"/>
    <w:rsid w:val="00117463"/>
    <w:rsid w:val="00137162"/>
    <w:rsid w:val="00144250"/>
    <w:rsid w:val="00145E6F"/>
    <w:rsid w:val="001528AA"/>
    <w:rsid w:val="0017387D"/>
    <w:rsid w:val="00196B67"/>
    <w:rsid w:val="00197F9A"/>
    <w:rsid w:val="001C0C09"/>
    <w:rsid w:val="001E2556"/>
    <w:rsid w:val="001F3AB3"/>
    <w:rsid w:val="00200A74"/>
    <w:rsid w:val="00213EBD"/>
    <w:rsid w:val="00214E51"/>
    <w:rsid w:val="0021512D"/>
    <w:rsid w:val="00223D99"/>
    <w:rsid w:val="00250FFD"/>
    <w:rsid w:val="002616C9"/>
    <w:rsid w:val="00272BA0"/>
    <w:rsid w:val="002776CD"/>
    <w:rsid w:val="002B74DF"/>
    <w:rsid w:val="002D277C"/>
    <w:rsid w:val="002D6743"/>
    <w:rsid w:val="002D7A99"/>
    <w:rsid w:val="002E738F"/>
    <w:rsid w:val="00312087"/>
    <w:rsid w:val="00322EF7"/>
    <w:rsid w:val="00345578"/>
    <w:rsid w:val="003624B6"/>
    <w:rsid w:val="00383F5A"/>
    <w:rsid w:val="003917E5"/>
    <w:rsid w:val="003A0075"/>
    <w:rsid w:val="003A5DE5"/>
    <w:rsid w:val="003A704B"/>
    <w:rsid w:val="003C4BB4"/>
    <w:rsid w:val="003D1ABD"/>
    <w:rsid w:val="003E743E"/>
    <w:rsid w:val="00404DD9"/>
    <w:rsid w:val="004106AE"/>
    <w:rsid w:val="00427A81"/>
    <w:rsid w:val="004328CC"/>
    <w:rsid w:val="00432C2B"/>
    <w:rsid w:val="00466B49"/>
    <w:rsid w:val="0049162A"/>
    <w:rsid w:val="004940D2"/>
    <w:rsid w:val="004A213E"/>
    <w:rsid w:val="004A2291"/>
    <w:rsid w:val="004B64B6"/>
    <w:rsid w:val="004C341C"/>
    <w:rsid w:val="004C68D1"/>
    <w:rsid w:val="004C7F43"/>
    <w:rsid w:val="004D39A0"/>
    <w:rsid w:val="004D5A38"/>
    <w:rsid w:val="004F1DF1"/>
    <w:rsid w:val="00504B59"/>
    <w:rsid w:val="00525318"/>
    <w:rsid w:val="00525D70"/>
    <w:rsid w:val="005322D3"/>
    <w:rsid w:val="00553941"/>
    <w:rsid w:val="00561B09"/>
    <w:rsid w:val="00565B3C"/>
    <w:rsid w:val="005829ED"/>
    <w:rsid w:val="00585CCA"/>
    <w:rsid w:val="005936D1"/>
    <w:rsid w:val="005979B4"/>
    <w:rsid w:val="005C5883"/>
    <w:rsid w:val="006130F6"/>
    <w:rsid w:val="006206B3"/>
    <w:rsid w:val="00626F60"/>
    <w:rsid w:val="006378A1"/>
    <w:rsid w:val="006445A9"/>
    <w:rsid w:val="00646BD5"/>
    <w:rsid w:val="006531F4"/>
    <w:rsid w:val="00654A0C"/>
    <w:rsid w:val="00661C1E"/>
    <w:rsid w:val="00670B92"/>
    <w:rsid w:val="00676AB6"/>
    <w:rsid w:val="00680579"/>
    <w:rsid w:val="00692D6A"/>
    <w:rsid w:val="006B455B"/>
    <w:rsid w:val="006C1EA4"/>
    <w:rsid w:val="006C386D"/>
    <w:rsid w:val="006C6EFA"/>
    <w:rsid w:val="006E019D"/>
    <w:rsid w:val="006E1A4A"/>
    <w:rsid w:val="006F373D"/>
    <w:rsid w:val="00720F6F"/>
    <w:rsid w:val="0072110A"/>
    <w:rsid w:val="00723757"/>
    <w:rsid w:val="00730632"/>
    <w:rsid w:val="0074289D"/>
    <w:rsid w:val="00745656"/>
    <w:rsid w:val="00746FE3"/>
    <w:rsid w:val="00753BAC"/>
    <w:rsid w:val="00772076"/>
    <w:rsid w:val="00794C48"/>
    <w:rsid w:val="007C1DB4"/>
    <w:rsid w:val="007C629C"/>
    <w:rsid w:val="007F401E"/>
    <w:rsid w:val="007F4EFA"/>
    <w:rsid w:val="008112BA"/>
    <w:rsid w:val="00840F39"/>
    <w:rsid w:val="00850CCA"/>
    <w:rsid w:val="008604D2"/>
    <w:rsid w:val="00862A24"/>
    <w:rsid w:val="0087708D"/>
    <w:rsid w:val="00890057"/>
    <w:rsid w:val="008A2CE2"/>
    <w:rsid w:val="008C325F"/>
    <w:rsid w:val="008C65F9"/>
    <w:rsid w:val="008C78A8"/>
    <w:rsid w:val="008D446B"/>
    <w:rsid w:val="008E69DF"/>
    <w:rsid w:val="008F27F5"/>
    <w:rsid w:val="00917427"/>
    <w:rsid w:val="00946261"/>
    <w:rsid w:val="00991A15"/>
    <w:rsid w:val="009A5B60"/>
    <w:rsid w:val="009A769F"/>
    <w:rsid w:val="009C36FC"/>
    <w:rsid w:val="009D0F01"/>
    <w:rsid w:val="009F03A4"/>
    <w:rsid w:val="00A02E9D"/>
    <w:rsid w:val="00A15F9D"/>
    <w:rsid w:val="00A325A6"/>
    <w:rsid w:val="00A3783E"/>
    <w:rsid w:val="00A555A9"/>
    <w:rsid w:val="00A55BB2"/>
    <w:rsid w:val="00A56739"/>
    <w:rsid w:val="00A5675F"/>
    <w:rsid w:val="00A57A6F"/>
    <w:rsid w:val="00A61437"/>
    <w:rsid w:val="00A62B1F"/>
    <w:rsid w:val="00A9180D"/>
    <w:rsid w:val="00A91867"/>
    <w:rsid w:val="00A96499"/>
    <w:rsid w:val="00A97044"/>
    <w:rsid w:val="00AA1DB3"/>
    <w:rsid w:val="00AA3286"/>
    <w:rsid w:val="00AA65AC"/>
    <w:rsid w:val="00AD24F7"/>
    <w:rsid w:val="00AD3CB7"/>
    <w:rsid w:val="00B01690"/>
    <w:rsid w:val="00B12439"/>
    <w:rsid w:val="00B22415"/>
    <w:rsid w:val="00B25FE0"/>
    <w:rsid w:val="00B408C7"/>
    <w:rsid w:val="00B471D1"/>
    <w:rsid w:val="00B60FF9"/>
    <w:rsid w:val="00B86173"/>
    <w:rsid w:val="00BA1729"/>
    <w:rsid w:val="00BA5285"/>
    <w:rsid w:val="00BC550A"/>
    <w:rsid w:val="00BC5EF3"/>
    <w:rsid w:val="00BD125E"/>
    <w:rsid w:val="00BE0092"/>
    <w:rsid w:val="00BF116B"/>
    <w:rsid w:val="00BF2D97"/>
    <w:rsid w:val="00BF370D"/>
    <w:rsid w:val="00BF7E46"/>
    <w:rsid w:val="00C115F5"/>
    <w:rsid w:val="00C16988"/>
    <w:rsid w:val="00C230FB"/>
    <w:rsid w:val="00C260BC"/>
    <w:rsid w:val="00C319AB"/>
    <w:rsid w:val="00C37297"/>
    <w:rsid w:val="00C37CD8"/>
    <w:rsid w:val="00C43EA7"/>
    <w:rsid w:val="00C46354"/>
    <w:rsid w:val="00C705A3"/>
    <w:rsid w:val="00C7479E"/>
    <w:rsid w:val="00C80AA3"/>
    <w:rsid w:val="00C92B1A"/>
    <w:rsid w:val="00CA1595"/>
    <w:rsid w:val="00CA3C9D"/>
    <w:rsid w:val="00CB0A80"/>
    <w:rsid w:val="00CC47FD"/>
    <w:rsid w:val="00CC579B"/>
    <w:rsid w:val="00CE23CF"/>
    <w:rsid w:val="00CE3842"/>
    <w:rsid w:val="00CF610E"/>
    <w:rsid w:val="00D25FB6"/>
    <w:rsid w:val="00D37A8A"/>
    <w:rsid w:val="00D63202"/>
    <w:rsid w:val="00D7620A"/>
    <w:rsid w:val="00D808C8"/>
    <w:rsid w:val="00DA6C85"/>
    <w:rsid w:val="00DB2651"/>
    <w:rsid w:val="00DB795A"/>
    <w:rsid w:val="00E1501C"/>
    <w:rsid w:val="00E32DDC"/>
    <w:rsid w:val="00E42A28"/>
    <w:rsid w:val="00E47465"/>
    <w:rsid w:val="00E7013C"/>
    <w:rsid w:val="00E72C5C"/>
    <w:rsid w:val="00E801A8"/>
    <w:rsid w:val="00EA4C2A"/>
    <w:rsid w:val="00EC10FF"/>
    <w:rsid w:val="00EE0B29"/>
    <w:rsid w:val="00F064FD"/>
    <w:rsid w:val="00F54950"/>
    <w:rsid w:val="00F56BB3"/>
    <w:rsid w:val="00F723CB"/>
    <w:rsid w:val="00F736E2"/>
    <w:rsid w:val="00F76B83"/>
    <w:rsid w:val="00F8418A"/>
    <w:rsid w:val="00F91E42"/>
    <w:rsid w:val="00F95B38"/>
    <w:rsid w:val="00FA47C6"/>
    <w:rsid w:val="00FB252E"/>
    <w:rsid w:val="00FF3A75"/>
    <w:rsid w:val="00FF6F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chartTrackingRefBased/>
  <w15:docId w15:val="{5B7D43C7-5F31-478E-AF6C-8470D36DF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semiHidden/>
  </w:style>
  <w:style w:type="paragraph" w:customStyle="1" w:styleId="Level1">
    <w:name w:val="Level 1"/>
    <w:basedOn w:val="Normal"/>
    <w:pPr>
      <w:numPr>
        <w:numId w:val="1"/>
      </w:numPr>
      <w:ind w:left="474" w:hanging="186"/>
      <w:outlineLvl w:val="0"/>
    </w:pPr>
  </w:style>
  <w:style w:type="paragraph" w:customStyle="1" w:styleId="Level2">
    <w:name w:val="Level 2"/>
    <w:basedOn w:val="Normal"/>
    <w:pPr>
      <w:ind w:left="722" w:hanging="361"/>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
    <w:name w:val="Body Text Indent"/>
    <w:basedOn w:val="Normal"/>
    <w:pPr>
      <w:tabs>
        <w:tab w:val="left" w:pos="0"/>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style>
  <w:style w:type="paragraph" w:styleId="BodyTextIndent2">
    <w:name w:val="Body Text Indent 2"/>
    <w:basedOn w:val="Normal"/>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rPr>
      <w:b/>
      <w:bCs/>
    </w:rPr>
  </w:style>
  <w:style w:type="paragraph" w:styleId="FootnoteText">
    <w:name w:val="footnote text"/>
    <w:basedOn w:val="Normal"/>
    <w:link w:val="FootnoteTextChar"/>
    <w:uiPriority w:val="99"/>
    <w:semiHidden/>
    <w:rsid w:val="00063823"/>
    <w:rPr>
      <w:sz w:val="20"/>
      <w:szCs w:val="20"/>
    </w:rPr>
  </w:style>
  <w:style w:type="table" w:styleId="TableGrid">
    <w:name w:val="Table Grid"/>
    <w:basedOn w:val="TableNormal"/>
    <w:rsid w:val="00063823"/>
    <w:pPr>
      <w:widowControl w:val="0"/>
      <w:autoSpaceDE w:val="0"/>
      <w:autoSpaceDN w:val="0"/>
      <w:adjustRightInd w:val="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65B3C"/>
    <w:rPr>
      <w:color w:val="0000FF"/>
      <w:u w:val="single"/>
    </w:rPr>
  </w:style>
  <w:style w:type="paragraph" w:styleId="NormalWeb">
    <w:name w:val="Normal (Web)"/>
    <w:basedOn w:val="Normal"/>
    <w:rsid w:val="00565B3C"/>
    <w:pPr>
      <w:widowControl/>
      <w:autoSpaceDE/>
      <w:autoSpaceDN/>
      <w:adjustRightInd/>
      <w:spacing w:before="100" w:beforeAutospacing="1" w:after="100" w:afterAutospacing="1"/>
    </w:pPr>
  </w:style>
  <w:style w:type="character" w:styleId="CommentReference">
    <w:name w:val="annotation reference"/>
    <w:semiHidden/>
    <w:rsid w:val="002776CD"/>
    <w:rPr>
      <w:sz w:val="16"/>
      <w:szCs w:val="16"/>
    </w:rPr>
  </w:style>
  <w:style w:type="paragraph" w:styleId="CommentText">
    <w:name w:val="annotation text"/>
    <w:basedOn w:val="Normal"/>
    <w:semiHidden/>
    <w:rsid w:val="002776CD"/>
    <w:rPr>
      <w:sz w:val="20"/>
      <w:szCs w:val="20"/>
    </w:rPr>
  </w:style>
  <w:style w:type="paragraph" w:styleId="CommentSubject">
    <w:name w:val="annotation subject"/>
    <w:basedOn w:val="CommentText"/>
    <w:next w:val="CommentText"/>
    <w:semiHidden/>
    <w:rsid w:val="002776CD"/>
    <w:rPr>
      <w:b/>
      <w:bCs/>
    </w:rPr>
  </w:style>
  <w:style w:type="paragraph" w:styleId="BalloonText">
    <w:name w:val="Balloon Text"/>
    <w:basedOn w:val="Normal"/>
    <w:semiHidden/>
    <w:rsid w:val="002776CD"/>
    <w:rPr>
      <w:rFonts w:ascii="Tahoma" w:hAnsi="Tahoma" w:cs="Tahoma"/>
      <w:sz w:val="16"/>
      <w:szCs w:val="16"/>
    </w:rPr>
  </w:style>
  <w:style w:type="paragraph" w:customStyle="1" w:styleId="smindent">
    <w:name w:val="smindent"/>
    <w:basedOn w:val="Normal"/>
    <w:rsid w:val="008112BA"/>
    <w:pPr>
      <w:widowControl/>
      <w:autoSpaceDE/>
      <w:autoSpaceDN/>
      <w:adjustRightInd/>
      <w:spacing w:before="100" w:beforeAutospacing="1" w:after="100" w:afterAutospacing="1"/>
    </w:pPr>
    <w:rPr>
      <w:rFonts w:ascii="Verdana" w:hAnsi="Verdana"/>
      <w:color w:val="000000"/>
      <w:sz w:val="14"/>
      <w:szCs w:val="14"/>
    </w:rPr>
  </w:style>
  <w:style w:type="paragraph" w:styleId="ListParagraph">
    <w:name w:val="List Paragraph"/>
    <w:basedOn w:val="Normal"/>
    <w:uiPriority w:val="34"/>
    <w:qFormat/>
    <w:rsid w:val="006130F6"/>
    <w:pPr>
      <w:widowControl/>
      <w:autoSpaceDE/>
      <w:autoSpaceDN/>
      <w:adjustRightInd/>
      <w:ind w:left="720"/>
      <w:contextualSpacing/>
    </w:pPr>
  </w:style>
  <w:style w:type="paragraph" w:styleId="BodyText3">
    <w:name w:val="Body Text 3"/>
    <w:basedOn w:val="Normal"/>
    <w:link w:val="BodyText3Char"/>
    <w:rsid w:val="006531F4"/>
    <w:pPr>
      <w:widowControl/>
      <w:autoSpaceDE/>
      <w:autoSpaceDN/>
      <w:adjustRightInd/>
      <w:spacing w:after="120"/>
    </w:pPr>
    <w:rPr>
      <w:sz w:val="16"/>
      <w:szCs w:val="16"/>
    </w:rPr>
  </w:style>
  <w:style w:type="character" w:customStyle="1" w:styleId="BodyText3Char">
    <w:name w:val="Body Text 3 Char"/>
    <w:link w:val="BodyText3"/>
    <w:rsid w:val="006531F4"/>
    <w:rPr>
      <w:sz w:val="16"/>
      <w:szCs w:val="16"/>
    </w:rPr>
  </w:style>
  <w:style w:type="paragraph" w:styleId="BodyText2">
    <w:name w:val="Body Text 2"/>
    <w:basedOn w:val="Normal"/>
    <w:link w:val="BodyText2Char"/>
    <w:rsid w:val="006531F4"/>
    <w:pPr>
      <w:spacing w:after="120" w:line="480" w:lineRule="auto"/>
    </w:pPr>
  </w:style>
  <w:style w:type="character" w:customStyle="1" w:styleId="BodyText2Char">
    <w:name w:val="Body Text 2 Char"/>
    <w:link w:val="BodyText2"/>
    <w:rsid w:val="006531F4"/>
    <w:rPr>
      <w:sz w:val="24"/>
      <w:szCs w:val="24"/>
    </w:rPr>
  </w:style>
  <w:style w:type="character" w:customStyle="1" w:styleId="FootnoteTextChar">
    <w:name w:val="Footnote Text Char"/>
    <w:link w:val="FootnoteText"/>
    <w:uiPriority w:val="99"/>
    <w:semiHidden/>
    <w:rsid w:val="00F723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5916609">
      <w:bodyDiv w:val="1"/>
      <w:marLeft w:val="0"/>
      <w:marRight w:val="0"/>
      <w:marTop w:val="0"/>
      <w:marBottom w:val="0"/>
      <w:divBdr>
        <w:top w:val="none" w:sz="0" w:space="0" w:color="auto"/>
        <w:left w:val="none" w:sz="0" w:space="0" w:color="auto"/>
        <w:bottom w:val="none" w:sz="0" w:space="0" w:color="auto"/>
        <w:right w:val="none" w:sz="0" w:space="0" w:color="auto"/>
      </w:divBdr>
    </w:div>
    <w:div w:id="1770660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71412000D38AE49A96220D8AA06CE21" ma:contentTypeVersion="0" ma:contentTypeDescription="Create a new document." ma:contentTypeScope="" ma:versionID="4fa7d5a945e9300158a06e9b40cb6f32">
  <xsd:schema xmlns:xsd="http://www.w3.org/2001/XMLSchema" xmlns:xs="http://www.w3.org/2001/XMLSchema" xmlns:p="http://schemas.microsoft.com/office/2006/metadata/properties" xmlns:ns2="52222ef0-b167-44f5-92f7-438fda0857cd" xmlns:ns3="5edbe80d-e595-46b9-be3c-e61540003b6e" xmlns:ns4="a72e793b-3538-4bdd-876b-5e2b29c97fba" targetNamespace="http://schemas.microsoft.com/office/2006/metadata/properties" ma:root="true" ma:fieldsID="87ede38138ad011fe58511e80ec564e1" ns2:_="" ns3:_="" ns4:_="">
    <xsd:import namespace="52222ef0-b167-44f5-92f7-438fda0857cd"/>
    <xsd:import namespace="5edbe80d-e595-46b9-be3c-e61540003b6e"/>
    <xsd:import namespace="a72e793b-3538-4bdd-876b-5e2b29c97fba"/>
    <xsd:element name="properties">
      <xsd:complexType>
        <xsd:sequence>
          <xsd:element name="documentManagement">
            <xsd:complexType>
              <xsd:all>
                <xsd:element ref="ns2:_dlc_DocId" minOccurs="0"/>
                <xsd:element ref="ns2:_dlc_DocIdUrl" minOccurs="0"/>
                <xsd:element ref="ns2:_dlc_DocIdPersistId" minOccurs="0"/>
                <xsd:element ref="ns3:Vital_x0020_Record" minOccurs="0"/>
                <xsd:element ref="ns4:_dlc_BarcodeValue" minOccurs="0"/>
                <xsd:element ref="ns4:_dlc_BarcodeImage" minOccurs="0"/>
                <xsd:element ref="ns4:_dlc_BarcodePrevie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222ef0-b167-44f5-92f7-438fda0857c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edbe80d-e595-46b9-be3c-e61540003b6e" elementFormDefault="qualified">
    <xsd:import namespace="http://schemas.microsoft.com/office/2006/documentManagement/types"/>
    <xsd:import namespace="http://schemas.microsoft.com/office/infopath/2007/PartnerControls"/>
    <xsd:element name="Vital_x0020_Record" ma:index="11" nillable="true" ma:displayName="Vital Record" ma:default="No" ma:format="Dropdown" ma:internalName="Vital_x0020_Record">
      <xsd:simpleType>
        <xsd:restriction base="dms:Choice">
          <xsd:enumeration value="Yes"/>
          <xsd:enumeration value="No"/>
        </xsd:restriction>
      </xsd:simpleType>
    </xsd:element>
  </xsd:schema>
  <xsd:schema xmlns:xsd="http://www.w3.org/2001/XMLSchema" xmlns:xs="http://www.w3.org/2001/XMLSchema" xmlns:dms="http://schemas.microsoft.com/office/2006/documentManagement/types" xmlns:pc="http://schemas.microsoft.com/office/infopath/2007/PartnerControls" targetNamespace="a72e793b-3538-4bdd-876b-5e2b29c97fba" elementFormDefault="qualified">
    <xsd:import namespace="http://schemas.microsoft.com/office/2006/documentManagement/types"/>
    <xsd:import namespace="http://schemas.microsoft.com/office/infopath/2007/PartnerControls"/>
    <xsd:element name="_dlc_BarcodeValue" ma:index="12" nillable="true" ma:displayName="Barcode Value" ma:description="The value of the barcode assigned to this item." ma:internalName="_dlc_BarcodeValue" ma:readOnly="true">
      <xsd:simpleType>
        <xsd:restriction base="dms:Text"/>
      </xsd:simpleType>
    </xsd:element>
    <xsd:element name="_dlc_BarcodeImage" ma:index="13" nillable="true" ma:displayName="Barcode Image" ma:description="" ma:hidden="true" ma:internalName="_dlc_BarcodeImage" ma:readOnly="false">
      <xsd:simpleType>
        <xsd:restriction base="dms:Note"/>
      </xsd:simpleType>
    </xsd:element>
    <xsd:element name="_dlc_BarcodePreview" ma:index="14" nillable="true" ma:displayName="Barcode" ma:description="The barcode assigned to this item." ma:format="Image" ma:hidden="true" ma:internalName="_dlc_BarcodePreview" ma:readOnly="true">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
    <Name>Policy Barcode Generator</Name>
    <Synchronization>Synchronous</Synchronization>
    <Type>10001</Type>
    <SequenceNumber>1000</SequenceNumber>
    <Assembly>Microsoft.Office.Policy, Version=14.0.0.0, Culture=neutral, PublicKeyToken=71e9bce111e9429c</Assembly>
    <Class>Microsoft.Office.RecordsManagement.Internal.BarcodeHandler</Class>
    <Data/>
    <Filter/>
  </Receiver>
  <Receiver>
    <Name>Policy Barcode Generator</Name>
    <Synchronization>Synchronous</Synchronization>
    <Type>10002</Type>
    <SequenceNumber>1001</SequenceNumber>
    <Assembly>Microsoft.Office.Policy, Version=14.0.0.0, Culture=neutral, PublicKeyToken=71e9bce111e9429c</Assembly>
    <Class>Microsoft.Office.RecordsManagement.Internal.BarcodeHandler</Class>
    <Data/>
    <Filter/>
  </Receiver>
  <Receiver>
    <Name>Policy Barcode Generator</Name>
    <Synchronization>Synchronous</Synchronization>
    <Type>10004</Type>
    <SequenceNumber>1002</SequenceNumber>
    <Assembly>Microsoft.Office.Policy, Version=14.0.0.0, Culture=neutral, PublicKeyToken=71e9bce111e9429c</Assembly>
    <Class>Microsoft.Office.RecordsManagement.Internal.BarcodeHandler</Class>
    <Data/>
    <Filter/>
  </Receiver>
  <Receiver>
    <Name>Policy Barcode Generator</Name>
    <Synchronization>Synchronous</Synchronization>
    <Type>10006</Type>
    <SequenceNumber>1003</SequenceNumber>
    <Assembly>Microsoft.Office.Policy, Version=14.0.0.0, Culture=neutral, PublicKeyToken=71e9bce111e9429c</Assembly>
    <Class>Microsoft.Office.RecordsManagement.Internal.BarcodeHandler</Class>
    <Data/>
    <Filter/>
  </Receiver>
</spe:Receivers>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Vital_x0020_Record xmlns="5edbe80d-e595-46b9-be3c-e61540003b6e">No</Vital_x0020_Record>
    <_dlc_BarcodeImage xmlns="a72e793b-3538-4bdd-876b-5e2b29c97fba" xsi:nil="true"/>
  </documentManagement>
</p:properties>
</file>

<file path=customXml/itemProps1.xml><?xml version="1.0" encoding="utf-8"?>
<ds:datastoreItem xmlns:ds="http://schemas.openxmlformats.org/officeDocument/2006/customXml" ds:itemID="{FB7DAAFD-A1C3-4555-A046-6D1B41BD7142}">
  <ds:schemaRefs>
    <ds:schemaRef ds:uri="http://schemas.microsoft.com/sharepoint/v3/contenttype/forms"/>
  </ds:schemaRefs>
</ds:datastoreItem>
</file>

<file path=customXml/itemProps2.xml><?xml version="1.0" encoding="utf-8"?>
<ds:datastoreItem xmlns:ds="http://schemas.openxmlformats.org/officeDocument/2006/customXml" ds:itemID="{1CE39A8F-6B46-40E0-B7C2-5DA4DAE268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222ef0-b167-44f5-92f7-438fda0857cd"/>
    <ds:schemaRef ds:uri="5edbe80d-e595-46b9-be3c-e61540003b6e"/>
    <ds:schemaRef ds:uri="a72e793b-3538-4bdd-876b-5e2b29c97f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234B25C-3BC6-4E51-B33D-0056DDB4B471}">
  <ds:schemaRefs>
    <ds:schemaRef ds:uri="http://schemas.microsoft.com/sharepoint/events"/>
  </ds:schemaRefs>
</ds:datastoreItem>
</file>

<file path=customXml/itemProps4.xml><?xml version="1.0" encoding="utf-8"?>
<ds:datastoreItem xmlns:ds="http://schemas.openxmlformats.org/officeDocument/2006/customXml" ds:itemID="{01F0E273-8D6C-440A-B6CD-507BB1C6BC2A}">
  <ds:schemaRefs>
    <ds:schemaRef ds:uri="http://schemas.microsoft.com/office/2006/metadata/longProperties"/>
  </ds:schemaRefs>
</ds:datastoreItem>
</file>

<file path=customXml/itemProps5.xml><?xml version="1.0" encoding="utf-8"?>
<ds:datastoreItem xmlns:ds="http://schemas.openxmlformats.org/officeDocument/2006/customXml" ds:itemID="{429B6463-C433-40B1-971D-7867226E8C45}">
  <ds:schemaRef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5edbe80d-e595-46b9-be3c-e61540003b6e"/>
    <ds:schemaRef ds:uri="52222ef0-b167-44f5-92f7-438fda0857cd"/>
    <ds:schemaRef ds:uri="http://purl.org/dc/terms/"/>
    <ds:schemaRef ds:uri="a72e793b-3538-4bdd-876b-5e2b29c97fba"/>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733</Words>
  <Characters>4376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DRAFT</vt:lpstr>
    </vt:vector>
  </TitlesOfParts>
  <Company>USDA Forest Service</Company>
  <LinksUpToDate>false</LinksUpToDate>
  <CharactersWithSpaces>5099</CharactersWithSpaces>
  <SharedDoc>false</SharedDoc>
  <HLinks>
    <vt:vector size="6" baseType="variant">
      <vt:variant>
        <vt:i4>5242977</vt:i4>
      </vt:variant>
      <vt:variant>
        <vt:i4>0</vt:i4>
      </vt:variant>
      <vt:variant>
        <vt:i4>0</vt:i4>
      </vt:variant>
      <vt:variant>
        <vt:i4>5</vt:i4>
      </vt:variant>
      <vt:variant>
        <vt:lpwstr>https://www.bls.gov/news.release/ecec.t04.htm</vt:lpwstr>
      </vt:variant>
      <vt:variant>
        <vt:lpwstr>ect_table4.f.1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dc:title>
  <dc:subject/>
  <dc:creator>PCxx</dc:creator>
  <cp:keywords/>
  <cp:lastModifiedBy>Stasko, Molly</cp:lastModifiedBy>
  <cp:revision>3</cp:revision>
  <cp:lastPrinted>2019-08-19T18:20:00Z</cp:lastPrinted>
  <dcterms:created xsi:type="dcterms:W3CDTF">2020-09-25T16:25:00Z</dcterms:created>
  <dcterms:modified xsi:type="dcterms:W3CDTF">2020-09-25T16:52:00Z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DOPTR-1166-1173</vt:lpwstr>
  </property>
  <property fmtid="{D5CDD505-2E9C-101B-9397-08002B2CF9AE}" pid="3" name="_dlc_DocIdItemGuid">
    <vt:lpwstr>d186e37a-e02a-4566-8549-aff1eb0f2f67</vt:lpwstr>
  </property>
  <property fmtid="{D5CDD505-2E9C-101B-9397-08002B2CF9AE}" pid="4" name="_dlc_DocIdUrl">
    <vt:lpwstr>https://thegreen.treas.gov/do/ptr/optr/treasuryrecords/pra/_layouts/DocIdRedir.aspx?ID=DOPTR-1166-1173, DOPTR-1166-1173</vt:lpwstr>
  </property>
</Properties>
</file>