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691" w:rsidP="00EC1691" w:rsidRDefault="00EC1691" w14:paraId="146A74A8" w14:textId="77777777">
      <w:pPr>
        <w:jc w:val="center"/>
        <w:rPr>
          <w:rFonts w:ascii="Arial" w:hAnsi="Arial" w:cs="Arial"/>
          <w:b/>
        </w:rPr>
      </w:pPr>
      <w:r w:rsidRPr="000B565D">
        <w:rPr>
          <w:rFonts w:ascii="Arial" w:hAnsi="Arial" w:cs="Arial"/>
          <w:b/>
        </w:rPr>
        <w:t>SUPPORTING STATEMENT</w:t>
      </w:r>
    </w:p>
    <w:p w:rsidRPr="000B565D" w:rsidR="00A81DEF" w:rsidP="00EC1691" w:rsidRDefault="00A81DEF" w14:paraId="5309FD63" w14:textId="77777777">
      <w:pPr>
        <w:jc w:val="center"/>
        <w:rPr>
          <w:rFonts w:ascii="Arial" w:hAnsi="Arial" w:cs="Arial"/>
          <w:b/>
        </w:rPr>
      </w:pPr>
      <w:r w:rsidRPr="00A81DEF">
        <w:rPr>
          <w:rFonts w:ascii="Arial" w:hAnsi="Arial" w:cs="Arial"/>
          <w:b/>
        </w:rPr>
        <w:t>Internal Revenue Service</w:t>
      </w:r>
    </w:p>
    <w:p w:rsidRPr="000B565D" w:rsidR="0029590F" w:rsidP="006628AA" w:rsidRDefault="0029590F" w14:paraId="68E2C554" w14:textId="77777777">
      <w:pPr>
        <w:jc w:val="center"/>
        <w:rPr>
          <w:rFonts w:ascii="Arial" w:hAnsi="Arial" w:cs="Arial"/>
          <w:b/>
        </w:rPr>
      </w:pPr>
      <w:r w:rsidRPr="000B565D">
        <w:rPr>
          <w:rFonts w:ascii="Arial" w:hAnsi="Arial" w:cs="Arial"/>
          <w:b/>
        </w:rPr>
        <w:t>Tax on Certain Foreign Procurement</w:t>
      </w:r>
    </w:p>
    <w:p w:rsidRPr="000B565D" w:rsidR="0029590F" w:rsidP="006628AA" w:rsidRDefault="0029590F" w14:paraId="5EB91EE0" w14:textId="77777777">
      <w:pPr>
        <w:jc w:val="center"/>
        <w:rPr>
          <w:rFonts w:ascii="Arial" w:hAnsi="Arial" w:cs="Arial"/>
          <w:b/>
        </w:rPr>
      </w:pPr>
      <w:r w:rsidRPr="000B565D">
        <w:rPr>
          <w:rFonts w:ascii="Arial" w:hAnsi="Arial" w:cs="Arial"/>
          <w:b/>
        </w:rPr>
        <w:t>(</w:t>
      </w:r>
      <w:r w:rsidRPr="000B565D" w:rsidR="00AD42E3">
        <w:rPr>
          <w:rFonts w:ascii="Arial" w:hAnsi="Arial" w:cs="Arial"/>
          <w:b/>
        </w:rPr>
        <w:t>TD 9782</w:t>
      </w:r>
      <w:r w:rsidRPr="000B565D">
        <w:rPr>
          <w:rFonts w:ascii="Arial" w:hAnsi="Arial" w:cs="Arial"/>
          <w:b/>
        </w:rPr>
        <w:t xml:space="preserve">) </w:t>
      </w:r>
      <w:r w:rsidR="003B6784">
        <w:rPr>
          <w:rFonts w:ascii="Arial" w:hAnsi="Arial" w:cs="Arial"/>
          <w:b/>
        </w:rPr>
        <w:t>Tax on Certain Foreign Procurement</w:t>
      </w:r>
    </w:p>
    <w:p w:rsidRPr="000B565D" w:rsidR="000D487A" w:rsidP="006628AA" w:rsidRDefault="00EC1691" w14:paraId="7EE25EC6" w14:textId="65C7B447">
      <w:pPr>
        <w:jc w:val="center"/>
        <w:rPr>
          <w:rFonts w:ascii="Arial" w:hAnsi="Arial" w:cs="Arial"/>
          <w:b/>
        </w:rPr>
      </w:pPr>
      <w:r w:rsidRPr="000B565D">
        <w:rPr>
          <w:rFonts w:ascii="Arial" w:hAnsi="Arial" w:cs="Arial"/>
          <w:b/>
        </w:rPr>
        <w:t>(Form W-</w:t>
      </w:r>
      <w:r w:rsidRPr="000B565D" w:rsidR="004042AA">
        <w:rPr>
          <w:rFonts w:ascii="Arial" w:hAnsi="Arial" w:cs="Arial"/>
          <w:b/>
        </w:rPr>
        <w:t>14 Certificate</w:t>
      </w:r>
      <w:r w:rsidRPr="000B565D" w:rsidR="00344328">
        <w:rPr>
          <w:rFonts w:ascii="Arial" w:hAnsi="Arial" w:cs="Arial"/>
          <w:b/>
        </w:rPr>
        <w:t xml:space="preserve"> of Foreign Contracting Party Receiving Federal Procurement Payments</w:t>
      </w:r>
      <w:r w:rsidRPr="000B565D">
        <w:rPr>
          <w:rFonts w:ascii="Arial" w:hAnsi="Arial" w:cs="Arial"/>
          <w:b/>
        </w:rPr>
        <w:t>)</w:t>
      </w:r>
    </w:p>
    <w:p w:rsidRPr="000B565D" w:rsidR="004042AA" w:rsidP="004042AA" w:rsidRDefault="004042AA" w14:paraId="1769F8D1" w14:textId="77777777">
      <w:pPr>
        <w:jc w:val="center"/>
        <w:rPr>
          <w:rFonts w:ascii="Arial" w:hAnsi="Arial" w:cs="Arial"/>
          <w:b/>
        </w:rPr>
      </w:pPr>
      <w:r w:rsidRPr="000B565D">
        <w:rPr>
          <w:rFonts w:ascii="Arial" w:hAnsi="Arial" w:cs="Arial"/>
          <w:b/>
        </w:rPr>
        <w:t>OMB Control Number 1545-2263</w:t>
      </w:r>
    </w:p>
    <w:p w:rsidRPr="000B565D" w:rsidR="007E4A9B" w:rsidP="007E4A9B" w:rsidRDefault="007E4A9B" w14:paraId="4D5AC53E" w14:textId="77777777">
      <w:pPr>
        <w:jc w:val="center"/>
        <w:rPr>
          <w:rFonts w:ascii="Arial" w:hAnsi="Arial" w:cs="Arial"/>
        </w:rPr>
      </w:pPr>
    </w:p>
    <w:p w:rsidRPr="000B565D" w:rsidR="007E4A9B" w:rsidP="007E4A9B" w:rsidRDefault="007E4A9B" w14:paraId="2E4DCA58" w14:textId="77777777">
      <w:pPr>
        <w:jc w:val="center"/>
        <w:rPr>
          <w:rFonts w:ascii="Arial" w:hAnsi="Arial" w:cs="Arial"/>
        </w:rPr>
      </w:pPr>
    </w:p>
    <w:p w:rsidRPr="000B565D" w:rsidR="007E4A9B" w:rsidP="007E4A9B" w:rsidRDefault="007E4A9B" w14:paraId="79585E3E" w14:textId="77777777">
      <w:pPr>
        <w:numPr>
          <w:ilvl w:val="0"/>
          <w:numId w:val="1"/>
        </w:numPr>
        <w:rPr>
          <w:rFonts w:ascii="Arial" w:hAnsi="Arial" w:cs="Arial"/>
          <w:u w:val="single"/>
        </w:rPr>
      </w:pPr>
      <w:r w:rsidRPr="000B565D">
        <w:rPr>
          <w:rFonts w:ascii="Arial" w:hAnsi="Arial" w:cs="Arial"/>
          <w:u w:val="single"/>
        </w:rPr>
        <w:t>CIRCUMSTANCES NECESSITATING COLLECTION OF INFORMATION</w:t>
      </w:r>
    </w:p>
    <w:p w:rsidRPr="000B565D" w:rsidR="00DF54D1" w:rsidP="00DF54D1" w:rsidRDefault="00DF54D1" w14:paraId="4E246D47" w14:textId="77777777">
      <w:pPr>
        <w:rPr>
          <w:rFonts w:ascii="Arial" w:hAnsi="Arial" w:cs="Arial"/>
          <w:u w:val="single"/>
        </w:rPr>
      </w:pPr>
    </w:p>
    <w:p w:rsidRPr="000B565D" w:rsidR="00DF54D1" w:rsidP="00DF54D1" w:rsidRDefault="00AD42E3" w14:paraId="66812744" w14:textId="77777777">
      <w:pPr>
        <w:ind w:left="720"/>
        <w:rPr>
          <w:rFonts w:ascii="Arial" w:hAnsi="Arial" w:cs="Arial"/>
        </w:rPr>
      </w:pPr>
      <w:r w:rsidRPr="000B565D">
        <w:rPr>
          <w:rFonts w:ascii="Arial" w:hAnsi="Arial" w:cs="Arial"/>
        </w:rPr>
        <w:t>T</w:t>
      </w:r>
      <w:r w:rsidR="003B6784">
        <w:rPr>
          <w:rFonts w:ascii="Arial" w:hAnsi="Arial" w:cs="Arial"/>
        </w:rPr>
        <w:t xml:space="preserve">reasury </w:t>
      </w:r>
      <w:r w:rsidRPr="000B565D">
        <w:rPr>
          <w:rFonts w:ascii="Arial" w:hAnsi="Arial" w:cs="Arial"/>
        </w:rPr>
        <w:t>D</w:t>
      </w:r>
      <w:r w:rsidR="003B6784">
        <w:rPr>
          <w:rFonts w:ascii="Arial" w:hAnsi="Arial" w:cs="Arial"/>
        </w:rPr>
        <w:t>ecision</w:t>
      </w:r>
      <w:r w:rsidRPr="000B565D">
        <w:rPr>
          <w:rFonts w:ascii="Arial" w:hAnsi="Arial" w:cs="Arial"/>
        </w:rPr>
        <w:t xml:space="preserve"> 9782</w:t>
      </w:r>
      <w:r w:rsidRPr="000B565D" w:rsidR="00DF54D1">
        <w:rPr>
          <w:rFonts w:ascii="Arial" w:hAnsi="Arial" w:cs="Arial"/>
        </w:rPr>
        <w:t xml:space="preserve"> contains </w:t>
      </w:r>
      <w:r w:rsidR="003B6784">
        <w:rPr>
          <w:rFonts w:ascii="Arial" w:hAnsi="Arial" w:cs="Arial"/>
        </w:rPr>
        <w:t>Treasury R</w:t>
      </w:r>
      <w:r w:rsidRPr="000B565D" w:rsidR="003B6784">
        <w:rPr>
          <w:rFonts w:ascii="Arial" w:hAnsi="Arial" w:cs="Arial"/>
        </w:rPr>
        <w:t xml:space="preserve">egulations </w:t>
      </w:r>
      <w:r w:rsidRPr="000B565D" w:rsidR="00DF54D1">
        <w:rPr>
          <w:rFonts w:ascii="Arial" w:hAnsi="Arial" w:cs="Arial"/>
        </w:rPr>
        <w:t>(REG 103281-11) under section 5000C of the Internal Revenue Code relating to the 2 percent tax on payments made by the U.S. government to foreign persons pursuant to certain contracts.  The</w:t>
      </w:r>
      <w:r w:rsidRPr="000B565D" w:rsidR="00971AD7">
        <w:rPr>
          <w:rFonts w:ascii="Arial" w:hAnsi="Arial" w:cs="Arial"/>
        </w:rPr>
        <w:t xml:space="preserve"> </w:t>
      </w:r>
      <w:r w:rsidRPr="000B565D" w:rsidR="00DF54D1">
        <w:rPr>
          <w:rFonts w:ascii="Arial" w:hAnsi="Arial" w:cs="Arial"/>
        </w:rPr>
        <w:t xml:space="preserve">regulations affect U.S. government acquiring agencies and foreign persons providing certain goods or services to the U.S. government pursuant to a contract.  This document also contains regulations under section 6114, with respect to foreign persons claiming an exemption from the tax under an income tax treaty.  </w:t>
      </w:r>
    </w:p>
    <w:p w:rsidRPr="000B565D" w:rsidR="00DF54D1" w:rsidP="00DF54D1" w:rsidRDefault="00DF54D1" w14:paraId="03CC39D1" w14:textId="77777777">
      <w:pPr>
        <w:ind w:left="720"/>
        <w:rPr>
          <w:rFonts w:ascii="Arial" w:hAnsi="Arial" w:cs="Arial"/>
        </w:rPr>
      </w:pPr>
    </w:p>
    <w:p w:rsidR="009A4173" w:rsidP="0029590F" w:rsidRDefault="00DF54D1" w14:paraId="4CD2BFCC" w14:textId="77777777">
      <w:pPr>
        <w:widowControl w:val="0"/>
        <w:autoSpaceDE w:val="0"/>
        <w:autoSpaceDN w:val="0"/>
        <w:adjustRightInd w:val="0"/>
        <w:ind w:left="720"/>
        <w:rPr>
          <w:rFonts w:ascii="Arial" w:hAnsi="Arial" w:cs="Arial"/>
        </w:rPr>
      </w:pPr>
      <w:r w:rsidRPr="000B565D">
        <w:rPr>
          <w:rFonts w:ascii="Arial" w:hAnsi="Arial" w:cs="Arial"/>
        </w:rPr>
        <w:t xml:space="preserve">The collection of information in the regulations is contained in a number of provisions including §§1.5000C-2, 1.5000C-3, and 1.5000C-4.  </w:t>
      </w:r>
      <w:r w:rsidR="009A4173">
        <w:rPr>
          <w:rFonts w:ascii="Arial" w:hAnsi="Arial" w:cs="Arial"/>
        </w:rPr>
        <w:t>The foreign p</w:t>
      </w:r>
      <w:r w:rsidR="00C65CD1">
        <w:rPr>
          <w:rFonts w:ascii="Arial" w:hAnsi="Arial" w:cs="Arial"/>
        </w:rPr>
        <w:t>arty</w:t>
      </w:r>
      <w:r w:rsidR="009A4173">
        <w:rPr>
          <w:rFonts w:ascii="Arial" w:hAnsi="Arial" w:cs="Arial"/>
        </w:rPr>
        <w:t xml:space="preserve"> receiving the payments r</w:t>
      </w:r>
      <w:r w:rsidRPr="000B565D" w:rsidR="009A4173">
        <w:rPr>
          <w:rFonts w:ascii="Arial" w:hAnsi="Arial" w:cs="Arial"/>
        </w:rPr>
        <w:t>espon</w:t>
      </w:r>
      <w:r w:rsidR="009A4173">
        <w:rPr>
          <w:rFonts w:ascii="Arial" w:hAnsi="Arial" w:cs="Arial"/>
        </w:rPr>
        <w:t>d</w:t>
      </w:r>
      <w:r w:rsidRPr="000B565D" w:rsidR="009A4173">
        <w:rPr>
          <w:rFonts w:ascii="Arial" w:hAnsi="Arial" w:cs="Arial"/>
        </w:rPr>
        <w:t xml:space="preserve">s </w:t>
      </w:r>
      <w:r w:rsidRPr="000B565D">
        <w:rPr>
          <w:rFonts w:ascii="Arial" w:hAnsi="Arial" w:cs="Arial"/>
        </w:rPr>
        <w:t>to these collections of information</w:t>
      </w:r>
      <w:r w:rsidR="009A4173">
        <w:rPr>
          <w:rFonts w:ascii="Arial" w:hAnsi="Arial" w:cs="Arial"/>
        </w:rPr>
        <w:t>. They</w:t>
      </w:r>
      <w:r w:rsidRPr="000B565D">
        <w:rPr>
          <w:rFonts w:ascii="Arial" w:hAnsi="Arial" w:cs="Arial"/>
        </w:rPr>
        <w:t xml:space="preserve"> are required to verify the </w:t>
      </w:r>
      <w:r w:rsidR="00C65CD1">
        <w:rPr>
          <w:rFonts w:ascii="Arial" w:hAnsi="Arial" w:cs="Arial"/>
        </w:rPr>
        <w:t xml:space="preserve">foreign </w:t>
      </w:r>
      <w:r w:rsidRPr="000B565D">
        <w:rPr>
          <w:rFonts w:ascii="Arial" w:hAnsi="Arial" w:cs="Arial"/>
        </w:rPr>
        <w:t xml:space="preserve">status </w:t>
      </w:r>
      <w:r w:rsidR="009A4173">
        <w:rPr>
          <w:rFonts w:ascii="Arial" w:hAnsi="Arial" w:cs="Arial"/>
        </w:rPr>
        <w:t>that received the</w:t>
      </w:r>
      <w:r w:rsidRPr="000B565D">
        <w:rPr>
          <w:rFonts w:ascii="Arial" w:hAnsi="Arial" w:cs="Arial"/>
        </w:rPr>
        <w:t xml:space="preserve"> Federal procurement payments subject to the section 5000C</w:t>
      </w:r>
      <w:r w:rsidR="009A4173">
        <w:rPr>
          <w:rFonts w:ascii="Arial" w:hAnsi="Arial" w:cs="Arial"/>
        </w:rPr>
        <w:t xml:space="preserve">. </w:t>
      </w:r>
      <w:r w:rsidRPr="000B565D">
        <w:rPr>
          <w:rFonts w:ascii="Arial" w:hAnsi="Arial" w:cs="Arial"/>
        </w:rPr>
        <w:t xml:space="preserve"> </w:t>
      </w:r>
      <w:r w:rsidR="009A4173">
        <w:rPr>
          <w:rFonts w:ascii="Arial" w:hAnsi="Arial" w:cs="Arial"/>
        </w:rPr>
        <w:t>The foreign p</w:t>
      </w:r>
      <w:r w:rsidR="00C65CD1">
        <w:rPr>
          <w:rFonts w:ascii="Arial" w:hAnsi="Arial" w:cs="Arial"/>
        </w:rPr>
        <w:t>arty</w:t>
      </w:r>
      <w:r w:rsidR="009A4173">
        <w:rPr>
          <w:rFonts w:ascii="Arial" w:hAnsi="Arial" w:cs="Arial"/>
        </w:rPr>
        <w:t xml:space="preserve"> is allowed </w:t>
      </w:r>
      <w:r w:rsidRPr="000B565D">
        <w:rPr>
          <w:rFonts w:ascii="Arial" w:hAnsi="Arial" w:cs="Arial"/>
        </w:rPr>
        <w:t xml:space="preserve">to obtain a benefit (to claim an exemption to, or a reduction in, withholding); and to facilitate tax compliance (to verify entitlement to an exemption).  </w:t>
      </w:r>
    </w:p>
    <w:p w:rsidR="009A4173" w:rsidP="0029590F" w:rsidRDefault="009A4173" w14:paraId="4C14C9C7" w14:textId="77777777">
      <w:pPr>
        <w:widowControl w:val="0"/>
        <w:autoSpaceDE w:val="0"/>
        <w:autoSpaceDN w:val="0"/>
        <w:adjustRightInd w:val="0"/>
        <w:ind w:left="720"/>
        <w:rPr>
          <w:rFonts w:ascii="Arial" w:hAnsi="Arial" w:cs="Arial"/>
        </w:rPr>
      </w:pPr>
    </w:p>
    <w:p w:rsidRPr="000B565D" w:rsidR="0029590F" w:rsidP="0029590F" w:rsidRDefault="00F2699B" w14:paraId="548DBADF" w14:textId="77777777">
      <w:pPr>
        <w:widowControl w:val="0"/>
        <w:autoSpaceDE w:val="0"/>
        <w:autoSpaceDN w:val="0"/>
        <w:adjustRightInd w:val="0"/>
        <w:ind w:left="720"/>
        <w:rPr>
          <w:rFonts w:ascii="Arial" w:hAnsi="Arial" w:cs="Arial"/>
        </w:rPr>
      </w:pPr>
      <w:r w:rsidRPr="000B565D">
        <w:rPr>
          <w:rFonts w:ascii="Arial" w:hAnsi="Arial" w:cs="Arial"/>
        </w:rPr>
        <w:t>The IRS intends that these information collection requirements will be satisfied primarily on existing chapter 3 withholding forms by U.S. government acquiring agencies, along with Form 1120-F, “U.S. Income Tax Return of a Foreign Corporation,” and Form 1040NR, “</w:t>
      </w:r>
      <w:r w:rsidRPr="000B565D">
        <w:rPr>
          <w:rFonts w:ascii="Arial" w:hAnsi="Arial" w:cs="Arial"/>
          <w:bCs/>
        </w:rPr>
        <w:t>U.S. Nonresident Alien Income Tax Return.”</w:t>
      </w:r>
      <w:r w:rsidRPr="000B565D">
        <w:rPr>
          <w:rFonts w:ascii="Arial" w:hAnsi="Arial" w:cs="Arial"/>
        </w:rPr>
        <w:t xml:space="preserve">    However, in certain circumstances, foreign persons must collect certain information in order to demonstrate to an acquiring agency the appropriate amount to withhold, if any, on a Section 5000C Certificate (Form W-14).  </w:t>
      </w:r>
    </w:p>
    <w:p w:rsidRPr="000B565D" w:rsidR="0029590F" w:rsidP="0029590F" w:rsidRDefault="0029590F" w14:paraId="5C46E636" w14:textId="77777777">
      <w:pPr>
        <w:widowControl w:val="0"/>
        <w:autoSpaceDE w:val="0"/>
        <w:autoSpaceDN w:val="0"/>
        <w:adjustRightInd w:val="0"/>
        <w:ind w:left="720"/>
        <w:rPr>
          <w:rFonts w:ascii="Arial" w:hAnsi="Arial" w:cs="Arial"/>
          <w:u w:val="single"/>
        </w:rPr>
      </w:pPr>
    </w:p>
    <w:p w:rsidRPr="000B565D" w:rsidR="00E1747C" w:rsidP="00E1747C" w:rsidRDefault="00E1747C" w14:paraId="26FA805B" w14:textId="77777777">
      <w:pPr>
        <w:ind w:left="720"/>
        <w:rPr>
          <w:rFonts w:ascii="Arial" w:hAnsi="Arial" w:cs="Arial"/>
        </w:rPr>
      </w:pPr>
      <w:r w:rsidRPr="000B565D">
        <w:rPr>
          <w:rFonts w:ascii="Arial" w:hAnsi="Arial" w:cs="Arial"/>
        </w:rPr>
        <w:t>A Form W-14</w:t>
      </w:r>
      <w:r w:rsidRPr="000B565D" w:rsidR="0029590F">
        <w:rPr>
          <w:rFonts w:ascii="Arial" w:hAnsi="Arial" w:cs="Arial"/>
        </w:rPr>
        <w:t>, Certificate of</w:t>
      </w:r>
      <w:r w:rsidRPr="000B565D" w:rsidR="00344328">
        <w:rPr>
          <w:rFonts w:ascii="Arial" w:hAnsi="Arial" w:cs="Arial"/>
        </w:rPr>
        <w:t xml:space="preserve"> Foreign Contracting</w:t>
      </w:r>
      <w:r w:rsidRPr="000B565D" w:rsidR="0029590F">
        <w:rPr>
          <w:rFonts w:ascii="Arial" w:hAnsi="Arial" w:cs="Arial"/>
        </w:rPr>
        <w:t xml:space="preserve"> Party Receiving Federal Procurement Payment</w:t>
      </w:r>
      <w:r w:rsidRPr="000B565D" w:rsidR="00344328">
        <w:rPr>
          <w:rFonts w:ascii="Arial" w:hAnsi="Arial" w:cs="Arial"/>
        </w:rPr>
        <w:t>s</w:t>
      </w:r>
      <w:r w:rsidRPr="000B565D" w:rsidR="0029590F">
        <w:rPr>
          <w:rFonts w:ascii="Arial" w:hAnsi="Arial" w:cs="Arial"/>
        </w:rPr>
        <w:t>,</w:t>
      </w:r>
      <w:r w:rsidRPr="000B565D">
        <w:rPr>
          <w:rFonts w:ascii="Arial" w:hAnsi="Arial" w:cs="Arial"/>
        </w:rPr>
        <w:t xml:space="preserve"> must be provided to the acquiring agency (U.S. government department, agency, independent establishment, or corporation) to:</w:t>
      </w:r>
    </w:p>
    <w:p w:rsidRPr="000B565D" w:rsidR="005767F8" w:rsidP="00E1747C" w:rsidRDefault="005767F8" w14:paraId="731AFB9F" w14:textId="77777777">
      <w:pPr>
        <w:ind w:left="720"/>
        <w:rPr>
          <w:rFonts w:ascii="Arial" w:hAnsi="Arial" w:cs="Arial"/>
        </w:rPr>
      </w:pPr>
    </w:p>
    <w:p w:rsidRPr="000B565D" w:rsidR="00E1747C" w:rsidP="001000F7" w:rsidRDefault="00E1747C" w14:paraId="6D33F76C" w14:textId="77777777">
      <w:pPr>
        <w:numPr>
          <w:ilvl w:val="0"/>
          <w:numId w:val="3"/>
        </w:numPr>
        <w:rPr>
          <w:rFonts w:ascii="Arial" w:hAnsi="Arial" w:cs="Arial"/>
        </w:rPr>
      </w:pPr>
      <w:r w:rsidRPr="000B565D">
        <w:rPr>
          <w:rFonts w:ascii="Arial" w:hAnsi="Arial" w:cs="Arial"/>
        </w:rPr>
        <w:t>Establish that they are a foreign contracting party; and</w:t>
      </w:r>
    </w:p>
    <w:p w:rsidRPr="000B565D" w:rsidR="00E1747C" w:rsidP="001000F7" w:rsidRDefault="00E1747C" w14:paraId="7DA7E364" w14:textId="77777777">
      <w:pPr>
        <w:numPr>
          <w:ilvl w:val="0"/>
          <w:numId w:val="3"/>
        </w:numPr>
        <w:rPr>
          <w:rFonts w:ascii="Arial" w:hAnsi="Arial" w:cs="Arial"/>
        </w:rPr>
      </w:pPr>
      <w:r w:rsidRPr="000B565D">
        <w:rPr>
          <w:rFonts w:ascii="Arial" w:hAnsi="Arial" w:cs="Arial"/>
        </w:rPr>
        <w:t xml:space="preserve">If applicable, claim an exemption from withholding based on an international agreement (such as a tax treaty); or </w:t>
      </w:r>
    </w:p>
    <w:p w:rsidRPr="000B565D" w:rsidR="00E1747C" w:rsidP="001000F7" w:rsidRDefault="00E1747C" w14:paraId="2CCB6898" w14:textId="77777777">
      <w:pPr>
        <w:numPr>
          <w:ilvl w:val="0"/>
          <w:numId w:val="2"/>
        </w:numPr>
        <w:rPr>
          <w:rFonts w:ascii="Arial" w:hAnsi="Arial" w:cs="Arial"/>
        </w:rPr>
      </w:pPr>
      <w:r w:rsidRPr="000B565D">
        <w:rPr>
          <w:rFonts w:ascii="Arial" w:hAnsi="Arial" w:cs="Arial"/>
        </w:rPr>
        <w:lastRenderedPageBreak/>
        <w:t>Claim an exemption from withholding, in whole or in part, based on an international procurement agreement or because goods are produced, or services are performed in the United States.</w:t>
      </w:r>
    </w:p>
    <w:p w:rsidRPr="000B565D" w:rsidR="00E1747C" w:rsidP="00E1747C" w:rsidRDefault="00E1747C" w14:paraId="12784D0A" w14:textId="77777777">
      <w:pPr>
        <w:ind w:left="720"/>
        <w:rPr>
          <w:rFonts w:ascii="Arial" w:hAnsi="Arial" w:cs="Arial"/>
        </w:rPr>
      </w:pPr>
      <w:r w:rsidRPr="000B565D">
        <w:rPr>
          <w:rFonts w:ascii="Arial" w:hAnsi="Arial" w:cs="Arial"/>
        </w:rPr>
        <w:t xml:space="preserve">  </w:t>
      </w:r>
    </w:p>
    <w:p w:rsidRPr="000B565D" w:rsidR="007C23D5" w:rsidP="00E1747C" w:rsidRDefault="00E1747C" w14:paraId="2C30267E" w14:textId="77777777">
      <w:pPr>
        <w:ind w:left="720"/>
        <w:rPr>
          <w:rFonts w:ascii="Arial" w:hAnsi="Arial" w:cs="Arial"/>
        </w:rPr>
      </w:pPr>
      <w:r w:rsidRPr="000B565D">
        <w:rPr>
          <w:rFonts w:ascii="Arial" w:hAnsi="Arial" w:cs="Arial"/>
        </w:rPr>
        <w:t xml:space="preserve">A </w:t>
      </w:r>
      <w:r w:rsidRPr="000B565D" w:rsidR="005767F8">
        <w:rPr>
          <w:rFonts w:ascii="Arial" w:hAnsi="Arial" w:cs="Arial"/>
        </w:rPr>
        <w:t xml:space="preserve">Form </w:t>
      </w:r>
      <w:r w:rsidRPr="000B565D">
        <w:rPr>
          <w:rFonts w:ascii="Arial" w:hAnsi="Arial" w:cs="Arial"/>
        </w:rPr>
        <w:t xml:space="preserve">W-14 must be provided to the acquiring agency if a foreign contracting party has been paid a specified Federal procurement payment and </w:t>
      </w:r>
      <w:r w:rsidRPr="000B565D" w:rsidR="005767F8">
        <w:rPr>
          <w:rFonts w:ascii="Arial" w:hAnsi="Arial" w:cs="Arial"/>
        </w:rPr>
        <w:t xml:space="preserve">the foreign contracting party is </w:t>
      </w:r>
      <w:r w:rsidRPr="000B565D">
        <w:rPr>
          <w:rFonts w:ascii="Arial" w:hAnsi="Arial" w:cs="Arial"/>
        </w:rPr>
        <w:t>seeking to claim an exemption (in whole or in part) from the tax imposed by section 5000C.  Form W-14 must be submitted when requested by the acquiring agency, whether or not an exemption</w:t>
      </w:r>
      <w:r w:rsidRPr="000B565D" w:rsidR="005767F8">
        <w:rPr>
          <w:rFonts w:ascii="Arial" w:hAnsi="Arial" w:cs="Arial"/>
        </w:rPr>
        <w:t xml:space="preserve"> (in whole or in part)</w:t>
      </w:r>
      <w:r w:rsidRPr="000B565D">
        <w:rPr>
          <w:rFonts w:ascii="Arial" w:hAnsi="Arial" w:cs="Arial"/>
        </w:rPr>
        <w:t xml:space="preserve"> is claimed</w:t>
      </w:r>
      <w:r w:rsidRPr="000B565D" w:rsidR="005767F8">
        <w:rPr>
          <w:rFonts w:ascii="Arial" w:hAnsi="Arial" w:cs="Arial"/>
        </w:rPr>
        <w:t xml:space="preserve"> </w:t>
      </w:r>
      <w:r w:rsidRPr="000B565D">
        <w:rPr>
          <w:rFonts w:ascii="Arial" w:hAnsi="Arial" w:cs="Arial"/>
        </w:rPr>
        <w:t>from withholding under section 5000C.</w:t>
      </w:r>
    </w:p>
    <w:p w:rsidRPr="000B565D" w:rsidR="00693412" w:rsidP="00E1747C" w:rsidRDefault="00693412" w14:paraId="4E41698B" w14:textId="77777777">
      <w:pPr>
        <w:ind w:left="720"/>
        <w:rPr>
          <w:rFonts w:ascii="Arial" w:hAnsi="Arial" w:cs="Arial"/>
        </w:rPr>
      </w:pPr>
    </w:p>
    <w:p w:rsidRPr="000B565D" w:rsidR="00686D54" w:rsidP="00686D54" w:rsidRDefault="00686D54" w14:paraId="3E7AD50F" w14:textId="77777777">
      <w:pPr>
        <w:numPr>
          <w:ilvl w:val="0"/>
          <w:numId w:val="1"/>
        </w:numPr>
        <w:rPr>
          <w:rFonts w:ascii="Arial" w:hAnsi="Arial" w:cs="Arial"/>
        </w:rPr>
      </w:pPr>
      <w:r w:rsidRPr="000B565D">
        <w:rPr>
          <w:rFonts w:ascii="Arial" w:hAnsi="Arial" w:cs="Arial"/>
          <w:u w:val="single"/>
        </w:rPr>
        <w:t>USE OF DATA</w:t>
      </w:r>
      <w:bookmarkStart w:name="_GoBack" w:id="0"/>
      <w:bookmarkEnd w:id="0"/>
    </w:p>
    <w:p w:rsidRPr="000B565D" w:rsidR="00693412" w:rsidP="00693412" w:rsidRDefault="00693412" w14:paraId="094C78F1" w14:textId="77777777">
      <w:pPr>
        <w:rPr>
          <w:rFonts w:ascii="Arial" w:hAnsi="Arial" w:cs="Arial"/>
          <w:u w:val="single"/>
        </w:rPr>
      </w:pPr>
    </w:p>
    <w:p w:rsidRPr="000B565D" w:rsidR="005767F8" w:rsidP="00693412" w:rsidRDefault="00693412" w14:paraId="55C87CE2" w14:textId="77777777">
      <w:pPr>
        <w:ind w:left="720"/>
        <w:rPr>
          <w:rFonts w:ascii="Arial" w:hAnsi="Arial" w:cs="Arial"/>
        </w:rPr>
      </w:pPr>
      <w:r w:rsidRPr="000B565D">
        <w:rPr>
          <w:rFonts w:ascii="Arial" w:hAnsi="Arial" w:cs="Arial"/>
        </w:rPr>
        <w:t xml:space="preserve">The Internal Revenue Service will use this data </w:t>
      </w:r>
      <w:r w:rsidR="00AE30B7">
        <w:rPr>
          <w:rFonts w:ascii="Arial" w:hAnsi="Arial" w:cs="Arial"/>
        </w:rPr>
        <w:t xml:space="preserve">required by Internal Revenue Code Section 5000C </w:t>
      </w:r>
      <w:r w:rsidRPr="000B565D">
        <w:rPr>
          <w:rFonts w:ascii="Arial" w:hAnsi="Arial" w:cs="Arial"/>
        </w:rPr>
        <w:t>to establish</w:t>
      </w:r>
      <w:r w:rsidRPr="000B565D" w:rsidR="000D487A">
        <w:rPr>
          <w:rFonts w:ascii="Arial" w:hAnsi="Arial" w:cs="Arial"/>
        </w:rPr>
        <w:t xml:space="preserve"> that</w:t>
      </w:r>
      <w:r w:rsidRPr="000B565D">
        <w:rPr>
          <w:rFonts w:ascii="Arial" w:hAnsi="Arial" w:cs="Arial"/>
        </w:rPr>
        <w:t xml:space="preserve"> the</w:t>
      </w:r>
      <w:r w:rsidRPr="000B565D" w:rsidR="000D487A">
        <w:rPr>
          <w:rFonts w:ascii="Arial" w:hAnsi="Arial" w:cs="Arial"/>
        </w:rPr>
        <w:t xml:space="preserve"> foreign persons that are parties to specified Federal procurement contracts with the U.S. government entered into on and after January 2, 2011 are: </w:t>
      </w:r>
    </w:p>
    <w:p w:rsidRPr="000B565D" w:rsidR="005767F8" w:rsidP="001000F7" w:rsidRDefault="005767F8" w14:paraId="076BC0F2" w14:textId="77777777">
      <w:pPr>
        <w:numPr>
          <w:ilvl w:val="0"/>
          <w:numId w:val="2"/>
        </w:numPr>
        <w:rPr>
          <w:rFonts w:ascii="Arial" w:hAnsi="Arial" w:cs="Arial"/>
        </w:rPr>
      </w:pPr>
      <w:r w:rsidRPr="000B565D">
        <w:rPr>
          <w:rFonts w:ascii="Arial" w:hAnsi="Arial" w:cs="Arial"/>
        </w:rPr>
        <w:t>F</w:t>
      </w:r>
      <w:r w:rsidRPr="000B565D" w:rsidR="00693412">
        <w:rPr>
          <w:rFonts w:ascii="Arial" w:hAnsi="Arial" w:cs="Arial"/>
        </w:rPr>
        <w:t>oreign contracting part</w:t>
      </w:r>
      <w:r w:rsidRPr="000B565D">
        <w:rPr>
          <w:rFonts w:ascii="Arial" w:hAnsi="Arial" w:cs="Arial"/>
        </w:rPr>
        <w:t>ies</w:t>
      </w:r>
      <w:r w:rsidRPr="000B565D" w:rsidR="00693412">
        <w:rPr>
          <w:rFonts w:ascii="Arial" w:hAnsi="Arial" w:cs="Arial"/>
        </w:rPr>
        <w:t xml:space="preserve">; and </w:t>
      </w:r>
    </w:p>
    <w:p w:rsidRPr="000B565D" w:rsidR="005767F8" w:rsidP="001000F7" w:rsidRDefault="005767F8" w14:paraId="4BD5CB65" w14:textId="37E8D536">
      <w:pPr>
        <w:numPr>
          <w:ilvl w:val="0"/>
          <w:numId w:val="2"/>
        </w:numPr>
        <w:rPr>
          <w:rFonts w:ascii="Arial" w:hAnsi="Arial" w:cs="Arial"/>
        </w:rPr>
      </w:pPr>
      <w:r w:rsidRPr="000B565D">
        <w:rPr>
          <w:rFonts w:ascii="Arial" w:hAnsi="Arial" w:cs="Arial"/>
        </w:rPr>
        <w:t>I</w:t>
      </w:r>
      <w:r w:rsidRPr="000B565D" w:rsidR="00693412">
        <w:rPr>
          <w:rFonts w:ascii="Arial" w:hAnsi="Arial" w:cs="Arial"/>
        </w:rPr>
        <w:t>f applicable,</w:t>
      </w:r>
      <w:r w:rsidRPr="000B565D" w:rsidR="00043DEA">
        <w:rPr>
          <w:rFonts w:ascii="Arial" w:hAnsi="Arial" w:cs="Arial"/>
        </w:rPr>
        <w:t xml:space="preserve"> </w:t>
      </w:r>
      <w:r w:rsidRPr="000B565D" w:rsidR="00693412">
        <w:rPr>
          <w:rFonts w:ascii="Arial" w:hAnsi="Arial" w:cs="Arial"/>
        </w:rPr>
        <w:t>can</w:t>
      </w:r>
      <w:r w:rsidRPr="000B565D" w:rsidR="00043DEA">
        <w:rPr>
          <w:rFonts w:ascii="Arial" w:hAnsi="Arial" w:cs="Arial"/>
        </w:rPr>
        <w:t xml:space="preserve"> </w:t>
      </w:r>
      <w:r w:rsidRPr="000B565D" w:rsidR="00693412">
        <w:rPr>
          <w:rFonts w:ascii="Arial" w:hAnsi="Arial" w:cs="Arial"/>
        </w:rPr>
        <w:t>claim an exemption from withholding/tax imposed by section 500</w:t>
      </w:r>
      <w:r w:rsidRPr="000B565D" w:rsidR="000D487A">
        <w:rPr>
          <w:rFonts w:ascii="Arial" w:hAnsi="Arial" w:cs="Arial"/>
        </w:rPr>
        <w:t>0</w:t>
      </w:r>
      <w:r w:rsidRPr="000B565D" w:rsidR="00693412">
        <w:rPr>
          <w:rFonts w:ascii="Arial" w:hAnsi="Arial" w:cs="Arial"/>
        </w:rPr>
        <w:t>C based on an international agreement (such as a tax treaty</w:t>
      </w:r>
      <w:r w:rsidRPr="000B565D" w:rsidR="004042AA">
        <w:rPr>
          <w:rFonts w:ascii="Arial" w:hAnsi="Arial" w:cs="Arial"/>
        </w:rPr>
        <w:t>); or</w:t>
      </w:r>
    </w:p>
    <w:p w:rsidRPr="000B565D" w:rsidR="00693412" w:rsidP="001000F7" w:rsidRDefault="005767F8" w14:paraId="63E8C678" w14:textId="77777777">
      <w:pPr>
        <w:numPr>
          <w:ilvl w:val="0"/>
          <w:numId w:val="2"/>
        </w:numPr>
        <w:rPr>
          <w:rFonts w:ascii="Arial" w:hAnsi="Arial" w:cs="Arial"/>
        </w:rPr>
      </w:pPr>
      <w:r w:rsidRPr="000B565D">
        <w:rPr>
          <w:rFonts w:ascii="Arial" w:hAnsi="Arial" w:cs="Arial"/>
        </w:rPr>
        <w:t>T</w:t>
      </w:r>
      <w:r w:rsidRPr="000B565D" w:rsidR="000D487A">
        <w:rPr>
          <w:rFonts w:ascii="Arial" w:hAnsi="Arial" w:cs="Arial"/>
        </w:rPr>
        <w:t xml:space="preserve">hat </w:t>
      </w:r>
      <w:r w:rsidRPr="000B565D" w:rsidR="00693412">
        <w:rPr>
          <w:rFonts w:ascii="Arial" w:hAnsi="Arial" w:cs="Arial"/>
        </w:rPr>
        <w:t>an exemption</w:t>
      </w:r>
      <w:r w:rsidRPr="000B565D">
        <w:rPr>
          <w:rFonts w:ascii="Arial" w:hAnsi="Arial" w:cs="Arial"/>
        </w:rPr>
        <w:t xml:space="preserve"> (in whole or in part)</w:t>
      </w:r>
      <w:r w:rsidRPr="000B565D" w:rsidR="00693412">
        <w:rPr>
          <w:rFonts w:ascii="Arial" w:hAnsi="Arial" w:cs="Arial"/>
        </w:rPr>
        <w:t xml:space="preserve"> from withholding</w:t>
      </w:r>
      <w:r w:rsidRPr="000B565D" w:rsidR="000D487A">
        <w:rPr>
          <w:rFonts w:ascii="Arial" w:hAnsi="Arial" w:cs="Arial"/>
        </w:rPr>
        <w:t xml:space="preserve"> can be claimed</w:t>
      </w:r>
      <w:r w:rsidRPr="000B565D">
        <w:rPr>
          <w:rFonts w:ascii="Arial" w:hAnsi="Arial" w:cs="Arial"/>
        </w:rPr>
        <w:t xml:space="preserve"> </w:t>
      </w:r>
      <w:r w:rsidRPr="000B565D" w:rsidR="00693412">
        <w:rPr>
          <w:rFonts w:ascii="Arial" w:hAnsi="Arial" w:cs="Arial"/>
        </w:rPr>
        <w:t>based on an international procurement agreement or because goods are produced, or services are performed in the United States.</w:t>
      </w:r>
    </w:p>
    <w:p w:rsidRPr="000B565D" w:rsidR="00BC1D8A" w:rsidP="00F2699B" w:rsidRDefault="00BC1D8A" w14:paraId="7412CF32" w14:textId="77777777">
      <w:pPr>
        <w:ind w:left="1080"/>
        <w:rPr>
          <w:rFonts w:ascii="Arial" w:hAnsi="Arial" w:cs="Arial"/>
        </w:rPr>
      </w:pPr>
    </w:p>
    <w:p w:rsidRPr="000B565D" w:rsidR="00BC1D8A" w:rsidP="000B5BD7" w:rsidRDefault="00BC1D8A" w14:paraId="10A396B2" w14:textId="77777777">
      <w:pPr>
        <w:widowControl w:val="0"/>
        <w:autoSpaceDE w:val="0"/>
        <w:autoSpaceDN w:val="0"/>
        <w:adjustRightInd w:val="0"/>
        <w:ind w:left="720"/>
        <w:rPr>
          <w:rFonts w:ascii="Arial" w:hAnsi="Arial" w:cs="Arial"/>
        </w:rPr>
      </w:pPr>
      <w:r w:rsidRPr="000B565D">
        <w:rPr>
          <w:rFonts w:ascii="Arial" w:hAnsi="Arial" w:cs="Arial"/>
        </w:rPr>
        <w:t xml:space="preserve">The likely respondents are the U.S. government and foreign persons that enter into contracts with the U.S. government.  </w:t>
      </w:r>
    </w:p>
    <w:p w:rsidRPr="000B565D" w:rsidR="00693412" w:rsidP="00693412" w:rsidRDefault="00693412" w14:paraId="6ED8E2EF" w14:textId="77777777">
      <w:pPr>
        <w:ind w:left="720"/>
        <w:rPr>
          <w:rFonts w:ascii="Arial" w:hAnsi="Arial" w:cs="Arial"/>
        </w:rPr>
      </w:pPr>
      <w:r w:rsidRPr="000B565D">
        <w:rPr>
          <w:rFonts w:ascii="Arial" w:hAnsi="Arial" w:cs="Arial"/>
        </w:rPr>
        <w:t xml:space="preserve">  </w:t>
      </w:r>
    </w:p>
    <w:p w:rsidRPr="000B565D" w:rsidR="00686D54" w:rsidP="00693412" w:rsidRDefault="00686D54" w14:paraId="1186D47A" w14:textId="77777777">
      <w:pPr>
        <w:ind w:left="720"/>
        <w:rPr>
          <w:rFonts w:ascii="Arial" w:hAnsi="Arial" w:cs="Arial"/>
        </w:rPr>
      </w:pPr>
    </w:p>
    <w:p w:rsidRPr="000B565D" w:rsidR="000C091D" w:rsidP="000C091D" w:rsidRDefault="000C091D" w14:paraId="7C92044A" w14:textId="77777777">
      <w:pPr>
        <w:numPr>
          <w:ilvl w:val="0"/>
          <w:numId w:val="1"/>
        </w:numPr>
        <w:rPr>
          <w:rFonts w:ascii="Arial" w:hAnsi="Arial" w:cs="Arial"/>
          <w:u w:val="single"/>
        </w:rPr>
      </w:pPr>
      <w:r w:rsidRPr="000B565D">
        <w:rPr>
          <w:rFonts w:ascii="Arial" w:hAnsi="Arial" w:cs="Arial"/>
          <w:u w:val="single"/>
        </w:rPr>
        <w:t>USE OF IMPROVED INFORMATION TECHNOLOGY TO REDUC</w:t>
      </w:r>
      <w:r w:rsidRPr="000B565D" w:rsidR="007F072F">
        <w:rPr>
          <w:rFonts w:ascii="Arial" w:hAnsi="Arial" w:cs="Arial"/>
          <w:u w:val="single"/>
        </w:rPr>
        <w:t>E</w:t>
      </w:r>
      <w:r w:rsidRPr="000B565D">
        <w:rPr>
          <w:rFonts w:ascii="Arial" w:hAnsi="Arial" w:cs="Arial"/>
          <w:u w:val="single"/>
        </w:rPr>
        <w:t xml:space="preserve"> BURDEN</w:t>
      </w:r>
    </w:p>
    <w:p w:rsidRPr="000B565D" w:rsidR="000C091D" w:rsidP="000C091D" w:rsidRDefault="000C091D" w14:paraId="08BB7F06" w14:textId="77777777">
      <w:pPr>
        <w:rPr>
          <w:rFonts w:ascii="Arial" w:hAnsi="Arial" w:cs="Arial"/>
        </w:rPr>
      </w:pPr>
    </w:p>
    <w:p w:rsidRPr="000B565D" w:rsidR="009637EB" w:rsidP="0099554A" w:rsidRDefault="00001793" w14:paraId="7B30862A" w14:textId="77777777">
      <w:pPr>
        <w:ind w:left="720"/>
        <w:rPr>
          <w:rFonts w:ascii="Arial" w:hAnsi="Arial" w:cs="Arial"/>
        </w:rPr>
      </w:pPr>
      <w:r w:rsidRPr="000B565D">
        <w:rPr>
          <w:rFonts w:ascii="Arial" w:hAnsi="Arial" w:cs="Arial"/>
        </w:rPr>
        <w:t xml:space="preserve">The agency is </w:t>
      </w:r>
      <w:r w:rsidRPr="000B565D" w:rsidR="00A9434B">
        <w:rPr>
          <w:rFonts w:ascii="Arial" w:hAnsi="Arial" w:cs="Arial"/>
        </w:rPr>
        <w:t xml:space="preserve">making the form available and </w:t>
      </w:r>
      <w:r w:rsidRPr="000B565D">
        <w:rPr>
          <w:rFonts w:ascii="Arial" w:hAnsi="Arial" w:cs="Arial"/>
        </w:rPr>
        <w:t xml:space="preserve">accepting </w:t>
      </w:r>
      <w:r w:rsidRPr="000B565D" w:rsidR="00A9434B">
        <w:rPr>
          <w:rFonts w:ascii="Arial" w:hAnsi="Arial" w:cs="Arial"/>
        </w:rPr>
        <w:t xml:space="preserve">Form W-14 </w:t>
      </w:r>
      <w:r w:rsidRPr="000B565D">
        <w:rPr>
          <w:rFonts w:ascii="Arial" w:hAnsi="Arial" w:cs="Arial"/>
        </w:rPr>
        <w:t>electronically</w:t>
      </w:r>
      <w:r w:rsidRPr="000B565D" w:rsidR="00A9434B">
        <w:rPr>
          <w:rFonts w:ascii="Arial" w:hAnsi="Arial" w:cs="Arial"/>
        </w:rPr>
        <w:t>.</w:t>
      </w:r>
    </w:p>
    <w:p w:rsidRPr="000B565D" w:rsidR="000C091D" w:rsidP="004428DE" w:rsidRDefault="000C091D" w14:paraId="0F97E3BC" w14:textId="77777777">
      <w:pPr>
        <w:ind w:left="720"/>
        <w:rPr>
          <w:rFonts w:ascii="Arial" w:hAnsi="Arial" w:cs="Arial"/>
        </w:rPr>
      </w:pPr>
    </w:p>
    <w:p w:rsidRPr="000B565D" w:rsidR="004428DE" w:rsidP="004428DE" w:rsidRDefault="004428DE" w14:paraId="51085B1E" w14:textId="77777777">
      <w:pPr>
        <w:numPr>
          <w:ilvl w:val="0"/>
          <w:numId w:val="1"/>
        </w:numPr>
        <w:rPr>
          <w:rFonts w:ascii="Arial" w:hAnsi="Arial" w:cs="Arial"/>
        </w:rPr>
      </w:pPr>
      <w:r w:rsidRPr="000B565D">
        <w:rPr>
          <w:rFonts w:ascii="Arial" w:hAnsi="Arial" w:cs="Arial"/>
          <w:u w:val="single"/>
        </w:rPr>
        <w:t>EFFORTS TO IDENTIFY DUPLICATION</w:t>
      </w:r>
    </w:p>
    <w:p w:rsidRPr="000B565D" w:rsidR="004428DE" w:rsidP="004428DE" w:rsidRDefault="004428DE" w14:paraId="489C741A" w14:textId="77777777">
      <w:pPr>
        <w:ind w:left="360"/>
        <w:rPr>
          <w:rFonts w:ascii="Arial" w:hAnsi="Arial" w:cs="Arial"/>
        </w:rPr>
      </w:pPr>
    </w:p>
    <w:p w:rsidRPr="000B565D" w:rsidR="00165519" w:rsidP="000B5BD7" w:rsidRDefault="00AE30B7" w14:paraId="351ED9FF" w14:textId="77777777">
      <w:pPr>
        <w:ind w:left="720"/>
        <w:rPr>
          <w:rFonts w:ascii="Arial" w:hAnsi="Arial" w:cs="Arial"/>
        </w:rPr>
      </w:pPr>
      <w:r w:rsidRPr="00AE30B7">
        <w:rPr>
          <w:rFonts w:ascii="Arial" w:hAnsi="Arial" w:cs="Arial"/>
          <w:iCs/>
        </w:rPr>
        <w:t>The information obtained through this collection is unique and is not already available for use or adaptation from another source.</w:t>
      </w:r>
      <w:r>
        <w:rPr>
          <w:rFonts w:ascii="Arial" w:hAnsi="Arial" w:cs="Arial"/>
          <w:iCs/>
        </w:rPr>
        <w:t xml:space="preserve"> </w:t>
      </w:r>
      <w:r w:rsidRPr="000B565D" w:rsidR="0059244D">
        <w:rPr>
          <w:rFonts w:ascii="Arial" w:hAnsi="Arial" w:cs="Arial"/>
        </w:rPr>
        <w:t xml:space="preserve"> Form W-14 is similar to Form W-</w:t>
      </w:r>
      <w:proofErr w:type="gramStart"/>
      <w:r w:rsidRPr="000B565D" w:rsidR="0059244D">
        <w:rPr>
          <w:rFonts w:ascii="Arial" w:hAnsi="Arial" w:cs="Arial"/>
        </w:rPr>
        <w:t>8</w:t>
      </w:r>
      <w:proofErr w:type="gramEnd"/>
      <w:r w:rsidRPr="000B565D" w:rsidR="0059244D">
        <w:rPr>
          <w:rFonts w:ascii="Arial" w:hAnsi="Arial" w:cs="Arial"/>
        </w:rPr>
        <w:t xml:space="preserve"> but the information provided in each form is very different.  Thus, there is no duplication of collection of information.</w:t>
      </w:r>
      <w:r w:rsidRPr="000B565D" w:rsidR="00043DEA">
        <w:rPr>
          <w:rFonts w:ascii="Arial" w:hAnsi="Arial" w:cs="Arial"/>
        </w:rPr>
        <w:t xml:space="preserve"> </w:t>
      </w:r>
    </w:p>
    <w:p w:rsidRPr="000B565D" w:rsidR="004428DE" w:rsidP="004428DE" w:rsidRDefault="004428DE" w14:paraId="7B9DC939" w14:textId="77777777">
      <w:pPr>
        <w:ind w:left="360" w:firstLine="360"/>
        <w:rPr>
          <w:rFonts w:ascii="Arial" w:hAnsi="Arial" w:cs="Arial"/>
        </w:rPr>
      </w:pPr>
    </w:p>
    <w:p w:rsidRPr="000B565D" w:rsidR="004428DE" w:rsidP="004428DE" w:rsidRDefault="004428DE" w14:paraId="6F3D9BBF" w14:textId="77777777">
      <w:pPr>
        <w:numPr>
          <w:ilvl w:val="0"/>
          <w:numId w:val="1"/>
        </w:numPr>
        <w:rPr>
          <w:rFonts w:ascii="Arial" w:hAnsi="Arial" w:cs="Arial"/>
        </w:rPr>
      </w:pPr>
      <w:r w:rsidRPr="000B565D">
        <w:rPr>
          <w:rFonts w:ascii="Arial" w:hAnsi="Arial" w:cs="Arial"/>
          <w:u w:val="single"/>
        </w:rPr>
        <w:t>METHODS TO MINIMIZE BURDEN ON SMALL BUSINESSES OR OTHER SMALL ENTITIES</w:t>
      </w:r>
    </w:p>
    <w:p w:rsidRPr="000B565D" w:rsidR="004428DE" w:rsidP="004428DE" w:rsidRDefault="004428DE" w14:paraId="298CDAF6" w14:textId="77777777">
      <w:pPr>
        <w:rPr>
          <w:rFonts w:ascii="Arial" w:hAnsi="Arial" w:cs="Arial"/>
        </w:rPr>
      </w:pPr>
    </w:p>
    <w:p w:rsidRPr="000B565D" w:rsidR="00043DEA" w:rsidP="001000F7" w:rsidRDefault="00165519" w14:paraId="1BB8CA7D" w14:textId="77777777">
      <w:pPr>
        <w:ind w:left="720"/>
        <w:rPr>
          <w:rFonts w:ascii="Arial" w:hAnsi="Arial" w:cs="Arial"/>
        </w:rPr>
      </w:pPr>
      <w:r w:rsidRPr="000B565D">
        <w:rPr>
          <w:rFonts w:ascii="Arial" w:hAnsi="Arial" w:cs="Arial"/>
        </w:rPr>
        <w:t xml:space="preserve">The collection of information requirement will not have a significant economic impact on a substantial number of small entities because a limited number of foreign contracting parties that are small entities will be subject to the tax.  </w:t>
      </w:r>
    </w:p>
    <w:p w:rsidRPr="000B565D" w:rsidR="00024FFE" w:rsidP="00146159" w:rsidRDefault="00024FFE" w14:paraId="1B3CDCF4" w14:textId="77777777">
      <w:pPr>
        <w:ind w:left="360"/>
        <w:rPr>
          <w:rFonts w:ascii="Arial" w:hAnsi="Arial" w:cs="Arial"/>
        </w:rPr>
      </w:pPr>
    </w:p>
    <w:p w:rsidRPr="000B565D" w:rsidR="00146159" w:rsidP="00024FFE" w:rsidRDefault="00024FFE" w14:paraId="08F53152" w14:textId="77777777">
      <w:pPr>
        <w:numPr>
          <w:ilvl w:val="0"/>
          <w:numId w:val="1"/>
        </w:numPr>
        <w:rPr>
          <w:rFonts w:ascii="Arial" w:hAnsi="Arial" w:cs="Arial"/>
          <w:u w:val="single"/>
        </w:rPr>
      </w:pPr>
      <w:r w:rsidRPr="000B565D">
        <w:rPr>
          <w:rFonts w:ascii="Arial" w:hAnsi="Arial" w:cs="Arial"/>
          <w:u w:val="single"/>
        </w:rPr>
        <w:t>CONSEQUENCES OF LESS FREQUENT COLLECTION ON FEDERAL PROGRAMS OR POLICY ACTIVITIES</w:t>
      </w:r>
    </w:p>
    <w:p w:rsidRPr="000B565D" w:rsidR="00165519" w:rsidP="00165519" w:rsidRDefault="00165519" w14:paraId="4171BE80" w14:textId="77777777">
      <w:pPr>
        <w:rPr>
          <w:rFonts w:ascii="Arial" w:hAnsi="Arial" w:cs="Arial"/>
        </w:rPr>
      </w:pPr>
    </w:p>
    <w:p w:rsidRPr="000B565D" w:rsidR="00165519" w:rsidP="000B5BD7" w:rsidRDefault="00AE30B7" w14:paraId="43A618AE" w14:textId="77777777">
      <w:pPr>
        <w:ind w:left="720"/>
        <w:rPr>
          <w:rFonts w:ascii="Arial" w:hAnsi="Arial" w:cs="Arial"/>
        </w:rPr>
      </w:pPr>
      <w:r>
        <w:rPr>
          <w:rFonts w:ascii="Arial" w:hAnsi="Arial" w:cs="Arial"/>
        </w:rPr>
        <w:t>A l</w:t>
      </w:r>
      <w:r w:rsidRPr="000B565D">
        <w:rPr>
          <w:rFonts w:ascii="Arial" w:hAnsi="Arial" w:cs="Arial"/>
        </w:rPr>
        <w:t xml:space="preserve">ess </w:t>
      </w:r>
      <w:r w:rsidRPr="000B565D" w:rsidR="00165519">
        <w:rPr>
          <w:rFonts w:ascii="Arial" w:hAnsi="Arial" w:cs="Arial"/>
        </w:rPr>
        <w:t>frequent collection would result in inappropriate withholding</w:t>
      </w:r>
      <w:r>
        <w:rPr>
          <w:rFonts w:ascii="Arial" w:hAnsi="Arial" w:cs="Arial"/>
        </w:rPr>
        <w:t xml:space="preserve"> per Section 5000C </w:t>
      </w:r>
      <w:r w:rsidRPr="000B565D">
        <w:rPr>
          <w:rFonts w:ascii="Arial" w:hAnsi="Arial" w:cs="Arial"/>
        </w:rPr>
        <w:t>to establish that the foreign persons that are parties to specified Federal procurement contracts with the U.S. government entered into on and after January 2, 2011</w:t>
      </w:r>
      <w:r>
        <w:rPr>
          <w:rFonts w:ascii="Arial" w:hAnsi="Arial" w:cs="Arial"/>
        </w:rPr>
        <w:t>.</w:t>
      </w:r>
    </w:p>
    <w:p w:rsidRPr="000B565D" w:rsidR="00043DEA" w:rsidP="001000F7" w:rsidRDefault="00043DEA" w14:paraId="560D9F6E" w14:textId="77777777">
      <w:pPr>
        <w:ind w:left="630"/>
        <w:rPr>
          <w:rFonts w:ascii="Arial" w:hAnsi="Arial" w:cs="Arial"/>
        </w:rPr>
      </w:pPr>
    </w:p>
    <w:p w:rsidRPr="000B565D" w:rsidR="00304053" w:rsidP="00165519" w:rsidRDefault="00304053" w14:paraId="63AA1F18" w14:textId="77777777">
      <w:pPr>
        <w:numPr>
          <w:ilvl w:val="0"/>
          <w:numId w:val="1"/>
        </w:numPr>
        <w:rPr>
          <w:rFonts w:ascii="Arial" w:hAnsi="Arial" w:cs="Arial"/>
        </w:rPr>
      </w:pPr>
      <w:r w:rsidRPr="000B565D">
        <w:rPr>
          <w:rFonts w:ascii="Arial" w:hAnsi="Arial" w:cs="Arial"/>
          <w:u w:val="single"/>
        </w:rPr>
        <w:t>SPECIAL CIRCUMSTANCES REQUITRING DATA COLLECTION TO BE INCONSISTENT WITH THE GUIDELINES IN 5 CFR 1320.5(d)(2)</w:t>
      </w:r>
    </w:p>
    <w:p w:rsidRPr="000B565D" w:rsidR="00304053" w:rsidP="00304053" w:rsidRDefault="00304053" w14:paraId="1077B749" w14:textId="77777777">
      <w:pPr>
        <w:rPr>
          <w:rFonts w:ascii="Arial" w:hAnsi="Arial" w:cs="Arial"/>
        </w:rPr>
      </w:pPr>
    </w:p>
    <w:p w:rsidRPr="000B565D" w:rsidR="00304053" w:rsidP="00304053" w:rsidRDefault="00043DEA" w14:paraId="5BBF1DA5" w14:textId="77777777">
      <w:pPr>
        <w:ind w:left="720"/>
        <w:rPr>
          <w:rFonts w:ascii="Arial" w:hAnsi="Arial" w:cs="Arial"/>
          <w:b/>
        </w:rPr>
      </w:pPr>
      <w:r w:rsidRPr="000B565D">
        <w:rPr>
          <w:rFonts w:ascii="Arial" w:hAnsi="Arial" w:cs="Arial"/>
          <w:snapToGrid w:val="0"/>
        </w:rPr>
        <w:t>There are no special circumstances requiring data collection to be inconsistent with Guidelines in 5 CFR 1320.5(d)(2).</w:t>
      </w:r>
    </w:p>
    <w:p w:rsidRPr="000B565D" w:rsidR="00304053" w:rsidP="00304053" w:rsidRDefault="00304053" w14:paraId="4DE130A3" w14:textId="77777777">
      <w:pPr>
        <w:ind w:left="720"/>
        <w:rPr>
          <w:rFonts w:ascii="Arial" w:hAnsi="Arial" w:cs="Arial"/>
        </w:rPr>
      </w:pPr>
    </w:p>
    <w:p w:rsidRPr="000B565D" w:rsidR="00304053" w:rsidP="000B3DBF" w:rsidRDefault="00304053" w14:paraId="5313B40E" w14:textId="77777777">
      <w:pPr>
        <w:numPr>
          <w:ilvl w:val="0"/>
          <w:numId w:val="1"/>
        </w:numPr>
        <w:rPr>
          <w:rFonts w:ascii="Arial" w:hAnsi="Arial" w:cs="Arial"/>
        </w:rPr>
      </w:pPr>
      <w:r w:rsidRPr="000B565D">
        <w:rPr>
          <w:rFonts w:ascii="Arial" w:hAnsi="Arial" w:cs="Arial"/>
          <w:u w:val="single"/>
        </w:rPr>
        <w:t>CONSULTATION WITH INDIVIDUALS OUTSIDE OF THE AGENCY ON AVAILABILITY OF DATA, FREQUENCY OF COLLECTION, CLARITY OF INSTRUCTIONS AND FORMS, AND DATA ELEMEN</w:t>
      </w:r>
      <w:r w:rsidRPr="000B565D" w:rsidR="000B3DBF">
        <w:rPr>
          <w:rFonts w:ascii="Arial" w:hAnsi="Arial" w:cs="Arial"/>
          <w:u w:val="single"/>
        </w:rPr>
        <w:t>TS</w:t>
      </w:r>
    </w:p>
    <w:p w:rsidRPr="000B565D" w:rsidR="007722B3" w:rsidP="007722B3" w:rsidRDefault="007722B3" w14:paraId="35EF6AEF" w14:textId="77777777">
      <w:pPr>
        <w:rPr>
          <w:rFonts w:ascii="Arial" w:hAnsi="Arial" w:cs="Arial"/>
          <w:u w:val="single"/>
        </w:rPr>
      </w:pPr>
    </w:p>
    <w:p w:rsidRPr="000B565D" w:rsidR="003A1214" w:rsidP="003A1214" w:rsidRDefault="003A1214" w14:paraId="3CE6113D" w14:textId="77777777">
      <w:pPr>
        <w:ind w:left="720"/>
        <w:rPr>
          <w:rFonts w:ascii="Arial" w:hAnsi="Arial" w:cs="Arial"/>
        </w:rPr>
      </w:pPr>
      <w:r w:rsidRPr="000B565D">
        <w:rPr>
          <w:rFonts w:ascii="Arial" w:hAnsi="Arial" w:cs="Arial"/>
        </w:rPr>
        <w:t xml:space="preserve">In response to the Federal Register notice dated </w:t>
      </w:r>
      <w:r w:rsidR="00A81DEF">
        <w:rPr>
          <w:rFonts w:ascii="Arial" w:hAnsi="Arial" w:cs="Arial"/>
        </w:rPr>
        <w:t>July 22, 2020</w:t>
      </w:r>
      <w:r w:rsidRPr="000B565D">
        <w:rPr>
          <w:rFonts w:ascii="Arial" w:hAnsi="Arial" w:cs="Arial"/>
        </w:rPr>
        <w:t xml:space="preserve"> (8</w:t>
      </w:r>
      <w:r w:rsidR="002F78C9">
        <w:rPr>
          <w:rFonts w:ascii="Arial" w:hAnsi="Arial" w:cs="Arial"/>
        </w:rPr>
        <w:t>5</w:t>
      </w:r>
      <w:r w:rsidRPr="000B565D">
        <w:rPr>
          <w:rFonts w:ascii="Arial" w:hAnsi="Arial" w:cs="Arial"/>
        </w:rPr>
        <w:t xml:space="preserve"> FR </w:t>
      </w:r>
      <w:r w:rsidR="002F78C9">
        <w:rPr>
          <w:rFonts w:ascii="Arial" w:hAnsi="Arial" w:cs="Arial"/>
        </w:rPr>
        <w:t>44379</w:t>
      </w:r>
      <w:r w:rsidRPr="000B565D">
        <w:rPr>
          <w:rFonts w:ascii="Arial" w:hAnsi="Arial" w:cs="Arial"/>
        </w:rPr>
        <w:t>), we received no comments during the comment period regarding Form W-14.</w:t>
      </w:r>
    </w:p>
    <w:p w:rsidRPr="000B565D" w:rsidR="003A1214" w:rsidP="001D36FB" w:rsidRDefault="003A1214" w14:paraId="613036C3" w14:textId="77777777">
      <w:pPr>
        <w:ind w:firstLine="630"/>
        <w:rPr>
          <w:rFonts w:ascii="Arial" w:hAnsi="Arial" w:cs="Arial"/>
        </w:rPr>
      </w:pPr>
    </w:p>
    <w:p w:rsidRPr="000B565D" w:rsidR="00BA12BB" w:rsidP="00BA12BB" w:rsidRDefault="00BA12BB" w14:paraId="11B1BC5F" w14:textId="77777777">
      <w:pPr>
        <w:numPr>
          <w:ilvl w:val="0"/>
          <w:numId w:val="1"/>
        </w:numPr>
        <w:rPr>
          <w:rFonts w:ascii="Arial" w:hAnsi="Arial" w:cs="Arial"/>
        </w:rPr>
      </w:pPr>
      <w:r w:rsidRPr="000B565D">
        <w:rPr>
          <w:rFonts w:ascii="Arial" w:hAnsi="Arial" w:cs="Arial"/>
          <w:u w:val="single"/>
        </w:rPr>
        <w:t>EXPLANATION OF DECISION TO PROVIDE ANY PAYMENT OR GIFT TO RESPONDENTS</w:t>
      </w:r>
    </w:p>
    <w:p w:rsidRPr="000B565D" w:rsidR="00BA12BB" w:rsidP="00BA12BB" w:rsidRDefault="00BA12BB" w14:paraId="6A9440B5" w14:textId="77777777">
      <w:pPr>
        <w:rPr>
          <w:rFonts w:ascii="Arial" w:hAnsi="Arial" w:cs="Arial"/>
        </w:rPr>
      </w:pPr>
    </w:p>
    <w:p w:rsidRPr="000B565D" w:rsidR="00BA12BB" w:rsidP="00E50BC9" w:rsidRDefault="00B14ECE" w14:paraId="5483426F" w14:textId="77777777">
      <w:pPr>
        <w:widowControl w:val="0"/>
        <w:autoSpaceDE w:val="0"/>
        <w:autoSpaceDN w:val="0"/>
        <w:adjustRightInd w:val="0"/>
        <w:ind w:left="720"/>
        <w:rPr>
          <w:rFonts w:ascii="Arial" w:hAnsi="Arial" w:cs="Arial"/>
        </w:rPr>
      </w:pPr>
      <w:r w:rsidRPr="000B565D">
        <w:rPr>
          <w:rFonts w:ascii="Arial" w:hAnsi="Arial" w:cs="Arial"/>
        </w:rPr>
        <w:t>No payment or gift has been provided to any respondents.</w:t>
      </w:r>
    </w:p>
    <w:p w:rsidRPr="000B565D" w:rsidR="00BA12BB" w:rsidP="00BA12BB" w:rsidRDefault="00BA12BB" w14:paraId="4A987EA1" w14:textId="77777777">
      <w:pPr>
        <w:ind w:left="720"/>
        <w:rPr>
          <w:rFonts w:ascii="Arial" w:hAnsi="Arial" w:cs="Arial"/>
        </w:rPr>
      </w:pPr>
    </w:p>
    <w:p w:rsidRPr="000B565D" w:rsidR="00BA12BB" w:rsidP="00BA12BB" w:rsidRDefault="00BA12BB" w14:paraId="573ECC51" w14:textId="77777777">
      <w:pPr>
        <w:numPr>
          <w:ilvl w:val="0"/>
          <w:numId w:val="1"/>
        </w:numPr>
        <w:rPr>
          <w:rFonts w:ascii="Arial" w:hAnsi="Arial" w:cs="Arial"/>
          <w:u w:val="single"/>
        </w:rPr>
      </w:pPr>
      <w:r w:rsidRPr="000B565D">
        <w:rPr>
          <w:rFonts w:ascii="Arial" w:hAnsi="Arial" w:cs="Arial"/>
          <w:u w:val="single"/>
        </w:rPr>
        <w:t>ASSURANCE OF CONFIDENTIALITY OF RESPONSES</w:t>
      </w:r>
    </w:p>
    <w:p w:rsidRPr="000B565D" w:rsidR="00BA12BB" w:rsidP="00BA12BB" w:rsidRDefault="00BA12BB" w14:paraId="1F31137F" w14:textId="77777777">
      <w:pPr>
        <w:rPr>
          <w:rFonts w:ascii="Arial" w:hAnsi="Arial" w:cs="Arial"/>
          <w:u w:val="single"/>
        </w:rPr>
      </w:pPr>
    </w:p>
    <w:p w:rsidRPr="000B565D" w:rsidR="00AC30CE" w:rsidP="00AC30CE" w:rsidRDefault="00AC30CE" w14:paraId="38C5C155" w14:textId="77777777">
      <w:pPr>
        <w:ind w:left="720"/>
        <w:jc w:val="both"/>
        <w:rPr>
          <w:rFonts w:ascii="Arial" w:hAnsi="Arial" w:cs="Arial"/>
        </w:rPr>
      </w:pPr>
      <w:r w:rsidRPr="000B565D">
        <w:rPr>
          <w:rFonts w:ascii="Arial" w:hAnsi="Arial" w:cs="Arial"/>
        </w:rPr>
        <w:t>Generally, tax returns and tax return information are confidential as required by 26 USC 6103.</w:t>
      </w:r>
    </w:p>
    <w:p w:rsidR="0028081E" w:rsidP="00BA12BB" w:rsidRDefault="0028081E" w14:paraId="1596BDB0" w14:textId="77777777">
      <w:pPr>
        <w:ind w:left="720"/>
        <w:rPr>
          <w:rFonts w:ascii="Arial" w:hAnsi="Arial" w:cs="Arial"/>
        </w:rPr>
      </w:pPr>
    </w:p>
    <w:p w:rsidR="00500A24" w:rsidP="00BA12BB" w:rsidRDefault="00500A24" w14:paraId="52F7BA50" w14:textId="17BCA024">
      <w:pPr>
        <w:ind w:left="720"/>
        <w:rPr>
          <w:rFonts w:ascii="Arial" w:hAnsi="Arial" w:cs="Arial"/>
        </w:rPr>
      </w:pPr>
    </w:p>
    <w:p w:rsidR="00A31711" w:rsidP="00BA12BB" w:rsidRDefault="00A31711" w14:paraId="3A5833FC" w14:textId="64CF1925">
      <w:pPr>
        <w:ind w:left="720"/>
        <w:rPr>
          <w:rFonts w:ascii="Arial" w:hAnsi="Arial" w:cs="Arial"/>
        </w:rPr>
      </w:pPr>
    </w:p>
    <w:p w:rsidR="00A31711" w:rsidP="00BA12BB" w:rsidRDefault="00A31711" w14:paraId="78048F08" w14:textId="61F02A01">
      <w:pPr>
        <w:ind w:left="720"/>
        <w:rPr>
          <w:rFonts w:ascii="Arial" w:hAnsi="Arial" w:cs="Arial"/>
        </w:rPr>
      </w:pPr>
    </w:p>
    <w:p w:rsidR="00A31711" w:rsidP="00BA12BB" w:rsidRDefault="00A31711" w14:paraId="55884B31" w14:textId="68B9870B">
      <w:pPr>
        <w:ind w:left="720"/>
        <w:rPr>
          <w:rFonts w:ascii="Arial" w:hAnsi="Arial" w:cs="Arial"/>
        </w:rPr>
      </w:pPr>
    </w:p>
    <w:p w:rsidR="00A31711" w:rsidP="00BA12BB" w:rsidRDefault="00A31711" w14:paraId="307E8E95" w14:textId="0230BEF4">
      <w:pPr>
        <w:ind w:left="720"/>
        <w:rPr>
          <w:rFonts w:ascii="Arial" w:hAnsi="Arial" w:cs="Arial"/>
        </w:rPr>
      </w:pPr>
    </w:p>
    <w:p w:rsidR="00A31711" w:rsidP="00BA12BB" w:rsidRDefault="00A31711" w14:paraId="231A3B6F" w14:textId="77777777">
      <w:pPr>
        <w:ind w:left="720"/>
        <w:rPr>
          <w:rFonts w:ascii="Arial" w:hAnsi="Arial" w:cs="Arial"/>
        </w:rPr>
      </w:pPr>
    </w:p>
    <w:p w:rsidR="00500A24" w:rsidP="00BA12BB" w:rsidRDefault="00500A24" w14:paraId="04B383CE" w14:textId="77777777">
      <w:pPr>
        <w:ind w:left="720"/>
        <w:rPr>
          <w:rFonts w:ascii="Arial" w:hAnsi="Arial" w:cs="Arial"/>
        </w:rPr>
      </w:pPr>
    </w:p>
    <w:p w:rsidRPr="000B565D" w:rsidR="00500A24" w:rsidP="00BA12BB" w:rsidRDefault="00500A24" w14:paraId="75D42929" w14:textId="77777777">
      <w:pPr>
        <w:ind w:left="720"/>
        <w:rPr>
          <w:rFonts w:ascii="Arial" w:hAnsi="Arial" w:cs="Arial"/>
        </w:rPr>
      </w:pPr>
    </w:p>
    <w:p w:rsidRPr="000B565D" w:rsidR="0028081E" w:rsidP="0028081E" w:rsidRDefault="0028081E" w14:paraId="673BF3FE" w14:textId="77777777">
      <w:pPr>
        <w:numPr>
          <w:ilvl w:val="0"/>
          <w:numId w:val="1"/>
        </w:numPr>
        <w:rPr>
          <w:rFonts w:ascii="Arial" w:hAnsi="Arial" w:cs="Arial"/>
        </w:rPr>
      </w:pPr>
      <w:r w:rsidRPr="000B565D">
        <w:rPr>
          <w:rFonts w:ascii="Arial" w:hAnsi="Arial" w:cs="Arial"/>
          <w:u w:val="single"/>
        </w:rPr>
        <w:lastRenderedPageBreak/>
        <w:t>JUSTIFICATION OF SENSITIVE QUESTIONS</w:t>
      </w:r>
    </w:p>
    <w:p w:rsidRPr="000B565D" w:rsidR="0028081E" w:rsidP="0028081E" w:rsidRDefault="0028081E" w14:paraId="020C38E9" w14:textId="77777777">
      <w:pPr>
        <w:rPr>
          <w:rFonts w:ascii="Arial" w:hAnsi="Arial" w:cs="Arial"/>
        </w:rPr>
      </w:pPr>
    </w:p>
    <w:p w:rsidRPr="000B565D" w:rsidR="00B14ECE" w:rsidP="00B14ECE" w:rsidRDefault="00B14ECE" w14:paraId="29EFE9C2" w14:textId="77777777">
      <w:pPr>
        <w:ind w:left="720"/>
        <w:rPr>
          <w:rFonts w:ascii="Arial" w:hAnsi="Arial" w:cs="Arial"/>
        </w:rPr>
      </w:pPr>
      <w:r w:rsidRPr="000B565D">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0B565D" w:rsidR="00696F8C">
        <w:rPr>
          <w:rFonts w:ascii="Arial" w:hAnsi="Arial" w:cs="Arial"/>
        </w:rPr>
        <w:t>Internal Revenue Service</w:t>
      </w:r>
      <w:r w:rsidRPr="000B565D">
        <w:rPr>
          <w:rFonts w:ascii="Arial" w:hAnsi="Arial" w:cs="Arial"/>
        </w:rPr>
        <w:t xml:space="preserve"> PIAs can be found at</w:t>
      </w:r>
      <w:r w:rsidRPr="000B565D" w:rsidR="00696F8C">
        <w:rPr>
          <w:rFonts w:ascii="Arial" w:hAnsi="Arial" w:cs="Arial"/>
        </w:rPr>
        <w:t xml:space="preserve"> </w:t>
      </w:r>
      <w:hyperlink w:history="1" r:id="rId8">
        <w:r w:rsidRPr="000B565D" w:rsidR="00696F8C">
          <w:rPr>
            <w:rStyle w:val="Hyperlink"/>
            <w:rFonts w:ascii="Arial" w:hAnsi="Arial" w:cs="Arial"/>
            <w:color w:val="auto"/>
            <w:u w:val="none"/>
          </w:rPr>
          <w:t>http://www.irs.gov/uac/Privacy-Impact-Assessments-PIA</w:t>
        </w:r>
      </w:hyperlink>
      <w:r w:rsidRPr="000B565D" w:rsidR="00696F8C">
        <w:rPr>
          <w:rFonts w:ascii="Arial" w:hAnsi="Arial" w:cs="Arial"/>
        </w:rPr>
        <w:t>.</w:t>
      </w:r>
    </w:p>
    <w:p w:rsidRPr="000B565D" w:rsidR="00B14ECE" w:rsidP="00B14ECE" w:rsidRDefault="00B14ECE" w14:paraId="73E78A46" w14:textId="77777777">
      <w:pPr>
        <w:ind w:firstLine="720"/>
        <w:rPr>
          <w:rFonts w:ascii="Arial" w:hAnsi="Arial" w:cs="Arial"/>
        </w:rPr>
      </w:pPr>
    </w:p>
    <w:p w:rsidRPr="000B565D" w:rsidR="0028081E" w:rsidP="00B14ECE" w:rsidRDefault="00B14ECE" w14:paraId="14B08543" w14:textId="77777777">
      <w:pPr>
        <w:ind w:left="720"/>
        <w:rPr>
          <w:rFonts w:ascii="Arial" w:hAnsi="Arial" w:cs="Arial"/>
        </w:rPr>
      </w:pPr>
      <w:r w:rsidRPr="000B565D">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0B565D" w:rsidR="00B14ECE" w:rsidP="00B14ECE" w:rsidRDefault="00B14ECE" w14:paraId="52F5091F" w14:textId="77777777">
      <w:pPr>
        <w:ind w:left="720"/>
        <w:rPr>
          <w:rFonts w:ascii="Arial" w:hAnsi="Arial" w:cs="Arial"/>
        </w:rPr>
      </w:pPr>
    </w:p>
    <w:p w:rsidRPr="000B565D" w:rsidR="0028081E" w:rsidP="0028081E" w:rsidRDefault="0028081E" w14:paraId="1D6BC36E" w14:textId="77777777">
      <w:pPr>
        <w:numPr>
          <w:ilvl w:val="0"/>
          <w:numId w:val="1"/>
        </w:numPr>
        <w:rPr>
          <w:rFonts w:ascii="Arial" w:hAnsi="Arial" w:cs="Arial"/>
        </w:rPr>
      </w:pPr>
      <w:r w:rsidRPr="000B565D">
        <w:rPr>
          <w:rFonts w:ascii="Arial" w:hAnsi="Arial" w:cs="Arial"/>
          <w:u w:val="single"/>
        </w:rPr>
        <w:t>ESTIMATED BURDEN OF INFORMATION COLLECTION</w:t>
      </w:r>
    </w:p>
    <w:p w:rsidRPr="000B565D" w:rsidR="00B14ECE" w:rsidP="00B14ECE" w:rsidRDefault="00B14ECE" w14:paraId="4A350C48" w14:textId="77777777">
      <w:pPr>
        <w:rPr>
          <w:rFonts w:ascii="Arial" w:hAnsi="Arial" w:cs="Arial"/>
          <w:u w:val="single"/>
        </w:rPr>
      </w:pPr>
      <w:r w:rsidRPr="000B565D">
        <w:rPr>
          <w:rFonts w:ascii="Arial" w:hAnsi="Arial" w:cs="Arial"/>
          <w:u w:val="single"/>
        </w:rPr>
        <w:t xml:space="preserve">       </w:t>
      </w:r>
    </w:p>
    <w:p w:rsidRPr="000B565D" w:rsidR="00B14ECE" w:rsidP="00B14ECE" w:rsidRDefault="00B14ECE" w14:paraId="7024FE45" w14:textId="77777777">
      <w:pPr>
        <w:ind w:left="720"/>
        <w:rPr>
          <w:rFonts w:ascii="Arial" w:hAnsi="Arial" w:cs="Arial"/>
        </w:rPr>
      </w:pPr>
      <w:r w:rsidRPr="000B565D">
        <w:rPr>
          <w:rFonts w:ascii="Arial" w:hAnsi="Arial" w:cs="Arial"/>
        </w:rPr>
        <w:t>The burden estimate is as follows:</w:t>
      </w:r>
    </w:p>
    <w:p w:rsidRPr="000B565D" w:rsidR="00B14ECE" w:rsidP="00B14ECE" w:rsidRDefault="00B14ECE" w14:paraId="563B8E48" w14:textId="77777777">
      <w:pPr>
        <w:widowControl w:val="0"/>
        <w:autoSpaceDE w:val="0"/>
        <w:autoSpaceDN w:val="0"/>
        <w:adjustRightInd w:val="0"/>
        <w:rPr>
          <w:rFonts w:ascii="Arial" w:hAnsi="Arial" w:cs="Arial"/>
        </w:rPr>
      </w:pPr>
    </w:p>
    <w:tbl>
      <w:tblPr>
        <w:tblW w:w="10077" w:type="dxa"/>
        <w:tblInd w:w="-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3"/>
        <w:gridCol w:w="1537"/>
        <w:gridCol w:w="1737"/>
        <w:gridCol w:w="1603"/>
        <w:gridCol w:w="1497"/>
        <w:gridCol w:w="1364"/>
        <w:gridCol w:w="1056"/>
      </w:tblGrid>
      <w:tr w:rsidRPr="000B5BD7" w:rsidR="00415A46" w:rsidTr="000B5BD7" w14:paraId="40B40A2D" w14:textId="77777777">
        <w:tc>
          <w:tcPr>
            <w:tcW w:w="1283" w:type="dxa"/>
            <w:shd w:val="clear" w:color="auto" w:fill="auto"/>
            <w:vAlign w:val="bottom"/>
          </w:tcPr>
          <w:p w:rsidRPr="000B5BD7" w:rsidR="00415A46" w:rsidP="004476CA" w:rsidRDefault="00415A46" w14:paraId="45CE4BAE"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Authority</w:t>
            </w:r>
          </w:p>
        </w:tc>
        <w:tc>
          <w:tcPr>
            <w:tcW w:w="1537" w:type="dxa"/>
            <w:vAlign w:val="bottom"/>
          </w:tcPr>
          <w:p w:rsidRPr="000B5BD7" w:rsidR="00415A46" w:rsidP="004476CA" w:rsidRDefault="00415A46" w14:paraId="163A1ECA"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Description</w:t>
            </w:r>
          </w:p>
        </w:tc>
        <w:tc>
          <w:tcPr>
            <w:tcW w:w="1737" w:type="dxa"/>
            <w:vAlign w:val="bottom"/>
          </w:tcPr>
          <w:p w:rsidRPr="000B5BD7" w:rsidR="00415A46" w:rsidP="004476CA" w:rsidRDefault="00415A46" w14:paraId="4EBBF749"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 of Respondents</w:t>
            </w:r>
          </w:p>
        </w:tc>
        <w:tc>
          <w:tcPr>
            <w:tcW w:w="1603" w:type="dxa"/>
            <w:vAlign w:val="bottom"/>
          </w:tcPr>
          <w:p w:rsidRPr="000B5BD7" w:rsidR="00415A46" w:rsidP="004476CA" w:rsidRDefault="00415A46" w14:paraId="1C0A8570"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 Responses per Respondent</w:t>
            </w:r>
          </w:p>
        </w:tc>
        <w:tc>
          <w:tcPr>
            <w:tcW w:w="1497" w:type="dxa"/>
            <w:shd w:val="clear" w:color="auto" w:fill="auto"/>
            <w:vAlign w:val="bottom"/>
          </w:tcPr>
          <w:p w:rsidRPr="000B5BD7" w:rsidR="00415A46" w:rsidP="004476CA" w:rsidRDefault="00415A46" w14:paraId="5AADCBF7"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Annual Responses</w:t>
            </w:r>
          </w:p>
        </w:tc>
        <w:tc>
          <w:tcPr>
            <w:tcW w:w="1364" w:type="dxa"/>
            <w:vAlign w:val="bottom"/>
          </w:tcPr>
          <w:p w:rsidRPr="000B5BD7" w:rsidR="00415A46" w:rsidP="004476CA" w:rsidRDefault="00415A46" w14:paraId="587697FF"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Hours per Response</w:t>
            </w:r>
          </w:p>
        </w:tc>
        <w:tc>
          <w:tcPr>
            <w:tcW w:w="1056" w:type="dxa"/>
            <w:shd w:val="clear" w:color="auto" w:fill="auto"/>
            <w:vAlign w:val="bottom"/>
          </w:tcPr>
          <w:p w:rsidRPr="000B5BD7" w:rsidR="00415A46" w:rsidP="004476CA" w:rsidRDefault="00415A46" w14:paraId="58B20699" w14:textId="77777777">
            <w:pPr>
              <w:keepNext/>
              <w:keepLines/>
              <w:numPr>
                <w:ilvl w:val="12"/>
                <w:numId w:val="0"/>
              </w:numPr>
              <w:jc w:val="center"/>
              <w:rPr>
                <w:rFonts w:ascii="Arial Narrow" w:hAnsi="Arial Narrow" w:cs="Arial"/>
                <w:b/>
                <w:sz w:val="18"/>
                <w:szCs w:val="18"/>
              </w:rPr>
            </w:pPr>
            <w:r w:rsidRPr="000B5BD7">
              <w:rPr>
                <w:rFonts w:ascii="Arial Narrow" w:hAnsi="Arial Narrow" w:cs="Arial"/>
                <w:b/>
                <w:sz w:val="18"/>
                <w:szCs w:val="18"/>
              </w:rPr>
              <w:t>Total Burden</w:t>
            </w:r>
          </w:p>
        </w:tc>
      </w:tr>
      <w:tr w:rsidRPr="000B5BD7" w:rsidR="00415A46" w:rsidTr="000B5BD7" w14:paraId="3961A329" w14:textId="77777777">
        <w:tc>
          <w:tcPr>
            <w:tcW w:w="1283" w:type="dxa"/>
            <w:shd w:val="clear" w:color="auto" w:fill="auto"/>
            <w:vAlign w:val="bottom"/>
          </w:tcPr>
          <w:p w:rsidRPr="000B5BD7" w:rsidR="00415A46" w:rsidP="00C5341C" w:rsidRDefault="00C5341C" w14:paraId="55F73E15" w14:textId="77777777">
            <w:pPr>
              <w:keepNext/>
              <w:keepLines/>
              <w:numPr>
                <w:ilvl w:val="12"/>
                <w:numId w:val="0"/>
              </w:numPr>
              <w:rPr>
                <w:rFonts w:ascii="Arial Narrow" w:hAnsi="Arial Narrow" w:cs="Arial"/>
                <w:sz w:val="18"/>
                <w:szCs w:val="18"/>
              </w:rPr>
            </w:pPr>
            <w:r w:rsidRPr="000B5BD7">
              <w:rPr>
                <w:rFonts w:ascii="Arial Narrow" w:hAnsi="Arial Narrow" w:cs="Arial"/>
                <w:sz w:val="18"/>
                <w:szCs w:val="18"/>
              </w:rPr>
              <w:t>IRC Sec. 5000C</w:t>
            </w:r>
          </w:p>
        </w:tc>
        <w:tc>
          <w:tcPr>
            <w:tcW w:w="1537" w:type="dxa"/>
            <w:vAlign w:val="bottom"/>
          </w:tcPr>
          <w:p w:rsidRPr="000B5BD7" w:rsidR="00415A46" w:rsidP="004476CA" w:rsidRDefault="00415A46" w14:paraId="09158E63"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 xml:space="preserve">Form W-14                       </w:t>
            </w:r>
          </w:p>
        </w:tc>
        <w:tc>
          <w:tcPr>
            <w:tcW w:w="1737" w:type="dxa"/>
            <w:vAlign w:val="bottom"/>
          </w:tcPr>
          <w:p w:rsidRPr="000B5BD7" w:rsidR="00415A46" w:rsidP="004476CA" w:rsidRDefault="00415A46" w14:paraId="1B042EE1"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2,000</w:t>
            </w:r>
          </w:p>
        </w:tc>
        <w:tc>
          <w:tcPr>
            <w:tcW w:w="1603" w:type="dxa"/>
            <w:vAlign w:val="bottom"/>
          </w:tcPr>
          <w:p w:rsidRPr="000B5BD7" w:rsidR="00415A46" w:rsidP="004476CA" w:rsidRDefault="00415A46" w14:paraId="0A872916"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1</w:t>
            </w:r>
          </w:p>
        </w:tc>
        <w:tc>
          <w:tcPr>
            <w:tcW w:w="1497" w:type="dxa"/>
            <w:shd w:val="clear" w:color="auto" w:fill="auto"/>
            <w:vAlign w:val="bottom"/>
          </w:tcPr>
          <w:p w:rsidRPr="000B5BD7" w:rsidR="00415A46" w:rsidP="004476CA" w:rsidRDefault="00415A46" w14:paraId="7E3FDF12"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2,000</w:t>
            </w:r>
          </w:p>
        </w:tc>
        <w:tc>
          <w:tcPr>
            <w:tcW w:w="1364" w:type="dxa"/>
            <w:vAlign w:val="bottom"/>
          </w:tcPr>
          <w:p w:rsidRPr="000B5BD7" w:rsidR="00415A46" w:rsidP="00C5341C" w:rsidRDefault="00C5341C" w14:paraId="735DAA93"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5.92</w:t>
            </w:r>
          </w:p>
        </w:tc>
        <w:tc>
          <w:tcPr>
            <w:tcW w:w="1056" w:type="dxa"/>
            <w:shd w:val="clear" w:color="auto" w:fill="auto"/>
            <w:vAlign w:val="bottom"/>
          </w:tcPr>
          <w:p w:rsidRPr="000B5BD7" w:rsidR="00415A46" w:rsidP="004476CA" w:rsidRDefault="00415A46" w14:paraId="6B65BF1D"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11,840</w:t>
            </w:r>
          </w:p>
        </w:tc>
      </w:tr>
      <w:tr w:rsidRPr="000B5BD7" w:rsidR="00415A46" w:rsidTr="000B5BD7" w14:paraId="47741369" w14:textId="77777777">
        <w:tc>
          <w:tcPr>
            <w:tcW w:w="1283" w:type="dxa"/>
            <w:shd w:val="clear" w:color="auto" w:fill="auto"/>
            <w:vAlign w:val="bottom"/>
          </w:tcPr>
          <w:p w:rsidRPr="000B5BD7" w:rsidR="00415A46" w:rsidP="004476CA" w:rsidRDefault="00415A46" w14:paraId="71BD3DD3"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Totals</w:t>
            </w:r>
          </w:p>
        </w:tc>
        <w:tc>
          <w:tcPr>
            <w:tcW w:w="1537" w:type="dxa"/>
            <w:vAlign w:val="bottom"/>
          </w:tcPr>
          <w:p w:rsidRPr="000B5BD7" w:rsidR="00415A46" w:rsidP="004476CA" w:rsidRDefault="00415A46" w14:paraId="03F9B101" w14:textId="77777777">
            <w:pPr>
              <w:keepNext/>
              <w:keepLines/>
              <w:numPr>
                <w:ilvl w:val="12"/>
                <w:numId w:val="0"/>
              </w:numPr>
              <w:jc w:val="center"/>
              <w:rPr>
                <w:rFonts w:ascii="Arial Narrow" w:hAnsi="Arial Narrow" w:cs="Arial"/>
                <w:sz w:val="18"/>
                <w:szCs w:val="18"/>
              </w:rPr>
            </w:pPr>
          </w:p>
        </w:tc>
        <w:tc>
          <w:tcPr>
            <w:tcW w:w="1737" w:type="dxa"/>
            <w:vAlign w:val="bottom"/>
          </w:tcPr>
          <w:p w:rsidRPr="000B5BD7" w:rsidR="00415A46" w:rsidP="000B5BD7" w:rsidRDefault="00415A46" w14:paraId="1D0835D4"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2,000</w:t>
            </w:r>
          </w:p>
        </w:tc>
        <w:tc>
          <w:tcPr>
            <w:tcW w:w="1603" w:type="dxa"/>
            <w:vAlign w:val="bottom"/>
          </w:tcPr>
          <w:p w:rsidRPr="000B5BD7" w:rsidR="00415A46" w:rsidP="004476CA" w:rsidRDefault="00415A46" w14:paraId="5F05BDE9" w14:textId="77777777">
            <w:pPr>
              <w:keepNext/>
              <w:keepLines/>
              <w:numPr>
                <w:ilvl w:val="12"/>
                <w:numId w:val="0"/>
              </w:numPr>
              <w:jc w:val="center"/>
              <w:rPr>
                <w:rFonts w:ascii="Arial Narrow" w:hAnsi="Arial Narrow" w:cs="Arial"/>
                <w:sz w:val="18"/>
                <w:szCs w:val="18"/>
              </w:rPr>
            </w:pPr>
          </w:p>
        </w:tc>
        <w:tc>
          <w:tcPr>
            <w:tcW w:w="1497" w:type="dxa"/>
            <w:shd w:val="clear" w:color="auto" w:fill="auto"/>
            <w:vAlign w:val="bottom"/>
          </w:tcPr>
          <w:p w:rsidRPr="000B5BD7" w:rsidR="00415A46" w:rsidP="004476CA" w:rsidRDefault="00415A46" w14:paraId="7A5380D0" w14:textId="77777777">
            <w:pPr>
              <w:keepNext/>
              <w:keepLines/>
              <w:numPr>
                <w:ilvl w:val="12"/>
                <w:numId w:val="0"/>
              </w:numPr>
              <w:jc w:val="center"/>
              <w:rPr>
                <w:rFonts w:ascii="Arial Narrow" w:hAnsi="Arial Narrow" w:cs="Arial"/>
                <w:sz w:val="18"/>
                <w:szCs w:val="18"/>
              </w:rPr>
            </w:pPr>
          </w:p>
        </w:tc>
        <w:tc>
          <w:tcPr>
            <w:tcW w:w="1364" w:type="dxa"/>
            <w:vAlign w:val="bottom"/>
          </w:tcPr>
          <w:p w:rsidRPr="000B5BD7" w:rsidR="00415A46" w:rsidP="004476CA" w:rsidRDefault="00415A46" w14:paraId="70819E5A" w14:textId="77777777">
            <w:pPr>
              <w:keepNext/>
              <w:keepLines/>
              <w:numPr>
                <w:ilvl w:val="12"/>
                <w:numId w:val="0"/>
              </w:numPr>
              <w:jc w:val="center"/>
              <w:rPr>
                <w:rFonts w:ascii="Arial Narrow" w:hAnsi="Arial Narrow" w:cs="Arial"/>
                <w:sz w:val="18"/>
                <w:szCs w:val="18"/>
              </w:rPr>
            </w:pPr>
          </w:p>
        </w:tc>
        <w:tc>
          <w:tcPr>
            <w:tcW w:w="1056" w:type="dxa"/>
            <w:shd w:val="clear" w:color="auto" w:fill="auto"/>
            <w:vAlign w:val="bottom"/>
          </w:tcPr>
          <w:p w:rsidRPr="000B5BD7" w:rsidR="00415A46" w:rsidP="004476CA" w:rsidRDefault="00415A46" w14:paraId="37A4C706" w14:textId="77777777">
            <w:pPr>
              <w:keepNext/>
              <w:keepLines/>
              <w:numPr>
                <w:ilvl w:val="12"/>
                <w:numId w:val="0"/>
              </w:numPr>
              <w:jc w:val="center"/>
              <w:rPr>
                <w:rFonts w:ascii="Arial Narrow" w:hAnsi="Arial Narrow" w:cs="Arial"/>
                <w:sz w:val="18"/>
                <w:szCs w:val="18"/>
              </w:rPr>
            </w:pPr>
            <w:r w:rsidRPr="000B5BD7">
              <w:rPr>
                <w:rFonts w:ascii="Arial Narrow" w:hAnsi="Arial Narrow" w:cs="Arial"/>
                <w:sz w:val="18"/>
                <w:szCs w:val="18"/>
              </w:rPr>
              <w:t>11,840</w:t>
            </w:r>
          </w:p>
        </w:tc>
      </w:tr>
    </w:tbl>
    <w:p w:rsidRPr="000B565D" w:rsidR="003A1214" w:rsidP="00D52D17" w:rsidRDefault="00C36804" w14:paraId="2C9D388E" w14:textId="1722F085">
      <w:pPr>
        <w:tabs>
          <w:tab w:val="left" w:pos="720"/>
          <w:tab w:val="left" w:pos="1440"/>
          <w:tab w:val="left" w:pos="3780"/>
        </w:tabs>
        <w:ind w:left="720"/>
        <w:rPr>
          <w:rFonts w:ascii="Arial" w:hAnsi="Arial" w:cs="Arial"/>
        </w:rPr>
      </w:pPr>
      <w:r w:rsidRPr="000B565D">
        <w:rPr>
          <w:rFonts w:ascii="Arial" w:hAnsi="Arial" w:cs="Arial"/>
        </w:rPr>
        <w:tab/>
      </w:r>
      <w:r w:rsidR="00D52D17">
        <w:rPr>
          <w:rFonts w:ascii="Arial" w:hAnsi="Arial" w:cs="Arial"/>
        </w:rPr>
        <w:tab/>
      </w:r>
    </w:p>
    <w:p w:rsidR="00971AD7" w:rsidP="003A1214" w:rsidRDefault="00C36804" w14:paraId="268F7169" w14:textId="147870E1">
      <w:pPr>
        <w:ind w:firstLine="630"/>
        <w:rPr>
          <w:rFonts w:ascii="Arial" w:hAnsi="Arial" w:cs="Arial"/>
        </w:rPr>
      </w:pPr>
      <w:r w:rsidRPr="000B565D">
        <w:rPr>
          <w:rFonts w:ascii="Arial" w:hAnsi="Arial" w:cs="Arial"/>
        </w:rPr>
        <w:t>There is no burden associated with TD 9782.</w:t>
      </w:r>
    </w:p>
    <w:p w:rsidR="00D52D17" w:rsidP="003A1214" w:rsidRDefault="00D52D17" w14:paraId="6B8F24CD" w14:textId="6D83CE19">
      <w:pPr>
        <w:ind w:firstLine="630"/>
        <w:rPr>
          <w:rFonts w:ascii="Arial" w:hAnsi="Arial" w:cs="Arial"/>
        </w:rPr>
      </w:pPr>
    </w:p>
    <w:p w:rsidR="00D52D17" w:rsidP="003A1214" w:rsidRDefault="00D52D17" w14:paraId="74867836" w14:textId="1DF85DA4">
      <w:pPr>
        <w:ind w:firstLine="630"/>
        <w:rPr>
          <w:rFonts w:ascii="Calibri" w:hAnsi="Calibri" w:cs="Calibri"/>
        </w:rPr>
      </w:pPr>
      <w:r w:rsidRPr="00D52D17">
        <w:rPr>
          <w:rFonts w:ascii="Calibri" w:hAnsi="Calibri" w:cs="Calibri"/>
        </w:rPr>
        <w:t>Please continue to assign OMB number 1545-</w:t>
      </w:r>
      <w:r>
        <w:rPr>
          <w:rFonts w:ascii="Calibri" w:hAnsi="Calibri" w:cs="Calibri"/>
        </w:rPr>
        <w:t>2263</w:t>
      </w:r>
      <w:r w:rsidRPr="00D52D17">
        <w:rPr>
          <w:rFonts w:ascii="Calibri" w:hAnsi="Calibri" w:cs="Calibri"/>
        </w:rPr>
        <w:t xml:space="preserve"> to these regulations.</w:t>
      </w:r>
    </w:p>
    <w:p w:rsidRPr="000B565D" w:rsidR="00D52D17" w:rsidP="003A1214" w:rsidRDefault="00D52D17" w14:paraId="5C2D124D" w14:textId="25E02E47">
      <w:pPr>
        <w:ind w:firstLine="630"/>
        <w:rPr>
          <w:rFonts w:ascii="Arial" w:hAnsi="Arial" w:cs="Arial"/>
        </w:rPr>
      </w:pPr>
      <w:r>
        <w:rPr>
          <w:rFonts w:ascii="Calibri" w:hAnsi="Calibri" w:cs="Calibri"/>
        </w:rPr>
        <w:t>1.5000C-2, 1.5000C-3, and 1.5000C-4</w:t>
      </w:r>
    </w:p>
    <w:p w:rsidRPr="000B565D" w:rsidR="00415A46" w:rsidP="00B14ECE" w:rsidRDefault="00415A46" w14:paraId="67FE8A1B" w14:textId="77777777">
      <w:pPr>
        <w:rPr>
          <w:rFonts w:ascii="Arial" w:hAnsi="Arial" w:cs="Arial"/>
        </w:rPr>
      </w:pPr>
    </w:p>
    <w:p w:rsidRPr="000B565D" w:rsidR="009954F9" w:rsidP="009B65FD" w:rsidRDefault="009954F9" w14:paraId="2B051A28" w14:textId="77777777">
      <w:pPr>
        <w:numPr>
          <w:ilvl w:val="0"/>
          <w:numId w:val="1"/>
        </w:numPr>
        <w:rPr>
          <w:rFonts w:ascii="Arial" w:hAnsi="Arial" w:cs="Arial"/>
        </w:rPr>
      </w:pPr>
      <w:r w:rsidRPr="000B565D">
        <w:rPr>
          <w:rFonts w:ascii="Arial" w:hAnsi="Arial" w:cs="Arial"/>
          <w:u w:val="single"/>
        </w:rPr>
        <w:t>ESTIMATED TOTAL ANNUAL COST BURDEN TO RESPONDENTS</w:t>
      </w:r>
    </w:p>
    <w:p w:rsidRPr="000B565D" w:rsidR="00AC30CE" w:rsidP="00AC30CE" w:rsidRDefault="00AC30CE" w14:paraId="7DC93D08" w14:textId="77777777">
      <w:pPr>
        <w:ind w:left="630"/>
        <w:rPr>
          <w:rFonts w:ascii="Arial" w:hAnsi="Arial" w:cs="Arial"/>
        </w:rPr>
      </w:pPr>
    </w:p>
    <w:p w:rsidRPr="00C87DBD" w:rsidR="00C87DBD" w:rsidP="000B5BD7" w:rsidRDefault="00C87DBD" w14:paraId="2C374735" w14:textId="77777777">
      <w:pPr>
        <w:ind w:left="720"/>
        <w:rPr>
          <w:rFonts w:ascii="Arial" w:hAnsi="Arial" w:cs="Arial"/>
        </w:rPr>
      </w:pPr>
      <w:r w:rsidRPr="00C87DBD">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0B565D" w:rsidR="00CC5F35" w:rsidP="009954F9" w:rsidRDefault="00CC5F35" w14:paraId="5FB373ED" w14:textId="77777777">
      <w:pPr>
        <w:ind w:left="360"/>
        <w:rPr>
          <w:rFonts w:ascii="Arial" w:hAnsi="Arial" w:cs="Arial"/>
        </w:rPr>
      </w:pPr>
    </w:p>
    <w:p w:rsidRPr="000B565D" w:rsidR="00CC5F35" w:rsidP="00CC5F35" w:rsidRDefault="00CC5F35" w14:paraId="0273235E" w14:textId="77777777">
      <w:pPr>
        <w:numPr>
          <w:ilvl w:val="0"/>
          <w:numId w:val="1"/>
        </w:numPr>
        <w:rPr>
          <w:rFonts w:ascii="Arial" w:hAnsi="Arial" w:cs="Arial"/>
          <w:u w:val="single"/>
        </w:rPr>
      </w:pPr>
      <w:r w:rsidRPr="000B565D">
        <w:rPr>
          <w:rFonts w:ascii="Arial" w:hAnsi="Arial" w:cs="Arial"/>
          <w:u w:val="single"/>
        </w:rPr>
        <w:t>ESTIMATED ANNUAL</w:t>
      </w:r>
      <w:r w:rsidRPr="000B565D" w:rsidR="00B55DFA">
        <w:rPr>
          <w:rFonts w:ascii="Arial" w:hAnsi="Arial" w:cs="Arial"/>
          <w:u w:val="single"/>
        </w:rPr>
        <w:t>IZED</w:t>
      </w:r>
      <w:r w:rsidRPr="000B565D">
        <w:rPr>
          <w:rFonts w:ascii="Arial" w:hAnsi="Arial" w:cs="Arial"/>
          <w:u w:val="single"/>
        </w:rPr>
        <w:t xml:space="preserve"> COST TO THE FEDERAL GOVERNMENT</w:t>
      </w:r>
    </w:p>
    <w:p w:rsidRPr="000B565D" w:rsidR="00CC5F35" w:rsidP="00CC5F35" w:rsidRDefault="00CC5F35" w14:paraId="16207F94" w14:textId="77777777">
      <w:pPr>
        <w:rPr>
          <w:rFonts w:ascii="Arial" w:hAnsi="Arial" w:cs="Arial"/>
          <w:u w:val="single"/>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2F78C9" w:rsidTr="00D3747F" w14:paraId="6AC6ACF1" w14:textId="77777777">
        <w:tc>
          <w:tcPr>
            <w:tcW w:w="2358" w:type="dxa"/>
            <w:shd w:val="clear" w:color="auto" w:fill="auto"/>
            <w:vAlign w:val="bottom"/>
          </w:tcPr>
          <w:p w:rsidRPr="00E20033" w:rsidR="002F78C9" w:rsidP="00D3747F" w:rsidRDefault="002F78C9" w14:paraId="77CB0D9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2F78C9" w:rsidP="00D3747F" w:rsidRDefault="002F78C9" w14:paraId="43D5F70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2F78C9" w:rsidP="00D3747F" w:rsidRDefault="002F78C9" w14:paraId="0272D456"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2F78C9" w:rsidP="00D3747F" w:rsidRDefault="002F78C9" w14:paraId="0A48A65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2F78C9" w:rsidP="00D3747F" w:rsidRDefault="002F78C9" w14:paraId="2021E27A"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2F78C9" w:rsidP="00D3747F" w:rsidRDefault="002F78C9" w14:paraId="4EFA136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2F78C9" w:rsidTr="00D3747F" w14:paraId="6BE6993B" w14:textId="77777777">
        <w:tc>
          <w:tcPr>
            <w:tcW w:w="2358" w:type="dxa"/>
            <w:shd w:val="clear" w:color="auto" w:fill="auto"/>
            <w:vAlign w:val="bottom"/>
          </w:tcPr>
          <w:p w:rsidRPr="00E20033" w:rsidR="002F78C9" w:rsidP="00D3747F" w:rsidRDefault="002F78C9" w14:paraId="62E59854" w14:textId="77777777">
            <w:pPr>
              <w:keepNext/>
              <w:keepLines/>
              <w:numPr>
                <w:ilvl w:val="12"/>
                <w:numId w:val="0"/>
              </w:numPr>
              <w:rPr>
                <w:rFonts w:ascii="Arial Narrow" w:hAnsi="Arial Narrow"/>
                <w:sz w:val="18"/>
                <w:szCs w:val="18"/>
              </w:rPr>
            </w:pPr>
            <w:proofErr w:type="gramStart"/>
            <w:r w:rsidRPr="00E20033">
              <w:rPr>
                <w:rFonts w:ascii="Arial Narrow" w:hAnsi="Arial Narrow"/>
                <w:sz w:val="18"/>
                <w:szCs w:val="18"/>
              </w:rPr>
              <w:t xml:space="preserve">Form </w:t>
            </w:r>
            <w:r>
              <w:rPr>
                <w:rFonts w:ascii="Arial Narrow" w:hAnsi="Arial Narrow"/>
                <w:sz w:val="18"/>
                <w:szCs w:val="18"/>
              </w:rPr>
              <w:t xml:space="preserve"> W</w:t>
            </w:r>
            <w:proofErr w:type="gramEnd"/>
            <w:r>
              <w:rPr>
                <w:rFonts w:ascii="Arial Narrow" w:hAnsi="Arial Narrow"/>
                <w:sz w:val="18"/>
                <w:szCs w:val="18"/>
              </w:rPr>
              <w:t>-14</w:t>
            </w:r>
          </w:p>
        </w:tc>
        <w:tc>
          <w:tcPr>
            <w:tcW w:w="1980" w:type="dxa"/>
            <w:shd w:val="clear" w:color="auto" w:fill="auto"/>
          </w:tcPr>
          <w:p w:rsidRPr="00E20033" w:rsidR="002F78C9" w:rsidP="00D3747F" w:rsidRDefault="002F78C9" w14:paraId="1D11B53F" w14:textId="77777777">
            <w:pPr>
              <w:keepNext/>
              <w:keepLines/>
              <w:jc w:val="center"/>
              <w:rPr>
                <w:rFonts w:ascii="Arial Narrow" w:hAnsi="Arial Narrow"/>
                <w:sz w:val="18"/>
                <w:szCs w:val="18"/>
              </w:rPr>
            </w:pPr>
            <w:r>
              <w:rPr>
                <w:rFonts w:ascii="Arial Narrow" w:hAnsi="Arial Narrow"/>
                <w:sz w:val="18"/>
                <w:szCs w:val="18"/>
              </w:rPr>
              <w:t>10,936</w:t>
            </w:r>
          </w:p>
        </w:tc>
        <w:tc>
          <w:tcPr>
            <w:tcW w:w="303" w:type="dxa"/>
            <w:shd w:val="clear" w:color="auto" w:fill="auto"/>
          </w:tcPr>
          <w:p w:rsidRPr="00E20033" w:rsidR="002F78C9" w:rsidP="00D3747F" w:rsidRDefault="002F78C9" w14:paraId="4B62E67C" w14:textId="77777777">
            <w:pPr>
              <w:keepNext/>
              <w:keepLines/>
              <w:jc w:val="center"/>
              <w:rPr>
                <w:rFonts w:ascii="Arial Narrow" w:hAnsi="Arial Narrow"/>
                <w:sz w:val="18"/>
                <w:szCs w:val="18"/>
              </w:rPr>
            </w:pPr>
          </w:p>
        </w:tc>
        <w:tc>
          <w:tcPr>
            <w:tcW w:w="1745" w:type="dxa"/>
            <w:shd w:val="clear" w:color="auto" w:fill="auto"/>
          </w:tcPr>
          <w:p w:rsidRPr="00E20033" w:rsidR="002F78C9" w:rsidP="00D3747F" w:rsidRDefault="002F78C9" w14:paraId="2C311085"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2F78C9" w:rsidP="00D3747F" w:rsidRDefault="002F78C9" w14:paraId="71538040" w14:textId="77777777">
            <w:pPr>
              <w:keepNext/>
              <w:keepLines/>
              <w:jc w:val="center"/>
              <w:rPr>
                <w:rFonts w:ascii="Arial Narrow" w:hAnsi="Arial Narrow"/>
                <w:sz w:val="18"/>
                <w:szCs w:val="18"/>
              </w:rPr>
            </w:pPr>
          </w:p>
        </w:tc>
        <w:tc>
          <w:tcPr>
            <w:tcW w:w="1582" w:type="dxa"/>
            <w:shd w:val="clear" w:color="auto" w:fill="auto"/>
          </w:tcPr>
          <w:p w:rsidRPr="00E20033" w:rsidR="002F78C9" w:rsidP="00D3747F" w:rsidRDefault="002F78C9" w14:paraId="2B6C1176" w14:textId="77777777">
            <w:pPr>
              <w:keepNext/>
              <w:keepLines/>
              <w:jc w:val="center"/>
              <w:rPr>
                <w:rFonts w:ascii="Arial Narrow" w:hAnsi="Arial Narrow"/>
                <w:sz w:val="18"/>
                <w:szCs w:val="18"/>
              </w:rPr>
            </w:pPr>
            <w:r>
              <w:rPr>
                <w:rFonts w:ascii="Arial Narrow" w:hAnsi="Arial Narrow"/>
                <w:sz w:val="18"/>
                <w:szCs w:val="18"/>
              </w:rPr>
              <w:t>10,936</w:t>
            </w:r>
          </w:p>
        </w:tc>
      </w:tr>
      <w:tr w:rsidRPr="008E4D11" w:rsidR="002F78C9" w:rsidTr="00D3747F" w14:paraId="62F7C749" w14:textId="77777777">
        <w:tc>
          <w:tcPr>
            <w:tcW w:w="2358" w:type="dxa"/>
            <w:shd w:val="clear" w:color="auto" w:fill="auto"/>
            <w:vAlign w:val="bottom"/>
          </w:tcPr>
          <w:p w:rsidRPr="00E20033" w:rsidR="002F78C9" w:rsidP="00D3747F" w:rsidRDefault="002F78C9" w14:paraId="08916393"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Pr="00E20033" w:rsidR="002F78C9" w:rsidP="00D3747F" w:rsidRDefault="002F78C9" w14:paraId="4CA5AAAF" w14:textId="77777777">
            <w:pPr>
              <w:keepNext/>
              <w:keepLines/>
              <w:jc w:val="center"/>
              <w:rPr>
                <w:rFonts w:ascii="Arial Narrow" w:hAnsi="Arial Narrow"/>
                <w:sz w:val="18"/>
                <w:szCs w:val="18"/>
              </w:rPr>
            </w:pPr>
            <w:r>
              <w:rPr>
                <w:rFonts w:ascii="Arial Narrow" w:hAnsi="Arial Narrow"/>
                <w:sz w:val="18"/>
                <w:szCs w:val="18"/>
              </w:rPr>
              <w:t>4,101</w:t>
            </w:r>
          </w:p>
        </w:tc>
        <w:tc>
          <w:tcPr>
            <w:tcW w:w="303" w:type="dxa"/>
            <w:shd w:val="clear" w:color="auto" w:fill="auto"/>
          </w:tcPr>
          <w:p w:rsidRPr="00E20033" w:rsidR="002F78C9" w:rsidP="00D3747F" w:rsidRDefault="002F78C9" w14:paraId="0A91E2D4" w14:textId="77777777">
            <w:pPr>
              <w:keepNext/>
              <w:keepLines/>
              <w:jc w:val="center"/>
              <w:rPr>
                <w:rFonts w:ascii="Arial Narrow" w:hAnsi="Arial Narrow"/>
                <w:sz w:val="18"/>
                <w:szCs w:val="18"/>
              </w:rPr>
            </w:pPr>
          </w:p>
        </w:tc>
        <w:tc>
          <w:tcPr>
            <w:tcW w:w="1745" w:type="dxa"/>
            <w:shd w:val="clear" w:color="auto" w:fill="auto"/>
          </w:tcPr>
          <w:p w:rsidRPr="00E20033" w:rsidR="002F78C9" w:rsidP="00D3747F" w:rsidRDefault="002F78C9" w14:paraId="19B79E08"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2F78C9" w:rsidP="00D3747F" w:rsidRDefault="002F78C9" w14:paraId="34366988" w14:textId="77777777">
            <w:pPr>
              <w:keepNext/>
              <w:keepLines/>
              <w:jc w:val="center"/>
              <w:rPr>
                <w:rFonts w:ascii="Arial Narrow" w:hAnsi="Arial Narrow"/>
                <w:sz w:val="18"/>
                <w:szCs w:val="18"/>
              </w:rPr>
            </w:pPr>
          </w:p>
        </w:tc>
        <w:tc>
          <w:tcPr>
            <w:tcW w:w="1582" w:type="dxa"/>
            <w:shd w:val="clear" w:color="auto" w:fill="auto"/>
          </w:tcPr>
          <w:p w:rsidRPr="00E20033" w:rsidR="002F78C9" w:rsidP="00D3747F" w:rsidRDefault="002F78C9" w14:paraId="267B4AF8" w14:textId="77777777">
            <w:pPr>
              <w:keepNext/>
              <w:keepLines/>
              <w:jc w:val="center"/>
              <w:rPr>
                <w:rFonts w:ascii="Arial Narrow" w:hAnsi="Arial Narrow"/>
                <w:sz w:val="18"/>
                <w:szCs w:val="18"/>
              </w:rPr>
            </w:pPr>
            <w:r>
              <w:rPr>
                <w:rFonts w:ascii="Arial Narrow" w:hAnsi="Arial Narrow"/>
                <w:sz w:val="18"/>
                <w:szCs w:val="18"/>
              </w:rPr>
              <w:t>4,101</w:t>
            </w:r>
          </w:p>
        </w:tc>
      </w:tr>
      <w:tr w:rsidRPr="00062DB4" w:rsidR="002F78C9" w:rsidTr="00D3747F" w14:paraId="4AAF8576" w14:textId="77777777">
        <w:tc>
          <w:tcPr>
            <w:tcW w:w="2358" w:type="dxa"/>
            <w:shd w:val="clear" w:color="auto" w:fill="auto"/>
          </w:tcPr>
          <w:p w:rsidRPr="00E20033" w:rsidR="002F78C9" w:rsidP="00D3747F" w:rsidRDefault="002F78C9" w14:paraId="56A52864"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2F78C9" w:rsidP="00D3747F" w:rsidRDefault="00CC366E" w14:paraId="190B5B3F" w14:textId="77777777">
            <w:pPr>
              <w:keepNext/>
              <w:keepLines/>
              <w:jc w:val="center"/>
              <w:rPr>
                <w:rFonts w:ascii="Arial Narrow" w:hAnsi="Arial Narrow"/>
                <w:b/>
                <w:sz w:val="18"/>
                <w:szCs w:val="18"/>
              </w:rPr>
            </w:pPr>
            <w:r>
              <w:rPr>
                <w:rFonts w:ascii="Arial Narrow" w:hAnsi="Arial Narrow"/>
                <w:b/>
                <w:sz w:val="18"/>
                <w:szCs w:val="18"/>
              </w:rPr>
              <w:t>15,037</w:t>
            </w:r>
          </w:p>
        </w:tc>
        <w:tc>
          <w:tcPr>
            <w:tcW w:w="303" w:type="dxa"/>
            <w:shd w:val="clear" w:color="auto" w:fill="auto"/>
          </w:tcPr>
          <w:p w:rsidRPr="00E20033" w:rsidR="002F78C9" w:rsidP="00D3747F" w:rsidRDefault="002F78C9" w14:paraId="63B84E56" w14:textId="77777777">
            <w:pPr>
              <w:keepNext/>
              <w:keepLines/>
              <w:jc w:val="center"/>
              <w:rPr>
                <w:rFonts w:ascii="Arial Narrow" w:hAnsi="Arial Narrow"/>
                <w:b/>
                <w:sz w:val="18"/>
                <w:szCs w:val="18"/>
              </w:rPr>
            </w:pPr>
          </w:p>
        </w:tc>
        <w:tc>
          <w:tcPr>
            <w:tcW w:w="1745" w:type="dxa"/>
            <w:shd w:val="clear" w:color="auto" w:fill="auto"/>
          </w:tcPr>
          <w:p w:rsidRPr="00E20033" w:rsidR="002F78C9" w:rsidP="00D3747F" w:rsidRDefault="002F78C9" w14:paraId="30A219E7" w14:textId="77777777">
            <w:pPr>
              <w:keepNext/>
              <w:keepLines/>
              <w:jc w:val="center"/>
              <w:rPr>
                <w:rFonts w:ascii="Arial Narrow" w:hAnsi="Arial Narrow"/>
                <w:b/>
                <w:sz w:val="18"/>
                <w:szCs w:val="18"/>
              </w:rPr>
            </w:pPr>
          </w:p>
        </w:tc>
        <w:tc>
          <w:tcPr>
            <w:tcW w:w="387" w:type="dxa"/>
            <w:shd w:val="clear" w:color="auto" w:fill="auto"/>
          </w:tcPr>
          <w:p w:rsidRPr="00E20033" w:rsidR="002F78C9" w:rsidP="00D3747F" w:rsidRDefault="002F78C9" w14:paraId="55C87288" w14:textId="77777777">
            <w:pPr>
              <w:keepNext/>
              <w:keepLines/>
              <w:jc w:val="center"/>
              <w:rPr>
                <w:rFonts w:ascii="Arial Narrow" w:hAnsi="Arial Narrow"/>
                <w:b/>
                <w:sz w:val="18"/>
                <w:szCs w:val="18"/>
              </w:rPr>
            </w:pPr>
          </w:p>
        </w:tc>
        <w:tc>
          <w:tcPr>
            <w:tcW w:w="1582" w:type="dxa"/>
            <w:shd w:val="clear" w:color="auto" w:fill="auto"/>
          </w:tcPr>
          <w:p w:rsidRPr="00E20033" w:rsidR="002F78C9" w:rsidP="00D3747F" w:rsidRDefault="00CC366E" w14:paraId="05DEAD6B" w14:textId="77777777">
            <w:pPr>
              <w:keepNext/>
              <w:keepLines/>
              <w:jc w:val="center"/>
              <w:rPr>
                <w:rFonts w:ascii="Arial Narrow" w:hAnsi="Arial Narrow"/>
                <w:b/>
                <w:sz w:val="18"/>
                <w:szCs w:val="18"/>
              </w:rPr>
            </w:pPr>
            <w:r>
              <w:rPr>
                <w:rFonts w:ascii="Arial Narrow" w:hAnsi="Arial Narrow"/>
                <w:b/>
                <w:sz w:val="18"/>
                <w:szCs w:val="18"/>
              </w:rPr>
              <w:t>15.037</w:t>
            </w:r>
          </w:p>
        </w:tc>
      </w:tr>
      <w:tr w:rsidRPr="0055550C" w:rsidR="002F78C9" w:rsidTr="00D3747F" w14:paraId="730AD3EE" w14:textId="77777777">
        <w:tc>
          <w:tcPr>
            <w:tcW w:w="8355" w:type="dxa"/>
            <w:gridSpan w:val="6"/>
            <w:shd w:val="clear" w:color="auto" w:fill="auto"/>
          </w:tcPr>
          <w:p w:rsidRPr="00E20033" w:rsidR="002F78C9" w:rsidP="00D3747F" w:rsidRDefault="002F78C9" w14:paraId="4A9FE46C" w14:textId="77777777">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2F78C9" w:rsidTr="00D3747F" w14:paraId="7131B121" w14:textId="77777777">
        <w:tc>
          <w:tcPr>
            <w:tcW w:w="8355" w:type="dxa"/>
            <w:gridSpan w:val="6"/>
            <w:shd w:val="clear" w:color="auto" w:fill="auto"/>
          </w:tcPr>
          <w:p w:rsidRPr="00E20033" w:rsidR="002F78C9" w:rsidP="00D3747F" w:rsidRDefault="002F78C9" w14:paraId="0171435B"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EF75C2" w:rsidRDefault="00EF75C2" w14:paraId="1A652C3D" w14:textId="4066CBEC">
      <w:pPr>
        <w:rPr>
          <w:rFonts w:ascii="Arial" w:hAnsi="Arial" w:cs="Arial"/>
        </w:rPr>
      </w:pPr>
    </w:p>
    <w:p w:rsidR="00A31711" w:rsidRDefault="00A31711" w14:paraId="42A9E8DD" w14:textId="0B572EBF">
      <w:pPr>
        <w:rPr>
          <w:rFonts w:ascii="Arial" w:hAnsi="Arial" w:cs="Arial"/>
        </w:rPr>
      </w:pPr>
    </w:p>
    <w:p w:rsidRPr="000B565D" w:rsidR="00A31711" w:rsidRDefault="00A31711" w14:paraId="2AA8FB4D" w14:textId="77777777">
      <w:pPr>
        <w:rPr>
          <w:rFonts w:ascii="Arial" w:hAnsi="Arial" w:cs="Arial"/>
        </w:rPr>
      </w:pPr>
    </w:p>
    <w:p w:rsidRPr="000B565D" w:rsidR="00B55DFA" w:rsidP="00B55DFA" w:rsidRDefault="00B55DFA" w14:paraId="365ED8BB" w14:textId="77777777">
      <w:pPr>
        <w:numPr>
          <w:ilvl w:val="0"/>
          <w:numId w:val="1"/>
        </w:numPr>
        <w:rPr>
          <w:rFonts w:ascii="Arial" w:hAnsi="Arial" w:cs="Arial"/>
          <w:u w:val="single"/>
        </w:rPr>
      </w:pPr>
      <w:r w:rsidRPr="000B565D">
        <w:rPr>
          <w:rFonts w:ascii="Arial" w:hAnsi="Arial" w:cs="Arial"/>
          <w:u w:val="single"/>
        </w:rPr>
        <w:lastRenderedPageBreak/>
        <w:t>REASONS FOR CHANGE IN BURDEN</w:t>
      </w:r>
    </w:p>
    <w:p w:rsidRPr="000B565D" w:rsidR="004C6A03" w:rsidP="004C6A03" w:rsidRDefault="004C6A03" w14:paraId="6FAD5D17" w14:textId="77777777">
      <w:pPr>
        <w:rPr>
          <w:rFonts w:ascii="Arial" w:hAnsi="Arial" w:cs="Arial"/>
          <w:u w:val="single"/>
        </w:rPr>
      </w:pPr>
      <w:r w:rsidRPr="000B565D">
        <w:rPr>
          <w:rFonts w:ascii="Arial" w:hAnsi="Arial" w:cs="Arial"/>
          <w:u w:val="single"/>
        </w:rPr>
        <w:t xml:space="preserve">  </w:t>
      </w:r>
    </w:p>
    <w:p w:rsidRPr="000B565D" w:rsidR="00415A46" w:rsidP="00415A46" w:rsidRDefault="00415A46" w14:paraId="68D92F6B" w14:textId="77777777">
      <w:pPr>
        <w:ind w:left="720"/>
        <w:rPr>
          <w:rFonts w:ascii="Arial" w:hAnsi="Arial" w:cs="Arial"/>
          <w:b/>
        </w:rPr>
      </w:pPr>
      <w:r w:rsidRPr="000B565D">
        <w:rPr>
          <w:rFonts w:ascii="Arial" w:hAnsi="Arial" w:cs="Arial"/>
        </w:rPr>
        <w:t xml:space="preserve">There is no change in the paperwork burden previously approved by OMB. This form is being submitted for renewal purposes only. </w:t>
      </w:r>
    </w:p>
    <w:p w:rsidRPr="000B565D" w:rsidR="00B55DFA" w:rsidP="00B55DFA" w:rsidRDefault="00B55DFA" w14:paraId="6EFD03A5" w14:textId="77777777">
      <w:pPr>
        <w:rPr>
          <w:rFonts w:ascii="Arial" w:hAnsi="Arial" w:cs="Arial"/>
          <w:u w:val="single"/>
        </w:rPr>
      </w:pPr>
    </w:p>
    <w:p w:rsidRPr="000B565D" w:rsidR="002B579C" w:rsidP="002B579C" w:rsidRDefault="002B579C" w14:paraId="7B81C0BB" w14:textId="77777777">
      <w:pPr>
        <w:numPr>
          <w:ilvl w:val="0"/>
          <w:numId w:val="1"/>
        </w:numPr>
        <w:rPr>
          <w:rFonts w:ascii="Arial" w:hAnsi="Arial" w:cs="Arial"/>
        </w:rPr>
      </w:pPr>
      <w:r w:rsidRPr="000B565D">
        <w:rPr>
          <w:rFonts w:ascii="Arial" w:hAnsi="Arial" w:cs="Arial"/>
          <w:u w:val="single"/>
        </w:rPr>
        <w:t>PLANS FOR TABULATION, STATISTICAL ANALYSIS AND PUBLICATION</w:t>
      </w:r>
    </w:p>
    <w:p w:rsidRPr="000B565D" w:rsidR="002B579C" w:rsidP="002B579C" w:rsidRDefault="002B579C" w14:paraId="3BCBC670" w14:textId="77777777">
      <w:pPr>
        <w:rPr>
          <w:rFonts w:ascii="Arial" w:hAnsi="Arial" w:cs="Arial"/>
        </w:rPr>
      </w:pPr>
    </w:p>
    <w:p w:rsidRPr="000B565D" w:rsidR="002B579C" w:rsidP="002B579C" w:rsidRDefault="004C6A03" w14:paraId="13887DF3" w14:textId="77777777">
      <w:pPr>
        <w:ind w:firstLine="720"/>
        <w:rPr>
          <w:rFonts w:ascii="Arial" w:hAnsi="Arial" w:cs="Arial"/>
        </w:rPr>
      </w:pPr>
      <w:r w:rsidRPr="000B565D">
        <w:rPr>
          <w:rFonts w:ascii="Arial" w:hAnsi="Arial" w:cs="Arial"/>
          <w:snapToGrid w:val="0"/>
        </w:rPr>
        <w:t>There are no plans for tabulation, statistical analysis and publication.</w:t>
      </w:r>
      <w:r w:rsidRPr="000B565D">
        <w:rPr>
          <w:rFonts w:ascii="Arial" w:hAnsi="Arial" w:cs="Arial"/>
        </w:rPr>
        <w:t xml:space="preserve"> </w:t>
      </w:r>
    </w:p>
    <w:p w:rsidRPr="000B565D" w:rsidR="002B579C" w:rsidP="002B579C" w:rsidRDefault="002B579C" w14:paraId="76547CC9" w14:textId="77777777">
      <w:pPr>
        <w:ind w:left="360"/>
        <w:rPr>
          <w:rFonts w:ascii="Arial" w:hAnsi="Arial" w:cs="Arial"/>
        </w:rPr>
      </w:pPr>
    </w:p>
    <w:p w:rsidRPr="000B565D" w:rsidR="002B579C" w:rsidP="002B579C" w:rsidRDefault="002B579C" w14:paraId="22441CFD" w14:textId="77777777">
      <w:pPr>
        <w:numPr>
          <w:ilvl w:val="0"/>
          <w:numId w:val="1"/>
        </w:numPr>
        <w:rPr>
          <w:rFonts w:ascii="Arial" w:hAnsi="Arial" w:cs="Arial"/>
        </w:rPr>
      </w:pPr>
      <w:r w:rsidRPr="000B565D">
        <w:rPr>
          <w:rFonts w:ascii="Arial" w:hAnsi="Arial" w:cs="Arial"/>
          <w:u w:val="single"/>
        </w:rPr>
        <w:t>REASONS WHY DISPLAYING THE OMB EXPIRATION DATE IS INAPPROPRIATE</w:t>
      </w:r>
    </w:p>
    <w:p w:rsidRPr="000B565D" w:rsidR="002B579C" w:rsidP="002B579C" w:rsidRDefault="002B579C" w14:paraId="2A18D407" w14:textId="77777777">
      <w:pPr>
        <w:rPr>
          <w:rFonts w:ascii="Arial" w:hAnsi="Arial" w:cs="Arial"/>
        </w:rPr>
      </w:pPr>
    </w:p>
    <w:p w:rsidRPr="000B565D" w:rsidR="003A1214" w:rsidP="003A1214" w:rsidRDefault="003A1214" w14:paraId="158ADA46" w14:textId="77777777">
      <w:pPr>
        <w:ind w:left="720"/>
        <w:rPr>
          <w:rFonts w:ascii="Arial" w:hAnsi="Arial" w:cs="Arial"/>
        </w:rPr>
      </w:pPr>
      <w:r w:rsidRPr="000B565D">
        <w:rPr>
          <w:rFonts w:ascii="Arial" w:hAnsi="Arial" w:cs="Arial"/>
        </w:rPr>
        <w:t>We believe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0B565D" w:rsidR="002B579C" w:rsidP="002B579C" w:rsidRDefault="002B579C" w14:paraId="0AE47F15" w14:textId="77777777">
      <w:pPr>
        <w:ind w:left="720"/>
        <w:rPr>
          <w:rFonts w:ascii="Arial" w:hAnsi="Arial" w:cs="Arial"/>
        </w:rPr>
      </w:pPr>
    </w:p>
    <w:p w:rsidRPr="000B565D" w:rsidR="002B579C" w:rsidP="00CC40B1" w:rsidRDefault="002B579C" w14:paraId="7AEBFF53" w14:textId="77777777">
      <w:pPr>
        <w:numPr>
          <w:ilvl w:val="0"/>
          <w:numId w:val="1"/>
        </w:numPr>
        <w:rPr>
          <w:rFonts w:ascii="Arial" w:hAnsi="Arial" w:cs="Arial"/>
        </w:rPr>
      </w:pPr>
      <w:r w:rsidRPr="000B565D">
        <w:rPr>
          <w:rFonts w:ascii="Arial" w:hAnsi="Arial" w:cs="Arial"/>
          <w:u w:val="single"/>
        </w:rPr>
        <w:t>EXCEPTIONS TO THE CERTIFICATION STATEMENT</w:t>
      </w:r>
    </w:p>
    <w:p w:rsidRPr="000B565D" w:rsidR="00CC40B1" w:rsidP="00CC40B1" w:rsidRDefault="00CC40B1" w14:paraId="4AAF03EB" w14:textId="77777777">
      <w:pPr>
        <w:rPr>
          <w:rFonts w:ascii="Arial" w:hAnsi="Arial" w:cs="Arial"/>
        </w:rPr>
      </w:pPr>
    </w:p>
    <w:p w:rsidRPr="000B565D" w:rsidR="004C6A03" w:rsidP="004C6A03" w:rsidRDefault="004C6A03" w14:paraId="37363673" w14:textId="77777777">
      <w:pPr>
        <w:widowControl w:val="0"/>
        <w:rPr>
          <w:rFonts w:ascii="Arial" w:hAnsi="Arial" w:cs="Arial"/>
          <w:snapToGrid w:val="0"/>
        </w:rPr>
      </w:pPr>
      <w:r w:rsidRPr="000B565D">
        <w:rPr>
          <w:rFonts w:ascii="Arial" w:hAnsi="Arial" w:cs="Arial"/>
          <w:snapToGrid w:val="0"/>
        </w:rPr>
        <w:t xml:space="preserve">          There are no exceptions to the certification statement.</w:t>
      </w:r>
    </w:p>
    <w:p w:rsidRPr="000B565D" w:rsidR="00CC40B1" w:rsidP="00CC40B1" w:rsidRDefault="00CC40B1" w14:paraId="35D398B8" w14:textId="77777777">
      <w:pPr>
        <w:ind w:firstLine="720"/>
        <w:rPr>
          <w:rFonts w:ascii="Arial" w:hAnsi="Arial" w:cs="Arial"/>
        </w:rPr>
      </w:pPr>
    </w:p>
    <w:p w:rsidRPr="000B565D" w:rsidR="00CC40B1" w:rsidP="00CC40B1" w:rsidRDefault="00CC40B1" w14:paraId="11969480" w14:textId="77777777">
      <w:pPr>
        <w:ind w:firstLine="720"/>
        <w:rPr>
          <w:rFonts w:ascii="Arial" w:hAnsi="Arial" w:cs="Arial"/>
        </w:rPr>
      </w:pPr>
    </w:p>
    <w:p w:rsidRPr="000B565D" w:rsidR="00CC40B1" w:rsidP="00CC40B1" w:rsidRDefault="00CC40B1" w14:paraId="58CBBB2E" w14:textId="77777777">
      <w:pPr>
        <w:ind w:left="360"/>
        <w:rPr>
          <w:rFonts w:ascii="Arial" w:hAnsi="Arial" w:cs="Arial"/>
        </w:rPr>
      </w:pPr>
      <w:r w:rsidRPr="000B565D">
        <w:rPr>
          <w:rFonts w:ascii="Arial" w:hAnsi="Arial" w:cs="Arial"/>
          <w:u w:val="single"/>
        </w:rPr>
        <w:t>Note</w:t>
      </w:r>
      <w:r w:rsidRPr="000B565D">
        <w:rPr>
          <w:rFonts w:ascii="Arial" w:hAnsi="Arial" w:cs="Arial"/>
        </w:rPr>
        <w:t>:  The following paragraph applies to all collections of information in this submission:</w:t>
      </w:r>
    </w:p>
    <w:p w:rsidRPr="000B565D" w:rsidR="00CC40B1" w:rsidP="00CC40B1" w:rsidRDefault="00CC40B1" w14:paraId="1AD8B4E5" w14:textId="77777777">
      <w:pPr>
        <w:ind w:left="360"/>
        <w:rPr>
          <w:rFonts w:ascii="Arial" w:hAnsi="Arial" w:cs="Arial"/>
        </w:rPr>
      </w:pPr>
    </w:p>
    <w:p w:rsidR="00C5341C" w:rsidP="00CC40B1" w:rsidRDefault="00CC40B1" w14:paraId="06A07F39" w14:textId="77777777">
      <w:pPr>
        <w:ind w:left="360"/>
        <w:rPr>
          <w:rFonts w:ascii="Arial" w:hAnsi="Arial" w:cs="Arial"/>
        </w:rPr>
      </w:pPr>
      <w:r w:rsidRPr="000B565D">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w:t>
      </w:r>
    </w:p>
    <w:p w:rsidRPr="000B565D" w:rsidR="00CC40B1" w:rsidP="00CC40B1" w:rsidRDefault="00CC40B1" w14:paraId="563D72DD" w14:textId="77777777">
      <w:pPr>
        <w:ind w:left="360"/>
        <w:rPr>
          <w:rFonts w:ascii="Arial" w:hAnsi="Arial" w:cs="Arial"/>
        </w:rPr>
      </w:pPr>
      <w:r w:rsidRPr="000B565D">
        <w:rPr>
          <w:rFonts w:ascii="Arial" w:hAnsi="Arial" w:cs="Arial"/>
        </w:rPr>
        <w:t>26 U.S.C. § 6103.</w:t>
      </w:r>
    </w:p>
    <w:sectPr w:rsidRPr="000B565D" w:rsidR="00CC40B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F5511" w14:textId="77777777" w:rsidR="004B3408" w:rsidRDefault="004B3408" w:rsidP="007C23D5">
      <w:r>
        <w:separator/>
      </w:r>
    </w:p>
  </w:endnote>
  <w:endnote w:type="continuationSeparator" w:id="0">
    <w:p w14:paraId="27AA9981" w14:textId="77777777" w:rsidR="004B3408" w:rsidRDefault="004B3408" w:rsidP="007C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EE23" w14:textId="77777777" w:rsidR="00AC00FE" w:rsidRDefault="00AC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B8A0" w14:textId="77777777" w:rsidR="00AC00FE" w:rsidRDefault="00AC0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D30A" w14:textId="77777777" w:rsidR="00AC00FE" w:rsidRDefault="00AC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FC8B5" w14:textId="77777777" w:rsidR="004B3408" w:rsidRDefault="004B3408" w:rsidP="007C23D5">
      <w:r>
        <w:separator/>
      </w:r>
    </w:p>
  </w:footnote>
  <w:footnote w:type="continuationSeparator" w:id="0">
    <w:p w14:paraId="0CEB8C1F" w14:textId="77777777" w:rsidR="004B3408" w:rsidRDefault="004B3408" w:rsidP="007C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4986" w14:textId="77777777" w:rsidR="00AC00FE" w:rsidRDefault="00AC0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1715" w14:textId="77777777" w:rsidR="00AC00FE" w:rsidRDefault="00AC0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C7DB" w14:textId="77777777" w:rsidR="00AC00FE" w:rsidRDefault="00AC0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E212B"/>
    <w:multiLevelType w:val="hybridMultilevel"/>
    <w:tmpl w:val="E004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661F98"/>
    <w:multiLevelType w:val="hybridMultilevel"/>
    <w:tmpl w:val="456A5A58"/>
    <w:lvl w:ilvl="0" w:tplc="0409000F">
      <w:start w:val="1"/>
      <w:numFmt w:val="decimal"/>
      <w:lvlText w:val="%1."/>
      <w:lvlJc w:val="left"/>
      <w:pPr>
        <w:tabs>
          <w:tab w:val="num" w:pos="630"/>
        </w:tabs>
        <w:ind w:left="63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9F570B"/>
    <w:multiLevelType w:val="hybridMultilevel"/>
    <w:tmpl w:val="CD5CD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C9"/>
    <w:rsid w:val="00001793"/>
    <w:rsid w:val="00006458"/>
    <w:rsid w:val="0001566C"/>
    <w:rsid w:val="00017ACD"/>
    <w:rsid w:val="00024FFE"/>
    <w:rsid w:val="000366AD"/>
    <w:rsid w:val="00043DEA"/>
    <w:rsid w:val="0005755E"/>
    <w:rsid w:val="0007275B"/>
    <w:rsid w:val="00085A76"/>
    <w:rsid w:val="000B3DBF"/>
    <w:rsid w:val="000B565D"/>
    <w:rsid w:val="000B5BD7"/>
    <w:rsid w:val="000C091D"/>
    <w:rsid w:val="000D1F76"/>
    <w:rsid w:val="000D487A"/>
    <w:rsid w:val="000D7C4F"/>
    <w:rsid w:val="000E5195"/>
    <w:rsid w:val="000F3849"/>
    <w:rsid w:val="001000F7"/>
    <w:rsid w:val="00102E2C"/>
    <w:rsid w:val="00136AC0"/>
    <w:rsid w:val="00145CDB"/>
    <w:rsid w:val="00146159"/>
    <w:rsid w:val="0016289E"/>
    <w:rsid w:val="00165519"/>
    <w:rsid w:val="001A3C20"/>
    <w:rsid w:val="001D132C"/>
    <w:rsid w:val="001D17D8"/>
    <w:rsid w:val="001D36FB"/>
    <w:rsid w:val="001E3C8B"/>
    <w:rsid w:val="001F3E6A"/>
    <w:rsid w:val="00223EEB"/>
    <w:rsid w:val="00260C49"/>
    <w:rsid w:val="00263594"/>
    <w:rsid w:val="002636AA"/>
    <w:rsid w:val="0028081E"/>
    <w:rsid w:val="0029419C"/>
    <w:rsid w:val="0029590F"/>
    <w:rsid w:val="00296EBC"/>
    <w:rsid w:val="002A7EB1"/>
    <w:rsid w:val="002B579C"/>
    <w:rsid w:val="002E6569"/>
    <w:rsid w:val="002E6E6E"/>
    <w:rsid w:val="002F78C9"/>
    <w:rsid w:val="00302E9D"/>
    <w:rsid w:val="003033F6"/>
    <w:rsid w:val="00304053"/>
    <w:rsid w:val="0033551A"/>
    <w:rsid w:val="00344328"/>
    <w:rsid w:val="00353E8D"/>
    <w:rsid w:val="00366A31"/>
    <w:rsid w:val="00377D2C"/>
    <w:rsid w:val="003947D1"/>
    <w:rsid w:val="003A1214"/>
    <w:rsid w:val="003B6784"/>
    <w:rsid w:val="003D7248"/>
    <w:rsid w:val="003E6FA6"/>
    <w:rsid w:val="004042AA"/>
    <w:rsid w:val="00415A46"/>
    <w:rsid w:val="00440A6E"/>
    <w:rsid w:val="004428DE"/>
    <w:rsid w:val="004476CA"/>
    <w:rsid w:val="004674AC"/>
    <w:rsid w:val="004828FB"/>
    <w:rsid w:val="004B3408"/>
    <w:rsid w:val="004C1668"/>
    <w:rsid w:val="004C6A03"/>
    <w:rsid w:val="004D46DF"/>
    <w:rsid w:val="00500A24"/>
    <w:rsid w:val="00502804"/>
    <w:rsid w:val="005242ED"/>
    <w:rsid w:val="00545765"/>
    <w:rsid w:val="0056693E"/>
    <w:rsid w:val="005767F8"/>
    <w:rsid w:val="0059244D"/>
    <w:rsid w:val="005F0081"/>
    <w:rsid w:val="005F4130"/>
    <w:rsid w:val="006048BD"/>
    <w:rsid w:val="0060599B"/>
    <w:rsid w:val="00610193"/>
    <w:rsid w:val="006202A2"/>
    <w:rsid w:val="006263C2"/>
    <w:rsid w:val="006263F1"/>
    <w:rsid w:val="00641855"/>
    <w:rsid w:val="006449E9"/>
    <w:rsid w:val="00653A19"/>
    <w:rsid w:val="006628AA"/>
    <w:rsid w:val="00667DFA"/>
    <w:rsid w:val="0068351B"/>
    <w:rsid w:val="00686D54"/>
    <w:rsid w:val="00693412"/>
    <w:rsid w:val="00693531"/>
    <w:rsid w:val="00696F8C"/>
    <w:rsid w:val="006B39A5"/>
    <w:rsid w:val="006B69ED"/>
    <w:rsid w:val="006F2CA6"/>
    <w:rsid w:val="006F4FFD"/>
    <w:rsid w:val="006F7D0A"/>
    <w:rsid w:val="00710356"/>
    <w:rsid w:val="0071310C"/>
    <w:rsid w:val="00725EEE"/>
    <w:rsid w:val="007314F5"/>
    <w:rsid w:val="00760D4E"/>
    <w:rsid w:val="00761FEE"/>
    <w:rsid w:val="0076666B"/>
    <w:rsid w:val="00767620"/>
    <w:rsid w:val="00767FA1"/>
    <w:rsid w:val="007722B3"/>
    <w:rsid w:val="00775571"/>
    <w:rsid w:val="007A35F9"/>
    <w:rsid w:val="007B4744"/>
    <w:rsid w:val="007C23D5"/>
    <w:rsid w:val="007E4432"/>
    <w:rsid w:val="007E4A9B"/>
    <w:rsid w:val="007F072F"/>
    <w:rsid w:val="00805425"/>
    <w:rsid w:val="00812198"/>
    <w:rsid w:val="00847039"/>
    <w:rsid w:val="00853C81"/>
    <w:rsid w:val="00867E7B"/>
    <w:rsid w:val="0087611A"/>
    <w:rsid w:val="008C43ED"/>
    <w:rsid w:val="008E184A"/>
    <w:rsid w:val="008E3C6F"/>
    <w:rsid w:val="008E4B46"/>
    <w:rsid w:val="008E4FD8"/>
    <w:rsid w:val="008F4DE3"/>
    <w:rsid w:val="00920175"/>
    <w:rsid w:val="00927887"/>
    <w:rsid w:val="0094120A"/>
    <w:rsid w:val="0095154A"/>
    <w:rsid w:val="009603D1"/>
    <w:rsid w:val="009637EB"/>
    <w:rsid w:val="009643EA"/>
    <w:rsid w:val="00971AD7"/>
    <w:rsid w:val="009954F9"/>
    <w:rsid w:val="0099554A"/>
    <w:rsid w:val="009A4173"/>
    <w:rsid w:val="009B65FD"/>
    <w:rsid w:val="009D4AA9"/>
    <w:rsid w:val="009F2466"/>
    <w:rsid w:val="00A038B9"/>
    <w:rsid w:val="00A16406"/>
    <w:rsid w:val="00A27208"/>
    <w:rsid w:val="00A31711"/>
    <w:rsid w:val="00A55E77"/>
    <w:rsid w:val="00A73FF1"/>
    <w:rsid w:val="00A81DEF"/>
    <w:rsid w:val="00A84723"/>
    <w:rsid w:val="00A87A34"/>
    <w:rsid w:val="00A91BB8"/>
    <w:rsid w:val="00A9434B"/>
    <w:rsid w:val="00A96C59"/>
    <w:rsid w:val="00AA60E7"/>
    <w:rsid w:val="00AC00FE"/>
    <w:rsid w:val="00AC30CE"/>
    <w:rsid w:val="00AD339E"/>
    <w:rsid w:val="00AD42E3"/>
    <w:rsid w:val="00AE30B7"/>
    <w:rsid w:val="00B1220C"/>
    <w:rsid w:val="00B14ECE"/>
    <w:rsid w:val="00B35998"/>
    <w:rsid w:val="00B434AE"/>
    <w:rsid w:val="00B5042E"/>
    <w:rsid w:val="00B55DFA"/>
    <w:rsid w:val="00B902FE"/>
    <w:rsid w:val="00B93902"/>
    <w:rsid w:val="00BA12BB"/>
    <w:rsid w:val="00BB72ED"/>
    <w:rsid w:val="00BC1D8A"/>
    <w:rsid w:val="00BE1431"/>
    <w:rsid w:val="00C01A9D"/>
    <w:rsid w:val="00C12E04"/>
    <w:rsid w:val="00C36804"/>
    <w:rsid w:val="00C36DFC"/>
    <w:rsid w:val="00C5341C"/>
    <w:rsid w:val="00C65CD1"/>
    <w:rsid w:val="00C87DBD"/>
    <w:rsid w:val="00CB6A58"/>
    <w:rsid w:val="00CC0155"/>
    <w:rsid w:val="00CC01D9"/>
    <w:rsid w:val="00CC1882"/>
    <w:rsid w:val="00CC366E"/>
    <w:rsid w:val="00CC40B1"/>
    <w:rsid w:val="00CC5F35"/>
    <w:rsid w:val="00CE3B6B"/>
    <w:rsid w:val="00CF388A"/>
    <w:rsid w:val="00D10C1D"/>
    <w:rsid w:val="00D16E38"/>
    <w:rsid w:val="00D17D4A"/>
    <w:rsid w:val="00D2763A"/>
    <w:rsid w:val="00D31710"/>
    <w:rsid w:val="00D3747F"/>
    <w:rsid w:val="00D41A99"/>
    <w:rsid w:val="00D431B4"/>
    <w:rsid w:val="00D52D17"/>
    <w:rsid w:val="00D5671D"/>
    <w:rsid w:val="00D84092"/>
    <w:rsid w:val="00D913FC"/>
    <w:rsid w:val="00D976C9"/>
    <w:rsid w:val="00DA341D"/>
    <w:rsid w:val="00DB6E62"/>
    <w:rsid w:val="00DC5E63"/>
    <w:rsid w:val="00DF54D1"/>
    <w:rsid w:val="00E03612"/>
    <w:rsid w:val="00E1747C"/>
    <w:rsid w:val="00E469A2"/>
    <w:rsid w:val="00E50BC9"/>
    <w:rsid w:val="00E51640"/>
    <w:rsid w:val="00E528CC"/>
    <w:rsid w:val="00E57748"/>
    <w:rsid w:val="00E6670B"/>
    <w:rsid w:val="00E73AE7"/>
    <w:rsid w:val="00E864D3"/>
    <w:rsid w:val="00EC1691"/>
    <w:rsid w:val="00ED0096"/>
    <w:rsid w:val="00ED63A0"/>
    <w:rsid w:val="00EF7521"/>
    <w:rsid w:val="00EF75C2"/>
    <w:rsid w:val="00F0096F"/>
    <w:rsid w:val="00F116B2"/>
    <w:rsid w:val="00F21508"/>
    <w:rsid w:val="00F2699B"/>
    <w:rsid w:val="00F41E83"/>
    <w:rsid w:val="00F6310B"/>
    <w:rsid w:val="00F701CD"/>
    <w:rsid w:val="00F9052E"/>
    <w:rsid w:val="00FA198E"/>
    <w:rsid w:val="00FB0A0D"/>
    <w:rsid w:val="00FD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10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Hyperlink">
    <w:name w:val="Hyperlink"/>
    <w:uiPriority w:val="99"/>
    <w:unhideWhenUsed/>
    <w:rsid w:val="00696F8C"/>
    <w:rPr>
      <w:color w:val="0000FF"/>
      <w:u w:val="single"/>
    </w:rPr>
  </w:style>
  <w:style w:type="character" w:styleId="CommentReference">
    <w:name w:val="annotation reference"/>
    <w:rsid w:val="007F072F"/>
    <w:rPr>
      <w:sz w:val="16"/>
      <w:szCs w:val="16"/>
    </w:rPr>
  </w:style>
  <w:style w:type="paragraph" w:styleId="CommentText">
    <w:name w:val="annotation text"/>
    <w:basedOn w:val="Normal"/>
    <w:link w:val="CommentTextChar"/>
    <w:rsid w:val="007F072F"/>
    <w:rPr>
      <w:sz w:val="20"/>
      <w:szCs w:val="20"/>
    </w:rPr>
  </w:style>
  <w:style w:type="character" w:customStyle="1" w:styleId="CommentTextChar">
    <w:name w:val="Comment Text Char"/>
    <w:basedOn w:val="DefaultParagraphFont"/>
    <w:link w:val="CommentText"/>
    <w:rsid w:val="007F072F"/>
  </w:style>
  <w:style w:type="paragraph" w:styleId="CommentSubject">
    <w:name w:val="annotation subject"/>
    <w:basedOn w:val="CommentText"/>
    <w:next w:val="CommentText"/>
    <w:link w:val="CommentSubjectChar"/>
    <w:rsid w:val="007F072F"/>
    <w:rPr>
      <w:b/>
      <w:bCs/>
    </w:rPr>
  </w:style>
  <w:style w:type="character" w:customStyle="1" w:styleId="CommentSubjectChar">
    <w:name w:val="Comment Subject Char"/>
    <w:link w:val="CommentSubject"/>
    <w:rsid w:val="007F072F"/>
    <w:rPr>
      <w:b/>
      <w:bCs/>
    </w:rPr>
  </w:style>
  <w:style w:type="paragraph" w:styleId="Header">
    <w:name w:val="header"/>
    <w:basedOn w:val="Normal"/>
    <w:link w:val="HeaderChar"/>
    <w:rsid w:val="00AC00FE"/>
    <w:pPr>
      <w:tabs>
        <w:tab w:val="center" w:pos="4680"/>
        <w:tab w:val="right" w:pos="9360"/>
      </w:tabs>
    </w:pPr>
  </w:style>
  <w:style w:type="character" w:customStyle="1" w:styleId="HeaderChar">
    <w:name w:val="Header Char"/>
    <w:link w:val="Header"/>
    <w:rsid w:val="00AC00FE"/>
    <w:rPr>
      <w:sz w:val="24"/>
      <w:szCs w:val="24"/>
    </w:rPr>
  </w:style>
  <w:style w:type="paragraph" w:styleId="Footer">
    <w:name w:val="footer"/>
    <w:basedOn w:val="Normal"/>
    <w:link w:val="FooterChar"/>
    <w:rsid w:val="00AC00FE"/>
    <w:pPr>
      <w:tabs>
        <w:tab w:val="center" w:pos="4680"/>
        <w:tab w:val="right" w:pos="9360"/>
      </w:tabs>
    </w:pPr>
  </w:style>
  <w:style w:type="character" w:customStyle="1" w:styleId="FooterChar">
    <w:name w:val="Footer Char"/>
    <w:link w:val="Footer"/>
    <w:rsid w:val="00AC0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70405">
      <w:bodyDiv w:val="1"/>
      <w:marLeft w:val="0"/>
      <w:marRight w:val="0"/>
      <w:marTop w:val="0"/>
      <w:marBottom w:val="0"/>
      <w:divBdr>
        <w:top w:val="none" w:sz="0" w:space="0" w:color="auto"/>
        <w:left w:val="none" w:sz="0" w:space="0" w:color="auto"/>
        <w:bottom w:val="none" w:sz="0" w:space="0" w:color="auto"/>
        <w:right w:val="none" w:sz="0" w:space="0" w:color="auto"/>
      </w:divBdr>
    </w:div>
    <w:div w:id="696661601">
      <w:bodyDiv w:val="1"/>
      <w:marLeft w:val="0"/>
      <w:marRight w:val="0"/>
      <w:marTop w:val="0"/>
      <w:marBottom w:val="0"/>
      <w:divBdr>
        <w:top w:val="none" w:sz="0" w:space="0" w:color="auto"/>
        <w:left w:val="none" w:sz="0" w:space="0" w:color="auto"/>
        <w:bottom w:val="none" w:sz="0" w:space="0" w:color="auto"/>
        <w:right w:val="none" w:sz="0" w:space="0" w:color="auto"/>
      </w:divBdr>
      <w:divsChild>
        <w:div w:id="2139494316">
          <w:marLeft w:val="0"/>
          <w:marRight w:val="0"/>
          <w:marTop w:val="0"/>
          <w:marBottom w:val="0"/>
          <w:divBdr>
            <w:top w:val="none" w:sz="0" w:space="0" w:color="auto"/>
            <w:left w:val="none" w:sz="0" w:space="0" w:color="auto"/>
            <w:bottom w:val="none" w:sz="0" w:space="0" w:color="auto"/>
            <w:right w:val="none" w:sz="0" w:space="0" w:color="auto"/>
          </w:divBdr>
          <w:divsChild>
            <w:div w:id="214202323">
              <w:marLeft w:val="0"/>
              <w:marRight w:val="0"/>
              <w:marTop w:val="0"/>
              <w:marBottom w:val="0"/>
              <w:divBdr>
                <w:top w:val="none" w:sz="0" w:space="0" w:color="auto"/>
                <w:left w:val="none" w:sz="0" w:space="0" w:color="auto"/>
                <w:bottom w:val="none" w:sz="0" w:space="0" w:color="auto"/>
                <w:right w:val="none" w:sz="0" w:space="0" w:color="auto"/>
              </w:divBdr>
              <w:divsChild>
                <w:div w:id="18320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5744">
      <w:bodyDiv w:val="1"/>
      <w:marLeft w:val="0"/>
      <w:marRight w:val="0"/>
      <w:marTop w:val="0"/>
      <w:marBottom w:val="0"/>
      <w:divBdr>
        <w:top w:val="none" w:sz="0" w:space="0" w:color="auto"/>
        <w:left w:val="none" w:sz="0" w:space="0" w:color="auto"/>
        <w:bottom w:val="none" w:sz="0" w:space="0" w:color="auto"/>
        <w:right w:val="none" w:sz="0" w:space="0" w:color="auto"/>
      </w:divBdr>
    </w:div>
    <w:div w:id="1508986309">
      <w:bodyDiv w:val="1"/>
      <w:marLeft w:val="0"/>
      <w:marRight w:val="0"/>
      <w:marTop w:val="0"/>
      <w:marBottom w:val="0"/>
      <w:divBdr>
        <w:top w:val="none" w:sz="0" w:space="0" w:color="auto"/>
        <w:left w:val="none" w:sz="0" w:space="0" w:color="auto"/>
        <w:bottom w:val="none" w:sz="0" w:space="0" w:color="auto"/>
        <w:right w:val="none" w:sz="0" w:space="0" w:color="auto"/>
      </w:divBdr>
      <w:divsChild>
        <w:div w:id="702361816">
          <w:marLeft w:val="0"/>
          <w:marRight w:val="0"/>
          <w:marTop w:val="0"/>
          <w:marBottom w:val="0"/>
          <w:divBdr>
            <w:top w:val="none" w:sz="0" w:space="0" w:color="auto"/>
            <w:left w:val="none" w:sz="0" w:space="0" w:color="auto"/>
            <w:bottom w:val="none" w:sz="0" w:space="0" w:color="auto"/>
            <w:right w:val="none" w:sz="0" w:space="0" w:color="auto"/>
          </w:divBdr>
          <w:divsChild>
            <w:div w:id="2003196749">
              <w:marLeft w:val="0"/>
              <w:marRight w:val="0"/>
              <w:marTop w:val="0"/>
              <w:marBottom w:val="0"/>
              <w:divBdr>
                <w:top w:val="none" w:sz="0" w:space="0" w:color="auto"/>
                <w:left w:val="none" w:sz="0" w:space="0" w:color="auto"/>
                <w:bottom w:val="none" w:sz="0" w:space="0" w:color="auto"/>
                <w:right w:val="none" w:sz="0" w:space="0" w:color="auto"/>
              </w:divBdr>
              <w:divsChild>
                <w:div w:id="997267471">
                  <w:marLeft w:val="150"/>
                  <w:marRight w:val="150"/>
                  <w:marTop w:val="150"/>
                  <w:marBottom w:val="0"/>
                  <w:divBdr>
                    <w:top w:val="none" w:sz="0" w:space="0" w:color="auto"/>
                    <w:left w:val="none" w:sz="0" w:space="0" w:color="auto"/>
                    <w:bottom w:val="none" w:sz="0" w:space="0" w:color="auto"/>
                    <w:right w:val="none" w:sz="0" w:space="0" w:color="auto"/>
                  </w:divBdr>
                  <w:divsChild>
                    <w:div w:id="20305982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17382139">
      <w:bodyDiv w:val="1"/>
      <w:marLeft w:val="0"/>
      <w:marRight w:val="0"/>
      <w:marTop w:val="0"/>
      <w:marBottom w:val="0"/>
      <w:divBdr>
        <w:top w:val="none" w:sz="0" w:space="0" w:color="auto"/>
        <w:left w:val="none" w:sz="0" w:space="0" w:color="auto"/>
        <w:bottom w:val="none" w:sz="0" w:space="0" w:color="auto"/>
        <w:right w:val="none" w:sz="0" w:space="0" w:color="auto"/>
      </w:divBdr>
      <w:divsChild>
        <w:div w:id="1685159257">
          <w:marLeft w:val="0"/>
          <w:marRight w:val="0"/>
          <w:marTop w:val="0"/>
          <w:marBottom w:val="0"/>
          <w:divBdr>
            <w:top w:val="none" w:sz="0" w:space="0" w:color="auto"/>
            <w:left w:val="none" w:sz="0" w:space="0" w:color="auto"/>
            <w:bottom w:val="none" w:sz="0" w:space="0" w:color="auto"/>
            <w:right w:val="none" w:sz="0" w:space="0" w:color="auto"/>
          </w:divBdr>
          <w:divsChild>
            <w:div w:id="1685089367">
              <w:marLeft w:val="0"/>
              <w:marRight w:val="0"/>
              <w:marTop w:val="0"/>
              <w:marBottom w:val="0"/>
              <w:divBdr>
                <w:top w:val="none" w:sz="0" w:space="0" w:color="auto"/>
                <w:left w:val="none" w:sz="0" w:space="0" w:color="auto"/>
                <w:bottom w:val="none" w:sz="0" w:space="0" w:color="auto"/>
                <w:right w:val="none" w:sz="0" w:space="0" w:color="auto"/>
              </w:divBdr>
              <w:divsChild>
                <w:div w:id="1815561750">
                  <w:marLeft w:val="150"/>
                  <w:marRight w:val="150"/>
                  <w:marTop w:val="150"/>
                  <w:marBottom w:val="0"/>
                  <w:divBdr>
                    <w:top w:val="none" w:sz="0" w:space="0" w:color="auto"/>
                    <w:left w:val="none" w:sz="0" w:space="0" w:color="auto"/>
                    <w:bottom w:val="none" w:sz="0" w:space="0" w:color="auto"/>
                    <w:right w:val="none" w:sz="0" w:space="0" w:color="auto"/>
                  </w:divBdr>
                  <w:divsChild>
                    <w:div w:id="3864190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7844E-C3D2-4958-9DF2-7ED8C902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2020-11-17T00:14:00Z</dcterms:created>
  <dcterms:modified xsi:type="dcterms:W3CDTF">2020-11-17T00:14:00Z</dcterms:modified>
</cp:coreProperties>
</file>