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35A" w:rsidP="00167E2B" w:rsidRDefault="006C3B2E" w14:paraId="7D9051E9" w14:textId="77777777">
      <w:pPr>
        <w:tabs>
          <w:tab w:val="center" w:pos="4680"/>
        </w:tabs>
        <w:rPr>
          <w:rFonts w:ascii="Times New Roman" w:hAnsi="Times New Roman"/>
          <w:bCs/>
        </w:rPr>
      </w:pPr>
      <w:r w:rsidRPr="00023D5B">
        <w:rPr>
          <w:rFonts w:ascii="Times New Roman" w:hAnsi="Times New Roman"/>
          <w:bCs/>
        </w:rPr>
        <w:tab/>
      </w:r>
      <w:r w:rsidR="004D0F8D">
        <w:rPr>
          <w:rFonts w:ascii="Times New Roman" w:hAnsi="Times New Roman"/>
          <w:bCs/>
        </w:rPr>
        <w:t>Supporting Statement</w:t>
      </w:r>
      <w:r w:rsidRPr="00023D5B" w:rsidR="00E22E25">
        <w:rPr>
          <w:rFonts w:ascii="Times New Roman" w:hAnsi="Times New Roman"/>
          <w:bCs/>
        </w:rPr>
        <w:t xml:space="preserve"> </w:t>
      </w:r>
    </w:p>
    <w:p w:rsidR="004D0F8D" w:rsidP="00167E2B" w:rsidRDefault="004D0F8D" w14:paraId="24A36363" w14:textId="77777777">
      <w:pPr>
        <w:tabs>
          <w:tab w:val="center" w:pos="4680"/>
        </w:tabs>
        <w:rPr>
          <w:rFonts w:ascii="Times New Roman" w:hAnsi="Times New Roman"/>
          <w:bCs/>
        </w:rPr>
      </w:pPr>
      <w:r>
        <w:rPr>
          <w:rFonts w:ascii="Times New Roman" w:hAnsi="Times New Roman"/>
          <w:bCs/>
        </w:rPr>
        <w:tab/>
        <w:t>Internal Revenue Service</w:t>
      </w:r>
    </w:p>
    <w:p w:rsidRPr="00023D5B" w:rsidR="00E3435A" w:rsidP="00E3435A" w:rsidRDefault="00E22E25" w14:paraId="2B289DAA" w14:textId="77777777">
      <w:pPr>
        <w:tabs>
          <w:tab w:val="center" w:pos="4680"/>
        </w:tabs>
        <w:jc w:val="center"/>
        <w:rPr>
          <w:rFonts w:ascii="Times New Roman" w:hAnsi="Times New Roman"/>
          <w:bCs/>
        </w:rPr>
      </w:pPr>
      <w:r w:rsidRPr="00023D5B">
        <w:rPr>
          <w:rFonts w:ascii="Times New Roman" w:hAnsi="Times New Roman"/>
          <w:bCs/>
        </w:rPr>
        <w:t>T.D. 8612</w:t>
      </w:r>
      <w:r w:rsidR="00E3435A">
        <w:rPr>
          <w:rFonts w:ascii="Times New Roman" w:hAnsi="Times New Roman"/>
          <w:bCs/>
        </w:rPr>
        <w:t xml:space="preserve"> </w:t>
      </w:r>
      <w:r w:rsidR="004D0F8D">
        <w:rPr>
          <w:rFonts w:ascii="Times New Roman" w:hAnsi="Times New Roman"/>
          <w:bCs/>
        </w:rPr>
        <w:t>(</w:t>
      </w:r>
      <w:r w:rsidR="00E3435A">
        <w:rPr>
          <w:rFonts w:ascii="Times New Roman" w:hAnsi="Times New Roman"/>
          <w:bCs/>
        </w:rPr>
        <w:t>Income Gift and Estate Tax</w:t>
      </w:r>
      <w:r w:rsidR="004D0F8D">
        <w:rPr>
          <w:rFonts w:ascii="Times New Roman" w:hAnsi="Times New Roman"/>
          <w:bCs/>
        </w:rPr>
        <w:t>)</w:t>
      </w:r>
    </w:p>
    <w:p w:rsidRPr="00023D5B" w:rsidR="00167E2B" w:rsidP="00023D5B" w:rsidRDefault="00167E2B" w14:paraId="50354E49" w14:textId="77777777">
      <w:pPr>
        <w:tabs>
          <w:tab w:val="center" w:pos="4680"/>
        </w:tabs>
        <w:jc w:val="center"/>
        <w:rPr>
          <w:rFonts w:ascii="Times New Roman" w:hAnsi="Times New Roman"/>
          <w:bCs/>
        </w:rPr>
      </w:pPr>
      <w:r w:rsidRPr="00023D5B">
        <w:rPr>
          <w:rFonts w:ascii="Times New Roman" w:hAnsi="Times New Roman"/>
          <w:bCs/>
        </w:rPr>
        <w:t xml:space="preserve">OMB </w:t>
      </w:r>
      <w:r w:rsidR="004D0F8D">
        <w:rPr>
          <w:rFonts w:ascii="Times New Roman" w:hAnsi="Times New Roman"/>
          <w:bCs/>
        </w:rPr>
        <w:t>#</w:t>
      </w:r>
      <w:r w:rsidRPr="00023D5B">
        <w:rPr>
          <w:rFonts w:ascii="Times New Roman" w:hAnsi="Times New Roman"/>
          <w:bCs/>
        </w:rPr>
        <w:t xml:space="preserve"> 1545-1360</w:t>
      </w:r>
    </w:p>
    <w:p w:rsidRPr="000D3A94" w:rsidR="006C3B2E" w:rsidP="000D3A94" w:rsidRDefault="006C3B2E" w14:paraId="280923F5" w14:textId="77777777">
      <w:pPr>
        <w:rPr>
          <w:rFonts w:ascii="Times New Roman" w:hAnsi="Times New Roman"/>
          <w:bCs/>
        </w:rPr>
      </w:pPr>
    </w:p>
    <w:p w:rsidRPr="000D3A94" w:rsidR="006C3B2E" w:rsidP="000D3A94" w:rsidRDefault="006C3B2E" w14:paraId="01B534E4" w14:textId="77777777">
      <w:pPr>
        <w:numPr>
          <w:ilvl w:val="0"/>
          <w:numId w:val="1"/>
        </w:numPr>
        <w:tabs>
          <w:tab w:val="left" w:pos="720"/>
        </w:tabs>
        <w:ind w:hanging="720"/>
        <w:rPr>
          <w:rFonts w:ascii="Times New Roman" w:hAnsi="Times New Roman"/>
          <w:bCs/>
        </w:rPr>
      </w:pPr>
      <w:r w:rsidRPr="000D3A94">
        <w:rPr>
          <w:rFonts w:ascii="Times New Roman" w:hAnsi="Times New Roman"/>
          <w:bCs/>
          <w:u w:val="single"/>
        </w:rPr>
        <w:t>CIRCUMSTANCES NECESSITATING COLLECTION OF INFORMATION</w:t>
      </w:r>
    </w:p>
    <w:p w:rsidRPr="000D3A94" w:rsidR="006C3B2E" w:rsidP="000D3A94" w:rsidRDefault="006C3B2E" w14:paraId="1FBABBDD" w14:textId="77777777">
      <w:pPr>
        <w:tabs>
          <w:tab w:val="left" w:pos="720"/>
        </w:tabs>
        <w:ind w:left="720" w:hanging="720"/>
        <w:rPr>
          <w:rFonts w:ascii="Times New Roman" w:hAnsi="Times New Roman"/>
          <w:bCs/>
        </w:rPr>
      </w:pPr>
    </w:p>
    <w:p w:rsidRPr="00F51289" w:rsidR="006C3B2E" w:rsidP="000D3A94" w:rsidRDefault="00EC50EC" w14:paraId="59C5C722" w14:textId="443E8633">
      <w:pPr>
        <w:tabs>
          <w:tab w:val="left" w:pos="720"/>
        </w:tabs>
        <w:ind w:left="720" w:hanging="720"/>
        <w:rPr>
          <w:rFonts w:ascii="Times New Roman" w:hAnsi="Times New Roman"/>
          <w:bCs/>
        </w:rPr>
      </w:pPr>
      <w:r w:rsidRPr="000D3A94">
        <w:rPr>
          <w:rFonts w:ascii="Times New Roman" w:hAnsi="Times New Roman"/>
          <w:bCs/>
        </w:rPr>
        <w:tab/>
      </w:r>
      <w:r w:rsidRPr="000D3A94" w:rsidR="006C3B2E">
        <w:rPr>
          <w:rFonts w:ascii="Times New Roman" w:hAnsi="Times New Roman"/>
          <w:bCs/>
        </w:rPr>
        <w:t xml:space="preserve">The </w:t>
      </w:r>
      <w:r w:rsidRPr="00F51289" w:rsidR="006C3B2E">
        <w:rPr>
          <w:rFonts w:ascii="Times New Roman" w:hAnsi="Times New Roman"/>
          <w:bCs/>
        </w:rPr>
        <w:t>regulations</w:t>
      </w:r>
      <w:r w:rsidR="004940E4">
        <w:rPr>
          <w:rFonts w:ascii="Times New Roman" w:hAnsi="Times New Roman"/>
          <w:bCs/>
        </w:rPr>
        <w:t xml:space="preserve"> in Treasury Decision 8612</w:t>
      </w:r>
      <w:r w:rsidRPr="00F51289" w:rsidR="006C3B2E">
        <w:rPr>
          <w:rFonts w:ascii="Times New Roman" w:hAnsi="Times New Roman"/>
          <w:bCs/>
        </w:rPr>
        <w:t xml:space="preserve"> </w:t>
      </w:r>
      <w:r w:rsidR="00667DC0">
        <w:rPr>
          <w:rFonts w:ascii="Times New Roman" w:hAnsi="Times New Roman"/>
          <w:bCs/>
        </w:rPr>
        <w:t>ad</w:t>
      </w:r>
      <w:r w:rsidRPr="00F51289" w:rsidR="006C3B2E">
        <w:rPr>
          <w:rFonts w:ascii="Times New Roman" w:hAnsi="Times New Roman"/>
          <w:bCs/>
        </w:rPr>
        <w:t>de</w:t>
      </w:r>
      <w:r w:rsidR="00667DC0">
        <w:rPr>
          <w:rFonts w:ascii="Times New Roman" w:hAnsi="Times New Roman"/>
          <w:bCs/>
        </w:rPr>
        <w:t>d</w:t>
      </w:r>
      <w:r w:rsidRPr="00F51289" w:rsidR="006C3B2E">
        <w:rPr>
          <w:rFonts w:ascii="Times New Roman" w:hAnsi="Times New Roman"/>
          <w:bCs/>
        </w:rPr>
        <w:t xml:space="preserve"> amendments to the regulations under the Internal Revenue Code relating to the availability of the gift and estate tax marital deduction when the donee spouse or the surviving spouse is not a United States citizen.  These amendments are necessary because </w:t>
      </w:r>
      <w:r w:rsidR="004940E4">
        <w:rPr>
          <w:rFonts w:ascii="Times New Roman" w:hAnsi="Times New Roman"/>
          <w:bCs/>
        </w:rPr>
        <w:t>Internal Revenue Code §§</w:t>
      </w:r>
      <w:r w:rsidRPr="00F51289" w:rsidR="006C3B2E">
        <w:rPr>
          <w:rFonts w:ascii="Times New Roman" w:hAnsi="Times New Roman"/>
          <w:bCs/>
        </w:rPr>
        <w:t xml:space="preserve"> 2056(d), 2056A and section 2523(i) that were added to the Internal Revenue Code by section 5033 of the Technical and Miscellaneous Revenue Act of 1988, restrict the availability of the gift and estate tax marital deduction where the donee spouse or the surviving spouse is not a United States citizen. (Pub L. 100</w:t>
      </w:r>
      <w:r w:rsidRPr="00F51289" w:rsidR="006C3B2E">
        <w:rPr>
          <w:rFonts w:ascii="Times New Roman" w:hAnsi="Times New Roman"/>
          <w:bCs/>
        </w:rPr>
        <w:noBreakHyphen/>
        <w:t>647, 102 Stat. 3670).</w:t>
      </w:r>
    </w:p>
    <w:p w:rsidRPr="00F51289" w:rsidR="00301375" w:rsidP="00F51289" w:rsidRDefault="00301375" w14:paraId="13753686" w14:textId="77777777">
      <w:pPr>
        <w:tabs>
          <w:tab w:val="left" w:pos="720"/>
        </w:tabs>
        <w:ind w:left="720" w:hanging="720"/>
        <w:rPr>
          <w:rFonts w:ascii="Times New Roman" w:hAnsi="Times New Roman"/>
          <w:bCs/>
        </w:rPr>
      </w:pPr>
    </w:p>
    <w:p w:rsidRPr="00F51289" w:rsidR="00301375" w:rsidP="00F51289" w:rsidRDefault="00301375" w14:paraId="12B97DFC" w14:textId="77777777">
      <w:pPr>
        <w:ind w:left="720"/>
        <w:rPr>
          <w:rFonts w:ascii="Times New Roman" w:hAnsi="Times New Roman"/>
          <w:bCs/>
        </w:rPr>
      </w:pPr>
      <w:r w:rsidRPr="00F51289">
        <w:rPr>
          <w:rFonts w:ascii="Times New Roman" w:hAnsi="Times New Roman"/>
          <w:bCs/>
        </w:rPr>
        <w:t>A taxpayer is allowed to treat a non-assignable annuity or other arrangement as property passing in the form of a qualified domestic trust (QDOT) if an Information Statement and an Agreement to either remit the additional tax or to roll over the corpus portion of each annuity payment to a qualified domestic trust (QDOT)</w:t>
      </w:r>
      <w:r w:rsidRPr="00F51289" w:rsidR="0004095A">
        <w:rPr>
          <w:rFonts w:ascii="Times New Roman" w:hAnsi="Times New Roman"/>
          <w:bCs/>
        </w:rPr>
        <w:t xml:space="preserve"> is filed</w:t>
      </w:r>
      <w:r w:rsidRPr="00F51289">
        <w:rPr>
          <w:rFonts w:ascii="Times New Roman" w:hAnsi="Times New Roman"/>
          <w:bCs/>
        </w:rPr>
        <w:t xml:space="preserve"> (§20.2056A-4(c)).</w:t>
      </w:r>
    </w:p>
    <w:p w:rsidRPr="00F51289" w:rsidR="00301375" w:rsidP="00F51289" w:rsidRDefault="00301375" w14:paraId="7122F513" w14:textId="77777777">
      <w:pPr>
        <w:ind w:left="720"/>
        <w:rPr>
          <w:rFonts w:ascii="Times New Roman" w:hAnsi="Times New Roman"/>
          <w:bCs/>
          <w:highlight w:val="yellow"/>
        </w:rPr>
      </w:pPr>
    </w:p>
    <w:p w:rsidRPr="00023D5B" w:rsidR="0004095A" w:rsidP="00F51289" w:rsidRDefault="00F6693A" w14:paraId="6520D382" w14:textId="77777777">
      <w:pPr>
        <w:ind w:left="720"/>
        <w:rPr>
          <w:rFonts w:ascii="Times New Roman" w:hAnsi="Times New Roman"/>
          <w:bCs/>
        </w:rPr>
      </w:pPr>
      <w:r w:rsidRPr="00F51289">
        <w:rPr>
          <w:rFonts w:ascii="Times New Roman" w:hAnsi="Times New Roman"/>
          <w:bCs/>
        </w:rPr>
        <w:t>Additional estate tax is no longer imposed if the surviving spouse becomes a citizen of the United States if certain conditions are met.  T</w:t>
      </w:r>
      <w:r w:rsidRPr="00F51289" w:rsidR="0004095A">
        <w:rPr>
          <w:rFonts w:ascii="Times New Roman" w:hAnsi="Times New Roman"/>
          <w:bCs/>
        </w:rPr>
        <w:t>he trustee must certify in writing that the surviving spouse has become a citizen.  Notice is made by filing a final Form 706</w:t>
      </w:r>
      <w:r w:rsidRPr="00F51289">
        <w:rPr>
          <w:rFonts w:ascii="Times New Roman" w:hAnsi="Times New Roman"/>
          <w:bCs/>
        </w:rPr>
        <w:t>QDT.  If other conditions exist</w:t>
      </w:r>
      <w:r w:rsidRPr="00F51289" w:rsidR="0004095A">
        <w:rPr>
          <w:rFonts w:ascii="Times New Roman" w:hAnsi="Times New Roman"/>
          <w:bCs/>
        </w:rPr>
        <w:t xml:space="preserve"> upon becoming a citizen</w:t>
      </w:r>
      <w:r w:rsidRPr="00F51289">
        <w:rPr>
          <w:rFonts w:ascii="Times New Roman" w:hAnsi="Times New Roman"/>
          <w:bCs/>
        </w:rPr>
        <w:t>,</w:t>
      </w:r>
      <w:r w:rsidRPr="00F51289" w:rsidR="0004095A">
        <w:rPr>
          <w:rFonts w:ascii="Times New Roman" w:hAnsi="Times New Roman"/>
          <w:bCs/>
        </w:rPr>
        <w:t xml:space="preserve"> the surviving spouse must make certain elections in order for the imposition of the additional </w:t>
      </w:r>
      <w:r w:rsidRPr="00F51289" w:rsidR="00023D5B">
        <w:rPr>
          <w:rFonts w:ascii="Times New Roman" w:hAnsi="Times New Roman"/>
          <w:bCs/>
        </w:rPr>
        <w:t>estate tax to be suspended</w:t>
      </w:r>
      <w:r w:rsidR="00023D5B">
        <w:rPr>
          <w:rFonts w:ascii="Times New Roman" w:hAnsi="Times New Roman"/>
          <w:bCs/>
        </w:rPr>
        <w:t xml:space="preserve"> (§§ </w:t>
      </w:r>
      <w:r w:rsidRPr="001C26B9" w:rsidR="00023D5B">
        <w:rPr>
          <w:rFonts w:ascii="Times New Roman" w:hAnsi="Times New Roman"/>
          <w:bCs/>
        </w:rPr>
        <w:t>20.2056A</w:t>
      </w:r>
      <w:r w:rsidRPr="001C26B9" w:rsidR="00023D5B">
        <w:rPr>
          <w:rFonts w:ascii="Times New Roman" w:hAnsi="Times New Roman"/>
          <w:bCs/>
        </w:rPr>
        <w:noBreakHyphen/>
        <w:t>l0(a) and (b)</w:t>
      </w:r>
      <w:r w:rsidR="00023D5B">
        <w:rPr>
          <w:rFonts w:ascii="Times New Roman" w:hAnsi="Times New Roman"/>
          <w:bCs/>
        </w:rPr>
        <w:t>).</w:t>
      </w:r>
    </w:p>
    <w:p w:rsidRPr="000D3A94" w:rsidR="006C3B2E" w:rsidP="00F51289" w:rsidRDefault="006C3B2E" w14:paraId="375F1AF0" w14:textId="77777777">
      <w:pPr>
        <w:tabs>
          <w:tab w:val="left" w:pos="720"/>
        </w:tabs>
        <w:ind w:left="720" w:hanging="720"/>
        <w:rPr>
          <w:rFonts w:ascii="Times New Roman" w:hAnsi="Times New Roman"/>
          <w:bCs/>
        </w:rPr>
      </w:pPr>
    </w:p>
    <w:p w:rsidRPr="000D3A94" w:rsidR="006C3B2E" w:rsidP="00F51289" w:rsidRDefault="006C3B2E" w14:paraId="56993490" w14:textId="77777777">
      <w:pPr>
        <w:numPr>
          <w:ilvl w:val="0"/>
          <w:numId w:val="1"/>
        </w:numPr>
        <w:tabs>
          <w:tab w:val="left" w:pos="720"/>
        </w:tabs>
        <w:ind w:hanging="720"/>
        <w:rPr>
          <w:rFonts w:ascii="Times New Roman" w:hAnsi="Times New Roman"/>
          <w:bCs/>
        </w:rPr>
      </w:pPr>
      <w:r w:rsidRPr="000D3A94">
        <w:rPr>
          <w:rFonts w:ascii="Times New Roman" w:hAnsi="Times New Roman"/>
          <w:bCs/>
          <w:u w:val="single"/>
        </w:rPr>
        <w:t>USE OF DATA</w:t>
      </w:r>
      <w:r w:rsidRPr="000D3A94">
        <w:rPr>
          <w:rFonts w:ascii="Times New Roman" w:hAnsi="Times New Roman"/>
          <w:bCs/>
        </w:rPr>
        <w:t xml:space="preserve"> </w:t>
      </w:r>
    </w:p>
    <w:p w:rsidRPr="000D3A94" w:rsidR="006C3B2E" w:rsidP="00F51289" w:rsidRDefault="006C3B2E" w14:paraId="4E826E2D" w14:textId="77777777">
      <w:pPr>
        <w:tabs>
          <w:tab w:val="left" w:pos="720"/>
        </w:tabs>
        <w:ind w:left="720" w:hanging="720"/>
        <w:rPr>
          <w:rFonts w:ascii="Times New Roman" w:hAnsi="Times New Roman"/>
          <w:bCs/>
        </w:rPr>
      </w:pPr>
    </w:p>
    <w:p w:rsidRPr="00F51289" w:rsidR="006C3B2E" w:rsidP="00F51289" w:rsidRDefault="00EC50EC" w14:paraId="7CC98378" w14:textId="77777777">
      <w:pPr>
        <w:tabs>
          <w:tab w:val="left" w:pos="720"/>
        </w:tabs>
        <w:ind w:left="720" w:hanging="720"/>
        <w:rPr>
          <w:rFonts w:ascii="Times New Roman" w:hAnsi="Times New Roman"/>
          <w:bCs/>
        </w:rPr>
      </w:pPr>
      <w:r w:rsidRPr="000D3A94">
        <w:rPr>
          <w:rFonts w:ascii="Times New Roman" w:hAnsi="Times New Roman"/>
          <w:bCs/>
        </w:rPr>
        <w:tab/>
      </w:r>
      <w:r w:rsidRPr="000D3A94" w:rsidR="006C3B2E">
        <w:rPr>
          <w:rFonts w:ascii="Times New Roman" w:hAnsi="Times New Roman"/>
          <w:bCs/>
        </w:rPr>
        <w:t>The information will be processed by the IRS and used in the administration of the Internal Revenue laws to assess the reported tax and to determine whether taxpayers have complied wi</w:t>
      </w:r>
      <w:r w:rsidRPr="00F51289" w:rsidR="006C3B2E">
        <w:rPr>
          <w:rFonts w:ascii="Times New Roman" w:hAnsi="Times New Roman"/>
          <w:bCs/>
        </w:rPr>
        <w:t>th the statutory provisions (sections 2056(d), 2056A and 2523(i)) relating to the availability of the gift and estate tax marital deductions when the surviving spouse is not a United States citizen.</w:t>
      </w:r>
    </w:p>
    <w:p w:rsidRPr="00F51289" w:rsidR="00747E8E" w:rsidP="00F51289" w:rsidRDefault="00747E8E" w14:paraId="59C58B9A" w14:textId="77777777">
      <w:pPr>
        <w:tabs>
          <w:tab w:val="left" w:pos="720"/>
        </w:tabs>
        <w:ind w:left="720"/>
        <w:rPr>
          <w:rFonts w:ascii="Times New Roman" w:hAnsi="Times New Roman"/>
          <w:bCs/>
        </w:rPr>
      </w:pPr>
    </w:p>
    <w:p w:rsidRPr="00F51289" w:rsidR="006C3B2E" w:rsidP="00F51289" w:rsidRDefault="006C3B2E" w14:paraId="0A897A46" w14:textId="77777777">
      <w:pPr>
        <w:numPr>
          <w:ilvl w:val="0"/>
          <w:numId w:val="1"/>
        </w:numPr>
        <w:tabs>
          <w:tab w:val="left" w:pos="720"/>
        </w:tabs>
        <w:ind w:hanging="720"/>
        <w:rPr>
          <w:rFonts w:ascii="Times New Roman" w:hAnsi="Times New Roman"/>
          <w:bCs/>
        </w:rPr>
      </w:pPr>
      <w:r w:rsidRPr="00F51289">
        <w:rPr>
          <w:rFonts w:ascii="Times New Roman" w:hAnsi="Times New Roman"/>
          <w:bCs/>
          <w:u w:val="single"/>
        </w:rPr>
        <w:t>USE OF IMPROVED INFORMATION TECHNOLOGY TO REDUCE BURDEN</w:t>
      </w:r>
    </w:p>
    <w:p w:rsidRPr="00F51289" w:rsidR="006C3B2E" w:rsidP="00F51289" w:rsidRDefault="006C3B2E" w14:paraId="57249569" w14:textId="77777777">
      <w:pPr>
        <w:tabs>
          <w:tab w:val="left" w:pos="720"/>
        </w:tabs>
        <w:ind w:left="720" w:hanging="720"/>
        <w:rPr>
          <w:rFonts w:ascii="Times New Roman" w:hAnsi="Times New Roman"/>
          <w:bCs/>
        </w:rPr>
      </w:pPr>
    </w:p>
    <w:p w:rsidRPr="003E4B1C" w:rsidR="003E4B1C" w:rsidP="00422534" w:rsidRDefault="00EC50EC" w14:paraId="4F2CC806" w14:textId="12FA957D">
      <w:pPr>
        <w:tabs>
          <w:tab w:val="left" w:pos="720"/>
        </w:tabs>
        <w:ind w:left="720" w:hanging="720"/>
        <w:rPr>
          <w:rFonts w:ascii="Times New Roman" w:hAnsi="Times New Roman"/>
        </w:rPr>
      </w:pPr>
      <w:r w:rsidRPr="00F51289">
        <w:rPr>
          <w:rFonts w:ascii="Times New Roman" w:hAnsi="Times New Roman"/>
          <w:bCs/>
        </w:rPr>
        <w:tab/>
      </w:r>
      <w:r w:rsidRPr="003E4B1C" w:rsidR="003E4B1C">
        <w:rPr>
          <w:rFonts w:ascii="Times New Roman" w:hAnsi="Times New Roman"/>
        </w:rPr>
        <w:t>Since,</w:t>
      </w:r>
      <w:r w:rsidR="003E4B1C">
        <w:rPr>
          <w:rFonts w:ascii="Times New Roman" w:hAnsi="Times New Roman"/>
        </w:rPr>
        <w:t xml:space="preserve"> </w:t>
      </w:r>
      <w:r w:rsidRPr="003E4B1C" w:rsidR="003E4B1C">
        <w:rPr>
          <w:rFonts w:ascii="Times New Roman" w:hAnsi="Times New Roman"/>
        </w:rPr>
        <w:t xml:space="preserve">there is no reporting </w:t>
      </w:r>
      <w:r w:rsidRPr="003E4B1C" w:rsidR="00986DB2">
        <w:rPr>
          <w:rFonts w:ascii="Times New Roman" w:hAnsi="Times New Roman"/>
        </w:rPr>
        <w:t xml:space="preserve">requirements </w:t>
      </w:r>
      <w:r w:rsidR="00422534">
        <w:rPr>
          <w:rFonts w:ascii="Times New Roman" w:hAnsi="Times New Roman"/>
        </w:rPr>
        <w:t>associated</w:t>
      </w:r>
      <w:r w:rsidRPr="003E4B1C" w:rsidR="00422534">
        <w:rPr>
          <w:rFonts w:ascii="Times New Roman" w:hAnsi="Times New Roman"/>
        </w:rPr>
        <w:t xml:space="preserve"> </w:t>
      </w:r>
      <w:r w:rsidR="00422534">
        <w:rPr>
          <w:rFonts w:ascii="Times New Roman" w:hAnsi="Times New Roman"/>
        </w:rPr>
        <w:t>with</w:t>
      </w:r>
      <w:r w:rsidRPr="003E4B1C" w:rsidR="003E4B1C">
        <w:rPr>
          <w:rFonts w:ascii="Times New Roman" w:hAnsi="Times New Roman"/>
        </w:rPr>
        <w:t xml:space="preserve"> </w:t>
      </w:r>
      <w:r w:rsidR="003E4B1C">
        <w:rPr>
          <w:rFonts w:ascii="Times New Roman" w:hAnsi="Times New Roman"/>
        </w:rPr>
        <w:t>T</w:t>
      </w:r>
      <w:r w:rsidRPr="003E4B1C" w:rsidR="003E4B1C">
        <w:rPr>
          <w:rFonts w:ascii="Times New Roman" w:hAnsi="Times New Roman"/>
        </w:rPr>
        <w:t>.</w:t>
      </w:r>
      <w:r w:rsidR="003E4B1C">
        <w:rPr>
          <w:rFonts w:ascii="Times New Roman" w:hAnsi="Times New Roman"/>
        </w:rPr>
        <w:t>D. 8612</w:t>
      </w:r>
      <w:r w:rsidRPr="003E4B1C" w:rsidR="003E4B1C">
        <w:rPr>
          <w:rFonts w:ascii="Times New Roman" w:hAnsi="Times New Roman"/>
        </w:rPr>
        <w:t>, electronic filing is not applicable.</w:t>
      </w:r>
    </w:p>
    <w:p w:rsidR="004D0F8D" w:rsidP="00F51289" w:rsidRDefault="004D0F8D" w14:paraId="16A613AE" w14:textId="77777777">
      <w:pPr>
        <w:tabs>
          <w:tab w:val="left" w:pos="720"/>
        </w:tabs>
        <w:ind w:left="720" w:hanging="720"/>
        <w:rPr>
          <w:rFonts w:ascii="Times New Roman" w:hAnsi="Times New Roman"/>
          <w:bCs/>
        </w:rPr>
      </w:pPr>
    </w:p>
    <w:p w:rsidRPr="00F51289" w:rsidR="004D0F8D" w:rsidP="00F51289" w:rsidRDefault="004D0F8D" w14:paraId="7C4DB720" w14:textId="77777777">
      <w:pPr>
        <w:tabs>
          <w:tab w:val="left" w:pos="720"/>
        </w:tabs>
        <w:ind w:left="720" w:hanging="720"/>
        <w:rPr>
          <w:rFonts w:ascii="Times New Roman" w:hAnsi="Times New Roman"/>
          <w:bCs/>
        </w:rPr>
      </w:pPr>
    </w:p>
    <w:p w:rsidRPr="00F51289" w:rsidR="006C3B2E" w:rsidP="00F51289" w:rsidRDefault="006C3B2E" w14:paraId="4C773A50" w14:textId="77777777">
      <w:pPr>
        <w:numPr>
          <w:ilvl w:val="0"/>
          <w:numId w:val="1"/>
        </w:numPr>
        <w:tabs>
          <w:tab w:val="left" w:pos="720"/>
        </w:tabs>
        <w:ind w:hanging="720"/>
        <w:rPr>
          <w:rFonts w:ascii="Times New Roman" w:hAnsi="Times New Roman"/>
          <w:bCs/>
        </w:rPr>
      </w:pPr>
      <w:r w:rsidRPr="00F51289">
        <w:rPr>
          <w:rFonts w:ascii="Times New Roman" w:hAnsi="Times New Roman"/>
          <w:bCs/>
          <w:u w:val="single"/>
        </w:rPr>
        <w:t>EFFORTS TO IDENTIFY DUPLICATION</w:t>
      </w:r>
    </w:p>
    <w:p w:rsidRPr="00F51289" w:rsidR="006C3B2E" w:rsidP="00F51289" w:rsidRDefault="006C3B2E" w14:paraId="1504FA4A" w14:textId="77777777">
      <w:pPr>
        <w:tabs>
          <w:tab w:val="left" w:pos="720"/>
        </w:tabs>
        <w:ind w:left="720" w:hanging="720"/>
        <w:rPr>
          <w:rFonts w:ascii="Times New Roman" w:hAnsi="Times New Roman"/>
          <w:bCs/>
        </w:rPr>
      </w:pPr>
    </w:p>
    <w:p w:rsidRPr="004940E4" w:rsidR="004940E4" w:rsidP="004940E4" w:rsidRDefault="00EC50EC" w14:paraId="7B029995" w14:textId="77777777">
      <w:pPr>
        <w:tabs>
          <w:tab w:val="left" w:pos="720"/>
        </w:tabs>
        <w:ind w:left="720" w:hanging="720"/>
        <w:rPr>
          <w:rFonts w:ascii="Times New Roman" w:hAnsi="Times New Roman"/>
          <w:bCs/>
          <w:iCs/>
        </w:rPr>
      </w:pPr>
      <w:r w:rsidRPr="00F51289">
        <w:rPr>
          <w:rFonts w:ascii="Times New Roman" w:hAnsi="Times New Roman"/>
          <w:bCs/>
        </w:rPr>
        <w:tab/>
      </w:r>
      <w:r w:rsidRPr="004940E4" w:rsidR="004940E4">
        <w:rPr>
          <w:rFonts w:ascii="Times New Roman" w:hAnsi="Times New Roman"/>
          <w:bCs/>
          <w:iCs/>
        </w:rPr>
        <w:t>The information obtained through this collection is unique and is not already available for use or adaptation from another source.</w:t>
      </w:r>
    </w:p>
    <w:p w:rsidRPr="00F51289" w:rsidR="006C3B2E" w:rsidP="00F51289" w:rsidRDefault="006C3B2E" w14:paraId="5CC7EF3A" w14:textId="77777777">
      <w:pPr>
        <w:numPr>
          <w:ilvl w:val="0"/>
          <w:numId w:val="1"/>
        </w:numPr>
        <w:tabs>
          <w:tab w:val="left" w:pos="720"/>
        </w:tabs>
        <w:ind w:hanging="720"/>
        <w:rPr>
          <w:rFonts w:ascii="Times New Roman" w:hAnsi="Times New Roman"/>
          <w:bCs/>
        </w:rPr>
      </w:pPr>
      <w:r w:rsidRPr="00F51289">
        <w:rPr>
          <w:rFonts w:ascii="Times New Roman" w:hAnsi="Times New Roman"/>
          <w:bCs/>
          <w:u w:val="single"/>
        </w:rPr>
        <w:lastRenderedPageBreak/>
        <w:t>METHODS TO MINIMIZE BURDEN ON SMALL BUSINESSES OR OTHER</w:t>
      </w:r>
      <w:r w:rsidRPr="00F51289" w:rsidR="00EC50EC">
        <w:rPr>
          <w:rFonts w:ascii="Times New Roman" w:hAnsi="Times New Roman"/>
          <w:bCs/>
          <w:u w:val="single"/>
        </w:rPr>
        <w:t xml:space="preserve"> </w:t>
      </w:r>
      <w:r w:rsidRPr="00F51289">
        <w:rPr>
          <w:rFonts w:ascii="Times New Roman" w:hAnsi="Times New Roman"/>
          <w:bCs/>
          <w:u w:val="single"/>
        </w:rPr>
        <w:t>SMALL ENTITIES</w:t>
      </w:r>
    </w:p>
    <w:p w:rsidRPr="00F51289" w:rsidR="006C3B2E" w:rsidP="00F51289" w:rsidRDefault="006C3B2E" w14:paraId="7D3171C3" w14:textId="77777777">
      <w:pPr>
        <w:tabs>
          <w:tab w:val="left" w:pos="720"/>
        </w:tabs>
        <w:ind w:left="720" w:hanging="720"/>
        <w:rPr>
          <w:rFonts w:ascii="Times New Roman" w:hAnsi="Times New Roman"/>
          <w:bCs/>
        </w:rPr>
      </w:pPr>
    </w:p>
    <w:p w:rsidRPr="003E4B1C" w:rsidR="006C3B2E" w:rsidP="00F51289" w:rsidRDefault="00EC50EC" w14:paraId="6CE6430B" w14:textId="77777777">
      <w:pPr>
        <w:tabs>
          <w:tab w:val="left" w:pos="720"/>
        </w:tabs>
        <w:ind w:left="720" w:hanging="720"/>
        <w:rPr>
          <w:rFonts w:ascii="Times New Roman" w:hAnsi="Times New Roman"/>
          <w:bCs/>
        </w:rPr>
      </w:pPr>
      <w:r w:rsidRPr="00F51289">
        <w:rPr>
          <w:rFonts w:ascii="Times New Roman" w:hAnsi="Times New Roman"/>
          <w:bCs/>
        </w:rPr>
        <w:tab/>
      </w:r>
      <w:r w:rsidRPr="003E4B1C" w:rsidR="003E4B1C">
        <w:rPr>
          <w:rFonts w:ascii="Times New Roman" w:hAnsi="Times New Roman"/>
          <w:color w:val="000000"/>
        </w:rPr>
        <w:t>There is no burden on small businesses or entities by this collection due to the inapplicability of the authorizing statute to this type of entity.</w:t>
      </w:r>
    </w:p>
    <w:p w:rsidRPr="00F51289" w:rsidR="00A604AE" w:rsidP="00F51289" w:rsidRDefault="00A604AE" w14:paraId="58A6EAEA" w14:textId="77777777">
      <w:pPr>
        <w:tabs>
          <w:tab w:val="left" w:pos="720"/>
        </w:tabs>
        <w:ind w:left="720" w:hanging="720"/>
        <w:rPr>
          <w:rFonts w:ascii="Times New Roman" w:hAnsi="Times New Roman"/>
          <w:bCs/>
        </w:rPr>
      </w:pPr>
    </w:p>
    <w:p w:rsidRPr="00F51289" w:rsidR="006C3B2E" w:rsidP="00F51289" w:rsidRDefault="006C3B2E" w14:paraId="168EFED5" w14:textId="77777777">
      <w:pPr>
        <w:numPr>
          <w:ilvl w:val="0"/>
          <w:numId w:val="1"/>
        </w:numPr>
        <w:tabs>
          <w:tab w:val="left" w:pos="720"/>
        </w:tabs>
        <w:ind w:hanging="720"/>
        <w:rPr>
          <w:rFonts w:ascii="Times New Roman" w:hAnsi="Times New Roman"/>
          <w:bCs/>
        </w:rPr>
      </w:pPr>
      <w:r w:rsidRPr="00F51289">
        <w:rPr>
          <w:rFonts w:ascii="Times New Roman" w:hAnsi="Times New Roman"/>
          <w:bCs/>
          <w:u w:val="single"/>
        </w:rPr>
        <w:t>CONSEQUENCES OF LESS FREQUENT COLLECTION ON FEDERAL PROGRAMS</w:t>
      </w:r>
      <w:r w:rsidRPr="00F51289" w:rsidR="00EC50EC">
        <w:rPr>
          <w:rFonts w:ascii="Times New Roman" w:hAnsi="Times New Roman"/>
          <w:bCs/>
          <w:u w:val="single"/>
        </w:rPr>
        <w:t xml:space="preserve"> </w:t>
      </w:r>
      <w:r w:rsidRPr="00F51289">
        <w:rPr>
          <w:rFonts w:ascii="Times New Roman" w:hAnsi="Times New Roman"/>
          <w:bCs/>
          <w:u w:val="single"/>
        </w:rPr>
        <w:t>OR POLICY ACTIVITIES</w:t>
      </w:r>
    </w:p>
    <w:p w:rsidRPr="00F51289" w:rsidR="006C3B2E" w:rsidP="00F51289" w:rsidRDefault="006C3B2E" w14:paraId="06D2F378" w14:textId="77777777">
      <w:pPr>
        <w:tabs>
          <w:tab w:val="left" w:pos="720"/>
        </w:tabs>
        <w:ind w:left="720" w:hanging="720"/>
        <w:rPr>
          <w:rFonts w:ascii="Times New Roman" w:hAnsi="Times New Roman"/>
          <w:bCs/>
        </w:rPr>
      </w:pPr>
    </w:p>
    <w:p w:rsidRPr="003E4B1C" w:rsidR="006C3B2E" w:rsidP="00F51289" w:rsidRDefault="00EC50EC" w14:paraId="65D2FE03" w14:textId="77777777">
      <w:pPr>
        <w:tabs>
          <w:tab w:val="left" w:pos="720"/>
        </w:tabs>
        <w:ind w:left="720" w:hanging="720"/>
        <w:rPr>
          <w:rFonts w:ascii="Times New Roman" w:hAnsi="Times New Roman"/>
          <w:bCs/>
        </w:rPr>
      </w:pPr>
      <w:r w:rsidRPr="00F51289">
        <w:rPr>
          <w:rFonts w:ascii="Times New Roman" w:hAnsi="Times New Roman"/>
          <w:bCs/>
        </w:rPr>
        <w:tab/>
      </w:r>
      <w:r w:rsidRPr="003E4B1C" w:rsidR="003E4B1C">
        <w:rPr>
          <w:rFonts w:ascii="Times New Roman" w:hAnsi="Times New Roman"/>
        </w:rPr>
        <w:t xml:space="preserve">Consequences of less frequent collection on federal programs or policy activities would result in the </w:t>
      </w:r>
      <w:r w:rsidR="003E4B1C">
        <w:rPr>
          <w:rFonts w:ascii="Times New Roman" w:hAnsi="Times New Roman"/>
        </w:rPr>
        <w:t>IR</w:t>
      </w:r>
      <w:r w:rsidRPr="003E4B1C" w:rsidR="003E4B1C">
        <w:rPr>
          <w:rFonts w:ascii="Times New Roman" w:hAnsi="Times New Roman"/>
        </w:rPr>
        <w:t xml:space="preserve">S unable to </w:t>
      </w:r>
      <w:r w:rsidRPr="000D3A94" w:rsidR="003E4B1C">
        <w:rPr>
          <w:rFonts w:ascii="Times New Roman" w:hAnsi="Times New Roman"/>
          <w:bCs/>
        </w:rPr>
        <w:t>assess the reported tax and to determine whether taxpayers have complied wi</w:t>
      </w:r>
      <w:r w:rsidRPr="00F51289" w:rsidR="003E4B1C">
        <w:rPr>
          <w:rFonts w:ascii="Times New Roman" w:hAnsi="Times New Roman"/>
          <w:bCs/>
        </w:rPr>
        <w:t>th the statutory provisions (sections 2056(d), 2056A and 2523(i)) relating to the availability of the gift and estate tax marital deductions when the surviving spouse is not a United States citizen</w:t>
      </w:r>
      <w:r w:rsidR="002D0FF6">
        <w:rPr>
          <w:rFonts w:ascii="Times New Roman" w:hAnsi="Times New Roman"/>
          <w:bCs/>
        </w:rPr>
        <w:t>, thereby engendering the i</w:t>
      </w:r>
      <w:r w:rsidRPr="003E4B1C" w:rsidR="003E4B1C">
        <w:rPr>
          <w:rFonts w:ascii="Times New Roman" w:hAnsi="Times New Roman"/>
        </w:rPr>
        <w:t>nability of the IRS to meet its mission.</w:t>
      </w:r>
    </w:p>
    <w:p w:rsidRPr="00F51289" w:rsidR="006C3B2E" w:rsidP="00F51289" w:rsidRDefault="006C3B2E" w14:paraId="6A679480" w14:textId="77777777">
      <w:pPr>
        <w:tabs>
          <w:tab w:val="left" w:pos="720"/>
        </w:tabs>
        <w:ind w:left="720" w:hanging="720"/>
        <w:rPr>
          <w:rFonts w:ascii="Times New Roman" w:hAnsi="Times New Roman"/>
          <w:bCs/>
        </w:rPr>
      </w:pPr>
    </w:p>
    <w:p w:rsidRPr="00F51289" w:rsidR="006C3B2E" w:rsidP="00F51289" w:rsidRDefault="006C3B2E" w14:paraId="22B8E36B" w14:textId="77777777">
      <w:pPr>
        <w:numPr>
          <w:ilvl w:val="0"/>
          <w:numId w:val="1"/>
        </w:numPr>
        <w:tabs>
          <w:tab w:val="left" w:pos="720"/>
        </w:tabs>
        <w:ind w:hanging="720"/>
        <w:rPr>
          <w:rFonts w:ascii="Times New Roman" w:hAnsi="Times New Roman"/>
          <w:bCs/>
        </w:rPr>
      </w:pPr>
      <w:r w:rsidRPr="00F51289">
        <w:rPr>
          <w:rFonts w:ascii="Times New Roman" w:hAnsi="Times New Roman"/>
          <w:bCs/>
          <w:u w:val="single"/>
        </w:rPr>
        <w:t>SPECIAL CIRCUMSTANCES REQUIRING DATA COLLECTION TO BE</w:t>
      </w:r>
      <w:r w:rsidRPr="00F51289" w:rsidR="00EC50EC">
        <w:rPr>
          <w:rFonts w:ascii="Times New Roman" w:hAnsi="Times New Roman"/>
          <w:bCs/>
          <w:u w:val="single"/>
        </w:rPr>
        <w:t xml:space="preserve"> </w:t>
      </w:r>
      <w:r w:rsidRPr="00F51289">
        <w:rPr>
          <w:rFonts w:ascii="Times New Roman" w:hAnsi="Times New Roman"/>
          <w:bCs/>
          <w:u w:val="single"/>
        </w:rPr>
        <w:t>INCONSISTENT WITH GUIDELINES IN 5 CFR 1320.5(d)(2)</w:t>
      </w:r>
    </w:p>
    <w:p w:rsidRPr="00F51289" w:rsidR="006C3B2E" w:rsidP="00F51289" w:rsidRDefault="006C3B2E" w14:paraId="29F94F72" w14:textId="77777777">
      <w:pPr>
        <w:tabs>
          <w:tab w:val="left" w:pos="720"/>
        </w:tabs>
        <w:ind w:left="720" w:hanging="720"/>
        <w:rPr>
          <w:rFonts w:ascii="Times New Roman" w:hAnsi="Times New Roman"/>
          <w:bCs/>
        </w:rPr>
      </w:pPr>
    </w:p>
    <w:p w:rsidRPr="002D0FF6" w:rsidR="002D0FF6" w:rsidP="002D0FF6" w:rsidRDefault="002D0FF6" w14:paraId="5C699E81"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Pr="00F51289" w:rsidR="00EC50EC" w:rsidP="00F51289" w:rsidRDefault="00EC50EC" w14:paraId="5AF2AFC0" w14:textId="77777777">
      <w:pPr>
        <w:tabs>
          <w:tab w:val="left" w:pos="720"/>
        </w:tabs>
        <w:ind w:left="720" w:hanging="720"/>
        <w:rPr>
          <w:rFonts w:ascii="Times New Roman" w:hAnsi="Times New Roman"/>
          <w:bCs/>
        </w:rPr>
      </w:pPr>
    </w:p>
    <w:p w:rsidRPr="00F51289" w:rsidR="006C3B2E" w:rsidP="00F51289" w:rsidRDefault="006C3B2E" w14:paraId="2B4D4061" w14:textId="77777777">
      <w:pPr>
        <w:numPr>
          <w:ilvl w:val="0"/>
          <w:numId w:val="1"/>
        </w:numPr>
        <w:ind w:hanging="720"/>
        <w:rPr>
          <w:rFonts w:ascii="Times New Roman" w:hAnsi="Times New Roman"/>
          <w:bCs/>
        </w:rPr>
      </w:pPr>
      <w:r w:rsidRPr="00F51289">
        <w:rPr>
          <w:rFonts w:ascii="Times New Roman" w:hAnsi="Times New Roman"/>
          <w:bCs/>
          <w:u w:val="single"/>
        </w:rPr>
        <w:t>CONSULTATION WITH INDIVIDUALS OUTSIDE OF THE AGENCY ON</w:t>
      </w:r>
      <w:r w:rsidRPr="00F51289" w:rsidR="00EC50EC">
        <w:rPr>
          <w:rFonts w:ascii="Times New Roman" w:hAnsi="Times New Roman"/>
          <w:bCs/>
          <w:u w:val="single"/>
        </w:rPr>
        <w:t xml:space="preserve"> </w:t>
      </w:r>
      <w:r w:rsidRPr="00F51289">
        <w:rPr>
          <w:rFonts w:ascii="Times New Roman" w:hAnsi="Times New Roman"/>
          <w:bCs/>
          <w:u w:val="single"/>
        </w:rPr>
        <w:t>AVAILABILITY OF DATA, FREQUENCY OF COLLECTION, CLARITY</w:t>
      </w:r>
      <w:r w:rsidRPr="00F51289" w:rsidR="00EC50EC">
        <w:rPr>
          <w:rFonts w:ascii="Times New Roman" w:hAnsi="Times New Roman"/>
          <w:bCs/>
          <w:u w:val="single"/>
        </w:rPr>
        <w:t xml:space="preserve"> </w:t>
      </w:r>
      <w:r w:rsidRPr="00F51289">
        <w:rPr>
          <w:rFonts w:ascii="Times New Roman" w:hAnsi="Times New Roman"/>
          <w:bCs/>
          <w:u w:val="single"/>
        </w:rPr>
        <w:t>OF INSTRUCTIONS AND FORMS, AND DATA ELEMENTS</w:t>
      </w:r>
    </w:p>
    <w:p w:rsidRPr="00F51289" w:rsidR="006C3B2E" w:rsidP="00F51289" w:rsidRDefault="006C3B2E" w14:paraId="4DAB84BB" w14:textId="77777777">
      <w:pPr>
        <w:rPr>
          <w:rFonts w:ascii="Times New Roman" w:hAnsi="Times New Roman"/>
          <w:bCs/>
        </w:rPr>
      </w:pPr>
    </w:p>
    <w:p w:rsidRPr="00F51289" w:rsidR="006C3B2E" w:rsidP="00F51289" w:rsidRDefault="007042A9" w14:paraId="480FDC50" w14:textId="77777777">
      <w:pPr>
        <w:ind w:left="720"/>
        <w:rPr>
          <w:rFonts w:ascii="Times New Roman" w:hAnsi="Times New Roman"/>
          <w:bCs/>
        </w:rPr>
      </w:pPr>
      <w:r w:rsidRPr="00F51289">
        <w:rPr>
          <w:rFonts w:ascii="Times New Roman" w:hAnsi="Times New Roman"/>
          <w:bCs/>
        </w:rPr>
        <w:t>In re</w:t>
      </w:r>
      <w:r w:rsidRPr="00F51289" w:rsidR="00F6693A">
        <w:rPr>
          <w:rFonts w:ascii="Times New Roman" w:hAnsi="Times New Roman"/>
          <w:bCs/>
        </w:rPr>
        <w:t xml:space="preserve">sponse to the </w:t>
      </w:r>
      <w:r w:rsidRPr="004D0F8D" w:rsidR="00F6693A">
        <w:rPr>
          <w:rFonts w:ascii="Times New Roman" w:hAnsi="Times New Roman"/>
        </w:rPr>
        <w:t>Federal Register</w:t>
      </w:r>
      <w:r w:rsidRPr="00F51289" w:rsidR="00F6693A">
        <w:rPr>
          <w:rFonts w:ascii="Times New Roman" w:hAnsi="Times New Roman"/>
          <w:bCs/>
        </w:rPr>
        <w:t xml:space="preserve"> n</w:t>
      </w:r>
      <w:r w:rsidRPr="00F51289">
        <w:rPr>
          <w:rFonts w:ascii="Times New Roman" w:hAnsi="Times New Roman"/>
          <w:bCs/>
        </w:rPr>
        <w:t>otice</w:t>
      </w:r>
      <w:r w:rsidR="004D0F8D">
        <w:rPr>
          <w:rFonts w:ascii="Times New Roman" w:hAnsi="Times New Roman"/>
          <w:bCs/>
        </w:rPr>
        <w:t xml:space="preserve"> dated August 26, 2020</w:t>
      </w:r>
      <w:r w:rsidR="002D0FF6">
        <w:rPr>
          <w:rFonts w:ascii="Times New Roman" w:hAnsi="Times New Roman"/>
          <w:bCs/>
        </w:rPr>
        <w:t xml:space="preserve"> (8</w:t>
      </w:r>
      <w:r w:rsidR="004D0F8D">
        <w:rPr>
          <w:rFonts w:ascii="Times New Roman" w:hAnsi="Times New Roman"/>
          <w:bCs/>
        </w:rPr>
        <w:t>5</w:t>
      </w:r>
      <w:r w:rsidR="002D0FF6">
        <w:rPr>
          <w:rFonts w:ascii="Times New Roman" w:hAnsi="Times New Roman"/>
          <w:bCs/>
        </w:rPr>
        <w:t xml:space="preserve"> FR </w:t>
      </w:r>
      <w:r w:rsidR="004D0F8D">
        <w:rPr>
          <w:rFonts w:ascii="Times New Roman" w:hAnsi="Times New Roman"/>
          <w:bCs/>
        </w:rPr>
        <w:t>52660)</w:t>
      </w:r>
      <w:r w:rsidRPr="00F51289">
        <w:rPr>
          <w:rFonts w:ascii="Times New Roman" w:hAnsi="Times New Roman"/>
          <w:bCs/>
        </w:rPr>
        <w:t xml:space="preserve">, </w:t>
      </w:r>
      <w:r w:rsidR="004D0F8D">
        <w:rPr>
          <w:rFonts w:ascii="Times New Roman" w:hAnsi="Times New Roman"/>
          <w:bCs/>
        </w:rPr>
        <w:t>IRS</w:t>
      </w:r>
      <w:r w:rsidRPr="00F51289">
        <w:rPr>
          <w:rFonts w:ascii="Times New Roman" w:hAnsi="Times New Roman"/>
          <w:bCs/>
        </w:rPr>
        <w:t xml:space="preserve"> received no comments during the comment </w:t>
      </w:r>
      <w:r w:rsidRPr="00F51289" w:rsidR="00EC36D1">
        <w:rPr>
          <w:rFonts w:ascii="Times New Roman" w:hAnsi="Times New Roman"/>
          <w:bCs/>
        </w:rPr>
        <w:t xml:space="preserve">period </w:t>
      </w:r>
      <w:r w:rsidRPr="00F51289">
        <w:rPr>
          <w:rFonts w:ascii="Times New Roman" w:hAnsi="Times New Roman"/>
          <w:bCs/>
        </w:rPr>
        <w:t xml:space="preserve">regarding </w:t>
      </w:r>
      <w:r w:rsidRPr="00F51289" w:rsidR="00A7295D">
        <w:rPr>
          <w:rFonts w:ascii="Times New Roman" w:hAnsi="Times New Roman"/>
          <w:bCs/>
        </w:rPr>
        <w:t>TD 8612</w:t>
      </w:r>
      <w:r w:rsidRPr="00F51289">
        <w:rPr>
          <w:rFonts w:ascii="Times New Roman" w:hAnsi="Times New Roman"/>
          <w:bCs/>
        </w:rPr>
        <w:t>.</w:t>
      </w:r>
    </w:p>
    <w:p w:rsidRPr="00F51289" w:rsidR="006C3B2E" w:rsidP="00F51289" w:rsidRDefault="006C3B2E" w14:paraId="2383D5DC" w14:textId="77777777">
      <w:pPr>
        <w:rPr>
          <w:rFonts w:ascii="Times New Roman" w:hAnsi="Times New Roman"/>
          <w:bCs/>
        </w:rPr>
      </w:pPr>
    </w:p>
    <w:p w:rsidRPr="00F51289" w:rsidR="006C3B2E" w:rsidP="00F51289" w:rsidRDefault="006C3B2E" w14:paraId="13B028E0" w14:textId="77777777">
      <w:pPr>
        <w:numPr>
          <w:ilvl w:val="0"/>
          <w:numId w:val="1"/>
        </w:numPr>
        <w:ind w:hanging="720"/>
        <w:rPr>
          <w:rFonts w:ascii="Times New Roman" w:hAnsi="Times New Roman"/>
          <w:bCs/>
        </w:rPr>
      </w:pPr>
      <w:r w:rsidRPr="00F51289">
        <w:rPr>
          <w:rFonts w:ascii="Times New Roman" w:hAnsi="Times New Roman"/>
          <w:bCs/>
          <w:u w:val="single"/>
        </w:rPr>
        <w:t>EXPLANATION OF DECISION TO PROVIDE ANY PAYMENT OR GIFT TO</w:t>
      </w:r>
      <w:r w:rsidRPr="00F51289" w:rsidR="00EC50EC">
        <w:rPr>
          <w:rFonts w:ascii="Times New Roman" w:hAnsi="Times New Roman"/>
          <w:bCs/>
          <w:u w:val="single"/>
        </w:rPr>
        <w:t xml:space="preserve"> </w:t>
      </w:r>
      <w:r w:rsidRPr="00F51289">
        <w:rPr>
          <w:rFonts w:ascii="Times New Roman" w:hAnsi="Times New Roman"/>
          <w:bCs/>
          <w:u w:val="single"/>
        </w:rPr>
        <w:t>RESPONDENTS</w:t>
      </w:r>
    </w:p>
    <w:p w:rsidRPr="00F51289" w:rsidR="006C3B2E" w:rsidP="00F51289" w:rsidRDefault="006C3B2E" w14:paraId="681CC595" w14:textId="77777777">
      <w:pPr>
        <w:rPr>
          <w:rFonts w:ascii="Times New Roman" w:hAnsi="Times New Roman"/>
          <w:bCs/>
        </w:rPr>
      </w:pPr>
    </w:p>
    <w:p w:rsidRPr="002D0FF6" w:rsidR="002D0FF6" w:rsidP="002D0FF6" w:rsidRDefault="002D0FF6" w14:paraId="32D4C56A" w14:textId="77777777">
      <w:pPr>
        <w:ind w:left="720"/>
        <w:rPr>
          <w:rFonts w:ascii="Times New Roman" w:hAnsi="Times New Roman"/>
        </w:rPr>
      </w:pPr>
      <w:r w:rsidRPr="002D0FF6">
        <w:rPr>
          <w:rFonts w:ascii="Times New Roman" w:hAnsi="Times New Roman"/>
        </w:rPr>
        <w:t>No payment or gift has been provided to any respondents.</w:t>
      </w:r>
    </w:p>
    <w:p w:rsidRPr="00F51289" w:rsidR="006C3B2E" w:rsidP="00F51289" w:rsidRDefault="006C3B2E" w14:paraId="27A636A5" w14:textId="77777777">
      <w:pPr>
        <w:rPr>
          <w:rFonts w:ascii="Times New Roman" w:hAnsi="Times New Roman"/>
          <w:bCs/>
        </w:rPr>
      </w:pPr>
    </w:p>
    <w:p w:rsidRPr="00F51289" w:rsidR="006C3B2E" w:rsidP="00F51289" w:rsidRDefault="006C3B2E" w14:paraId="2E8B2831" w14:textId="77777777">
      <w:pPr>
        <w:numPr>
          <w:ilvl w:val="0"/>
          <w:numId w:val="1"/>
        </w:numPr>
        <w:ind w:hanging="720"/>
        <w:rPr>
          <w:rFonts w:ascii="Times New Roman" w:hAnsi="Times New Roman"/>
          <w:bCs/>
        </w:rPr>
      </w:pPr>
      <w:r w:rsidRPr="00F51289">
        <w:rPr>
          <w:rFonts w:ascii="Times New Roman" w:hAnsi="Times New Roman"/>
          <w:bCs/>
          <w:u w:val="single"/>
        </w:rPr>
        <w:t>ASSURANCE OF CONFIDENTIALITY OF RESPONSES</w:t>
      </w:r>
    </w:p>
    <w:p w:rsidRPr="00F51289" w:rsidR="006C3B2E" w:rsidP="00F51289" w:rsidRDefault="006C3B2E" w14:paraId="2B91A7E2" w14:textId="77777777">
      <w:pPr>
        <w:rPr>
          <w:rFonts w:ascii="Times New Roman" w:hAnsi="Times New Roman"/>
          <w:bCs/>
        </w:rPr>
      </w:pPr>
    </w:p>
    <w:p w:rsidRPr="00F51289" w:rsidR="006C3B2E" w:rsidP="00F51289" w:rsidRDefault="00EC50EC" w14:paraId="0DE258E7" w14:textId="77777777">
      <w:pPr>
        <w:tabs>
          <w:tab w:val="left" w:pos="720"/>
        </w:tabs>
        <w:ind w:left="720" w:hanging="720"/>
        <w:rPr>
          <w:rFonts w:ascii="Times New Roman" w:hAnsi="Times New Roman"/>
          <w:bCs/>
        </w:rPr>
      </w:pPr>
      <w:r w:rsidRPr="00F51289">
        <w:rPr>
          <w:rFonts w:ascii="Times New Roman" w:hAnsi="Times New Roman"/>
          <w:bCs/>
        </w:rPr>
        <w:tab/>
      </w:r>
      <w:r w:rsidRPr="00F51289" w:rsidR="006C3B2E">
        <w:rPr>
          <w:rFonts w:ascii="Times New Roman" w:hAnsi="Times New Roman"/>
          <w:bCs/>
        </w:rPr>
        <w:t>Generally, tax returns and tax return information are confidential as required by 26 USC 6103.</w:t>
      </w:r>
    </w:p>
    <w:p w:rsidR="006C3B2E" w:rsidP="00F51289" w:rsidRDefault="006C3B2E" w14:paraId="3F795A8D" w14:textId="77777777">
      <w:pPr>
        <w:rPr>
          <w:rFonts w:ascii="Times New Roman" w:hAnsi="Times New Roman"/>
          <w:bCs/>
        </w:rPr>
      </w:pPr>
    </w:p>
    <w:p w:rsidR="004D0F8D" w:rsidP="00F51289" w:rsidRDefault="004D0F8D" w14:paraId="2D93BBC0" w14:textId="77777777">
      <w:pPr>
        <w:rPr>
          <w:rFonts w:ascii="Times New Roman" w:hAnsi="Times New Roman"/>
          <w:bCs/>
        </w:rPr>
      </w:pPr>
    </w:p>
    <w:p w:rsidRPr="00F51289" w:rsidR="004D0F8D" w:rsidP="00F51289" w:rsidRDefault="004D0F8D" w14:paraId="17967724" w14:textId="77777777">
      <w:pPr>
        <w:rPr>
          <w:rFonts w:ascii="Times New Roman" w:hAnsi="Times New Roman"/>
          <w:bCs/>
        </w:rPr>
      </w:pPr>
    </w:p>
    <w:p w:rsidRPr="00F51289" w:rsidR="006C3B2E" w:rsidP="00F51289" w:rsidRDefault="006C3B2E" w14:paraId="02655103" w14:textId="77777777">
      <w:pPr>
        <w:numPr>
          <w:ilvl w:val="0"/>
          <w:numId w:val="1"/>
        </w:numPr>
        <w:ind w:hanging="720"/>
        <w:rPr>
          <w:rFonts w:ascii="Times New Roman" w:hAnsi="Times New Roman"/>
          <w:bCs/>
          <w:u w:val="single"/>
        </w:rPr>
      </w:pPr>
      <w:r w:rsidRPr="00F51289">
        <w:rPr>
          <w:rFonts w:ascii="Times New Roman" w:hAnsi="Times New Roman"/>
          <w:bCs/>
          <w:u w:val="single"/>
        </w:rPr>
        <w:t>JUSTIFICATION OF SENSITIVE QUESTIONS</w:t>
      </w:r>
      <w:bookmarkStart w:name="_GoBack" w:id="0"/>
      <w:bookmarkEnd w:id="0"/>
    </w:p>
    <w:p w:rsidRPr="00F51289" w:rsidR="006C3B2E" w:rsidP="00F51289" w:rsidRDefault="006C3B2E" w14:paraId="03E184A9" w14:textId="77777777">
      <w:pPr>
        <w:rPr>
          <w:rFonts w:ascii="Times New Roman" w:hAnsi="Times New Roman"/>
          <w:bCs/>
          <w:u w:val="single"/>
        </w:rPr>
      </w:pPr>
    </w:p>
    <w:p w:rsidRPr="009A0174" w:rsidR="009A0174" w:rsidP="00A20C18" w:rsidRDefault="00A20C18" w14:paraId="7DAAED15" w14:textId="6F1F9D53">
      <w:pPr>
        <w:widowControl/>
        <w:ind w:left="720"/>
        <w:rPr>
          <w:rFonts w:ascii="Times New Roman" w:hAnsi="Times New Roman"/>
        </w:rPr>
      </w:pPr>
      <w:r>
        <w:rPr>
          <w:rFonts w:ascii="Times New Roman" w:hAnsi="Times New Roman"/>
        </w:rPr>
        <w:t>The</w:t>
      </w:r>
      <w:r w:rsidRPr="009A0174">
        <w:rPr>
          <w:rFonts w:ascii="Times New Roman" w:hAnsi="Times New Roman"/>
        </w:rPr>
        <w:t xml:space="preserve"> personally identifiable information (PII) </w:t>
      </w:r>
      <w:r>
        <w:rPr>
          <w:rFonts w:ascii="Times New Roman" w:hAnsi="Times New Roman"/>
        </w:rPr>
        <w:t xml:space="preserve">for T.D. 8612 </w:t>
      </w:r>
      <w:r w:rsidRPr="009A0174">
        <w:rPr>
          <w:rFonts w:ascii="Times New Roman" w:hAnsi="Times New Roman"/>
        </w:rPr>
        <w:t xml:space="preserve">is </w:t>
      </w:r>
      <w:r>
        <w:rPr>
          <w:rFonts w:ascii="Times New Roman" w:hAnsi="Times New Roman"/>
        </w:rPr>
        <w:t>captured on forms 706</w:t>
      </w:r>
      <w:r w:rsidR="00885322">
        <w:rPr>
          <w:rFonts w:ascii="Times New Roman" w:hAnsi="Times New Roman"/>
        </w:rPr>
        <w:t xml:space="preserve"> (OMB Control Number 1545-0015)</w:t>
      </w:r>
      <w:r>
        <w:rPr>
          <w:rFonts w:ascii="Times New Roman" w:hAnsi="Times New Roman"/>
        </w:rPr>
        <w:t xml:space="preserve"> and 706-QDT</w:t>
      </w:r>
      <w:r w:rsidR="00885322">
        <w:rPr>
          <w:rFonts w:ascii="Times New Roman" w:hAnsi="Times New Roman"/>
        </w:rPr>
        <w:t xml:space="preserve"> (OMB Control Number 1545-1212)</w:t>
      </w:r>
    </w:p>
    <w:p w:rsidRPr="00F51289" w:rsidR="006C3B2E" w:rsidP="00F51289" w:rsidRDefault="006C3B2E" w14:paraId="21563D7A" w14:textId="77777777">
      <w:pPr>
        <w:rPr>
          <w:rFonts w:ascii="Times New Roman" w:hAnsi="Times New Roman"/>
          <w:bCs/>
        </w:rPr>
      </w:pPr>
    </w:p>
    <w:p w:rsidRPr="00F51289" w:rsidR="006C3B2E" w:rsidP="00F51289" w:rsidRDefault="006C3B2E" w14:paraId="04812972" w14:textId="77777777">
      <w:pPr>
        <w:numPr>
          <w:ilvl w:val="0"/>
          <w:numId w:val="1"/>
        </w:numPr>
        <w:ind w:hanging="720"/>
        <w:rPr>
          <w:rFonts w:ascii="Times New Roman" w:hAnsi="Times New Roman"/>
          <w:bCs/>
          <w:u w:val="single"/>
        </w:rPr>
      </w:pPr>
      <w:r w:rsidRPr="00F51289">
        <w:rPr>
          <w:rFonts w:ascii="Times New Roman" w:hAnsi="Times New Roman"/>
          <w:bCs/>
          <w:u w:val="single"/>
        </w:rPr>
        <w:lastRenderedPageBreak/>
        <w:t>ESTIMATED BURDEN OF INFORMATION COLLECTION</w:t>
      </w:r>
    </w:p>
    <w:p w:rsidRPr="00F51289" w:rsidR="006C3B2E" w:rsidP="00F51289" w:rsidRDefault="006C3B2E" w14:paraId="6A1FAFC3" w14:textId="77777777">
      <w:pPr>
        <w:rPr>
          <w:rFonts w:ascii="Times New Roman" w:hAnsi="Times New Roman"/>
          <w:bCs/>
          <w:u w:val="single"/>
        </w:rPr>
      </w:pPr>
    </w:p>
    <w:p w:rsidRPr="00F51289" w:rsidR="006C3B2E" w:rsidP="00F51289" w:rsidRDefault="006C3B2E" w14:paraId="5CA6B244" w14:textId="77777777">
      <w:pPr>
        <w:ind w:left="720"/>
        <w:rPr>
          <w:rFonts w:ascii="Times New Roman" w:hAnsi="Times New Roman"/>
          <w:bCs/>
        </w:rPr>
      </w:pPr>
      <w:r w:rsidRPr="00F51289">
        <w:rPr>
          <w:rFonts w:ascii="Times New Roman" w:hAnsi="Times New Roman"/>
          <w:bCs/>
        </w:rPr>
        <w:t>Section 2056(d) and section 2056A provide for the making of an election on the federal estate tax return (Form 706) to treat a trust as a qualified domestic trust (QDOT) in cases where a decedent is survived by a spouse who is not a citizen of the United States, so that the decedent's estate will be entitled to a marital deduction.  Any subsequent distributions of principal from the QDOT are subject to an additional estate tax under section 2056A(b) and must be reported on an annual basis on Form 706QDT.  The election, as described in section 20.2056A</w:t>
      </w:r>
      <w:r w:rsidRPr="00F51289">
        <w:rPr>
          <w:rFonts w:ascii="Times New Roman" w:hAnsi="Times New Roman"/>
          <w:bCs/>
        </w:rPr>
        <w:noBreakHyphen/>
        <w:t>3 of the final regulations is made on Form 706. The burden for this requirement is reflected in the burden of Form 706.</w:t>
      </w:r>
    </w:p>
    <w:p w:rsidRPr="000D3A94" w:rsidR="006C3B2E" w:rsidP="00F51289" w:rsidRDefault="006C3B2E" w14:paraId="0211C029" w14:textId="77777777">
      <w:pPr>
        <w:ind w:left="720"/>
        <w:rPr>
          <w:rFonts w:ascii="Times New Roman" w:hAnsi="Times New Roman"/>
          <w:bCs/>
        </w:rPr>
      </w:pPr>
      <w:r w:rsidRPr="00F51289">
        <w:rPr>
          <w:rFonts w:ascii="Times New Roman" w:hAnsi="Times New Roman"/>
          <w:bCs/>
        </w:rPr>
        <w:t>Section 20.2056A</w:t>
      </w:r>
      <w:r w:rsidRPr="00F51289">
        <w:rPr>
          <w:rFonts w:ascii="Times New Roman" w:hAnsi="Times New Roman"/>
          <w:bCs/>
        </w:rPr>
        <w:noBreakHyphen/>
        <w:t>4(c) of the final regulations provides a rule that allows taxpayers to treat a non</w:t>
      </w:r>
      <w:r w:rsidR="00023D5B">
        <w:rPr>
          <w:rFonts w:ascii="Times New Roman" w:hAnsi="Times New Roman"/>
          <w:bCs/>
        </w:rPr>
        <w:t>-</w:t>
      </w:r>
      <w:r w:rsidRPr="00023D5B">
        <w:rPr>
          <w:rFonts w:ascii="Times New Roman" w:hAnsi="Times New Roman"/>
          <w:bCs/>
        </w:rPr>
        <w:t>assignable annuity or other arrangemen</w:t>
      </w:r>
      <w:r w:rsidRPr="000D3A94">
        <w:rPr>
          <w:rFonts w:ascii="Times New Roman" w:hAnsi="Times New Roman"/>
          <w:bCs/>
        </w:rPr>
        <w:t xml:space="preserve">t as property passing in the form of a QDOT.  Taxpayers may choose one of two options, each of which requires the filing of an Information Statement and an Agreement to either remit the additional estate tax on the corpus portion or to roll over the corpus portion of each annuity payment to a QDOT.  We estimate that approximately 2,000 taxpayers will be </w:t>
      </w:r>
      <w:proofErr w:type="gramStart"/>
      <w:r w:rsidRPr="000D3A94">
        <w:rPr>
          <w:rFonts w:ascii="Times New Roman" w:hAnsi="Times New Roman"/>
          <w:bCs/>
        </w:rPr>
        <w:t>affected</w:t>
      </w:r>
      <w:proofErr w:type="gramEnd"/>
      <w:r w:rsidRPr="000D3A94">
        <w:rPr>
          <w:rFonts w:ascii="Times New Roman" w:hAnsi="Times New Roman"/>
          <w:bCs/>
        </w:rPr>
        <w:t xml:space="preserve"> and it will take approximately 3 hours to prepare this information.  The estimated total burden for this requirement is 6,000 hours.</w:t>
      </w:r>
    </w:p>
    <w:p w:rsidRPr="000D3A94" w:rsidR="006C3B2E" w:rsidP="00F51289" w:rsidRDefault="006C3B2E" w14:paraId="7E05961E" w14:textId="77777777">
      <w:pPr>
        <w:rPr>
          <w:rFonts w:ascii="Times New Roman" w:hAnsi="Times New Roman"/>
          <w:bCs/>
        </w:rPr>
      </w:pPr>
    </w:p>
    <w:p w:rsidRPr="00F51289" w:rsidR="006C3B2E" w:rsidP="00F51289" w:rsidRDefault="006C3B2E" w14:paraId="375D0A11" w14:textId="77777777">
      <w:pPr>
        <w:ind w:left="720"/>
        <w:rPr>
          <w:rFonts w:ascii="Times New Roman" w:hAnsi="Times New Roman"/>
          <w:bCs/>
        </w:rPr>
      </w:pPr>
      <w:r w:rsidRPr="00F51289">
        <w:rPr>
          <w:rFonts w:ascii="Times New Roman" w:hAnsi="Times New Roman"/>
          <w:bCs/>
        </w:rPr>
        <w:t>Sections 20.2056A</w:t>
      </w:r>
      <w:r w:rsidRPr="00F51289">
        <w:rPr>
          <w:rFonts w:ascii="Times New Roman" w:hAnsi="Times New Roman"/>
          <w:bCs/>
        </w:rPr>
        <w:noBreakHyphen/>
        <w:t>l0(a) and (b) of the final regulations provide that the additional estate tax is no longer imposed if the surviving spouse becomes a citizen of the United States after a QDOT has been established.  If certain conditions are met, the trustee must certify in writing that the surviving spouse has become a citizen.  Notice is made by filing a final Form 706QDT.  If other conditions exist, upon becoming a citizen the surviving spouse must make certain elections in order for the imposition of the additional estate tax to be suspended. We estimate that approximately 150 taxpayers will be affected with respect to paragraph (a) and l50 taxpayers with respect to paragraph (b) and it will take approximately 30 minutes to prepare this information in both cases. The estimated total burden for these requirements is l50 hours.</w:t>
      </w:r>
    </w:p>
    <w:p w:rsidRPr="00F51289" w:rsidR="00167E2B" w:rsidP="00F51289" w:rsidRDefault="00167E2B" w14:paraId="075800D3" w14:textId="77777777">
      <w:pPr>
        <w:ind w:left="720"/>
        <w:rPr>
          <w:rFonts w:ascii="Times New Roman" w:hAnsi="Times New Roman"/>
          <w:bCs/>
        </w:rPr>
      </w:pPr>
    </w:p>
    <w:p w:rsidR="00167E2B" w:rsidP="00F51289" w:rsidRDefault="00167E2B" w14:paraId="56245F8A" w14:textId="77777777">
      <w:pPr>
        <w:ind w:left="720"/>
        <w:rPr>
          <w:rFonts w:ascii="Times New Roman" w:hAnsi="Times New Roman"/>
          <w:bCs/>
        </w:rPr>
      </w:pPr>
      <w:r w:rsidRPr="00F51289">
        <w:rPr>
          <w:rFonts w:ascii="Times New Roman" w:hAnsi="Times New Roman"/>
          <w:bCs/>
        </w:rPr>
        <w:t>Total annual responses under this information collection request are 2,300</w:t>
      </w:r>
      <w:r w:rsidR="00316E06">
        <w:rPr>
          <w:rFonts w:ascii="Times New Roman" w:hAnsi="Times New Roman"/>
          <w:bCs/>
        </w:rPr>
        <w:t xml:space="preserve"> responses</w:t>
      </w:r>
      <w:r w:rsidRPr="00F51289">
        <w:rPr>
          <w:rFonts w:ascii="Times New Roman" w:hAnsi="Times New Roman"/>
          <w:bCs/>
        </w:rPr>
        <w:t xml:space="preserve"> and the total burden is 6,150 hours.</w:t>
      </w:r>
    </w:p>
    <w:p w:rsidR="00316E06" w:rsidP="00F51289" w:rsidRDefault="00316E06" w14:paraId="4C721683" w14:textId="77777777">
      <w:pPr>
        <w:ind w:left="720"/>
        <w:rPr>
          <w:rFonts w:ascii="Times New Roman" w:hAnsi="Times New Roman"/>
          <w:bCs/>
        </w:rPr>
      </w:pPr>
    </w:p>
    <w:tbl>
      <w:tblPr>
        <w:tblW w:w="1010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518"/>
        <w:gridCol w:w="1463"/>
        <w:gridCol w:w="1354"/>
        <w:gridCol w:w="1266"/>
        <w:gridCol w:w="1162"/>
        <w:gridCol w:w="999"/>
      </w:tblGrid>
      <w:tr w:rsidRPr="00DF35C6" w:rsidR="00316E06" w:rsidTr="004940E4" w14:paraId="7FCA0F48" w14:textId="77777777">
        <w:tc>
          <w:tcPr>
            <w:tcW w:w="2340" w:type="dxa"/>
            <w:tcBorders>
              <w:top w:val="single" w:color="auto" w:sz="4" w:space="0"/>
              <w:left w:val="single" w:color="auto" w:sz="4" w:space="0"/>
              <w:bottom w:val="single" w:color="auto" w:sz="4" w:space="0"/>
              <w:right w:val="single" w:color="auto" w:sz="4" w:space="0"/>
            </w:tcBorders>
            <w:vAlign w:val="bottom"/>
            <w:hideMark/>
          </w:tcPr>
          <w:p w:rsidRPr="00DF35C6" w:rsidR="00316E06" w:rsidP="00032950" w:rsidRDefault="00316E06" w14:paraId="4FD67036" w14:textId="77777777">
            <w:pPr>
              <w:keepNext/>
              <w:keepLines/>
              <w:numPr>
                <w:ilvl w:val="12"/>
                <w:numId w:val="0"/>
              </w:numPr>
              <w:jc w:val="center"/>
              <w:rPr>
                <w:rFonts w:ascii="Arial Narrow" w:hAnsi="Arial Narrow"/>
                <w:b/>
              </w:rPr>
            </w:pPr>
            <w:r w:rsidRPr="00DF35C6">
              <w:rPr>
                <w:rFonts w:ascii="Arial Narrow" w:hAnsi="Arial Narrow"/>
                <w:b/>
              </w:rPr>
              <w:t>Authority</w:t>
            </w:r>
          </w:p>
        </w:tc>
        <w:tc>
          <w:tcPr>
            <w:tcW w:w="1518" w:type="dxa"/>
            <w:tcBorders>
              <w:top w:val="single" w:color="auto" w:sz="4" w:space="0"/>
              <w:left w:val="single" w:color="auto" w:sz="4" w:space="0"/>
              <w:bottom w:val="single" w:color="auto" w:sz="4" w:space="0"/>
              <w:right w:val="single" w:color="auto" w:sz="4" w:space="0"/>
            </w:tcBorders>
            <w:vAlign w:val="bottom"/>
            <w:hideMark/>
          </w:tcPr>
          <w:p w:rsidRPr="00DF35C6" w:rsidR="00316E06" w:rsidP="00032950" w:rsidRDefault="00316E06" w14:paraId="709BB28A" w14:textId="77777777">
            <w:pPr>
              <w:keepNext/>
              <w:keepLines/>
              <w:numPr>
                <w:ilvl w:val="12"/>
                <w:numId w:val="0"/>
              </w:numPr>
              <w:jc w:val="center"/>
              <w:rPr>
                <w:rFonts w:ascii="Arial Narrow" w:hAnsi="Arial Narrow"/>
                <w:b/>
              </w:rPr>
            </w:pPr>
            <w:r w:rsidRPr="00DF35C6">
              <w:rPr>
                <w:rFonts w:ascii="Arial Narrow" w:hAnsi="Arial Narrow"/>
                <w:b/>
              </w:rPr>
              <w:t>Description</w:t>
            </w:r>
          </w:p>
        </w:tc>
        <w:tc>
          <w:tcPr>
            <w:tcW w:w="1463" w:type="dxa"/>
            <w:tcBorders>
              <w:top w:val="single" w:color="auto" w:sz="4" w:space="0"/>
              <w:left w:val="single" w:color="auto" w:sz="4" w:space="0"/>
              <w:bottom w:val="single" w:color="auto" w:sz="4" w:space="0"/>
              <w:right w:val="single" w:color="auto" w:sz="4" w:space="0"/>
            </w:tcBorders>
            <w:vAlign w:val="bottom"/>
            <w:hideMark/>
          </w:tcPr>
          <w:p w:rsidRPr="00DF35C6" w:rsidR="00316E06" w:rsidP="00032950" w:rsidRDefault="00316E06" w14:paraId="201D39B1" w14:textId="77777777">
            <w:pPr>
              <w:keepNext/>
              <w:keepLines/>
              <w:numPr>
                <w:ilvl w:val="12"/>
                <w:numId w:val="0"/>
              </w:numPr>
              <w:jc w:val="center"/>
              <w:rPr>
                <w:rFonts w:ascii="Arial Narrow" w:hAnsi="Arial Narrow"/>
                <w:b/>
              </w:rPr>
            </w:pPr>
            <w:r w:rsidRPr="00DF35C6">
              <w:rPr>
                <w:rFonts w:ascii="Arial Narrow" w:hAnsi="Arial Narrow"/>
                <w:b/>
              </w:rPr>
              <w:t># of Respondents</w:t>
            </w:r>
          </w:p>
        </w:tc>
        <w:tc>
          <w:tcPr>
            <w:tcW w:w="1354" w:type="dxa"/>
            <w:tcBorders>
              <w:top w:val="single" w:color="auto" w:sz="4" w:space="0"/>
              <w:left w:val="single" w:color="auto" w:sz="4" w:space="0"/>
              <w:bottom w:val="single" w:color="auto" w:sz="4" w:space="0"/>
              <w:right w:val="single" w:color="auto" w:sz="4" w:space="0"/>
            </w:tcBorders>
            <w:vAlign w:val="bottom"/>
            <w:hideMark/>
          </w:tcPr>
          <w:p w:rsidRPr="00DF35C6" w:rsidR="00316E06" w:rsidP="00032950" w:rsidRDefault="00316E06" w14:paraId="1C3B01F6" w14:textId="77777777">
            <w:pPr>
              <w:keepNext/>
              <w:keepLines/>
              <w:numPr>
                <w:ilvl w:val="12"/>
                <w:numId w:val="0"/>
              </w:numPr>
              <w:jc w:val="center"/>
              <w:rPr>
                <w:rFonts w:ascii="Arial Narrow" w:hAnsi="Arial Narrow"/>
                <w:b/>
              </w:rPr>
            </w:pPr>
            <w:r w:rsidRPr="00DF35C6">
              <w:rPr>
                <w:rFonts w:ascii="Arial Narrow" w:hAnsi="Arial Narrow"/>
                <w:b/>
              </w:rPr>
              <w:t># Responses per Respondent</w:t>
            </w:r>
          </w:p>
        </w:tc>
        <w:tc>
          <w:tcPr>
            <w:tcW w:w="1266" w:type="dxa"/>
            <w:tcBorders>
              <w:top w:val="single" w:color="auto" w:sz="4" w:space="0"/>
              <w:left w:val="single" w:color="auto" w:sz="4" w:space="0"/>
              <w:bottom w:val="single" w:color="auto" w:sz="4" w:space="0"/>
              <w:right w:val="single" w:color="auto" w:sz="4" w:space="0"/>
            </w:tcBorders>
            <w:vAlign w:val="bottom"/>
            <w:hideMark/>
          </w:tcPr>
          <w:p w:rsidRPr="00DF35C6" w:rsidR="00316E06" w:rsidP="00032950" w:rsidRDefault="00316E06" w14:paraId="1EC6F8DC" w14:textId="77777777">
            <w:pPr>
              <w:keepNext/>
              <w:keepLines/>
              <w:numPr>
                <w:ilvl w:val="12"/>
                <w:numId w:val="0"/>
              </w:numPr>
              <w:jc w:val="center"/>
              <w:rPr>
                <w:rFonts w:ascii="Arial Narrow" w:hAnsi="Arial Narrow"/>
                <w:b/>
              </w:rPr>
            </w:pPr>
            <w:r w:rsidRPr="00DF35C6">
              <w:rPr>
                <w:rFonts w:ascii="Arial Narrow" w:hAnsi="Arial Narrow"/>
                <w:b/>
              </w:rPr>
              <w:t>Annual Responses</w:t>
            </w:r>
          </w:p>
        </w:tc>
        <w:tc>
          <w:tcPr>
            <w:tcW w:w="1162" w:type="dxa"/>
            <w:tcBorders>
              <w:top w:val="single" w:color="auto" w:sz="4" w:space="0"/>
              <w:left w:val="single" w:color="auto" w:sz="4" w:space="0"/>
              <w:bottom w:val="single" w:color="auto" w:sz="4" w:space="0"/>
              <w:right w:val="single" w:color="auto" w:sz="4" w:space="0"/>
            </w:tcBorders>
            <w:vAlign w:val="bottom"/>
            <w:hideMark/>
          </w:tcPr>
          <w:p w:rsidR="00316E06" w:rsidP="00032950" w:rsidRDefault="00316E06" w14:paraId="5245D621" w14:textId="77777777">
            <w:pPr>
              <w:keepNext/>
              <w:keepLines/>
              <w:numPr>
                <w:ilvl w:val="12"/>
                <w:numId w:val="0"/>
              </w:numPr>
              <w:jc w:val="center"/>
              <w:rPr>
                <w:rFonts w:ascii="Arial Narrow" w:hAnsi="Arial Narrow"/>
                <w:b/>
              </w:rPr>
            </w:pPr>
            <w:r>
              <w:rPr>
                <w:rFonts w:ascii="Arial Narrow" w:hAnsi="Arial Narrow"/>
                <w:b/>
              </w:rPr>
              <w:t>Average</w:t>
            </w:r>
          </w:p>
          <w:p w:rsidRPr="00DF35C6" w:rsidR="00316E06" w:rsidP="00032950" w:rsidRDefault="00316E06" w14:paraId="5C349165" w14:textId="77777777">
            <w:pPr>
              <w:keepNext/>
              <w:keepLines/>
              <w:numPr>
                <w:ilvl w:val="12"/>
                <w:numId w:val="0"/>
              </w:numPr>
              <w:jc w:val="center"/>
              <w:rPr>
                <w:rFonts w:ascii="Arial Narrow" w:hAnsi="Arial Narrow"/>
                <w:b/>
              </w:rPr>
            </w:pPr>
            <w:r w:rsidRPr="00DF35C6">
              <w:rPr>
                <w:rFonts w:ascii="Arial Narrow" w:hAnsi="Arial Narrow"/>
                <w:b/>
              </w:rPr>
              <w:t>Hours per Response</w:t>
            </w:r>
          </w:p>
        </w:tc>
        <w:tc>
          <w:tcPr>
            <w:tcW w:w="999" w:type="dxa"/>
            <w:tcBorders>
              <w:top w:val="single" w:color="auto" w:sz="4" w:space="0"/>
              <w:left w:val="single" w:color="auto" w:sz="4" w:space="0"/>
              <w:bottom w:val="single" w:color="auto" w:sz="4" w:space="0"/>
              <w:right w:val="single" w:color="auto" w:sz="4" w:space="0"/>
            </w:tcBorders>
            <w:vAlign w:val="bottom"/>
            <w:hideMark/>
          </w:tcPr>
          <w:p w:rsidRPr="00DF35C6" w:rsidR="00316E06" w:rsidP="00032950" w:rsidRDefault="00316E06" w14:paraId="67BAAEA0" w14:textId="77777777">
            <w:pPr>
              <w:keepNext/>
              <w:keepLines/>
              <w:numPr>
                <w:ilvl w:val="12"/>
                <w:numId w:val="0"/>
              </w:numPr>
              <w:jc w:val="center"/>
              <w:rPr>
                <w:rFonts w:ascii="Arial Narrow" w:hAnsi="Arial Narrow"/>
                <w:b/>
              </w:rPr>
            </w:pPr>
            <w:r w:rsidRPr="00DF35C6">
              <w:rPr>
                <w:rFonts w:ascii="Arial Narrow" w:hAnsi="Arial Narrow"/>
                <w:b/>
              </w:rPr>
              <w:t>Total Burden</w:t>
            </w:r>
          </w:p>
        </w:tc>
      </w:tr>
      <w:tr w:rsidRPr="00DF35C6" w:rsidR="00316E06" w:rsidTr="004940E4" w14:paraId="613AEC90" w14:textId="77777777">
        <w:trPr>
          <w:trHeight w:val="476"/>
        </w:trPr>
        <w:tc>
          <w:tcPr>
            <w:tcW w:w="2340" w:type="dxa"/>
            <w:tcBorders>
              <w:top w:val="single" w:color="auto" w:sz="4" w:space="0"/>
              <w:left w:val="single" w:color="auto" w:sz="4" w:space="0"/>
              <w:bottom w:val="single" w:color="auto" w:sz="4" w:space="0"/>
              <w:right w:val="single" w:color="auto" w:sz="4" w:space="0"/>
            </w:tcBorders>
            <w:vAlign w:val="bottom"/>
          </w:tcPr>
          <w:p w:rsidRPr="00DF35C6" w:rsidR="0076331C" w:rsidP="004940E4" w:rsidRDefault="0076331C" w14:paraId="05B93139" w14:textId="77777777">
            <w:pPr>
              <w:keepNext/>
              <w:keepLines/>
              <w:numPr>
                <w:ilvl w:val="12"/>
                <w:numId w:val="0"/>
              </w:numPr>
              <w:jc w:val="center"/>
              <w:rPr>
                <w:rFonts w:ascii="Arial Narrow" w:hAnsi="Arial Narrow"/>
              </w:rPr>
            </w:pPr>
            <w:r>
              <w:rPr>
                <w:rFonts w:ascii="Arial Narrow" w:hAnsi="Arial Narrow"/>
              </w:rPr>
              <w:t xml:space="preserve">20.2056A-4(c) </w:t>
            </w:r>
          </w:p>
        </w:tc>
        <w:tc>
          <w:tcPr>
            <w:tcW w:w="1518" w:type="dxa"/>
            <w:tcBorders>
              <w:top w:val="single" w:color="auto" w:sz="4" w:space="0"/>
              <w:left w:val="single" w:color="auto" w:sz="4" w:space="0"/>
              <w:bottom w:val="single" w:color="auto" w:sz="4" w:space="0"/>
              <w:right w:val="single" w:color="auto" w:sz="4" w:space="0"/>
            </w:tcBorders>
            <w:vAlign w:val="bottom"/>
          </w:tcPr>
          <w:p w:rsidRPr="00DF35C6" w:rsidR="00316E06" w:rsidP="00032950" w:rsidRDefault="00316E06" w14:paraId="2CA2191F" w14:textId="77777777">
            <w:pPr>
              <w:keepNext/>
              <w:keepLines/>
              <w:numPr>
                <w:ilvl w:val="12"/>
                <w:numId w:val="0"/>
              </w:numPr>
              <w:jc w:val="center"/>
              <w:rPr>
                <w:rFonts w:ascii="Arial Narrow" w:hAnsi="Arial Narrow"/>
              </w:rPr>
            </w:pPr>
            <w:r>
              <w:rPr>
                <w:rFonts w:ascii="Arial Narrow" w:hAnsi="Arial Narrow"/>
              </w:rPr>
              <w:t>T</w:t>
            </w:r>
            <w:r w:rsidRPr="0076331C">
              <w:rPr>
                <w:rFonts w:ascii="Arial Narrow" w:hAnsi="Arial Narrow"/>
                <w:i/>
              </w:rPr>
              <w:t>.</w:t>
            </w:r>
            <w:r>
              <w:rPr>
                <w:rFonts w:ascii="Arial Narrow" w:hAnsi="Arial Narrow"/>
              </w:rPr>
              <w:t xml:space="preserve"> D. 8612 </w:t>
            </w:r>
          </w:p>
        </w:tc>
        <w:tc>
          <w:tcPr>
            <w:tcW w:w="1463" w:type="dxa"/>
            <w:tcBorders>
              <w:top w:val="single" w:color="auto" w:sz="4" w:space="0"/>
              <w:left w:val="single" w:color="auto" w:sz="4" w:space="0"/>
              <w:bottom w:val="single" w:color="auto" w:sz="4" w:space="0"/>
              <w:right w:val="single" w:color="auto" w:sz="4" w:space="0"/>
            </w:tcBorders>
            <w:vAlign w:val="bottom"/>
          </w:tcPr>
          <w:p w:rsidRPr="00DF35C6" w:rsidR="00316E06" w:rsidP="009A0174" w:rsidRDefault="00316E06" w14:paraId="61AA83B1" w14:textId="77777777">
            <w:pPr>
              <w:keepNext/>
              <w:keepLines/>
              <w:numPr>
                <w:ilvl w:val="12"/>
                <w:numId w:val="0"/>
              </w:numPr>
              <w:jc w:val="center"/>
              <w:rPr>
                <w:rFonts w:ascii="Arial Narrow" w:hAnsi="Arial Narrow"/>
              </w:rPr>
            </w:pPr>
            <w:r>
              <w:rPr>
                <w:rFonts w:ascii="Arial Narrow" w:hAnsi="Arial Narrow"/>
              </w:rPr>
              <w:t>2</w:t>
            </w:r>
            <w:r w:rsidR="009A0174">
              <w:rPr>
                <w:rFonts w:ascii="Arial Narrow" w:hAnsi="Arial Narrow"/>
              </w:rPr>
              <w:t>0</w:t>
            </w:r>
            <w:r>
              <w:rPr>
                <w:rFonts w:ascii="Arial Narrow" w:hAnsi="Arial Narrow"/>
              </w:rPr>
              <w:t>00</w:t>
            </w:r>
          </w:p>
        </w:tc>
        <w:tc>
          <w:tcPr>
            <w:tcW w:w="1354" w:type="dxa"/>
            <w:tcBorders>
              <w:top w:val="single" w:color="auto" w:sz="4" w:space="0"/>
              <w:left w:val="single" w:color="auto" w:sz="4" w:space="0"/>
              <w:bottom w:val="single" w:color="auto" w:sz="4" w:space="0"/>
              <w:right w:val="single" w:color="auto" w:sz="4" w:space="0"/>
            </w:tcBorders>
            <w:vAlign w:val="bottom"/>
          </w:tcPr>
          <w:p w:rsidRPr="00DF35C6" w:rsidR="00316E06" w:rsidP="00032950" w:rsidRDefault="00316E06" w14:paraId="658AF770" w14:textId="77777777">
            <w:pPr>
              <w:keepNext/>
              <w:keepLines/>
              <w:numPr>
                <w:ilvl w:val="12"/>
                <w:numId w:val="0"/>
              </w:numPr>
              <w:jc w:val="center"/>
              <w:rPr>
                <w:rFonts w:ascii="Arial Narrow" w:hAnsi="Arial Narrow"/>
              </w:rPr>
            </w:pPr>
            <w:r>
              <w:rPr>
                <w:rFonts w:ascii="Arial Narrow" w:hAnsi="Arial Narrow"/>
              </w:rPr>
              <w:t>1</w:t>
            </w:r>
          </w:p>
        </w:tc>
        <w:tc>
          <w:tcPr>
            <w:tcW w:w="1266" w:type="dxa"/>
            <w:tcBorders>
              <w:top w:val="single" w:color="auto" w:sz="4" w:space="0"/>
              <w:left w:val="single" w:color="auto" w:sz="4" w:space="0"/>
              <w:bottom w:val="single" w:color="auto" w:sz="4" w:space="0"/>
              <w:right w:val="single" w:color="auto" w:sz="4" w:space="0"/>
            </w:tcBorders>
            <w:vAlign w:val="bottom"/>
          </w:tcPr>
          <w:p w:rsidRPr="00DF35C6" w:rsidR="00316E06" w:rsidP="009A0174" w:rsidRDefault="00316E06" w14:paraId="1F43713C" w14:textId="77777777">
            <w:pPr>
              <w:keepNext/>
              <w:keepLines/>
              <w:numPr>
                <w:ilvl w:val="12"/>
                <w:numId w:val="0"/>
              </w:numPr>
              <w:jc w:val="center"/>
              <w:rPr>
                <w:rFonts w:ascii="Arial Narrow" w:hAnsi="Arial Narrow"/>
              </w:rPr>
            </w:pPr>
            <w:r>
              <w:rPr>
                <w:rFonts w:ascii="Arial Narrow" w:hAnsi="Arial Narrow"/>
              </w:rPr>
              <w:t>2</w:t>
            </w:r>
            <w:r w:rsidR="009A0174">
              <w:rPr>
                <w:rFonts w:ascii="Arial Narrow" w:hAnsi="Arial Narrow"/>
              </w:rPr>
              <w:t>0</w:t>
            </w:r>
            <w:r>
              <w:rPr>
                <w:rFonts w:ascii="Arial Narrow" w:hAnsi="Arial Narrow"/>
              </w:rPr>
              <w:t>00</w:t>
            </w:r>
          </w:p>
        </w:tc>
        <w:tc>
          <w:tcPr>
            <w:tcW w:w="1162" w:type="dxa"/>
            <w:tcBorders>
              <w:top w:val="single" w:color="auto" w:sz="4" w:space="0"/>
              <w:left w:val="single" w:color="auto" w:sz="4" w:space="0"/>
              <w:bottom w:val="single" w:color="auto" w:sz="4" w:space="0"/>
              <w:right w:val="single" w:color="auto" w:sz="4" w:space="0"/>
            </w:tcBorders>
            <w:vAlign w:val="bottom"/>
          </w:tcPr>
          <w:p w:rsidRPr="00DF35C6" w:rsidR="00316E06" w:rsidP="004940E4" w:rsidRDefault="009A0174" w14:paraId="795BD3B3" w14:textId="77777777">
            <w:pPr>
              <w:keepNext/>
              <w:keepLines/>
              <w:numPr>
                <w:ilvl w:val="12"/>
                <w:numId w:val="0"/>
              </w:numPr>
              <w:jc w:val="center"/>
              <w:rPr>
                <w:rFonts w:ascii="Arial Narrow" w:hAnsi="Arial Narrow"/>
              </w:rPr>
            </w:pPr>
            <w:r>
              <w:rPr>
                <w:rFonts w:ascii="Arial Narrow" w:hAnsi="Arial Narrow"/>
              </w:rPr>
              <w:t>3</w:t>
            </w:r>
          </w:p>
        </w:tc>
        <w:tc>
          <w:tcPr>
            <w:tcW w:w="999" w:type="dxa"/>
            <w:tcBorders>
              <w:top w:val="single" w:color="auto" w:sz="4" w:space="0"/>
              <w:left w:val="single" w:color="auto" w:sz="4" w:space="0"/>
              <w:bottom w:val="single" w:color="auto" w:sz="4" w:space="0"/>
              <w:right w:val="single" w:color="auto" w:sz="4" w:space="0"/>
            </w:tcBorders>
            <w:vAlign w:val="bottom"/>
          </w:tcPr>
          <w:p w:rsidRPr="00DF35C6" w:rsidR="00316E06" w:rsidP="0076331C" w:rsidRDefault="00316E06" w14:paraId="52D5701D" w14:textId="77777777">
            <w:pPr>
              <w:keepNext/>
              <w:keepLines/>
              <w:numPr>
                <w:ilvl w:val="12"/>
                <w:numId w:val="0"/>
              </w:numPr>
              <w:jc w:val="center"/>
              <w:rPr>
                <w:rFonts w:ascii="Arial Narrow" w:hAnsi="Arial Narrow"/>
              </w:rPr>
            </w:pPr>
            <w:r>
              <w:rPr>
                <w:rFonts w:ascii="Arial Narrow" w:hAnsi="Arial Narrow"/>
              </w:rPr>
              <w:t>6</w:t>
            </w:r>
            <w:r w:rsidR="0076331C">
              <w:rPr>
                <w:rFonts w:ascii="Arial Narrow" w:hAnsi="Arial Narrow"/>
              </w:rPr>
              <w:t>000</w:t>
            </w:r>
          </w:p>
        </w:tc>
      </w:tr>
      <w:tr w:rsidRPr="00DF35C6" w:rsidR="0076331C" w:rsidTr="004940E4" w14:paraId="4211BE5E" w14:textId="77777777">
        <w:trPr>
          <w:trHeight w:val="449"/>
        </w:trPr>
        <w:tc>
          <w:tcPr>
            <w:tcW w:w="2340" w:type="dxa"/>
            <w:tcBorders>
              <w:top w:val="single" w:color="auto" w:sz="4" w:space="0"/>
              <w:left w:val="single" w:color="auto" w:sz="4" w:space="0"/>
              <w:bottom w:val="single" w:color="auto" w:sz="4" w:space="0"/>
              <w:right w:val="single" w:color="auto" w:sz="4" w:space="0"/>
            </w:tcBorders>
            <w:vAlign w:val="bottom"/>
            <w:hideMark/>
          </w:tcPr>
          <w:p w:rsidRPr="00DF35C6" w:rsidR="0076331C" w:rsidP="004940E4" w:rsidRDefault="0076331C" w14:paraId="2C923CF6" w14:textId="77777777">
            <w:pPr>
              <w:keepNext/>
              <w:keepLines/>
              <w:numPr>
                <w:ilvl w:val="12"/>
                <w:numId w:val="0"/>
              </w:numPr>
              <w:jc w:val="center"/>
              <w:rPr>
                <w:rFonts w:ascii="Arial Narrow" w:hAnsi="Arial Narrow"/>
              </w:rPr>
            </w:pPr>
            <w:r>
              <w:rPr>
                <w:rFonts w:ascii="Arial Narrow" w:hAnsi="Arial Narrow"/>
              </w:rPr>
              <w:t>20.2056A-10(a) and (b)</w:t>
            </w:r>
          </w:p>
        </w:tc>
        <w:tc>
          <w:tcPr>
            <w:tcW w:w="1518" w:type="dxa"/>
            <w:tcBorders>
              <w:top w:val="single" w:color="auto" w:sz="4" w:space="0"/>
              <w:left w:val="single" w:color="auto" w:sz="4" w:space="0"/>
              <w:bottom w:val="single" w:color="auto" w:sz="4" w:space="0"/>
              <w:right w:val="single" w:color="auto" w:sz="4" w:space="0"/>
            </w:tcBorders>
            <w:vAlign w:val="bottom"/>
          </w:tcPr>
          <w:p w:rsidRPr="00DF35C6" w:rsidR="0076331C" w:rsidP="00032950" w:rsidRDefault="0076331C" w14:paraId="01396B62" w14:textId="77777777">
            <w:pPr>
              <w:keepNext/>
              <w:keepLines/>
              <w:numPr>
                <w:ilvl w:val="12"/>
                <w:numId w:val="0"/>
              </w:numPr>
              <w:jc w:val="center"/>
              <w:rPr>
                <w:rFonts w:ascii="Arial Narrow" w:hAnsi="Arial Narrow"/>
              </w:rPr>
            </w:pPr>
            <w:r>
              <w:rPr>
                <w:rFonts w:ascii="Arial Narrow" w:hAnsi="Arial Narrow"/>
              </w:rPr>
              <w:t>T</w:t>
            </w:r>
            <w:r w:rsidRPr="0076331C">
              <w:rPr>
                <w:rFonts w:ascii="Arial Narrow" w:hAnsi="Arial Narrow"/>
                <w:i/>
              </w:rPr>
              <w:t>.</w:t>
            </w:r>
            <w:r>
              <w:rPr>
                <w:rFonts w:ascii="Arial Narrow" w:hAnsi="Arial Narrow"/>
              </w:rPr>
              <w:t xml:space="preserve"> D. 8612 </w:t>
            </w:r>
          </w:p>
        </w:tc>
        <w:tc>
          <w:tcPr>
            <w:tcW w:w="1463" w:type="dxa"/>
            <w:tcBorders>
              <w:top w:val="single" w:color="auto" w:sz="4" w:space="0"/>
              <w:left w:val="single" w:color="auto" w:sz="4" w:space="0"/>
              <w:bottom w:val="single" w:color="auto" w:sz="4" w:space="0"/>
              <w:right w:val="single" w:color="auto" w:sz="4" w:space="0"/>
            </w:tcBorders>
            <w:vAlign w:val="bottom"/>
          </w:tcPr>
          <w:p w:rsidRPr="00DF35C6" w:rsidR="0076331C" w:rsidP="00032950" w:rsidRDefault="0076331C" w14:paraId="12D9430E" w14:textId="77777777">
            <w:pPr>
              <w:keepNext/>
              <w:keepLines/>
              <w:numPr>
                <w:ilvl w:val="12"/>
                <w:numId w:val="0"/>
              </w:numPr>
              <w:jc w:val="center"/>
              <w:rPr>
                <w:rFonts w:ascii="Arial Narrow" w:hAnsi="Arial Narrow"/>
              </w:rPr>
            </w:pPr>
            <w:r>
              <w:rPr>
                <w:rFonts w:ascii="Arial Narrow" w:hAnsi="Arial Narrow"/>
              </w:rPr>
              <w:t>300</w:t>
            </w:r>
          </w:p>
        </w:tc>
        <w:tc>
          <w:tcPr>
            <w:tcW w:w="1354" w:type="dxa"/>
            <w:tcBorders>
              <w:top w:val="single" w:color="auto" w:sz="4" w:space="0"/>
              <w:left w:val="single" w:color="auto" w:sz="4" w:space="0"/>
              <w:bottom w:val="single" w:color="auto" w:sz="4" w:space="0"/>
              <w:right w:val="single" w:color="auto" w:sz="4" w:space="0"/>
            </w:tcBorders>
            <w:vAlign w:val="bottom"/>
          </w:tcPr>
          <w:p w:rsidRPr="00DF35C6" w:rsidR="0076331C" w:rsidP="00032950" w:rsidRDefault="0076331C" w14:paraId="33EE2942" w14:textId="77777777">
            <w:pPr>
              <w:keepNext/>
              <w:keepLines/>
              <w:numPr>
                <w:ilvl w:val="12"/>
                <w:numId w:val="0"/>
              </w:numPr>
              <w:jc w:val="center"/>
              <w:rPr>
                <w:rFonts w:ascii="Arial Narrow" w:hAnsi="Arial Narrow"/>
              </w:rPr>
            </w:pPr>
            <w:r>
              <w:rPr>
                <w:rFonts w:ascii="Arial Narrow" w:hAnsi="Arial Narrow"/>
              </w:rPr>
              <w:t>1</w:t>
            </w:r>
          </w:p>
        </w:tc>
        <w:tc>
          <w:tcPr>
            <w:tcW w:w="1266" w:type="dxa"/>
            <w:tcBorders>
              <w:top w:val="single" w:color="auto" w:sz="4" w:space="0"/>
              <w:left w:val="single" w:color="auto" w:sz="4" w:space="0"/>
              <w:bottom w:val="single" w:color="auto" w:sz="4" w:space="0"/>
              <w:right w:val="single" w:color="auto" w:sz="4" w:space="0"/>
            </w:tcBorders>
            <w:vAlign w:val="bottom"/>
          </w:tcPr>
          <w:p w:rsidRPr="00DF35C6" w:rsidR="0076331C" w:rsidP="00032950" w:rsidRDefault="0076331C" w14:paraId="52B19EA8" w14:textId="77777777">
            <w:pPr>
              <w:keepNext/>
              <w:keepLines/>
              <w:numPr>
                <w:ilvl w:val="12"/>
                <w:numId w:val="0"/>
              </w:numPr>
              <w:jc w:val="center"/>
              <w:rPr>
                <w:rFonts w:ascii="Arial Narrow" w:hAnsi="Arial Narrow"/>
              </w:rPr>
            </w:pPr>
            <w:r>
              <w:rPr>
                <w:rFonts w:ascii="Arial Narrow" w:hAnsi="Arial Narrow"/>
              </w:rPr>
              <w:t>300</w:t>
            </w:r>
          </w:p>
        </w:tc>
        <w:tc>
          <w:tcPr>
            <w:tcW w:w="1162" w:type="dxa"/>
            <w:tcBorders>
              <w:top w:val="single" w:color="auto" w:sz="4" w:space="0"/>
              <w:left w:val="single" w:color="auto" w:sz="4" w:space="0"/>
              <w:bottom w:val="single" w:color="auto" w:sz="4" w:space="0"/>
              <w:right w:val="single" w:color="auto" w:sz="4" w:space="0"/>
            </w:tcBorders>
            <w:vAlign w:val="bottom"/>
          </w:tcPr>
          <w:p w:rsidRPr="00DF35C6" w:rsidR="0076331C" w:rsidP="004940E4" w:rsidRDefault="004940E4" w14:paraId="032074C7" w14:textId="77777777">
            <w:pPr>
              <w:keepNext/>
              <w:keepLines/>
              <w:numPr>
                <w:ilvl w:val="12"/>
                <w:numId w:val="0"/>
              </w:numPr>
              <w:jc w:val="center"/>
              <w:rPr>
                <w:rFonts w:ascii="Arial Narrow" w:hAnsi="Arial Narrow"/>
              </w:rPr>
            </w:pPr>
            <w:r>
              <w:rPr>
                <w:rFonts w:ascii="Arial Narrow" w:hAnsi="Arial Narrow"/>
              </w:rPr>
              <w:t>.5</w:t>
            </w:r>
          </w:p>
        </w:tc>
        <w:tc>
          <w:tcPr>
            <w:tcW w:w="999" w:type="dxa"/>
            <w:tcBorders>
              <w:top w:val="single" w:color="auto" w:sz="4" w:space="0"/>
              <w:left w:val="single" w:color="auto" w:sz="4" w:space="0"/>
              <w:bottom w:val="single" w:color="auto" w:sz="4" w:space="0"/>
              <w:right w:val="single" w:color="auto" w:sz="4" w:space="0"/>
            </w:tcBorders>
            <w:vAlign w:val="bottom"/>
          </w:tcPr>
          <w:p w:rsidRPr="00DF35C6" w:rsidR="0076331C" w:rsidP="00032950" w:rsidRDefault="0076331C" w14:paraId="0F2CBB15" w14:textId="77777777">
            <w:pPr>
              <w:keepNext/>
              <w:keepLines/>
              <w:numPr>
                <w:ilvl w:val="12"/>
                <w:numId w:val="0"/>
              </w:numPr>
              <w:jc w:val="center"/>
              <w:rPr>
                <w:rFonts w:ascii="Arial Narrow" w:hAnsi="Arial Narrow"/>
              </w:rPr>
            </w:pPr>
            <w:r>
              <w:rPr>
                <w:rFonts w:ascii="Arial Narrow" w:hAnsi="Arial Narrow"/>
              </w:rPr>
              <w:t>150</w:t>
            </w:r>
          </w:p>
        </w:tc>
      </w:tr>
      <w:tr w:rsidRPr="00DF35C6" w:rsidR="0076331C" w:rsidTr="00116999" w14:paraId="77131314" w14:textId="77777777">
        <w:trPr>
          <w:trHeight w:val="440"/>
        </w:trPr>
        <w:tc>
          <w:tcPr>
            <w:tcW w:w="2340" w:type="dxa"/>
            <w:tcBorders>
              <w:top w:val="single" w:color="auto" w:sz="4" w:space="0"/>
              <w:left w:val="single" w:color="auto" w:sz="4" w:space="0"/>
              <w:bottom w:val="single" w:color="auto" w:sz="4" w:space="0"/>
              <w:right w:val="single" w:color="auto" w:sz="4" w:space="0"/>
            </w:tcBorders>
            <w:vAlign w:val="bottom"/>
          </w:tcPr>
          <w:p w:rsidR="0076331C" w:rsidP="0076331C" w:rsidRDefault="0076331C" w14:paraId="3DC0ED4C" w14:textId="77777777">
            <w:pPr>
              <w:keepNext/>
              <w:keepLines/>
              <w:numPr>
                <w:ilvl w:val="12"/>
                <w:numId w:val="0"/>
              </w:numPr>
              <w:jc w:val="center"/>
              <w:rPr>
                <w:rFonts w:ascii="Arial Narrow" w:hAnsi="Arial Narrow"/>
              </w:rPr>
            </w:pPr>
            <w:r>
              <w:rPr>
                <w:rFonts w:ascii="Arial Narrow" w:hAnsi="Arial Narrow"/>
              </w:rPr>
              <w:t>Totals</w:t>
            </w:r>
          </w:p>
        </w:tc>
        <w:tc>
          <w:tcPr>
            <w:tcW w:w="1518" w:type="dxa"/>
            <w:tcBorders>
              <w:top w:val="single" w:color="auto" w:sz="4" w:space="0"/>
              <w:left w:val="single" w:color="auto" w:sz="4" w:space="0"/>
              <w:bottom w:val="single" w:color="auto" w:sz="4" w:space="0"/>
              <w:right w:val="single" w:color="auto" w:sz="4" w:space="0"/>
            </w:tcBorders>
            <w:vAlign w:val="bottom"/>
          </w:tcPr>
          <w:p w:rsidR="0076331C" w:rsidP="00032950" w:rsidRDefault="0076331C" w14:paraId="2D5C4B96" w14:textId="77777777">
            <w:pPr>
              <w:keepNext/>
              <w:keepLines/>
              <w:numPr>
                <w:ilvl w:val="12"/>
                <w:numId w:val="0"/>
              </w:numPr>
              <w:jc w:val="center"/>
              <w:rPr>
                <w:rFonts w:ascii="Arial Narrow" w:hAnsi="Arial Narrow"/>
              </w:rPr>
            </w:pPr>
          </w:p>
        </w:tc>
        <w:tc>
          <w:tcPr>
            <w:tcW w:w="1463" w:type="dxa"/>
            <w:tcBorders>
              <w:top w:val="single" w:color="auto" w:sz="4" w:space="0"/>
              <w:left w:val="single" w:color="auto" w:sz="4" w:space="0"/>
              <w:bottom w:val="single" w:color="auto" w:sz="4" w:space="0"/>
              <w:right w:val="single" w:color="auto" w:sz="4" w:space="0"/>
            </w:tcBorders>
            <w:vAlign w:val="bottom"/>
          </w:tcPr>
          <w:p w:rsidR="0076331C" w:rsidP="00032950" w:rsidRDefault="0076331C" w14:paraId="48CC7E34" w14:textId="77777777">
            <w:pPr>
              <w:keepNext/>
              <w:keepLines/>
              <w:numPr>
                <w:ilvl w:val="12"/>
                <w:numId w:val="0"/>
              </w:numPr>
              <w:jc w:val="center"/>
              <w:rPr>
                <w:rFonts w:ascii="Arial Narrow" w:hAnsi="Arial Narrow"/>
              </w:rPr>
            </w:pPr>
            <w:r>
              <w:rPr>
                <w:rFonts w:ascii="Arial Narrow" w:hAnsi="Arial Narrow"/>
              </w:rPr>
              <w:t>2300</w:t>
            </w:r>
          </w:p>
        </w:tc>
        <w:tc>
          <w:tcPr>
            <w:tcW w:w="1354" w:type="dxa"/>
            <w:tcBorders>
              <w:top w:val="single" w:color="auto" w:sz="4" w:space="0"/>
              <w:left w:val="single" w:color="auto" w:sz="4" w:space="0"/>
              <w:bottom w:val="single" w:color="auto" w:sz="4" w:space="0"/>
              <w:right w:val="single" w:color="auto" w:sz="4" w:space="0"/>
            </w:tcBorders>
            <w:vAlign w:val="bottom"/>
          </w:tcPr>
          <w:p w:rsidR="0076331C" w:rsidP="00032950" w:rsidRDefault="0076331C" w14:paraId="68125A05" w14:textId="77777777">
            <w:pPr>
              <w:keepNext/>
              <w:keepLines/>
              <w:numPr>
                <w:ilvl w:val="12"/>
                <w:numId w:val="0"/>
              </w:numPr>
              <w:jc w:val="center"/>
              <w:rPr>
                <w:rFonts w:ascii="Arial Narrow" w:hAnsi="Arial Narrow"/>
              </w:rPr>
            </w:pPr>
            <w:r>
              <w:rPr>
                <w:rFonts w:ascii="Arial Narrow" w:hAnsi="Arial Narrow"/>
              </w:rPr>
              <w:t>1</w:t>
            </w:r>
          </w:p>
        </w:tc>
        <w:tc>
          <w:tcPr>
            <w:tcW w:w="1266" w:type="dxa"/>
            <w:tcBorders>
              <w:top w:val="single" w:color="auto" w:sz="4" w:space="0"/>
              <w:left w:val="single" w:color="auto" w:sz="4" w:space="0"/>
              <w:bottom w:val="single" w:color="auto" w:sz="4" w:space="0"/>
              <w:right w:val="single" w:color="auto" w:sz="4" w:space="0"/>
            </w:tcBorders>
            <w:vAlign w:val="bottom"/>
          </w:tcPr>
          <w:p w:rsidR="0076331C" w:rsidP="00032950" w:rsidRDefault="0076331C" w14:paraId="23145672" w14:textId="77777777">
            <w:pPr>
              <w:keepNext/>
              <w:keepLines/>
              <w:numPr>
                <w:ilvl w:val="12"/>
                <w:numId w:val="0"/>
              </w:numPr>
              <w:jc w:val="center"/>
              <w:rPr>
                <w:rFonts w:ascii="Arial Narrow" w:hAnsi="Arial Narrow"/>
              </w:rPr>
            </w:pPr>
            <w:r>
              <w:rPr>
                <w:rFonts w:ascii="Arial Narrow" w:hAnsi="Arial Narrow"/>
              </w:rPr>
              <w:t>2300</w:t>
            </w:r>
          </w:p>
        </w:tc>
        <w:tc>
          <w:tcPr>
            <w:tcW w:w="1162" w:type="dxa"/>
            <w:tcBorders>
              <w:top w:val="single" w:color="auto" w:sz="4" w:space="0"/>
              <w:left w:val="single" w:color="auto" w:sz="4" w:space="0"/>
              <w:bottom w:val="single" w:color="auto" w:sz="4" w:space="0"/>
              <w:right w:val="single" w:color="auto" w:sz="4" w:space="0"/>
            </w:tcBorders>
            <w:vAlign w:val="bottom"/>
          </w:tcPr>
          <w:p w:rsidR="0076331C" w:rsidP="00032950" w:rsidRDefault="0076331C" w14:paraId="5E452B14" w14:textId="77777777">
            <w:pPr>
              <w:keepNext/>
              <w:keepLines/>
              <w:numPr>
                <w:ilvl w:val="12"/>
                <w:numId w:val="0"/>
              </w:numPr>
              <w:jc w:val="center"/>
              <w:rPr>
                <w:rFonts w:ascii="Arial Narrow" w:hAnsi="Arial Narrow"/>
              </w:rPr>
            </w:pPr>
          </w:p>
        </w:tc>
        <w:tc>
          <w:tcPr>
            <w:tcW w:w="999" w:type="dxa"/>
            <w:tcBorders>
              <w:top w:val="single" w:color="auto" w:sz="4" w:space="0"/>
              <w:left w:val="single" w:color="auto" w:sz="4" w:space="0"/>
              <w:bottom w:val="single" w:color="auto" w:sz="4" w:space="0"/>
              <w:right w:val="single" w:color="auto" w:sz="4" w:space="0"/>
            </w:tcBorders>
            <w:vAlign w:val="bottom"/>
          </w:tcPr>
          <w:p w:rsidR="0076331C" w:rsidP="00032950" w:rsidRDefault="0076331C" w14:paraId="1E928C0A" w14:textId="77777777">
            <w:pPr>
              <w:keepNext/>
              <w:keepLines/>
              <w:numPr>
                <w:ilvl w:val="12"/>
                <w:numId w:val="0"/>
              </w:numPr>
              <w:jc w:val="center"/>
              <w:rPr>
                <w:rFonts w:ascii="Arial Narrow" w:hAnsi="Arial Narrow"/>
              </w:rPr>
            </w:pPr>
            <w:r>
              <w:rPr>
                <w:rFonts w:ascii="Arial Narrow" w:hAnsi="Arial Narrow"/>
              </w:rPr>
              <w:t>6150</w:t>
            </w:r>
          </w:p>
        </w:tc>
      </w:tr>
    </w:tbl>
    <w:p w:rsidR="006C3B2E" w:rsidP="00F51289" w:rsidRDefault="006C3B2E" w14:paraId="31CFCFFE" w14:textId="7B4621CA">
      <w:pPr>
        <w:rPr>
          <w:rFonts w:ascii="Times New Roman" w:hAnsi="Times New Roman"/>
          <w:bCs/>
        </w:rPr>
      </w:pPr>
    </w:p>
    <w:p w:rsidR="00E0702B" w:rsidP="00F51289" w:rsidRDefault="00E0702B" w14:paraId="4C8B46B5" w14:textId="12B3AA9A">
      <w:pPr>
        <w:rPr>
          <w:rFonts w:ascii="Times New Roman" w:hAnsi="Times New Roman"/>
        </w:rPr>
      </w:pPr>
      <w:r>
        <w:rPr>
          <w:rFonts w:ascii="Times New Roman" w:hAnsi="Times New Roman"/>
          <w:bCs/>
        </w:rPr>
        <w:tab/>
      </w:r>
      <w:r w:rsidRPr="00E0702B">
        <w:rPr>
          <w:rFonts w:ascii="Times New Roman" w:hAnsi="Times New Roman"/>
        </w:rPr>
        <w:t>Please continue to assign OMB number 1545-</w:t>
      </w:r>
      <w:r>
        <w:rPr>
          <w:rFonts w:ascii="Times New Roman" w:hAnsi="Times New Roman"/>
        </w:rPr>
        <w:t>1360</w:t>
      </w:r>
      <w:r w:rsidRPr="00E0702B">
        <w:rPr>
          <w:rFonts w:ascii="Times New Roman" w:hAnsi="Times New Roman"/>
        </w:rPr>
        <w:t xml:space="preserve"> to these regulations.</w:t>
      </w:r>
    </w:p>
    <w:p w:rsidRPr="00885322" w:rsidR="00885322" w:rsidP="00885322" w:rsidRDefault="00885322" w14:paraId="57096A76" w14:textId="77777777">
      <w:pPr>
        <w:rPr>
          <w:rFonts w:ascii="Times New Roman" w:hAnsi="Times New Roman"/>
          <w:b/>
        </w:rPr>
      </w:pPr>
      <w:r w:rsidRPr="00885322">
        <w:rPr>
          <w:rFonts w:ascii="Times New Roman" w:hAnsi="Times New Roman"/>
          <w:b/>
        </w:rPr>
        <w:tab/>
      </w:r>
      <w:r w:rsidRPr="00885322">
        <w:rPr>
          <w:rFonts w:ascii="Times New Roman" w:hAnsi="Times New Roman"/>
          <w:bCs/>
        </w:rPr>
        <w:t>25.2523(i)-1, 20.2056A-4,</w:t>
      </w:r>
      <w:r w:rsidRPr="00885322">
        <w:rPr>
          <w:rFonts w:ascii="Times New Roman" w:hAnsi="Times New Roman"/>
          <w:b/>
        </w:rPr>
        <w:t xml:space="preserve"> </w:t>
      </w:r>
      <w:r w:rsidRPr="00885322">
        <w:rPr>
          <w:rFonts w:ascii="Times New Roman" w:hAnsi="Times New Roman"/>
          <w:bCs/>
        </w:rPr>
        <w:t>20.2056A-10,</w:t>
      </w:r>
      <w:r w:rsidRPr="00885322">
        <w:rPr>
          <w:rFonts w:ascii="Times New Roman" w:hAnsi="Times New Roman"/>
          <w:b/>
        </w:rPr>
        <w:t xml:space="preserve"> </w:t>
      </w:r>
      <w:r w:rsidRPr="00885322">
        <w:rPr>
          <w:rFonts w:ascii="Times New Roman" w:hAnsi="Times New Roman"/>
          <w:bCs/>
        </w:rPr>
        <w:t>20.2056(d)-1, 602.101</w:t>
      </w:r>
    </w:p>
    <w:p w:rsidRPr="00F51289" w:rsidR="00E0702B" w:rsidP="00F51289" w:rsidRDefault="00E0702B" w14:paraId="0C651261" w14:textId="77777777">
      <w:pPr>
        <w:rPr>
          <w:rFonts w:ascii="Times New Roman" w:hAnsi="Times New Roman"/>
          <w:bCs/>
        </w:rPr>
      </w:pPr>
    </w:p>
    <w:p w:rsidRPr="00F51289" w:rsidR="006C3B2E" w:rsidP="00F51289" w:rsidRDefault="006C3B2E" w14:paraId="0C6B0224" w14:textId="77777777">
      <w:pPr>
        <w:numPr>
          <w:ilvl w:val="0"/>
          <w:numId w:val="1"/>
        </w:numPr>
        <w:ind w:hanging="720"/>
        <w:rPr>
          <w:rFonts w:ascii="Times New Roman" w:hAnsi="Times New Roman"/>
          <w:bCs/>
        </w:rPr>
      </w:pPr>
      <w:r w:rsidRPr="00F51289">
        <w:rPr>
          <w:rFonts w:ascii="Times New Roman" w:hAnsi="Times New Roman"/>
          <w:bCs/>
          <w:u w:val="single"/>
        </w:rPr>
        <w:lastRenderedPageBreak/>
        <w:t>ESTIMATED TOTAL ANNUAL COST BURDEN TO RESPONDENTS</w:t>
      </w:r>
    </w:p>
    <w:p w:rsidRPr="00F51289" w:rsidR="006C3B2E" w:rsidP="00F51289" w:rsidRDefault="006C3B2E" w14:paraId="003DE1C5" w14:textId="77777777">
      <w:pPr>
        <w:rPr>
          <w:rFonts w:ascii="Times New Roman" w:hAnsi="Times New Roman"/>
          <w:bCs/>
        </w:rPr>
      </w:pPr>
    </w:p>
    <w:p w:rsidRPr="003B11BA" w:rsidR="003B11BA" w:rsidP="003B11BA" w:rsidRDefault="003B11BA" w14:paraId="610AE901" w14:textId="77777777">
      <w:pPr>
        <w:ind w:left="720"/>
        <w:rPr>
          <w:rFonts w:ascii="Times New Roman" w:hAnsi="Times New Roman"/>
        </w:rPr>
      </w:pPr>
      <w:r w:rsidRPr="003B11BA">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51289" w:rsidR="006C3B2E" w:rsidP="00F51289" w:rsidRDefault="006C3B2E" w14:paraId="7A99AC2B" w14:textId="77777777">
      <w:pPr>
        <w:rPr>
          <w:rFonts w:ascii="Times New Roman" w:hAnsi="Times New Roman"/>
          <w:bCs/>
        </w:rPr>
      </w:pPr>
    </w:p>
    <w:p w:rsidRPr="00F51289" w:rsidR="006C3B2E" w:rsidP="00F51289" w:rsidRDefault="006C3B2E" w14:paraId="746EEFEB" w14:textId="77777777">
      <w:pPr>
        <w:numPr>
          <w:ilvl w:val="0"/>
          <w:numId w:val="1"/>
        </w:numPr>
        <w:ind w:hanging="720"/>
        <w:rPr>
          <w:rFonts w:ascii="Times New Roman" w:hAnsi="Times New Roman"/>
          <w:bCs/>
        </w:rPr>
      </w:pPr>
      <w:r w:rsidRPr="00F51289">
        <w:rPr>
          <w:rFonts w:ascii="Times New Roman" w:hAnsi="Times New Roman"/>
          <w:bCs/>
          <w:u w:val="single"/>
        </w:rPr>
        <w:t>ESTIMATED ANNUALIZED COST TO THE FEDERAL GOVERNMENT</w:t>
      </w:r>
    </w:p>
    <w:p w:rsidRPr="00F51289" w:rsidR="006C3B2E" w:rsidP="00F51289" w:rsidRDefault="006C3B2E" w14:paraId="5EF705C7" w14:textId="77777777">
      <w:pPr>
        <w:rPr>
          <w:rFonts w:ascii="Times New Roman" w:hAnsi="Times New Roman"/>
          <w:bCs/>
        </w:rPr>
      </w:pPr>
    </w:p>
    <w:p w:rsidRPr="003B11BA" w:rsidR="003B11BA" w:rsidP="003B11BA" w:rsidRDefault="003B11BA" w14:paraId="45A5836D" w14:textId="77777777">
      <w:pPr>
        <w:ind w:left="720"/>
        <w:rPr>
          <w:rFonts w:ascii="Times New Roman" w:hAnsi="Times New Roman"/>
        </w:rPr>
      </w:pPr>
      <w:r w:rsidRPr="003B11BA">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51289" w:rsidR="006C3B2E" w:rsidP="00F51289" w:rsidRDefault="006C3B2E" w14:paraId="79AFC828" w14:textId="77777777">
      <w:pPr>
        <w:rPr>
          <w:rFonts w:ascii="Times New Roman" w:hAnsi="Times New Roman"/>
          <w:bCs/>
        </w:rPr>
      </w:pPr>
    </w:p>
    <w:p w:rsidRPr="00F51289" w:rsidR="006C3B2E" w:rsidP="00F51289" w:rsidRDefault="006C3B2E" w14:paraId="679EA562" w14:textId="77777777">
      <w:pPr>
        <w:numPr>
          <w:ilvl w:val="0"/>
          <w:numId w:val="1"/>
        </w:numPr>
        <w:ind w:hanging="720"/>
        <w:rPr>
          <w:rFonts w:ascii="Times New Roman" w:hAnsi="Times New Roman"/>
          <w:bCs/>
        </w:rPr>
      </w:pPr>
      <w:r w:rsidRPr="00F51289">
        <w:rPr>
          <w:rFonts w:ascii="Times New Roman" w:hAnsi="Times New Roman"/>
          <w:bCs/>
          <w:u w:val="single"/>
        </w:rPr>
        <w:t>REASONS FOR CHANGE IN BURDEN</w:t>
      </w:r>
    </w:p>
    <w:p w:rsidRPr="00F51289" w:rsidR="006C3B2E" w:rsidP="00F51289" w:rsidRDefault="006C3B2E" w14:paraId="4C3B8E5F" w14:textId="77777777">
      <w:pPr>
        <w:rPr>
          <w:rFonts w:ascii="Times New Roman" w:hAnsi="Times New Roman"/>
          <w:bCs/>
        </w:rPr>
      </w:pPr>
    </w:p>
    <w:p w:rsidRPr="00F51289" w:rsidR="006C3B2E" w:rsidP="00F51289" w:rsidRDefault="006C3B2E" w14:paraId="23D1B053" w14:textId="77777777">
      <w:pPr>
        <w:ind w:left="720"/>
        <w:rPr>
          <w:rFonts w:ascii="Times New Roman" w:hAnsi="Times New Roman"/>
          <w:bCs/>
        </w:rPr>
      </w:pPr>
      <w:r w:rsidRPr="00F51289">
        <w:rPr>
          <w:rFonts w:ascii="Times New Roman" w:hAnsi="Times New Roman"/>
          <w:bCs/>
        </w:rPr>
        <w:t xml:space="preserve">There is no change in the paperwork burden previously approved by OMB.  </w:t>
      </w:r>
      <w:r w:rsidR="004D0F8D">
        <w:rPr>
          <w:rFonts w:ascii="Times New Roman" w:hAnsi="Times New Roman"/>
          <w:bCs/>
        </w:rPr>
        <w:t>IRS is</w:t>
      </w:r>
      <w:r w:rsidRPr="00F51289">
        <w:rPr>
          <w:rFonts w:ascii="Times New Roman" w:hAnsi="Times New Roman"/>
          <w:bCs/>
        </w:rPr>
        <w:t xml:space="preserve"> making this submission to renew the OMB approval.</w:t>
      </w:r>
    </w:p>
    <w:p w:rsidRPr="00F51289" w:rsidR="006C3B2E" w:rsidP="00F51289" w:rsidRDefault="006C3B2E" w14:paraId="3E662383" w14:textId="77777777">
      <w:pPr>
        <w:rPr>
          <w:rFonts w:ascii="Times New Roman" w:hAnsi="Times New Roman"/>
          <w:bCs/>
        </w:rPr>
      </w:pPr>
    </w:p>
    <w:p w:rsidRPr="00F51289" w:rsidR="006C3B2E" w:rsidP="00F51289" w:rsidRDefault="006C3B2E" w14:paraId="6F6D3DBE" w14:textId="77777777">
      <w:pPr>
        <w:numPr>
          <w:ilvl w:val="0"/>
          <w:numId w:val="1"/>
        </w:numPr>
        <w:ind w:hanging="720"/>
        <w:rPr>
          <w:rFonts w:ascii="Times New Roman" w:hAnsi="Times New Roman"/>
          <w:bCs/>
        </w:rPr>
      </w:pPr>
      <w:r w:rsidRPr="00F51289">
        <w:rPr>
          <w:rFonts w:ascii="Times New Roman" w:hAnsi="Times New Roman"/>
          <w:bCs/>
          <w:u w:val="single"/>
        </w:rPr>
        <w:t>PLANS FOR TABULATION, STATISTICAL ANALYSIS AND PUBLICATION</w:t>
      </w:r>
    </w:p>
    <w:p w:rsidRPr="00F51289" w:rsidR="006C3B2E" w:rsidP="00F51289" w:rsidRDefault="006C3B2E" w14:paraId="4CE6841B" w14:textId="77777777">
      <w:pPr>
        <w:rPr>
          <w:rFonts w:ascii="Times New Roman" w:hAnsi="Times New Roman"/>
          <w:bCs/>
        </w:rPr>
      </w:pPr>
    </w:p>
    <w:p w:rsidR="00BB3BED" w:rsidP="00BB3BED" w:rsidRDefault="00BB3BED" w14:paraId="4266D0CE" w14:textId="77777777">
      <w:pPr>
        <w:ind w:left="720"/>
        <w:rPr>
          <w:rFonts w:ascii="Times New Roman" w:hAnsi="Times New Roman"/>
        </w:rPr>
      </w:pPr>
      <w:r w:rsidRPr="00BB3BED">
        <w:rPr>
          <w:rFonts w:ascii="Times New Roman" w:hAnsi="Times New Roman"/>
        </w:rPr>
        <w:t>There are no plans for tabulation, statistical analysis and publication.</w:t>
      </w:r>
    </w:p>
    <w:p w:rsidRPr="00F51289" w:rsidR="006C3B2E" w:rsidP="00F51289" w:rsidRDefault="006C3B2E" w14:paraId="7D65563C" w14:textId="77777777">
      <w:pPr>
        <w:rPr>
          <w:rFonts w:ascii="Times New Roman" w:hAnsi="Times New Roman"/>
          <w:bCs/>
        </w:rPr>
      </w:pPr>
    </w:p>
    <w:p w:rsidRPr="00F51289" w:rsidR="006C3B2E" w:rsidP="00F51289" w:rsidRDefault="006C3B2E" w14:paraId="33AA2F1D" w14:textId="77777777">
      <w:pPr>
        <w:numPr>
          <w:ilvl w:val="0"/>
          <w:numId w:val="1"/>
        </w:numPr>
        <w:ind w:hanging="720"/>
        <w:rPr>
          <w:rFonts w:ascii="Times New Roman" w:hAnsi="Times New Roman"/>
          <w:bCs/>
        </w:rPr>
      </w:pPr>
      <w:r w:rsidRPr="00F51289">
        <w:rPr>
          <w:rFonts w:ascii="Times New Roman" w:hAnsi="Times New Roman"/>
          <w:bCs/>
          <w:u w:val="single"/>
        </w:rPr>
        <w:t>REASONS WHY DISPLAYING THE OMB EXPIRATION DATE IS</w:t>
      </w:r>
      <w:r w:rsidR="00BB3BED">
        <w:rPr>
          <w:rFonts w:ascii="Times New Roman" w:hAnsi="Times New Roman"/>
          <w:bCs/>
          <w:u w:val="single"/>
        </w:rPr>
        <w:t xml:space="preserve"> </w:t>
      </w:r>
      <w:r w:rsidRPr="00F51289">
        <w:rPr>
          <w:rFonts w:ascii="Times New Roman" w:hAnsi="Times New Roman"/>
          <w:bCs/>
          <w:u w:val="single"/>
        </w:rPr>
        <w:t>INAPPROPRIATE</w:t>
      </w:r>
    </w:p>
    <w:p w:rsidRPr="00F51289" w:rsidR="006C3B2E" w:rsidP="00F51289" w:rsidRDefault="006C3B2E" w14:paraId="22DE33FE" w14:textId="77777777">
      <w:pPr>
        <w:rPr>
          <w:rFonts w:ascii="Times New Roman" w:hAnsi="Times New Roman"/>
          <w:bCs/>
        </w:rPr>
      </w:pPr>
    </w:p>
    <w:p w:rsidRPr="00F51289" w:rsidR="006C3B2E" w:rsidP="00F51289" w:rsidRDefault="00EC50EC" w14:paraId="417D638D" w14:textId="77777777">
      <w:pPr>
        <w:ind w:left="720" w:hanging="720"/>
        <w:rPr>
          <w:rFonts w:ascii="Times New Roman" w:hAnsi="Times New Roman"/>
          <w:bCs/>
        </w:rPr>
      </w:pPr>
      <w:r w:rsidRPr="00F51289">
        <w:rPr>
          <w:rFonts w:ascii="Times New Roman" w:hAnsi="Times New Roman"/>
          <w:bCs/>
        </w:rPr>
        <w:tab/>
      </w:r>
      <w:r w:rsidR="004D0F8D">
        <w:rPr>
          <w:rFonts w:ascii="Times New Roman" w:hAnsi="Times New Roman"/>
          <w:bCs/>
        </w:rPr>
        <w:t>IRS</w:t>
      </w:r>
      <w:r w:rsidRPr="00F51289" w:rsidR="006C3B2E">
        <w:rPr>
          <w:rFonts w:ascii="Times New Roman" w:hAnsi="Times New Roman"/>
          <w:bCs/>
        </w:rPr>
        <w:t xml:space="preserve"> believe</w:t>
      </w:r>
      <w:r w:rsidR="004D0F8D">
        <w:rPr>
          <w:rFonts w:ascii="Times New Roman" w:hAnsi="Times New Roman"/>
          <w:bCs/>
        </w:rPr>
        <w:t>s</w:t>
      </w:r>
      <w:r w:rsidRPr="00F51289" w:rsidR="006C3B2E">
        <w:rPr>
          <w:rFonts w:ascii="Times New Roman" w:hAnsi="Times New Roman"/>
          <w:bCs/>
        </w:rPr>
        <w:t xml:space="preserve"> that displaying the OMB expiration date is inappropriate because it could cause confusion by leading</w:t>
      </w:r>
      <w:r w:rsidRPr="00F51289">
        <w:rPr>
          <w:rFonts w:ascii="Times New Roman" w:hAnsi="Times New Roman"/>
          <w:bCs/>
        </w:rPr>
        <w:t xml:space="preserve"> </w:t>
      </w:r>
      <w:r w:rsidRPr="00F51289" w:rsidR="006C3B2E">
        <w:rPr>
          <w:rFonts w:ascii="Times New Roman" w:hAnsi="Times New Roman"/>
          <w:bCs/>
        </w:rPr>
        <w:t>taxpayers to believe that the regulation sunsets as of the</w:t>
      </w:r>
      <w:r w:rsidRPr="00F51289">
        <w:rPr>
          <w:rFonts w:ascii="Times New Roman" w:hAnsi="Times New Roman"/>
          <w:bCs/>
        </w:rPr>
        <w:t xml:space="preserve"> </w:t>
      </w:r>
      <w:r w:rsidRPr="00F51289" w:rsidR="006C3B2E">
        <w:rPr>
          <w:rFonts w:ascii="Times New Roman" w:hAnsi="Times New Roman"/>
          <w:bCs/>
        </w:rPr>
        <w:t>expiration date.  Taxpayers are not likely to be aware that</w:t>
      </w:r>
      <w:r w:rsidRPr="00F51289">
        <w:rPr>
          <w:rFonts w:ascii="Times New Roman" w:hAnsi="Times New Roman"/>
          <w:bCs/>
        </w:rPr>
        <w:t xml:space="preserve"> </w:t>
      </w:r>
      <w:r w:rsidRPr="00F51289" w:rsidR="006C3B2E">
        <w:rPr>
          <w:rFonts w:ascii="Times New Roman" w:hAnsi="Times New Roman"/>
          <w:bCs/>
        </w:rPr>
        <w:t>the Service intends to request renewal of the OMB approval</w:t>
      </w:r>
      <w:r w:rsidRPr="00F51289">
        <w:rPr>
          <w:rFonts w:ascii="Times New Roman" w:hAnsi="Times New Roman"/>
          <w:bCs/>
        </w:rPr>
        <w:t xml:space="preserve"> </w:t>
      </w:r>
      <w:r w:rsidRPr="00F51289" w:rsidR="006C3B2E">
        <w:rPr>
          <w:rFonts w:ascii="Times New Roman" w:hAnsi="Times New Roman"/>
          <w:bCs/>
        </w:rPr>
        <w:t>and obtain a new expiration date before the old one expires.</w:t>
      </w:r>
    </w:p>
    <w:p w:rsidRPr="00F51289" w:rsidR="006C3B2E" w:rsidP="00F51289" w:rsidRDefault="006C3B2E" w14:paraId="0260EE9E" w14:textId="77777777">
      <w:pPr>
        <w:rPr>
          <w:rFonts w:ascii="Times New Roman" w:hAnsi="Times New Roman"/>
          <w:bCs/>
        </w:rPr>
      </w:pPr>
    </w:p>
    <w:p w:rsidRPr="00F51289" w:rsidR="006C3B2E" w:rsidP="00F51289" w:rsidRDefault="006C3B2E" w14:paraId="5BAEE76F" w14:textId="77777777">
      <w:pPr>
        <w:numPr>
          <w:ilvl w:val="0"/>
          <w:numId w:val="1"/>
        </w:numPr>
        <w:ind w:hanging="720"/>
        <w:rPr>
          <w:rFonts w:ascii="Times New Roman" w:hAnsi="Times New Roman"/>
          <w:bCs/>
        </w:rPr>
      </w:pPr>
      <w:r w:rsidRPr="00F51289">
        <w:rPr>
          <w:rFonts w:ascii="Times New Roman" w:hAnsi="Times New Roman"/>
          <w:bCs/>
          <w:u w:val="single"/>
        </w:rPr>
        <w:t>EXCEPTIONS TO THE CERTIFICATION STATEMENT</w:t>
      </w:r>
    </w:p>
    <w:p w:rsidRPr="00F51289" w:rsidR="006C3B2E" w:rsidP="00F51289" w:rsidRDefault="006C3B2E" w14:paraId="5FF16477" w14:textId="77777777">
      <w:pPr>
        <w:rPr>
          <w:rFonts w:ascii="Times New Roman" w:hAnsi="Times New Roman"/>
          <w:bCs/>
        </w:rPr>
      </w:pPr>
    </w:p>
    <w:p w:rsidRPr="00BB3BED" w:rsidR="00BB3BED" w:rsidP="00BB3BED" w:rsidRDefault="00BB3BED" w14:paraId="4AA82397" w14:textId="77777777">
      <w:pPr>
        <w:ind w:left="720"/>
        <w:rPr>
          <w:rFonts w:ascii="Times New Roman" w:hAnsi="Times New Roman"/>
        </w:rPr>
      </w:pPr>
      <w:r w:rsidRPr="00BB3BED">
        <w:rPr>
          <w:rFonts w:ascii="Times New Roman" w:hAnsi="Times New Roman"/>
        </w:rPr>
        <w:t>There are no exceptions to the certification statement</w:t>
      </w:r>
      <w:r w:rsidR="004D0F8D">
        <w:rPr>
          <w:rFonts w:ascii="Times New Roman" w:hAnsi="Times New Roman"/>
        </w:rPr>
        <w:t xml:space="preserve"> for this collection</w:t>
      </w:r>
      <w:r w:rsidR="00800721">
        <w:rPr>
          <w:rFonts w:ascii="Times New Roman" w:hAnsi="Times New Roman"/>
        </w:rPr>
        <w:t>.</w:t>
      </w:r>
    </w:p>
    <w:p w:rsidR="006C3B2E" w:rsidP="00F51289" w:rsidRDefault="006C3B2E" w14:paraId="2F6A2316" w14:textId="77777777">
      <w:pPr>
        <w:rPr>
          <w:rFonts w:ascii="Times New Roman" w:hAnsi="Times New Roman"/>
          <w:bCs/>
        </w:rPr>
      </w:pPr>
    </w:p>
    <w:p w:rsidR="00023D5B" w:rsidP="00F51289" w:rsidRDefault="00023D5B" w14:paraId="15D0C48F" w14:textId="77777777">
      <w:pPr>
        <w:rPr>
          <w:rFonts w:ascii="Times New Roman" w:hAnsi="Times New Roman"/>
          <w:bCs/>
        </w:rPr>
      </w:pPr>
    </w:p>
    <w:p w:rsidRPr="000D3A94" w:rsidR="006C3B2E" w:rsidP="00F51289" w:rsidRDefault="006C3B2E" w14:paraId="051152F5" w14:textId="77777777">
      <w:pPr>
        <w:tabs>
          <w:tab w:val="left" w:pos="720"/>
        </w:tabs>
        <w:ind w:left="720" w:hanging="720"/>
        <w:rPr>
          <w:rFonts w:ascii="Times New Roman" w:hAnsi="Times New Roman"/>
          <w:bCs/>
        </w:rPr>
      </w:pPr>
      <w:r w:rsidRPr="000D3A94">
        <w:rPr>
          <w:rFonts w:ascii="Times New Roman" w:hAnsi="Times New Roman"/>
          <w:bCs/>
          <w:u w:val="single"/>
        </w:rPr>
        <w:t>Note:</w:t>
      </w:r>
      <w:r w:rsidRPr="000D3A94" w:rsidR="00EC50EC">
        <w:rPr>
          <w:rFonts w:ascii="Times New Roman" w:hAnsi="Times New Roman"/>
          <w:bCs/>
        </w:rPr>
        <w:tab/>
      </w:r>
      <w:r w:rsidRPr="000D3A94">
        <w:rPr>
          <w:rFonts w:ascii="Times New Roman" w:hAnsi="Times New Roman"/>
          <w:bCs/>
        </w:rPr>
        <w:t>The following paragraph applies to all of the collections of information in this submission:</w:t>
      </w:r>
    </w:p>
    <w:p w:rsidRPr="00F51289" w:rsidR="006C3B2E" w:rsidP="00F51289" w:rsidRDefault="006C3B2E" w14:paraId="04A82C8B" w14:textId="77777777">
      <w:pPr>
        <w:tabs>
          <w:tab w:val="left" w:pos="720"/>
        </w:tabs>
        <w:ind w:left="720" w:hanging="720"/>
        <w:rPr>
          <w:rFonts w:ascii="Times New Roman" w:hAnsi="Times New Roman"/>
          <w:bCs/>
        </w:rPr>
      </w:pPr>
    </w:p>
    <w:p w:rsidRPr="00F51289" w:rsidR="006C3B2E" w:rsidP="00023D5B" w:rsidRDefault="006C3B2E" w14:paraId="42C17210" w14:textId="77777777">
      <w:pPr>
        <w:rPr>
          <w:rFonts w:ascii="Times New Roman" w:hAnsi="Times New Roman"/>
          <w:bCs/>
        </w:rPr>
      </w:pPr>
      <w:r w:rsidRPr="00F51289">
        <w:rPr>
          <w:rFonts w:ascii="Times New Roman" w:hAnsi="Times New Roman"/>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F51289" w:rsidR="006C3B2E" w:rsidSect="00EC50E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5E3D0" w14:textId="77777777" w:rsidR="00AD4CCB" w:rsidRDefault="00AD4CCB">
      <w:r>
        <w:separator/>
      </w:r>
    </w:p>
  </w:endnote>
  <w:endnote w:type="continuationSeparator" w:id="0">
    <w:p w14:paraId="64A89DE6" w14:textId="77777777" w:rsidR="00AD4CCB" w:rsidRDefault="00AD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0176" w14:textId="77777777" w:rsidR="00B32A41" w:rsidRDefault="00B3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C40E" w14:textId="77777777" w:rsidR="00EC50EC" w:rsidRPr="00EC50EC" w:rsidRDefault="00EC50EC">
    <w:pPr>
      <w:pStyle w:val="Footer"/>
      <w:jc w:val="right"/>
      <w:rPr>
        <w:rFonts w:ascii="Times New Roman" w:hAnsi="Times New Roman"/>
      </w:rPr>
    </w:pPr>
    <w:r w:rsidRPr="00EC50EC">
      <w:rPr>
        <w:rFonts w:ascii="Times New Roman" w:hAnsi="Times New Roman"/>
      </w:rPr>
      <w:fldChar w:fldCharType="begin"/>
    </w:r>
    <w:r w:rsidRPr="00EC50EC">
      <w:rPr>
        <w:rFonts w:ascii="Times New Roman" w:hAnsi="Times New Roman"/>
      </w:rPr>
      <w:instrText xml:space="preserve"> PAGE   \* MERGEFORMAT </w:instrText>
    </w:r>
    <w:r w:rsidRPr="00EC50EC">
      <w:rPr>
        <w:rFonts w:ascii="Times New Roman" w:hAnsi="Times New Roman"/>
      </w:rPr>
      <w:fldChar w:fldCharType="separate"/>
    </w:r>
    <w:r w:rsidR="00A20C18">
      <w:rPr>
        <w:rFonts w:ascii="Times New Roman" w:hAnsi="Times New Roman"/>
        <w:noProof/>
      </w:rPr>
      <w:t>3</w:t>
    </w:r>
    <w:r w:rsidRPr="00EC50EC">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95E5" w14:textId="77777777" w:rsidR="00B32A41" w:rsidRDefault="00B3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777D9" w14:textId="77777777" w:rsidR="00AD4CCB" w:rsidRDefault="00AD4CCB">
      <w:r>
        <w:separator/>
      </w:r>
    </w:p>
  </w:footnote>
  <w:footnote w:type="continuationSeparator" w:id="0">
    <w:p w14:paraId="1FA027FC" w14:textId="77777777" w:rsidR="00AD4CCB" w:rsidRDefault="00AD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BA49" w14:textId="77777777" w:rsidR="00B32A41" w:rsidRDefault="00B3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7F59" w14:textId="77777777" w:rsidR="002B4CE2" w:rsidRDefault="002B4CE2">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AB6B" w14:textId="77777777" w:rsidR="00B32A41" w:rsidRDefault="00B3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F8D"/>
    <w:multiLevelType w:val="hybridMultilevel"/>
    <w:tmpl w:val="C9B47F76"/>
    <w:lvl w:ilvl="0" w:tplc="613CD7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84FF5"/>
    <w:multiLevelType w:val="hybridMultilevel"/>
    <w:tmpl w:val="C144C752"/>
    <w:lvl w:ilvl="0" w:tplc="60401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917F84"/>
    <w:multiLevelType w:val="hybridMultilevel"/>
    <w:tmpl w:val="0144CFF4"/>
    <w:lvl w:ilvl="0" w:tplc="657A9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B38D2"/>
    <w:multiLevelType w:val="hybridMultilevel"/>
    <w:tmpl w:val="B9FC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2E"/>
    <w:rsid w:val="00023D5B"/>
    <w:rsid w:val="00032950"/>
    <w:rsid w:val="0004095A"/>
    <w:rsid w:val="000D3A94"/>
    <w:rsid w:val="00116999"/>
    <w:rsid w:val="0013705A"/>
    <w:rsid w:val="001455C4"/>
    <w:rsid w:val="00164B45"/>
    <w:rsid w:val="00167E2B"/>
    <w:rsid w:val="00185DCE"/>
    <w:rsid w:val="002B4CE2"/>
    <w:rsid w:val="002D0FF6"/>
    <w:rsid w:val="00301375"/>
    <w:rsid w:val="003163C5"/>
    <w:rsid w:val="00316E06"/>
    <w:rsid w:val="00337019"/>
    <w:rsid w:val="003A0CC0"/>
    <w:rsid w:val="003B11BA"/>
    <w:rsid w:val="003E4B1C"/>
    <w:rsid w:val="00422534"/>
    <w:rsid w:val="00422575"/>
    <w:rsid w:val="00427B57"/>
    <w:rsid w:val="00464F60"/>
    <w:rsid w:val="00484939"/>
    <w:rsid w:val="004940E4"/>
    <w:rsid w:val="004D0F8D"/>
    <w:rsid w:val="004F5E54"/>
    <w:rsid w:val="00510DDD"/>
    <w:rsid w:val="00513D2E"/>
    <w:rsid w:val="00522946"/>
    <w:rsid w:val="00552634"/>
    <w:rsid w:val="005C2BA3"/>
    <w:rsid w:val="005C64FA"/>
    <w:rsid w:val="00667DC0"/>
    <w:rsid w:val="006C3B2E"/>
    <w:rsid w:val="006E235F"/>
    <w:rsid w:val="006E4C39"/>
    <w:rsid w:val="006E6745"/>
    <w:rsid w:val="007042A9"/>
    <w:rsid w:val="00747E8E"/>
    <w:rsid w:val="00751992"/>
    <w:rsid w:val="0076331C"/>
    <w:rsid w:val="00800721"/>
    <w:rsid w:val="00845188"/>
    <w:rsid w:val="0086788D"/>
    <w:rsid w:val="00885322"/>
    <w:rsid w:val="0095575D"/>
    <w:rsid w:val="00986DB2"/>
    <w:rsid w:val="009A0174"/>
    <w:rsid w:val="009C011A"/>
    <w:rsid w:val="00A20C18"/>
    <w:rsid w:val="00A2124F"/>
    <w:rsid w:val="00A604AE"/>
    <w:rsid w:val="00A65F03"/>
    <w:rsid w:val="00A7295D"/>
    <w:rsid w:val="00AD4CCB"/>
    <w:rsid w:val="00B32A41"/>
    <w:rsid w:val="00BB3BED"/>
    <w:rsid w:val="00BE2E28"/>
    <w:rsid w:val="00C04FA4"/>
    <w:rsid w:val="00C26D75"/>
    <w:rsid w:val="00C9122C"/>
    <w:rsid w:val="00CD4491"/>
    <w:rsid w:val="00D34D84"/>
    <w:rsid w:val="00D50466"/>
    <w:rsid w:val="00D62CF1"/>
    <w:rsid w:val="00D717FF"/>
    <w:rsid w:val="00D936AA"/>
    <w:rsid w:val="00E0702B"/>
    <w:rsid w:val="00E22E25"/>
    <w:rsid w:val="00E3435A"/>
    <w:rsid w:val="00EC36D1"/>
    <w:rsid w:val="00EC50EC"/>
    <w:rsid w:val="00F51289"/>
    <w:rsid w:val="00F6693A"/>
    <w:rsid w:val="00F71D6B"/>
    <w:rsid w:val="00FC3E8A"/>
    <w:rsid w:val="00FF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564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C50EC"/>
    <w:pPr>
      <w:tabs>
        <w:tab w:val="center" w:pos="4680"/>
        <w:tab w:val="right" w:pos="9360"/>
      </w:tabs>
    </w:pPr>
  </w:style>
  <w:style w:type="character" w:customStyle="1" w:styleId="HeaderChar">
    <w:name w:val="Header Char"/>
    <w:link w:val="Header"/>
    <w:rsid w:val="00EC50EC"/>
    <w:rPr>
      <w:rFonts w:ascii="Courier" w:hAnsi="Courier"/>
      <w:sz w:val="24"/>
      <w:szCs w:val="24"/>
    </w:rPr>
  </w:style>
  <w:style w:type="paragraph" w:styleId="Footer">
    <w:name w:val="footer"/>
    <w:basedOn w:val="Normal"/>
    <w:link w:val="FooterChar"/>
    <w:uiPriority w:val="99"/>
    <w:rsid w:val="00EC50EC"/>
    <w:pPr>
      <w:tabs>
        <w:tab w:val="center" w:pos="4680"/>
        <w:tab w:val="right" w:pos="9360"/>
      </w:tabs>
    </w:pPr>
  </w:style>
  <w:style w:type="character" w:customStyle="1" w:styleId="FooterChar">
    <w:name w:val="Footer Char"/>
    <w:link w:val="Footer"/>
    <w:uiPriority w:val="99"/>
    <w:rsid w:val="00EC50EC"/>
    <w:rPr>
      <w:rFonts w:ascii="Courier" w:hAnsi="Courier"/>
      <w:sz w:val="24"/>
      <w:szCs w:val="24"/>
    </w:rPr>
  </w:style>
  <w:style w:type="paragraph" w:styleId="BalloonText">
    <w:name w:val="Balloon Text"/>
    <w:basedOn w:val="Normal"/>
    <w:link w:val="BalloonTextChar"/>
    <w:rsid w:val="00301375"/>
    <w:rPr>
      <w:rFonts w:ascii="Tahoma" w:hAnsi="Tahoma" w:cs="Tahoma"/>
      <w:sz w:val="16"/>
      <w:szCs w:val="16"/>
    </w:rPr>
  </w:style>
  <w:style w:type="character" w:customStyle="1" w:styleId="BalloonTextChar">
    <w:name w:val="Balloon Text Char"/>
    <w:link w:val="BalloonText"/>
    <w:rsid w:val="00301375"/>
    <w:rPr>
      <w:rFonts w:ascii="Tahoma" w:hAnsi="Tahoma" w:cs="Tahoma"/>
      <w:sz w:val="16"/>
      <w:szCs w:val="16"/>
    </w:rPr>
  </w:style>
  <w:style w:type="character" w:styleId="Hyperlink">
    <w:name w:val="Hyperlink"/>
    <w:rsid w:val="00167E2B"/>
    <w:rPr>
      <w:color w:val="0000FF"/>
      <w:u w:val="single"/>
    </w:rPr>
  </w:style>
  <w:style w:type="paragraph" w:customStyle="1" w:styleId="Default">
    <w:name w:val="Default"/>
    <w:rsid w:val="00167E2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85322"/>
    <w:rPr>
      <w:sz w:val="16"/>
      <w:szCs w:val="16"/>
    </w:rPr>
  </w:style>
  <w:style w:type="paragraph" w:styleId="CommentText">
    <w:name w:val="annotation text"/>
    <w:basedOn w:val="Normal"/>
    <w:link w:val="CommentTextChar"/>
    <w:rsid w:val="00885322"/>
    <w:rPr>
      <w:sz w:val="20"/>
      <w:szCs w:val="20"/>
    </w:rPr>
  </w:style>
  <w:style w:type="character" w:customStyle="1" w:styleId="CommentTextChar">
    <w:name w:val="Comment Text Char"/>
    <w:basedOn w:val="DefaultParagraphFont"/>
    <w:link w:val="CommentText"/>
    <w:rsid w:val="00885322"/>
    <w:rPr>
      <w:rFonts w:ascii="Courier" w:hAnsi="Courier"/>
    </w:rPr>
  </w:style>
  <w:style w:type="paragraph" w:styleId="CommentSubject">
    <w:name w:val="annotation subject"/>
    <w:basedOn w:val="CommentText"/>
    <w:next w:val="CommentText"/>
    <w:link w:val="CommentSubjectChar"/>
    <w:rsid w:val="00885322"/>
    <w:rPr>
      <w:b/>
      <w:bCs/>
    </w:rPr>
  </w:style>
  <w:style w:type="character" w:customStyle="1" w:styleId="CommentSubjectChar">
    <w:name w:val="Comment Subject Char"/>
    <w:basedOn w:val="CommentTextChar"/>
    <w:link w:val="CommentSubject"/>
    <w:rsid w:val="0088532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0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36C3-FF6C-4FB6-8F49-3423F35B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2020-11-25T23:24:00Z</dcterms:created>
  <dcterms:modified xsi:type="dcterms:W3CDTF">2020-11-25T23:24:00Z</dcterms:modified>
</cp:coreProperties>
</file>