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38B5" w:rsidR="00B27061" w:rsidRDefault="00B27061" w14:paraId="11CBBCBB" w14:textId="77777777">
      <w:pPr>
        <w:jc w:val="center"/>
        <w:rPr>
          <w:rFonts w:ascii="Times New Roman" w:hAnsi="Times New Roman"/>
          <w:b/>
          <w:bCs/>
          <w:color w:val="000000" w:themeColor="text1"/>
        </w:rPr>
      </w:pPr>
      <w:r w:rsidRPr="00EC38B5">
        <w:rPr>
          <w:rFonts w:ascii="Times New Roman" w:hAnsi="Times New Roman"/>
          <w:b/>
          <w:bCs/>
          <w:color w:val="000000" w:themeColor="text1"/>
        </w:rPr>
        <w:t xml:space="preserve">SUPPORTING STATEMENT FOR </w:t>
      </w:r>
    </w:p>
    <w:p w:rsidRPr="00EC38B5" w:rsidR="00EC38B5" w:rsidP="00EC38B5" w:rsidRDefault="00EC38B5" w14:paraId="15AFA580" w14:textId="77777777">
      <w:pPr>
        <w:jc w:val="center"/>
        <w:rPr>
          <w:rFonts w:ascii="Times New Roman" w:hAnsi="Times New Roman"/>
          <w:b/>
          <w:color w:val="000000" w:themeColor="text1"/>
        </w:rPr>
      </w:pPr>
      <w:r w:rsidRPr="00EC38B5">
        <w:rPr>
          <w:rFonts w:ascii="Times New Roman" w:hAnsi="Times New Roman"/>
          <w:b/>
          <w:color w:val="000000" w:themeColor="text1"/>
        </w:rPr>
        <w:t>Application to Register Permanent Residence or Adjust Status</w:t>
      </w:r>
    </w:p>
    <w:p w:rsidRPr="00EC38B5" w:rsidR="00EC38B5" w:rsidP="00EC38B5" w:rsidRDefault="00EC38B5" w14:paraId="16C79520" w14:textId="77777777">
      <w:pPr>
        <w:jc w:val="center"/>
        <w:rPr>
          <w:rFonts w:ascii="Times New Roman" w:hAnsi="Times New Roman"/>
          <w:b/>
          <w:color w:val="000000" w:themeColor="text1"/>
        </w:rPr>
      </w:pPr>
      <w:r w:rsidRPr="00EC38B5">
        <w:rPr>
          <w:rFonts w:ascii="Times New Roman" w:hAnsi="Times New Roman"/>
          <w:b/>
          <w:color w:val="000000" w:themeColor="text1"/>
        </w:rPr>
        <w:t xml:space="preserve">Form I-485, Supplement A, and </w:t>
      </w:r>
    </w:p>
    <w:p w:rsidRPr="00EC38B5" w:rsidR="007312F9" w:rsidP="00EC38B5" w:rsidRDefault="00EC38B5" w14:paraId="50140E53" w14:textId="5FA9F923">
      <w:pPr>
        <w:jc w:val="center"/>
        <w:rPr>
          <w:rFonts w:ascii="Times New Roman" w:hAnsi="Times New Roman"/>
          <w:b/>
          <w:bCs/>
          <w:color w:val="000000" w:themeColor="text1"/>
        </w:rPr>
      </w:pPr>
      <w:r w:rsidRPr="00EC38B5">
        <w:rPr>
          <w:rFonts w:ascii="Times New Roman" w:hAnsi="Times New Roman"/>
          <w:b/>
          <w:color w:val="000000" w:themeColor="text1"/>
        </w:rPr>
        <w:t>Instructions for Filing Form I-485, Supplement A and Supplement J</w:t>
      </w:r>
    </w:p>
    <w:p w:rsidRPr="00EC38B5" w:rsidR="00DE08FF" w:rsidRDefault="00DE08FF" w14:paraId="2C766F6E" w14:textId="6BCA22A4">
      <w:pPr>
        <w:jc w:val="center"/>
        <w:rPr>
          <w:rFonts w:ascii="Times New Roman" w:hAnsi="Times New Roman"/>
          <w:b/>
          <w:bCs/>
          <w:color w:val="000000" w:themeColor="text1"/>
        </w:rPr>
      </w:pPr>
      <w:r w:rsidRPr="00EC38B5">
        <w:rPr>
          <w:rFonts w:ascii="Times New Roman" w:hAnsi="Times New Roman"/>
          <w:b/>
          <w:bCs/>
          <w:color w:val="000000" w:themeColor="text1"/>
        </w:rPr>
        <w:t xml:space="preserve">OMB Control No.: </w:t>
      </w:r>
      <w:r w:rsidRPr="00EC38B5" w:rsidR="00A05B27">
        <w:rPr>
          <w:rFonts w:ascii="Times New Roman" w:hAnsi="Times New Roman"/>
          <w:b/>
          <w:bCs/>
          <w:color w:val="000000" w:themeColor="text1"/>
        </w:rPr>
        <w:t>1615-</w:t>
      </w:r>
      <w:r w:rsidRPr="00EC38B5" w:rsidR="00EC38B5">
        <w:rPr>
          <w:rFonts w:ascii="Times New Roman" w:hAnsi="Times New Roman"/>
          <w:b/>
          <w:bCs/>
          <w:color w:val="000000" w:themeColor="text1"/>
        </w:rPr>
        <w:t>0023</w:t>
      </w:r>
    </w:p>
    <w:p w:rsidRPr="00EC38B5" w:rsidR="00DE08FF" w:rsidRDefault="00DE08FF" w14:paraId="569D8A4E" w14:textId="28C797D7">
      <w:pPr>
        <w:jc w:val="center"/>
        <w:rPr>
          <w:rFonts w:ascii="Times New Roman" w:hAnsi="Times New Roman"/>
          <w:b/>
          <w:bCs/>
          <w:color w:val="000000" w:themeColor="text1"/>
        </w:rPr>
      </w:pPr>
      <w:r w:rsidRPr="00EC38B5">
        <w:rPr>
          <w:rFonts w:ascii="Times New Roman" w:hAnsi="Times New Roman"/>
          <w:b/>
          <w:bCs/>
          <w:color w:val="000000" w:themeColor="text1"/>
        </w:rPr>
        <w:t xml:space="preserve">COLLECTION INSTRUMENT(S): </w:t>
      </w:r>
      <w:r w:rsidRPr="00EC38B5" w:rsidR="00EC38B5">
        <w:rPr>
          <w:rFonts w:ascii="Times New Roman" w:hAnsi="Times New Roman"/>
          <w:b/>
          <w:bCs/>
          <w:color w:val="000000" w:themeColor="text1"/>
        </w:rPr>
        <w:t>I-485, I-485A, I-485J</w:t>
      </w:r>
    </w:p>
    <w:p w:rsidRPr="00EC38B5" w:rsidR="002A4A73" w:rsidRDefault="007312F9" w14:paraId="74CFA6C7" w14:textId="77777777">
      <w:pPr>
        <w:jc w:val="center"/>
        <w:rPr>
          <w:rFonts w:ascii="Times New Roman" w:hAnsi="Times New Roman"/>
          <w:b/>
          <w:bCs/>
          <w:color w:val="000000" w:themeColor="text1"/>
        </w:rPr>
      </w:pPr>
      <w:r w:rsidRPr="00EC38B5">
        <w:rPr>
          <w:rFonts w:ascii="Times New Roman" w:hAnsi="Times New Roman"/>
          <w:b/>
          <w:bCs/>
          <w:color w:val="000000" w:themeColor="text1"/>
        </w:rPr>
        <w:t xml:space="preserve"> </w:t>
      </w:r>
    </w:p>
    <w:p w:rsidRPr="00EC38B5" w:rsidR="00B27061" w:rsidRDefault="00B27061" w14:paraId="5D3E1554" w14:textId="77777777">
      <w:pPr>
        <w:jc w:val="both"/>
        <w:rPr>
          <w:rFonts w:ascii="Times New Roman" w:hAnsi="Times New Roman"/>
          <w:color w:val="000000" w:themeColor="text1"/>
        </w:rPr>
      </w:pPr>
    </w:p>
    <w:p w:rsidRPr="00004BA4" w:rsidR="00B27061" w:rsidP="00914A5D" w:rsidRDefault="00B27061" w14:paraId="31C52D3B" w14:textId="77777777">
      <w:pPr>
        <w:rPr>
          <w:rFonts w:ascii="Times New Roman" w:hAnsi="Times New Roman"/>
          <w:color w:val="000000" w:themeColor="text1"/>
        </w:rPr>
      </w:pPr>
      <w:r w:rsidRPr="00004BA4">
        <w:rPr>
          <w:rFonts w:ascii="Times New Roman" w:hAnsi="Times New Roman"/>
          <w:b/>
          <w:bCs/>
          <w:color w:val="000000" w:themeColor="text1"/>
        </w:rPr>
        <w:t>A.  Justification</w:t>
      </w:r>
    </w:p>
    <w:p w:rsidRPr="00004BA4" w:rsidR="00B27061" w:rsidP="00914A5D" w:rsidRDefault="00B27061" w14:paraId="7464F19E" w14:textId="77777777">
      <w:pPr>
        <w:rPr>
          <w:rFonts w:ascii="Times New Roman" w:hAnsi="Times New Roman"/>
          <w:color w:val="000000" w:themeColor="text1"/>
        </w:rPr>
      </w:pPr>
    </w:p>
    <w:p w:rsidRPr="00004BA4" w:rsidR="00807BA2" w:rsidP="00914A5D" w:rsidRDefault="00B27061" w14:paraId="5F963BA6"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1.</w:t>
      </w:r>
      <w:r w:rsidRPr="00004BA4">
        <w:rPr>
          <w:rFonts w:ascii="Times New Roman" w:hAnsi="Times New Roman"/>
          <w:b/>
          <w:color w:val="000000" w:themeColor="text1"/>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004BA4" w:rsidR="007312F9" w:rsidP="00914A5D" w:rsidRDefault="007312F9" w14:paraId="217B35E2" w14:textId="77777777">
      <w:pPr>
        <w:tabs>
          <w:tab w:val="left" w:pos="-1440"/>
        </w:tabs>
        <w:ind w:left="720"/>
        <w:rPr>
          <w:rFonts w:ascii="Times New Roman" w:hAnsi="Times New Roman"/>
          <w:color w:val="000000" w:themeColor="text1"/>
        </w:rPr>
      </w:pPr>
    </w:p>
    <w:p w:rsidRPr="00004BA4" w:rsidR="00EC38B5" w:rsidP="00EC38B5" w:rsidRDefault="00EC38B5" w14:paraId="70C8E0C7"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Section 245 of the Immigration and Nationality Act (INA) is the primary law that provides for the adjustment of status of foreign nationals in the United States to that of a lawful permanent resident.  INA Section 245A provides for the adjustment of status of “legalization” applicants.  INA Section 209 provides for the adjustment of status of asylees and refugees.  Special laws (cited below) provide for the adjustment of status of certain Afghan and Iraqi nationals.  INA Section 249 provides for the “registry” of lawful permanent residence for persons residing continuously in the United States since before January 1, 1972.</w:t>
      </w:r>
    </w:p>
    <w:p w:rsidRPr="00004BA4" w:rsidR="00EC38B5" w:rsidP="00EC38B5" w:rsidRDefault="00EC38B5" w14:paraId="65641E90" w14:textId="77777777">
      <w:pPr>
        <w:tabs>
          <w:tab w:val="left" w:pos="-1440"/>
        </w:tabs>
        <w:ind w:left="720"/>
        <w:rPr>
          <w:rFonts w:ascii="Times New Roman" w:hAnsi="Times New Roman"/>
          <w:color w:val="000000" w:themeColor="text1"/>
        </w:rPr>
      </w:pPr>
    </w:p>
    <w:p w:rsidRPr="00004BA4" w:rsidR="00EC38B5" w:rsidP="00EC38B5" w:rsidRDefault="00EC38B5" w14:paraId="4CF56649"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In connection with the Retention of EB-1, EB-2, and EB-3 Immigrant Workers and Program Improvements Affecting High-Skilled Nonimmigrant Workers proposed rule, RIN 1615-AC05 (NPRM), this information collection (Supplement J, Confirmation of Bona Fide Job Offer or Request for Job Portability Under INA Section 204(j) to the Form I-485) is necessary to gather information regarding the essential elements of the job offer, including to either confirm that the job offered to the adjustment applicant on the Form I-140 remains a bona fide job offer that the applicant intends to accept once the Form I-485 is approved, or to request job portability under INA section 204(j) to a new, full-time, permanent job offer that the adjustment applicant intends to accept once his or her Form I-485 is approved. The new job offer must be in the same or similar occupational classification as the job offered on an approved employment-based immigrant [Form I-140] petition that is the basis for the I-485 adjustment application.  The Form I-485 Supplement J is necessary to ensure the integrity of the overall statutory framework governing the employment-based immigration process.  </w:t>
      </w:r>
    </w:p>
    <w:p w:rsidRPr="00004BA4" w:rsidR="00EC38B5" w:rsidP="00EC38B5" w:rsidRDefault="00EC38B5" w14:paraId="7D61CE8A" w14:textId="77777777">
      <w:pPr>
        <w:tabs>
          <w:tab w:val="left" w:pos="-1440"/>
        </w:tabs>
        <w:ind w:left="720"/>
        <w:rPr>
          <w:rFonts w:ascii="Times New Roman" w:hAnsi="Times New Roman"/>
          <w:color w:val="000000" w:themeColor="text1"/>
        </w:rPr>
      </w:pPr>
    </w:p>
    <w:p w:rsidRPr="00004BA4" w:rsidR="00EC38B5" w:rsidP="00EC38B5" w:rsidRDefault="00EC38B5" w14:paraId="2C3D8409"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The typical employment-based immigrant visa process requires the prospective employer filing an immigrant petition on behalf of a foreign national to make certain formal attestations under penalty of perjury in Part N of the ETA Form 9089, commonly referred to as a labor certification.   The required attestations capture important aspects and requirements of the statutory framework governing employment-based visa categories requiring a labor certification.  However, the current practice regarding the processing of </w:t>
      </w:r>
      <w:r w:rsidRPr="00004BA4">
        <w:rPr>
          <w:rFonts w:ascii="Times New Roman" w:hAnsi="Times New Roman"/>
          <w:color w:val="000000" w:themeColor="text1"/>
        </w:rPr>
        <w:lastRenderedPageBreak/>
        <w:t>portability requests under INA Section 204(j) does not require the new employer to make similar attestations which are important in maintaining the integrity of the employment-based immigration process.</w:t>
      </w:r>
    </w:p>
    <w:p w:rsidRPr="00004BA4" w:rsidR="00EC38B5" w:rsidP="00EC38B5" w:rsidRDefault="00EC38B5" w14:paraId="4EFF2981" w14:textId="77777777">
      <w:pPr>
        <w:tabs>
          <w:tab w:val="left" w:pos="-1440"/>
        </w:tabs>
        <w:ind w:left="720"/>
        <w:rPr>
          <w:rFonts w:ascii="Times New Roman" w:hAnsi="Times New Roman"/>
          <w:color w:val="000000" w:themeColor="text1"/>
        </w:rPr>
      </w:pPr>
    </w:p>
    <w:p w:rsidRPr="00004BA4" w:rsidR="00EC38B5" w:rsidP="00EC38B5" w:rsidRDefault="00EC38B5" w14:paraId="2DE82AB5"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Additionally, the foreign beneficiary named on an U.S. Department of Labor (DOL) Application for Permanent Employment Certification, ETA Form 9089, is also required to make a formal attestation under penalty of perjury in Part L of the ETA Form 9089 that he or she intends to accept the position offered in the labor certification, if the labor certification is approved and the applicant is granted a visa or adjustment of status based on the labor certification.  Currently, an applicant is not required to make a similar attestation, or any specific attestation, when submitting a portability request under INA Section 204(j) to USCIS.</w:t>
      </w:r>
    </w:p>
    <w:p w:rsidRPr="00004BA4" w:rsidR="00EC38B5" w:rsidP="00EC38B5" w:rsidRDefault="00EC38B5" w14:paraId="3EBB2A5C" w14:textId="77777777">
      <w:pPr>
        <w:tabs>
          <w:tab w:val="left" w:pos="-1440"/>
        </w:tabs>
        <w:ind w:left="720"/>
        <w:rPr>
          <w:rFonts w:ascii="Times New Roman" w:hAnsi="Times New Roman"/>
          <w:color w:val="000000" w:themeColor="text1"/>
        </w:rPr>
      </w:pPr>
    </w:p>
    <w:p w:rsidRPr="00004BA4" w:rsidR="00EC38B5" w:rsidP="00EC38B5" w:rsidRDefault="00EC38B5" w14:paraId="2D54E5A3"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This allows USCIS to perform these important functions by requiring formal attestations by both (a) the adjustment applicant requesting portability under INA Section 204(j) and (b) the employer offering the applicant a new permanent job offer.  Requiring a formal attestation from the employer is important in any employment visa classification requiring a new or amended job offer, regardless of whether a certified labor certification is required. </w:t>
      </w:r>
    </w:p>
    <w:p w:rsidRPr="00004BA4" w:rsidR="00EC38B5" w:rsidP="00EC38B5" w:rsidRDefault="00EC38B5" w14:paraId="2CFA6C5E" w14:textId="77777777">
      <w:pPr>
        <w:tabs>
          <w:tab w:val="left" w:pos="-1440"/>
        </w:tabs>
        <w:ind w:left="720"/>
        <w:rPr>
          <w:rFonts w:ascii="Times New Roman" w:hAnsi="Times New Roman"/>
          <w:color w:val="000000" w:themeColor="text1"/>
        </w:rPr>
      </w:pPr>
    </w:p>
    <w:p w:rsidRPr="00004BA4" w:rsidR="00EC38B5" w:rsidP="00EC38B5" w:rsidRDefault="00EC38B5" w14:paraId="1E1C16EF"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This information collection will be the first time USCIS collects basic but important information about employers offering a new permanent job offer to a specific foreign national under INA Section 204(j).  This information collection will serve as an important anti-fraud measure, and it will assist USCIS in validating employers who extend new permanent job offers to foreign nationals under INA Section 204(j). </w:t>
      </w:r>
    </w:p>
    <w:p w:rsidRPr="00004BA4" w:rsidR="00EC38B5" w:rsidP="00EC38B5" w:rsidRDefault="00EC38B5" w14:paraId="36A89EEC" w14:textId="77777777">
      <w:pPr>
        <w:tabs>
          <w:tab w:val="left" w:pos="-1440"/>
        </w:tabs>
        <w:ind w:left="720"/>
        <w:rPr>
          <w:rFonts w:ascii="Times New Roman" w:hAnsi="Times New Roman"/>
          <w:color w:val="000000" w:themeColor="text1"/>
        </w:rPr>
      </w:pPr>
    </w:p>
    <w:p w:rsidRPr="00004BA4" w:rsidR="00EC38B5" w:rsidP="00EC38B5" w:rsidRDefault="00EC38B5" w14:paraId="7DE5A43D"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Background: Section 245 of the INA is the primary law that provides for the adjustment of status of foreign nationals in the United States to that of a lawful permanent resident.  INA Section 245A provides for the adjustment of status of “legalization” applicants.  INA Section 209 provides for the adjustment of status of asylees and refugees.  Special laws (cited below) provide for the adjustment of status of certain Afghan and Iraqi nationals.  INA Section 249 provides for the “registry” of lawful permanent residence for persons residing continuously in the United States since before January 1, 1972.</w:t>
      </w:r>
    </w:p>
    <w:p w:rsidRPr="00004BA4" w:rsidR="00EC38B5" w:rsidP="00EC38B5" w:rsidRDefault="00EC38B5" w14:paraId="6DDAB690" w14:textId="77777777">
      <w:pPr>
        <w:tabs>
          <w:tab w:val="left" w:pos="-1440"/>
        </w:tabs>
        <w:ind w:left="720"/>
        <w:rPr>
          <w:rFonts w:ascii="Times New Roman" w:hAnsi="Times New Roman"/>
          <w:color w:val="000000" w:themeColor="text1"/>
        </w:rPr>
      </w:pPr>
    </w:p>
    <w:p w:rsidRPr="00004BA4" w:rsidR="00EC38B5" w:rsidP="00EC38B5" w:rsidRDefault="00EC38B5" w14:paraId="7A9A9CA2"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INA Section 291 provides that “whenever any person makes an application for a visa . . . or makes an application for admission, or otherwise attempts to enter the United States, the burden of proof shall be upon such person to establish that he is eligible to receive such visa or such document, or is not inadmissible under any provision of this Act, and, if an alien, that he is entitled to the . . . immigrant . . . status claimed.</w:t>
      </w:r>
    </w:p>
    <w:p w:rsidRPr="00004BA4" w:rsidR="00EC38B5" w:rsidP="00EC38B5" w:rsidRDefault="00EC38B5" w14:paraId="1877E977" w14:textId="77777777">
      <w:pPr>
        <w:tabs>
          <w:tab w:val="left" w:pos="-1440"/>
        </w:tabs>
        <w:ind w:left="720"/>
        <w:rPr>
          <w:rFonts w:ascii="Times New Roman" w:hAnsi="Times New Roman"/>
          <w:color w:val="000000" w:themeColor="text1"/>
        </w:rPr>
      </w:pPr>
    </w:p>
    <w:p w:rsidRPr="00004BA4" w:rsidR="00EC38B5" w:rsidP="00EC38B5" w:rsidRDefault="00EC38B5" w14:paraId="48AD0019" w14:textId="5D5F3619">
      <w:pPr>
        <w:tabs>
          <w:tab w:val="left" w:pos="-1440"/>
        </w:tabs>
        <w:ind w:left="720"/>
        <w:rPr>
          <w:rFonts w:ascii="Times New Roman" w:hAnsi="Times New Roman"/>
          <w:color w:val="000000" w:themeColor="text1"/>
        </w:rPr>
      </w:pPr>
      <w:r w:rsidRPr="00004BA4">
        <w:rPr>
          <w:rFonts w:ascii="Times New Roman" w:hAnsi="Times New Roman"/>
          <w:color w:val="000000" w:themeColor="text1"/>
        </w:rPr>
        <w:t>INA Section 204(b) states:</w:t>
      </w:r>
    </w:p>
    <w:p w:rsidRPr="00004BA4" w:rsidR="00EC38B5" w:rsidP="00EC38B5" w:rsidRDefault="00EC38B5" w14:paraId="2FE9A450" w14:textId="77777777">
      <w:pPr>
        <w:tabs>
          <w:tab w:val="left" w:pos="-1440"/>
        </w:tabs>
        <w:ind w:left="720"/>
        <w:rPr>
          <w:rFonts w:ascii="Times New Roman" w:hAnsi="Times New Roman"/>
          <w:color w:val="000000" w:themeColor="text1"/>
        </w:rPr>
      </w:pPr>
    </w:p>
    <w:p w:rsidRPr="00004BA4" w:rsidR="00EC38B5" w:rsidP="00EC38B5" w:rsidRDefault="00EC38B5" w14:paraId="315153C0"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Investigation; consultation; approval; authorized to grant preference status.  After an investigation of the facts in each case, and after consultation with the Secretary of Labor with respect to employment-based immigrant [Form I-140] petitions to accord a status </w:t>
      </w:r>
      <w:r w:rsidRPr="00004BA4">
        <w:rPr>
          <w:rFonts w:ascii="Times New Roman" w:hAnsi="Times New Roman"/>
          <w:color w:val="000000" w:themeColor="text1"/>
        </w:rPr>
        <w:lastRenderedPageBreak/>
        <w:t>under section 203(b)(2) or 203(b), the Attorney General shall, if he determines that the facts stated in the petition are true and that the alien in behalf of whom the petition is made . . . is eligible for preference under subsection (a) or (b) of 203(b), approve the petition.</w:t>
      </w:r>
    </w:p>
    <w:p w:rsidRPr="00004BA4" w:rsidR="00EC38B5" w:rsidP="00EC38B5" w:rsidRDefault="00EC38B5" w14:paraId="1806B98E" w14:textId="77777777">
      <w:pPr>
        <w:tabs>
          <w:tab w:val="left" w:pos="-1440"/>
        </w:tabs>
        <w:ind w:left="720"/>
        <w:rPr>
          <w:rFonts w:ascii="Times New Roman" w:hAnsi="Times New Roman"/>
          <w:color w:val="000000" w:themeColor="text1"/>
        </w:rPr>
      </w:pPr>
    </w:p>
    <w:p w:rsidRPr="00004BA4" w:rsidR="00EC38B5" w:rsidP="00EC38B5" w:rsidRDefault="00EC38B5" w14:paraId="55093707"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INA Section 204(e) states:</w:t>
      </w:r>
    </w:p>
    <w:p w:rsidRPr="00004BA4" w:rsidR="00EC38B5" w:rsidP="00EC38B5" w:rsidRDefault="00EC38B5" w14:paraId="5D90FB75" w14:textId="77777777">
      <w:pPr>
        <w:tabs>
          <w:tab w:val="left" w:pos="-1440"/>
        </w:tabs>
        <w:ind w:left="720"/>
        <w:rPr>
          <w:rFonts w:ascii="Times New Roman" w:hAnsi="Times New Roman"/>
          <w:color w:val="000000" w:themeColor="text1"/>
        </w:rPr>
      </w:pPr>
    </w:p>
    <w:p w:rsidRPr="00004BA4" w:rsidR="00EC38B5" w:rsidP="00EC38B5" w:rsidRDefault="00EC38B5" w14:paraId="1E0B9145"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Subsequent finding of non-entitlement to preference classification.  Nothing in this section shall be construed to entitle an immigrant, on behalf of whom a petition under this section is approved, to be admitted to the United States as an immigrant under subsection (a), (b), or (c) of section 203 . . . if upon his arrival at a port of entry in the United States he is found not to be entitled to such classification.</w:t>
      </w:r>
    </w:p>
    <w:p w:rsidRPr="00004BA4" w:rsidR="00EC38B5" w:rsidP="00EC38B5" w:rsidRDefault="00EC38B5" w14:paraId="3CD0CEC5" w14:textId="77777777">
      <w:pPr>
        <w:tabs>
          <w:tab w:val="left" w:pos="-1440"/>
        </w:tabs>
        <w:ind w:left="720"/>
        <w:rPr>
          <w:rFonts w:ascii="Times New Roman" w:hAnsi="Times New Roman"/>
          <w:color w:val="000000" w:themeColor="text1"/>
        </w:rPr>
      </w:pPr>
    </w:p>
    <w:p w:rsidRPr="00004BA4" w:rsidR="00EC38B5" w:rsidP="00EC38B5" w:rsidRDefault="00EC38B5" w14:paraId="31993914"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The employment-based immigrant visa process generally involves a multi-step process that may involve various U.S. governmental departments, including USCIS, DOL, and the U.S. Department of State (DOS).</w:t>
      </w:r>
    </w:p>
    <w:p w:rsidRPr="00004BA4" w:rsidR="00EC38B5" w:rsidP="00EC38B5" w:rsidRDefault="00EC38B5" w14:paraId="5E2F821D" w14:textId="77777777">
      <w:pPr>
        <w:tabs>
          <w:tab w:val="left" w:pos="-1440"/>
        </w:tabs>
        <w:ind w:left="720"/>
        <w:rPr>
          <w:rFonts w:ascii="Times New Roman" w:hAnsi="Times New Roman"/>
          <w:color w:val="000000" w:themeColor="text1"/>
        </w:rPr>
      </w:pPr>
    </w:p>
    <w:p w:rsidRPr="00004BA4" w:rsidR="00EC38B5" w:rsidP="00EC38B5" w:rsidRDefault="00EC38B5" w14:paraId="5F9F882C"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Because of the passage of time between the approval of the labor certification process, the approval of the employment-based immigrant [Form I-140] petition process, and adjustment of status, [Form I-485] process, this information collection is necessary to ensure that the applicant is still entitled to employment-based immigrant visa classification under INA Section 203(b) and is not inadmissible to the United States at the time the Form I-485 is filed and adjudicated.  Regarding inadmissibility grounds that this information collection relates to see INA Section 212(a)(5)(A); INA 212(a)(4).</w:t>
      </w:r>
    </w:p>
    <w:p w:rsidRPr="00004BA4" w:rsidR="00EC38B5" w:rsidP="00EC38B5" w:rsidRDefault="00EC38B5" w14:paraId="0637E092" w14:textId="77777777">
      <w:pPr>
        <w:tabs>
          <w:tab w:val="left" w:pos="-1440"/>
        </w:tabs>
        <w:ind w:left="720"/>
        <w:rPr>
          <w:rFonts w:ascii="Times New Roman" w:hAnsi="Times New Roman"/>
          <w:color w:val="000000" w:themeColor="text1"/>
        </w:rPr>
      </w:pPr>
    </w:p>
    <w:p w:rsidRPr="00004BA4" w:rsidR="00EC38B5" w:rsidP="00EC38B5" w:rsidRDefault="00EC38B5" w14:paraId="28AEF9B0"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Additionally, Section 106(c) of The American Competitiveness in the Twenty-First Century Act of 2000, Pub. L. No. 106-313, 114 Stat. 1251 (“AC21”), amended INA Section 204 by adding subsection (j), titled “Job Flexibility for Long Delayed Applicants for Adjustment of Status to Permanent Residence.”  INA Section 204(j) states:</w:t>
      </w:r>
    </w:p>
    <w:p w:rsidRPr="00004BA4" w:rsidR="00EC38B5" w:rsidP="00EC38B5" w:rsidRDefault="00EC38B5" w14:paraId="5BAD94B3" w14:textId="77777777">
      <w:pPr>
        <w:tabs>
          <w:tab w:val="left" w:pos="-1440"/>
        </w:tabs>
        <w:ind w:left="720"/>
        <w:rPr>
          <w:rFonts w:ascii="Times New Roman" w:hAnsi="Times New Roman"/>
          <w:color w:val="000000" w:themeColor="text1"/>
        </w:rPr>
      </w:pPr>
    </w:p>
    <w:p w:rsidRPr="00004BA4" w:rsidR="00EC38B5" w:rsidP="00EC38B5" w:rsidRDefault="00EC38B5" w14:paraId="2D2E86F9"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A petition under subsection (a)(1)(D) [redesignated as (a)(1)(F)] for an individual whose application for adjustment of status pursuant to INA section 245 has been filed and remained unadjudicated for 180 days or more shall remain valid with respect to a new job if the individual changes jobs or employers if the new job is in the same or a similar occupational classification as the job for which the petition was filed.</w:t>
      </w:r>
    </w:p>
    <w:p w:rsidRPr="00004BA4" w:rsidR="00EC38B5" w:rsidP="00EC38B5" w:rsidRDefault="00EC38B5" w14:paraId="6CFCC02B" w14:textId="77777777">
      <w:pPr>
        <w:tabs>
          <w:tab w:val="left" w:pos="-1440"/>
        </w:tabs>
        <w:ind w:left="720"/>
        <w:rPr>
          <w:rFonts w:ascii="Times New Roman" w:hAnsi="Times New Roman"/>
          <w:color w:val="000000" w:themeColor="text1"/>
        </w:rPr>
      </w:pPr>
    </w:p>
    <w:p w:rsidRPr="00004BA4" w:rsidR="00EC38B5" w:rsidP="00EC38B5" w:rsidRDefault="00EC38B5" w14:paraId="376516ED"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Importantly, AC21 created a parallel provision at INA Section 212(a)(5)(A)(iv) that extended the validity of any underlying labor certification if the conditions of INA Section 204(j) are satisfied.</w:t>
      </w:r>
    </w:p>
    <w:p w:rsidRPr="00004BA4" w:rsidR="00EC38B5" w:rsidP="00EC38B5" w:rsidRDefault="00EC38B5" w14:paraId="3C2D4BC1" w14:textId="77777777">
      <w:pPr>
        <w:tabs>
          <w:tab w:val="left" w:pos="-1440"/>
        </w:tabs>
        <w:ind w:left="720"/>
        <w:rPr>
          <w:rFonts w:ascii="Times New Roman" w:hAnsi="Times New Roman"/>
          <w:color w:val="000000" w:themeColor="text1"/>
        </w:rPr>
      </w:pPr>
    </w:p>
    <w:p w:rsidRPr="00004BA4" w:rsidR="00EC38B5" w:rsidP="00EC38B5" w:rsidRDefault="00EC38B5" w14:paraId="30BFF3CC" w14:textId="77777777">
      <w:pPr>
        <w:tabs>
          <w:tab w:val="left" w:pos="-1440"/>
        </w:tabs>
        <w:ind w:left="720"/>
        <w:rPr>
          <w:rFonts w:ascii="Times New Roman" w:hAnsi="Times New Roman"/>
          <w:color w:val="000000" w:themeColor="text1"/>
        </w:rPr>
      </w:pPr>
    </w:p>
    <w:p w:rsidRPr="00004BA4" w:rsidR="00EC38B5" w:rsidP="00EC38B5" w:rsidRDefault="00EC38B5" w14:paraId="4EF893ED"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Authority:  INA Section 245and 8 CFR 245.1 et seq.; INA Section 245A and 8 CFR 245(a).1 et seq.; INA Section 209 and 8 CFR 209.1 et seq.; Section 1059 of Public Law 109-163, as amended by Public Law 110-36; Section 1244 of Public Law 110-181, as amended by section 602(b)(9) of Public Law 111-8; Section 602(b) of Public Law 111-8; </w:t>
      </w:r>
      <w:r w:rsidRPr="00004BA4">
        <w:rPr>
          <w:rFonts w:ascii="Times New Roman" w:hAnsi="Times New Roman"/>
          <w:color w:val="000000" w:themeColor="text1"/>
        </w:rPr>
        <w:lastRenderedPageBreak/>
        <w:t xml:space="preserve">INA Section 249 and 8 CFR 249.1 et seq; INA Section 291; INA Section 204(b); INA Section 204(e); INA Section 212(a)(5)(A); INA Section 212(a)(4); INA Section 204(j); Section 902 of Public Law 105-277 (HRIFA). </w:t>
      </w:r>
    </w:p>
    <w:p w:rsidRPr="00004BA4" w:rsidR="00A3466A" w:rsidP="00914A5D" w:rsidRDefault="00A3466A" w14:paraId="33457D57" w14:textId="77777777">
      <w:pPr>
        <w:tabs>
          <w:tab w:val="left" w:pos="-1440"/>
        </w:tabs>
        <w:ind w:left="720"/>
        <w:rPr>
          <w:rFonts w:ascii="Times New Roman" w:hAnsi="Times New Roman"/>
          <w:color w:val="000000" w:themeColor="text1"/>
        </w:rPr>
      </w:pPr>
    </w:p>
    <w:p w:rsidRPr="00004BA4" w:rsidR="00B27061" w:rsidP="00914A5D" w:rsidRDefault="00B27061" w14:paraId="0BE633CC"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2.</w:t>
      </w:r>
      <w:r w:rsidRPr="00004BA4">
        <w:rPr>
          <w:rFonts w:ascii="Times New Roman" w:hAnsi="Times New Roman"/>
          <w:b/>
          <w:color w:val="000000" w:themeColor="text1"/>
        </w:rPr>
        <w:tab/>
        <w:t>Indicate how, by whom, and for what purpose the information is to be used.  Except for a new collection, indicate the actual use the agency has made of the information received from the current collection.</w:t>
      </w:r>
    </w:p>
    <w:p w:rsidRPr="00004BA4" w:rsidR="00B27061" w:rsidP="00914A5D" w:rsidRDefault="00B27061" w14:paraId="195DCDA3" w14:textId="77777777">
      <w:pPr>
        <w:ind w:left="720"/>
        <w:rPr>
          <w:rFonts w:ascii="Times New Roman" w:hAnsi="Times New Roman"/>
          <w:color w:val="000000" w:themeColor="text1"/>
        </w:rPr>
      </w:pPr>
    </w:p>
    <w:p w:rsidRPr="00004BA4" w:rsidR="00EC38B5" w:rsidP="00EC38B5" w:rsidRDefault="00EC38B5" w14:paraId="582339D4" w14:textId="77777777">
      <w:pPr>
        <w:ind w:left="720"/>
        <w:rPr>
          <w:rFonts w:ascii="Times New Roman" w:hAnsi="Times New Roman"/>
          <w:color w:val="000000" w:themeColor="text1"/>
        </w:rPr>
      </w:pPr>
      <w:r w:rsidRPr="00004BA4">
        <w:rPr>
          <w:rFonts w:ascii="Times New Roman" w:hAnsi="Times New Roman"/>
          <w:color w:val="000000" w:themeColor="text1"/>
        </w:rPr>
        <w:t xml:space="preserve">The data collected on these forms are used by U.S. Citizenship and Immigration Services (USCIS) and the Executive Office of Immigration Review (EOIR) to determine eligibility for the requested immigration benefit.  The forms serve the purpose of standardizing requests for benefits and ensuring that applicants provide all essential information required for USCIS to assess eligibility and adjudicate the applications.  Form I-485 is used by all applicants seeking to adjust status to permanent resident under INA section 245(a).  Supplement A to Form I-485 is used by a very small subset of applicants seeking to adjust status under INA section 245(i).  The Form I-485 instructions provide general guidance applicable to all applicants for adjustment of status, along with additional instructions that provide guidance specific to an applicant’s particular immigrant category under which they are filing (such as family-based, employment-based, etc.).  </w:t>
      </w:r>
    </w:p>
    <w:p w:rsidRPr="00004BA4" w:rsidR="00EC38B5" w:rsidP="00EC38B5" w:rsidRDefault="00EC38B5" w14:paraId="5A6E7173" w14:textId="77777777">
      <w:pPr>
        <w:ind w:left="720"/>
        <w:rPr>
          <w:rFonts w:ascii="Times New Roman" w:hAnsi="Times New Roman"/>
          <w:color w:val="000000" w:themeColor="text1"/>
        </w:rPr>
      </w:pPr>
    </w:p>
    <w:p w:rsidRPr="00004BA4" w:rsidR="00590B61" w:rsidP="00EC38B5" w:rsidRDefault="00EC38B5" w14:paraId="1A48B71F" w14:textId="21200E99">
      <w:pPr>
        <w:ind w:left="720"/>
        <w:rPr>
          <w:rFonts w:ascii="Times New Roman" w:hAnsi="Times New Roman"/>
          <w:color w:val="000000" w:themeColor="text1"/>
        </w:rPr>
      </w:pPr>
      <w:r w:rsidRPr="00004BA4">
        <w:rPr>
          <w:rFonts w:ascii="Times New Roman" w:hAnsi="Times New Roman"/>
          <w:color w:val="000000" w:themeColor="text1"/>
        </w:rPr>
        <w:t>Supplement J will be used by applicants whose adjustment of status is based on an approved employment-based immigrant visa petition that requires a job offer.</w:t>
      </w:r>
    </w:p>
    <w:p w:rsidRPr="00004BA4" w:rsidR="00EC38B5" w:rsidP="00EC38B5" w:rsidRDefault="00EC38B5" w14:paraId="65DCD75A" w14:textId="77777777">
      <w:pPr>
        <w:ind w:left="720"/>
        <w:rPr>
          <w:rFonts w:ascii="Times New Roman" w:hAnsi="Times New Roman"/>
          <w:color w:val="000000" w:themeColor="text1"/>
        </w:rPr>
      </w:pPr>
    </w:p>
    <w:p w:rsidRPr="00004BA4" w:rsidR="00B27061" w:rsidP="00914A5D" w:rsidRDefault="00B27061" w14:paraId="72A5CD5E"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3.</w:t>
      </w:r>
      <w:r w:rsidRPr="00004BA4">
        <w:rPr>
          <w:rFonts w:ascii="Times New Roman" w:hAnsi="Times New Roman"/>
          <w:b/>
          <w:color w:val="000000" w:themeColor="text1"/>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004BA4" w:rsidR="007312F9" w:rsidP="00914A5D" w:rsidRDefault="007312F9" w14:paraId="5DC47653" w14:textId="77777777">
      <w:pPr>
        <w:tabs>
          <w:tab w:val="left" w:pos="-1440"/>
        </w:tabs>
        <w:ind w:left="720"/>
        <w:rPr>
          <w:rFonts w:ascii="Times New Roman" w:hAnsi="Times New Roman"/>
          <w:color w:val="000000" w:themeColor="text1"/>
        </w:rPr>
      </w:pPr>
    </w:p>
    <w:p w:rsidRPr="00004BA4" w:rsidR="00EC38B5" w:rsidP="00EC38B5" w:rsidRDefault="00EC38B5" w14:paraId="441569A8"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The use of the Form I-485, Form I-485 Supplement A, and the Instruction for Filing Form I-485 and Supplement A provide the most efficient means of collecting and processing the information needed to determine eligibility for individuals to acquire permanent residence status through adjustment of status.  The forms can be completed electronically but currently cannot be filed electronically.</w:t>
      </w:r>
    </w:p>
    <w:p w:rsidRPr="00004BA4" w:rsidR="00EC38B5" w:rsidP="00EC38B5" w:rsidRDefault="00EC38B5" w14:paraId="04831EB0" w14:textId="77777777">
      <w:pPr>
        <w:tabs>
          <w:tab w:val="left" w:pos="-1440"/>
        </w:tabs>
        <w:ind w:left="720"/>
        <w:rPr>
          <w:rFonts w:ascii="Times New Roman" w:hAnsi="Times New Roman"/>
          <w:color w:val="000000" w:themeColor="text1"/>
        </w:rPr>
      </w:pPr>
    </w:p>
    <w:p w:rsidRPr="00004BA4" w:rsidR="00EC38B5" w:rsidP="00EC38B5" w:rsidRDefault="00EC38B5" w14:paraId="353CF272"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Forms I-485 and I485A will be available electronically at www.uscis.gov/I-485.</w:t>
      </w:r>
    </w:p>
    <w:p w:rsidRPr="00004BA4" w:rsidR="00EC38B5" w:rsidP="00EC38B5" w:rsidRDefault="00EC38B5" w14:paraId="7E2DD534" w14:textId="77777777">
      <w:pPr>
        <w:tabs>
          <w:tab w:val="left" w:pos="-1440"/>
        </w:tabs>
        <w:ind w:left="720"/>
        <w:rPr>
          <w:rFonts w:ascii="Times New Roman" w:hAnsi="Times New Roman"/>
          <w:color w:val="000000" w:themeColor="text1"/>
        </w:rPr>
      </w:pPr>
    </w:p>
    <w:p w:rsidRPr="00004BA4" w:rsidR="00494557" w:rsidP="00EC38B5" w:rsidRDefault="00EC38B5" w14:paraId="54FC2CA3" w14:textId="3F592B45">
      <w:pPr>
        <w:tabs>
          <w:tab w:val="left" w:pos="-1440"/>
        </w:tabs>
        <w:ind w:left="720"/>
        <w:rPr>
          <w:rFonts w:ascii="Times New Roman" w:hAnsi="Times New Roman"/>
          <w:color w:val="000000" w:themeColor="text1"/>
        </w:rPr>
      </w:pPr>
      <w:r w:rsidRPr="00004BA4">
        <w:rPr>
          <w:rFonts w:ascii="Times New Roman" w:hAnsi="Times New Roman"/>
          <w:color w:val="000000" w:themeColor="text1"/>
        </w:rPr>
        <w:t>USCIS is in the process of investigating the requirements for electronic submission of Forms I-485 and I-485A.  Currently, respondents can access and complete the forms online but they must submit the completed application by mail.</w:t>
      </w:r>
    </w:p>
    <w:p w:rsidRPr="00004BA4" w:rsidR="007312F9" w:rsidP="00914A5D" w:rsidRDefault="007312F9" w14:paraId="694944ED" w14:textId="77777777">
      <w:pPr>
        <w:tabs>
          <w:tab w:val="left" w:pos="-1440"/>
        </w:tabs>
        <w:ind w:left="720"/>
        <w:rPr>
          <w:rFonts w:ascii="Times New Roman" w:hAnsi="Times New Roman"/>
          <w:color w:val="000000" w:themeColor="text1"/>
        </w:rPr>
      </w:pPr>
    </w:p>
    <w:p w:rsidRPr="00004BA4" w:rsidR="00B27061" w:rsidP="00914A5D" w:rsidRDefault="00B27061" w14:paraId="3AE61E86"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4.</w:t>
      </w:r>
      <w:r w:rsidRPr="00004BA4">
        <w:rPr>
          <w:rFonts w:ascii="Times New Roman" w:hAnsi="Times New Roman"/>
          <w:b/>
          <w:color w:val="000000" w:themeColor="text1"/>
        </w:rPr>
        <w:tab/>
        <w:t>Describe efforts to identify duplication.  Show specifically why any similar information already available cannot be used or modified for use for the purposes described in Item 2 above.</w:t>
      </w:r>
    </w:p>
    <w:p w:rsidRPr="00004BA4" w:rsidR="007312F9" w:rsidP="00914A5D" w:rsidRDefault="007312F9" w14:paraId="292DE022" w14:textId="77777777">
      <w:pPr>
        <w:tabs>
          <w:tab w:val="left" w:pos="-1440"/>
        </w:tabs>
        <w:ind w:left="720"/>
        <w:rPr>
          <w:rFonts w:ascii="Times New Roman" w:hAnsi="Times New Roman"/>
          <w:color w:val="000000" w:themeColor="text1"/>
        </w:rPr>
      </w:pPr>
    </w:p>
    <w:p w:rsidRPr="00004BA4" w:rsidR="00EC38B5" w:rsidP="00EC38B5" w:rsidRDefault="00EC38B5" w14:paraId="716B40AA"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USCIS has investigated its internal processes, files and data as well as those of other Federal agencies that may service the same population.  In an effort to minimize collecting duplicate information, USCIS reviews the applications and make a request for specific information using the I-797.</w:t>
      </w:r>
    </w:p>
    <w:p w:rsidRPr="00004BA4" w:rsidR="00EC38B5" w:rsidP="00EC38B5" w:rsidRDefault="00EC38B5" w14:paraId="3A9CA222" w14:textId="77777777">
      <w:pPr>
        <w:tabs>
          <w:tab w:val="left" w:pos="-1440"/>
        </w:tabs>
        <w:ind w:left="720"/>
        <w:rPr>
          <w:rFonts w:ascii="Times New Roman" w:hAnsi="Times New Roman"/>
          <w:color w:val="000000" w:themeColor="text1"/>
        </w:rPr>
      </w:pPr>
    </w:p>
    <w:p w:rsidRPr="00004BA4" w:rsidR="00494557" w:rsidP="00EC38B5" w:rsidRDefault="00EC38B5" w14:paraId="5FFC4FF1" w14:textId="2604CD3E">
      <w:pPr>
        <w:tabs>
          <w:tab w:val="left" w:pos="-1440"/>
        </w:tabs>
        <w:ind w:left="720"/>
        <w:rPr>
          <w:rFonts w:ascii="Times New Roman" w:hAnsi="Times New Roman"/>
          <w:color w:val="000000" w:themeColor="text1"/>
        </w:rPr>
      </w:pPr>
      <w:r w:rsidRPr="00004BA4">
        <w:rPr>
          <w:rFonts w:ascii="Times New Roman" w:hAnsi="Times New Roman"/>
          <w:color w:val="000000" w:themeColor="text1"/>
        </w:rPr>
        <w:t>The information collected via the I-485 and its associated instructions collect information necessary to adjudicate the applicant’s request.  Some pieces of the data collected here may be done so via instruments that other agencies utilize, but the bulk of the information necessary to adjudicate the application for adjustment of status must be up-to-date at the time of the request and decision.  Because of the extensive eligibility requirements for adjustment of status, attempting to gather information from other agencies that might have a few select parts of the required data and then verifying the authenticity and timeliness of the detail would require time beyond what currently is required to process the application.  This would increase the cost for the applicant beyond the current fee charged due to the additional processing time that investigating, obtaining, and verifying the other agency’s information would require.</w:t>
      </w:r>
    </w:p>
    <w:p w:rsidRPr="00004BA4" w:rsidR="007312F9" w:rsidP="00914A5D" w:rsidRDefault="007312F9" w14:paraId="6D93B75A"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ab/>
      </w:r>
    </w:p>
    <w:p w:rsidRPr="00004BA4" w:rsidR="00B27061" w:rsidP="00914A5D" w:rsidRDefault="00B27061" w14:paraId="56EDD9A0"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5.</w:t>
      </w:r>
      <w:r w:rsidRPr="00004BA4">
        <w:rPr>
          <w:rFonts w:ascii="Times New Roman" w:hAnsi="Times New Roman"/>
          <w:b/>
          <w:color w:val="000000" w:themeColor="text1"/>
        </w:rPr>
        <w:tab/>
        <w:t>If the collection of information impacts small businesses or other small entities (Item 5 of OMB Form 83-I), describe any methods used to minimize burden.</w:t>
      </w:r>
    </w:p>
    <w:p w:rsidRPr="00004BA4" w:rsidR="007312F9" w:rsidP="00914A5D" w:rsidRDefault="007312F9" w14:paraId="7DC2B88C" w14:textId="77777777">
      <w:pPr>
        <w:tabs>
          <w:tab w:val="left" w:pos="-1440"/>
        </w:tabs>
        <w:ind w:left="720"/>
        <w:rPr>
          <w:rFonts w:ascii="Times New Roman" w:hAnsi="Times New Roman"/>
          <w:color w:val="000000" w:themeColor="text1"/>
        </w:rPr>
      </w:pPr>
    </w:p>
    <w:p w:rsidRPr="00004BA4" w:rsidR="00EC38B5" w:rsidP="00914A5D" w:rsidRDefault="00EC38B5" w14:paraId="50B814EB"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The collection of information does not have an impact on small businesses or other small entities.</w:t>
      </w:r>
    </w:p>
    <w:p w:rsidRPr="00004BA4" w:rsidR="007312F9" w:rsidP="00914A5D" w:rsidRDefault="007312F9" w14:paraId="46E89B37" w14:textId="07FEB024">
      <w:pPr>
        <w:tabs>
          <w:tab w:val="left" w:pos="-1440"/>
        </w:tabs>
        <w:ind w:left="720"/>
        <w:rPr>
          <w:rFonts w:ascii="Times New Roman" w:hAnsi="Times New Roman"/>
          <w:color w:val="000000" w:themeColor="text1"/>
        </w:rPr>
      </w:pPr>
      <w:r w:rsidRPr="00004BA4">
        <w:rPr>
          <w:rFonts w:ascii="Times New Roman" w:hAnsi="Times New Roman"/>
          <w:color w:val="000000" w:themeColor="text1"/>
        </w:rPr>
        <w:tab/>
      </w:r>
    </w:p>
    <w:p w:rsidRPr="00004BA4" w:rsidR="00B27061" w:rsidP="00914A5D" w:rsidRDefault="00B27061" w14:paraId="64976A57"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6.</w:t>
      </w:r>
      <w:r w:rsidRPr="00004BA4">
        <w:rPr>
          <w:rFonts w:ascii="Times New Roman" w:hAnsi="Times New Roman"/>
          <w:b/>
          <w:color w:val="000000" w:themeColor="text1"/>
        </w:rPr>
        <w:tab/>
        <w:t>Describe the consequence to Federal program or policy activities if the collection is not conducted or is conducted less frequently, as well as any technical or legal obstacles to reducing burden.</w:t>
      </w:r>
    </w:p>
    <w:p w:rsidRPr="00004BA4" w:rsidR="007312F9" w:rsidP="00914A5D" w:rsidRDefault="007312F9" w14:paraId="1FD771E3" w14:textId="77777777">
      <w:pPr>
        <w:tabs>
          <w:tab w:val="left" w:pos="-1440"/>
        </w:tabs>
        <w:ind w:left="720"/>
        <w:rPr>
          <w:rFonts w:ascii="Times New Roman" w:hAnsi="Times New Roman"/>
          <w:color w:val="000000" w:themeColor="text1"/>
        </w:rPr>
      </w:pPr>
    </w:p>
    <w:p w:rsidRPr="00004BA4" w:rsidR="00494557" w:rsidP="00914A5D" w:rsidRDefault="00EC38B5" w14:paraId="478F073B" w14:textId="74FC2900">
      <w:pPr>
        <w:tabs>
          <w:tab w:val="left" w:pos="-1440"/>
        </w:tabs>
        <w:ind w:left="720"/>
        <w:rPr>
          <w:rFonts w:ascii="Times New Roman" w:hAnsi="Times New Roman"/>
          <w:color w:val="000000" w:themeColor="text1"/>
        </w:rPr>
      </w:pPr>
      <w:r w:rsidRPr="00004BA4">
        <w:rPr>
          <w:rFonts w:ascii="Times New Roman" w:hAnsi="Times New Roman"/>
          <w:color w:val="000000" w:themeColor="text1"/>
        </w:rPr>
        <w:t>If this information is not collected, it would hinder USCIS’s ability to accept and analyze information submitted by applicants for permanent residence status.</w:t>
      </w:r>
    </w:p>
    <w:p w:rsidRPr="00004BA4" w:rsidR="00EC38B5" w:rsidP="00914A5D" w:rsidRDefault="00EC38B5" w14:paraId="08BDD95E" w14:textId="77777777">
      <w:pPr>
        <w:tabs>
          <w:tab w:val="left" w:pos="-1440"/>
        </w:tabs>
        <w:ind w:left="720"/>
        <w:rPr>
          <w:rFonts w:ascii="Times New Roman" w:hAnsi="Times New Roman"/>
          <w:color w:val="000000" w:themeColor="text1"/>
        </w:rPr>
      </w:pPr>
    </w:p>
    <w:p w:rsidRPr="00004BA4" w:rsidR="00B27061" w:rsidP="00914A5D" w:rsidRDefault="00B27061" w14:paraId="5515487C"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7.</w:t>
      </w:r>
      <w:r w:rsidRPr="00004BA4">
        <w:rPr>
          <w:rFonts w:ascii="Times New Roman" w:hAnsi="Times New Roman"/>
          <w:b/>
          <w:color w:val="000000" w:themeColor="text1"/>
        </w:rPr>
        <w:tab/>
        <w:t>Explain any special circumstances that would cause an information collection to be conducted in a manner</w:t>
      </w:r>
      <w:r w:rsidRPr="00004BA4" w:rsidR="00B1471A">
        <w:rPr>
          <w:rFonts w:ascii="Times New Roman" w:hAnsi="Times New Roman"/>
          <w:b/>
          <w:color w:val="000000" w:themeColor="text1"/>
        </w:rPr>
        <w:t>:</w:t>
      </w:r>
    </w:p>
    <w:p w:rsidRPr="00004BA4" w:rsidR="006049A7" w:rsidP="00914A5D" w:rsidRDefault="006049A7" w14:paraId="2C8AA606" w14:textId="77777777">
      <w:pPr>
        <w:tabs>
          <w:tab w:val="left" w:pos="-1440"/>
        </w:tabs>
        <w:ind w:left="720"/>
        <w:rPr>
          <w:rFonts w:ascii="Times New Roman" w:hAnsi="Times New Roman"/>
          <w:b/>
          <w:color w:val="000000" w:themeColor="text1"/>
        </w:rPr>
      </w:pPr>
    </w:p>
    <w:p w:rsidRPr="00004BA4" w:rsidR="00B27061" w:rsidP="00914A5D" w:rsidRDefault="00B27061" w14:paraId="5E0FFA03"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7F5988">
        <w:rPr>
          <w:rFonts w:ascii="Times New Roman" w:hAnsi="Times New Roman"/>
          <w:b/>
          <w:color w:val="000000" w:themeColor="text1"/>
        </w:rPr>
        <w:t>Requiring</w:t>
      </w:r>
      <w:r w:rsidRPr="00004BA4">
        <w:rPr>
          <w:rFonts w:ascii="Times New Roman" w:hAnsi="Times New Roman"/>
          <w:b/>
          <w:color w:val="000000" w:themeColor="text1"/>
        </w:rPr>
        <w:t xml:space="preserve"> respondents to report information to the agency more often than quarterly;</w:t>
      </w:r>
    </w:p>
    <w:p w:rsidRPr="00004BA4" w:rsidR="00494557" w:rsidP="00914A5D" w:rsidRDefault="00494557" w14:paraId="25F72A05"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1613CEFF"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R</w:t>
      </w:r>
      <w:r w:rsidRPr="00004BA4">
        <w:rPr>
          <w:rFonts w:ascii="Times New Roman" w:hAnsi="Times New Roman"/>
          <w:b/>
          <w:color w:val="000000" w:themeColor="text1"/>
        </w:rPr>
        <w:t>equiring respondents to prepare a written response to a collection of information in fewer than 30 days after receipt of it;</w:t>
      </w:r>
    </w:p>
    <w:p w:rsidRPr="00004BA4" w:rsidR="00494557" w:rsidP="00914A5D" w:rsidRDefault="00494557" w14:paraId="10F8C390"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32732442"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R</w:t>
      </w:r>
      <w:r w:rsidRPr="00004BA4">
        <w:rPr>
          <w:rFonts w:ascii="Times New Roman" w:hAnsi="Times New Roman"/>
          <w:b/>
          <w:color w:val="000000" w:themeColor="text1"/>
        </w:rPr>
        <w:t>equiring respondents to submit more than an original and two copies of any document;</w:t>
      </w:r>
    </w:p>
    <w:p w:rsidRPr="00004BA4" w:rsidR="007312F9" w:rsidP="00914A5D" w:rsidRDefault="007312F9" w14:paraId="0642D39E"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4CBD0D7E"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R</w:t>
      </w:r>
      <w:r w:rsidRPr="00004BA4">
        <w:rPr>
          <w:rFonts w:ascii="Times New Roman" w:hAnsi="Times New Roman"/>
          <w:b/>
          <w:color w:val="000000" w:themeColor="text1"/>
        </w:rPr>
        <w:t>equiring respondents to retain records, other than health, medical, government contract, grant-in-aid, or tax records for more than three years;</w:t>
      </w:r>
    </w:p>
    <w:p w:rsidRPr="00004BA4" w:rsidR="00494557" w:rsidP="00914A5D" w:rsidRDefault="00494557" w14:paraId="0BBB845A"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33D1218D"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7F5988">
        <w:rPr>
          <w:rFonts w:ascii="Times New Roman" w:hAnsi="Times New Roman"/>
          <w:b/>
          <w:color w:val="000000" w:themeColor="text1"/>
        </w:rPr>
        <w:t>In</w:t>
      </w:r>
      <w:r w:rsidRPr="00004BA4">
        <w:rPr>
          <w:rFonts w:ascii="Times New Roman" w:hAnsi="Times New Roman"/>
          <w:b/>
          <w:color w:val="000000" w:themeColor="text1"/>
        </w:rPr>
        <w:t xml:space="preserve"> connection with a statistical survey, that is not designed to produce valid and reliable results that can be generalized to the universe of study;</w:t>
      </w:r>
    </w:p>
    <w:p w:rsidRPr="00004BA4" w:rsidR="00494557" w:rsidP="00914A5D" w:rsidRDefault="00494557" w14:paraId="7900E22E"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31F1F540"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R</w:t>
      </w:r>
      <w:r w:rsidRPr="00004BA4">
        <w:rPr>
          <w:rFonts w:ascii="Times New Roman" w:hAnsi="Times New Roman"/>
          <w:b/>
          <w:color w:val="000000" w:themeColor="text1"/>
        </w:rPr>
        <w:t>equiring the use of a statistical data classification that has not been reviewed and approved by OMB;</w:t>
      </w:r>
    </w:p>
    <w:p w:rsidRPr="00004BA4" w:rsidR="00494557" w:rsidP="00914A5D" w:rsidRDefault="00494557" w14:paraId="2A5A5984"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6728D872"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T</w:t>
      </w:r>
      <w:r w:rsidRPr="00004BA4">
        <w:rPr>
          <w:rFonts w:ascii="Times New Roman" w:hAnsi="Times New Roman"/>
          <w:b/>
          <w:color w:val="000000" w:themeColor="text1"/>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04BA4" w:rsidR="00494557" w:rsidP="00914A5D" w:rsidRDefault="00494557" w14:paraId="25046FCC" w14:textId="77777777">
      <w:pPr>
        <w:tabs>
          <w:tab w:val="left" w:pos="-1440"/>
          <w:tab w:val="left" w:pos="1080"/>
        </w:tabs>
        <w:ind w:left="1080" w:hanging="360"/>
        <w:rPr>
          <w:rFonts w:ascii="Times New Roman" w:hAnsi="Times New Roman"/>
          <w:b/>
          <w:color w:val="000000" w:themeColor="text1"/>
        </w:rPr>
      </w:pPr>
    </w:p>
    <w:p w:rsidRPr="00004BA4" w:rsidR="00B27061" w:rsidP="00914A5D" w:rsidRDefault="00B27061" w14:paraId="3641AB8B"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r>
      <w:r w:rsidRPr="00004BA4" w:rsidR="00B1471A">
        <w:rPr>
          <w:rFonts w:ascii="Times New Roman" w:hAnsi="Times New Roman"/>
          <w:b/>
          <w:color w:val="000000" w:themeColor="text1"/>
        </w:rPr>
        <w:t>R</w:t>
      </w:r>
      <w:r w:rsidRPr="00004BA4">
        <w:rPr>
          <w:rFonts w:ascii="Times New Roman" w:hAnsi="Times New Roman"/>
          <w:b/>
          <w:color w:val="000000" w:themeColor="text1"/>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7A45FC" w:rsidP="007A45FC" w:rsidRDefault="007A45FC" w14:paraId="25FD6E4B" w14:textId="33CD07B2">
      <w:pPr>
        <w:ind w:left="720"/>
        <w:rPr>
          <w:rFonts w:ascii="Times New Roman" w:hAnsi="Times New Roman"/>
        </w:rPr>
      </w:pPr>
      <w:r>
        <w:rPr>
          <w:rFonts w:ascii="Times New Roman" w:hAnsi="Times New Roman"/>
        </w:rPr>
        <w:t xml:space="preserve">On November 14, 2019, USCIS published a Notice of Proposed Rulemaking in the Federal Register at 84 FR 62280. </w:t>
      </w:r>
      <w:r w:rsidRPr="007A45FC">
        <w:rPr>
          <w:rFonts w:ascii="Times New Roman" w:hAnsi="Times New Roman"/>
        </w:rPr>
        <w:t>USCIS did receive comments on this information collection after publishing that notice of proposed rulemaking.  DHS responds to these comments in the Final Rulemaking.</w:t>
      </w:r>
    </w:p>
    <w:p w:rsidR="007A45FC" w:rsidP="007A45FC" w:rsidRDefault="007A45FC" w14:paraId="067CFE1A" w14:textId="77777777">
      <w:pPr>
        <w:ind w:left="720"/>
        <w:rPr>
          <w:rFonts w:ascii="Times New Roman" w:hAnsi="Times New Roman"/>
          <w:sz w:val="22"/>
          <w:szCs w:val="22"/>
        </w:rPr>
      </w:pPr>
    </w:p>
    <w:p w:rsidRPr="003A11EF" w:rsidR="007A45FC" w:rsidP="007A45FC" w:rsidRDefault="007A45FC" w14:paraId="042CF088" w14:textId="33983D3B">
      <w:pPr>
        <w:ind w:left="720"/>
        <w:rPr>
          <w:rFonts w:ascii="Times New Roman" w:hAnsi="Times New Roman"/>
        </w:rPr>
      </w:pPr>
      <w:r>
        <w:rPr>
          <w:rFonts w:ascii="Times New Roman" w:hAnsi="Times New Roman"/>
        </w:rPr>
        <w:t xml:space="preserve">On </w:t>
      </w:r>
      <w:r w:rsidR="003A11EF">
        <w:rPr>
          <w:rFonts w:ascii="Times New Roman" w:hAnsi="Times New Roman"/>
        </w:rPr>
        <w:t>August 3</w:t>
      </w:r>
      <w:r>
        <w:rPr>
          <w:rFonts w:ascii="Times New Roman" w:hAnsi="Times New Roman"/>
        </w:rPr>
        <w:t xml:space="preserve">, 2020, </w:t>
      </w:r>
      <w:bookmarkStart w:name="_GoBack" w:id="0"/>
      <w:r w:rsidRPr="003A11EF">
        <w:rPr>
          <w:rFonts w:ascii="Times New Roman" w:hAnsi="Times New Roman"/>
        </w:rPr>
        <w:t xml:space="preserve">USCIS published a Final Rulemaking in the Federal Register at 85 FR </w:t>
      </w:r>
      <w:r w:rsidRPr="003A11EF" w:rsidR="003A11EF">
        <w:rPr>
          <w:rFonts w:ascii="Times New Roman" w:hAnsi="Times New Roman"/>
        </w:rPr>
        <w:t>46788</w:t>
      </w:r>
      <w:r w:rsidRPr="003A11EF">
        <w:rPr>
          <w:rFonts w:ascii="Times New Roman" w:hAnsi="Times New Roman"/>
        </w:rPr>
        <w:t xml:space="preserve">. </w:t>
      </w:r>
    </w:p>
    <w:bookmarkEnd w:id="0"/>
    <w:p w:rsidR="007A45FC" w:rsidP="007A45FC" w:rsidRDefault="007A45FC" w14:paraId="4B145704" w14:textId="77777777">
      <w:pPr>
        <w:ind w:left="720"/>
        <w:rPr>
          <w:rFonts w:ascii="Times New Roman" w:hAnsi="Times New Roman"/>
        </w:rPr>
      </w:pPr>
    </w:p>
    <w:p w:rsidR="00B27061" w:rsidP="007A45FC" w:rsidRDefault="007A45FC" w14:paraId="3F044073" w14:textId="58B029A4">
      <w:pPr>
        <w:tabs>
          <w:tab w:val="left" w:pos="-1440"/>
        </w:tabs>
        <w:ind w:left="720"/>
        <w:rPr>
          <w:rFonts w:ascii="Times New Roman" w:hAnsi="Times New Roman"/>
        </w:rPr>
      </w:pPr>
      <w:r>
        <w:rPr>
          <w:rFonts w:ascii="Times New Roman" w:hAnsi="Times New Roman"/>
        </w:rPr>
        <w:lastRenderedPageBreak/>
        <w:t xml:space="preserve">This rulemaking is titled </w:t>
      </w:r>
      <w:r>
        <w:rPr>
          <w:rFonts w:ascii="Times New Roman" w:hAnsi="Times New Roman"/>
          <w:i/>
          <w:iCs/>
        </w:rPr>
        <w:t>U.S. Citizenship and Immigration Services Fee Schedule and Changes to Certain Other Immigration Benefit Request Requirements</w:t>
      </w:r>
      <w:r>
        <w:rPr>
          <w:rFonts w:ascii="Times New Roman" w:hAnsi="Times New Roman"/>
        </w:rPr>
        <w:t>, RIN 1615-AC18.</w:t>
      </w:r>
      <w:r w:rsidRPr="00914A5D" w:rsidR="007312F9">
        <w:rPr>
          <w:rFonts w:ascii="Times New Roman" w:hAnsi="Times New Roman"/>
        </w:rPr>
        <w:tab/>
      </w:r>
    </w:p>
    <w:p w:rsidRPr="00914A5D" w:rsidR="008F6BF2" w:rsidP="007A45FC" w:rsidRDefault="008F6BF2" w14:paraId="793A5C9B" w14:textId="77777777">
      <w:pPr>
        <w:tabs>
          <w:tab w:val="left" w:pos="-1440"/>
        </w:tabs>
        <w:ind w:left="720"/>
        <w:rPr>
          <w:rFonts w:ascii="Times New Roman" w:hAnsi="Times New Roman"/>
        </w:rPr>
      </w:pP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004BA4" w:rsidR="00792B9D" w:rsidP="00914A5D" w:rsidRDefault="00792B9D" w14:paraId="57BBAE43" w14:textId="77777777">
      <w:pPr>
        <w:tabs>
          <w:tab w:val="left" w:pos="-1440"/>
        </w:tabs>
        <w:ind w:left="720" w:hanging="720"/>
        <w:rPr>
          <w:rFonts w:ascii="Times New Roman" w:hAnsi="Times New Roman"/>
          <w:b/>
          <w:color w:val="000000" w:themeColor="text1"/>
        </w:rPr>
      </w:pPr>
      <w:r w:rsidRPr="00914A5D">
        <w:rPr>
          <w:rFonts w:ascii="Times New Roman" w:hAnsi="Times New Roman"/>
          <w:b/>
        </w:rPr>
        <w:t>10.</w:t>
      </w:r>
      <w:r w:rsidRPr="00914A5D">
        <w:rPr>
          <w:rFonts w:ascii="Times New Roman" w:hAnsi="Times New Roman"/>
          <w:b/>
        </w:rPr>
        <w:tab/>
      </w:r>
      <w:r w:rsidRPr="00004BA4">
        <w:rPr>
          <w:rFonts w:ascii="Times New Roman" w:hAnsi="Times New Roman"/>
          <w:b/>
          <w:color w:val="000000" w:themeColor="text1"/>
        </w:rPr>
        <w:t>Describe any assurance of confidentiality provided to respondents and the basis for the assurance in statute, regulation or agency policy.</w:t>
      </w:r>
    </w:p>
    <w:p w:rsidRPr="00004BA4" w:rsidR="001A595D" w:rsidP="00914A5D" w:rsidRDefault="001A595D" w14:paraId="56191D66" w14:textId="77777777">
      <w:pPr>
        <w:tabs>
          <w:tab w:val="left" w:pos="-1440"/>
        </w:tabs>
        <w:ind w:left="720"/>
        <w:rPr>
          <w:rFonts w:ascii="Times New Roman" w:hAnsi="Times New Roman"/>
          <w:color w:val="000000" w:themeColor="text1"/>
        </w:rPr>
      </w:pPr>
    </w:p>
    <w:p w:rsidRPr="00004BA4" w:rsidR="00EC38B5" w:rsidP="00EC38B5" w:rsidRDefault="00EC38B5" w14:paraId="58D07A8A"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There is no assurance of confidentiality.  The system of record notice associated with this information collection are:  DHS/USCIS/ICE/CBP-001 Alien File, Index, and National File Tracking System of Records, September 18, 2017, 82 FR 43556; DHS/USCIS-007 Benefits Information System, October 19, 2016 81 FR 72069. </w:t>
      </w:r>
    </w:p>
    <w:p w:rsidRPr="00004BA4" w:rsidR="00EC38B5" w:rsidP="00EC38B5" w:rsidRDefault="00EC38B5" w14:paraId="50F9E835" w14:textId="77777777">
      <w:pPr>
        <w:tabs>
          <w:tab w:val="left" w:pos="-1440"/>
        </w:tabs>
        <w:ind w:left="720"/>
        <w:rPr>
          <w:rFonts w:ascii="Times New Roman" w:hAnsi="Times New Roman"/>
          <w:color w:val="000000" w:themeColor="text1"/>
        </w:rPr>
      </w:pPr>
    </w:p>
    <w:p w:rsidRPr="00004BA4" w:rsidR="00EC38B5" w:rsidP="00EC38B5" w:rsidRDefault="00EC38B5" w14:paraId="1E4E1E8F"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The Privacy Impact Assessment coverage is DHS/USCIS/PIA-016(a) Computer Linked Application Information Management System (CLAIMS 3) and Associated Systems. </w:t>
      </w:r>
    </w:p>
    <w:p w:rsidRPr="00004BA4" w:rsidR="00EC38B5" w:rsidP="00EC38B5" w:rsidRDefault="00EC38B5" w14:paraId="35F71D9B" w14:textId="77777777">
      <w:pPr>
        <w:tabs>
          <w:tab w:val="left" w:pos="-1440"/>
        </w:tabs>
        <w:ind w:left="720"/>
        <w:rPr>
          <w:rFonts w:ascii="Times New Roman" w:hAnsi="Times New Roman"/>
          <w:color w:val="000000" w:themeColor="text1"/>
        </w:rPr>
      </w:pPr>
    </w:p>
    <w:p w:rsidRPr="00004BA4" w:rsidR="001A595D" w:rsidP="00EC38B5" w:rsidRDefault="00EC38B5" w14:paraId="6C03DA4A" w14:textId="4A361B30">
      <w:pPr>
        <w:tabs>
          <w:tab w:val="left" w:pos="-1440"/>
        </w:tabs>
        <w:ind w:left="720"/>
        <w:rPr>
          <w:rFonts w:ascii="Times New Roman" w:hAnsi="Times New Roman"/>
          <w:color w:val="000000" w:themeColor="text1"/>
        </w:rPr>
      </w:pPr>
      <w:r w:rsidRPr="00004BA4">
        <w:rPr>
          <w:rFonts w:ascii="Times New Roman" w:hAnsi="Times New Roman"/>
          <w:color w:val="000000" w:themeColor="text1"/>
        </w:rPr>
        <w:t>The associated privacy impact assessment is DHS/PIA/USCIS-016(a) Computer Linked Application Information Management System (CLAIMS 3) and Associated Systems.</w:t>
      </w:r>
    </w:p>
    <w:p w:rsidRPr="00004BA4" w:rsidR="00EC38B5" w:rsidP="00EC38B5" w:rsidRDefault="00EC38B5" w14:paraId="18BDD09D" w14:textId="77777777">
      <w:pPr>
        <w:tabs>
          <w:tab w:val="left" w:pos="-1440"/>
        </w:tabs>
        <w:ind w:left="720"/>
        <w:rPr>
          <w:rFonts w:ascii="Times New Roman" w:hAnsi="Times New Roman"/>
          <w:color w:val="000000" w:themeColor="text1"/>
        </w:rPr>
      </w:pPr>
    </w:p>
    <w:p w:rsidRPr="00004BA4" w:rsidR="00B27061" w:rsidP="00914A5D" w:rsidRDefault="00B27061" w14:paraId="6ADA2737"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11.</w:t>
      </w:r>
      <w:r w:rsidRPr="00004BA4" w:rsidR="007E6F17">
        <w:rPr>
          <w:rFonts w:ascii="Times New Roman" w:hAnsi="Times New Roman"/>
          <w:b/>
          <w:color w:val="000000" w:themeColor="text1"/>
        </w:rPr>
        <w:tab/>
      </w:r>
      <w:r w:rsidRPr="00004BA4">
        <w:rPr>
          <w:rFonts w:ascii="Times New Roman" w:hAnsi="Times New Roman"/>
          <w:b/>
          <w:color w:val="000000" w:themeColor="text1"/>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004BA4" w:rsidR="00B1471A">
        <w:rPr>
          <w:rFonts w:ascii="Times New Roman" w:hAnsi="Times New Roman"/>
          <w:b/>
          <w:color w:val="000000" w:themeColor="text1"/>
        </w:rPr>
        <w:t>persons from</w:t>
      </w:r>
      <w:r w:rsidRPr="00004BA4">
        <w:rPr>
          <w:rFonts w:ascii="Times New Roman" w:hAnsi="Times New Roman"/>
          <w:b/>
          <w:color w:val="000000" w:themeColor="text1"/>
        </w:rPr>
        <w:t xml:space="preserve"> whom the information is requested, and any steps to be taken to obtain their consent.</w:t>
      </w:r>
    </w:p>
    <w:p w:rsidRPr="00004BA4" w:rsidR="001A595D" w:rsidP="00914A5D" w:rsidRDefault="001A595D" w14:paraId="4E1F5D32"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ab/>
      </w:r>
    </w:p>
    <w:p w:rsidRPr="00004BA4" w:rsidR="00EC38B5" w:rsidP="00EC38B5" w:rsidRDefault="00EC38B5" w14:paraId="3234046D" w14:textId="77777777">
      <w:pPr>
        <w:tabs>
          <w:tab w:val="left" w:pos="-1440"/>
        </w:tabs>
        <w:ind w:left="720"/>
        <w:rPr>
          <w:rFonts w:ascii="Times New Roman" w:hAnsi="Times New Roman"/>
          <w:color w:val="000000" w:themeColor="text1"/>
        </w:rPr>
      </w:pPr>
      <w:r w:rsidRPr="00004BA4">
        <w:rPr>
          <w:rFonts w:ascii="Times New Roman" w:hAnsi="Times New Roman"/>
          <w:color w:val="000000" w:themeColor="text1"/>
        </w:rPr>
        <w:t xml:space="preserve">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w:t>
      </w:r>
    </w:p>
    <w:p w:rsidRPr="00004BA4" w:rsidR="00494557" w:rsidP="00EC38B5" w:rsidRDefault="00EC38B5" w14:paraId="56378724" w14:textId="31F58152">
      <w:pPr>
        <w:tabs>
          <w:tab w:val="left" w:pos="-1440"/>
        </w:tabs>
        <w:ind w:left="720"/>
        <w:rPr>
          <w:rFonts w:ascii="Times New Roman" w:hAnsi="Times New Roman"/>
          <w:color w:val="000000" w:themeColor="text1"/>
        </w:rPr>
      </w:pPr>
      <w:r w:rsidRPr="00004BA4">
        <w:rPr>
          <w:rFonts w:ascii="Times New Roman" w:hAnsi="Times New Roman"/>
          <w:color w:val="000000" w:themeColor="text1"/>
        </w:rPr>
        <w:t>INA 212 (a)(3) (A)-(F) – Security Grounds for Unlawful Activity, Control or Overthrow of the U.S. Government, Terrorist  Activities,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Pr="00004BA4" w:rsidR="00EC38B5" w:rsidP="00EC38B5" w:rsidRDefault="00EC38B5" w14:paraId="326EFF35" w14:textId="77777777">
      <w:pPr>
        <w:tabs>
          <w:tab w:val="left" w:pos="-1440"/>
        </w:tabs>
        <w:ind w:left="720"/>
        <w:rPr>
          <w:rFonts w:ascii="Times New Roman" w:hAnsi="Times New Roman"/>
          <w:color w:val="000000" w:themeColor="text1"/>
        </w:rPr>
      </w:pPr>
    </w:p>
    <w:p w:rsidRPr="00004BA4" w:rsidR="00B27061" w:rsidP="00914A5D" w:rsidRDefault="00B27061" w14:paraId="2B484AF8" w14:textId="77777777">
      <w:pPr>
        <w:tabs>
          <w:tab w:val="left" w:pos="-1440"/>
        </w:tabs>
        <w:ind w:left="720" w:hanging="720"/>
        <w:rPr>
          <w:rFonts w:ascii="Times New Roman" w:hAnsi="Times New Roman"/>
          <w:b/>
          <w:color w:val="000000" w:themeColor="text1"/>
        </w:rPr>
      </w:pPr>
      <w:r w:rsidRPr="00004BA4">
        <w:rPr>
          <w:rFonts w:ascii="Times New Roman" w:hAnsi="Times New Roman"/>
          <w:b/>
          <w:color w:val="000000" w:themeColor="text1"/>
        </w:rPr>
        <w:t>12.</w:t>
      </w:r>
      <w:r w:rsidRPr="00004BA4">
        <w:rPr>
          <w:rFonts w:ascii="Times New Roman" w:hAnsi="Times New Roman"/>
          <w:b/>
          <w:color w:val="000000" w:themeColor="text1"/>
        </w:rPr>
        <w:tab/>
        <w:t>Provide estimates of the hour burden of the collection of information.  The statement should:</w:t>
      </w:r>
    </w:p>
    <w:p w:rsidRPr="00004BA4" w:rsidR="006C79B6" w:rsidP="00914A5D" w:rsidRDefault="006C79B6" w14:paraId="0F70CC3C" w14:textId="77777777">
      <w:pPr>
        <w:tabs>
          <w:tab w:val="left" w:pos="-1440"/>
        </w:tabs>
        <w:ind w:left="1440" w:hanging="720"/>
        <w:rPr>
          <w:rFonts w:ascii="Times New Roman" w:hAnsi="Times New Roman"/>
          <w:b/>
          <w:color w:val="000000" w:themeColor="text1"/>
        </w:rPr>
      </w:pPr>
    </w:p>
    <w:p w:rsidRPr="00004BA4" w:rsidR="00B27061" w:rsidP="00914A5D" w:rsidRDefault="00B27061" w14:paraId="7557DFDA" w14:textId="77777777">
      <w:pPr>
        <w:tabs>
          <w:tab w:val="left" w:pos="-1440"/>
          <w:tab w:val="left" w:pos="1080"/>
        </w:tabs>
        <w:ind w:left="1080" w:hanging="360"/>
        <w:rPr>
          <w:rFonts w:ascii="Times New Roman" w:hAnsi="Times New Roman"/>
          <w:b/>
          <w:color w:val="000000" w:themeColor="text1"/>
        </w:rPr>
      </w:pPr>
      <w:r w:rsidRPr="00004BA4">
        <w:rPr>
          <w:rFonts w:ascii="Times New Roman" w:hAnsi="Times New Roman"/>
          <w:b/>
          <w:color w:val="000000" w:themeColor="text1"/>
        </w:rPr>
        <w:t>•</w:t>
      </w:r>
      <w:r w:rsidRPr="00004BA4">
        <w:rPr>
          <w:rFonts w:ascii="Times New Roman" w:hAnsi="Times New Roman"/>
          <w:b/>
          <w:color w:val="000000" w:themeColor="text1"/>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04BA4" w:rsidR="00B27061" w:rsidP="00914A5D" w:rsidRDefault="00B27061" w14:paraId="4733A807" w14:textId="77777777">
      <w:pPr>
        <w:tabs>
          <w:tab w:val="left" w:pos="1080"/>
        </w:tabs>
        <w:ind w:left="1080" w:hanging="360"/>
        <w:rPr>
          <w:rFonts w:ascii="Times New Roman" w:hAnsi="Times New Roman"/>
          <w:b/>
          <w:color w:val="000000" w:themeColor="text1"/>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4C40F95">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26014E" w:rsidP="00866309" w:rsidRDefault="0026014E" w14:paraId="3C6DAC1E" w14:textId="79992989">
      <w:pPr>
        <w:tabs>
          <w:tab w:val="left" w:pos="-1440"/>
          <w:tab w:val="left" w:pos="1080"/>
        </w:tabs>
        <w:rPr>
          <w:rFonts w:ascii="Times New Roman" w:hAnsi="Times New Roman"/>
          <w:b/>
        </w:rPr>
      </w:pPr>
    </w:p>
    <w:tbl>
      <w:tblPr>
        <w:tblW w:w="10970" w:type="dxa"/>
        <w:tblInd w:w="-640" w:type="dxa"/>
        <w:tblLook w:val="04A0" w:firstRow="1" w:lastRow="0" w:firstColumn="1" w:lastColumn="0" w:noHBand="0" w:noVBand="1"/>
      </w:tblPr>
      <w:tblGrid>
        <w:gridCol w:w="1161"/>
        <w:gridCol w:w="1294"/>
        <w:gridCol w:w="1239"/>
        <w:gridCol w:w="1161"/>
        <w:gridCol w:w="1286"/>
        <w:gridCol w:w="983"/>
        <w:gridCol w:w="1537"/>
        <w:gridCol w:w="990"/>
        <w:gridCol w:w="1319"/>
      </w:tblGrid>
      <w:tr w:rsidRPr="00A9404B" w:rsidR="008F6BF2" w:rsidTr="003A11EF" w14:paraId="47F0C71F" w14:textId="77777777">
        <w:trPr>
          <w:trHeight w:val="1392"/>
        </w:trPr>
        <w:tc>
          <w:tcPr>
            <w:tcW w:w="116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61CEA96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Type of Respondent</w:t>
            </w:r>
          </w:p>
        </w:tc>
        <w:tc>
          <w:tcPr>
            <w:tcW w:w="1294"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504660F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Form Name / Form Number</w:t>
            </w:r>
          </w:p>
        </w:tc>
        <w:tc>
          <w:tcPr>
            <w:tcW w:w="1239"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37029735"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No. of Respondents</w:t>
            </w:r>
          </w:p>
        </w:tc>
        <w:tc>
          <w:tcPr>
            <w:tcW w:w="1161"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796F9DEC"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No. of Responses per Respondent</w:t>
            </w:r>
          </w:p>
        </w:tc>
        <w:tc>
          <w:tcPr>
            <w:tcW w:w="1286"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4A0A667D"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Total Number of Responses</w:t>
            </w:r>
          </w:p>
        </w:tc>
        <w:tc>
          <w:tcPr>
            <w:tcW w:w="983"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0C0A97B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Avg. Burden per Response (in hours)</w:t>
            </w:r>
          </w:p>
        </w:tc>
        <w:tc>
          <w:tcPr>
            <w:tcW w:w="1537"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0D6AF3D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Total Annual Burden (in hours)</w:t>
            </w:r>
          </w:p>
        </w:tc>
        <w:tc>
          <w:tcPr>
            <w:tcW w:w="990"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5B1946F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Avg. Hourly Wage Rate</w:t>
            </w:r>
          </w:p>
        </w:tc>
        <w:tc>
          <w:tcPr>
            <w:tcW w:w="1319" w:type="dxa"/>
            <w:tcBorders>
              <w:top w:val="single" w:color="auto" w:sz="8" w:space="0"/>
              <w:left w:val="nil"/>
              <w:bottom w:val="single" w:color="auto" w:sz="8" w:space="0"/>
              <w:right w:val="single" w:color="auto" w:sz="8" w:space="0"/>
            </w:tcBorders>
            <w:shd w:val="clear" w:color="auto" w:fill="auto"/>
            <w:vAlign w:val="center"/>
            <w:hideMark/>
          </w:tcPr>
          <w:p w:rsidRPr="00A9404B" w:rsidR="008F6BF2" w:rsidP="003A11EF" w:rsidRDefault="008F6BF2" w14:paraId="73C42C9F"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Total Annual Respondent Cost</w:t>
            </w:r>
          </w:p>
        </w:tc>
      </w:tr>
      <w:tr w:rsidRPr="00A9404B" w:rsidR="008F6BF2" w:rsidTr="003A11EF" w14:paraId="11AE91A4" w14:textId="77777777">
        <w:trPr>
          <w:trHeight w:val="934"/>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7B13D7BC"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Individuals and households</w:t>
            </w:r>
          </w:p>
        </w:tc>
        <w:tc>
          <w:tcPr>
            <w:tcW w:w="1294"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3484194"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Application to Register Permanent Residence or Adjust Status, Form I-485</w:t>
            </w:r>
          </w:p>
        </w:tc>
        <w:tc>
          <w:tcPr>
            <w:tcW w:w="123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608B563"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383,972</w:t>
            </w:r>
          </w:p>
        </w:tc>
        <w:tc>
          <w:tcPr>
            <w:tcW w:w="1161"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57238303"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w:t>
            </w:r>
          </w:p>
        </w:tc>
        <w:tc>
          <w:tcPr>
            <w:tcW w:w="1286"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0865E11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383,972 </w:t>
            </w:r>
          </w:p>
        </w:tc>
        <w:tc>
          <w:tcPr>
            <w:tcW w:w="983"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778B80C"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6.424</w:t>
            </w:r>
          </w:p>
        </w:tc>
        <w:tc>
          <w:tcPr>
            <w:tcW w:w="1537"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7D3980E4"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2,466,636</w:t>
            </w:r>
          </w:p>
        </w:tc>
        <w:tc>
          <w:tcPr>
            <w:tcW w:w="990"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212B78C"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$35.54</w:t>
            </w:r>
          </w:p>
        </w:tc>
        <w:tc>
          <w:tcPr>
            <w:tcW w:w="131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3182E21"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$87,664,248</w:t>
            </w:r>
          </w:p>
        </w:tc>
      </w:tr>
      <w:tr w:rsidRPr="00A9404B" w:rsidR="008F6BF2" w:rsidTr="003A11EF" w14:paraId="2EB9E33E" w14:textId="77777777">
        <w:trPr>
          <w:trHeight w:val="70"/>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7115F86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Individuals and households</w:t>
            </w:r>
          </w:p>
        </w:tc>
        <w:tc>
          <w:tcPr>
            <w:tcW w:w="1294"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72E74741"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Supplement A to Form I-485, Adjustment of Status Under Section 245(i), Form I-485A</w:t>
            </w:r>
          </w:p>
        </w:tc>
        <w:tc>
          <w:tcPr>
            <w:tcW w:w="123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DA57F8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36,000</w:t>
            </w:r>
          </w:p>
        </w:tc>
        <w:tc>
          <w:tcPr>
            <w:tcW w:w="1161"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11A1BB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w:t>
            </w:r>
          </w:p>
        </w:tc>
        <w:tc>
          <w:tcPr>
            <w:tcW w:w="1286"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1A5DB6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36,000 </w:t>
            </w:r>
          </w:p>
        </w:tc>
        <w:tc>
          <w:tcPr>
            <w:tcW w:w="983"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72DEC06D"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1.25</w:t>
            </w:r>
          </w:p>
        </w:tc>
        <w:tc>
          <w:tcPr>
            <w:tcW w:w="1537"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668916C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45,000</w:t>
            </w:r>
          </w:p>
        </w:tc>
        <w:tc>
          <w:tcPr>
            <w:tcW w:w="990"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343B897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$35.54</w:t>
            </w:r>
          </w:p>
        </w:tc>
        <w:tc>
          <w:tcPr>
            <w:tcW w:w="131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6B156468"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$1,599,300</w:t>
            </w:r>
          </w:p>
        </w:tc>
      </w:tr>
      <w:tr w:rsidRPr="00A9404B" w:rsidR="008F6BF2" w:rsidTr="003A11EF" w14:paraId="0875784E" w14:textId="77777777">
        <w:trPr>
          <w:trHeight w:val="1780"/>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2C4F85EF"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lastRenderedPageBreak/>
              <w:t>Individuals and households</w:t>
            </w:r>
          </w:p>
        </w:tc>
        <w:tc>
          <w:tcPr>
            <w:tcW w:w="1294"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01D1F573"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Confirmation of Bona Fide Job Offer or Request for Job Portability Under INA Section 204(j), Supplement J</w:t>
            </w:r>
          </w:p>
        </w:tc>
        <w:tc>
          <w:tcPr>
            <w:tcW w:w="123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6EC1E529"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28,309 </w:t>
            </w:r>
          </w:p>
        </w:tc>
        <w:tc>
          <w:tcPr>
            <w:tcW w:w="1161"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1F81526E"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w:t>
            </w:r>
          </w:p>
        </w:tc>
        <w:tc>
          <w:tcPr>
            <w:tcW w:w="1286"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3F440C2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28,309 </w:t>
            </w:r>
          </w:p>
        </w:tc>
        <w:tc>
          <w:tcPr>
            <w:tcW w:w="983"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3093AF0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w:t>
            </w:r>
          </w:p>
        </w:tc>
        <w:tc>
          <w:tcPr>
            <w:tcW w:w="1537"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CAE7E7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28,309</w:t>
            </w:r>
          </w:p>
        </w:tc>
        <w:tc>
          <w:tcPr>
            <w:tcW w:w="990"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3D36ED7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$35.54</w:t>
            </w:r>
          </w:p>
        </w:tc>
        <w:tc>
          <w:tcPr>
            <w:tcW w:w="131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7F415561"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$1,006,102</w:t>
            </w:r>
          </w:p>
        </w:tc>
      </w:tr>
      <w:tr w:rsidRPr="00A9404B" w:rsidR="008F6BF2" w:rsidTr="003A11EF" w14:paraId="121D487A" w14:textId="77777777">
        <w:trPr>
          <w:trHeight w:val="421"/>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1D950ACD"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Individuals and households</w:t>
            </w:r>
          </w:p>
        </w:tc>
        <w:tc>
          <w:tcPr>
            <w:tcW w:w="1294"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79CC125E"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Biometrics Processing</w:t>
            </w:r>
          </w:p>
        </w:tc>
        <w:tc>
          <w:tcPr>
            <w:tcW w:w="123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4E98D52"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307,519 </w:t>
            </w:r>
          </w:p>
        </w:tc>
        <w:tc>
          <w:tcPr>
            <w:tcW w:w="1161"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EDF4F4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w:t>
            </w:r>
          </w:p>
        </w:tc>
        <w:tc>
          <w:tcPr>
            <w:tcW w:w="1286"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7F1B52E"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xml:space="preserve">        307,519 </w:t>
            </w:r>
          </w:p>
        </w:tc>
        <w:tc>
          <w:tcPr>
            <w:tcW w:w="983"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1EC083C0"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1.17</w:t>
            </w:r>
          </w:p>
        </w:tc>
        <w:tc>
          <w:tcPr>
            <w:tcW w:w="1537"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5A8B0EA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359,797</w:t>
            </w:r>
          </w:p>
        </w:tc>
        <w:tc>
          <w:tcPr>
            <w:tcW w:w="990"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23BDF576"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$35.54</w:t>
            </w:r>
          </w:p>
        </w:tc>
        <w:tc>
          <w:tcPr>
            <w:tcW w:w="131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497E6CB5"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$12,787,194</w:t>
            </w:r>
          </w:p>
        </w:tc>
      </w:tr>
      <w:tr w:rsidRPr="00A9404B" w:rsidR="008F6BF2" w:rsidTr="003A11EF" w14:paraId="228ADA78" w14:textId="77777777">
        <w:trPr>
          <w:trHeight w:val="288"/>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A9404B" w:rsidR="008F6BF2" w:rsidP="003A11EF" w:rsidRDefault="008F6BF2" w14:paraId="0872394E"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Total</w:t>
            </w:r>
          </w:p>
        </w:tc>
        <w:tc>
          <w:tcPr>
            <w:tcW w:w="1294" w:type="dxa"/>
            <w:tcBorders>
              <w:top w:val="nil"/>
              <w:left w:val="nil"/>
              <w:bottom w:val="single" w:color="auto" w:sz="8" w:space="0"/>
              <w:right w:val="single" w:color="auto" w:sz="8" w:space="0"/>
            </w:tcBorders>
            <w:shd w:val="clear" w:color="000000" w:fill="000000"/>
            <w:vAlign w:val="center"/>
            <w:hideMark/>
          </w:tcPr>
          <w:p w:rsidRPr="00A9404B" w:rsidR="008F6BF2" w:rsidP="003A11EF" w:rsidRDefault="008F6BF2" w14:paraId="210D15A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A9404B" w:rsidR="008F6BF2" w:rsidP="003A11EF" w:rsidRDefault="008F6BF2" w14:paraId="0E04FAA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w:t>
            </w:r>
          </w:p>
        </w:tc>
        <w:tc>
          <w:tcPr>
            <w:tcW w:w="1161" w:type="dxa"/>
            <w:tcBorders>
              <w:top w:val="nil"/>
              <w:left w:val="nil"/>
              <w:bottom w:val="single" w:color="auto" w:sz="8" w:space="0"/>
              <w:right w:val="single" w:color="auto" w:sz="8" w:space="0"/>
            </w:tcBorders>
            <w:shd w:val="clear" w:color="000000" w:fill="000000"/>
            <w:vAlign w:val="center"/>
            <w:hideMark/>
          </w:tcPr>
          <w:p w:rsidRPr="00A9404B" w:rsidR="008F6BF2" w:rsidP="003A11EF" w:rsidRDefault="008F6BF2" w14:paraId="701138C7"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w:t>
            </w:r>
          </w:p>
        </w:tc>
        <w:tc>
          <w:tcPr>
            <w:tcW w:w="1286"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5FBC0F25"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755,800</w:t>
            </w:r>
          </w:p>
        </w:tc>
        <w:tc>
          <w:tcPr>
            <w:tcW w:w="983" w:type="dxa"/>
            <w:tcBorders>
              <w:top w:val="nil"/>
              <w:left w:val="nil"/>
              <w:bottom w:val="single" w:color="auto" w:sz="8" w:space="0"/>
              <w:right w:val="single" w:color="auto" w:sz="8" w:space="0"/>
            </w:tcBorders>
            <w:shd w:val="clear" w:color="000000" w:fill="000000"/>
            <w:vAlign w:val="center"/>
            <w:hideMark/>
          </w:tcPr>
          <w:p w:rsidRPr="00A9404B" w:rsidR="008F6BF2" w:rsidP="003A11EF" w:rsidRDefault="008F6BF2" w14:paraId="4C9DEB29"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w:t>
            </w:r>
          </w:p>
        </w:tc>
        <w:tc>
          <w:tcPr>
            <w:tcW w:w="1537"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6153733C"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2,899,742</w:t>
            </w:r>
          </w:p>
        </w:tc>
        <w:tc>
          <w:tcPr>
            <w:tcW w:w="990" w:type="dxa"/>
            <w:tcBorders>
              <w:top w:val="nil"/>
              <w:left w:val="nil"/>
              <w:bottom w:val="single" w:color="auto" w:sz="8" w:space="0"/>
              <w:right w:val="single" w:color="auto" w:sz="8" w:space="0"/>
            </w:tcBorders>
            <w:shd w:val="clear" w:color="000000" w:fill="000000"/>
            <w:vAlign w:val="center"/>
            <w:hideMark/>
          </w:tcPr>
          <w:p w:rsidRPr="00A9404B" w:rsidR="008F6BF2" w:rsidP="003A11EF" w:rsidRDefault="008F6BF2" w14:paraId="5978C1DA"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 </w:t>
            </w:r>
          </w:p>
        </w:tc>
        <w:tc>
          <w:tcPr>
            <w:tcW w:w="1319" w:type="dxa"/>
            <w:tcBorders>
              <w:top w:val="nil"/>
              <w:left w:val="nil"/>
              <w:bottom w:val="single" w:color="auto" w:sz="8" w:space="0"/>
              <w:right w:val="single" w:color="auto" w:sz="8" w:space="0"/>
            </w:tcBorders>
            <w:shd w:val="clear" w:color="auto" w:fill="auto"/>
            <w:vAlign w:val="center"/>
            <w:hideMark/>
          </w:tcPr>
          <w:p w:rsidRPr="00A9404B" w:rsidR="008F6BF2" w:rsidP="003A11EF" w:rsidRDefault="008F6BF2" w14:paraId="08B1A81B" w14:textId="77777777">
            <w:pPr>
              <w:widowControl/>
              <w:autoSpaceDE/>
              <w:autoSpaceDN/>
              <w:adjustRightInd/>
              <w:jc w:val="center"/>
              <w:rPr>
                <w:rFonts w:ascii="Times New Roman" w:hAnsi="Times New Roman"/>
                <w:color w:val="000000"/>
                <w:sz w:val="20"/>
                <w:szCs w:val="20"/>
              </w:rPr>
            </w:pPr>
            <w:r w:rsidRPr="00A9404B">
              <w:rPr>
                <w:rFonts w:ascii="Times New Roman" w:hAnsi="Times New Roman"/>
                <w:color w:val="000000"/>
                <w:sz w:val="20"/>
                <w:szCs w:val="20"/>
              </w:rPr>
              <w:t>$103,056,843</w:t>
            </w:r>
          </w:p>
        </w:tc>
      </w:tr>
    </w:tbl>
    <w:p w:rsidRPr="00914A5D" w:rsidR="00E77B24" w:rsidP="00866309" w:rsidRDefault="00E77B24" w14:paraId="14B9BB00" w14:textId="19A6E09B">
      <w:pPr>
        <w:tabs>
          <w:tab w:val="left" w:pos="-1440"/>
          <w:tab w:val="left" w:pos="1080"/>
        </w:tabs>
        <w:rPr>
          <w:rFonts w:ascii="Times New Roman" w:hAnsi="Times New Roman"/>
          <w:b/>
        </w:rPr>
      </w:pPr>
    </w:p>
    <w:p w:rsidR="008F6BF2" w:rsidP="008F6BF2" w:rsidRDefault="008F6BF2" w14:paraId="787573FA" w14:textId="77777777">
      <w:pPr>
        <w:ind w:left="720"/>
        <w:jc w:val="both"/>
        <w:rPr>
          <w:rFonts w:ascii="Times New Roman" w:hAnsi="Times New Roman"/>
          <w:i/>
          <w:iCs/>
          <w:sz w:val="20"/>
          <w:szCs w:val="20"/>
        </w:rPr>
      </w:pPr>
      <w:r w:rsidRPr="005E55ED">
        <w:rPr>
          <w:rFonts w:ascii="Times New Roman" w:hAnsi="Times New Roman"/>
          <w:i/>
          <w:iCs/>
          <w:sz w:val="20"/>
          <w:szCs w:val="20"/>
        </w:rPr>
        <w:t>*  The above Average Hourly Wage Rate is the May 2017 Bureau of Labor Statistics average wage for All Occupations of $24.34 times the wage rate benefit multiplier of 1.46 (to account for benefits provided) equaling $35.54.  The selection of “All Occupations” was chosen because respondents to this collection could be expected from any occupation.</w:t>
      </w:r>
    </w:p>
    <w:p w:rsidR="00080CE0" w:rsidP="00866309" w:rsidRDefault="00080CE0" w14:paraId="3FEB5825" w14:textId="75C3C564">
      <w:pPr>
        <w:tabs>
          <w:tab w:val="left" w:pos="-1440"/>
        </w:tabs>
        <w:ind w:left="720" w:hanging="720"/>
        <w:jc w:val="both"/>
        <w:rPr>
          <w:rFonts w:ascii="Times New Roman" w:hAnsi="Times New Roman"/>
        </w:rPr>
      </w:pPr>
    </w:p>
    <w:p w:rsidRPr="000B00D2" w:rsidR="00B27061" w:rsidP="00914A5D" w:rsidRDefault="00B27061" w14:paraId="42A15BB5"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4604D0" w:rsidR="00B31EBB" w:rsidP="004604D0" w:rsidRDefault="00B27061" w14:paraId="10EABED8" w14:textId="2480536B">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Generally, estimates should not include purchases of equipment or services, or </w:t>
      </w:r>
      <w:r w:rsidRPr="00914A5D">
        <w:rPr>
          <w:rFonts w:ascii="Times New Roman" w:hAnsi="Times New Roman"/>
          <w:b/>
        </w:rPr>
        <w:lastRenderedPageBreak/>
        <w:t>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4604D0" w:rsidP="000D6A0C" w:rsidRDefault="004604D0" w14:paraId="64A0300A" w14:textId="77777777">
      <w:pPr>
        <w:tabs>
          <w:tab w:val="left" w:pos="-1440"/>
          <w:tab w:val="left" w:pos="1080"/>
        </w:tabs>
        <w:ind w:left="720"/>
        <w:rPr>
          <w:rFonts w:ascii="Times New Roman" w:hAnsi="Times New Roman"/>
          <w:color w:val="FF0000"/>
        </w:rPr>
      </w:pPr>
    </w:p>
    <w:p w:rsidRPr="000D6A0C" w:rsidR="000D6A0C" w:rsidP="000D6A0C" w:rsidRDefault="000D6A0C" w14:paraId="01A4A709" w14:textId="673C7A46">
      <w:pPr>
        <w:tabs>
          <w:tab w:val="left" w:pos="-1440"/>
          <w:tab w:val="left" w:pos="1080"/>
        </w:tabs>
        <w:ind w:left="720"/>
        <w:rPr>
          <w:rFonts w:ascii="Times New Roman" w:hAnsi="Times New Roman"/>
        </w:rPr>
      </w:pPr>
      <w:r w:rsidRPr="000D6A0C">
        <w:rPr>
          <w:rFonts w:ascii="Times New Roman" w:hAnsi="Times New Roman"/>
        </w:rPr>
        <w:t xml:space="preserve">There are no capital, start-up, operational or maintenance costs associated with this collection of information.  For informational purposes only, the filing fee for Form </w:t>
      </w:r>
      <w:r w:rsidR="004604D0">
        <w:rPr>
          <w:rFonts w:ascii="Times New Roman" w:hAnsi="Times New Roman"/>
        </w:rPr>
        <w:t>I-485</w:t>
      </w:r>
      <w:r w:rsidRPr="000D6A0C">
        <w:rPr>
          <w:rFonts w:ascii="Times New Roman" w:hAnsi="Times New Roman"/>
        </w:rPr>
        <w:t xml:space="preserve"> is $</w:t>
      </w:r>
      <w:r w:rsidR="00625935">
        <w:rPr>
          <w:rFonts w:ascii="Times New Roman" w:hAnsi="Times New Roman"/>
        </w:rPr>
        <w:t>1,130 for paper filing or $1,080 for paper filing for those asylum applicant (whose Form I-589 was granted and who paid the $50 fee, including those who are granted asylum defensively  by EOIR)</w:t>
      </w:r>
      <w:r w:rsidRPr="000D6A0C">
        <w:rPr>
          <w:rFonts w:ascii="Times New Roman" w:hAnsi="Times New Roman"/>
        </w:rPr>
        <w:t xml:space="preserve">, which includes the biometric services fee associated with the filing of this information collection. </w:t>
      </w:r>
      <w:r w:rsidR="004604D0">
        <w:rPr>
          <w:rFonts w:ascii="Times New Roman" w:hAnsi="Times New Roman"/>
        </w:rPr>
        <w:t>The</w:t>
      </w:r>
      <w:r w:rsidRPr="000D6A0C" w:rsidR="004604D0">
        <w:rPr>
          <w:rFonts w:ascii="Times New Roman" w:hAnsi="Times New Roman"/>
        </w:rPr>
        <w:t xml:space="preserve"> filing fee for Form </w:t>
      </w:r>
      <w:r w:rsidR="004604D0">
        <w:rPr>
          <w:rFonts w:ascii="Times New Roman" w:hAnsi="Times New Roman"/>
        </w:rPr>
        <w:t>I-485A</w:t>
      </w:r>
      <w:r w:rsidRPr="000D6A0C" w:rsidR="004604D0">
        <w:rPr>
          <w:rFonts w:ascii="Times New Roman" w:hAnsi="Times New Roman"/>
        </w:rPr>
        <w:t xml:space="preserve"> is $</w:t>
      </w:r>
      <w:r w:rsidR="00625935">
        <w:rPr>
          <w:rFonts w:ascii="Times New Roman" w:hAnsi="Times New Roman"/>
        </w:rPr>
        <w:t>1,000</w:t>
      </w:r>
      <w:r w:rsidR="0086283E">
        <w:rPr>
          <w:rFonts w:ascii="Times New Roman" w:hAnsi="Times New Roman"/>
        </w:rPr>
        <w:t>.  There is no filing fee for I-485J.</w:t>
      </w:r>
    </w:p>
    <w:p w:rsidRPr="000D6A0C" w:rsidR="000D6A0C" w:rsidP="000D6A0C" w:rsidRDefault="000D6A0C" w14:paraId="0EA5AF25" w14:textId="77777777">
      <w:pPr>
        <w:tabs>
          <w:tab w:val="left" w:pos="-1440"/>
        </w:tabs>
        <w:ind w:left="720"/>
        <w:rPr>
          <w:rFonts w:ascii="Times New Roman" w:hAnsi="Times New Roman"/>
        </w:rPr>
      </w:pPr>
    </w:p>
    <w:p w:rsidRPr="008D2056" w:rsidR="00866309" w:rsidP="00866309" w:rsidRDefault="00866309" w14:paraId="11C0828C" w14:textId="77777777">
      <w:pPr>
        <w:tabs>
          <w:tab w:val="left" w:pos="-1440"/>
        </w:tabs>
        <w:ind w:left="720"/>
        <w:rPr>
          <w:rFonts w:ascii="Times New Roman" w:hAnsi="Times New Roman"/>
        </w:rPr>
      </w:pPr>
      <w:r w:rsidRPr="008D2056">
        <w:rPr>
          <w:rFonts w:ascii="Times New Roman" w:hAnsi="Times New Roman"/>
        </w:rPr>
        <w:t>Form I-485 respondents will incur costs associated with this collection of information.  These costs include, but are not limited to, hiring attorneys, translators or preparers, obtaining copies of documents required for submission, and postage.  USCIS estimates the total average cost to respondents to be:</w:t>
      </w:r>
    </w:p>
    <w:p w:rsidRPr="008D2056" w:rsidR="00866309" w:rsidP="00866309" w:rsidRDefault="00866309" w14:paraId="215CFED1" w14:textId="77777777">
      <w:pPr>
        <w:tabs>
          <w:tab w:val="left" w:pos="-1440"/>
        </w:tabs>
        <w:ind w:left="720"/>
        <w:rPr>
          <w:rFonts w:ascii="Times New Roman" w:hAnsi="Times New Roman"/>
        </w:rPr>
      </w:pPr>
    </w:p>
    <w:p w:rsidRPr="008C3353" w:rsidR="008F6BF2" w:rsidP="008F6BF2" w:rsidRDefault="008F6BF2" w14:paraId="4BAA4858" w14:textId="77777777">
      <w:pPr>
        <w:ind w:left="1440" w:hanging="720"/>
        <w:rPr>
          <w:rFonts w:ascii="Times New Roman" w:hAnsi="Times New Roman"/>
        </w:rPr>
      </w:pPr>
      <w:r w:rsidRPr="008C3353">
        <w:rPr>
          <w:rFonts w:ascii="Times New Roman" w:hAnsi="Times New Roman"/>
        </w:rPr>
        <w:t xml:space="preserve">I-485:  $490 (average cost) * </w:t>
      </w:r>
      <w:r>
        <w:rPr>
          <w:rFonts w:ascii="Times New Roman" w:hAnsi="Times New Roman"/>
          <w:bCs/>
        </w:rPr>
        <w:t>383,972</w:t>
      </w:r>
      <w:r>
        <w:rPr>
          <w:rFonts w:ascii="Times New Roman" w:hAnsi="Times New Roman"/>
        </w:rPr>
        <w:t xml:space="preserve"> * 70 percent</w:t>
      </w:r>
      <w:r w:rsidRPr="008C3353">
        <w:rPr>
          <w:rFonts w:ascii="Times New Roman" w:hAnsi="Times New Roman"/>
        </w:rPr>
        <w:t xml:space="preserve"> (estimated weighted average) is the percentage of respondent estimated would incur any cost.  This totals $</w:t>
      </w:r>
      <w:r>
        <w:rPr>
          <w:rFonts w:ascii="Times New Roman" w:hAnsi="Times New Roman"/>
        </w:rPr>
        <w:t>131,702,396</w:t>
      </w:r>
      <w:r w:rsidRPr="008C3353">
        <w:rPr>
          <w:rFonts w:ascii="Times New Roman" w:hAnsi="Times New Roman"/>
        </w:rPr>
        <w:t>.</w:t>
      </w:r>
      <w:r>
        <w:rPr>
          <w:rFonts w:ascii="Times New Roman" w:hAnsi="Times New Roman"/>
        </w:rPr>
        <w:t xml:space="preserve">  The out-of-pocket cost per respondent is estimated at $343 (Calculated: </w:t>
      </w:r>
      <w:r w:rsidRPr="008C3353">
        <w:rPr>
          <w:rFonts w:ascii="Times New Roman" w:hAnsi="Times New Roman"/>
        </w:rPr>
        <w:t>$</w:t>
      </w:r>
      <w:r>
        <w:rPr>
          <w:rFonts w:ascii="Times New Roman" w:hAnsi="Times New Roman"/>
        </w:rPr>
        <w:t xml:space="preserve">131,702,396 / </w:t>
      </w:r>
      <w:r>
        <w:rPr>
          <w:rFonts w:ascii="Times New Roman" w:hAnsi="Times New Roman"/>
          <w:bCs/>
        </w:rPr>
        <w:t xml:space="preserve">383,972 = </w:t>
      </w:r>
      <w:r>
        <w:rPr>
          <w:rFonts w:ascii="Times New Roman" w:hAnsi="Times New Roman"/>
        </w:rPr>
        <w:t>$343).</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71226A" w:rsidP="00914A5D" w:rsidRDefault="000D6A0C" w14:paraId="5B05D729" w14:textId="77777777">
      <w:pPr>
        <w:tabs>
          <w:tab w:val="left" w:pos="-1440"/>
        </w:tabs>
        <w:ind w:left="720"/>
        <w:rPr>
          <w:rFonts w:ascii="Times New Roman" w:hAnsi="Times New Roman"/>
        </w:rPr>
      </w:pPr>
      <w:r>
        <w:rPr>
          <w:rFonts w:ascii="Times New Roman" w:hAnsi="Times New Roman"/>
        </w:rPr>
        <w:t xml:space="preserve">The estimated cost of the program to the Government is calculated by using the estimated number of respondents x fee charge (which includes the suggested average hourly rate for clerical, officer, and managerial time with benefits).  In addition, this figure includes the estimated overhead cost for printing, stocking, distributing and processing of this form.  </w:t>
      </w:r>
    </w:p>
    <w:p w:rsidR="0071226A" w:rsidP="0071226A" w:rsidRDefault="0071226A" w14:paraId="75FC9B7A" w14:textId="77777777">
      <w:pPr>
        <w:tabs>
          <w:tab w:val="left" w:pos="-1440"/>
        </w:tabs>
        <w:ind w:left="720"/>
        <w:rPr>
          <w:rFonts w:ascii="Times New Roman" w:hAnsi="Times New Roman"/>
        </w:rPr>
      </w:pPr>
    </w:p>
    <w:p w:rsidRPr="0071226A" w:rsidR="0071226A" w:rsidP="0071226A" w:rsidRDefault="0071226A" w14:paraId="626D909E" w14:textId="36C60A7D">
      <w:pPr>
        <w:tabs>
          <w:tab w:val="left" w:pos="-1440"/>
        </w:tabs>
        <w:ind w:left="720"/>
        <w:rPr>
          <w:rFonts w:ascii="Times New Roman" w:hAnsi="Times New Roman"/>
        </w:rPr>
      </w:pPr>
      <w:r w:rsidRPr="0071226A">
        <w:rPr>
          <w:rFonts w:ascii="Times New Roman" w:hAnsi="Times New Roman"/>
        </w:rPr>
        <w:t>Form I-485</w:t>
      </w:r>
    </w:p>
    <w:p w:rsidRPr="0071226A" w:rsidR="0071226A" w:rsidP="0071226A" w:rsidRDefault="0071226A" w14:paraId="42F75D2F" w14:textId="5C241C46">
      <w:pPr>
        <w:pStyle w:val="ListParagraph"/>
        <w:numPr>
          <w:ilvl w:val="0"/>
          <w:numId w:val="10"/>
        </w:numPr>
        <w:tabs>
          <w:tab w:val="left" w:pos="-1440"/>
        </w:tabs>
        <w:rPr>
          <w:rFonts w:ascii="Times New Roman" w:hAnsi="Times New Roman"/>
        </w:rPr>
      </w:pPr>
      <w:r w:rsidRPr="0071226A">
        <w:rPr>
          <w:rFonts w:ascii="Times New Roman" w:hAnsi="Times New Roman"/>
        </w:rPr>
        <w:t>Estimated number of respondents (</w:t>
      </w:r>
      <w:r w:rsidR="008F6BF2">
        <w:rPr>
          <w:rFonts w:ascii="Times New Roman" w:hAnsi="Times New Roman"/>
          <w:bCs/>
        </w:rPr>
        <w:t>383,972</w:t>
      </w:r>
      <w:r w:rsidRPr="0071226A">
        <w:rPr>
          <w:rFonts w:ascii="Times New Roman" w:hAnsi="Times New Roman"/>
        </w:rPr>
        <w:t>) x $1,1</w:t>
      </w:r>
      <w:r w:rsidR="00625935">
        <w:rPr>
          <w:rFonts w:ascii="Times New Roman" w:hAnsi="Times New Roman"/>
        </w:rPr>
        <w:t>3</w:t>
      </w:r>
      <w:r w:rsidRPr="0071226A">
        <w:rPr>
          <w:rFonts w:ascii="Times New Roman" w:hAnsi="Times New Roman"/>
        </w:rPr>
        <w:t>0 fee, equaling $</w:t>
      </w:r>
      <w:r w:rsidR="008F6BF2">
        <w:rPr>
          <w:rFonts w:ascii="Times New Roman" w:hAnsi="Times New Roman"/>
        </w:rPr>
        <w:t>433,888,360</w:t>
      </w:r>
      <w:r w:rsidRPr="0071226A">
        <w:rPr>
          <w:rFonts w:ascii="Times New Roman" w:hAnsi="Times New Roman"/>
        </w:rPr>
        <w:t>.</w:t>
      </w:r>
    </w:p>
    <w:p w:rsidRPr="0071226A" w:rsidR="0071226A" w:rsidP="0071226A" w:rsidRDefault="0071226A" w14:paraId="4CC6F198" w14:textId="77777777">
      <w:pPr>
        <w:tabs>
          <w:tab w:val="left" w:pos="-1440"/>
        </w:tabs>
        <w:ind w:left="720"/>
        <w:rPr>
          <w:rFonts w:ascii="Times New Roman" w:hAnsi="Times New Roman"/>
        </w:rPr>
      </w:pPr>
      <w:r w:rsidRPr="0071226A">
        <w:rPr>
          <w:rFonts w:ascii="Times New Roman" w:hAnsi="Times New Roman"/>
        </w:rPr>
        <w:t>Form I-485, Supplement A</w:t>
      </w:r>
    </w:p>
    <w:p w:rsidRPr="0071226A" w:rsidR="0071226A" w:rsidP="0071226A" w:rsidRDefault="0071226A" w14:paraId="27C83ED1" w14:textId="7BB768BF">
      <w:pPr>
        <w:pStyle w:val="ListParagraph"/>
        <w:numPr>
          <w:ilvl w:val="0"/>
          <w:numId w:val="10"/>
        </w:numPr>
        <w:tabs>
          <w:tab w:val="left" w:pos="-1440"/>
        </w:tabs>
        <w:rPr>
          <w:rFonts w:ascii="Times New Roman" w:hAnsi="Times New Roman"/>
        </w:rPr>
      </w:pPr>
      <w:r w:rsidRPr="0071226A">
        <w:rPr>
          <w:rFonts w:ascii="Times New Roman" w:hAnsi="Times New Roman"/>
        </w:rPr>
        <w:t>Estimated number of respondents (36,000) x (1) x the $</w:t>
      </w:r>
      <w:r w:rsidR="00625935">
        <w:rPr>
          <w:rFonts w:ascii="Times New Roman" w:hAnsi="Times New Roman"/>
        </w:rPr>
        <w:t>1,000 fee, equaling $36,000,000</w:t>
      </w:r>
      <w:r>
        <w:rPr>
          <w:rFonts w:ascii="Times New Roman" w:hAnsi="Times New Roman"/>
        </w:rPr>
        <w:t>.</w:t>
      </w:r>
    </w:p>
    <w:p w:rsidRPr="0071226A" w:rsidR="0071226A" w:rsidP="0071226A" w:rsidRDefault="0071226A" w14:paraId="04C7BBCF" w14:textId="77777777">
      <w:pPr>
        <w:tabs>
          <w:tab w:val="left" w:pos="-1440"/>
        </w:tabs>
        <w:ind w:left="720"/>
        <w:rPr>
          <w:rFonts w:ascii="Times New Roman" w:hAnsi="Times New Roman"/>
        </w:rPr>
      </w:pPr>
      <w:r w:rsidRPr="0071226A">
        <w:rPr>
          <w:rFonts w:ascii="Times New Roman" w:hAnsi="Times New Roman"/>
        </w:rPr>
        <w:t>Form I-485, Supplement J</w:t>
      </w:r>
    </w:p>
    <w:p w:rsidRPr="0071226A" w:rsidR="0071226A" w:rsidP="0071226A" w:rsidRDefault="0071226A" w14:paraId="21084F38" w14:textId="79E61531">
      <w:pPr>
        <w:pStyle w:val="ListParagraph"/>
        <w:numPr>
          <w:ilvl w:val="0"/>
          <w:numId w:val="10"/>
        </w:numPr>
        <w:tabs>
          <w:tab w:val="left" w:pos="-1440"/>
        </w:tabs>
        <w:rPr>
          <w:rFonts w:ascii="Times New Roman" w:hAnsi="Times New Roman"/>
        </w:rPr>
      </w:pPr>
      <w:r w:rsidRPr="0071226A">
        <w:rPr>
          <w:rFonts w:ascii="Times New Roman" w:hAnsi="Times New Roman"/>
        </w:rPr>
        <w:t>The cost to the government for Supplement J is included in the I-485.</w:t>
      </w:r>
    </w:p>
    <w:p w:rsidR="0071226A" w:rsidP="0071226A" w:rsidRDefault="0071226A" w14:paraId="69D558B2" w14:textId="77777777">
      <w:pPr>
        <w:tabs>
          <w:tab w:val="left" w:pos="-1440"/>
        </w:tabs>
        <w:ind w:left="720"/>
        <w:rPr>
          <w:rFonts w:ascii="Times New Roman" w:hAnsi="Times New Roman"/>
        </w:rPr>
      </w:pPr>
    </w:p>
    <w:p w:rsidR="000D6A0C" w:rsidP="0071226A" w:rsidRDefault="000D6A0C" w14:paraId="0B349EFE" w14:textId="1E5368FC">
      <w:pPr>
        <w:tabs>
          <w:tab w:val="left" w:pos="-1440"/>
        </w:tabs>
        <w:ind w:left="720"/>
        <w:rPr>
          <w:rFonts w:ascii="Times New Roman" w:hAnsi="Times New Roman"/>
        </w:rPr>
      </w:pPr>
      <w:r w:rsidRPr="0071226A">
        <w:rPr>
          <w:rFonts w:ascii="Times New Roman" w:hAnsi="Times New Roman"/>
        </w:rPr>
        <w:t xml:space="preserve">The total cost to the Federal government is </w:t>
      </w:r>
      <w:r w:rsidRPr="0071226A">
        <w:rPr>
          <w:rFonts w:ascii="Times New Roman" w:hAnsi="Times New Roman"/>
          <w:b/>
        </w:rPr>
        <w:t>$</w:t>
      </w:r>
      <w:r w:rsidR="00625935">
        <w:rPr>
          <w:rFonts w:ascii="Times New Roman" w:hAnsi="Times New Roman"/>
          <w:b/>
        </w:rPr>
        <w:t>46</w:t>
      </w:r>
      <w:r w:rsidR="008F6BF2">
        <w:rPr>
          <w:rFonts w:ascii="Times New Roman" w:hAnsi="Times New Roman"/>
          <w:b/>
        </w:rPr>
        <w:t>9,888,360</w:t>
      </w:r>
      <w:r w:rsidRPr="0071226A" w:rsidR="005423DD">
        <w:rPr>
          <w:rFonts w:ascii="Times New Roman" w:hAnsi="Times New Roman"/>
        </w:rPr>
        <w:t>.</w:t>
      </w:r>
    </w:p>
    <w:p w:rsidRPr="0071226A" w:rsidR="00866309" w:rsidP="0071226A" w:rsidRDefault="00866309" w14:paraId="5E32BD31"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913" w:type="dxa"/>
        <w:tblInd w:w="93" w:type="dxa"/>
        <w:tblLook w:val="04A0" w:firstRow="1" w:lastRow="0" w:firstColumn="1" w:lastColumn="0" w:noHBand="0" w:noVBand="1"/>
      </w:tblPr>
      <w:tblGrid>
        <w:gridCol w:w="1816"/>
        <w:gridCol w:w="1310"/>
        <w:gridCol w:w="1136"/>
        <w:gridCol w:w="1282"/>
        <w:gridCol w:w="1657"/>
        <w:gridCol w:w="1430"/>
        <w:gridCol w:w="1282"/>
      </w:tblGrid>
      <w:tr w:rsidRPr="00A4515C" w:rsidR="008A4764" w:rsidTr="00A4515C"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4515C" w:rsidR="008A4764" w:rsidP="00FD21A4" w:rsidRDefault="008A4764" w14:paraId="3BE9598C"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A4515C" w:rsidR="008A4764" w:rsidP="00FD21A4" w:rsidRDefault="008A4764" w14:paraId="021D323F"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A4515C" w:rsidR="008A4764" w:rsidP="00FD21A4" w:rsidRDefault="008A4764" w14:paraId="351D3AF5"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4515C" w:rsidR="008A4764" w:rsidP="00FD21A4" w:rsidRDefault="008A4764" w14:paraId="3D6B98F5"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Difference</w:t>
            </w:r>
          </w:p>
        </w:tc>
        <w:tc>
          <w:tcPr>
            <w:tcW w:w="1657" w:type="dxa"/>
            <w:tcBorders>
              <w:top w:val="single" w:color="auto" w:sz="8" w:space="0"/>
              <w:left w:val="nil"/>
              <w:bottom w:val="single" w:color="auto" w:sz="8" w:space="0"/>
              <w:right w:val="single" w:color="auto" w:sz="8" w:space="0"/>
            </w:tcBorders>
            <w:shd w:val="clear" w:color="000000" w:fill="C0C0C0"/>
            <w:vAlign w:val="center"/>
            <w:hideMark/>
          </w:tcPr>
          <w:p w:rsidRPr="00A4515C" w:rsidR="008A4764" w:rsidP="00FD21A4" w:rsidRDefault="008A4764" w14:paraId="63D7B236"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4515C" w:rsidR="0063778A" w:rsidDel="00A4515C" w:rsidP="00FD21A4" w:rsidRDefault="008A4764" w14:paraId="64DCBF32"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Adjustment (New)</w:t>
            </w:r>
          </w:p>
          <w:p w:rsidRPr="00A4515C" w:rsidR="0063778A" w:rsidP="00A4515C" w:rsidRDefault="0063778A" w14:paraId="039FCB7E" w14:textId="77777777">
            <w:pPr>
              <w:widowControl/>
              <w:autoSpaceDE/>
              <w:autoSpaceDN/>
              <w:adjustRightInd/>
              <w:jc w:val="center"/>
              <w:rPr>
                <w:rFonts w:ascii="Times New Roman" w:hAnsi="Times New Roman"/>
                <w:b/>
                <w:bCs/>
                <w:color w:val="000000"/>
              </w:rPr>
            </w:pPr>
          </w:p>
          <w:p w:rsidRPr="00A4515C" w:rsidR="008A4764" w:rsidP="0063778A" w:rsidRDefault="0063778A" w14:paraId="244E4A96"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[new minus current]</w:t>
            </w:r>
            <w:r w:rsidRPr="00A4515C"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4515C" w:rsidR="008A4764" w:rsidP="00FD21A4" w:rsidRDefault="008A4764" w14:paraId="6A901D9A"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Difference</w:t>
            </w:r>
          </w:p>
        </w:tc>
      </w:tr>
      <w:tr w:rsidRPr="00A4515C" w:rsidR="008F6BF2" w:rsidTr="003A11EF"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4515C" w:rsidR="008F6BF2" w:rsidP="008F6BF2" w:rsidRDefault="008F6BF2" w14:paraId="04D276B2" w14:textId="613F1AAC">
            <w:pPr>
              <w:widowControl/>
              <w:autoSpaceDE/>
              <w:autoSpaceDN/>
              <w:adjustRightInd/>
              <w:jc w:val="center"/>
              <w:rPr>
                <w:rFonts w:ascii="Times New Roman" w:hAnsi="Times New Roman"/>
                <w:color w:val="000000"/>
              </w:rPr>
            </w:pPr>
            <w:r w:rsidRPr="00A4515C">
              <w:rPr>
                <w:rFonts w:ascii="Times New Roman" w:hAnsi="Times New Roman"/>
                <w:color w:val="000000"/>
              </w:rPr>
              <w:t>I-485</w:t>
            </w:r>
          </w:p>
        </w:tc>
        <w:tc>
          <w:tcPr>
            <w:tcW w:w="131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1920505A" w14:textId="4CEF1EB0">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07B73D54" w14:textId="0C79167D">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1BB86E93" w14:textId="1C607701">
            <w:pPr>
              <w:widowControl/>
              <w:autoSpaceDE/>
              <w:autoSpaceDN/>
              <w:adjustRightInd/>
              <w:jc w:val="center"/>
              <w:rPr>
                <w:rFonts w:ascii="Times New Roman" w:hAnsi="Times New Roman"/>
                <w:color w:val="000000"/>
              </w:rPr>
            </w:pPr>
          </w:p>
        </w:tc>
        <w:tc>
          <w:tcPr>
            <w:tcW w:w="1657"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0D76B394" w14:textId="6F077303">
            <w:pPr>
              <w:widowControl/>
              <w:autoSpaceDE/>
              <w:autoSpaceDN/>
              <w:adjustRightInd/>
              <w:jc w:val="center"/>
              <w:rPr>
                <w:rFonts w:ascii="Times New Roman" w:hAnsi="Times New Roman"/>
                <w:color w:val="000000"/>
              </w:rPr>
            </w:pPr>
            <w:r w:rsidRPr="00901F6F">
              <w:rPr>
                <w:rFonts w:ascii="Times New Roman" w:hAnsi="Times New Roman"/>
                <w:color w:val="000000"/>
                <w:sz w:val="22"/>
                <w:szCs w:val="22"/>
              </w:rPr>
              <w:t>2,466,636</w:t>
            </w:r>
          </w:p>
        </w:tc>
        <w:tc>
          <w:tcPr>
            <w:tcW w:w="1430"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1DD3F4C2" w14:textId="096750AA">
            <w:pPr>
              <w:widowControl/>
              <w:autoSpaceDE/>
              <w:autoSpaceDN/>
              <w:adjustRightInd/>
              <w:jc w:val="center"/>
              <w:rPr>
                <w:rFonts w:ascii="Times New Roman" w:hAnsi="Times New Roman"/>
                <w:color w:val="000000"/>
              </w:rPr>
            </w:pPr>
            <w:r w:rsidRPr="00901F6F">
              <w:rPr>
                <w:rFonts w:ascii="Times New Roman" w:hAnsi="Times New Roman"/>
                <w:color w:val="000000"/>
                <w:sz w:val="22"/>
                <w:szCs w:val="22"/>
              </w:rPr>
              <w:t>2,466,636</w:t>
            </w: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67616E99" w14:textId="2A0EE06D">
            <w:pPr>
              <w:widowControl/>
              <w:autoSpaceDE/>
              <w:autoSpaceDN/>
              <w:adjustRightInd/>
              <w:jc w:val="center"/>
              <w:rPr>
                <w:rFonts w:ascii="Times New Roman" w:hAnsi="Times New Roman"/>
                <w:color w:val="000000"/>
              </w:rPr>
            </w:pPr>
            <w:r>
              <w:rPr>
                <w:rFonts w:ascii="Times New Roman" w:hAnsi="Times New Roman"/>
                <w:color w:val="000000"/>
              </w:rPr>
              <w:t>0</w:t>
            </w:r>
          </w:p>
        </w:tc>
      </w:tr>
      <w:tr w:rsidRPr="00A4515C" w:rsidR="008F6BF2" w:rsidTr="00A4515C"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4515C" w:rsidR="008F6BF2" w:rsidP="008F6BF2" w:rsidRDefault="008F6BF2" w14:paraId="72A386AC" w14:textId="3BC220AE">
            <w:pPr>
              <w:widowControl/>
              <w:autoSpaceDE/>
              <w:autoSpaceDN/>
              <w:adjustRightInd/>
              <w:jc w:val="center"/>
              <w:rPr>
                <w:rFonts w:ascii="Times New Roman" w:hAnsi="Times New Roman"/>
                <w:bCs/>
                <w:color w:val="000000"/>
              </w:rPr>
            </w:pPr>
            <w:r w:rsidRPr="00A4515C">
              <w:rPr>
                <w:rFonts w:ascii="Times New Roman" w:hAnsi="Times New Roman"/>
                <w:bCs/>
                <w:color w:val="000000"/>
              </w:rPr>
              <w:t>I-485A</w:t>
            </w:r>
          </w:p>
        </w:tc>
        <w:tc>
          <w:tcPr>
            <w:tcW w:w="1310"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1CFC2FD7" w14:textId="77777777">
            <w:pPr>
              <w:widowControl/>
              <w:autoSpaceDE/>
              <w:autoSpaceDN/>
              <w:adjustRightInd/>
              <w:jc w:val="center"/>
              <w:rPr>
                <w:rFonts w:ascii="Times New Roman" w:hAnsi="Times New Roman"/>
                <w:bCs/>
                <w:color w:val="000000"/>
              </w:rPr>
            </w:pPr>
          </w:p>
        </w:tc>
        <w:tc>
          <w:tcPr>
            <w:tcW w:w="1657"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11C3FE96" w14:textId="6720A8C0">
            <w:pPr>
              <w:widowControl/>
              <w:autoSpaceDE/>
              <w:autoSpaceDN/>
              <w:adjustRightInd/>
              <w:jc w:val="center"/>
              <w:rPr>
                <w:rFonts w:ascii="Times New Roman" w:hAnsi="Times New Roman"/>
                <w:bCs/>
                <w:color w:val="000000"/>
              </w:rPr>
            </w:pPr>
            <w:r w:rsidRPr="00901F6F">
              <w:rPr>
                <w:rFonts w:ascii="Times New Roman" w:hAnsi="Times New Roman"/>
                <w:color w:val="000000"/>
              </w:rPr>
              <w:t>45,000</w:t>
            </w:r>
          </w:p>
        </w:tc>
        <w:tc>
          <w:tcPr>
            <w:tcW w:w="1430"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270A6BCD" w14:textId="7B851051">
            <w:pPr>
              <w:widowControl/>
              <w:autoSpaceDE/>
              <w:autoSpaceDN/>
              <w:adjustRightInd/>
              <w:jc w:val="center"/>
              <w:rPr>
                <w:rFonts w:ascii="Times New Roman" w:hAnsi="Times New Roman"/>
                <w:bCs/>
                <w:color w:val="000000"/>
              </w:rPr>
            </w:pPr>
            <w:r w:rsidRPr="00901F6F">
              <w:rPr>
                <w:rFonts w:ascii="Times New Roman" w:hAnsi="Times New Roman"/>
                <w:color w:val="000000"/>
              </w:rPr>
              <w:t>45,000</w:t>
            </w: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55D670DC" w14:textId="30CE2393">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A4515C" w:rsidR="008F6BF2" w:rsidTr="00A4515C" w14:paraId="5415218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4515C" w:rsidR="008F6BF2" w:rsidP="008F6BF2" w:rsidRDefault="008F6BF2" w14:paraId="6550CD8B" w14:textId="4A897320">
            <w:pPr>
              <w:widowControl/>
              <w:autoSpaceDE/>
              <w:autoSpaceDN/>
              <w:adjustRightInd/>
              <w:jc w:val="center"/>
              <w:rPr>
                <w:rFonts w:ascii="Times New Roman" w:hAnsi="Times New Roman"/>
                <w:bCs/>
                <w:color w:val="000000"/>
              </w:rPr>
            </w:pPr>
            <w:r>
              <w:rPr>
                <w:rFonts w:ascii="Times New Roman" w:hAnsi="Times New Roman"/>
                <w:color w:val="000000"/>
              </w:rPr>
              <w:t>I-485</w:t>
            </w:r>
            <w:r w:rsidRPr="00A4515C">
              <w:rPr>
                <w:rFonts w:ascii="Times New Roman" w:hAnsi="Times New Roman"/>
                <w:color w:val="000000"/>
              </w:rPr>
              <w:t>J</w:t>
            </w:r>
          </w:p>
        </w:tc>
        <w:tc>
          <w:tcPr>
            <w:tcW w:w="1310"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67EA37BE"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1F696398"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291E8374" w14:textId="77777777">
            <w:pPr>
              <w:widowControl/>
              <w:autoSpaceDE/>
              <w:autoSpaceDN/>
              <w:adjustRightInd/>
              <w:jc w:val="center"/>
              <w:rPr>
                <w:rFonts w:ascii="Times New Roman" w:hAnsi="Times New Roman"/>
                <w:bCs/>
                <w:color w:val="000000"/>
              </w:rPr>
            </w:pPr>
          </w:p>
        </w:tc>
        <w:tc>
          <w:tcPr>
            <w:tcW w:w="1657"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12A5CCB0" w14:textId="171194CB">
            <w:pPr>
              <w:widowControl/>
              <w:autoSpaceDE/>
              <w:autoSpaceDN/>
              <w:adjustRightInd/>
              <w:jc w:val="center"/>
              <w:rPr>
                <w:rFonts w:ascii="Times New Roman" w:hAnsi="Times New Roman"/>
                <w:bCs/>
                <w:color w:val="000000"/>
              </w:rPr>
            </w:pPr>
            <w:r w:rsidRPr="00901F6F">
              <w:rPr>
                <w:rFonts w:ascii="Times New Roman" w:hAnsi="Times New Roman"/>
                <w:color w:val="000000"/>
              </w:rPr>
              <w:t>28,309</w:t>
            </w:r>
          </w:p>
        </w:tc>
        <w:tc>
          <w:tcPr>
            <w:tcW w:w="1430"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7DAA43B7" w14:textId="58070A8C">
            <w:pPr>
              <w:widowControl/>
              <w:autoSpaceDE/>
              <w:autoSpaceDN/>
              <w:adjustRightInd/>
              <w:jc w:val="center"/>
              <w:rPr>
                <w:rFonts w:ascii="Times New Roman" w:hAnsi="Times New Roman"/>
                <w:bCs/>
                <w:color w:val="000000"/>
              </w:rPr>
            </w:pPr>
            <w:r w:rsidRPr="00901F6F">
              <w:rPr>
                <w:rFonts w:ascii="Times New Roman" w:hAnsi="Times New Roman"/>
                <w:color w:val="000000"/>
              </w:rPr>
              <w:t>28,309</w:t>
            </w: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07F4C423" w14:textId="6AB5786A">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A4515C" w:rsidR="008F6BF2" w:rsidTr="003A11EF" w14:paraId="7D77599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4515C" w:rsidR="008F6BF2" w:rsidP="008F6BF2" w:rsidRDefault="008F6BF2" w14:paraId="7BE866EC" w14:textId="6E994408">
            <w:pPr>
              <w:widowControl/>
              <w:autoSpaceDE/>
              <w:autoSpaceDN/>
              <w:adjustRightInd/>
              <w:jc w:val="center"/>
              <w:rPr>
                <w:rFonts w:ascii="Times New Roman" w:hAnsi="Times New Roman"/>
                <w:bCs/>
                <w:color w:val="000000"/>
              </w:rPr>
            </w:pPr>
            <w:r w:rsidRPr="00A4515C">
              <w:rPr>
                <w:rFonts w:ascii="Times New Roman" w:hAnsi="Times New Roman"/>
                <w:bCs/>
                <w:color w:val="000000"/>
              </w:rPr>
              <w:t>Biometric Processing</w:t>
            </w:r>
          </w:p>
        </w:tc>
        <w:tc>
          <w:tcPr>
            <w:tcW w:w="1310"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1DC16C77"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206AC71B"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3B65214A" w14:textId="77777777">
            <w:pPr>
              <w:widowControl/>
              <w:autoSpaceDE/>
              <w:autoSpaceDN/>
              <w:adjustRightInd/>
              <w:jc w:val="center"/>
              <w:rPr>
                <w:rFonts w:ascii="Times New Roman" w:hAnsi="Times New Roman"/>
                <w:bCs/>
                <w:color w:val="000000"/>
              </w:rPr>
            </w:pPr>
          </w:p>
        </w:tc>
        <w:tc>
          <w:tcPr>
            <w:tcW w:w="1657" w:type="dxa"/>
            <w:tcBorders>
              <w:top w:val="nil"/>
              <w:left w:val="nil"/>
              <w:bottom w:val="single" w:color="auto" w:sz="8" w:space="0"/>
              <w:right w:val="single" w:color="auto" w:sz="8" w:space="0"/>
            </w:tcBorders>
            <w:shd w:val="clear" w:color="auto" w:fill="auto"/>
            <w:vAlign w:val="bottom"/>
          </w:tcPr>
          <w:p w:rsidRPr="00A4515C" w:rsidR="008F6BF2" w:rsidP="008F6BF2" w:rsidRDefault="008F6BF2" w14:paraId="31BADC7D" w14:textId="644B094A">
            <w:pPr>
              <w:widowControl/>
              <w:autoSpaceDE/>
              <w:autoSpaceDN/>
              <w:adjustRightInd/>
              <w:jc w:val="center"/>
              <w:rPr>
                <w:rFonts w:ascii="Times New Roman" w:hAnsi="Times New Roman"/>
                <w:bCs/>
                <w:color w:val="000000"/>
              </w:rPr>
            </w:pPr>
            <w:r w:rsidRPr="00901F6F">
              <w:rPr>
                <w:rFonts w:ascii="Times New Roman" w:hAnsi="Times New Roman"/>
                <w:color w:val="000000"/>
                <w:sz w:val="22"/>
                <w:szCs w:val="22"/>
              </w:rPr>
              <w:t>359,797</w:t>
            </w:r>
          </w:p>
        </w:tc>
        <w:tc>
          <w:tcPr>
            <w:tcW w:w="1430" w:type="dxa"/>
            <w:tcBorders>
              <w:top w:val="nil"/>
              <w:left w:val="nil"/>
              <w:bottom w:val="single" w:color="auto" w:sz="8" w:space="0"/>
              <w:right w:val="single" w:color="auto" w:sz="8" w:space="0"/>
            </w:tcBorders>
            <w:shd w:val="clear" w:color="auto" w:fill="auto"/>
            <w:vAlign w:val="bottom"/>
          </w:tcPr>
          <w:p w:rsidRPr="00A4515C" w:rsidR="008F6BF2" w:rsidP="008F6BF2" w:rsidRDefault="008F6BF2" w14:paraId="68A9819F" w14:textId="40F52CA8">
            <w:pPr>
              <w:widowControl/>
              <w:autoSpaceDE/>
              <w:autoSpaceDN/>
              <w:adjustRightInd/>
              <w:jc w:val="center"/>
              <w:rPr>
                <w:rFonts w:ascii="Times New Roman" w:hAnsi="Times New Roman"/>
                <w:bCs/>
                <w:color w:val="000000"/>
              </w:rPr>
            </w:pPr>
            <w:r w:rsidRPr="00901F6F">
              <w:rPr>
                <w:rFonts w:ascii="Times New Roman" w:hAnsi="Times New Roman"/>
                <w:color w:val="000000"/>
                <w:sz w:val="22"/>
                <w:szCs w:val="22"/>
              </w:rPr>
              <w:t>359,797</w:t>
            </w:r>
          </w:p>
        </w:tc>
        <w:tc>
          <w:tcPr>
            <w:tcW w:w="1282" w:type="dxa"/>
            <w:tcBorders>
              <w:top w:val="nil"/>
              <w:left w:val="nil"/>
              <w:bottom w:val="single" w:color="auto" w:sz="8" w:space="0"/>
              <w:right w:val="single" w:color="auto" w:sz="8" w:space="0"/>
            </w:tcBorders>
            <w:shd w:val="clear" w:color="auto" w:fill="auto"/>
            <w:vAlign w:val="center"/>
          </w:tcPr>
          <w:p w:rsidRPr="00A4515C" w:rsidR="008F6BF2" w:rsidP="008F6BF2" w:rsidRDefault="008F6BF2" w14:paraId="49DEA546" w14:textId="39382772">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A4515C" w:rsidR="008F6BF2" w:rsidTr="003A11EF"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4515C" w:rsidR="008F6BF2" w:rsidP="008F6BF2" w:rsidRDefault="008F6BF2" w14:paraId="11E51958"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1D0A10F3" w14:textId="216C7959">
            <w:pPr>
              <w:widowControl/>
              <w:autoSpaceDE/>
              <w:autoSpaceDN/>
              <w:adjustRightInd/>
              <w:jc w:val="center"/>
              <w:rPr>
                <w:rFonts w:ascii="Times New Roman" w:hAnsi="Times New Roman"/>
                <w:b/>
                <w:bCs/>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2638F4CC" w14:textId="5977FF68">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72140AA0" w14:textId="6B8E1BD6">
            <w:pPr>
              <w:widowControl/>
              <w:autoSpaceDE/>
              <w:autoSpaceDN/>
              <w:adjustRightInd/>
              <w:jc w:val="center"/>
              <w:rPr>
                <w:rFonts w:ascii="Times New Roman" w:hAnsi="Times New Roman"/>
                <w:b/>
                <w:bCs/>
                <w:color w:val="000000"/>
              </w:rPr>
            </w:pPr>
          </w:p>
        </w:tc>
        <w:tc>
          <w:tcPr>
            <w:tcW w:w="1657"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05E89823" w14:textId="5F8AA387">
            <w:pPr>
              <w:widowControl/>
              <w:autoSpaceDE/>
              <w:autoSpaceDN/>
              <w:adjustRightInd/>
              <w:jc w:val="center"/>
              <w:rPr>
                <w:rFonts w:ascii="Times New Roman" w:hAnsi="Times New Roman"/>
                <w:b/>
                <w:color w:val="000000" w:themeColor="text1"/>
              </w:rPr>
            </w:pPr>
            <w:r w:rsidRPr="00901F6F">
              <w:rPr>
                <w:rFonts w:ascii="Times New Roman" w:hAnsi="Times New Roman"/>
                <w:b/>
                <w:bCs/>
                <w:color w:val="000000"/>
                <w:sz w:val="22"/>
                <w:szCs w:val="22"/>
              </w:rPr>
              <w:t>2,899,742</w:t>
            </w:r>
          </w:p>
        </w:tc>
        <w:tc>
          <w:tcPr>
            <w:tcW w:w="1430"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47211B81" w14:textId="745C457B">
            <w:pPr>
              <w:widowControl/>
              <w:autoSpaceDE/>
              <w:autoSpaceDN/>
              <w:adjustRightInd/>
              <w:jc w:val="center"/>
              <w:rPr>
                <w:rFonts w:ascii="Times New Roman" w:hAnsi="Times New Roman"/>
                <w:b/>
                <w:bCs/>
                <w:color w:val="000000" w:themeColor="text1"/>
              </w:rPr>
            </w:pPr>
            <w:r w:rsidRPr="00901F6F">
              <w:rPr>
                <w:rFonts w:ascii="Times New Roman" w:hAnsi="Times New Roman"/>
                <w:b/>
                <w:bCs/>
                <w:color w:val="000000"/>
                <w:sz w:val="22"/>
                <w:szCs w:val="22"/>
              </w:rPr>
              <w:t>2,899,742</w:t>
            </w: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5C2904D2" w14:textId="45D37620">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008A4764" w:rsidP="00914A5D" w:rsidRDefault="008A4764" w14:paraId="6DDC9360" w14:textId="77777777">
      <w:pPr>
        <w:tabs>
          <w:tab w:val="left" w:pos="-1440"/>
        </w:tabs>
        <w:ind w:left="720"/>
        <w:rPr>
          <w:rFonts w:ascii="Times New Roman" w:hAnsi="Times New Roman"/>
          <w:color w:val="FF0000"/>
        </w:rPr>
      </w:pPr>
    </w:p>
    <w:p w:rsidR="00B27061" w:rsidP="00914A5D" w:rsidRDefault="00A4515C" w14:paraId="4BE9D8E8" w14:textId="4AE4A169">
      <w:pPr>
        <w:ind w:left="720"/>
        <w:rPr>
          <w:rFonts w:ascii="Times New Roman" w:hAnsi="Times New Roman"/>
          <w:color w:val="FF0000"/>
        </w:rPr>
      </w:pPr>
      <w:r w:rsidRPr="00A4515C">
        <w:rPr>
          <w:rFonts w:ascii="Times New Roman" w:hAnsi="Times New Roman"/>
          <w:color w:val="000000" w:themeColor="text1"/>
        </w:rPr>
        <w:t xml:space="preserve">There is no change to the estimated annual time burden to respondents for this collection of information. </w:t>
      </w:r>
    </w:p>
    <w:p w:rsidR="00A4515C" w:rsidP="00914A5D" w:rsidRDefault="00A4515C" w14:paraId="40112438" w14:textId="77777777">
      <w:pPr>
        <w:ind w:left="720"/>
        <w:rPr>
          <w:rFonts w:ascii="Times New Roman" w:hAnsi="Times New Roman"/>
        </w:rPr>
      </w:pPr>
    </w:p>
    <w:tbl>
      <w:tblPr>
        <w:tblW w:w="10337" w:type="dxa"/>
        <w:tblInd w:w="93" w:type="dxa"/>
        <w:tblLook w:val="04A0" w:firstRow="1" w:lastRow="0" w:firstColumn="1" w:lastColumn="0" w:noHBand="0" w:noVBand="1"/>
      </w:tblPr>
      <w:tblGrid>
        <w:gridCol w:w="1816"/>
        <w:gridCol w:w="1310"/>
        <w:gridCol w:w="1136"/>
        <w:gridCol w:w="1282"/>
        <w:gridCol w:w="1819"/>
        <w:gridCol w:w="1692"/>
        <w:gridCol w:w="1282"/>
      </w:tblGrid>
      <w:tr w:rsidRPr="00A4515C" w:rsidR="00A4515C" w:rsidTr="008F6BF2"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4515C" w:rsidR="005B6129" w:rsidP="00A56B2D" w:rsidRDefault="005B6129" w14:paraId="65331D3D"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A4515C" w:rsidR="005B6129" w:rsidP="005B6129" w:rsidRDefault="005B6129" w14:paraId="74F588A5"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xml:space="preserve">Program Change (cost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A4515C" w:rsidR="005B6129" w:rsidP="00A56B2D" w:rsidRDefault="005B6129" w14:paraId="0A8819D5"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4515C" w:rsidR="005B6129" w:rsidP="00A56B2D" w:rsidRDefault="005B6129" w14:paraId="2253A578"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Difference</w:t>
            </w:r>
          </w:p>
        </w:tc>
        <w:tc>
          <w:tcPr>
            <w:tcW w:w="1886" w:type="dxa"/>
            <w:tcBorders>
              <w:top w:val="single" w:color="auto" w:sz="8" w:space="0"/>
              <w:left w:val="nil"/>
              <w:bottom w:val="single" w:color="auto" w:sz="8" w:space="0"/>
              <w:right w:val="single" w:color="auto" w:sz="8" w:space="0"/>
            </w:tcBorders>
            <w:shd w:val="clear" w:color="000000" w:fill="C0C0C0"/>
            <w:vAlign w:val="center"/>
            <w:hideMark/>
          </w:tcPr>
          <w:p w:rsidRPr="00A4515C" w:rsidR="005B6129" w:rsidP="00A4515C" w:rsidRDefault="005B6129" w14:paraId="7DFFC30F" w14:textId="77777777">
            <w:pPr>
              <w:widowControl/>
              <w:tabs>
                <w:tab w:val="left" w:pos="1936"/>
              </w:tabs>
              <w:autoSpaceDE/>
              <w:autoSpaceDN/>
              <w:adjustRightInd/>
              <w:jc w:val="center"/>
              <w:rPr>
                <w:rFonts w:ascii="Times New Roman" w:hAnsi="Times New Roman"/>
                <w:b/>
                <w:bCs/>
                <w:color w:val="000000"/>
              </w:rPr>
            </w:pPr>
            <w:r w:rsidRPr="00A4515C">
              <w:rPr>
                <w:rFonts w:ascii="Times New Roman" w:hAnsi="Times New Roman"/>
                <w:b/>
                <w:bCs/>
                <w:color w:val="000000"/>
              </w:rPr>
              <w:t>Adjustment (cost currently on OMB Inventory)</w:t>
            </w:r>
          </w:p>
        </w:tc>
        <w:tc>
          <w:tcPr>
            <w:tcW w:w="1737" w:type="dxa"/>
            <w:tcBorders>
              <w:top w:val="single" w:color="auto" w:sz="8" w:space="0"/>
              <w:left w:val="nil"/>
              <w:bottom w:val="single" w:color="auto" w:sz="8" w:space="0"/>
              <w:right w:val="single" w:color="auto" w:sz="8" w:space="0"/>
            </w:tcBorders>
            <w:shd w:val="clear" w:color="000000" w:fill="C0C0C0"/>
            <w:vAlign w:val="center"/>
            <w:hideMark/>
          </w:tcPr>
          <w:p w:rsidRPr="00A4515C" w:rsidR="0063778A" w:rsidP="00A4515C" w:rsidRDefault="005B6129" w14:paraId="6E97B005" w14:textId="7D6FA9A1">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xml:space="preserve">Adjustment (New) </w:t>
            </w:r>
          </w:p>
          <w:p w:rsidRPr="00A4515C" w:rsidR="0063778A" w:rsidP="0063778A" w:rsidRDefault="0063778A" w14:paraId="4C489A84"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[new minus current]</w:t>
            </w:r>
          </w:p>
        </w:tc>
        <w:tc>
          <w:tcPr>
            <w:tcW w:w="1170" w:type="dxa"/>
            <w:tcBorders>
              <w:top w:val="single" w:color="auto" w:sz="8" w:space="0"/>
              <w:left w:val="nil"/>
              <w:bottom w:val="single" w:color="auto" w:sz="8" w:space="0"/>
              <w:right w:val="single" w:color="auto" w:sz="8" w:space="0"/>
            </w:tcBorders>
            <w:shd w:val="clear" w:color="000000" w:fill="C0C0C0"/>
            <w:vAlign w:val="center"/>
            <w:hideMark/>
          </w:tcPr>
          <w:p w:rsidRPr="00A4515C" w:rsidR="005B6129" w:rsidP="00A56B2D" w:rsidRDefault="005B6129" w14:paraId="185C869C"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Difference</w:t>
            </w:r>
          </w:p>
        </w:tc>
      </w:tr>
      <w:tr w:rsidRPr="00A4515C" w:rsidR="008F6BF2" w:rsidTr="008F6BF2"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4515C" w:rsidR="008F6BF2" w:rsidP="008F6BF2" w:rsidRDefault="008F6BF2" w14:paraId="3AADA981" w14:textId="468FFF06">
            <w:pPr>
              <w:widowControl/>
              <w:autoSpaceDE/>
              <w:autoSpaceDN/>
              <w:adjustRightInd/>
              <w:jc w:val="center"/>
              <w:rPr>
                <w:rFonts w:ascii="Times New Roman" w:hAnsi="Times New Roman"/>
                <w:color w:val="000000"/>
              </w:rPr>
            </w:pPr>
            <w:r w:rsidRPr="00A4515C">
              <w:rPr>
                <w:rFonts w:ascii="Times New Roman" w:hAnsi="Times New Roman"/>
                <w:color w:val="000000"/>
              </w:rPr>
              <w:t xml:space="preserve">I-485 </w:t>
            </w:r>
          </w:p>
        </w:tc>
        <w:tc>
          <w:tcPr>
            <w:tcW w:w="131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334C92E1" w14:textId="77777777">
            <w:pPr>
              <w:widowControl/>
              <w:autoSpaceDE/>
              <w:autoSpaceDN/>
              <w:adjustRightInd/>
              <w:jc w:val="center"/>
              <w:rPr>
                <w:rFonts w:ascii="Times New Roman" w:hAnsi="Times New Roman"/>
                <w:color w:val="000000"/>
              </w:rPr>
            </w:pPr>
            <w:r w:rsidRPr="00A4515C">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1BAB937D" w14:textId="77777777">
            <w:pPr>
              <w:widowControl/>
              <w:autoSpaceDE/>
              <w:autoSpaceDN/>
              <w:adjustRightInd/>
              <w:jc w:val="center"/>
              <w:rPr>
                <w:rFonts w:ascii="Times New Roman" w:hAnsi="Times New Roman"/>
                <w:color w:val="000000"/>
              </w:rPr>
            </w:pPr>
            <w:r w:rsidRPr="00A4515C">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2045DC68" w14:textId="77777777">
            <w:pPr>
              <w:widowControl/>
              <w:autoSpaceDE/>
              <w:autoSpaceDN/>
              <w:adjustRightInd/>
              <w:jc w:val="center"/>
              <w:rPr>
                <w:rFonts w:ascii="Times New Roman" w:hAnsi="Times New Roman"/>
                <w:color w:val="000000"/>
              </w:rPr>
            </w:pPr>
            <w:r w:rsidRPr="00A4515C">
              <w:rPr>
                <w:rFonts w:ascii="Times New Roman" w:hAnsi="Times New Roman"/>
                <w:color w:val="000000"/>
              </w:rPr>
              <w:t> </w:t>
            </w:r>
          </w:p>
        </w:tc>
        <w:tc>
          <w:tcPr>
            <w:tcW w:w="1886"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33254BE3" w14:textId="4AADCC18">
            <w:pPr>
              <w:widowControl/>
              <w:autoSpaceDE/>
              <w:autoSpaceDN/>
              <w:adjustRightInd/>
              <w:jc w:val="center"/>
              <w:rPr>
                <w:rFonts w:ascii="Times New Roman" w:hAnsi="Times New Roman"/>
                <w:color w:val="000000"/>
              </w:rPr>
            </w:pPr>
            <w:r w:rsidRPr="005D37A9">
              <w:rPr>
                <w:rFonts w:ascii="Times New Roman" w:hAnsi="Times New Roman"/>
                <w:color w:val="000000"/>
                <w:sz w:val="22"/>
                <w:szCs w:val="22"/>
              </w:rPr>
              <w:t xml:space="preserve"> $   131,702,</w:t>
            </w:r>
            <w:r>
              <w:rPr>
                <w:rFonts w:ascii="Times New Roman" w:hAnsi="Times New Roman"/>
                <w:color w:val="000000"/>
                <w:sz w:val="22"/>
                <w:szCs w:val="22"/>
              </w:rPr>
              <w:t>396</w:t>
            </w:r>
            <w:r w:rsidRPr="005D37A9">
              <w:rPr>
                <w:rFonts w:ascii="Times New Roman" w:hAnsi="Times New Roman"/>
                <w:color w:val="000000"/>
                <w:sz w:val="22"/>
                <w:szCs w:val="22"/>
              </w:rPr>
              <w:t xml:space="preserve"> </w:t>
            </w:r>
          </w:p>
        </w:tc>
        <w:tc>
          <w:tcPr>
            <w:tcW w:w="1737"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38DD0F98" w14:textId="4F92B8EF">
            <w:pPr>
              <w:widowControl/>
              <w:autoSpaceDE/>
              <w:autoSpaceDN/>
              <w:adjustRightInd/>
              <w:jc w:val="center"/>
              <w:rPr>
                <w:rFonts w:ascii="Times New Roman" w:hAnsi="Times New Roman"/>
                <w:color w:val="000000"/>
              </w:rPr>
            </w:pPr>
            <w:r w:rsidRPr="005D37A9">
              <w:rPr>
                <w:rFonts w:ascii="Times New Roman" w:hAnsi="Times New Roman"/>
                <w:color w:val="000000"/>
                <w:sz w:val="22"/>
                <w:szCs w:val="22"/>
              </w:rPr>
              <w:t xml:space="preserve"> $   131,702,</w:t>
            </w:r>
            <w:r>
              <w:rPr>
                <w:rFonts w:ascii="Times New Roman" w:hAnsi="Times New Roman"/>
                <w:color w:val="000000"/>
                <w:sz w:val="22"/>
                <w:szCs w:val="22"/>
              </w:rPr>
              <w:t>396</w:t>
            </w:r>
            <w:r w:rsidRPr="005D37A9">
              <w:rPr>
                <w:rFonts w:ascii="Times New Roman" w:hAnsi="Times New Roman"/>
                <w:color w:val="000000"/>
                <w:sz w:val="22"/>
                <w:szCs w:val="22"/>
              </w:rPr>
              <w:t xml:space="preserve"> </w:t>
            </w:r>
          </w:p>
        </w:tc>
        <w:tc>
          <w:tcPr>
            <w:tcW w:w="117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13AC02AD" w14:textId="3C032A35">
            <w:pPr>
              <w:widowControl/>
              <w:autoSpaceDE/>
              <w:autoSpaceDN/>
              <w:adjustRightInd/>
              <w:jc w:val="center"/>
              <w:rPr>
                <w:rFonts w:ascii="Times New Roman" w:hAnsi="Times New Roman"/>
                <w:color w:val="000000"/>
              </w:rPr>
            </w:pPr>
            <w:r>
              <w:rPr>
                <w:rFonts w:ascii="Times New Roman" w:hAnsi="Times New Roman"/>
                <w:color w:val="000000"/>
              </w:rPr>
              <w:t>0</w:t>
            </w:r>
          </w:p>
        </w:tc>
      </w:tr>
      <w:tr w:rsidRPr="00A4515C" w:rsidR="008F6BF2" w:rsidTr="008F6BF2"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4515C" w:rsidR="008F6BF2" w:rsidP="008F6BF2" w:rsidRDefault="008F6BF2" w14:paraId="60A3F86F"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0D7E9ECE"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4D9F0E91"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69FEA053" w14:textId="77777777">
            <w:pPr>
              <w:widowControl/>
              <w:autoSpaceDE/>
              <w:autoSpaceDN/>
              <w:adjustRightInd/>
              <w:jc w:val="center"/>
              <w:rPr>
                <w:rFonts w:ascii="Times New Roman" w:hAnsi="Times New Roman"/>
                <w:b/>
                <w:bCs/>
                <w:color w:val="000000"/>
              </w:rPr>
            </w:pPr>
            <w:r w:rsidRPr="00A4515C">
              <w:rPr>
                <w:rFonts w:ascii="Times New Roman" w:hAnsi="Times New Roman"/>
                <w:b/>
                <w:bCs/>
                <w:color w:val="000000"/>
              </w:rPr>
              <w:t> </w:t>
            </w:r>
          </w:p>
        </w:tc>
        <w:tc>
          <w:tcPr>
            <w:tcW w:w="1886"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68596D36" w14:textId="09353D50">
            <w:pPr>
              <w:widowControl/>
              <w:autoSpaceDE/>
              <w:autoSpaceDN/>
              <w:adjustRightInd/>
              <w:jc w:val="center"/>
              <w:rPr>
                <w:rFonts w:ascii="Times New Roman" w:hAnsi="Times New Roman"/>
                <w:b/>
                <w:bCs/>
                <w:color w:val="000000"/>
              </w:rPr>
            </w:pPr>
            <w:r w:rsidRPr="005D37A9">
              <w:rPr>
                <w:rFonts w:ascii="Times New Roman" w:hAnsi="Times New Roman"/>
                <w:b/>
                <w:bCs/>
                <w:color w:val="000000"/>
                <w:sz w:val="22"/>
                <w:szCs w:val="22"/>
              </w:rPr>
              <w:t xml:space="preserve"> $   131,702,</w:t>
            </w:r>
            <w:r>
              <w:rPr>
                <w:rFonts w:ascii="Times New Roman" w:hAnsi="Times New Roman"/>
                <w:b/>
                <w:bCs/>
                <w:color w:val="000000"/>
                <w:sz w:val="22"/>
                <w:szCs w:val="22"/>
              </w:rPr>
              <w:t>396</w:t>
            </w:r>
          </w:p>
        </w:tc>
        <w:tc>
          <w:tcPr>
            <w:tcW w:w="1737" w:type="dxa"/>
            <w:tcBorders>
              <w:top w:val="nil"/>
              <w:left w:val="nil"/>
              <w:bottom w:val="single" w:color="auto" w:sz="8" w:space="0"/>
              <w:right w:val="single" w:color="auto" w:sz="8" w:space="0"/>
            </w:tcBorders>
            <w:shd w:val="clear" w:color="auto" w:fill="auto"/>
            <w:vAlign w:val="bottom"/>
            <w:hideMark/>
          </w:tcPr>
          <w:p w:rsidRPr="00A4515C" w:rsidR="008F6BF2" w:rsidP="008F6BF2" w:rsidRDefault="008F6BF2" w14:paraId="49BFA162" w14:textId="4C11634A">
            <w:pPr>
              <w:widowControl/>
              <w:autoSpaceDE/>
              <w:autoSpaceDN/>
              <w:adjustRightInd/>
              <w:jc w:val="center"/>
              <w:rPr>
                <w:rFonts w:ascii="Times New Roman" w:hAnsi="Times New Roman"/>
                <w:b/>
                <w:bCs/>
                <w:color w:val="000000"/>
              </w:rPr>
            </w:pPr>
            <w:r w:rsidRPr="005D37A9">
              <w:rPr>
                <w:rFonts w:ascii="Times New Roman" w:hAnsi="Times New Roman"/>
                <w:b/>
                <w:bCs/>
                <w:color w:val="000000"/>
                <w:sz w:val="22"/>
                <w:szCs w:val="22"/>
              </w:rPr>
              <w:t xml:space="preserve"> $   131,702,</w:t>
            </w:r>
            <w:r>
              <w:rPr>
                <w:rFonts w:ascii="Times New Roman" w:hAnsi="Times New Roman"/>
                <w:b/>
                <w:bCs/>
                <w:color w:val="000000"/>
                <w:sz w:val="22"/>
                <w:szCs w:val="22"/>
              </w:rPr>
              <w:t>396</w:t>
            </w:r>
          </w:p>
        </w:tc>
        <w:tc>
          <w:tcPr>
            <w:tcW w:w="1170" w:type="dxa"/>
            <w:tcBorders>
              <w:top w:val="nil"/>
              <w:left w:val="nil"/>
              <w:bottom w:val="single" w:color="auto" w:sz="8" w:space="0"/>
              <w:right w:val="single" w:color="auto" w:sz="8" w:space="0"/>
            </w:tcBorders>
            <w:shd w:val="clear" w:color="auto" w:fill="auto"/>
            <w:vAlign w:val="center"/>
            <w:hideMark/>
          </w:tcPr>
          <w:p w:rsidRPr="00A4515C" w:rsidR="008F6BF2" w:rsidP="008F6BF2" w:rsidRDefault="008F6BF2" w14:paraId="579F149A" w14:textId="175C1C14">
            <w:pPr>
              <w:widowControl/>
              <w:autoSpaceDE/>
              <w:autoSpaceDN/>
              <w:adjustRightInd/>
              <w:jc w:val="center"/>
              <w:rPr>
                <w:rFonts w:ascii="Times New Roman" w:hAnsi="Times New Roman"/>
                <w:b/>
                <w:bCs/>
                <w:color w:val="000000"/>
              </w:rPr>
            </w:pPr>
            <w:r>
              <w:rPr>
                <w:rFonts w:ascii="Times New Roman" w:hAnsi="Times New Roman"/>
                <w:b/>
                <w:color w:val="000000"/>
              </w:rPr>
              <w:t>0</w:t>
            </w:r>
          </w:p>
        </w:tc>
      </w:tr>
    </w:tbl>
    <w:p w:rsidR="00A4515C" w:rsidP="005B6129" w:rsidRDefault="00A4515C" w14:paraId="57EA9081" w14:textId="77777777">
      <w:pPr>
        <w:tabs>
          <w:tab w:val="left" w:pos="-1440"/>
        </w:tabs>
        <w:ind w:left="720"/>
        <w:rPr>
          <w:rFonts w:ascii="Times New Roman" w:hAnsi="Times New Roman"/>
          <w:color w:val="000000" w:themeColor="text1"/>
        </w:rPr>
      </w:pPr>
    </w:p>
    <w:p w:rsidR="00866309" w:rsidP="00866309" w:rsidRDefault="00866309" w14:paraId="33014551" w14:textId="3A30EF04">
      <w:pPr>
        <w:ind w:left="720"/>
        <w:rPr>
          <w:rFonts w:ascii="Times New Roman" w:hAnsi="Times New Roman"/>
          <w:color w:val="FF0000"/>
        </w:rPr>
      </w:pPr>
      <w:r w:rsidRPr="00A4515C">
        <w:rPr>
          <w:rFonts w:ascii="Times New Roman" w:hAnsi="Times New Roman"/>
          <w:color w:val="000000" w:themeColor="text1"/>
        </w:rPr>
        <w:t xml:space="preserve">There is no change to the estimated annual </w:t>
      </w:r>
      <w:r>
        <w:rPr>
          <w:rFonts w:ascii="Times New Roman" w:hAnsi="Times New Roman"/>
          <w:color w:val="000000" w:themeColor="text1"/>
        </w:rPr>
        <w:t>cost</w:t>
      </w:r>
      <w:r w:rsidRPr="00A4515C">
        <w:rPr>
          <w:rFonts w:ascii="Times New Roman" w:hAnsi="Times New Roman"/>
          <w:color w:val="000000" w:themeColor="text1"/>
        </w:rPr>
        <w:t xml:space="preserve"> burden to respondents for this collection of information. </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 xml:space="preserve">If seeking approval to not display the expiration date for OMB approval of the </w:t>
      </w:r>
      <w:r w:rsidRPr="00AF45F2">
        <w:rPr>
          <w:rFonts w:ascii="Times New Roman" w:hAnsi="Times New Roman"/>
          <w:b/>
        </w:rPr>
        <w:lastRenderedPageBreak/>
        <w:t>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5494" w14:textId="77777777" w:rsidR="003A11EF" w:rsidRDefault="003A11EF">
      <w:r>
        <w:separator/>
      </w:r>
    </w:p>
  </w:endnote>
  <w:endnote w:type="continuationSeparator" w:id="0">
    <w:p w14:paraId="46876CC0" w14:textId="77777777" w:rsidR="003A11EF" w:rsidRDefault="003A11EF">
      <w:r>
        <w:continuationSeparator/>
      </w:r>
    </w:p>
  </w:endnote>
  <w:endnote w:type="continuationNotice" w:id="1">
    <w:p w14:paraId="49D5204C" w14:textId="77777777" w:rsidR="0011618A" w:rsidRDefault="00116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3A11EF" w:rsidRDefault="003A11E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3A11EF" w:rsidRDefault="003A11E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3A11EF" w:rsidRDefault="003A11EF">
    <w:pPr>
      <w:spacing w:line="240" w:lineRule="exact"/>
    </w:pPr>
  </w:p>
  <w:p w14:paraId="466800C6" w14:textId="76AC84EB" w:rsidR="003A11EF" w:rsidRPr="000712DA" w:rsidRDefault="003A11E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10</w:t>
    </w:r>
    <w:r w:rsidRPr="000712DA">
      <w:rPr>
        <w:rFonts w:ascii="Times New Roman" w:hAnsi="Times New Roman"/>
      </w:rPr>
      <w:fldChar w:fldCharType="end"/>
    </w:r>
  </w:p>
  <w:p w14:paraId="1EF28B9E" w14:textId="77777777" w:rsidR="003A11EF" w:rsidRDefault="003A11EF"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1E05" w14:textId="77777777" w:rsidR="003A11EF" w:rsidRDefault="003A11EF">
      <w:r>
        <w:separator/>
      </w:r>
    </w:p>
  </w:footnote>
  <w:footnote w:type="continuationSeparator" w:id="0">
    <w:p w14:paraId="07833981" w14:textId="77777777" w:rsidR="003A11EF" w:rsidRDefault="003A11EF">
      <w:r>
        <w:continuationSeparator/>
      </w:r>
    </w:p>
  </w:footnote>
  <w:footnote w:type="continuationNotice" w:id="1">
    <w:p w14:paraId="62B30666" w14:textId="77777777" w:rsidR="0011618A" w:rsidRDefault="00116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9C6EF4"/>
    <w:multiLevelType w:val="hybridMultilevel"/>
    <w:tmpl w:val="B10C9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EA2B58"/>
    <w:multiLevelType w:val="hybridMultilevel"/>
    <w:tmpl w:val="D9366C72"/>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9"/>
  </w:num>
  <w:num w:numId="5">
    <w:abstractNumId w:val="1"/>
  </w:num>
  <w:num w:numId="6">
    <w:abstractNumId w:val="5"/>
  </w:num>
  <w:num w:numId="7">
    <w:abstractNumId w:val="4"/>
  </w:num>
  <w:num w:numId="8">
    <w:abstractNumId w:val="3"/>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Melanie R">
    <w15:presenceInfo w15:providerId="AD" w15:userId="S-1-5-21-1786697361-2243250335-1116995001-2016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4BA4"/>
    <w:rsid w:val="000712DA"/>
    <w:rsid w:val="00080CE0"/>
    <w:rsid w:val="00093DB1"/>
    <w:rsid w:val="000A42FA"/>
    <w:rsid w:val="000B00D2"/>
    <w:rsid w:val="000D6A0C"/>
    <w:rsid w:val="000F1A9A"/>
    <w:rsid w:val="0010769F"/>
    <w:rsid w:val="0011618A"/>
    <w:rsid w:val="0019320E"/>
    <w:rsid w:val="001A316E"/>
    <w:rsid w:val="001A595D"/>
    <w:rsid w:val="001A6D21"/>
    <w:rsid w:val="0020110E"/>
    <w:rsid w:val="00215244"/>
    <w:rsid w:val="0026014E"/>
    <w:rsid w:val="0029577A"/>
    <w:rsid w:val="002A4A73"/>
    <w:rsid w:val="002C3934"/>
    <w:rsid w:val="002E199D"/>
    <w:rsid w:val="002E7594"/>
    <w:rsid w:val="003A0F52"/>
    <w:rsid w:val="003A11EF"/>
    <w:rsid w:val="00434383"/>
    <w:rsid w:val="004604D0"/>
    <w:rsid w:val="00494557"/>
    <w:rsid w:val="004A7751"/>
    <w:rsid w:val="004F3779"/>
    <w:rsid w:val="00525E40"/>
    <w:rsid w:val="005423DD"/>
    <w:rsid w:val="0054585A"/>
    <w:rsid w:val="005543AD"/>
    <w:rsid w:val="005704BE"/>
    <w:rsid w:val="00590B61"/>
    <w:rsid w:val="005B6129"/>
    <w:rsid w:val="005C3DD7"/>
    <w:rsid w:val="00603702"/>
    <w:rsid w:val="006049A7"/>
    <w:rsid w:val="00625935"/>
    <w:rsid w:val="00627E06"/>
    <w:rsid w:val="0063778A"/>
    <w:rsid w:val="00655DB5"/>
    <w:rsid w:val="00662686"/>
    <w:rsid w:val="006A0CC6"/>
    <w:rsid w:val="006B0B31"/>
    <w:rsid w:val="006B38F6"/>
    <w:rsid w:val="006C79B6"/>
    <w:rsid w:val="006E606E"/>
    <w:rsid w:val="006F083F"/>
    <w:rsid w:val="00703B09"/>
    <w:rsid w:val="0071226A"/>
    <w:rsid w:val="0071391D"/>
    <w:rsid w:val="007312F9"/>
    <w:rsid w:val="00765E88"/>
    <w:rsid w:val="00792B9D"/>
    <w:rsid w:val="007A45FC"/>
    <w:rsid w:val="007B32A5"/>
    <w:rsid w:val="007C03A1"/>
    <w:rsid w:val="007E6F17"/>
    <w:rsid w:val="007F5988"/>
    <w:rsid w:val="00807BA2"/>
    <w:rsid w:val="008255EE"/>
    <w:rsid w:val="00833B6C"/>
    <w:rsid w:val="00847763"/>
    <w:rsid w:val="0086283E"/>
    <w:rsid w:val="00866309"/>
    <w:rsid w:val="008A4764"/>
    <w:rsid w:val="008D7291"/>
    <w:rsid w:val="008F233F"/>
    <w:rsid w:val="008F6BF2"/>
    <w:rsid w:val="008F74F4"/>
    <w:rsid w:val="009147A2"/>
    <w:rsid w:val="00914A5D"/>
    <w:rsid w:val="00921351"/>
    <w:rsid w:val="00944A8A"/>
    <w:rsid w:val="009556EE"/>
    <w:rsid w:val="00974223"/>
    <w:rsid w:val="009D1DF6"/>
    <w:rsid w:val="009D5D2B"/>
    <w:rsid w:val="009F15D0"/>
    <w:rsid w:val="00A05B27"/>
    <w:rsid w:val="00A3466A"/>
    <w:rsid w:val="00A447D7"/>
    <w:rsid w:val="00A4515C"/>
    <w:rsid w:val="00A5237F"/>
    <w:rsid w:val="00A56B2D"/>
    <w:rsid w:val="00A847D1"/>
    <w:rsid w:val="00AF45F2"/>
    <w:rsid w:val="00B0571D"/>
    <w:rsid w:val="00B1471A"/>
    <w:rsid w:val="00B27061"/>
    <w:rsid w:val="00B31EBB"/>
    <w:rsid w:val="00B635A9"/>
    <w:rsid w:val="00B7349D"/>
    <w:rsid w:val="00BD3260"/>
    <w:rsid w:val="00BE3C63"/>
    <w:rsid w:val="00C04531"/>
    <w:rsid w:val="00C62A1F"/>
    <w:rsid w:val="00C9224C"/>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A1FB2"/>
    <w:rsid w:val="00EC3504"/>
    <w:rsid w:val="00EC38B5"/>
    <w:rsid w:val="00ED35A0"/>
    <w:rsid w:val="00ED4E0C"/>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71226A"/>
    <w:pPr>
      <w:ind w:left="720"/>
      <w:contextualSpacing/>
    </w:pPr>
  </w:style>
  <w:style w:type="paragraph" w:styleId="NormalWeb">
    <w:name w:val="Normal (Web)"/>
    <w:basedOn w:val="Normal"/>
    <w:uiPriority w:val="99"/>
    <w:semiHidden/>
    <w:unhideWhenUsed/>
    <w:rsid w:val="00004BA4"/>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7626">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89178066">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80427575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3/12/19: Updated for fee, postage, and multiplier discussions
SS Base File: I-485-SS 2018-10-10.doc
ICR Ref: 201809-1615-012
Project: N/A
Confirmed filing fee and updated Q14 with fees from Scenario A ver. 2/13/19 </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2/28/20: Ready for Final Rule edits (Base: NPRM version)</IC_x0020_Update>
    <Rulemaking xmlns="2589310c-5316-40b3-b68d-4735ac72f265">N/A</Rulemaking>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A7031-511F-4237-8104-7122A3721152}">
  <ds:schemaRefs>
    <ds:schemaRef ds:uri="2589310c-5316-40b3-b68d-4735ac72f265"/>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f094c2b-8036-49e0-a2b2-a973ea273ca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877B19F-3DFB-4377-95D9-9BAB7C680BBE}">
  <ds:schemaRefs>
    <ds:schemaRef ds:uri="http://schemas.microsoft.com/sharepoint/v3/contenttype/forms"/>
  </ds:schemaRefs>
</ds:datastoreItem>
</file>

<file path=customXml/itemProps3.xml><?xml version="1.0" encoding="utf-8"?>
<ds:datastoreItem xmlns:ds="http://schemas.openxmlformats.org/officeDocument/2006/customXml" ds:itemID="{712A6E33-42CF-4825-81F7-4B06EA752C7A}"/>
</file>

<file path=docProps/app.xml><?xml version="1.0" encoding="utf-8"?>
<Properties xmlns="http://schemas.openxmlformats.org/officeDocument/2006/extended-properties" xmlns:vt="http://schemas.openxmlformats.org/officeDocument/2006/docPropsVTypes">
  <Template>Normal</Template>
  <TotalTime>99</TotalTime>
  <Pages>12</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27943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Barker, Megan M</cp:lastModifiedBy>
  <cp:revision>10</cp:revision>
  <cp:lastPrinted>2010-05-14T16:20:00Z</cp:lastPrinted>
  <dcterms:created xsi:type="dcterms:W3CDTF">2019-03-12T14:42:00Z</dcterms:created>
  <dcterms:modified xsi:type="dcterms:W3CDTF">2020-08-03T16:28:00Z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