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6D114DDB" w14:textId="77777777">
      <w:pPr>
        <w:jc w:val="center"/>
        <w:rPr>
          <w:rFonts w:ascii="Times New Roman" w:hAnsi="Times New Roman"/>
          <w:b/>
          <w:bCs/>
        </w:rPr>
      </w:pPr>
      <w:r w:rsidRPr="00A05B27">
        <w:rPr>
          <w:rFonts w:ascii="Times New Roman" w:hAnsi="Times New Roman"/>
          <w:b/>
          <w:bCs/>
        </w:rPr>
        <w:t xml:space="preserve">SUPPORTING STATEMENT FOR </w:t>
      </w:r>
    </w:p>
    <w:p w:rsidRPr="00F778FE" w:rsidR="007312F9" w:rsidRDefault="005C3866" w14:paraId="4BE4B867" w14:textId="77777777">
      <w:pPr>
        <w:jc w:val="center"/>
        <w:rPr>
          <w:rFonts w:ascii="Times New Roman" w:hAnsi="Times New Roman"/>
          <w:b/>
          <w:bCs/>
        </w:rPr>
      </w:pPr>
      <w:r w:rsidRPr="00F778FE">
        <w:rPr>
          <w:rFonts w:ascii="Times New Roman" w:hAnsi="Times New Roman"/>
          <w:b/>
        </w:rPr>
        <w:t>Affidavit of Support</w:t>
      </w:r>
    </w:p>
    <w:p w:rsidRPr="00F778FE" w:rsidR="00DE08FF" w:rsidRDefault="00DE08FF" w14:paraId="20832C59" w14:textId="77777777">
      <w:pPr>
        <w:jc w:val="center"/>
        <w:rPr>
          <w:rFonts w:ascii="Times New Roman" w:hAnsi="Times New Roman"/>
          <w:b/>
          <w:bCs/>
        </w:rPr>
      </w:pPr>
      <w:r w:rsidRPr="00F778FE">
        <w:rPr>
          <w:rFonts w:ascii="Times New Roman" w:hAnsi="Times New Roman"/>
          <w:b/>
          <w:bCs/>
        </w:rPr>
        <w:t xml:space="preserve">OMB Control No.: </w:t>
      </w:r>
      <w:r w:rsidRPr="00F778FE" w:rsidR="00A05B27">
        <w:rPr>
          <w:rFonts w:ascii="Times New Roman" w:hAnsi="Times New Roman"/>
          <w:b/>
          <w:bCs/>
        </w:rPr>
        <w:t>1615-</w:t>
      </w:r>
      <w:r w:rsidRPr="00F778FE" w:rsidR="005C3866">
        <w:rPr>
          <w:rFonts w:ascii="Times New Roman" w:hAnsi="Times New Roman"/>
          <w:b/>
          <w:bCs/>
        </w:rPr>
        <w:t>0014</w:t>
      </w:r>
    </w:p>
    <w:p w:rsidRPr="00DE08FF" w:rsidR="00DE08FF" w:rsidRDefault="00DE08FF" w14:paraId="63491F82" w14:textId="77777777">
      <w:pPr>
        <w:jc w:val="center"/>
        <w:rPr>
          <w:rFonts w:ascii="Times New Roman" w:hAnsi="Times New Roman"/>
          <w:b/>
          <w:bCs/>
          <w:color w:val="FF0000"/>
        </w:rPr>
      </w:pPr>
      <w:r w:rsidRPr="00F778FE">
        <w:rPr>
          <w:rFonts w:ascii="Times New Roman" w:hAnsi="Times New Roman"/>
          <w:b/>
          <w:bCs/>
        </w:rPr>
        <w:t xml:space="preserve">COLLECTION INSTRUMENT(S): </w:t>
      </w:r>
      <w:r w:rsidRPr="00F778FE" w:rsidR="005C3866">
        <w:rPr>
          <w:rFonts w:ascii="Times New Roman" w:hAnsi="Times New Roman"/>
          <w:b/>
          <w:bCs/>
        </w:rPr>
        <w:t>Form I-134</w:t>
      </w:r>
    </w:p>
    <w:p w:rsidR="002A4A73" w:rsidRDefault="007312F9" w14:paraId="074A9B84"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43CCFE6" w14:textId="77777777">
      <w:pPr>
        <w:jc w:val="both"/>
        <w:rPr>
          <w:rFonts w:ascii="Times New Roman" w:hAnsi="Times New Roman"/>
        </w:rPr>
      </w:pPr>
    </w:p>
    <w:p w:rsidRPr="00B1471A" w:rsidR="00B27061" w:rsidP="00914A5D" w:rsidRDefault="00B27061" w14:paraId="3C00863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B28E542" w14:textId="77777777">
      <w:pPr>
        <w:rPr>
          <w:rFonts w:ascii="Times New Roman" w:hAnsi="Times New Roman"/>
        </w:rPr>
      </w:pPr>
    </w:p>
    <w:p w:rsidRPr="008A4764" w:rsidR="00807BA2" w:rsidP="00914A5D" w:rsidRDefault="00B27061" w14:paraId="6AEFFE8C"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4053E84" w14:textId="77777777">
      <w:pPr>
        <w:tabs>
          <w:tab w:val="left" w:pos="-1440"/>
        </w:tabs>
        <w:ind w:left="720"/>
        <w:rPr>
          <w:rFonts w:ascii="Times New Roman" w:hAnsi="Times New Roman"/>
        </w:rPr>
      </w:pPr>
    </w:p>
    <w:p w:rsidRPr="005B6129" w:rsidR="00B7349D" w:rsidP="00914A5D" w:rsidRDefault="005C3866" w14:paraId="283C18F5" w14:textId="77777777">
      <w:pPr>
        <w:tabs>
          <w:tab w:val="left" w:pos="-1440"/>
        </w:tabs>
        <w:ind w:left="720"/>
        <w:rPr>
          <w:rFonts w:ascii="Times New Roman" w:hAnsi="Times New Roman"/>
          <w:color w:val="FF0000"/>
        </w:rPr>
      </w:pPr>
      <w:r w:rsidRPr="00F778FE">
        <w:rPr>
          <w:rFonts w:ascii="Times New Roman" w:hAnsi="Times New Roman"/>
        </w:rPr>
        <w:t>Section 212(a)(4) of the Immigration and Nationality Act (INA) provides that an alien who is a visa applicant, applicant for admission, or an applicant for adjustment of status to permanent residence, is excludable if a consular or immigration officer determines that the alien is likely to become a public charge.  This information collection is necessary to determine if at the time of application into the United States, the applicant is likely to become a public charge.</w:t>
      </w:r>
    </w:p>
    <w:p w:rsidRPr="00D80E94" w:rsidR="00A3466A" w:rsidP="00914A5D" w:rsidRDefault="00A3466A" w14:paraId="24964207" w14:textId="77777777">
      <w:pPr>
        <w:tabs>
          <w:tab w:val="left" w:pos="-1440"/>
        </w:tabs>
        <w:ind w:left="720"/>
        <w:rPr>
          <w:rFonts w:ascii="Times New Roman" w:hAnsi="Times New Roman"/>
        </w:rPr>
      </w:pPr>
    </w:p>
    <w:p w:rsidRPr="00914A5D" w:rsidR="00B27061" w:rsidP="00914A5D" w:rsidRDefault="00B27061" w14:paraId="336FC3E9"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61BB926A" w14:textId="77777777">
      <w:pPr>
        <w:ind w:left="720"/>
        <w:rPr>
          <w:rFonts w:ascii="Times New Roman" w:hAnsi="Times New Roman"/>
        </w:rPr>
      </w:pPr>
    </w:p>
    <w:p w:rsidR="00590B61" w:rsidP="00914A5D" w:rsidRDefault="005C3866" w14:paraId="73ECE55D" w14:textId="77777777">
      <w:pPr>
        <w:ind w:left="720"/>
        <w:rPr>
          <w:rFonts w:ascii="Times New Roman" w:hAnsi="Times New Roman"/>
        </w:rPr>
      </w:pPr>
      <w:r w:rsidRPr="00F778FE">
        <w:rPr>
          <w:rFonts w:ascii="Times New Roman" w:hAnsi="Times New Roman"/>
        </w:rPr>
        <w:t>U.S. Citizenship and Immigration Services (USCIS) and consular officers of the Department of State use this form to determine whether an applicant for a visa, adjustment of status, or entry to the United States may possibly be excludable on the ground that he or she is likely to become a public charge.</w:t>
      </w:r>
    </w:p>
    <w:p w:rsidR="00AE1E7B" w:rsidP="00914A5D" w:rsidRDefault="00AE1E7B" w14:paraId="62282076" w14:textId="77777777">
      <w:pPr>
        <w:ind w:left="720"/>
        <w:rPr>
          <w:rFonts w:ascii="Times New Roman" w:hAnsi="Times New Roman"/>
        </w:rPr>
      </w:pPr>
    </w:p>
    <w:p w:rsidRPr="00914A5D" w:rsidR="00AE1E7B" w:rsidP="00AE1E7B" w:rsidRDefault="00AE1E7B" w14:paraId="38723C7D" w14:textId="77777777">
      <w:pPr>
        <w:tabs>
          <w:tab w:val="left" w:pos="-1440"/>
        </w:tabs>
        <w:ind w:left="720"/>
        <w:rPr>
          <w:rFonts w:ascii="Times New Roman" w:hAnsi="Times New Roman"/>
        </w:rPr>
      </w:pPr>
      <w:r w:rsidRPr="00554746">
        <w:rPr>
          <w:rFonts w:ascii="Times New Roman" w:hAnsi="Times New Roman"/>
        </w:rPr>
        <w:t>The information requested on this benefit request, and the associated evidence, is collected under the INA.  The primary purpose for providing the requested information on this benefit request is to determine whether the sponsor has adequate financial means to support the applicant for whom parole is requested on Application for Travel Document, Form I-131, in order to establish the applicant’s eligibility for the immigration benefit for which he or she is filing.  The information the sponsor provides will be used to grant or deny the benefit sought by the applicant.</w:t>
      </w:r>
    </w:p>
    <w:p w:rsidRPr="00914A5D" w:rsidR="00590B61" w:rsidP="00914A5D" w:rsidRDefault="00590B61" w14:paraId="11875749" w14:textId="77777777">
      <w:pPr>
        <w:ind w:left="720"/>
        <w:rPr>
          <w:rFonts w:ascii="Times New Roman" w:hAnsi="Times New Roman"/>
        </w:rPr>
      </w:pPr>
    </w:p>
    <w:p w:rsidRPr="00914A5D" w:rsidR="00B27061" w:rsidP="00914A5D" w:rsidRDefault="00B27061" w14:paraId="102C5720"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01724AB" w14:textId="77777777">
      <w:pPr>
        <w:tabs>
          <w:tab w:val="left" w:pos="-1440"/>
        </w:tabs>
        <w:ind w:left="720"/>
        <w:rPr>
          <w:rFonts w:ascii="Times New Roman" w:hAnsi="Times New Roman"/>
        </w:rPr>
      </w:pPr>
    </w:p>
    <w:p w:rsidRPr="00914A5D" w:rsidR="00494557" w:rsidP="00914A5D" w:rsidRDefault="005C3866" w14:paraId="62E676E1" w14:textId="77777777">
      <w:pPr>
        <w:tabs>
          <w:tab w:val="left" w:pos="-1440"/>
        </w:tabs>
        <w:ind w:left="720"/>
        <w:rPr>
          <w:rFonts w:ascii="Times New Roman" w:hAnsi="Times New Roman"/>
          <w:color w:val="FF0000"/>
        </w:rPr>
      </w:pPr>
      <w:r w:rsidRPr="00F778FE">
        <w:rPr>
          <w:rFonts w:ascii="Times New Roman" w:hAnsi="Times New Roman"/>
        </w:rPr>
        <w:t xml:space="preserve">The use of this information collection currently provides the most efficient means for collecting and processing the required data.  This form </w:t>
      </w:r>
      <w:r w:rsidR="00AE1E7B">
        <w:rPr>
          <w:rFonts w:ascii="Times New Roman" w:hAnsi="Times New Roman"/>
        </w:rPr>
        <w:t>is available via</w:t>
      </w:r>
      <w:r w:rsidRPr="00F778FE">
        <w:rPr>
          <w:rFonts w:ascii="Times New Roman" w:hAnsi="Times New Roman"/>
        </w:rPr>
        <w:t xml:space="preserve"> on the USCIS </w:t>
      </w:r>
      <w:r w:rsidR="00AE1E7B">
        <w:rPr>
          <w:rFonts w:ascii="Times New Roman" w:hAnsi="Times New Roman"/>
        </w:rPr>
        <w:lastRenderedPageBreak/>
        <w:t>website</w:t>
      </w:r>
      <w:r w:rsidRPr="00F778FE">
        <w:rPr>
          <w:rFonts w:ascii="Times New Roman" w:hAnsi="Times New Roman"/>
        </w:rPr>
        <w:t xml:space="preserve"> and can be completed electronically</w:t>
      </w:r>
      <w:r w:rsidR="00AE1E7B">
        <w:rPr>
          <w:rFonts w:ascii="Times New Roman" w:hAnsi="Times New Roman"/>
        </w:rPr>
        <w:t>. It must be printed, signed, and mailed to USCIS.</w:t>
      </w:r>
    </w:p>
    <w:p w:rsidRPr="00914A5D" w:rsidR="007312F9" w:rsidP="00914A5D" w:rsidRDefault="007312F9" w14:paraId="3E6B8FDF" w14:textId="77777777">
      <w:pPr>
        <w:tabs>
          <w:tab w:val="left" w:pos="-1440"/>
        </w:tabs>
        <w:ind w:left="720"/>
        <w:rPr>
          <w:rFonts w:ascii="Times New Roman" w:hAnsi="Times New Roman"/>
        </w:rPr>
      </w:pPr>
    </w:p>
    <w:p w:rsidRPr="00914A5D" w:rsidR="00B27061" w:rsidP="00914A5D" w:rsidRDefault="00B27061" w14:paraId="3F7B3AB3"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587B2F3" w14:textId="77777777">
      <w:pPr>
        <w:tabs>
          <w:tab w:val="left" w:pos="-1440"/>
        </w:tabs>
        <w:ind w:left="720"/>
        <w:rPr>
          <w:rFonts w:ascii="Times New Roman" w:hAnsi="Times New Roman"/>
        </w:rPr>
      </w:pPr>
    </w:p>
    <w:p w:rsidRPr="00F778FE" w:rsidR="00494557" w:rsidP="00914A5D" w:rsidRDefault="005C3866" w14:paraId="71E910E1" w14:textId="77777777">
      <w:pPr>
        <w:tabs>
          <w:tab w:val="left" w:pos="-1440"/>
        </w:tabs>
        <w:ind w:left="720"/>
        <w:rPr>
          <w:rFonts w:ascii="Times New Roman" w:hAnsi="Times New Roman"/>
        </w:rPr>
      </w:pPr>
      <w:r w:rsidRPr="00F778FE">
        <w:rPr>
          <w:rFonts w:ascii="Times New Roman" w:hAnsi="Times New Roman"/>
        </w:rPr>
        <w:t>A search of USCIS’ automated forms tracking system was accomplished and revealed no duplication.  There is no similar data collected</w:t>
      </w:r>
    </w:p>
    <w:p w:rsidRPr="00914A5D" w:rsidR="007312F9" w:rsidP="00914A5D" w:rsidRDefault="007312F9" w14:paraId="15398AA4"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B8875A4"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D15FA09" w14:textId="77777777">
      <w:pPr>
        <w:tabs>
          <w:tab w:val="left" w:pos="-1440"/>
        </w:tabs>
        <w:ind w:left="720"/>
        <w:rPr>
          <w:rFonts w:ascii="Times New Roman" w:hAnsi="Times New Roman"/>
        </w:rPr>
      </w:pPr>
    </w:p>
    <w:p w:rsidRPr="00914A5D" w:rsidR="00494557" w:rsidP="00914A5D" w:rsidRDefault="005C3866" w14:paraId="6F25DC7F" w14:textId="77777777">
      <w:pPr>
        <w:tabs>
          <w:tab w:val="left" w:pos="-1440"/>
        </w:tabs>
        <w:ind w:left="720"/>
        <w:rPr>
          <w:rFonts w:ascii="Times New Roman" w:hAnsi="Times New Roman"/>
          <w:color w:val="FF0000"/>
        </w:rPr>
      </w:pPr>
      <w:r w:rsidRPr="00F778FE">
        <w:rPr>
          <w:rFonts w:ascii="Times New Roman" w:hAnsi="Times New Roman"/>
        </w:rPr>
        <w:t>This collection of information does not have an impact on small businesses or other small entities.</w:t>
      </w:r>
    </w:p>
    <w:p w:rsidRPr="00914A5D" w:rsidR="007312F9" w:rsidP="00914A5D" w:rsidRDefault="007312F9" w14:paraId="1A88DAF1"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0F440B1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06B673F" w14:textId="77777777">
      <w:pPr>
        <w:tabs>
          <w:tab w:val="left" w:pos="-1440"/>
        </w:tabs>
        <w:ind w:left="720"/>
        <w:rPr>
          <w:rFonts w:ascii="Times New Roman" w:hAnsi="Times New Roman"/>
        </w:rPr>
      </w:pPr>
    </w:p>
    <w:p w:rsidRPr="00F778FE" w:rsidR="007312F9" w:rsidP="00914A5D" w:rsidRDefault="005C3866" w14:paraId="7364C48F" w14:textId="77777777">
      <w:pPr>
        <w:tabs>
          <w:tab w:val="left" w:pos="-1440"/>
        </w:tabs>
        <w:ind w:left="720"/>
        <w:rPr>
          <w:rFonts w:ascii="Times New Roman" w:hAnsi="Times New Roman"/>
        </w:rPr>
      </w:pPr>
      <w:r w:rsidRPr="00F778FE">
        <w:rPr>
          <w:rFonts w:ascii="Times New Roman" w:hAnsi="Times New Roman"/>
        </w:rPr>
        <w:t xml:space="preserve">If the information is not collected, USCIS would not be able to determine whether the person (sponsor) who is promising to support an alien after his or her entry to the United States, can adequately support the alien.  </w:t>
      </w:r>
    </w:p>
    <w:p w:rsidRPr="00914A5D" w:rsidR="00494557" w:rsidP="00914A5D" w:rsidRDefault="00494557" w14:paraId="7BD598A2" w14:textId="77777777">
      <w:pPr>
        <w:tabs>
          <w:tab w:val="left" w:pos="-1440"/>
        </w:tabs>
        <w:ind w:left="720"/>
        <w:rPr>
          <w:rFonts w:ascii="Times New Roman" w:hAnsi="Times New Roman"/>
        </w:rPr>
      </w:pPr>
    </w:p>
    <w:p w:rsidRPr="00B1471A" w:rsidR="00B27061" w:rsidP="00914A5D" w:rsidRDefault="00B27061" w14:paraId="4C4D744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52722074" w14:textId="77777777">
      <w:pPr>
        <w:tabs>
          <w:tab w:val="left" w:pos="-1440"/>
        </w:tabs>
        <w:ind w:left="720"/>
        <w:rPr>
          <w:rFonts w:ascii="Times New Roman" w:hAnsi="Times New Roman"/>
          <w:b/>
        </w:rPr>
      </w:pPr>
    </w:p>
    <w:p w:rsidRPr="000B00D2" w:rsidR="00B27061" w:rsidP="00914A5D" w:rsidRDefault="00B27061" w14:paraId="7F53F47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52D6F391" w14:textId="77777777">
      <w:pPr>
        <w:tabs>
          <w:tab w:val="left" w:pos="-1440"/>
          <w:tab w:val="left" w:pos="1080"/>
        </w:tabs>
        <w:ind w:left="1080" w:hanging="360"/>
        <w:rPr>
          <w:rFonts w:ascii="Times New Roman" w:hAnsi="Times New Roman"/>
          <w:b/>
        </w:rPr>
      </w:pPr>
    </w:p>
    <w:p w:rsidRPr="00B1471A" w:rsidR="00B27061" w:rsidP="00914A5D" w:rsidRDefault="00B27061" w14:paraId="1B4AD64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10AF1AE" w14:textId="77777777">
      <w:pPr>
        <w:tabs>
          <w:tab w:val="left" w:pos="-1440"/>
          <w:tab w:val="left" w:pos="1080"/>
        </w:tabs>
        <w:ind w:left="1080" w:hanging="360"/>
        <w:rPr>
          <w:rFonts w:ascii="Times New Roman" w:hAnsi="Times New Roman"/>
          <w:b/>
        </w:rPr>
      </w:pPr>
    </w:p>
    <w:p w:rsidRPr="00B1471A" w:rsidR="00B27061" w:rsidP="00914A5D" w:rsidRDefault="00B27061" w14:paraId="3BE6672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110B6FD" w14:textId="77777777">
      <w:pPr>
        <w:tabs>
          <w:tab w:val="left" w:pos="-1440"/>
          <w:tab w:val="left" w:pos="1080"/>
        </w:tabs>
        <w:ind w:left="1080" w:hanging="360"/>
        <w:rPr>
          <w:rFonts w:ascii="Times New Roman" w:hAnsi="Times New Roman"/>
          <w:b/>
        </w:rPr>
      </w:pPr>
    </w:p>
    <w:p w:rsidRPr="00B1471A" w:rsidR="00B27061" w:rsidP="00914A5D" w:rsidRDefault="00B27061" w14:paraId="4948BDA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69FD2C3" w14:textId="77777777">
      <w:pPr>
        <w:tabs>
          <w:tab w:val="left" w:pos="-1440"/>
          <w:tab w:val="left" w:pos="1080"/>
        </w:tabs>
        <w:ind w:left="1080" w:hanging="360"/>
        <w:rPr>
          <w:rFonts w:ascii="Times New Roman" w:hAnsi="Times New Roman"/>
          <w:b/>
        </w:rPr>
      </w:pPr>
    </w:p>
    <w:p w:rsidRPr="00AF45F2" w:rsidR="00B27061" w:rsidP="00914A5D" w:rsidRDefault="00B27061" w14:paraId="3C652D5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1088A29F" w14:textId="77777777">
      <w:pPr>
        <w:tabs>
          <w:tab w:val="left" w:pos="-1440"/>
          <w:tab w:val="left" w:pos="1080"/>
        </w:tabs>
        <w:ind w:left="1080" w:hanging="360"/>
        <w:rPr>
          <w:rFonts w:ascii="Times New Roman" w:hAnsi="Times New Roman"/>
          <w:b/>
        </w:rPr>
      </w:pPr>
    </w:p>
    <w:p w:rsidRPr="00B1471A" w:rsidR="00B27061" w:rsidP="00914A5D" w:rsidRDefault="00B27061" w14:paraId="64D35C9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1B93FADA" w14:textId="77777777">
      <w:pPr>
        <w:tabs>
          <w:tab w:val="left" w:pos="-1440"/>
          <w:tab w:val="left" w:pos="1080"/>
        </w:tabs>
        <w:ind w:left="1080" w:hanging="360"/>
        <w:rPr>
          <w:rFonts w:ascii="Times New Roman" w:hAnsi="Times New Roman"/>
          <w:b/>
        </w:rPr>
      </w:pPr>
    </w:p>
    <w:p w:rsidRPr="00B1471A" w:rsidR="00B27061" w:rsidP="00914A5D" w:rsidRDefault="00B27061" w14:paraId="170B498D" w14:textId="77777777">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7115D39" w14:textId="77777777">
      <w:pPr>
        <w:tabs>
          <w:tab w:val="left" w:pos="-1440"/>
          <w:tab w:val="left" w:pos="1080"/>
        </w:tabs>
        <w:ind w:left="1080" w:hanging="360"/>
        <w:rPr>
          <w:rFonts w:ascii="Times New Roman" w:hAnsi="Times New Roman"/>
          <w:b/>
        </w:rPr>
      </w:pPr>
    </w:p>
    <w:p w:rsidRPr="00B1471A" w:rsidR="00B27061" w:rsidP="00914A5D" w:rsidRDefault="00B27061" w14:paraId="6032139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C279246" w14:textId="77777777">
      <w:pPr>
        <w:tabs>
          <w:tab w:val="left" w:pos="-1440"/>
        </w:tabs>
        <w:ind w:left="1440" w:hanging="720"/>
        <w:rPr>
          <w:rFonts w:ascii="Times New Roman" w:hAnsi="Times New Roman"/>
        </w:rPr>
      </w:pPr>
    </w:p>
    <w:p w:rsidRPr="000B00D2" w:rsidR="00921351" w:rsidP="00B1471A" w:rsidRDefault="00921351" w14:paraId="15238DA1"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r w:rsidRPr="000B00D2" w:rsidR="00F778FE">
        <w:rPr>
          <w:rFonts w:ascii="Times New Roman" w:hAnsi="Times New Roman"/>
          <w:bCs/>
        </w:rPr>
        <w:t>) (</w:t>
      </w:r>
      <w:r w:rsidRPr="000B00D2">
        <w:rPr>
          <w:rFonts w:ascii="Times New Roman" w:hAnsi="Times New Roman"/>
          <w:bCs/>
        </w:rPr>
        <w:t>2).</w:t>
      </w:r>
    </w:p>
    <w:p w:rsidRPr="00AF45F2" w:rsidR="00494557" w:rsidP="00B1471A" w:rsidRDefault="00494557" w14:paraId="0FFD1941" w14:textId="77777777">
      <w:pPr>
        <w:ind w:left="720"/>
        <w:rPr>
          <w:rFonts w:ascii="Times New Roman" w:hAnsi="Times New Roman"/>
          <w:bCs/>
        </w:rPr>
      </w:pPr>
    </w:p>
    <w:p w:rsidR="00494557" w:rsidP="00914A5D" w:rsidRDefault="00B27061" w14:paraId="7BBE9C3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5A7AEBE0" w14:textId="77777777">
      <w:pPr>
        <w:tabs>
          <w:tab w:val="left" w:pos="-1440"/>
        </w:tabs>
        <w:ind w:left="720"/>
        <w:rPr>
          <w:rFonts w:ascii="Times New Roman" w:hAnsi="Times New Roman"/>
          <w:b/>
        </w:rPr>
      </w:pPr>
    </w:p>
    <w:p w:rsidRPr="008F233F" w:rsidR="008F233F" w:rsidP="008F233F" w:rsidRDefault="008F233F" w14:paraId="38B7D5C1"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F901DBC" w14:textId="77777777">
      <w:pPr>
        <w:widowControl/>
        <w:ind w:left="720"/>
        <w:rPr>
          <w:rFonts w:ascii="Times New Roman" w:hAnsi="Times New Roman" w:eastAsia="Calibri"/>
          <w:b/>
        </w:rPr>
      </w:pPr>
    </w:p>
    <w:p w:rsidRPr="008F233F" w:rsidR="008F233F" w:rsidP="008F233F" w:rsidRDefault="008F233F" w14:paraId="56D1A038"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AE1E7B" w:rsidR="006049A7" w:rsidP="00914A5D" w:rsidRDefault="006049A7" w14:paraId="42FC65FA" w14:textId="77777777">
      <w:pPr>
        <w:tabs>
          <w:tab w:val="left" w:pos="-1440"/>
        </w:tabs>
        <w:ind w:left="720"/>
        <w:rPr>
          <w:rFonts w:ascii="Times New Roman" w:hAnsi="Times New Roman"/>
          <w:b/>
        </w:rPr>
      </w:pPr>
    </w:p>
    <w:p w:rsidRPr="00AE1E7B" w:rsidR="00F778FE" w:rsidP="00914A5D" w:rsidRDefault="00CF4E94" w14:paraId="67E0F54B" w14:textId="51418022">
      <w:pPr>
        <w:tabs>
          <w:tab w:val="left" w:pos="-1440"/>
        </w:tabs>
        <w:ind w:left="720"/>
        <w:rPr>
          <w:rFonts w:ascii="Times New Roman" w:hAnsi="Times New Roman"/>
        </w:rPr>
      </w:pPr>
      <w:r w:rsidRPr="00CF4E94">
        <w:rPr>
          <w:rFonts w:ascii="Times New Roman" w:hAnsi="Times New Roman"/>
        </w:rPr>
        <w:t xml:space="preserve">On September 11, 2020, USCIS published a Notice of Proposed Rulemaking in the Federal Register at 85 FR </w:t>
      </w:r>
      <w:r w:rsidRPr="009F6A60" w:rsidR="009F6A60">
        <w:rPr>
          <w:rFonts w:ascii="Times New Roman" w:hAnsi="Times New Roman"/>
        </w:rPr>
        <w:t>56338</w:t>
      </w:r>
      <w:bookmarkStart w:name="_GoBack" w:id="0"/>
      <w:bookmarkEnd w:id="0"/>
      <w:r w:rsidRPr="00AE1E7B" w:rsidR="00921351">
        <w:rPr>
          <w:rFonts w:ascii="Times New Roman" w:hAnsi="Times New Roman"/>
        </w:rPr>
        <w:t xml:space="preserve">.  </w:t>
      </w:r>
    </w:p>
    <w:p w:rsidRPr="00AE1E7B" w:rsidR="00B27061" w:rsidP="00914A5D" w:rsidRDefault="007312F9" w14:paraId="50F99A72" w14:textId="77777777">
      <w:pPr>
        <w:tabs>
          <w:tab w:val="left" w:pos="-1440"/>
        </w:tabs>
        <w:ind w:left="720"/>
        <w:rPr>
          <w:rFonts w:ascii="Times New Roman" w:hAnsi="Times New Roman"/>
        </w:rPr>
      </w:pPr>
      <w:r w:rsidRPr="00AE1E7B">
        <w:rPr>
          <w:rFonts w:ascii="Times New Roman" w:hAnsi="Times New Roman"/>
        </w:rPr>
        <w:tab/>
      </w:r>
    </w:p>
    <w:p w:rsidRPr="00914A5D" w:rsidR="00B27061" w:rsidP="00914A5D" w:rsidRDefault="00B27061" w14:paraId="12A6D8D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5DA5AC6" w14:textId="77777777">
      <w:pPr>
        <w:ind w:left="720"/>
        <w:rPr>
          <w:rFonts w:ascii="Times New Roman" w:hAnsi="Times New Roman"/>
        </w:rPr>
      </w:pPr>
    </w:p>
    <w:p w:rsidRPr="00914A5D" w:rsidR="009F15D0" w:rsidP="00914A5D" w:rsidRDefault="00921351" w14:paraId="44D91228"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569A5329" w14:textId="77777777">
      <w:pPr>
        <w:ind w:left="720"/>
        <w:rPr>
          <w:rFonts w:ascii="Times New Roman" w:hAnsi="Times New Roman"/>
        </w:rPr>
      </w:pPr>
    </w:p>
    <w:p w:rsidRPr="00914A5D" w:rsidR="00792B9D" w:rsidP="00914A5D" w:rsidRDefault="00792B9D" w14:paraId="7975226F"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1DB6F4A9" w14:textId="77777777">
      <w:pPr>
        <w:tabs>
          <w:tab w:val="left" w:pos="-1440"/>
        </w:tabs>
        <w:ind w:left="720"/>
        <w:rPr>
          <w:rFonts w:ascii="Times New Roman" w:hAnsi="Times New Roman"/>
        </w:rPr>
      </w:pPr>
    </w:p>
    <w:p w:rsidR="00AE1E7B" w:rsidP="003A1F01" w:rsidRDefault="003A1F01" w14:paraId="0ED4C672" w14:textId="77777777">
      <w:pPr>
        <w:tabs>
          <w:tab w:val="left" w:pos="-1440"/>
        </w:tabs>
        <w:ind w:left="720"/>
        <w:rPr>
          <w:rFonts w:ascii="Times New Roman" w:hAnsi="Times New Roman"/>
        </w:rPr>
      </w:pPr>
      <w:r w:rsidRPr="00554746">
        <w:rPr>
          <w:rFonts w:ascii="Times New Roman" w:hAnsi="Times New Roman"/>
        </w:rPr>
        <w:t xml:space="preserve">There is no assurance of confidentiality.  </w:t>
      </w:r>
    </w:p>
    <w:p w:rsidR="00AE1E7B" w:rsidP="003A1F01" w:rsidRDefault="00AE1E7B" w14:paraId="13CDCF18" w14:textId="77777777">
      <w:pPr>
        <w:tabs>
          <w:tab w:val="left" w:pos="-1440"/>
        </w:tabs>
        <w:ind w:left="720"/>
        <w:rPr>
          <w:rFonts w:ascii="Times New Roman" w:hAnsi="Times New Roman"/>
        </w:rPr>
      </w:pPr>
    </w:p>
    <w:p w:rsidR="00AE1E7B" w:rsidP="003A1F01" w:rsidRDefault="003A1F01" w14:paraId="598E90BA" w14:textId="77777777">
      <w:pPr>
        <w:tabs>
          <w:tab w:val="left" w:pos="-1440"/>
        </w:tabs>
        <w:ind w:left="720"/>
        <w:rPr>
          <w:rFonts w:ascii="Times New Roman" w:hAnsi="Times New Roman"/>
        </w:rPr>
      </w:pPr>
      <w:r w:rsidRPr="00554746">
        <w:rPr>
          <w:rFonts w:ascii="Times New Roman" w:hAnsi="Times New Roman"/>
        </w:rPr>
        <w:t xml:space="preserve">The privacy impact assessment </w:t>
      </w:r>
      <w:r w:rsidR="00AE1E7B">
        <w:rPr>
          <w:rFonts w:ascii="Times New Roman" w:hAnsi="Times New Roman"/>
        </w:rPr>
        <w:t xml:space="preserve">associated with this </w:t>
      </w:r>
      <w:r w:rsidRPr="00554746">
        <w:rPr>
          <w:rFonts w:ascii="Times New Roman" w:hAnsi="Times New Roman"/>
        </w:rPr>
        <w:t>information collection</w:t>
      </w:r>
      <w:r w:rsidR="00AE1E7B">
        <w:rPr>
          <w:rFonts w:ascii="Times New Roman" w:hAnsi="Times New Roman"/>
        </w:rPr>
        <w:t>:</w:t>
      </w:r>
    </w:p>
    <w:p w:rsidR="00AE1E7B" w:rsidP="00AE1E7B" w:rsidRDefault="003A1F01" w14:paraId="4D531493" w14:textId="77777777">
      <w:pPr>
        <w:pStyle w:val="ListParagraph"/>
        <w:numPr>
          <w:ilvl w:val="0"/>
          <w:numId w:val="10"/>
        </w:numPr>
        <w:tabs>
          <w:tab w:val="left" w:pos="-1440"/>
        </w:tabs>
        <w:rPr>
          <w:rFonts w:ascii="Times New Roman" w:hAnsi="Times New Roman"/>
        </w:rPr>
      </w:pPr>
      <w:r w:rsidRPr="00AE1E7B">
        <w:rPr>
          <w:rFonts w:ascii="Times New Roman" w:hAnsi="Times New Roman"/>
        </w:rPr>
        <w:t xml:space="preserve">Case and Activity Management for International Operations (CAMINO) </w:t>
      </w:r>
      <w:r w:rsidRPr="00AE1E7B" w:rsidR="00481FBE">
        <w:rPr>
          <w:rFonts w:ascii="Times New Roman" w:hAnsi="Times New Roman"/>
        </w:rPr>
        <w:t xml:space="preserve">May 26, </w:t>
      </w:r>
      <w:r w:rsidRPr="00AE1E7B" w:rsidR="00481FBE">
        <w:rPr>
          <w:rFonts w:ascii="Times New Roman" w:hAnsi="Times New Roman"/>
        </w:rPr>
        <w:lastRenderedPageBreak/>
        <w:t>2015</w:t>
      </w:r>
      <w:r w:rsidRPr="00AE1E7B">
        <w:rPr>
          <w:rFonts w:ascii="Times New Roman" w:hAnsi="Times New Roman"/>
        </w:rPr>
        <w:t xml:space="preserve">.  </w:t>
      </w:r>
    </w:p>
    <w:p w:rsidR="00AE1E7B" w:rsidP="00AE1E7B" w:rsidRDefault="00AE1E7B" w14:paraId="07491F8D" w14:textId="77777777">
      <w:pPr>
        <w:tabs>
          <w:tab w:val="left" w:pos="-1440"/>
        </w:tabs>
        <w:rPr>
          <w:rFonts w:ascii="Times New Roman" w:hAnsi="Times New Roman"/>
        </w:rPr>
      </w:pPr>
      <w:r>
        <w:rPr>
          <w:rFonts w:ascii="Times New Roman" w:hAnsi="Times New Roman"/>
        </w:rPr>
        <w:tab/>
      </w:r>
    </w:p>
    <w:p w:rsidR="00AE1E7B" w:rsidP="00AE1E7B" w:rsidRDefault="003A1F01" w14:paraId="1B4C1707" w14:textId="77777777">
      <w:pPr>
        <w:tabs>
          <w:tab w:val="left" w:pos="-1440"/>
        </w:tabs>
        <w:ind w:left="720"/>
        <w:rPr>
          <w:rFonts w:ascii="Times New Roman" w:hAnsi="Times New Roman"/>
        </w:rPr>
      </w:pPr>
      <w:r w:rsidRPr="00AE1E7B">
        <w:rPr>
          <w:rFonts w:ascii="Times New Roman" w:hAnsi="Times New Roman"/>
        </w:rPr>
        <w:t>The system of record</w:t>
      </w:r>
      <w:r w:rsidR="00AE1E7B">
        <w:rPr>
          <w:rFonts w:ascii="Times New Roman" w:hAnsi="Times New Roman"/>
        </w:rPr>
        <w:t xml:space="preserve"> notices</w:t>
      </w:r>
      <w:r w:rsidRPr="00AE1E7B">
        <w:rPr>
          <w:rFonts w:ascii="Times New Roman" w:hAnsi="Times New Roman"/>
        </w:rPr>
        <w:t xml:space="preserve"> </w:t>
      </w:r>
      <w:r w:rsidR="00AE1E7B">
        <w:rPr>
          <w:rFonts w:ascii="Times New Roman" w:hAnsi="Times New Roman"/>
        </w:rPr>
        <w:t>associated with</w:t>
      </w:r>
      <w:r w:rsidRPr="00AE1E7B">
        <w:rPr>
          <w:rFonts w:ascii="Times New Roman" w:hAnsi="Times New Roman"/>
        </w:rPr>
        <w:t xml:space="preserve"> this information collection</w:t>
      </w:r>
      <w:r w:rsidR="00AE1E7B">
        <w:rPr>
          <w:rFonts w:ascii="Times New Roman" w:hAnsi="Times New Roman"/>
        </w:rPr>
        <w:t xml:space="preserve"> are:</w:t>
      </w:r>
    </w:p>
    <w:p w:rsidRPr="00AE1E7B" w:rsidR="00AE1E7B" w:rsidP="00AE1E7B" w:rsidRDefault="009F6A60" w14:paraId="511C20DD" w14:textId="77777777">
      <w:pPr>
        <w:pStyle w:val="ListParagraph"/>
        <w:numPr>
          <w:ilvl w:val="0"/>
          <w:numId w:val="10"/>
        </w:numPr>
        <w:tabs>
          <w:tab w:val="left" w:pos="-1440"/>
        </w:tabs>
        <w:rPr>
          <w:rFonts w:ascii="Times New Roman" w:hAnsi="Times New Roman"/>
        </w:rPr>
      </w:pPr>
      <w:hyperlink w:history="1" r:id="rId10">
        <w:r w:rsidRPr="00AE1E7B" w:rsidR="00481FBE">
          <w:rPr>
            <w:rStyle w:val="Hyperlink"/>
            <w:rFonts w:ascii="Times New Roman" w:hAnsi="Times New Roman"/>
            <w:color w:val="auto"/>
            <w:u w:val="none"/>
          </w:rPr>
          <w:t>DHS/USCIS</w:t>
        </w:r>
        <w:r w:rsidRPr="00AE1E7B" w:rsidR="003A1F01">
          <w:rPr>
            <w:rStyle w:val="Hyperlink"/>
            <w:rFonts w:ascii="Times New Roman" w:hAnsi="Times New Roman"/>
            <w:color w:val="auto"/>
            <w:u w:val="none"/>
          </w:rPr>
          <w:t>-001 - Alien File, Index, and National File Tracking System of Records</w:t>
        </w:r>
      </w:hyperlink>
      <w:r w:rsidRPr="00AE1E7B" w:rsidR="00481FBE">
        <w:rPr>
          <w:rFonts w:ascii="Times New Roman" w:hAnsi="Times New Roman"/>
        </w:rPr>
        <w:t xml:space="preserve"> November 21, 2013, 78 FR 69864</w:t>
      </w:r>
      <w:r w:rsidRPr="00AE1E7B" w:rsidR="003A1F01">
        <w:rPr>
          <w:rFonts w:ascii="Times New Roman" w:hAnsi="Times New Roman"/>
        </w:rPr>
        <w:t xml:space="preserve">; </w:t>
      </w:r>
      <w:r w:rsidRPr="00AE1E7B" w:rsidR="00AE1E7B">
        <w:rPr>
          <w:rFonts w:ascii="Times New Roman" w:hAnsi="Times New Roman"/>
        </w:rPr>
        <w:t>and</w:t>
      </w:r>
    </w:p>
    <w:p w:rsidRPr="00AE1E7B" w:rsidR="003A1F01" w:rsidP="00AE1E7B" w:rsidRDefault="009F6A60" w14:paraId="3F259667" w14:textId="77777777">
      <w:pPr>
        <w:pStyle w:val="ListParagraph"/>
        <w:numPr>
          <w:ilvl w:val="0"/>
          <w:numId w:val="10"/>
        </w:numPr>
        <w:tabs>
          <w:tab w:val="left" w:pos="-1440"/>
        </w:tabs>
        <w:rPr>
          <w:rFonts w:ascii="Times New Roman" w:hAnsi="Times New Roman"/>
        </w:rPr>
      </w:pPr>
      <w:hyperlink w:history="1" r:id="rId11">
        <w:r w:rsidRPr="00AE1E7B" w:rsidR="003A1F01">
          <w:rPr>
            <w:rStyle w:val="Hyperlink"/>
            <w:rFonts w:ascii="Times New Roman" w:hAnsi="Times New Roman"/>
            <w:color w:val="auto"/>
            <w:u w:val="none"/>
          </w:rPr>
          <w:t>DHS/USCIS-007 - Benefits Information System</w:t>
        </w:r>
      </w:hyperlink>
      <w:r w:rsidRPr="00AE1E7B" w:rsidR="003A1F01">
        <w:rPr>
          <w:rFonts w:ascii="Times New Roman" w:hAnsi="Times New Roman"/>
        </w:rPr>
        <w:t xml:space="preserve"> September 29, 2008 73 FR 56596.  </w:t>
      </w:r>
    </w:p>
    <w:p w:rsidRPr="00914A5D" w:rsidR="001A595D" w:rsidP="00AE1E7B" w:rsidRDefault="001A595D" w14:paraId="2007B846" w14:textId="77777777">
      <w:pPr>
        <w:tabs>
          <w:tab w:val="left" w:pos="-1440"/>
        </w:tabs>
        <w:rPr>
          <w:rFonts w:ascii="Times New Roman" w:hAnsi="Times New Roman"/>
        </w:rPr>
      </w:pPr>
    </w:p>
    <w:p w:rsidRPr="00B1471A" w:rsidR="00B27061" w:rsidP="00914A5D" w:rsidRDefault="00B27061" w14:paraId="63351A83"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0746FF91" w14:textId="77777777">
      <w:pPr>
        <w:tabs>
          <w:tab w:val="left" w:pos="-1440"/>
        </w:tabs>
        <w:ind w:left="720"/>
        <w:rPr>
          <w:rFonts w:ascii="Times New Roman" w:hAnsi="Times New Roman"/>
        </w:rPr>
      </w:pPr>
      <w:r w:rsidRPr="000B00D2">
        <w:rPr>
          <w:rFonts w:ascii="Times New Roman" w:hAnsi="Times New Roman"/>
        </w:rPr>
        <w:tab/>
      </w:r>
    </w:p>
    <w:p w:rsidRPr="00AF45F2" w:rsidR="001A595D" w:rsidP="00914A5D" w:rsidRDefault="0040458D" w14:paraId="49C70756" w14:textId="77777777">
      <w:pPr>
        <w:tabs>
          <w:tab w:val="left" w:pos="-1440"/>
        </w:tabs>
        <w:ind w:left="720"/>
        <w:rPr>
          <w:rFonts w:ascii="Times New Roman" w:hAnsi="Times New Roman"/>
          <w:color w:val="FF0000"/>
        </w:rPr>
      </w:pPr>
      <w:r w:rsidRPr="00554746">
        <w:rPr>
          <w:rFonts w:ascii="Times New Roman" w:hAnsi="Times New Roman"/>
        </w:rPr>
        <w:t>This information collection contains questions that are of a sensitive nature.  Respondents must provide information and records on personal income and financial resources.  This information is necessary to establish that the sponsor of an alien has sufficient income or financial resources to assure that the sponsored alien will not become a public charge while in the United States.</w:t>
      </w:r>
    </w:p>
    <w:p w:rsidRPr="008A4764" w:rsidR="00494557" w:rsidP="00914A5D" w:rsidRDefault="00494557" w14:paraId="737147C7" w14:textId="77777777">
      <w:pPr>
        <w:tabs>
          <w:tab w:val="left" w:pos="-1440"/>
        </w:tabs>
        <w:ind w:left="720"/>
        <w:rPr>
          <w:rFonts w:ascii="Times New Roman" w:hAnsi="Times New Roman"/>
        </w:rPr>
      </w:pPr>
    </w:p>
    <w:p w:rsidRPr="008A4764" w:rsidR="00B27061" w:rsidP="00914A5D" w:rsidRDefault="00B27061" w14:paraId="5BDB9FD1"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38EFEF4" w14:textId="77777777">
      <w:pPr>
        <w:tabs>
          <w:tab w:val="left" w:pos="-1440"/>
        </w:tabs>
        <w:ind w:left="1440" w:hanging="720"/>
        <w:rPr>
          <w:rFonts w:ascii="Times New Roman" w:hAnsi="Times New Roman"/>
          <w:b/>
        </w:rPr>
      </w:pPr>
    </w:p>
    <w:p w:rsidRPr="00D80E94" w:rsidR="00B27061" w:rsidP="00914A5D" w:rsidRDefault="00B27061" w14:paraId="6FD78AF0"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AFA1126" w14:textId="77777777">
      <w:pPr>
        <w:tabs>
          <w:tab w:val="left" w:pos="1080"/>
        </w:tabs>
        <w:ind w:left="1080" w:hanging="360"/>
        <w:rPr>
          <w:rFonts w:ascii="Times New Roman" w:hAnsi="Times New Roman"/>
          <w:b/>
        </w:rPr>
      </w:pPr>
    </w:p>
    <w:p w:rsidRPr="00914A5D" w:rsidR="00B27061" w:rsidP="00914A5D" w:rsidRDefault="00B27061" w14:paraId="2670B14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4C4EB049" w14:textId="77777777">
      <w:pPr>
        <w:tabs>
          <w:tab w:val="left" w:pos="1080"/>
        </w:tabs>
        <w:ind w:left="1080" w:hanging="360"/>
        <w:rPr>
          <w:rFonts w:ascii="Times New Roman" w:hAnsi="Times New Roman"/>
          <w:b/>
        </w:rPr>
      </w:pPr>
    </w:p>
    <w:p w:rsidRPr="00914A5D" w:rsidR="00B27061" w:rsidP="00914A5D" w:rsidRDefault="00B27061" w14:paraId="01CDCE2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0061D9" w:rsidP="000061D9" w:rsidRDefault="000061D9" w14:paraId="4F6A0AF3" w14:textId="77777777">
      <w:pPr>
        <w:tabs>
          <w:tab w:val="left" w:pos="-1440"/>
          <w:tab w:val="left" w:pos="1080"/>
        </w:tabs>
        <w:ind w:left="1080" w:hanging="360"/>
        <w:rPr>
          <w:rFonts w:ascii="Times New Roman" w:hAnsi="Times New Roman"/>
          <w:b/>
        </w:rPr>
      </w:pPr>
    </w:p>
    <w:tbl>
      <w:tblPr>
        <w:tblW w:w="10672" w:type="dxa"/>
        <w:tblInd w:w="-665" w:type="dxa"/>
        <w:tblLook w:val="04A0" w:firstRow="1" w:lastRow="0" w:firstColumn="1" w:lastColumn="0" w:noHBand="0" w:noVBand="1"/>
      </w:tblPr>
      <w:tblGrid>
        <w:gridCol w:w="1255"/>
        <w:gridCol w:w="1346"/>
        <w:gridCol w:w="1341"/>
        <w:gridCol w:w="1255"/>
        <w:gridCol w:w="1145"/>
        <w:gridCol w:w="1060"/>
        <w:gridCol w:w="1096"/>
        <w:gridCol w:w="919"/>
        <w:gridCol w:w="1255"/>
      </w:tblGrid>
      <w:tr w:rsidRPr="003966DB" w:rsidR="000061D9" w:rsidTr="003966DB" w14:paraId="63434657" w14:textId="77777777">
        <w:trPr>
          <w:trHeight w:val="315"/>
        </w:trPr>
        <w:tc>
          <w:tcPr>
            <w:tcW w:w="125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966DB" w:rsidR="000061D9" w:rsidP="003966DB" w:rsidRDefault="000061D9" w14:paraId="3232FE3F" w14:textId="498E3B2A">
            <w:pPr>
              <w:widowControl/>
              <w:autoSpaceDE/>
              <w:autoSpaceDN/>
              <w:adjustRightInd/>
              <w:jc w:val="center"/>
              <w:rPr>
                <w:rFonts w:ascii="Times New Roman" w:hAnsi="Times New Roman"/>
                <w:color w:val="000000"/>
                <w:sz w:val="22"/>
                <w:szCs w:val="22"/>
              </w:rPr>
            </w:pPr>
          </w:p>
        </w:tc>
        <w:tc>
          <w:tcPr>
            <w:tcW w:w="1346"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69508BEE" w14:textId="70809585">
            <w:pPr>
              <w:widowControl/>
              <w:autoSpaceDE/>
              <w:autoSpaceDN/>
              <w:adjustRightInd/>
              <w:jc w:val="center"/>
              <w:rPr>
                <w:rFonts w:ascii="Times New Roman" w:hAnsi="Times New Roman"/>
                <w:color w:val="000000"/>
                <w:sz w:val="22"/>
                <w:szCs w:val="22"/>
              </w:rPr>
            </w:pPr>
          </w:p>
        </w:tc>
        <w:tc>
          <w:tcPr>
            <w:tcW w:w="1341"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52150985"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A</w:t>
            </w:r>
          </w:p>
        </w:tc>
        <w:tc>
          <w:tcPr>
            <w:tcW w:w="1255"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0C1B07EA"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B</w:t>
            </w:r>
          </w:p>
        </w:tc>
        <w:tc>
          <w:tcPr>
            <w:tcW w:w="1145"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040B5243"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C (=AxB)</w:t>
            </w:r>
          </w:p>
        </w:tc>
        <w:tc>
          <w:tcPr>
            <w:tcW w:w="1060"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415F74EF"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D</w:t>
            </w:r>
          </w:p>
        </w:tc>
        <w:tc>
          <w:tcPr>
            <w:tcW w:w="1096"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0615CF31"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E (=CxD)</w:t>
            </w:r>
          </w:p>
        </w:tc>
        <w:tc>
          <w:tcPr>
            <w:tcW w:w="919"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0DBA4087"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F</w:t>
            </w:r>
          </w:p>
        </w:tc>
        <w:tc>
          <w:tcPr>
            <w:tcW w:w="1255" w:type="dxa"/>
            <w:tcBorders>
              <w:top w:val="single" w:color="auto" w:sz="8" w:space="0"/>
              <w:left w:val="nil"/>
              <w:bottom w:val="single" w:color="auto" w:sz="8" w:space="0"/>
              <w:right w:val="single" w:color="auto" w:sz="8" w:space="0"/>
            </w:tcBorders>
            <w:shd w:val="clear" w:color="auto" w:fill="auto"/>
            <w:noWrap/>
            <w:vAlign w:val="center"/>
            <w:hideMark/>
          </w:tcPr>
          <w:p w:rsidRPr="003966DB" w:rsidR="000061D9" w:rsidP="003966DB" w:rsidRDefault="000061D9" w14:paraId="3D4A3796"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(=ExF)</w:t>
            </w:r>
          </w:p>
        </w:tc>
      </w:tr>
      <w:tr w:rsidRPr="003966DB" w:rsidR="000061D9" w:rsidTr="003966DB" w14:paraId="74F2CAF6" w14:textId="77777777">
        <w:trPr>
          <w:trHeight w:val="1290"/>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3966DB" w:rsidR="000061D9" w:rsidP="003966DB" w:rsidRDefault="000061D9" w14:paraId="26EE5112"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Type of Respondent</w:t>
            </w:r>
          </w:p>
        </w:tc>
        <w:tc>
          <w:tcPr>
            <w:tcW w:w="1346"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1FA8F4BC"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Form Name / Form Number</w:t>
            </w:r>
          </w:p>
        </w:tc>
        <w:tc>
          <w:tcPr>
            <w:tcW w:w="1341"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2FC197EE"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 of Respondents</w:t>
            </w:r>
          </w:p>
        </w:tc>
        <w:tc>
          <w:tcPr>
            <w:tcW w:w="1255"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30EE51D0"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 of Responses per Respondent</w:t>
            </w:r>
          </w:p>
        </w:tc>
        <w:tc>
          <w:tcPr>
            <w:tcW w:w="1145"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41C575EC"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 of Responses</w:t>
            </w:r>
          </w:p>
        </w:tc>
        <w:tc>
          <w:tcPr>
            <w:tcW w:w="1060"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4F49C503"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Avg. Burden per Response (in hours)</w:t>
            </w:r>
          </w:p>
        </w:tc>
        <w:tc>
          <w:tcPr>
            <w:tcW w:w="1096"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5C17DB9B"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Total Annual Burden (in hours)</w:t>
            </w:r>
          </w:p>
        </w:tc>
        <w:tc>
          <w:tcPr>
            <w:tcW w:w="919"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1A50A925"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Avg. Hourly Wage Rate*</w:t>
            </w:r>
          </w:p>
        </w:tc>
        <w:tc>
          <w:tcPr>
            <w:tcW w:w="1255" w:type="dxa"/>
            <w:tcBorders>
              <w:top w:val="nil"/>
              <w:left w:val="nil"/>
              <w:bottom w:val="single" w:color="auto" w:sz="8" w:space="0"/>
              <w:right w:val="single" w:color="auto" w:sz="8" w:space="0"/>
            </w:tcBorders>
            <w:shd w:val="clear" w:color="auto" w:fill="auto"/>
            <w:vAlign w:val="center"/>
            <w:hideMark/>
          </w:tcPr>
          <w:p w:rsidRPr="003966DB" w:rsidR="000061D9" w:rsidP="003966DB" w:rsidRDefault="000061D9" w14:paraId="2375B022"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Total Annual Respondent Cost</w:t>
            </w:r>
          </w:p>
        </w:tc>
      </w:tr>
      <w:tr w:rsidRPr="003966DB" w:rsidR="00886FE1" w:rsidTr="003966DB" w14:paraId="699B124C"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3966DB" w:rsidR="00886FE1" w:rsidP="003966DB" w:rsidRDefault="00886FE1" w14:paraId="21612B91" w14:textId="05E709F6">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Individuals or Households</w:t>
            </w:r>
          </w:p>
        </w:tc>
        <w:tc>
          <w:tcPr>
            <w:tcW w:w="1346"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27D1183E" w14:textId="77AB7BCF">
            <w:pPr>
              <w:widowControl/>
              <w:autoSpaceDE/>
              <w:autoSpaceDN/>
              <w:adjustRightInd/>
              <w:jc w:val="center"/>
              <w:rPr>
                <w:rFonts w:ascii="Times New Roman" w:hAnsi="Times New Roman"/>
                <w:color w:val="000000"/>
                <w:sz w:val="22"/>
                <w:szCs w:val="22"/>
              </w:rPr>
            </w:pPr>
            <w:r w:rsidRPr="003966DB">
              <w:rPr>
                <w:rFonts w:ascii="Times New Roman" w:hAnsi="Times New Roman"/>
                <w:bCs/>
                <w:color w:val="000000"/>
                <w:sz w:val="22"/>
                <w:szCs w:val="22"/>
              </w:rPr>
              <w:t>Affidavit of Support, Form I-134</w:t>
            </w:r>
          </w:p>
        </w:tc>
        <w:tc>
          <w:tcPr>
            <w:tcW w:w="1341"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1B9BCFB4" w14:textId="16D15DA4">
            <w:pPr>
              <w:widowControl/>
              <w:autoSpaceDE/>
              <w:adjustRightInd/>
              <w:jc w:val="center"/>
              <w:rPr>
                <w:rFonts w:ascii="Times New Roman" w:hAnsi="Times New Roman"/>
                <w:color w:val="000000"/>
                <w:sz w:val="22"/>
                <w:szCs w:val="22"/>
              </w:rPr>
            </w:pPr>
            <w:r w:rsidRPr="003966DB">
              <w:rPr>
                <w:rFonts w:ascii="Times New Roman" w:hAnsi="Times New Roman"/>
                <w:color w:val="000000"/>
                <w:sz w:val="22"/>
                <w:szCs w:val="22"/>
              </w:rPr>
              <w:t>2,500</w:t>
            </w:r>
          </w:p>
        </w:tc>
        <w:tc>
          <w:tcPr>
            <w:tcW w:w="1255"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437BE350" w14:textId="5936E345">
            <w:pPr>
              <w:widowControl/>
              <w:autoSpaceDE/>
              <w:adjustRightInd/>
              <w:jc w:val="center"/>
              <w:rPr>
                <w:rFonts w:ascii="Times New Roman" w:hAnsi="Times New Roman"/>
                <w:color w:val="000000"/>
                <w:sz w:val="22"/>
                <w:szCs w:val="22"/>
              </w:rPr>
            </w:pPr>
            <w:r w:rsidRPr="003966DB">
              <w:rPr>
                <w:rFonts w:ascii="Times New Roman" w:hAnsi="Times New Roman"/>
                <w:color w:val="000000"/>
                <w:sz w:val="22"/>
                <w:szCs w:val="22"/>
              </w:rPr>
              <w:t>1</w:t>
            </w:r>
          </w:p>
        </w:tc>
        <w:tc>
          <w:tcPr>
            <w:tcW w:w="1145"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02CC5360" w14:textId="0B943ED1">
            <w:pPr>
              <w:widowControl/>
              <w:autoSpaceDE/>
              <w:adjustRightInd/>
              <w:jc w:val="center"/>
              <w:rPr>
                <w:rFonts w:ascii="Times New Roman" w:hAnsi="Times New Roman"/>
                <w:color w:val="000000"/>
                <w:sz w:val="22"/>
                <w:szCs w:val="22"/>
              </w:rPr>
            </w:pPr>
            <w:r w:rsidRPr="003966DB">
              <w:rPr>
                <w:rFonts w:ascii="Times New Roman" w:hAnsi="Times New Roman"/>
                <w:color w:val="000000"/>
                <w:sz w:val="22"/>
                <w:szCs w:val="22"/>
              </w:rPr>
              <w:t>2,500</w:t>
            </w:r>
          </w:p>
        </w:tc>
        <w:tc>
          <w:tcPr>
            <w:tcW w:w="1060"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73A73F25" w14:textId="7EC3F90D">
            <w:pPr>
              <w:widowControl/>
              <w:autoSpaceDE/>
              <w:adjustRightInd/>
              <w:jc w:val="center"/>
              <w:rPr>
                <w:rFonts w:ascii="Times New Roman" w:hAnsi="Times New Roman"/>
                <w:color w:val="000000"/>
                <w:sz w:val="22"/>
                <w:szCs w:val="22"/>
              </w:rPr>
            </w:pPr>
            <w:r w:rsidRPr="003966DB">
              <w:rPr>
                <w:rFonts w:ascii="Times New Roman" w:hAnsi="Times New Roman"/>
                <w:color w:val="000000"/>
                <w:sz w:val="22"/>
                <w:szCs w:val="22"/>
              </w:rPr>
              <w:t>1.75</w:t>
            </w:r>
          </w:p>
        </w:tc>
        <w:tc>
          <w:tcPr>
            <w:tcW w:w="1096"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B62204" w14:paraId="722E7443" w14:textId="6F10D583">
            <w:pPr>
              <w:widowControl/>
              <w:autoSpaceDE/>
              <w:adjustRightInd/>
              <w:jc w:val="center"/>
              <w:rPr>
                <w:rFonts w:ascii="Times New Roman" w:hAnsi="Times New Roman"/>
                <w:color w:val="000000"/>
                <w:sz w:val="22"/>
                <w:szCs w:val="22"/>
              </w:rPr>
            </w:pPr>
            <w:r w:rsidRPr="003966DB">
              <w:rPr>
                <w:rFonts w:ascii="Times New Roman" w:hAnsi="Times New Roman"/>
                <w:color w:val="000000"/>
                <w:sz w:val="22"/>
                <w:szCs w:val="22"/>
              </w:rPr>
              <w:t>4,375</w:t>
            </w:r>
          </w:p>
        </w:tc>
        <w:tc>
          <w:tcPr>
            <w:tcW w:w="919"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7B2F2EFD" w14:textId="5B66C1B6">
            <w:pPr>
              <w:widowControl/>
              <w:autoSpaceDE/>
              <w:adjustRightInd/>
              <w:jc w:val="center"/>
              <w:rPr>
                <w:rFonts w:ascii="Times New Roman" w:hAnsi="Times New Roman"/>
                <w:sz w:val="22"/>
                <w:szCs w:val="22"/>
              </w:rPr>
            </w:pPr>
            <w:r w:rsidRPr="003966DB">
              <w:rPr>
                <w:rFonts w:ascii="Times New Roman" w:hAnsi="Times New Roman"/>
                <w:color w:val="000000"/>
                <w:sz w:val="22"/>
                <w:szCs w:val="22"/>
              </w:rPr>
              <w:t>$36.47</w:t>
            </w:r>
          </w:p>
        </w:tc>
        <w:tc>
          <w:tcPr>
            <w:tcW w:w="1255" w:type="dxa"/>
            <w:tcBorders>
              <w:top w:val="nil"/>
              <w:left w:val="nil"/>
              <w:bottom w:val="single" w:color="auto" w:sz="8" w:space="0"/>
              <w:right w:val="single" w:color="auto" w:sz="8" w:space="0"/>
            </w:tcBorders>
            <w:shd w:val="clear" w:color="auto" w:fill="auto"/>
            <w:vAlign w:val="center"/>
            <w:hideMark/>
          </w:tcPr>
          <w:p w:rsidRPr="003966DB" w:rsidR="00886FE1" w:rsidP="003966DB" w:rsidRDefault="00886FE1" w14:paraId="5C2A9B77" w14:textId="0DEAE4C6">
            <w:pPr>
              <w:widowControl/>
              <w:autoSpaceDE/>
              <w:adjustRightInd/>
              <w:jc w:val="center"/>
              <w:rPr>
                <w:rFonts w:ascii="Times New Roman" w:hAnsi="Times New Roman"/>
                <w:color w:val="000000"/>
                <w:sz w:val="22"/>
                <w:szCs w:val="22"/>
              </w:rPr>
            </w:pPr>
            <w:r w:rsidRPr="003966DB">
              <w:rPr>
                <w:rFonts w:ascii="Times New Roman" w:hAnsi="Times New Roman"/>
                <w:color w:val="000000"/>
                <w:sz w:val="22"/>
                <w:szCs w:val="22"/>
              </w:rPr>
              <w:t>$159,556</w:t>
            </w:r>
          </w:p>
        </w:tc>
      </w:tr>
      <w:tr w:rsidRPr="003966DB" w:rsidR="003966DB" w:rsidTr="003966DB" w14:paraId="7EC08C23"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tcPr>
          <w:p w:rsidRPr="003966DB" w:rsidR="003966DB" w:rsidP="003966DB" w:rsidRDefault="003966DB" w14:paraId="69AD3DB4" w14:textId="1810C755">
            <w:pPr>
              <w:widowControl/>
              <w:autoSpaceDE/>
              <w:autoSpaceDN/>
              <w:adjustRightInd/>
              <w:jc w:val="center"/>
              <w:rPr>
                <w:rFonts w:ascii="Times New Roman" w:hAnsi="Times New Roman"/>
                <w:color w:val="000000"/>
                <w:sz w:val="22"/>
                <w:szCs w:val="22"/>
              </w:rPr>
            </w:pPr>
            <w:r w:rsidRPr="003966DB">
              <w:rPr>
                <w:rFonts w:ascii="Times New Roman" w:hAnsi="Times New Roman"/>
                <w:sz w:val="22"/>
                <w:szCs w:val="22"/>
              </w:rPr>
              <w:t>Individuals or Households</w:t>
            </w:r>
          </w:p>
        </w:tc>
        <w:tc>
          <w:tcPr>
            <w:tcW w:w="1346"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362501B3" w14:textId="36A88BAB">
            <w:pPr>
              <w:widowControl/>
              <w:autoSpaceDE/>
              <w:autoSpaceDN/>
              <w:adjustRightInd/>
              <w:jc w:val="center"/>
              <w:rPr>
                <w:rFonts w:ascii="Times New Roman" w:hAnsi="Times New Roman"/>
                <w:color w:val="000000"/>
                <w:sz w:val="22"/>
                <w:szCs w:val="22"/>
              </w:rPr>
            </w:pPr>
            <w:r w:rsidRPr="003966DB">
              <w:rPr>
                <w:rFonts w:ascii="Times New Roman" w:hAnsi="Times New Roman"/>
                <w:sz w:val="22"/>
                <w:szCs w:val="22"/>
              </w:rPr>
              <w:t>Biometrics</w:t>
            </w:r>
          </w:p>
        </w:tc>
        <w:tc>
          <w:tcPr>
            <w:tcW w:w="1341"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44BF0BAA" w14:textId="76383DBD">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2,500</w:t>
            </w:r>
          </w:p>
        </w:tc>
        <w:tc>
          <w:tcPr>
            <w:tcW w:w="1255"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702F5837" w14:textId="3991E402">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1</w:t>
            </w:r>
          </w:p>
        </w:tc>
        <w:tc>
          <w:tcPr>
            <w:tcW w:w="1145"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63581F8D" w14:textId="1529FE06">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2,500</w:t>
            </w:r>
          </w:p>
        </w:tc>
        <w:tc>
          <w:tcPr>
            <w:tcW w:w="1060"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46BF61E1" w14:textId="53E26FF2">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3.67</w:t>
            </w:r>
          </w:p>
        </w:tc>
        <w:tc>
          <w:tcPr>
            <w:tcW w:w="1096"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371ABFAB" w14:textId="1FBAF169">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9,175.00</w:t>
            </w:r>
          </w:p>
        </w:tc>
        <w:tc>
          <w:tcPr>
            <w:tcW w:w="919"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1837CF2D" w14:textId="69A171B1">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$36.47</w:t>
            </w:r>
          </w:p>
        </w:tc>
        <w:tc>
          <w:tcPr>
            <w:tcW w:w="1255"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3013B2D6" w14:textId="40F9C24D">
            <w:pPr>
              <w:widowControl/>
              <w:autoSpaceDE/>
              <w:adjustRightInd/>
              <w:jc w:val="center"/>
              <w:rPr>
                <w:rFonts w:ascii="Times New Roman" w:hAnsi="Times New Roman"/>
                <w:color w:val="000000"/>
                <w:sz w:val="22"/>
                <w:szCs w:val="22"/>
              </w:rPr>
            </w:pPr>
            <w:r w:rsidRPr="003966DB">
              <w:rPr>
                <w:rFonts w:ascii="Times New Roman" w:hAnsi="Times New Roman"/>
                <w:sz w:val="22"/>
                <w:szCs w:val="22"/>
              </w:rPr>
              <w:t>$334,612</w:t>
            </w:r>
          </w:p>
        </w:tc>
      </w:tr>
      <w:tr w:rsidRPr="003966DB" w:rsidR="003966DB" w:rsidTr="003966DB" w14:paraId="478210F4" w14:textId="77777777">
        <w:trPr>
          <w:trHeight w:val="315"/>
        </w:trPr>
        <w:tc>
          <w:tcPr>
            <w:tcW w:w="1255" w:type="dxa"/>
            <w:tcBorders>
              <w:top w:val="nil"/>
              <w:left w:val="single" w:color="auto" w:sz="8" w:space="0"/>
              <w:bottom w:val="single" w:color="auto" w:sz="8" w:space="0"/>
              <w:right w:val="single" w:color="auto" w:sz="8" w:space="0"/>
            </w:tcBorders>
            <w:shd w:val="clear" w:color="auto" w:fill="auto"/>
            <w:vAlign w:val="center"/>
            <w:hideMark/>
          </w:tcPr>
          <w:p w:rsidRPr="003966DB" w:rsidR="003966DB" w:rsidP="003966DB" w:rsidRDefault="003966DB" w14:paraId="7D19E74A" w14:textId="77777777">
            <w:pPr>
              <w:widowControl/>
              <w:autoSpaceDE/>
              <w:autoSpaceDN/>
              <w:adjustRightInd/>
              <w:jc w:val="center"/>
              <w:rPr>
                <w:rFonts w:ascii="Times New Roman" w:hAnsi="Times New Roman"/>
                <w:color w:val="000000"/>
                <w:sz w:val="22"/>
                <w:szCs w:val="22"/>
              </w:rPr>
            </w:pPr>
            <w:r w:rsidRPr="003966DB">
              <w:rPr>
                <w:rFonts w:ascii="Times New Roman" w:hAnsi="Times New Roman"/>
                <w:color w:val="000000"/>
                <w:sz w:val="22"/>
                <w:szCs w:val="22"/>
              </w:rPr>
              <w:t>Total</w:t>
            </w:r>
          </w:p>
        </w:tc>
        <w:tc>
          <w:tcPr>
            <w:tcW w:w="1346" w:type="dxa"/>
            <w:tcBorders>
              <w:top w:val="nil"/>
              <w:left w:val="nil"/>
              <w:bottom w:val="single" w:color="auto" w:sz="8" w:space="0"/>
              <w:right w:val="single" w:color="auto" w:sz="8" w:space="0"/>
            </w:tcBorders>
            <w:shd w:val="clear" w:color="000000" w:fill="000000"/>
            <w:vAlign w:val="center"/>
            <w:hideMark/>
          </w:tcPr>
          <w:p w:rsidRPr="003966DB" w:rsidR="003966DB" w:rsidP="003966DB" w:rsidRDefault="003966DB" w14:paraId="65CB017C" w14:textId="7C861170">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color="auto" w:sz="8" w:space="0"/>
              <w:right w:val="single" w:color="auto" w:sz="8" w:space="0"/>
            </w:tcBorders>
            <w:shd w:val="clear" w:color="000000" w:fill="000000"/>
            <w:vAlign w:val="center"/>
            <w:hideMark/>
          </w:tcPr>
          <w:p w:rsidRPr="003966DB" w:rsidR="003966DB" w:rsidP="003966DB" w:rsidRDefault="003966DB" w14:paraId="3804D8C6" w14:textId="3E57FAFC">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color="auto" w:sz="8" w:space="0"/>
              <w:right w:val="single" w:color="auto" w:sz="8" w:space="0"/>
            </w:tcBorders>
            <w:shd w:val="clear" w:color="000000" w:fill="000000"/>
            <w:vAlign w:val="center"/>
            <w:hideMark/>
          </w:tcPr>
          <w:p w:rsidRPr="003966DB" w:rsidR="003966DB" w:rsidP="003966DB" w:rsidRDefault="003966DB" w14:paraId="2CFCFEE5" w14:textId="504474C8">
            <w:pPr>
              <w:widowControl/>
              <w:autoSpaceDE/>
              <w:autoSpaceDN/>
              <w:adjustRightInd/>
              <w:jc w:val="center"/>
              <w:rPr>
                <w:rFonts w:ascii="Times New Roman" w:hAnsi="Times New Roman"/>
                <w:color w:val="000000"/>
                <w:sz w:val="22"/>
                <w:szCs w:val="22"/>
              </w:rPr>
            </w:pPr>
          </w:p>
        </w:tc>
        <w:tc>
          <w:tcPr>
            <w:tcW w:w="1145"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00CB5E4D" w14:textId="77777777">
            <w:pPr>
              <w:widowControl/>
              <w:autoSpaceDE/>
              <w:adjustRightInd/>
              <w:jc w:val="center"/>
              <w:rPr>
                <w:rFonts w:ascii="Times New Roman" w:hAnsi="Times New Roman"/>
                <w:b/>
                <w:bCs/>
                <w:color w:val="000000"/>
                <w:sz w:val="22"/>
                <w:szCs w:val="22"/>
              </w:rPr>
            </w:pPr>
            <w:r w:rsidRPr="003966DB">
              <w:rPr>
                <w:rFonts w:ascii="Times New Roman" w:hAnsi="Times New Roman"/>
                <w:b/>
                <w:bCs/>
                <w:color w:val="000000"/>
                <w:sz w:val="22"/>
                <w:szCs w:val="22"/>
              </w:rPr>
              <w:t>2,500</w:t>
            </w:r>
          </w:p>
        </w:tc>
        <w:tc>
          <w:tcPr>
            <w:tcW w:w="1060" w:type="dxa"/>
            <w:tcBorders>
              <w:top w:val="nil"/>
              <w:left w:val="nil"/>
              <w:bottom w:val="single" w:color="auto" w:sz="8" w:space="0"/>
              <w:right w:val="single" w:color="auto" w:sz="8" w:space="0"/>
            </w:tcBorders>
            <w:shd w:val="clear" w:color="000000" w:fill="000000"/>
            <w:vAlign w:val="center"/>
          </w:tcPr>
          <w:p w:rsidRPr="003966DB" w:rsidR="003966DB" w:rsidP="003966DB" w:rsidRDefault="003966DB" w14:paraId="14ED71EA" w14:textId="6D40F153">
            <w:pPr>
              <w:widowControl/>
              <w:autoSpaceDE/>
              <w:adjustRightInd/>
              <w:jc w:val="center"/>
              <w:rPr>
                <w:rFonts w:ascii="Times New Roman" w:hAnsi="Times New Roman"/>
                <w:b/>
                <w:color w:val="000000"/>
                <w:sz w:val="22"/>
                <w:szCs w:val="22"/>
              </w:rPr>
            </w:pPr>
          </w:p>
        </w:tc>
        <w:tc>
          <w:tcPr>
            <w:tcW w:w="1096"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7437CB7D" w14:textId="3704D222">
            <w:pPr>
              <w:widowControl/>
              <w:autoSpaceDE/>
              <w:adjustRightInd/>
              <w:jc w:val="center"/>
              <w:rPr>
                <w:rFonts w:ascii="Times New Roman" w:hAnsi="Times New Roman"/>
                <w:b/>
                <w:color w:val="000000"/>
                <w:sz w:val="22"/>
                <w:szCs w:val="22"/>
              </w:rPr>
            </w:pPr>
            <w:r w:rsidRPr="003966DB">
              <w:rPr>
                <w:rFonts w:ascii="Times New Roman" w:hAnsi="Times New Roman"/>
                <w:sz w:val="22"/>
                <w:szCs w:val="22"/>
              </w:rPr>
              <w:t>13,550.00</w:t>
            </w:r>
          </w:p>
        </w:tc>
        <w:tc>
          <w:tcPr>
            <w:tcW w:w="919" w:type="dxa"/>
            <w:tcBorders>
              <w:top w:val="nil"/>
              <w:left w:val="nil"/>
              <w:bottom w:val="single" w:color="auto" w:sz="8" w:space="0"/>
              <w:right w:val="single" w:color="auto" w:sz="8" w:space="0"/>
            </w:tcBorders>
            <w:shd w:val="clear" w:color="000000" w:fill="000000"/>
            <w:vAlign w:val="center"/>
          </w:tcPr>
          <w:p w:rsidRPr="003966DB" w:rsidR="003966DB" w:rsidP="003966DB" w:rsidRDefault="003966DB" w14:paraId="1B866992" w14:textId="3E984F35">
            <w:pPr>
              <w:widowControl/>
              <w:autoSpaceDE/>
              <w:adjustRightInd/>
              <w:jc w:val="center"/>
              <w:rPr>
                <w:rFonts w:ascii="Times New Roman" w:hAnsi="Times New Roman"/>
                <w:b/>
                <w:color w:val="000000"/>
                <w:sz w:val="22"/>
                <w:szCs w:val="22"/>
              </w:rPr>
            </w:pPr>
          </w:p>
        </w:tc>
        <w:tc>
          <w:tcPr>
            <w:tcW w:w="1255" w:type="dxa"/>
            <w:tcBorders>
              <w:top w:val="nil"/>
              <w:left w:val="nil"/>
              <w:bottom w:val="single" w:color="auto" w:sz="8" w:space="0"/>
              <w:right w:val="single" w:color="auto" w:sz="8" w:space="0"/>
            </w:tcBorders>
            <w:shd w:val="clear" w:color="auto" w:fill="auto"/>
            <w:vAlign w:val="center"/>
          </w:tcPr>
          <w:p w:rsidRPr="003966DB" w:rsidR="003966DB" w:rsidP="003966DB" w:rsidRDefault="003966DB" w14:paraId="0E8CB82B" w14:textId="099A3E03">
            <w:pPr>
              <w:widowControl/>
              <w:autoSpaceDE/>
              <w:adjustRightInd/>
              <w:jc w:val="center"/>
              <w:rPr>
                <w:rFonts w:ascii="Times New Roman" w:hAnsi="Times New Roman"/>
                <w:b/>
                <w:bCs/>
                <w:color w:val="000000"/>
                <w:sz w:val="22"/>
                <w:szCs w:val="22"/>
              </w:rPr>
            </w:pPr>
            <w:r w:rsidRPr="003966DB">
              <w:rPr>
                <w:rFonts w:ascii="Times New Roman" w:hAnsi="Times New Roman"/>
                <w:sz w:val="22"/>
                <w:szCs w:val="22"/>
              </w:rPr>
              <w:t>$494,169</w:t>
            </w:r>
          </w:p>
        </w:tc>
      </w:tr>
    </w:tbl>
    <w:p w:rsidR="000061D9" w:rsidP="000061D9" w:rsidRDefault="000061D9" w14:paraId="63D1377B" w14:textId="77777777">
      <w:pPr>
        <w:ind w:left="720"/>
        <w:jc w:val="both"/>
        <w:rPr>
          <w:i/>
          <w:iCs/>
          <w:sz w:val="20"/>
          <w:szCs w:val="20"/>
        </w:rPr>
      </w:pPr>
    </w:p>
    <w:p w:rsidRPr="000061D9" w:rsidR="000061D9" w:rsidP="000061D9" w:rsidRDefault="000061D9" w14:paraId="6C4A5787" w14:textId="1976EF5D">
      <w:pPr>
        <w:ind w:left="720"/>
        <w:jc w:val="both"/>
        <w:rPr>
          <w:sz w:val="20"/>
          <w:szCs w:val="20"/>
          <w:u w:val="single"/>
        </w:rPr>
      </w:pPr>
      <w:r w:rsidRPr="00215244">
        <w:rPr>
          <w:i/>
          <w:iCs/>
          <w:sz w:val="20"/>
          <w:szCs w:val="20"/>
        </w:rPr>
        <w:t xml:space="preserve">*  </w:t>
      </w:r>
      <w:r w:rsidRPr="00AE1E7B" w:rsidR="00AE1E7B">
        <w:rPr>
          <w:rFonts w:ascii="Times New Roman" w:hAnsi="Times New Roman"/>
          <w:i/>
          <w:iCs/>
          <w:sz w:val="20"/>
          <w:szCs w:val="20"/>
        </w:rPr>
        <w:t>The above Average Hourly Wage Rate is the May 2018 Bureau of Labor Statistics average wage for All Occupations of $24.98 times the wage rate benefit multiplier of 1.4</w:t>
      </w:r>
      <w:r w:rsidR="003966DB">
        <w:rPr>
          <w:rFonts w:ascii="Times New Roman" w:hAnsi="Times New Roman"/>
          <w:i/>
          <w:iCs/>
          <w:sz w:val="20"/>
          <w:szCs w:val="20"/>
        </w:rPr>
        <w:t>6</w:t>
      </w:r>
      <w:r w:rsidRPr="00AE1E7B" w:rsidR="00AE1E7B">
        <w:rPr>
          <w:rFonts w:ascii="Times New Roman" w:hAnsi="Times New Roman"/>
          <w:i/>
          <w:iCs/>
          <w:sz w:val="20"/>
          <w:szCs w:val="20"/>
        </w:rPr>
        <w:t xml:space="preserve"> (to account for benefits provided) equaling $36.</w:t>
      </w:r>
      <w:r w:rsidR="003966DB">
        <w:rPr>
          <w:rFonts w:ascii="Times New Roman" w:hAnsi="Times New Roman"/>
          <w:i/>
          <w:iCs/>
          <w:sz w:val="20"/>
          <w:szCs w:val="20"/>
        </w:rPr>
        <w:t>47</w:t>
      </w:r>
      <w:r w:rsidRPr="00AE1E7B" w:rsidR="00AE1E7B">
        <w:rPr>
          <w:rFonts w:ascii="Times New Roman" w:hAnsi="Times New Roman"/>
          <w:i/>
          <w:iCs/>
          <w:sz w:val="20"/>
          <w:szCs w:val="20"/>
        </w:rPr>
        <w:t>.  The selection of “All Occupations” was chosen because respondents to this collection could be expected from any occupation.</w:t>
      </w:r>
    </w:p>
    <w:p w:rsidR="000061D9" w:rsidP="000061D9" w:rsidRDefault="000061D9" w14:paraId="7B0CBAD1" w14:textId="77777777">
      <w:pPr>
        <w:tabs>
          <w:tab w:val="left" w:pos="-1440"/>
        </w:tabs>
        <w:ind w:left="720" w:hanging="720"/>
        <w:jc w:val="both"/>
        <w:rPr>
          <w:rFonts w:ascii="Times New Roman" w:hAnsi="Times New Roman"/>
        </w:rPr>
      </w:pPr>
    </w:p>
    <w:p w:rsidRPr="000B00D2" w:rsidR="00B27061" w:rsidP="00914A5D" w:rsidRDefault="00B27061" w14:paraId="3267EFF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86DC34D" w14:textId="77777777">
      <w:pPr>
        <w:ind w:left="720"/>
        <w:rPr>
          <w:rFonts w:ascii="Times New Roman" w:hAnsi="Times New Roman"/>
          <w:b/>
        </w:rPr>
      </w:pPr>
    </w:p>
    <w:p w:rsidRPr="00D80E94" w:rsidR="00B27061" w:rsidP="00914A5D" w:rsidRDefault="00B27061" w14:paraId="05EA426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0701622D" w14:textId="77777777">
      <w:pPr>
        <w:tabs>
          <w:tab w:val="left" w:pos="1080"/>
        </w:tabs>
        <w:ind w:left="1080" w:hanging="360"/>
        <w:rPr>
          <w:rFonts w:ascii="Times New Roman" w:hAnsi="Times New Roman"/>
          <w:b/>
        </w:rPr>
      </w:pPr>
    </w:p>
    <w:p w:rsidRPr="00914A5D" w:rsidR="00B27061" w:rsidP="00914A5D" w:rsidRDefault="00B27061" w14:paraId="5B20112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83E8624" w14:textId="77777777">
      <w:pPr>
        <w:tabs>
          <w:tab w:val="left" w:pos="1080"/>
        </w:tabs>
        <w:ind w:left="1080" w:hanging="360"/>
        <w:rPr>
          <w:rFonts w:ascii="Times New Roman" w:hAnsi="Times New Roman"/>
          <w:b/>
        </w:rPr>
      </w:pPr>
    </w:p>
    <w:p w:rsidRPr="00B1471A" w:rsidR="00B27061" w:rsidP="00914A5D" w:rsidRDefault="00B27061" w14:paraId="11ACFAC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Generally, estimates should not include purchases of equipment or services, or </w:t>
      </w:r>
      <w:r w:rsidRPr="00914A5D">
        <w:rPr>
          <w:rFonts w:ascii="Times New Roman" w:hAnsi="Times New Roman"/>
          <w:b/>
        </w:rPr>
        <w:lastRenderedPageBreak/>
        <w:t>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B31EBB" w:rsidP="008E2990" w:rsidRDefault="00B31EBB" w14:paraId="341D8D1E" w14:textId="77777777">
      <w:pPr>
        <w:tabs>
          <w:tab w:val="left" w:pos="-1440"/>
        </w:tabs>
        <w:rPr>
          <w:rFonts w:ascii="Times New Roman" w:hAnsi="Times New Roman"/>
        </w:rPr>
      </w:pPr>
    </w:p>
    <w:p w:rsidRPr="00695956" w:rsidR="008E2990" w:rsidP="008E2990" w:rsidRDefault="008E2990" w14:paraId="6CBB9628" w14:textId="551FEEF3">
      <w:pPr>
        <w:ind w:left="720"/>
        <w:rPr>
          <w:rFonts w:ascii="Times New Roman" w:hAnsi="Times New Roman"/>
        </w:rPr>
      </w:pPr>
      <w:r w:rsidRPr="00F51F0A">
        <w:rPr>
          <w:rFonts w:ascii="Times New Roman" w:hAnsi="Times New Roman"/>
        </w:rPr>
        <w:t>There is no capital, start-up, operational or maintenance cost associated with this collection</w:t>
      </w:r>
      <w:r w:rsidR="00E372DA">
        <w:rPr>
          <w:rFonts w:ascii="Times New Roman" w:hAnsi="Times New Roman"/>
        </w:rPr>
        <w:t xml:space="preserve"> of information. </w:t>
      </w:r>
      <w:r w:rsidRPr="00695956">
        <w:rPr>
          <w:rFonts w:ascii="Times New Roman" w:hAnsi="Times New Roman"/>
        </w:rPr>
        <w:t xml:space="preserve">There is </w:t>
      </w:r>
      <w:r>
        <w:rPr>
          <w:rFonts w:ascii="Times New Roman" w:hAnsi="Times New Roman"/>
        </w:rPr>
        <w:t xml:space="preserve">no </w:t>
      </w:r>
      <w:r w:rsidR="00E372DA">
        <w:rPr>
          <w:rFonts w:ascii="Times New Roman" w:hAnsi="Times New Roman"/>
        </w:rPr>
        <w:t xml:space="preserve">filing </w:t>
      </w:r>
      <w:r w:rsidRPr="00695956">
        <w:rPr>
          <w:rFonts w:ascii="Times New Roman" w:hAnsi="Times New Roman"/>
        </w:rPr>
        <w:t xml:space="preserve">fee </w:t>
      </w:r>
      <w:r w:rsidR="00E372DA">
        <w:rPr>
          <w:rFonts w:ascii="Times New Roman" w:hAnsi="Times New Roman"/>
        </w:rPr>
        <w:t xml:space="preserve">for </w:t>
      </w:r>
      <w:r w:rsidR="007D6953">
        <w:rPr>
          <w:rFonts w:ascii="Times New Roman" w:hAnsi="Times New Roman"/>
        </w:rPr>
        <w:t>Form I-134</w:t>
      </w:r>
      <w:r>
        <w:rPr>
          <w:rFonts w:ascii="Times New Roman" w:hAnsi="Times New Roman"/>
        </w:rPr>
        <w:t>.</w:t>
      </w:r>
      <w:r w:rsidRPr="00695956">
        <w:rPr>
          <w:rFonts w:ascii="Times New Roman" w:hAnsi="Times New Roman"/>
        </w:rPr>
        <w:t xml:space="preserve"> </w:t>
      </w:r>
      <w:r w:rsidR="007D6953">
        <w:rPr>
          <w:rFonts w:ascii="Times New Roman" w:hAnsi="Times New Roman"/>
        </w:rPr>
        <w:t xml:space="preserve">However, </w:t>
      </w:r>
      <w:r>
        <w:rPr>
          <w:rFonts w:ascii="Times New Roman" w:hAnsi="Times New Roman"/>
        </w:rPr>
        <w:t>USCIS</w:t>
      </w:r>
      <w:r w:rsidR="007D6953">
        <w:rPr>
          <w:rFonts w:ascii="Times New Roman" w:hAnsi="Times New Roman"/>
        </w:rPr>
        <w:t xml:space="preserve"> </w:t>
      </w:r>
      <w:r>
        <w:rPr>
          <w:rFonts w:ascii="Times New Roman" w:hAnsi="Times New Roman"/>
        </w:rPr>
        <w:t>estimates</w:t>
      </w:r>
      <w:r w:rsidRPr="0060742A">
        <w:rPr>
          <w:rFonts w:ascii="Times New Roman" w:hAnsi="Times New Roman"/>
        </w:rPr>
        <w:t xml:space="preserve"> that respondents will incur </w:t>
      </w:r>
      <w:r w:rsidR="00E372DA">
        <w:rPr>
          <w:rFonts w:ascii="Times New Roman" w:hAnsi="Times New Roman"/>
        </w:rPr>
        <w:t>a co</w:t>
      </w:r>
      <w:r w:rsidRPr="0060742A">
        <w:rPr>
          <w:rFonts w:ascii="Times New Roman" w:hAnsi="Times New Roman"/>
        </w:rPr>
        <w:t xml:space="preserve">st of </w:t>
      </w:r>
      <w:r w:rsidRPr="00695956">
        <w:rPr>
          <w:rFonts w:ascii="Times New Roman" w:hAnsi="Times New Roman"/>
        </w:rPr>
        <w:t>$</w:t>
      </w:r>
      <w:r w:rsidR="00B70749">
        <w:rPr>
          <w:rFonts w:ascii="Times New Roman" w:hAnsi="Times New Roman"/>
        </w:rPr>
        <w:t>4.25</w:t>
      </w:r>
      <w:r w:rsidRPr="00695956">
        <w:rPr>
          <w:rFonts w:ascii="Times New Roman" w:hAnsi="Times New Roman"/>
        </w:rPr>
        <w:t xml:space="preserve"> </w:t>
      </w:r>
      <w:r w:rsidR="00E372DA">
        <w:rPr>
          <w:rFonts w:ascii="Times New Roman" w:hAnsi="Times New Roman"/>
        </w:rPr>
        <w:t>for</w:t>
      </w:r>
      <w:r w:rsidRPr="00695956">
        <w:rPr>
          <w:rFonts w:ascii="Times New Roman" w:hAnsi="Times New Roman"/>
        </w:rPr>
        <w:t xml:space="preserve"> postage </w:t>
      </w:r>
      <w:r>
        <w:rPr>
          <w:rFonts w:ascii="Times New Roman" w:hAnsi="Times New Roman"/>
        </w:rPr>
        <w:t>to submit</w:t>
      </w:r>
      <w:r w:rsidR="007D6953">
        <w:rPr>
          <w:rFonts w:ascii="Times New Roman" w:hAnsi="Times New Roman"/>
        </w:rPr>
        <w:t xml:space="preserve"> the completed package to USCIS.</w:t>
      </w:r>
    </w:p>
    <w:p w:rsidR="008E2990" w:rsidP="008E2990" w:rsidRDefault="008E2990" w14:paraId="737C69B3" w14:textId="77777777">
      <w:pPr>
        <w:rPr>
          <w:rFonts w:ascii="Times New Roman" w:hAnsi="Times New Roman"/>
        </w:rPr>
      </w:pPr>
    </w:p>
    <w:p w:rsidRPr="000B00D2" w:rsidR="001A595D" w:rsidP="00E372DA" w:rsidRDefault="008E2990" w14:paraId="3D131833" w14:textId="0E2DB01F">
      <w:pPr>
        <w:tabs>
          <w:tab w:val="left" w:pos="-1440"/>
        </w:tabs>
        <w:ind w:left="720"/>
        <w:rPr>
          <w:rFonts w:ascii="Times New Roman" w:hAnsi="Times New Roman"/>
        </w:rPr>
      </w:pPr>
      <w:r w:rsidRPr="008A392E">
        <w:rPr>
          <w:rFonts w:ascii="Times New Roman" w:hAnsi="Times New Roman"/>
        </w:rPr>
        <w:t>Postage to mail completed package (</w:t>
      </w:r>
      <w:r w:rsidR="00E372DA">
        <w:rPr>
          <w:rFonts w:ascii="Times New Roman" w:hAnsi="Times New Roman"/>
        </w:rPr>
        <w:t>2,500</w:t>
      </w:r>
      <w:r>
        <w:rPr>
          <w:rFonts w:ascii="Times New Roman" w:hAnsi="Times New Roman"/>
        </w:rPr>
        <w:t xml:space="preserve"> </w:t>
      </w:r>
      <w:r w:rsidRPr="008A392E">
        <w:rPr>
          <w:rFonts w:ascii="Times New Roman" w:hAnsi="Times New Roman"/>
        </w:rPr>
        <w:t>x $</w:t>
      </w:r>
      <w:r w:rsidR="00B70749">
        <w:rPr>
          <w:rFonts w:ascii="Times New Roman" w:hAnsi="Times New Roman"/>
        </w:rPr>
        <w:t>4.25</w:t>
      </w:r>
      <w:r w:rsidRPr="008A392E">
        <w:rPr>
          <w:rFonts w:ascii="Times New Roman" w:hAnsi="Times New Roman"/>
        </w:rPr>
        <w:t xml:space="preserve">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00B70749">
        <w:rPr>
          <w:rFonts w:ascii="Times New Roman" w:hAnsi="Times New Roman"/>
        </w:rPr>
        <w:t>10,625</w:t>
      </w:r>
      <w:r w:rsidR="0047690E">
        <w:rPr>
          <w:rFonts w:ascii="Times New Roman" w:hAnsi="Times New Roman"/>
        </w:rPr>
        <w:t>.</w:t>
      </w:r>
      <w:r w:rsidRPr="000B00D2">
        <w:rPr>
          <w:rFonts w:ascii="Times New Roman" w:hAnsi="Times New Roman"/>
          <w:color w:val="FF0000"/>
        </w:rPr>
        <w:t xml:space="preserve"> </w:t>
      </w:r>
    </w:p>
    <w:p w:rsidRPr="00AF45F2" w:rsidR="00B27061" w:rsidP="00914A5D" w:rsidRDefault="00B27061" w14:paraId="20944188" w14:textId="77777777">
      <w:pPr>
        <w:ind w:left="1440" w:hanging="720"/>
        <w:rPr>
          <w:rFonts w:ascii="Times New Roman" w:hAnsi="Times New Roman"/>
        </w:rPr>
      </w:pPr>
    </w:p>
    <w:p w:rsidRPr="0029577A" w:rsidR="006049A7" w:rsidP="00914A5D" w:rsidRDefault="00B27061" w14:paraId="72A2D28C"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93704A" w:rsidR="00A15203" w:rsidP="00A15203" w:rsidRDefault="00A15203" w14:paraId="6B744463" w14:textId="77777777">
      <w:pPr>
        <w:tabs>
          <w:tab w:val="left" w:pos="-1440"/>
        </w:tabs>
        <w:ind w:left="720"/>
        <w:rPr>
          <w:rFonts w:ascii="Times New Roman" w:hAnsi="Times New Roman"/>
          <w:b/>
          <w:bCs/>
          <w:iCs/>
        </w:rPr>
      </w:pPr>
    </w:p>
    <w:p w:rsidRPr="0093704A" w:rsidR="006C79B6" w:rsidP="00914A5D" w:rsidRDefault="00A15203" w14:paraId="01979D3E" w14:textId="400ED25B">
      <w:pPr>
        <w:tabs>
          <w:tab w:val="left" w:pos="-1440"/>
        </w:tabs>
        <w:ind w:left="720"/>
        <w:rPr>
          <w:rFonts w:ascii="Times New Roman" w:hAnsi="Times New Roman"/>
        </w:rPr>
      </w:pPr>
      <w:r w:rsidRPr="0093704A">
        <w:rPr>
          <w:rFonts w:ascii="Times New Roman" w:hAnsi="Times New Roman"/>
        </w:rPr>
        <w:t>This figure is calculated by multiplying the estimated number of respondents (</w:t>
      </w:r>
      <w:r w:rsidR="00E372DA">
        <w:rPr>
          <w:rFonts w:ascii="Times New Roman" w:hAnsi="Times New Roman"/>
        </w:rPr>
        <w:t>2,500</w:t>
      </w:r>
      <w:r w:rsidRPr="0093704A">
        <w:rPr>
          <w:rFonts w:ascii="Times New Roman" w:hAnsi="Times New Roman"/>
        </w:rPr>
        <w:t xml:space="preserve">) x (1) number of responses x 1 hours </w:t>
      </w:r>
      <w:r w:rsidR="00E372DA">
        <w:rPr>
          <w:rFonts w:ascii="Times New Roman" w:hAnsi="Times New Roman"/>
        </w:rPr>
        <w:t xml:space="preserve">for adjudication time </w:t>
      </w:r>
      <w:r w:rsidRPr="0093704A">
        <w:rPr>
          <w:rFonts w:ascii="Times New Roman" w:hAnsi="Times New Roman"/>
        </w:rPr>
        <w:t xml:space="preserve">x $40 </w:t>
      </w:r>
      <w:r w:rsidR="00E372DA">
        <w:rPr>
          <w:rFonts w:ascii="Times New Roman" w:hAnsi="Times New Roman"/>
        </w:rPr>
        <w:t>(</w:t>
      </w:r>
      <w:r w:rsidRPr="0093704A">
        <w:rPr>
          <w:rFonts w:ascii="Times New Roman" w:hAnsi="Times New Roman"/>
        </w:rPr>
        <w:t>suggested average hourly rate for clerical, officer, and managerial time with benefits plus the estimated cost of printing, stocking, distributing and processing this form</w:t>
      </w:r>
      <w:r w:rsidR="00B70749">
        <w:rPr>
          <w:rFonts w:ascii="Times New Roman" w:hAnsi="Times New Roman"/>
        </w:rPr>
        <w:t>)</w:t>
      </w:r>
      <w:r w:rsidR="00B62204">
        <w:rPr>
          <w:rFonts w:ascii="Times New Roman" w:hAnsi="Times New Roman"/>
        </w:rPr>
        <w:t xml:space="preserve">, which equals $100,000. The estimated number of respondents for biometrics collection (2,500) are multiplied by the $85 biometric services cost, which equals $212,500. These two figures are added together to obtain the total estimated cost to the government of </w:t>
      </w:r>
      <w:r w:rsidRPr="00B62204" w:rsidR="00B62204">
        <w:rPr>
          <w:rFonts w:ascii="Times New Roman" w:hAnsi="Times New Roman"/>
          <w:b/>
        </w:rPr>
        <w:t>$312,500.00</w:t>
      </w:r>
      <w:r w:rsidRPr="0093704A" w:rsidR="00B62204">
        <w:rPr>
          <w:rFonts w:ascii="Times New Roman" w:hAnsi="Times New Roman"/>
          <w:b/>
        </w:rPr>
        <w:t>.</w:t>
      </w:r>
      <w:r w:rsidRPr="0093704A" w:rsidR="00B62204">
        <w:rPr>
          <w:rFonts w:ascii="Times New Roman" w:hAnsi="Times New Roman"/>
        </w:rPr>
        <w:t xml:space="preserve">  </w:t>
      </w:r>
    </w:p>
    <w:p w:rsidRPr="0093704A" w:rsidR="006C79B6" w:rsidP="00914A5D" w:rsidRDefault="006C79B6" w14:paraId="3077F6BE" w14:textId="77777777">
      <w:pPr>
        <w:tabs>
          <w:tab w:val="left" w:pos="-1440"/>
        </w:tabs>
        <w:ind w:left="720"/>
        <w:rPr>
          <w:rFonts w:ascii="Times New Roman" w:hAnsi="Times New Roman"/>
        </w:rPr>
      </w:pPr>
    </w:p>
    <w:p w:rsidR="00B70749" w:rsidP="00B70749" w:rsidRDefault="00B27061" w14:paraId="62867A4E"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B70749" w:rsidRDefault="00B70749" w14:paraId="2A5CBF30" w14:textId="465268AC">
      <w:pPr>
        <w:tabs>
          <w:tab w:val="left" w:pos="-1440"/>
        </w:tabs>
        <w:ind w:left="720" w:hanging="720"/>
        <w:rPr>
          <w:rFonts w:ascii="Times New Roman" w:hAnsi="Times New Roman"/>
          <w:color w:val="FF0000"/>
        </w:rPr>
      </w:pPr>
      <w:r>
        <w:rPr>
          <w:rFonts w:ascii="Times New Roman" w:hAnsi="Times New Roman"/>
          <w:color w:val="FF0000"/>
        </w:rPr>
        <w:t xml:space="preserve"> </w:t>
      </w:r>
    </w:p>
    <w:tbl>
      <w:tblPr>
        <w:tblW w:w="9340" w:type="dxa"/>
        <w:tblLook w:val="04A0" w:firstRow="1" w:lastRow="0" w:firstColumn="1" w:lastColumn="0" w:noHBand="0" w:noVBand="1"/>
      </w:tblPr>
      <w:tblGrid>
        <w:gridCol w:w="1747"/>
        <w:gridCol w:w="1264"/>
        <w:gridCol w:w="1097"/>
        <w:gridCol w:w="1237"/>
        <w:gridCol w:w="1379"/>
        <w:gridCol w:w="1379"/>
        <w:gridCol w:w="1237"/>
      </w:tblGrid>
      <w:tr w:rsidRPr="003966DB" w:rsidR="00886FE1" w:rsidTr="00886FE1" w14:paraId="0FEE844B" w14:textId="77777777">
        <w:trPr>
          <w:trHeight w:val="2535"/>
        </w:trPr>
        <w:tc>
          <w:tcPr>
            <w:tcW w:w="1747"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3966DB" w:rsidR="00886FE1" w:rsidRDefault="00886FE1" w14:paraId="55F6E87A"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Data collection Activity/Instru-ment</w:t>
            </w:r>
          </w:p>
        </w:tc>
        <w:tc>
          <w:tcPr>
            <w:tcW w:w="1264" w:type="dxa"/>
            <w:tcBorders>
              <w:top w:val="single" w:color="auto" w:sz="8" w:space="0"/>
              <w:left w:val="nil"/>
              <w:bottom w:val="single" w:color="auto" w:sz="8" w:space="0"/>
              <w:right w:val="single" w:color="auto" w:sz="8" w:space="0"/>
            </w:tcBorders>
            <w:shd w:val="clear" w:color="000000" w:fill="C0C0C0"/>
            <w:vAlign w:val="center"/>
            <w:hideMark/>
          </w:tcPr>
          <w:p w:rsidRPr="003966DB" w:rsidR="00886FE1" w:rsidP="00886FE1" w:rsidRDefault="00886FE1" w14:paraId="7C41691B"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 xml:space="preserve">Program Change (hours currently on OMB Inventory) </w:t>
            </w:r>
          </w:p>
        </w:tc>
        <w:tc>
          <w:tcPr>
            <w:tcW w:w="1097" w:type="dxa"/>
            <w:tcBorders>
              <w:top w:val="single" w:color="auto" w:sz="8" w:space="0"/>
              <w:left w:val="nil"/>
              <w:bottom w:val="single" w:color="auto" w:sz="8" w:space="0"/>
              <w:right w:val="single" w:color="auto" w:sz="8" w:space="0"/>
            </w:tcBorders>
            <w:shd w:val="clear" w:color="000000" w:fill="C0C0C0"/>
            <w:vAlign w:val="center"/>
            <w:hideMark/>
          </w:tcPr>
          <w:p w:rsidRPr="003966DB" w:rsidR="00886FE1" w:rsidP="00886FE1" w:rsidRDefault="00886FE1" w14:paraId="746A3A60"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 xml:space="preserve">Program Change (New) </w:t>
            </w:r>
          </w:p>
        </w:tc>
        <w:tc>
          <w:tcPr>
            <w:tcW w:w="1237" w:type="dxa"/>
            <w:tcBorders>
              <w:top w:val="single" w:color="auto" w:sz="8" w:space="0"/>
              <w:left w:val="nil"/>
              <w:bottom w:val="single" w:color="auto" w:sz="8" w:space="0"/>
              <w:right w:val="single" w:color="auto" w:sz="8" w:space="0"/>
            </w:tcBorders>
            <w:shd w:val="clear" w:color="000000" w:fill="C0C0C0"/>
            <w:vAlign w:val="center"/>
            <w:hideMark/>
          </w:tcPr>
          <w:p w:rsidRPr="003966DB" w:rsidR="00886FE1" w:rsidP="00886FE1" w:rsidRDefault="00886FE1" w14:paraId="2A4E6199"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Difference</w:t>
            </w:r>
          </w:p>
        </w:tc>
        <w:tc>
          <w:tcPr>
            <w:tcW w:w="1379" w:type="dxa"/>
            <w:tcBorders>
              <w:top w:val="single" w:color="auto" w:sz="8" w:space="0"/>
              <w:left w:val="nil"/>
              <w:bottom w:val="single" w:color="auto" w:sz="8" w:space="0"/>
              <w:right w:val="single" w:color="auto" w:sz="8" w:space="0"/>
            </w:tcBorders>
            <w:shd w:val="clear" w:color="000000" w:fill="C0C0C0"/>
            <w:vAlign w:val="center"/>
            <w:hideMark/>
          </w:tcPr>
          <w:p w:rsidRPr="003966DB" w:rsidR="00886FE1" w:rsidP="00886FE1" w:rsidRDefault="00886FE1" w14:paraId="1C02F3A4"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Adjustment (hours currently on OMB Inventory)</w:t>
            </w:r>
          </w:p>
        </w:tc>
        <w:tc>
          <w:tcPr>
            <w:tcW w:w="1379" w:type="dxa"/>
            <w:tcBorders>
              <w:top w:val="single" w:color="auto" w:sz="8" w:space="0"/>
              <w:left w:val="nil"/>
              <w:bottom w:val="single" w:color="auto" w:sz="8" w:space="0"/>
              <w:right w:val="single" w:color="auto" w:sz="8" w:space="0"/>
            </w:tcBorders>
            <w:shd w:val="clear" w:color="000000" w:fill="C0C0C0"/>
            <w:vAlign w:val="center"/>
            <w:hideMark/>
          </w:tcPr>
          <w:p w:rsidRPr="003966DB" w:rsidR="00886FE1" w:rsidP="00886FE1" w:rsidRDefault="00886FE1" w14:paraId="384991E0"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 xml:space="preserve">Adjustment (New) </w:t>
            </w:r>
          </w:p>
        </w:tc>
        <w:tc>
          <w:tcPr>
            <w:tcW w:w="1237" w:type="dxa"/>
            <w:tcBorders>
              <w:top w:val="single" w:color="auto" w:sz="8" w:space="0"/>
              <w:left w:val="nil"/>
              <w:bottom w:val="single" w:color="auto" w:sz="8" w:space="0"/>
              <w:right w:val="single" w:color="auto" w:sz="8" w:space="0"/>
            </w:tcBorders>
            <w:shd w:val="clear" w:color="000000" w:fill="C0C0C0"/>
            <w:vAlign w:val="center"/>
            <w:hideMark/>
          </w:tcPr>
          <w:p w:rsidRPr="003966DB" w:rsidR="00886FE1" w:rsidP="00886FE1" w:rsidRDefault="00886FE1" w14:paraId="796E1A29"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Difference</w:t>
            </w:r>
          </w:p>
        </w:tc>
      </w:tr>
      <w:tr w:rsidRPr="003966DB" w:rsidR="003966DB" w:rsidTr="00653AB4" w14:paraId="6E3093E4" w14:textId="77777777">
        <w:trPr>
          <w:trHeight w:val="330"/>
        </w:trPr>
        <w:tc>
          <w:tcPr>
            <w:tcW w:w="1747" w:type="dxa"/>
            <w:tcBorders>
              <w:top w:val="nil"/>
              <w:left w:val="single" w:color="auto" w:sz="8" w:space="0"/>
              <w:bottom w:val="single" w:color="auto" w:sz="8" w:space="0"/>
              <w:right w:val="single" w:color="auto" w:sz="8" w:space="0"/>
            </w:tcBorders>
            <w:shd w:val="clear" w:color="auto" w:fill="auto"/>
            <w:vAlign w:val="center"/>
            <w:hideMark/>
          </w:tcPr>
          <w:p w:rsidRPr="003966DB" w:rsidR="003966DB" w:rsidP="003966DB" w:rsidRDefault="003966DB" w14:paraId="4C55EC37" w14:textId="1F9A1BE5">
            <w:pPr>
              <w:widowControl/>
              <w:autoSpaceDE/>
              <w:autoSpaceDN/>
              <w:adjustRightInd/>
              <w:jc w:val="center"/>
              <w:rPr>
                <w:rFonts w:ascii="Times New Roman" w:hAnsi="Times New Roman"/>
                <w:color w:val="000000"/>
              </w:rPr>
            </w:pPr>
            <w:r w:rsidRPr="003966DB">
              <w:rPr>
                <w:rFonts w:ascii="Times New Roman" w:hAnsi="Times New Roman"/>
                <w:color w:val="000000"/>
              </w:rPr>
              <w:t>I-134</w:t>
            </w:r>
          </w:p>
        </w:tc>
        <w:tc>
          <w:tcPr>
            <w:tcW w:w="1264"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1753D1F3" w14:textId="7CBE6CE2">
            <w:pPr>
              <w:widowControl/>
              <w:autoSpaceDE/>
              <w:autoSpaceDN/>
              <w:adjustRightInd/>
              <w:jc w:val="center"/>
              <w:rPr>
                <w:rFonts w:ascii="Times New Roman" w:hAnsi="Times New Roman"/>
                <w:color w:val="000000"/>
              </w:rPr>
            </w:pPr>
            <w:r w:rsidRPr="003966DB">
              <w:rPr>
                <w:rFonts w:ascii="Times New Roman" w:hAnsi="Times New Roman"/>
                <w:color w:val="000000"/>
              </w:rPr>
              <w:t>3</w:t>
            </w:r>
            <w:r>
              <w:rPr>
                <w:rFonts w:ascii="Times New Roman" w:hAnsi="Times New Roman"/>
                <w:color w:val="000000"/>
              </w:rPr>
              <w:t>,</w:t>
            </w:r>
            <w:r w:rsidRPr="003966DB">
              <w:rPr>
                <w:rFonts w:ascii="Times New Roman" w:hAnsi="Times New Roman"/>
                <w:color w:val="000000"/>
              </w:rPr>
              <w:t>750</w:t>
            </w:r>
          </w:p>
        </w:tc>
        <w:tc>
          <w:tcPr>
            <w:tcW w:w="1097"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05AA1433" w14:textId="0DFE4545">
            <w:pPr>
              <w:widowControl/>
              <w:autoSpaceDE/>
              <w:autoSpaceDN/>
              <w:adjustRightInd/>
              <w:jc w:val="center"/>
              <w:rPr>
                <w:rFonts w:ascii="Times New Roman" w:hAnsi="Times New Roman"/>
                <w:color w:val="000000"/>
              </w:rPr>
            </w:pPr>
            <w:r w:rsidRPr="003966DB">
              <w:rPr>
                <w:rFonts w:ascii="Times New Roman" w:hAnsi="Times New Roman"/>
                <w:color w:val="000000"/>
              </w:rPr>
              <w:t>4,375</w:t>
            </w:r>
          </w:p>
        </w:tc>
        <w:tc>
          <w:tcPr>
            <w:tcW w:w="1237" w:type="dxa"/>
            <w:tcBorders>
              <w:top w:val="nil"/>
              <w:left w:val="nil"/>
              <w:bottom w:val="single" w:color="auto" w:sz="8" w:space="0"/>
              <w:right w:val="single" w:color="auto" w:sz="8" w:space="0"/>
            </w:tcBorders>
            <w:shd w:val="clear" w:color="auto" w:fill="auto"/>
            <w:hideMark/>
          </w:tcPr>
          <w:p w:rsidRPr="003966DB" w:rsidR="003966DB" w:rsidP="003966DB" w:rsidRDefault="003966DB" w14:paraId="68D58F7D" w14:textId="5C722F42">
            <w:pPr>
              <w:widowControl/>
              <w:autoSpaceDE/>
              <w:autoSpaceDN/>
              <w:adjustRightInd/>
              <w:jc w:val="center"/>
              <w:rPr>
                <w:rFonts w:ascii="Times New Roman" w:hAnsi="Times New Roman"/>
                <w:color w:val="000000"/>
              </w:rPr>
            </w:pPr>
            <w:r w:rsidRPr="003966DB">
              <w:rPr>
                <w:rFonts w:ascii="Times New Roman" w:hAnsi="Times New Roman"/>
              </w:rPr>
              <w:t>625</w:t>
            </w:r>
          </w:p>
        </w:tc>
        <w:tc>
          <w:tcPr>
            <w:tcW w:w="1379"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63EE99A1" w14:textId="77777777">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c>
          <w:tcPr>
            <w:tcW w:w="1379"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5388B2EB" w14:textId="77777777">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c>
          <w:tcPr>
            <w:tcW w:w="1237"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3E44BDC2" w14:textId="38974E0D">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r>
      <w:tr w:rsidRPr="003966DB" w:rsidR="003966DB" w:rsidTr="00653AB4" w14:paraId="1CEDB684" w14:textId="77777777">
        <w:trPr>
          <w:trHeight w:val="330"/>
        </w:trPr>
        <w:tc>
          <w:tcPr>
            <w:tcW w:w="1747" w:type="dxa"/>
            <w:tcBorders>
              <w:top w:val="nil"/>
              <w:left w:val="single" w:color="auto" w:sz="8" w:space="0"/>
              <w:bottom w:val="single" w:color="auto" w:sz="8" w:space="0"/>
              <w:right w:val="single" w:color="auto" w:sz="8" w:space="0"/>
            </w:tcBorders>
            <w:shd w:val="clear" w:color="auto" w:fill="auto"/>
            <w:vAlign w:val="center"/>
            <w:hideMark/>
          </w:tcPr>
          <w:p w:rsidRPr="003966DB" w:rsidR="003966DB" w:rsidP="003966DB" w:rsidRDefault="003966DB" w14:paraId="58A6788E" w14:textId="3090A85A">
            <w:pPr>
              <w:widowControl/>
              <w:autoSpaceDE/>
              <w:autoSpaceDN/>
              <w:adjustRightInd/>
              <w:jc w:val="center"/>
              <w:rPr>
                <w:rFonts w:ascii="Times New Roman" w:hAnsi="Times New Roman"/>
                <w:color w:val="000000"/>
              </w:rPr>
            </w:pPr>
            <w:r w:rsidRPr="003966DB">
              <w:rPr>
                <w:rFonts w:ascii="Times New Roman" w:hAnsi="Times New Roman"/>
                <w:color w:val="000000"/>
              </w:rPr>
              <w:t>Biometrics</w:t>
            </w:r>
          </w:p>
        </w:tc>
        <w:tc>
          <w:tcPr>
            <w:tcW w:w="1264"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056BBAA1" w14:textId="38B94AA2">
            <w:pPr>
              <w:widowControl/>
              <w:autoSpaceDE/>
              <w:autoSpaceDN/>
              <w:adjustRightInd/>
              <w:jc w:val="center"/>
              <w:rPr>
                <w:rFonts w:ascii="Times New Roman" w:hAnsi="Times New Roman"/>
                <w:color w:val="000000"/>
              </w:rPr>
            </w:pPr>
            <w:r>
              <w:rPr>
                <w:rFonts w:ascii="Times New Roman" w:hAnsi="Times New Roman"/>
                <w:color w:val="000000"/>
              </w:rPr>
              <w:t>0</w:t>
            </w:r>
          </w:p>
        </w:tc>
        <w:tc>
          <w:tcPr>
            <w:tcW w:w="1097"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10E35A34" w14:textId="11A511BC">
            <w:pPr>
              <w:widowControl/>
              <w:autoSpaceDE/>
              <w:autoSpaceDN/>
              <w:adjustRightInd/>
              <w:jc w:val="center"/>
              <w:rPr>
                <w:rFonts w:ascii="Times New Roman" w:hAnsi="Times New Roman"/>
                <w:color w:val="000000"/>
              </w:rPr>
            </w:pPr>
            <w:r w:rsidRPr="003966DB">
              <w:rPr>
                <w:rFonts w:ascii="Times New Roman" w:hAnsi="Times New Roman"/>
                <w:color w:val="000000"/>
              </w:rPr>
              <w:t>9,175</w:t>
            </w:r>
          </w:p>
        </w:tc>
        <w:tc>
          <w:tcPr>
            <w:tcW w:w="1237" w:type="dxa"/>
            <w:tcBorders>
              <w:top w:val="nil"/>
              <w:left w:val="nil"/>
              <w:bottom w:val="single" w:color="auto" w:sz="8" w:space="0"/>
              <w:right w:val="single" w:color="auto" w:sz="8" w:space="0"/>
            </w:tcBorders>
            <w:shd w:val="clear" w:color="auto" w:fill="auto"/>
            <w:hideMark/>
          </w:tcPr>
          <w:p w:rsidRPr="003966DB" w:rsidR="003966DB" w:rsidP="003966DB" w:rsidRDefault="003966DB" w14:paraId="7D083AB4" w14:textId="556E1E74">
            <w:pPr>
              <w:widowControl/>
              <w:autoSpaceDE/>
              <w:autoSpaceDN/>
              <w:adjustRightInd/>
              <w:jc w:val="center"/>
              <w:rPr>
                <w:rFonts w:ascii="Times New Roman" w:hAnsi="Times New Roman"/>
                <w:color w:val="000000"/>
              </w:rPr>
            </w:pPr>
            <w:r w:rsidRPr="003966DB">
              <w:rPr>
                <w:rFonts w:ascii="Times New Roman" w:hAnsi="Times New Roman"/>
              </w:rPr>
              <w:t>9</w:t>
            </w:r>
            <w:r>
              <w:rPr>
                <w:rFonts w:ascii="Times New Roman" w:hAnsi="Times New Roman"/>
              </w:rPr>
              <w:t>,</w:t>
            </w:r>
            <w:r w:rsidRPr="003966DB">
              <w:rPr>
                <w:rFonts w:ascii="Times New Roman" w:hAnsi="Times New Roman"/>
              </w:rPr>
              <w:t>175</w:t>
            </w:r>
          </w:p>
        </w:tc>
        <w:tc>
          <w:tcPr>
            <w:tcW w:w="1379"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3FC105F9" w14:textId="77777777">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c>
          <w:tcPr>
            <w:tcW w:w="1379"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6B0F0196" w14:textId="77777777">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c>
          <w:tcPr>
            <w:tcW w:w="1237"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39BCD96B" w14:textId="1B5F42C1">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r>
      <w:tr w:rsidRPr="003966DB" w:rsidR="003966DB" w:rsidTr="00653AB4" w14:paraId="1504811F" w14:textId="77777777">
        <w:trPr>
          <w:trHeight w:val="330"/>
        </w:trPr>
        <w:tc>
          <w:tcPr>
            <w:tcW w:w="1747" w:type="dxa"/>
            <w:tcBorders>
              <w:top w:val="nil"/>
              <w:left w:val="single" w:color="auto" w:sz="8" w:space="0"/>
              <w:bottom w:val="single" w:color="auto" w:sz="8" w:space="0"/>
              <w:right w:val="single" w:color="auto" w:sz="8" w:space="0"/>
            </w:tcBorders>
            <w:shd w:val="clear" w:color="auto" w:fill="auto"/>
            <w:vAlign w:val="center"/>
            <w:hideMark/>
          </w:tcPr>
          <w:p w:rsidRPr="003966DB" w:rsidR="003966DB" w:rsidP="003966DB" w:rsidRDefault="003966DB" w14:paraId="667F94DB" w14:textId="3B5A89A5">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Total(s)</w:t>
            </w:r>
          </w:p>
        </w:tc>
        <w:tc>
          <w:tcPr>
            <w:tcW w:w="1264"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477E8A86" w14:textId="49B9F6A9">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3</w:t>
            </w:r>
            <w:r>
              <w:rPr>
                <w:rFonts w:ascii="Times New Roman" w:hAnsi="Times New Roman"/>
                <w:b/>
                <w:bCs/>
                <w:color w:val="000000"/>
              </w:rPr>
              <w:t>,</w:t>
            </w:r>
            <w:r w:rsidRPr="003966DB">
              <w:rPr>
                <w:rFonts w:ascii="Times New Roman" w:hAnsi="Times New Roman"/>
                <w:b/>
                <w:bCs/>
                <w:color w:val="000000"/>
              </w:rPr>
              <w:t>750</w:t>
            </w:r>
          </w:p>
        </w:tc>
        <w:tc>
          <w:tcPr>
            <w:tcW w:w="1097"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5C94FEE9" w14:textId="747534DF">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13,550</w:t>
            </w:r>
          </w:p>
        </w:tc>
        <w:tc>
          <w:tcPr>
            <w:tcW w:w="1237" w:type="dxa"/>
            <w:tcBorders>
              <w:top w:val="nil"/>
              <w:left w:val="nil"/>
              <w:bottom w:val="single" w:color="auto" w:sz="8" w:space="0"/>
              <w:right w:val="single" w:color="auto" w:sz="8" w:space="0"/>
            </w:tcBorders>
            <w:shd w:val="clear" w:color="auto" w:fill="auto"/>
            <w:hideMark/>
          </w:tcPr>
          <w:p w:rsidRPr="003966DB" w:rsidR="003966DB" w:rsidP="003966DB" w:rsidRDefault="003966DB" w14:paraId="5B040E61" w14:textId="25EF6C5E">
            <w:pPr>
              <w:widowControl/>
              <w:autoSpaceDE/>
              <w:autoSpaceDN/>
              <w:adjustRightInd/>
              <w:jc w:val="center"/>
              <w:rPr>
                <w:rFonts w:ascii="Times New Roman" w:hAnsi="Times New Roman"/>
                <w:b/>
                <w:bCs/>
                <w:color w:val="000000"/>
              </w:rPr>
            </w:pPr>
            <w:r w:rsidRPr="003966DB">
              <w:rPr>
                <w:rFonts w:ascii="Times New Roman" w:hAnsi="Times New Roman"/>
              </w:rPr>
              <w:t>9</w:t>
            </w:r>
            <w:r>
              <w:rPr>
                <w:rFonts w:ascii="Times New Roman" w:hAnsi="Times New Roman"/>
              </w:rPr>
              <w:t>,</w:t>
            </w:r>
            <w:r w:rsidRPr="003966DB">
              <w:rPr>
                <w:rFonts w:ascii="Times New Roman" w:hAnsi="Times New Roman"/>
              </w:rPr>
              <w:t>800</w:t>
            </w:r>
          </w:p>
        </w:tc>
        <w:tc>
          <w:tcPr>
            <w:tcW w:w="1379"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45A881FE"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 </w:t>
            </w:r>
          </w:p>
        </w:tc>
        <w:tc>
          <w:tcPr>
            <w:tcW w:w="1379"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6C8FD68C" w14:textId="77777777">
            <w:pPr>
              <w:widowControl/>
              <w:autoSpaceDE/>
              <w:autoSpaceDN/>
              <w:adjustRightInd/>
              <w:jc w:val="center"/>
              <w:rPr>
                <w:rFonts w:ascii="Times New Roman" w:hAnsi="Times New Roman"/>
                <w:b/>
                <w:bCs/>
                <w:color w:val="000000"/>
              </w:rPr>
            </w:pPr>
            <w:r w:rsidRPr="003966DB">
              <w:rPr>
                <w:rFonts w:ascii="Times New Roman" w:hAnsi="Times New Roman"/>
                <w:b/>
                <w:bCs/>
                <w:color w:val="000000"/>
              </w:rPr>
              <w:t> </w:t>
            </w:r>
          </w:p>
        </w:tc>
        <w:tc>
          <w:tcPr>
            <w:tcW w:w="1237" w:type="dxa"/>
            <w:tcBorders>
              <w:top w:val="nil"/>
              <w:left w:val="nil"/>
              <w:bottom w:val="single" w:color="auto" w:sz="8" w:space="0"/>
              <w:right w:val="single" w:color="auto" w:sz="8" w:space="0"/>
            </w:tcBorders>
            <w:shd w:val="clear" w:color="auto" w:fill="auto"/>
            <w:vAlign w:val="center"/>
            <w:hideMark/>
          </w:tcPr>
          <w:p w:rsidRPr="003966DB" w:rsidR="003966DB" w:rsidP="003966DB" w:rsidRDefault="003966DB" w14:paraId="65269A90" w14:textId="5FDCF973">
            <w:pPr>
              <w:widowControl/>
              <w:autoSpaceDE/>
              <w:autoSpaceDN/>
              <w:adjustRightInd/>
              <w:jc w:val="center"/>
              <w:rPr>
                <w:rFonts w:ascii="Times New Roman" w:hAnsi="Times New Roman"/>
                <w:color w:val="000000"/>
              </w:rPr>
            </w:pPr>
            <w:r w:rsidRPr="003966DB">
              <w:rPr>
                <w:rFonts w:ascii="Times New Roman" w:hAnsi="Times New Roman"/>
                <w:color w:val="000000"/>
              </w:rPr>
              <w:t> </w:t>
            </w:r>
          </w:p>
        </w:tc>
      </w:tr>
    </w:tbl>
    <w:p w:rsidR="00886FE1" w:rsidP="00914A5D" w:rsidRDefault="00886FE1" w14:paraId="1D1C9D45" w14:textId="5D11E78D">
      <w:pPr>
        <w:ind w:left="720"/>
        <w:rPr>
          <w:rFonts w:ascii="Times New Roman" w:hAnsi="Times New Roman"/>
        </w:rPr>
      </w:pPr>
    </w:p>
    <w:p w:rsidRPr="003966DB" w:rsidR="00886FE1" w:rsidP="00914A5D" w:rsidRDefault="00886FE1" w14:paraId="217C26D8" w14:textId="48102755">
      <w:pPr>
        <w:ind w:left="720"/>
        <w:rPr>
          <w:rFonts w:ascii="Times New Roman" w:hAnsi="Times New Roman"/>
        </w:rPr>
      </w:pPr>
      <w:r w:rsidRPr="003966DB">
        <w:rPr>
          <w:rFonts w:ascii="Times New Roman" w:hAnsi="Times New Roman"/>
        </w:rPr>
        <w:lastRenderedPageBreak/>
        <w:t xml:space="preserve">There is an increase in the estimated annual hour burden to respondents for this collection of information. USCIS is adding a biometric services appointment requirement to Form I-134. </w:t>
      </w:r>
      <w:r w:rsidR="00577585">
        <w:rPr>
          <w:rFonts w:ascii="Times New Roman" w:hAnsi="Times New Roman"/>
        </w:rPr>
        <w:t>The estimated time burden per response for the collection of biometrics is 3.67 hours</w:t>
      </w:r>
      <w:r w:rsidR="00166A95">
        <w:rPr>
          <w:rFonts w:ascii="Times New Roman" w:hAnsi="Times New Roman"/>
        </w:rPr>
        <w:t xml:space="preserve">, </w:t>
      </w:r>
      <w:r w:rsidR="000512E5">
        <w:rPr>
          <w:rFonts w:ascii="Times New Roman" w:hAnsi="Times New Roman"/>
        </w:rPr>
        <w:t xml:space="preserve">which is </w:t>
      </w:r>
      <w:r w:rsidR="00166A95">
        <w:rPr>
          <w:rFonts w:ascii="Times New Roman" w:hAnsi="Times New Roman"/>
        </w:rPr>
        <w:t>an increase from 1.17 hours</w:t>
      </w:r>
      <w:r w:rsidR="00577585">
        <w:rPr>
          <w:rFonts w:ascii="Times New Roman" w:hAnsi="Times New Roman"/>
        </w:rPr>
        <w:t xml:space="preserve">. </w:t>
      </w:r>
      <w:r w:rsidRPr="003966DB">
        <w:rPr>
          <w:rFonts w:ascii="Times New Roman" w:hAnsi="Times New Roman"/>
        </w:rPr>
        <w:t xml:space="preserve">This will increase the </w:t>
      </w:r>
      <w:r w:rsidRPr="003966DB" w:rsidR="003966DB">
        <w:rPr>
          <w:rFonts w:ascii="Times New Roman" w:hAnsi="Times New Roman"/>
        </w:rPr>
        <w:t xml:space="preserve">total </w:t>
      </w:r>
      <w:r w:rsidRPr="003966DB">
        <w:rPr>
          <w:rFonts w:ascii="Times New Roman" w:hAnsi="Times New Roman"/>
        </w:rPr>
        <w:t xml:space="preserve">estimated annual hour burden for this collection of information by </w:t>
      </w:r>
      <w:r w:rsidRPr="003966DB" w:rsidR="003966DB">
        <w:rPr>
          <w:rFonts w:ascii="Times New Roman" w:hAnsi="Times New Roman"/>
        </w:rPr>
        <w:t>9,175</w:t>
      </w:r>
      <w:r w:rsidRPr="003966DB">
        <w:rPr>
          <w:rFonts w:ascii="Times New Roman" w:hAnsi="Times New Roman"/>
        </w:rPr>
        <w:t xml:space="preserve"> hours. The estimated annual hour burden for Form I-134 increased by 625 hours due to an estimated increase of 15 minutes per response due to the addition of biometric services appointment instructions language and collection of biographic information.</w:t>
      </w:r>
      <w:r w:rsidR="00577585">
        <w:rPr>
          <w:rFonts w:ascii="Times New Roman" w:hAnsi="Times New Roman"/>
        </w:rPr>
        <w:t xml:space="preserve"> The total increase in the estimated annual hour burden for this collection of information is 9,800 hours.</w:t>
      </w:r>
    </w:p>
    <w:p w:rsidR="00886FE1" w:rsidP="00914A5D" w:rsidRDefault="00886FE1" w14:paraId="23FDC09C" w14:textId="11ABD5D7">
      <w:pPr>
        <w:ind w:left="720"/>
        <w:rPr>
          <w:rFonts w:ascii="Times New Roman" w:hAnsi="Times New Roman"/>
        </w:rPr>
      </w:pPr>
    </w:p>
    <w:tbl>
      <w:tblPr>
        <w:tblW w:w="8384" w:type="dxa"/>
        <w:tblLook w:val="04A0" w:firstRow="1" w:lastRow="0" w:firstColumn="1" w:lastColumn="0" w:noHBand="0" w:noVBand="1"/>
      </w:tblPr>
      <w:tblGrid>
        <w:gridCol w:w="1747"/>
        <w:gridCol w:w="1264"/>
        <w:gridCol w:w="1097"/>
        <w:gridCol w:w="1237"/>
        <w:gridCol w:w="1379"/>
        <w:gridCol w:w="1379"/>
        <w:gridCol w:w="1237"/>
      </w:tblGrid>
      <w:tr w:rsidRPr="00886FE1" w:rsidR="00886FE1" w:rsidTr="00886FE1" w14:paraId="28C0D1D8" w14:textId="77777777">
        <w:trPr>
          <w:trHeight w:val="2535"/>
        </w:trPr>
        <w:tc>
          <w:tcPr>
            <w:tcW w:w="1630"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886FE1" w:rsidR="00886FE1" w:rsidP="00886FE1" w:rsidRDefault="00886FE1" w14:paraId="2D6DCCB5"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Data collection Activity/Instru-ment</w:t>
            </w:r>
          </w:p>
        </w:tc>
        <w:tc>
          <w:tcPr>
            <w:tcW w:w="1124" w:type="dxa"/>
            <w:tcBorders>
              <w:top w:val="single" w:color="auto" w:sz="8" w:space="0"/>
              <w:left w:val="nil"/>
              <w:bottom w:val="single" w:color="auto" w:sz="8" w:space="0"/>
              <w:right w:val="single" w:color="auto" w:sz="8" w:space="0"/>
            </w:tcBorders>
            <w:shd w:val="clear" w:color="000000" w:fill="C0C0C0"/>
            <w:vAlign w:val="center"/>
            <w:hideMark/>
          </w:tcPr>
          <w:p w:rsidRPr="00886FE1" w:rsidR="00886FE1" w:rsidP="00886FE1" w:rsidRDefault="00886FE1" w14:paraId="68531777"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 xml:space="preserve">Program Change (cost currently on OMB Inventory) </w:t>
            </w:r>
          </w:p>
        </w:tc>
        <w:tc>
          <w:tcPr>
            <w:tcW w:w="950" w:type="dxa"/>
            <w:tcBorders>
              <w:top w:val="single" w:color="auto" w:sz="8" w:space="0"/>
              <w:left w:val="nil"/>
              <w:bottom w:val="single" w:color="auto" w:sz="8" w:space="0"/>
              <w:right w:val="single" w:color="auto" w:sz="8" w:space="0"/>
            </w:tcBorders>
            <w:shd w:val="clear" w:color="000000" w:fill="C0C0C0"/>
            <w:vAlign w:val="center"/>
            <w:hideMark/>
          </w:tcPr>
          <w:p w:rsidRPr="00886FE1" w:rsidR="00886FE1" w:rsidP="00886FE1" w:rsidRDefault="00886FE1" w14:paraId="56B816A8"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 xml:space="preserve">Program Change (New) </w:t>
            </w:r>
          </w:p>
        </w:tc>
        <w:tc>
          <w:tcPr>
            <w:tcW w:w="1096" w:type="dxa"/>
            <w:tcBorders>
              <w:top w:val="single" w:color="auto" w:sz="8" w:space="0"/>
              <w:left w:val="nil"/>
              <w:bottom w:val="single" w:color="auto" w:sz="8" w:space="0"/>
              <w:right w:val="single" w:color="auto" w:sz="8" w:space="0"/>
            </w:tcBorders>
            <w:shd w:val="clear" w:color="000000" w:fill="C0C0C0"/>
            <w:vAlign w:val="center"/>
            <w:hideMark/>
          </w:tcPr>
          <w:p w:rsidRPr="00886FE1" w:rsidR="00886FE1" w:rsidP="00886FE1" w:rsidRDefault="00886FE1" w14:paraId="6F4A107B"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Difference</w:t>
            </w:r>
          </w:p>
        </w:tc>
        <w:tc>
          <w:tcPr>
            <w:tcW w:w="1244" w:type="dxa"/>
            <w:tcBorders>
              <w:top w:val="single" w:color="auto" w:sz="8" w:space="0"/>
              <w:left w:val="nil"/>
              <w:bottom w:val="single" w:color="auto" w:sz="8" w:space="0"/>
              <w:right w:val="single" w:color="auto" w:sz="8" w:space="0"/>
            </w:tcBorders>
            <w:shd w:val="clear" w:color="000000" w:fill="C0C0C0"/>
            <w:vAlign w:val="center"/>
            <w:hideMark/>
          </w:tcPr>
          <w:p w:rsidRPr="00886FE1" w:rsidR="00886FE1" w:rsidP="00886FE1" w:rsidRDefault="00886FE1" w14:paraId="07673CA4"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Adjustment (cost currently on OMB Inventory)</w:t>
            </w:r>
          </w:p>
        </w:tc>
        <w:tc>
          <w:tcPr>
            <w:tcW w:w="1244" w:type="dxa"/>
            <w:tcBorders>
              <w:top w:val="single" w:color="auto" w:sz="8" w:space="0"/>
              <w:left w:val="nil"/>
              <w:bottom w:val="single" w:color="auto" w:sz="8" w:space="0"/>
              <w:right w:val="single" w:color="auto" w:sz="8" w:space="0"/>
            </w:tcBorders>
            <w:shd w:val="clear" w:color="000000" w:fill="C0C0C0"/>
            <w:vAlign w:val="center"/>
            <w:hideMark/>
          </w:tcPr>
          <w:p w:rsidRPr="00886FE1" w:rsidR="00886FE1" w:rsidP="00886FE1" w:rsidRDefault="00886FE1" w14:paraId="1E8E2018"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 xml:space="preserve">Adjustment (New) </w:t>
            </w:r>
          </w:p>
        </w:tc>
        <w:tc>
          <w:tcPr>
            <w:tcW w:w="1096" w:type="dxa"/>
            <w:tcBorders>
              <w:top w:val="single" w:color="auto" w:sz="8" w:space="0"/>
              <w:left w:val="nil"/>
              <w:bottom w:val="single" w:color="auto" w:sz="8" w:space="0"/>
              <w:right w:val="single" w:color="auto" w:sz="8" w:space="0"/>
            </w:tcBorders>
            <w:shd w:val="clear" w:color="000000" w:fill="C0C0C0"/>
            <w:vAlign w:val="center"/>
            <w:hideMark/>
          </w:tcPr>
          <w:p w:rsidRPr="00886FE1" w:rsidR="00886FE1" w:rsidP="00886FE1" w:rsidRDefault="00886FE1" w14:paraId="4D71FB41"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Difference</w:t>
            </w:r>
          </w:p>
        </w:tc>
      </w:tr>
      <w:tr w:rsidRPr="00886FE1" w:rsidR="00886FE1" w:rsidTr="00886FE1" w14:paraId="3838C485" w14:textId="77777777">
        <w:trPr>
          <w:trHeight w:val="330"/>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886FE1" w:rsidR="00886FE1" w:rsidP="00886FE1" w:rsidRDefault="00886FE1" w14:paraId="083F0E29" w14:textId="77777777">
            <w:pPr>
              <w:widowControl/>
              <w:autoSpaceDE/>
              <w:autoSpaceDN/>
              <w:adjustRightInd/>
              <w:jc w:val="center"/>
              <w:rPr>
                <w:rFonts w:ascii="Times New Roman" w:hAnsi="Times New Roman"/>
                <w:color w:val="000000"/>
              </w:rPr>
            </w:pPr>
            <w:r w:rsidRPr="00886FE1">
              <w:rPr>
                <w:rFonts w:ascii="Times New Roman" w:hAnsi="Times New Roman"/>
                <w:color w:val="000000"/>
              </w:rPr>
              <w:t>I-134</w:t>
            </w:r>
          </w:p>
        </w:tc>
        <w:tc>
          <w:tcPr>
            <w:tcW w:w="112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760EE154" w14:textId="77777777">
            <w:pPr>
              <w:widowControl/>
              <w:autoSpaceDE/>
              <w:autoSpaceDN/>
              <w:adjustRightInd/>
              <w:rPr>
                <w:rFonts w:ascii="Times New Roman" w:hAnsi="Times New Roman"/>
                <w:color w:val="000000"/>
              </w:rPr>
            </w:pPr>
            <w:r w:rsidRPr="00886FE1">
              <w:rPr>
                <w:rFonts w:ascii="Times New Roman" w:hAnsi="Times New Roman"/>
                <w:color w:val="000000"/>
              </w:rPr>
              <w:t> </w:t>
            </w:r>
          </w:p>
        </w:tc>
        <w:tc>
          <w:tcPr>
            <w:tcW w:w="950"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33E75AB0" w14:textId="77777777">
            <w:pPr>
              <w:widowControl/>
              <w:autoSpaceDE/>
              <w:autoSpaceDN/>
              <w:adjustRightInd/>
              <w:rPr>
                <w:rFonts w:ascii="Times New Roman" w:hAnsi="Times New Roman"/>
                <w:color w:val="000000"/>
              </w:rPr>
            </w:pPr>
            <w:r w:rsidRPr="00886FE1">
              <w:rPr>
                <w:rFonts w:ascii="Times New Roman" w:hAnsi="Times New Roman"/>
                <w:color w:val="000000"/>
              </w:rPr>
              <w:t> </w:t>
            </w:r>
          </w:p>
        </w:tc>
        <w:tc>
          <w:tcPr>
            <w:tcW w:w="1096"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4D8EDF7D" w14:textId="77777777">
            <w:pPr>
              <w:widowControl/>
              <w:autoSpaceDE/>
              <w:autoSpaceDN/>
              <w:adjustRightInd/>
              <w:rPr>
                <w:rFonts w:ascii="Times New Roman" w:hAnsi="Times New Roman"/>
                <w:color w:val="000000"/>
              </w:rPr>
            </w:pPr>
            <w:r w:rsidRPr="00886FE1">
              <w:rPr>
                <w:rFonts w:ascii="Times New Roman" w:hAnsi="Times New Roman"/>
                <w:color w:val="000000"/>
              </w:rPr>
              <w:t> </w:t>
            </w:r>
          </w:p>
        </w:tc>
        <w:tc>
          <w:tcPr>
            <w:tcW w:w="124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7D20982C" w14:textId="77777777">
            <w:pPr>
              <w:widowControl/>
              <w:autoSpaceDE/>
              <w:autoSpaceDN/>
              <w:adjustRightInd/>
              <w:rPr>
                <w:rFonts w:ascii="Times New Roman" w:hAnsi="Times New Roman"/>
                <w:color w:val="000000"/>
              </w:rPr>
            </w:pPr>
            <w:r w:rsidRPr="00886FE1">
              <w:rPr>
                <w:rFonts w:ascii="Times New Roman" w:hAnsi="Times New Roman"/>
                <w:color w:val="000000"/>
              </w:rPr>
              <w:t xml:space="preserve"> $10,625.00 </w:t>
            </w:r>
          </w:p>
        </w:tc>
        <w:tc>
          <w:tcPr>
            <w:tcW w:w="124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667AC10D" w14:textId="77777777">
            <w:pPr>
              <w:widowControl/>
              <w:autoSpaceDE/>
              <w:autoSpaceDN/>
              <w:adjustRightInd/>
              <w:rPr>
                <w:rFonts w:ascii="Times New Roman" w:hAnsi="Times New Roman"/>
                <w:color w:val="000000"/>
              </w:rPr>
            </w:pPr>
            <w:r w:rsidRPr="00886FE1">
              <w:rPr>
                <w:rFonts w:ascii="Times New Roman" w:hAnsi="Times New Roman"/>
                <w:color w:val="000000"/>
              </w:rPr>
              <w:t xml:space="preserve"> no change </w:t>
            </w:r>
          </w:p>
        </w:tc>
        <w:tc>
          <w:tcPr>
            <w:tcW w:w="1096"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0E4CED50" w14:textId="77777777">
            <w:pPr>
              <w:widowControl/>
              <w:autoSpaceDE/>
              <w:autoSpaceDN/>
              <w:adjustRightInd/>
              <w:rPr>
                <w:rFonts w:ascii="Times New Roman" w:hAnsi="Times New Roman"/>
                <w:color w:val="000000"/>
              </w:rPr>
            </w:pPr>
            <w:r w:rsidRPr="00886FE1">
              <w:rPr>
                <w:rFonts w:ascii="Times New Roman" w:hAnsi="Times New Roman"/>
                <w:color w:val="000000"/>
              </w:rPr>
              <w:t xml:space="preserve"> no change </w:t>
            </w:r>
          </w:p>
        </w:tc>
      </w:tr>
      <w:tr w:rsidRPr="00886FE1" w:rsidR="00886FE1" w:rsidTr="00886FE1" w14:paraId="2B445593" w14:textId="77777777">
        <w:trPr>
          <w:trHeight w:val="645"/>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886FE1" w:rsidR="00886FE1" w:rsidP="00886FE1" w:rsidRDefault="00886FE1" w14:paraId="74D7ED77" w14:textId="77777777">
            <w:pPr>
              <w:widowControl/>
              <w:autoSpaceDE/>
              <w:autoSpaceDN/>
              <w:adjustRightInd/>
              <w:jc w:val="center"/>
              <w:rPr>
                <w:rFonts w:ascii="Times New Roman" w:hAnsi="Times New Roman"/>
                <w:color w:val="000000"/>
              </w:rPr>
            </w:pPr>
            <w:r w:rsidRPr="00886FE1">
              <w:rPr>
                <w:rFonts w:ascii="Times New Roman" w:hAnsi="Times New Roman"/>
                <w:color w:val="000000"/>
              </w:rPr>
              <w:t>Biometrics</w:t>
            </w:r>
          </w:p>
        </w:tc>
        <w:tc>
          <w:tcPr>
            <w:tcW w:w="112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1ABDF58E" w14:textId="77777777">
            <w:pPr>
              <w:widowControl/>
              <w:autoSpaceDE/>
              <w:autoSpaceDN/>
              <w:adjustRightInd/>
              <w:jc w:val="right"/>
              <w:rPr>
                <w:rFonts w:ascii="Times New Roman" w:hAnsi="Times New Roman"/>
                <w:color w:val="000000"/>
              </w:rPr>
            </w:pPr>
            <w:r w:rsidRPr="00886FE1">
              <w:rPr>
                <w:rFonts w:ascii="Times New Roman" w:hAnsi="Times New Roman"/>
                <w:color w:val="000000"/>
              </w:rPr>
              <w:t>0</w:t>
            </w:r>
          </w:p>
        </w:tc>
        <w:tc>
          <w:tcPr>
            <w:tcW w:w="950"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0481FDDD" w14:textId="77777777">
            <w:pPr>
              <w:widowControl/>
              <w:autoSpaceDE/>
              <w:autoSpaceDN/>
              <w:adjustRightInd/>
              <w:jc w:val="right"/>
              <w:rPr>
                <w:rFonts w:ascii="Times New Roman" w:hAnsi="Times New Roman"/>
                <w:color w:val="000000"/>
              </w:rPr>
            </w:pPr>
            <w:r w:rsidRPr="00886FE1">
              <w:rPr>
                <w:rFonts w:ascii="Times New Roman" w:hAnsi="Times New Roman"/>
                <w:color w:val="000000"/>
              </w:rPr>
              <w:t>0</w:t>
            </w:r>
          </w:p>
        </w:tc>
        <w:tc>
          <w:tcPr>
            <w:tcW w:w="1096"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09F4C062" w14:textId="77777777">
            <w:pPr>
              <w:widowControl/>
              <w:autoSpaceDE/>
              <w:autoSpaceDN/>
              <w:adjustRightInd/>
              <w:jc w:val="right"/>
              <w:rPr>
                <w:rFonts w:ascii="Times New Roman" w:hAnsi="Times New Roman"/>
                <w:color w:val="000000"/>
              </w:rPr>
            </w:pPr>
            <w:r w:rsidRPr="00886FE1">
              <w:rPr>
                <w:rFonts w:ascii="Times New Roman" w:hAnsi="Times New Roman"/>
                <w:color w:val="000000"/>
              </w:rPr>
              <w:t>0</w:t>
            </w:r>
          </w:p>
        </w:tc>
        <w:tc>
          <w:tcPr>
            <w:tcW w:w="124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0D8532D1" w14:textId="77777777">
            <w:pPr>
              <w:widowControl/>
              <w:autoSpaceDE/>
              <w:autoSpaceDN/>
              <w:adjustRightInd/>
              <w:rPr>
                <w:rFonts w:ascii="Times New Roman" w:hAnsi="Times New Roman"/>
                <w:color w:val="000000"/>
              </w:rPr>
            </w:pPr>
            <w:r w:rsidRPr="00886FE1">
              <w:rPr>
                <w:rFonts w:ascii="Times New Roman" w:hAnsi="Times New Roman"/>
                <w:color w:val="000000"/>
              </w:rPr>
              <w:t> </w:t>
            </w:r>
          </w:p>
        </w:tc>
        <w:tc>
          <w:tcPr>
            <w:tcW w:w="124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49FB2CC7" w14:textId="77777777">
            <w:pPr>
              <w:widowControl/>
              <w:autoSpaceDE/>
              <w:autoSpaceDN/>
              <w:adjustRightInd/>
              <w:rPr>
                <w:rFonts w:ascii="Times New Roman" w:hAnsi="Times New Roman"/>
                <w:color w:val="000000"/>
              </w:rPr>
            </w:pPr>
            <w:r w:rsidRPr="00886FE1">
              <w:rPr>
                <w:rFonts w:ascii="Times New Roman" w:hAnsi="Times New Roman"/>
                <w:color w:val="000000"/>
              </w:rPr>
              <w:t> </w:t>
            </w:r>
          </w:p>
        </w:tc>
        <w:tc>
          <w:tcPr>
            <w:tcW w:w="1096"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43F1B89E" w14:textId="77777777">
            <w:pPr>
              <w:widowControl/>
              <w:autoSpaceDE/>
              <w:autoSpaceDN/>
              <w:adjustRightInd/>
              <w:rPr>
                <w:rFonts w:ascii="Times New Roman" w:hAnsi="Times New Roman"/>
                <w:color w:val="000000"/>
              </w:rPr>
            </w:pPr>
            <w:r w:rsidRPr="00886FE1">
              <w:rPr>
                <w:rFonts w:ascii="Times New Roman" w:hAnsi="Times New Roman"/>
                <w:color w:val="000000"/>
              </w:rPr>
              <w:t> </w:t>
            </w:r>
          </w:p>
        </w:tc>
      </w:tr>
      <w:tr w:rsidRPr="00886FE1" w:rsidR="00886FE1" w:rsidTr="00886FE1" w14:paraId="136C2D3D" w14:textId="77777777">
        <w:trPr>
          <w:trHeight w:val="330"/>
        </w:trPr>
        <w:tc>
          <w:tcPr>
            <w:tcW w:w="1630" w:type="dxa"/>
            <w:tcBorders>
              <w:top w:val="nil"/>
              <w:left w:val="single" w:color="auto" w:sz="8" w:space="0"/>
              <w:bottom w:val="single" w:color="auto" w:sz="8" w:space="0"/>
              <w:right w:val="single" w:color="auto" w:sz="8" w:space="0"/>
            </w:tcBorders>
            <w:shd w:val="clear" w:color="auto" w:fill="auto"/>
            <w:vAlign w:val="center"/>
            <w:hideMark/>
          </w:tcPr>
          <w:p w:rsidRPr="00886FE1" w:rsidR="00886FE1" w:rsidP="00886FE1" w:rsidRDefault="00886FE1" w14:paraId="7793A983"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Total(s)</w:t>
            </w:r>
          </w:p>
        </w:tc>
        <w:tc>
          <w:tcPr>
            <w:tcW w:w="112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76DB00DF"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 </w:t>
            </w:r>
          </w:p>
        </w:tc>
        <w:tc>
          <w:tcPr>
            <w:tcW w:w="950"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4ABD55A2"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 </w:t>
            </w:r>
          </w:p>
        </w:tc>
        <w:tc>
          <w:tcPr>
            <w:tcW w:w="1096"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5C8B13F9" w14:textId="77777777">
            <w:pPr>
              <w:widowControl/>
              <w:autoSpaceDE/>
              <w:autoSpaceDN/>
              <w:adjustRightInd/>
              <w:jc w:val="center"/>
              <w:rPr>
                <w:rFonts w:ascii="Times New Roman" w:hAnsi="Times New Roman"/>
                <w:b/>
                <w:bCs/>
                <w:color w:val="000000"/>
              </w:rPr>
            </w:pPr>
            <w:r w:rsidRPr="00886FE1">
              <w:rPr>
                <w:rFonts w:ascii="Times New Roman" w:hAnsi="Times New Roman"/>
                <w:b/>
                <w:bCs/>
                <w:color w:val="000000"/>
              </w:rPr>
              <w:t> </w:t>
            </w:r>
          </w:p>
        </w:tc>
        <w:tc>
          <w:tcPr>
            <w:tcW w:w="124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5E8A156A" w14:textId="77777777">
            <w:pPr>
              <w:widowControl/>
              <w:autoSpaceDE/>
              <w:autoSpaceDN/>
              <w:adjustRightInd/>
              <w:jc w:val="center"/>
              <w:rPr>
                <w:rFonts w:ascii="Times New Roman" w:hAnsi="Times New Roman"/>
                <w:color w:val="000000"/>
              </w:rPr>
            </w:pPr>
            <w:r w:rsidRPr="00886FE1">
              <w:rPr>
                <w:rFonts w:ascii="Times New Roman" w:hAnsi="Times New Roman"/>
                <w:color w:val="000000"/>
              </w:rPr>
              <w:t xml:space="preserve"> $10,625.00 </w:t>
            </w:r>
          </w:p>
        </w:tc>
        <w:tc>
          <w:tcPr>
            <w:tcW w:w="1244"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72647B2A" w14:textId="77777777">
            <w:pPr>
              <w:widowControl/>
              <w:autoSpaceDE/>
              <w:autoSpaceDN/>
              <w:adjustRightInd/>
              <w:jc w:val="center"/>
              <w:rPr>
                <w:rFonts w:ascii="Times New Roman" w:hAnsi="Times New Roman"/>
                <w:color w:val="000000"/>
              </w:rPr>
            </w:pPr>
            <w:r w:rsidRPr="00886FE1">
              <w:rPr>
                <w:rFonts w:ascii="Times New Roman" w:hAnsi="Times New Roman"/>
                <w:color w:val="000000"/>
              </w:rPr>
              <w:t xml:space="preserve"> $           -   </w:t>
            </w:r>
          </w:p>
        </w:tc>
        <w:tc>
          <w:tcPr>
            <w:tcW w:w="1096" w:type="dxa"/>
            <w:tcBorders>
              <w:top w:val="nil"/>
              <w:left w:val="nil"/>
              <w:bottom w:val="single" w:color="auto" w:sz="8" w:space="0"/>
              <w:right w:val="single" w:color="auto" w:sz="8" w:space="0"/>
            </w:tcBorders>
            <w:shd w:val="clear" w:color="auto" w:fill="auto"/>
            <w:vAlign w:val="center"/>
            <w:hideMark/>
          </w:tcPr>
          <w:p w:rsidRPr="00886FE1" w:rsidR="00886FE1" w:rsidP="00886FE1" w:rsidRDefault="00886FE1" w14:paraId="13D5FD89" w14:textId="77777777">
            <w:pPr>
              <w:widowControl/>
              <w:autoSpaceDE/>
              <w:autoSpaceDN/>
              <w:adjustRightInd/>
              <w:jc w:val="center"/>
              <w:rPr>
                <w:rFonts w:ascii="Times New Roman" w:hAnsi="Times New Roman"/>
                <w:color w:val="000000"/>
              </w:rPr>
            </w:pPr>
            <w:r w:rsidRPr="00886FE1">
              <w:rPr>
                <w:rFonts w:ascii="Times New Roman" w:hAnsi="Times New Roman"/>
                <w:color w:val="000000"/>
              </w:rPr>
              <w:t xml:space="preserve"> $            -   </w:t>
            </w:r>
          </w:p>
        </w:tc>
      </w:tr>
    </w:tbl>
    <w:p w:rsidR="00886FE1" w:rsidP="00914A5D" w:rsidRDefault="00886FE1" w14:paraId="0837573A" w14:textId="77777777">
      <w:pPr>
        <w:ind w:left="720"/>
        <w:rPr>
          <w:rFonts w:ascii="Times New Roman" w:hAnsi="Times New Roman"/>
        </w:rPr>
      </w:pPr>
    </w:p>
    <w:p w:rsidRPr="003966DB" w:rsidR="00886FE1" w:rsidP="00914A5D" w:rsidRDefault="00886FE1" w14:paraId="6E384F6A" w14:textId="2FB158A8">
      <w:pPr>
        <w:ind w:left="720"/>
        <w:rPr>
          <w:rFonts w:ascii="Times New Roman" w:hAnsi="Times New Roman"/>
        </w:rPr>
      </w:pPr>
      <w:r w:rsidRPr="003966DB">
        <w:rPr>
          <w:rFonts w:ascii="Times New Roman" w:hAnsi="Times New Roman"/>
        </w:rPr>
        <w:t>There is no change in the estimated annual cost burden to respondents for this collection of information.</w:t>
      </w:r>
    </w:p>
    <w:p w:rsidRPr="0029577A" w:rsidR="00886FE1" w:rsidP="00914A5D" w:rsidRDefault="00886FE1" w14:paraId="1D23D45B" w14:textId="77777777">
      <w:pPr>
        <w:ind w:left="720"/>
        <w:rPr>
          <w:rFonts w:ascii="Times New Roman" w:hAnsi="Times New Roman"/>
        </w:rPr>
      </w:pPr>
    </w:p>
    <w:p w:rsidRPr="00D80E94" w:rsidR="00B27061" w:rsidP="00914A5D" w:rsidRDefault="00B27061" w14:paraId="2BE6BCE4"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DE930D2" w14:textId="77777777">
      <w:pPr>
        <w:tabs>
          <w:tab w:val="left" w:pos="-1440"/>
        </w:tabs>
        <w:ind w:left="720"/>
        <w:rPr>
          <w:rFonts w:ascii="Times New Roman" w:hAnsi="Times New Roman"/>
        </w:rPr>
      </w:pPr>
    </w:p>
    <w:p w:rsidRPr="00B1471A" w:rsidR="006C79B6" w:rsidP="00914A5D" w:rsidRDefault="00A3466A" w14:paraId="0602D8C3"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642569B" w14:textId="77777777">
      <w:pPr>
        <w:ind w:left="720"/>
        <w:rPr>
          <w:rFonts w:ascii="Times New Roman" w:hAnsi="Times New Roman"/>
        </w:rPr>
      </w:pPr>
    </w:p>
    <w:p w:rsidRPr="008A4764" w:rsidR="00B27061" w:rsidP="00914A5D" w:rsidRDefault="00B27061" w14:paraId="2A0140C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D1E6B7C" w14:textId="77777777">
      <w:pPr>
        <w:tabs>
          <w:tab w:val="left" w:pos="-1440"/>
        </w:tabs>
        <w:ind w:left="720"/>
        <w:rPr>
          <w:rFonts w:ascii="Times New Roman" w:hAnsi="Times New Roman"/>
        </w:rPr>
      </w:pPr>
    </w:p>
    <w:p w:rsidRPr="00B1471A" w:rsidR="001A595D" w:rsidP="00914A5D" w:rsidRDefault="00A3466A" w14:paraId="630E2413"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08AD74D" w14:textId="77777777">
      <w:pPr>
        <w:ind w:left="720"/>
        <w:rPr>
          <w:rFonts w:ascii="Times New Roman" w:hAnsi="Times New Roman"/>
        </w:rPr>
      </w:pPr>
    </w:p>
    <w:p w:rsidRPr="00B1471A" w:rsidR="00B27061" w:rsidP="00914A5D" w:rsidRDefault="006C79B6" w14:paraId="59727C1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81047E5" w14:textId="77777777">
      <w:pPr>
        <w:tabs>
          <w:tab w:val="left" w:pos="-1440"/>
        </w:tabs>
        <w:ind w:left="720"/>
        <w:rPr>
          <w:rFonts w:ascii="Times New Roman" w:hAnsi="Times New Roman"/>
        </w:rPr>
      </w:pPr>
    </w:p>
    <w:p w:rsidRPr="00B1471A" w:rsidR="00B27061" w:rsidP="00914A5D" w:rsidRDefault="00A3466A" w14:paraId="43A2CA1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5730EE5D" w14:textId="77777777">
      <w:pPr>
        <w:ind w:left="720"/>
        <w:rPr>
          <w:rFonts w:ascii="Times New Roman" w:hAnsi="Times New Roman"/>
        </w:rPr>
      </w:pPr>
    </w:p>
    <w:p w:rsidRPr="00914A5D" w:rsidR="00792B9D" w:rsidP="00B1471A" w:rsidRDefault="00792B9D" w14:paraId="0B353D3B"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147AB2F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22F64FF"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2F42733D"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C0D31" w14:textId="77777777" w:rsidR="00957224" w:rsidRDefault="00957224">
      <w:r>
        <w:separator/>
      </w:r>
    </w:p>
  </w:endnote>
  <w:endnote w:type="continuationSeparator" w:id="0">
    <w:p w14:paraId="07606D68" w14:textId="77777777" w:rsidR="00957224" w:rsidRDefault="0095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79BFA"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77C90F"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0A618" w14:textId="77777777" w:rsidR="006049A7" w:rsidRDefault="006049A7">
    <w:pPr>
      <w:spacing w:line="240" w:lineRule="exact"/>
    </w:pPr>
  </w:p>
  <w:p w14:paraId="6AE0AEDF" w14:textId="5E15BE9B"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20624">
      <w:rPr>
        <w:rFonts w:ascii="Times New Roman" w:hAnsi="Times New Roman"/>
        <w:noProof/>
      </w:rPr>
      <w:t>7</w:t>
    </w:r>
    <w:r w:rsidRPr="000712DA">
      <w:rPr>
        <w:rFonts w:ascii="Times New Roman" w:hAnsi="Times New Roman"/>
      </w:rPr>
      <w:fldChar w:fldCharType="end"/>
    </w:r>
  </w:p>
  <w:p w14:paraId="48A19E24"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1EF54" w14:textId="77777777" w:rsidR="00957224" w:rsidRDefault="00957224">
      <w:r>
        <w:separator/>
      </w:r>
    </w:p>
  </w:footnote>
  <w:footnote w:type="continuationSeparator" w:id="0">
    <w:p w14:paraId="760504B0" w14:textId="77777777" w:rsidR="00957224" w:rsidRDefault="0095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48525B"/>
    <w:multiLevelType w:val="hybridMultilevel"/>
    <w:tmpl w:val="095E9766"/>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7"/>
  </w:num>
  <w:num w:numId="2">
    <w:abstractNumId w:val="0"/>
  </w:num>
  <w:num w:numId="3">
    <w:abstractNumId w:val="6"/>
  </w:num>
  <w:num w:numId="4">
    <w:abstractNumId w:val="8"/>
  </w:num>
  <w:num w:numId="5">
    <w:abstractNumId w:val="1"/>
  </w:num>
  <w:num w:numId="6">
    <w:abstractNumId w:val="4"/>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61D9"/>
    <w:rsid w:val="00042D10"/>
    <w:rsid w:val="000512E5"/>
    <w:rsid w:val="00054258"/>
    <w:rsid w:val="000712DA"/>
    <w:rsid w:val="00080CE0"/>
    <w:rsid w:val="000A42FA"/>
    <w:rsid w:val="000B00D2"/>
    <w:rsid w:val="000F1A9A"/>
    <w:rsid w:val="0010769F"/>
    <w:rsid w:val="00166A95"/>
    <w:rsid w:val="0019320E"/>
    <w:rsid w:val="001A595D"/>
    <w:rsid w:val="001D796A"/>
    <w:rsid w:val="00215244"/>
    <w:rsid w:val="00252B1E"/>
    <w:rsid w:val="0029577A"/>
    <w:rsid w:val="002A4A73"/>
    <w:rsid w:val="002E199D"/>
    <w:rsid w:val="002E688F"/>
    <w:rsid w:val="002E7594"/>
    <w:rsid w:val="00313F5A"/>
    <w:rsid w:val="00335FA6"/>
    <w:rsid w:val="003432AD"/>
    <w:rsid w:val="003803A2"/>
    <w:rsid w:val="003966DB"/>
    <w:rsid w:val="003A0F52"/>
    <w:rsid w:val="003A1F01"/>
    <w:rsid w:val="003F0F53"/>
    <w:rsid w:val="0040458D"/>
    <w:rsid w:val="0042387E"/>
    <w:rsid w:val="004734BF"/>
    <w:rsid w:val="0047659D"/>
    <w:rsid w:val="0047690E"/>
    <w:rsid w:val="00481FBE"/>
    <w:rsid w:val="00494557"/>
    <w:rsid w:val="004F3779"/>
    <w:rsid w:val="00501E44"/>
    <w:rsid w:val="00525E40"/>
    <w:rsid w:val="0054585A"/>
    <w:rsid w:val="005543AD"/>
    <w:rsid w:val="00554746"/>
    <w:rsid w:val="00577585"/>
    <w:rsid w:val="00590B61"/>
    <w:rsid w:val="005B6129"/>
    <w:rsid w:val="005C3866"/>
    <w:rsid w:val="005C3DD7"/>
    <w:rsid w:val="00603702"/>
    <w:rsid w:val="006049A7"/>
    <w:rsid w:val="00662686"/>
    <w:rsid w:val="00680D3E"/>
    <w:rsid w:val="006A0CC6"/>
    <w:rsid w:val="006B0B31"/>
    <w:rsid w:val="006B38F6"/>
    <w:rsid w:val="006C3EB0"/>
    <w:rsid w:val="006C79B6"/>
    <w:rsid w:val="006E606E"/>
    <w:rsid w:val="006F083F"/>
    <w:rsid w:val="00703B09"/>
    <w:rsid w:val="007312F9"/>
    <w:rsid w:val="00765E88"/>
    <w:rsid w:val="00792B9D"/>
    <w:rsid w:val="007A0551"/>
    <w:rsid w:val="007B32A5"/>
    <w:rsid w:val="007C03A1"/>
    <w:rsid w:val="007D6953"/>
    <w:rsid w:val="007E6F17"/>
    <w:rsid w:val="007F5988"/>
    <w:rsid w:val="00807BA2"/>
    <w:rsid w:val="00817469"/>
    <w:rsid w:val="00820624"/>
    <w:rsid w:val="008255EE"/>
    <w:rsid w:val="00833B6C"/>
    <w:rsid w:val="00886FE1"/>
    <w:rsid w:val="008A4764"/>
    <w:rsid w:val="008D6558"/>
    <w:rsid w:val="008D7291"/>
    <w:rsid w:val="008E2990"/>
    <w:rsid w:val="008E5484"/>
    <w:rsid w:val="008F233F"/>
    <w:rsid w:val="008F74F4"/>
    <w:rsid w:val="009147A2"/>
    <w:rsid w:val="00914A5D"/>
    <w:rsid w:val="00921351"/>
    <w:rsid w:val="0093704A"/>
    <w:rsid w:val="00952132"/>
    <w:rsid w:val="00957224"/>
    <w:rsid w:val="00974223"/>
    <w:rsid w:val="009D1DF6"/>
    <w:rsid w:val="009D5D2B"/>
    <w:rsid w:val="009F15D0"/>
    <w:rsid w:val="009F6A60"/>
    <w:rsid w:val="00A02591"/>
    <w:rsid w:val="00A05B27"/>
    <w:rsid w:val="00A15203"/>
    <w:rsid w:val="00A3466A"/>
    <w:rsid w:val="00A5237F"/>
    <w:rsid w:val="00A56B2D"/>
    <w:rsid w:val="00A70994"/>
    <w:rsid w:val="00AD681A"/>
    <w:rsid w:val="00AE1E7B"/>
    <w:rsid w:val="00AF45F2"/>
    <w:rsid w:val="00B0571D"/>
    <w:rsid w:val="00B1471A"/>
    <w:rsid w:val="00B27061"/>
    <w:rsid w:val="00B31EBB"/>
    <w:rsid w:val="00B62204"/>
    <w:rsid w:val="00B635A9"/>
    <w:rsid w:val="00B70749"/>
    <w:rsid w:val="00B7349D"/>
    <w:rsid w:val="00B85E14"/>
    <w:rsid w:val="00BD02BE"/>
    <w:rsid w:val="00BD3260"/>
    <w:rsid w:val="00BE3C63"/>
    <w:rsid w:val="00C04531"/>
    <w:rsid w:val="00C1325C"/>
    <w:rsid w:val="00C62A1F"/>
    <w:rsid w:val="00C9224C"/>
    <w:rsid w:val="00CD6D53"/>
    <w:rsid w:val="00CF4E94"/>
    <w:rsid w:val="00D14ADF"/>
    <w:rsid w:val="00D15779"/>
    <w:rsid w:val="00D22B13"/>
    <w:rsid w:val="00D80E94"/>
    <w:rsid w:val="00DA2D6B"/>
    <w:rsid w:val="00DE08FF"/>
    <w:rsid w:val="00E15619"/>
    <w:rsid w:val="00E372DA"/>
    <w:rsid w:val="00E61E1B"/>
    <w:rsid w:val="00E84C53"/>
    <w:rsid w:val="00E85D6D"/>
    <w:rsid w:val="00E91139"/>
    <w:rsid w:val="00EA1FB2"/>
    <w:rsid w:val="00EB012E"/>
    <w:rsid w:val="00EB4799"/>
    <w:rsid w:val="00EC3504"/>
    <w:rsid w:val="00F778FE"/>
    <w:rsid w:val="00FC20D1"/>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14:docId w14:val="5561EF9E"/>
  <w15:chartTrackingRefBased/>
  <w15:docId w15:val="{F5404C07-BF05-4C02-BCFB-F2C6F0E4C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3A1F01"/>
    <w:rPr>
      <w:sz w:val="16"/>
      <w:szCs w:val="16"/>
    </w:rPr>
  </w:style>
  <w:style w:type="paragraph" w:styleId="CommentText">
    <w:name w:val="annotation text"/>
    <w:basedOn w:val="Normal"/>
    <w:link w:val="CommentTextChar"/>
    <w:rsid w:val="003A1F01"/>
    <w:rPr>
      <w:sz w:val="20"/>
      <w:szCs w:val="20"/>
    </w:rPr>
  </w:style>
  <w:style w:type="character" w:customStyle="1" w:styleId="CommentTextChar">
    <w:name w:val="Comment Text Char"/>
    <w:link w:val="CommentText"/>
    <w:rsid w:val="003A1F01"/>
    <w:rPr>
      <w:rFonts w:ascii="Courier" w:hAnsi="Courier"/>
    </w:rPr>
  </w:style>
  <w:style w:type="paragraph" w:styleId="CommentSubject">
    <w:name w:val="annotation subject"/>
    <w:basedOn w:val="CommentText"/>
    <w:next w:val="CommentText"/>
    <w:link w:val="CommentSubjectChar"/>
    <w:rsid w:val="003A1F01"/>
    <w:rPr>
      <w:b/>
      <w:bCs/>
    </w:rPr>
  </w:style>
  <w:style w:type="character" w:customStyle="1" w:styleId="CommentSubjectChar">
    <w:name w:val="Comment Subject Char"/>
    <w:link w:val="CommentSubject"/>
    <w:rsid w:val="003A1F01"/>
    <w:rPr>
      <w:rFonts w:ascii="Courier" w:hAnsi="Courier"/>
      <w:b/>
      <w:bCs/>
    </w:rPr>
  </w:style>
  <w:style w:type="paragraph" w:styleId="ListParagraph">
    <w:name w:val="List Paragraph"/>
    <w:basedOn w:val="Normal"/>
    <w:uiPriority w:val="34"/>
    <w:qFormat/>
    <w:rsid w:val="00AE1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0601">
      <w:bodyDiv w:val="1"/>
      <w:marLeft w:val="0"/>
      <w:marRight w:val="0"/>
      <w:marTop w:val="0"/>
      <w:marBottom w:val="0"/>
      <w:divBdr>
        <w:top w:val="none" w:sz="0" w:space="0" w:color="auto"/>
        <w:left w:val="none" w:sz="0" w:space="0" w:color="auto"/>
        <w:bottom w:val="none" w:sz="0" w:space="0" w:color="auto"/>
        <w:right w:val="none" w:sz="0" w:space="0" w:color="auto"/>
      </w:divBdr>
    </w:div>
    <w:div w:id="17700795">
      <w:bodyDiv w:val="1"/>
      <w:marLeft w:val="0"/>
      <w:marRight w:val="0"/>
      <w:marTop w:val="0"/>
      <w:marBottom w:val="0"/>
      <w:divBdr>
        <w:top w:val="none" w:sz="0" w:space="0" w:color="auto"/>
        <w:left w:val="none" w:sz="0" w:space="0" w:color="auto"/>
        <w:bottom w:val="none" w:sz="0" w:space="0" w:color="auto"/>
        <w:right w:val="none" w:sz="0" w:space="0" w:color="auto"/>
      </w:divBdr>
    </w:div>
    <w:div w:id="167914952">
      <w:bodyDiv w:val="1"/>
      <w:marLeft w:val="0"/>
      <w:marRight w:val="0"/>
      <w:marTop w:val="0"/>
      <w:marBottom w:val="0"/>
      <w:divBdr>
        <w:top w:val="none" w:sz="0" w:space="0" w:color="auto"/>
        <w:left w:val="none" w:sz="0" w:space="0" w:color="auto"/>
        <w:bottom w:val="none" w:sz="0" w:space="0" w:color="auto"/>
        <w:right w:val="none" w:sz="0" w:space="0" w:color="auto"/>
      </w:divBdr>
    </w:div>
    <w:div w:id="222061234">
      <w:bodyDiv w:val="1"/>
      <w:marLeft w:val="0"/>
      <w:marRight w:val="0"/>
      <w:marTop w:val="0"/>
      <w:marBottom w:val="0"/>
      <w:divBdr>
        <w:top w:val="none" w:sz="0" w:space="0" w:color="auto"/>
        <w:left w:val="none" w:sz="0" w:space="0" w:color="auto"/>
        <w:bottom w:val="none" w:sz="0" w:space="0" w:color="auto"/>
        <w:right w:val="none" w:sz="0" w:space="0" w:color="auto"/>
      </w:divBdr>
    </w:div>
    <w:div w:id="781656157">
      <w:bodyDiv w:val="1"/>
      <w:marLeft w:val="0"/>
      <w:marRight w:val="0"/>
      <w:marTop w:val="0"/>
      <w:marBottom w:val="0"/>
      <w:divBdr>
        <w:top w:val="none" w:sz="0" w:space="0" w:color="auto"/>
        <w:left w:val="none" w:sz="0" w:space="0" w:color="auto"/>
        <w:bottom w:val="none" w:sz="0" w:space="0" w:color="auto"/>
        <w:right w:val="none" w:sz="0" w:space="0" w:color="auto"/>
      </w:divBdr>
    </w:div>
    <w:div w:id="8136430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6812203">
      <w:bodyDiv w:val="1"/>
      <w:marLeft w:val="0"/>
      <w:marRight w:val="0"/>
      <w:marTop w:val="0"/>
      <w:marBottom w:val="0"/>
      <w:divBdr>
        <w:top w:val="none" w:sz="0" w:space="0" w:color="auto"/>
        <w:left w:val="none" w:sz="0" w:space="0" w:color="auto"/>
        <w:bottom w:val="none" w:sz="0" w:space="0" w:color="auto"/>
        <w:right w:val="none" w:sz="0" w:space="0" w:color="auto"/>
      </w:divBdr>
    </w:div>
    <w:div w:id="956448196">
      <w:bodyDiv w:val="1"/>
      <w:marLeft w:val="0"/>
      <w:marRight w:val="0"/>
      <w:marTop w:val="0"/>
      <w:marBottom w:val="0"/>
      <w:divBdr>
        <w:top w:val="none" w:sz="0" w:space="0" w:color="auto"/>
        <w:left w:val="none" w:sz="0" w:space="0" w:color="auto"/>
        <w:bottom w:val="none" w:sz="0" w:space="0" w:color="auto"/>
        <w:right w:val="none" w:sz="0" w:space="0" w:color="auto"/>
      </w:divBdr>
    </w:div>
    <w:div w:id="1248886774">
      <w:bodyDiv w:val="1"/>
      <w:marLeft w:val="0"/>
      <w:marRight w:val="0"/>
      <w:marTop w:val="0"/>
      <w:marBottom w:val="0"/>
      <w:divBdr>
        <w:top w:val="none" w:sz="0" w:space="0" w:color="auto"/>
        <w:left w:val="none" w:sz="0" w:space="0" w:color="auto"/>
        <w:bottom w:val="none" w:sz="0" w:space="0" w:color="auto"/>
        <w:right w:val="none" w:sz="0" w:space="0" w:color="auto"/>
      </w:divBdr>
    </w:div>
    <w:div w:id="1274938313">
      <w:bodyDiv w:val="1"/>
      <w:marLeft w:val="0"/>
      <w:marRight w:val="0"/>
      <w:marTop w:val="0"/>
      <w:marBottom w:val="0"/>
      <w:divBdr>
        <w:top w:val="none" w:sz="0" w:space="0" w:color="auto"/>
        <w:left w:val="none" w:sz="0" w:space="0" w:color="auto"/>
        <w:bottom w:val="none" w:sz="0" w:space="0" w:color="auto"/>
        <w:right w:val="none" w:sz="0" w:space="0" w:color="auto"/>
      </w:divBdr>
    </w:div>
    <w:div w:id="1578979966">
      <w:bodyDiv w:val="1"/>
      <w:marLeft w:val="0"/>
      <w:marRight w:val="0"/>
      <w:marTop w:val="0"/>
      <w:marBottom w:val="0"/>
      <w:divBdr>
        <w:top w:val="none" w:sz="0" w:space="0" w:color="auto"/>
        <w:left w:val="none" w:sz="0" w:space="0" w:color="auto"/>
        <w:bottom w:val="none" w:sz="0" w:space="0" w:color="auto"/>
        <w:right w:val="none" w:sz="0" w:space="0" w:color="auto"/>
      </w:divBdr>
    </w:div>
    <w:div w:id="1590239526">
      <w:bodyDiv w:val="1"/>
      <w:marLeft w:val="0"/>
      <w:marRight w:val="0"/>
      <w:marTop w:val="0"/>
      <w:marBottom w:val="0"/>
      <w:divBdr>
        <w:top w:val="none" w:sz="0" w:space="0" w:color="auto"/>
        <w:left w:val="none" w:sz="0" w:space="0" w:color="auto"/>
        <w:bottom w:val="none" w:sz="0" w:space="0" w:color="auto"/>
        <w:right w:val="none" w:sz="0" w:space="0" w:color="auto"/>
      </w:divBdr>
    </w:div>
    <w:div w:id="177347195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12614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po.gov/fdsys/pkg/FR-2008-09-29/html/E8-22802.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po.gov/fdsys/pkg/FR-2011-06-13/html/2011-14489.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DA97A-587A-4C78-B31F-B4B7FB749784}">
  <ds:schemaRefs>
    <ds:schemaRef ds:uri="http://schemas.microsoft.com/sharepoint/v3/contenttype/forms"/>
  </ds:schemaRefs>
</ds:datastoreItem>
</file>

<file path=customXml/itemProps2.xml><?xml version="1.0" encoding="utf-8"?>
<ds:datastoreItem xmlns:ds="http://schemas.openxmlformats.org/officeDocument/2006/customXml" ds:itemID="{8C848B35-31D8-4631-8409-8A996A48FF62}">
  <ds:schemaRefs>
    <ds:schemaRef ds:uri="http://purl.org/dc/dcmitype/"/>
    <ds:schemaRef ds:uri="http://schemas.microsoft.com/office/2006/documentManagement/types"/>
    <ds:schemaRef ds:uri="http://schemas.openxmlformats.org/package/2006/metadata/core-properties"/>
    <ds:schemaRef ds:uri="http://www.w3.org/XML/1998/namespace"/>
    <ds:schemaRef ds:uri="bf094c2b-8036-49e0-a2b2-a973ea273ca5"/>
    <ds:schemaRef ds:uri="http://purl.org/dc/terms/"/>
    <ds:schemaRef ds:uri="http://schemas.microsoft.com/office/infopath/2007/PartnerControls"/>
    <ds:schemaRef ds:uri="2589310c-5316-40b3-b68d-4735ac72f26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FF55CF1-7F96-4EB7-AE6A-B2CC1ED09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2443</Words>
  <Characters>13930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16341</CharactersWithSpaces>
  <SharedDoc>false</SharedDoc>
  <HLinks>
    <vt:vector size="18" baseType="variant">
      <vt:variant>
        <vt:i4>2883633</vt:i4>
      </vt:variant>
      <vt:variant>
        <vt:i4>6</vt:i4>
      </vt:variant>
      <vt:variant>
        <vt:i4>0</vt:i4>
      </vt:variant>
      <vt:variant>
        <vt:i4>5</vt:i4>
      </vt:variant>
      <vt:variant>
        <vt:lpwstr>http://www.dhs.gov/privacy</vt:lpwstr>
      </vt:variant>
      <vt:variant>
        <vt:lpwstr/>
      </vt:variant>
      <vt:variant>
        <vt:i4>720969</vt:i4>
      </vt:variant>
      <vt:variant>
        <vt:i4>3</vt:i4>
      </vt:variant>
      <vt:variant>
        <vt:i4>0</vt:i4>
      </vt:variant>
      <vt:variant>
        <vt:i4>5</vt:i4>
      </vt:variant>
      <vt:variant>
        <vt:lpwstr>http://www.gpo.gov/fdsys/pkg/FR-2008-09-29/html/E8-22802.htm</vt:lpwstr>
      </vt:variant>
      <vt:variant>
        <vt:lpwstr/>
      </vt:variant>
      <vt:variant>
        <vt:i4>3473452</vt:i4>
      </vt:variant>
      <vt:variant>
        <vt:i4>0</vt:i4>
      </vt:variant>
      <vt:variant>
        <vt:i4>0</vt:i4>
      </vt:variant>
      <vt:variant>
        <vt:i4>5</vt:i4>
      </vt:variant>
      <vt:variant>
        <vt:lpwstr>http://www.gpo.gov/fdsys/pkg/FR-2011-06-13/html/2011-14489.htm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Frank, Melanie R</cp:lastModifiedBy>
  <cp:revision>10</cp:revision>
  <cp:lastPrinted>2010-05-14T15:20:00Z</cp:lastPrinted>
  <dcterms:created xsi:type="dcterms:W3CDTF">2019-05-06T13:15:00Z</dcterms:created>
  <dcterms:modified xsi:type="dcterms:W3CDTF">2020-09-11T17:23:00Z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