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DE60431" w14:textId="77777777"/>
    <w:p w:rsidR="000B21AF" w:rsidP="00D71B67" w:rsidRDefault="0006270C" w14:paraId="5C3BB526" w14:textId="046164F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AC5528">
        <w:rPr>
          <w:b/>
          <w:sz w:val="28"/>
          <w:szCs w:val="28"/>
        </w:rPr>
        <w:t xml:space="preserve"> INSTRUCTIONS</w:t>
      </w:r>
    </w:p>
    <w:p w:rsidR="00307B03" w:rsidP="00D71B67" w:rsidRDefault="00307B03" w14:paraId="07072D87" w14:textId="77777777">
      <w:pPr>
        <w:jc w:val="center"/>
        <w:rPr>
          <w:b/>
          <w:sz w:val="28"/>
          <w:szCs w:val="28"/>
        </w:rPr>
      </w:pPr>
      <w:r w:rsidRPr="00307B03">
        <w:rPr>
          <w:b/>
          <w:sz w:val="28"/>
          <w:szCs w:val="28"/>
        </w:rPr>
        <w:t>Instructions for Form I-881, Application for Suspension of Deportation or Special Rule Cancellation of Removal</w:t>
      </w:r>
    </w:p>
    <w:p w:rsidR="00307B03" w:rsidP="00307B03" w:rsidRDefault="00307B03" w14:paraId="689E55BD" w14:textId="77777777">
      <w:pPr>
        <w:jc w:val="center"/>
        <w:rPr>
          <w:b/>
          <w:sz w:val="28"/>
          <w:szCs w:val="28"/>
        </w:rPr>
      </w:pPr>
      <w:r w:rsidRPr="00396D6A">
        <w:rPr>
          <w:b/>
          <w:sz w:val="28"/>
          <w:szCs w:val="28"/>
        </w:rPr>
        <w:t>O</w:t>
      </w:r>
      <w:r>
        <w:rPr>
          <w:b/>
          <w:sz w:val="28"/>
          <w:szCs w:val="28"/>
        </w:rPr>
        <w:t>MB Number: 1615-0072</w:t>
      </w:r>
    </w:p>
    <w:p w:rsidR="00307B03" w:rsidP="00307B03" w:rsidRDefault="00871FD6" w14:paraId="1D4C1704" w14:textId="59CB24C4">
      <w:pPr>
        <w:jc w:val="center"/>
        <w:rPr>
          <w:b/>
          <w:sz w:val="28"/>
          <w:szCs w:val="28"/>
        </w:rPr>
      </w:pPr>
      <w:r>
        <w:rPr>
          <w:b/>
          <w:sz w:val="28"/>
          <w:szCs w:val="28"/>
        </w:rPr>
        <w:t>05/12/2020</w:t>
      </w:r>
    </w:p>
    <w:p w:rsidR="00483DCD" w:rsidP="0006270C" w:rsidRDefault="00483DCD" w14:paraId="2F39AAF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739DF60" w14:textId="77777777">
        <w:tc>
          <w:tcPr>
            <w:tcW w:w="12348" w:type="dxa"/>
            <w:shd w:val="clear" w:color="auto" w:fill="auto"/>
          </w:tcPr>
          <w:p w:rsidR="00637C0D" w:rsidP="00637C0D" w:rsidRDefault="00483DCD" w14:paraId="5260D777" w14:textId="1D82EF37">
            <w:pPr>
              <w:rPr>
                <w:b/>
                <w:sz w:val="24"/>
                <w:szCs w:val="24"/>
              </w:rPr>
            </w:pPr>
            <w:r w:rsidRPr="00A6192C">
              <w:rPr>
                <w:b/>
                <w:sz w:val="24"/>
                <w:szCs w:val="24"/>
              </w:rPr>
              <w:t>Reason for Revision:</w:t>
            </w:r>
            <w:r w:rsidRPr="00A6192C" w:rsidR="00637C0D">
              <w:rPr>
                <w:b/>
                <w:sz w:val="24"/>
                <w:szCs w:val="24"/>
              </w:rPr>
              <w:t xml:space="preserve">  </w:t>
            </w:r>
            <w:r w:rsidR="00871FD6">
              <w:rPr>
                <w:b/>
                <w:sz w:val="24"/>
                <w:szCs w:val="24"/>
              </w:rPr>
              <w:t>Biometrics Rule</w:t>
            </w:r>
          </w:p>
          <w:p w:rsidRPr="00871FD6" w:rsidR="00871FD6" w:rsidP="00637C0D" w:rsidRDefault="00871FD6" w14:paraId="431FDB89" w14:textId="25344664">
            <w:pPr>
              <w:rPr>
                <w:bCs/>
                <w:sz w:val="24"/>
                <w:szCs w:val="24"/>
              </w:rPr>
            </w:pPr>
            <w:r>
              <w:rPr>
                <w:b/>
                <w:sz w:val="24"/>
                <w:szCs w:val="24"/>
              </w:rPr>
              <w:t xml:space="preserve">Project Phase: </w:t>
            </w:r>
            <w:r w:rsidR="00E13BAE">
              <w:rPr>
                <w:bCs/>
                <w:sz w:val="24"/>
                <w:szCs w:val="24"/>
              </w:rPr>
              <w:t>NPRM</w:t>
            </w:r>
          </w:p>
          <w:p w:rsidRPr="00A6192C" w:rsidR="00637C0D" w:rsidP="00637C0D" w:rsidRDefault="00637C0D" w14:paraId="6836D53B" w14:textId="77777777">
            <w:pPr>
              <w:rPr>
                <w:b/>
                <w:sz w:val="24"/>
                <w:szCs w:val="24"/>
              </w:rPr>
            </w:pPr>
          </w:p>
          <w:p w:rsidRPr="00A6192C" w:rsidR="00637C0D" w:rsidP="00637C0D" w:rsidRDefault="00637C0D" w14:paraId="1A9F32F2" w14:textId="77777777">
            <w:pPr>
              <w:rPr>
                <w:sz w:val="24"/>
                <w:szCs w:val="24"/>
              </w:rPr>
            </w:pPr>
            <w:r w:rsidRPr="00A6192C">
              <w:rPr>
                <w:sz w:val="24"/>
                <w:szCs w:val="24"/>
              </w:rPr>
              <w:t>Legend for Proposed Text:</w:t>
            </w:r>
          </w:p>
          <w:p w:rsidRPr="00A6192C" w:rsidR="00637C0D" w:rsidP="00637C0D" w:rsidRDefault="00637C0D" w14:paraId="687220B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307B03" w:rsidR="00A277E7" w:rsidP="00637C0D" w:rsidRDefault="00637C0D" w14:paraId="7311061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1408E5" w:rsidR="00307B03" w:rsidP="00307B03" w:rsidRDefault="00307B03" w14:paraId="02A60094" w14:textId="4916DD32">
            <w:pPr>
              <w:pStyle w:val="NoSpacing"/>
              <w:rPr>
                <w:rFonts w:ascii="Times New Roman" w:hAnsi="Times New Roman" w:cs="Times New Roman"/>
              </w:rPr>
            </w:pPr>
            <w:r w:rsidRPr="001408E5">
              <w:rPr>
                <w:rFonts w:ascii="Times New Roman" w:hAnsi="Times New Roman" w:cs="Times New Roman"/>
              </w:rPr>
              <w:t xml:space="preserve">Expires </w:t>
            </w:r>
            <w:r w:rsidR="00AA2D3F">
              <w:rPr>
                <w:rFonts w:ascii="Times New Roman" w:hAnsi="Times New Roman" w:cs="Times New Roman"/>
              </w:rPr>
              <w:t>11/30/2021</w:t>
            </w:r>
          </w:p>
          <w:p w:rsidRPr="00307B03" w:rsidR="00307B03" w:rsidP="00AA2D3F" w:rsidRDefault="00307B03" w14:paraId="7D5DEC29" w14:textId="2BC4FD00">
            <w:pPr>
              <w:rPr>
                <w:b/>
                <w:sz w:val="24"/>
                <w:szCs w:val="24"/>
              </w:rPr>
            </w:pPr>
            <w:r w:rsidRPr="00F12FD2">
              <w:rPr>
                <w:sz w:val="24"/>
                <w:szCs w:val="24"/>
              </w:rPr>
              <w:t xml:space="preserve">Edition Date </w:t>
            </w:r>
            <w:r w:rsidR="00AA2D3F">
              <w:rPr>
                <w:sz w:val="24"/>
                <w:szCs w:val="24"/>
              </w:rPr>
              <w:t>11/08/2019</w:t>
            </w:r>
          </w:p>
        </w:tc>
      </w:tr>
    </w:tbl>
    <w:p w:rsidR="0006270C" w:rsidRDefault="0006270C" w14:paraId="223B30BB" w14:textId="77777777"/>
    <w:p w:rsidR="0006270C" w:rsidRDefault="0006270C" w14:paraId="53C93B0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67E1022" w14:textId="77777777">
        <w:tc>
          <w:tcPr>
            <w:tcW w:w="2808" w:type="dxa"/>
            <w:shd w:val="clear" w:color="auto" w:fill="D9D9D9"/>
            <w:vAlign w:val="center"/>
          </w:tcPr>
          <w:p w:rsidRPr="00F736EE" w:rsidR="00016C07" w:rsidP="00041392" w:rsidRDefault="00016C07" w14:paraId="69E9F46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F52C99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60DB24D" w14:textId="77777777">
            <w:pPr>
              <w:pStyle w:val="Default"/>
              <w:jc w:val="center"/>
              <w:rPr>
                <w:b/>
                <w:color w:val="auto"/>
              </w:rPr>
            </w:pPr>
            <w:r>
              <w:rPr>
                <w:b/>
                <w:color w:val="auto"/>
              </w:rPr>
              <w:t>Proposed Text</w:t>
            </w:r>
          </w:p>
        </w:tc>
      </w:tr>
      <w:tr w:rsidRPr="007228B5" w:rsidR="009C58DE" w:rsidTr="002D6271" w14:paraId="00300D80" w14:textId="77777777">
        <w:tc>
          <w:tcPr>
            <w:tcW w:w="2808" w:type="dxa"/>
          </w:tcPr>
          <w:p w:rsidR="009C58DE" w:rsidP="009C58DE" w:rsidRDefault="0031654E" w14:paraId="340D3B55" w14:textId="77777777">
            <w:pPr>
              <w:rPr>
                <w:b/>
                <w:sz w:val="24"/>
                <w:szCs w:val="24"/>
              </w:rPr>
            </w:pPr>
            <w:r>
              <w:rPr>
                <w:b/>
                <w:sz w:val="24"/>
                <w:szCs w:val="24"/>
              </w:rPr>
              <w:t>Pages 4-6,</w:t>
            </w:r>
          </w:p>
          <w:p w:rsidRPr="004B3E2B" w:rsidR="0031654E" w:rsidP="009C58DE" w:rsidRDefault="0031654E" w14:paraId="77B6C7CB" w14:textId="06CFA65C">
            <w:pPr>
              <w:rPr>
                <w:b/>
                <w:sz w:val="24"/>
                <w:szCs w:val="24"/>
              </w:rPr>
            </w:pPr>
            <w:r w:rsidRPr="0031654E">
              <w:rPr>
                <w:b/>
                <w:sz w:val="24"/>
                <w:szCs w:val="24"/>
              </w:rPr>
              <w:t>General Instructions</w:t>
            </w:r>
          </w:p>
        </w:tc>
        <w:tc>
          <w:tcPr>
            <w:tcW w:w="4095" w:type="dxa"/>
          </w:tcPr>
          <w:p w:rsidRPr="0031654E" w:rsidR="0031654E" w:rsidP="0031654E" w:rsidRDefault="0031654E" w14:paraId="2C486580" w14:textId="77777777">
            <w:pPr>
              <w:rPr>
                <w:b/>
                <w:color w:val="231F20"/>
                <w:sz w:val="22"/>
                <w:szCs w:val="22"/>
              </w:rPr>
            </w:pPr>
            <w:r w:rsidRPr="0031654E">
              <w:rPr>
                <w:b/>
                <w:color w:val="231F20"/>
                <w:sz w:val="22"/>
                <w:szCs w:val="22"/>
              </w:rPr>
              <w:t>[page 4]</w:t>
            </w:r>
          </w:p>
          <w:p w:rsidRPr="0031654E" w:rsidR="0031654E" w:rsidP="0031654E" w:rsidRDefault="0031654E" w14:paraId="3CA07AFB" w14:textId="77777777">
            <w:pPr>
              <w:pStyle w:val="BodyText"/>
              <w:spacing w:before="0"/>
              <w:ind w:left="0"/>
              <w:rPr>
                <w:b/>
                <w:color w:val="231F20"/>
              </w:rPr>
            </w:pPr>
          </w:p>
          <w:p w:rsidRPr="0031654E" w:rsidR="0031654E" w:rsidP="0031654E" w:rsidRDefault="0031654E" w14:paraId="41824D8E" w14:textId="77777777">
            <w:pPr>
              <w:pStyle w:val="BodyText"/>
              <w:spacing w:before="0"/>
              <w:ind w:left="0"/>
              <w:rPr>
                <w:b/>
                <w:color w:val="231F20"/>
              </w:rPr>
            </w:pPr>
            <w:r w:rsidRPr="0031654E">
              <w:rPr>
                <w:b/>
                <w:color w:val="231F20"/>
              </w:rPr>
              <w:t>…</w:t>
            </w:r>
          </w:p>
          <w:p w:rsidRPr="0031654E" w:rsidR="0031654E" w:rsidP="0031654E" w:rsidRDefault="0031654E" w14:paraId="148B89B5" w14:textId="77777777">
            <w:pPr>
              <w:pStyle w:val="BodyText"/>
              <w:spacing w:before="0"/>
              <w:ind w:left="0"/>
              <w:rPr>
                <w:b/>
                <w:color w:val="231F20"/>
              </w:rPr>
            </w:pPr>
          </w:p>
          <w:p w:rsidRPr="0031654E" w:rsidR="0031654E" w:rsidP="0031654E" w:rsidRDefault="0031654E" w14:paraId="226C25B0" w14:textId="07C7BC32">
            <w:pPr>
              <w:pStyle w:val="BodyText"/>
              <w:spacing w:before="0"/>
              <w:ind w:left="0"/>
            </w:pPr>
            <w:r w:rsidRPr="0031654E">
              <w:rPr>
                <w:b/>
                <w:color w:val="231F20"/>
              </w:rPr>
              <w:t xml:space="preserve">Biometric Services Appointment.  </w:t>
            </w:r>
            <w:r w:rsidRPr="0031654E">
              <w:rPr>
                <w:color w:val="231F20"/>
              </w:rPr>
              <w:t>USCIS may require that you appear for an interview or provide biometrics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[application/petition] and ensures it is complete, we will inform you</w:t>
            </w:r>
          </w:p>
          <w:p w:rsidRPr="0031654E" w:rsidR="0031654E" w:rsidP="0031654E" w:rsidRDefault="0031654E" w14:paraId="29EE8504" w14:textId="3B1BA64C">
            <w:pPr>
              <w:pStyle w:val="BodyText"/>
              <w:spacing w:before="0"/>
              <w:ind w:left="0"/>
              <w:rPr>
                <w:color w:val="231F20"/>
              </w:rPr>
            </w:pPr>
            <w:r w:rsidRPr="0031654E">
              <w:rPr>
                <w:color w:val="231F20"/>
              </w:rPr>
              <w:t>if you need to attend a biometric services appointment. If an appointment is necessary, the notice will provide you the location of your local or designated USCIS Application Support Center (ASC) and the date and time of your appointment.</w:t>
            </w:r>
          </w:p>
          <w:p w:rsidRPr="0031654E" w:rsidR="0031654E" w:rsidP="0031654E" w:rsidRDefault="0031654E" w14:paraId="2EC77918" w14:textId="615DF400">
            <w:pPr>
              <w:pStyle w:val="BodyText"/>
              <w:spacing w:before="0"/>
              <w:ind w:left="0"/>
              <w:rPr>
                <w:color w:val="231F20"/>
              </w:rPr>
            </w:pPr>
          </w:p>
          <w:p w:rsidRPr="0031654E" w:rsidR="0031654E" w:rsidP="0031654E" w:rsidRDefault="0031654E" w14:paraId="6C669870" w14:textId="5DDD5503">
            <w:pPr>
              <w:pStyle w:val="BodyText"/>
              <w:spacing w:before="0"/>
              <w:ind w:left="0"/>
              <w:rPr>
                <w:color w:val="231F20"/>
              </w:rPr>
            </w:pPr>
          </w:p>
          <w:p w:rsidRPr="0031654E" w:rsidR="0031654E" w:rsidP="0031654E" w:rsidRDefault="0031654E" w14:paraId="0F1345D6" w14:textId="1F3ABE46">
            <w:pPr>
              <w:pStyle w:val="BodyText"/>
              <w:spacing w:before="0"/>
              <w:ind w:left="0"/>
              <w:rPr>
                <w:color w:val="231F20"/>
              </w:rPr>
            </w:pPr>
          </w:p>
          <w:p w:rsidRPr="0031654E" w:rsidR="0031654E" w:rsidP="0031654E" w:rsidRDefault="0031654E" w14:paraId="2BA23A81" w14:textId="2C20B2BF">
            <w:pPr>
              <w:pStyle w:val="BodyText"/>
              <w:spacing w:before="0"/>
              <w:ind w:left="0"/>
              <w:rPr>
                <w:color w:val="231F20"/>
              </w:rPr>
            </w:pPr>
          </w:p>
          <w:p w:rsidRPr="0031654E" w:rsidR="0031654E" w:rsidP="0031654E" w:rsidRDefault="0031654E" w14:paraId="7D76229F" w14:textId="38CF1598">
            <w:pPr>
              <w:pStyle w:val="BodyText"/>
              <w:spacing w:before="0"/>
              <w:ind w:left="0"/>
              <w:rPr>
                <w:color w:val="231F20"/>
              </w:rPr>
            </w:pPr>
          </w:p>
          <w:p w:rsidRPr="0031654E" w:rsidR="0031654E" w:rsidP="0031654E" w:rsidRDefault="0031654E" w14:paraId="7B7C2DD3" w14:textId="05C2424B">
            <w:pPr>
              <w:pStyle w:val="BodyText"/>
              <w:spacing w:before="0"/>
              <w:ind w:left="0"/>
              <w:rPr>
                <w:color w:val="231F20"/>
              </w:rPr>
            </w:pPr>
          </w:p>
          <w:p w:rsidRPr="0031654E" w:rsidR="0031654E" w:rsidP="0031654E" w:rsidRDefault="0031654E" w14:paraId="0875EAA7" w14:textId="217EB888">
            <w:pPr>
              <w:pStyle w:val="BodyText"/>
              <w:spacing w:before="0"/>
              <w:ind w:left="0"/>
              <w:rPr>
                <w:color w:val="231F20"/>
              </w:rPr>
            </w:pPr>
          </w:p>
          <w:p w:rsidRPr="0031654E" w:rsidR="0031654E" w:rsidP="0031654E" w:rsidRDefault="0031654E" w14:paraId="1579FEDE" w14:textId="53D1B250">
            <w:pPr>
              <w:pStyle w:val="BodyText"/>
              <w:spacing w:before="0"/>
              <w:ind w:left="0"/>
              <w:rPr>
                <w:color w:val="231F20"/>
              </w:rPr>
            </w:pPr>
          </w:p>
          <w:p w:rsidR="0031654E" w:rsidP="0031654E" w:rsidRDefault="0031654E" w14:paraId="2EB28BC4" w14:textId="1D7E0421">
            <w:pPr>
              <w:pStyle w:val="BodyText"/>
              <w:spacing w:before="0"/>
              <w:ind w:left="0"/>
              <w:rPr>
                <w:color w:val="231F20"/>
              </w:rPr>
            </w:pPr>
          </w:p>
          <w:p w:rsidRPr="0031654E" w:rsidR="0031654E" w:rsidP="0031654E" w:rsidRDefault="0031654E" w14:paraId="0671247B" w14:textId="77777777">
            <w:pPr>
              <w:pStyle w:val="BodyText"/>
              <w:spacing w:before="0"/>
              <w:ind w:left="0"/>
              <w:rPr>
                <w:color w:val="231F20"/>
              </w:rPr>
            </w:pPr>
          </w:p>
          <w:p w:rsidRPr="0031654E" w:rsidR="0031654E" w:rsidP="0031654E" w:rsidRDefault="0031654E" w14:paraId="2A8030A3" w14:textId="18F17C04">
            <w:pPr>
              <w:pStyle w:val="BodyText"/>
              <w:spacing w:before="0"/>
              <w:ind w:left="0"/>
              <w:rPr>
                <w:b/>
                <w:color w:val="231F20"/>
              </w:rPr>
            </w:pPr>
            <w:r w:rsidRPr="0031654E">
              <w:rPr>
                <w:b/>
                <w:color w:val="231F20"/>
              </w:rPr>
              <w:t>…</w:t>
            </w:r>
          </w:p>
          <w:p w:rsidRPr="0031654E" w:rsidR="009C58DE" w:rsidP="009C58DE" w:rsidRDefault="009C58DE" w14:paraId="16299F57" w14:textId="77777777">
            <w:pPr>
              <w:rPr>
                <w:b/>
                <w:sz w:val="22"/>
                <w:szCs w:val="22"/>
              </w:rPr>
            </w:pPr>
          </w:p>
        </w:tc>
        <w:tc>
          <w:tcPr>
            <w:tcW w:w="4095" w:type="dxa"/>
          </w:tcPr>
          <w:p w:rsidRPr="0031654E" w:rsidR="0031654E" w:rsidP="0031654E" w:rsidRDefault="0031654E" w14:paraId="4D107A60" w14:textId="77777777">
            <w:pPr>
              <w:rPr>
                <w:b/>
                <w:color w:val="231F20"/>
                <w:sz w:val="22"/>
                <w:szCs w:val="22"/>
              </w:rPr>
            </w:pPr>
            <w:r w:rsidRPr="0031654E">
              <w:rPr>
                <w:b/>
                <w:color w:val="231F20"/>
                <w:sz w:val="22"/>
                <w:szCs w:val="22"/>
              </w:rPr>
              <w:t>[page 4]</w:t>
            </w:r>
          </w:p>
          <w:p w:rsidRPr="0031654E" w:rsidR="0031654E" w:rsidP="0031654E" w:rsidRDefault="0031654E" w14:paraId="0C338773" w14:textId="77777777">
            <w:pPr>
              <w:pStyle w:val="BodyText"/>
              <w:spacing w:before="0"/>
              <w:ind w:left="0"/>
              <w:rPr>
                <w:b/>
                <w:color w:val="231F20"/>
              </w:rPr>
            </w:pPr>
          </w:p>
          <w:p w:rsidRPr="0031654E" w:rsidR="0031654E" w:rsidP="0031654E" w:rsidRDefault="0031654E" w14:paraId="2FE000B3" w14:textId="77777777">
            <w:pPr>
              <w:pStyle w:val="BodyText"/>
              <w:spacing w:before="0"/>
              <w:ind w:left="0"/>
              <w:rPr>
                <w:b/>
                <w:color w:val="231F20"/>
              </w:rPr>
            </w:pPr>
            <w:r w:rsidRPr="0031654E">
              <w:rPr>
                <w:b/>
                <w:color w:val="231F20"/>
              </w:rPr>
              <w:t>…</w:t>
            </w:r>
          </w:p>
          <w:p w:rsidRPr="0031654E" w:rsidR="0031654E" w:rsidP="0031654E" w:rsidRDefault="0031654E" w14:paraId="2F715CCF" w14:textId="77777777">
            <w:pPr>
              <w:pStyle w:val="NoSpacing"/>
              <w:rPr>
                <w:rFonts w:ascii="Times New Roman" w:hAnsi="Times New Roman" w:cs="Times New Roman"/>
                <w:b/>
                <w:color w:val="231F20"/>
              </w:rPr>
            </w:pPr>
          </w:p>
          <w:p w:rsidRPr="0031654E" w:rsidR="0031654E" w:rsidP="0031654E" w:rsidRDefault="0031654E" w14:paraId="23E95F91" w14:textId="01798F0B">
            <w:pPr>
              <w:pStyle w:val="NoSpacing"/>
              <w:rPr>
                <w:rFonts w:ascii="Times New Roman" w:hAnsi="Times New Roman" w:cs="Times New Roman"/>
                <w:color w:val="FF0000"/>
              </w:rPr>
            </w:pPr>
            <w:r w:rsidRPr="0031654E">
              <w:rPr>
                <w:rFonts w:ascii="Times New Roman" w:hAnsi="Times New Roman" w:cs="Times New Roman"/>
                <w:b/>
                <w:color w:val="231F20"/>
              </w:rPr>
              <w:t>Biometric Services Appointment.</w:t>
            </w:r>
            <w:r w:rsidRPr="0031654E">
              <w:rPr>
                <w:b/>
                <w:color w:val="231F20"/>
              </w:rPr>
              <w:t xml:space="preserve">  </w:t>
            </w:r>
            <w:r w:rsidRPr="0031654E">
              <w:rPr>
                <w:rFonts w:ascii="Times New Roman" w:hAnsi="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31654E" w:rsidR="0031654E" w:rsidP="0031654E" w:rsidRDefault="0031654E" w14:paraId="4B0401A3" w14:textId="77777777">
            <w:pPr>
              <w:pStyle w:val="NoSpacing"/>
              <w:rPr>
                <w:rFonts w:ascii="Times New Roman" w:hAnsi="Times New Roman" w:cs="Times New Roman"/>
                <w:color w:val="FF0000"/>
              </w:rPr>
            </w:pPr>
          </w:p>
          <w:p w:rsidRPr="0031654E" w:rsidR="009C58DE" w:rsidP="0031654E" w:rsidRDefault="0031654E" w14:paraId="25196563" w14:textId="50F0DE73">
            <w:pPr>
              <w:rPr>
                <w:color w:val="FF0000"/>
                <w:sz w:val="22"/>
                <w:szCs w:val="22"/>
              </w:rPr>
            </w:pPr>
            <w:r w:rsidRPr="0031654E">
              <w:rPr>
                <w:color w:val="FF0000"/>
                <w:sz w:val="22"/>
                <w:szCs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31654E" w:rsidR="0031654E" w:rsidP="0031654E" w:rsidRDefault="0031654E" w14:paraId="449F08C3" w14:textId="77777777">
            <w:pPr>
              <w:rPr>
                <w:color w:val="FF0000"/>
                <w:sz w:val="22"/>
                <w:szCs w:val="22"/>
              </w:rPr>
            </w:pPr>
          </w:p>
          <w:p w:rsidRPr="0031654E" w:rsidR="0031654E" w:rsidP="0031654E" w:rsidRDefault="0031654E" w14:paraId="49D91D5C" w14:textId="77777777">
            <w:pPr>
              <w:pStyle w:val="BodyText"/>
              <w:spacing w:before="0"/>
              <w:ind w:left="0"/>
              <w:rPr>
                <w:b/>
                <w:color w:val="231F20"/>
              </w:rPr>
            </w:pPr>
            <w:r w:rsidRPr="0031654E">
              <w:rPr>
                <w:b/>
                <w:color w:val="231F20"/>
              </w:rPr>
              <w:t>…</w:t>
            </w:r>
          </w:p>
          <w:p w:rsidRPr="0031654E" w:rsidR="0031654E" w:rsidP="0031654E" w:rsidRDefault="0031654E" w14:paraId="66CA767A" w14:textId="3B339319">
            <w:pPr>
              <w:rPr>
                <w:b/>
                <w:sz w:val="22"/>
                <w:szCs w:val="22"/>
              </w:rPr>
            </w:pPr>
          </w:p>
        </w:tc>
      </w:tr>
      <w:tr w:rsidRPr="007228B5" w:rsidR="00871FD6" w:rsidTr="002D6271" w14:paraId="2DED7437" w14:textId="77777777">
        <w:tc>
          <w:tcPr>
            <w:tcW w:w="2808" w:type="dxa"/>
          </w:tcPr>
          <w:p w:rsidR="00871FD6" w:rsidP="00871FD6" w:rsidRDefault="00871FD6" w14:paraId="4E540529" w14:textId="77777777">
            <w:pPr>
              <w:rPr>
                <w:b/>
                <w:sz w:val="24"/>
                <w:szCs w:val="24"/>
              </w:rPr>
            </w:pPr>
            <w:r>
              <w:rPr>
                <w:b/>
                <w:sz w:val="24"/>
                <w:szCs w:val="24"/>
              </w:rPr>
              <w:lastRenderedPageBreak/>
              <w:t>Page 13,</w:t>
            </w:r>
          </w:p>
          <w:p w:rsidR="00871FD6" w:rsidP="00871FD6" w:rsidRDefault="00871FD6" w14:paraId="41B014BB" w14:textId="0856DF9F">
            <w:pPr>
              <w:rPr>
                <w:b/>
                <w:sz w:val="24"/>
                <w:szCs w:val="24"/>
              </w:rPr>
            </w:pPr>
            <w:r w:rsidRPr="00144882">
              <w:rPr>
                <w:b/>
                <w:sz w:val="24"/>
                <w:szCs w:val="24"/>
              </w:rPr>
              <w:t>DHS Privacy Notice</w:t>
            </w:r>
          </w:p>
        </w:tc>
        <w:tc>
          <w:tcPr>
            <w:tcW w:w="4095" w:type="dxa"/>
          </w:tcPr>
          <w:p w:rsidRPr="00144882" w:rsidR="00871FD6" w:rsidP="00871FD6" w:rsidRDefault="00871FD6" w14:paraId="076A2EA3" w14:textId="77777777">
            <w:pPr>
              <w:rPr>
                <w:b/>
                <w:color w:val="231F20"/>
                <w:sz w:val="22"/>
                <w:szCs w:val="22"/>
              </w:rPr>
            </w:pPr>
            <w:r w:rsidRPr="00144882">
              <w:rPr>
                <w:b/>
                <w:color w:val="231F20"/>
                <w:sz w:val="22"/>
                <w:szCs w:val="22"/>
              </w:rPr>
              <w:t>[page 13]</w:t>
            </w:r>
          </w:p>
          <w:p w:rsidRPr="00144882" w:rsidR="00871FD6" w:rsidP="00871FD6" w:rsidRDefault="00871FD6" w14:paraId="0F8BCC94" w14:textId="77777777">
            <w:pPr>
              <w:rPr>
                <w:b/>
                <w:color w:val="231F20"/>
                <w:sz w:val="22"/>
                <w:szCs w:val="22"/>
              </w:rPr>
            </w:pPr>
          </w:p>
          <w:p w:rsidRPr="00144882" w:rsidR="00871FD6" w:rsidP="00871FD6" w:rsidRDefault="00871FD6" w14:paraId="01340770" w14:textId="77777777">
            <w:pPr>
              <w:rPr>
                <w:b/>
                <w:color w:val="231F20"/>
                <w:sz w:val="22"/>
                <w:szCs w:val="22"/>
              </w:rPr>
            </w:pPr>
            <w:r w:rsidRPr="00144882">
              <w:rPr>
                <w:b/>
                <w:color w:val="231F20"/>
                <w:sz w:val="22"/>
                <w:szCs w:val="22"/>
              </w:rPr>
              <w:t>DHS Privacy Notice</w:t>
            </w:r>
          </w:p>
          <w:p w:rsidRPr="00144882" w:rsidR="00871FD6" w:rsidP="00871FD6" w:rsidRDefault="00871FD6" w14:paraId="440DF39B" w14:textId="77777777">
            <w:pPr>
              <w:rPr>
                <w:b/>
                <w:sz w:val="22"/>
                <w:szCs w:val="22"/>
              </w:rPr>
            </w:pPr>
          </w:p>
          <w:p w:rsidRPr="00144882" w:rsidR="00871FD6" w:rsidP="00871FD6" w:rsidRDefault="00871FD6" w14:paraId="664769AF" w14:textId="77777777">
            <w:pPr>
              <w:pStyle w:val="BodyText"/>
              <w:spacing w:before="0"/>
              <w:ind w:left="0"/>
            </w:pPr>
            <w:r w:rsidRPr="00144882">
              <w:rPr>
                <w:b/>
                <w:color w:val="231F20"/>
              </w:rPr>
              <w:t xml:space="preserve">AUTHORITIES: </w:t>
            </w:r>
            <w:r w:rsidRPr="00144882">
              <w:rPr>
                <w:color w:val="231F20"/>
              </w:rPr>
              <w:t>The information requested on this application, and the associated evidence, is collected pursuant to the Nicaraguan Adjustment and Central American Relief Act (NACARA), Pub. L. No. 105-100 section 203, 111, Stat. 2160, 2193 (1997), amended by the Technical Corrections to the Nicaraguan Adjustment and Central American Relief Act, Pub. L. No. 105-139, 111 Stat 2644 (1997).</w:t>
            </w:r>
          </w:p>
          <w:p w:rsidRPr="00144882" w:rsidR="00871FD6" w:rsidP="00871FD6" w:rsidRDefault="00871FD6" w14:paraId="5CAE44DA" w14:textId="77777777">
            <w:pPr>
              <w:pStyle w:val="BodyText"/>
              <w:spacing w:before="0"/>
              <w:ind w:left="0"/>
              <w:rPr>
                <w:b/>
                <w:color w:val="231F20"/>
              </w:rPr>
            </w:pPr>
          </w:p>
          <w:p w:rsidRPr="00144882" w:rsidR="00871FD6" w:rsidP="00871FD6" w:rsidRDefault="00871FD6" w14:paraId="249436B7" w14:textId="77777777">
            <w:pPr>
              <w:pStyle w:val="BodyText"/>
              <w:spacing w:before="0"/>
              <w:ind w:left="0"/>
              <w:rPr>
                <w:color w:val="231F20"/>
              </w:rPr>
            </w:pPr>
            <w:r w:rsidRPr="00144882">
              <w:rPr>
                <w:b/>
                <w:color w:val="231F20"/>
              </w:rPr>
              <w:t xml:space="preserve">PURPOSE:  </w:t>
            </w:r>
            <w:r w:rsidRPr="00144882">
              <w:rPr>
                <w:color w:val="231F20"/>
              </w:rPr>
              <w:t>The primary purpose for providing the requested information on this application is to apply for suspension of deportation or special rule cancellation of removal under section 203 of Public Law 105-100, NACARA. DHS uses the information you provide to grant or deny the immigration benefit you are seeking.</w:t>
            </w:r>
          </w:p>
          <w:p w:rsidRPr="00144882" w:rsidR="00871FD6" w:rsidP="00871FD6" w:rsidRDefault="00871FD6" w14:paraId="6503C3F3" w14:textId="77777777">
            <w:pPr>
              <w:pStyle w:val="BodyText"/>
              <w:spacing w:before="0"/>
              <w:ind w:left="0"/>
            </w:pPr>
          </w:p>
          <w:p w:rsidRPr="00144882" w:rsidR="00871FD6" w:rsidP="00871FD6" w:rsidRDefault="00871FD6" w14:paraId="5C812754" w14:textId="77777777">
            <w:pPr>
              <w:pStyle w:val="BodyText"/>
              <w:spacing w:before="0"/>
              <w:ind w:left="0"/>
              <w:rPr>
                <w:color w:val="231F20"/>
              </w:rPr>
            </w:pPr>
            <w:r w:rsidRPr="00144882">
              <w:rPr>
                <w:b/>
                <w:color w:val="231F20"/>
              </w:rPr>
              <w:t xml:space="preserve">DISCLOSURE: </w:t>
            </w:r>
            <w:r w:rsidRPr="00144882">
              <w:rPr>
                <w:color w:val="231F20"/>
              </w:rPr>
              <w:t>The information you provide is voluntary. However, failure to provide the requested information, including your Social Security Number (if applicable), and any requested evidence, may delay a final decision or result in denial of your application.</w:t>
            </w:r>
          </w:p>
          <w:p w:rsidRPr="00144882" w:rsidR="00871FD6" w:rsidP="00871FD6" w:rsidRDefault="00871FD6" w14:paraId="61CEAA7D" w14:textId="77777777">
            <w:pPr>
              <w:pStyle w:val="BodyText"/>
              <w:spacing w:before="0"/>
              <w:ind w:left="0"/>
            </w:pPr>
          </w:p>
          <w:p w:rsidR="00871FD6" w:rsidP="00871FD6" w:rsidRDefault="00871FD6" w14:paraId="10F0739D" w14:textId="77777777">
            <w:pPr>
              <w:pStyle w:val="BodyText"/>
              <w:spacing w:before="0"/>
              <w:ind w:left="0"/>
              <w:rPr>
                <w:color w:val="231F20"/>
              </w:rPr>
            </w:pPr>
            <w:r w:rsidRPr="00144882">
              <w:rPr>
                <w:b/>
                <w:color w:val="231F20"/>
              </w:rPr>
              <w:t xml:space="preserve">ROUTINE USES: </w:t>
            </w:r>
            <w:r w:rsidRPr="00144882">
              <w:rPr>
                <w:color w:val="231F20"/>
              </w:rPr>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DHS/USCIS-010 Asylum Information and Pre-Screening System, and DHS/USCIS-018 Immigration Biometric and Background Check System] and the published privacy impact assessments [DHS/USCIS/PIA-027 USCIS Asylum Division] which you can find at </w:t>
            </w:r>
            <w:hyperlink r:id="rId10">
              <w:r w:rsidRPr="00144882">
                <w:rPr>
                  <w:b/>
                  <w:color w:val="0000FF"/>
                  <w:u w:val="thick" w:color="0000FF"/>
                </w:rPr>
                <w:t>www.dhs.gov/privacy</w:t>
              </w:r>
              <w:r w:rsidRPr="00144882">
                <w:rPr>
                  <w:color w:val="231F20"/>
                </w:rPr>
                <w:t>.</w:t>
              </w:r>
            </w:hyperlink>
            <w:r w:rsidRPr="00144882">
              <w:rPr>
                <w:color w:val="231F20"/>
              </w:rPr>
              <w:t xml:space="preserve"> DHS may also share this information, as appropriate, for law enforcement purposes or in the interest of national security.</w:t>
            </w:r>
          </w:p>
          <w:p w:rsidRPr="00871FD6" w:rsidR="00871FD6" w:rsidP="00871FD6" w:rsidRDefault="00871FD6" w14:paraId="1B182CC4" w14:textId="35E0ECFD">
            <w:pPr>
              <w:pStyle w:val="BodyText"/>
              <w:spacing w:before="0"/>
              <w:ind w:left="0"/>
            </w:pPr>
          </w:p>
        </w:tc>
        <w:tc>
          <w:tcPr>
            <w:tcW w:w="4095" w:type="dxa"/>
          </w:tcPr>
          <w:p w:rsidRPr="00144882" w:rsidR="00871FD6" w:rsidP="00871FD6" w:rsidRDefault="00871FD6" w14:paraId="7ABC4A40" w14:textId="77777777">
            <w:pPr>
              <w:rPr>
                <w:b/>
                <w:color w:val="231F20"/>
                <w:sz w:val="22"/>
                <w:szCs w:val="22"/>
              </w:rPr>
            </w:pPr>
            <w:r w:rsidRPr="00144882">
              <w:rPr>
                <w:b/>
                <w:color w:val="231F20"/>
                <w:sz w:val="22"/>
                <w:szCs w:val="22"/>
              </w:rPr>
              <w:lastRenderedPageBreak/>
              <w:t>[page 13]</w:t>
            </w:r>
          </w:p>
          <w:p w:rsidRPr="00144882" w:rsidR="00871FD6" w:rsidP="00871FD6" w:rsidRDefault="00871FD6" w14:paraId="2479684C" w14:textId="77777777">
            <w:pPr>
              <w:rPr>
                <w:b/>
                <w:color w:val="231F20"/>
                <w:sz w:val="22"/>
                <w:szCs w:val="22"/>
              </w:rPr>
            </w:pPr>
          </w:p>
          <w:p w:rsidRPr="00144882" w:rsidR="00871FD6" w:rsidP="00871FD6" w:rsidRDefault="00871FD6" w14:paraId="60A2E694" w14:textId="77777777">
            <w:pPr>
              <w:rPr>
                <w:b/>
                <w:color w:val="231F20"/>
                <w:sz w:val="22"/>
                <w:szCs w:val="22"/>
              </w:rPr>
            </w:pPr>
            <w:r w:rsidRPr="00144882">
              <w:rPr>
                <w:b/>
                <w:color w:val="231F20"/>
                <w:sz w:val="22"/>
                <w:szCs w:val="22"/>
              </w:rPr>
              <w:t>DHS Privacy Notice</w:t>
            </w:r>
          </w:p>
          <w:p w:rsidRPr="00144882" w:rsidR="00871FD6" w:rsidP="00871FD6" w:rsidRDefault="00871FD6" w14:paraId="647493BB" w14:textId="77777777">
            <w:pPr>
              <w:rPr>
                <w:b/>
                <w:sz w:val="22"/>
                <w:szCs w:val="22"/>
              </w:rPr>
            </w:pPr>
          </w:p>
          <w:p w:rsidRPr="00144882" w:rsidR="00871FD6" w:rsidP="00871FD6" w:rsidRDefault="00871FD6" w14:paraId="67545036" w14:textId="4EB17BCB">
            <w:pPr>
              <w:pStyle w:val="BodyText"/>
              <w:spacing w:before="0"/>
              <w:ind w:left="0"/>
            </w:pPr>
            <w:r w:rsidRPr="00144882">
              <w:rPr>
                <w:b/>
                <w:color w:val="231F20"/>
              </w:rPr>
              <w:t xml:space="preserve">AUTHORITIES: </w:t>
            </w:r>
            <w:r w:rsidRPr="00144882">
              <w:rPr>
                <w:color w:val="231F20"/>
              </w:rPr>
              <w:t xml:space="preserve">The information requested on </w:t>
            </w:r>
            <w:r w:rsidRPr="00DC233E">
              <w:rPr>
                <w:color w:val="231F20"/>
              </w:rPr>
              <w:t xml:space="preserve">this </w:t>
            </w:r>
            <w:r w:rsidRPr="00DC233E">
              <w:rPr>
                <w:color w:val="FF0000"/>
              </w:rPr>
              <w:t xml:space="preserve">application and </w:t>
            </w:r>
            <w:r w:rsidRPr="00DC233E">
              <w:rPr>
                <w:color w:val="231F20"/>
              </w:rPr>
              <w:t>the associated evidence, is collected pursuant</w:t>
            </w:r>
            <w:bookmarkStart w:name="_GoBack" w:id="0"/>
            <w:bookmarkEnd w:id="0"/>
            <w:r w:rsidRPr="00144882">
              <w:rPr>
                <w:color w:val="231F20"/>
              </w:rPr>
              <w:t xml:space="preserve"> to the Nicaraguan Adjustment and Central American Relief Act (NACARA), Pub. L. No. 105-100 section 203, 111, Stat. 2160, 2193 (1997), amended by the Technical Corrections to the Nicaraguan Adjustment and Central American Relief Act, Pub. L. No. 105-139, 111 Stat 2644 (1997).</w:t>
            </w:r>
          </w:p>
          <w:p w:rsidRPr="00144882" w:rsidR="00871FD6" w:rsidP="00871FD6" w:rsidRDefault="00871FD6" w14:paraId="28961B4F" w14:textId="77777777">
            <w:pPr>
              <w:pStyle w:val="BodyText"/>
              <w:spacing w:before="0"/>
              <w:ind w:left="0"/>
              <w:rPr>
                <w:b/>
                <w:color w:val="231F20"/>
              </w:rPr>
            </w:pPr>
          </w:p>
          <w:p w:rsidRPr="00144882" w:rsidR="00871FD6" w:rsidP="00871FD6" w:rsidRDefault="00871FD6" w14:paraId="21A26A8F" w14:textId="77777777">
            <w:pPr>
              <w:pStyle w:val="BodyText"/>
              <w:spacing w:before="0"/>
              <w:ind w:left="0"/>
              <w:rPr>
                <w:color w:val="231F20"/>
              </w:rPr>
            </w:pPr>
            <w:r w:rsidRPr="00144882">
              <w:rPr>
                <w:b/>
                <w:color w:val="231F20"/>
              </w:rPr>
              <w:t xml:space="preserve">PURPOSE:  </w:t>
            </w:r>
            <w:r w:rsidRPr="00144882">
              <w:rPr>
                <w:color w:val="231F20"/>
              </w:rPr>
              <w:t>The primary purpose for providing the requested information on this application is to apply for suspension of deportation or special rule cancellation of removal under section 203 of Public Law 105-100, NACARA. DHS uses the information you provide to grant or deny the immigration benefit you are seeking.</w:t>
            </w:r>
          </w:p>
          <w:p w:rsidRPr="00144882" w:rsidR="00871FD6" w:rsidP="00871FD6" w:rsidRDefault="00871FD6" w14:paraId="6EDEC703" w14:textId="77777777">
            <w:pPr>
              <w:pStyle w:val="BodyText"/>
              <w:spacing w:before="0"/>
              <w:ind w:left="0"/>
            </w:pPr>
          </w:p>
          <w:p w:rsidRPr="00144882" w:rsidR="00871FD6" w:rsidP="00871FD6" w:rsidRDefault="00871FD6" w14:paraId="7385C0D6" w14:textId="77777777">
            <w:pPr>
              <w:pStyle w:val="BodyText"/>
              <w:spacing w:before="0"/>
              <w:ind w:left="0"/>
              <w:rPr>
                <w:color w:val="231F20"/>
              </w:rPr>
            </w:pPr>
            <w:r w:rsidRPr="00144882">
              <w:rPr>
                <w:b/>
                <w:color w:val="231F20"/>
              </w:rPr>
              <w:t xml:space="preserve">DISCLOSURE: </w:t>
            </w:r>
            <w:r w:rsidRPr="00144882">
              <w:rPr>
                <w:color w:val="231F20"/>
              </w:rPr>
              <w:t>The information you provide is voluntary. However, failure to provide the requested information, including your Social Security Number (if applicable), and any requested evidence, may delay a final decision or result in denial of your application.</w:t>
            </w:r>
          </w:p>
          <w:p w:rsidRPr="00144882" w:rsidR="00871FD6" w:rsidP="00871FD6" w:rsidRDefault="00871FD6" w14:paraId="6D43D098" w14:textId="77777777">
            <w:pPr>
              <w:pStyle w:val="BodyText"/>
              <w:spacing w:before="0"/>
              <w:ind w:left="0"/>
            </w:pPr>
          </w:p>
          <w:p w:rsidR="00871FD6" w:rsidP="00871FD6" w:rsidRDefault="00871FD6" w14:paraId="5DA644FD" w14:textId="77777777">
            <w:pPr>
              <w:pStyle w:val="BodyText"/>
              <w:spacing w:before="0"/>
              <w:ind w:left="0"/>
              <w:rPr>
                <w:color w:val="231F20"/>
              </w:rPr>
            </w:pPr>
            <w:r w:rsidRPr="00144882">
              <w:rPr>
                <w:b/>
                <w:color w:val="231F20"/>
              </w:rPr>
              <w:t xml:space="preserve">ROUTINE USES: </w:t>
            </w:r>
            <w:r w:rsidRPr="00144882">
              <w:rPr>
                <w:color w:val="231F20"/>
              </w:rPr>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DHS/USCIS-010 Asylum Information and Pre-Screening System, and DHS/USCIS-018 Immigration Biometric and Background Check System] and the published privacy impact assessments [DHS/USCIS/PIA-027 USCIS Asylum Division] which you can find at </w:t>
            </w:r>
            <w:hyperlink r:id="rId11">
              <w:r w:rsidRPr="00144882">
                <w:rPr>
                  <w:b/>
                  <w:color w:val="0000FF"/>
                  <w:u w:val="thick" w:color="0000FF"/>
                </w:rPr>
                <w:t>www.dhs.gov/privacy</w:t>
              </w:r>
              <w:r w:rsidRPr="00144882">
                <w:rPr>
                  <w:color w:val="231F20"/>
                </w:rPr>
                <w:t>.</w:t>
              </w:r>
            </w:hyperlink>
            <w:r w:rsidRPr="00144882">
              <w:rPr>
                <w:color w:val="231F20"/>
              </w:rPr>
              <w:t xml:space="preserve"> DHS may also share this information, as appropriate, for law enforcement purposes or in the interest of national security.</w:t>
            </w:r>
          </w:p>
          <w:p w:rsidRPr="0031654E" w:rsidR="00871FD6" w:rsidP="0031654E" w:rsidRDefault="00871FD6" w14:paraId="097A2516" w14:textId="77777777">
            <w:pPr>
              <w:rPr>
                <w:b/>
                <w:color w:val="231F20"/>
                <w:sz w:val="22"/>
                <w:szCs w:val="22"/>
              </w:rPr>
            </w:pPr>
          </w:p>
        </w:tc>
      </w:tr>
      <w:tr w:rsidRPr="007228B5" w:rsidR="00B9104D" w:rsidTr="002D6271" w14:paraId="3824A352" w14:textId="77777777">
        <w:tc>
          <w:tcPr>
            <w:tcW w:w="2808" w:type="dxa"/>
          </w:tcPr>
          <w:p w:rsidR="00B9104D" w:rsidP="00B9104D" w:rsidRDefault="00B9104D" w14:paraId="34DDCCC2" w14:textId="2931AF30">
            <w:pPr>
              <w:rPr>
                <w:b/>
                <w:sz w:val="24"/>
                <w:szCs w:val="24"/>
              </w:rPr>
            </w:pPr>
            <w:r>
              <w:rPr>
                <w:b/>
                <w:sz w:val="24"/>
                <w:szCs w:val="24"/>
              </w:rPr>
              <w:lastRenderedPageBreak/>
              <w:t>Page 13,</w:t>
            </w:r>
          </w:p>
          <w:p w:rsidR="00B9104D" w:rsidP="00B9104D" w:rsidRDefault="00B9104D" w14:paraId="1CB06F64" w14:textId="5E4258F1">
            <w:pPr>
              <w:rPr>
                <w:b/>
                <w:sz w:val="24"/>
                <w:szCs w:val="24"/>
              </w:rPr>
            </w:pPr>
            <w:r>
              <w:rPr>
                <w:b/>
                <w:sz w:val="24"/>
                <w:szCs w:val="24"/>
              </w:rPr>
              <w:t>Paperwork Reduction Act Statement</w:t>
            </w:r>
          </w:p>
        </w:tc>
        <w:tc>
          <w:tcPr>
            <w:tcW w:w="4095" w:type="dxa"/>
          </w:tcPr>
          <w:p w:rsidR="00B9104D" w:rsidP="00B9104D" w:rsidRDefault="00B9104D" w14:paraId="66E557F8" w14:textId="77777777">
            <w:pPr>
              <w:autoSpaceDE w:val="0"/>
              <w:autoSpaceDN w:val="0"/>
              <w:adjustRightInd w:val="0"/>
              <w:rPr>
                <w:rFonts w:ascii="TimesNewRomanPSMT" w:hAnsi="TimesNewRomanPSMT" w:cs="TimesNewRomanPSMT"/>
                <w:b/>
                <w:sz w:val="22"/>
                <w:szCs w:val="22"/>
              </w:rPr>
            </w:pPr>
            <w:r>
              <w:rPr>
                <w:rFonts w:ascii="TimesNewRomanPSMT" w:hAnsi="TimesNewRomanPSMT" w:cs="TimesNewRomanPSMT"/>
                <w:b/>
                <w:sz w:val="22"/>
                <w:szCs w:val="22"/>
              </w:rPr>
              <w:t>[page 13]</w:t>
            </w:r>
          </w:p>
          <w:p w:rsidR="00B9104D" w:rsidP="00B9104D" w:rsidRDefault="00B9104D" w14:paraId="61CE16C4" w14:textId="77777777">
            <w:pPr>
              <w:autoSpaceDE w:val="0"/>
              <w:autoSpaceDN w:val="0"/>
              <w:adjustRightInd w:val="0"/>
              <w:rPr>
                <w:rFonts w:ascii="TimesNewRomanPSMT" w:hAnsi="TimesNewRomanPSMT" w:cs="TimesNewRomanPSMT"/>
                <w:b/>
                <w:sz w:val="22"/>
                <w:szCs w:val="22"/>
              </w:rPr>
            </w:pPr>
            <w:r>
              <w:rPr>
                <w:rFonts w:ascii="TimesNewRomanPSMT" w:hAnsi="TimesNewRomanPSMT" w:cs="TimesNewRomanPSMT"/>
                <w:b/>
                <w:sz w:val="22"/>
                <w:szCs w:val="22"/>
              </w:rPr>
              <w:t>…</w:t>
            </w:r>
          </w:p>
          <w:p w:rsidR="00B9104D" w:rsidP="00B9104D" w:rsidRDefault="00B9104D" w14:paraId="4EAE9A6A" w14:textId="77777777">
            <w:pPr>
              <w:autoSpaceDE w:val="0"/>
              <w:autoSpaceDN w:val="0"/>
              <w:adjustRightInd w:val="0"/>
              <w:rPr>
                <w:rFonts w:ascii="TimesNewRomanPSMT" w:hAnsi="TimesNewRomanPSMT" w:cs="TimesNewRomanPSMT"/>
                <w:b/>
                <w:sz w:val="22"/>
                <w:szCs w:val="22"/>
              </w:rPr>
            </w:pPr>
          </w:p>
          <w:p w:rsidRPr="00B9104D" w:rsidR="00B9104D" w:rsidP="00B9104D" w:rsidRDefault="00B9104D" w14:paraId="6D6BD41E" w14:textId="366EAB4E">
            <w:pPr>
              <w:autoSpaceDE w:val="0"/>
              <w:autoSpaceDN w:val="0"/>
              <w:adjustRightInd w:val="0"/>
              <w:rPr>
                <w:rFonts w:ascii="TimesNewRomanPSMT" w:hAnsi="TimesNewRomanPSMT" w:cs="TimesNewRomanPSMT"/>
                <w:b/>
                <w:sz w:val="22"/>
                <w:szCs w:val="22"/>
              </w:rPr>
            </w:pPr>
            <w:r w:rsidRPr="00B9104D">
              <w:rPr>
                <w:rFonts w:ascii="TimesNewRomanPSMT" w:hAnsi="TimesNewRomanPSMT" w:cs="TimesNewRomanPSMT"/>
                <w:b/>
                <w:sz w:val="22"/>
                <w:szCs w:val="22"/>
              </w:rPr>
              <w:t>Paperwork Reduction Act</w:t>
            </w:r>
          </w:p>
          <w:p w:rsidR="00B9104D" w:rsidP="00B9104D" w:rsidRDefault="00B9104D" w14:paraId="267878A5" w14:textId="7FD01969">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An agency may not conduct or sponsor an information collection, and a person is not required to respond to a collection</w:t>
            </w:r>
          </w:p>
          <w:p w:rsidR="00B9104D" w:rsidP="00B9104D" w:rsidRDefault="00B9104D" w14:paraId="76B90CAF"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of information, unless it displays a currently valid Office of Management and Budget (OMB) control number. The public</w:t>
            </w:r>
          </w:p>
          <w:p w:rsidR="00B9104D" w:rsidP="00B9104D" w:rsidRDefault="00B9104D" w14:paraId="34287F00"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reporting burden for this collection of information is estimated at 14 hours per response, including the time for reviewing</w:t>
            </w:r>
          </w:p>
          <w:p w:rsidR="00B9104D" w:rsidP="00B9104D" w:rsidRDefault="00B9104D" w14:paraId="109CEC5C"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instructions, gathering the required documentation and information, completing the application, preparing statements,</w:t>
            </w:r>
          </w:p>
          <w:p w:rsidR="00B9104D" w:rsidP="00B9104D" w:rsidRDefault="00B9104D" w14:paraId="5AA7CCBC" w14:textId="7530CAAD">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attaching necessary </w:t>
            </w:r>
            <w:proofErr w:type="gramStart"/>
            <w:r>
              <w:rPr>
                <w:rFonts w:ascii="TimesNewRomanPSMT" w:hAnsi="TimesNewRomanPSMT" w:cs="TimesNewRomanPSMT"/>
                <w:sz w:val="22"/>
                <w:szCs w:val="22"/>
              </w:rPr>
              <w:t>documentation, and</w:t>
            </w:r>
            <w:proofErr w:type="gramEnd"/>
            <w:r>
              <w:rPr>
                <w:rFonts w:ascii="TimesNewRomanPSMT" w:hAnsi="TimesNewRomanPSMT" w:cs="TimesNewRomanPSMT"/>
                <w:sz w:val="22"/>
                <w:szCs w:val="22"/>
              </w:rPr>
              <w:t xml:space="preserve"> submitting the application. The collection of biometrics is estimated to require 1 hour and 10 minutes. Send comments regarding this burden estimate or any other aspect of this collection of</w:t>
            </w:r>
          </w:p>
          <w:p w:rsidR="00B9104D" w:rsidP="00B9104D" w:rsidRDefault="00B9104D" w14:paraId="72663743"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information, including suggestions for reducing this burden, </w:t>
            </w:r>
            <w:proofErr w:type="gramStart"/>
            <w:r>
              <w:rPr>
                <w:rFonts w:ascii="TimesNewRomanPSMT" w:hAnsi="TimesNewRomanPSMT" w:cs="TimesNewRomanPSMT"/>
                <w:sz w:val="22"/>
                <w:szCs w:val="22"/>
              </w:rPr>
              <w:t>to:</w:t>
            </w:r>
            <w:proofErr w:type="gramEnd"/>
            <w:r>
              <w:rPr>
                <w:rFonts w:ascii="TimesNewRomanPSMT" w:hAnsi="TimesNewRomanPSMT" w:cs="TimesNewRomanPSMT"/>
                <w:sz w:val="22"/>
                <w:szCs w:val="22"/>
              </w:rPr>
              <w:t xml:space="preserve"> U.S. Citizenship and Immigration Services, Regulatory</w:t>
            </w:r>
          </w:p>
          <w:p w:rsidR="00B9104D" w:rsidP="00B9104D" w:rsidRDefault="00B9104D" w14:paraId="566305EA"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Coordination Division, Office of Policy and Strategy, 20 Massachusetts Ave NW, Washington, DC 20529-2140; OMB No.</w:t>
            </w:r>
          </w:p>
          <w:p w:rsidRPr="0031654E" w:rsidR="00B9104D" w:rsidP="00B9104D" w:rsidRDefault="00B9104D" w14:paraId="37AE207A" w14:textId="2FE6D686">
            <w:pPr>
              <w:rPr>
                <w:b/>
                <w:color w:val="231F20"/>
                <w:sz w:val="22"/>
                <w:szCs w:val="22"/>
              </w:rPr>
            </w:pPr>
            <w:r>
              <w:rPr>
                <w:rFonts w:ascii="TimesNewRomanPSMT" w:hAnsi="TimesNewRomanPSMT" w:cs="TimesNewRomanPSMT"/>
                <w:sz w:val="22"/>
                <w:szCs w:val="22"/>
              </w:rPr>
              <w:t xml:space="preserve">1615-0072. </w:t>
            </w:r>
            <w:r>
              <w:rPr>
                <w:rFonts w:ascii="TimesNewRomanPS-BoldMT" w:hAnsi="TimesNewRomanPS-BoldMT" w:cs="TimesNewRomanPS-BoldMT"/>
                <w:b/>
                <w:bCs/>
                <w:sz w:val="22"/>
                <w:szCs w:val="22"/>
              </w:rPr>
              <w:t>Do not mail your completed Form I-881 to this address.</w:t>
            </w:r>
          </w:p>
        </w:tc>
        <w:tc>
          <w:tcPr>
            <w:tcW w:w="4095" w:type="dxa"/>
          </w:tcPr>
          <w:p w:rsidR="00B9104D" w:rsidP="00B9104D" w:rsidRDefault="00B9104D" w14:paraId="3A38E75B" w14:textId="77777777">
            <w:pPr>
              <w:autoSpaceDE w:val="0"/>
              <w:autoSpaceDN w:val="0"/>
              <w:adjustRightInd w:val="0"/>
              <w:rPr>
                <w:rFonts w:ascii="TimesNewRomanPSMT" w:hAnsi="TimesNewRomanPSMT" w:cs="TimesNewRomanPSMT"/>
                <w:b/>
                <w:sz w:val="22"/>
                <w:szCs w:val="22"/>
              </w:rPr>
            </w:pPr>
            <w:r>
              <w:rPr>
                <w:rFonts w:ascii="TimesNewRomanPSMT" w:hAnsi="TimesNewRomanPSMT" w:cs="TimesNewRomanPSMT"/>
                <w:b/>
                <w:sz w:val="22"/>
                <w:szCs w:val="22"/>
              </w:rPr>
              <w:t>[page 13]</w:t>
            </w:r>
          </w:p>
          <w:p w:rsidR="00B9104D" w:rsidP="00B9104D" w:rsidRDefault="00B9104D" w14:paraId="4732398F" w14:textId="77777777">
            <w:pPr>
              <w:autoSpaceDE w:val="0"/>
              <w:autoSpaceDN w:val="0"/>
              <w:adjustRightInd w:val="0"/>
              <w:rPr>
                <w:rFonts w:ascii="TimesNewRomanPSMT" w:hAnsi="TimesNewRomanPSMT" w:cs="TimesNewRomanPSMT"/>
                <w:b/>
                <w:sz w:val="22"/>
                <w:szCs w:val="22"/>
              </w:rPr>
            </w:pPr>
            <w:r>
              <w:rPr>
                <w:rFonts w:ascii="TimesNewRomanPSMT" w:hAnsi="TimesNewRomanPSMT" w:cs="TimesNewRomanPSMT"/>
                <w:b/>
                <w:sz w:val="22"/>
                <w:szCs w:val="22"/>
              </w:rPr>
              <w:t>…</w:t>
            </w:r>
          </w:p>
          <w:p w:rsidR="00B9104D" w:rsidP="00B9104D" w:rsidRDefault="00B9104D" w14:paraId="68E23930" w14:textId="77777777">
            <w:pPr>
              <w:autoSpaceDE w:val="0"/>
              <w:autoSpaceDN w:val="0"/>
              <w:adjustRightInd w:val="0"/>
              <w:rPr>
                <w:rFonts w:ascii="TimesNewRomanPSMT" w:hAnsi="TimesNewRomanPSMT" w:cs="TimesNewRomanPSMT"/>
                <w:b/>
                <w:sz w:val="22"/>
                <w:szCs w:val="22"/>
              </w:rPr>
            </w:pPr>
          </w:p>
          <w:p w:rsidRPr="00B9104D" w:rsidR="00B9104D" w:rsidP="00B9104D" w:rsidRDefault="00B9104D" w14:paraId="710761FA" w14:textId="34EFA6E4">
            <w:pPr>
              <w:autoSpaceDE w:val="0"/>
              <w:autoSpaceDN w:val="0"/>
              <w:adjustRightInd w:val="0"/>
              <w:rPr>
                <w:rFonts w:ascii="TimesNewRomanPSMT" w:hAnsi="TimesNewRomanPSMT" w:cs="TimesNewRomanPSMT"/>
                <w:b/>
                <w:sz w:val="22"/>
                <w:szCs w:val="22"/>
              </w:rPr>
            </w:pPr>
            <w:r w:rsidRPr="00B9104D">
              <w:rPr>
                <w:rFonts w:ascii="TimesNewRomanPSMT" w:hAnsi="TimesNewRomanPSMT" w:cs="TimesNewRomanPSMT"/>
                <w:b/>
                <w:sz w:val="22"/>
                <w:szCs w:val="22"/>
              </w:rPr>
              <w:t>Paperwork Reduction Act</w:t>
            </w:r>
          </w:p>
          <w:p w:rsidR="00B9104D" w:rsidP="00B9104D" w:rsidRDefault="00B9104D" w14:paraId="43469E5E"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An agency may not conduct or sponsor an information collection, and a person is not required to respond to a collection</w:t>
            </w:r>
          </w:p>
          <w:p w:rsidR="00B9104D" w:rsidP="00B9104D" w:rsidRDefault="00B9104D" w14:paraId="07366161"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of information, unless it displays a currently valid Office of Management and Budget (OMB) control number. The public</w:t>
            </w:r>
          </w:p>
          <w:p w:rsidR="00B9104D" w:rsidP="00B9104D" w:rsidRDefault="00B9104D" w14:paraId="4C4288ED"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reporting burden for this collection of information is estimated at 14 hours per response, including the time for reviewing</w:t>
            </w:r>
          </w:p>
          <w:p w:rsidR="00B9104D" w:rsidP="00B9104D" w:rsidRDefault="00B9104D" w14:paraId="2F8BB8E7"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instructions, gathering the required documentation and information, completing the application, preparing statements,</w:t>
            </w:r>
          </w:p>
          <w:p w:rsidR="00B9104D" w:rsidP="00B9104D" w:rsidRDefault="00B9104D" w14:paraId="45E92D56" w14:textId="09E70B71">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attaching necessary </w:t>
            </w:r>
            <w:proofErr w:type="gramStart"/>
            <w:r>
              <w:rPr>
                <w:rFonts w:ascii="TimesNewRomanPSMT" w:hAnsi="TimesNewRomanPSMT" w:cs="TimesNewRomanPSMT"/>
                <w:sz w:val="22"/>
                <w:szCs w:val="22"/>
              </w:rPr>
              <w:t>documentation, and</w:t>
            </w:r>
            <w:proofErr w:type="gramEnd"/>
            <w:r>
              <w:rPr>
                <w:rFonts w:ascii="TimesNewRomanPSMT" w:hAnsi="TimesNewRomanPSMT" w:cs="TimesNewRomanPSMT"/>
                <w:sz w:val="22"/>
                <w:szCs w:val="22"/>
              </w:rPr>
              <w:t xml:space="preserve"> submitting the application. The collection of biometrics is estimated to </w:t>
            </w:r>
            <w:r w:rsidRPr="00DC233E">
              <w:rPr>
                <w:rFonts w:ascii="TimesNewRomanPSMT" w:hAnsi="TimesNewRomanPSMT" w:cs="TimesNewRomanPSMT"/>
                <w:sz w:val="22"/>
                <w:szCs w:val="22"/>
              </w:rPr>
              <w:t xml:space="preserve">require </w:t>
            </w:r>
            <w:r w:rsidRPr="00DC233E">
              <w:rPr>
                <w:rFonts w:ascii="TimesNewRomanPSMT" w:hAnsi="TimesNewRomanPSMT" w:cs="TimesNewRomanPSMT"/>
                <w:color w:val="FF0000"/>
                <w:sz w:val="22"/>
                <w:szCs w:val="22"/>
              </w:rPr>
              <w:t xml:space="preserve">3 hours </w:t>
            </w:r>
            <w:r w:rsidRPr="00DC233E">
              <w:rPr>
                <w:rFonts w:ascii="TimesNewRomanPSMT" w:hAnsi="TimesNewRomanPSMT" w:cs="TimesNewRomanPSMT"/>
                <w:sz w:val="22"/>
                <w:szCs w:val="22"/>
              </w:rPr>
              <w:t>and</w:t>
            </w:r>
            <w:r w:rsidRPr="00DC233E">
              <w:rPr>
                <w:rFonts w:ascii="TimesNewRomanPSMT" w:hAnsi="TimesNewRomanPSMT" w:cs="TimesNewRomanPSMT"/>
                <w:color w:val="FF0000"/>
                <w:sz w:val="22"/>
                <w:szCs w:val="22"/>
              </w:rPr>
              <w:t xml:space="preserve"> 40 </w:t>
            </w:r>
            <w:r w:rsidRPr="00DC233E">
              <w:rPr>
                <w:rFonts w:ascii="TimesNewRomanPSMT" w:hAnsi="TimesNewRomanPSMT" w:cs="TimesNewRomanPSMT"/>
                <w:sz w:val="22"/>
                <w:szCs w:val="22"/>
              </w:rPr>
              <w:t>minutes. Send comments regarding this burden estimate or</w:t>
            </w:r>
            <w:r>
              <w:rPr>
                <w:rFonts w:ascii="TimesNewRomanPSMT" w:hAnsi="TimesNewRomanPSMT" w:cs="TimesNewRomanPSMT"/>
                <w:sz w:val="22"/>
                <w:szCs w:val="22"/>
              </w:rPr>
              <w:t xml:space="preserve"> any other aspect of this collection of</w:t>
            </w:r>
          </w:p>
          <w:p w:rsidR="00B9104D" w:rsidP="00B9104D" w:rsidRDefault="00B9104D" w14:paraId="1D7D1602"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information, including suggestions for reducing this burden, </w:t>
            </w:r>
            <w:proofErr w:type="gramStart"/>
            <w:r>
              <w:rPr>
                <w:rFonts w:ascii="TimesNewRomanPSMT" w:hAnsi="TimesNewRomanPSMT" w:cs="TimesNewRomanPSMT"/>
                <w:sz w:val="22"/>
                <w:szCs w:val="22"/>
              </w:rPr>
              <w:t>to:</w:t>
            </w:r>
            <w:proofErr w:type="gramEnd"/>
            <w:r>
              <w:rPr>
                <w:rFonts w:ascii="TimesNewRomanPSMT" w:hAnsi="TimesNewRomanPSMT" w:cs="TimesNewRomanPSMT"/>
                <w:sz w:val="22"/>
                <w:szCs w:val="22"/>
              </w:rPr>
              <w:t xml:space="preserve"> U.S. Citizenship and Immigration Services, Regulatory</w:t>
            </w:r>
          </w:p>
          <w:p w:rsidR="00B9104D" w:rsidP="00B9104D" w:rsidRDefault="00B9104D" w14:paraId="62C2156E" w14:textId="777777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Coordination Division, Office of Policy and Strategy, 20 Massachusetts Ave NW, Washington, DC 20529-2140; OMB No.</w:t>
            </w:r>
          </w:p>
          <w:p w:rsidRPr="0031654E" w:rsidR="00B9104D" w:rsidP="00B9104D" w:rsidRDefault="00B9104D" w14:paraId="2E20B74C" w14:textId="6519C89A">
            <w:pPr>
              <w:rPr>
                <w:b/>
                <w:color w:val="231F20"/>
                <w:sz w:val="22"/>
                <w:szCs w:val="22"/>
              </w:rPr>
            </w:pPr>
            <w:r>
              <w:rPr>
                <w:rFonts w:ascii="TimesNewRomanPSMT" w:hAnsi="TimesNewRomanPSMT" w:cs="TimesNewRomanPSMT"/>
                <w:sz w:val="22"/>
                <w:szCs w:val="22"/>
              </w:rPr>
              <w:t xml:space="preserve">1615-0072. </w:t>
            </w:r>
            <w:r>
              <w:rPr>
                <w:rFonts w:ascii="TimesNewRomanPS-BoldMT" w:hAnsi="TimesNewRomanPS-BoldMT" w:cs="TimesNewRomanPS-BoldMT"/>
                <w:b/>
                <w:bCs/>
                <w:sz w:val="22"/>
                <w:szCs w:val="22"/>
              </w:rPr>
              <w:t>Do not mail your completed Form I-881 to this address.</w:t>
            </w:r>
          </w:p>
        </w:tc>
      </w:tr>
    </w:tbl>
    <w:p w:rsidR="0006270C" w:rsidP="000C712C" w:rsidRDefault="0006270C" w14:paraId="01E6B4B2"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5883C" w14:textId="77777777" w:rsidR="006217F0" w:rsidRDefault="006217F0">
      <w:r>
        <w:separator/>
      </w:r>
    </w:p>
  </w:endnote>
  <w:endnote w:type="continuationSeparator" w:id="0">
    <w:p w14:paraId="38E32F56" w14:textId="77777777" w:rsidR="006217F0" w:rsidRDefault="0062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2A99" w14:textId="1CA24E2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9104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E0E9" w14:textId="77777777" w:rsidR="006217F0" w:rsidRDefault="006217F0">
      <w:r>
        <w:separator/>
      </w:r>
    </w:p>
  </w:footnote>
  <w:footnote w:type="continuationSeparator" w:id="0">
    <w:p w14:paraId="3EF93F94" w14:textId="77777777" w:rsidR="006217F0" w:rsidRDefault="0062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4D20529E"/>
    <w:lvl w:ilvl="0" w:tplc="F87E848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D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D9F"/>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25"/>
    <w:rsid w:val="001052B8"/>
    <w:rsid w:val="00106EE4"/>
    <w:rsid w:val="00106F2C"/>
    <w:rsid w:val="00111EF2"/>
    <w:rsid w:val="00112F93"/>
    <w:rsid w:val="00114A54"/>
    <w:rsid w:val="00114D38"/>
    <w:rsid w:val="00116114"/>
    <w:rsid w:val="00116558"/>
    <w:rsid w:val="00116C7C"/>
    <w:rsid w:val="00117A17"/>
    <w:rsid w:val="00120759"/>
    <w:rsid w:val="00120B81"/>
    <w:rsid w:val="00120F38"/>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C7C"/>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12D"/>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9CB"/>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03"/>
    <w:rsid w:val="00307BB1"/>
    <w:rsid w:val="00311D14"/>
    <w:rsid w:val="00311E19"/>
    <w:rsid w:val="00315476"/>
    <w:rsid w:val="003159D8"/>
    <w:rsid w:val="003160BD"/>
    <w:rsid w:val="0031654E"/>
    <w:rsid w:val="00316D17"/>
    <w:rsid w:val="0031753C"/>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FF6"/>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642"/>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23D"/>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2D3"/>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BFA"/>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865"/>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7F0"/>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175"/>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2BB"/>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1FD6"/>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8DE"/>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D3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528"/>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04D"/>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F89"/>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260"/>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33E"/>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BAE"/>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A25"/>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AAE"/>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5B"/>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B33F"/>
  <w15:docId w15:val="{159DA2FD-F43B-4164-8874-B6574FA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C58D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066D9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66D9F"/>
    <w:rPr>
      <w:rFonts w:asciiTheme="minorHAnsi" w:eastAsiaTheme="minorHAnsi" w:hAnsiTheme="minorHAnsi" w:cstheme="minorBidi"/>
    </w:rPr>
  </w:style>
  <w:style w:type="character" w:styleId="FootnoteReference">
    <w:name w:val="footnote reference"/>
    <w:basedOn w:val="DefaultParagraphFont"/>
    <w:unhideWhenUsed/>
    <w:rsid w:val="00066D9F"/>
    <w:rPr>
      <w:vertAlign w:val="superscript"/>
    </w:rPr>
  </w:style>
  <w:style w:type="character" w:styleId="CommentReference">
    <w:name w:val="annotation reference"/>
    <w:basedOn w:val="DefaultParagraphFont"/>
    <w:uiPriority w:val="99"/>
    <w:unhideWhenUsed/>
    <w:rsid w:val="00066D9F"/>
    <w:rPr>
      <w:sz w:val="16"/>
      <w:szCs w:val="16"/>
    </w:rPr>
  </w:style>
  <w:style w:type="paragraph" w:styleId="CommentText">
    <w:name w:val="annotation text"/>
    <w:basedOn w:val="Normal"/>
    <w:link w:val="CommentTextChar"/>
    <w:uiPriority w:val="99"/>
    <w:unhideWhenUsed/>
    <w:rsid w:val="00066D9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66D9F"/>
    <w:rPr>
      <w:rFonts w:asciiTheme="minorHAnsi" w:eastAsiaTheme="minorHAnsi" w:hAnsiTheme="minorHAnsi" w:cstheme="minorBidi"/>
    </w:rPr>
  </w:style>
  <w:style w:type="paragraph" w:styleId="BodyText">
    <w:name w:val="Body Text"/>
    <w:basedOn w:val="Normal"/>
    <w:link w:val="BodyTextChar"/>
    <w:uiPriority w:val="1"/>
    <w:qFormat/>
    <w:rsid w:val="0031654E"/>
    <w:pPr>
      <w:widowControl w:val="0"/>
      <w:autoSpaceDE w:val="0"/>
      <w:autoSpaceDN w:val="0"/>
      <w:spacing w:before="131"/>
      <w:ind w:left="120"/>
    </w:pPr>
    <w:rPr>
      <w:sz w:val="22"/>
      <w:szCs w:val="22"/>
      <w:lang w:bidi="en-US"/>
    </w:rPr>
  </w:style>
  <w:style w:type="character" w:customStyle="1" w:styleId="BodyTextChar">
    <w:name w:val="Body Text Char"/>
    <w:basedOn w:val="DefaultParagraphFont"/>
    <w:link w:val="BodyText"/>
    <w:uiPriority w:val="1"/>
    <w:rsid w:val="0031654E"/>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C979DEE-F6B9-468F-AD1C-63F8457271AE}"/>
</file>

<file path=customXml/itemProps2.xml><?xml version="1.0" encoding="utf-8"?>
<ds:datastoreItem xmlns:ds="http://schemas.openxmlformats.org/officeDocument/2006/customXml" ds:itemID="{EC9AA4A8-604A-4C73-8C1F-A467EEA942EB}">
  <ds:schemaRefs>
    <ds:schemaRef ds:uri="http://schemas.microsoft.com/sharepoint/v3/contenttype/forms"/>
  </ds:schemaRefs>
</ds:datastoreItem>
</file>

<file path=customXml/itemProps3.xml><?xml version="1.0" encoding="utf-8"?>
<ds:datastoreItem xmlns:ds="http://schemas.openxmlformats.org/officeDocument/2006/customXml" ds:itemID="{0AB92AD8-6C08-44DB-8566-7CADC067D96B}">
  <ds:schemaRefs>
    <ds:schemaRef ds:uri="http://schemas.microsoft.com/office/2006/documentManagement/types"/>
    <ds:schemaRef ds:uri="http://www.w3.org/XML/1998/namespace"/>
    <ds:schemaRef ds:uri="2589310c-5316-40b3-b68d-4735ac72f265"/>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bf094c2b-8036-49e0-a2b2-a973ea273ca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3</Pages>
  <Words>1149</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5</cp:revision>
  <cp:lastPrinted>2008-09-11T16:49:00Z</cp:lastPrinted>
  <dcterms:created xsi:type="dcterms:W3CDTF">2020-05-12T16:55:00Z</dcterms:created>
  <dcterms:modified xsi:type="dcterms:W3CDTF">2020-05-13T13:56:00Z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