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bookmarkStart w:name="_Toc274743203" w:displacedByCustomXml="next" w:id="1"/>
    <w:sdt>
      <w:sdtPr>
        <w:rPr>
          <w:rFonts w:ascii="Franklin Gothic Book" w:hAnsi="Franklin Gothic Book" w:eastAsia="Times New Roman"/>
          <w:noProof/>
          <w:color w:val="595959"/>
          <w:sz w:val="28"/>
          <w:szCs w:val="28"/>
        </w:rPr>
        <w:id w:val="-1735845303"/>
        <w:docPartObj>
          <w:docPartGallery w:val="Cover Pages"/>
          <w:docPartUnique/>
        </w:docPartObj>
      </w:sdtPr>
      <w:sdtEndPr>
        <w:rPr>
          <w:rFonts w:ascii="Franklin Gothic Demi" w:hAnsi="Franklin Gothic Demi" w:eastAsia="Calibri"/>
          <w:noProof w:val="0"/>
        </w:rPr>
      </w:sdtEndPr>
      <w:sdtContent>
        <w:p w:rsidRPr="005174D4" w:rsidR="00077005" w:rsidP="007727C2" w:rsidRDefault="00BE2DB6" w14:paraId="5FBC7C45" w14:textId="75AC09DE">
          <w:pPr>
            <w:pStyle w:val="CoverTitle"/>
            <w:tabs>
              <w:tab w:val="left" w:pos="2434"/>
            </w:tabs>
            <w:spacing w:before="3600" w:after="0"/>
          </w:pPr>
          <w:r>
            <w:t xml:space="preserve">Office of Management and Budget </w:t>
          </w:r>
          <w:r w:rsidR="00077005">
            <w:t>Clearance Request</w:t>
          </w:r>
          <w:r w:rsidR="00F7417A">
            <w:t>:</w:t>
          </w:r>
          <w:r w:rsidR="00DA5F89">
            <w:br/>
          </w:r>
          <w:r w:rsidR="00A65DA7">
            <w:t xml:space="preserve">Supporting Statement </w:t>
          </w:r>
          <w:r w:rsidR="00FD7FC6">
            <w:t xml:space="preserve">Part </w:t>
          </w:r>
          <w:r w:rsidR="000774E7">
            <w:t>B</w:t>
          </w:r>
          <w:r w:rsidR="00AA30B6">
            <w:t>—</w:t>
          </w:r>
          <w:r w:rsidRPr="000774E7" w:rsidR="000774E7">
            <w:t xml:space="preserve"> </w:t>
          </w:r>
          <w:r w:rsidR="00C81F8B">
            <w:t xml:space="preserve">Collection of Information </w:t>
          </w:r>
          <w:r w:rsidR="005D7EE9">
            <w:t xml:space="preserve">Employing </w:t>
          </w:r>
          <w:r w:rsidRPr="000774E7" w:rsidR="000774E7">
            <w:t>Statistical Methods</w:t>
          </w:r>
          <w:r w:rsidR="00FD7FC6">
            <w:t xml:space="preserve"> (</w:t>
          </w:r>
          <w:r w:rsidR="00F7417A">
            <w:t>DRAFT</w:t>
          </w:r>
          <w:r w:rsidR="00FD7FC6">
            <w:t>)</w:t>
          </w:r>
        </w:p>
        <w:p w:rsidR="00726F23" w:rsidP="00FE5661" w:rsidRDefault="00726F23" w14:paraId="5B148A3F" w14:textId="0AEAAEC0">
          <w:pPr>
            <w:spacing w:after="0"/>
            <w:ind w:left="2430"/>
            <w:rPr>
              <w:rFonts w:ascii="Franklin Gothic Book" w:hAnsi="Franklin Gothic Book" w:eastAsia="Perpetua"/>
              <w:b/>
              <w:color w:val="005295"/>
              <w:sz w:val="40"/>
              <w:szCs w:val="40"/>
            </w:rPr>
          </w:pPr>
          <w:r w:rsidRPr="00726F23">
            <w:rPr>
              <w:rFonts w:ascii="Franklin Gothic Book" w:hAnsi="Franklin Gothic Book" w:eastAsia="Perpetua"/>
              <w:b/>
              <w:color w:val="005295"/>
              <w:sz w:val="40"/>
              <w:szCs w:val="40"/>
            </w:rPr>
            <w:t xml:space="preserve">Implementation Evaluation of </w:t>
          </w:r>
          <w:r>
            <w:rPr>
              <w:rFonts w:ascii="Franklin Gothic Book" w:hAnsi="Franklin Gothic Book" w:eastAsia="Perpetua"/>
              <w:b/>
              <w:color w:val="005295"/>
              <w:sz w:val="40"/>
              <w:szCs w:val="40"/>
            </w:rPr>
            <w:t xml:space="preserve">the Title III </w:t>
          </w:r>
          <w:r w:rsidRPr="00726F23">
            <w:rPr>
              <w:rFonts w:ascii="Franklin Gothic Book" w:hAnsi="Franklin Gothic Book" w:eastAsia="Perpetua"/>
              <w:b/>
              <w:color w:val="005295"/>
              <w:sz w:val="40"/>
              <w:szCs w:val="40"/>
            </w:rPr>
            <w:t>National Professional Development Program</w:t>
          </w:r>
        </w:p>
        <w:p w:rsidR="00077005" w:rsidP="000D4F40" w:rsidRDefault="005E22C5" w14:paraId="029B9DAB" w14:textId="1A2A1280">
          <w:pPr>
            <w:pStyle w:val="CoverAuthorTitleAffiliation"/>
          </w:pPr>
          <w:r>
            <w:rPr>
              <w:noProof/>
            </w:rPr>
            <mc:AlternateContent>
              <mc:Choice Requires="wps">
                <w:drawing>
                  <wp:anchor distT="0" distB="0" distL="114300" distR="114300" simplePos="0" relativeHeight="251658240" behindDoc="0" locked="0" layoutInCell="1" allowOverlap="1" wp14:editId="53621CF2" wp14:anchorId="7AEC3960">
                    <wp:simplePos x="0" y="0"/>
                    <wp:positionH relativeFrom="column">
                      <wp:posOffset>-678815</wp:posOffset>
                    </wp:positionH>
                    <wp:positionV relativeFrom="paragraph">
                      <wp:posOffset>4194810</wp:posOffset>
                    </wp:positionV>
                    <wp:extent cx="2022475" cy="415290"/>
                    <wp:effectExtent l="0" t="0" r="0" b="381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2475" cy="415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B32C2" w:rsidR="008E10C4" w:rsidP="00077005" w:rsidRDefault="008E10C4" w14:paraId="0E5CB3CE" w14:textId="7777777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7AEC3960">
                    <v:stroke joinstyle="miter"/>
                    <v:path gradientshapeok="t" o:connecttype="rect"/>
                  </v:shapetype>
                  <v:shape id="Text Box 8" style="position:absolute;left:0;text-align:left;margin-left:-53.45pt;margin-top:330.3pt;width:159.25pt;height:3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">
                    <v:textbox>
                      <w:txbxContent>
                        <w:p w:rsidRPr="00EB32C2" w:rsidR="008E10C4" w:rsidP="00077005" w:rsidRDefault="008E10C4" w14:paraId="0E5CB3CE" w14:textId="77777777"/>
                      </w:txbxContent>
                    </v:textbox>
                  </v:shape>
                </w:pict>
              </mc:Fallback>
            </mc:AlternateContent>
          </w:r>
          <w:r w:rsidR="00077005">
            <w:t>PREPARED BY:</w:t>
          </w:r>
        </w:p>
        <w:p w:rsidRPr="000D4F40" w:rsidR="00077005" w:rsidP="000D4F40" w:rsidRDefault="00077005" w14:paraId="26FC5B2D" w14:textId="24B6571C">
          <w:pPr>
            <w:pStyle w:val="CoverDate"/>
          </w:pPr>
          <w:r w:rsidRPr="000D4F40">
            <w:t>American Institutes for Research</w:t>
          </w:r>
          <w:r w:rsidRPr="000D4F40" w:rsidR="00BE2DB6">
            <w:t>®</w:t>
          </w:r>
          <w:r w:rsidRPr="000D4F40">
            <w:br/>
            <w:t>1000 Thomas Jefferson Street, NW, Suite 200</w:t>
          </w:r>
        </w:p>
        <w:p w:rsidRPr="000D4F40" w:rsidR="00077005" w:rsidP="000D4F40" w:rsidRDefault="00077005" w14:paraId="3A428DB7" w14:textId="77777777">
          <w:pPr>
            <w:pStyle w:val="CoverDate"/>
          </w:pPr>
          <w:r w:rsidRPr="000D4F40">
            <w:t>Washington, DC 20007-3835</w:t>
          </w:r>
        </w:p>
        <w:p w:rsidRPr="000D4F40" w:rsidR="00077005" w:rsidP="000D4F40" w:rsidRDefault="00077005" w14:paraId="75BE7707" w14:textId="77777777">
          <w:pPr>
            <w:pStyle w:val="CoverAuthorTitleAffiliation"/>
          </w:pPr>
          <w:r w:rsidRPr="000D4F40">
            <w:t>PREPARED FOR:</w:t>
          </w:r>
        </w:p>
        <w:p w:rsidR="00077005" w:rsidP="000D4F40" w:rsidRDefault="00077005" w14:paraId="26E941AE" w14:textId="77777777">
          <w:pPr>
            <w:pStyle w:val="CoverDate"/>
          </w:pPr>
          <w:r>
            <w:t>U.S. Department of Education</w:t>
          </w:r>
        </w:p>
        <w:p w:rsidR="00077005" w:rsidP="000D4F40" w:rsidRDefault="00A65DA7" w14:paraId="5D8966AF" w14:textId="24A3AE1F">
          <w:pPr>
            <w:pStyle w:val="CoverDate"/>
          </w:pPr>
          <w:r>
            <w:t>Institute of Education Sciences</w:t>
          </w:r>
        </w:p>
        <w:p w:rsidRPr="00F7417A" w:rsidR="00077005" w:rsidP="000D4F40" w:rsidRDefault="005E461A" w14:paraId="6DBA3639" w14:textId="28E9ECEA">
          <w:pPr>
            <w:pStyle w:val="CoverAuthorTitleAffiliation"/>
            <w:sectPr w:rsidRPr="00F7417A" w:rsidR="00077005" w:rsidSect="00077005">
              <w:headerReference w:type="default" r:id="rId11"/>
              <w:pgSz w:w="12240" w:h="15840"/>
              <w:pgMar w:top="1440" w:right="1440" w:bottom="1440" w:left="1440" w:header="720" w:footer="720" w:gutter="0"/>
              <w:pgNumType w:start="0"/>
              <w:cols w:space="720"/>
              <w:titlePg/>
              <w:docGrid w:linePitch="360"/>
            </w:sectPr>
          </w:pPr>
          <w:r>
            <w:t xml:space="preserve">December </w:t>
          </w:r>
          <w:r w:rsidR="00E4541F">
            <w:t>20</w:t>
          </w:r>
          <w:r w:rsidR="00B53F44">
            <w:t>20</w:t>
          </w:r>
        </w:p>
      </w:sdtContent>
    </w:sdt>
    <w:p w:rsidRPr="00C01578" w:rsidR="00077005" w:rsidP="00FE5661" w:rsidRDefault="00077005" w14:paraId="350C8723" w14:textId="77777777">
      <w:pPr>
        <w:pStyle w:val="BodyText"/>
      </w:pPr>
    </w:p>
    <w:p w:rsidRPr="000D4F40" w:rsidR="00077005" w:rsidP="000D4F40" w:rsidRDefault="00BE2DB6" w14:paraId="3CA920EF" w14:textId="609D04E5">
      <w:pPr>
        <w:pStyle w:val="CoverSubtitle"/>
      </w:pPr>
      <w:r w:rsidRPr="000D4F40">
        <w:t xml:space="preserve">Office of Management and Budget </w:t>
      </w:r>
      <w:r w:rsidRPr="000D4F40">
        <w:br/>
      </w:r>
      <w:r w:rsidRPr="000D4F40" w:rsidR="00077005">
        <w:t>Clearance Request</w:t>
      </w:r>
      <w:r w:rsidRPr="000D4F40" w:rsidR="00077005">
        <w:br/>
      </w:r>
      <w:r w:rsidRPr="000D4F40" w:rsidR="000A2B5A">
        <w:t xml:space="preserve">Supporting Statement </w:t>
      </w:r>
      <w:r w:rsidRPr="000D4F40" w:rsidR="00077005">
        <w:t xml:space="preserve">Part </w:t>
      </w:r>
      <w:r w:rsidR="000774E7">
        <w:t>B</w:t>
      </w:r>
    </w:p>
    <w:p w:rsidRPr="000D4F40" w:rsidR="00077005" w:rsidP="000D4F40" w:rsidRDefault="00014F43" w14:paraId="522A9BB5" w14:textId="7AB9D83B">
      <w:pPr>
        <w:pStyle w:val="CoverSubtitle"/>
        <w:rPr>
          <w:sz w:val="32"/>
          <w:szCs w:val="32"/>
        </w:rPr>
      </w:pPr>
      <w:r>
        <w:rPr>
          <w:sz w:val="32"/>
          <w:szCs w:val="32"/>
        </w:rPr>
        <w:t>December</w:t>
      </w:r>
      <w:r w:rsidRPr="000D4F40">
        <w:rPr>
          <w:sz w:val="32"/>
          <w:szCs w:val="32"/>
        </w:rPr>
        <w:t xml:space="preserve"> </w:t>
      </w:r>
      <w:r w:rsidRPr="000D4F40" w:rsidR="00A11971">
        <w:rPr>
          <w:sz w:val="32"/>
          <w:szCs w:val="32"/>
        </w:rPr>
        <w:t>20</w:t>
      </w:r>
      <w:r w:rsidRPr="000D4F40" w:rsidR="00B53F44">
        <w:rPr>
          <w:sz w:val="32"/>
          <w:szCs w:val="32"/>
        </w:rPr>
        <w:t>20</w:t>
      </w:r>
    </w:p>
    <w:p w:rsidR="00077005" w:rsidP="000D4F40" w:rsidRDefault="00260342" w14:paraId="20AA8FB4" w14:textId="70EEC056">
      <w:pPr>
        <w:pStyle w:val="CovAIRAddressFooter"/>
        <w:spacing w:before="4200"/>
      </w:pPr>
      <w:r>
        <w:t xml:space="preserve">Prepared </w:t>
      </w:r>
      <w:proofErr w:type="gramStart"/>
      <w:r>
        <w:t>by:</w:t>
      </w:r>
      <w:proofErr w:type="gramEnd"/>
      <w:r>
        <w:t xml:space="preserve"> </w:t>
      </w:r>
      <w:r w:rsidR="00BE2DB6">
        <w:t>American Institutes for Research®</w:t>
      </w:r>
      <w:r>
        <w:br/>
      </w:r>
      <w:r w:rsidRPr="00AB5B16" w:rsidR="00077005">
        <w:t>1000 Thomas Jefferson Street NW</w:t>
      </w:r>
      <w:r w:rsidRPr="00AB5B16" w:rsidR="00077005">
        <w:br/>
        <w:t>Washington, DC 20007-3835</w:t>
      </w:r>
      <w:r w:rsidRPr="00AB5B16" w:rsidR="00077005">
        <w:br/>
        <w:t>202.403.5000</w:t>
      </w:r>
      <w:r w:rsidR="00077005">
        <w:t xml:space="preserve"> </w:t>
      </w:r>
      <w:r w:rsidRPr="00AB5B16" w:rsidR="00077005">
        <w:t>|</w:t>
      </w:r>
      <w:r w:rsidR="00077005">
        <w:t xml:space="preserve"> </w:t>
      </w:r>
      <w:r w:rsidRPr="00AB5B16" w:rsidR="00077005">
        <w:t>TTY 877.334.3499</w:t>
      </w:r>
    </w:p>
    <w:p w:rsidRPr="000D4F40" w:rsidR="00077005" w:rsidP="000D4F40" w:rsidRDefault="00077005" w14:paraId="4A57ACE7" w14:textId="77777777">
      <w:pPr>
        <w:pStyle w:val="CovAIRAddressFooter"/>
      </w:pPr>
      <w:r w:rsidRPr="000D4F40">
        <w:t>www.air.org</w:t>
      </w:r>
    </w:p>
    <w:p w:rsidRPr="00C01578" w:rsidR="00077005" w:rsidP="00077005" w:rsidRDefault="00077005" w14:paraId="7625F127" w14:textId="77777777">
      <w:pPr>
        <w:tabs>
          <w:tab w:val="right" w:pos="9360"/>
        </w:tabs>
        <w:spacing w:before="120" w:after="240"/>
        <w:rPr>
          <w:rFonts w:eastAsia="Times New Roman"/>
          <w:szCs w:val="24"/>
        </w:rPr>
      </w:pPr>
    </w:p>
    <w:p w:rsidR="00077005" w:rsidRDefault="00077005" w14:paraId="28A14E38" w14:textId="77777777">
      <w:pPr>
        <w:spacing w:after="0" w:line="240" w:lineRule="auto"/>
        <w:rPr>
          <w:bCs/>
        </w:rPr>
        <w:sectPr w:rsidR="00077005" w:rsidSect="007F34D7">
          <w:footerReference w:type="default" r:id="rId12"/>
          <w:pgSz w:w="12240" w:h="15840" w:code="1"/>
          <w:pgMar w:top="1152" w:right="1152" w:bottom="1152" w:left="1152" w:header="720" w:footer="720" w:gutter="0"/>
          <w:pgNumType w:fmt="lowerRoman" w:start="1"/>
          <w:cols w:space="720"/>
          <w:docGrid w:linePitch="360"/>
        </w:sectPr>
      </w:pPr>
    </w:p>
    <w:p w:rsidRPr="005871AE" w:rsidR="00C06762" w:rsidP="00C06762" w:rsidRDefault="00C06762" w14:paraId="13E28A70" w14:textId="77777777">
      <w:pPr>
        <w:pStyle w:val="TOCHeading"/>
        <w:ind w:left="0"/>
        <w:jc w:val="center"/>
        <w:rPr>
          <w:rFonts w:ascii="Arial" w:hAnsi="Arial" w:cs="Arial"/>
          <w:color w:val="002060"/>
          <w:sz w:val="28"/>
          <w:szCs w:val="28"/>
        </w:rPr>
      </w:pPr>
      <w:r w:rsidRPr="005871AE">
        <w:rPr>
          <w:rFonts w:ascii="Arial" w:hAnsi="Arial" w:cs="Arial"/>
          <w:color w:val="002060"/>
          <w:sz w:val="28"/>
          <w:szCs w:val="28"/>
        </w:rPr>
        <w:lastRenderedPageBreak/>
        <w:t>Contents</w:t>
      </w:r>
    </w:p>
    <w:p w:rsidR="001F3FA8" w:rsidRDefault="00C06762" w14:paraId="52CE2A50" w14:textId="404FA880">
      <w:pPr>
        <w:pStyle w:val="TOC1"/>
        <w:rPr>
          <w:rFonts w:eastAsiaTheme="minorEastAsia" w:cstheme="minorBidi"/>
          <w:b w:val="0"/>
          <w:noProof/>
          <w:sz w:val="22"/>
        </w:rPr>
      </w:pPr>
      <w:r>
        <w:fldChar w:fldCharType="begin"/>
      </w:r>
      <w:r>
        <w:instrText xml:space="preserve"> TOC \h \z \t "Heading 2,1,Heading 3,2,Heading 4,3" </w:instrText>
      </w:r>
      <w:r>
        <w:fldChar w:fldCharType="separate"/>
      </w:r>
      <w:hyperlink w:history="1" w:anchor="_Toc50625412">
        <w:r w:rsidRPr="009D480F" w:rsidR="001F3FA8">
          <w:rPr>
            <w:rStyle w:val="Hyperlink"/>
            <w:noProof/>
          </w:rPr>
          <w:t>Collection of Information Employing Statistical Methods</w:t>
        </w:r>
        <w:r w:rsidR="001F3FA8">
          <w:rPr>
            <w:noProof/>
            <w:webHidden/>
          </w:rPr>
          <w:tab/>
        </w:r>
        <w:r w:rsidR="001F3FA8">
          <w:rPr>
            <w:noProof/>
            <w:webHidden/>
          </w:rPr>
          <w:fldChar w:fldCharType="begin"/>
        </w:r>
        <w:r w:rsidR="001F3FA8">
          <w:rPr>
            <w:noProof/>
            <w:webHidden/>
          </w:rPr>
          <w:instrText xml:space="preserve"> PAGEREF _Toc50625412 \h </w:instrText>
        </w:r>
        <w:r w:rsidR="001F3FA8">
          <w:rPr>
            <w:noProof/>
            <w:webHidden/>
          </w:rPr>
        </w:r>
        <w:r w:rsidR="001F3FA8">
          <w:rPr>
            <w:noProof/>
            <w:webHidden/>
          </w:rPr>
          <w:fldChar w:fldCharType="separate"/>
        </w:r>
        <w:r w:rsidR="00395F7F">
          <w:rPr>
            <w:noProof/>
            <w:webHidden/>
          </w:rPr>
          <w:t>1</w:t>
        </w:r>
        <w:r w:rsidR="001F3FA8">
          <w:rPr>
            <w:noProof/>
            <w:webHidden/>
          </w:rPr>
          <w:fldChar w:fldCharType="end"/>
        </w:r>
      </w:hyperlink>
    </w:p>
    <w:p w:rsidR="001F3FA8" w:rsidRDefault="005B7595" w14:paraId="4A3A2052" w14:textId="5A914185">
      <w:pPr>
        <w:pStyle w:val="TOC2"/>
        <w:rPr>
          <w:rFonts w:eastAsiaTheme="minorEastAsia" w:cstheme="minorBidi"/>
          <w:noProof/>
          <w:sz w:val="22"/>
        </w:rPr>
      </w:pPr>
      <w:hyperlink w:history="1" w:anchor="_Toc50625413">
        <w:r w:rsidRPr="009D480F" w:rsidR="001F3FA8">
          <w:rPr>
            <w:rStyle w:val="Hyperlink"/>
            <w:noProof/>
          </w:rPr>
          <w:t>B1.</w:t>
        </w:r>
        <w:r w:rsidR="001F3FA8">
          <w:rPr>
            <w:rFonts w:eastAsiaTheme="minorEastAsia" w:cstheme="minorBidi"/>
            <w:noProof/>
            <w:sz w:val="22"/>
          </w:rPr>
          <w:tab/>
        </w:r>
        <w:r w:rsidRPr="009D480F" w:rsidR="001F3FA8">
          <w:rPr>
            <w:rStyle w:val="Hyperlink"/>
            <w:noProof/>
          </w:rPr>
          <w:t>Respondent Universe and Sampling Design</w:t>
        </w:r>
        <w:r w:rsidR="001F3FA8">
          <w:rPr>
            <w:noProof/>
            <w:webHidden/>
          </w:rPr>
          <w:tab/>
        </w:r>
        <w:r w:rsidR="001F3FA8">
          <w:rPr>
            <w:noProof/>
            <w:webHidden/>
          </w:rPr>
          <w:fldChar w:fldCharType="begin"/>
        </w:r>
        <w:r w:rsidR="001F3FA8">
          <w:rPr>
            <w:noProof/>
            <w:webHidden/>
          </w:rPr>
          <w:instrText xml:space="preserve"> PAGEREF _Toc50625413 \h </w:instrText>
        </w:r>
        <w:r w:rsidR="001F3FA8">
          <w:rPr>
            <w:noProof/>
            <w:webHidden/>
          </w:rPr>
        </w:r>
        <w:r w:rsidR="001F3FA8">
          <w:rPr>
            <w:noProof/>
            <w:webHidden/>
          </w:rPr>
          <w:fldChar w:fldCharType="separate"/>
        </w:r>
        <w:r w:rsidR="00395F7F">
          <w:rPr>
            <w:noProof/>
            <w:webHidden/>
          </w:rPr>
          <w:t>1</w:t>
        </w:r>
        <w:r w:rsidR="001F3FA8">
          <w:rPr>
            <w:noProof/>
            <w:webHidden/>
          </w:rPr>
          <w:fldChar w:fldCharType="end"/>
        </w:r>
      </w:hyperlink>
    </w:p>
    <w:p w:rsidR="001F3FA8" w:rsidRDefault="005B7595" w14:paraId="32F6BACA" w14:textId="2E60A26D">
      <w:pPr>
        <w:pStyle w:val="TOC2"/>
        <w:rPr>
          <w:rFonts w:eastAsiaTheme="minorEastAsia" w:cstheme="minorBidi"/>
          <w:noProof/>
          <w:sz w:val="22"/>
        </w:rPr>
      </w:pPr>
      <w:hyperlink w:history="1" w:anchor="_Toc50625414">
        <w:r w:rsidRPr="009D480F" w:rsidR="001F3FA8">
          <w:rPr>
            <w:rStyle w:val="Hyperlink"/>
            <w:noProof/>
          </w:rPr>
          <w:t>B2.</w:t>
        </w:r>
        <w:r w:rsidR="001F3FA8">
          <w:rPr>
            <w:rFonts w:eastAsiaTheme="minorEastAsia" w:cstheme="minorBidi"/>
            <w:noProof/>
            <w:sz w:val="22"/>
          </w:rPr>
          <w:tab/>
        </w:r>
        <w:r w:rsidRPr="009D480F" w:rsidR="001F3FA8">
          <w:rPr>
            <w:rStyle w:val="Hyperlink"/>
            <w:noProof/>
          </w:rPr>
          <w:t xml:space="preserve">Procedures for Data Collection </w:t>
        </w:r>
        <w:r w:rsidR="001F3FA8">
          <w:rPr>
            <w:noProof/>
            <w:webHidden/>
          </w:rPr>
          <w:tab/>
        </w:r>
        <w:r w:rsidR="001F3FA8">
          <w:rPr>
            <w:noProof/>
            <w:webHidden/>
          </w:rPr>
          <w:fldChar w:fldCharType="begin"/>
        </w:r>
        <w:r w:rsidR="001F3FA8">
          <w:rPr>
            <w:noProof/>
            <w:webHidden/>
          </w:rPr>
          <w:instrText xml:space="preserve"> PAGEREF _Toc50625414 \h </w:instrText>
        </w:r>
        <w:r w:rsidR="001F3FA8">
          <w:rPr>
            <w:noProof/>
            <w:webHidden/>
          </w:rPr>
        </w:r>
        <w:r w:rsidR="001F3FA8">
          <w:rPr>
            <w:noProof/>
            <w:webHidden/>
          </w:rPr>
          <w:fldChar w:fldCharType="separate"/>
        </w:r>
        <w:r w:rsidR="00395F7F">
          <w:rPr>
            <w:noProof/>
            <w:webHidden/>
          </w:rPr>
          <w:t>1</w:t>
        </w:r>
        <w:r w:rsidR="001F3FA8">
          <w:rPr>
            <w:noProof/>
            <w:webHidden/>
          </w:rPr>
          <w:fldChar w:fldCharType="end"/>
        </w:r>
      </w:hyperlink>
    </w:p>
    <w:p w:rsidR="001F3FA8" w:rsidRDefault="005B7595" w14:paraId="3E68986C" w14:textId="65D805A3">
      <w:pPr>
        <w:pStyle w:val="TOC3"/>
        <w:rPr>
          <w:rFonts w:eastAsiaTheme="minorEastAsia" w:cstheme="minorBidi"/>
          <w:noProof/>
          <w:sz w:val="22"/>
        </w:rPr>
      </w:pPr>
      <w:hyperlink w:history="1" w:anchor="_Toc50625415">
        <w:r w:rsidRPr="009D480F" w:rsidR="001F3FA8">
          <w:rPr>
            <w:rStyle w:val="Hyperlink"/>
            <w:noProof/>
          </w:rPr>
          <w:t>Statistical Methods for Sample Selection</w:t>
        </w:r>
        <w:r w:rsidR="001F3FA8">
          <w:rPr>
            <w:noProof/>
            <w:webHidden/>
          </w:rPr>
          <w:tab/>
        </w:r>
        <w:r w:rsidR="001F3FA8">
          <w:rPr>
            <w:noProof/>
            <w:webHidden/>
          </w:rPr>
          <w:fldChar w:fldCharType="begin"/>
        </w:r>
        <w:r w:rsidR="001F3FA8">
          <w:rPr>
            <w:noProof/>
            <w:webHidden/>
          </w:rPr>
          <w:instrText xml:space="preserve"> PAGEREF _Toc50625415 \h </w:instrText>
        </w:r>
        <w:r w:rsidR="001F3FA8">
          <w:rPr>
            <w:noProof/>
            <w:webHidden/>
          </w:rPr>
        </w:r>
        <w:r w:rsidR="001F3FA8">
          <w:rPr>
            <w:noProof/>
            <w:webHidden/>
          </w:rPr>
          <w:fldChar w:fldCharType="separate"/>
        </w:r>
        <w:r w:rsidR="00395F7F">
          <w:rPr>
            <w:noProof/>
            <w:webHidden/>
          </w:rPr>
          <w:t>1</w:t>
        </w:r>
        <w:r w:rsidR="001F3FA8">
          <w:rPr>
            <w:noProof/>
            <w:webHidden/>
          </w:rPr>
          <w:fldChar w:fldCharType="end"/>
        </w:r>
      </w:hyperlink>
    </w:p>
    <w:p w:rsidR="001F3FA8" w:rsidRDefault="005B7595" w14:paraId="4DAC342F" w14:textId="31F42EC5">
      <w:pPr>
        <w:pStyle w:val="TOC3"/>
        <w:rPr>
          <w:rFonts w:eastAsiaTheme="minorEastAsia" w:cstheme="minorBidi"/>
          <w:noProof/>
          <w:sz w:val="22"/>
        </w:rPr>
      </w:pPr>
      <w:hyperlink w:history="1" w:anchor="_Toc50625416">
        <w:r w:rsidRPr="009D480F" w:rsidR="001F3FA8">
          <w:rPr>
            <w:rStyle w:val="Hyperlink"/>
            <w:noProof/>
          </w:rPr>
          <w:t>Data Collection</w:t>
        </w:r>
        <w:r w:rsidR="001F3FA8">
          <w:rPr>
            <w:noProof/>
            <w:webHidden/>
          </w:rPr>
          <w:tab/>
        </w:r>
        <w:r w:rsidR="001F3FA8">
          <w:rPr>
            <w:noProof/>
            <w:webHidden/>
          </w:rPr>
          <w:fldChar w:fldCharType="begin"/>
        </w:r>
        <w:r w:rsidR="001F3FA8">
          <w:rPr>
            <w:noProof/>
            <w:webHidden/>
          </w:rPr>
          <w:instrText xml:space="preserve"> PAGEREF _Toc50625416 \h </w:instrText>
        </w:r>
        <w:r w:rsidR="001F3FA8">
          <w:rPr>
            <w:noProof/>
            <w:webHidden/>
          </w:rPr>
        </w:r>
        <w:r w:rsidR="001F3FA8">
          <w:rPr>
            <w:noProof/>
            <w:webHidden/>
          </w:rPr>
          <w:fldChar w:fldCharType="separate"/>
        </w:r>
        <w:r w:rsidR="00395F7F">
          <w:rPr>
            <w:noProof/>
            <w:webHidden/>
          </w:rPr>
          <w:t>2</w:t>
        </w:r>
        <w:r w:rsidR="001F3FA8">
          <w:rPr>
            <w:noProof/>
            <w:webHidden/>
          </w:rPr>
          <w:fldChar w:fldCharType="end"/>
        </w:r>
      </w:hyperlink>
    </w:p>
    <w:p w:rsidR="001F3FA8" w:rsidRDefault="005B7595" w14:paraId="625ADDD1" w14:textId="13299564">
      <w:pPr>
        <w:pStyle w:val="TOC3"/>
        <w:rPr>
          <w:rFonts w:eastAsiaTheme="minorEastAsia" w:cstheme="minorBidi"/>
          <w:noProof/>
          <w:sz w:val="22"/>
        </w:rPr>
      </w:pPr>
      <w:hyperlink w:history="1" w:anchor="_Toc50625417">
        <w:r w:rsidRPr="009D480F" w:rsidR="001F3FA8">
          <w:rPr>
            <w:rStyle w:val="Hyperlink"/>
            <w:noProof/>
          </w:rPr>
          <w:t>Estimation Procedures</w:t>
        </w:r>
        <w:r w:rsidR="001F3FA8">
          <w:rPr>
            <w:noProof/>
            <w:webHidden/>
          </w:rPr>
          <w:tab/>
        </w:r>
        <w:r w:rsidR="001F3FA8">
          <w:rPr>
            <w:noProof/>
            <w:webHidden/>
          </w:rPr>
          <w:fldChar w:fldCharType="begin"/>
        </w:r>
        <w:r w:rsidR="001F3FA8">
          <w:rPr>
            <w:noProof/>
            <w:webHidden/>
          </w:rPr>
          <w:instrText xml:space="preserve"> PAGEREF _Toc50625417 \h </w:instrText>
        </w:r>
        <w:r w:rsidR="001F3FA8">
          <w:rPr>
            <w:noProof/>
            <w:webHidden/>
          </w:rPr>
        </w:r>
        <w:r w:rsidR="001F3FA8">
          <w:rPr>
            <w:noProof/>
            <w:webHidden/>
          </w:rPr>
          <w:fldChar w:fldCharType="separate"/>
        </w:r>
        <w:r w:rsidR="00395F7F">
          <w:rPr>
            <w:noProof/>
            <w:webHidden/>
          </w:rPr>
          <w:t>3</w:t>
        </w:r>
        <w:r w:rsidR="001F3FA8">
          <w:rPr>
            <w:noProof/>
            <w:webHidden/>
          </w:rPr>
          <w:fldChar w:fldCharType="end"/>
        </w:r>
      </w:hyperlink>
    </w:p>
    <w:p w:rsidR="001F3FA8" w:rsidRDefault="005B7595" w14:paraId="52FC8699" w14:textId="78545218">
      <w:pPr>
        <w:pStyle w:val="TOC3"/>
        <w:rPr>
          <w:rFonts w:eastAsiaTheme="minorEastAsia" w:cstheme="minorBidi"/>
          <w:noProof/>
          <w:sz w:val="22"/>
        </w:rPr>
      </w:pPr>
      <w:hyperlink w:history="1" w:anchor="_Toc50625418">
        <w:r w:rsidRPr="009D480F" w:rsidR="001F3FA8">
          <w:rPr>
            <w:rStyle w:val="Hyperlink"/>
            <w:noProof/>
          </w:rPr>
          <w:t>Degree of Accuracy Needed</w:t>
        </w:r>
        <w:r w:rsidR="001F3FA8">
          <w:rPr>
            <w:noProof/>
            <w:webHidden/>
          </w:rPr>
          <w:tab/>
        </w:r>
        <w:r w:rsidR="001F3FA8">
          <w:rPr>
            <w:noProof/>
            <w:webHidden/>
          </w:rPr>
          <w:fldChar w:fldCharType="begin"/>
        </w:r>
        <w:r w:rsidR="001F3FA8">
          <w:rPr>
            <w:noProof/>
            <w:webHidden/>
          </w:rPr>
          <w:instrText xml:space="preserve"> PAGEREF _Toc50625418 \h </w:instrText>
        </w:r>
        <w:r w:rsidR="001F3FA8">
          <w:rPr>
            <w:noProof/>
            <w:webHidden/>
          </w:rPr>
        </w:r>
        <w:r w:rsidR="001F3FA8">
          <w:rPr>
            <w:noProof/>
            <w:webHidden/>
          </w:rPr>
          <w:fldChar w:fldCharType="separate"/>
        </w:r>
        <w:r w:rsidR="00395F7F">
          <w:rPr>
            <w:noProof/>
            <w:webHidden/>
          </w:rPr>
          <w:t>3</w:t>
        </w:r>
        <w:r w:rsidR="001F3FA8">
          <w:rPr>
            <w:noProof/>
            <w:webHidden/>
          </w:rPr>
          <w:fldChar w:fldCharType="end"/>
        </w:r>
      </w:hyperlink>
    </w:p>
    <w:p w:rsidR="001F3FA8" w:rsidRDefault="005B7595" w14:paraId="3CC47619" w14:textId="4D35A41F">
      <w:pPr>
        <w:pStyle w:val="TOC3"/>
        <w:rPr>
          <w:rFonts w:eastAsiaTheme="minorEastAsia" w:cstheme="minorBidi"/>
          <w:noProof/>
          <w:sz w:val="22"/>
        </w:rPr>
      </w:pPr>
      <w:hyperlink w:history="1" w:anchor="_Toc50625419">
        <w:r w:rsidRPr="009D480F" w:rsidR="001F3FA8">
          <w:rPr>
            <w:rStyle w:val="Hyperlink"/>
            <w:noProof/>
          </w:rPr>
          <w:t>Unusual Problems Requiring Specialized Sampling Procedures</w:t>
        </w:r>
        <w:r w:rsidR="001F3FA8">
          <w:rPr>
            <w:noProof/>
            <w:webHidden/>
          </w:rPr>
          <w:tab/>
        </w:r>
        <w:r w:rsidR="001F3FA8">
          <w:rPr>
            <w:noProof/>
            <w:webHidden/>
          </w:rPr>
          <w:fldChar w:fldCharType="begin"/>
        </w:r>
        <w:r w:rsidR="001F3FA8">
          <w:rPr>
            <w:noProof/>
            <w:webHidden/>
          </w:rPr>
          <w:instrText xml:space="preserve"> PAGEREF _Toc50625419 \h </w:instrText>
        </w:r>
        <w:r w:rsidR="001F3FA8">
          <w:rPr>
            <w:noProof/>
            <w:webHidden/>
          </w:rPr>
        </w:r>
        <w:r w:rsidR="001F3FA8">
          <w:rPr>
            <w:noProof/>
            <w:webHidden/>
          </w:rPr>
          <w:fldChar w:fldCharType="separate"/>
        </w:r>
        <w:r w:rsidR="00395F7F">
          <w:rPr>
            <w:noProof/>
            <w:webHidden/>
          </w:rPr>
          <w:t>4</w:t>
        </w:r>
        <w:r w:rsidR="001F3FA8">
          <w:rPr>
            <w:noProof/>
            <w:webHidden/>
          </w:rPr>
          <w:fldChar w:fldCharType="end"/>
        </w:r>
      </w:hyperlink>
    </w:p>
    <w:p w:rsidR="001F3FA8" w:rsidRDefault="005B7595" w14:paraId="57F360BE" w14:textId="202F6A55">
      <w:pPr>
        <w:pStyle w:val="TOC3"/>
        <w:rPr>
          <w:rFonts w:eastAsiaTheme="minorEastAsia" w:cstheme="minorBidi"/>
          <w:noProof/>
          <w:sz w:val="22"/>
        </w:rPr>
      </w:pPr>
      <w:hyperlink w:history="1" w:anchor="_Toc50625420">
        <w:r w:rsidRPr="009D480F" w:rsidR="001F3FA8">
          <w:rPr>
            <w:rStyle w:val="Hyperlink"/>
            <w:noProof/>
          </w:rPr>
          <w:t>Use of Periodic (Less Frequent Than Annual) Data Collection Cycles to Reduce Burden</w:t>
        </w:r>
        <w:r w:rsidR="001F3FA8">
          <w:rPr>
            <w:noProof/>
            <w:webHidden/>
          </w:rPr>
          <w:tab/>
        </w:r>
        <w:r w:rsidR="001F3FA8">
          <w:rPr>
            <w:noProof/>
            <w:webHidden/>
          </w:rPr>
          <w:fldChar w:fldCharType="begin"/>
        </w:r>
        <w:r w:rsidR="001F3FA8">
          <w:rPr>
            <w:noProof/>
            <w:webHidden/>
          </w:rPr>
          <w:instrText xml:space="preserve"> PAGEREF _Toc50625420 \h </w:instrText>
        </w:r>
        <w:r w:rsidR="001F3FA8">
          <w:rPr>
            <w:noProof/>
            <w:webHidden/>
          </w:rPr>
        </w:r>
        <w:r w:rsidR="001F3FA8">
          <w:rPr>
            <w:noProof/>
            <w:webHidden/>
          </w:rPr>
          <w:fldChar w:fldCharType="separate"/>
        </w:r>
        <w:r w:rsidR="00395F7F">
          <w:rPr>
            <w:noProof/>
            <w:webHidden/>
          </w:rPr>
          <w:t>4</w:t>
        </w:r>
        <w:r w:rsidR="001F3FA8">
          <w:rPr>
            <w:noProof/>
            <w:webHidden/>
          </w:rPr>
          <w:fldChar w:fldCharType="end"/>
        </w:r>
      </w:hyperlink>
    </w:p>
    <w:p w:rsidR="001F3FA8" w:rsidRDefault="005B7595" w14:paraId="2ED333B0" w14:textId="19A1DA22">
      <w:pPr>
        <w:pStyle w:val="TOC2"/>
        <w:rPr>
          <w:rFonts w:eastAsiaTheme="minorEastAsia" w:cstheme="minorBidi"/>
          <w:noProof/>
          <w:sz w:val="22"/>
        </w:rPr>
      </w:pPr>
      <w:hyperlink w:history="1" w:anchor="_Toc50625421">
        <w:r w:rsidRPr="009D480F" w:rsidR="001F3FA8">
          <w:rPr>
            <w:rStyle w:val="Hyperlink"/>
            <w:noProof/>
          </w:rPr>
          <w:t>B3.</w:t>
        </w:r>
        <w:r w:rsidR="001F3FA8">
          <w:rPr>
            <w:rFonts w:eastAsiaTheme="minorEastAsia" w:cstheme="minorBidi"/>
            <w:noProof/>
            <w:sz w:val="22"/>
          </w:rPr>
          <w:tab/>
        </w:r>
        <w:r w:rsidRPr="009D480F" w:rsidR="001F3FA8">
          <w:rPr>
            <w:rStyle w:val="Hyperlink"/>
            <w:noProof/>
          </w:rPr>
          <w:t>Methods to Maximize Response Rates</w:t>
        </w:r>
        <w:r w:rsidR="001F3FA8">
          <w:rPr>
            <w:noProof/>
            <w:webHidden/>
          </w:rPr>
          <w:tab/>
        </w:r>
        <w:r w:rsidR="001F3FA8">
          <w:rPr>
            <w:noProof/>
            <w:webHidden/>
          </w:rPr>
          <w:fldChar w:fldCharType="begin"/>
        </w:r>
        <w:r w:rsidR="001F3FA8">
          <w:rPr>
            <w:noProof/>
            <w:webHidden/>
          </w:rPr>
          <w:instrText xml:space="preserve"> PAGEREF _Toc50625421 \h </w:instrText>
        </w:r>
        <w:r w:rsidR="001F3FA8">
          <w:rPr>
            <w:noProof/>
            <w:webHidden/>
          </w:rPr>
        </w:r>
        <w:r w:rsidR="001F3FA8">
          <w:rPr>
            <w:noProof/>
            <w:webHidden/>
          </w:rPr>
          <w:fldChar w:fldCharType="separate"/>
        </w:r>
        <w:r w:rsidR="00395F7F">
          <w:rPr>
            <w:noProof/>
            <w:webHidden/>
          </w:rPr>
          <w:t>4</w:t>
        </w:r>
        <w:r w:rsidR="001F3FA8">
          <w:rPr>
            <w:noProof/>
            <w:webHidden/>
          </w:rPr>
          <w:fldChar w:fldCharType="end"/>
        </w:r>
      </w:hyperlink>
    </w:p>
    <w:p w:rsidR="001F3FA8" w:rsidRDefault="005B7595" w14:paraId="7772B888" w14:textId="5C2CB8C2">
      <w:pPr>
        <w:pStyle w:val="TOC2"/>
        <w:rPr>
          <w:rFonts w:eastAsiaTheme="minorEastAsia" w:cstheme="minorBidi"/>
          <w:noProof/>
          <w:sz w:val="22"/>
        </w:rPr>
      </w:pPr>
      <w:hyperlink w:history="1" w:anchor="_Toc50625422">
        <w:r w:rsidRPr="009D480F" w:rsidR="001F3FA8">
          <w:rPr>
            <w:rStyle w:val="Hyperlink"/>
            <w:noProof/>
          </w:rPr>
          <w:t>B4.</w:t>
        </w:r>
        <w:r w:rsidR="001F3FA8">
          <w:rPr>
            <w:rFonts w:eastAsiaTheme="minorEastAsia" w:cstheme="minorBidi"/>
            <w:noProof/>
            <w:sz w:val="22"/>
          </w:rPr>
          <w:tab/>
        </w:r>
        <w:r w:rsidRPr="009D480F" w:rsidR="001F3FA8">
          <w:rPr>
            <w:rStyle w:val="Hyperlink"/>
            <w:noProof/>
          </w:rPr>
          <w:t>Expert Review and Piloting Procedures</w:t>
        </w:r>
        <w:r w:rsidR="001F3FA8">
          <w:rPr>
            <w:noProof/>
            <w:webHidden/>
          </w:rPr>
          <w:tab/>
        </w:r>
        <w:r w:rsidR="001F3FA8">
          <w:rPr>
            <w:noProof/>
            <w:webHidden/>
          </w:rPr>
          <w:fldChar w:fldCharType="begin"/>
        </w:r>
        <w:r w:rsidR="001F3FA8">
          <w:rPr>
            <w:noProof/>
            <w:webHidden/>
          </w:rPr>
          <w:instrText xml:space="preserve"> PAGEREF _Toc50625422 \h </w:instrText>
        </w:r>
        <w:r w:rsidR="001F3FA8">
          <w:rPr>
            <w:noProof/>
            <w:webHidden/>
          </w:rPr>
        </w:r>
        <w:r w:rsidR="001F3FA8">
          <w:rPr>
            <w:noProof/>
            <w:webHidden/>
          </w:rPr>
          <w:fldChar w:fldCharType="separate"/>
        </w:r>
        <w:r w:rsidR="00395F7F">
          <w:rPr>
            <w:noProof/>
            <w:webHidden/>
          </w:rPr>
          <w:t>5</w:t>
        </w:r>
        <w:r w:rsidR="001F3FA8">
          <w:rPr>
            <w:noProof/>
            <w:webHidden/>
          </w:rPr>
          <w:fldChar w:fldCharType="end"/>
        </w:r>
      </w:hyperlink>
    </w:p>
    <w:p w:rsidR="001F3FA8" w:rsidRDefault="005B7595" w14:paraId="071E3232" w14:textId="6115FDA4">
      <w:pPr>
        <w:pStyle w:val="TOC2"/>
        <w:rPr>
          <w:rFonts w:eastAsiaTheme="minorEastAsia" w:cstheme="minorBidi"/>
          <w:noProof/>
          <w:sz w:val="22"/>
        </w:rPr>
      </w:pPr>
      <w:hyperlink w:history="1" w:anchor="_Toc50625423">
        <w:r w:rsidRPr="009D480F" w:rsidR="001F3FA8">
          <w:rPr>
            <w:rStyle w:val="Hyperlink"/>
            <w:noProof/>
          </w:rPr>
          <w:t>B5.</w:t>
        </w:r>
        <w:r w:rsidR="001F3FA8">
          <w:rPr>
            <w:rFonts w:eastAsiaTheme="minorEastAsia" w:cstheme="minorBidi"/>
            <w:noProof/>
            <w:sz w:val="22"/>
          </w:rPr>
          <w:tab/>
        </w:r>
        <w:r w:rsidRPr="009D480F" w:rsidR="001F3FA8">
          <w:rPr>
            <w:rStyle w:val="Hyperlink"/>
            <w:noProof/>
          </w:rPr>
          <w:t>Individuals and Organizations Involved in the Project</w:t>
        </w:r>
        <w:r w:rsidR="001F3FA8">
          <w:rPr>
            <w:noProof/>
            <w:webHidden/>
          </w:rPr>
          <w:tab/>
        </w:r>
        <w:r w:rsidR="001F3FA8">
          <w:rPr>
            <w:noProof/>
            <w:webHidden/>
          </w:rPr>
          <w:fldChar w:fldCharType="begin"/>
        </w:r>
        <w:r w:rsidR="001F3FA8">
          <w:rPr>
            <w:noProof/>
            <w:webHidden/>
          </w:rPr>
          <w:instrText xml:space="preserve"> PAGEREF _Toc50625423 \h </w:instrText>
        </w:r>
        <w:r w:rsidR="001F3FA8">
          <w:rPr>
            <w:noProof/>
            <w:webHidden/>
          </w:rPr>
        </w:r>
        <w:r w:rsidR="001F3FA8">
          <w:rPr>
            <w:noProof/>
            <w:webHidden/>
          </w:rPr>
          <w:fldChar w:fldCharType="separate"/>
        </w:r>
        <w:r w:rsidR="00395F7F">
          <w:rPr>
            <w:noProof/>
            <w:webHidden/>
          </w:rPr>
          <w:t>5</w:t>
        </w:r>
        <w:r w:rsidR="001F3FA8">
          <w:rPr>
            <w:noProof/>
            <w:webHidden/>
          </w:rPr>
          <w:fldChar w:fldCharType="end"/>
        </w:r>
      </w:hyperlink>
    </w:p>
    <w:p w:rsidR="001F3FA8" w:rsidRDefault="005B7595" w14:paraId="2C785426" w14:textId="44149D50">
      <w:pPr>
        <w:pStyle w:val="TOC1"/>
        <w:rPr>
          <w:rFonts w:eastAsiaTheme="minorEastAsia" w:cstheme="minorBidi"/>
          <w:b w:val="0"/>
          <w:noProof/>
          <w:sz w:val="22"/>
        </w:rPr>
      </w:pPr>
      <w:hyperlink w:history="1" w:anchor="_Toc50625424">
        <w:r w:rsidRPr="009D480F" w:rsidR="001F3FA8">
          <w:rPr>
            <w:rStyle w:val="Hyperlink"/>
            <w:noProof/>
          </w:rPr>
          <w:t>Reference</w:t>
        </w:r>
        <w:r w:rsidR="001F3FA8">
          <w:rPr>
            <w:noProof/>
            <w:webHidden/>
          </w:rPr>
          <w:tab/>
        </w:r>
        <w:r w:rsidR="001F3FA8">
          <w:rPr>
            <w:noProof/>
            <w:webHidden/>
          </w:rPr>
          <w:fldChar w:fldCharType="begin"/>
        </w:r>
        <w:r w:rsidR="001F3FA8">
          <w:rPr>
            <w:noProof/>
            <w:webHidden/>
          </w:rPr>
          <w:instrText xml:space="preserve"> PAGEREF _Toc50625424 \h </w:instrText>
        </w:r>
        <w:r w:rsidR="001F3FA8">
          <w:rPr>
            <w:noProof/>
            <w:webHidden/>
          </w:rPr>
        </w:r>
        <w:r w:rsidR="001F3FA8">
          <w:rPr>
            <w:noProof/>
            <w:webHidden/>
          </w:rPr>
          <w:fldChar w:fldCharType="separate"/>
        </w:r>
        <w:r w:rsidR="00395F7F">
          <w:rPr>
            <w:noProof/>
            <w:webHidden/>
          </w:rPr>
          <w:t>7</w:t>
        </w:r>
        <w:r w:rsidR="001F3FA8">
          <w:rPr>
            <w:noProof/>
            <w:webHidden/>
          </w:rPr>
          <w:fldChar w:fldCharType="end"/>
        </w:r>
      </w:hyperlink>
    </w:p>
    <w:p w:rsidRPr="00FE5661" w:rsidR="00C06762" w:rsidP="00C06762" w:rsidRDefault="00C06762" w14:paraId="20F87E00" w14:textId="1F41012F">
      <w:r>
        <w:fldChar w:fldCharType="end"/>
      </w:r>
    </w:p>
    <w:p w:rsidRPr="00FE5661" w:rsidR="00C06762" w:rsidP="00C06762" w:rsidRDefault="00C06762" w14:paraId="78069665" w14:textId="77777777">
      <w:pPr>
        <w:sectPr w:rsidRPr="00FE5661" w:rsidR="00C06762" w:rsidSect="005F55CA">
          <w:footerReference w:type="default" r:id="rId13"/>
          <w:pgSz w:w="12240" w:h="15840" w:code="1"/>
          <w:pgMar w:top="1152" w:right="1152" w:bottom="1152" w:left="1152" w:header="720" w:footer="720" w:gutter="0"/>
          <w:pgNumType w:fmt="lowerRoman"/>
          <w:cols w:space="720"/>
          <w:docGrid w:linePitch="360"/>
        </w:sectPr>
      </w:pPr>
    </w:p>
    <w:p w:rsidR="000774E7" w:rsidP="00E15689" w:rsidRDefault="00F33B60" w14:paraId="5662F9BF" w14:textId="58BB2046">
      <w:pPr>
        <w:pStyle w:val="Heading1"/>
      </w:pPr>
      <w:r>
        <w:lastRenderedPageBreak/>
        <w:t xml:space="preserve">Part B: </w:t>
      </w:r>
      <w:r w:rsidRPr="007F4058" w:rsidR="00442031">
        <w:t xml:space="preserve">Supporting Statement for </w:t>
      </w:r>
      <w:r w:rsidRPr="000052F7" w:rsidR="00442031">
        <w:rPr>
          <w:i/>
        </w:rPr>
        <w:t>Paperwork Reduction Act</w:t>
      </w:r>
      <w:r w:rsidRPr="007F4058" w:rsidR="00442031">
        <w:t xml:space="preserve"> Submission</w:t>
      </w:r>
    </w:p>
    <w:p w:rsidR="00881AE6" w:rsidP="00881AE6" w:rsidRDefault="00881AE6" w14:paraId="08BDCD4C" w14:textId="77777777">
      <w:pPr>
        <w:pStyle w:val="BodyTextPostHead"/>
        <w:spacing w:before="360"/>
      </w:pPr>
      <w:bookmarkStart w:name="_Hlk522615417" w:id="2"/>
      <w:bookmarkStart w:name="_Toc274743223" w:id="3"/>
      <w:bookmarkStart w:name="_Toc43303892" w:id="4"/>
      <w:bookmarkStart w:name="_Toc50566035" w:id="5"/>
      <w:bookmarkStart w:name="_Toc50625412" w:id="6"/>
      <w:r w:rsidRPr="00325F84">
        <w:t>Th</w:t>
      </w:r>
      <w:r>
        <w:t>is package requests clearance from the</w:t>
      </w:r>
      <w:r w:rsidRPr="00325F84">
        <w:t xml:space="preserve"> </w:t>
      </w:r>
      <w:r>
        <w:t xml:space="preserve">U.S. Office of Management and Budget (OMB) to conduct </w:t>
      </w:r>
      <w:r w:rsidRPr="00325F84">
        <w:t xml:space="preserve">data collection activities associated with the </w:t>
      </w:r>
      <w:r w:rsidRPr="006322AB">
        <w:rPr>
          <w:i/>
          <w:iCs/>
        </w:rPr>
        <w:t>Implementation Evaluation of the</w:t>
      </w:r>
      <w:r w:rsidRPr="002C6D19">
        <w:rPr>
          <w:i/>
          <w:iCs/>
        </w:rPr>
        <w:t xml:space="preserve"> Title III National Professional Development (NPD) Program.</w:t>
      </w:r>
      <w:r>
        <w:t xml:space="preserve"> The purpose of this evaluation is to </w:t>
      </w:r>
      <w:r w:rsidRPr="00143984">
        <w:t xml:space="preserve">better understand </w:t>
      </w:r>
      <w:r>
        <w:t xml:space="preserve">the strategies that NPD </w:t>
      </w:r>
      <w:r w:rsidRPr="00143984">
        <w:t xml:space="preserve">grantees </w:t>
      </w:r>
      <w:r>
        <w:t>use</w:t>
      </w:r>
      <w:r w:rsidRPr="00143984">
        <w:t xml:space="preserve"> to help educational personnel working with </w:t>
      </w:r>
      <w:r>
        <w:t>English learners (ELs)</w:t>
      </w:r>
      <w:r w:rsidRPr="00143984">
        <w:t xml:space="preserve"> meet high professional standards and </w:t>
      </w:r>
      <w:r>
        <w:t xml:space="preserve">to </w:t>
      </w:r>
      <w:r w:rsidRPr="00143984">
        <w:t>improve classroom instruction for ELs</w:t>
      </w:r>
      <w:r>
        <w:t>. The Institute of Education Sciences (IES), within the U.S. Department of Education (the Department), has contracted with the American Institutes for Research</w:t>
      </w:r>
      <w:r>
        <w:rPr>
          <w:rFonts w:cstheme="minorHAnsi"/>
        </w:rPr>
        <w:t>®</w:t>
      </w:r>
      <w:r>
        <w:t xml:space="preserve"> (AIR</w:t>
      </w:r>
      <w:r>
        <w:rPr>
          <w:rFonts w:cstheme="minorHAnsi"/>
        </w:rPr>
        <w:t>®</w:t>
      </w:r>
      <w:r>
        <w:t xml:space="preserve">) to conduct this evaluation. </w:t>
      </w:r>
    </w:p>
    <w:bookmarkEnd w:id="2"/>
    <w:p w:rsidRPr="00C06762" w:rsidR="000774E7" w:rsidP="00C06762" w:rsidRDefault="008F368E" w14:paraId="4A8093F2" w14:textId="0997E6E3">
      <w:pPr>
        <w:pStyle w:val="Heading2"/>
      </w:pPr>
      <w:r w:rsidRPr="00C06762">
        <w:t xml:space="preserve">Collection </w:t>
      </w:r>
      <w:r w:rsidRPr="00C06762" w:rsidR="000774E7">
        <w:t xml:space="preserve">of </w:t>
      </w:r>
      <w:r w:rsidRPr="00C06762">
        <w:t xml:space="preserve">Information Employing </w:t>
      </w:r>
      <w:r w:rsidRPr="00C06762" w:rsidR="000774E7">
        <w:t>Statistical Methods</w:t>
      </w:r>
      <w:bookmarkEnd w:id="3"/>
      <w:bookmarkEnd w:id="4"/>
      <w:bookmarkEnd w:id="5"/>
      <w:bookmarkEnd w:id="6"/>
    </w:p>
    <w:p w:rsidRPr="00DA7F3D" w:rsidR="000774E7" w:rsidP="005A4C7E" w:rsidRDefault="00E15689" w14:paraId="41B89623" w14:textId="06CFF4CD">
      <w:pPr>
        <w:pStyle w:val="Heading3"/>
      </w:pPr>
      <w:bookmarkStart w:name="_Toc274743224" w:id="7"/>
      <w:bookmarkStart w:name="_Toc43303893" w:id="8"/>
      <w:bookmarkStart w:name="_Toc50566036" w:id="9"/>
      <w:bookmarkStart w:name="_Toc50625413" w:id="10"/>
      <w:r w:rsidRPr="00DA7F3D">
        <w:t>B1.</w:t>
      </w:r>
      <w:r w:rsidRPr="00DA7F3D">
        <w:tab/>
      </w:r>
      <w:r w:rsidRPr="00DA7F3D" w:rsidR="00A54007">
        <w:t xml:space="preserve">Respondent Universe and </w:t>
      </w:r>
      <w:r w:rsidRPr="00DA7F3D" w:rsidR="000774E7">
        <w:t>Sampling Design</w:t>
      </w:r>
      <w:bookmarkEnd w:id="7"/>
      <w:bookmarkEnd w:id="8"/>
      <w:bookmarkEnd w:id="9"/>
      <w:bookmarkEnd w:id="10"/>
    </w:p>
    <w:p w:rsidRPr="00DA7F3D" w:rsidR="000774E7" w:rsidP="00E15689" w:rsidRDefault="000774E7" w14:paraId="616493C8" w14:textId="66A69DFC">
      <w:pPr>
        <w:pStyle w:val="BodyTextPostHead"/>
      </w:pPr>
      <w:bookmarkStart w:name="_Toc248565462" w:id="11"/>
      <w:r w:rsidRPr="00DA7F3D">
        <w:t xml:space="preserve">This study will include the following two samples, which will provide different types of data for addressing the study’s </w:t>
      </w:r>
      <w:r w:rsidRPr="00DA7F3D" w:rsidR="00522C22">
        <w:t xml:space="preserve">evaluation </w:t>
      </w:r>
      <w:r w:rsidRPr="00DA7F3D">
        <w:t>questions.</w:t>
      </w:r>
    </w:p>
    <w:p w:rsidR="000774E7" w:rsidP="00E15689" w:rsidRDefault="000774E7" w14:paraId="6A863C0A" w14:textId="0E279660">
      <w:pPr>
        <w:pStyle w:val="Bullet1"/>
      </w:pPr>
      <w:r w:rsidRPr="00DA7F3D">
        <w:rPr>
          <w:b/>
        </w:rPr>
        <w:t xml:space="preserve">Grantee survey. </w:t>
      </w:r>
      <w:r w:rsidRPr="00DA7F3D">
        <w:t xml:space="preserve">The grantee survey will be administered to the universe of 2016 and 2017 NPD grantees. </w:t>
      </w:r>
    </w:p>
    <w:p w:rsidRPr="00DA7F3D" w:rsidR="00DA7F3D" w:rsidP="00E15689" w:rsidRDefault="00DA7F3D" w14:paraId="23B3CABB" w14:textId="1091C2E0">
      <w:pPr>
        <w:pStyle w:val="Bullet1"/>
      </w:pPr>
      <w:r>
        <w:rPr>
          <w:b/>
        </w:rPr>
        <w:t xml:space="preserve">Participant survey. </w:t>
      </w:r>
      <w:r w:rsidRPr="00DA7F3D">
        <w:rPr>
          <w:bCs w:val="0"/>
        </w:rPr>
        <w:t xml:space="preserve">The participant survey will be administered to a representative sample of </w:t>
      </w:r>
      <w:r w:rsidRPr="00DA7F3D" w:rsidR="00395F7F">
        <w:rPr>
          <w:bCs w:val="0"/>
        </w:rPr>
        <w:t xml:space="preserve">preservice </w:t>
      </w:r>
      <w:r w:rsidRPr="00DA7F3D">
        <w:rPr>
          <w:bCs w:val="0"/>
        </w:rPr>
        <w:t xml:space="preserve">and </w:t>
      </w:r>
      <w:r w:rsidRPr="00DA7F3D" w:rsidR="00395F7F">
        <w:rPr>
          <w:bCs w:val="0"/>
        </w:rPr>
        <w:t xml:space="preserve">in-service </w:t>
      </w:r>
      <w:r w:rsidRPr="00DA7F3D">
        <w:rPr>
          <w:bCs w:val="0"/>
        </w:rPr>
        <w:t>educators participating in activities provided by the 2016 and 2017 NPD grantees. The sample frame for the participant survey will be derived from participant rosters collected from the 91 grantees, which will help us identify all educators who participated in a grantee’s professional learning activities and their status as either a preservice educator working toward their initial certification or an in</w:t>
      </w:r>
      <w:r w:rsidR="00E3267D">
        <w:rPr>
          <w:bCs w:val="0"/>
        </w:rPr>
        <w:t>-</w:t>
      </w:r>
      <w:r w:rsidRPr="00DA7F3D">
        <w:rPr>
          <w:bCs w:val="0"/>
        </w:rPr>
        <w:t xml:space="preserve">service educator already serving in the classroom. Based on our analysis of the grantees’ NPD funding applications, we estimate that </w:t>
      </w:r>
      <w:r w:rsidR="0068189F">
        <w:rPr>
          <w:bCs w:val="0"/>
        </w:rPr>
        <w:t xml:space="preserve">in the time period of summer 2019 onwards, </w:t>
      </w:r>
      <w:r w:rsidRPr="00DA7F3D">
        <w:rPr>
          <w:bCs w:val="0"/>
        </w:rPr>
        <w:t xml:space="preserve">the grantees will collectively serve approximately </w:t>
      </w:r>
      <w:r w:rsidR="00AC5727">
        <w:rPr>
          <w:bCs w:val="0"/>
        </w:rPr>
        <w:t>17,350</w:t>
      </w:r>
      <w:r w:rsidRPr="00DA7F3D">
        <w:rPr>
          <w:bCs w:val="0"/>
        </w:rPr>
        <w:t xml:space="preserve"> educators, including </w:t>
      </w:r>
      <w:r w:rsidR="003C70D8">
        <w:rPr>
          <w:bCs w:val="0"/>
        </w:rPr>
        <w:t>3,350</w:t>
      </w:r>
      <w:r w:rsidRPr="00DA7F3D">
        <w:rPr>
          <w:bCs w:val="0"/>
        </w:rPr>
        <w:t xml:space="preserve"> preservice educators and </w:t>
      </w:r>
      <w:r w:rsidR="00580DF8">
        <w:rPr>
          <w:bCs w:val="0"/>
        </w:rPr>
        <w:t>14</w:t>
      </w:r>
      <w:r w:rsidRPr="00DA7F3D">
        <w:rPr>
          <w:bCs w:val="0"/>
        </w:rPr>
        <w:t>,000 in-service educators. We expect to include approximately 1,</w:t>
      </w:r>
      <w:r w:rsidR="003C2CF0">
        <w:rPr>
          <w:bCs w:val="0"/>
        </w:rPr>
        <w:t>4</w:t>
      </w:r>
      <w:r w:rsidRPr="00DA7F3D" w:rsidR="003C2CF0">
        <w:rPr>
          <w:bCs w:val="0"/>
        </w:rPr>
        <w:t xml:space="preserve">00 </w:t>
      </w:r>
      <w:r w:rsidRPr="00DA7F3D">
        <w:rPr>
          <w:bCs w:val="0"/>
        </w:rPr>
        <w:t>preservice participants and 1,</w:t>
      </w:r>
      <w:r w:rsidR="003C2CF0">
        <w:rPr>
          <w:bCs w:val="0"/>
        </w:rPr>
        <w:t>5</w:t>
      </w:r>
      <w:r w:rsidRPr="00DA7F3D" w:rsidR="003C2CF0">
        <w:rPr>
          <w:bCs w:val="0"/>
        </w:rPr>
        <w:t xml:space="preserve">00 </w:t>
      </w:r>
      <w:r w:rsidRPr="00DA7F3D">
        <w:rPr>
          <w:bCs w:val="0"/>
        </w:rPr>
        <w:t>in-service participants in the survey sample. In Section B2, we provide additional details about our approach to selecting the sample.</w:t>
      </w:r>
    </w:p>
    <w:p w:rsidRPr="00C06762" w:rsidR="000774E7" w:rsidP="00C06762" w:rsidRDefault="00C06762" w14:paraId="1F7F8008" w14:textId="5F371747">
      <w:pPr>
        <w:pStyle w:val="Heading3"/>
      </w:pPr>
      <w:bookmarkStart w:name="_Toc50566037" w:id="12"/>
      <w:bookmarkStart w:name="_Toc50625414" w:id="13"/>
      <w:bookmarkEnd w:id="11"/>
      <w:r>
        <w:t>B2.</w:t>
      </w:r>
      <w:r>
        <w:tab/>
      </w:r>
      <w:r w:rsidRPr="00C06762">
        <w:t>Procedures for Data Collection</w:t>
      </w:r>
      <w:bookmarkEnd w:id="12"/>
      <w:r w:rsidRPr="00C06762" w:rsidDel="003D1843">
        <w:t xml:space="preserve"> </w:t>
      </w:r>
      <w:bookmarkStart w:name="_Toc50382639" w:id="14"/>
      <w:bookmarkStart w:name="_Toc50382675" w:id="15"/>
      <w:bookmarkStart w:name="_Toc50382734" w:id="16"/>
      <w:bookmarkStart w:name="_Toc50525836" w:id="17"/>
      <w:bookmarkEnd w:id="13"/>
      <w:bookmarkEnd w:id="14"/>
      <w:bookmarkEnd w:id="15"/>
      <w:bookmarkEnd w:id="16"/>
      <w:bookmarkEnd w:id="17"/>
    </w:p>
    <w:p w:rsidRPr="00DA62D2" w:rsidR="000774E7" w:rsidP="00E15689" w:rsidRDefault="000774E7" w14:paraId="795F72D1" w14:textId="539AFF36">
      <w:pPr>
        <w:pStyle w:val="BodyTextPostHead"/>
      </w:pPr>
      <w:r w:rsidRPr="00DA62D2">
        <w:t>The procedures for carryin</w:t>
      </w:r>
      <w:r>
        <w:t xml:space="preserve">g out the grantee </w:t>
      </w:r>
      <w:r w:rsidR="0022482C">
        <w:t xml:space="preserve">and participant </w:t>
      </w:r>
      <w:r>
        <w:t>survey data collection activities are described in the following section</w:t>
      </w:r>
      <w:r w:rsidRPr="00DA62D2">
        <w:t xml:space="preserve">. </w:t>
      </w:r>
    </w:p>
    <w:p w:rsidRPr="00616980" w:rsidR="00B67E5E" w:rsidP="00E15689" w:rsidRDefault="00D357E6" w14:paraId="651AE37D" w14:textId="3EC141D3">
      <w:pPr>
        <w:pStyle w:val="Heading4"/>
      </w:pPr>
      <w:bookmarkStart w:name="_Toc50566038" w:id="18"/>
      <w:bookmarkStart w:name="_Toc50625415" w:id="19"/>
      <w:r w:rsidRPr="00E15689">
        <w:t>Statistical Methods for Sample Selection</w:t>
      </w:r>
      <w:bookmarkEnd w:id="18"/>
      <w:bookmarkEnd w:id="19"/>
    </w:p>
    <w:p w:rsidRPr="00E15689" w:rsidR="003D1843" w:rsidP="00E15689" w:rsidRDefault="003D1843" w14:paraId="7E31693E" w14:textId="77777777">
      <w:pPr>
        <w:pStyle w:val="Heading5"/>
      </w:pPr>
      <w:r w:rsidRPr="00E15689">
        <w:t xml:space="preserve">Grantee Survey </w:t>
      </w:r>
    </w:p>
    <w:p w:rsidR="003D1843" w:rsidP="00E15689" w:rsidRDefault="003D1843" w14:paraId="489F7E56" w14:textId="42EDD3AE">
      <w:pPr>
        <w:pStyle w:val="BodyTextPostHead"/>
      </w:pPr>
      <w:r>
        <w:t>For the grantee survey, t</w:t>
      </w:r>
      <w:r w:rsidRPr="00B30222">
        <w:t>he study aim</w:t>
      </w:r>
      <w:r>
        <w:t>s</w:t>
      </w:r>
      <w:r w:rsidRPr="00B30222">
        <w:t xml:space="preserve"> to obtain responses from </w:t>
      </w:r>
      <w:r>
        <w:t>the full population of grantees from the NPD program’s 2016 and 2017 cohorts. Lists collected from the Department’s website</w:t>
      </w:r>
      <w:r w:rsidRPr="00F45B07">
        <w:t xml:space="preserve"> </w:t>
      </w:r>
      <w:r>
        <w:t xml:space="preserve">of the </w:t>
      </w:r>
      <w:r w:rsidR="009E72C2">
        <w:t xml:space="preserve">92 </w:t>
      </w:r>
      <w:r>
        <w:t xml:space="preserve">grantees from these two cohorts will provide the survey administration frame, and the </w:t>
      </w:r>
      <w:r w:rsidR="00B45E71">
        <w:t xml:space="preserve">AIR </w:t>
      </w:r>
      <w:r>
        <w:t>study team will collect contact information for grantee project directors (the primary respondent</w:t>
      </w:r>
      <w:r w:rsidR="00D14B96">
        <w:t>s</w:t>
      </w:r>
      <w:r>
        <w:t xml:space="preserve"> for this survey) from publicly available grantee applications.</w:t>
      </w:r>
    </w:p>
    <w:p w:rsidRPr="00E15689" w:rsidR="003D1843" w:rsidP="00E15689" w:rsidRDefault="003D1843" w14:paraId="29BE8B2D" w14:textId="77777777">
      <w:pPr>
        <w:pStyle w:val="Heading5"/>
      </w:pPr>
      <w:r w:rsidRPr="00E15689">
        <w:t>Participant Survey</w:t>
      </w:r>
    </w:p>
    <w:p w:rsidR="003C782D" w:rsidP="00E15689" w:rsidRDefault="00630BDF" w14:paraId="08FE9839" w14:textId="5720B541">
      <w:pPr>
        <w:pStyle w:val="BodyText"/>
      </w:pPr>
      <w:r w:rsidRPr="00630BDF">
        <w:t xml:space="preserve">The participant survey will be administered to a representative sample of </w:t>
      </w:r>
      <w:r>
        <w:t>pre</w:t>
      </w:r>
      <w:r w:rsidRPr="00630BDF">
        <w:t xml:space="preserve">-service educators and a representative sample of </w:t>
      </w:r>
      <w:r>
        <w:t>in</w:t>
      </w:r>
      <w:r w:rsidRPr="00630BDF">
        <w:t xml:space="preserve">-service educators participating in activities provided by the 2016 and 2017 </w:t>
      </w:r>
      <w:r w:rsidRPr="00630BDF">
        <w:lastRenderedPageBreak/>
        <w:t xml:space="preserve">NPD grantees. </w:t>
      </w:r>
      <w:r w:rsidR="00AA74A1">
        <w:t xml:space="preserve">However, we will only sample among </w:t>
      </w:r>
      <w:r w:rsidR="003D73ED">
        <w:t xml:space="preserve">educators who participated in NPD activities </w:t>
      </w:r>
      <w:r w:rsidR="00A976A2">
        <w:t xml:space="preserve">in summer 2019 or more recently, to ensure </w:t>
      </w:r>
      <w:r w:rsidR="00220F29">
        <w:t xml:space="preserve">appropriate respondent recall of grant activities. </w:t>
      </w:r>
      <w:r w:rsidRPr="00630BDF">
        <w:t xml:space="preserve">For each sample, we will stratify the sampling frame by grantee. Within each stratum, we will systematically select educators from </w:t>
      </w:r>
      <w:r>
        <w:t>a master list of NPD participants (generated from the participant rosters collected from each grantee), which will be</w:t>
      </w:r>
      <w:r w:rsidRPr="00630BDF">
        <w:t xml:space="preserve"> sorted by any available educator characteristics to ensure that the selected educators represent different educator characteristics present in the population. We will allocate the sample proportionally with a guaranteed minimum sample size of 4 for each stratum. </w:t>
      </w:r>
      <w:r w:rsidRPr="003C782D" w:rsidR="003C782D">
        <w:t xml:space="preserve">We plan to select </w:t>
      </w:r>
      <w:r w:rsidR="00DA7F3D">
        <w:t>1,</w:t>
      </w:r>
      <w:r w:rsidR="0080753E">
        <w:t>400</w:t>
      </w:r>
      <w:r w:rsidRPr="003C782D" w:rsidR="0080753E">
        <w:t xml:space="preserve"> </w:t>
      </w:r>
      <w:r w:rsidRPr="003C782D" w:rsidR="003C782D">
        <w:t xml:space="preserve">preservice educators </w:t>
      </w:r>
      <w:r w:rsidRPr="003C782D" w:rsidR="00B9460C">
        <w:t>and 1</w:t>
      </w:r>
      <w:r w:rsidR="00B9460C">
        <w:t>,</w:t>
      </w:r>
      <w:r w:rsidR="0080753E">
        <w:t>5</w:t>
      </w:r>
      <w:r w:rsidRPr="003C782D" w:rsidR="0080753E">
        <w:t xml:space="preserve">00 </w:t>
      </w:r>
      <w:r w:rsidRPr="003C782D" w:rsidR="00B9460C">
        <w:t>in</w:t>
      </w:r>
      <w:r w:rsidR="00C32F7C">
        <w:noBreakHyphen/>
      </w:r>
      <w:r w:rsidRPr="003C782D" w:rsidR="00B9460C">
        <w:t>service educators</w:t>
      </w:r>
      <w:r w:rsidR="00395F7F">
        <w:t xml:space="preserve"> to include in the survey sample</w:t>
      </w:r>
      <w:r w:rsidRPr="003C782D" w:rsidR="003C782D">
        <w:t>.</w:t>
      </w:r>
    </w:p>
    <w:p w:rsidRPr="00E15689" w:rsidR="000646EF" w:rsidP="00E15689" w:rsidRDefault="000646EF" w14:paraId="71F5E37A" w14:textId="17C7F161">
      <w:pPr>
        <w:pStyle w:val="Heading4"/>
      </w:pPr>
      <w:bookmarkStart w:name="_Toc50566040" w:id="20"/>
      <w:bookmarkStart w:name="_Toc50625416" w:id="21"/>
      <w:r w:rsidRPr="00E15689">
        <w:t>Data Collection</w:t>
      </w:r>
      <w:bookmarkEnd w:id="20"/>
      <w:bookmarkEnd w:id="21"/>
    </w:p>
    <w:p w:rsidRPr="00C32F7C" w:rsidR="000774E7" w:rsidP="00E15689" w:rsidRDefault="000774E7" w14:paraId="5F18F3AB" w14:textId="49F909B3">
      <w:pPr>
        <w:pStyle w:val="BodyTextPostHead"/>
      </w:pPr>
      <w:proofErr w:type="spellStart"/>
      <w:r w:rsidRPr="00C32F7C">
        <w:rPr>
          <w:b/>
          <w:color w:val="17365D" w:themeColor="text2" w:themeShade="BF"/>
        </w:rPr>
        <w:t>Prefield</w:t>
      </w:r>
      <w:proofErr w:type="spellEnd"/>
      <w:r w:rsidRPr="00C32F7C">
        <w:rPr>
          <w:b/>
          <w:color w:val="17365D" w:themeColor="text2" w:themeShade="BF"/>
        </w:rPr>
        <w:t xml:space="preserve"> Activities</w:t>
      </w:r>
      <w:r w:rsidRPr="00C32F7C">
        <w:rPr>
          <w:b/>
          <w:bCs/>
        </w:rPr>
        <w:t>.</w:t>
      </w:r>
      <w:r w:rsidRPr="00C32F7C">
        <w:t xml:space="preserve"> For successful recruitment and data collection, we will employ a cascading process using a case ownership model for consistent outreach and documentation of the recruitment effort and data collection. In this model, the same staff person will “own” specific grantees throughout recruitment and data collection. This consistency facilitates relationship building and helps us quickly identify and mitigate any concerns throughout the data collection cycle. </w:t>
      </w:r>
    </w:p>
    <w:p w:rsidRPr="00DA62D2" w:rsidR="000774E7" w:rsidP="00E15689" w:rsidRDefault="000774E7" w14:paraId="5B48CD2C" w14:textId="56174373">
      <w:pPr>
        <w:pStyle w:val="BodyText"/>
      </w:pPr>
      <w:r w:rsidRPr="00D10991">
        <w:t>A toll</w:t>
      </w:r>
      <w:r>
        <w:t>-</w:t>
      </w:r>
      <w:r w:rsidRPr="00D10991">
        <w:t>free line and project e</w:t>
      </w:r>
      <w:r w:rsidR="00C32F7C">
        <w:noBreakHyphen/>
      </w:r>
      <w:r w:rsidRPr="00D10991">
        <w:t xml:space="preserve">mail account will be set up </w:t>
      </w:r>
      <w:r>
        <w:t>before</w:t>
      </w:r>
      <w:r w:rsidRPr="00D10991">
        <w:t xml:space="preserve"> any outreach to </w:t>
      </w:r>
      <w:r>
        <w:t>respondents</w:t>
      </w:r>
      <w:r w:rsidRPr="00D10991">
        <w:t xml:space="preserve"> to ensure effective communication. These accounts will be monitored</w:t>
      </w:r>
      <w:r>
        <w:t xml:space="preserve"> in</w:t>
      </w:r>
      <w:r w:rsidRPr="00D10991">
        <w:t xml:space="preserve"> real time during typical business hours, and </w:t>
      </w:r>
      <w:r w:rsidR="00D14B96">
        <w:t>responses</w:t>
      </w:r>
      <w:r w:rsidRPr="00D10991" w:rsidR="00D14B96">
        <w:t xml:space="preserve"> </w:t>
      </w:r>
      <w:r w:rsidRPr="00D10991">
        <w:t xml:space="preserve">will be </w:t>
      </w:r>
      <w:r w:rsidR="00D14B96">
        <w:t>sent in response to all inquiries</w:t>
      </w:r>
      <w:r w:rsidRPr="00D10991" w:rsidR="00D14B96">
        <w:t xml:space="preserve"> </w:t>
      </w:r>
      <w:r w:rsidRPr="00D10991">
        <w:t>within 24 hours (business days).</w:t>
      </w:r>
    </w:p>
    <w:p w:rsidR="000774E7" w:rsidP="00E15689" w:rsidRDefault="001C3595" w14:paraId="12F3F9F6" w14:textId="5774E1A3">
      <w:pPr>
        <w:pStyle w:val="BodyText"/>
      </w:pPr>
      <w:r>
        <w:rPr>
          <w:b/>
          <w:color w:val="17365D" w:themeColor="text2" w:themeShade="BF"/>
        </w:rPr>
        <w:t xml:space="preserve">NPD </w:t>
      </w:r>
      <w:r w:rsidRPr="00895ABB" w:rsidR="000774E7">
        <w:rPr>
          <w:b/>
          <w:color w:val="17365D" w:themeColor="text2" w:themeShade="BF"/>
        </w:rPr>
        <w:t>Grantee Notification</w:t>
      </w:r>
      <w:r w:rsidR="003918A1">
        <w:rPr>
          <w:b/>
          <w:color w:val="17365D" w:themeColor="text2" w:themeShade="BF"/>
        </w:rPr>
        <w:t xml:space="preserve"> </w:t>
      </w:r>
      <w:r w:rsidR="009201AB">
        <w:rPr>
          <w:b/>
          <w:color w:val="17365D" w:themeColor="text2" w:themeShade="BF"/>
        </w:rPr>
        <w:t>and Survey Administration</w:t>
      </w:r>
      <w:r w:rsidRPr="00071C91" w:rsidR="000774E7">
        <w:rPr>
          <w:b/>
          <w:i/>
        </w:rPr>
        <w:t>.</w:t>
      </w:r>
      <w:r w:rsidRPr="00DA62D2" w:rsidR="000774E7">
        <w:t xml:space="preserve"> </w:t>
      </w:r>
      <w:r w:rsidR="000774E7">
        <w:t xml:space="preserve">To begin the recruitment process following </w:t>
      </w:r>
      <w:r w:rsidRPr="00895ABB" w:rsidR="000774E7">
        <w:t>OMB approval (expected early 20</w:t>
      </w:r>
      <w:r w:rsidR="000774E7">
        <w:t>21</w:t>
      </w:r>
      <w:r w:rsidRPr="00895ABB" w:rsidR="000774E7">
        <w:t>)</w:t>
      </w:r>
      <w:r w:rsidR="000774E7">
        <w:t>, the Department will send a letter to the project directors for all 91 grantees</w:t>
      </w:r>
      <w:r w:rsidRPr="00D10991" w:rsidR="000774E7">
        <w:t xml:space="preserve"> </w:t>
      </w:r>
      <w:r w:rsidR="00D14B96">
        <w:t>that explains</w:t>
      </w:r>
      <w:r w:rsidRPr="00D10991" w:rsidR="00D14B96">
        <w:t xml:space="preserve"> </w:t>
      </w:r>
      <w:r w:rsidRPr="00D10991" w:rsidR="000774E7">
        <w:t>the study</w:t>
      </w:r>
      <w:r w:rsidR="000774E7">
        <w:t xml:space="preserve">, </w:t>
      </w:r>
      <w:r w:rsidRPr="00D10991" w:rsidR="000774E7">
        <w:t xml:space="preserve">the timeline of </w:t>
      </w:r>
      <w:r w:rsidR="000774E7">
        <w:t xml:space="preserve">study </w:t>
      </w:r>
      <w:r w:rsidRPr="00D10991" w:rsidR="000774E7">
        <w:t>activities</w:t>
      </w:r>
      <w:r w:rsidR="000774E7">
        <w:t>, and the participation we will be requesting of</w:t>
      </w:r>
      <w:r w:rsidRPr="00D10991" w:rsidR="000774E7">
        <w:t xml:space="preserve"> grantees. </w:t>
      </w:r>
      <w:r w:rsidR="000774E7">
        <w:t xml:space="preserve">This letter </w:t>
      </w:r>
      <w:r w:rsidRPr="00417CBC" w:rsidR="000774E7">
        <w:t xml:space="preserve">also </w:t>
      </w:r>
      <w:r w:rsidRPr="00D10991" w:rsidR="000774E7">
        <w:t xml:space="preserve">will include the contact information for </w:t>
      </w:r>
      <w:r w:rsidR="000774E7">
        <w:t>study</w:t>
      </w:r>
      <w:r w:rsidRPr="00D10991" w:rsidR="000774E7">
        <w:t xml:space="preserve"> leadership, in </w:t>
      </w:r>
      <w:r w:rsidR="00D14B96">
        <w:t>case participants have</w:t>
      </w:r>
      <w:r w:rsidRPr="00D10991" w:rsidR="000774E7">
        <w:t xml:space="preserve"> questions.</w:t>
      </w:r>
    </w:p>
    <w:p w:rsidRPr="001C5BDE" w:rsidR="000774E7" w:rsidP="00E15689" w:rsidRDefault="000774E7" w14:paraId="21B24175" w14:textId="5148615C">
      <w:pPr>
        <w:pStyle w:val="BodyText"/>
      </w:pPr>
      <w:r>
        <w:t xml:space="preserve">The grantee </w:t>
      </w:r>
      <w:r w:rsidRPr="00895ABB">
        <w:t xml:space="preserve">survey will be administered </w:t>
      </w:r>
      <w:r>
        <w:t>online</w:t>
      </w:r>
      <w:r w:rsidRPr="00895ABB">
        <w:t xml:space="preserve"> using the </w:t>
      </w:r>
      <w:r>
        <w:t>SurveyMonkey</w:t>
      </w:r>
      <w:r w:rsidR="00D14B96">
        <w:t>®</w:t>
      </w:r>
      <w:r w:rsidRPr="00895ABB">
        <w:t xml:space="preserve"> platform</w:t>
      </w:r>
      <w:r>
        <w:t>. F</w:t>
      </w:r>
      <w:r w:rsidRPr="00895ABB">
        <w:t xml:space="preserve">or security purposes, </w:t>
      </w:r>
      <w:r>
        <w:t xml:space="preserve">the platform </w:t>
      </w:r>
      <w:r w:rsidRPr="00895ABB">
        <w:t xml:space="preserve">will require a unique </w:t>
      </w:r>
      <w:r w:rsidR="00D14B96">
        <w:t>hyper</w:t>
      </w:r>
      <w:r>
        <w:t>link to access</w:t>
      </w:r>
      <w:r w:rsidRPr="00895ABB">
        <w:t>.</w:t>
      </w:r>
      <w:r>
        <w:t xml:space="preserve"> As noted earlier, a</w:t>
      </w:r>
      <w:r w:rsidRPr="00D10991">
        <w:t xml:space="preserve"> toll</w:t>
      </w:r>
      <w:r>
        <w:t>-</w:t>
      </w:r>
      <w:r w:rsidRPr="00D10991">
        <w:t xml:space="preserve">free line and </w:t>
      </w:r>
      <w:r w:rsidR="00D14B96">
        <w:t xml:space="preserve">a </w:t>
      </w:r>
      <w:r w:rsidRPr="00D10991">
        <w:t>project e</w:t>
      </w:r>
      <w:r w:rsidR="00C32F7C">
        <w:noBreakHyphen/>
      </w:r>
      <w:r w:rsidRPr="00D10991">
        <w:t xml:space="preserve">mail account will be set up </w:t>
      </w:r>
      <w:r>
        <w:t>before</w:t>
      </w:r>
      <w:r w:rsidRPr="00D10991">
        <w:t xml:space="preserve"> any outreach to </w:t>
      </w:r>
      <w:r>
        <w:t xml:space="preserve">grantees. </w:t>
      </w:r>
      <w:r w:rsidR="00D14B96">
        <w:t xml:space="preserve">If </w:t>
      </w:r>
      <w:r>
        <w:t>respondents encounter problems with the survey, a member of the survey administration team will respond within 24 hours.</w:t>
      </w:r>
    </w:p>
    <w:p w:rsidR="000774E7" w:rsidP="00E15689" w:rsidRDefault="000774E7" w14:paraId="4E85F2AE" w14:textId="2225C430">
      <w:pPr>
        <w:pStyle w:val="BodyText"/>
      </w:pPr>
      <w:r>
        <w:t>Once the Department has issued a notification letter to grantee project directors, the AIR research team will send a follow-up e</w:t>
      </w:r>
      <w:r w:rsidR="00C32F7C">
        <w:noBreakHyphen/>
      </w:r>
      <w:r>
        <w:t>mail wi</w:t>
      </w:r>
      <w:r w:rsidRPr="00895ABB">
        <w:t xml:space="preserve">th information about the study </w:t>
      </w:r>
      <w:r w:rsidR="00D14B96">
        <w:t>along with</w:t>
      </w:r>
      <w:r w:rsidRPr="00895ABB" w:rsidR="00D14B96">
        <w:t xml:space="preserve"> </w:t>
      </w:r>
      <w:r w:rsidRPr="00385484">
        <w:t>instructions</w:t>
      </w:r>
      <w:r w:rsidRPr="00895ABB">
        <w:t xml:space="preserve"> </w:t>
      </w:r>
      <w:r w:rsidR="00D14B96">
        <w:t>on</w:t>
      </w:r>
      <w:r w:rsidRPr="00895ABB" w:rsidR="00D14B96">
        <w:t xml:space="preserve"> </w:t>
      </w:r>
      <w:r w:rsidRPr="00895ABB">
        <w:t xml:space="preserve">how to complete the survey, including the </w:t>
      </w:r>
      <w:r>
        <w:t>survey</w:t>
      </w:r>
      <w:r w:rsidRPr="00895ABB">
        <w:t xml:space="preserve"> web link and login information</w:t>
      </w:r>
      <w:r>
        <w:t>. R</w:t>
      </w:r>
      <w:r w:rsidRPr="00895ABB">
        <w:t xml:space="preserve">esearch staff will monitor the rates of completion, conducting nonresponse prompting efforts </w:t>
      </w:r>
      <w:r w:rsidR="00D14B96">
        <w:t>by</w:t>
      </w:r>
      <w:r w:rsidRPr="00895ABB" w:rsidR="00D14B96">
        <w:t xml:space="preserve"> </w:t>
      </w:r>
      <w:r w:rsidRPr="00895ABB">
        <w:t>telephone and e</w:t>
      </w:r>
      <w:r w:rsidR="00C32F7C">
        <w:noBreakHyphen/>
      </w:r>
      <w:r w:rsidRPr="00895ABB">
        <w:t xml:space="preserve">mail. Information regarding the status of individual cases will be monitored </w:t>
      </w:r>
      <w:r w:rsidR="00257324">
        <w:t>through</w:t>
      </w:r>
      <w:r w:rsidRPr="00895ABB" w:rsidR="00257324">
        <w:t xml:space="preserve"> </w:t>
      </w:r>
      <w:r>
        <w:t>a tracking sheet that logs each communication attempt with respondents</w:t>
      </w:r>
      <w:r w:rsidRPr="00895ABB">
        <w:t xml:space="preserve">. </w:t>
      </w:r>
      <w:r>
        <w:t>Specifically, staff</w:t>
      </w:r>
      <w:r w:rsidRPr="00895ABB">
        <w:t xml:space="preserve"> will </w:t>
      </w:r>
      <w:r>
        <w:t>send weekly reminder</w:t>
      </w:r>
      <w:r w:rsidRPr="00895ABB">
        <w:t xml:space="preserve"> e</w:t>
      </w:r>
      <w:r w:rsidR="00C32F7C">
        <w:noBreakHyphen/>
      </w:r>
      <w:r w:rsidRPr="00895ABB">
        <w:t>mail</w:t>
      </w:r>
      <w:r>
        <w:t>s</w:t>
      </w:r>
      <w:r w:rsidRPr="00895ABB">
        <w:t xml:space="preserve"> and </w:t>
      </w:r>
      <w:r w:rsidR="00257324">
        <w:t xml:space="preserve">will </w:t>
      </w:r>
      <w:r>
        <w:t xml:space="preserve">follow up with nonresponding grantees by </w:t>
      </w:r>
      <w:r w:rsidRPr="00895ABB">
        <w:t xml:space="preserve">phone </w:t>
      </w:r>
      <w:r>
        <w:t>at least twice to encourage their response</w:t>
      </w:r>
      <w:r w:rsidRPr="00895ABB">
        <w:t xml:space="preserve">. </w:t>
      </w:r>
    </w:p>
    <w:p w:rsidR="00B210A3" w:rsidP="00E15689" w:rsidRDefault="001C3595" w14:paraId="34A1E03A" w14:textId="3C6CDBE3">
      <w:pPr>
        <w:pStyle w:val="BodyText"/>
      </w:pPr>
      <w:r>
        <w:rPr>
          <w:b/>
          <w:color w:val="17365D" w:themeColor="text2" w:themeShade="BF"/>
        </w:rPr>
        <w:t xml:space="preserve">NPD </w:t>
      </w:r>
      <w:r w:rsidRPr="00112D7C" w:rsidR="00B210A3">
        <w:rPr>
          <w:b/>
          <w:color w:val="17365D" w:themeColor="text2" w:themeShade="BF"/>
        </w:rPr>
        <w:t xml:space="preserve">Participant </w:t>
      </w:r>
      <w:r w:rsidRPr="00112D7C" w:rsidR="000C3865">
        <w:rPr>
          <w:b/>
          <w:color w:val="17365D" w:themeColor="text2" w:themeShade="BF"/>
        </w:rPr>
        <w:t>Notification and Survey Administration</w:t>
      </w:r>
      <w:r w:rsidR="000C3865">
        <w:t xml:space="preserve">. </w:t>
      </w:r>
      <w:r w:rsidR="00112D7C">
        <w:t xml:space="preserve">To </w:t>
      </w:r>
      <w:r w:rsidRPr="00971D4A" w:rsidR="00971D4A">
        <w:t xml:space="preserve">identify </w:t>
      </w:r>
      <w:r w:rsidR="00971D4A">
        <w:t>NPD participants</w:t>
      </w:r>
      <w:r w:rsidRPr="00971D4A" w:rsidR="00971D4A">
        <w:t xml:space="preserve"> to be surveyed, we will </w:t>
      </w:r>
      <w:r w:rsidR="003932B8">
        <w:t>contact</w:t>
      </w:r>
      <w:r w:rsidRPr="00971D4A" w:rsidR="00971D4A">
        <w:t xml:space="preserve"> the </w:t>
      </w:r>
      <w:r w:rsidR="00663844">
        <w:t>NPD grantee project director to collect participant</w:t>
      </w:r>
      <w:r w:rsidRPr="00971D4A" w:rsidR="00971D4A">
        <w:t xml:space="preserve"> roster data</w:t>
      </w:r>
      <w:r w:rsidR="00F13D5A">
        <w:t xml:space="preserve"> for each year in which </w:t>
      </w:r>
      <w:r w:rsidR="00E87FA7">
        <w:t>their grant project delivered professional learning activities to educators</w:t>
      </w:r>
      <w:r w:rsidRPr="00971D4A" w:rsidR="00971D4A">
        <w:t xml:space="preserve">. </w:t>
      </w:r>
      <w:r w:rsidR="001334B9">
        <w:t>The project directors</w:t>
      </w:r>
      <w:r w:rsidRPr="00971D4A" w:rsidR="00971D4A">
        <w:t xml:space="preserve"> will be </w:t>
      </w:r>
      <w:r w:rsidR="003932B8">
        <w:t>given</w:t>
      </w:r>
      <w:r w:rsidRPr="00971D4A" w:rsidR="00971D4A">
        <w:t xml:space="preserve"> a simple form to complete and will be asked to provide </w:t>
      </w:r>
      <w:r w:rsidR="00764470">
        <w:t>participants’</w:t>
      </w:r>
      <w:r w:rsidRPr="00971D4A" w:rsidR="00971D4A">
        <w:t xml:space="preserve"> names</w:t>
      </w:r>
      <w:r w:rsidR="00764470">
        <w:t xml:space="preserve">, </w:t>
      </w:r>
      <w:r w:rsidRPr="00971D4A" w:rsidR="00971D4A">
        <w:t xml:space="preserve">background characteristics </w:t>
      </w:r>
      <w:r w:rsidR="00764470">
        <w:t>(e.g.,</w:t>
      </w:r>
      <w:r w:rsidRPr="00971D4A" w:rsidR="00971D4A">
        <w:t xml:space="preserve"> </w:t>
      </w:r>
      <w:r w:rsidR="0078323A">
        <w:t>whether they</w:t>
      </w:r>
      <w:r w:rsidR="00474F01">
        <w:t xml:space="preserve"> are a preservice or in-service participant</w:t>
      </w:r>
      <w:r w:rsidR="00764470">
        <w:t>), and e</w:t>
      </w:r>
      <w:r w:rsidR="00C32F7C">
        <w:noBreakHyphen/>
      </w:r>
      <w:r w:rsidR="00764470">
        <w:t>mail addresses</w:t>
      </w:r>
      <w:r w:rsidRPr="00971D4A" w:rsidR="00971D4A">
        <w:t xml:space="preserve">. </w:t>
      </w:r>
      <w:r w:rsidR="001334B9">
        <w:t>Project directors</w:t>
      </w:r>
      <w:r w:rsidRPr="00971D4A" w:rsidR="00971D4A">
        <w:t xml:space="preserve"> will be asked to complete the form (a spreadsheet template) within 5 business days</w:t>
      </w:r>
      <w:r w:rsidR="00721D28">
        <w:t xml:space="preserve"> (see Appendix </w:t>
      </w:r>
      <w:r w:rsidRPr="000D496B" w:rsidR="000D496B">
        <w:t>D</w:t>
      </w:r>
      <w:r w:rsidR="00721D28">
        <w:t xml:space="preserve"> for </w:t>
      </w:r>
      <w:r w:rsidR="00660B6D">
        <w:t>the Participant Roster Request form)</w:t>
      </w:r>
      <w:r w:rsidRPr="00971D4A" w:rsidR="00971D4A">
        <w:t xml:space="preserve">. Upon receipt of the roster information, the </w:t>
      </w:r>
      <w:r w:rsidR="00B45E71">
        <w:t xml:space="preserve">AIR </w:t>
      </w:r>
      <w:r w:rsidRPr="00971D4A" w:rsidR="00971D4A">
        <w:t xml:space="preserve">study team will review </w:t>
      </w:r>
      <w:r w:rsidR="003932B8">
        <w:t>the form</w:t>
      </w:r>
      <w:r w:rsidRPr="00971D4A" w:rsidR="00971D4A">
        <w:t xml:space="preserve"> for completeness</w:t>
      </w:r>
      <w:r w:rsidR="00166E43">
        <w:t xml:space="preserve">. When clarification is needed, a </w:t>
      </w:r>
      <w:r w:rsidR="003B263A">
        <w:t>grantee’s</w:t>
      </w:r>
      <w:r w:rsidRPr="00971D4A" w:rsidR="00971D4A">
        <w:t xml:space="preserve"> </w:t>
      </w:r>
      <w:r w:rsidR="003B263A">
        <w:t>case</w:t>
      </w:r>
      <w:r w:rsidRPr="00971D4A" w:rsidR="003B263A">
        <w:t xml:space="preserve"> </w:t>
      </w:r>
      <w:r w:rsidR="003B263A">
        <w:t>m</w:t>
      </w:r>
      <w:r w:rsidRPr="00971D4A" w:rsidR="003B263A">
        <w:t xml:space="preserve">anager </w:t>
      </w:r>
      <w:r w:rsidR="003B263A">
        <w:t xml:space="preserve">will follow up with </w:t>
      </w:r>
      <w:r w:rsidR="003932B8">
        <w:t xml:space="preserve">the </w:t>
      </w:r>
      <w:r w:rsidR="00B60C22">
        <w:t>project director</w:t>
      </w:r>
      <w:r w:rsidRPr="00971D4A" w:rsidR="00971D4A">
        <w:t>. Once the roster</w:t>
      </w:r>
      <w:r w:rsidR="00B60C22">
        <w:t>s</w:t>
      </w:r>
      <w:r w:rsidRPr="00971D4A" w:rsidR="00971D4A">
        <w:t xml:space="preserve"> </w:t>
      </w:r>
      <w:r w:rsidR="00B60C22">
        <w:t>are</w:t>
      </w:r>
      <w:r w:rsidRPr="00971D4A" w:rsidR="00971D4A">
        <w:t xml:space="preserve"> final</w:t>
      </w:r>
      <w:r w:rsidR="00B60C22">
        <w:t>ized</w:t>
      </w:r>
      <w:r w:rsidR="0066090B">
        <w:t xml:space="preserve"> and the sample is drawn</w:t>
      </w:r>
      <w:r w:rsidRPr="00971D4A" w:rsidR="00971D4A">
        <w:t>,</w:t>
      </w:r>
      <w:r w:rsidR="0066090B">
        <w:t xml:space="preserve"> the survey team will load</w:t>
      </w:r>
      <w:r w:rsidRPr="00971D4A" w:rsidR="00971D4A">
        <w:t xml:space="preserve"> </w:t>
      </w:r>
      <w:r w:rsidR="0066090B">
        <w:t>survey</w:t>
      </w:r>
      <w:r w:rsidRPr="00971D4A" w:rsidR="00971D4A">
        <w:t xml:space="preserve"> </w:t>
      </w:r>
      <w:r w:rsidR="00B60C22">
        <w:lastRenderedPageBreak/>
        <w:t>participants</w:t>
      </w:r>
      <w:r w:rsidR="00B95688">
        <w:t xml:space="preserve">’ </w:t>
      </w:r>
      <w:r w:rsidR="00C91723">
        <w:t>e</w:t>
      </w:r>
      <w:r w:rsidR="00C32F7C">
        <w:noBreakHyphen/>
      </w:r>
      <w:r w:rsidR="00C91723">
        <w:t>mail addresses</w:t>
      </w:r>
      <w:r w:rsidRPr="00971D4A" w:rsidR="00971D4A">
        <w:t xml:space="preserve"> into the</w:t>
      </w:r>
      <w:r w:rsidR="00C91723">
        <w:t xml:space="preserve"> secure</w:t>
      </w:r>
      <w:r w:rsidRPr="00971D4A" w:rsidR="00971D4A">
        <w:t xml:space="preserve"> </w:t>
      </w:r>
      <w:r w:rsidR="00B95688">
        <w:t>survey software</w:t>
      </w:r>
      <w:r w:rsidRPr="00971D4A" w:rsidR="00971D4A">
        <w:t>,</w:t>
      </w:r>
      <w:r w:rsidR="00C91723">
        <w:t xml:space="preserve"> generate</w:t>
      </w:r>
      <w:r w:rsidRPr="00971D4A" w:rsidR="00971D4A">
        <w:t xml:space="preserve"> unique </w:t>
      </w:r>
      <w:r w:rsidR="003932B8">
        <w:t>identification numbers</w:t>
      </w:r>
      <w:r w:rsidRPr="00971D4A" w:rsidR="00971D4A">
        <w:t xml:space="preserve"> and survey </w:t>
      </w:r>
      <w:r w:rsidR="00AF4CAE">
        <w:t>links</w:t>
      </w:r>
      <w:r w:rsidRPr="00971D4A" w:rsidR="00971D4A">
        <w:t xml:space="preserve">, and </w:t>
      </w:r>
      <w:r w:rsidR="00F12032">
        <w:t xml:space="preserve">prepare </w:t>
      </w:r>
      <w:r w:rsidRPr="00971D4A" w:rsidR="00971D4A">
        <w:t xml:space="preserve">survey </w:t>
      </w:r>
      <w:r w:rsidR="00643E69">
        <w:t>notification e</w:t>
      </w:r>
      <w:r w:rsidR="00C32F7C">
        <w:noBreakHyphen/>
      </w:r>
      <w:r w:rsidR="00643E69">
        <w:t>mails</w:t>
      </w:r>
      <w:r w:rsidRPr="00971D4A" w:rsidR="00971D4A">
        <w:t>.</w:t>
      </w:r>
    </w:p>
    <w:p w:rsidRPr="00895ABB" w:rsidR="001C3595" w:rsidP="00E15689" w:rsidRDefault="001C3595" w14:paraId="34D930B9" w14:textId="687531AB">
      <w:pPr>
        <w:pStyle w:val="BodyText"/>
      </w:pPr>
      <w:r>
        <w:t>As with the grantee survey</w:t>
      </w:r>
      <w:r w:rsidR="00725E53">
        <w:t>, the participant survey will be administered online through the SurveyMonkey</w:t>
      </w:r>
      <w:r w:rsidR="003932B8">
        <w:t>®</w:t>
      </w:r>
      <w:r w:rsidR="00725E53">
        <w:t xml:space="preserve"> platform. </w:t>
      </w:r>
      <w:r w:rsidR="00DF7D89">
        <w:t>Respo</w:t>
      </w:r>
      <w:r w:rsidR="008565D8">
        <w:t>ndents will receive an e</w:t>
      </w:r>
      <w:r w:rsidR="00C32F7C">
        <w:noBreakHyphen/>
      </w:r>
      <w:r w:rsidR="008565D8">
        <w:t>mail with</w:t>
      </w:r>
      <w:r w:rsidRPr="00DF7D89" w:rsidR="00DF7D89">
        <w:t xml:space="preserve"> information about the study </w:t>
      </w:r>
      <w:r w:rsidR="0044301D">
        <w:t>along with</w:t>
      </w:r>
      <w:r w:rsidRPr="00DF7D89" w:rsidR="00DF7D89">
        <w:t xml:space="preserve"> instructions </w:t>
      </w:r>
      <w:r w:rsidR="0044301D">
        <w:t>on</w:t>
      </w:r>
      <w:r w:rsidRPr="00DF7D89" w:rsidR="00DF7D89">
        <w:t xml:space="preserve"> how to complete the survey, including the survey web link and log</w:t>
      </w:r>
      <w:r w:rsidR="0044301D">
        <w:noBreakHyphen/>
      </w:r>
      <w:r w:rsidRPr="00DF7D89" w:rsidR="00DF7D89">
        <w:t xml:space="preserve">in information. </w:t>
      </w:r>
      <w:r w:rsidR="0052085D">
        <w:t xml:space="preserve">Correspondence to participants regarding their participation in the study will </w:t>
      </w:r>
      <w:r w:rsidRPr="00CE003A" w:rsidR="00CE003A">
        <w:t xml:space="preserve">include a statement indicating that participation is voluntary but will also emphasize the importance of each response for the </w:t>
      </w:r>
      <w:r w:rsidR="0045419D">
        <w:t>study’s</w:t>
      </w:r>
      <w:r w:rsidRPr="00CE003A" w:rsidR="00CE003A">
        <w:t xml:space="preserve"> findings. </w:t>
      </w:r>
      <w:r w:rsidRPr="00DF7D89" w:rsidR="00DF7D89">
        <w:t xml:space="preserve">Research staff will monitor </w:t>
      </w:r>
      <w:r w:rsidR="008565D8">
        <w:t>response rates</w:t>
      </w:r>
      <w:r w:rsidR="002A38D6">
        <w:t xml:space="preserve"> and </w:t>
      </w:r>
      <w:r w:rsidRPr="00DF7D89" w:rsidR="00DF7D89">
        <w:t xml:space="preserve">send </w:t>
      </w:r>
      <w:r w:rsidR="0045419D">
        <w:t>regular</w:t>
      </w:r>
      <w:r w:rsidRPr="00DF7D89" w:rsidR="00DF7D89">
        <w:t xml:space="preserve"> reminder e</w:t>
      </w:r>
      <w:r w:rsidR="00C32F7C">
        <w:noBreakHyphen/>
      </w:r>
      <w:r w:rsidRPr="00DF7D89" w:rsidR="00DF7D89">
        <w:t>mails</w:t>
      </w:r>
      <w:r w:rsidR="002A38D6">
        <w:t xml:space="preserve">. </w:t>
      </w:r>
      <w:r w:rsidR="00D32ACD">
        <w:t xml:space="preserve">To help boost response rates, the study team </w:t>
      </w:r>
      <w:r w:rsidR="00F704A2">
        <w:t>may</w:t>
      </w:r>
      <w:r w:rsidR="00D32ACD">
        <w:t xml:space="preserve"> ask NPD project directors </w:t>
      </w:r>
      <w:r w:rsidR="00F704A2">
        <w:t xml:space="preserve">or partners to sign a letter of endorsement </w:t>
      </w:r>
      <w:r w:rsidR="00C46DE6">
        <w:t>encouraging their participants to complete the survey.</w:t>
      </w:r>
    </w:p>
    <w:p w:rsidR="009D535F" w:rsidP="00616980" w:rsidRDefault="002670F6" w14:paraId="4A480F19" w14:textId="79A997ED">
      <w:pPr>
        <w:pStyle w:val="Heading4"/>
      </w:pPr>
      <w:bookmarkStart w:name="_Toc50566041" w:id="22"/>
      <w:bookmarkStart w:name="_Toc50625417" w:id="23"/>
      <w:r>
        <w:t>Estimation Procedures</w:t>
      </w:r>
      <w:bookmarkEnd w:id="22"/>
      <w:bookmarkEnd w:id="23"/>
    </w:p>
    <w:p w:rsidR="006B1561" w:rsidP="00E15689" w:rsidRDefault="0091502B" w14:paraId="390434A2" w14:textId="77777777">
      <w:pPr>
        <w:pStyle w:val="BodyTextPostHead"/>
      </w:pPr>
      <w:r w:rsidRPr="0091502B">
        <w:t xml:space="preserve">We will describe implementation </w:t>
      </w:r>
      <w:r>
        <w:t xml:space="preserve">of the NPD program </w:t>
      </w:r>
      <w:r w:rsidRPr="0091502B">
        <w:t xml:space="preserve">through descriptive analyses that draw on </w:t>
      </w:r>
      <w:r w:rsidR="006D0CDE">
        <w:t>the application review</w:t>
      </w:r>
      <w:r w:rsidR="00D949E6">
        <w:t xml:space="preserve"> data</w:t>
      </w:r>
      <w:r w:rsidRPr="0091502B">
        <w:t xml:space="preserve">, grantee </w:t>
      </w:r>
      <w:r w:rsidR="006D0CDE">
        <w:t>survey data</w:t>
      </w:r>
      <w:r w:rsidRPr="0091502B">
        <w:t xml:space="preserve">, </w:t>
      </w:r>
      <w:r w:rsidR="00EB5557">
        <w:t>participant</w:t>
      </w:r>
      <w:r w:rsidRPr="0091502B">
        <w:t xml:space="preserve"> survey data, and grantee </w:t>
      </w:r>
      <w:r w:rsidR="00D949E6">
        <w:t>performance report</w:t>
      </w:r>
      <w:r w:rsidRPr="0091502B">
        <w:t xml:space="preserve"> data. </w:t>
      </w:r>
    </w:p>
    <w:p w:rsidR="0091555E" w:rsidP="00E15689" w:rsidRDefault="006B1561" w14:paraId="2CB943D5" w14:textId="5739F752">
      <w:pPr>
        <w:pStyle w:val="BodyText"/>
      </w:pPr>
      <w:r w:rsidRPr="006B1561">
        <w:rPr>
          <w:b/>
          <w:color w:val="17365D" w:themeColor="text2" w:themeShade="BF"/>
        </w:rPr>
        <w:t>Grantee data.</w:t>
      </w:r>
      <w:r>
        <w:t xml:space="preserve"> </w:t>
      </w:r>
      <w:r w:rsidR="0091555E">
        <w:t>For grantee-level data</w:t>
      </w:r>
      <w:r w:rsidR="00A115ED">
        <w:t xml:space="preserve"> from the survey</w:t>
      </w:r>
      <w:r w:rsidR="00C658C3">
        <w:t>, application review, and performance reports</w:t>
      </w:r>
      <w:r w:rsidR="0091555E">
        <w:t xml:space="preserve">, we will </w:t>
      </w:r>
      <w:r w:rsidR="00C658C3">
        <w:t xml:space="preserve">primarily </w:t>
      </w:r>
      <w:r w:rsidR="00187406">
        <w:t>report unweighted means</w:t>
      </w:r>
      <w:r w:rsidR="0098427C">
        <w:t xml:space="preserve"> because we will </w:t>
      </w:r>
      <w:r w:rsidR="00453FCE">
        <w:t xml:space="preserve">have </w:t>
      </w:r>
      <w:r w:rsidR="00501A52">
        <w:t>data</w:t>
      </w:r>
      <w:r w:rsidR="00453FCE">
        <w:t xml:space="preserve"> from the universe of grantees</w:t>
      </w:r>
      <w:r w:rsidR="00BC7F39">
        <w:t xml:space="preserve">. In some cases, we will </w:t>
      </w:r>
      <w:r w:rsidR="00103854">
        <w:t xml:space="preserve">disaggregate the </w:t>
      </w:r>
      <w:r w:rsidR="00BC70DD">
        <w:t xml:space="preserve">data according to </w:t>
      </w:r>
      <w:r w:rsidR="009822C4">
        <w:t xml:space="preserve">policy-relevant subpopulations, such as </w:t>
      </w:r>
      <w:r w:rsidR="00EB0550">
        <w:t>grantees</w:t>
      </w:r>
      <w:r w:rsidR="00E00A8B">
        <w:t xml:space="preserve"> </w:t>
      </w:r>
      <w:r w:rsidR="0044301D">
        <w:t>who</w:t>
      </w:r>
      <w:r w:rsidR="00E00A8B">
        <w:t xml:space="preserve"> served particular types of participants</w:t>
      </w:r>
      <w:r w:rsidR="003E4F82">
        <w:t xml:space="preserve"> (e.g., preservice teachers vs. only in-service teachers, </w:t>
      </w:r>
      <w:r w:rsidR="00FD45DD">
        <w:t>EL specialists vs</w:t>
      </w:r>
      <w:r w:rsidR="0044301D">
        <w:t>.</w:t>
      </w:r>
      <w:r w:rsidR="00FD45DD">
        <w:t xml:space="preserve"> general education or content area teachers)</w:t>
      </w:r>
      <w:r w:rsidR="0092377E">
        <w:t xml:space="preserve">, grantees </w:t>
      </w:r>
      <w:r w:rsidR="0044301D">
        <w:t>who</w:t>
      </w:r>
      <w:r w:rsidR="004A32F2">
        <w:t xml:space="preserve"> </w:t>
      </w:r>
      <w:r w:rsidR="0004262F">
        <w:t xml:space="preserve">provided </w:t>
      </w:r>
      <w:r w:rsidR="000546B4">
        <w:t>specific types of activities (e.g., coursework vs</w:t>
      </w:r>
      <w:r w:rsidR="00B73459">
        <w:t>.</w:t>
      </w:r>
      <w:r w:rsidR="000546B4">
        <w:t xml:space="preserve"> </w:t>
      </w:r>
      <w:r w:rsidR="00053F93">
        <w:t xml:space="preserve">job-embedded coaching), </w:t>
      </w:r>
      <w:r w:rsidR="001667A7">
        <w:t xml:space="preserve">or grantees </w:t>
      </w:r>
      <w:r w:rsidR="0044301D">
        <w:t>who</w:t>
      </w:r>
      <w:r w:rsidR="001667A7">
        <w:t xml:space="preserve"> provided </w:t>
      </w:r>
      <w:r w:rsidR="00C20994">
        <w:t>professional development of varying levels of intensity</w:t>
      </w:r>
      <w:r w:rsidR="0051478D">
        <w:t>.</w:t>
      </w:r>
    </w:p>
    <w:p w:rsidR="008F2BC4" w:rsidP="00E15689" w:rsidRDefault="006B1561" w14:paraId="50AD5A10" w14:textId="1176A6FA">
      <w:pPr>
        <w:pStyle w:val="BodyText"/>
      </w:pPr>
      <w:r w:rsidRPr="006B1561">
        <w:rPr>
          <w:b/>
          <w:color w:val="17365D" w:themeColor="text2" w:themeShade="BF"/>
        </w:rPr>
        <w:t>Participant data.</w:t>
      </w:r>
      <w:r>
        <w:t xml:space="preserve"> </w:t>
      </w:r>
      <w:r w:rsidR="008F2BC4">
        <w:t>For the p</w:t>
      </w:r>
      <w:r w:rsidR="007E62B9">
        <w:t>articipant survey data, we will report weighted means.</w:t>
      </w:r>
      <w:r w:rsidR="00AF15B0">
        <w:t xml:space="preserve"> </w:t>
      </w:r>
      <w:r w:rsidR="006E4C26">
        <w:t xml:space="preserve">For some analyses, the participant survey data will </w:t>
      </w:r>
      <w:r w:rsidR="00863A04">
        <w:t xml:space="preserve">be reported separately for preservice and </w:t>
      </w:r>
      <w:r w:rsidR="006B0969">
        <w:t>in-service</w:t>
      </w:r>
      <w:r w:rsidR="000576F1">
        <w:t xml:space="preserve"> teacher participants</w:t>
      </w:r>
      <w:r w:rsidR="006A719D">
        <w:t>. For instance, preservice teachers’ reports</w:t>
      </w:r>
      <w:r w:rsidR="005E5254">
        <w:t xml:space="preserve"> about their preparation experiences related to </w:t>
      </w:r>
      <w:r w:rsidR="00480C19">
        <w:t>effective instruction of</w:t>
      </w:r>
      <w:r w:rsidR="005E5254">
        <w:t xml:space="preserve"> ELs </w:t>
      </w:r>
      <w:r w:rsidR="006A719D">
        <w:t xml:space="preserve">will be compared </w:t>
      </w:r>
      <w:r w:rsidR="00225FF3">
        <w:t xml:space="preserve">with </w:t>
      </w:r>
      <w:r w:rsidR="0044301D">
        <w:t xml:space="preserve">those </w:t>
      </w:r>
      <w:r w:rsidR="00225FF3">
        <w:t xml:space="preserve">from a </w:t>
      </w:r>
      <w:r w:rsidR="009173CC">
        <w:t xml:space="preserve">large national </w:t>
      </w:r>
      <w:r w:rsidR="00225FF3">
        <w:t>sample of preservice teachers, based on data collected by the</w:t>
      </w:r>
      <w:r w:rsidR="00120805">
        <w:t xml:space="preserve"> IES</w:t>
      </w:r>
      <w:r w:rsidR="0044301D">
        <w:noBreakHyphen/>
      </w:r>
      <w:r w:rsidR="002433FF">
        <w:t>funded</w:t>
      </w:r>
      <w:r w:rsidR="00225FF3">
        <w:t xml:space="preserve"> </w:t>
      </w:r>
      <w:r w:rsidRPr="00120805" w:rsidR="00225FF3">
        <w:rPr>
          <w:i/>
          <w:iCs/>
        </w:rPr>
        <w:t xml:space="preserve">Study of </w:t>
      </w:r>
      <w:r w:rsidRPr="00120805" w:rsidR="00AF15B0">
        <w:rPr>
          <w:i/>
          <w:iCs/>
        </w:rPr>
        <w:t>Teacher Preparation Experiences and Early Teaching Effectiveness</w:t>
      </w:r>
      <w:r w:rsidR="00773701">
        <w:t xml:space="preserve"> (Goodson et al.</w:t>
      </w:r>
      <w:r w:rsidR="00BE1AB7">
        <w:t>,</w:t>
      </w:r>
      <w:r w:rsidR="00773701">
        <w:t xml:space="preserve"> 2019)</w:t>
      </w:r>
      <w:r w:rsidR="00120805">
        <w:t>.</w:t>
      </w:r>
      <w:r w:rsidR="00D90B90">
        <w:t xml:space="preserve"> </w:t>
      </w:r>
    </w:p>
    <w:p w:rsidR="00A315D5" w:rsidP="00616980" w:rsidRDefault="000F4AE1" w14:paraId="2807398A" w14:textId="0AD7C560">
      <w:pPr>
        <w:pStyle w:val="Heading4"/>
      </w:pPr>
      <w:bookmarkStart w:name="_Toc50566042" w:id="24"/>
      <w:bookmarkStart w:name="_Toc50625418" w:id="25"/>
      <w:r>
        <w:t xml:space="preserve">Degree of </w:t>
      </w:r>
      <w:r w:rsidR="00D60043">
        <w:t>Accuracy Needed</w:t>
      </w:r>
      <w:bookmarkEnd w:id="24"/>
      <w:bookmarkEnd w:id="25"/>
    </w:p>
    <w:p w:rsidR="00D60043" w:rsidP="00E15689" w:rsidRDefault="005F0A90" w14:paraId="44A292C6" w14:textId="5AE0CB52">
      <w:pPr>
        <w:pStyle w:val="BodyTextPostHead"/>
      </w:pPr>
      <w:r>
        <w:t>A</w:t>
      </w:r>
      <w:r w:rsidRPr="00D60043" w:rsidR="00D60043">
        <w:t>nalys</w:t>
      </w:r>
      <w:r w:rsidR="006E5CD1">
        <w:t>e</w:t>
      </w:r>
      <w:r w:rsidRPr="00D60043" w:rsidR="00D60043">
        <w:t xml:space="preserve">s of </w:t>
      </w:r>
      <w:r>
        <w:t>the grantee</w:t>
      </w:r>
      <w:r w:rsidR="00464027">
        <w:t xml:space="preserve"> survey, application</w:t>
      </w:r>
      <w:r w:rsidR="00BD5F90">
        <w:t xml:space="preserve"> review</w:t>
      </w:r>
      <w:r w:rsidR="00464027">
        <w:t>, and extant performance</w:t>
      </w:r>
      <w:r w:rsidR="00120CC5">
        <w:t xml:space="preserve"> data</w:t>
      </w:r>
      <w:r>
        <w:t xml:space="preserve"> </w:t>
      </w:r>
      <w:r w:rsidRPr="00D60043" w:rsidR="00D60043">
        <w:t xml:space="preserve">will be based on </w:t>
      </w:r>
      <w:r w:rsidR="00313639">
        <w:t>information collected</w:t>
      </w:r>
      <w:r w:rsidR="00464027">
        <w:t xml:space="preserve"> </w:t>
      </w:r>
      <w:r w:rsidR="001630F0">
        <w:t>for all</w:t>
      </w:r>
      <w:r w:rsidRPr="00D60043" w:rsidR="00D60043">
        <w:t xml:space="preserve"> </w:t>
      </w:r>
      <w:r w:rsidR="00464027">
        <w:t>2016 and 2017</w:t>
      </w:r>
      <w:r w:rsidRPr="00D60043" w:rsidR="00D60043">
        <w:t xml:space="preserve"> </w:t>
      </w:r>
      <w:r w:rsidR="00464027">
        <w:t>NPD</w:t>
      </w:r>
      <w:r w:rsidRPr="00D60043" w:rsidR="00D60043">
        <w:t xml:space="preserve"> grantees</w:t>
      </w:r>
      <w:r w:rsidR="00501A52">
        <w:t>, and we assume a 100 percent response rate.</w:t>
      </w:r>
      <w:r w:rsidR="00D32D21">
        <w:t xml:space="preserve"> </w:t>
      </w:r>
      <w:r w:rsidRPr="00D32D21" w:rsidR="00D32D21">
        <w:t xml:space="preserve">Because the </w:t>
      </w:r>
      <w:r w:rsidR="00D32D21">
        <w:t>analyses</w:t>
      </w:r>
      <w:r w:rsidRPr="00D32D21" w:rsidR="00D32D21">
        <w:t xml:space="preserve"> </w:t>
      </w:r>
      <w:r w:rsidR="00D32D21">
        <w:t>will be</w:t>
      </w:r>
      <w:r w:rsidRPr="00D32D21" w:rsidR="00D32D21">
        <w:t xml:space="preserve"> based on </w:t>
      </w:r>
      <w:r w:rsidR="00D32D21">
        <w:t xml:space="preserve">data from </w:t>
      </w:r>
      <w:r w:rsidRPr="00D32D21" w:rsidR="00D32D21">
        <w:t>the universe</w:t>
      </w:r>
      <w:r w:rsidR="00D32D21">
        <w:t xml:space="preserve"> of grantees</w:t>
      </w:r>
      <w:r w:rsidRPr="00D32D21" w:rsidR="00D32D21">
        <w:t>, descriptive statistics will not be subject to sampling error</w:t>
      </w:r>
      <w:r w:rsidR="00D32D21">
        <w:t>.</w:t>
      </w:r>
    </w:p>
    <w:p w:rsidR="004755CA" w:rsidP="00E15689" w:rsidRDefault="00D90B90" w14:paraId="67051991" w14:textId="34E558FF">
      <w:pPr>
        <w:pStyle w:val="BodyText"/>
      </w:pPr>
      <w:proofErr w:type="gramStart"/>
      <w:r>
        <w:t>With regard to</w:t>
      </w:r>
      <w:proofErr w:type="gramEnd"/>
      <w:r>
        <w:t xml:space="preserve"> the participant survey, </w:t>
      </w:r>
      <w:r w:rsidR="004755CA">
        <w:t>our proposed sample size of 1,</w:t>
      </w:r>
      <w:r w:rsidR="00734EC9">
        <w:t xml:space="preserve">400 </w:t>
      </w:r>
      <w:r w:rsidR="004755CA">
        <w:t>pre-service participants and 1,</w:t>
      </w:r>
      <w:r w:rsidR="00734EC9">
        <w:t xml:space="preserve">500 </w:t>
      </w:r>
      <w:r w:rsidR="004755CA">
        <w:t xml:space="preserve">in-service participants </w:t>
      </w:r>
      <w:r w:rsidR="00395F7F">
        <w:t>was</w:t>
      </w:r>
      <w:r w:rsidR="004755CA">
        <w:t xml:space="preserve"> selected to ensure a sufficient degree of accuracy </w:t>
      </w:r>
      <w:r w:rsidR="00395F7F">
        <w:t xml:space="preserve">in our reporting </w:t>
      </w:r>
      <w:r w:rsidR="004755CA">
        <w:t>while promoting efficiency and minimizing burden</w:t>
      </w:r>
      <w:r w:rsidRPr="00395F7F" w:rsidR="00395F7F">
        <w:t xml:space="preserve"> </w:t>
      </w:r>
      <w:r w:rsidR="00395F7F">
        <w:t>on respondents</w:t>
      </w:r>
      <w:r w:rsidR="004755CA">
        <w:t>. A</w:t>
      </w:r>
      <w:r w:rsidR="000060F5">
        <w:t>ssuming an 85 percent response rate</w:t>
      </w:r>
      <w:r w:rsidR="004755CA">
        <w:t xml:space="preserve">, </w:t>
      </w:r>
      <w:r w:rsidRPr="00671DCE" w:rsidR="00671DCE">
        <w:t xml:space="preserve">an estimate of </w:t>
      </w:r>
      <w:r w:rsidR="00395F7F">
        <w:t>a 50 percent</w:t>
      </w:r>
      <w:r w:rsidRPr="00671DCE" w:rsidR="00671DCE">
        <w:t xml:space="preserve"> prevalence rate from </w:t>
      </w:r>
      <w:r w:rsidR="004755CA">
        <w:t>a</w:t>
      </w:r>
      <w:r w:rsidRPr="00671DCE" w:rsidR="00671DCE">
        <w:t xml:space="preserve"> sample </w:t>
      </w:r>
      <w:r w:rsidR="004755CA">
        <w:t>of 1,</w:t>
      </w:r>
      <w:r w:rsidR="003820CB">
        <w:t xml:space="preserve">400 </w:t>
      </w:r>
      <w:r w:rsidR="004755CA">
        <w:t xml:space="preserve">pre-service participants </w:t>
      </w:r>
      <w:r w:rsidRPr="00671DCE" w:rsidR="00671DCE">
        <w:t xml:space="preserve">will have a </w:t>
      </w:r>
      <w:r w:rsidR="00917AAF">
        <w:t>margin of</w:t>
      </w:r>
      <w:r w:rsidRPr="00671DCE" w:rsidR="00671DCE">
        <w:t xml:space="preserve"> error of </w:t>
      </w:r>
      <w:r w:rsidRPr="00E61B9A" w:rsidR="00E61B9A">
        <w:t>0.</w:t>
      </w:r>
      <w:r w:rsidRPr="00E61B9A" w:rsidR="00A33E4A">
        <w:t>02</w:t>
      </w:r>
      <w:r w:rsidR="00A33E4A">
        <w:t>3</w:t>
      </w:r>
      <w:r w:rsidR="004755CA">
        <w:t xml:space="preserve">, and an estimate of </w:t>
      </w:r>
      <w:r w:rsidR="00395F7F">
        <w:t>a 50 percent</w:t>
      </w:r>
      <w:r w:rsidR="004755CA">
        <w:t xml:space="preserve"> prevalence rate from a sample of 1,</w:t>
      </w:r>
      <w:r w:rsidR="00DE4ABF">
        <w:t xml:space="preserve">500 </w:t>
      </w:r>
      <w:r w:rsidR="004755CA">
        <w:t xml:space="preserve">in-service participants will have a </w:t>
      </w:r>
      <w:r w:rsidR="00917AAF">
        <w:t>margin of</w:t>
      </w:r>
      <w:r w:rsidR="004755CA">
        <w:t xml:space="preserve"> error of 0.026 (see Exhibit B1)</w:t>
      </w:r>
      <w:r w:rsidRPr="00671DCE" w:rsidR="00671DCE">
        <w:t xml:space="preserve">. </w:t>
      </w:r>
      <w:r w:rsidR="00917AAF">
        <w:t xml:space="preserve">Moreover, </w:t>
      </w:r>
      <w:r w:rsidR="00E44DF5">
        <w:t>i</w:t>
      </w:r>
      <w:r w:rsidRPr="00E44DF5" w:rsidR="00E44DF5">
        <w:t xml:space="preserve">f we compare prevalence rates between </w:t>
      </w:r>
      <w:r w:rsidR="00E44DF5">
        <w:t xml:space="preserve">the pre-service participant and </w:t>
      </w:r>
      <w:r w:rsidRPr="00E44DF5" w:rsidR="00E44DF5">
        <w:t xml:space="preserve">in-service </w:t>
      </w:r>
      <w:r w:rsidR="00E44DF5">
        <w:t>participant groups</w:t>
      </w:r>
      <w:r w:rsidRPr="00E44DF5" w:rsidR="00E44DF5">
        <w:t>, we will be able to detect—with 95</w:t>
      </w:r>
      <w:r w:rsidR="00E44DF5">
        <w:t xml:space="preserve"> percent</w:t>
      </w:r>
      <w:r w:rsidRPr="00E44DF5" w:rsidR="00E44DF5">
        <w:t xml:space="preserve"> confidence and a power of 80</w:t>
      </w:r>
      <w:r w:rsidR="00E44DF5">
        <w:t xml:space="preserve"> percent</w:t>
      </w:r>
      <w:r w:rsidRPr="00E44DF5" w:rsidR="00E44DF5">
        <w:t>—a difference of at least 5 percentage point</w:t>
      </w:r>
      <w:r w:rsidR="00E44DF5">
        <w:t>s</w:t>
      </w:r>
      <w:r w:rsidRPr="00E44DF5" w:rsidR="00E44DF5">
        <w:t xml:space="preserve"> between the two groups</w:t>
      </w:r>
      <w:r w:rsidR="00E44DF5">
        <w:t xml:space="preserve"> (See Exhibit B2)</w:t>
      </w:r>
      <w:r w:rsidRPr="00E44DF5" w:rsidR="00E44DF5">
        <w:t>.</w:t>
      </w:r>
    </w:p>
    <w:p w:rsidRPr="00E15689" w:rsidR="000060F5" w:rsidP="000060F5" w:rsidRDefault="000060F5" w14:paraId="492A9196" w14:textId="26AA75EA">
      <w:pPr>
        <w:pStyle w:val="ExhibitTitle"/>
      </w:pPr>
      <w:r w:rsidRPr="00E15689">
        <w:lastRenderedPageBreak/>
        <w:t xml:space="preserve">Exhibit B1. </w:t>
      </w:r>
      <w:r w:rsidRPr="0026601C" w:rsidR="0026601C">
        <w:t>Margin of Error (1.96 * Standard Error)</w:t>
      </w:r>
      <w:r w:rsidR="000B6E3D">
        <w:t>,</w:t>
      </w:r>
      <w:r w:rsidRPr="0026601C" w:rsidR="0026601C">
        <w:t xml:space="preserve"> by </w:t>
      </w:r>
      <w:r w:rsidR="00E44DF5">
        <w:t>Participant Type</w:t>
      </w:r>
      <w:r w:rsidRPr="0026601C" w:rsidR="0026601C">
        <w:t xml:space="preserve"> and Sample Size</w:t>
      </w:r>
    </w:p>
    <w:tbl>
      <w:tblPr>
        <w:tblStyle w:val="AIRBlueTable"/>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344"/>
        <w:gridCol w:w="780"/>
        <w:gridCol w:w="781"/>
        <w:gridCol w:w="781"/>
        <w:gridCol w:w="781"/>
        <w:gridCol w:w="780"/>
        <w:gridCol w:w="779"/>
        <w:gridCol w:w="780"/>
        <w:gridCol w:w="780"/>
        <w:gridCol w:w="780"/>
        <w:gridCol w:w="780"/>
        <w:gridCol w:w="780"/>
      </w:tblGrid>
      <w:tr w:rsidRPr="00E15689" w:rsidR="00A136E2" w:rsidTr="00593586" w14:paraId="20C6819D" w14:textId="77777777">
        <w:trPr>
          <w:cnfStyle w:val="100000000000" w:firstRow="1" w:lastRow="0" w:firstColumn="0" w:lastColumn="0" w:oddVBand="0" w:evenVBand="0" w:oddHBand="0" w:evenHBand="0" w:firstRowFirstColumn="0" w:firstRowLastColumn="0" w:lastRowFirstColumn="0" w:lastRowLastColumn="0"/>
        </w:trPr>
        <w:tc>
          <w:tcPr>
            <w:tcW w:w="1344" w:type="dxa"/>
            <w:vMerge w:val="restart"/>
          </w:tcPr>
          <w:p w:rsidRPr="00E15689" w:rsidR="00A136E2" w:rsidP="00B136E3" w:rsidRDefault="00E44DF5" w14:paraId="011FF426" w14:textId="71993C1D">
            <w:pPr>
              <w:pStyle w:val="TableColumnHeadCentered"/>
            </w:pPr>
            <w:r>
              <w:t>Participant Type</w:t>
            </w:r>
          </w:p>
        </w:tc>
        <w:tc>
          <w:tcPr>
            <w:tcW w:w="8582" w:type="dxa"/>
            <w:gridSpan w:val="11"/>
            <w:vAlign w:val="center"/>
          </w:tcPr>
          <w:p w:rsidRPr="00E15689" w:rsidR="00A136E2" w:rsidP="00A136E2" w:rsidRDefault="00A136E2" w14:paraId="6BE08E78" w14:textId="314A14C1">
            <w:pPr>
              <w:pStyle w:val="TableColumnHeadCentered"/>
            </w:pPr>
            <w:r>
              <w:t>Sample Size</w:t>
            </w:r>
          </w:p>
        </w:tc>
      </w:tr>
      <w:tr w:rsidRPr="003A12F2" w:rsidR="00D26EE5" w:rsidTr="00593586" w14:paraId="39CFF660" w14:textId="77777777">
        <w:tc>
          <w:tcPr>
            <w:tcW w:w="1344" w:type="dxa"/>
            <w:vMerge/>
          </w:tcPr>
          <w:p w:rsidRPr="00E15689" w:rsidR="00A136E2" w:rsidP="00A136E2" w:rsidRDefault="00A136E2" w14:paraId="7A672CCA" w14:textId="39958057">
            <w:pPr>
              <w:pStyle w:val="TableText"/>
            </w:pPr>
          </w:p>
        </w:tc>
        <w:tc>
          <w:tcPr>
            <w:tcW w:w="780" w:type="dxa"/>
            <w:shd w:val="clear" w:color="auto" w:fill="B8CCE4" w:themeFill="accent1" w:themeFillTint="66"/>
            <w:vAlign w:val="bottom"/>
          </w:tcPr>
          <w:p w:rsidRPr="00A136E2" w:rsidR="00A136E2" w:rsidP="00A136E2" w:rsidRDefault="00A136E2" w14:paraId="632E2988" w14:textId="16E22B1A">
            <w:pPr>
              <w:pStyle w:val="TableTextCentered"/>
              <w:rPr>
                <w:b/>
                <w:bCs/>
              </w:rPr>
            </w:pPr>
            <w:r w:rsidRPr="00A136E2">
              <w:rPr>
                <w:b/>
                <w:bCs/>
                <w:color w:val="000000"/>
              </w:rPr>
              <w:t>1,000</w:t>
            </w:r>
          </w:p>
        </w:tc>
        <w:tc>
          <w:tcPr>
            <w:tcW w:w="781" w:type="dxa"/>
            <w:shd w:val="clear" w:color="auto" w:fill="B8CCE4" w:themeFill="accent1" w:themeFillTint="66"/>
            <w:vAlign w:val="bottom"/>
          </w:tcPr>
          <w:p w:rsidRPr="00A136E2" w:rsidR="00A136E2" w:rsidP="00A136E2" w:rsidRDefault="00A136E2" w14:paraId="7CFC32D3" w14:textId="7D9C41CF">
            <w:pPr>
              <w:pStyle w:val="TableTextCentered"/>
              <w:rPr>
                <w:b/>
                <w:bCs/>
              </w:rPr>
            </w:pPr>
            <w:r w:rsidRPr="00A136E2">
              <w:rPr>
                <w:b/>
                <w:bCs/>
                <w:color w:val="000000"/>
              </w:rPr>
              <w:t>1,100</w:t>
            </w:r>
          </w:p>
        </w:tc>
        <w:tc>
          <w:tcPr>
            <w:tcW w:w="781" w:type="dxa"/>
            <w:shd w:val="clear" w:color="auto" w:fill="B8CCE4" w:themeFill="accent1" w:themeFillTint="66"/>
            <w:vAlign w:val="bottom"/>
          </w:tcPr>
          <w:p w:rsidRPr="00A136E2" w:rsidR="00A136E2" w:rsidP="00A136E2" w:rsidRDefault="00A136E2" w14:paraId="7345DE8C" w14:textId="6E959955">
            <w:pPr>
              <w:pStyle w:val="TableTextCentered"/>
              <w:rPr>
                <w:b/>
                <w:bCs/>
              </w:rPr>
            </w:pPr>
            <w:r w:rsidRPr="00A136E2">
              <w:rPr>
                <w:b/>
                <w:bCs/>
                <w:color w:val="000000"/>
              </w:rPr>
              <w:t>1,200</w:t>
            </w:r>
          </w:p>
        </w:tc>
        <w:tc>
          <w:tcPr>
            <w:tcW w:w="781" w:type="dxa"/>
            <w:shd w:val="clear" w:color="auto" w:fill="B8CCE4" w:themeFill="accent1" w:themeFillTint="66"/>
            <w:vAlign w:val="bottom"/>
          </w:tcPr>
          <w:p w:rsidRPr="00A136E2" w:rsidR="00A136E2" w:rsidP="00A136E2" w:rsidRDefault="00A136E2" w14:paraId="26994381" w14:textId="7C284AE2">
            <w:pPr>
              <w:pStyle w:val="TableTextCentered"/>
              <w:rPr>
                <w:b/>
                <w:bCs/>
              </w:rPr>
            </w:pPr>
            <w:r w:rsidRPr="00A136E2">
              <w:rPr>
                <w:b/>
                <w:bCs/>
                <w:color w:val="000000"/>
              </w:rPr>
              <w:t>1,300</w:t>
            </w:r>
          </w:p>
        </w:tc>
        <w:tc>
          <w:tcPr>
            <w:tcW w:w="780" w:type="dxa"/>
            <w:shd w:val="clear" w:color="auto" w:fill="B8CCE4" w:themeFill="accent1" w:themeFillTint="66"/>
            <w:vAlign w:val="bottom"/>
          </w:tcPr>
          <w:p w:rsidRPr="00A136E2" w:rsidR="00A136E2" w:rsidP="00A136E2" w:rsidRDefault="00A136E2" w14:paraId="1E497023" w14:textId="30CDCDCB">
            <w:pPr>
              <w:pStyle w:val="TableTextCentered"/>
              <w:rPr>
                <w:b/>
                <w:bCs/>
              </w:rPr>
            </w:pPr>
            <w:r w:rsidRPr="00A136E2">
              <w:rPr>
                <w:b/>
                <w:bCs/>
                <w:color w:val="000000"/>
              </w:rPr>
              <w:t>1,400</w:t>
            </w:r>
          </w:p>
        </w:tc>
        <w:tc>
          <w:tcPr>
            <w:tcW w:w="779" w:type="dxa"/>
            <w:shd w:val="clear" w:color="auto" w:fill="B8CCE4" w:themeFill="accent1" w:themeFillTint="66"/>
            <w:vAlign w:val="bottom"/>
          </w:tcPr>
          <w:p w:rsidRPr="00A136E2" w:rsidR="00A136E2" w:rsidP="00A136E2" w:rsidRDefault="00A136E2" w14:paraId="0F283797" w14:textId="625CAACD">
            <w:pPr>
              <w:pStyle w:val="TableTextCentered"/>
              <w:rPr>
                <w:b/>
                <w:bCs/>
              </w:rPr>
            </w:pPr>
            <w:r w:rsidRPr="00A136E2">
              <w:rPr>
                <w:b/>
                <w:bCs/>
                <w:color w:val="000000"/>
              </w:rPr>
              <w:t>1,500</w:t>
            </w:r>
          </w:p>
        </w:tc>
        <w:tc>
          <w:tcPr>
            <w:tcW w:w="780" w:type="dxa"/>
            <w:shd w:val="clear" w:color="auto" w:fill="B8CCE4" w:themeFill="accent1" w:themeFillTint="66"/>
            <w:vAlign w:val="bottom"/>
          </w:tcPr>
          <w:p w:rsidRPr="00A136E2" w:rsidR="00A136E2" w:rsidP="00A136E2" w:rsidRDefault="00A136E2" w14:paraId="5A3FCC07" w14:textId="1811744F">
            <w:pPr>
              <w:pStyle w:val="TableTextCentered"/>
              <w:rPr>
                <w:b/>
                <w:bCs/>
              </w:rPr>
            </w:pPr>
            <w:r w:rsidRPr="00A136E2">
              <w:rPr>
                <w:b/>
                <w:bCs/>
                <w:color w:val="000000"/>
              </w:rPr>
              <w:t>1,600</w:t>
            </w:r>
          </w:p>
        </w:tc>
        <w:tc>
          <w:tcPr>
            <w:tcW w:w="780" w:type="dxa"/>
            <w:shd w:val="clear" w:color="auto" w:fill="B8CCE4" w:themeFill="accent1" w:themeFillTint="66"/>
            <w:vAlign w:val="bottom"/>
          </w:tcPr>
          <w:p w:rsidRPr="00A136E2" w:rsidR="00A136E2" w:rsidP="00A136E2" w:rsidRDefault="00A136E2" w14:paraId="270E553F" w14:textId="70A7BB82">
            <w:pPr>
              <w:pStyle w:val="TableTextCentered"/>
              <w:rPr>
                <w:b/>
                <w:bCs/>
              </w:rPr>
            </w:pPr>
            <w:r w:rsidRPr="00A136E2">
              <w:rPr>
                <w:b/>
                <w:bCs/>
                <w:color w:val="000000"/>
              </w:rPr>
              <w:t>1,700</w:t>
            </w:r>
          </w:p>
        </w:tc>
        <w:tc>
          <w:tcPr>
            <w:tcW w:w="780" w:type="dxa"/>
            <w:shd w:val="clear" w:color="auto" w:fill="B8CCE4" w:themeFill="accent1" w:themeFillTint="66"/>
            <w:vAlign w:val="bottom"/>
          </w:tcPr>
          <w:p w:rsidRPr="00A136E2" w:rsidR="00A136E2" w:rsidP="00A136E2" w:rsidRDefault="00A136E2" w14:paraId="2A52906D" w14:textId="6DD16EFF">
            <w:pPr>
              <w:pStyle w:val="TableTextCentered"/>
              <w:rPr>
                <w:b/>
                <w:bCs/>
              </w:rPr>
            </w:pPr>
            <w:r w:rsidRPr="00A136E2">
              <w:rPr>
                <w:b/>
                <w:bCs/>
                <w:color w:val="000000"/>
              </w:rPr>
              <w:t>1,800</w:t>
            </w:r>
          </w:p>
        </w:tc>
        <w:tc>
          <w:tcPr>
            <w:tcW w:w="780" w:type="dxa"/>
            <w:shd w:val="clear" w:color="auto" w:fill="B8CCE4" w:themeFill="accent1" w:themeFillTint="66"/>
            <w:vAlign w:val="bottom"/>
          </w:tcPr>
          <w:p w:rsidRPr="00A136E2" w:rsidR="00A136E2" w:rsidP="00A136E2" w:rsidRDefault="00A136E2" w14:paraId="565E4485" w14:textId="169C27BF">
            <w:pPr>
              <w:pStyle w:val="TableTextCentered"/>
              <w:rPr>
                <w:b/>
                <w:bCs/>
              </w:rPr>
            </w:pPr>
            <w:r w:rsidRPr="00A136E2">
              <w:rPr>
                <w:b/>
                <w:bCs/>
                <w:color w:val="000000"/>
              </w:rPr>
              <w:t>1,900</w:t>
            </w:r>
          </w:p>
        </w:tc>
        <w:tc>
          <w:tcPr>
            <w:tcW w:w="780" w:type="dxa"/>
            <w:shd w:val="clear" w:color="auto" w:fill="B8CCE4" w:themeFill="accent1" w:themeFillTint="66"/>
            <w:vAlign w:val="bottom"/>
          </w:tcPr>
          <w:p w:rsidRPr="00A136E2" w:rsidR="00A136E2" w:rsidP="00A136E2" w:rsidRDefault="00A136E2" w14:paraId="7236C27C" w14:textId="7FAD8EA5">
            <w:pPr>
              <w:pStyle w:val="TableTextCentered"/>
              <w:rPr>
                <w:b/>
                <w:bCs/>
              </w:rPr>
            </w:pPr>
            <w:r w:rsidRPr="00A136E2">
              <w:rPr>
                <w:b/>
                <w:bCs/>
                <w:color w:val="000000"/>
              </w:rPr>
              <w:t>2,000</w:t>
            </w:r>
          </w:p>
        </w:tc>
      </w:tr>
      <w:tr w:rsidRPr="003A12F2" w:rsidR="00593586" w:rsidTr="00593586" w14:paraId="4A3ED956" w14:textId="77777777">
        <w:tc>
          <w:tcPr>
            <w:tcW w:w="1344" w:type="dxa"/>
          </w:tcPr>
          <w:p w:rsidRPr="009B7E8D" w:rsidR="00593586" w:rsidP="00593586" w:rsidRDefault="00593586" w14:paraId="7A2B86EE" w14:textId="69134AF5">
            <w:pPr>
              <w:pStyle w:val="TableText"/>
              <w:rPr>
                <w:b/>
                <w:bCs/>
              </w:rPr>
            </w:pPr>
            <w:r w:rsidRPr="009B7E8D">
              <w:rPr>
                <w:b/>
                <w:bCs/>
              </w:rPr>
              <w:t>Pre-Service</w:t>
            </w:r>
          </w:p>
        </w:tc>
        <w:tc>
          <w:tcPr>
            <w:tcW w:w="780" w:type="dxa"/>
            <w:vAlign w:val="bottom"/>
          </w:tcPr>
          <w:p w:rsidRPr="009C61A2" w:rsidR="00593586" w:rsidP="00593586" w:rsidRDefault="00593586" w14:paraId="72E4524B" w14:textId="18F82C75">
            <w:pPr>
              <w:pStyle w:val="TableText"/>
            </w:pPr>
            <w:r>
              <w:rPr>
                <w:color w:val="000000"/>
              </w:rPr>
              <w:t>0.029</w:t>
            </w:r>
          </w:p>
        </w:tc>
        <w:tc>
          <w:tcPr>
            <w:tcW w:w="781" w:type="dxa"/>
            <w:vAlign w:val="bottom"/>
          </w:tcPr>
          <w:p w:rsidRPr="009C61A2" w:rsidR="00593586" w:rsidP="00593586" w:rsidRDefault="00593586" w14:paraId="3C35EE93" w14:textId="1CEC9FD4">
            <w:pPr>
              <w:pStyle w:val="TableText"/>
            </w:pPr>
            <w:r>
              <w:rPr>
                <w:color w:val="000000"/>
              </w:rPr>
              <w:t>0.027</w:t>
            </w:r>
          </w:p>
        </w:tc>
        <w:tc>
          <w:tcPr>
            <w:tcW w:w="781" w:type="dxa"/>
            <w:vAlign w:val="bottom"/>
          </w:tcPr>
          <w:p w:rsidRPr="009C61A2" w:rsidR="00593586" w:rsidP="00593586" w:rsidRDefault="00593586" w14:paraId="75E46E26" w14:textId="1CB33D67">
            <w:pPr>
              <w:pStyle w:val="TableText"/>
            </w:pPr>
            <w:r>
              <w:rPr>
                <w:color w:val="000000"/>
              </w:rPr>
              <w:t>0.026</w:t>
            </w:r>
          </w:p>
        </w:tc>
        <w:tc>
          <w:tcPr>
            <w:tcW w:w="781" w:type="dxa"/>
            <w:vAlign w:val="bottom"/>
          </w:tcPr>
          <w:p w:rsidRPr="009C61A2" w:rsidR="00593586" w:rsidP="00593586" w:rsidRDefault="00593586" w14:paraId="1DCC9BA8" w14:textId="05CF0CF9">
            <w:pPr>
              <w:pStyle w:val="TableText"/>
            </w:pPr>
            <w:r>
              <w:rPr>
                <w:color w:val="000000"/>
              </w:rPr>
              <w:t>0.024</w:t>
            </w:r>
          </w:p>
        </w:tc>
        <w:tc>
          <w:tcPr>
            <w:tcW w:w="780" w:type="dxa"/>
            <w:vAlign w:val="bottom"/>
          </w:tcPr>
          <w:p w:rsidRPr="009C61A2" w:rsidR="00593586" w:rsidP="00593586" w:rsidRDefault="00593586" w14:paraId="68197A42" w14:textId="4887C201">
            <w:pPr>
              <w:pStyle w:val="TableText"/>
            </w:pPr>
            <w:r>
              <w:rPr>
                <w:color w:val="000000"/>
              </w:rPr>
              <w:t>0.023</w:t>
            </w:r>
          </w:p>
        </w:tc>
        <w:tc>
          <w:tcPr>
            <w:tcW w:w="779" w:type="dxa"/>
            <w:vAlign w:val="bottom"/>
          </w:tcPr>
          <w:p w:rsidRPr="009C61A2" w:rsidR="00593586" w:rsidP="00593586" w:rsidRDefault="00593586" w14:paraId="360DCCAB" w14:textId="4823289D">
            <w:pPr>
              <w:pStyle w:val="TableText"/>
            </w:pPr>
            <w:r>
              <w:rPr>
                <w:color w:val="000000"/>
              </w:rPr>
              <w:t>0.022</w:t>
            </w:r>
          </w:p>
        </w:tc>
        <w:tc>
          <w:tcPr>
            <w:tcW w:w="780" w:type="dxa"/>
            <w:vAlign w:val="bottom"/>
          </w:tcPr>
          <w:p w:rsidRPr="009C61A2" w:rsidR="00593586" w:rsidP="00593586" w:rsidRDefault="00593586" w14:paraId="6DAE8D10" w14:textId="4E0CA7F1">
            <w:pPr>
              <w:pStyle w:val="TableText"/>
            </w:pPr>
            <w:r>
              <w:rPr>
                <w:color w:val="000000"/>
              </w:rPr>
              <w:t>0.020</w:t>
            </w:r>
          </w:p>
        </w:tc>
        <w:tc>
          <w:tcPr>
            <w:tcW w:w="780" w:type="dxa"/>
            <w:vAlign w:val="bottom"/>
          </w:tcPr>
          <w:p w:rsidRPr="009C61A2" w:rsidR="00593586" w:rsidP="00593586" w:rsidRDefault="00593586" w14:paraId="0835C204" w14:textId="7B254CD7">
            <w:pPr>
              <w:pStyle w:val="TableText"/>
            </w:pPr>
            <w:r>
              <w:rPr>
                <w:color w:val="000000"/>
              </w:rPr>
              <w:t>0.019</w:t>
            </w:r>
          </w:p>
        </w:tc>
        <w:tc>
          <w:tcPr>
            <w:tcW w:w="780" w:type="dxa"/>
            <w:vAlign w:val="bottom"/>
          </w:tcPr>
          <w:p w:rsidRPr="009C61A2" w:rsidR="00593586" w:rsidP="00593586" w:rsidRDefault="00593586" w14:paraId="42DD9862" w14:textId="1AF35236">
            <w:pPr>
              <w:pStyle w:val="TableText"/>
            </w:pPr>
            <w:r>
              <w:rPr>
                <w:color w:val="000000"/>
              </w:rPr>
              <w:t>0.018</w:t>
            </w:r>
          </w:p>
        </w:tc>
        <w:tc>
          <w:tcPr>
            <w:tcW w:w="780" w:type="dxa"/>
            <w:vAlign w:val="bottom"/>
          </w:tcPr>
          <w:p w:rsidRPr="009C61A2" w:rsidR="00593586" w:rsidP="00593586" w:rsidRDefault="00593586" w14:paraId="089423ED" w14:textId="056C07D4">
            <w:pPr>
              <w:pStyle w:val="TableText"/>
            </w:pPr>
            <w:r>
              <w:rPr>
                <w:color w:val="000000"/>
              </w:rPr>
              <w:t>0.018</w:t>
            </w:r>
          </w:p>
        </w:tc>
        <w:tc>
          <w:tcPr>
            <w:tcW w:w="780" w:type="dxa"/>
            <w:vAlign w:val="bottom"/>
          </w:tcPr>
          <w:p w:rsidRPr="009C61A2" w:rsidR="00593586" w:rsidP="00593586" w:rsidRDefault="00593586" w14:paraId="7C0E4375" w14:textId="52A60CD4">
            <w:pPr>
              <w:pStyle w:val="TableText"/>
            </w:pPr>
            <w:r>
              <w:rPr>
                <w:color w:val="000000"/>
              </w:rPr>
              <w:t>0.017</w:t>
            </w:r>
          </w:p>
        </w:tc>
      </w:tr>
      <w:tr w:rsidRPr="003A12F2" w:rsidR="00593586" w:rsidTr="00593586" w14:paraId="4B2D7343" w14:textId="77777777">
        <w:trPr>
          <w:trHeight w:val="368"/>
        </w:trPr>
        <w:tc>
          <w:tcPr>
            <w:tcW w:w="1344" w:type="dxa"/>
          </w:tcPr>
          <w:p w:rsidRPr="009B7E8D" w:rsidR="00593586" w:rsidP="00593586" w:rsidRDefault="00593586" w14:paraId="68249F91" w14:textId="5F843336">
            <w:pPr>
              <w:pStyle w:val="TableText"/>
              <w:rPr>
                <w:b/>
                <w:bCs/>
              </w:rPr>
            </w:pPr>
            <w:r w:rsidRPr="009B7E8D">
              <w:rPr>
                <w:b/>
                <w:bCs/>
              </w:rPr>
              <w:t>In-Service</w:t>
            </w:r>
          </w:p>
        </w:tc>
        <w:tc>
          <w:tcPr>
            <w:tcW w:w="780" w:type="dxa"/>
            <w:vAlign w:val="bottom"/>
          </w:tcPr>
          <w:p w:rsidRPr="009C61A2" w:rsidR="00593586" w:rsidP="00593586" w:rsidRDefault="00593586" w14:paraId="600A6A05" w14:textId="0B4E7B80">
            <w:pPr>
              <w:pStyle w:val="TableText"/>
            </w:pPr>
            <w:r>
              <w:rPr>
                <w:color w:val="000000"/>
              </w:rPr>
              <w:t>0.033</w:t>
            </w:r>
          </w:p>
        </w:tc>
        <w:tc>
          <w:tcPr>
            <w:tcW w:w="781" w:type="dxa"/>
            <w:vAlign w:val="bottom"/>
          </w:tcPr>
          <w:p w:rsidRPr="009C61A2" w:rsidR="00593586" w:rsidP="00593586" w:rsidRDefault="00593586" w14:paraId="0A9234AF" w14:textId="455E923A">
            <w:pPr>
              <w:pStyle w:val="TableText"/>
            </w:pPr>
            <w:r>
              <w:rPr>
                <w:color w:val="000000"/>
              </w:rPr>
              <w:t>0.031</w:t>
            </w:r>
          </w:p>
        </w:tc>
        <w:tc>
          <w:tcPr>
            <w:tcW w:w="781" w:type="dxa"/>
            <w:vAlign w:val="bottom"/>
          </w:tcPr>
          <w:p w:rsidRPr="009C61A2" w:rsidR="00593586" w:rsidP="00593586" w:rsidRDefault="00593586" w14:paraId="5F251FDC" w14:textId="5DA30822">
            <w:pPr>
              <w:pStyle w:val="TableText"/>
            </w:pPr>
            <w:r>
              <w:rPr>
                <w:color w:val="000000"/>
              </w:rPr>
              <w:t>0.030</w:t>
            </w:r>
          </w:p>
        </w:tc>
        <w:tc>
          <w:tcPr>
            <w:tcW w:w="781" w:type="dxa"/>
            <w:vAlign w:val="bottom"/>
          </w:tcPr>
          <w:p w:rsidRPr="009C61A2" w:rsidR="00593586" w:rsidP="00593586" w:rsidRDefault="00593586" w14:paraId="5DFCAC3C" w14:textId="73DBC211">
            <w:pPr>
              <w:pStyle w:val="TableText"/>
            </w:pPr>
            <w:r>
              <w:rPr>
                <w:color w:val="000000"/>
              </w:rPr>
              <w:t>0.028</w:t>
            </w:r>
          </w:p>
        </w:tc>
        <w:tc>
          <w:tcPr>
            <w:tcW w:w="780" w:type="dxa"/>
            <w:vAlign w:val="bottom"/>
          </w:tcPr>
          <w:p w:rsidRPr="00E6243A" w:rsidR="00593586" w:rsidP="00593586" w:rsidRDefault="00593586" w14:paraId="054D23CB" w14:textId="2F3DCC5E">
            <w:pPr>
              <w:pStyle w:val="TableText"/>
            </w:pPr>
            <w:r>
              <w:rPr>
                <w:color w:val="000000"/>
              </w:rPr>
              <w:t>0.027</w:t>
            </w:r>
          </w:p>
        </w:tc>
        <w:tc>
          <w:tcPr>
            <w:tcW w:w="779" w:type="dxa"/>
            <w:vAlign w:val="bottom"/>
          </w:tcPr>
          <w:p w:rsidRPr="00E6243A" w:rsidR="00593586" w:rsidP="00593586" w:rsidRDefault="00593586" w14:paraId="0E77D88B" w14:textId="5CBC6FEB">
            <w:pPr>
              <w:pStyle w:val="TableText"/>
            </w:pPr>
            <w:r>
              <w:rPr>
                <w:color w:val="000000"/>
              </w:rPr>
              <w:t>0.026</w:t>
            </w:r>
          </w:p>
        </w:tc>
        <w:tc>
          <w:tcPr>
            <w:tcW w:w="780" w:type="dxa"/>
            <w:vAlign w:val="bottom"/>
          </w:tcPr>
          <w:p w:rsidRPr="009C61A2" w:rsidR="00593586" w:rsidP="00593586" w:rsidRDefault="00593586" w14:paraId="3E7144FE" w14:textId="61134DF4">
            <w:pPr>
              <w:pStyle w:val="TableText"/>
            </w:pPr>
            <w:r>
              <w:rPr>
                <w:color w:val="000000"/>
              </w:rPr>
              <w:t>0.025</w:t>
            </w:r>
          </w:p>
        </w:tc>
        <w:tc>
          <w:tcPr>
            <w:tcW w:w="780" w:type="dxa"/>
            <w:vAlign w:val="bottom"/>
          </w:tcPr>
          <w:p w:rsidRPr="009C61A2" w:rsidR="00593586" w:rsidP="00593586" w:rsidRDefault="00593586" w14:paraId="63CDBD4A" w14:textId="40AC0ADE">
            <w:pPr>
              <w:pStyle w:val="TableText"/>
            </w:pPr>
            <w:r>
              <w:rPr>
                <w:color w:val="000000"/>
              </w:rPr>
              <w:t>0.024</w:t>
            </w:r>
          </w:p>
        </w:tc>
        <w:tc>
          <w:tcPr>
            <w:tcW w:w="780" w:type="dxa"/>
            <w:vAlign w:val="bottom"/>
          </w:tcPr>
          <w:p w:rsidRPr="009C61A2" w:rsidR="00593586" w:rsidP="00593586" w:rsidRDefault="00593586" w14:paraId="7E45D7BE" w14:textId="13FE0AC2">
            <w:pPr>
              <w:pStyle w:val="TableText"/>
            </w:pPr>
            <w:r>
              <w:rPr>
                <w:color w:val="000000"/>
              </w:rPr>
              <w:t>0.024</w:t>
            </w:r>
          </w:p>
        </w:tc>
        <w:tc>
          <w:tcPr>
            <w:tcW w:w="780" w:type="dxa"/>
            <w:vAlign w:val="bottom"/>
          </w:tcPr>
          <w:p w:rsidRPr="009C61A2" w:rsidR="00593586" w:rsidP="00593586" w:rsidRDefault="00593586" w14:paraId="088B59A3" w14:textId="62C449B1">
            <w:pPr>
              <w:pStyle w:val="TableText"/>
            </w:pPr>
            <w:r>
              <w:rPr>
                <w:color w:val="000000"/>
              </w:rPr>
              <w:t>0.023</w:t>
            </w:r>
          </w:p>
        </w:tc>
        <w:tc>
          <w:tcPr>
            <w:tcW w:w="780" w:type="dxa"/>
            <w:vAlign w:val="bottom"/>
          </w:tcPr>
          <w:p w:rsidRPr="009C61A2" w:rsidR="00593586" w:rsidP="00593586" w:rsidRDefault="00593586" w14:paraId="25FBE283" w14:textId="3D85A90B">
            <w:pPr>
              <w:pStyle w:val="TableText"/>
            </w:pPr>
            <w:r>
              <w:rPr>
                <w:color w:val="000000"/>
              </w:rPr>
              <w:t>0.022</w:t>
            </w:r>
          </w:p>
        </w:tc>
      </w:tr>
    </w:tbl>
    <w:p w:rsidR="000060F5" w:rsidP="00E5736A" w:rsidRDefault="00E5736A" w14:paraId="01F5AE40" w14:textId="114FD66E">
      <w:pPr>
        <w:pStyle w:val="Table-ExhibitNotes"/>
      </w:pPr>
      <w:r>
        <w:t xml:space="preserve">Note: </w:t>
      </w:r>
      <w:r w:rsidRPr="00E5736A">
        <w:t xml:space="preserve">Estimates are based on an 85% response rate assumption and a conservative assumption of 0.5 prevalence rate. Finite population correction is </w:t>
      </w:r>
      <w:proofErr w:type="gramStart"/>
      <w:r w:rsidRPr="00E5736A">
        <w:t>taken into account</w:t>
      </w:r>
      <w:proofErr w:type="gramEnd"/>
      <w:r w:rsidRPr="00E5736A">
        <w:t xml:space="preserve"> (pre-service population of </w:t>
      </w:r>
      <w:r w:rsidR="00E00C82">
        <w:t>3,350</w:t>
      </w:r>
      <w:r w:rsidRPr="00E5736A">
        <w:t xml:space="preserve"> and in-service population of </w:t>
      </w:r>
      <w:r w:rsidR="00440CBC">
        <w:t>14</w:t>
      </w:r>
      <w:r w:rsidRPr="00E5736A">
        <w:t>,000).</w:t>
      </w:r>
    </w:p>
    <w:p w:rsidR="00E6243A" w:rsidP="00E5736A" w:rsidRDefault="00E6243A" w14:paraId="181991AA" w14:textId="77777777">
      <w:pPr>
        <w:pStyle w:val="Table-ExhibitNotes"/>
      </w:pPr>
    </w:p>
    <w:p w:rsidRPr="00E15689" w:rsidR="009B7E8D" w:rsidP="009B7E8D" w:rsidRDefault="009B7E8D" w14:paraId="67E7D9D9" w14:textId="1DBC04D6">
      <w:pPr>
        <w:pStyle w:val="ExhibitTitle"/>
      </w:pPr>
      <w:r w:rsidRPr="00E15689">
        <w:t>Exhibit B</w:t>
      </w:r>
      <w:r>
        <w:t>2</w:t>
      </w:r>
      <w:r w:rsidRPr="00E15689">
        <w:t xml:space="preserve">. </w:t>
      </w:r>
      <w:r w:rsidRPr="000B6E3D" w:rsidR="000B6E3D">
        <w:t xml:space="preserve">Minimum Detectable Difference with 95% Confidence and a Power of 80% Between Pre-service and In-service </w:t>
      </w:r>
      <w:r w:rsidR="00E44DF5">
        <w:t>Participants</w:t>
      </w:r>
      <w:r w:rsidR="000B6E3D">
        <w:t>,</w:t>
      </w:r>
      <w:r w:rsidRPr="000B6E3D" w:rsidR="000B6E3D">
        <w:t xml:space="preserve"> by Sample Size</w:t>
      </w:r>
    </w:p>
    <w:tbl>
      <w:tblPr>
        <w:tblStyle w:val="AIRBlueTable"/>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620" w:firstRow="1" w:lastRow="0" w:firstColumn="0" w:lastColumn="0" w:noHBand="1" w:noVBand="1"/>
      </w:tblPr>
      <w:tblGrid>
        <w:gridCol w:w="1344"/>
        <w:gridCol w:w="780"/>
        <w:gridCol w:w="781"/>
        <w:gridCol w:w="781"/>
        <w:gridCol w:w="781"/>
        <w:gridCol w:w="780"/>
        <w:gridCol w:w="779"/>
        <w:gridCol w:w="780"/>
        <w:gridCol w:w="780"/>
        <w:gridCol w:w="780"/>
        <w:gridCol w:w="780"/>
        <w:gridCol w:w="780"/>
      </w:tblGrid>
      <w:tr w:rsidRPr="00E15689" w:rsidR="009B7E8D" w:rsidTr="00F85DA2" w14:paraId="0DD87C9F" w14:textId="77777777">
        <w:trPr>
          <w:cnfStyle w:val="100000000000" w:firstRow="1" w:lastRow="0" w:firstColumn="0" w:lastColumn="0" w:oddVBand="0" w:evenVBand="0" w:oddHBand="0" w:evenHBand="0" w:firstRowFirstColumn="0" w:firstRowLastColumn="0" w:lastRowFirstColumn="0" w:lastRowLastColumn="0"/>
        </w:trPr>
        <w:tc>
          <w:tcPr>
            <w:tcW w:w="1344" w:type="dxa"/>
            <w:vMerge w:val="restart"/>
          </w:tcPr>
          <w:p w:rsidRPr="00E15689" w:rsidR="009B7E8D" w:rsidP="00F85DA2" w:rsidRDefault="00F85DA2" w14:paraId="449D42F5" w14:textId="6D29683E">
            <w:pPr>
              <w:pStyle w:val="TableColumnHeadCentered"/>
            </w:pPr>
            <w:r>
              <w:t>In-Service Sample Size</w:t>
            </w:r>
          </w:p>
        </w:tc>
        <w:tc>
          <w:tcPr>
            <w:tcW w:w="8582" w:type="dxa"/>
            <w:gridSpan w:val="11"/>
            <w:vAlign w:val="center"/>
          </w:tcPr>
          <w:p w:rsidRPr="00E15689" w:rsidR="009B7E8D" w:rsidP="00B136E3" w:rsidRDefault="000B6E3D" w14:paraId="601E84C6" w14:textId="3C76BF59">
            <w:pPr>
              <w:pStyle w:val="TableColumnHeadCentered"/>
            </w:pPr>
            <w:r>
              <w:t xml:space="preserve">Pre-Service </w:t>
            </w:r>
            <w:r w:rsidR="009B7E8D">
              <w:t>Sample Size</w:t>
            </w:r>
          </w:p>
        </w:tc>
      </w:tr>
      <w:tr w:rsidRPr="003A12F2" w:rsidR="009B7E8D" w:rsidTr="00F85DA2" w14:paraId="54285CA5" w14:textId="77777777">
        <w:tc>
          <w:tcPr>
            <w:tcW w:w="1344" w:type="dxa"/>
            <w:vMerge/>
            <w:shd w:val="clear" w:color="auto" w:fill="B8CCE4" w:themeFill="accent1" w:themeFillTint="66"/>
          </w:tcPr>
          <w:p w:rsidRPr="00E15689" w:rsidR="009B7E8D" w:rsidP="00F85DA2" w:rsidRDefault="009B7E8D" w14:paraId="45318753" w14:textId="77777777">
            <w:pPr>
              <w:pStyle w:val="TableText"/>
              <w:jc w:val="center"/>
            </w:pPr>
          </w:p>
        </w:tc>
        <w:tc>
          <w:tcPr>
            <w:tcW w:w="780" w:type="dxa"/>
            <w:shd w:val="clear" w:color="auto" w:fill="B8CCE4" w:themeFill="accent1" w:themeFillTint="66"/>
            <w:vAlign w:val="bottom"/>
          </w:tcPr>
          <w:p w:rsidRPr="00A136E2" w:rsidR="009B7E8D" w:rsidP="00B136E3" w:rsidRDefault="009B7E8D" w14:paraId="18215166" w14:textId="77777777">
            <w:pPr>
              <w:pStyle w:val="TableTextCentered"/>
              <w:rPr>
                <w:b/>
                <w:bCs/>
              </w:rPr>
            </w:pPr>
            <w:r w:rsidRPr="00A136E2">
              <w:rPr>
                <w:b/>
                <w:bCs/>
                <w:color w:val="000000"/>
              </w:rPr>
              <w:t>1,000</w:t>
            </w:r>
          </w:p>
        </w:tc>
        <w:tc>
          <w:tcPr>
            <w:tcW w:w="781" w:type="dxa"/>
            <w:shd w:val="clear" w:color="auto" w:fill="B8CCE4" w:themeFill="accent1" w:themeFillTint="66"/>
            <w:vAlign w:val="bottom"/>
          </w:tcPr>
          <w:p w:rsidRPr="00A136E2" w:rsidR="009B7E8D" w:rsidP="00B136E3" w:rsidRDefault="009B7E8D" w14:paraId="513C6C27" w14:textId="77777777">
            <w:pPr>
              <w:pStyle w:val="TableTextCentered"/>
              <w:rPr>
                <w:b/>
                <w:bCs/>
              </w:rPr>
            </w:pPr>
            <w:r w:rsidRPr="00A136E2">
              <w:rPr>
                <w:b/>
                <w:bCs/>
                <w:color w:val="000000"/>
              </w:rPr>
              <w:t>1,100</w:t>
            </w:r>
          </w:p>
        </w:tc>
        <w:tc>
          <w:tcPr>
            <w:tcW w:w="781" w:type="dxa"/>
            <w:shd w:val="clear" w:color="auto" w:fill="B8CCE4" w:themeFill="accent1" w:themeFillTint="66"/>
            <w:vAlign w:val="bottom"/>
          </w:tcPr>
          <w:p w:rsidRPr="00A136E2" w:rsidR="009B7E8D" w:rsidP="00B136E3" w:rsidRDefault="009B7E8D" w14:paraId="160DF38E" w14:textId="77777777">
            <w:pPr>
              <w:pStyle w:val="TableTextCentered"/>
              <w:rPr>
                <w:b/>
                <w:bCs/>
              </w:rPr>
            </w:pPr>
            <w:r w:rsidRPr="00A136E2">
              <w:rPr>
                <w:b/>
                <w:bCs/>
                <w:color w:val="000000"/>
              </w:rPr>
              <w:t>1,200</w:t>
            </w:r>
          </w:p>
        </w:tc>
        <w:tc>
          <w:tcPr>
            <w:tcW w:w="781" w:type="dxa"/>
            <w:shd w:val="clear" w:color="auto" w:fill="B8CCE4" w:themeFill="accent1" w:themeFillTint="66"/>
            <w:vAlign w:val="bottom"/>
          </w:tcPr>
          <w:p w:rsidRPr="00A136E2" w:rsidR="009B7E8D" w:rsidP="00B136E3" w:rsidRDefault="009B7E8D" w14:paraId="30454AD4" w14:textId="77777777">
            <w:pPr>
              <w:pStyle w:val="TableTextCentered"/>
              <w:rPr>
                <w:b/>
                <w:bCs/>
              </w:rPr>
            </w:pPr>
            <w:r w:rsidRPr="00A136E2">
              <w:rPr>
                <w:b/>
                <w:bCs/>
                <w:color w:val="000000"/>
              </w:rPr>
              <w:t>1,300</w:t>
            </w:r>
          </w:p>
        </w:tc>
        <w:tc>
          <w:tcPr>
            <w:tcW w:w="780" w:type="dxa"/>
            <w:shd w:val="clear" w:color="auto" w:fill="B8CCE4" w:themeFill="accent1" w:themeFillTint="66"/>
            <w:vAlign w:val="bottom"/>
          </w:tcPr>
          <w:p w:rsidRPr="00A136E2" w:rsidR="009B7E8D" w:rsidP="00B136E3" w:rsidRDefault="009B7E8D" w14:paraId="6D54825A" w14:textId="77777777">
            <w:pPr>
              <w:pStyle w:val="TableTextCentered"/>
              <w:rPr>
                <w:b/>
                <w:bCs/>
              </w:rPr>
            </w:pPr>
            <w:r w:rsidRPr="00A136E2">
              <w:rPr>
                <w:b/>
                <w:bCs/>
                <w:color w:val="000000"/>
              </w:rPr>
              <w:t>1,400</w:t>
            </w:r>
          </w:p>
        </w:tc>
        <w:tc>
          <w:tcPr>
            <w:tcW w:w="779" w:type="dxa"/>
            <w:shd w:val="clear" w:color="auto" w:fill="B8CCE4" w:themeFill="accent1" w:themeFillTint="66"/>
            <w:vAlign w:val="bottom"/>
          </w:tcPr>
          <w:p w:rsidRPr="00A136E2" w:rsidR="009B7E8D" w:rsidP="00B136E3" w:rsidRDefault="009B7E8D" w14:paraId="5E19A0A4" w14:textId="77777777">
            <w:pPr>
              <w:pStyle w:val="TableTextCentered"/>
              <w:rPr>
                <w:b/>
                <w:bCs/>
              </w:rPr>
            </w:pPr>
            <w:r w:rsidRPr="00A136E2">
              <w:rPr>
                <w:b/>
                <w:bCs/>
                <w:color w:val="000000"/>
              </w:rPr>
              <w:t>1,500</w:t>
            </w:r>
          </w:p>
        </w:tc>
        <w:tc>
          <w:tcPr>
            <w:tcW w:w="780" w:type="dxa"/>
            <w:shd w:val="clear" w:color="auto" w:fill="B8CCE4" w:themeFill="accent1" w:themeFillTint="66"/>
            <w:vAlign w:val="bottom"/>
          </w:tcPr>
          <w:p w:rsidRPr="00A136E2" w:rsidR="009B7E8D" w:rsidP="00B136E3" w:rsidRDefault="009B7E8D" w14:paraId="1834ADCA" w14:textId="77777777">
            <w:pPr>
              <w:pStyle w:val="TableTextCentered"/>
              <w:rPr>
                <w:b/>
                <w:bCs/>
              </w:rPr>
            </w:pPr>
            <w:r w:rsidRPr="00A136E2">
              <w:rPr>
                <w:b/>
                <w:bCs/>
                <w:color w:val="000000"/>
              </w:rPr>
              <w:t>1,600</w:t>
            </w:r>
          </w:p>
        </w:tc>
        <w:tc>
          <w:tcPr>
            <w:tcW w:w="780" w:type="dxa"/>
            <w:shd w:val="clear" w:color="auto" w:fill="B8CCE4" w:themeFill="accent1" w:themeFillTint="66"/>
            <w:vAlign w:val="bottom"/>
          </w:tcPr>
          <w:p w:rsidRPr="00A136E2" w:rsidR="009B7E8D" w:rsidP="00B136E3" w:rsidRDefault="009B7E8D" w14:paraId="37FBDBAD" w14:textId="77777777">
            <w:pPr>
              <w:pStyle w:val="TableTextCentered"/>
              <w:rPr>
                <w:b/>
                <w:bCs/>
              </w:rPr>
            </w:pPr>
            <w:r w:rsidRPr="00A136E2">
              <w:rPr>
                <w:b/>
                <w:bCs/>
                <w:color w:val="000000"/>
              </w:rPr>
              <w:t>1,700</w:t>
            </w:r>
          </w:p>
        </w:tc>
        <w:tc>
          <w:tcPr>
            <w:tcW w:w="780" w:type="dxa"/>
            <w:shd w:val="clear" w:color="auto" w:fill="B8CCE4" w:themeFill="accent1" w:themeFillTint="66"/>
            <w:vAlign w:val="bottom"/>
          </w:tcPr>
          <w:p w:rsidRPr="00A136E2" w:rsidR="009B7E8D" w:rsidP="00B136E3" w:rsidRDefault="009B7E8D" w14:paraId="542745A7" w14:textId="77777777">
            <w:pPr>
              <w:pStyle w:val="TableTextCentered"/>
              <w:rPr>
                <w:b/>
                <w:bCs/>
              </w:rPr>
            </w:pPr>
            <w:r w:rsidRPr="00A136E2">
              <w:rPr>
                <w:b/>
                <w:bCs/>
                <w:color w:val="000000"/>
              </w:rPr>
              <w:t>1,800</w:t>
            </w:r>
          </w:p>
        </w:tc>
        <w:tc>
          <w:tcPr>
            <w:tcW w:w="780" w:type="dxa"/>
            <w:shd w:val="clear" w:color="auto" w:fill="B8CCE4" w:themeFill="accent1" w:themeFillTint="66"/>
            <w:vAlign w:val="bottom"/>
          </w:tcPr>
          <w:p w:rsidRPr="00A136E2" w:rsidR="009B7E8D" w:rsidP="00B136E3" w:rsidRDefault="009B7E8D" w14:paraId="01A7EE4A" w14:textId="77777777">
            <w:pPr>
              <w:pStyle w:val="TableTextCentered"/>
              <w:rPr>
                <w:b/>
                <w:bCs/>
              </w:rPr>
            </w:pPr>
            <w:r w:rsidRPr="00A136E2">
              <w:rPr>
                <w:b/>
                <w:bCs/>
                <w:color w:val="000000"/>
              </w:rPr>
              <w:t>1,900</w:t>
            </w:r>
          </w:p>
        </w:tc>
        <w:tc>
          <w:tcPr>
            <w:tcW w:w="780" w:type="dxa"/>
            <w:shd w:val="clear" w:color="auto" w:fill="B8CCE4" w:themeFill="accent1" w:themeFillTint="66"/>
            <w:vAlign w:val="bottom"/>
          </w:tcPr>
          <w:p w:rsidRPr="00A136E2" w:rsidR="009B7E8D" w:rsidP="00B136E3" w:rsidRDefault="009B7E8D" w14:paraId="226D3F76" w14:textId="77777777">
            <w:pPr>
              <w:pStyle w:val="TableTextCentered"/>
              <w:rPr>
                <w:b/>
                <w:bCs/>
              </w:rPr>
            </w:pPr>
            <w:r w:rsidRPr="00A136E2">
              <w:rPr>
                <w:b/>
                <w:bCs/>
                <w:color w:val="000000"/>
              </w:rPr>
              <w:t>2,000</w:t>
            </w:r>
          </w:p>
        </w:tc>
      </w:tr>
      <w:tr w:rsidRPr="003A12F2" w:rsidR="00CA4A33" w:rsidTr="007F6250" w14:paraId="775A4CD8" w14:textId="77777777">
        <w:tc>
          <w:tcPr>
            <w:tcW w:w="1344" w:type="dxa"/>
            <w:shd w:val="clear" w:color="auto" w:fill="B8CCE4" w:themeFill="accent1" w:themeFillTint="66"/>
          </w:tcPr>
          <w:p w:rsidRPr="009B7E8D" w:rsidR="00CA4A33" w:rsidP="00CA4A33" w:rsidRDefault="00CA4A33" w14:paraId="2B7715EC" w14:textId="5581889D">
            <w:pPr>
              <w:pStyle w:val="TableText"/>
              <w:jc w:val="center"/>
              <w:rPr>
                <w:b/>
                <w:bCs/>
              </w:rPr>
            </w:pPr>
            <w:r>
              <w:rPr>
                <w:b/>
                <w:bCs/>
              </w:rPr>
              <w:t>1,000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290D727" w14:textId="5FCA48D1">
            <w:pPr>
              <w:pStyle w:val="TableText"/>
            </w:pPr>
            <w:r>
              <w:rPr>
                <w:color w:val="000000"/>
              </w:rPr>
              <w:t>0.062</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599AB388" w14:textId="4F66E2CB">
            <w:pPr>
              <w:pStyle w:val="TableText"/>
            </w:pPr>
            <w:r>
              <w:rPr>
                <w:color w:val="000000"/>
              </w:rPr>
              <w:t>0.061</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1EE6435F" w14:textId="537DEF59">
            <w:pPr>
              <w:pStyle w:val="TableText"/>
            </w:pPr>
            <w:r>
              <w:rPr>
                <w:color w:val="000000"/>
              </w:rPr>
              <w:t>0.059</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02B35A9F" w14:textId="32465B69">
            <w:pPr>
              <w:pStyle w:val="TableText"/>
            </w:pPr>
            <w:r>
              <w:rPr>
                <w:color w:val="000000"/>
              </w:rPr>
              <w:t>0.058</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35A847B3" w14:textId="0269E5DC">
            <w:pPr>
              <w:pStyle w:val="TableText"/>
            </w:pPr>
            <w:r>
              <w:rPr>
                <w:color w:val="000000"/>
              </w:rPr>
              <w:t>0.057</w:t>
            </w:r>
          </w:p>
        </w:tc>
        <w:tc>
          <w:tcPr>
            <w:tcW w:w="779" w:type="dxa"/>
            <w:tcBorders>
              <w:top w:val="nil"/>
              <w:left w:val="nil"/>
              <w:bottom w:val="single" w:color="auto" w:sz="8" w:space="0"/>
              <w:right w:val="single" w:color="auto" w:sz="8" w:space="0"/>
            </w:tcBorders>
            <w:vAlign w:val="bottom"/>
          </w:tcPr>
          <w:p w:rsidRPr="009C61A2" w:rsidR="00CA4A33" w:rsidP="00CA4A33" w:rsidRDefault="00CA4A33" w14:paraId="13D371E1" w14:textId="316A79CC">
            <w:pPr>
              <w:pStyle w:val="TableText"/>
            </w:pPr>
            <w:r>
              <w:rPr>
                <w:color w:val="000000"/>
              </w:rPr>
              <w:t>0.056</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31C472AC" w14:textId="19E4062B">
            <w:pPr>
              <w:pStyle w:val="TableText"/>
            </w:pPr>
            <w:r>
              <w:rPr>
                <w:color w:val="000000"/>
              </w:rPr>
              <w:t>0.055</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586FF139" w14:textId="71B43853">
            <w:pPr>
              <w:pStyle w:val="TableText"/>
            </w:pPr>
            <w:r>
              <w:rPr>
                <w:color w:val="000000"/>
              </w:rPr>
              <w:t>0.054</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5985EF26" w14:textId="5526845C">
            <w:pPr>
              <w:pStyle w:val="TableText"/>
            </w:pPr>
            <w:r>
              <w:rPr>
                <w:color w:val="000000"/>
              </w:rPr>
              <w:t>0.053</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2345DAC" w14:textId="3087C16A">
            <w:pPr>
              <w:pStyle w:val="TableText"/>
            </w:pPr>
            <w:r>
              <w:rPr>
                <w:color w:val="000000"/>
              </w:rPr>
              <w:t>0.053</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2DFA534C" w14:textId="0BCDD9C6">
            <w:pPr>
              <w:pStyle w:val="TableText"/>
            </w:pPr>
            <w:r>
              <w:rPr>
                <w:color w:val="000000"/>
              </w:rPr>
              <w:t>0.052</w:t>
            </w:r>
          </w:p>
        </w:tc>
      </w:tr>
      <w:tr w:rsidRPr="003A12F2" w:rsidR="00CA4A33" w:rsidTr="007F6250" w14:paraId="38D60261" w14:textId="77777777">
        <w:tc>
          <w:tcPr>
            <w:tcW w:w="1344" w:type="dxa"/>
            <w:shd w:val="clear" w:color="auto" w:fill="B8CCE4" w:themeFill="accent1" w:themeFillTint="66"/>
          </w:tcPr>
          <w:p w:rsidRPr="009B7E8D" w:rsidR="00CA4A33" w:rsidP="00CA4A33" w:rsidRDefault="00CA4A33" w14:paraId="5E430130" w14:textId="79D9A3A6">
            <w:pPr>
              <w:pStyle w:val="TableText"/>
              <w:jc w:val="center"/>
              <w:rPr>
                <w:b/>
                <w:bCs/>
              </w:rPr>
            </w:pPr>
            <w:r>
              <w:rPr>
                <w:b/>
                <w:bCs/>
              </w:rPr>
              <w:t>1,100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4B917F0E" w14:textId="6A2CD768">
            <w:pPr>
              <w:pStyle w:val="TableText"/>
            </w:pPr>
            <w:r>
              <w:rPr>
                <w:color w:val="000000"/>
              </w:rPr>
              <w:t>0.061</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27C41627" w14:textId="0FD6F0EF">
            <w:pPr>
              <w:pStyle w:val="TableText"/>
            </w:pPr>
            <w:r>
              <w:rPr>
                <w:color w:val="000000"/>
              </w:rPr>
              <w:t>0.059</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28929662" w14:textId="5FF7ABFC">
            <w:pPr>
              <w:pStyle w:val="TableText"/>
            </w:pPr>
            <w:r>
              <w:rPr>
                <w:color w:val="000000"/>
              </w:rPr>
              <w:t>0.057</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1A9FFAA1" w14:textId="4B4C87ED">
            <w:pPr>
              <w:pStyle w:val="TableText"/>
            </w:pPr>
            <w:r>
              <w:rPr>
                <w:color w:val="000000"/>
              </w:rPr>
              <w:t>0.056</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065EC1D7" w14:textId="7F7A2611">
            <w:pPr>
              <w:pStyle w:val="TableText"/>
            </w:pPr>
            <w:r>
              <w:rPr>
                <w:color w:val="000000"/>
              </w:rPr>
              <w:t>0.055</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7C3F164A" w14:textId="5B3A671C">
            <w:pPr>
              <w:pStyle w:val="TableText"/>
            </w:pPr>
            <w:r>
              <w:rPr>
                <w:color w:val="000000"/>
              </w:rPr>
              <w:t>0.054</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B471623" w14:textId="0F2BE86E">
            <w:pPr>
              <w:pStyle w:val="TableText"/>
            </w:pPr>
            <w:r>
              <w:rPr>
                <w:color w:val="000000"/>
              </w:rPr>
              <w:t>0.053</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128FCEE" w14:textId="3683E913">
            <w:pPr>
              <w:pStyle w:val="TableText"/>
            </w:pPr>
            <w:r>
              <w:rPr>
                <w:color w:val="000000"/>
              </w:rPr>
              <w:t>0.052</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6C7C037C" w14:textId="4AA0D40D">
            <w:pPr>
              <w:pStyle w:val="TableText"/>
            </w:pPr>
            <w:r>
              <w:rPr>
                <w:color w:val="000000"/>
              </w:rPr>
              <w:t>0.051</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6C9EA1C2" w14:textId="22167BAD">
            <w:pPr>
              <w:pStyle w:val="TableText"/>
            </w:pPr>
            <w:r>
              <w:rPr>
                <w:color w:val="000000"/>
              </w:rPr>
              <w:t>0.051</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CB0771B" w14:textId="5973057D">
            <w:pPr>
              <w:pStyle w:val="TableText"/>
            </w:pPr>
            <w:r>
              <w:rPr>
                <w:color w:val="000000"/>
              </w:rPr>
              <w:t>0.050</w:t>
            </w:r>
          </w:p>
        </w:tc>
      </w:tr>
      <w:tr w:rsidRPr="003A12F2" w:rsidR="00CA4A33" w:rsidTr="007F6250" w14:paraId="7F20E16B" w14:textId="77777777">
        <w:tc>
          <w:tcPr>
            <w:tcW w:w="1344" w:type="dxa"/>
            <w:shd w:val="clear" w:color="auto" w:fill="B8CCE4" w:themeFill="accent1" w:themeFillTint="66"/>
          </w:tcPr>
          <w:p w:rsidRPr="009B7E8D" w:rsidR="00CA4A33" w:rsidP="00CA4A33" w:rsidRDefault="00CA4A33" w14:paraId="367981D3" w14:textId="5997A296">
            <w:pPr>
              <w:pStyle w:val="TableText"/>
              <w:jc w:val="center"/>
              <w:rPr>
                <w:b/>
                <w:bCs/>
              </w:rPr>
            </w:pPr>
            <w:r>
              <w:rPr>
                <w:b/>
                <w:bCs/>
              </w:rPr>
              <w:t>1,200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6E764455" w14:textId="0A8A4A70">
            <w:pPr>
              <w:pStyle w:val="TableText"/>
            </w:pPr>
            <w:r>
              <w:rPr>
                <w:color w:val="000000"/>
              </w:rPr>
              <w:t>0.059</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4A285210" w14:textId="6A9B0099">
            <w:pPr>
              <w:pStyle w:val="TableText"/>
            </w:pPr>
            <w:r>
              <w:rPr>
                <w:color w:val="000000"/>
              </w:rPr>
              <w:t>0.057</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07E0F9EC" w14:textId="6F698611">
            <w:pPr>
              <w:pStyle w:val="TableText"/>
            </w:pPr>
            <w:r>
              <w:rPr>
                <w:color w:val="000000"/>
              </w:rPr>
              <w:t>0.056</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5CE0787F" w14:textId="1A34AE48">
            <w:pPr>
              <w:pStyle w:val="TableText"/>
            </w:pPr>
            <w:r>
              <w:rPr>
                <w:color w:val="000000"/>
              </w:rPr>
              <w:t>0.054</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2A7B8EF5" w14:textId="3A756F5C">
            <w:pPr>
              <w:pStyle w:val="TableText"/>
            </w:pPr>
            <w:r>
              <w:rPr>
                <w:color w:val="000000"/>
              </w:rPr>
              <w:t>0.053</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61281947" w14:textId="4F9956FB">
            <w:pPr>
              <w:pStyle w:val="TableText"/>
            </w:pPr>
            <w:r>
              <w:rPr>
                <w:color w:val="000000"/>
              </w:rPr>
              <w:t>0.052</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5A5EB58C" w14:textId="583A357D">
            <w:pPr>
              <w:pStyle w:val="TableText"/>
            </w:pPr>
            <w:r>
              <w:rPr>
                <w:color w:val="000000"/>
              </w:rPr>
              <w:t>0.051</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E67A641" w14:textId="70A199FD">
            <w:pPr>
              <w:pStyle w:val="TableText"/>
            </w:pPr>
            <w:r>
              <w:rPr>
                <w:color w:val="000000"/>
              </w:rPr>
              <w:t>0.050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6962091E" w14:textId="6ACCBF33">
            <w:pPr>
              <w:pStyle w:val="TableText"/>
            </w:pPr>
            <w:r>
              <w:rPr>
                <w:color w:val="000000"/>
              </w:rPr>
              <w:t>0.050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104A753" w14:textId="04ABF1DF">
            <w:pPr>
              <w:pStyle w:val="TableText"/>
            </w:pPr>
            <w:r>
              <w:rPr>
                <w:color w:val="000000"/>
              </w:rPr>
              <w:t>0.049</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5A941CC7" w14:textId="3E614AA9">
            <w:pPr>
              <w:pStyle w:val="TableText"/>
            </w:pPr>
            <w:r>
              <w:rPr>
                <w:color w:val="000000"/>
              </w:rPr>
              <w:t>0.048</w:t>
            </w:r>
          </w:p>
        </w:tc>
      </w:tr>
      <w:tr w:rsidRPr="003A12F2" w:rsidR="00CA4A33" w:rsidTr="007F6250" w14:paraId="7D05E93D" w14:textId="77777777">
        <w:tc>
          <w:tcPr>
            <w:tcW w:w="1344" w:type="dxa"/>
            <w:shd w:val="clear" w:color="auto" w:fill="B8CCE4" w:themeFill="accent1" w:themeFillTint="66"/>
          </w:tcPr>
          <w:p w:rsidRPr="009B7E8D" w:rsidR="00CA4A33" w:rsidP="00CA4A33" w:rsidRDefault="00CA4A33" w14:paraId="0D0D018B" w14:textId="7BD32538">
            <w:pPr>
              <w:pStyle w:val="TableText"/>
              <w:jc w:val="center"/>
              <w:rPr>
                <w:b/>
                <w:bCs/>
              </w:rPr>
            </w:pPr>
            <w:r>
              <w:rPr>
                <w:b/>
                <w:bCs/>
              </w:rPr>
              <w:t>1,300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4700F78E" w14:textId="258AAF46">
            <w:pPr>
              <w:pStyle w:val="TableText"/>
            </w:pPr>
            <w:r>
              <w:rPr>
                <w:color w:val="000000"/>
              </w:rPr>
              <w:t>0.058</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0B25D60F" w14:textId="556763B2">
            <w:pPr>
              <w:pStyle w:val="TableText"/>
            </w:pPr>
            <w:r>
              <w:rPr>
                <w:color w:val="000000"/>
              </w:rPr>
              <w:t>0.056</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4591BE43" w14:textId="19C83FD1">
            <w:pPr>
              <w:pStyle w:val="TableText"/>
            </w:pPr>
            <w:r>
              <w:rPr>
                <w:color w:val="000000"/>
              </w:rPr>
              <w:t>0.054</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033CEEC1" w14:textId="1A99F1D0">
            <w:pPr>
              <w:pStyle w:val="TableText"/>
            </w:pPr>
            <w:r>
              <w:rPr>
                <w:color w:val="000000"/>
              </w:rPr>
              <w:t>0.053</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53A0107E" w14:textId="59A3A21C">
            <w:pPr>
              <w:pStyle w:val="TableText"/>
            </w:pPr>
            <w:r>
              <w:rPr>
                <w:color w:val="000000"/>
              </w:rPr>
              <w:t>0.052</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3EA59C53" w14:textId="06BBCB86">
            <w:pPr>
              <w:pStyle w:val="TableText"/>
            </w:pPr>
            <w:r>
              <w:rPr>
                <w:color w:val="000000"/>
              </w:rPr>
              <w:t>0.051</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26AF1DE" w14:textId="36DA5CC2">
            <w:pPr>
              <w:pStyle w:val="TableText"/>
            </w:pPr>
            <w:r>
              <w:rPr>
                <w:color w:val="000000"/>
              </w:rPr>
              <w:t>0.050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BCDCA10" w14:textId="19981CB1">
            <w:pPr>
              <w:pStyle w:val="TableText"/>
            </w:pPr>
            <w:r>
              <w:rPr>
                <w:color w:val="000000"/>
              </w:rPr>
              <w:t>0.049</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0CD7764" w14:textId="16FCB24F">
            <w:pPr>
              <w:pStyle w:val="TableText"/>
            </w:pPr>
            <w:r>
              <w:rPr>
                <w:color w:val="000000"/>
              </w:rPr>
              <w:t>0.048</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56A1E48" w14:textId="02766693">
            <w:pPr>
              <w:pStyle w:val="TableText"/>
            </w:pPr>
            <w:r>
              <w:rPr>
                <w:color w:val="000000"/>
              </w:rPr>
              <w:t>0.048</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231879D0" w14:textId="0FA3BD50">
            <w:pPr>
              <w:pStyle w:val="TableText"/>
            </w:pPr>
            <w:r>
              <w:rPr>
                <w:color w:val="000000"/>
              </w:rPr>
              <w:t>0.047</w:t>
            </w:r>
          </w:p>
        </w:tc>
      </w:tr>
      <w:tr w:rsidRPr="003A12F2" w:rsidR="00CA4A33" w:rsidTr="007F6250" w14:paraId="3B452732" w14:textId="77777777">
        <w:tc>
          <w:tcPr>
            <w:tcW w:w="1344" w:type="dxa"/>
            <w:shd w:val="clear" w:color="auto" w:fill="B8CCE4" w:themeFill="accent1" w:themeFillTint="66"/>
          </w:tcPr>
          <w:p w:rsidRPr="009B7E8D" w:rsidR="00CA4A33" w:rsidP="00CA4A33" w:rsidRDefault="00CA4A33" w14:paraId="08A0B396" w14:textId="777092DE">
            <w:pPr>
              <w:pStyle w:val="TableText"/>
              <w:jc w:val="center"/>
              <w:rPr>
                <w:b/>
                <w:bCs/>
              </w:rPr>
            </w:pPr>
            <w:r>
              <w:rPr>
                <w:b/>
                <w:bCs/>
              </w:rPr>
              <w:t>1,400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81645AE" w14:textId="4D0695A3">
            <w:pPr>
              <w:pStyle w:val="TableText"/>
            </w:pPr>
            <w:r>
              <w:rPr>
                <w:color w:val="000000"/>
              </w:rPr>
              <w:t>0.057</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297BE2ED" w14:textId="01E24C2B">
            <w:pPr>
              <w:pStyle w:val="TableText"/>
            </w:pPr>
            <w:r>
              <w:rPr>
                <w:color w:val="000000"/>
              </w:rPr>
              <w:t>0.055</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10BD7937" w14:textId="067B2E39">
            <w:pPr>
              <w:pStyle w:val="TableText"/>
            </w:pPr>
            <w:r>
              <w:rPr>
                <w:color w:val="000000"/>
              </w:rPr>
              <w:t>0.053</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4FDFE1A9" w14:textId="70175E7D">
            <w:pPr>
              <w:pStyle w:val="TableText"/>
            </w:pPr>
            <w:r>
              <w:rPr>
                <w:color w:val="000000"/>
              </w:rPr>
              <w:t>0.052</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5AE0F074" w14:textId="0E6BA9F6">
            <w:pPr>
              <w:pStyle w:val="TableText"/>
            </w:pPr>
            <w:r>
              <w:rPr>
                <w:color w:val="000000"/>
              </w:rPr>
              <w:t>0.051</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027566BD" w14:textId="3C70D5ED">
            <w:pPr>
              <w:pStyle w:val="TableText"/>
            </w:pPr>
            <w:r>
              <w:rPr>
                <w:color w:val="000000"/>
              </w:rPr>
              <w:t>0.050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6CF316E8" w14:textId="56323151">
            <w:pPr>
              <w:pStyle w:val="TableText"/>
            </w:pPr>
            <w:r>
              <w:rPr>
                <w:color w:val="000000"/>
              </w:rPr>
              <w:t>0.049</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44C2AF9B" w14:textId="7379826F">
            <w:pPr>
              <w:pStyle w:val="TableText"/>
            </w:pPr>
            <w:r>
              <w:rPr>
                <w:color w:val="000000"/>
              </w:rPr>
              <w:t>0.048</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BD7984F" w14:textId="34BD01F9">
            <w:pPr>
              <w:pStyle w:val="TableText"/>
            </w:pPr>
            <w:r>
              <w:rPr>
                <w:color w:val="000000"/>
              </w:rPr>
              <w:t>0.047</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8FB0816" w14:textId="1B69118F">
            <w:pPr>
              <w:pStyle w:val="TableText"/>
            </w:pPr>
            <w:r>
              <w:rPr>
                <w:color w:val="000000"/>
              </w:rPr>
              <w:t>0.046</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171F15B" w14:textId="4CF8E2D4">
            <w:pPr>
              <w:pStyle w:val="TableText"/>
            </w:pPr>
            <w:r>
              <w:rPr>
                <w:color w:val="000000"/>
              </w:rPr>
              <w:t>0.046</w:t>
            </w:r>
          </w:p>
        </w:tc>
      </w:tr>
      <w:tr w:rsidRPr="003A12F2" w:rsidR="00CA4A33" w:rsidTr="007F6250" w14:paraId="3BC7AFCE" w14:textId="77777777">
        <w:tc>
          <w:tcPr>
            <w:tcW w:w="1344" w:type="dxa"/>
            <w:shd w:val="clear" w:color="auto" w:fill="B8CCE4" w:themeFill="accent1" w:themeFillTint="66"/>
          </w:tcPr>
          <w:p w:rsidRPr="009B7E8D" w:rsidR="00CA4A33" w:rsidP="00CA4A33" w:rsidRDefault="00CA4A33" w14:paraId="24091497" w14:textId="6AEBE1D0">
            <w:pPr>
              <w:pStyle w:val="TableText"/>
              <w:jc w:val="center"/>
              <w:rPr>
                <w:b/>
                <w:bCs/>
              </w:rPr>
            </w:pPr>
            <w:r>
              <w:rPr>
                <w:b/>
                <w:bCs/>
              </w:rPr>
              <w:t>1,500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B67A30D" w14:textId="69987302">
            <w:pPr>
              <w:pStyle w:val="TableText"/>
            </w:pPr>
            <w:r>
              <w:rPr>
                <w:color w:val="000000"/>
              </w:rPr>
              <w:t>0.056</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21E6D40F" w14:textId="287C75F1">
            <w:pPr>
              <w:pStyle w:val="TableText"/>
            </w:pPr>
            <w:r>
              <w:rPr>
                <w:color w:val="000000"/>
              </w:rPr>
              <w:t>0.054</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2F620EFA" w14:textId="36C83017">
            <w:pPr>
              <w:pStyle w:val="TableText"/>
            </w:pPr>
            <w:r>
              <w:rPr>
                <w:color w:val="000000"/>
              </w:rPr>
              <w:t>0.052</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5FE56A41" w14:textId="764245BC">
            <w:pPr>
              <w:pStyle w:val="TableText"/>
            </w:pPr>
            <w:r>
              <w:rPr>
                <w:color w:val="000000"/>
              </w:rPr>
              <w:t>0.051</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7F2A2CDB" w14:textId="566576F4">
            <w:pPr>
              <w:pStyle w:val="TableText"/>
            </w:pPr>
            <w:r>
              <w:rPr>
                <w:color w:val="000000"/>
              </w:rPr>
              <w:t>0.050</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1007C752" w14:textId="1CC9A380">
            <w:pPr>
              <w:pStyle w:val="TableText"/>
            </w:pPr>
            <w:r>
              <w:rPr>
                <w:color w:val="000000"/>
              </w:rPr>
              <w:t>0.048</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5764EB6" w14:textId="47FA07CA">
            <w:pPr>
              <w:pStyle w:val="TableText"/>
            </w:pPr>
            <w:r>
              <w:rPr>
                <w:color w:val="000000"/>
              </w:rPr>
              <w:t>0.047</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6B65F40" w14:textId="368BBF15">
            <w:pPr>
              <w:pStyle w:val="TableText"/>
            </w:pPr>
            <w:r>
              <w:rPr>
                <w:color w:val="000000"/>
              </w:rPr>
              <w:t>0.047</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4D7110DC" w14:textId="5078E7C8">
            <w:pPr>
              <w:pStyle w:val="TableText"/>
            </w:pPr>
            <w:r>
              <w:rPr>
                <w:color w:val="000000"/>
              </w:rPr>
              <w:t>0.046</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5A0B672" w14:textId="21B9A723">
            <w:pPr>
              <w:pStyle w:val="TableText"/>
            </w:pPr>
            <w:r>
              <w:rPr>
                <w:color w:val="000000"/>
              </w:rPr>
              <w:t>0.045</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183E3D2" w14:textId="3E943279">
            <w:pPr>
              <w:pStyle w:val="TableText"/>
            </w:pPr>
            <w:r>
              <w:rPr>
                <w:color w:val="000000"/>
              </w:rPr>
              <w:t>0.044</w:t>
            </w:r>
          </w:p>
        </w:tc>
      </w:tr>
      <w:tr w:rsidRPr="003A12F2" w:rsidR="00CA4A33" w:rsidTr="007F6250" w14:paraId="61AC8091" w14:textId="77777777">
        <w:tc>
          <w:tcPr>
            <w:tcW w:w="1344" w:type="dxa"/>
            <w:shd w:val="clear" w:color="auto" w:fill="B8CCE4" w:themeFill="accent1" w:themeFillTint="66"/>
          </w:tcPr>
          <w:p w:rsidRPr="009B7E8D" w:rsidR="00CA4A33" w:rsidP="00CA4A33" w:rsidRDefault="00CA4A33" w14:paraId="2026E0DE" w14:textId="7AA356C5">
            <w:pPr>
              <w:pStyle w:val="TableText"/>
              <w:jc w:val="center"/>
              <w:rPr>
                <w:b/>
                <w:bCs/>
              </w:rPr>
            </w:pPr>
            <w:r>
              <w:rPr>
                <w:b/>
                <w:bCs/>
              </w:rPr>
              <w:t>1,600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E8D58A7" w14:textId="67E2958E">
            <w:pPr>
              <w:pStyle w:val="TableText"/>
            </w:pPr>
            <w:r>
              <w:rPr>
                <w:color w:val="000000"/>
              </w:rPr>
              <w:t>0.055</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5F8EB464" w14:textId="0EF4775F">
            <w:pPr>
              <w:pStyle w:val="TableText"/>
            </w:pPr>
            <w:r>
              <w:rPr>
                <w:color w:val="000000"/>
              </w:rPr>
              <w:t>0.053</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00AB433D" w14:textId="7755F12A">
            <w:pPr>
              <w:pStyle w:val="TableText"/>
            </w:pPr>
            <w:r>
              <w:rPr>
                <w:color w:val="000000"/>
              </w:rPr>
              <w:t>0.051</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453F25A5" w14:textId="40CCCE15">
            <w:pPr>
              <w:pStyle w:val="TableText"/>
            </w:pPr>
            <w:r>
              <w:rPr>
                <w:color w:val="000000"/>
              </w:rPr>
              <w:t>0.050</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22940469" w14:textId="16AF0E24">
            <w:pPr>
              <w:pStyle w:val="TableText"/>
            </w:pPr>
            <w:r>
              <w:rPr>
                <w:color w:val="000000"/>
              </w:rPr>
              <w:t>0.049</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2379EA71" w14:textId="1E5D7726">
            <w:pPr>
              <w:pStyle w:val="TableText"/>
            </w:pPr>
            <w:r>
              <w:rPr>
                <w:color w:val="000000"/>
              </w:rPr>
              <w:t>0.047</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723B0AB" w14:textId="501DF801">
            <w:pPr>
              <w:pStyle w:val="TableText"/>
            </w:pPr>
            <w:r>
              <w:rPr>
                <w:color w:val="000000"/>
              </w:rPr>
              <w:t>0.046</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4F3D4BC3" w14:textId="6DC37C2C">
            <w:pPr>
              <w:pStyle w:val="TableText"/>
            </w:pPr>
            <w:r>
              <w:rPr>
                <w:color w:val="000000"/>
              </w:rPr>
              <w:t>0.046</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D906827" w14:textId="5E9C9940">
            <w:pPr>
              <w:pStyle w:val="TableText"/>
            </w:pPr>
            <w:r>
              <w:rPr>
                <w:color w:val="000000"/>
              </w:rPr>
              <w:t>0.045</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27F8AB16" w14:textId="5905370E">
            <w:pPr>
              <w:pStyle w:val="TableText"/>
            </w:pPr>
            <w:r>
              <w:rPr>
                <w:color w:val="000000"/>
              </w:rPr>
              <w:t>0.044</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9C83BD8" w14:textId="6F432E82">
            <w:pPr>
              <w:pStyle w:val="TableText"/>
            </w:pPr>
            <w:r>
              <w:rPr>
                <w:color w:val="000000"/>
              </w:rPr>
              <w:t>0.043</w:t>
            </w:r>
          </w:p>
        </w:tc>
      </w:tr>
      <w:tr w:rsidRPr="003A12F2" w:rsidR="00CA4A33" w:rsidTr="007F6250" w14:paraId="4B4C1D0F" w14:textId="77777777">
        <w:tc>
          <w:tcPr>
            <w:tcW w:w="1344" w:type="dxa"/>
            <w:shd w:val="clear" w:color="auto" w:fill="B8CCE4" w:themeFill="accent1" w:themeFillTint="66"/>
          </w:tcPr>
          <w:p w:rsidRPr="009B7E8D" w:rsidR="00CA4A33" w:rsidP="00CA4A33" w:rsidRDefault="00CA4A33" w14:paraId="3B9DD9E2" w14:textId="027B37DB">
            <w:pPr>
              <w:pStyle w:val="TableText"/>
              <w:jc w:val="center"/>
              <w:rPr>
                <w:b/>
                <w:bCs/>
              </w:rPr>
            </w:pPr>
            <w:r>
              <w:rPr>
                <w:b/>
                <w:bCs/>
              </w:rPr>
              <w:t>1,700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31BC8F31" w14:textId="0D93A9B7">
            <w:pPr>
              <w:pStyle w:val="TableText"/>
            </w:pPr>
            <w:r>
              <w:rPr>
                <w:color w:val="000000"/>
              </w:rPr>
              <w:t>0.054</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29CE0758" w14:textId="2EF714FE">
            <w:pPr>
              <w:pStyle w:val="TableText"/>
            </w:pPr>
            <w:r>
              <w:rPr>
                <w:color w:val="000000"/>
              </w:rPr>
              <w:t>0.052</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5FFC8BD1" w14:textId="3C631602">
            <w:pPr>
              <w:pStyle w:val="TableText"/>
            </w:pPr>
            <w:r>
              <w:rPr>
                <w:color w:val="000000"/>
              </w:rPr>
              <w:t>0.050</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768CAA63" w14:textId="5BBA75D0">
            <w:pPr>
              <w:pStyle w:val="TableText"/>
            </w:pPr>
            <w:r>
              <w:rPr>
                <w:color w:val="000000"/>
              </w:rPr>
              <w:t>0.049</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0D719386" w14:textId="005638C7">
            <w:pPr>
              <w:pStyle w:val="TableText"/>
            </w:pPr>
            <w:r>
              <w:rPr>
                <w:color w:val="000000"/>
              </w:rPr>
              <w:t>0.048</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59354363" w14:textId="7BA6E8C6">
            <w:pPr>
              <w:pStyle w:val="TableText"/>
            </w:pPr>
            <w:r>
              <w:rPr>
                <w:color w:val="000000"/>
              </w:rPr>
              <w:t>0.047</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6B670048" w14:textId="3349564C">
            <w:pPr>
              <w:pStyle w:val="TableText"/>
            </w:pPr>
            <w:r>
              <w:rPr>
                <w:color w:val="000000"/>
              </w:rPr>
              <w:t>0.045</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6982C9C2" w14:textId="20294FA6">
            <w:pPr>
              <w:pStyle w:val="TableText"/>
            </w:pPr>
            <w:r>
              <w:rPr>
                <w:color w:val="000000"/>
              </w:rPr>
              <w:t>0.045</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5982FE34" w14:textId="3E6D80EC">
            <w:pPr>
              <w:pStyle w:val="TableText"/>
            </w:pPr>
            <w:r>
              <w:rPr>
                <w:color w:val="000000"/>
              </w:rPr>
              <w:t>0.044</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15EEBDB" w14:textId="7CAF7213">
            <w:pPr>
              <w:pStyle w:val="TableText"/>
            </w:pPr>
            <w:r>
              <w:rPr>
                <w:color w:val="000000"/>
              </w:rPr>
              <w:t>0.043</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18AF7AB" w14:textId="446EFA81">
            <w:pPr>
              <w:pStyle w:val="TableText"/>
            </w:pPr>
            <w:r>
              <w:rPr>
                <w:color w:val="000000"/>
              </w:rPr>
              <w:t>0.042</w:t>
            </w:r>
          </w:p>
        </w:tc>
      </w:tr>
      <w:tr w:rsidRPr="003A12F2" w:rsidR="00CA4A33" w:rsidTr="007F6250" w14:paraId="4D3B00FE" w14:textId="77777777">
        <w:tc>
          <w:tcPr>
            <w:tcW w:w="1344" w:type="dxa"/>
            <w:shd w:val="clear" w:color="auto" w:fill="B8CCE4" w:themeFill="accent1" w:themeFillTint="66"/>
          </w:tcPr>
          <w:p w:rsidRPr="009B7E8D" w:rsidR="00CA4A33" w:rsidP="00CA4A33" w:rsidRDefault="00CA4A33" w14:paraId="7AD0CE70" w14:textId="74D7588E">
            <w:pPr>
              <w:pStyle w:val="TableText"/>
              <w:jc w:val="center"/>
              <w:rPr>
                <w:b/>
                <w:bCs/>
              </w:rPr>
            </w:pPr>
            <w:r>
              <w:rPr>
                <w:b/>
                <w:bCs/>
              </w:rPr>
              <w:t>1,800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378C8E7B" w14:textId="6D07838F">
            <w:pPr>
              <w:pStyle w:val="TableText"/>
            </w:pPr>
            <w:r>
              <w:rPr>
                <w:color w:val="000000"/>
              </w:rPr>
              <w:t>0.053</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2642DED3" w14:textId="75210AF3">
            <w:pPr>
              <w:pStyle w:val="TableText"/>
            </w:pPr>
            <w:r>
              <w:rPr>
                <w:color w:val="000000"/>
              </w:rPr>
              <w:t>0.051</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6E6B0BD5" w14:textId="20335E43">
            <w:pPr>
              <w:pStyle w:val="TableText"/>
            </w:pPr>
            <w:r>
              <w:rPr>
                <w:color w:val="000000"/>
              </w:rPr>
              <w:t>0.050</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1BB1D9A6" w14:textId="2B73A0DD">
            <w:pPr>
              <w:pStyle w:val="TableText"/>
            </w:pPr>
            <w:r>
              <w:rPr>
                <w:color w:val="000000"/>
              </w:rPr>
              <w:t>0.048</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10F7851B" w14:textId="26442EE8">
            <w:pPr>
              <w:pStyle w:val="TableText"/>
            </w:pPr>
            <w:r>
              <w:rPr>
                <w:color w:val="000000"/>
              </w:rPr>
              <w:t>0.047</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02BA2172" w14:textId="3C0BAC14">
            <w:pPr>
              <w:pStyle w:val="TableText"/>
            </w:pPr>
            <w:r>
              <w:rPr>
                <w:color w:val="000000"/>
              </w:rPr>
              <w:t>0.046</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39A1D494" w14:textId="60150B27">
            <w:pPr>
              <w:pStyle w:val="TableText"/>
            </w:pPr>
            <w:r>
              <w:rPr>
                <w:color w:val="000000"/>
              </w:rPr>
              <w:t>0.045</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1064F428" w14:textId="68DF4941">
            <w:pPr>
              <w:pStyle w:val="TableText"/>
            </w:pPr>
            <w:r>
              <w:rPr>
                <w:color w:val="000000"/>
              </w:rPr>
              <w:t>0.044</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BF76A77" w14:textId="778FF62B">
            <w:pPr>
              <w:pStyle w:val="TableText"/>
            </w:pPr>
            <w:r>
              <w:rPr>
                <w:color w:val="000000"/>
              </w:rPr>
              <w:t>0.043</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2DBC1918" w14:textId="03334B3C">
            <w:pPr>
              <w:pStyle w:val="TableText"/>
            </w:pPr>
            <w:r>
              <w:rPr>
                <w:color w:val="000000"/>
              </w:rPr>
              <w:t>0.042</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241B7A99" w14:textId="025C0E2B">
            <w:pPr>
              <w:pStyle w:val="TableText"/>
            </w:pPr>
            <w:r>
              <w:rPr>
                <w:color w:val="000000"/>
              </w:rPr>
              <w:t>0.041</w:t>
            </w:r>
          </w:p>
        </w:tc>
      </w:tr>
      <w:tr w:rsidRPr="003A12F2" w:rsidR="00CA4A33" w:rsidTr="007F6250" w14:paraId="7ED7302C" w14:textId="77777777">
        <w:tc>
          <w:tcPr>
            <w:tcW w:w="1344" w:type="dxa"/>
            <w:shd w:val="clear" w:color="auto" w:fill="B8CCE4" w:themeFill="accent1" w:themeFillTint="66"/>
          </w:tcPr>
          <w:p w:rsidRPr="009B7E8D" w:rsidR="00CA4A33" w:rsidP="00CA4A33" w:rsidRDefault="00CA4A33" w14:paraId="4092086B" w14:textId="4DD966CD">
            <w:pPr>
              <w:pStyle w:val="TableText"/>
              <w:jc w:val="center"/>
              <w:rPr>
                <w:b/>
                <w:bCs/>
              </w:rPr>
            </w:pPr>
            <w:r>
              <w:rPr>
                <w:b/>
                <w:bCs/>
              </w:rPr>
              <w:t>1,900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3D59C2C5" w14:textId="08571FD5">
            <w:pPr>
              <w:pStyle w:val="TableText"/>
            </w:pPr>
            <w:r>
              <w:rPr>
                <w:color w:val="000000"/>
              </w:rPr>
              <w:t>0.053</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3791C780" w14:textId="1A71B11A">
            <w:pPr>
              <w:pStyle w:val="TableText"/>
            </w:pPr>
            <w:r>
              <w:rPr>
                <w:color w:val="000000"/>
              </w:rPr>
              <w:t>0.051</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6E9F3B5C" w14:textId="2B22649A">
            <w:pPr>
              <w:pStyle w:val="TableText"/>
            </w:pPr>
            <w:r>
              <w:rPr>
                <w:color w:val="000000"/>
              </w:rPr>
              <w:t>0.049</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6DB52BA9" w14:textId="299C74CE">
            <w:pPr>
              <w:pStyle w:val="TableText"/>
            </w:pPr>
            <w:r>
              <w:rPr>
                <w:color w:val="000000"/>
              </w:rPr>
              <w:t>0.048</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5A58DA52" w14:textId="303B5160">
            <w:pPr>
              <w:pStyle w:val="TableText"/>
            </w:pPr>
            <w:r>
              <w:rPr>
                <w:color w:val="000000"/>
              </w:rPr>
              <w:t>0.046</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1DBC533C" w14:textId="1582F81B">
            <w:pPr>
              <w:pStyle w:val="TableText"/>
            </w:pPr>
            <w:r>
              <w:rPr>
                <w:color w:val="000000"/>
              </w:rPr>
              <w:t>0.045</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5CD1D74C" w14:textId="0BB2C354">
            <w:pPr>
              <w:pStyle w:val="TableText"/>
            </w:pPr>
            <w:r>
              <w:rPr>
                <w:color w:val="000000"/>
              </w:rPr>
              <w:t>0.044</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93D68C8" w14:textId="5D702094">
            <w:pPr>
              <w:pStyle w:val="TableText"/>
            </w:pPr>
            <w:r>
              <w:rPr>
                <w:color w:val="000000"/>
              </w:rPr>
              <w:t>0.043</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43E9A942" w14:textId="302324E0">
            <w:pPr>
              <w:pStyle w:val="TableText"/>
            </w:pPr>
            <w:r>
              <w:rPr>
                <w:color w:val="000000"/>
              </w:rPr>
              <w:t>0.042</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60F1254" w14:textId="77B47603">
            <w:pPr>
              <w:pStyle w:val="TableText"/>
            </w:pPr>
            <w:r>
              <w:rPr>
                <w:color w:val="000000"/>
              </w:rPr>
              <w:t>0.041</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3B3F1A0D" w14:textId="2E998A7B">
            <w:pPr>
              <w:pStyle w:val="TableText"/>
            </w:pPr>
            <w:r>
              <w:rPr>
                <w:color w:val="000000"/>
              </w:rPr>
              <w:t>0.040</w:t>
            </w:r>
          </w:p>
        </w:tc>
      </w:tr>
      <w:tr w:rsidRPr="003A12F2" w:rsidR="00CA4A33" w:rsidTr="007F6250" w14:paraId="0E922436" w14:textId="77777777">
        <w:tc>
          <w:tcPr>
            <w:tcW w:w="1344" w:type="dxa"/>
            <w:shd w:val="clear" w:color="auto" w:fill="B8CCE4" w:themeFill="accent1" w:themeFillTint="66"/>
          </w:tcPr>
          <w:p w:rsidRPr="009B7E8D" w:rsidR="00CA4A33" w:rsidP="00CA4A33" w:rsidRDefault="00CA4A33" w14:paraId="03BB7A50" w14:textId="7493C576">
            <w:pPr>
              <w:pStyle w:val="TableText"/>
              <w:jc w:val="center"/>
              <w:rPr>
                <w:b/>
                <w:bCs/>
              </w:rPr>
            </w:pPr>
            <w:r>
              <w:rPr>
                <w:b/>
                <w:bCs/>
              </w:rPr>
              <w:t>2,000</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4A4FF3B4" w14:textId="7D05BD3E">
            <w:pPr>
              <w:pStyle w:val="TableText"/>
            </w:pPr>
            <w:r>
              <w:rPr>
                <w:color w:val="000000"/>
              </w:rPr>
              <w:t>0.052</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78451368" w14:textId="29D7DD4A">
            <w:pPr>
              <w:pStyle w:val="TableText"/>
            </w:pPr>
            <w:r>
              <w:rPr>
                <w:color w:val="000000"/>
              </w:rPr>
              <w:t>0.050</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0D0686E1" w14:textId="17661654">
            <w:pPr>
              <w:pStyle w:val="TableText"/>
            </w:pPr>
            <w:r>
              <w:rPr>
                <w:color w:val="000000"/>
              </w:rPr>
              <w:t>0.048</w:t>
            </w:r>
          </w:p>
        </w:tc>
        <w:tc>
          <w:tcPr>
            <w:tcW w:w="781" w:type="dxa"/>
            <w:tcBorders>
              <w:top w:val="nil"/>
              <w:left w:val="nil"/>
              <w:bottom w:val="single" w:color="auto" w:sz="8" w:space="0"/>
              <w:right w:val="single" w:color="auto" w:sz="8" w:space="0"/>
            </w:tcBorders>
            <w:vAlign w:val="bottom"/>
          </w:tcPr>
          <w:p w:rsidRPr="009C61A2" w:rsidR="00CA4A33" w:rsidP="00CA4A33" w:rsidRDefault="00CA4A33" w14:paraId="4E711039" w14:textId="5CD6FED9">
            <w:pPr>
              <w:pStyle w:val="TableText"/>
            </w:pPr>
            <w:r>
              <w:rPr>
                <w:color w:val="000000"/>
              </w:rPr>
              <w:t>0.047</w:t>
            </w:r>
          </w:p>
        </w:tc>
        <w:tc>
          <w:tcPr>
            <w:tcW w:w="780" w:type="dxa"/>
            <w:tcBorders>
              <w:top w:val="nil"/>
              <w:left w:val="nil"/>
              <w:bottom w:val="single" w:color="auto" w:sz="8" w:space="0"/>
              <w:right w:val="single" w:color="auto" w:sz="8" w:space="0"/>
            </w:tcBorders>
            <w:vAlign w:val="bottom"/>
          </w:tcPr>
          <w:p w:rsidRPr="00E6243A" w:rsidR="00CA4A33" w:rsidP="00CA4A33" w:rsidRDefault="00CA4A33" w14:paraId="6288342B" w14:textId="588439A9">
            <w:pPr>
              <w:pStyle w:val="TableText"/>
            </w:pPr>
            <w:r>
              <w:rPr>
                <w:color w:val="000000"/>
              </w:rPr>
              <w:t>0.046</w:t>
            </w:r>
          </w:p>
        </w:tc>
        <w:tc>
          <w:tcPr>
            <w:tcW w:w="779" w:type="dxa"/>
            <w:tcBorders>
              <w:top w:val="nil"/>
              <w:left w:val="nil"/>
              <w:bottom w:val="single" w:color="auto" w:sz="8" w:space="0"/>
              <w:right w:val="single" w:color="auto" w:sz="8" w:space="0"/>
            </w:tcBorders>
            <w:vAlign w:val="bottom"/>
          </w:tcPr>
          <w:p w:rsidRPr="00E6243A" w:rsidR="00CA4A33" w:rsidP="00CA4A33" w:rsidRDefault="00CA4A33" w14:paraId="1E46512E" w14:textId="4B229FF4">
            <w:pPr>
              <w:pStyle w:val="TableText"/>
            </w:pPr>
            <w:r>
              <w:rPr>
                <w:color w:val="000000"/>
              </w:rPr>
              <w:t>0.044</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0AA51959" w14:textId="034917DD">
            <w:pPr>
              <w:pStyle w:val="TableText"/>
            </w:pPr>
            <w:r>
              <w:rPr>
                <w:color w:val="000000"/>
              </w:rPr>
              <w:t>0.043</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ACA1151" w14:textId="7C275B85">
            <w:pPr>
              <w:pStyle w:val="TableText"/>
            </w:pPr>
            <w:r>
              <w:rPr>
                <w:color w:val="000000"/>
              </w:rPr>
              <w:t>0.042</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35075427" w14:textId="44618D04">
            <w:pPr>
              <w:pStyle w:val="TableText"/>
            </w:pPr>
            <w:r>
              <w:rPr>
                <w:color w:val="000000"/>
              </w:rPr>
              <w:t>0.041</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75341C3B" w14:textId="56EE68B8">
            <w:pPr>
              <w:pStyle w:val="TableText"/>
            </w:pPr>
            <w:r>
              <w:rPr>
                <w:color w:val="000000"/>
              </w:rPr>
              <w:t>0.041</w:t>
            </w:r>
          </w:p>
        </w:tc>
        <w:tc>
          <w:tcPr>
            <w:tcW w:w="780" w:type="dxa"/>
            <w:tcBorders>
              <w:top w:val="nil"/>
              <w:left w:val="nil"/>
              <w:bottom w:val="single" w:color="auto" w:sz="8" w:space="0"/>
              <w:right w:val="single" w:color="auto" w:sz="8" w:space="0"/>
            </w:tcBorders>
            <w:vAlign w:val="bottom"/>
          </w:tcPr>
          <w:p w:rsidRPr="009C61A2" w:rsidR="00CA4A33" w:rsidP="00CA4A33" w:rsidRDefault="00CA4A33" w14:paraId="6B2BE8E2" w14:textId="55C76462">
            <w:pPr>
              <w:pStyle w:val="TableText"/>
            </w:pPr>
            <w:r>
              <w:rPr>
                <w:color w:val="000000"/>
              </w:rPr>
              <w:t>0.040</w:t>
            </w:r>
          </w:p>
        </w:tc>
      </w:tr>
    </w:tbl>
    <w:p w:rsidR="009B7E8D" w:rsidP="009B7E8D" w:rsidRDefault="009B7E8D" w14:paraId="0526063A" w14:textId="7C2535F1">
      <w:pPr>
        <w:pStyle w:val="Table-ExhibitNotes"/>
      </w:pPr>
      <w:r>
        <w:t xml:space="preserve">Note: </w:t>
      </w:r>
      <w:r w:rsidRPr="00E5736A">
        <w:t xml:space="preserve">Estimates are based on an 85% response rate assumption and a conservative assumption of 0.5 prevalence rate. Finite population correction is </w:t>
      </w:r>
      <w:proofErr w:type="gramStart"/>
      <w:r w:rsidRPr="00E5736A">
        <w:t>taken into account</w:t>
      </w:r>
      <w:proofErr w:type="gramEnd"/>
      <w:r w:rsidRPr="00E5736A">
        <w:t xml:space="preserve"> (pre-service population of </w:t>
      </w:r>
      <w:r w:rsidR="00440CBC">
        <w:t>3,350</w:t>
      </w:r>
      <w:r w:rsidRPr="00E5736A">
        <w:t xml:space="preserve"> and in-service population of </w:t>
      </w:r>
      <w:r w:rsidR="00440CBC">
        <w:t>14</w:t>
      </w:r>
      <w:r w:rsidRPr="00E5736A">
        <w:t>,000).</w:t>
      </w:r>
    </w:p>
    <w:p w:rsidR="00E6243A" w:rsidP="00E5736A" w:rsidRDefault="00E6243A" w14:paraId="1E8578AD" w14:textId="77777777">
      <w:pPr>
        <w:pStyle w:val="Table-ExhibitNotes"/>
      </w:pPr>
    </w:p>
    <w:p w:rsidR="00607A1B" w:rsidP="00616980" w:rsidRDefault="00607A1B" w14:paraId="3797DE2C" w14:textId="01AD618F">
      <w:pPr>
        <w:pStyle w:val="Heading4"/>
      </w:pPr>
      <w:bookmarkStart w:name="_Toc50566043" w:id="26"/>
      <w:bookmarkStart w:name="_Toc50625419" w:id="27"/>
      <w:r>
        <w:t>Unusual Problems Requiring Specialized Sampling Procedures</w:t>
      </w:r>
      <w:bookmarkEnd w:id="26"/>
      <w:bookmarkEnd w:id="27"/>
    </w:p>
    <w:p w:rsidR="00607A1B" w:rsidP="00E15689" w:rsidRDefault="00607A1B" w14:paraId="58331041" w14:textId="77777777">
      <w:pPr>
        <w:pStyle w:val="BodyTextPostHead"/>
      </w:pPr>
      <w:r>
        <w:t>We do not anticipate any unusual problems that require specialized sampling procedures.</w:t>
      </w:r>
    </w:p>
    <w:p w:rsidR="00607A1B" w:rsidP="00616980" w:rsidRDefault="00607A1B" w14:paraId="3A037863" w14:textId="150A0D3A">
      <w:pPr>
        <w:pStyle w:val="Heading4"/>
      </w:pPr>
      <w:bookmarkStart w:name="_Toc50566044" w:id="28"/>
      <w:bookmarkStart w:name="_Toc50625420" w:id="29"/>
      <w:r>
        <w:t>Use of Periodic (Less Frequent Than Annual) Data Collection Cycles to Reduce Burden</w:t>
      </w:r>
      <w:bookmarkEnd w:id="28"/>
      <w:bookmarkEnd w:id="29"/>
    </w:p>
    <w:p w:rsidRPr="002670F6" w:rsidR="00607A1B" w:rsidP="00E15689" w:rsidRDefault="00EB7F26" w14:paraId="6A7B09C4" w14:textId="51305C0B">
      <w:pPr>
        <w:pStyle w:val="BodyTextPostHead"/>
      </w:pPr>
      <w:r>
        <w:t xml:space="preserve">Data collection </w:t>
      </w:r>
      <w:r w:rsidR="002F162A">
        <w:t xml:space="preserve">for this study </w:t>
      </w:r>
      <w:r>
        <w:t xml:space="preserve">will occur </w:t>
      </w:r>
      <w:r w:rsidR="006C62FB">
        <w:t xml:space="preserve">only </w:t>
      </w:r>
      <w:r>
        <w:t xml:space="preserve">once during </w:t>
      </w:r>
      <w:r w:rsidR="002F162A">
        <w:t>the 2020</w:t>
      </w:r>
      <w:r w:rsidR="002F162A">
        <w:rPr>
          <w:rFonts w:ascii="Arial Narrow" w:hAnsi="Arial Narrow"/>
        </w:rPr>
        <w:t>–</w:t>
      </w:r>
      <w:r w:rsidR="002F162A">
        <w:t>21 school year.</w:t>
      </w:r>
    </w:p>
    <w:p w:rsidR="000774E7" w:rsidP="005A4C7E" w:rsidRDefault="00E15689" w14:paraId="2C5AC01D" w14:textId="28205440">
      <w:pPr>
        <w:pStyle w:val="Heading3"/>
      </w:pPr>
      <w:bookmarkStart w:name="_Toc274743226" w:id="30"/>
      <w:bookmarkStart w:name="_Toc43303895" w:id="31"/>
      <w:bookmarkStart w:name="_Toc50566045" w:id="32"/>
      <w:bookmarkStart w:name="_Toc50625421" w:id="33"/>
      <w:r>
        <w:t>B3.</w:t>
      </w:r>
      <w:r>
        <w:tab/>
      </w:r>
      <w:r w:rsidRPr="00A55580" w:rsidR="000774E7">
        <w:t>Methods to Maximize Response Rate</w:t>
      </w:r>
      <w:bookmarkEnd w:id="30"/>
      <w:r w:rsidR="000774E7">
        <w:t>s</w:t>
      </w:r>
      <w:bookmarkEnd w:id="31"/>
      <w:bookmarkEnd w:id="32"/>
      <w:bookmarkEnd w:id="33"/>
    </w:p>
    <w:p w:rsidRPr="002E190B" w:rsidR="000774E7" w:rsidP="00E15689" w:rsidRDefault="000774E7" w14:paraId="3088D634" w14:textId="4AFAF26A">
      <w:pPr>
        <w:pStyle w:val="BodyTextPostHead"/>
      </w:pPr>
      <w:r w:rsidRPr="002E190B">
        <w:t xml:space="preserve">Data collection is a complex process that requires careful planning. The team has developed survey instruments that are tailored </w:t>
      </w:r>
      <w:r w:rsidRPr="00EB70E9">
        <w:t xml:space="preserve">appropriately </w:t>
      </w:r>
      <w:r w:rsidRPr="002E190B">
        <w:t xml:space="preserve">to the respondent group and are designed to place as little burden on respondents as possible. The team </w:t>
      </w:r>
      <w:r>
        <w:t>will use</w:t>
      </w:r>
      <w:r w:rsidRPr="002E190B">
        <w:t xml:space="preserve"> cognitive interviews with </w:t>
      </w:r>
      <w:r>
        <w:t>NPD program grantees</w:t>
      </w:r>
      <w:r w:rsidRPr="002E190B">
        <w:t xml:space="preserve"> </w:t>
      </w:r>
      <w:r w:rsidR="00191EF8">
        <w:t xml:space="preserve">and participants </w:t>
      </w:r>
      <w:r w:rsidRPr="002E190B">
        <w:t xml:space="preserve">to pilot </w:t>
      </w:r>
      <w:r w:rsidR="00191EF8">
        <w:t xml:space="preserve">the </w:t>
      </w:r>
      <w:r w:rsidRPr="002E190B">
        <w:t>survey</w:t>
      </w:r>
      <w:r w:rsidR="00191EF8">
        <w:t>s</w:t>
      </w:r>
      <w:r w:rsidRPr="002E190B">
        <w:t xml:space="preserve"> </w:t>
      </w:r>
      <w:r>
        <w:t xml:space="preserve">and </w:t>
      </w:r>
      <w:r w:rsidRPr="002E190B">
        <w:t>ensure that they are user</w:t>
      </w:r>
      <w:r w:rsidRPr="002E190B">
        <w:noBreakHyphen/>
        <w:t xml:space="preserve">friendly and easily understandable, all of which increases participants’ willingness to participate in the data collection activities and thus increases response rates. </w:t>
      </w:r>
    </w:p>
    <w:p w:rsidR="000774E7" w:rsidP="00E15689" w:rsidRDefault="000774E7" w14:paraId="0C8E4F2D" w14:textId="415F71E0">
      <w:pPr>
        <w:pStyle w:val="BodyText"/>
      </w:pPr>
      <w:r w:rsidRPr="00385484">
        <w:lastRenderedPageBreak/>
        <w:t>Recruitment materials</w:t>
      </w:r>
      <w:r w:rsidRPr="002E190B">
        <w:t xml:space="preserve"> will include </w:t>
      </w:r>
      <w:r>
        <w:t>a letter from the Department followed by e</w:t>
      </w:r>
      <w:r w:rsidR="00C32F7C">
        <w:noBreakHyphen/>
      </w:r>
      <w:r>
        <w:t>mails and phone calls from the AIR study team</w:t>
      </w:r>
      <w:r w:rsidRPr="002E190B">
        <w:t xml:space="preserve">. The materials will emphasize the social incentive to respondents by stressing the importance of the data </w:t>
      </w:r>
      <w:r w:rsidRPr="004E10A9">
        <w:t>collection to provide much</w:t>
      </w:r>
      <w:r w:rsidRPr="004E10A9">
        <w:noBreakHyphen/>
        <w:t>needed technical assistance and practical information to future grantees. As previously mentioned, we</w:t>
      </w:r>
      <w:r w:rsidRPr="00985910">
        <w:t xml:space="preserve"> will employ a “case ownership” approach to enhance communication and rapport with </w:t>
      </w:r>
      <w:r>
        <w:t>grantees</w:t>
      </w:r>
      <w:r w:rsidRPr="00985910">
        <w:t xml:space="preserve">. The role of the </w:t>
      </w:r>
      <w:r>
        <w:t>grantee project manager (or designee)</w:t>
      </w:r>
      <w:r w:rsidRPr="00985910">
        <w:t xml:space="preserve"> is a critical one, as </w:t>
      </w:r>
      <w:r>
        <w:t>he or she</w:t>
      </w:r>
      <w:r w:rsidRPr="00985910">
        <w:t xml:space="preserve"> will serve as a point person for all study requests and encourage respondent participation in the study. To ensure efficient outreach, we will continue to use </w:t>
      </w:r>
      <w:r>
        <w:t>tracking sheets</w:t>
      </w:r>
      <w:r w:rsidRPr="00985910">
        <w:t xml:space="preserve"> developed for managing recruitment to provide continuity in staffing and tailored follow-up. </w:t>
      </w:r>
      <w:r w:rsidR="00B45E71">
        <w:t>These tracking sheets</w:t>
      </w:r>
      <w:r w:rsidRPr="00985910" w:rsidR="00B45E71">
        <w:t xml:space="preserve"> </w:t>
      </w:r>
      <w:r w:rsidRPr="00985910">
        <w:t xml:space="preserve">will </w:t>
      </w:r>
      <w:r w:rsidR="00B45E71">
        <w:t>involve</w:t>
      </w:r>
      <w:r w:rsidRPr="00985910" w:rsidR="00B45E71">
        <w:t xml:space="preserve"> </w:t>
      </w:r>
      <w:r w:rsidRPr="00985910">
        <w:t xml:space="preserve">regular monitoring by the staff person who “owns” the grantees for early identification of nonrespondents, </w:t>
      </w:r>
      <w:r>
        <w:t>enabl</w:t>
      </w:r>
      <w:r w:rsidRPr="00985910">
        <w:t xml:space="preserve">ing us to coordinate with </w:t>
      </w:r>
      <w:r w:rsidR="00B45E71">
        <w:t xml:space="preserve">the </w:t>
      </w:r>
      <w:r>
        <w:t>grantee project manager or other grantee representative</w:t>
      </w:r>
      <w:r w:rsidRPr="00985910">
        <w:t xml:space="preserve"> to encourage full participation when </w:t>
      </w:r>
      <w:r w:rsidR="00B45E71">
        <w:t>needed</w:t>
      </w:r>
      <w:r w:rsidRPr="00985910">
        <w:t xml:space="preserve">. </w:t>
      </w:r>
      <w:r w:rsidR="00B45E71">
        <w:t>W</w:t>
      </w:r>
      <w:r w:rsidRPr="00985910">
        <w:t xml:space="preserve">e will work with </w:t>
      </w:r>
      <w:r>
        <w:t>grantees</w:t>
      </w:r>
      <w:r w:rsidR="004623BB">
        <w:t xml:space="preserve"> and participants</w:t>
      </w:r>
      <w:r w:rsidRPr="00985910">
        <w:t xml:space="preserve"> </w:t>
      </w:r>
      <w:r w:rsidR="00B45E71">
        <w:t xml:space="preserve">as necessary </w:t>
      </w:r>
      <w:r w:rsidRPr="00985910">
        <w:t xml:space="preserve">to accommodate their </w:t>
      </w:r>
      <w:r>
        <w:t>schedules</w:t>
      </w:r>
      <w:r w:rsidRPr="00985910">
        <w:t xml:space="preserve">. We have found that this flexibility increases participation, as it acknowledges the burden on </w:t>
      </w:r>
      <w:r>
        <w:t>respondents</w:t>
      </w:r>
      <w:r w:rsidRPr="00985910">
        <w:t>.</w:t>
      </w:r>
    </w:p>
    <w:p w:rsidRPr="00985910" w:rsidR="000774E7" w:rsidP="00E15689" w:rsidRDefault="000774E7" w14:paraId="4A80335C" w14:textId="767BAA7F">
      <w:pPr>
        <w:pStyle w:val="BodyText"/>
      </w:pPr>
      <w:r>
        <w:t>The study team</w:t>
      </w:r>
      <w:r w:rsidRPr="00985910">
        <w:t xml:space="preserve"> will</w:t>
      </w:r>
      <w:r>
        <w:t xml:space="preserve"> </w:t>
      </w:r>
      <w:r w:rsidRPr="00985910">
        <w:t>develop text to be used</w:t>
      </w:r>
      <w:r w:rsidRPr="00F617D9">
        <w:t xml:space="preserve"> as needed </w:t>
      </w:r>
      <w:r w:rsidRPr="00985910">
        <w:t>in nonresponse prompting. This text will be consistent in messaging and will encourage participation</w:t>
      </w:r>
      <w:r w:rsidR="00501A52">
        <w:t xml:space="preserve"> by </w:t>
      </w:r>
      <w:r w:rsidRPr="00985910">
        <w:t>underscor</w:t>
      </w:r>
      <w:r w:rsidR="00501A52">
        <w:t>ing</w:t>
      </w:r>
      <w:r w:rsidRPr="00985910">
        <w:t xml:space="preserve"> the importance of the study. We </w:t>
      </w:r>
      <w:r w:rsidRPr="00F617D9">
        <w:t xml:space="preserve">also </w:t>
      </w:r>
      <w:r w:rsidRPr="00985910">
        <w:t xml:space="preserve">will create real-time reports (such as a </w:t>
      </w:r>
      <w:r w:rsidR="00A738B1">
        <w:t>“</w:t>
      </w:r>
      <w:r w:rsidR="004A375D">
        <w:t>p</w:t>
      </w:r>
      <w:r w:rsidRPr="004A375D">
        <w:t>ercent</w:t>
      </w:r>
      <w:r w:rsidRPr="004A375D" w:rsidR="004A375D">
        <w:t>age</w:t>
      </w:r>
      <w:r w:rsidRPr="004A375D">
        <w:t xml:space="preserve"> </w:t>
      </w:r>
      <w:r w:rsidR="004A375D">
        <w:t>c</w:t>
      </w:r>
      <w:r w:rsidRPr="004A375D">
        <w:t xml:space="preserve">omplete </w:t>
      </w:r>
      <w:r w:rsidR="004A375D">
        <w:t>r</w:t>
      </w:r>
      <w:r w:rsidRPr="004A375D">
        <w:t>eport</w:t>
      </w:r>
      <w:r w:rsidR="004A375D">
        <w:t>”</w:t>
      </w:r>
      <w:r w:rsidRPr="00985910">
        <w:t xml:space="preserve">) that will highlight </w:t>
      </w:r>
      <w:r w:rsidR="00007FD2">
        <w:t>grantees</w:t>
      </w:r>
      <w:r w:rsidRPr="00985910" w:rsidR="00007FD2">
        <w:t xml:space="preserve"> </w:t>
      </w:r>
      <w:r w:rsidRPr="00985910">
        <w:t xml:space="preserve">with the lowest percentage of surveys complete, such that targeted prompting can occur efficiently and effectively. </w:t>
      </w:r>
    </w:p>
    <w:p w:rsidR="000774E7" w:rsidP="005A4C7E" w:rsidRDefault="00E15689" w14:paraId="333F2B3C" w14:textId="55D3B30F">
      <w:pPr>
        <w:pStyle w:val="Heading3"/>
      </w:pPr>
      <w:bookmarkStart w:name="_Toc274743227" w:id="34"/>
      <w:bookmarkStart w:name="_Toc43303896" w:id="35"/>
      <w:bookmarkStart w:name="_Toc50566046" w:id="36"/>
      <w:bookmarkStart w:name="_Toc50625422" w:id="37"/>
      <w:r>
        <w:t>B4.</w:t>
      </w:r>
      <w:r>
        <w:tab/>
      </w:r>
      <w:r w:rsidRPr="00A55580" w:rsidR="000774E7">
        <w:t>Expert Review and Piloting Procedures</w:t>
      </w:r>
      <w:bookmarkEnd w:id="34"/>
      <w:bookmarkEnd w:id="35"/>
      <w:bookmarkEnd w:id="36"/>
      <w:bookmarkEnd w:id="37"/>
    </w:p>
    <w:p w:rsidRPr="00EF358A" w:rsidR="000774E7" w:rsidP="00E15689" w:rsidRDefault="000774E7" w14:paraId="2530930F" w14:textId="4D2EDC8C">
      <w:pPr>
        <w:pStyle w:val="BodyTextPostHead"/>
      </w:pPr>
      <w:bookmarkStart w:name="_Toc274743228" w:id="38"/>
      <w:r>
        <w:t xml:space="preserve">To ensure the quality of the data collection instruments, the </w:t>
      </w:r>
      <w:r w:rsidR="00B45E71">
        <w:t xml:space="preserve">AIR </w:t>
      </w:r>
      <w:r>
        <w:t xml:space="preserve">study team </w:t>
      </w:r>
      <w:r w:rsidR="00A5536F">
        <w:t xml:space="preserve">will </w:t>
      </w:r>
      <w:r>
        <w:t>pilot</w:t>
      </w:r>
      <w:r w:rsidR="004A375D">
        <w:t>-</w:t>
      </w:r>
      <w:r>
        <w:t>test the draft instruments and convene a technical working group (TWG)</w:t>
      </w:r>
      <w:r w:rsidR="00F75FD1">
        <w:t xml:space="preserve"> to provide </w:t>
      </w:r>
      <w:r w:rsidR="00BD7571">
        <w:t>input</w:t>
      </w:r>
      <w:r>
        <w:t>. The study team</w:t>
      </w:r>
      <w:r w:rsidR="00434F6E">
        <w:t xml:space="preserve"> will</w:t>
      </w:r>
      <w:r>
        <w:t xml:space="preserve"> </w:t>
      </w:r>
      <w:r w:rsidRPr="00EF358A">
        <w:t xml:space="preserve">conduct cognitive interviews with a limited set of </w:t>
      </w:r>
      <w:r>
        <w:t>IHE administrators</w:t>
      </w:r>
      <w:r w:rsidRPr="00EF358A">
        <w:t xml:space="preserve"> </w:t>
      </w:r>
      <w:r w:rsidR="00335D2C">
        <w:t xml:space="preserve">and NPD participants </w:t>
      </w:r>
      <w:r w:rsidRPr="00EF358A">
        <w:t xml:space="preserve">to pilot the </w:t>
      </w:r>
      <w:r>
        <w:t xml:space="preserve">survey </w:t>
      </w:r>
      <w:r w:rsidRPr="00EF358A">
        <w:t xml:space="preserve">items, respecting limits regarding the number of respondents </w:t>
      </w:r>
      <w:r>
        <w:t>before</w:t>
      </w:r>
      <w:r w:rsidRPr="00EF358A">
        <w:t xml:space="preserve"> OMB clearance.</w:t>
      </w:r>
      <w:r>
        <w:t xml:space="preserve"> In addition to providing an estimate of respondent burden time, the cognitive interviews </w:t>
      </w:r>
      <w:r w:rsidR="00FA5038">
        <w:t xml:space="preserve">will </w:t>
      </w:r>
      <w:r>
        <w:t>include a debrief with respondent</w:t>
      </w:r>
      <w:r w:rsidR="004A375D">
        <w:t>s</w:t>
      </w:r>
      <w:r>
        <w:t xml:space="preserve"> about survey items or instructions that were difficult to understand, poorly worded, or had other problems. The cognitive interviews </w:t>
      </w:r>
      <w:r w:rsidR="00A14DFA">
        <w:t xml:space="preserve">will be </w:t>
      </w:r>
      <w:r>
        <w:t>used to revise and improve the survey.</w:t>
      </w:r>
    </w:p>
    <w:p w:rsidR="000774E7" w:rsidP="005A4C7E" w:rsidRDefault="00E15689" w14:paraId="5386798B" w14:textId="6F3E7ACB">
      <w:pPr>
        <w:pStyle w:val="Heading3"/>
      </w:pPr>
      <w:bookmarkStart w:name="_Toc43303897" w:id="39"/>
      <w:bookmarkStart w:name="_Toc50566047" w:id="40"/>
      <w:bookmarkStart w:name="_Toc50625423" w:id="41"/>
      <w:r>
        <w:t>B5.</w:t>
      </w:r>
      <w:r>
        <w:tab/>
      </w:r>
      <w:r w:rsidRPr="002B790B" w:rsidR="000774E7">
        <w:t>Individuals</w:t>
      </w:r>
      <w:r w:rsidRPr="00A55580" w:rsidR="000774E7">
        <w:t xml:space="preserve"> and Organizations Involved in </w:t>
      </w:r>
      <w:r w:rsidR="000774E7">
        <w:t xml:space="preserve">the </w:t>
      </w:r>
      <w:r w:rsidRPr="00A55580" w:rsidR="000774E7">
        <w:t>Project</w:t>
      </w:r>
      <w:bookmarkEnd w:id="38"/>
      <w:bookmarkEnd w:id="39"/>
      <w:bookmarkEnd w:id="40"/>
      <w:bookmarkEnd w:id="41"/>
    </w:p>
    <w:p w:rsidRPr="00BD51E4" w:rsidR="000774E7" w:rsidP="00E15689" w:rsidRDefault="000774E7" w14:paraId="68F1B431" w14:textId="013AB576">
      <w:pPr>
        <w:pStyle w:val="BodyTextPostHead"/>
      </w:pPr>
      <w:r>
        <w:t xml:space="preserve">AIR is the prime contractor for the </w:t>
      </w:r>
      <w:r w:rsidRPr="00F617D9">
        <w:rPr>
          <w:i/>
          <w:iCs/>
        </w:rPr>
        <w:t>Implementation Evaluation of the Title III National Professional Development Program.</w:t>
      </w:r>
      <w:r>
        <w:t xml:space="preserve"> The project director</w:t>
      </w:r>
      <w:r w:rsidR="004A375D">
        <w:t>,</w:t>
      </w:r>
      <w:r>
        <w:t xml:space="preserve"> Dr.</w:t>
      </w:r>
      <w:r w:rsidR="004A375D">
        <w:t> </w:t>
      </w:r>
      <w:r>
        <w:t>Kerstin</w:t>
      </w:r>
      <w:r w:rsidR="004A375D">
        <w:t> </w:t>
      </w:r>
      <w:r>
        <w:t>Le</w:t>
      </w:r>
      <w:r w:rsidR="004A375D">
        <w:t> </w:t>
      </w:r>
      <w:r>
        <w:t xml:space="preserve">Floch, is supported by an experienced team of researchers leading the major tasks of the project. </w:t>
      </w:r>
      <w:r w:rsidRPr="00BD51E4">
        <w:t>Contact information for the individuals and organizations involved in the</w:t>
      </w:r>
      <w:r>
        <w:t xml:space="preserve"> project is presented in Exhibit </w:t>
      </w:r>
      <w:r w:rsidR="00D90B90">
        <w:t>B</w:t>
      </w:r>
      <w:r w:rsidR="00A74CBF">
        <w:t>3</w:t>
      </w:r>
      <w:r w:rsidRPr="00BD51E4">
        <w:t>.</w:t>
      </w:r>
    </w:p>
    <w:p w:rsidRPr="00E15689" w:rsidR="000774E7" w:rsidP="00E15689" w:rsidRDefault="000774E7" w14:paraId="1B9AAED1" w14:textId="7054294D">
      <w:pPr>
        <w:pStyle w:val="ExhibitTitle"/>
      </w:pPr>
      <w:bookmarkStart w:name="_Toc223416674" w:id="42"/>
      <w:bookmarkStart w:name="_Toc274743355" w:id="43"/>
      <w:bookmarkStart w:name="_Hlk519085695" w:id="44"/>
      <w:r w:rsidRPr="00E15689">
        <w:t xml:space="preserve">Exhibit </w:t>
      </w:r>
      <w:r w:rsidRPr="00E15689" w:rsidR="00D90B90">
        <w:t>B</w:t>
      </w:r>
      <w:r w:rsidR="00A74CBF">
        <w:t>3</w:t>
      </w:r>
      <w:r w:rsidRPr="00E15689">
        <w:t>. Organizations, Individuals Involved in Project</w:t>
      </w:r>
      <w:bookmarkEnd w:id="42"/>
      <w:bookmarkEnd w:id="43"/>
    </w:p>
    <w:tbl>
      <w:tblPr>
        <w:tblStyle w:val="AIRBlueTable"/>
        <w:tblW w:w="5000" w:type="pct"/>
        <w:tblLook w:val="0620" w:firstRow="1" w:lastRow="0" w:firstColumn="0" w:lastColumn="0" w:noHBand="1" w:noVBand="1"/>
      </w:tblPr>
      <w:tblGrid>
        <w:gridCol w:w="4448"/>
        <w:gridCol w:w="2228"/>
        <w:gridCol w:w="1387"/>
        <w:gridCol w:w="1857"/>
      </w:tblGrid>
      <w:tr w:rsidRPr="00E15689" w:rsidR="000774E7" w:rsidTr="00E15689" w14:paraId="510CBE79" w14:textId="77777777">
        <w:trPr>
          <w:cnfStyle w:val="100000000000" w:firstRow="1" w:lastRow="0" w:firstColumn="0" w:lastColumn="0" w:oddVBand="0" w:evenVBand="0" w:oddHBand="0" w:evenHBand="0" w:firstRowFirstColumn="0" w:firstRowLastColumn="0" w:lastRowFirstColumn="0" w:lastRowLastColumn="0"/>
        </w:trPr>
        <w:tc>
          <w:tcPr>
            <w:tcW w:w="4132" w:type="dxa"/>
          </w:tcPr>
          <w:p w:rsidRPr="00E15689" w:rsidR="000774E7" w:rsidP="00E15689" w:rsidRDefault="000774E7" w14:paraId="18315ACD" w14:textId="77777777">
            <w:pPr>
              <w:pStyle w:val="TableColumnHeadCentered"/>
            </w:pPr>
            <w:r w:rsidRPr="00E15689">
              <w:t>Responsibility</w:t>
            </w:r>
          </w:p>
        </w:tc>
        <w:tc>
          <w:tcPr>
            <w:tcW w:w="2070" w:type="dxa"/>
          </w:tcPr>
          <w:p w:rsidRPr="00E15689" w:rsidR="000774E7" w:rsidP="00E15689" w:rsidRDefault="000774E7" w14:paraId="387519E7" w14:textId="77777777">
            <w:pPr>
              <w:pStyle w:val="TableColumnHeadCentered"/>
            </w:pPr>
            <w:r w:rsidRPr="00E15689">
              <w:t>Contact Name</w:t>
            </w:r>
          </w:p>
        </w:tc>
        <w:tc>
          <w:tcPr>
            <w:tcW w:w="1289" w:type="dxa"/>
          </w:tcPr>
          <w:p w:rsidRPr="00E15689" w:rsidR="000774E7" w:rsidP="00E15689" w:rsidRDefault="000774E7" w14:paraId="7F6F8BEE" w14:textId="77777777">
            <w:pPr>
              <w:pStyle w:val="TableColumnHeadCentered"/>
            </w:pPr>
            <w:r w:rsidRPr="00E15689">
              <w:t>Organization</w:t>
            </w:r>
          </w:p>
        </w:tc>
        <w:tc>
          <w:tcPr>
            <w:tcW w:w="1725" w:type="dxa"/>
          </w:tcPr>
          <w:p w:rsidRPr="00E15689" w:rsidR="000774E7" w:rsidP="00E15689" w:rsidRDefault="000774E7" w14:paraId="75582191" w14:textId="77777777">
            <w:pPr>
              <w:pStyle w:val="TableColumnHeadCentered"/>
            </w:pPr>
            <w:r w:rsidRPr="00E15689">
              <w:t>Telephone Number</w:t>
            </w:r>
          </w:p>
        </w:tc>
      </w:tr>
      <w:bookmarkEnd w:id="44"/>
      <w:tr w:rsidRPr="003A12F2" w:rsidR="000774E7" w:rsidTr="00E15689" w14:paraId="1F6E173A" w14:textId="77777777">
        <w:tc>
          <w:tcPr>
            <w:tcW w:w="4132" w:type="dxa"/>
          </w:tcPr>
          <w:p w:rsidRPr="00E15689" w:rsidR="000774E7" w:rsidP="00E15689" w:rsidRDefault="000774E7" w14:paraId="70F3F91A" w14:textId="77777777">
            <w:pPr>
              <w:pStyle w:val="TableText"/>
            </w:pPr>
            <w:r w:rsidRPr="00E15689">
              <w:t>Project Director</w:t>
            </w:r>
          </w:p>
        </w:tc>
        <w:tc>
          <w:tcPr>
            <w:tcW w:w="2070" w:type="dxa"/>
          </w:tcPr>
          <w:p w:rsidR="000774E7" w:rsidP="00E15689" w:rsidRDefault="000774E7" w14:paraId="5AA84FC8" w14:textId="77777777">
            <w:pPr>
              <w:pStyle w:val="TableTextCentered"/>
            </w:pPr>
            <w:r>
              <w:t>Kerstin Le Floch</w:t>
            </w:r>
          </w:p>
        </w:tc>
        <w:tc>
          <w:tcPr>
            <w:tcW w:w="1289" w:type="dxa"/>
          </w:tcPr>
          <w:p w:rsidRPr="009C61A2" w:rsidR="000774E7" w:rsidP="00E15689" w:rsidRDefault="000774E7" w14:paraId="060996E2" w14:textId="77777777">
            <w:pPr>
              <w:pStyle w:val="TableTextCentered"/>
            </w:pPr>
            <w:r>
              <w:t>AIR</w:t>
            </w:r>
          </w:p>
        </w:tc>
        <w:tc>
          <w:tcPr>
            <w:tcW w:w="1725" w:type="dxa"/>
          </w:tcPr>
          <w:p w:rsidR="000774E7" w:rsidP="00E15689" w:rsidRDefault="000774E7" w14:paraId="38EE0CCE" w14:textId="77777777">
            <w:pPr>
              <w:pStyle w:val="TableTextCentered"/>
            </w:pPr>
            <w:r>
              <w:t>202-403-5649</w:t>
            </w:r>
          </w:p>
        </w:tc>
      </w:tr>
      <w:tr w:rsidRPr="003A12F2" w:rsidR="000774E7" w:rsidTr="00E15689" w14:paraId="659F07FB" w14:textId="77777777">
        <w:tc>
          <w:tcPr>
            <w:tcW w:w="4132" w:type="dxa"/>
          </w:tcPr>
          <w:p w:rsidRPr="00E15689" w:rsidR="000774E7" w:rsidP="00E15689" w:rsidRDefault="000774E7" w14:paraId="5D7DBE1F" w14:textId="77777777">
            <w:pPr>
              <w:pStyle w:val="TableText"/>
            </w:pPr>
            <w:r w:rsidRPr="00E15689">
              <w:t>Application Review and Extant Data Task Lead</w:t>
            </w:r>
          </w:p>
        </w:tc>
        <w:tc>
          <w:tcPr>
            <w:tcW w:w="2070" w:type="dxa"/>
          </w:tcPr>
          <w:p w:rsidRPr="009C61A2" w:rsidR="000774E7" w:rsidP="00E15689" w:rsidRDefault="000774E7" w14:paraId="3BF391FD" w14:textId="77777777">
            <w:pPr>
              <w:pStyle w:val="TableTextCentered"/>
            </w:pPr>
            <w:r>
              <w:t>Maria Stephens</w:t>
            </w:r>
          </w:p>
        </w:tc>
        <w:tc>
          <w:tcPr>
            <w:tcW w:w="1289" w:type="dxa"/>
          </w:tcPr>
          <w:p w:rsidRPr="009C61A2" w:rsidR="000774E7" w:rsidP="00E15689" w:rsidRDefault="000774E7" w14:paraId="0A3471E0" w14:textId="77777777">
            <w:pPr>
              <w:pStyle w:val="TableTextCentered"/>
            </w:pPr>
            <w:r>
              <w:t>AIR</w:t>
            </w:r>
          </w:p>
        </w:tc>
        <w:tc>
          <w:tcPr>
            <w:tcW w:w="1725" w:type="dxa"/>
          </w:tcPr>
          <w:p w:rsidRPr="009C61A2" w:rsidR="000774E7" w:rsidP="00E15689" w:rsidRDefault="000774E7" w14:paraId="1901657C" w14:textId="77777777">
            <w:pPr>
              <w:pStyle w:val="TableTextCentered"/>
            </w:pPr>
            <w:r>
              <w:t>202-386-0863</w:t>
            </w:r>
          </w:p>
        </w:tc>
      </w:tr>
      <w:tr w:rsidRPr="003A12F2" w:rsidR="000774E7" w:rsidTr="00E15689" w14:paraId="64F3CF00" w14:textId="77777777">
        <w:tc>
          <w:tcPr>
            <w:tcW w:w="4132" w:type="dxa"/>
          </w:tcPr>
          <w:p w:rsidRPr="00E15689" w:rsidR="000774E7" w:rsidP="00E15689" w:rsidRDefault="000774E7" w14:paraId="21022265" w14:textId="77777777">
            <w:pPr>
              <w:pStyle w:val="TableText"/>
            </w:pPr>
            <w:r w:rsidRPr="00E15689">
              <w:t>Grantee Survey Task Lead</w:t>
            </w:r>
          </w:p>
        </w:tc>
        <w:tc>
          <w:tcPr>
            <w:tcW w:w="2070" w:type="dxa"/>
          </w:tcPr>
          <w:p w:rsidRPr="009C61A2" w:rsidR="000774E7" w:rsidP="00E15689" w:rsidRDefault="000774E7" w14:paraId="69EE39FB" w14:textId="77777777">
            <w:pPr>
              <w:pStyle w:val="TableTextCentered"/>
            </w:pPr>
            <w:r>
              <w:t>Andrea Boyle</w:t>
            </w:r>
          </w:p>
        </w:tc>
        <w:tc>
          <w:tcPr>
            <w:tcW w:w="1289" w:type="dxa"/>
          </w:tcPr>
          <w:p w:rsidRPr="009C61A2" w:rsidR="000774E7" w:rsidP="00E15689" w:rsidRDefault="000774E7" w14:paraId="73334259" w14:textId="77777777">
            <w:pPr>
              <w:pStyle w:val="TableTextCentered"/>
            </w:pPr>
            <w:r>
              <w:t>AIR</w:t>
            </w:r>
          </w:p>
        </w:tc>
        <w:tc>
          <w:tcPr>
            <w:tcW w:w="1725" w:type="dxa"/>
          </w:tcPr>
          <w:p w:rsidRPr="009C61A2" w:rsidR="000774E7" w:rsidP="00E15689" w:rsidRDefault="000774E7" w14:paraId="10854D51" w14:textId="77777777">
            <w:pPr>
              <w:pStyle w:val="TableTextCentered"/>
            </w:pPr>
            <w:r>
              <w:t>650-376-6294</w:t>
            </w:r>
          </w:p>
        </w:tc>
      </w:tr>
      <w:tr w:rsidRPr="003A12F2" w:rsidR="000774E7" w:rsidTr="00E15689" w14:paraId="5F3E58DF" w14:textId="77777777">
        <w:tc>
          <w:tcPr>
            <w:tcW w:w="4132" w:type="dxa"/>
          </w:tcPr>
          <w:p w:rsidRPr="00E15689" w:rsidR="000774E7" w:rsidP="00E15689" w:rsidRDefault="0012392E" w14:paraId="78592423" w14:textId="3D4F26F9">
            <w:pPr>
              <w:pStyle w:val="TableText"/>
            </w:pPr>
            <w:r w:rsidRPr="00E15689">
              <w:t>Participant Survey</w:t>
            </w:r>
            <w:r w:rsidRPr="00E15689" w:rsidR="000774E7">
              <w:t xml:space="preserve"> Task Lead</w:t>
            </w:r>
          </w:p>
        </w:tc>
        <w:tc>
          <w:tcPr>
            <w:tcW w:w="2070" w:type="dxa"/>
          </w:tcPr>
          <w:p w:rsidRPr="009C61A2" w:rsidR="000774E7" w:rsidP="00E15689" w:rsidRDefault="000774E7" w14:paraId="0ECC5D8F" w14:textId="77777777">
            <w:pPr>
              <w:pStyle w:val="TableTextCentered"/>
            </w:pPr>
            <w:r>
              <w:t>Rebecca Bergey</w:t>
            </w:r>
          </w:p>
        </w:tc>
        <w:tc>
          <w:tcPr>
            <w:tcW w:w="1289" w:type="dxa"/>
          </w:tcPr>
          <w:p w:rsidRPr="009C61A2" w:rsidR="000774E7" w:rsidP="00E15689" w:rsidRDefault="000774E7" w14:paraId="512E00C1" w14:textId="77777777">
            <w:pPr>
              <w:pStyle w:val="TableTextCentered"/>
            </w:pPr>
            <w:r>
              <w:t>AIR</w:t>
            </w:r>
          </w:p>
        </w:tc>
        <w:tc>
          <w:tcPr>
            <w:tcW w:w="1725" w:type="dxa"/>
          </w:tcPr>
          <w:p w:rsidRPr="009C61A2" w:rsidR="000774E7" w:rsidP="00E15689" w:rsidRDefault="000774E7" w14:paraId="6CDFC2BA" w14:textId="77777777">
            <w:pPr>
              <w:pStyle w:val="TableTextCentered"/>
            </w:pPr>
            <w:r>
              <w:t>650-376-6419</w:t>
            </w:r>
          </w:p>
        </w:tc>
      </w:tr>
    </w:tbl>
    <w:p w:rsidRPr="00E15689" w:rsidR="000774E7" w:rsidP="00A738B1" w:rsidRDefault="000774E7" w14:paraId="60E8CC3E" w14:textId="1B8822A5">
      <w:pPr>
        <w:pStyle w:val="BodyText"/>
      </w:pPr>
      <w:r>
        <w:t xml:space="preserve">In addition, the </w:t>
      </w:r>
      <w:r w:rsidR="004A375D">
        <w:t xml:space="preserve">AIR </w:t>
      </w:r>
      <w:r>
        <w:t xml:space="preserve">study team will </w:t>
      </w:r>
      <w:r w:rsidR="004A375D">
        <w:t xml:space="preserve">convene a </w:t>
      </w:r>
      <w:r w:rsidRPr="00ED7DB1">
        <w:t xml:space="preserve">TWG of </w:t>
      </w:r>
      <w:r>
        <w:t xml:space="preserve">researchers and practitioners to provide input on the data collection instruments developed for this study as well as </w:t>
      </w:r>
      <w:r w:rsidR="00B3790D">
        <w:t xml:space="preserve">on </w:t>
      </w:r>
      <w:r>
        <w:t xml:space="preserve">other methodological design issues. The TWG </w:t>
      </w:r>
      <w:r w:rsidR="00B3790D">
        <w:t xml:space="preserve">will </w:t>
      </w:r>
      <w:r>
        <w:t xml:space="preserve">consist of researchers with expertise in issues </w:t>
      </w:r>
      <w:r w:rsidR="00B3790D">
        <w:t xml:space="preserve">such </w:t>
      </w:r>
      <w:r>
        <w:t>as</w:t>
      </w:r>
      <w:r w:rsidRPr="001D453F">
        <w:t xml:space="preserve"> </w:t>
      </w:r>
      <w:r w:rsidR="00B3790D">
        <w:t>EL</w:t>
      </w:r>
      <w:r w:rsidRPr="001D453F">
        <w:t xml:space="preserve">s and their acquisition of English, academic performance, and </w:t>
      </w:r>
      <w:r w:rsidR="00924854">
        <w:t>social-emotional</w:t>
      </w:r>
      <w:r w:rsidR="000052F7">
        <w:t xml:space="preserve"> </w:t>
      </w:r>
      <w:r w:rsidR="00222496">
        <w:t>health</w:t>
      </w:r>
      <w:r w:rsidRPr="001D453F">
        <w:t xml:space="preserve">; evidence-based curricula and strategies in language </w:t>
      </w:r>
      <w:r w:rsidRPr="001D453F">
        <w:lastRenderedPageBreak/>
        <w:t xml:space="preserve">instruction educational programs; </w:t>
      </w:r>
      <w:r w:rsidR="00B3790D">
        <w:t>and</w:t>
      </w:r>
      <w:r w:rsidR="009E2CE2">
        <w:t xml:space="preserve"> </w:t>
      </w:r>
      <w:r w:rsidRPr="001D453F">
        <w:t>EL teacher preparation, credentialing, and professional development</w:t>
      </w:r>
      <w:r w:rsidR="009E2CE2">
        <w:t>.</w:t>
      </w:r>
      <w:r w:rsidRPr="001D453F">
        <w:t xml:space="preserve"> </w:t>
      </w:r>
      <w:r w:rsidRPr="00117A07">
        <w:t xml:space="preserve"> </w:t>
      </w:r>
      <w:r>
        <w:t>The study team will consult the TWG throughout the evaluation.</w:t>
      </w:r>
      <w:bookmarkEnd w:id="1"/>
    </w:p>
    <w:p w:rsidR="00021E37" w:rsidRDefault="00021E37" w14:paraId="37F6360D" w14:textId="7350CA6B">
      <w:pPr>
        <w:spacing w:after="0" w:line="240" w:lineRule="auto"/>
        <w:rPr>
          <w:rFonts w:eastAsia="Times New Roman" w:asciiTheme="minorHAnsi" w:hAnsiTheme="minorHAnsi"/>
          <w:bCs/>
          <w:sz w:val="23"/>
          <w:szCs w:val="24"/>
        </w:rPr>
      </w:pPr>
      <w:r>
        <w:br w:type="page"/>
      </w:r>
    </w:p>
    <w:p w:rsidR="00021E37" w:rsidP="000563DB" w:rsidRDefault="00021E37" w14:paraId="7D725CC2" w14:textId="3436483E">
      <w:pPr>
        <w:pStyle w:val="Heading2"/>
      </w:pPr>
      <w:bookmarkStart w:name="_Toc50566048" w:id="45"/>
      <w:bookmarkStart w:name="_Toc50625424" w:id="46"/>
      <w:r>
        <w:lastRenderedPageBreak/>
        <w:t>Reference</w:t>
      </w:r>
      <w:bookmarkEnd w:id="45"/>
      <w:bookmarkEnd w:id="46"/>
    </w:p>
    <w:p w:rsidRPr="00213658" w:rsidR="00021E37" w:rsidP="000052F7" w:rsidRDefault="00021E37" w14:paraId="1832DA2E" w14:textId="340D71EE">
      <w:pPr>
        <w:pStyle w:val="Bullet1"/>
        <w:numPr>
          <w:ilvl w:val="0"/>
          <w:numId w:val="0"/>
        </w:numPr>
        <w:spacing w:before="60"/>
        <w:ind w:left="720" w:hanging="720"/>
      </w:pPr>
      <w:r>
        <w:t>Goodson, B.</w:t>
      </w:r>
      <w:r w:rsidR="008C2227">
        <w:t xml:space="preserve">, Caswell, L., Price, C., </w:t>
      </w:r>
      <w:proofErr w:type="spellStart"/>
      <w:r w:rsidR="008C2227">
        <w:t>Litwok</w:t>
      </w:r>
      <w:proofErr w:type="spellEnd"/>
      <w:r w:rsidR="008C2227">
        <w:t xml:space="preserve">, D., </w:t>
      </w:r>
      <w:proofErr w:type="spellStart"/>
      <w:r w:rsidRPr="00670FD9" w:rsidR="00670FD9">
        <w:t>Dynarski</w:t>
      </w:r>
      <w:proofErr w:type="spellEnd"/>
      <w:r w:rsidR="00670FD9">
        <w:t xml:space="preserve">, M., </w:t>
      </w:r>
      <w:r w:rsidRPr="00670FD9" w:rsidR="00670FD9">
        <w:t>Crowe</w:t>
      </w:r>
      <w:r w:rsidR="00670FD9">
        <w:t xml:space="preserve">, E., </w:t>
      </w:r>
      <w:r w:rsidR="000563DB">
        <w:t>. . .</w:t>
      </w:r>
      <w:r w:rsidR="004E701B">
        <w:t xml:space="preserve"> Rice, A.</w:t>
      </w:r>
      <w:r w:rsidR="006377B7">
        <w:t xml:space="preserve"> </w:t>
      </w:r>
      <w:r w:rsidR="0044301D">
        <w:t xml:space="preserve">(2019). </w:t>
      </w:r>
      <w:r w:rsidRPr="000563DB" w:rsidR="006377B7">
        <w:rPr>
          <w:i/>
          <w:iCs/>
        </w:rPr>
        <w:t xml:space="preserve">Teacher </w:t>
      </w:r>
      <w:r w:rsidRPr="000563DB" w:rsidR="000563DB">
        <w:rPr>
          <w:i/>
          <w:iCs/>
        </w:rPr>
        <w:t>p</w:t>
      </w:r>
      <w:r w:rsidRPr="000563DB" w:rsidR="006377B7">
        <w:rPr>
          <w:i/>
          <w:iCs/>
        </w:rPr>
        <w:t xml:space="preserve">reparation </w:t>
      </w:r>
      <w:r w:rsidRPr="000563DB" w:rsidR="000563DB">
        <w:rPr>
          <w:i/>
          <w:iCs/>
        </w:rPr>
        <w:t>e</w:t>
      </w:r>
      <w:r w:rsidRPr="000563DB" w:rsidR="006377B7">
        <w:rPr>
          <w:i/>
          <w:iCs/>
        </w:rPr>
        <w:t xml:space="preserve">xperiences and </w:t>
      </w:r>
      <w:r w:rsidRPr="000563DB" w:rsidR="000563DB">
        <w:rPr>
          <w:i/>
          <w:iCs/>
        </w:rPr>
        <w:t>e</w:t>
      </w:r>
      <w:r w:rsidRPr="000563DB" w:rsidR="006377B7">
        <w:rPr>
          <w:i/>
          <w:iCs/>
        </w:rPr>
        <w:t xml:space="preserve">arly </w:t>
      </w:r>
      <w:r w:rsidRPr="000563DB" w:rsidR="000563DB">
        <w:rPr>
          <w:i/>
          <w:iCs/>
        </w:rPr>
        <w:t>t</w:t>
      </w:r>
      <w:r w:rsidRPr="000563DB" w:rsidR="006377B7">
        <w:rPr>
          <w:i/>
          <w:iCs/>
        </w:rPr>
        <w:t xml:space="preserve">eaching </w:t>
      </w:r>
      <w:r w:rsidRPr="000563DB" w:rsidR="000563DB">
        <w:rPr>
          <w:i/>
          <w:iCs/>
        </w:rPr>
        <w:t>e</w:t>
      </w:r>
      <w:r w:rsidRPr="000563DB" w:rsidR="006377B7">
        <w:rPr>
          <w:i/>
          <w:iCs/>
        </w:rPr>
        <w:t>ffectiveness</w:t>
      </w:r>
      <w:r w:rsidR="00624EDF">
        <w:t xml:space="preserve"> (</w:t>
      </w:r>
      <w:r w:rsidRPr="00624EDF" w:rsidR="00624EDF">
        <w:t>NCEE 2019-4007</w:t>
      </w:r>
      <w:r w:rsidR="00624EDF">
        <w:t>)</w:t>
      </w:r>
      <w:r w:rsidR="006377B7">
        <w:t>.</w:t>
      </w:r>
      <w:r w:rsidR="004E701B">
        <w:t xml:space="preserve"> </w:t>
      </w:r>
      <w:r w:rsidR="00624EDF">
        <w:t xml:space="preserve">Washington, DC: </w:t>
      </w:r>
      <w:r w:rsidR="001937FD">
        <w:t>Institute of Education Sciences, U.S. Department of Education.</w:t>
      </w:r>
      <w:r w:rsidR="0044301D">
        <w:t xml:space="preserve"> Retrieved from </w:t>
      </w:r>
      <w:hyperlink w:history="1" r:id="rId14">
        <w:r w:rsidRPr="000D0B00" w:rsidR="0044301D">
          <w:rPr>
            <w:rStyle w:val="Hyperlink"/>
          </w:rPr>
          <w:t>https://files.eric.ed.gov/fulltext/ED598664.pdf</w:t>
        </w:r>
      </w:hyperlink>
      <w:r w:rsidR="0044301D">
        <w:t xml:space="preserve"> </w:t>
      </w:r>
    </w:p>
    <w:sectPr w:rsidRPr="00213658" w:rsidR="00021E37" w:rsidSect="00D732E1">
      <w:footnotePr>
        <w:numFmt w:val="chicago"/>
      </w:footnotePr>
      <w:pgSz w:w="12240" w:h="15840" w:code="1"/>
      <w:pgMar w:top="1152" w:right="1152" w:bottom="1152" w:left="1152"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6EC476" w14:textId="77777777" w:rsidR="003A4AD7" w:rsidRDefault="003A4AD7" w:rsidP="00F4093F">
      <w:pPr>
        <w:spacing w:after="0" w:line="240" w:lineRule="auto"/>
      </w:pPr>
      <w:r>
        <w:separator/>
      </w:r>
    </w:p>
  </w:endnote>
  <w:endnote w:type="continuationSeparator" w:id="0">
    <w:p w14:paraId="623B3305" w14:textId="77777777" w:rsidR="003A4AD7" w:rsidRDefault="003A4AD7" w:rsidP="00F4093F">
      <w:pPr>
        <w:spacing w:after="0" w:line="240" w:lineRule="auto"/>
      </w:pPr>
      <w:r>
        <w:continuationSeparator/>
      </w:r>
    </w:p>
  </w:endnote>
  <w:endnote w:type="continuationNotice" w:id="1">
    <w:p w14:paraId="5B440146" w14:textId="77777777" w:rsidR="003A4AD7" w:rsidRDefault="003A4AD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Franklin Gothic Demi">
    <w:panose1 w:val="020B0703020102020204"/>
    <w:charset w:val="00"/>
    <w:family w:val="swiss"/>
    <w:pitch w:val="variable"/>
    <w:sig w:usb0="00000287" w:usb1="00000000" w:usb2="00000000" w:usb3="00000000" w:csb0="0000009F" w:csb1="00000000"/>
  </w:font>
  <w:font w:name="Perpetua">
    <w:panose1 w:val="02020502060401020303"/>
    <w:charset w:val="00"/>
    <w:family w:val="roman"/>
    <w:pitch w:val="variable"/>
    <w:sig w:usb0="00000003" w:usb1="00000000" w:usb2="00000000" w:usb3="00000000" w:csb0="00000001" w:csb1="00000000"/>
  </w:font>
  <w:font w:name="Adobe Jenson Pro">
    <w:altName w:val="Cambria Math"/>
    <w:panose1 w:val="00000000000000000000"/>
    <w:charset w:val="00"/>
    <w:family w:val="roman"/>
    <w:notTrueType/>
    <w:pitch w:val="variable"/>
    <w:sig w:usb0="800000AF" w:usb1="5000205B" w:usb2="00000000" w:usb3="00000000" w:csb0="0000009B" w:csb1="00000000"/>
  </w:font>
  <w:font w:name="Franklin Gothic Book">
    <w:panose1 w:val="020B05030201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A6648E" w14:textId="4C79A6FC" w:rsidR="008E10C4" w:rsidRPr="00013BED" w:rsidRDefault="00013BED" w:rsidP="00013BED">
    <w:pPr>
      <w:pStyle w:val="Footer"/>
    </w:pPr>
    <w:r>
      <w:fldChar w:fldCharType="begin"/>
    </w:r>
    <w:r>
      <w:instrText xml:space="preserve"> PAGE   \* MERGEFORMAT </w:instrText>
    </w:r>
    <w:r>
      <w:fldChar w:fldCharType="separate"/>
    </w:r>
    <w:r>
      <w:rPr>
        <w:noProof/>
      </w:rPr>
      <w:t>1</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D3D941" w14:textId="77777777" w:rsidR="00C06762" w:rsidRPr="00C80BC0" w:rsidRDefault="00C06762" w:rsidP="00221C51">
    <w:pPr>
      <w:pStyle w:val="Footer"/>
    </w:pP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8A3DA4" w14:textId="77777777" w:rsidR="003A4AD7" w:rsidRDefault="003A4AD7" w:rsidP="00F4093F">
      <w:pPr>
        <w:spacing w:after="0" w:line="240" w:lineRule="auto"/>
      </w:pPr>
      <w:r>
        <w:separator/>
      </w:r>
    </w:p>
  </w:footnote>
  <w:footnote w:type="continuationSeparator" w:id="0">
    <w:p w14:paraId="7B7B6A3E" w14:textId="77777777" w:rsidR="003A4AD7" w:rsidRDefault="003A4AD7" w:rsidP="00F4093F">
      <w:pPr>
        <w:spacing w:after="0" w:line="240" w:lineRule="auto"/>
      </w:pPr>
      <w:r>
        <w:continuationSeparator/>
      </w:r>
    </w:p>
  </w:footnote>
  <w:footnote w:type="continuationNotice" w:id="1">
    <w:p w14:paraId="65B3EC5A" w14:textId="77777777" w:rsidR="003A4AD7" w:rsidRDefault="003A4AD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50010D" w14:textId="77777777" w:rsidR="008E10C4" w:rsidRDefault="008E10C4">
    <w:pPr>
      <w:pStyle w:val="Header"/>
      <w:jc w:val="right"/>
    </w:pPr>
  </w:p>
  <w:p w14:paraId="324532DB" w14:textId="77777777" w:rsidR="008E10C4" w:rsidRDefault="008E10C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346B8"/>
    <w:multiLevelType w:val="multilevel"/>
    <w:tmpl w:val="04090027"/>
    <w:lvl w:ilvl="0">
      <w:start w:val="1"/>
      <w:numFmt w:val="upperRoman"/>
      <w:lvlText w:val="%1."/>
      <w:lvlJc w:val="left"/>
      <w:pPr>
        <w:ind w:left="0" w:firstLine="0"/>
      </w:pPr>
    </w:lvl>
    <w:lvl w:ilvl="1">
      <w:start w:val="1"/>
      <w:numFmt w:val="upperLetter"/>
      <w:lvlText w:val="%2."/>
      <w:lvlJc w:val="left"/>
      <w:pPr>
        <w:ind w:left="900" w:firstLine="0"/>
      </w:pPr>
    </w:lvl>
    <w:lvl w:ilvl="2">
      <w:start w:val="1"/>
      <w:numFmt w:val="decimal"/>
      <w:lvlText w:val="%3."/>
      <w:lvlJc w:val="left"/>
      <w:pPr>
        <w:ind w:left="1440" w:firstLine="0"/>
      </w:p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15:restartNumberingAfterBreak="0">
    <w:nsid w:val="0D46717B"/>
    <w:multiLevelType w:val="hybridMultilevel"/>
    <w:tmpl w:val="96D27A32"/>
    <w:lvl w:ilvl="0" w:tplc="F0C083EA">
      <w:start w:val="1"/>
      <w:numFmt w:val="bullet"/>
      <w:pStyle w:val="Box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E944F2E"/>
    <w:multiLevelType w:val="hybridMultilevel"/>
    <w:tmpl w:val="49DCE272"/>
    <w:lvl w:ilvl="0" w:tplc="04090001">
      <w:start w:val="1"/>
      <w:numFmt w:val="bullet"/>
      <w:pStyle w:val="Normalbullet"/>
      <w:lvlText w:val=""/>
      <w:lvlJc w:val="left"/>
      <w:pPr>
        <w:tabs>
          <w:tab w:val="num" w:pos="360"/>
        </w:tabs>
        <w:ind w:left="360" w:hanging="360"/>
      </w:pPr>
      <w:rPr>
        <w:rFonts w:ascii="Wingdings" w:hAnsi="Wingdings" w:hint="default"/>
      </w:rPr>
    </w:lvl>
    <w:lvl w:ilvl="1" w:tplc="04090003">
      <w:start w:val="1"/>
      <w:numFmt w:val="bullet"/>
      <w:pStyle w:val="Normalbullet2"/>
      <w:lvlText w:val="o"/>
      <w:lvlJc w:val="left"/>
      <w:pPr>
        <w:tabs>
          <w:tab w:val="num" w:pos="1080"/>
        </w:tabs>
        <w:ind w:left="1080" w:hanging="360"/>
      </w:pPr>
      <w:rPr>
        <w:rFonts w:ascii="Courier" w:hAnsi="Courier"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w:hAnsi="Courier"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w:hAnsi="Courier"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87833E2"/>
    <w:multiLevelType w:val="hybridMultilevel"/>
    <w:tmpl w:val="F7842574"/>
    <w:lvl w:ilvl="0" w:tplc="B8CCF6EA">
      <w:start w:val="1"/>
      <w:numFmt w:val="bullet"/>
      <w:pStyle w:val="Bullet1"/>
      <w:lvlText w:val=""/>
      <w:lvlJc w:val="left"/>
      <w:pPr>
        <w:ind w:left="720" w:hanging="360"/>
      </w:pPr>
      <w:rPr>
        <w:rFonts w:ascii="Symbol" w:hAnsi="Symbol" w:hint="default"/>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36683"/>
    <w:multiLevelType w:val="hybridMultilevel"/>
    <w:tmpl w:val="1DCEC464"/>
    <w:lvl w:ilvl="0" w:tplc="961C47F8">
      <w:start w:val="1"/>
      <w:numFmt w:val="decimal"/>
      <w:pStyle w:val="TableTextNumbered"/>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8C6E7E"/>
    <w:multiLevelType w:val="hybridMultilevel"/>
    <w:tmpl w:val="45649962"/>
    <w:lvl w:ilvl="0" w:tplc="7164808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0D75E31"/>
    <w:multiLevelType w:val="multilevel"/>
    <w:tmpl w:val="D700B5CE"/>
    <w:styleLink w:val="AIRTableNumbering"/>
    <w:lvl w:ilvl="0">
      <w:start w:val="1"/>
      <w:numFmt w:val="decimal"/>
      <w:lvlText w:val="%1."/>
      <w:lvlJc w:val="left"/>
      <w:pPr>
        <w:ind w:left="288" w:hanging="216"/>
      </w:pPr>
      <w:rPr>
        <w:rFonts w:hint="default"/>
      </w:rPr>
    </w:lvl>
    <w:lvl w:ilvl="1">
      <w:start w:val="1"/>
      <w:numFmt w:val="lowerLetter"/>
      <w:lvlText w:val="%2."/>
      <w:lvlJc w:val="left"/>
      <w:pPr>
        <w:ind w:left="648" w:hanging="288"/>
      </w:pPr>
      <w:rPr>
        <w:rFonts w:hint="default"/>
      </w:rPr>
    </w:lvl>
    <w:lvl w:ilvl="2">
      <w:start w:val="1"/>
      <w:numFmt w:val="lowerRoman"/>
      <w:lvlText w:val="%3."/>
      <w:lvlJc w:val="right"/>
      <w:pPr>
        <w:ind w:left="1080" w:hanging="216"/>
      </w:pPr>
      <w:rPr>
        <w:rFonts w:hint="default"/>
      </w:rPr>
    </w:lvl>
    <w:lvl w:ilvl="3">
      <w:start w:val="1"/>
      <w:numFmt w:val="decimal"/>
      <w:lvlText w:val="%4."/>
      <w:lvlJc w:val="left"/>
      <w:pPr>
        <w:ind w:left="1440" w:hanging="288"/>
      </w:pPr>
      <w:rPr>
        <w:rFonts w:hint="default"/>
      </w:rPr>
    </w:lvl>
    <w:lvl w:ilvl="4">
      <w:start w:val="1"/>
      <w:numFmt w:val="lowerLetter"/>
      <w:lvlText w:val="%5."/>
      <w:lvlJc w:val="left"/>
      <w:pPr>
        <w:ind w:left="3528" w:hanging="360"/>
      </w:pPr>
      <w:rPr>
        <w:rFonts w:hint="default"/>
      </w:rPr>
    </w:lvl>
    <w:lvl w:ilvl="5">
      <w:start w:val="1"/>
      <w:numFmt w:val="lowerRoman"/>
      <w:lvlText w:val="%6."/>
      <w:lvlJc w:val="right"/>
      <w:pPr>
        <w:ind w:left="4248" w:hanging="180"/>
      </w:pPr>
      <w:rPr>
        <w:rFonts w:hint="default"/>
      </w:rPr>
    </w:lvl>
    <w:lvl w:ilvl="6">
      <w:start w:val="1"/>
      <w:numFmt w:val="decimal"/>
      <w:lvlText w:val="%7."/>
      <w:lvlJc w:val="left"/>
      <w:pPr>
        <w:ind w:left="4968" w:hanging="360"/>
      </w:pPr>
      <w:rPr>
        <w:rFonts w:hint="default"/>
      </w:rPr>
    </w:lvl>
    <w:lvl w:ilvl="7">
      <w:start w:val="1"/>
      <w:numFmt w:val="lowerLetter"/>
      <w:lvlText w:val="%8."/>
      <w:lvlJc w:val="left"/>
      <w:pPr>
        <w:ind w:left="5688" w:hanging="360"/>
      </w:pPr>
      <w:rPr>
        <w:rFonts w:hint="default"/>
      </w:rPr>
    </w:lvl>
    <w:lvl w:ilvl="8">
      <w:start w:val="1"/>
      <w:numFmt w:val="lowerRoman"/>
      <w:lvlText w:val="%9."/>
      <w:lvlJc w:val="right"/>
      <w:pPr>
        <w:ind w:left="6408" w:hanging="180"/>
      </w:pPr>
      <w:rPr>
        <w:rFonts w:hint="default"/>
      </w:rPr>
    </w:lvl>
  </w:abstractNum>
  <w:abstractNum w:abstractNumId="7" w15:restartNumberingAfterBreak="0">
    <w:nsid w:val="39BD373A"/>
    <w:multiLevelType w:val="hybridMultilevel"/>
    <w:tmpl w:val="D48A3358"/>
    <w:lvl w:ilvl="0" w:tplc="20781D18">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8C0403"/>
    <w:multiLevelType w:val="hybridMultilevel"/>
    <w:tmpl w:val="100E34E8"/>
    <w:lvl w:ilvl="0" w:tplc="81DEB696">
      <w:start w:val="1"/>
      <w:numFmt w:val="lowerLetter"/>
      <w:lvlText w:val="%1."/>
      <w:lvlJc w:val="left"/>
      <w:pPr>
        <w:ind w:left="36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BD61D5B"/>
    <w:multiLevelType w:val="hybridMultilevel"/>
    <w:tmpl w:val="15303A64"/>
    <w:lvl w:ilvl="0" w:tplc="04090001">
      <w:start w:val="1"/>
      <w:numFmt w:val="bullet"/>
      <w:lvlText w:val=""/>
      <w:lvlJc w:val="left"/>
      <w:pPr>
        <w:ind w:left="1080" w:hanging="360"/>
      </w:pPr>
      <w:rPr>
        <w:rFonts w:ascii="Symbol" w:hAnsi="Symbol" w:hint="default"/>
      </w:rPr>
    </w:lvl>
    <w:lvl w:ilvl="1" w:tplc="04090003">
      <w:start w:val="1"/>
      <w:numFmt w:val="bullet"/>
      <w:pStyle w:val="Bullet2"/>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D950EC5"/>
    <w:multiLevelType w:val="hybridMultilevel"/>
    <w:tmpl w:val="DEC4B3CA"/>
    <w:lvl w:ilvl="0" w:tplc="AEE4DA9A">
      <w:start w:val="1"/>
      <w:numFmt w:val="lowerLetter"/>
      <w:lvlText w:val="%1."/>
      <w:lvlJc w:val="left"/>
      <w:pPr>
        <w:ind w:left="360" w:hanging="360"/>
      </w:pPr>
      <w:rPr>
        <w:rFonts w:hint="default"/>
      </w:rPr>
    </w:lvl>
    <w:lvl w:ilvl="1" w:tplc="1534DC5C" w:tentative="1">
      <w:start w:val="1"/>
      <w:numFmt w:val="lowerLetter"/>
      <w:lvlText w:val="%2."/>
      <w:lvlJc w:val="left"/>
      <w:pPr>
        <w:ind w:left="1080" w:hanging="360"/>
      </w:pPr>
    </w:lvl>
    <w:lvl w:ilvl="2" w:tplc="04090005" w:tentative="1">
      <w:start w:val="1"/>
      <w:numFmt w:val="lowerRoman"/>
      <w:lvlText w:val="%3."/>
      <w:lvlJc w:val="right"/>
      <w:pPr>
        <w:ind w:left="1800" w:hanging="180"/>
      </w:pPr>
    </w:lvl>
    <w:lvl w:ilvl="3" w:tplc="04090001" w:tentative="1">
      <w:start w:val="1"/>
      <w:numFmt w:val="decimal"/>
      <w:lvlText w:val="%4."/>
      <w:lvlJc w:val="left"/>
      <w:pPr>
        <w:ind w:left="2520" w:hanging="360"/>
      </w:pPr>
    </w:lvl>
    <w:lvl w:ilvl="4" w:tplc="04090003" w:tentative="1">
      <w:start w:val="1"/>
      <w:numFmt w:val="lowerLetter"/>
      <w:lvlText w:val="%5."/>
      <w:lvlJc w:val="left"/>
      <w:pPr>
        <w:ind w:left="3240" w:hanging="360"/>
      </w:pPr>
    </w:lvl>
    <w:lvl w:ilvl="5" w:tplc="04090005" w:tentative="1">
      <w:start w:val="1"/>
      <w:numFmt w:val="lowerRoman"/>
      <w:lvlText w:val="%6."/>
      <w:lvlJc w:val="right"/>
      <w:pPr>
        <w:ind w:left="3960" w:hanging="180"/>
      </w:pPr>
    </w:lvl>
    <w:lvl w:ilvl="6" w:tplc="04090001" w:tentative="1">
      <w:start w:val="1"/>
      <w:numFmt w:val="decimal"/>
      <w:lvlText w:val="%7."/>
      <w:lvlJc w:val="left"/>
      <w:pPr>
        <w:ind w:left="4680" w:hanging="360"/>
      </w:pPr>
    </w:lvl>
    <w:lvl w:ilvl="7" w:tplc="04090003" w:tentative="1">
      <w:start w:val="1"/>
      <w:numFmt w:val="lowerLetter"/>
      <w:lvlText w:val="%8."/>
      <w:lvlJc w:val="left"/>
      <w:pPr>
        <w:ind w:left="5400" w:hanging="360"/>
      </w:pPr>
    </w:lvl>
    <w:lvl w:ilvl="8" w:tplc="04090005" w:tentative="1">
      <w:start w:val="1"/>
      <w:numFmt w:val="lowerRoman"/>
      <w:lvlText w:val="%9."/>
      <w:lvlJc w:val="right"/>
      <w:pPr>
        <w:ind w:left="6120" w:hanging="180"/>
      </w:pPr>
    </w:lvl>
  </w:abstractNum>
  <w:abstractNum w:abstractNumId="11" w15:restartNumberingAfterBreak="0">
    <w:nsid w:val="52E8587E"/>
    <w:multiLevelType w:val="hybridMultilevel"/>
    <w:tmpl w:val="4C7EFB70"/>
    <w:lvl w:ilvl="0" w:tplc="0409000F">
      <w:start w:val="1"/>
      <w:numFmt w:val="decimal"/>
      <w:pStyle w:val="TOCItemnumbered"/>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4D94515"/>
    <w:multiLevelType w:val="hybridMultilevel"/>
    <w:tmpl w:val="3D58AB98"/>
    <w:lvl w:ilvl="0" w:tplc="B86A5236">
      <w:start w:val="1"/>
      <w:numFmt w:val="decimal"/>
      <w:pStyle w:val="NumberedList"/>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B8A1207"/>
    <w:multiLevelType w:val="hybridMultilevel"/>
    <w:tmpl w:val="9F147466"/>
    <w:lvl w:ilvl="0" w:tplc="EE92E490">
      <w:start w:val="1"/>
      <w:numFmt w:val="bullet"/>
      <w:pStyle w:val="TableBullet1"/>
      <w:lvlText w:val=""/>
      <w:lvlJc w:val="left"/>
      <w:pPr>
        <w:ind w:left="360" w:hanging="360"/>
      </w:pPr>
      <w:rPr>
        <w:rFonts w:ascii="Symbol" w:hAnsi="Symbol"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0"/>
  </w:num>
  <w:num w:numId="3">
    <w:abstractNumId w:val="10"/>
  </w:num>
  <w:num w:numId="4">
    <w:abstractNumId w:val="11"/>
  </w:num>
  <w:num w:numId="5">
    <w:abstractNumId w:val="13"/>
  </w:num>
  <w:num w:numId="6">
    <w:abstractNumId w:val="12"/>
  </w:num>
  <w:num w:numId="7">
    <w:abstractNumId w:val="6"/>
  </w:num>
  <w:num w:numId="8">
    <w:abstractNumId w:val="3"/>
  </w:num>
  <w:num w:numId="9">
    <w:abstractNumId w:val="8"/>
  </w:num>
  <w:num w:numId="10">
    <w:abstractNumId w:val="4"/>
  </w:num>
  <w:num w:numId="11">
    <w:abstractNumId w:val="7"/>
  </w:num>
  <w:num w:numId="12">
    <w:abstractNumId w:val="1"/>
  </w:num>
  <w:num w:numId="13">
    <w:abstractNumId w:val="8"/>
    <w:lvlOverride w:ilvl="0">
      <w:startOverride w:val="1"/>
    </w:lvlOverride>
  </w:num>
  <w:num w:numId="14">
    <w:abstractNumId w:val="8"/>
  </w:num>
  <w:num w:numId="15">
    <w:abstractNumId w:val="5"/>
  </w:num>
  <w:num w:numId="16">
    <w:abstractNumId w:val="8"/>
  </w:num>
  <w:num w:numId="17">
    <w:abstractNumId w:val="10"/>
  </w:num>
  <w:num w:numId="18">
    <w:abstractNumId w:val="10"/>
  </w:num>
  <w:num w:numId="19">
    <w:abstractNumId w:val="8"/>
  </w:num>
  <w:num w:numId="20">
    <w:abstractNumId w:val="8"/>
  </w:num>
  <w:num w:numId="21">
    <w:abstractNumId w:val="8"/>
  </w:num>
  <w:num w:numId="22">
    <w:abstractNumId w:val="8"/>
  </w:num>
  <w:num w:numId="23">
    <w:abstractNumId w:val="8"/>
  </w:num>
  <w:num w:numId="24">
    <w:abstractNumId w:val="8"/>
  </w:num>
  <w:num w:numId="25">
    <w:abstractNumId w:val="8"/>
  </w:num>
  <w:num w:numId="26">
    <w:abstractNumId w:val="8"/>
  </w:num>
  <w:num w:numId="27">
    <w:abstractNumId w:val="8"/>
  </w:num>
  <w:num w:numId="28">
    <w:abstractNumId w:val="8"/>
  </w:num>
  <w:num w:numId="29">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stylePaneFormatFilter w:val="1121" w:allStyles="1" w:customStyles="0" w:latentStyles="0" w:stylesInUse="0" w:headingStyles="1" w:numberingStyles="0" w:tableStyles="0" w:directFormattingOnRuns="1" w:directFormattingOnParagraphs="0" w:directFormattingOnNumbering="0" w:directFormattingOnTables="0" w:clearFormatting="1" w:top3HeadingStyles="0" w:visibleStyles="0" w:alternateStyleNames="0"/>
  <w:stylePaneSortMethod w:val="0000"/>
  <w:doNotTrackFormatting/>
  <w:defaultTabStop w:val="720"/>
  <w:drawingGridHorizontalSpacing w:val="110"/>
  <w:displayHorizontalDrawingGridEvery w:val="2"/>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92"/>
    <w:rsid w:val="000010BB"/>
    <w:rsid w:val="000016F2"/>
    <w:rsid w:val="0000233C"/>
    <w:rsid w:val="00002B50"/>
    <w:rsid w:val="00002FE2"/>
    <w:rsid w:val="00003586"/>
    <w:rsid w:val="0000360F"/>
    <w:rsid w:val="00003F86"/>
    <w:rsid w:val="0000455A"/>
    <w:rsid w:val="00004625"/>
    <w:rsid w:val="000052F7"/>
    <w:rsid w:val="000060F5"/>
    <w:rsid w:val="00006B90"/>
    <w:rsid w:val="00007805"/>
    <w:rsid w:val="0000798A"/>
    <w:rsid w:val="00007A1A"/>
    <w:rsid w:val="00007B90"/>
    <w:rsid w:val="00007E6D"/>
    <w:rsid w:val="00007F1A"/>
    <w:rsid w:val="00007FD2"/>
    <w:rsid w:val="000103E3"/>
    <w:rsid w:val="00010B16"/>
    <w:rsid w:val="00011011"/>
    <w:rsid w:val="00011047"/>
    <w:rsid w:val="000113B8"/>
    <w:rsid w:val="000115DB"/>
    <w:rsid w:val="00011C54"/>
    <w:rsid w:val="00012DDE"/>
    <w:rsid w:val="000130ED"/>
    <w:rsid w:val="00013B2C"/>
    <w:rsid w:val="00013BED"/>
    <w:rsid w:val="00014CBE"/>
    <w:rsid w:val="00014F43"/>
    <w:rsid w:val="0001587B"/>
    <w:rsid w:val="00015970"/>
    <w:rsid w:val="00015E89"/>
    <w:rsid w:val="00016546"/>
    <w:rsid w:val="00016BBA"/>
    <w:rsid w:val="00017196"/>
    <w:rsid w:val="0001736F"/>
    <w:rsid w:val="0001760D"/>
    <w:rsid w:val="0002066E"/>
    <w:rsid w:val="00021095"/>
    <w:rsid w:val="00021732"/>
    <w:rsid w:val="00021E37"/>
    <w:rsid w:val="0002211E"/>
    <w:rsid w:val="0002438A"/>
    <w:rsid w:val="00024399"/>
    <w:rsid w:val="00024C32"/>
    <w:rsid w:val="00024DDC"/>
    <w:rsid w:val="000257F9"/>
    <w:rsid w:val="0002627D"/>
    <w:rsid w:val="00027D78"/>
    <w:rsid w:val="0003048C"/>
    <w:rsid w:val="000304CE"/>
    <w:rsid w:val="0003073D"/>
    <w:rsid w:val="0003213D"/>
    <w:rsid w:val="000321B7"/>
    <w:rsid w:val="0003250B"/>
    <w:rsid w:val="00032B4F"/>
    <w:rsid w:val="00032DA0"/>
    <w:rsid w:val="000333CD"/>
    <w:rsid w:val="00033E30"/>
    <w:rsid w:val="00033F30"/>
    <w:rsid w:val="0003475C"/>
    <w:rsid w:val="00034A00"/>
    <w:rsid w:val="000350D4"/>
    <w:rsid w:val="000354FD"/>
    <w:rsid w:val="00035C24"/>
    <w:rsid w:val="00036A7F"/>
    <w:rsid w:val="000371FA"/>
    <w:rsid w:val="00037C98"/>
    <w:rsid w:val="000405BF"/>
    <w:rsid w:val="000407A0"/>
    <w:rsid w:val="00040DB5"/>
    <w:rsid w:val="0004110B"/>
    <w:rsid w:val="00041FFA"/>
    <w:rsid w:val="0004262F"/>
    <w:rsid w:val="0004267E"/>
    <w:rsid w:val="00042EAB"/>
    <w:rsid w:val="0004462A"/>
    <w:rsid w:val="00045B33"/>
    <w:rsid w:val="00045CE2"/>
    <w:rsid w:val="00045F57"/>
    <w:rsid w:val="00045FBD"/>
    <w:rsid w:val="000468E8"/>
    <w:rsid w:val="00046FA1"/>
    <w:rsid w:val="000512F6"/>
    <w:rsid w:val="00051A38"/>
    <w:rsid w:val="00051F45"/>
    <w:rsid w:val="000526CB"/>
    <w:rsid w:val="00052E17"/>
    <w:rsid w:val="00053370"/>
    <w:rsid w:val="00053BD4"/>
    <w:rsid w:val="00053F93"/>
    <w:rsid w:val="000543F0"/>
    <w:rsid w:val="000546B4"/>
    <w:rsid w:val="00055ABD"/>
    <w:rsid w:val="00055F75"/>
    <w:rsid w:val="000563DB"/>
    <w:rsid w:val="00056898"/>
    <w:rsid w:val="00056C6E"/>
    <w:rsid w:val="000576F1"/>
    <w:rsid w:val="000578EB"/>
    <w:rsid w:val="00060BC0"/>
    <w:rsid w:val="00061166"/>
    <w:rsid w:val="0006172A"/>
    <w:rsid w:val="000628BB"/>
    <w:rsid w:val="000628EB"/>
    <w:rsid w:val="00063A52"/>
    <w:rsid w:val="0006455E"/>
    <w:rsid w:val="000646EF"/>
    <w:rsid w:val="000660D6"/>
    <w:rsid w:val="00066436"/>
    <w:rsid w:val="00066F4D"/>
    <w:rsid w:val="00067142"/>
    <w:rsid w:val="00067813"/>
    <w:rsid w:val="00067C3E"/>
    <w:rsid w:val="000709E6"/>
    <w:rsid w:val="00070BAD"/>
    <w:rsid w:val="00071C91"/>
    <w:rsid w:val="000726DB"/>
    <w:rsid w:val="000726E0"/>
    <w:rsid w:val="00072BE7"/>
    <w:rsid w:val="00073F78"/>
    <w:rsid w:val="000750B6"/>
    <w:rsid w:val="000763FC"/>
    <w:rsid w:val="00076B20"/>
    <w:rsid w:val="00077005"/>
    <w:rsid w:val="000772B9"/>
    <w:rsid w:val="00077330"/>
    <w:rsid w:val="00077453"/>
    <w:rsid w:val="000774E7"/>
    <w:rsid w:val="00077B99"/>
    <w:rsid w:val="00077E03"/>
    <w:rsid w:val="00081260"/>
    <w:rsid w:val="000813F4"/>
    <w:rsid w:val="0008200D"/>
    <w:rsid w:val="000823BD"/>
    <w:rsid w:val="000823E4"/>
    <w:rsid w:val="000828D5"/>
    <w:rsid w:val="00082973"/>
    <w:rsid w:val="00082D38"/>
    <w:rsid w:val="00082E76"/>
    <w:rsid w:val="00083063"/>
    <w:rsid w:val="000834DC"/>
    <w:rsid w:val="00083879"/>
    <w:rsid w:val="00083ABA"/>
    <w:rsid w:val="00085197"/>
    <w:rsid w:val="00086733"/>
    <w:rsid w:val="000877E5"/>
    <w:rsid w:val="000900CF"/>
    <w:rsid w:val="000901EB"/>
    <w:rsid w:val="0009026E"/>
    <w:rsid w:val="00090FCB"/>
    <w:rsid w:val="0009132C"/>
    <w:rsid w:val="0009198D"/>
    <w:rsid w:val="000923C1"/>
    <w:rsid w:val="00092A13"/>
    <w:rsid w:val="000948F6"/>
    <w:rsid w:val="00094A5F"/>
    <w:rsid w:val="00094C25"/>
    <w:rsid w:val="00094C92"/>
    <w:rsid w:val="00095135"/>
    <w:rsid w:val="0009777A"/>
    <w:rsid w:val="000A0853"/>
    <w:rsid w:val="000A15D9"/>
    <w:rsid w:val="000A2B5A"/>
    <w:rsid w:val="000A39C9"/>
    <w:rsid w:val="000A40F8"/>
    <w:rsid w:val="000A4F6E"/>
    <w:rsid w:val="000A5698"/>
    <w:rsid w:val="000A5BAE"/>
    <w:rsid w:val="000A5BE9"/>
    <w:rsid w:val="000A5D68"/>
    <w:rsid w:val="000A67D2"/>
    <w:rsid w:val="000A6DD6"/>
    <w:rsid w:val="000A71DB"/>
    <w:rsid w:val="000A7BEC"/>
    <w:rsid w:val="000B00E9"/>
    <w:rsid w:val="000B0378"/>
    <w:rsid w:val="000B1612"/>
    <w:rsid w:val="000B1D10"/>
    <w:rsid w:val="000B20BA"/>
    <w:rsid w:val="000B2763"/>
    <w:rsid w:val="000B29A3"/>
    <w:rsid w:val="000B3CBE"/>
    <w:rsid w:val="000B42C6"/>
    <w:rsid w:val="000B4660"/>
    <w:rsid w:val="000B46A5"/>
    <w:rsid w:val="000B490C"/>
    <w:rsid w:val="000B4B23"/>
    <w:rsid w:val="000B4CA0"/>
    <w:rsid w:val="000B5199"/>
    <w:rsid w:val="000B545D"/>
    <w:rsid w:val="000B5E71"/>
    <w:rsid w:val="000B6E3D"/>
    <w:rsid w:val="000B7460"/>
    <w:rsid w:val="000B7A76"/>
    <w:rsid w:val="000B7B37"/>
    <w:rsid w:val="000C0670"/>
    <w:rsid w:val="000C0CBF"/>
    <w:rsid w:val="000C2D16"/>
    <w:rsid w:val="000C3042"/>
    <w:rsid w:val="000C32F3"/>
    <w:rsid w:val="000C3865"/>
    <w:rsid w:val="000C51BF"/>
    <w:rsid w:val="000C6104"/>
    <w:rsid w:val="000C69A9"/>
    <w:rsid w:val="000C702A"/>
    <w:rsid w:val="000C794C"/>
    <w:rsid w:val="000C7E4D"/>
    <w:rsid w:val="000D0600"/>
    <w:rsid w:val="000D1DA8"/>
    <w:rsid w:val="000D1EF3"/>
    <w:rsid w:val="000D2051"/>
    <w:rsid w:val="000D22F0"/>
    <w:rsid w:val="000D2F9B"/>
    <w:rsid w:val="000D35D0"/>
    <w:rsid w:val="000D36C2"/>
    <w:rsid w:val="000D37CB"/>
    <w:rsid w:val="000D4001"/>
    <w:rsid w:val="000D43CF"/>
    <w:rsid w:val="000D472D"/>
    <w:rsid w:val="000D493E"/>
    <w:rsid w:val="000D496B"/>
    <w:rsid w:val="000D497B"/>
    <w:rsid w:val="000D49A1"/>
    <w:rsid w:val="000D4B1E"/>
    <w:rsid w:val="000D4F40"/>
    <w:rsid w:val="000D52E5"/>
    <w:rsid w:val="000D57AE"/>
    <w:rsid w:val="000D5FC0"/>
    <w:rsid w:val="000D63D3"/>
    <w:rsid w:val="000D659B"/>
    <w:rsid w:val="000D66DC"/>
    <w:rsid w:val="000D6B20"/>
    <w:rsid w:val="000D7283"/>
    <w:rsid w:val="000D7958"/>
    <w:rsid w:val="000D7CF4"/>
    <w:rsid w:val="000D7F58"/>
    <w:rsid w:val="000E03D0"/>
    <w:rsid w:val="000E095B"/>
    <w:rsid w:val="000E1EDD"/>
    <w:rsid w:val="000E27F8"/>
    <w:rsid w:val="000E2BB7"/>
    <w:rsid w:val="000E2C8A"/>
    <w:rsid w:val="000E2F7E"/>
    <w:rsid w:val="000E46EC"/>
    <w:rsid w:val="000E6F59"/>
    <w:rsid w:val="000E73F8"/>
    <w:rsid w:val="000E74F5"/>
    <w:rsid w:val="000E7727"/>
    <w:rsid w:val="000F0995"/>
    <w:rsid w:val="000F0BA9"/>
    <w:rsid w:val="000F26C0"/>
    <w:rsid w:val="000F273A"/>
    <w:rsid w:val="000F2887"/>
    <w:rsid w:val="000F2D64"/>
    <w:rsid w:val="000F3316"/>
    <w:rsid w:val="000F3F9B"/>
    <w:rsid w:val="000F454F"/>
    <w:rsid w:val="000F45AD"/>
    <w:rsid w:val="000F46C6"/>
    <w:rsid w:val="000F4965"/>
    <w:rsid w:val="000F4AE1"/>
    <w:rsid w:val="000F59E4"/>
    <w:rsid w:val="000F5BBD"/>
    <w:rsid w:val="000F5C7B"/>
    <w:rsid w:val="000F6226"/>
    <w:rsid w:val="000F671F"/>
    <w:rsid w:val="000F674E"/>
    <w:rsid w:val="000F6B26"/>
    <w:rsid w:val="000F6C54"/>
    <w:rsid w:val="00100318"/>
    <w:rsid w:val="00101B72"/>
    <w:rsid w:val="00101D34"/>
    <w:rsid w:val="001026FC"/>
    <w:rsid w:val="00102819"/>
    <w:rsid w:val="00103523"/>
    <w:rsid w:val="00103854"/>
    <w:rsid w:val="00103E3E"/>
    <w:rsid w:val="001041D2"/>
    <w:rsid w:val="00104CF4"/>
    <w:rsid w:val="001052C6"/>
    <w:rsid w:val="001054CB"/>
    <w:rsid w:val="001059BB"/>
    <w:rsid w:val="00105A04"/>
    <w:rsid w:val="00106B9A"/>
    <w:rsid w:val="00107061"/>
    <w:rsid w:val="001100AA"/>
    <w:rsid w:val="001100F3"/>
    <w:rsid w:val="0011031A"/>
    <w:rsid w:val="001106C7"/>
    <w:rsid w:val="0011139C"/>
    <w:rsid w:val="00111978"/>
    <w:rsid w:val="00111AB1"/>
    <w:rsid w:val="00111BF2"/>
    <w:rsid w:val="001124D7"/>
    <w:rsid w:val="001125F0"/>
    <w:rsid w:val="00112D7C"/>
    <w:rsid w:val="00113636"/>
    <w:rsid w:val="00113F3F"/>
    <w:rsid w:val="001148A9"/>
    <w:rsid w:val="00114F5C"/>
    <w:rsid w:val="00115E7B"/>
    <w:rsid w:val="00116B4D"/>
    <w:rsid w:val="00116DFC"/>
    <w:rsid w:val="00117051"/>
    <w:rsid w:val="001170B1"/>
    <w:rsid w:val="00117891"/>
    <w:rsid w:val="00117A07"/>
    <w:rsid w:val="00117B05"/>
    <w:rsid w:val="00117D74"/>
    <w:rsid w:val="00117DE2"/>
    <w:rsid w:val="00117FFE"/>
    <w:rsid w:val="001203EA"/>
    <w:rsid w:val="00120695"/>
    <w:rsid w:val="00120805"/>
    <w:rsid w:val="00120CC5"/>
    <w:rsid w:val="0012136C"/>
    <w:rsid w:val="00121979"/>
    <w:rsid w:val="00121A4B"/>
    <w:rsid w:val="00121B49"/>
    <w:rsid w:val="00123614"/>
    <w:rsid w:val="001237D3"/>
    <w:rsid w:val="0012392E"/>
    <w:rsid w:val="00123EEC"/>
    <w:rsid w:val="00123F1C"/>
    <w:rsid w:val="001259E6"/>
    <w:rsid w:val="00125E1D"/>
    <w:rsid w:val="0012606E"/>
    <w:rsid w:val="00127001"/>
    <w:rsid w:val="00127881"/>
    <w:rsid w:val="00127E9A"/>
    <w:rsid w:val="001300F8"/>
    <w:rsid w:val="0013104C"/>
    <w:rsid w:val="001331DD"/>
    <w:rsid w:val="001334B9"/>
    <w:rsid w:val="00133FAF"/>
    <w:rsid w:val="00134249"/>
    <w:rsid w:val="00134319"/>
    <w:rsid w:val="0013449E"/>
    <w:rsid w:val="00134E40"/>
    <w:rsid w:val="001364AA"/>
    <w:rsid w:val="001366CC"/>
    <w:rsid w:val="00136714"/>
    <w:rsid w:val="00136B9A"/>
    <w:rsid w:val="00136FA9"/>
    <w:rsid w:val="0014055F"/>
    <w:rsid w:val="00140BC6"/>
    <w:rsid w:val="00141A49"/>
    <w:rsid w:val="00143984"/>
    <w:rsid w:val="0014579E"/>
    <w:rsid w:val="00145897"/>
    <w:rsid w:val="00146201"/>
    <w:rsid w:val="00146259"/>
    <w:rsid w:val="001500CE"/>
    <w:rsid w:val="0015087B"/>
    <w:rsid w:val="0015094B"/>
    <w:rsid w:val="00151FA0"/>
    <w:rsid w:val="00152B10"/>
    <w:rsid w:val="00152B26"/>
    <w:rsid w:val="00153C35"/>
    <w:rsid w:val="001547DC"/>
    <w:rsid w:val="001553AE"/>
    <w:rsid w:val="00155EC1"/>
    <w:rsid w:val="00155F36"/>
    <w:rsid w:val="00157084"/>
    <w:rsid w:val="00157749"/>
    <w:rsid w:val="00157BCD"/>
    <w:rsid w:val="00160057"/>
    <w:rsid w:val="001602C7"/>
    <w:rsid w:val="00160AE9"/>
    <w:rsid w:val="00160FE1"/>
    <w:rsid w:val="00161C4A"/>
    <w:rsid w:val="00161CD4"/>
    <w:rsid w:val="00162D0F"/>
    <w:rsid w:val="001630F0"/>
    <w:rsid w:val="0016314A"/>
    <w:rsid w:val="001635A2"/>
    <w:rsid w:val="001643C3"/>
    <w:rsid w:val="0016620A"/>
    <w:rsid w:val="001667A7"/>
    <w:rsid w:val="00166E43"/>
    <w:rsid w:val="0016702D"/>
    <w:rsid w:val="0017077E"/>
    <w:rsid w:val="00170BEC"/>
    <w:rsid w:val="00170DA4"/>
    <w:rsid w:val="0017121D"/>
    <w:rsid w:val="00171354"/>
    <w:rsid w:val="00171FA9"/>
    <w:rsid w:val="001720AB"/>
    <w:rsid w:val="001720C7"/>
    <w:rsid w:val="00172C2B"/>
    <w:rsid w:val="00173651"/>
    <w:rsid w:val="001749C3"/>
    <w:rsid w:val="00174DC8"/>
    <w:rsid w:val="001751E2"/>
    <w:rsid w:val="00175550"/>
    <w:rsid w:val="00175AFC"/>
    <w:rsid w:val="00175DE7"/>
    <w:rsid w:val="00175F06"/>
    <w:rsid w:val="00176153"/>
    <w:rsid w:val="00176342"/>
    <w:rsid w:val="00176500"/>
    <w:rsid w:val="00176F13"/>
    <w:rsid w:val="0017709D"/>
    <w:rsid w:val="0017763F"/>
    <w:rsid w:val="00177A71"/>
    <w:rsid w:val="00181AEE"/>
    <w:rsid w:val="001827E1"/>
    <w:rsid w:val="00182C2A"/>
    <w:rsid w:val="00182E09"/>
    <w:rsid w:val="00182F56"/>
    <w:rsid w:val="001835B8"/>
    <w:rsid w:val="001843D9"/>
    <w:rsid w:val="00184C9C"/>
    <w:rsid w:val="00185269"/>
    <w:rsid w:val="00187406"/>
    <w:rsid w:val="0018779A"/>
    <w:rsid w:val="0019010F"/>
    <w:rsid w:val="00190802"/>
    <w:rsid w:val="00190B20"/>
    <w:rsid w:val="001912BA"/>
    <w:rsid w:val="00191EF8"/>
    <w:rsid w:val="00192BD2"/>
    <w:rsid w:val="00192DE8"/>
    <w:rsid w:val="00192ED8"/>
    <w:rsid w:val="001933D0"/>
    <w:rsid w:val="0019378B"/>
    <w:rsid w:val="001937FD"/>
    <w:rsid w:val="00194C91"/>
    <w:rsid w:val="00194DDC"/>
    <w:rsid w:val="0019575F"/>
    <w:rsid w:val="00195823"/>
    <w:rsid w:val="00195CF6"/>
    <w:rsid w:val="00195E4C"/>
    <w:rsid w:val="00196ECD"/>
    <w:rsid w:val="001971C6"/>
    <w:rsid w:val="001975F8"/>
    <w:rsid w:val="00197A27"/>
    <w:rsid w:val="001A0C67"/>
    <w:rsid w:val="001A1483"/>
    <w:rsid w:val="001A36AA"/>
    <w:rsid w:val="001A3A1C"/>
    <w:rsid w:val="001A3E7C"/>
    <w:rsid w:val="001A469C"/>
    <w:rsid w:val="001A47C0"/>
    <w:rsid w:val="001A4A56"/>
    <w:rsid w:val="001A4F98"/>
    <w:rsid w:val="001A54DC"/>
    <w:rsid w:val="001A55BD"/>
    <w:rsid w:val="001A5745"/>
    <w:rsid w:val="001A58D0"/>
    <w:rsid w:val="001A6AB6"/>
    <w:rsid w:val="001A717F"/>
    <w:rsid w:val="001A73AC"/>
    <w:rsid w:val="001A7A1F"/>
    <w:rsid w:val="001B055C"/>
    <w:rsid w:val="001B15E4"/>
    <w:rsid w:val="001B190E"/>
    <w:rsid w:val="001B24CE"/>
    <w:rsid w:val="001B3068"/>
    <w:rsid w:val="001B353B"/>
    <w:rsid w:val="001B4259"/>
    <w:rsid w:val="001B4261"/>
    <w:rsid w:val="001B436F"/>
    <w:rsid w:val="001B4CEF"/>
    <w:rsid w:val="001B59A9"/>
    <w:rsid w:val="001B7303"/>
    <w:rsid w:val="001B7CBE"/>
    <w:rsid w:val="001B7FBB"/>
    <w:rsid w:val="001C1216"/>
    <w:rsid w:val="001C22AF"/>
    <w:rsid w:val="001C2AF2"/>
    <w:rsid w:val="001C3595"/>
    <w:rsid w:val="001C36CC"/>
    <w:rsid w:val="001C398C"/>
    <w:rsid w:val="001C4302"/>
    <w:rsid w:val="001C454D"/>
    <w:rsid w:val="001C540F"/>
    <w:rsid w:val="001C5BDE"/>
    <w:rsid w:val="001C6234"/>
    <w:rsid w:val="001C67E0"/>
    <w:rsid w:val="001C7991"/>
    <w:rsid w:val="001D0569"/>
    <w:rsid w:val="001D0906"/>
    <w:rsid w:val="001D0AA8"/>
    <w:rsid w:val="001D1317"/>
    <w:rsid w:val="001D15F7"/>
    <w:rsid w:val="001D21D6"/>
    <w:rsid w:val="001D2C45"/>
    <w:rsid w:val="001D2D5A"/>
    <w:rsid w:val="001D2E09"/>
    <w:rsid w:val="001D2EC8"/>
    <w:rsid w:val="001D3D08"/>
    <w:rsid w:val="001D453F"/>
    <w:rsid w:val="001D5226"/>
    <w:rsid w:val="001D5660"/>
    <w:rsid w:val="001D58CB"/>
    <w:rsid w:val="001D590C"/>
    <w:rsid w:val="001E1804"/>
    <w:rsid w:val="001E20F8"/>
    <w:rsid w:val="001E357E"/>
    <w:rsid w:val="001E415C"/>
    <w:rsid w:val="001E4215"/>
    <w:rsid w:val="001E4A8E"/>
    <w:rsid w:val="001E581A"/>
    <w:rsid w:val="001E5880"/>
    <w:rsid w:val="001E6476"/>
    <w:rsid w:val="001E6BFE"/>
    <w:rsid w:val="001F008B"/>
    <w:rsid w:val="001F0890"/>
    <w:rsid w:val="001F1C60"/>
    <w:rsid w:val="001F254A"/>
    <w:rsid w:val="001F38E4"/>
    <w:rsid w:val="001F39A9"/>
    <w:rsid w:val="001F39F2"/>
    <w:rsid w:val="001F3C83"/>
    <w:rsid w:val="001F3FA8"/>
    <w:rsid w:val="001F4DC1"/>
    <w:rsid w:val="001F502B"/>
    <w:rsid w:val="001F527C"/>
    <w:rsid w:val="001F5853"/>
    <w:rsid w:val="001F59B4"/>
    <w:rsid w:val="001F6172"/>
    <w:rsid w:val="001F6F30"/>
    <w:rsid w:val="001F70CA"/>
    <w:rsid w:val="001F7277"/>
    <w:rsid w:val="001F74C5"/>
    <w:rsid w:val="001F7510"/>
    <w:rsid w:val="001F76A8"/>
    <w:rsid w:val="001F7ECB"/>
    <w:rsid w:val="002006DF"/>
    <w:rsid w:val="00200D56"/>
    <w:rsid w:val="00202081"/>
    <w:rsid w:val="00203693"/>
    <w:rsid w:val="002038E4"/>
    <w:rsid w:val="00203E3C"/>
    <w:rsid w:val="00203F97"/>
    <w:rsid w:val="002048AE"/>
    <w:rsid w:val="00204A4A"/>
    <w:rsid w:val="00204EFD"/>
    <w:rsid w:val="0020592C"/>
    <w:rsid w:val="00205CB8"/>
    <w:rsid w:val="00206030"/>
    <w:rsid w:val="00207578"/>
    <w:rsid w:val="00207804"/>
    <w:rsid w:val="00207FB6"/>
    <w:rsid w:val="00210203"/>
    <w:rsid w:val="00210F23"/>
    <w:rsid w:val="002116AC"/>
    <w:rsid w:val="00211F9E"/>
    <w:rsid w:val="002120E8"/>
    <w:rsid w:val="00213658"/>
    <w:rsid w:val="00213EF4"/>
    <w:rsid w:val="00214945"/>
    <w:rsid w:val="00214D9F"/>
    <w:rsid w:val="00215111"/>
    <w:rsid w:val="0021628D"/>
    <w:rsid w:val="00217CB8"/>
    <w:rsid w:val="00220445"/>
    <w:rsid w:val="00220457"/>
    <w:rsid w:val="00220C84"/>
    <w:rsid w:val="00220DE9"/>
    <w:rsid w:val="00220F29"/>
    <w:rsid w:val="0022156D"/>
    <w:rsid w:val="00221C51"/>
    <w:rsid w:val="002222D4"/>
    <w:rsid w:val="002222FF"/>
    <w:rsid w:val="00222496"/>
    <w:rsid w:val="0022361B"/>
    <w:rsid w:val="00223B2C"/>
    <w:rsid w:val="00223C1A"/>
    <w:rsid w:val="00223C3D"/>
    <w:rsid w:val="0022482C"/>
    <w:rsid w:val="00224CFB"/>
    <w:rsid w:val="00224EF5"/>
    <w:rsid w:val="00225DDD"/>
    <w:rsid w:val="00225FF3"/>
    <w:rsid w:val="00226228"/>
    <w:rsid w:val="00226DC4"/>
    <w:rsid w:val="002272FE"/>
    <w:rsid w:val="00227BF2"/>
    <w:rsid w:val="00230044"/>
    <w:rsid w:val="002303B5"/>
    <w:rsid w:val="002303F8"/>
    <w:rsid w:val="00230769"/>
    <w:rsid w:val="00230C33"/>
    <w:rsid w:val="0023100E"/>
    <w:rsid w:val="002310C6"/>
    <w:rsid w:val="002318B6"/>
    <w:rsid w:val="00231BAA"/>
    <w:rsid w:val="0023279A"/>
    <w:rsid w:val="00232801"/>
    <w:rsid w:val="00232B30"/>
    <w:rsid w:val="00232F9D"/>
    <w:rsid w:val="00233187"/>
    <w:rsid w:val="002335E5"/>
    <w:rsid w:val="0023372A"/>
    <w:rsid w:val="002337E9"/>
    <w:rsid w:val="00233D02"/>
    <w:rsid w:val="00234C1F"/>
    <w:rsid w:val="00235091"/>
    <w:rsid w:val="00235B8C"/>
    <w:rsid w:val="0023600C"/>
    <w:rsid w:val="002365D8"/>
    <w:rsid w:val="00236723"/>
    <w:rsid w:val="00236865"/>
    <w:rsid w:val="00237067"/>
    <w:rsid w:val="0023714F"/>
    <w:rsid w:val="00237488"/>
    <w:rsid w:val="00240847"/>
    <w:rsid w:val="002408BA"/>
    <w:rsid w:val="00240A69"/>
    <w:rsid w:val="002411F4"/>
    <w:rsid w:val="00241739"/>
    <w:rsid w:val="0024209B"/>
    <w:rsid w:val="002429E0"/>
    <w:rsid w:val="00242E08"/>
    <w:rsid w:val="00243259"/>
    <w:rsid w:val="002432A1"/>
    <w:rsid w:val="002433FF"/>
    <w:rsid w:val="002446BC"/>
    <w:rsid w:val="00245CE6"/>
    <w:rsid w:val="00245F8F"/>
    <w:rsid w:val="00246812"/>
    <w:rsid w:val="00246C69"/>
    <w:rsid w:val="00246EF2"/>
    <w:rsid w:val="00246FDE"/>
    <w:rsid w:val="002477F0"/>
    <w:rsid w:val="0025084C"/>
    <w:rsid w:val="0025277D"/>
    <w:rsid w:val="00252A93"/>
    <w:rsid w:val="00253C6A"/>
    <w:rsid w:val="00253DC3"/>
    <w:rsid w:val="0025421E"/>
    <w:rsid w:val="00254343"/>
    <w:rsid w:val="00254BE9"/>
    <w:rsid w:val="002553BF"/>
    <w:rsid w:val="00255552"/>
    <w:rsid w:val="00255A04"/>
    <w:rsid w:val="00256388"/>
    <w:rsid w:val="002564E4"/>
    <w:rsid w:val="00256536"/>
    <w:rsid w:val="002566D7"/>
    <w:rsid w:val="00257324"/>
    <w:rsid w:val="00257E9F"/>
    <w:rsid w:val="00260138"/>
    <w:rsid w:val="00260342"/>
    <w:rsid w:val="002603C1"/>
    <w:rsid w:val="002607AC"/>
    <w:rsid w:val="00260E97"/>
    <w:rsid w:val="002615C0"/>
    <w:rsid w:val="00261703"/>
    <w:rsid w:val="002623F6"/>
    <w:rsid w:val="002626BA"/>
    <w:rsid w:val="00262AD7"/>
    <w:rsid w:val="00262D8D"/>
    <w:rsid w:val="00262DB0"/>
    <w:rsid w:val="00262E96"/>
    <w:rsid w:val="002635E8"/>
    <w:rsid w:val="002638EF"/>
    <w:rsid w:val="00263C2F"/>
    <w:rsid w:val="00263EF0"/>
    <w:rsid w:val="00264D3D"/>
    <w:rsid w:val="0026601C"/>
    <w:rsid w:val="002662C9"/>
    <w:rsid w:val="002670F6"/>
    <w:rsid w:val="00267CEF"/>
    <w:rsid w:val="002708A6"/>
    <w:rsid w:val="00271F6B"/>
    <w:rsid w:val="002737B0"/>
    <w:rsid w:val="00273B4A"/>
    <w:rsid w:val="00274940"/>
    <w:rsid w:val="00274C61"/>
    <w:rsid w:val="002752DF"/>
    <w:rsid w:val="00275B34"/>
    <w:rsid w:val="002762BE"/>
    <w:rsid w:val="0027646A"/>
    <w:rsid w:val="0027647E"/>
    <w:rsid w:val="0028025C"/>
    <w:rsid w:val="00280784"/>
    <w:rsid w:val="00280CF2"/>
    <w:rsid w:val="00281520"/>
    <w:rsid w:val="00282532"/>
    <w:rsid w:val="0028269D"/>
    <w:rsid w:val="00282C38"/>
    <w:rsid w:val="00283A3D"/>
    <w:rsid w:val="002843CA"/>
    <w:rsid w:val="00285670"/>
    <w:rsid w:val="00285692"/>
    <w:rsid w:val="00285DB5"/>
    <w:rsid w:val="00286BC5"/>
    <w:rsid w:val="00286F24"/>
    <w:rsid w:val="0028700D"/>
    <w:rsid w:val="00290844"/>
    <w:rsid w:val="00290EDD"/>
    <w:rsid w:val="002914F1"/>
    <w:rsid w:val="00291622"/>
    <w:rsid w:val="002923D1"/>
    <w:rsid w:val="00292D6D"/>
    <w:rsid w:val="00293243"/>
    <w:rsid w:val="00294152"/>
    <w:rsid w:val="00295287"/>
    <w:rsid w:val="00295650"/>
    <w:rsid w:val="0029573B"/>
    <w:rsid w:val="002960F6"/>
    <w:rsid w:val="002961D4"/>
    <w:rsid w:val="00296259"/>
    <w:rsid w:val="0029666A"/>
    <w:rsid w:val="0029677D"/>
    <w:rsid w:val="00296CB9"/>
    <w:rsid w:val="002972BE"/>
    <w:rsid w:val="002A0400"/>
    <w:rsid w:val="002A10CF"/>
    <w:rsid w:val="002A1372"/>
    <w:rsid w:val="002A23AC"/>
    <w:rsid w:val="002A2CC7"/>
    <w:rsid w:val="002A34A5"/>
    <w:rsid w:val="002A364C"/>
    <w:rsid w:val="002A3744"/>
    <w:rsid w:val="002A38D6"/>
    <w:rsid w:val="002A3C08"/>
    <w:rsid w:val="002A3E1A"/>
    <w:rsid w:val="002A49EC"/>
    <w:rsid w:val="002A4B69"/>
    <w:rsid w:val="002A4C8E"/>
    <w:rsid w:val="002A517A"/>
    <w:rsid w:val="002A51EF"/>
    <w:rsid w:val="002A7B76"/>
    <w:rsid w:val="002B00C4"/>
    <w:rsid w:val="002B0905"/>
    <w:rsid w:val="002B0C25"/>
    <w:rsid w:val="002B0E4D"/>
    <w:rsid w:val="002B15A6"/>
    <w:rsid w:val="002B1B35"/>
    <w:rsid w:val="002B1B97"/>
    <w:rsid w:val="002B2327"/>
    <w:rsid w:val="002B2776"/>
    <w:rsid w:val="002B3152"/>
    <w:rsid w:val="002B3246"/>
    <w:rsid w:val="002B37D5"/>
    <w:rsid w:val="002B3A7A"/>
    <w:rsid w:val="002B408B"/>
    <w:rsid w:val="002B46BC"/>
    <w:rsid w:val="002B4C7D"/>
    <w:rsid w:val="002B4F7F"/>
    <w:rsid w:val="002B55A1"/>
    <w:rsid w:val="002B6316"/>
    <w:rsid w:val="002B63CC"/>
    <w:rsid w:val="002B6C53"/>
    <w:rsid w:val="002B7431"/>
    <w:rsid w:val="002B790B"/>
    <w:rsid w:val="002C06E1"/>
    <w:rsid w:val="002C13C3"/>
    <w:rsid w:val="002C1942"/>
    <w:rsid w:val="002C1DE0"/>
    <w:rsid w:val="002C2618"/>
    <w:rsid w:val="002C28A8"/>
    <w:rsid w:val="002C3324"/>
    <w:rsid w:val="002C3446"/>
    <w:rsid w:val="002C36A0"/>
    <w:rsid w:val="002C3B08"/>
    <w:rsid w:val="002C4312"/>
    <w:rsid w:val="002C497F"/>
    <w:rsid w:val="002C61DA"/>
    <w:rsid w:val="002C6611"/>
    <w:rsid w:val="002C6D19"/>
    <w:rsid w:val="002C7027"/>
    <w:rsid w:val="002C7082"/>
    <w:rsid w:val="002C72A6"/>
    <w:rsid w:val="002C7E19"/>
    <w:rsid w:val="002D037F"/>
    <w:rsid w:val="002D07DF"/>
    <w:rsid w:val="002D0E38"/>
    <w:rsid w:val="002D1348"/>
    <w:rsid w:val="002D1CCC"/>
    <w:rsid w:val="002D20EB"/>
    <w:rsid w:val="002D2D64"/>
    <w:rsid w:val="002D332F"/>
    <w:rsid w:val="002D3A8B"/>
    <w:rsid w:val="002D4092"/>
    <w:rsid w:val="002D4404"/>
    <w:rsid w:val="002D4654"/>
    <w:rsid w:val="002D4B69"/>
    <w:rsid w:val="002D4F8F"/>
    <w:rsid w:val="002D59B5"/>
    <w:rsid w:val="002D6C4E"/>
    <w:rsid w:val="002D7077"/>
    <w:rsid w:val="002E105C"/>
    <w:rsid w:val="002E1654"/>
    <w:rsid w:val="002E190B"/>
    <w:rsid w:val="002E2909"/>
    <w:rsid w:val="002E4146"/>
    <w:rsid w:val="002E433F"/>
    <w:rsid w:val="002E4CEA"/>
    <w:rsid w:val="002E4F43"/>
    <w:rsid w:val="002E5659"/>
    <w:rsid w:val="002E5EB2"/>
    <w:rsid w:val="002E6901"/>
    <w:rsid w:val="002E6B19"/>
    <w:rsid w:val="002E70F5"/>
    <w:rsid w:val="002E7755"/>
    <w:rsid w:val="002E7E32"/>
    <w:rsid w:val="002E7EA0"/>
    <w:rsid w:val="002F037C"/>
    <w:rsid w:val="002F0F61"/>
    <w:rsid w:val="002F1591"/>
    <w:rsid w:val="002F162A"/>
    <w:rsid w:val="002F2F86"/>
    <w:rsid w:val="002F31E4"/>
    <w:rsid w:val="002F3255"/>
    <w:rsid w:val="002F378A"/>
    <w:rsid w:val="002F4178"/>
    <w:rsid w:val="002F44A5"/>
    <w:rsid w:val="002F46E8"/>
    <w:rsid w:val="002F59F2"/>
    <w:rsid w:val="002F61C9"/>
    <w:rsid w:val="002F7562"/>
    <w:rsid w:val="002F78C0"/>
    <w:rsid w:val="0030084D"/>
    <w:rsid w:val="00302A16"/>
    <w:rsid w:val="00302E59"/>
    <w:rsid w:val="003031DB"/>
    <w:rsid w:val="003032F6"/>
    <w:rsid w:val="00303D83"/>
    <w:rsid w:val="00304216"/>
    <w:rsid w:val="00304E51"/>
    <w:rsid w:val="00305E18"/>
    <w:rsid w:val="00305FB7"/>
    <w:rsid w:val="00306615"/>
    <w:rsid w:val="00306B87"/>
    <w:rsid w:val="00306CDB"/>
    <w:rsid w:val="00306D62"/>
    <w:rsid w:val="00307901"/>
    <w:rsid w:val="00313639"/>
    <w:rsid w:val="003137B9"/>
    <w:rsid w:val="00315499"/>
    <w:rsid w:val="0031579D"/>
    <w:rsid w:val="00315D4F"/>
    <w:rsid w:val="00316272"/>
    <w:rsid w:val="003172C8"/>
    <w:rsid w:val="00320420"/>
    <w:rsid w:val="003209E3"/>
    <w:rsid w:val="00321D1E"/>
    <w:rsid w:val="0032434B"/>
    <w:rsid w:val="0032442D"/>
    <w:rsid w:val="00324A15"/>
    <w:rsid w:val="0032551C"/>
    <w:rsid w:val="00325868"/>
    <w:rsid w:val="00325F84"/>
    <w:rsid w:val="00326122"/>
    <w:rsid w:val="00326833"/>
    <w:rsid w:val="00326B13"/>
    <w:rsid w:val="00326E60"/>
    <w:rsid w:val="00327128"/>
    <w:rsid w:val="00327239"/>
    <w:rsid w:val="003273A1"/>
    <w:rsid w:val="0033077E"/>
    <w:rsid w:val="003313EF"/>
    <w:rsid w:val="00331784"/>
    <w:rsid w:val="00331884"/>
    <w:rsid w:val="00332963"/>
    <w:rsid w:val="00332D40"/>
    <w:rsid w:val="00333176"/>
    <w:rsid w:val="003347E5"/>
    <w:rsid w:val="00335469"/>
    <w:rsid w:val="00335D2C"/>
    <w:rsid w:val="00335D73"/>
    <w:rsid w:val="003366D7"/>
    <w:rsid w:val="00336EFF"/>
    <w:rsid w:val="00337475"/>
    <w:rsid w:val="00337719"/>
    <w:rsid w:val="00337E8B"/>
    <w:rsid w:val="00340C96"/>
    <w:rsid w:val="00341798"/>
    <w:rsid w:val="003421E8"/>
    <w:rsid w:val="00342BCF"/>
    <w:rsid w:val="00344AE7"/>
    <w:rsid w:val="00345368"/>
    <w:rsid w:val="00346251"/>
    <w:rsid w:val="003464BA"/>
    <w:rsid w:val="003468D6"/>
    <w:rsid w:val="003473F6"/>
    <w:rsid w:val="00347A94"/>
    <w:rsid w:val="00350547"/>
    <w:rsid w:val="0035065C"/>
    <w:rsid w:val="003507C0"/>
    <w:rsid w:val="003510BC"/>
    <w:rsid w:val="003515B7"/>
    <w:rsid w:val="003523D2"/>
    <w:rsid w:val="00353FB1"/>
    <w:rsid w:val="003544B0"/>
    <w:rsid w:val="0035489A"/>
    <w:rsid w:val="00354A63"/>
    <w:rsid w:val="003550B4"/>
    <w:rsid w:val="00356411"/>
    <w:rsid w:val="00356941"/>
    <w:rsid w:val="00356C30"/>
    <w:rsid w:val="00356C33"/>
    <w:rsid w:val="00356CB1"/>
    <w:rsid w:val="0035788C"/>
    <w:rsid w:val="00357956"/>
    <w:rsid w:val="00357DC9"/>
    <w:rsid w:val="00360A8A"/>
    <w:rsid w:val="003611E1"/>
    <w:rsid w:val="003614DE"/>
    <w:rsid w:val="003620B0"/>
    <w:rsid w:val="00362123"/>
    <w:rsid w:val="0036228C"/>
    <w:rsid w:val="003623D6"/>
    <w:rsid w:val="00362C03"/>
    <w:rsid w:val="00362EBC"/>
    <w:rsid w:val="00363D8D"/>
    <w:rsid w:val="00364111"/>
    <w:rsid w:val="0036423D"/>
    <w:rsid w:val="00367169"/>
    <w:rsid w:val="003702FD"/>
    <w:rsid w:val="00371004"/>
    <w:rsid w:val="00371495"/>
    <w:rsid w:val="00371868"/>
    <w:rsid w:val="00371884"/>
    <w:rsid w:val="00371BFB"/>
    <w:rsid w:val="0037261A"/>
    <w:rsid w:val="0037268E"/>
    <w:rsid w:val="003727B0"/>
    <w:rsid w:val="003727FC"/>
    <w:rsid w:val="003731F1"/>
    <w:rsid w:val="003744DD"/>
    <w:rsid w:val="003748FA"/>
    <w:rsid w:val="00375B3E"/>
    <w:rsid w:val="00375CB6"/>
    <w:rsid w:val="003766A1"/>
    <w:rsid w:val="0037687F"/>
    <w:rsid w:val="00376A2E"/>
    <w:rsid w:val="00376B27"/>
    <w:rsid w:val="00377A4C"/>
    <w:rsid w:val="00380DAF"/>
    <w:rsid w:val="00380FC1"/>
    <w:rsid w:val="00381B46"/>
    <w:rsid w:val="003820CB"/>
    <w:rsid w:val="00382FB5"/>
    <w:rsid w:val="00383059"/>
    <w:rsid w:val="00384D7F"/>
    <w:rsid w:val="003850E5"/>
    <w:rsid w:val="00385D2F"/>
    <w:rsid w:val="0038670D"/>
    <w:rsid w:val="00386EA8"/>
    <w:rsid w:val="0038739C"/>
    <w:rsid w:val="00387A98"/>
    <w:rsid w:val="00387F3B"/>
    <w:rsid w:val="003903EC"/>
    <w:rsid w:val="003907AD"/>
    <w:rsid w:val="003911DE"/>
    <w:rsid w:val="003918A1"/>
    <w:rsid w:val="003932B8"/>
    <w:rsid w:val="003937F8"/>
    <w:rsid w:val="00393C52"/>
    <w:rsid w:val="00394370"/>
    <w:rsid w:val="00395866"/>
    <w:rsid w:val="00395882"/>
    <w:rsid w:val="00395F7F"/>
    <w:rsid w:val="00396120"/>
    <w:rsid w:val="00396688"/>
    <w:rsid w:val="00396F87"/>
    <w:rsid w:val="00397A06"/>
    <w:rsid w:val="003A0367"/>
    <w:rsid w:val="003A05CF"/>
    <w:rsid w:val="003A0B3F"/>
    <w:rsid w:val="003A0D82"/>
    <w:rsid w:val="003A0DBB"/>
    <w:rsid w:val="003A12F2"/>
    <w:rsid w:val="003A1DDD"/>
    <w:rsid w:val="003A33F7"/>
    <w:rsid w:val="003A43B2"/>
    <w:rsid w:val="003A46D9"/>
    <w:rsid w:val="003A4AD7"/>
    <w:rsid w:val="003A4D8B"/>
    <w:rsid w:val="003A4DFD"/>
    <w:rsid w:val="003A5054"/>
    <w:rsid w:val="003A5A96"/>
    <w:rsid w:val="003A5C4A"/>
    <w:rsid w:val="003A5F53"/>
    <w:rsid w:val="003A6F4A"/>
    <w:rsid w:val="003A7454"/>
    <w:rsid w:val="003A7D47"/>
    <w:rsid w:val="003B0D87"/>
    <w:rsid w:val="003B1B1A"/>
    <w:rsid w:val="003B1EC9"/>
    <w:rsid w:val="003B2343"/>
    <w:rsid w:val="003B263A"/>
    <w:rsid w:val="003B2FBF"/>
    <w:rsid w:val="003B3690"/>
    <w:rsid w:val="003B36A9"/>
    <w:rsid w:val="003B3DCF"/>
    <w:rsid w:val="003B4D77"/>
    <w:rsid w:val="003B56EF"/>
    <w:rsid w:val="003B5883"/>
    <w:rsid w:val="003B5987"/>
    <w:rsid w:val="003B5E52"/>
    <w:rsid w:val="003B5FDB"/>
    <w:rsid w:val="003B6A1F"/>
    <w:rsid w:val="003B722F"/>
    <w:rsid w:val="003B7ED4"/>
    <w:rsid w:val="003C0BD4"/>
    <w:rsid w:val="003C0CF6"/>
    <w:rsid w:val="003C1294"/>
    <w:rsid w:val="003C1559"/>
    <w:rsid w:val="003C1B01"/>
    <w:rsid w:val="003C29DF"/>
    <w:rsid w:val="003C2C0F"/>
    <w:rsid w:val="003C2CF0"/>
    <w:rsid w:val="003C3671"/>
    <w:rsid w:val="003C4636"/>
    <w:rsid w:val="003C4AC3"/>
    <w:rsid w:val="003C4CFC"/>
    <w:rsid w:val="003C4E31"/>
    <w:rsid w:val="003C53BA"/>
    <w:rsid w:val="003C5FE0"/>
    <w:rsid w:val="003C67F9"/>
    <w:rsid w:val="003C6998"/>
    <w:rsid w:val="003C6F5A"/>
    <w:rsid w:val="003C70D8"/>
    <w:rsid w:val="003C71C4"/>
    <w:rsid w:val="003C72FC"/>
    <w:rsid w:val="003C7375"/>
    <w:rsid w:val="003C7396"/>
    <w:rsid w:val="003C782D"/>
    <w:rsid w:val="003D0F96"/>
    <w:rsid w:val="003D1102"/>
    <w:rsid w:val="003D1152"/>
    <w:rsid w:val="003D1843"/>
    <w:rsid w:val="003D1B10"/>
    <w:rsid w:val="003D1CCB"/>
    <w:rsid w:val="003D1F9D"/>
    <w:rsid w:val="003D39B8"/>
    <w:rsid w:val="003D4C98"/>
    <w:rsid w:val="003D4D51"/>
    <w:rsid w:val="003D54A3"/>
    <w:rsid w:val="003D5A56"/>
    <w:rsid w:val="003D5D42"/>
    <w:rsid w:val="003D73ED"/>
    <w:rsid w:val="003D7B43"/>
    <w:rsid w:val="003E0BAF"/>
    <w:rsid w:val="003E0EC3"/>
    <w:rsid w:val="003E1E15"/>
    <w:rsid w:val="003E2103"/>
    <w:rsid w:val="003E2266"/>
    <w:rsid w:val="003E24D0"/>
    <w:rsid w:val="003E2870"/>
    <w:rsid w:val="003E2C31"/>
    <w:rsid w:val="003E3A40"/>
    <w:rsid w:val="003E3CF7"/>
    <w:rsid w:val="003E3FDC"/>
    <w:rsid w:val="003E467B"/>
    <w:rsid w:val="003E46EF"/>
    <w:rsid w:val="003E4BBB"/>
    <w:rsid w:val="003E4D91"/>
    <w:rsid w:val="003E4F82"/>
    <w:rsid w:val="003E522C"/>
    <w:rsid w:val="003E5E27"/>
    <w:rsid w:val="003E6C50"/>
    <w:rsid w:val="003E6FC1"/>
    <w:rsid w:val="003E7A3F"/>
    <w:rsid w:val="003F0368"/>
    <w:rsid w:val="003F0D83"/>
    <w:rsid w:val="003F1CB7"/>
    <w:rsid w:val="003F2A6D"/>
    <w:rsid w:val="003F2DE1"/>
    <w:rsid w:val="003F3DD3"/>
    <w:rsid w:val="003F4236"/>
    <w:rsid w:val="003F4339"/>
    <w:rsid w:val="003F440B"/>
    <w:rsid w:val="003F5673"/>
    <w:rsid w:val="003F5AC7"/>
    <w:rsid w:val="003F5C72"/>
    <w:rsid w:val="003F60D2"/>
    <w:rsid w:val="003F660D"/>
    <w:rsid w:val="003F7E2C"/>
    <w:rsid w:val="00400643"/>
    <w:rsid w:val="00400DA3"/>
    <w:rsid w:val="00401795"/>
    <w:rsid w:val="00401B7E"/>
    <w:rsid w:val="00403605"/>
    <w:rsid w:val="004047DF"/>
    <w:rsid w:val="00404A57"/>
    <w:rsid w:val="00404B9D"/>
    <w:rsid w:val="004060C7"/>
    <w:rsid w:val="0040642E"/>
    <w:rsid w:val="00406CFD"/>
    <w:rsid w:val="00407192"/>
    <w:rsid w:val="00407949"/>
    <w:rsid w:val="00407955"/>
    <w:rsid w:val="00410078"/>
    <w:rsid w:val="00410384"/>
    <w:rsid w:val="0041224C"/>
    <w:rsid w:val="0041242B"/>
    <w:rsid w:val="00412D78"/>
    <w:rsid w:val="00412D9E"/>
    <w:rsid w:val="0041392F"/>
    <w:rsid w:val="00413E6C"/>
    <w:rsid w:val="0041461B"/>
    <w:rsid w:val="00414839"/>
    <w:rsid w:val="004149BA"/>
    <w:rsid w:val="00414C7D"/>
    <w:rsid w:val="00414D61"/>
    <w:rsid w:val="0041533F"/>
    <w:rsid w:val="004157A3"/>
    <w:rsid w:val="004164DD"/>
    <w:rsid w:val="00416D2A"/>
    <w:rsid w:val="004175C0"/>
    <w:rsid w:val="004178BC"/>
    <w:rsid w:val="00417ABC"/>
    <w:rsid w:val="00417AEC"/>
    <w:rsid w:val="00417C92"/>
    <w:rsid w:val="0042067B"/>
    <w:rsid w:val="00420D61"/>
    <w:rsid w:val="0042149E"/>
    <w:rsid w:val="0042189A"/>
    <w:rsid w:val="004221D2"/>
    <w:rsid w:val="0042239A"/>
    <w:rsid w:val="00422E25"/>
    <w:rsid w:val="004235BA"/>
    <w:rsid w:val="00423743"/>
    <w:rsid w:val="00423C26"/>
    <w:rsid w:val="00424C39"/>
    <w:rsid w:val="00425AF8"/>
    <w:rsid w:val="00425C33"/>
    <w:rsid w:val="00430590"/>
    <w:rsid w:val="004307BA"/>
    <w:rsid w:val="00430E46"/>
    <w:rsid w:val="004313EF"/>
    <w:rsid w:val="0043158F"/>
    <w:rsid w:val="004316AB"/>
    <w:rsid w:val="00431EA8"/>
    <w:rsid w:val="0043232F"/>
    <w:rsid w:val="00434025"/>
    <w:rsid w:val="00434455"/>
    <w:rsid w:val="0043468D"/>
    <w:rsid w:val="00434F6E"/>
    <w:rsid w:val="004350EC"/>
    <w:rsid w:val="00435BEC"/>
    <w:rsid w:val="00435BF4"/>
    <w:rsid w:val="00436157"/>
    <w:rsid w:val="00436E3D"/>
    <w:rsid w:val="004378AF"/>
    <w:rsid w:val="00437EB0"/>
    <w:rsid w:val="004405C9"/>
    <w:rsid w:val="00440CBC"/>
    <w:rsid w:val="00441293"/>
    <w:rsid w:val="00442031"/>
    <w:rsid w:val="00442211"/>
    <w:rsid w:val="00442EB4"/>
    <w:rsid w:val="0044301D"/>
    <w:rsid w:val="0044413D"/>
    <w:rsid w:val="0044465E"/>
    <w:rsid w:val="004453EC"/>
    <w:rsid w:val="00445C45"/>
    <w:rsid w:val="00446015"/>
    <w:rsid w:val="004470E4"/>
    <w:rsid w:val="004473E6"/>
    <w:rsid w:val="00450777"/>
    <w:rsid w:val="00450B1A"/>
    <w:rsid w:val="00451E5B"/>
    <w:rsid w:val="004521E8"/>
    <w:rsid w:val="0045283F"/>
    <w:rsid w:val="00452852"/>
    <w:rsid w:val="004528DF"/>
    <w:rsid w:val="00452F40"/>
    <w:rsid w:val="00453979"/>
    <w:rsid w:val="00453FCE"/>
    <w:rsid w:val="00454151"/>
    <w:rsid w:val="0045419D"/>
    <w:rsid w:val="004578F4"/>
    <w:rsid w:val="0046009B"/>
    <w:rsid w:val="00460981"/>
    <w:rsid w:val="0046200F"/>
    <w:rsid w:val="004623BB"/>
    <w:rsid w:val="00462DCC"/>
    <w:rsid w:val="00462EBA"/>
    <w:rsid w:val="00463143"/>
    <w:rsid w:val="00463ACA"/>
    <w:rsid w:val="00463F8C"/>
    <w:rsid w:val="00464027"/>
    <w:rsid w:val="00464F04"/>
    <w:rsid w:val="00465511"/>
    <w:rsid w:val="0046572B"/>
    <w:rsid w:val="00465BEE"/>
    <w:rsid w:val="00466B6E"/>
    <w:rsid w:val="00466D6B"/>
    <w:rsid w:val="00470501"/>
    <w:rsid w:val="0047153A"/>
    <w:rsid w:val="00471794"/>
    <w:rsid w:val="0047192A"/>
    <w:rsid w:val="004728A0"/>
    <w:rsid w:val="00472E43"/>
    <w:rsid w:val="0047317E"/>
    <w:rsid w:val="00473DB7"/>
    <w:rsid w:val="00473E33"/>
    <w:rsid w:val="00474F01"/>
    <w:rsid w:val="004755CA"/>
    <w:rsid w:val="00475C37"/>
    <w:rsid w:val="00476247"/>
    <w:rsid w:val="00476327"/>
    <w:rsid w:val="00476447"/>
    <w:rsid w:val="00476D5D"/>
    <w:rsid w:val="00477C06"/>
    <w:rsid w:val="00480AE9"/>
    <w:rsid w:val="00480C19"/>
    <w:rsid w:val="00482148"/>
    <w:rsid w:val="00483571"/>
    <w:rsid w:val="004839B3"/>
    <w:rsid w:val="00483D0B"/>
    <w:rsid w:val="004847B0"/>
    <w:rsid w:val="0048569D"/>
    <w:rsid w:val="004857FA"/>
    <w:rsid w:val="004859F2"/>
    <w:rsid w:val="00486968"/>
    <w:rsid w:val="00487237"/>
    <w:rsid w:val="0048750F"/>
    <w:rsid w:val="00490164"/>
    <w:rsid w:val="00490B5A"/>
    <w:rsid w:val="00490B79"/>
    <w:rsid w:val="00491788"/>
    <w:rsid w:val="004932D6"/>
    <w:rsid w:val="004939B8"/>
    <w:rsid w:val="0049497E"/>
    <w:rsid w:val="00494EFE"/>
    <w:rsid w:val="0049511A"/>
    <w:rsid w:val="00496BCC"/>
    <w:rsid w:val="00496CFE"/>
    <w:rsid w:val="00496ED5"/>
    <w:rsid w:val="004975F9"/>
    <w:rsid w:val="004976AA"/>
    <w:rsid w:val="00497E76"/>
    <w:rsid w:val="004A073E"/>
    <w:rsid w:val="004A0FA0"/>
    <w:rsid w:val="004A13B4"/>
    <w:rsid w:val="004A1403"/>
    <w:rsid w:val="004A25CA"/>
    <w:rsid w:val="004A32F2"/>
    <w:rsid w:val="004A36E3"/>
    <w:rsid w:val="004A375D"/>
    <w:rsid w:val="004A394C"/>
    <w:rsid w:val="004A44F3"/>
    <w:rsid w:val="004A4953"/>
    <w:rsid w:val="004A59EB"/>
    <w:rsid w:val="004A5DE0"/>
    <w:rsid w:val="004A72F0"/>
    <w:rsid w:val="004A7C3E"/>
    <w:rsid w:val="004B0342"/>
    <w:rsid w:val="004B04A7"/>
    <w:rsid w:val="004B09AC"/>
    <w:rsid w:val="004B0CC2"/>
    <w:rsid w:val="004B121D"/>
    <w:rsid w:val="004B1260"/>
    <w:rsid w:val="004B187A"/>
    <w:rsid w:val="004B1A39"/>
    <w:rsid w:val="004B1ACC"/>
    <w:rsid w:val="004B1F6B"/>
    <w:rsid w:val="004B224B"/>
    <w:rsid w:val="004B239B"/>
    <w:rsid w:val="004B2724"/>
    <w:rsid w:val="004B2C8F"/>
    <w:rsid w:val="004B36B3"/>
    <w:rsid w:val="004B39AF"/>
    <w:rsid w:val="004B3B02"/>
    <w:rsid w:val="004B4203"/>
    <w:rsid w:val="004B46BE"/>
    <w:rsid w:val="004B4B3E"/>
    <w:rsid w:val="004B5436"/>
    <w:rsid w:val="004B5D2C"/>
    <w:rsid w:val="004B7742"/>
    <w:rsid w:val="004C0C94"/>
    <w:rsid w:val="004C1787"/>
    <w:rsid w:val="004C21B7"/>
    <w:rsid w:val="004C352C"/>
    <w:rsid w:val="004C4153"/>
    <w:rsid w:val="004C41B4"/>
    <w:rsid w:val="004C4C71"/>
    <w:rsid w:val="004C5B99"/>
    <w:rsid w:val="004C7568"/>
    <w:rsid w:val="004C7605"/>
    <w:rsid w:val="004C7669"/>
    <w:rsid w:val="004C7823"/>
    <w:rsid w:val="004C7E9F"/>
    <w:rsid w:val="004D0559"/>
    <w:rsid w:val="004D11C2"/>
    <w:rsid w:val="004D2693"/>
    <w:rsid w:val="004D2F59"/>
    <w:rsid w:val="004D2FF8"/>
    <w:rsid w:val="004D3393"/>
    <w:rsid w:val="004D3E60"/>
    <w:rsid w:val="004D41C2"/>
    <w:rsid w:val="004D477A"/>
    <w:rsid w:val="004D4968"/>
    <w:rsid w:val="004D59E4"/>
    <w:rsid w:val="004D5B94"/>
    <w:rsid w:val="004D5DE2"/>
    <w:rsid w:val="004D6400"/>
    <w:rsid w:val="004D659B"/>
    <w:rsid w:val="004D68DC"/>
    <w:rsid w:val="004D76B7"/>
    <w:rsid w:val="004E0341"/>
    <w:rsid w:val="004E0854"/>
    <w:rsid w:val="004E10A9"/>
    <w:rsid w:val="004E12B5"/>
    <w:rsid w:val="004E154C"/>
    <w:rsid w:val="004E2A82"/>
    <w:rsid w:val="004E4EE2"/>
    <w:rsid w:val="004E5468"/>
    <w:rsid w:val="004E565B"/>
    <w:rsid w:val="004E701B"/>
    <w:rsid w:val="004E7936"/>
    <w:rsid w:val="004F175E"/>
    <w:rsid w:val="004F249E"/>
    <w:rsid w:val="004F2715"/>
    <w:rsid w:val="004F276B"/>
    <w:rsid w:val="004F29E3"/>
    <w:rsid w:val="004F2E6E"/>
    <w:rsid w:val="004F32D7"/>
    <w:rsid w:val="004F4112"/>
    <w:rsid w:val="004F44B5"/>
    <w:rsid w:val="004F4D73"/>
    <w:rsid w:val="004F5B41"/>
    <w:rsid w:val="004F5DA0"/>
    <w:rsid w:val="004F6155"/>
    <w:rsid w:val="004F6400"/>
    <w:rsid w:val="004F694D"/>
    <w:rsid w:val="004F6B33"/>
    <w:rsid w:val="004F6EEE"/>
    <w:rsid w:val="004F70B8"/>
    <w:rsid w:val="004F7B6B"/>
    <w:rsid w:val="0050127A"/>
    <w:rsid w:val="00501665"/>
    <w:rsid w:val="00501A52"/>
    <w:rsid w:val="0050230A"/>
    <w:rsid w:val="005023B8"/>
    <w:rsid w:val="0050298C"/>
    <w:rsid w:val="00503409"/>
    <w:rsid w:val="005037A3"/>
    <w:rsid w:val="00503A89"/>
    <w:rsid w:val="00503B50"/>
    <w:rsid w:val="00503EF4"/>
    <w:rsid w:val="00503FC6"/>
    <w:rsid w:val="005049EF"/>
    <w:rsid w:val="005051B1"/>
    <w:rsid w:val="0050575F"/>
    <w:rsid w:val="00506EBE"/>
    <w:rsid w:val="00511201"/>
    <w:rsid w:val="005125D0"/>
    <w:rsid w:val="005125F9"/>
    <w:rsid w:val="0051274A"/>
    <w:rsid w:val="00512A5D"/>
    <w:rsid w:val="00513EA6"/>
    <w:rsid w:val="00513EAA"/>
    <w:rsid w:val="005145DF"/>
    <w:rsid w:val="0051474B"/>
    <w:rsid w:val="0051478D"/>
    <w:rsid w:val="00515B33"/>
    <w:rsid w:val="00515FC0"/>
    <w:rsid w:val="0051629D"/>
    <w:rsid w:val="005172D6"/>
    <w:rsid w:val="00517617"/>
    <w:rsid w:val="005202E8"/>
    <w:rsid w:val="0052047D"/>
    <w:rsid w:val="0052053F"/>
    <w:rsid w:val="0052085D"/>
    <w:rsid w:val="0052086D"/>
    <w:rsid w:val="005215EB"/>
    <w:rsid w:val="00521CE5"/>
    <w:rsid w:val="00522849"/>
    <w:rsid w:val="00522C22"/>
    <w:rsid w:val="0052357C"/>
    <w:rsid w:val="00524E82"/>
    <w:rsid w:val="00526B96"/>
    <w:rsid w:val="005279F6"/>
    <w:rsid w:val="00527D51"/>
    <w:rsid w:val="00530582"/>
    <w:rsid w:val="005316B5"/>
    <w:rsid w:val="00531CBA"/>
    <w:rsid w:val="00531DD5"/>
    <w:rsid w:val="00531DD9"/>
    <w:rsid w:val="005322F7"/>
    <w:rsid w:val="00532663"/>
    <w:rsid w:val="005340F5"/>
    <w:rsid w:val="00534E0F"/>
    <w:rsid w:val="0053560C"/>
    <w:rsid w:val="00535716"/>
    <w:rsid w:val="00535846"/>
    <w:rsid w:val="005367C8"/>
    <w:rsid w:val="005368DE"/>
    <w:rsid w:val="00537060"/>
    <w:rsid w:val="00541312"/>
    <w:rsid w:val="00541F75"/>
    <w:rsid w:val="005430B4"/>
    <w:rsid w:val="00543A22"/>
    <w:rsid w:val="00543F78"/>
    <w:rsid w:val="005468F6"/>
    <w:rsid w:val="00546951"/>
    <w:rsid w:val="00547E57"/>
    <w:rsid w:val="0055067D"/>
    <w:rsid w:val="00552B21"/>
    <w:rsid w:val="00552ED2"/>
    <w:rsid w:val="00553C75"/>
    <w:rsid w:val="00553CD1"/>
    <w:rsid w:val="0055415B"/>
    <w:rsid w:val="00554916"/>
    <w:rsid w:val="00554C32"/>
    <w:rsid w:val="00554D09"/>
    <w:rsid w:val="005556FB"/>
    <w:rsid w:val="00556075"/>
    <w:rsid w:val="0055625D"/>
    <w:rsid w:val="00556A22"/>
    <w:rsid w:val="00556FA0"/>
    <w:rsid w:val="00557121"/>
    <w:rsid w:val="00560503"/>
    <w:rsid w:val="0056062D"/>
    <w:rsid w:val="0056078D"/>
    <w:rsid w:val="00561511"/>
    <w:rsid w:val="0056190E"/>
    <w:rsid w:val="0056240D"/>
    <w:rsid w:val="00562929"/>
    <w:rsid w:val="00563110"/>
    <w:rsid w:val="00564DAA"/>
    <w:rsid w:val="00564F46"/>
    <w:rsid w:val="00564FE9"/>
    <w:rsid w:val="00565759"/>
    <w:rsid w:val="00566425"/>
    <w:rsid w:val="00567468"/>
    <w:rsid w:val="00567732"/>
    <w:rsid w:val="005677EC"/>
    <w:rsid w:val="00567BA2"/>
    <w:rsid w:val="0057055D"/>
    <w:rsid w:val="00571307"/>
    <w:rsid w:val="0057214E"/>
    <w:rsid w:val="00572273"/>
    <w:rsid w:val="0057295C"/>
    <w:rsid w:val="00573163"/>
    <w:rsid w:val="00573593"/>
    <w:rsid w:val="005742F1"/>
    <w:rsid w:val="00576704"/>
    <w:rsid w:val="00577311"/>
    <w:rsid w:val="00577A65"/>
    <w:rsid w:val="00580259"/>
    <w:rsid w:val="00580DF8"/>
    <w:rsid w:val="00581238"/>
    <w:rsid w:val="0058156C"/>
    <w:rsid w:val="00581653"/>
    <w:rsid w:val="00581A9F"/>
    <w:rsid w:val="00583850"/>
    <w:rsid w:val="00584ECF"/>
    <w:rsid w:val="005853F6"/>
    <w:rsid w:val="005856A9"/>
    <w:rsid w:val="0058623B"/>
    <w:rsid w:val="00586633"/>
    <w:rsid w:val="005871AE"/>
    <w:rsid w:val="0058746D"/>
    <w:rsid w:val="00587610"/>
    <w:rsid w:val="00587745"/>
    <w:rsid w:val="00590643"/>
    <w:rsid w:val="00590820"/>
    <w:rsid w:val="00590B9B"/>
    <w:rsid w:val="00590C02"/>
    <w:rsid w:val="00590F40"/>
    <w:rsid w:val="00591FDB"/>
    <w:rsid w:val="0059259D"/>
    <w:rsid w:val="00592839"/>
    <w:rsid w:val="00592CE0"/>
    <w:rsid w:val="0059301D"/>
    <w:rsid w:val="0059337D"/>
    <w:rsid w:val="00593586"/>
    <w:rsid w:val="00593E1C"/>
    <w:rsid w:val="005942EA"/>
    <w:rsid w:val="00594973"/>
    <w:rsid w:val="00595860"/>
    <w:rsid w:val="00595963"/>
    <w:rsid w:val="00595D20"/>
    <w:rsid w:val="005962A1"/>
    <w:rsid w:val="00596585"/>
    <w:rsid w:val="005965D7"/>
    <w:rsid w:val="005966C5"/>
    <w:rsid w:val="00597537"/>
    <w:rsid w:val="00597ABA"/>
    <w:rsid w:val="005A049F"/>
    <w:rsid w:val="005A0D92"/>
    <w:rsid w:val="005A0E13"/>
    <w:rsid w:val="005A1173"/>
    <w:rsid w:val="005A119B"/>
    <w:rsid w:val="005A23D5"/>
    <w:rsid w:val="005A2887"/>
    <w:rsid w:val="005A2C2E"/>
    <w:rsid w:val="005A32AE"/>
    <w:rsid w:val="005A3C97"/>
    <w:rsid w:val="005A402A"/>
    <w:rsid w:val="005A4886"/>
    <w:rsid w:val="005A4C7E"/>
    <w:rsid w:val="005A5101"/>
    <w:rsid w:val="005A5FD8"/>
    <w:rsid w:val="005A7260"/>
    <w:rsid w:val="005A75D5"/>
    <w:rsid w:val="005A7BB8"/>
    <w:rsid w:val="005B00BE"/>
    <w:rsid w:val="005B041A"/>
    <w:rsid w:val="005B072A"/>
    <w:rsid w:val="005B264E"/>
    <w:rsid w:val="005B2884"/>
    <w:rsid w:val="005B2E47"/>
    <w:rsid w:val="005B3030"/>
    <w:rsid w:val="005B30F5"/>
    <w:rsid w:val="005B4C98"/>
    <w:rsid w:val="005B73D7"/>
    <w:rsid w:val="005B7595"/>
    <w:rsid w:val="005B7B9D"/>
    <w:rsid w:val="005B7EEC"/>
    <w:rsid w:val="005C0025"/>
    <w:rsid w:val="005C00E2"/>
    <w:rsid w:val="005C1842"/>
    <w:rsid w:val="005C1DD0"/>
    <w:rsid w:val="005C28A0"/>
    <w:rsid w:val="005C3CC6"/>
    <w:rsid w:val="005C4B38"/>
    <w:rsid w:val="005C58D7"/>
    <w:rsid w:val="005C5AB1"/>
    <w:rsid w:val="005C6725"/>
    <w:rsid w:val="005C6BE1"/>
    <w:rsid w:val="005C7D9B"/>
    <w:rsid w:val="005D119B"/>
    <w:rsid w:val="005D16A4"/>
    <w:rsid w:val="005D2311"/>
    <w:rsid w:val="005D2724"/>
    <w:rsid w:val="005D2B7F"/>
    <w:rsid w:val="005D2D3F"/>
    <w:rsid w:val="005D2FBF"/>
    <w:rsid w:val="005D3050"/>
    <w:rsid w:val="005D3BA0"/>
    <w:rsid w:val="005D3C4E"/>
    <w:rsid w:val="005D3F6A"/>
    <w:rsid w:val="005D4872"/>
    <w:rsid w:val="005D48BB"/>
    <w:rsid w:val="005D597A"/>
    <w:rsid w:val="005D5BEF"/>
    <w:rsid w:val="005D6AF8"/>
    <w:rsid w:val="005D7EE9"/>
    <w:rsid w:val="005E039E"/>
    <w:rsid w:val="005E18EE"/>
    <w:rsid w:val="005E1981"/>
    <w:rsid w:val="005E221F"/>
    <w:rsid w:val="005E22C5"/>
    <w:rsid w:val="005E23B1"/>
    <w:rsid w:val="005E25BF"/>
    <w:rsid w:val="005E2AE6"/>
    <w:rsid w:val="005E36FC"/>
    <w:rsid w:val="005E461A"/>
    <w:rsid w:val="005E5254"/>
    <w:rsid w:val="005E5389"/>
    <w:rsid w:val="005E5ABC"/>
    <w:rsid w:val="005E5C86"/>
    <w:rsid w:val="005E5F0F"/>
    <w:rsid w:val="005E69DC"/>
    <w:rsid w:val="005E6BE2"/>
    <w:rsid w:val="005E7582"/>
    <w:rsid w:val="005E7A94"/>
    <w:rsid w:val="005E7E38"/>
    <w:rsid w:val="005E7E78"/>
    <w:rsid w:val="005F0041"/>
    <w:rsid w:val="005F0A90"/>
    <w:rsid w:val="005F1956"/>
    <w:rsid w:val="005F230B"/>
    <w:rsid w:val="005F2970"/>
    <w:rsid w:val="005F29D5"/>
    <w:rsid w:val="005F318B"/>
    <w:rsid w:val="005F33B6"/>
    <w:rsid w:val="005F4617"/>
    <w:rsid w:val="005F4698"/>
    <w:rsid w:val="005F5783"/>
    <w:rsid w:val="005F57CC"/>
    <w:rsid w:val="005F66AE"/>
    <w:rsid w:val="005F67B7"/>
    <w:rsid w:val="005F6970"/>
    <w:rsid w:val="005F6B80"/>
    <w:rsid w:val="005F6E7D"/>
    <w:rsid w:val="005F70C3"/>
    <w:rsid w:val="005F76DB"/>
    <w:rsid w:val="00600268"/>
    <w:rsid w:val="006006B0"/>
    <w:rsid w:val="006006D2"/>
    <w:rsid w:val="00600A61"/>
    <w:rsid w:val="00601B38"/>
    <w:rsid w:val="00601D9E"/>
    <w:rsid w:val="00601DBB"/>
    <w:rsid w:val="00602300"/>
    <w:rsid w:val="0060277A"/>
    <w:rsid w:val="0060431E"/>
    <w:rsid w:val="00604E3A"/>
    <w:rsid w:val="00604E5F"/>
    <w:rsid w:val="0060570A"/>
    <w:rsid w:val="00605C93"/>
    <w:rsid w:val="0060633B"/>
    <w:rsid w:val="00606BB2"/>
    <w:rsid w:val="00607727"/>
    <w:rsid w:val="00607A1B"/>
    <w:rsid w:val="00610772"/>
    <w:rsid w:val="00611F1D"/>
    <w:rsid w:val="006126B8"/>
    <w:rsid w:val="00612A44"/>
    <w:rsid w:val="0061327F"/>
    <w:rsid w:val="00613557"/>
    <w:rsid w:val="00613BBC"/>
    <w:rsid w:val="00614030"/>
    <w:rsid w:val="00614157"/>
    <w:rsid w:val="0061441A"/>
    <w:rsid w:val="0061597A"/>
    <w:rsid w:val="00615AC1"/>
    <w:rsid w:val="00616980"/>
    <w:rsid w:val="00616BA4"/>
    <w:rsid w:val="0061765E"/>
    <w:rsid w:val="00617929"/>
    <w:rsid w:val="00620A5D"/>
    <w:rsid w:val="00620C0D"/>
    <w:rsid w:val="00620D46"/>
    <w:rsid w:val="0062101F"/>
    <w:rsid w:val="006210FD"/>
    <w:rsid w:val="006212DB"/>
    <w:rsid w:val="00621317"/>
    <w:rsid w:val="0062138D"/>
    <w:rsid w:val="00622240"/>
    <w:rsid w:val="006238C7"/>
    <w:rsid w:val="0062443A"/>
    <w:rsid w:val="00624599"/>
    <w:rsid w:val="00624EC2"/>
    <w:rsid w:val="00624EDF"/>
    <w:rsid w:val="00625020"/>
    <w:rsid w:val="00625228"/>
    <w:rsid w:val="00625551"/>
    <w:rsid w:val="006255BD"/>
    <w:rsid w:val="0062618A"/>
    <w:rsid w:val="00626555"/>
    <w:rsid w:val="00626676"/>
    <w:rsid w:val="00626837"/>
    <w:rsid w:val="00626C80"/>
    <w:rsid w:val="00627041"/>
    <w:rsid w:val="00627608"/>
    <w:rsid w:val="00627873"/>
    <w:rsid w:val="0062789A"/>
    <w:rsid w:val="0063047A"/>
    <w:rsid w:val="00630838"/>
    <w:rsid w:val="00630911"/>
    <w:rsid w:val="00630BDF"/>
    <w:rsid w:val="00630CD2"/>
    <w:rsid w:val="0063131C"/>
    <w:rsid w:val="00631CEA"/>
    <w:rsid w:val="00631E2C"/>
    <w:rsid w:val="006322AB"/>
    <w:rsid w:val="00632CA8"/>
    <w:rsid w:val="0063309B"/>
    <w:rsid w:val="0063336A"/>
    <w:rsid w:val="00634060"/>
    <w:rsid w:val="0063427B"/>
    <w:rsid w:val="00634560"/>
    <w:rsid w:val="00634C2A"/>
    <w:rsid w:val="00634CCC"/>
    <w:rsid w:val="00635C56"/>
    <w:rsid w:val="00635F88"/>
    <w:rsid w:val="00637107"/>
    <w:rsid w:val="00637731"/>
    <w:rsid w:val="006377B7"/>
    <w:rsid w:val="006407FB"/>
    <w:rsid w:val="006408B9"/>
    <w:rsid w:val="00640A67"/>
    <w:rsid w:val="00640A9D"/>
    <w:rsid w:val="006412E3"/>
    <w:rsid w:val="00641684"/>
    <w:rsid w:val="00641BE1"/>
    <w:rsid w:val="00641F3C"/>
    <w:rsid w:val="00642594"/>
    <w:rsid w:val="00642872"/>
    <w:rsid w:val="0064290F"/>
    <w:rsid w:val="006436BA"/>
    <w:rsid w:val="00643E69"/>
    <w:rsid w:val="00644E1A"/>
    <w:rsid w:val="00646D2A"/>
    <w:rsid w:val="00647A7C"/>
    <w:rsid w:val="00650FC7"/>
    <w:rsid w:val="00651A8A"/>
    <w:rsid w:val="0065236E"/>
    <w:rsid w:val="00652D8F"/>
    <w:rsid w:val="00653496"/>
    <w:rsid w:val="00653625"/>
    <w:rsid w:val="006540EE"/>
    <w:rsid w:val="00654F40"/>
    <w:rsid w:val="00656B3D"/>
    <w:rsid w:val="00656E2F"/>
    <w:rsid w:val="00657608"/>
    <w:rsid w:val="00660596"/>
    <w:rsid w:val="0066090B"/>
    <w:rsid w:val="00660920"/>
    <w:rsid w:val="00660B6D"/>
    <w:rsid w:val="006620B6"/>
    <w:rsid w:val="00663065"/>
    <w:rsid w:val="0066353F"/>
    <w:rsid w:val="00663776"/>
    <w:rsid w:val="00663844"/>
    <w:rsid w:val="00663B28"/>
    <w:rsid w:val="00663EDB"/>
    <w:rsid w:val="006641E8"/>
    <w:rsid w:val="00664613"/>
    <w:rsid w:val="006647C7"/>
    <w:rsid w:val="00664AF1"/>
    <w:rsid w:val="00664E56"/>
    <w:rsid w:val="00665026"/>
    <w:rsid w:val="00665289"/>
    <w:rsid w:val="0066581A"/>
    <w:rsid w:val="006658DD"/>
    <w:rsid w:val="00666316"/>
    <w:rsid w:val="006663C1"/>
    <w:rsid w:val="00666BCE"/>
    <w:rsid w:val="00667D68"/>
    <w:rsid w:val="00670B87"/>
    <w:rsid w:val="00670FD9"/>
    <w:rsid w:val="00671DCE"/>
    <w:rsid w:val="00672BE3"/>
    <w:rsid w:val="00673A95"/>
    <w:rsid w:val="00673F35"/>
    <w:rsid w:val="00676187"/>
    <w:rsid w:val="006767FD"/>
    <w:rsid w:val="00676BDE"/>
    <w:rsid w:val="00677456"/>
    <w:rsid w:val="0067760F"/>
    <w:rsid w:val="0068093E"/>
    <w:rsid w:val="00680987"/>
    <w:rsid w:val="00680DCD"/>
    <w:rsid w:val="00680FC0"/>
    <w:rsid w:val="0068189F"/>
    <w:rsid w:val="00681BDC"/>
    <w:rsid w:val="00681D13"/>
    <w:rsid w:val="00682308"/>
    <w:rsid w:val="006824C5"/>
    <w:rsid w:val="00683EDE"/>
    <w:rsid w:val="00683EDF"/>
    <w:rsid w:val="00684561"/>
    <w:rsid w:val="00684D4F"/>
    <w:rsid w:val="00685454"/>
    <w:rsid w:val="00687308"/>
    <w:rsid w:val="006873B5"/>
    <w:rsid w:val="00687780"/>
    <w:rsid w:val="00687B78"/>
    <w:rsid w:val="00687FED"/>
    <w:rsid w:val="00690E2E"/>
    <w:rsid w:val="00691271"/>
    <w:rsid w:val="00691543"/>
    <w:rsid w:val="00691A6F"/>
    <w:rsid w:val="00691B6A"/>
    <w:rsid w:val="00691D78"/>
    <w:rsid w:val="00691DA8"/>
    <w:rsid w:val="006931F9"/>
    <w:rsid w:val="006935D6"/>
    <w:rsid w:val="00693FA6"/>
    <w:rsid w:val="006961C5"/>
    <w:rsid w:val="006965CB"/>
    <w:rsid w:val="00696742"/>
    <w:rsid w:val="00696AD0"/>
    <w:rsid w:val="006972C5"/>
    <w:rsid w:val="00697549"/>
    <w:rsid w:val="00697ADB"/>
    <w:rsid w:val="006A0953"/>
    <w:rsid w:val="006A1252"/>
    <w:rsid w:val="006A1BB0"/>
    <w:rsid w:val="006A2169"/>
    <w:rsid w:val="006A228F"/>
    <w:rsid w:val="006A22C8"/>
    <w:rsid w:val="006A2C87"/>
    <w:rsid w:val="006A309D"/>
    <w:rsid w:val="006A3281"/>
    <w:rsid w:val="006A3971"/>
    <w:rsid w:val="006A3E25"/>
    <w:rsid w:val="006A423B"/>
    <w:rsid w:val="006A442B"/>
    <w:rsid w:val="006A5A73"/>
    <w:rsid w:val="006A719D"/>
    <w:rsid w:val="006A74AF"/>
    <w:rsid w:val="006B008F"/>
    <w:rsid w:val="006B0969"/>
    <w:rsid w:val="006B0A03"/>
    <w:rsid w:val="006B1561"/>
    <w:rsid w:val="006B16BF"/>
    <w:rsid w:val="006B3E16"/>
    <w:rsid w:val="006B3EA3"/>
    <w:rsid w:val="006B437E"/>
    <w:rsid w:val="006B5737"/>
    <w:rsid w:val="006B5B84"/>
    <w:rsid w:val="006B6B76"/>
    <w:rsid w:val="006B709F"/>
    <w:rsid w:val="006C0ADF"/>
    <w:rsid w:val="006C1EE5"/>
    <w:rsid w:val="006C300B"/>
    <w:rsid w:val="006C304F"/>
    <w:rsid w:val="006C3A3B"/>
    <w:rsid w:val="006C4CAC"/>
    <w:rsid w:val="006C5AD9"/>
    <w:rsid w:val="006C5D02"/>
    <w:rsid w:val="006C62FB"/>
    <w:rsid w:val="006C7227"/>
    <w:rsid w:val="006C7AC5"/>
    <w:rsid w:val="006C7BEA"/>
    <w:rsid w:val="006D04AD"/>
    <w:rsid w:val="006D0CDE"/>
    <w:rsid w:val="006D28E8"/>
    <w:rsid w:val="006D3825"/>
    <w:rsid w:val="006D3E4D"/>
    <w:rsid w:val="006D3F2D"/>
    <w:rsid w:val="006D4B58"/>
    <w:rsid w:val="006D4E7E"/>
    <w:rsid w:val="006D4F2D"/>
    <w:rsid w:val="006D59FD"/>
    <w:rsid w:val="006D5EBB"/>
    <w:rsid w:val="006D6089"/>
    <w:rsid w:val="006D68F7"/>
    <w:rsid w:val="006D71ED"/>
    <w:rsid w:val="006E104F"/>
    <w:rsid w:val="006E1102"/>
    <w:rsid w:val="006E1140"/>
    <w:rsid w:val="006E1227"/>
    <w:rsid w:val="006E13A9"/>
    <w:rsid w:val="006E1B5E"/>
    <w:rsid w:val="006E1DB6"/>
    <w:rsid w:val="006E2F01"/>
    <w:rsid w:val="006E2FE9"/>
    <w:rsid w:val="006E4C26"/>
    <w:rsid w:val="006E50E7"/>
    <w:rsid w:val="006E5128"/>
    <w:rsid w:val="006E5CD1"/>
    <w:rsid w:val="006E616F"/>
    <w:rsid w:val="006E7120"/>
    <w:rsid w:val="006E7228"/>
    <w:rsid w:val="006E7CB7"/>
    <w:rsid w:val="006F1FBF"/>
    <w:rsid w:val="006F211B"/>
    <w:rsid w:val="006F28D5"/>
    <w:rsid w:val="006F4481"/>
    <w:rsid w:val="006F49E1"/>
    <w:rsid w:val="006F4DD1"/>
    <w:rsid w:val="006F5524"/>
    <w:rsid w:val="006F58F6"/>
    <w:rsid w:val="006F5E37"/>
    <w:rsid w:val="006F5F82"/>
    <w:rsid w:val="006F69A3"/>
    <w:rsid w:val="006F7437"/>
    <w:rsid w:val="006F74C3"/>
    <w:rsid w:val="00700E54"/>
    <w:rsid w:val="007015CB"/>
    <w:rsid w:val="00701A4C"/>
    <w:rsid w:val="00701FEA"/>
    <w:rsid w:val="0070208B"/>
    <w:rsid w:val="00702449"/>
    <w:rsid w:val="00702985"/>
    <w:rsid w:val="00702DBF"/>
    <w:rsid w:val="0070306E"/>
    <w:rsid w:val="00703F31"/>
    <w:rsid w:val="00707443"/>
    <w:rsid w:val="00710D58"/>
    <w:rsid w:val="00711C35"/>
    <w:rsid w:val="007125E1"/>
    <w:rsid w:val="00712EB4"/>
    <w:rsid w:val="00713A87"/>
    <w:rsid w:val="007145C4"/>
    <w:rsid w:val="00714E8C"/>
    <w:rsid w:val="00715A7C"/>
    <w:rsid w:val="007165EB"/>
    <w:rsid w:val="00717C80"/>
    <w:rsid w:val="00717DE6"/>
    <w:rsid w:val="007203B4"/>
    <w:rsid w:val="00720CBD"/>
    <w:rsid w:val="007212B6"/>
    <w:rsid w:val="00721D28"/>
    <w:rsid w:val="007224E1"/>
    <w:rsid w:val="007227D2"/>
    <w:rsid w:val="007227F6"/>
    <w:rsid w:val="00722EB3"/>
    <w:rsid w:val="00723A2A"/>
    <w:rsid w:val="00723A45"/>
    <w:rsid w:val="00723EEC"/>
    <w:rsid w:val="00723F38"/>
    <w:rsid w:val="00724027"/>
    <w:rsid w:val="0072414F"/>
    <w:rsid w:val="00724493"/>
    <w:rsid w:val="00725E53"/>
    <w:rsid w:val="00726ED7"/>
    <w:rsid w:val="00726F23"/>
    <w:rsid w:val="00726F37"/>
    <w:rsid w:val="007302A3"/>
    <w:rsid w:val="00730508"/>
    <w:rsid w:val="00730C80"/>
    <w:rsid w:val="00730D84"/>
    <w:rsid w:val="00731412"/>
    <w:rsid w:val="00731A1D"/>
    <w:rsid w:val="00731ECD"/>
    <w:rsid w:val="007321DD"/>
    <w:rsid w:val="007323B7"/>
    <w:rsid w:val="007324AE"/>
    <w:rsid w:val="00732507"/>
    <w:rsid w:val="007327D2"/>
    <w:rsid w:val="00732AA7"/>
    <w:rsid w:val="0073325D"/>
    <w:rsid w:val="00733762"/>
    <w:rsid w:val="00733F9E"/>
    <w:rsid w:val="0073471F"/>
    <w:rsid w:val="00734EC9"/>
    <w:rsid w:val="00735062"/>
    <w:rsid w:val="00735BFF"/>
    <w:rsid w:val="00735C9B"/>
    <w:rsid w:val="007364BB"/>
    <w:rsid w:val="00740571"/>
    <w:rsid w:val="007407BD"/>
    <w:rsid w:val="0074127B"/>
    <w:rsid w:val="00744DE2"/>
    <w:rsid w:val="00745059"/>
    <w:rsid w:val="007452EE"/>
    <w:rsid w:val="00745882"/>
    <w:rsid w:val="00745B3C"/>
    <w:rsid w:val="0074636D"/>
    <w:rsid w:val="00746622"/>
    <w:rsid w:val="00746D10"/>
    <w:rsid w:val="007477F7"/>
    <w:rsid w:val="0074791E"/>
    <w:rsid w:val="007479DB"/>
    <w:rsid w:val="0075163B"/>
    <w:rsid w:val="00751CB2"/>
    <w:rsid w:val="00751FFA"/>
    <w:rsid w:val="00752C3F"/>
    <w:rsid w:val="00752CDF"/>
    <w:rsid w:val="007530AF"/>
    <w:rsid w:val="00754380"/>
    <w:rsid w:val="0075510E"/>
    <w:rsid w:val="00755B82"/>
    <w:rsid w:val="00756E65"/>
    <w:rsid w:val="00757324"/>
    <w:rsid w:val="007609BF"/>
    <w:rsid w:val="0076190B"/>
    <w:rsid w:val="0076268E"/>
    <w:rsid w:val="00764125"/>
    <w:rsid w:val="007641F2"/>
    <w:rsid w:val="00764470"/>
    <w:rsid w:val="00764EC5"/>
    <w:rsid w:val="00765514"/>
    <w:rsid w:val="00765986"/>
    <w:rsid w:val="00765B70"/>
    <w:rsid w:val="00765BE5"/>
    <w:rsid w:val="00765E9A"/>
    <w:rsid w:val="00766001"/>
    <w:rsid w:val="0076633B"/>
    <w:rsid w:val="00766384"/>
    <w:rsid w:val="007664B3"/>
    <w:rsid w:val="007666C6"/>
    <w:rsid w:val="007666D7"/>
    <w:rsid w:val="00767E2D"/>
    <w:rsid w:val="00770050"/>
    <w:rsid w:val="00770AB4"/>
    <w:rsid w:val="00770C45"/>
    <w:rsid w:val="0077252D"/>
    <w:rsid w:val="0077275B"/>
    <w:rsid w:val="007727C2"/>
    <w:rsid w:val="00772D0E"/>
    <w:rsid w:val="00773701"/>
    <w:rsid w:val="00774AC7"/>
    <w:rsid w:val="00774F22"/>
    <w:rsid w:val="00775058"/>
    <w:rsid w:val="007751CD"/>
    <w:rsid w:val="0077535B"/>
    <w:rsid w:val="00775632"/>
    <w:rsid w:val="00775E52"/>
    <w:rsid w:val="00776138"/>
    <w:rsid w:val="007763DE"/>
    <w:rsid w:val="00776945"/>
    <w:rsid w:val="007771FB"/>
    <w:rsid w:val="0077773E"/>
    <w:rsid w:val="00780432"/>
    <w:rsid w:val="00780604"/>
    <w:rsid w:val="007815F1"/>
    <w:rsid w:val="00782473"/>
    <w:rsid w:val="007830A0"/>
    <w:rsid w:val="0078323A"/>
    <w:rsid w:val="007835E4"/>
    <w:rsid w:val="00783966"/>
    <w:rsid w:val="00783DF6"/>
    <w:rsid w:val="00783FF8"/>
    <w:rsid w:val="00784BD4"/>
    <w:rsid w:val="007858BA"/>
    <w:rsid w:val="00786209"/>
    <w:rsid w:val="007909AB"/>
    <w:rsid w:val="00790CCB"/>
    <w:rsid w:val="00791120"/>
    <w:rsid w:val="00791961"/>
    <w:rsid w:val="00792261"/>
    <w:rsid w:val="007928C7"/>
    <w:rsid w:val="00793447"/>
    <w:rsid w:val="007934B4"/>
    <w:rsid w:val="007939DB"/>
    <w:rsid w:val="00793AD3"/>
    <w:rsid w:val="00793B57"/>
    <w:rsid w:val="00793D4D"/>
    <w:rsid w:val="00794406"/>
    <w:rsid w:val="0079451F"/>
    <w:rsid w:val="00794C5A"/>
    <w:rsid w:val="00794C90"/>
    <w:rsid w:val="00794D72"/>
    <w:rsid w:val="00795239"/>
    <w:rsid w:val="00795FCA"/>
    <w:rsid w:val="00796E67"/>
    <w:rsid w:val="0079719F"/>
    <w:rsid w:val="0079747B"/>
    <w:rsid w:val="00797D35"/>
    <w:rsid w:val="007A058F"/>
    <w:rsid w:val="007A0D22"/>
    <w:rsid w:val="007A0D72"/>
    <w:rsid w:val="007A16D0"/>
    <w:rsid w:val="007A2492"/>
    <w:rsid w:val="007A26C0"/>
    <w:rsid w:val="007A2FC5"/>
    <w:rsid w:val="007A3113"/>
    <w:rsid w:val="007A31F4"/>
    <w:rsid w:val="007A4677"/>
    <w:rsid w:val="007A4AC0"/>
    <w:rsid w:val="007A5107"/>
    <w:rsid w:val="007A601A"/>
    <w:rsid w:val="007A64D0"/>
    <w:rsid w:val="007A688D"/>
    <w:rsid w:val="007A68A6"/>
    <w:rsid w:val="007A6C54"/>
    <w:rsid w:val="007A6E0D"/>
    <w:rsid w:val="007A6FC8"/>
    <w:rsid w:val="007A7E62"/>
    <w:rsid w:val="007B006F"/>
    <w:rsid w:val="007B01E7"/>
    <w:rsid w:val="007B01F5"/>
    <w:rsid w:val="007B062D"/>
    <w:rsid w:val="007B08EB"/>
    <w:rsid w:val="007B4B36"/>
    <w:rsid w:val="007B5806"/>
    <w:rsid w:val="007B5E66"/>
    <w:rsid w:val="007B5F5A"/>
    <w:rsid w:val="007B632D"/>
    <w:rsid w:val="007B66C1"/>
    <w:rsid w:val="007B6AB1"/>
    <w:rsid w:val="007B7861"/>
    <w:rsid w:val="007C007C"/>
    <w:rsid w:val="007C05E4"/>
    <w:rsid w:val="007C0D2D"/>
    <w:rsid w:val="007C1114"/>
    <w:rsid w:val="007C1207"/>
    <w:rsid w:val="007C135F"/>
    <w:rsid w:val="007C1789"/>
    <w:rsid w:val="007C25E5"/>
    <w:rsid w:val="007C28BD"/>
    <w:rsid w:val="007C309E"/>
    <w:rsid w:val="007C3549"/>
    <w:rsid w:val="007C38B5"/>
    <w:rsid w:val="007C3E98"/>
    <w:rsid w:val="007C4D1B"/>
    <w:rsid w:val="007C5CD7"/>
    <w:rsid w:val="007C5D7F"/>
    <w:rsid w:val="007C5DA7"/>
    <w:rsid w:val="007C61A3"/>
    <w:rsid w:val="007C6934"/>
    <w:rsid w:val="007C77AE"/>
    <w:rsid w:val="007D0CBD"/>
    <w:rsid w:val="007D0E67"/>
    <w:rsid w:val="007D1506"/>
    <w:rsid w:val="007D1726"/>
    <w:rsid w:val="007D2C1E"/>
    <w:rsid w:val="007D30A3"/>
    <w:rsid w:val="007D311B"/>
    <w:rsid w:val="007D3190"/>
    <w:rsid w:val="007D3869"/>
    <w:rsid w:val="007D3DC4"/>
    <w:rsid w:val="007D4144"/>
    <w:rsid w:val="007D4927"/>
    <w:rsid w:val="007D5461"/>
    <w:rsid w:val="007D598D"/>
    <w:rsid w:val="007D5AF5"/>
    <w:rsid w:val="007E0666"/>
    <w:rsid w:val="007E0BFB"/>
    <w:rsid w:val="007E271E"/>
    <w:rsid w:val="007E3064"/>
    <w:rsid w:val="007E30FD"/>
    <w:rsid w:val="007E313A"/>
    <w:rsid w:val="007E38E1"/>
    <w:rsid w:val="007E5208"/>
    <w:rsid w:val="007E534E"/>
    <w:rsid w:val="007E5D24"/>
    <w:rsid w:val="007E6042"/>
    <w:rsid w:val="007E62B9"/>
    <w:rsid w:val="007E7435"/>
    <w:rsid w:val="007E7996"/>
    <w:rsid w:val="007E7F23"/>
    <w:rsid w:val="007F00F1"/>
    <w:rsid w:val="007F0741"/>
    <w:rsid w:val="007F0890"/>
    <w:rsid w:val="007F0EAD"/>
    <w:rsid w:val="007F0FAA"/>
    <w:rsid w:val="007F1FA5"/>
    <w:rsid w:val="007F1FD0"/>
    <w:rsid w:val="007F2024"/>
    <w:rsid w:val="007F2F72"/>
    <w:rsid w:val="007F34D7"/>
    <w:rsid w:val="007F3F38"/>
    <w:rsid w:val="007F4058"/>
    <w:rsid w:val="007F5085"/>
    <w:rsid w:val="007F50A7"/>
    <w:rsid w:val="007F51F9"/>
    <w:rsid w:val="007F5626"/>
    <w:rsid w:val="007F6541"/>
    <w:rsid w:val="007F6C70"/>
    <w:rsid w:val="007F70D8"/>
    <w:rsid w:val="007F73C3"/>
    <w:rsid w:val="007F773F"/>
    <w:rsid w:val="007F7BE5"/>
    <w:rsid w:val="0080033D"/>
    <w:rsid w:val="0080052D"/>
    <w:rsid w:val="00800A9C"/>
    <w:rsid w:val="00801E78"/>
    <w:rsid w:val="00802696"/>
    <w:rsid w:val="00803195"/>
    <w:rsid w:val="00803E4C"/>
    <w:rsid w:val="008040B0"/>
    <w:rsid w:val="0080495D"/>
    <w:rsid w:val="00804B6F"/>
    <w:rsid w:val="00804FCE"/>
    <w:rsid w:val="008057FA"/>
    <w:rsid w:val="008062F5"/>
    <w:rsid w:val="00806AC8"/>
    <w:rsid w:val="00806B0E"/>
    <w:rsid w:val="00806C32"/>
    <w:rsid w:val="0080739C"/>
    <w:rsid w:val="0080753E"/>
    <w:rsid w:val="00807931"/>
    <w:rsid w:val="008103E6"/>
    <w:rsid w:val="0081060A"/>
    <w:rsid w:val="0081131C"/>
    <w:rsid w:val="008115C3"/>
    <w:rsid w:val="00812D02"/>
    <w:rsid w:val="00812F39"/>
    <w:rsid w:val="0081385A"/>
    <w:rsid w:val="00813C02"/>
    <w:rsid w:val="00813C26"/>
    <w:rsid w:val="0081430C"/>
    <w:rsid w:val="00815630"/>
    <w:rsid w:val="00815B41"/>
    <w:rsid w:val="008166F5"/>
    <w:rsid w:val="00816B48"/>
    <w:rsid w:val="00817405"/>
    <w:rsid w:val="00817643"/>
    <w:rsid w:val="008178F7"/>
    <w:rsid w:val="00817AB9"/>
    <w:rsid w:val="008203ED"/>
    <w:rsid w:val="00820FB0"/>
    <w:rsid w:val="00821B22"/>
    <w:rsid w:val="00822FE6"/>
    <w:rsid w:val="0082315D"/>
    <w:rsid w:val="00823182"/>
    <w:rsid w:val="00823DB4"/>
    <w:rsid w:val="00823FDF"/>
    <w:rsid w:val="00824147"/>
    <w:rsid w:val="008254E7"/>
    <w:rsid w:val="008264FB"/>
    <w:rsid w:val="008266EC"/>
    <w:rsid w:val="008267D7"/>
    <w:rsid w:val="00830ABB"/>
    <w:rsid w:val="008311F0"/>
    <w:rsid w:val="00832382"/>
    <w:rsid w:val="00832BDE"/>
    <w:rsid w:val="00832D9B"/>
    <w:rsid w:val="00832EC1"/>
    <w:rsid w:val="008331C5"/>
    <w:rsid w:val="0083459D"/>
    <w:rsid w:val="008346C2"/>
    <w:rsid w:val="00834BB1"/>
    <w:rsid w:val="00834D1B"/>
    <w:rsid w:val="008352F4"/>
    <w:rsid w:val="0083557C"/>
    <w:rsid w:val="0083561D"/>
    <w:rsid w:val="008359D5"/>
    <w:rsid w:val="0083691B"/>
    <w:rsid w:val="00837A66"/>
    <w:rsid w:val="00837E32"/>
    <w:rsid w:val="00841A6C"/>
    <w:rsid w:val="00842843"/>
    <w:rsid w:val="008443DE"/>
    <w:rsid w:val="0084441C"/>
    <w:rsid w:val="00844A2E"/>
    <w:rsid w:val="0084581F"/>
    <w:rsid w:val="00845A48"/>
    <w:rsid w:val="00845A5E"/>
    <w:rsid w:val="00846E03"/>
    <w:rsid w:val="008500FC"/>
    <w:rsid w:val="008501B8"/>
    <w:rsid w:val="00850E39"/>
    <w:rsid w:val="0085118A"/>
    <w:rsid w:val="008512F9"/>
    <w:rsid w:val="008513D8"/>
    <w:rsid w:val="00851529"/>
    <w:rsid w:val="00851C72"/>
    <w:rsid w:val="00851F0E"/>
    <w:rsid w:val="008529D2"/>
    <w:rsid w:val="00852CA7"/>
    <w:rsid w:val="0085327B"/>
    <w:rsid w:val="008547EA"/>
    <w:rsid w:val="00854AF6"/>
    <w:rsid w:val="00854B88"/>
    <w:rsid w:val="00855251"/>
    <w:rsid w:val="00855532"/>
    <w:rsid w:val="008555DD"/>
    <w:rsid w:val="008565D8"/>
    <w:rsid w:val="00856675"/>
    <w:rsid w:val="00856A52"/>
    <w:rsid w:val="00860903"/>
    <w:rsid w:val="00861765"/>
    <w:rsid w:val="0086189C"/>
    <w:rsid w:val="00861FA8"/>
    <w:rsid w:val="00862219"/>
    <w:rsid w:val="00862380"/>
    <w:rsid w:val="008628D2"/>
    <w:rsid w:val="0086291E"/>
    <w:rsid w:val="00862AFA"/>
    <w:rsid w:val="00862EB9"/>
    <w:rsid w:val="00863482"/>
    <w:rsid w:val="00863A04"/>
    <w:rsid w:val="00864570"/>
    <w:rsid w:val="0086459D"/>
    <w:rsid w:val="00866280"/>
    <w:rsid w:val="00866662"/>
    <w:rsid w:val="00866672"/>
    <w:rsid w:val="00866953"/>
    <w:rsid w:val="00866B3B"/>
    <w:rsid w:val="008707BF"/>
    <w:rsid w:val="00870811"/>
    <w:rsid w:val="008709C9"/>
    <w:rsid w:val="00873326"/>
    <w:rsid w:val="008734A4"/>
    <w:rsid w:val="0087380A"/>
    <w:rsid w:val="008743F6"/>
    <w:rsid w:val="00875B63"/>
    <w:rsid w:val="00875C0D"/>
    <w:rsid w:val="00875D8F"/>
    <w:rsid w:val="0087621D"/>
    <w:rsid w:val="00876471"/>
    <w:rsid w:val="008766A1"/>
    <w:rsid w:val="00880212"/>
    <w:rsid w:val="0088051B"/>
    <w:rsid w:val="00880B8A"/>
    <w:rsid w:val="00880CEC"/>
    <w:rsid w:val="008812BF"/>
    <w:rsid w:val="00881AE6"/>
    <w:rsid w:val="00881C7E"/>
    <w:rsid w:val="00882622"/>
    <w:rsid w:val="00882E9F"/>
    <w:rsid w:val="00883819"/>
    <w:rsid w:val="00883DFD"/>
    <w:rsid w:val="008843DA"/>
    <w:rsid w:val="008847F6"/>
    <w:rsid w:val="0088497F"/>
    <w:rsid w:val="00884990"/>
    <w:rsid w:val="00884BB5"/>
    <w:rsid w:val="008851DF"/>
    <w:rsid w:val="008863CD"/>
    <w:rsid w:val="008869EE"/>
    <w:rsid w:val="00887E07"/>
    <w:rsid w:val="008905A0"/>
    <w:rsid w:val="00890B57"/>
    <w:rsid w:val="00890F76"/>
    <w:rsid w:val="008910E7"/>
    <w:rsid w:val="00891A1D"/>
    <w:rsid w:val="008938EA"/>
    <w:rsid w:val="00893C2E"/>
    <w:rsid w:val="0089401B"/>
    <w:rsid w:val="008942D6"/>
    <w:rsid w:val="008946B7"/>
    <w:rsid w:val="00894FDE"/>
    <w:rsid w:val="008950E6"/>
    <w:rsid w:val="0089566E"/>
    <w:rsid w:val="00895AF6"/>
    <w:rsid w:val="00895EB6"/>
    <w:rsid w:val="00896331"/>
    <w:rsid w:val="00896F76"/>
    <w:rsid w:val="008A094B"/>
    <w:rsid w:val="008A0AAC"/>
    <w:rsid w:val="008A0BE2"/>
    <w:rsid w:val="008A0F1A"/>
    <w:rsid w:val="008A1444"/>
    <w:rsid w:val="008A1D87"/>
    <w:rsid w:val="008A1E2D"/>
    <w:rsid w:val="008A2412"/>
    <w:rsid w:val="008A3025"/>
    <w:rsid w:val="008A3901"/>
    <w:rsid w:val="008A4A71"/>
    <w:rsid w:val="008A4C50"/>
    <w:rsid w:val="008A5335"/>
    <w:rsid w:val="008A53CB"/>
    <w:rsid w:val="008A6451"/>
    <w:rsid w:val="008A7335"/>
    <w:rsid w:val="008A7CEB"/>
    <w:rsid w:val="008A7E06"/>
    <w:rsid w:val="008B00FA"/>
    <w:rsid w:val="008B0254"/>
    <w:rsid w:val="008B029F"/>
    <w:rsid w:val="008B056E"/>
    <w:rsid w:val="008B0B13"/>
    <w:rsid w:val="008B0F29"/>
    <w:rsid w:val="008B1513"/>
    <w:rsid w:val="008B1946"/>
    <w:rsid w:val="008B1BD3"/>
    <w:rsid w:val="008B1DFA"/>
    <w:rsid w:val="008B28BA"/>
    <w:rsid w:val="008B29A0"/>
    <w:rsid w:val="008B2DF2"/>
    <w:rsid w:val="008B309F"/>
    <w:rsid w:val="008B315B"/>
    <w:rsid w:val="008B480E"/>
    <w:rsid w:val="008B5DB7"/>
    <w:rsid w:val="008B5E64"/>
    <w:rsid w:val="008B613A"/>
    <w:rsid w:val="008B69E5"/>
    <w:rsid w:val="008B6D15"/>
    <w:rsid w:val="008B6EB3"/>
    <w:rsid w:val="008B72BD"/>
    <w:rsid w:val="008B7485"/>
    <w:rsid w:val="008B7D5A"/>
    <w:rsid w:val="008B7E6F"/>
    <w:rsid w:val="008C0634"/>
    <w:rsid w:val="008C2227"/>
    <w:rsid w:val="008C2235"/>
    <w:rsid w:val="008C23F2"/>
    <w:rsid w:val="008C2801"/>
    <w:rsid w:val="008C298C"/>
    <w:rsid w:val="008C2ED1"/>
    <w:rsid w:val="008C30AD"/>
    <w:rsid w:val="008C34B7"/>
    <w:rsid w:val="008C3971"/>
    <w:rsid w:val="008C3BA7"/>
    <w:rsid w:val="008C3C39"/>
    <w:rsid w:val="008C457D"/>
    <w:rsid w:val="008C49EA"/>
    <w:rsid w:val="008C4B1A"/>
    <w:rsid w:val="008C4DFD"/>
    <w:rsid w:val="008C504D"/>
    <w:rsid w:val="008C5816"/>
    <w:rsid w:val="008C5D25"/>
    <w:rsid w:val="008C6F64"/>
    <w:rsid w:val="008C7CAF"/>
    <w:rsid w:val="008D02C2"/>
    <w:rsid w:val="008D1FD9"/>
    <w:rsid w:val="008D2125"/>
    <w:rsid w:val="008D24F2"/>
    <w:rsid w:val="008D2599"/>
    <w:rsid w:val="008D2732"/>
    <w:rsid w:val="008D2796"/>
    <w:rsid w:val="008D2927"/>
    <w:rsid w:val="008D2A45"/>
    <w:rsid w:val="008D2B47"/>
    <w:rsid w:val="008D3062"/>
    <w:rsid w:val="008D330C"/>
    <w:rsid w:val="008D3914"/>
    <w:rsid w:val="008D3B43"/>
    <w:rsid w:val="008D40BA"/>
    <w:rsid w:val="008D58E0"/>
    <w:rsid w:val="008D683F"/>
    <w:rsid w:val="008D729B"/>
    <w:rsid w:val="008D7367"/>
    <w:rsid w:val="008D778A"/>
    <w:rsid w:val="008D7950"/>
    <w:rsid w:val="008D7E08"/>
    <w:rsid w:val="008E0AAE"/>
    <w:rsid w:val="008E0B3E"/>
    <w:rsid w:val="008E0C01"/>
    <w:rsid w:val="008E10C4"/>
    <w:rsid w:val="008E1CE7"/>
    <w:rsid w:val="008E1FF3"/>
    <w:rsid w:val="008E2094"/>
    <w:rsid w:val="008E21A7"/>
    <w:rsid w:val="008E2227"/>
    <w:rsid w:val="008E28A9"/>
    <w:rsid w:val="008E427A"/>
    <w:rsid w:val="008E42FA"/>
    <w:rsid w:val="008E4361"/>
    <w:rsid w:val="008E5532"/>
    <w:rsid w:val="008E5552"/>
    <w:rsid w:val="008E5AC6"/>
    <w:rsid w:val="008E5CE6"/>
    <w:rsid w:val="008E5F2A"/>
    <w:rsid w:val="008E60CD"/>
    <w:rsid w:val="008E7284"/>
    <w:rsid w:val="008E747E"/>
    <w:rsid w:val="008E7D32"/>
    <w:rsid w:val="008E7D38"/>
    <w:rsid w:val="008F01F5"/>
    <w:rsid w:val="008F05CA"/>
    <w:rsid w:val="008F0C90"/>
    <w:rsid w:val="008F2BC4"/>
    <w:rsid w:val="008F305B"/>
    <w:rsid w:val="008F368E"/>
    <w:rsid w:val="008F388F"/>
    <w:rsid w:val="008F562E"/>
    <w:rsid w:val="008F56A4"/>
    <w:rsid w:val="008F605B"/>
    <w:rsid w:val="008F682F"/>
    <w:rsid w:val="008F7026"/>
    <w:rsid w:val="008F739F"/>
    <w:rsid w:val="008F781A"/>
    <w:rsid w:val="00900E65"/>
    <w:rsid w:val="00901226"/>
    <w:rsid w:val="009013F6"/>
    <w:rsid w:val="00901B98"/>
    <w:rsid w:val="0090203B"/>
    <w:rsid w:val="00902663"/>
    <w:rsid w:val="00902CC0"/>
    <w:rsid w:val="00903947"/>
    <w:rsid w:val="00903D8D"/>
    <w:rsid w:val="009049E0"/>
    <w:rsid w:val="00904B38"/>
    <w:rsid w:val="00905456"/>
    <w:rsid w:val="0090545C"/>
    <w:rsid w:val="00905DAF"/>
    <w:rsid w:val="009066AD"/>
    <w:rsid w:val="00907295"/>
    <w:rsid w:val="009075C4"/>
    <w:rsid w:val="00907BFF"/>
    <w:rsid w:val="0091047C"/>
    <w:rsid w:val="009107AF"/>
    <w:rsid w:val="00910991"/>
    <w:rsid w:val="009113A1"/>
    <w:rsid w:val="009125B6"/>
    <w:rsid w:val="009135F1"/>
    <w:rsid w:val="00913B26"/>
    <w:rsid w:val="0091502B"/>
    <w:rsid w:val="00915035"/>
    <w:rsid w:val="009150B4"/>
    <w:rsid w:val="0091555E"/>
    <w:rsid w:val="0091567A"/>
    <w:rsid w:val="009173CC"/>
    <w:rsid w:val="009178F0"/>
    <w:rsid w:val="009179AD"/>
    <w:rsid w:val="00917AAF"/>
    <w:rsid w:val="00917DBC"/>
    <w:rsid w:val="009201AB"/>
    <w:rsid w:val="009206DD"/>
    <w:rsid w:val="009207BE"/>
    <w:rsid w:val="00920913"/>
    <w:rsid w:val="009228D1"/>
    <w:rsid w:val="0092377E"/>
    <w:rsid w:val="009238AA"/>
    <w:rsid w:val="009243AC"/>
    <w:rsid w:val="00924854"/>
    <w:rsid w:val="00924FC1"/>
    <w:rsid w:val="0092712B"/>
    <w:rsid w:val="009273FF"/>
    <w:rsid w:val="0092766E"/>
    <w:rsid w:val="0092772C"/>
    <w:rsid w:val="00930292"/>
    <w:rsid w:val="0093041E"/>
    <w:rsid w:val="009305E7"/>
    <w:rsid w:val="009309CA"/>
    <w:rsid w:val="00930F8E"/>
    <w:rsid w:val="009311D9"/>
    <w:rsid w:val="00931F33"/>
    <w:rsid w:val="0093200E"/>
    <w:rsid w:val="00932CBD"/>
    <w:rsid w:val="00932ED4"/>
    <w:rsid w:val="00932FD0"/>
    <w:rsid w:val="009331C3"/>
    <w:rsid w:val="00933729"/>
    <w:rsid w:val="0093425B"/>
    <w:rsid w:val="00934C35"/>
    <w:rsid w:val="00934D8B"/>
    <w:rsid w:val="00934E00"/>
    <w:rsid w:val="00935337"/>
    <w:rsid w:val="0093564B"/>
    <w:rsid w:val="009357C3"/>
    <w:rsid w:val="009364A7"/>
    <w:rsid w:val="009371A0"/>
    <w:rsid w:val="00937C6A"/>
    <w:rsid w:val="00937D0F"/>
    <w:rsid w:val="009402D2"/>
    <w:rsid w:val="009415DF"/>
    <w:rsid w:val="00941EB3"/>
    <w:rsid w:val="0094207C"/>
    <w:rsid w:val="009425BB"/>
    <w:rsid w:val="00942B68"/>
    <w:rsid w:val="009430BB"/>
    <w:rsid w:val="00943C48"/>
    <w:rsid w:val="0094512C"/>
    <w:rsid w:val="0094680D"/>
    <w:rsid w:val="00947114"/>
    <w:rsid w:val="009478C4"/>
    <w:rsid w:val="00950ED8"/>
    <w:rsid w:val="00951705"/>
    <w:rsid w:val="00952685"/>
    <w:rsid w:val="00953057"/>
    <w:rsid w:val="009539AD"/>
    <w:rsid w:val="00953E54"/>
    <w:rsid w:val="00954D60"/>
    <w:rsid w:val="009559EC"/>
    <w:rsid w:val="009563D4"/>
    <w:rsid w:val="00956758"/>
    <w:rsid w:val="00957E79"/>
    <w:rsid w:val="009602DC"/>
    <w:rsid w:val="00960EF5"/>
    <w:rsid w:val="009613BD"/>
    <w:rsid w:val="00961AFB"/>
    <w:rsid w:val="00961FFD"/>
    <w:rsid w:val="0096226F"/>
    <w:rsid w:val="009629A6"/>
    <w:rsid w:val="009638D1"/>
    <w:rsid w:val="009638F5"/>
    <w:rsid w:val="009640C3"/>
    <w:rsid w:val="00964173"/>
    <w:rsid w:val="009643A6"/>
    <w:rsid w:val="009650C3"/>
    <w:rsid w:val="00966AA6"/>
    <w:rsid w:val="00967B97"/>
    <w:rsid w:val="00967FB4"/>
    <w:rsid w:val="0097167C"/>
    <w:rsid w:val="00971D4A"/>
    <w:rsid w:val="00971FCF"/>
    <w:rsid w:val="00971FD0"/>
    <w:rsid w:val="00972C13"/>
    <w:rsid w:val="009732E3"/>
    <w:rsid w:val="00973B21"/>
    <w:rsid w:val="00973FB2"/>
    <w:rsid w:val="009742E9"/>
    <w:rsid w:val="00974333"/>
    <w:rsid w:val="00974A60"/>
    <w:rsid w:val="009755D7"/>
    <w:rsid w:val="00975D23"/>
    <w:rsid w:val="009760FC"/>
    <w:rsid w:val="009761DD"/>
    <w:rsid w:val="0097765E"/>
    <w:rsid w:val="00977ACF"/>
    <w:rsid w:val="00977C53"/>
    <w:rsid w:val="00981F94"/>
    <w:rsid w:val="0098209D"/>
    <w:rsid w:val="00982192"/>
    <w:rsid w:val="009822C4"/>
    <w:rsid w:val="00983726"/>
    <w:rsid w:val="0098427C"/>
    <w:rsid w:val="0098452C"/>
    <w:rsid w:val="00984D4F"/>
    <w:rsid w:val="009850E6"/>
    <w:rsid w:val="0098542B"/>
    <w:rsid w:val="009876D3"/>
    <w:rsid w:val="00987D5D"/>
    <w:rsid w:val="00987D5E"/>
    <w:rsid w:val="00990686"/>
    <w:rsid w:val="009915B6"/>
    <w:rsid w:val="009930EC"/>
    <w:rsid w:val="00993181"/>
    <w:rsid w:val="00993BCC"/>
    <w:rsid w:val="009943FB"/>
    <w:rsid w:val="00994DA7"/>
    <w:rsid w:val="00995124"/>
    <w:rsid w:val="00995449"/>
    <w:rsid w:val="00995468"/>
    <w:rsid w:val="0099574E"/>
    <w:rsid w:val="00995B97"/>
    <w:rsid w:val="00995B9F"/>
    <w:rsid w:val="00996B2E"/>
    <w:rsid w:val="009972DB"/>
    <w:rsid w:val="00997496"/>
    <w:rsid w:val="009A036F"/>
    <w:rsid w:val="009A1634"/>
    <w:rsid w:val="009A1A78"/>
    <w:rsid w:val="009A214E"/>
    <w:rsid w:val="009A2233"/>
    <w:rsid w:val="009A3400"/>
    <w:rsid w:val="009A4B40"/>
    <w:rsid w:val="009A7811"/>
    <w:rsid w:val="009B03FA"/>
    <w:rsid w:val="009B04FA"/>
    <w:rsid w:val="009B060C"/>
    <w:rsid w:val="009B0B77"/>
    <w:rsid w:val="009B2053"/>
    <w:rsid w:val="009B36CB"/>
    <w:rsid w:val="009B3BE8"/>
    <w:rsid w:val="009B3CF1"/>
    <w:rsid w:val="009B4666"/>
    <w:rsid w:val="009B51C4"/>
    <w:rsid w:val="009B6408"/>
    <w:rsid w:val="009B6DFB"/>
    <w:rsid w:val="009B73AC"/>
    <w:rsid w:val="009B76AE"/>
    <w:rsid w:val="009B7715"/>
    <w:rsid w:val="009B77A5"/>
    <w:rsid w:val="009B7E8D"/>
    <w:rsid w:val="009C0611"/>
    <w:rsid w:val="009C1B94"/>
    <w:rsid w:val="009C24CE"/>
    <w:rsid w:val="009C26F9"/>
    <w:rsid w:val="009C32E2"/>
    <w:rsid w:val="009C35AC"/>
    <w:rsid w:val="009C3AE8"/>
    <w:rsid w:val="009C3F8D"/>
    <w:rsid w:val="009C46AA"/>
    <w:rsid w:val="009C4829"/>
    <w:rsid w:val="009C4AA9"/>
    <w:rsid w:val="009C4E48"/>
    <w:rsid w:val="009C52C8"/>
    <w:rsid w:val="009C60AF"/>
    <w:rsid w:val="009C618F"/>
    <w:rsid w:val="009C630D"/>
    <w:rsid w:val="009C754B"/>
    <w:rsid w:val="009C7EBC"/>
    <w:rsid w:val="009D045C"/>
    <w:rsid w:val="009D0596"/>
    <w:rsid w:val="009D1592"/>
    <w:rsid w:val="009D1F7A"/>
    <w:rsid w:val="009D2205"/>
    <w:rsid w:val="009D277C"/>
    <w:rsid w:val="009D2EC3"/>
    <w:rsid w:val="009D3494"/>
    <w:rsid w:val="009D3C42"/>
    <w:rsid w:val="009D419F"/>
    <w:rsid w:val="009D42B3"/>
    <w:rsid w:val="009D4F4E"/>
    <w:rsid w:val="009D51DA"/>
    <w:rsid w:val="009D52C3"/>
    <w:rsid w:val="009D535F"/>
    <w:rsid w:val="009D563D"/>
    <w:rsid w:val="009D57BF"/>
    <w:rsid w:val="009D66A4"/>
    <w:rsid w:val="009D6C6D"/>
    <w:rsid w:val="009D73B8"/>
    <w:rsid w:val="009D7420"/>
    <w:rsid w:val="009D74E8"/>
    <w:rsid w:val="009E05B2"/>
    <w:rsid w:val="009E0FA5"/>
    <w:rsid w:val="009E14FD"/>
    <w:rsid w:val="009E20F5"/>
    <w:rsid w:val="009E234C"/>
    <w:rsid w:val="009E2902"/>
    <w:rsid w:val="009E2CE2"/>
    <w:rsid w:val="009E2E50"/>
    <w:rsid w:val="009E2F3E"/>
    <w:rsid w:val="009E30D8"/>
    <w:rsid w:val="009E41E7"/>
    <w:rsid w:val="009E45F8"/>
    <w:rsid w:val="009E4C53"/>
    <w:rsid w:val="009E4F99"/>
    <w:rsid w:val="009E51CB"/>
    <w:rsid w:val="009E551F"/>
    <w:rsid w:val="009E5ABA"/>
    <w:rsid w:val="009E6512"/>
    <w:rsid w:val="009E6613"/>
    <w:rsid w:val="009E6F3C"/>
    <w:rsid w:val="009E6FFC"/>
    <w:rsid w:val="009E70B7"/>
    <w:rsid w:val="009E72C2"/>
    <w:rsid w:val="009E7879"/>
    <w:rsid w:val="009E7F5C"/>
    <w:rsid w:val="009F0353"/>
    <w:rsid w:val="009F09A8"/>
    <w:rsid w:val="009F0F95"/>
    <w:rsid w:val="009F13E3"/>
    <w:rsid w:val="009F253C"/>
    <w:rsid w:val="009F274E"/>
    <w:rsid w:val="009F2911"/>
    <w:rsid w:val="009F2C9A"/>
    <w:rsid w:val="009F33A8"/>
    <w:rsid w:val="009F43A9"/>
    <w:rsid w:val="009F48F8"/>
    <w:rsid w:val="009F4EDD"/>
    <w:rsid w:val="009F5077"/>
    <w:rsid w:val="009F5CF2"/>
    <w:rsid w:val="009F5FB2"/>
    <w:rsid w:val="009F622F"/>
    <w:rsid w:val="009F71A1"/>
    <w:rsid w:val="009F75DE"/>
    <w:rsid w:val="009F75F7"/>
    <w:rsid w:val="009F7CE3"/>
    <w:rsid w:val="00A0015D"/>
    <w:rsid w:val="00A0071B"/>
    <w:rsid w:val="00A00C3D"/>
    <w:rsid w:val="00A012C5"/>
    <w:rsid w:val="00A018BC"/>
    <w:rsid w:val="00A01A49"/>
    <w:rsid w:val="00A01CF5"/>
    <w:rsid w:val="00A028B0"/>
    <w:rsid w:val="00A02CD6"/>
    <w:rsid w:val="00A02D6C"/>
    <w:rsid w:val="00A033AE"/>
    <w:rsid w:val="00A04234"/>
    <w:rsid w:val="00A058D0"/>
    <w:rsid w:val="00A05C9D"/>
    <w:rsid w:val="00A06019"/>
    <w:rsid w:val="00A06631"/>
    <w:rsid w:val="00A0664A"/>
    <w:rsid w:val="00A115ED"/>
    <w:rsid w:val="00A11971"/>
    <w:rsid w:val="00A1297C"/>
    <w:rsid w:val="00A12FE7"/>
    <w:rsid w:val="00A136E2"/>
    <w:rsid w:val="00A1379E"/>
    <w:rsid w:val="00A13FC6"/>
    <w:rsid w:val="00A144C7"/>
    <w:rsid w:val="00A14DFA"/>
    <w:rsid w:val="00A15851"/>
    <w:rsid w:val="00A15F06"/>
    <w:rsid w:val="00A161D8"/>
    <w:rsid w:val="00A162B1"/>
    <w:rsid w:val="00A16D44"/>
    <w:rsid w:val="00A170AB"/>
    <w:rsid w:val="00A1717D"/>
    <w:rsid w:val="00A176CA"/>
    <w:rsid w:val="00A17918"/>
    <w:rsid w:val="00A20A8F"/>
    <w:rsid w:val="00A218D4"/>
    <w:rsid w:val="00A21B92"/>
    <w:rsid w:val="00A21F57"/>
    <w:rsid w:val="00A22559"/>
    <w:rsid w:val="00A2266A"/>
    <w:rsid w:val="00A22672"/>
    <w:rsid w:val="00A22AAF"/>
    <w:rsid w:val="00A22CBC"/>
    <w:rsid w:val="00A22D4C"/>
    <w:rsid w:val="00A23D84"/>
    <w:rsid w:val="00A24458"/>
    <w:rsid w:val="00A24687"/>
    <w:rsid w:val="00A2570C"/>
    <w:rsid w:val="00A25B3C"/>
    <w:rsid w:val="00A26197"/>
    <w:rsid w:val="00A26EA3"/>
    <w:rsid w:val="00A3061C"/>
    <w:rsid w:val="00A315D5"/>
    <w:rsid w:val="00A33E4A"/>
    <w:rsid w:val="00A34442"/>
    <w:rsid w:val="00A349F2"/>
    <w:rsid w:val="00A34B53"/>
    <w:rsid w:val="00A34F43"/>
    <w:rsid w:val="00A3509B"/>
    <w:rsid w:val="00A35F77"/>
    <w:rsid w:val="00A36E4B"/>
    <w:rsid w:val="00A37398"/>
    <w:rsid w:val="00A3758E"/>
    <w:rsid w:val="00A404BF"/>
    <w:rsid w:val="00A41734"/>
    <w:rsid w:val="00A417FB"/>
    <w:rsid w:val="00A42C63"/>
    <w:rsid w:val="00A43EA9"/>
    <w:rsid w:val="00A43F71"/>
    <w:rsid w:val="00A44B76"/>
    <w:rsid w:val="00A451B4"/>
    <w:rsid w:val="00A463B8"/>
    <w:rsid w:val="00A47F4B"/>
    <w:rsid w:val="00A50120"/>
    <w:rsid w:val="00A508A2"/>
    <w:rsid w:val="00A50CB2"/>
    <w:rsid w:val="00A50FEB"/>
    <w:rsid w:val="00A5256F"/>
    <w:rsid w:val="00A52E5D"/>
    <w:rsid w:val="00A53185"/>
    <w:rsid w:val="00A54007"/>
    <w:rsid w:val="00A543E2"/>
    <w:rsid w:val="00A5536F"/>
    <w:rsid w:val="00A55580"/>
    <w:rsid w:val="00A55740"/>
    <w:rsid w:val="00A55AC1"/>
    <w:rsid w:val="00A56026"/>
    <w:rsid w:val="00A567A5"/>
    <w:rsid w:val="00A56AE0"/>
    <w:rsid w:val="00A5788C"/>
    <w:rsid w:val="00A604D8"/>
    <w:rsid w:val="00A6173D"/>
    <w:rsid w:val="00A6277F"/>
    <w:rsid w:val="00A634A4"/>
    <w:rsid w:val="00A64810"/>
    <w:rsid w:val="00A65892"/>
    <w:rsid w:val="00A65D7E"/>
    <w:rsid w:val="00A65DA7"/>
    <w:rsid w:val="00A66085"/>
    <w:rsid w:val="00A6777C"/>
    <w:rsid w:val="00A67824"/>
    <w:rsid w:val="00A70B51"/>
    <w:rsid w:val="00A70B8F"/>
    <w:rsid w:val="00A70F13"/>
    <w:rsid w:val="00A710FA"/>
    <w:rsid w:val="00A7137C"/>
    <w:rsid w:val="00A71785"/>
    <w:rsid w:val="00A717D4"/>
    <w:rsid w:val="00A721A6"/>
    <w:rsid w:val="00A722AD"/>
    <w:rsid w:val="00A723B3"/>
    <w:rsid w:val="00A7240F"/>
    <w:rsid w:val="00A729DB"/>
    <w:rsid w:val="00A7361B"/>
    <w:rsid w:val="00A738B1"/>
    <w:rsid w:val="00A743D7"/>
    <w:rsid w:val="00A74B6D"/>
    <w:rsid w:val="00A74CBF"/>
    <w:rsid w:val="00A74CEB"/>
    <w:rsid w:val="00A74E12"/>
    <w:rsid w:val="00A75DFA"/>
    <w:rsid w:val="00A75F7F"/>
    <w:rsid w:val="00A7629F"/>
    <w:rsid w:val="00A770DF"/>
    <w:rsid w:val="00A773AF"/>
    <w:rsid w:val="00A80E09"/>
    <w:rsid w:val="00A823E3"/>
    <w:rsid w:val="00A82A5B"/>
    <w:rsid w:val="00A82A86"/>
    <w:rsid w:val="00A82C37"/>
    <w:rsid w:val="00A83158"/>
    <w:rsid w:val="00A83849"/>
    <w:rsid w:val="00A83978"/>
    <w:rsid w:val="00A8407F"/>
    <w:rsid w:val="00A840B1"/>
    <w:rsid w:val="00A843EE"/>
    <w:rsid w:val="00A84BBA"/>
    <w:rsid w:val="00A868EB"/>
    <w:rsid w:val="00A86C34"/>
    <w:rsid w:val="00A8717F"/>
    <w:rsid w:val="00A873F8"/>
    <w:rsid w:val="00A9026D"/>
    <w:rsid w:val="00A90B8F"/>
    <w:rsid w:val="00A90CE0"/>
    <w:rsid w:val="00A91745"/>
    <w:rsid w:val="00A918F7"/>
    <w:rsid w:val="00A92515"/>
    <w:rsid w:val="00A925FF"/>
    <w:rsid w:val="00A93622"/>
    <w:rsid w:val="00A94461"/>
    <w:rsid w:val="00A95310"/>
    <w:rsid w:val="00A95395"/>
    <w:rsid w:val="00A95A94"/>
    <w:rsid w:val="00A95E90"/>
    <w:rsid w:val="00A962B9"/>
    <w:rsid w:val="00A96B5B"/>
    <w:rsid w:val="00A976A2"/>
    <w:rsid w:val="00A9776E"/>
    <w:rsid w:val="00AA07E3"/>
    <w:rsid w:val="00AA0D99"/>
    <w:rsid w:val="00AA0F25"/>
    <w:rsid w:val="00AA1317"/>
    <w:rsid w:val="00AA2EFA"/>
    <w:rsid w:val="00AA2FAB"/>
    <w:rsid w:val="00AA30B6"/>
    <w:rsid w:val="00AA34C7"/>
    <w:rsid w:val="00AA3847"/>
    <w:rsid w:val="00AA38AB"/>
    <w:rsid w:val="00AA399E"/>
    <w:rsid w:val="00AA3CC5"/>
    <w:rsid w:val="00AA3D6A"/>
    <w:rsid w:val="00AA3F17"/>
    <w:rsid w:val="00AA4845"/>
    <w:rsid w:val="00AA5237"/>
    <w:rsid w:val="00AA553A"/>
    <w:rsid w:val="00AA59B4"/>
    <w:rsid w:val="00AA5EDA"/>
    <w:rsid w:val="00AA606E"/>
    <w:rsid w:val="00AA655A"/>
    <w:rsid w:val="00AA7318"/>
    <w:rsid w:val="00AA74A1"/>
    <w:rsid w:val="00AA77CD"/>
    <w:rsid w:val="00AB061B"/>
    <w:rsid w:val="00AB0CA8"/>
    <w:rsid w:val="00AB1271"/>
    <w:rsid w:val="00AB1A31"/>
    <w:rsid w:val="00AB1ADD"/>
    <w:rsid w:val="00AB236D"/>
    <w:rsid w:val="00AB2442"/>
    <w:rsid w:val="00AB287F"/>
    <w:rsid w:val="00AB3257"/>
    <w:rsid w:val="00AB3CB2"/>
    <w:rsid w:val="00AB3F1E"/>
    <w:rsid w:val="00AB4E28"/>
    <w:rsid w:val="00AB5442"/>
    <w:rsid w:val="00AB6F18"/>
    <w:rsid w:val="00AB7365"/>
    <w:rsid w:val="00AC0101"/>
    <w:rsid w:val="00AC0797"/>
    <w:rsid w:val="00AC0BAA"/>
    <w:rsid w:val="00AC0CC6"/>
    <w:rsid w:val="00AC132A"/>
    <w:rsid w:val="00AC13D7"/>
    <w:rsid w:val="00AC1B28"/>
    <w:rsid w:val="00AC1BF6"/>
    <w:rsid w:val="00AC1C07"/>
    <w:rsid w:val="00AC20A9"/>
    <w:rsid w:val="00AC2BF2"/>
    <w:rsid w:val="00AC2C1C"/>
    <w:rsid w:val="00AC315B"/>
    <w:rsid w:val="00AC3587"/>
    <w:rsid w:val="00AC5366"/>
    <w:rsid w:val="00AC5727"/>
    <w:rsid w:val="00AC5E9D"/>
    <w:rsid w:val="00AC6514"/>
    <w:rsid w:val="00AC6EC1"/>
    <w:rsid w:val="00AC72D4"/>
    <w:rsid w:val="00AD006E"/>
    <w:rsid w:val="00AD0C53"/>
    <w:rsid w:val="00AD1AFC"/>
    <w:rsid w:val="00AD1E98"/>
    <w:rsid w:val="00AD20EF"/>
    <w:rsid w:val="00AD27F1"/>
    <w:rsid w:val="00AD28CD"/>
    <w:rsid w:val="00AD402F"/>
    <w:rsid w:val="00AD42BC"/>
    <w:rsid w:val="00AD4899"/>
    <w:rsid w:val="00AD4A66"/>
    <w:rsid w:val="00AD5DEA"/>
    <w:rsid w:val="00AD636E"/>
    <w:rsid w:val="00AD7B4B"/>
    <w:rsid w:val="00AD7E22"/>
    <w:rsid w:val="00AE09F3"/>
    <w:rsid w:val="00AE0D74"/>
    <w:rsid w:val="00AE107F"/>
    <w:rsid w:val="00AE1763"/>
    <w:rsid w:val="00AE3340"/>
    <w:rsid w:val="00AE3483"/>
    <w:rsid w:val="00AE39C3"/>
    <w:rsid w:val="00AE4A3E"/>
    <w:rsid w:val="00AE4BBB"/>
    <w:rsid w:val="00AE596F"/>
    <w:rsid w:val="00AE6050"/>
    <w:rsid w:val="00AE613F"/>
    <w:rsid w:val="00AE6CBE"/>
    <w:rsid w:val="00AE6E08"/>
    <w:rsid w:val="00AE7493"/>
    <w:rsid w:val="00AE7A05"/>
    <w:rsid w:val="00AF030B"/>
    <w:rsid w:val="00AF05DA"/>
    <w:rsid w:val="00AF06CC"/>
    <w:rsid w:val="00AF0E29"/>
    <w:rsid w:val="00AF0FF5"/>
    <w:rsid w:val="00AF1265"/>
    <w:rsid w:val="00AF15B0"/>
    <w:rsid w:val="00AF1751"/>
    <w:rsid w:val="00AF1A04"/>
    <w:rsid w:val="00AF27E6"/>
    <w:rsid w:val="00AF2BF1"/>
    <w:rsid w:val="00AF2D3A"/>
    <w:rsid w:val="00AF2EB2"/>
    <w:rsid w:val="00AF2FBB"/>
    <w:rsid w:val="00AF4643"/>
    <w:rsid w:val="00AF4B6D"/>
    <w:rsid w:val="00AF4CAE"/>
    <w:rsid w:val="00AF4DAA"/>
    <w:rsid w:val="00AF4F47"/>
    <w:rsid w:val="00AF5943"/>
    <w:rsid w:val="00AF62B4"/>
    <w:rsid w:val="00AF6B2C"/>
    <w:rsid w:val="00AF7490"/>
    <w:rsid w:val="00B01273"/>
    <w:rsid w:val="00B02609"/>
    <w:rsid w:val="00B03B69"/>
    <w:rsid w:val="00B0412D"/>
    <w:rsid w:val="00B04240"/>
    <w:rsid w:val="00B04A23"/>
    <w:rsid w:val="00B057EE"/>
    <w:rsid w:val="00B05B42"/>
    <w:rsid w:val="00B06142"/>
    <w:rsid w:val="00B06A94"/>
    <w:rsid w:val="00B07046"/>
    <w:rsid w:val="00B07292"/>
    <w:rsid w:val="00B072F7"/>
    <w:rsid w:val="00B0754D"/>
    <w:rsid w:val="00B075D9"/>
    <w:rsid w:val="00B10A07"/>
    <w:rsid w:val="00B1233E"/>
    <w:rsid w:val="00B12D7B"/>
    <w:rsid w:val="00B12EAC"/>
    <w:rsid w:val="00B132AA"/>
    <w:rsid w:val="00B134AF"/>
    <w:rsid w:val="00B1391B"/>
    <w:rsid w:val="00B140F0"/>
    <w:rsid w:val="00B149BF"/>
    <w:rsid w:val="00B16225"/>
    <w:rsid w:val="00B1631F"/>
    <w:rsid w:val="00B163AB"/>
    <w:rsid w:val="00B163CC"/>
    <w:rsid w:val="00B1685D"/>
    <w:rsid w:val="00B16CE2"/>
    <w:rsid w:val="00B170C7"/>
    <w:rsid w:val="00B178D3"/>
    <w:rsid w:val="00B17F81"/>
    <w:rsid w:val="00B20496"/>
    <w:rsid w:val="00B20FCC"/>
    <w:rsid w:val="00B210A3"/>
    <w:rsid w:val="00B2118C"/>
    <w:rsid w:val="00B21364"/>
    <w:rsid w:val="00B21FB1"/>
    <w:rsid w:val="00B24159"/>
    <w:rsid w:val="00B247F3"/>
    <w:rsid w:val="00B24EB7"/>
    <w:rsid w:val="00B25D5C"/>
    <w:rsid w:val="00B26E8C"/>
    <w:rsid w:val="00B2729B"/>
    <w:rsid w:val="00B27999"/>
    <w:rsid w:val="00B27A0A"/>
    <w:rsid w:val="00B306A6"/>
    <w:rsid w:val="00B30E6A"/>
    <w:rsid w:val="00B30F23"/>
    <w:rsid w:val="00B3136D"/>
    <w:rsid w:val="00B31A08"/>
    <w:rsid w:val="00B31DEC"/>
    <w:rsid w:val="00B32358"/>
    <w:rsid w:val="00B33320"/>
    <w:rsid w:val="00B35E5E"/>
    <w:rsid w:val="00B3606A"/>
    <w:rsid w:val="00B368E1"/>
    <w:rsid w:val="00B36F23"/>
    <w:rsid w:val="00B3790D"/>
    <w:rsid w:val="00B405EF"/>
    <w:rsid w:val="00B40B0E"/>
    <w:rsid w:val="00B40CC1"/>
    <w:rsid w:val="00B41384"/>
    <w:rsid w:val="00B41EA8"/>
    <w:rsid w:val="00B42102"/>
    <w:rsid w:val="00B424DB"/>
    <w:rsid w:val="00B42618"/>
    <w:rsid w:val="00B42B3F"/>
    <w:rsid w:val="00B42BF4"/>
    <w:rsid w:val="00B42E28"/>
    <w:rsid w:val="00B43A15"/>
    <w:rsid w:val="00B43D6D"/>
    <w:rsid w:val="00B44858"/>
    <w:rsid w:val="00B44A1A"/>
    <w:rsid w:val="00B45072"/>
    <w:rsid w:val="00B457E8"/>
    <w:rsid w:val="00B458EA"/>
    <w:rsid w:val="00B45B69"/>
    <w:rsid w:val="00B45E71"/>
    <w:rsid w:val="00B46BCE"/>
    <w:rsid w:val="00B46C3A"/>
    <w:rsid w:val="00B50189"/>
    <w:rsid w:val="00B516C8"/>
    <w:rsid w:val="00B517F1"/>
    <w:rsid w:val="00B51DB8"/>
    <w:rsid w:val="00B52802"/>
    <w:rsid w:val="00B52D1B"/>
    <w:rsid w:val="00B5336A"/>
    <w:rsid w:val="00B53CC8"/>
    <w:rsid w:val="00B53DC8"/>
    <w:rsid w:val="00B53F44"/>
    <w:rsid w:val="00B551E4"/>
    <w:rsid w:val="00B55372"/>
    <w:rsid w:val="00B55686"/>
    <w:rsid w:val="00B558EC"/>
    <w:rsid w:val="00B56A48"/>
    <w:rsid w:val="00B5788C"/>
    <w:rsid w:val="00B57B6A"/>
    <w:rsid w:val="00B57C00"/>
    <w:rsid w:val="00B600E3"/>
    <w:rsid w:val="00B6057C"/>
    <w:rsid w:val="00B60C22"/>
    <w:rsid w:val="00B613F1"/>
    <w:rsid w:val="00B6228A"/>
    <w:rsid w:val="00B625F3"/>
    <w:rsid w:val="00B63288"/>
    <w:rsid w:val="00B636D4"/>
    <w:rsid w:val="00B647E5"/>
    <w:rsid w:val="00B66629"/>
    <w:rsid w:val="00B66ACC"/>
    <w:rsid w:val="00B67E5E"/>
    <w:rsid w:val="00B70A12"/>
    <w:rsid w:val="00B70E03"/>
    <w:rsid w:val="00B71723"/>
    <w:rsid w:val="00B7188D"/>
    <w:rsid w:val="00B725CA"/>
    <w:rsid w:val="00B727C7"/>
    <w:rsid w:val="00B733B7"/>
    <w:rsid w:val="00B73459"/>
    <w:rsid w:val="00B7399C"/>
    <w:rsid w:val="00B75929"/>
    <w:rsid w:val="00B75A61"/>
    <w:rsid w:val="00B76618"/>
    <w:rsid w:val="00B76742"/>
    <w:rsid w:val="00B76DD5"/>
    <w:rsid w:val="00B77DBD"/>
    <w:rsid w:val="00B77E0F"/>
    <w:rsid w:val="00B77F1A"/>
    <w:rsid w:val="00B80CB8"/>
    <w:rsid w:val="00B80E4D"/>
    <w:rsid w:val="00B81374"/>
    <w:rsid w:val="00B814A0"/>
    <w:rsid w:val="00B820FE"/>
    <w:rsid w:val="00B8260D"/>
    <w:rsid w:val="00B82C67"/>
    <w:rsid w:val="00B838D9"/>
    <w:rsid w:val="00B84270"/>
    <w:rsid w:val="00B846F7"/>
    <w:rsid w:val="00B84A00"/>
    <w:rsid w:val="00B84EE5"/>
    <w:rsid w:val="00B86588"/>
    <w:rsid w:val="00B86591"/>
    <w:rsid w:val="00B86886"/>
    <w:rsid w:val="00B86A67"/>
    <w:rsid w:val="00B872D0"/>
    <w:rsid w:val="00B87602"/>
    <w:rsid w:val="00B87FF3"/>
    <w:rsid w:val="00B91A88"/>
    <w:rsid w:val="00B91B53"/>
    <w:rsid w:val="00B924A0"/>
    <w:rsid w:val="00B939EF"/>
    <w:rsid w:val="00B9460C"/>
    <w:rsid w:val="00B95688"/>
    <w:rsid w:val="00B95889"/>
    <w:rsid w:val="00B95962"/>
    <w:rsid w:val="00B95AF2"/>
    <w:rsid w:val="00B95D2F"/>
    <w:rsid w:val="00B95FFE"/>
    <w:rsid w:val="00B96145"/>
    <w:rsid w:val="00B96253"/>
    <w:rsid w:val="00B96753"/>
    <w:rsid w:val="00B968C9"/>
    <w:rsid w:val="00B96CEC"/>
    <w:rsid w:val="00B96E73"/>
    <w:rsid w:val="00B97D0F"/>
    <w:rsid w:val="00BA05AC"/>
    <w:rsid w:val="00BA073D"/>
    <w:rsid w:val="00BA0F0F"/>
    <w:rsid w:val="00BA1019"/>
    <w:rsid w:val="00BA1A6C"/>
    <w:rsid w:val="00BA28F2"/>
    <w:rsid w:val="00BA31C8"/>
    <w:rsid w:val="00BA3CA3"/>
    <w:rsid w:val="00BA3D29"/>
    <w:rsid w:val="00BA3F56"/>
    <w:rsid w:val="00BA4F51"/>
    <w:rsid w:val="00BA575A"/>
    <w:rsid w:val="00BA598B"/>
    <w:rsid w:val="00BA6151"/>
    <w:rsid w:val="00BA673F"/>
    <w:rsid w:val="00BA6D86"/>
    <w:rsid w:val="00BA7E41"/>
    <w:rsid w:val="00BB1225"/>
    <w:rsid w:val="00BB1962"/>
    <w:rsid w:val="00BB2950"/>
    <w:rsid w:val="00BB3EE7"/>
    <w:rsid w:val="00BB468F"/>
    <w:rsid w:val="00BB5E13"/>
    <w:rsid w:val="00BB6787"/>
    <w:rsid w:val="00BB67D9"/>
    <w:rsid w:val="00BC101A"/>
    <w:rsid w:val="00BC13CF"/>
    <w:rsid w:val="00BC14FF"/>
    <w:rsid w:val="00BC1EAE"/>
    <w:rsid w:val="00BC2909"/>
    <w:rsid w:val="00BC2C3C"/>
    <w:rsid w:val="00BC36CF"/>
    <w:rsid w:val="00BC3AE7"/>
    <w:rsid w:val="00BC3D0D"/>
    <w:rsid w:val="00BC454D"/>
    <w:rsid w:val="00BC538C"/>
    <w:rsid w:val="00BC6239"/>
    <w:rsid w:val="00BC687F"/>
    <w:rsid w:val="00BC6DFA"/>
    <w:rsid w:val="00BC70DD"/>
    <w:rsid w:val="00BC7143"/>
    <w:rsid w:val="00BC7450"/>
    <w:rsid w:val="00BC7982"/>
    <w:rsid w:val="00BC7F39"/>
    <w:rsid w:val="00BD067A"/>
    <w:rsid w:val="00BD099B"/>
    <w:rsid w:val="00BD09C2"/>
    <w:rsid w:val="00BD149C"/>
    <w:rsid w:val="00BD19F9"/>
    <w:rsid w:val="00BD209E"/>
    <w:rsid w:val="00BD356F"/>
    <w:rsid w:val="00BD3DEF"/>
    <w:rsid w:val="00BD4394"/>
    <w:rsid w:val="00BD4B0F"/>
    <w:rsid w:val="00BD4B85"/>
    <w:rsid w:val="00BD5030"/>
    <w:rsid w:val="00BD5095"/>
    <w:rsid w:val="00BD51E4"/>
    <w:rsid w:val="00BD5574"/>
    <w:rsid w:val="00BD5AE7"/>
    <w:rsid w:val="00BD5C6D"/>
    <w:rsid w:val="00BD5F90"/>
    <w:rsid w:val="00BD659B"/>
    <w:rsid w:val="00BD6C41"/>
    <w:rsid w:val="00BD6C4E"/>
    <w:rsid w:val="00BD6DE5"/>
    <w:rsid w:val="00BD7571"/>
    <w:rsid w:val="00BD76B8"/>
    <w:rsid w:val="00BD7714"/>
    <w:rsid w:val="00BD7770"/>
    <w:rsid w:val="00BD7C24"/>
    <w:rsid w:val="00BE0D36"/>
    <w:rsid w:val="00BE0E5D"/>
    <w:rsid w:val="00BE0E99"/>
    <w:rsid w:val="00BE1A4B"/>
    <w:rsid w:val="00BE1AB7"/>
    <w:rsid w:val="00BE1CA8"/>
    <w:rsid w:val="00BE1E29"/>
    <w:rsid w:val="00BE2420"/>
    <w:rsid w:val="00BE29FA"/>
    <w:rsid w:val="00BE2C5F"/>
    <w:rsid w:val="00BE2DB6"/>
    <w:rsid w:val="00BE320E"/>
    <w:rsid w:val="00BE39E1"/>
    <w:rsid w:val="00BE3E0E"/>
    <w:rsid w:val="00BE41A2"/>
    <w:rsid w:val="00BE6731"/>
    <w:rsid w:val="00BE6CC5"/>
    <w:rsid w:val="00BE6F85"/>
    <w:rsid w:val="00BE7084"/>
    <w:rsid w:val="00BE7B4D"/>
    <w:rsid w:val="00BE7F98"/>
    <w:rsid w:val="00BF04B5"/>
    <w:rsid w:val="00BF08B2"/>
    <w:rsid w:val="00BF1FE3"/>
    <w:rsid w:val="00BF238F"/>
    <w:rsid w:val="00BF2424"/>
    <w:rsid w:val="00BF267D"/>
    <w:rsid w:val="00BF2CA1"/>
    <w:rsid w:val="00BF30E7"/>
    <w:rsid w:val="00BF3E90"/>
    <w:rsid w:val="00BF572A"/>
    <w:rsid w:val="00BF5785"/>
    <w:rsid w:val="00BF7448"/>
    <w:rsid w:val="00BF78AC"/>
    <w:rsid w:val="00C00317"/>
    <w:rsid w:val="00C0048B"/>
    <w:rsid w:val="00C01976"/>
    <w:rsid w:val="00C01B3C"/>
    <w:rsid w:val="00C0202B"/>
    <w:rsid w:val="00C0263B"/>
    <w:rsid w:val="00C02783"/>
    <w:rsid w:val="00C030B2"/>
    <w:rsid w:val="00C03786"/>
    <w:rsid w:val="00C038A7"/>
    <w:rsid w:val="00C0527A"/>
    <w:rsid w:val="00C05372"/>
    <w:rsid w:val="00C06115"/>
    <w:rsid w:val="00C06762"/>
    <w:rsid w:val="00C070BF"/>
    <w:rsid w:val="00C10425"/>
    <w:rsid w:val="00C10F86"/>
    <w:rsid w:val="00C11772"/>
    <w:rsid w:val="00C118CA"/>
    <w:rsid w:val="00C1222A"/>
    <w:rsid w:val="00C126E1"/>
    <w:rsid w:val="00C1300C"/>
    <w:rsid w:val="00C1332F"/>
    <w:rsid w:val="00C1425C"/>
    <w:rsid w:val="00C147B6"/>
    <w:rsid w:val="00C1544B"/>
    <w:rsid w:val="00C156E7"/>
    <w:rsid w:val="00C16540"/>
    <w:rsid w:val="00C16748"/>
    <w:rsid w:val="00C169FC"/>
    <w:rsid w:val="00C16A1D"/>
    <w:rsid w:val="00C16E1A"/>
    <w:rsid w:val="00C201CE"/>
    <w:rsid w:val="00C20994"/>
    <w:rsid w:val="00C2124C"/>
    <w:rsid w:val="00C21593"/>
    <w:rsid w:val="00C2174E"/>
    <w:rsid w:val="00C2202B"/>
    <w:rsid w:val="00C2361C"/>
    <w:rsid w:val="00C2403F"/>
    <w:rsid w:val="00C240E7"/>
    <w:rsid w:val="00C253E2"/>
    <w:rsid w:val="00C27069"/>
    <w:rsid w:val="00C277F9"/>
    <w:rsid w:val="00C27C11"/>
    <w:rsid w:val="00C27D48"/>
    <w:rsid w:val="00C310C8"/>
    <w:rsid w:val="00C319EA"/>
    <w:rsid w:val="00C3205C"/>
    <w:rsid w:val="00C32CD1"/>
    <w:rsid w:val="00C32F7C"/>
    <w:rsid w:val="00C3351F"/>
    <w:rsid w:val="00C34313"/>
    <w:rsid w:val="00C345AB"/>
    <w:rsid w:val="00C3503E"/>
    <w:rsid w:val="00C3546E"/>
    <w:rsid w:val="00C35B4E"/>
    <w:rsid w:val="00C35B93"/>
    <w:rsid w:val="00C36909"/>
    <w:rsid w:val="00C40870"/>
    <w:rsid w:val="00C40AB2"/>
    <w:rsid w:val="00C41551"/>
    <w:rsid w:val="00C42CA9"/>
    <w:rsid w:val="00C42E4C"/>
    <w:rsid w:val="00C444D7"/>
    <w:rsid w:val="00C44928"/>
    <w:rsid w:val="00C451C4"/>
    <w:rsid w:val="00C4580E"/>
    <w:rsid w:val="00C45E0A"/>
    <w:rsid w:val="00C45EF4"/>
    <w:rsid w:val="00C45FB7"/>
    <w:rsid w:val="00C46052"/>
    <w:rsid w:val="00C46DE6"/>
    <w:rsid w:val="00C46E91"/>
    <w:rsid w:val="00C5007E"/>
    <w:rsid w:val="00C51BF4"/>
    <w:rsid w:val="00C51D03"/>
    <w:rsid w:val="00C5212A"/>
    <w:rsid w:val="00C52CCC"/>
    <w:rsid w:val="00C53209"/>
    <w:rsid w:val="00C5349F"/>
    <w:rsid w:val="00C53554"/>
    <w:rsid w:val="00C53B37"/>
    <w:rsid w:val="00C54065"/>
    <w:rsid w:val="00C542C4"/>
    <w:rsid w:val="00C544F2"/>
    <w:rsid w:val="00C55110"/>
    <w:rsid w:val="00C55132"/>
    <w:rsid w:val="00C55789"/>
    <w:rsid w:val="00C5588C"/>
    <w:rsid w:val="00C55EC2"/>
    <w:rsid w:val="00C55FD6"/>
    <w:rsid w:val="00C5714F"/>
    <w:rsid w:val="00C57E17"/>
    <w:rsid w:val="00C61656"/>
    <w:rsid w:val="00C617F6"/>
    <w:rsid w:val="00C61A1D"/>
    <w:rsid w:val="00C61C45"/>
    <w:rsid w:val="00C621E2"/>
    <w:rsid w:val="00C62980"/>
    <w:rsid w:val="00C62C2E"/>
    <w:rsid w:val="00C62EFF"/>
    <w:rsid w:val="00C63547"/>
    <w:rsid w:val="00C6370B"/>
    <w:rsid w:val="00C63E17"/>
    <w:rsid w:val="00C64084"/>
    <w:rsid w:val="00C64E11"/>
    <w:rsid w:val="00C6538D"/>
    <w:rsid w:val="00C655F6"/>
    <w:rsid w:val="00C658C3"/>
    <w:rsid w:val="00C65A2F"/>
    <w:rsid w:val="00C65DA5"/>
    <w:rsid w:val="00C673D1"/>
    <w:rsid w:val="00C67775"/>
    <w:rsid w:val="00C677FB"/>
    <w:rsid w:val="00C67B71"/>
    <w:rsid w:val="00C67C1B"/>
    <w:rsid w:val="00C71785"/>
    <w:rsid w:val="00C72594"/>
    <w:rsid w:val="00C72715"/>
    <w:rsid w:val="00C73251"/>
    <w:rsid w:val="00C733DB"/>
    <w:rsid w:val="00C73FEA"/>
    <w:rsid w:val="00C74020"/>
    <w:rsid w:val="00C745AD"/>
    <w:rsid w:val="00C748D8"/>
    <w:rsid w:val="00C74C84"/>
    <w:rsid w:val="00C74D32"/>
    <w:rsid w:val="00C752E7"/>
    <w:rsid w:val="00C76280"/>
    <w:rsid w:val="00C76452"/>
    <w:rsid w:val="00C76551"/>
    <w:rsid w:val="00C77268"/>
    <w:rsid w:val="00C772F5"/>
    <w:rsid w:val="00C773AF"/>
    <w:rsid w:val="00C77B60"/>
    <w:rsid w:val="00C80BC0"/>
    <w:rsid w:val="00C811C7"/>
    <w:rsid w:val="00C819E2"/>
    <w:rsid w:val="00C81F8B"/>
    <w:rsid w:val="00C822D6"/>
    <w:rsid w:val="00C829BB"/>
    <w:rsid w:val="00C82D99"/>
    <w:rsid w:val="00C83AA0"/>
    <w:rsid w:val="00C8408B"/>
    <w:rsid w:val="00C84678"/>
    <w:rsid w:val="00C84982"/>
    <w:rsid w:val="00C84E8B"/>
    <w:rsid w:val="00C852FE"/>
    <w:rsid w:val="00C85854"/>
    <w:rsid w:val="00C85892"/>
    <w:rsid w:val="00C85951"/>
    <w:rsid w:val="00C871B3"/>
    <w:rsid w:val="00C90289"/>
    <w:rsid w:val="00C90782"/>
    <w:rsid w:val="00C9085F"/>
    <w:rsid w:val="00C90F33"/>
    <w:rsid w:val="00C911F0"/>
    <w:rsid w:val="00C91723"/>
    <w:rsid w:val="00C92850"/>
    <w:rsid w:val="00C92AE2"/>
    <w:rsid w:val="00C93329"/>
    <w:rsid w:val="00C9549A"/>
    <w:rsid w:val="00C95811"/>
    <w:rsid w:val="00C95997"/>
    <w:rsid w:val="00C95B1F"/>
    <w:rsid w:val="00C95D71"/>
    <w:rsid w:val="00C96A1A"/>
    <w:rsid w:val="00CA0023"/>
    <w:rsid w:val="00CA02B1"/>
    <w:rsid w:val="00CA034F"/>
    <w:rsid w:val="00CA0D66"/>
    <w:rsid w:val="00CA11CE"/>
    <w:rsid w:val="00CA183D"/>
    <w:rsid w:val="00CA2095"/>
    <w:rsid w:val="00CA2B9E"/>
    <w:rsid w:val="00CA2BFB"/>
    <w:rsid w:val="00CA2DCC"/>
    <w:rsid w:val="00CA3238"/>
    <w:rsid w:val="00CA3242"/>
    <w:rsid w:val="00CA395B"/>
    <w:rsid w:val="00CA3A59"/>
    <w:rsid w:val="00CA4428"/>
    <w:rsid w:val="00CA4A33"/>
    <w:rsid w:val="00CA56C9"/>
    <w:rsid w:val="00CA5CFB"/>
    <w:rsid w:val="00CA6159"/>
    <w:rsid w:val="00CA6522"/>
    <w:rsid w:val="00CA6716"/>
    <w:rsid w:val="00CA69FB"/>
    <w:rsid w:val="00CA6A06"/>
    <w:rsid w:val="00CA7376"/>
    <w:rsid w:val="00CA79F2"/>
    <w:rsid w:val="00CA7CC5"/>
    <w:rsid w:val="00CB0A42"/>
    <w:rsid w:val="00CB0D32"/>
    <w:rsid w:val="00CB0F1F"/>
    <w:rsid w:val="00CB22CC"/>
    <w:rsid w:val="00CB28BB"/>
    <w:rsid w:val="00CB5156"/>
    <w:rsid w:val="00CB599C"/>
    <w:rsid w:val="00CB667F"/>
    <w:rsid w:val="00CB6FF4"/>
    <w:rsid w:val="00CB733F"/>
    <w:rsid w:val="00CC040E"/>
    <w:rsid w:val="00CC05AC"/>
    <w:rsid w:val="00CC0DE0"/>
    <w:rsid w:val="00CC0E05"/>
    <w:rsid w:val="00CC0FC6"/>
    <w:rsid w:val="00CC19C3"/>
    <w:rsid w:val="00CC1B90"/>
    <w:rsid w:val="00CC2E36"/>
    <w:rsid w:val="00CC355B"/>
    <w:rsid w:val="00CC3C03"/>
    <w:rsid w:val="00CC4196"/>
    <w:rsid w:val="00CC42FA"/>
    <w:rsid w:val="00CC46C0"/>
    <w:rsid w:val="00CC4D90"/>
    <w:rsid w:val="00CC4DCC"/>
    <w:rsid w:val="00CC5324"/>
    <w:rsid w:val="00CC6F51"/>
    <w:rsid w:val="00CD27B0"/>
    <w:rsid w:val="00CD34B4"/>
    <w:rsid w:val="00CD52D0"/>
    <w:rsid w:val="00CD5C42"/>
    <w:rsid w:val="00CD5F6C"/>
    <w:rsid w:val="00CD64DD"/>
    <w:rsid w:val="00CD660F"/>
    <w:rsid w:val="00CD72A6"/>
    <w:rsid w:val="00CE003A"/>
    <w:rsid w:val="00CE02BB"/>
    <w:rsid w:val="00CE0637"/>
    <w:rsid w:val="00CE0A1B"/>
    <w:rsid w:val="00CE1393"/>
    <w:rsid w:val="00CE1E58"/>
    <w:rsid w:val="00CE37D7"/>
    <w:rsid w:val="00CE4D86"/>
    <w:rsid w:val="00CE54EA"/>
    <w:rsid w:val="00CE569B"/>
    <w:rsid w:val="00CE6265"/>
    <w:rsid w:val="00CE68CD"/>
    <w:rsid w:val="00CE6D06"/>
    <w:rsid w:val="00CE6E4E"/>
    <w:rsid w:val="00CE7A57"/>
    <w:rsid w:val="00CF0270"/>
    <w:rsid w:val="00CF05F7"/>
    <w:rsid w:val="00CF129F"/>
    <w:rsid w:val="00CF27C6"/>
    <w:rsid w:val="00CF2BAA"/>
    <w:rsid w:val="00CF34B3"/>
    <w:rsid w:val="00CF3FCC"/>
    <w:rsid w:val="00CF4D9D"/>
    <w:rsid w:val="00CF4DB2"/>
    <w:rsid w:val="00CF502C"/>
    <w:rsid w:val="00CF6392"/>
    <w:rsid w:val="00CF6CF4"/>
    <w:rsid w:val="00D00F40"/>
    <w:rsid w:val="00D01D75"/>
    <w:rsid w:val="00D031E7"/>
    <w:rsid w:val="00D038F8"/>
    <w:rsid w:val="00D04233"/>
    <w:rsid w:val="00D048E2"/>
    <w:rsid w:val="00D04DBA"/>
    <w:rsid w:val="00D04F44"/>
    <w:rsid w:val="00D05177"/>
    <w:rsid w:val="00D05C8D"/>
    <w:rsid w:val="00D05D38"/>
    <w:rsid w:val="00D0773E"/>
    <w:rsid w:val="00D07FEB"/>
    <w:rsid w:val="00D10888"/>
    <w:rsid w:val="00D1104E"/>
    <w:rsid w:val="00D1110E"/>
    <w:rsid w:val="00D11889"/>
    <w:rsid w:val="00D12087"/>
    <w:rsid w:val="00D120FF"/>
    <w:rsid w:val="00D128E2"/>
    <w:rsid w:val="00D1330D"/>
    <w:rsid w:val="00D13357"/>
    <w:rsid w:val="00D14B06"/>
    <w:rsid w:val="00D14B96"/>
    <w:rsid w:val="00D1520D"/>
    <w:rsid w:val="00D154D7"/>
    <w:rsid w:val="00D157EC"/>
    <w:rsid w:val="00D167B6"/>
    <w:rsid w:val="00D1682B"/>
    <w:rsid w:val="00D16F15"/>
    <w:rsid w:val="00D200A7"/>
    <w:rsid w:val="00D20527"/>
    <w:rsid w:val="00D20590"/>
    <w:rsid w:val="00D21304"/>
    <w:rsid w:val="00D21398"/>
    <w:rsid w:val="00D222F3"/>
    <w:rsid w:val="00D22BD4"/>
    <w:rsid w:val="00D22E78"/>
    <w:rsid w:val="00D23369"/>
    <w:rsid w:val="00D24567"/>
    <w:rsid w:val="00D24BD3"/>
    <w:rsid w:val="00D24BF7"/>
    <w:rsid w:val="00D25683"/>
    <w:rsid w:val="00D25755"/>
    <w:rsid w:val="00D2588A"/>
    <w:rsid w:val="00D25CCF"/>
    <w:rsid w:val="00D263FE"/>
    <w:rsid w:val="00D2698E"/>
    <w:rsid w:val="00D26E50"/>
    <w:rsid w:val="00D26EE5"/>
    <w:rsid w:val="00D270F5"/>
    <w:rsid w:val="00D27EC7"/>
    <w:rsid w:val="00D27F49"/>
    <w:rsid w:val="00D30349"/>
    <w:rsid w:val="00D304A2"/>
    <w:rsid w:val="00D30852"/>
    <w:rsid w:val="00D3099B"/>
    <w:rsid w:val="00D30D3F"/>
    <w:rsid w:val="00D30FB1"/>
    <w:rsid w:val="00D31094"/>
    <w:rsid w:val="00D3138C"/>
    <w:rsid w:val="00D313A9"/>
    <w:rsid w:val="00D32ACD"/>
    <w:rsid w:val="00D32D21"/>
    <w:rsid w:val="00D348D4"/>
    <w:rsid w:val="00D349FE"/>
    <w:rsid w:val="00D35667"/>
    <w:rsid w:val="00D357E6"/>
    <w:rsid w:val="00D36505"/>
    <w:rsid w:val="00D36850"/>
    <w:rsid w:val="00D36BBB"/>
    <w:rsid w:val="00D36F48"/>
    <w:rsid w:val="00D37715"/>
    <w:rsid w:val="00D403C2"/>
    <w:rsid w:val="00D4100A"/>
    <w:rsid w:val="00D41A0C"/>
    <w:rsid w:val="00D41F13"/>
    <w:rsid w:val="00D42D13"/>
    <w:rsid w:val="00D43074"/>
    <w:rsid w:val="00D43AF6"/>
    <w:rsid w:val="00D43B23"/>
    <w:rsid w:val="00D43B5F"/>
    <w:rsid w:val="00D43F90"/>
    <w:rsid w:val="00D44021"/>
    <w:rsid w:val="00D443DE"/>
    <w:rsid w:val="00D45016"/>
    <w:rsid w:val="00D45A20"/>
    <w:rsid w:val="00D471A5"/>
    <w:rsid w:val="00D471D4"/>
    <w:rsid w:val="00D47433"/>
    <w:rsid w:val="00D504AC"/>
    <w:rsid w:val="00D50B73"/>
    <w:rsid w:val="00D50F31"/>
    <w:rsid w:val="00D531DE"/>
    <w:rsid w:val="00D541D6"/>
    <w:rsid w:val="00D54A19"/>
    <w:rsid w:val="00D54CCD"/>
    <w:rsid w:val="00D55762"/>
    <w:rsid w:val="00D557A6"/>
    <w:rsid w:val="00D55A22"/>
    <w:rsid w:val="00D573A6"/>
    <w:rsid w:val="00D57C33"/>
    <w:rsid w:val="00D57EED"/>
    <w:rsid w:val="00D60043"/>
    <w:rsid w:val="00D60600"/>
    <w:rsid w:val="00D60B39"/>
    <w:rsid w:val="00D618EF"/>
    <w:rsid w:val="00D625B3"/>
    <w:rsid w:val="00D62BC7"/>
    <w:rsid w:val="00D631D5"/>
    <w:rsid w:val="00D63C32"/>
    <w:rsid w:val="00D63C89"/>
    <w:rsid w:val="00D6538E"/>
    <w:rsid w:val="00D66407"/>
    <w:rsid w:val="00D66B09"/>
    <w:rsid w:val="00D67E93"/>
    <w:rsid w:val="00D67EA4"/>
    <w:rsid w:val="00D7005E"/>
    <w:rsid w:val="00D706CA"/>
    <w:rsid w:val="00D70BAB"/>
    <w:rsid w:val="00D71398"/>
    <w:rsid w:val="00D71499"/>
    <w:rsid w:val="00D719AC"/>
    <w:rsid w:val="00D72A10"/>
    <w:rsid w:val="00D732E1"/>
    <w:rsid w:val="00D73D1F"/>
    <w:rsid w:val="00D74721"/>
    <w:rsid w:val="00D74E22"/>
    <w:rsid w:val="00D7582B"/>
    <w:rsid w:val="00D75E99"/>
    <w:rsid w:val="00D76033"/>
    <w:rsid w:val="00D7605D"/>
    <w:rsid w:val="00D762E7"/>
    <w:rsid w:val="00D77356"/>
    <w:rsid w:val="00D77723"/>
    <w:rsid w:val="00D8136C"/>
    <w:rsid w:val="00D815D5"/>
    <w:rsid w:val="00D81CF8"/>
    <w:rsid w:val="00D81F40"/>
    <w:rsid w:val="00D8267F"/>
    <w:rsid w:val="00D82F8C"/>
    <w:rsid w:val="00D836DE"/>
    <w:rsid w:val="00D8376B"/>
    <w:rsid w:val="00D83DE3"/>
    <w:rsid w:val="00D848D5"/>
    <w:rsid w:val="00D84CE3"/>
    <w:rsid w:val="00D851CF"/>
    <w:rsid w:val="00D8532B"/>
    <w:rsid w:val="00D85C84"/>
    <w:rsid w:val="00D85EB7"/>
    <w:rsid w:val="00D86257"/>
    <w:rsid w:val="00D87124"/>
    <w:rsid w:val="00D8750B"/>
    <w:rsid w:val="00D875C3"/>
    <w:rsid w:val="00D87AF3"/>
    <w:rsid w:val="00D904C3"/>
    <w:rsid w:val="00D90ACA"/>
    <w:rsid w:val="00D90B90"/>
    <w:rsid w:val="00D90BC6"/>
    <w:rsid w:val="00D91232"/>
    <w:rsid w:val="00D912A7"/>
    <w:rsid w:val="00D91ED8"/>
    <w:rsid w:val="00D91FB7"/>
    <w:rsid w:val="00D91FD0"/>
    <w:rsid w:val="00D9278A"/>
    <w:rsid w:val="00D92CC0"/>
    <w:rsid w:val="00D936B3"/>
    <w:rsid w:val="00D93A7C"/>
    <w:rsid w:val="00D93C5C"/>
    <w:rsid w:val="00D93D65"/>
    <w:rsid w:val="00D949E6"/>
    <w:rsid w:val="00D95163"/>
    <w:rsid w:val="00D96960"/>
    <w:rsid w:val="00D96F2E"/>
    <w:rsid w:val="00D97546"/>
    <w:rsid w:val="00DA0EF7"/>
    <w:rsid w:val="00DA1E56"/>
    <w:rsid w:val="00DA26B6"/>
    <w:rsid w:val="00DA26DE"/>
    <w:rsid w:val="00DA3201"/>
    <w:rsid w:val="00DA33E3"/>
    <w:rsid w:val="00DA3E46"/>
    <w:rsid w:val="00DA4DF3"/>
    <w:rsid w:val="00DA4ED8"/>
    <w:rsid w:val="00DA5F89"/>
    <w:rsid w:val="00DA62D2"/>
    <w:rsid w:val="00DA69EA"/>
    <w:rsid w:val="00DA6E5B"/>
    <w:rsid w:val="00DA7896"/>
    <w:rsid w:val="00DA7BB4"/>
    <w:rsid w:val="00DA7F3D"/>
    <w:rsid w:val="00DB0401"/>
    <w:rsid w:val="00DB045A"/>
    <w:rsid w:val="00DB07C9"/>
    <w:rsid w:val="00DB11A2"/>
    <w:rsid w:val="00DB2292"/>
    <w:rsid w:val="00DB249A"/>
    <w:rsid w:val="00DB279F"/>
    <w:rsid w:val="00DB2CA0"/>
    <w:rsid w:val="00DB2ECF"/>
    <w:rsid w:val="00DB2F53"/>
    <w:rsid w:val="00DB39AB"/>
    <w:rsid w:val="00DB3C62"/>
    <w:rsid w:val="00DB4046"/>
    <w:rsid w:val="00DB5BEC"/>
    <w:rsid w:val="00DB6BC1"/>
    <w:rsid w:val="00DB700C"/>
    <w:rsid w:val="00DB72D3"/>
    <w:rsid w:val="00DB72ED"/>
    <w:rsid w:val="00DB76A8"/>
    <w:rsid w:val="00DC01C6"/>
    <w:rsid w:val="00DC028F"/>
    <w:rsid w:val="00DC18CE"/>
    <w:rsid w:val="00DC3D5E"/>
    <w:rsid w:val="00DC494D"/>
    <w:rsid w:val="00DC5E71"/>
    <w:rsid w:val="00DC61DE"/>
    <w:rsid w:val="00DC62FB"/>
    <w:rsid w:val="00DC6742"/>
    <w:rsid w:val="00DC6CE0"/>
    <w:rsid w:val="00DC772B"/>
    <w:rsid w:val="00DC7FBB"/>
    <w:rsid w:val="00DD0529"/>
    <w:rsid w:val="00DD0F37"/>
    <w:rsid w:val="00DD13C5"/>
    <w:rsid w:val="00DD2352"/>
    <w:rsid w:val="00DD27BE"/>
    <w:rsid w:val="00DD288C"/>
    <w:rsid w:val="00DD291F"/>
    <w:rsid w:val="00DD3B4E"/>
    <w:rsid w:val="00DD4169"/>
    <w:rsid w:val="00DD45D3"/>
    <w:rsid w:val="00DD58EA"/>
    <w:rsid w:val="00DD5D8F"/>
    <w:rsid w:val="00DD6121"/>
    <w:rsid w:val="00DD6A69"/>
    <w:rsid w:val="00DE0262"/>
    <w:rsid w:val="00DE06EB"/>
    <w:rsid w:val="00DE0850"/>
    <w:rsid w:val="00DE1C0E"/>
    <w:rsid w:val="00DE1EF2"/>
    <w:rsid w:val="00DE24F4"/>
    <w:rsid w:val="00DE25C9"/>
    <w:rsid w:val="00DE2F0E"/>
    <w:rsid w:val="00DE31E9"/>
    <w:rsid w:val="00DE4287"/>
    <w:rsid w:val="00DE49FA"/>
    <w:rsid w:val="00DE4ABF"/>
    <w:rsid w:val="00DE535B"/>
    <w:rsid w:val="00DE5567"/>
    <w:rsid w:val="00DE5747"/>
    <w:rsid w:val="00DE574A"/>
    <w:rsid w:val="00DE6250"/>
    <w:rsid w:val="00DE686E"/>
    <w:rsid w:val="00DE6CC0"/>
    <w:rsid w:val="00DE771E"/>
    <w:rsid w:val="00DE7AF6"/>
    <w:rsid w:val="00DF16E8"/>
    <w:rsid w:val="00DF2386"/>
    <w:rsid w:val="00DF366B"/>
    <w:rsid w:val="00DF3E59"/>
    <w:rsid w:val="00DF4484"/>
    <w:rsid w:val="00DF4C4E"/>
    <w:rsid w:val="00DF63F8"/>
    <w:rsid w:val="00DF6B39"/>
    <w:rsid w:val="00DF6FA7"/>
    <w:rsid w:val="00DF758C"/>
    <w:rsid w:val="00DF7C96"/>
    <w:rsid w:val="00DF7D89"/>
    <w:rsid w:val="00E00077"/>
    <w:rsid w:val="00E00209"/>
    <w:rsid w:val="00E00A8B"/>
    <w:rsid w:val="00E00C82"/>
    <w:rsid w:val="00E0136E"/>
    <w:rsid w:val="00E01708"/>
    <w:rsid w:val="00E0262B"/>
    <w:rsid w:val="00E02BC9"/>
    <w:rsid w:val="00E031BC"/>
    <w:rsid w:val="00E0347F"/>
    <w:rsid w:val="00E03746"/>
    <w:rsid w:val="00E05116"/>
    <w:rsid w:val="00E05A52"/>
    <w:rsid w:val="00E07D78"/>
    <w:rsid w:val="00E10B8E"/>
    <w:rsid w:val="00E10F50"/>
    <w:rsid w:val="00E11A26"/>
    <w:rsid w:val="00E11E7C"/>
    <w:rsid w:val="00E12343"/>
    <w:rsid w:val="00E12713"/>
    <w:rsid w:val="00E1288B"/>
    <w:rsid w:val="00E12A12"/>
    <w:rsid w:val="00E12F63"/>
    <w:rsid w:val="00E13686"/>
    <w:rsid w:val="00E13FA8"/>
    <w:rsid w:val="00E1487C"/>
    <w:rsid w:val="00E14D5A"/>
    <w:rsid w:val="00E15689"/>
    <w:rsid w:val="00E169E7"/>
    <w:rsid w:val="00E16CAB"/>
    <w:rsid w:val="00E1706D"/>
    <w:rsid w:val="00E2044C"/>
    <w:rsid w:val="00E207F6"/>
    <w:rsid w:val="00E20C1F"/>
    <w:rsid w:val="00E2123F"/>
    <w:rsid w:val="00E2144E"/>
    <w:rsid w:val="00E21BD5"/>
    <w:rsid w:val="00E21D03"/>
    <w:rsid w:val="00E23A84"/>
    <w:rsid w:val="00E2459F"/>
    <w:rsid w:val="00E24C3F"/>
    <w:rsid w:val="00E2555E"/>
    <w:rsid w:val="00E256C3"/>
    <w:rsid w:val="00E25DBB"/>
    <w:rsid w:val="00E26184"/>
    <w:rsid w:val="00E30633"/>
    <w:rsid w:val="00E30958"/>
    <w:rsid w:val="00E313F1"/>
    <w:rsid w:val="00E31743"/>
    <w:rsid w:val="00E3267D"/>
    <w:rsid w:val="00E3344D"/>
    <w:rsid w:val="00E34E8F"/>
    <w:rsid w:val="00E3645D"/>
    <w:rsid w:val="00E3652E"/>
    <w:rsid w:val="00E36D30"/>
    <w:rsid w:val="00E37F8B"/>
    <w:rsid w:val="00E40806"/>
    <w:rsid w:val="00E408E4"/>
    <w:rsid w:val="00E40EEC"/>
    <w:rsid w:val="00E41807"/>
    <w:rsid w:val="00E42183"/>
    <w:rsid w:val="00E42262"/>
    <w:rsid w:val="00E42893"/>
    <w:rsid w:val="00E4320D"/>
    <w:rsid w:val="00E4442A"/>
    <w:rsid w:val="00E4487A"/>
    <w:rsid w:val="00E44DF5"/>
    <w:rsid w:val="00E44E7A"/>
    <w:rsid w:val="00E4541F"/>
    <w:rsid w:val="00E455F4"/>
    <w:rsid w:val="00E45795"/>
    <w:rsid w:val="00E45B3F"/>
    <w:rsid w:val="00E45DFA"/>
    <w:rsid w:val="00E45ED4"/>
    <w:rsid w:val="00E509D1"/>
    <w:rsid w:val="00E51B6D"/>
    <w:rsid w:val="00E528C3"/>
    <w:rsid w:val="00E529BF"/>
    <w:rsid w:val="00E53277"/>
    <w:rsid w:val="00E5379E"/>
    <w:rsid w:val="00E537FE"/>
    <w:rsid w:val="00E538EE"/>
    <w:rsid w:val="00E53FDC"/>
    <w:rsid w:val="00E5400E"/>
    <w:rsid w:val="00E541BE"/>
    <w:rsid w:val="00E56283"/>
    <w:rsid w:val="00E56760"/>
    <w:rsid w:val="00E56E0F"/>
    <w:rsid w:val="00E5736A"/>
    <w:rsid w:val="00E60997"/>
    <w:rsid w:val="00E60C06"/>
    <w:rsid w:val="00E60E16"/>
    <w:rsid w:val="00E61B9A"/>
    <w:rsid w:val="00E6243A"/>
    <w:rsid w:val="00E62731"/>
    <w:rsid w:val="00E628E9"/>
    <w:rsid w:val="00E62B25"/>
    <w:rsid w:val="00E647C4"/>
    <w:rsid w:val="00E64DAD"/>
    <w:rsid w:val="00E65F5C"/>
    <w:rsid w:val="00E66925"/>
    <w:rsid w:val="00E669D9"/>
    <w:rsid w:val="00E67ABF"/>
    <w:rsid w:val="00E708F6"/>
    <w:rsid w:val="00E716F0"/>
    <w:rsid w:val="00E71DA0"/>
    <w:rsid w:val="00E721F5"/>
    <w:rsid w:val="00E72809"/>
    <w:rsid w:val="00E730F2"/>
    <w:rsid w:val="00E7365D"/>
    <w:rsid w:val="00E74A77"/>
    <w:rsid w:val="00E75E04"/>
    <w:rsid w:val="00E76242"/>
    <w:rsid w:val="00E76E61"/>
    <w:rsid w:val="00E77007"/>
    <w:rsid w:val="00E773AF"/>
    <w:rsid w:val="00E778FC"/>
    <w:rsid w:val="00E803A5"/>
    <w:rsid w:val="00E80922"/>
    <w:rsid w:val="00E80CE1"/>
    <w:rsid w:val="00E8142F"/>
    <w:rsid w:val="00E819E0"/>
    <w:rsid w:val="00E81F3D"/>
    <w:rsid w:val="00E822E4"/>
    <w:rsid w:val="00E8235C"/>
    <w:rsid w:val="00E8350B"/>
    <w:rsid w:val="00E83CBA"/>
    <w:rsid w:val="00E84119"/>
    <w:rsid w:val="00E85503"/>
    <w:rsid w:val="00E85CEF"/>
    <w:rsid w:val="00E85DDD"/>
    <w:rsid w:val="00E86099"/>
    <w:rsid w:val="00E8619B"/>
    <w:rsid w:val="00E8638C"/>
    <w:rsid w:val="00E87342"/>
    <w:rsid w:val="00E87633"/>
    <w:rsid w:val="00E87FA7"/>
    <w:rsid w:val="00E9056A"/>
    <w:rsid w:val="00E90E09"/>
    <w:rsid w:val="00E91909"/>
    <w:rsid w:val="00E92458"/>
    <w:rsid w:val="00E9249F"/>
    <w:rsid w:val="00E928F3"/>
    <w:rsid w:val="00E92AE8"/>
    <w:rsid w:val="00E92B02"/>
    <w:rsid w:val="00E92B47"/>
    <w:rsid w:val="00E93050"/>
    <w:rsid w:val="00E93657"/>
    <w:rsid w:val="00E9421C"/>
    <w:rsid w:val="00E949B4"/>
    <w:rsid w:val="00E965F5"/>
    <w:rsid w:val="00E96ECB"/>
    <w:rsid w:val="00E9769F"/>
    <w:rsid w:val="00E9780D"/>
    <w:rsid w:val="00EA0134"/>
    <w:rsid w:val="00EA03B0"/>
    <w:rsid w:val="00EA102D"/>
    <w:rsid w:val="00EA2229"/>
    <w:rsid w:val="00EA2E18"/>
    <w:rsid w:val="00EA36DC"/>
    <w:rsid w:val="00EA464B"/>
    <w:rsid w:val="00EA4A46"/>
    <w:rsid w:val="00EA4A75"/>
    <w:rsid w:val="00EA4DD5"/>
    <w:rsid w:val="00EA4E18"/>
    <w:rsid w:val="00EA6A4D"/>
    <w:rsid w:val="00EA70AC"/>
    <w:rsid w:val="00EA71A4"/>
    <w:rsid w:val="00EB02AB"/>
    <w:rsid w:val="00EB0550"/>
    <w:rsid w:val="00EB0B3B"/>
    <w:rsid w:val="00EB0D09"/>
    <w:rsid w:val="00EB0D23"/>
    <w:rsid w:val="00EB14CB"/>
    <w:rsid w:val="00EB20BF"/>
    <w:rsid w:val="00EB296E"/>
    <w:rsid w:val="00EB4A61"/>
    <w:rsid w:val="00EB5557"/>
    <w:rsid w:val="00EB58BF"/>
    <w:rsid w:val="00EB5E1B"/>
    <w:rsid w:val="00EB5E9F"/>
    <w:rsid w:val="00EB73D9"/>
    <w:rsid w:val="00EB7F26"/>
    <w:rsid w:val="00EC044B"/>
    <w:rsid w:val="00EC065A"/>
    <w:rsid w:val="00EC0754"/>
    <w:rsid w:val="00EC0B56"/>
    <w:rsid w:val="00EC11A0"/>
    <w:rsid w:val="00EC1BC5"/>
    <w:rsid w:val="00EC1C0E"/>
    <w:rsid w:val="00EC1CB4"/>
    <w:rsid w:val="00EC2A9E"/>
    <w:rsid w:val="00EC34BE"/>
    <w:rsid w:val="00EC38C3"/>
    <w:rsid w:val="00EC3E8B"/>
    <w:rsid w:val="00EC40B3"/>
    <w:rsid w:val="00EC4FC7"/>
    <w:rsid w:val="00EC58D7"/>
    <w:rsid w:val="00EC5C77"/>
    <w:rsid w:val="00EC5F73"/>
    <w:rsid w:val="00EC6029"/>
    <w:rsid w:val="00EC68F7"/>
    <w:rsid w:val="00EC723E"/>
    <w:rsid w:val="00EC7A71"/>
    <w:rsid w:val="00ED0D8E"/>
    <w:rsid w:val="00ED0E36"/>
    <w:rsid w:val="00ED1093"/>
    <w:rsid w:val="00ED1CE6"/>
    <w:rsid w:val="00ED3513"/>
    <w:rsid w:val="00ED5028"/>
    <w:rsid w:val="00ED526C"/>
    <w:rsid w:val="00ED5D46"/>
    <w:rsid w:val="00ED64E3"/>
    <w:rsid w:val="00ED692F"/>
    <w:rsid w:val="00ED701D"/>
    <w:rsid w:val="00ED7CB5"/>
    <w:rsid w:val="00ED7D26"/>
    <w:rsid w:val="00ED7DC3"/>
    <w:rsid w:val="00EE03A3"/>
    <w:rsid w:val="00EE08B4"/>
    <w:rsid w:val="00EE0E85"/>
    <w:rsid w:val="00EE15C3"/>
    <w:rsid w:val="00EE1B14"/>
    <w:rsid w:val="00EE2FC2"/>
    <w:rsid w:val="00EE3276"/>
    <w:rsid w:val="00EE4082"/>
    <w:rsid w:val="00EE5160"/>
    <w:rsid w:val="00EE552D"/>
    <w:rsid w:val="00EE58CC"/>
    <w:rsid w:val="00EE5D8C"/>
    <w:rsid w:val="00EE67D2"/>
    <w:rsid w:val="00EF13A2"/>
    <w:rsid w:val="00EF3032"/>
    <w:rsid w:val="00EF3757"/>
    <w:rsid w:val="00EF422F"/>
    <w:rsid w:val="00EF447A"/>
    <w:rsid w:val="00EF4EDE"/>
    <w:rsid w:val="00EF53E4"/>
    <w:rsid w:val="00EF55C5"/>
    <w:rsid w:val="00EF6CF0"/>
    <w:rsid w:val="00EF74E9"/>
    <w:rsid w:val="00EF778B"/>
    <w:rsid w:val="00F00099"/>
    <w:rsid w:val="00F002B4"/>
    <w:rsid w:val="00F004F3"/>
    <w:rsid w:val="00F009A3"/>
    <w:rsid w:val="00F01942"/>
    <w:rsid w:val="00F01F78"/>
    <w:rsid w:val="00F02380"/>
    <w:rsid w:val="00F02906"/>
    <w:rsid w:val="00F0295A"/>
    <w:rsid w:val="00F03EDC"/>
    <w:rsid w:val="00F04043"/>
    <w:rsid w:val="00F05117"/>
    <w:rsid w:val="00F05AF7"/>
    <w:rsid w:val="00F05CA9"/>
    <w:rsid w:val="00F0614D"/>
    <w:rsid w:val="00F06664"/>
    <w:rsid w:val="00F0677F"/>
    <w:rsid w:val="00F069BB"/>
    <w:rsid w:val="00F077A3"/>
    <w:rsid w:val="00F07D56"/>
    <w:rsid w:val="00F10B94"/>
    <w:rsid w:val="00F1146E"/>
    <w:rsid w:val="00F11564"/>
    <w:rsid w:val="00F119C7"/>
    <w:rsid w:val="00F12032"/>
    <w:rsid w:val="00F1242A"/>
    <w:rsid w:val="00F126B4"/>
    <w:rsid w:val="00F12756"/>
    <w:rsid w:val="00F1298A"/>
    <w:rsid w:val="00F13536"/>
    <w:rsid w:val="00F13BB9"/>
    <w:rsid w:val="00F13D5A"/>
    <w:rsid w:val="00F14C24"/>
    <w:rsid w:val="00F15E1C"/>
    <w:rsid w:val="00F1648A"/>
    <w:rsid w:val="00F16881"/>
    <w:rsid w:val="00F16CDF"/>
    <w:rsid w:val="00F1736F"/>
    <w:rsid w:val="00F20188"/>
    <w:rsid w:val="00F204FA"/>
    <w:rsid w:val="00F20ED6"/>
    <w:rsid w:val="00F2100E"/>
    <w:rsid w:val="00F21543"/>
    <w:rsid w:val="00F217A5"/>
    <w:rsid w:val="00F21A44"/>
    <w:rsid w:val="00F21E52"/>
    <w:rsid w:val="00F23480"/>
    <w:rsid w:val="00F245F0"/>
    <w:rsid w:val="00F24BE7"/>
    <w:rsid w:val="00F24E09"/>
    <w:rsid w:val="00F25574"/>
    <w:rsid w:val="00F259B4"/>
    <w:rsid w:val="00F25F90"/>
    <w:rsid w:val="00F27F2C"/>
    <w:rsid w:val="00F3018E"/>
    <w:rsid w:val="00F304EA"/>
    <w:rsid w:val="00F30704"/>
    <w:rsid w:val="00F312B3"/>
    <w:rsid w:val="00F314DF"/>
    <w:rsid w:val="00F31555"/>
    <w:rsid w:val="00F315DB"/>
    <w:rsid w:val="00F318C7"/>
    <w:rsid w:val="00F32290"/>
    <w:rsid w:val="00F328BC"/>
    <w:rsid w:val="00F33316"/>
    <w:rsid w:val="00F33B60"/>
    <w:rsid w:val="00F33E6B"/>
    <w:rsid w:val="00F34E70"/>
    <w:rsid w:val="00F34ECB"/>
    <w:rsid w:val="00F35129"/>
    <w:rsid w:val="00F35538"/>
    <w:rsid w:val="00F35A0F"/>
    <w:rsid w:val="00F35D21"/>
    <w:rsid w:val="00F36732"/>
    <w:rsid w:val="00F3717C"/>
    <w:rsid w:val="00F37786"/>
    <w:rsid w:val="00F377A3"/>
    <w:rsid w:val="00F37E02"/>
    <w:rsid w:val="00F4034C"/>
    <w:rsid w:val="00F408AC"/>
    <w:rsid w:val="00F4093F"/>
    <w:rsid w:val="00F423BA"/>
    <w:rsid w:val="00F4413D"/>
    <w:rsid w:val="00F46381"/>
    <w:rsid w:val="00F464DE"/>
    <w:rsid w:val="00F46EAC"/>
    <w:rsid w:val="00F46F9F"/>
    <w:rsid w:val="00F47772"/>
    <w:rsid w:val="00F478AD"/>
    <w:rsid w:val="00F50B5A"/>
    <w:rsid w:val="00F50B87"/>
    <w:rsid w:val="00F512F9"/>
    <w:rsid w:val="00F51380"/>
    <w:rsid w:val="00F51413"/>
    <w:rsid w:val="00F52713"/>
    <w:rsid w:val="00F52774"/>
    <w:rsid w:val="00F54476"/>
    <w:rsid w:val="00F54587"/>
    <w:rsid w:val="00F5464D"/>
    <w:rsid w:val="00F5466F"/>
    <w:rsid w:val="00F54E3C"/>
    <w:rsid w:val="00F55250"/>
    <w:rsid w:val="00F55589"/>
    <w:rsid w:val="00F5565C"/>
    <w:rsid w:val="00F558A7"/>
    <w:rsid w:val="00F559F3"/>
    <w:rsid w:val="00F55D1E"/>
    <w:rsid w:val="00F567B7"/>
    <w:rsid w:val="00F56B82"/>
    <w:rsid w:val="00F56C91"/>
    <w:rsid w:val="00F57B07"/>
    <w:rsid w:val="00F57F3C"/>
    <w:rsid w:val="00F57FCF"/>
    <w:rsid w:val="00F60A74"/>
    <w:rsid w:val="00F60D9F"/>
    <w:rsid w:val="00F60DD8"/>
    <w:rsid w:val="00F61457"/>
    <w:rsid w:val="00F6148D"/>
    <w:rsid w:val="00F615E9"/>
    <w:rsid w:val="00F61B30"/>
    <w:rsid w:val="00F61FB9"/>
    <w:rsid w:val="00F625DC"/>
    <w:rsid w:val="00F633B8"/>
    <w:rsid w:val="00F6387C"/>
    <w:rsid w:val="00F646F3"/>
    <w:rsid w:val="00F6521C"/>
    <w:rsid w:val="00F65DBB"/>
    <w:rsid w:val="00F66086"/>
    <w:rsid w:val="00F662B7"/>
    <w:rsid w:val="00F66978"/>
    <w:rsid w:val="00F66A9F"/>
    <w:rsid w:val="00F66B5A"/>
    <w:rsid w:val="00F703E7"/>
    <w:rsid w:val="00F704A2"/>
    <w:rsid w:val="00F70A08"/>
    <w:rsid w:val="00F70CFE"/>
    <w:rsid w:val="00F713A1"/>
    <w:rsid w:val="00F719B3"/>
    <w:rsid w:val="00F73389"/>
    <w:rsid w:val="00F74162"/>
    <w:rsid w:val="00F7417A"/>
    <w:rsid w:val="00F74439"/>
    <w:rsid w:val="00F744F7"/>
    <w:rsid w:val="00F747D9"/>
    <w:rsid w:val="00F74D2F"/>
    <w:rsid w:val="00F75C36"/>
    <w:rsid w:val="00F75DA4"/>
    <w:rsid w:val="00F75FD1"/>
    <w:rsid w:val="00F76E42"/>
    <w:rsid w:val="00F77047"/>
    <w:rsid w:val="00F779B4"/>
    <w:rsid w:val="00F77AD9"/>
    <w:rsid w:val="00F77B50"/>
    <w:rsid w:val="00F80DD4"/>
    <w:rsid w:val="00F81997"/>
    <w:rsid w:val="00F81C9D"/>
    <w:rsid w:val="00F82E0F"/>
    <w:rsid w:val="00F833AB"/>
    <w:rsid w:val="00F8374E"/>
    <w:rsid w:val="00F8383F"/>
    <w:rsid w:val="00F83A2C"/>
    <w:rsid w:val="00F83DFF"/>
    <w:rsid w:val="00F84B3B"/>
    <w:rsid w:val="00F84BA6"/>
    <w:rsid w:val="00F84DDB"/>
    <w:rsid w:val="00F85107"/>
    <w:rsid w:val="00F85130"/>
    <w:rsid w:val="00F85382"/>
    <w:rsid w:val="00F854C4"/>
    <w:rsid w:val="00F85B9F"/>
    <w:rsid w:val="00F85DA2"/>
    <w:rsid w:val="00F861F9"/>
    <w:rsid w:val="00F86692"/>
    <w:rsid w:val="00F87B63"/>
    <w:rsid w:val="00F87D07"/>
    <w:rsid w:val="00F87E37"/>
    <w:rsid w:val="00F90836"/>
    <w:rsid w:val="00F920F4"/>
    <w:rsid w:val="00F9307E"/>
    <w:rsid w:val="00F93966"/>
    <w:rsid w:val="00F941E9"/>
    <w:rsid w:val="00F946D8"/>
    <w:rsid w:val="00F94CE7"/>
    <w:rsid w:val="00F94F42"/>
    <w:rsid w:val="00F95922"/>
    <w:rsid w:val="00F960F6"/>
    <w:rsid w:val="00F97BAD"/>
    <w:rsid w:val="00F97C60"/>
    <w:rsid w:val="00FA0666"/>
    <w:rsid w:val="00FA06F9"/>
    <w:rsid w:val="00FA0BAB"/>
    <w:rsid w:val="00FA180B"/>
    <w:rsid w:val="00FA3930"/>
    <w:rsid w:val="00FA43B5"/>
    <w:rsid w:val="00FA47BE"/>
    <w:rsid w:val="00FA4DD9"/>
    <w:rsid w:val="00FA5038"/>
    <w:rsid w:val="00FA56DC"/>
    <w:rsid w:val="00FA57E9"/>
    <w:rsid w:val="00FA5EAD"/>
    <w:rsid w:val="00FA655A"/>
    <w:rsid w:val="00FA706F"/>
    <w:rsid w:val="00FA72CC"/>
    <w:rsid w:val="00FA76CE"/>
    <w:rsid w:val="00FB035A"/>
    <w:rsid w:val="00FB18FD"/>
    <w:rsid w:val="00FB1E61"/>
    <w:rsid w:val="00FB20F5"/>
    <w:rsid w:val="00FB2D3F"/>
    <w:rsid w:val="00FB45EB"/>
    <w:rsid w:val="00FB4790"/>
    <w:rsid w:val="00FB73C4"/>
    <w:rsid w:val="00FC000C"/>
    <w:rsid w:val="00FC01B4"/>
    <w:rsid w:val="00FC02B8"/>
    <w:rsid w:val="00FC06B2"/>
    <w:rsid w:val="00FC0E3D"/>
    <w:rsid w:val="00FC1655"/>
    <w:rsid w:val="00FC360D"/>
    <w:rsid w:val="00FC4B0E"/>
    <w:rsid w:val="00FC6162"/>
    <w:rsid w:val="00FC76D4"/>
    <w:rsid w:val="00FC79B3"/>
    <w:rsid w:val="00FC7F07"/>
    <w:rsid w:val="00FD07DB"/>
    <w:rsid w:val="00FD0B73"/>
    <w:rsid w:val="00FD11AE"/>
    <w:rsid w:val="00FD2CBA"/>
    <w:rsid w:val="00FD2CBD"/>
    <w:rsid w:val="00FD45DD"/>
    <w:rsid w:val="00FD4A8A"/>
    <w:rsid w:val="00FD4AC1"/>
    <w:rsid w:val="00FD4C14"/>
    <w:rsid w:val="00FD4FC4"/>
    <w:rsid w:val="00FD5ADB"/>
    <w:rsid w:val="00FD5CCC"/>
    <w:rsid w:val="00FD5DE2"/>
    <w:rsid w:val="00FD653C"/>
    <w:rsid w:val="00FD7C66"/>
    <w:rsid w:val="00FD7FC6"/>
    <w:rsid w:val="00FE0D6B"/>
    <w:rsid w:val="00FE0EFA"/>
    <w:rsid w:val="00FE1CD4"/>
    <w:rsid w:val="00FE22C1"/>
    <w:rsid w:val="00FE2587"/>
    <w:rsid w:val="00FE35A0"/>
    <w:rsid w:val="00FE3A02"/>
    <w:rsid w:val="00FE47C0"/>
    <w:rsid w:val="00FE4AF7"/>
    <w:rsid w:val="00FE55F4"/>
    <w:rsid w:val="00FE5661"/>
    <w:rsid w:val="00FE59FE"/>
    <w:rsid w:val="00FE6826"/>
    <w:rsid w:val="00FE6FF2"/>
    <w:rsid w:val="00FE7FB9"/>
    <w:rsid w:val="00FF0EA5"/>
    <w:rsid w:val="00FF1167"/>
    <w:rsid w:val="00FF13E5"/>
    <w:rsid w:val="00FF1AA3"/>
    <w:rsid w:val="00FF1C00"/>
    <w:rsid w:val="00FF2769"/>
    <w:rsid w:val="00FF2B7F"/>
    <w:rsid w:val="00FF2EB9"/>
    <w:rsid w:val="00FF41A9"/>
    <w:rsid w:val="00FF45B9"/>
    <w:rsid w:val="00FF4813"/>
    <w:rsid w:val="00FF48BA"/>
    <w:rsid w:val="00FF5E9A"/>
    <w:rsid w:val="00FF6722"/>
    <w:rsid w:val="00FF6C1F"/>
    <w:rsid w:val="00FF6CAA"/>
    <w:rsid w:val="00FF700A"/>
    <w:rsid w:val="00FF70D1"/>
    <w:rsid w:val="00FF74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C5F8B68"/>
  <w15:docId w15:val="{944D75DE-0383-4646-B045-F462A32DA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3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60F5"/>
    <w:pPr>
      <w:spacing w:after="200" w:line="276" w:lineRule="auto"/>
    </w:pPr>
    <w:rPr>
      <w:sz w:val="22"/>
      <w:szCs w:val="22"/>
    </w:rPr>
  </w:style>
  <w:style w:type="paragraph" w:styleId="Heading1">
    <w:name w:val="heading 1"/>
    <w:next w:val="Normal"/>
    <w:link w:val="Heading1Char"/>
    <w:qFormat/>
    <w:rsid w:val="00635F88"/>
    <w:pPr>
      <w:keepNext/>
      <w:keepLines/>
      <w:spacing w:after="240"/>
      <w:jc w:val="center"/>
      <w:outlineLvl w:val="0"/>
    </w:pPr>
    <w:rPr>
      <w:rFonts w:ascii="Arial" w:eastAsia="Times New Roman" w:hAnsi="Arial"/>
      <w:b/>
      <w:bCs/>
      <w:color w:val="002060"/>
      <w:kern w:val="32"/>
      <w:sz w:val="28"/>
      <w:szCs w:val="32"/>
    </w:rPr>
  </w:style>
  <w:style w:type="paragraph" w:styleId="Heading2">
    <w:name w:val="heading 2"/>
    <w:next w:val="Normal"/>
    <w:link w:val="Heading2Char"/>
    <w:unhideWhenUsed/>
    <w:qFormat/>
    <w:rsid w:val="00C06762"/>
    <w:pPr>
      <w:keepNext/>
      <w:keepLines/>
      <w:spacing w:before="240" w:after="120"/>
      <w:outlineLvl w:val="1"/>
    </w:pPr>
    <w:rPr>
      <w:rFonts w:eastAsia="Times New Roman"/>
      <w:b/>
      <w:bCs/>
      <w:iCs/>
      <w:color w:val="17365D"/>
      <w:sz w:val="32"/>
      <w:szCs w:val="28"/>
    </w:rPr>
  </w:style>
  <w:style w:type="paragraph" w:styleId="Heading3">
    <w:name w:val="heading 3"/>
    <w:basedOn w:val="Normal"/>
    <w:next w:val="Normal"/>
    <w:link w:val="Heading3Char"/>
    <w:unhideWhenUsed/>
    <w:qFormat/>
    <w:rsid w:val="00E15689"/>
    <w:pPr>
      <w:keepNext/>
      <w:keepLines/>
      <w:spacing w:before="240" w:after="120" w:line="240" w:lineRule="auto"/>
      <w:ind w:left="720" w:hanging="720"/>
      <w:outlineLvl w:val="2"/>
    </w:pPr>
    <w:rPr>
      <w:rFonts w:asciiTheme="minorHAnsi" w:eastAsia="Times New Roman" w:hAnsiTheme="minorHAnsi"/>
      <w:b/>
      <w:color w:val="17365D"/>
      <w:sz w:val="24"/>
      <w:szCs w:val="24"/>
    </w:rPr>
  </w:style>
  <w:style w:type="paragraph" w:styleId="Heading4">
    <w:name w:val="heading 4"/>
    <w:next w:val="Normal"/>
    <w:link w:val="Heading4Char"/>
    <w:uiPriority w:val="9"/>
    <w:unhideWhenUsed/>
    <w:qFormat/>
    <w:rsid w:val="00E15689"/>
    <w:pPr>
      <w:keepNext/>
      <w:keepLines/>
      <w:spacing w:before="240" w:after="120"/>
      <w:outlineLvl w:val="3"/>
    </w:pPr>
    <w:rPr>
      <w:rFonts w:asciiTheme="minorHAnsi" w:eastAsia="Times New Roman" w:hAnsiTheme="minorHAnsi"/>
      <w:b/>
      <w:i/>
      <w:color w:val="17365D"/>
      <w:sz w:val="24"/>
      <w:szCs w:val="24"/>
    </w:rPr>
  </w:style>
  <w:style w:type="paragraph" w:styleId="Heading5">
    <w:name w:val="heading 5"/>
    <w:basedOn w:val="BodyText"/>
    <w:next w:val="Normal"/>
    <w:link w:val="Heading5Char"/>
    <w:uiPriority w:val="9"/>
    <w:unhideWhenUsed/>
    <w:qFormat/>
    <w:rsid w:val="00E15689"/>
    <w:pPr>
      <w:outlineLvl w:val="4"/>
    </w:pPr>
    <w:rPr>
      <w:b/>
      <w:sz w:val="24"/>
    </w:rPr>
  </w:style>
  <w:style w:type="paragraph" w:styleId="Heading6">
    <w:name w:val="heading 6"/>
    <w:basedOn w:val="Normal"/>
    <w:next w:val="Normal"/>
    <w:link w:val="Heading6Char"/>
    <w:unhideWhenUsed/>
    <w:qFormat/>
    <w:rsid w:val="0009777A"/>
    <w:pPr>
      <w:numPr>
        <w:ilvl w:val="5"/>
        <w:numId w:val="2"/>
      </w:numPr>
      <w:spacing w:before="240" w:after="60" w:line="240" w:lineRule="auto"/>
      <w:outlineLvl w:val="5"/>
    </w:pPr>
    <w:rPr>
      <w:rFonts w:eastAsia="Times New Roman"/>
      <w:b/>
      <w:bCs/>
    </w:rPr>
  </w:style>
  <w:style w:type="paragraph" w:styleId="Heading7">
    <w:name w:val="heading 7"/>
    <w:basedOn w:val="Normal"/>
    <w:next w:val="Normal"/>
    <w:link w:val="Heading7Char"/>
    <w:unhideWhenUsed/>
    <w:qFormat/>
    <w:rsid w:val="0009777A"/>
    <w:pPr>
      <w:numPr>
        <w:ilvl w:val="6"/>
        <w:numId w:val="2"/>
      </w:numPr>
      <w:spacing w:before="240" w:after="60" w:line="240" w:lineRule="auto"/>
      <w:outlineLvl w:val="6"/>
    </w:pPr>
    <w:rPr>
      <w:rFonts w:eastAsia="Times New Roman"/>
      <w:sz w:val="24"/>
      <w:szCs w:val="24"/>
    </w:rPr>
  </w:style>
  <w:style w:type="paragraph" w:styleId="Heading8">
    <w:name w:val="heading 8"/>
    <w:basedOn w:val="Normal"/>
    <w:next w:val="Normal"/>
    <w:link w:val="Heading8Char"/>
    <w:uiPriority w:val="9"/>
    <w:unhideWhenUsed/>
    <w:qFormat/>
    <w:rsid w:val="0009777A"/>
    <w:pPr>
      <w:numPr>
        <w:ilvl w:val="7"/>
        <w:numId w:val="2"/>
      </w:numPr>
      <w:spacing w:before="240" w:after="60" w:line="240" w:lineRule="auto"/>
      <w:outlineLvl w:val="7"/>
    </w:pPr>
    <w:rPr>
      <w:rFonts w:eastAsia="Times New Roman"/>
      <w:i/>
      <w:iCs/>
      <w:sz w:val="24"/>
      <w:szCs w:val="24"/>
    </w:rPr>
  </w:style>
  <w:style w:type="paragraph" w:styleId="Heading9">
    <w:name w:val="heading 9"/>
    <w:basedOn w:val="Normal"/>
    <w:next w:val="Normal"/>
    <w:link w:val="Heading9Char"/>
    <w:uiPriority w:val="9"/>
    <w:unhideWhenUsed/>
    <w:qFormat/>
    <w:rsid w:val="0009777A"/>
    <w:pPr>
      <w:numPr>
        <w:ilvl w:val="8"/>
        <w:numId w:val="2"/>
      </w:numPr>
      <w:spacing w:before="240" w:after="60" w:line="240" w:lineRule="auto"/>
      <w:outlineLvl w:val="8"/>
    </w:pPr>
    <w:rPr>
      <w:rFonts w:ascii="Cambria" w:eastAsia="Times New Roman"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IR">
    <w:name w:val="AIR"/>
    <w:rsid w:val="0097167C"/>
    <w:pPr>
      <w:spacing w:before="200" w:after="100"/>
      <w:jc w:val="right"/>
    </w:pPr>
    <w:rPr>
      <w:rFonts w:ascii="Times New Roman" w:eastAsia="Times New Roman" w:hAnsi="Times New Roman"/>
      <w:smallCaps/>
      <w:color w:val="3E5E8E"/>
      <w:sz w:val="60"/>
      <w:szCs w:val="24"/>
    </w:rPr>
  </w:style>
  <w:style w:type="paragraph" w:styleId="Header">
    <w:name w:val="header"/>
    <w:basedOn w:val="Normal"/>
    <w:link w:val="HeaderChar"/>
    <w:uiPriority w:val="99"/>
    <w:unhideWhenUsed/>
    <w:qFormat/>
    <w:rsid w:val="00AA34C7"/>
    <w:pPr>
      <w:tabs>
        <w:tab w:val="center" w:pos="4680"/>
        <w:tab w:val="center" w:pos="6480"/>
        <w:tab w:val="right" w:pos="12960"/>
      </w:tabs>
      <w:spacing w:after="0" w:line="240" w:lineRule="auto"/>
    </w:pPr>
  </w:style>
  <w:style w:type="character" w:customStyle="1" w:styleId="HeaderChar">
    <w:name w:val="Header Char"/>
    <w:basedOn w:val="DefaultParagraphFont"/>
    <w:link w:val="Header"/>
    <w:uiPriority w:val="99"/>
    <w:rsid w:val="00AA34C7"/>
    <w:rPr>
      <w:sz w:val="22"/>
      <w:szCs w:val="22"/>
    </w:rPr>
  </w:style>
  <w:style w:type="paragraph" w:styleId="Footer">
    <w:name w:val="footer"/>
    <w:basedOn w:val="Normal"/>
    <w:link w:val="FooterChar"/>
    <w:uiPriority w:val="99"/>
    <w:unhideWhenUsed/>
    <w:qFormat/>
    <w:rsid w:val="005D2724"/>
    <w:pPr>
      <w:tabs>
        <w:tab w:val="center" w:pos="4680"/>
        <w:tab w:val="right" w:pos="9360"/>
      </w:tabs>
      <w:spacing w:after="0" w:line="240" w:lineRule="auto"/>
      <w:jc w:val="right"/>
    </w:pPr>
    <w:rPr>
      <w:rFonts w:ascii="Times New Roman" w:hAnsi="Times New Roman"/>
    </w:rPr>
  </w:style>
  <w:style w:type="character" w:customStyle="1" w:styleId="FooterChar">
    <w:name w:val="Footer Char"/>
    <w:basedOn w:val="DefaultParagraphFont"/>
    <w:link w:val="Footer"/>
    <w:uiPriority w:val="99"/>
    <w:rsid w:val="005D2724"/>
    <w:rPr>
      <w:rFonts w:ascii="Times New Roman" w:hAnsi="Times New Roman"/>
      <w:sz w:val="22"/>
      <w:szCs w:val="22"/>
    </w:rPr>
  </w:style>
  <w:style w:type="paragraph" w:customStyle="1" w:styleId="CovAIRAddressFooter">
    <w:name w:val="Cov—AIR Address Footer"/>
    <w:basedOn w:val="Normal"/>
    <w:rsid w:val="000D4F40"/>
    <w:pPr>
      <w:ind w:left="720"/>
    </w:pPr>
    <w:rPr>
      <w:rFonts w:eastAsia="Times New Roman"/>
      <w:szCs w:val="24"/>
    </w:rPr>
  </w:style>
  <w:style w:type="character" w:styleId="Hyperlink">
    <w:name w:val="Hyperlink"/>
    <w:basedOn w:val="DefaultParagraphFont"/>
    <w:uiPriority w:val="99"/>
    <w:unhideWhenUsed/>
    <w:qFormat/>
    <w:rsid w:val="00C811C7"/>
    <w:rPr>
      <w:color w:val="0000FF" w:themeColor="hyperlink"/>
      <w:u w:val="single"/>
    </w:rPr>
  </w:style>
  <w:style w:type="paragraph" w:styleId="BodyText">
    <w:name w:val="Body Text"/>
    <w:link w:val="BodyTextChar"/>
    <w:rsid w:val="00D732E1"/>
    <w:pPr>
      <w:spacing w:before="240"/>
    </w:pPr>
    <w:rPr>
      <w:rFonts w:asciiTheme="minorHAnsi" w:eastAsia="Times New Roman" w:hAnsiTheme="minorHAnsi"/>
      <w:sz w:val="23"/>
      <w:szCs w:val="24"/>
    </w:rPr>
  </w:style>
  <w:style w:type="character" w:customStyle="1" w:styleId="BodyTextChar">
    <w:name w:val="Body Text Char"/>
    <w:basedOn w:val="DefaultParagraphFont"/>
    <w:link w:val="BodyText"/>
    <w:rsid w:val="00D732E1"/>
    <w:rPr>
      <w:rFonts w:asciiTheme="minorHAnsi" w:eastAsia="Times New Roman" w:hAnsiTheme="minorHAnsi"/>
      <w:sz w:val="23"/>
      <w:szCs w:val="24"/>
    </w:rPr>
  </w:style>
  <w:style w:type="character" w:customStyle="1" w:styleId="Heading1Char">
    <w:name w:val="Heading 1 Char"/>
    <w:basedOn w:val="DefaultParagraphFont"/>
    <w:link w:val="Heading1"/>
    <w:rsid w:val="00635F88"/>
    <w:rPr>
      <w:rFonts w:ascii="Arial" w:eastAsia="Times New Roman" w:hAnsi="Arial"/>
      <w:b/>
      <w:bCs/>
      <w:color w:val="002060"/>
      <w:kern w:val="32"/>
      <w:sz w:val="28"/>
      <w:szCs w:val="32"/>
    </w:rPr>
  </w:style>
  <w:style w:type="character" w:customStyle="1" w:styleId="Heading2Char">
    <w:name w:val="Heading 2 Char"/>
    <w:basedOn w:val="DefaultParagraphFont"/>
    <w:link w:val="Heading2"/>
    <w:rsid w:val="00C06762"/>
    <w:rPr>
      <w:rFonts w:eastAsia="Times New Roman"/>
      <w:b/>
      <w:bCs/>
      <w:iCs/>
      <w:color w:val="17365D"/>
      <w:sz w:val="32"/>
      <w:szCs w:val="28"/>
    </w:rPr>
  </w:style>
  <w:style w:type="character" w:customStyle="1" w:styleId="Heading3Char">
    <w:name w:val="Heading 3 Char"/>
    <w:basedOn w:val="DefaultParagraphFont"/>
    <w:link w:val="Heading3"/>
    <w:rsid w:val="00E15689"/>
    <w:rPr>
      <w:rFonts w:asciiTheme="minorHAnsi" w:eastAsia="Times New Roman" w:hAnsiTheme="minorHAnsi"/>
      <w:b/>
      <w:color w:val="17365D"/>
      <w:sz w:val="24"/>
      <w:szCs w:val="24"/>
    </w:rPr>
  </w:style>
  <w:style w:type="character" w:customStyle="1" w:styleId="Heading4Char">
    <w:name w:val="Heading 4 Char"/>
    <w:basedOn w:val="DefaultParagraphFont"/>
    <w:link w:val="Heading4"/>
    <w:uiPriority w:val="9"/>
    <w:rsid w:val="000D4F40"/>
    <w:rPr>
      <w:rFonts w:asciiTheme="minorHAnsi" w:eastAsia="Times New Roman" w:hAnsiTheme="minorHAnsi"/>
      <w:b/>
      <w:i/>
      <w:color w:val="17365D"/>
      <w:sz w:val="24"/>
      <w:szCs w:val="24"/>
    </w:rPr>
  </w:style>
  <w:style w:type="character" w:customStyle="1" w:styleId="Heading5Char">
    <w:name w:val="Heading 5 Char"/>
    <w:basedOn w:val="DefaultParagraphFont"/>
    <w:link w:val="Heading5"/>
    <w:uiPriority w:val="9"/>
    <w:rsid w:val="00E15689"/>
    <w:rPr>
      <w:rFonts w:asciiTheme="minorHAnsi" w:eastAsia="Times New Roman" w:hAnsiTheme="minorHAnsi"/>
      <w:b/>
      <w:sz w:val="24"/>
      <w:szCs w:val="24"/>
    </w:rPr>
  </w:style>
  <w:style w:type="character" w:customStyle="1" w:styleId="Heading6Char">
    <w:name w:val="Heading 6 Char"/>
    <w:basedOn w:val="DefaultParagraphFont"/>
    <w:link w:val="Heading6"/>
    <w:rsid w:val="0009777A"/>
    <w:rPr>
      <w:rFonts w:eastAsia="Times New Roman"/>
      <w:b/>
      <w:bCs/>
      <w:sz w:val="22"/>
      <w:szCs w:val="22"/>
    </w:rPr>
  </w:style>
  <w:style w:type="character" w:customStyle="1" w:styleId="Heading7Char">
    <w:name w:val="Heading 7 Char"/>
    <w:basedOn w:val="DefaultParagraphFont"/>
    <w:link w:val="Heading7"/>
    <w:rsid w:val="0009777A"/>
    <w:rPr>
      <w:rFonts w:eastAsia="Times New Roman"/>
      <w:sz w:val="24"/>
      <w:szCs w:val="24"/>
    </w:rPr>
  </w:style>
  <w:style w:type="character" w:customStyle="1" w:styleId="Heading8Char">
    <w:name w:val="Heading 8 Char"/>
    <w:basedOn w:val="DefaultParagraphFont"/>
    <w:link w:val="Heading8"/>
    <w:uiPriority w:val="9"/>
    <w:rsid w:val="0009777A"/>
    <w:rPr>
      <w:rFonts w:eastAsia="Times New Roman"/>
      <w:i/>
      <w:iCs/>
      <w:sz w:val="24"/>
      <w:szCs w:val="24"/>
    </w:rPr>
  </w:style>
  <w:style w:type="character" w:customStyle="1" w:styleId="Heading9Char">
    <w:name w:val="Heading 9 Char"/>
    <w:basedOn w:val="DefaultParagraphFont"/>
    <w:link w:val="Heading9"/>
    <w:uiPriority w:val="9"/>
    <w:rsid w:val="0009777A"/>
    <w:rPr>
      <w:rFonts w:ascii="Cambria" w:eastAsia="Times New Roman" w:hAnsi="Cambria"/>
      <w:sz w:val="22"/>
      <w:szCs w:val="22"/>
    </w:rPr>
  </w:style>
  <w:style w:type="paragraph" w:styleId="BalloonText">
    <w:name w:val="Balloon Text"/>
    <w:basedOn w:val="Normal"/>
    <w:link w:val="BalloonTextChar"/>
    <w:uiPriority w:val="99"/>
    <w:unhideWhenUsed/>
    <w:rsid w:val="00C74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74C84"/>
    <w:rPr>
      <w:rFonts w:ascii="Tahoma" w:hAnsi="Tahoma" w:cs="Tahoma"/>
      <w:sz w:val="16"/>
      <w:szCs w:val="16"/>
    </w:rPr>
  </w:style>
  <w:style w:type="character" w:styleId="CommentReference">
    <w:name w:val="annotation reference"/>
    <w:basedOn w:val="DefaultParagraphFont"/>
    <w:uiPriority w:val="99"/>
    <w:unhideWhenUsed/>
    <w:rsid w:val="00B8260D"/>
    <w:rPr>
      <w:sz w:val="16"/>
      <w:szCs w:val="16"/>
    </w:rPr>
  </w:style>
  <w:style w:type="paragraph" w:styleId="CommentText">
    <w:name w:val="annotation text"/>
    <w:basedOn w:val="Normal"/>
    <w:link w:val="CommentTextChar"/>
    <w:uiPriority w:val="99"/>
    <w:unhideWhenUsed/>
    <w:rsid w:val="00B8260D"/>
    <w:pPr>
      <w:spacing w:line="240" w:lineRule="auto"/>
    </w:pPr>
    <w:rPr>
      <w:sz w:val="20"/>
      <w:szCs w:val="20"/>
    </w:rPr>
  </w:style>
  <w:style w:type="character" w:customStyle="1" w:styleId="CommentTextChar">
    <w:name w:val="Comment Text Char"/>
    <w:basedOn w:val="DefaultParagraphFont"/>
    <w:link w:val="CommentText"/>
    <w:uiPriority w:val="99"/>
    <w:rsid w:val="00B8260D"/>
    <w:rPr>
      <w:sz w:val="20"/>
      <w:szCs w:val="20"/>
    </w:rPr>
  </w:style>
  <w:style w:type="paragraph" w:styleId="CommentSubject">
    <w:name w:val="annotation subject"/>
    <w:basedOn w:val="CommentText"/>
    <w:next w:val="CommentText"/>
    <w:link w:val="CommentSubjectChar"/>
    <w:uiPriority w:val="99"/>
    <w:unhideWhenUsed/>
    <w:rsid w:val="00B8260D"/>
    <w:rPr>
      <w:b/>
      <w:bCs/>
    </w:rPr>
  </w:style>
  <w:style w:type="character" w:customStyle="1" w:styleId="CommentSubjectChar">
    <w:name w:val="Comment Subject Char"/>
    <w:basedOn w:val="CommentTextChar"/>
    <w:link w:val="CommentSubject"/>
    <w:uiPriority w:val="99"/>
    <w:rsid w:val="00B8260D"/>
    <w:rPr>
      <w:b/>
      <w:bCs/>
      <w:sz w:val="20"/>
      <w:szCs w:val="20"/>
    </w:rPr>
  </w:style>
  <w:style w:type="table" w:styleId="TableGrid">
    <w:name w:val="Table Grid"/>
    <w:basedOn w:val="TableNormal"/>
    <w:uiPriority w:val="59"/>
    <w:rsid w:val="002A10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FootnoteReference">
    <w:name w:val="footnote reference"/>
    <w:aliases w:val="fr"/>
    <w:basedOn w:val="DefaultParagraphFont"/>
    <w:uiPriority w:val="99"/>
    <w:qFormat/>
    <w:rsid w:val="009E0FA5"/>
    <w:rPr>
      <w:vertAlign w:val="superscript"/>
    </w:rPr>
  </w:style>
  <w:style w:type="paragraph" w:styleId="FootnoteText">
    <w:name w:val="footnote text"/>
    <w:aliases w:val="F1,Footnote Text Char1,Footnote Text Char Char,fn,ft,figure or table,Footnote Text r,footnote text,*Footnote Text"/>
    <w:link w:val="FootnoteTextChar"/>
    <w:uiPriority w:val="99"/>
    <w:qFormat/>
    <w:rsid w:val="00F1648A"/>
    <w:rPr>
      <w:rFonts w:asciiTheme="minorHAnsi" w:eastAsia="Times New Roman" w:hAnsiTheme="minorHAnsi"/>
      <w:noProof/>
    </w:rPr>
  </w:style>
  <w:style w:type="character" w:customStyle="1" w:styleId="FootnoteTextChar">
    <w:name w:val="Footnote Text Char"/>
    <w:aliases w:val="F1 Char,Footnote Text Char1 Char,Footnote Text Char Char Char,fn Char,ft Char,figure or table Char,Footnote Text r Char,footnote text Char,*Footnote Text Char"/>
    <w:basedOn w:val="DefaultParagraphFont"/>
    <w:link w:val="FootnoteText"/>
    <w:uiPriority w:val="99"/>
    <w:rsid w:val="00F1648A"/>
    <w:rPr>
      <w:rFonts w:asciiTheme="minorHAnsi" w:eastAsia="Times New Roman" w:hAnsiTheme="minorHAnsi"/>
      <w:noProof/>
    </w:rPr>
  </w:style>
  <w:style w:type="paragraph" w:styleId="TOC1">
    <w:name w:val="toc 1"/>
    <w:next w:val="Normal"/>
    <w:autoRedefine/>
    <w:uiPriority w:val="39"/>
    <w:unhideWhenUsed/>
    <w:rsid w:val="00C06762"/>
    <w:pPr>
      <w:keepNext/>
      <w:keepLines/>
      <w:tabs>
        <w:tab w:val="right" w:leader="dot" w:pos="9346"/>
      </w:tabs>
      <w:spacing w:before="240"/>
    </w:pPr>
    <w:rPr>
      <w:rFonts w:asciiTheme="minorHAnsi" w:hAnsiTheme="minorHAnsi"/>
      <w:b/>
      <w:sz w:val="24"/>
      <w:szCs w:val="22"/>
    </w:rPr>
  </w:style>
  <w:style w:type="paragraph" w:styleId="TOC2">
    <w:name w:val="toc 2"/>
    <w:next w:val="Normal"/>
    <w:autoRedefine/>
    <w:uiPriority w:val="39"/>
    <w:unhideWhenUsed/>
    <w:rsid w:val="006A74AF"/>
    <w:pPr>
      <w:tabs>
        <w:tab w:val="left" w:pos="864"/>
        <w:tab w:val="right" w:leader="dot" w:pos="9346"/>
      </w:tabs>
      <w:spacing w:before="120"/>
      <w:ind w:left="720" w:hanging="576"/>
    </w:pPr>
    <w:rPr>
      <w:rFonts w:asciiTheme="minorHAnsi" w:hAnsiTheme="minorHAnsi"/>
      <w:sz w:val="24"/>
      <w:szCs w:val="22"/>
    </w:rPr>
  </w:style>
  <w:style w:type="paragraph" w:styleId="TOC3">
    <w:name w:val="toc 3"/>
    <w:next w:val="Normal"/>
    <w:autoRedefine/>
    <w:uiPriority w:val="39"/>
    <w:unhideWhenUsed/>
    <w:rsid w:val="006A74AF"/>
    <w:pPr>
      <w:tabs>
        <w:tab w:val="right" w:leader="dot" w:pos="9350"/>
      </w:tabs>
      <w:spacing w:before="60"/>
      <w:ind w:left="864" w:right="432"/>
    </w:pPr>
    <w:rPr>
      <w:rFonts w:asciiTheme="minorHAnsi" w:hAnsiTheme="minorHAnsi"/>
      <w:sz w:val="24"/>
      <w:szCs w:val="22"/>
    </w:rPr>
  </w:style>
  <w:style w:type="paragraph" w:styleId="TableofFigures">
    <w:name w:val="table of figures"/>
    <w:next w:val="Normal"/>
    <w:uiPriority w:val="99"/>
    <w:unhideWhenUsed/>
    <w:rsid w:val="0041461B"/>
    <w:pPr>
      <w:spacing w:before="240"/>
      <w:ind w:left="720" w:hanging="720"/>
    </w:pPr>
    <w:rPr>
      <w:rFonts w:asciiTheme="minorHAnsi" w:hAnsiTheme="minorHAnsi"/>
      <w:b/>
      <w:sz w:val="24"/>
      <w:szCs w:val="22"/>
    </w:rPr>
  </w:style>
  <w:style w:type="paragraph" w:customStyle="1" w:styleId="BoxHead1">
    <w:name w:val="Box Head 1"/>
    <w:qFormat/>
    <w:rsid w:val="00C54065"/>
    <w:pPr>
      <w:spacing w:before="120" w:after="240"/>
      <w:jc w:val="center"/>
    </w:pPr>
    <w:rPr>
      <w:rFonts w:asciiTheme="minorHAnsi" w:eastAsia="Times New Roman" w:hAnsiTheme="minorHAnsi"/>
      <w:b/>
      <w:sz w:val="22"/>
    </w:rPr>
  </w:style>
  <w:style w:type="paragraph" w:customStyle="1" w:styleId="Footnote">
    <w:name w:val="Footnote"/>
    <w:rsid w:val="009E14FD"/>
    <w:rPr>
      <w:rFonts w:eastAsia="Times New Roman"/>
      <w:sz w:val="18"/>
      <w:szCs w:val="24"/>
    </w:rPr>
  </w:style>
  <w:style w:type="paragraph" w:customStyle="1" w:styleId="Bullet2">
    <w:name w:val="Bullet 2"/>
    <w:basedOn w:val="Normal"/>
    <w:rsid w:val="001D2C45"/>
    <w:pPr>
      <w:numPr>
        <w:ilvl w:val="1"/>
        <w:numId w:val="1"/>
      </w:numPr>
      <w:tabs>
        <w:tab w:val="num" w:pos="720"/>
      </w:tabs>
      <w:ind w:left="1080" w:hanging="720"/>
      <w:contextualSpacing/>
    </w:pPr>
    <w:rPr>
      <w:rFonts w:asciiTheme="minorHAnsi" w:hAnsiTheme="minorHAnsi"/>
    </w:rPr>
  </w:style>
  <w:style w:type="paragraph" w:customStyle="1" w:styleId="ExhibitTitle">
    <w:name w:val="Exhibit Title"/>
    <w:next w:val="Normal"/>
    <w:link w:val="ExhibitTitleChar"/>
    <w:uiPriority w:val="12"/>
    <w:qFormat/>
    <w:rsid w:val="00DB2CA0"/>
    <w:pPr>
      <w:keepNext/>
      <w:spacing w:before="240" w:after="120"/>
      <w:jc w:val="center"/>
    </w:pPr>
    <w:rPr>
      <w:rFonts w:asciiTheme="minorHAnsi" w:eastAsia="Times New Roman" w:hAnsiTheme="minorHAnsi" w:cs="Arial"/>
      <w:b/>
      <w:sz w:val="24"/>
      <w:szCs w:val="22"/>
    </w:rPr>
  </w:style>
  <w:style w:type="paragraph" w:customStyle="1" w:styleId="BoxText">
    <w:name w:val="Box Text"/>
    <w:basedOn w:val="TableText"/>
    <w:qFormat/>
    <w:rsid w:val="00C54065"/>
    <w:pPr>
      <w:spacing w:before="120" w:after="0"/>
      <w:ind w:left="72" w:right="72"/>
    </w:pPr>
    <w:rPr>
      <w:sz w:val="22"/>
    </w:rPr>
  </w:style>
  <w:style w:type="paragraph" w:customStyle="1" w:styleId="BoxBullet1">
    <w:name w:val="Box Bullet 1"/>
    <w:qFormat/>
    <w:rsid w:val="00C54065"/>
    <w:pPr>
      <w:numPr>
        <w:numId w:val="12"/>
      </w:numPr>
      <w:spacing w:before="80"/>
      <w:ind w:left="504" w:right="72" w:hanging="216"/>
    </w:pPr>
    <w:rPr>
      <w:rFonts w:asciiTheme="minorHAnsi" w:eastAsia="Times" w:hAnsiTheme="minorHAnsi"/>
      <w:sz w:val="22"/>
      <w:szCs w:val="24"/>
    </w:rPr>
  </w:style>
  <w:style w:type="paragraph" w:customStyle="1" w:styleId="Table-ExhibitNotes">
    <w:name w:val="Table-Exhibit Notes"/>
    <w:basedOn w:val="TableText"/>
    <w:qFormat/>
    <w:rsid w:val="001C5BDE"/>
    <w:pPr>
      <w:spacing w:before="60" w:after="240"/>
      <w:contextualSpacing/>
    </w:pPr>
  </w:style>
  <w:style w:type="character" w:styleId="PageNumber">
    <w:name w:val="page number"/>
    <w:basedOn w:val="DefaultParagraphFont"/>
    <w:rsid w:val="009364A7"/>
  </w:style>
  <w:style w:type="paragraph" w:customStyle="1" w:styleId="ExhibitTitleNOTOC">
    <w:name w:val="Exhibit Title NO TOC"/>
    <w:basedOn w:val="ExhibitTitle"/>
    <w:rsid w:val="009364A7"/>
  </w:style>
  <w:style w:type="character" w:styleId="FollowedHyperlink">
    <w:name w:val="FollowedHyperlink"/>
    <w:basedOn w:val="DefaultParagraphFont"/>
    <w:uiPriority w:val="99"/>
    <w:rsid w:val="009364A7"/>
    <w:rPr>
      <w:color w:val="800080"/>
      <w:u w:val="single"/>
    </w:rPr>
  </w:style>
  <w:style w:type="paragraph" w:customStyle="1" w:styleId="FlysheetText">
    <w:name w:val="Flysheet Text"/>
    <w:rsid w:val="009364A7"/>
    <w:pPr>
      <w:spacing w:before="5000"/>
      <w:jc w:val="right"/>
    </w:pPr>
    <w:rPr>
      <w:rFonts w:ascii="Franklin Gothic Heavy" w:eastAsia="Times New Roman" w:hAnsi="Franklin Gothic Heavy"/>
      <w:bCs/>
      <w:smallCaps/>
      <w:color w:val="0072BC"/>
      <w:sz w:val="48"/>
    </w:rPr>
  </w:style>
  <w:style w:type="paragraph" w:styleId="Revision">
    <w:name w:val="Revision"/>
    <w:hidden/>
    <w:rsid w:val="009364A7"/>
    <w:rPr>
      <w:rFonts w:ascii="Times New Roman" w:eastAsia="Times New Roman" w:hAnsi="Times New Roman"/>
      <w:sz w:val="24"/>
      <w:szCs w:val="24"/>
    </w:rPr>
  </w:style>
  <w:style w:type="paragraph" w:customStyle="1" w:styleId="BodyTextPostHead">
    <w:name w:val="Body Text_Post Head"/>
    <w:basedOn w:val="BodyText"/>
    <w:qFormat/>
    <w:rsid w:val="00D732E1"/>
    <w:pPr>
      <w:spacing w:before="0"/>
    </w:pPr>
  </w:style>
  <w:style w:type="paragraph" w:styleId="ListParagraph">
    <w:name w:val="List Paragraph"/>
    <w:basedOn w:val="Normal"/>
    <w:link w:val="ListParagraphChar"/>
    <w:uiPriority w:val="99"/>
    <w:qFormat/>
    <w:rsid w:val="006E1140"/>
    <w:pPr>
      <w:ind w:left="720"/>
      <w:contextualSpacing/>
    </w:pPr>
  </w:style>
  <w:style w:type="table" w:styleId="LightShading">
    <w:name w:val="Light Shading"/>
    <w:basedOn w:val="TableNormal"/>
    <w:uiPriority w:val="60"/>
    <w:rsid w:val="003510BC"/>
    <w:rPr>
      <w:rFonts w:asciiTheme="minorHAnsi" w:eastAsiaTheme="minorEastAsia"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itlePageH1">
    <w:name w:val="Title Page H1"/>
    <w:basedOn w:val="Normal"/>
    <w:link w:val="TitlePageH1Char"/>
    <w:qFormat/>
    <w:rsid w:val="007C135F"/>
    <w:pPr>
      <w:spacing w:after="0" w:line="240" w:lineRule="auto"/>
    </w:pPr>
    <w:rPr>
      <w:rFonts w:ascii="Century Gothic" w:hAnsi="Century Gothic"/>
      <w:b/>
      <w:color w:val="000000"/>
      <w:sz w:val="40"/>
      <w:szCs w:val="40"/>
    </w:rPr>
  </w:style>
  <w:style w:type="character" w:customStyle="1" w:styleId="TitlePageH1Char">
    <w:name w:val="Title Page H1 Char"/>
    <w:link w:val="TitlePageH1"/>
    <w:rsid w:val="007C135F"/>
    <w:rPr>
      <w:rFonts w:ascii="Century Gothic" w:hAnsi="Century Gothic"/>
      <w:b/>
      <w:color w:val="000000"/>
      <w:sz w:val="40"/>
      <w:szCs w:val="40"/>
    </w:rPr>
  </w:style>
  <w:style w:type="paragraph" w:customStyle="1" w:styleId="TitlePageH2">
    <w:name w:val="Title Page H2"/>
    <w:basedOn w:val="Normal"/>
    <w:link w:val="TitlePageH2Char"/>
    <w:qFormat/>
    <w:rsid w:val="007C135F"/>
    <w:pPr>
      <w:spacing w:after="0" w:line="240" w:lineRule="auto"/>
    </w:pPr>
    <w:rPr>
      <w:rFonts w:ascii="Century Gothic" w:hAnsi="Century Gothic"/>
      <w:color w:val="000000"/>
      <w:sz w:val="32"/>
      <w:szCs w:val="32"/>
    </w:rPr>
  </w:style>
  <w:style w:type="character" w:customStyle="1" w:styleId="TitlePageH2Char">
    <w:name w:val="Title Page H2 Char"/>
    <w:link w:val="TitlePageH2"/>
    <w:rsid w:val="007C135F"/>
    <w:rPr>
      <w:rFonts w:ascii="Century Gothic" w:hAnsi="Century Gothic"/>
      <w:color w:val="000000"/>
      <w:sz w:val="32"/>
      <w:szCs w:val="32"/>
    </w:rPr>
  </w:style>
  <w:style w:type="character" w:customStyle="1" w:styleId="ListParagraphChar">
    <w:name w:val="List Paragraph Char"/>
    <w:link w:val="ListParagraph"/>
    <w:uiPriority w:val="34"/>
    <w:rsid w:val="007C135F"/>
    <w:rPr>
      <w:sz w:val="22"/>
      <w:szCs w:val="22"/>
    </w:rPr>
  </w:style>
  <w:style w:type="paragraph" w:customStyle="1" w:styleId="TOCItemnumbered">
    <w:name w:val="TOC Item (numbered)"/>
    <w:basedOn w:val="ListParagraph"/>
    <w:link w:val="TOCItemnumberedChar"/>
    <w:rsid w:val="007C135F"/>
    <w:pPr>
      <w:numPr>
        <w:numId w:val="4"/>
      </w:numPr>
      <w:pBdr>
        <w:bottom w:val="single" w:sz="6" w:space="1" w:color="980C0C"/>
      </w:pBdr>
      <w:tabs>
        <w:tab w:val="right" w:pos="9360"/>
      </w:tabs>
      <w:spacing w:before="120" w:after="120" w:line="240" w:lineRule="auto"/>
      <w:ind w:left="360"/>
      <w:contextualSpacing w:val="0"/>
    </w:pPr>
    <w:rPr>
      <w:rFonts w:ascii="Arial" w:hAnsi="Arial"/>
      <w:b/>
      <w:sz w:val="20"/>
      <w:szCs w:val="20"/>
    </w:rPr>
  </w:style>
  <w:style w:type="character" w:customStyle="1" w:styleId="TOCItemnumberedChar">
    <w:name w:val="TOC Item (numbered) Char"/>
    <w:link w:val="TOCItemnumbered"/>
    <w:rsid w:val="007C135F"/>
    <w:rPr>
      <w:rFonts w:ascii="Arial" w:hAnsi="Arial"/>
      <w:b/>
    </w:rPr>
  </w:style>
  <w:style w:type="paragraph" w:customStyle="1" w:styleId="TOCItem">
    <w:name w:val="TOC Item"/>
    <w:basedOn w:val="TOCItemnumbered"/>
    <w:link w:val="TOCItemChar1"/>
    <w:qFormat/>
    <w:rsid w:val="007C135F"/>
    <w:pPr>
      <w:numPr>
        <w:numId w:val="0"/>
      </w:numPr>
    </w:pPr>
  </w:style>
  <w:style w:type="character" w:customStyle="1" w:styleId="TOCItemChar1">
    <w:name w:val="TOC Item Char1"/>
    <w:link w:val="TOCItem"/>
    <w:rsid w:val="007C135F"/>
    <w:rPr>
      <w:rFonts w:ascii="Arial" w:hAnsi="Arial"/>
      <w:b/>
    </w:rPr>
  </w:style>
  <w:style w:type="character" w:customStyle="1" w:styleId="TOCItemChar">
    <w:name w:val="TOC Item Char"/>
    <w:rsid w:val="007C135F"/>
    <w:rPr>
      <w:rFonts w:ascii="Times New Roman" w:hAnsi="Times New Roman"/>
      <w:sz w:val="20"/>
    </w:rPr>
  </w:style>
  <w:style w:type="paragraph" w:customStyle="1" w:styleId="Callout">
    <w:name w:val="Callout"/>
    <w:basedOn w:val="Normal"/>
    <w:rsid w:val="007C135F"/>
    <w:pPr>
      <w:keepLines/>
      <w:tabs>
        <w:tab w:val="right" w:pos="3240"/>
        <w:tab w:val="left" w:pos="4500"/>
        <w:tab w:val="left" w:pos="4860"/>
        <w:tab w:val="right" w:pos="9360"/>
      </w:tabs>
      <w:overflowPunct w:val="0"/>
      <w:autoSpaceDE w:val="0"/>
      <w:autoSpaceDN w:val="0"/>
      <w:adjustRightInd w:val="0"/>
      <w:spacing w:after="240" w:line="240" w:lineRule="auto"/>
      <w:ind w:left="3600" w:hanging="4147"/>
      <w:textAlignment w:val="baseline"/>
    </w:pPr>
    <w:rPr>
      <w:rFonts w:ascii="Arial" w:eastAsia="Times New Roman" w:hAnsi="Arial"/>
      <w:sz w:val="20"/>
      <w:szCs w:val="20"/>
    </w:rPr>
  </w:style>
  <w:style w:type="paragraph" w:styleId="NormalWeb">
    <w:name w:val="Normal (Web)"/>
    <w:basedOn w:val="Normal"/>
    <w:link w:val="NormalWebChar"/>
    <w:uiPriority w:val="99"/>
    <w:rsid w:val="007C135F"/>
    <w:pPr>
      <w:spacing w:before="100" w:beforeAutospacing="1" w:after="100" w:afterAutospacing="1" w:line="240" w:lineRule="auto"/>
    </w:pPr>
    <w:rPr>
      <w:rFonts w:ascii="Times New Roman" w:eastAsia="SimSun" w:hAnsi="Times New Roman"/>
      <w:sz w:val="24"/>
      <w:szCs w:val="24"/>
      <w:lang w:eastAsia="zh-CN"/>
    </w:rPr>
  </w:style>
  <w:style w:type="paragraph" w:styleId="Title">
    <w:name w:val="Title"/>
    <w:basedOn w:val="Normal"/>
    <w:link w:val="TitleChar"/>
    <w:qFormat/>
    <w:rsid w:val="007C135F"/>
    <w:pPr>
      <w:pBdr>
        <w:top w:val="single" w:sz="8" w:space="9" w:color="auto"/>
        <w:between w:val="single" w:sz="4" w:space="9" w:color="auto"/>
      </w:pBdr>
      <w:spacing w:after="0" w:line="240" w:lineRule="auto"/>
      <w:jc w:val="center"/>
    </w:pPr>
    <w:rPr>
      <w:rFonts w:ascii="Arial" w:eastAsia="Times New Roman" w:hAnsi="Arial"/>
      <w:b/>
      <w:smallCaps/>
      <w:sz w:val="25"/>
      <w:szCs w:val="25"/>
      <w:lang w:val="en-GB"/>
    </w:rPr>
  </w:style>
  <w:style w:type="character" w:customStyle="1" w:styleId="TitleChar">
    <w:name w:val="Title Char"/>
    <w:basedOn w:val="DefaultParagraphFont"/>
    <w:link w:val="Title"/>
    <w:rsid w:val="007C135F"/>
    <w:rPr>
      <w:rFonts w:ascii="Arial" w:eastAsia="Times New Roman" w:hAnsi="Arial"/>
      <w:b/>
      <w:smallCaps/>
      <w:sz w:val="25"/>
      <w:szCs w:val="25"/>
      <w:lang w:val="en-GB"/>
    </w:rPr>
  </w:style>
  <w:style w:type="character" w:customStyle="1" w:styleId="NormalWebChar">
    <w:name w:val="Normal (Web) Char"/>
    <w:link w:val="NormalWeb"/>
    <w:uiPriority w:val="99"/>
    <w:rsid w:val="007C135F"/>
    <w:rPr>
      <w:rFonts w:ascii="Times New Roman" w:eastAsia="SimSun" w:hAnsi="Times New Roman"/>
      <w:sz w:val="24"/>
      <w:szCs w:val="24"/>
      <w:lang w:eastAsia="zh-CN"/>
    </w:rPr>
  </w:style>
  <w:style w:type="paragraph" w:customStyle="1" w:styleId="Default">
    <w:name w:val="Default"/>
    <w:rsid w:val="007C135F"/>
    <w:pPr>
      <w:autoSpaceDE w:val="0"/>
      <w:autoSpaceDN w:val="0"/>
      <w:adjustRightInd w:val="0"/>
    </w:pPr>
    <w:rPr>
      <w:rFonts w:ascii="Arial" w:hAnsi="Arial" w:cs="Arial"/>
      <w:color w:val="000000"/>
      <w:sz w:val="24"/>
      <w:szCs w:val="24"/>
    </w:rPr>
  </w:style>
  <w:style w:type="paragraph" w:styleId="PlainText">
    <w:name w:val="Plain Text"/>
    <w:basedOn w:val="Normal"/>
    <w:link w:val="PlainTextChar"/>
    <w:uiPriority w:val="99"/>
    <w:unhideWhenUsed/>
    <w:rsid w:val="007C135F"/>
    <w:pPr>
      <w:spacing w:after="0" w:line="240" w:lineRule="auto"/>
    </w:pPr>
    <w:rPr>
      <w:sz w:val="20"/>
      <w:szCs w:val="21"/>
    </w:rPr>
  </w:style>
  <w:style w:type="character" w:customStyle="1" w:styleId="PlainTextChar">
    <w:name w:val="Plain Text Char"/>
    <w:basedOn w:val="DefaultParagraphFont"/>
    <w:link w:val="PlainText"/>
    <w:uiPriority w:val="99"/>
    <w:rsid w:val="007C135F"/>
    <w:rPr>
      <w:szCs w:val="21"/>
    </w:rPr>
  </w:style>
  <w:style w:type="table" w:customStyle="1" w:styleId="TableGrid1">
    <w:name w:val="Table Grid1"/>
    <w:basedOn w:val="TableNormal"/>
    <w:next w:val="TableGrid"/>
    <w:uiPriority w:val="59"/>
    <w:rsid w:val="007C13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7C135F"/>
    <w:pPr>
      <w:keepNext w:val="0"/>
      <w:keepLines w:val="0"/>
      <w:spacing w:after="0" w:line="276" w:lineRule="auto"/>
      <w:ind w:left="360"/>
      <w:jc w:val="right"/>
      <w:outlineLvl w:val="9"/>
    </w:pPr>
    <w:rPr>
      <w:rFonts w:ascii="Times New Roman" w:eastAsia="Calibri" w:hAnsi="Times New Roman"/>
      <w:bCs w:val="0"/>
      <w:color w:val="000000"/>
      <w:kern w:val="0"/>
      <w:sz w:val="36"/>
      <w:szCs w:val="36"/>
    </w:rPr>
  </w:style>
  <w:style w:type="character" w:styleId="HTMLCite">
    <w:name w:val="HTML Cite"/>
    <w:uiPriority w:val="99"/>
    <w:semiHidden/>
    <w:unhideWhenUsed/>
    <w:rsid w:val="007C135F"/>
    <w:rPr>
      <w:i/>
      <w:iCs/>
    </w:rPr>
  </w:style>
  <w:style w:type="paragraph" w:customStyle="1" w:styleId="CopyrightInformation">
    <w:name w:val="Copyright Information"/>
    <w:basedOn w:val="Normal"/>
    <w:rsid w:val="007C135F"/>
    <w:pPr>
      <w:keepNext/>
      <w:keepLines/>
      <w:framePr w:hSpace="187" w:wrap="auto" w:hAnchor="text" w:xAlign="right" w:yAlign="bottom"/>
      <w:widowControl w:val="0"/>
      <w:tabs>
        <w:tab w:val="right" w:pos="10080"/>
      </w:tabs>
      <w:overflowPunct w:val="0"/>
      <w:autoSpaceDE w:val="0"/>
      <w:autoSpaceDN w:val="0"/>
      <w:adjustRightInd w:val="0"/>
      <w:spacing w:after="288" w:line="288" w:lineRule="auto"/>
      <w:ind w:left="3600"/>
    </w:pPr>
    <w:rPr>
      <w:rFonts w:ascii="Arial" w:eastAsia="Times New Roman" w:hAnsi="Arial" w:cs="Arial"/>
      <w:noProof/>
      <w:kern w:val="16"/>
      <w:sz w:val="24"/>
      <w:szCs w:val="24"/>
    </w:rPr>
  </w:style>
  <w:style w:type="table" w:styleId="LightShading-Accent2">
    <w:name w:val="Light Shading Accent 2"/>
    <w:basedOn w:val="TableNormal"/>
    <w:uiPriority w:val="60"/>
    <w:rsid w:val="007C135F"/>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List-Accent2">
    <w:name w:val="Light List Accent 2"/>
    <w:basedOn w:val="TableNormal"/>
    <w:uiPriority w:val="61"/>
    <w:rsid w:val="007C135F"/>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customStyle="1" w:styleId="TableBullet1">
    <w:name w:val="Table_Bullet 1"/>
    <w:rsid w:val="00C54065"/>
    <w:pPr>
      <w:numPr>
        <w:numId w:val="5"/>
      </w:numPr>
      <w:spacing w:before="40" w:after="20"/>
      <w:ind w:left="216" w:hanging="216"/>
    </w:pPr>
    <w:rPr>
      <w:rFonts w:asciiTheme="minorHAnsi" w:eastAsia="Times" w:hAnsiTheme="minorHAnsi"/>
    </w:rPr>
  </w:style>
  <w:style w:type="paragraph" w:customStyle="1" w:styleId="CoverTitle">
    <w:name w:val="Cover Title"/>
    <w:link w:val="CoverTitleChar"/>
    <w:qFormat/>
    <w:rsid w:val="00077005"/>
    <w:pPr>
      <w:spacing w:before="4440" w:after="240"/>
      <w:ind w:left="2434"/>
    </w:pPr>
    <w:rPr>
      <w:rFonts w:ascii="Franklin Gothic Demi" w:eastAsia="Perpetua" w:hAnsi="Franklin Gothic Demi"/>
      <w:color w:val="005295"/>
      <w:sz w:val="50"/>
      <w:szCs w:val="50"/>
    </w:rPr>
  </w:style>
  <w:style w:type="paragraph" w:customStyle="1" w:styleId="CoverSubtitle">
    <w:name w:val="Cover Subtitle"/>
    <w:basedOn w:val="Normal"/>
    <w:link w:val="CoverSubtitleChar"/>
    <w:qFormat/>
    <w:rsid w:val="000D4F40"/>
    <w:pPr>
      <w:spacing w:before="1440" w:after="240"/>
      <w:jc w:val="center"/>
    </w:pPr>
    <w:rPr>
      <w:rFonts w:eastAsia="Times New Roman"/>
      <w:b/>
      <w:bCs/>
      <w:sz w:val="48"/>
      <w:szCs w:val="48"/>
    </w:rPr>
  </w:style>
  <w:style w:type="character" w:customStyle="1" w:styleId="CoverTitleChar">
    <w:name w:val="Cover Title Char"/>
    <w:basedOn w:val="DefaultParagraphFont"/>
    <w:link w:val="CoverTitle"/>
    <w:rsid w:val="00077005"/>
    <w:rPr>
      <w:rFonts w:ascii="Franklin Gothic Demi" w:eastAsia="Perpetua" w:hAnsi="Franklin Gothic Demi"/>
      <w:color w:val="005295"/>
      <w:sz w:val="50"/>
      <w:szCs w:val="50"/>
    </w:rPr>
  </w:style>
  <w:style w:type="character" w:customStyle="1" w:styleId="CoverSubtitleChar">
    <w:name w:val="Cover Subtitle Char"/>
    <w:basedOn w:val="DefaultParagraphFont"/>
    <w:link w:val="CoverSubtitle"/>
    <w:rsid w:val="000D4F40"/>
    <w:rPr>
      <w:rFonts w:eastAsia="Times New Roman"/>
      <w:b/>
      <w:bCs/>
      <w:sz w:val="48"/>
      <w:szCs w:val="48"/>
    </w:rPr>
  </w:style>
  <w:style w:type="paragraph" w:customStyle="1" w:styleId="CoverDate">
    <w:name w:val="Cover Date"/>
    <w:basedOn w:val="Normal"/>
    <w:qFormat/>
    <w:rsid w:val="000D4F40"/>
    <w:pPr>
      <w:spacing w:after="0"/>
      <w:ind w:left="2434"/>
    </w:pPr>
  </w:style>
  <w:style w:type="paragraph" w:customStyle="1" w:styleId="CoverAuthorTitleAffiliation">
    <w:name w:val="Cover Author Title/Affiliation"/>
    <w:basedOn w:val="Normal"/>
    <w:link w:val="CoverAuthorTitleAffiliationChar"/>
    <w:qFormat/>
    <w:rsid w:val="000D4F40"/>
    <w:pPr>
      <w:spacing w:before="480" w:after="120" w:line="240" w:lineRule="auto"/>
      <w:ind w:left="2434"/>
    </w:pPr>
    <w:rPr>
      <w:rFonts w:ascii="Franklin Gothic Demi" w:hAnsi="Franklin Gothic Demi"/>
      <w:color w:val="595959"/>
      <w:sz w:val="28"/>
      <w:szCs w:val="28"/>
    </w:rPr>
  </w:style>
  <w:style w:type="character" w:customStyle="1" w:styleId="CoverAuthorTitleAffiliationChar">
    <w:name w:val="Cover Author Title/Affiliation Char"/>
    <w:basedOn w:val="DefaultParagraphFont"/>
    <w:link w:val="CoverAuthorTitleAffiliation"/>
    <w:rsid w:val="000D4F40"/>
    <w:rPr>
      <w:rFonts w:ascii="Franklin Gothic Demi" w:hAnsi="Franklin Gothic Demi"/>
      <w:color w:val="595959"/>
      <w:sz w:val="28"/>
      <w:szCs w:val="28"/>
    </w:rPr>
  </w:style>
  <w:style w:type="table" w:customStyle="1" w:styleId="AIRTable">
    <w:name w:val="AIR Table"/>
    <w:basedOn w:val="TableNormal"/>
    <w:uiPriority w:val="99"/>
    <w:qFormat/>
    <w:rsid w:val="00F703E7"/>
    <w:rPr>
      <w:rFonts w:ascii="Arial" w:eastAsia="Times New Roman" w:hAnsi="Arial"/>
      <w:szCs w:val="22"/>
    </w:rPr>
    <w:tblPr>
      <w:tblInd w:w="86" w:type="dxa"/>
      <w:tblBorders>
        <w:top w:val="single" w:sz="4" w:space="0" w:color="005295"/>
        <w:left w:val="single" w:sz="4" w:space="0" w:color="005295"/>
        <w:bottom w:val="single" w:sz="4" w:space="0" w:color="005295"/>
        <w:right w:val="single" w:sz="4" w:space="0" w:color="005295"/>
        <w:insideH w:val="single" w:sz="4" w:space="0" w:color="005295"/>
        <w:insideV w:val="single" w:sz="4" w:space="0" w:color="005295"/>
      </w:tblBorders>
      <w:tblCellMar>
        <w:top w:w="29" w:type="dxa"/>
        <w:left w:w="72" w:type="dxa"/>
        <w:bottom w:w="29" w:type="dxa"/>
        <w:right w:w="72" w:type="dxa"/>
      </w:tblCellMar>
    </w:tblPr>
    <w:tblStylePr w:type="firstRow">
      <w:pPr>
        <w:wordWrap/>
        <w:spacing w:beforeLines="0" w:beforeAutospacing="0" w:afterLines="0" w:afterAutospacing="0" w:line="240" w:lineRule="auto"/>
        <w:ind w:leftChars="0" w:left="0" w:rightChars="0" w:right="0" w:firstLineChars="0" w:firstLine="0"/>
        <w:jc w:val="center"/>
      </w:pPr>
      <w:rPr>
        <w:rFonts w:ascii="Arial" w:hAnsi="Arial"/>
        <w:color w:val="FFFFFF" w:themeColor="background1"/>
        <w:sz w:val="20"/>
      </w:rPr>
      <w:tblPr/>
      <w:tcPr>
        <w:tcBorders>
          <w:top w:val="single" w:sz="4" w:space="0" w:color="002C5F"/>
          <w:left w:val="single" w:sz="4" w:space="0" w:color="002C5F"/>
          <w:bottom w:val="single" w:sz="4" w:space="0" w:color="002C5F"/>
          <w:right w:val="single" w:sz="4" w:space="0" w:color="002C5F"/>
          <w:insideH w:val="single" w:sz="4" w:space="0" w:color="002C5F"/>
          <w:insideV w:val="single" w:sz="4" w:space="0" w:color="FFFFFF" w:themeColor="background1"/>
          <w:tl2br w:val="nil"/>
          <w:tr2bl w:val="nil"/>
        </w:tcBorders>
        <w:shd w:val="clear" w:color="auto" w:fill="002C5F"/>
      </w:tcPr>
    </w:tblStylePr>
  </w:style>
  <w:style w:type="table" w:styleId="MediumGrid3-Accent1">
    <w:name w:val="Medium Grid 3 Accent 1"/>
    <w:basedOn w:val="TableNormal"/>
    <w:uiPriority w:val="69"/>
    <w:semiHidden/>
    <w:unhideWhenUsed/>
    <w:rsid w:val="000B5E7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1-Accent1">
    <w:name w:val="Medium Grid 1 Accent 1"/>
    <w:basedOn w:val="TableNormal"/>
    <w:uiPriority w:val="67"/>
    <w:semiHidden/>
    <w:unhideWhenUsed/>
    <w:rsid w:val="000B5E7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paragraph" w:customStyle="1" w:styleId="TableTitle">
    <w:name w:val="Table Title"/>
    <w:basedOn w:val="Normal"/>
    <w:qFormat/>
    <w:rsid w:val="00296CB9"/>
    <w:pPr>
      <w:keepNext/>
      <w:spacing w:before="240" w:after="120" w:line="240" w:lineRule="auto"/>
    </w:pPr>
    <w:rPr>
      <w:rFonts w:eastAsia="Times New Roman" w:cs="Times"/>
      <w:b/>
      <w:color w:val="0F243E" w:themeColor="text2" w:themeShade="80"/>
      <w:szCs w:val="24"/>
    </w:rPr>
  </w:style>
  <w:style w:type="character" w:customStyle="1" w:styleId="ExhibitTitleChar">
    <w:name w:val="Exhibit Title Char"/>
    <w:basedOn w:val="DefaultParagraphFont"/>
    <w:link w:val="ExhibitTitle"/>
    <w:uiPriority w:val="12"/>
    <w:rsid w:val="00DB2CA0"/>
    <w:rPr>
      <w:rFonts w:asciiTheme="minorHAnsi" w:eastAsia="Times New Roman" w:hAnsiTheme="minorHAnsi" w:cs="Arial"/>
      <w:b/>
      <w:sz w:val="24"/>
      <w:szCs w:val="22"/>
    </w:rPr>
  </w:style>
  <w:style w:type="paragraph" w:customStyle="1" w:styleId="Heading40">
    <w:name w:val="Heading_4"/>
    <w:basedOn w:val="BodyText"/>
    <w:qFormat/>
    <w:rsid w:val="00071C91"/>
    <w:rPr>
      <w:b/>
      <w:i/>
    </w:rPr>
  </w:style>
  <w:style w:type="table" w:customStyle="1" w:styleId="AIRBlueTable">
    <w:name w:val="AIR Blue Table"/>
    <w:basedOn w:val="TableNormal"/>
    <w:uiPriority w:val="99"/>
    <w:rsid w:val="006A3281"/>
    <w:pPr>
      <w:spacing w:before="40" w:after="40"/>
    </w:pPr>
    <w:rPr>
      <w:rFonts w:asciiTheme="majorHAnsi" w:eastAsia="Times New Roman" w:hAnsiTheme="majorHAnsi"/>
      <w:sz w:val="22"/>
      <w:szCs w:val="24"/>
    </w:rPr>
    <w:tblPr>
      <w:tblStyleRowBandSize w:val="1"/>
      <w:tblStyleColBandSize w:val="1"/>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58" w:type="dxa"/>
        <w:right w:w="58" w:type="dxa"/>
      </w:tblCellMar>
    </w:tblPr>
    <w:trPr>
      <w:cantSplit/>
      <w:jc w:val="center"/>
    </w:trPr>
    <w:tcPr>
      <w:shd w:val="clear" w:color="auto" w:fill="auto"/>
    </w:tcPr>
    <w:tblStylePr w:type="firstRow">
      <w:pPr>
        <w:wordWrap/>
        <w:contextualSpacing w:val="0"/>
        <w:jc w:val="center"/>
      </w:pPr>
      <w:rPr>
        <w:rFonts w:asciiTheme="majorHAnsi" w:hAnsiTheme="majorHAnsi"/>
        <w:b w:val="0"/>
        <w:sz w:val="22"/>
      </w:rPr>
      <w:tblPr/>
      <w:tcPr>
        <w:shd w:val="clear" w:color="auto" w:fill="B8CCE4" w:themeFill="accent1" w:themeFillTint="66"/>
        <w:vAlign w:val="bottom"/>
      </w:tcPr>
    </w:tblStylePr>
    <w:tblStylePr w:type="firstCol">
      <w:rPr>
        <w:b/>
      </w:rPr>
      <w:tblPr/>
      <w:tcPr>
        <w:shd w:val="clear" w:color="auto" w:fill="B8CCE4" w:themeFill="accent1" w:themeFillTint="66"/>
      </w:tcPr>
    </w:tblStylePr>
    <w:tblStylePr w:type="band1Horz">
      <w:tblPr/>
      <w:tcPr>
        <w:shd w:val="clear" w:color="auto" w:fill="DBE5F1" w:themeFill="accent1" w:themeFillTint="33"/>
      </w:tcPr>
    </w:tblStylePr>
  </w:style>
  <w:style w:type="numbering" w:customStyle="1" w:styleId="AIRTableNumbering">
    <w:name w:val="AIR Table Numbering"/>
    <w:uiPriority w:val="99"/>
    <w:rsid w:val="006A3281"/>
    <w:pPr>
      <w:numPr>
        <w:numId w:val="7"/>
      </w:numPr>
    </w:pPr>
  </w:style>
  <w:style w:type="character" w:customStyle="1" w:styleId="UnresolvedMention1">
    <w:name w:val="Unresolved Mention1"/>
    <w:basedOn w:val="DefaultParagraphFont"/>
    <w:uiPriority w:val="99"/>
    <w:semiHidden/>
    <w:unhideWhenUsed/>
    <w:rsid w:val="00961FFD"/>
    <w:rPr>
      <w:color w:val="808080"/>
      <w:shd w:val="clear" w:color="auto" w:fill="E6E6E6"/>
    </w:rPr>
  </w:style>
  <w:style w:type="character" w:styleId="UnresolvedMention">
    <w:name w:val="Unresolved Mention"/>
    <w:basedOn w:val="DefaultParagraphFont"/>
    <w:uiPriority w:val="99"/>
    <w:semiHidden/>
    <w:unhideWhenUsed/>
    <w:rsid w:val="0079747B"/>
    <w:rPr>
      <w:color w:val="605E5C"/>
      <w:shd w:val="clear" w:color="auto" w:fill="E1DFDD"/>
    </w:rPr>
  </w:style>
  <w:style w:type="paragraph" w:customStyle="1" w:styleId="NumberedList">
    <w:name w:val="Numbered List"/>
    <w:basedOn w:val="BodyText"/>
    <w:qFormat/>
    <w:rsid w:val="00D732E1"/>
    <w:pPr>
      <w:numPr>
        <w:numId w:val="6"/>
      </w:numPr>
      <w:spacing w:before="120"/>
    </w:pPr>
    <w:rPr>
      <w:rFonts w:ascii="Calibri" w:hAnsi="Calibri"/>
    </w:rPr>
  </w:style>
  <w:style w:type="paragraph" w:customStyle="1" w:styleId="BodyTextIndent2">
    <w:name w:val="Body Text_Indent 2"/>
    <w:basedOn w:val="BodyText"/>
    <w:qFormat/>
    <w:rsid w:val="000774E7"/>
    <w:pPr>
      <w:ind w:left="720"/>
    </w:pPr>
    <w:rPr>
      <w:rFonts w:ascii="Calibri" w:hAnsi="Calibri"/>
    </w:rPr>
  </w:style>
  <w:style w:type="paragraph" w:customStyle="1" w:styleId="Bullet1">
    <w:name w:val="Bullet 1"/>
    <w:basedOn w:val="BodyText"/>
    <w:qFormat/>
    <w:rsid w:val="00D732E1"/>
    <w:pPr>
      <w:numPr>
        <w:numId w:val="8"/>
      </w:numPr>
      <w:spacing w:before="120"/>
    </w:pPr>
    <w:rPr>
      <w:bCs/>
    </w:rPr>
  </w:style>
  <w:style w:type="paragraph" w:customStyle="1" w:styleId="TableColumnHeadCentered">
    <w:name w:val="Table_Column Head Centered"/>
    <w:basedOn w:val="BodyText"/>
    <w:qFormat/>
    <w:rsid w:val="00DB2CA0"/>
    <w:pPr>
      <w:spacing w:before="40" w:after="40"/>
      <w:jc w:val="center"/>
    </w:pPr>
    <w:rPr>
      <w:b/>
      <w:sz w:val="20"/>
    </w:rPr>
  </w:style>
  <w:style w:type="paragraph" w:customStyle="1" w:styleId="TableSubheading">
    <w:name w:val="Table_Subheading"/>
    <w:basedOn w:val="BodyText"/>
    <w:qFormat/>
    <w:rsid w:val="0051274A"/>
    <w:pPr>
      <w:spacing w:before="40" w:after="40"/>
    </w:pPr>
    <w:rPr>
      <w:b/>
      <w:sz w:val="20"/>
      <w:szCs w:val="20"/>
    </w:rPr>
  </w:style>
  <w:style w:type="paragraph" w:customStyle="1" w:styleId="TableText">
    <w:name w:val="Table_Text"/>
    <w:basedOn w:val="BodyText"/>
    <w:qFormat/>
    <w:rsid w:val="0051274A"/>
    <w:pPr>
      <w:spacing w:before="40" w:after="40"/>
    </w:pPr>
    <w:rPr>
      <w:sz w:val="20"/>
      <w:szCs w:val="20"/>
    </w:rPr>
  </w:style>
  <w:style w:type="paragraph" w:customStyle="1" w:styleId="BodyTextIndent1">
    <w:name w:val="Body Text_Indent 1"/>
    <w:basedOn w:val="BodyText"/>
    <w:qFormat/>
    <w:rsid w:val="0051274A"/>
    <w:pPr>
      <w:ind w:left="360"/>
    </w:pPr>
  </w:style>
  <w:style w:type="paragraph" w:customStyle="1" w:styleId="TableTextNumbered">
    <w:name w:val="Table Text_Numbered"/>
    <w:basedOn w:val="TableText"/>
    <w:qFormat/>
    <w:rsid w:val="0051274A"/>
    <w:pPr>
      <w:framePr w:hSpace="180" w:wrap="around" w:vAnchor="text" w:hAnchor="text" w:xAlign="center" w:y="1"/>
      <w:numPr>
        <w:numId w:val="10"/>
      </w:numPr>
      <w:ind w:left="360"/>
    </w:pPr>
  </w:style>
  <w:style w:type="paragraph" w:customStyle="1" w:styleId="TableTextCentered">
    <w:name w:val="Table_Text Centered"/>
    <w:basedOn w:val="TableText"/>
    <w:qFormat/>
    <w:rsid w:val="0051274A"/>
    <w:pPr>
      <w:jc w:val="center"/>
    </w:pPr>
  </w:style>
  <w:style w:type="paragraph" w:customStyle="1" w:styleId="Reference">
    <w:name w:val="Reference"/>
    <w:basedOn w:val="BodyText"/>
    <w:qFormat/>
    <w:rsid w:val="00EC7A71"/>
    <w:pPr>
      <w:ind w:left="720" w:hanging="720"/>
    </w:pPr>
  </w:style>
  <w:style w:type="paragraph" w:customStyle="1" w:styleId="Heading1NoTOC">
    <w:name w:val="Heading 1_No TOC"/>
    <w:basedOn w:val="Heading2"/>
    <w:qFormat/>
    <w:rsid w:val="00FE5661"/>
  </w:style>
  <w:style w:type="paragraph" w:customStyle="1" w:styleId="Normalbullet">
    <w:name w:val="Normal bullet"/>
    <w:basedOn w:val="Normal"/>
    <w:rsid w:val="00C06762"/>
    <w:pPr>
      <w:numPr>
        <w:numId w:val="29"/>
      </w:numPr>
      <w:spacing w:after="0" w:line="240" w:lineRule="auto"/>
    </w:pPr>
    <w:rPr>
      <w:rFonts w:ascii="Adobe Jenson Pro" w:eastAsia="Times New Roman" w:hAnsi="Adobe Jenson Pro"/>
      <w:sz w:val="24"/>
      <w:szCs w:val="24"/>
    </w:rPr>
  </w:style>
  <w:style w:type="paragraph" w:customStyle="1" w:styleId="Normalbullet2">
    <w:name w:val="Normal bullet 2"/>
    <w:basedOn w:val="Normalbullet"/>
    <w:rsid w:val="00C06762"/>
    <w:pPr>
      <w:numPr>
        <w:ilvl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469628">
      <w:bodyDiv w:val="1"/>
      <w:marLeft w:val="0"/>
      <w:marRight w:val="0"/>
      <w:marTop w:val="0"/>
      <w:marBottom w:val="0"/>
      <w:divBdr>
        <w:top w:val="none" w:sz="0" w:space="0" w:color="auto"/>
        <w:left w:val="none" w:sz="0" w:space="0" w:color="auto"/>
        <w:bottom w:val="none" w:sz="0" w:space="0" w:color="auto"/>
        <w:right w:val="none" w:sz="0" w:space="0" w:color="auto"/>
      </w:divBdr>
    </w:div>
    <w:div w:id="73088304">
      <w:bodyDiv w:val="1"/>
      <w:marLeft w:val="0"/>
      <w:marRight w:val="0"/>
      <w:marTop w:val="0"/>
      <w:marBottom w:val="0"/>
      <w:divBdr>
        <w:top w:val="none" w:sz="0" w:space="0" w:color="auto"/>
        <w:left w:val="none" w:sz="0" w:space="0" w:color="auto"/>
        <w:bottom w:val="none" w:sz="0" w:space="0" w:color="auto"/>
        <w:right w:val="none" w:sz="0" w:space="0" w:color="auto"/>
      </w:divBdr>
    </w:div>
    <w:div w:id="90589424">
      <w:bodyDiv w:val="1"/>
      <w:marLeft w:val="0"/>
      <w:marRight w:val="0"/>
      <w:marTop w:val="0"/>
      <w:marBottom w:val="0"/>
      <w:divBdr>
        <w:top w:val="none" w:sz="0" w:space="0" w:color="auto"/>
        <w:left w:val="none" w:sz="0" w:space="0" w:color="auto"/>
        <w:bottom w:val="none" w:sz="0" w:space="0" w:color="auto"/>
        <w:right w:val="none" w:sz="0" w:space="0" w:color="auto"/>
      </w:divBdr>
    </w:div>
    <w:div w:id="342901170">
      <w:bodyDiv w:val="1"/>
      <w:marLeft w:val="0"/>
      <w:marRight w:val="0"/>
      <w:marTop w:val="0"/>
      <w:marBottom w:val="0"/>
      <w:divBdr>
        <w:top w:val="none" w:sz="0" w:space="0" w:color="auto"/>
        <w:left w:val="none" w:sz="0" w:space="0" w:color="auto"/>
        <w:bottom w:val="none" w:sz="0" w:space="0" w:color="auto"/>
        <w:right w:val="none" w:sz="0" w:space="0" w:color="auto"/>
      </w:divBdr>
    </w:div>
    <w:div w:id="343634898">
      <w:bodyDiv w:val="1"/>
      <w:marLeft w:val="0"/>
      <w:marRight w:val="0"/>
      <w:marTop w:val="0"/>
      <w:marBottom w:val="0"/>
      <w:divBdr>
        <w:top w:val="none" w:sz="0" w:space="0" w:color="auto"/>
        <w:left w:val="none" w:sz="0" w:space="0" w:color="auto"/>
        <w:bottom w:val="none" w:sz="0" w:space="0" w:color="auto"/>
        <w:right w:val="none" w:sz="0" w:space="0" w:color="auto"/>
      </w:divBdr>
    </w:div>
    <w:div w:id="394474722">
      <w:bodyDiv w:val="1"/>
      <w:marLeft w:val="0"/>
      <w:marRight w:val="0"/>
      <w:marTop w:val="0"/>
      <w:marBottom w:val="0"/>
      <w:divBdr>
        <w:top w:val="none" w:sz="0" w:space="0" w:color="auto"/>
        <w:left w:val="none" w:sz="0" w:space="0" w:color="auto"/>
        <w:bottom w:val="none" w:sz="0" w:space="0" w:color="auto"/>
        <w:right w:val="none" w:sz="0" w:space="0" w:color="auto"/>
      </w:divBdr>
    </w:div>
    <w:div w:id="420562490">
      <w:bodyDiv w:val="1"/>
      <w:marLeft w:val="0"/>
      <w:marRight w:val="0"/>
      <w:marTop w:val="0"/>
      <w:marBottom w:val="0"/>
      <w:divBdr>
        <w:top w:val="none" w:sz="0" w:space="0" w:color="auto"/>
        <w:left w:val="none" w:sz="0" w:space="0" w:color="auto"/>
        <w:bottom w:val="none" w:sz="0" w:space="0" w:color="auto"/>
        <w:right w:val="none" w:sz="0" w:space="0" w:color="auto"/>
      </w:divBdr>
    </w:div>
    <w:div w:id="509829164">
      <w:bodyDiv w:val="1"/>
      <w:marLeft w:val="0"/>
      <w:marRight w:val="0"/>
      <w:marTop w:val="0"/>
      <w:marBottom w:val="0"/>
      <w:divBdr>
        <w:top w:val="none" w:sz="0" w:space="0" w:color="auto"/>
        <w:left w:val="none" w:sz="0" w:space="0" w:color="auto"/>
        <w:bottom w:val="none" w:sz="0" w:space="0" w:color="auto"/>
        <w:right w:val="none" w:sz="0" w:space="0" w:color="auto"/>
      </w:divBdr>
    </w:div>
    <w:div w:id="523636927">
      <w:bodyDiv w:val="1"/>
      <w:marLeft w:val="0"/>
      <w:marRight w:val="0"/>
      <w:marTop w:val="0"/>
      <w:marBottom w:val="0"/>
      <w:divBdr>
        <w:top w:val="none" w:sz="0" w:space="0" w:color="auto"/>
        <w:left w:val="none" w:sz="0" w:space="0" w:color="auto"/>
        <w:bottom w:val="none" w:sz="0" w:space="0" w:color="auto"/>
        <w:right w:val="none" w:sz="0" w:space="0" w:color="auto"/>
      </w:divBdr>
    </w:div>
    <w:div w:id="525875295">
      <w:bodyDiv w:val="1"/>
      <w:marLeft w:val="0"/>
      <w:marRight w:val="0"/>
      <w:marTop w:val="0"/>
      <w:marBottom w:val="0"/>
      <w:divBdr>
        <w:top w:val="none" w:sz="0" w:space="0" w:color="auto"/>
        <w:left w:val="none" w:sz="0" w:space="0" w:color="auto"/>
        <w:bottom w:val="none" w:sz="0" w:space="0" w:color="auto"/>
        <w:right w:val="none" w:sz="0" w:space="0" w:color="auto"/>
      </w:divBdr>
    </w:div>
    <w:div w:id="570237923">
      <w:bodyDiv w:val="1"/>
      <w:marLeft w:val="0"/>
      <w:marRight w:val="0"/>
      <w:marTop w:val="0"/>
      <w:marBottom w:val="0"/>
      <w:divBdr>
        <w:top w:val="none" w:sz="0" w:space="0" w:color="auto"/>
        <w:left w:val="none" w:sz="0" w:space="0" w:color="auto"/>
        <w:bottom w:val="none" w:sz="0" w:space="0" w:color="auto"/>
        <w:right w:val="none" w:sz="0" w:space="0" w:color="auto"/>
      </w:divBdr>
    </w:div>
    <w:div w:id="574049646">
      <w:bodyDiv w:val="1"/>
      <w:marLeft w:val="0"/>
      <w:marRight w:val="0"/>
      <w:marTop w:val="0"/>
      <w:marBottom w:val="0"/>
      <w:divBdr>
        <w:top w:val="none" w:sz="0" w:space="0" w:color="auto"/>
        <w:left w:val="none" w:sz="0" w:space="0" w:color="auto"/>
        <w:bottom w:val="none" w:sz="0" w:space="0" w:color="auto"/>
        <w:right w:val="none" w:sz="0" w:space="0" w:color="auto"/>
      </w:divBdr>
    </w:div>
    <w:div w:id="588739761">
      <w:bodyDiv w:val="1"/>
      <w:marLeft w:val="0"/>
      <w:marRight w:val="0"/>
      <w:marTop w:val="0"/>
      <w:marBottom w:val="0"/>
      <w:divBdr>
        <w:top w:val="none" w:sz="0" w:space="0" w:color="auto"/>
        <w:left w:val="none" w:sz="0" w:space="0" w:color="auto"/>
        <w:bottom w:val="none" w:sz="0" w:space="0" w:color="auto"/>
        <w:right w:val="none" w:sz="0" w:space="0" w:color="auto"/>
      </w:divBdr>
    </w:div>
    <w:div w:id="589194442">
      <w:bodyDiv w:val="1"/>
      <w:marLeft w:val="0"/>
      <w:marRight w:val="0"/>
      <w:marTop w:val="0"/>
      <w:marBottom w:val="0"/>
      <w:divBdr>
        <w:top w:val="none" w:sz="0" w:space="0" w:color="auto"/>
        <w:left w:val="none" w:sz="0" w:space="0" w:color="auto"/>
        <w:bottom w:val="none" w:sz="0" w:space="0" w:color="auto"/>
        <w:right w:val="none" w:sz="0" w:space="0" w:color="auto"/>
      </w:divBdr>
    </w:div>
    <w:div w:id="612707030">
      <w:bodyDiv w:val="1"/>
      <w:marLeft w:val="0"/>
      <w:marRight w:val="0"/>
      <w:marTop w:val="0"/>
      <w:marBottom w:val="0"/>
      <w:divBdr>
        <w:top w:val="none" w:sz="0" w:space="0" w:color="auto"/>
        <w:left w:val="none" w:sz="0" w:space="0" w:color="auto"/>
        <w:bottom w:val="none" w:sz="0" w:space="0" w:color="auto"/>
        <w:right w:val="none" w:sz="0" w:space="0" w:color="auto"/>
      </w:divBdr>
    </w:div>
    <w:div w:id="663633793">
      <w:bodyDiv w:val="1"/>
      <w:marLeft w:val="0"/>
      <w:marRight w:val="0"/>
      <w:marTop w:val="0"/>
      <w:marBottom w:val="0"/>
      <w:divBdr>
        <w:top w:val="none" w:sz="0" w:space="0" w:color="auto"/>
        <w:left w:val="none" w:sz="0" w:space="0" w:color="auto"/>
        <w:bottom w:val="none" w:sz="0" w:space="0" w:color="auto"/>
        <w:right w:val="none" w:sz="0" w:space="0" w:color="auto"/>
      </w:divBdr>
    </w:div>
    <w:div w:id="666593420">
      <w:bodyDiv w:val="1"/>
      <w:marLeft w:val="0"/>
      <w:marRight w:val="0"/>
      <w:marTop w:val="0"/>
      <w:marBottom w:val="0"/>
      <w:divBdr>
        <w:top w:val="none" w:sz="0" w:space="0" w:color="auto"/>
        <w:left w:val="none" w:sz="0" w:space="0" w:color="auto"/>
        <w:bottom w:val="none" w:sz="0" w:space="0" w:color="auto"/>
        <w:right w:val="none" w:sz="0" w:space="0" w:color="auto"/>
      </w:divBdr>
    </w:div>
    <w:div w:id="738944830">
      <w:bodyDiv w:val="1"/>
      <w:marLeft w:val="0"/>
      <w:marRight w:val="0"/>
      <w:marTop w:val="0"/>
      <w:marBottom w:val="0"/>
      <w:divBdr>
        <w:top w:val="none" w:sz="0" w:space="0" w:color="auto"/>
        <w:left w:val="none" w:sz="0" w:space="0" w:color="auto"/>
        <w:bottom w:val="none" w:sz="0" w:space="0" w:color="auto"/>
        <w:right w:val="none" w:sz="0" w:space="0" w:color="auto"/>
      </w:divBdr>
    </w:div>
    <w:div w:id="743381976">
      <w:bodyDiv w:val="1"/>
      <w:marLeft w:val="0"/>
      <w:marRight w:val="0"/>
      <w:marTop w:val="0"/>
      <w:marBottom w:val="0"/>
      <w:divBdr>
        <w:top w:val="none" w:sz="0" w:space="0" w:color="auto"/>
        <w:left w:val="none" w:sz="0" w:space="0" w:color="auto"/>
        <w:bottom w:val="none" w:sz="0" w:space="0" w:color="auto"/>
        <w:right w:val="none" w:sz="0" w:space="0" w:color="auto"/>
      </w:divBdr>
    </w:div>
    <w:div w:id="760835437">
      <w:bodyDiv w:val="1"/>
      <w:marLeft w:val="0"/>
      <w:marRight w:val="0"/>
      <w:marTop w:val="0"/>
      <w:marBottom w:val="0"/>
      <w:divBdr>
        <w:top w:val="none" w:sz="0" w:space="0" w:color="auto"/>
        <w:left w:val="none" w:sz="0" w:space="0" w:color="auto"/>
        <w:bottom w:val="none" w:sz="0" w:space="0" w:color="auto"/>
        <w:right w:val="none" w:sz="0" w:space="0" w:color="auto"/>
      </w:divBdr>
    </w:div>
    <w:div w:id="844170316">
      <w:bodyDiv w:val="1"/>
      <w:marLeft w:val="0"/>
      <w:marRight w:val="0"/>
      <w:marTop w:val="0"/>
      <w:marBottom w:val="0"/>
      <w:divBdr>
        <w:top w:val="none" w:sz="0" w:space="0" w:color="auto"/>
        <w:left w:val="none" w:sz="0" w:space="0" w:color="auto"/>
        <w:bottom w:val="none" w:sz="0" w:space="0" w:color="auto"/>
        <w:right w:val="none" w:sz="0" w:space="0" w:color="auto"/>
      </w:divBdr>
    </w:div>
    <w:div w:id="912159152">
      <w:bodyDiv w:val="1"/>
      <w:marLeft w:val="0"/>
      <w:marRight w:val="0"/>
      <w:marTop w:val="0"/>
      <w:marBottom w:val="0"/>
      <w:divBdr>
        <w:top w:val="none" w:sz="0" w:space="0" w:color="auto"/>
        <w:left w:val="none" w:sz="0" w:space="0" w:color="auto"/>
        <w:bottom w:val="none" w:sz="0" w:space="0" w:color="auto"/>
        <w:right w:val="none" w:sz="0" w:space="0" w:color="auto"/>
      </w:divBdr>
    </w:div>
    <w:div w:id="913012177">
      <w:bodyDiv w:val="1"/>
      <w:marLeft w:val="0"/>
      <w:marRight w:val="0"/>
      <w:marTop w:val="0"/>
      <w:marBottom w:val="0"/>
      <w:divBdr>
        <w:top w:val="none" w:sz="0" w:space="0" w:color="auto"/>
        <w:left w:val="none" w:sz="0" w:space="0" w:color="auto"/>
        <w:bottom w:val="none" w:sz="0" w:space="0" w:color="auto"/>
        <w:right w:val="none" w:sz="0" w:space="0" w:color="auto"/>
      </w:divBdr>
    </w:div>
    <w:div w:id="924457766">
      <w:bodyDiv w:val="1"/>
      <w:marLeft w:val="0"/>
      <w:marRight w:val="0"/>
      <w:marTop w:val="0"/>
      <w:marBottom w:val="0"/>
      <w:divBdr>
        <w:top w:val="none" w:sz="0" w:space="0" w:color="auto"/>
        <w:left w:val="none" w:sz="0" w:space="0" w:color="auto"/>
        <w:bottom w:val="none" w:sz="0" w:space="0" w:color="auto"/>
        <w:right w:val="none" w:sz="0" w:space="0" w:color="auto"/>
      </w:divBdr>
    </w:div>
    <w:div w:id="1039358397">
      <w:bodyDiv w:val="1"/>
      <w:marLeft w:val="0"/>
      <w:marRight w:val="0"/>
      <w:marTop w:val="0"/>
      <w:marBottom w:val="0"/>
      <w:divBdr>
        <w:top w:val="none" w:sz="0" w:space="0" w:color="auto"/>
        <w:left w:val="none" w:sz="0" w:space="0" w:color="auto"/>
        <w:bottom w:val="none" w:sz="0" w:space="0" w:color="auto"/>
        <w:right w:val="none" w:sz="0" w:space="0" w:color="auto"/>
      </w:divBdr>
    </w:div>
    <w:div w:id="1084454672">
      <w:bodyDiv w:val="1"/>
      <w:marLeft w:val="0"/>
      <w:marRight w:val="0"/>
      <w:marTop w:val="0"/>
      <w:marBottom w:val="0"/>
      <w:divBdr>
        <w:top w:val="none" w:sz="0" w:space="0" w:color="auto"/>
        <w:left w:val="none" w:sz="0" w:space="0" w:color="auto"/>
        <w:bottom w:val="none" w:sz="0" w:space="0" w:color="auto"/>
        <w:right w:val="none" w:sz="0" w:space="0" w:color="auto"/>
      </w:divBdr>
    </w:div>
    <w:div w:id="1130974484">
      <w:bodyDiv w:val="1"/>
      <w:marLeft w:val="0"/>
      <w:marRight w:val="0"/>
      <w:marTop w:val="0"/>
      <w:marBottom w:val="0"/>
      <w:divBdr>
        <w:top w:val="none" w:sz="0" w:space="0" w:color="auto"/>
        <w:left w:val="none" w:sz="0" w:space="0" w:color="auto"/>
        <w:bottom w:val="none" w:sz="0" w:space="0" w:color="auto"/>
        <w:right w:val="none" w:sz="0" w:space="0" w:color="auto"/>
      </w:divBdr>
    </w:div>
    <w:div w:id="1209343364">
      <w:bodyDiv w:val="1"/>
      <w:marLeft w:val="0"/>
      <w:marRight w:val="0"/>
      <w:marTop w:val="0"/>
      <w:marBottom w:val="0"/>
      <w:divBdr>
        <w:top w:val="none" w:sz="0" w:space="0" w:color="auto"/>
        <w:left w:val="none" w:sz="0" w:space="0" w:color="auto"/>
        <w:bottom w:val="none" w:sz="0" w:space="0" w:color="auto"/>
        <w:right w:val="none" w:sz="0" w:space="0" w:color="auto"/>
      </w:divBdr>
    </w:div>
    <w:div w:id="1270309385">
      <w:bodyDiv w:val="1"/>
      <w:marLeft w:val="0"/>
      <w:marRight w:val="0"/>
      <w:marTop w:val="0"/>
      <w:marBottom w:val="0"/>
      <w:divBdr>
        <w:top w:val="none" w:sz="0" w:space="0" w:color="auto"/>
        <w:left w:val="none" w:sz="0" w:space="0" w:color="auto"/>
        <w:bottom w:val="none" w:sz="0" w:space="0" w:color="auto"/>
        <w:right w:val="none" w:sz="0" w:space="0" w:color="auto"/>
      </w:divBdr>
    </w:div>
    <w:div w:id="1315641917">
      <w:bodyDiv w:val="1"/>
      <w:marLeft w:val="0"/>
      <w:marRight w:val="0"/>
      <w:marTop w:val="0"/>
      <w:marBottom w:val="0"/>
      <w:divBdr>
        <w:top w:val="none" w:sz="0" w:space="0" w:color="auto"/>
        <w:left w:val="none" w:sz="0" w:space="0" w:color="auto"/>
        <w:bottom w:val="none" w:sz="0" w:space="0" w:color="auto"/>
        <w:right w:val="none" w:sz="0" w:space="0" w:color="auto"/>
      </w:divBdr>
    </w:div>
    <w:div w:id="1326006726">
      <w:bodyDiv w:val="1"/>
      <w:marLeft w:val="0"/>
      <w:marRight w:val="0"/>
      <w:marTop w:val="0"/>
      <w:marBottom w:val="0"/>
      <w:divBdr>
        <w:top w:val="none" w:sz="0" w:space="0" w:color="auto"/>
        <w:left w:val="none" w:sz="0" w:space="0" w:color="auto"/>
        <w:bottom w:val="none" w:sz="0" w:space="0" w:color="auto"/>
        <w:right w:val="none" w:sz="0" w:space="0" w:color="auto"/>
      </w:divBdr>
    </w:div>
    <w:div w:id="1339386625">
      <w:bodyDiv w:val="1"/>
      <w:marLeft w:val="0"/>
      <w:marRight w:val="0"/>
      <w:marTop w:val="0"/>
      <w:marBottom w:val="0"/>
      <w:divBdr>
        <w:top w:val="none" w:sz="0" w:space="0" w:color="auto"/>
        <w:left w:val="none" w:sz="0" w:space="0" w:color="auto"/>
        <w:bottom w:val="none" w:sz="0" w:space="0" w:color="auto"/>
        <w:right w:val="none" w:sz="0" w:space="0" w:color="auto"/>
      </w:divBdr>
    </w:div>
    <w:div w:id="1343048363">
      <w:bodyDiv w:val="1"/>
      <w:marLeft w:val="0"/>
      <w:marRight w:val="0"/>
      <w:marTop w:val="0"/>
      <w:marBottom w:val="0"/>
      <w:divBdr>
        <w:top w:val="none" w:sz="0" w:space="0" w:color="auto"/>
        <w:left w:val="none" w:sz="0" w:space="0" w:color="auto"/>
        <w:bottom w:val="none" w:sz="0" w:space="0" w:color="auto"/>
        <w:right w:val="none" w:sz="0" w:space="0" w:color="auto"/>
      </w:divBdr>
    </w:div>
    <w:div w:id="1345598382">
      <w:bodyDiv w:val="1"/>
      <w:marLeft w:val="0"/>
      <w:marRight w:val="0"/>
      <w:marTop w:val="0"/>
      <w:marBottom w:val="0"/>
      <w:divBdr>
        <w:top w:val="none" w:sz="0" w:space="0" w:color="auto"/>
        <w:left w:val="none" w:sz="0" w:space="0" w:color="auto"/>
        <w:bottom w:val="none" w:sz="0" w:space="0" w:color="auto"/>
        <w:right w:val="none" w:sz="0" w:space="0" w:color="auto"/>
      </w:divBdr>
    </w:div>
    <w:div w:id="1407193705">
      <w:bodyDiv w:val="1"/>
      <w:marLeft w:val="0"/>
      <w:marRight w:val="0"/>
      <w:marTop w:val="0"/>
      <w:marBottom w:val="0"/>
      <w:divBdr>
        <w:top w:val="none" w:sz="0" w:space="0" w:color="auto"/>
        <w:left w:val="none" w:sz="0" w:space="0" w:color="auto"/>
        <w:bottom w:val="none" w:sz="0" w:space="0" w:color="auto"/>
        <w:right w:val="none" w:sz="0" w:space="0" w:color="auto"/>
      </w:divBdr>
    </w:div>
    <w:div w:id="1412387331">
      <w:bodyDiv w:val="1"/>
      <w:marLeft w:val="0"/>
      <w:marRight w:val="0"/>
      <w:marTop w:val="0"/>
      <w:marBottom w:val="0"/>
      <w:divBdr>
        <w:top w:val="none" w:sz="0" w:space="0" w:color="auto"/>
        <w:left w:val="none" w:sz="0" w:space="0" w:color="auto"/>
        <w:bottom w:val="none" w:sz="0" w:space="0" w:color="auto"/>
        <w:right w:val="none" w:sz="0" w:space="0" w:color="auto"/>
      </w:divBdr>
    </w:div>
    <w:div w:id="1464035265">
      <w:bodyDiv w:val="1"/>
      <w:marLeft w:val="0"/>
      <w:marRight w:val="0"/>
      <w:marTop w:val="0"/>
      <w:marBottom w:val="0"/>
      <w:divBdr>
        <w:top w:val="none" w:sz="0" w:space="0" w:color="auto"/>
        <w:left w:val="none" w:sz="0" w:space="0" w:color="auto"/>
        <w:bottom w:val="none" w:sz="0" w:space="0" w:color="auto"/>
        <w:right w:val="none" w:sz="0" w:space="0" w:color="auto"/>
      </w:divBdr>
    </w:div>
    <w:div w:id="1583752937">
      <w:bodyDiv w:val="1"/>
      <w:marLeft w:val="0"/>
      <w:marRight w:val="0"/>
      <w:marTop w:val="0"/>
      <w:marBottom w:val="0"/>
      <w:divBdr>
        <w:top w:val="none" w:sz="0" w:space="0" w:color="auto"/>
        <w:left w:val="none" w:sz="0" w:space="0" w:color="auto"/>
        <w:bottom w:val="none" w:sz="0" w:space="0" w:color="auto"/>
        <w:right w:val="none" w:sz="0" w:space="0" w:color="auto"/>
      </w:divBdr>
    </w:div>
    <w:div w:id="1739546319">
      <w:bodyDiv w:val="1"/>
      <w:marLeft w:val="0"/>
      <w:marRight w:val="0"/>
      <w:marTop w:val="0"/>
      <w:marBottom w:val="0"/>
      <w:divBdr>
        <w:top w:val="none" w:sz="0" w:space="0" w:color="auto"/>
        <w:left w:val="none" w:sz="0" w:space="0" w:color="auto"/>
        <w:bottom w:val="none" w:sz="0" w:space="0" w:color="auto"/>
        <w:right w:val="none" w:sz="0" w:space="0" w:color="auto"/>
      </w:divBdr>
    </w:div>
    <w:div w:id="1777212420">
      <w:bodyDiv w:val="1"/>
      <w:marLeft w:val="0"/>
      <w:marRight w:val="0"/>
      <w:marTop w:val="0"/>
      <w:marBottom w:val="0"/>
      <w:divBdr>
        <w:top w:val="none" w:sz="0" w:space="0" w:color="auto"/>
        <w:left w:val="none" w:sz="0" w:space="0" w:color="auto"/>
        <w:bottom w:val="none" w:sz="0" w:space="0" w:color="auto"/>
        <w:right w:val="none" w:sz="0" w:space="0" w:color="auto"/>
      </w:divBdr>
    </w:div>
    <w:div w:id="1855798433">
      <w:bodyDiv w:val="1"/>
      <w:marLeft w:val="0"/>
      <w:marRight w:val="0"/>
      <w:marTop w:val="0"/>
      <w:marBottom w:val="0"/>
      <w:divBdr>
        <w:top w:val="none" w:sz="0" w:space="0" w:color="auto"/>
        <w:left w:val="none" w:sz="0" w:space="0" w:color="auto"/>
        <w:bottom w:val="none" w:sz="0" w:space="0" w:color="auto"/>
        <w:right w:val="none" w:sz="0" w:space="0" w:color="auto"/>
      </w:divBdr>
    </w:div>
    <w:div w:id="1869372450">
      <w:bodyDiv w:val="1"/>
      <w:marLeft w:val="0"/>
      <w:marRight w:val="0"/>
      <w:marTop w:val="0"/>
      <w:marBottom w:val="0"/>
      <w:divBdr>
        <w:top w:val="none" w:sz="0" w:space="0" w:color="auto"/>
        <w:left w:val="none" w:sz="0" w:space="0" w:color="auto"/>
        <w:bottom w:val="none" w:sz="0" w:space="0" w:color="auto"/>
        <w:right w:val="none" w:sz="0" w:space="0" w:color="auto"/>
      </w:divBdr>
    </w:div>
    <w:div w:id="1893692762">
      <w:bodyDiv w:val="1"/>
      <w:marLeft w:val="0"/>
      <w:marRight w:val="0"/>
      <w:marTop w:val="0"/>
      <w:marBottom w:val="0"/>
      <w:divBdr>
        <w:top w:val="none" w:sz="0" w:space="0" w:color="auto"/>
        <w:left w:val="none" w:sz="0" w:space="0" w:color="auto"/>
        <w:bottom w:val="none" w:sz="0" w:space="0" w:color="auto"/>
        <w:right w:val="none" w:sz="0" w:space="0" w:color="auto"/>
      </w:divBdr>
    </w:div>
    <w:div w:id="1920213514">
      <w:bodyDiv w:val="1"/>
      <w:marLeft w:val="0"/>
      <w:marRight w:val="0"/>
      <w:marTop w:val="0"/>
      <w:marBottom w:val="0"/>
      <w:divBdr>
        <w:top w:val="none" w:sz="0" w:space="0" w:color="auto"/>
        <w:left w:val="none" w:sz="0" w:space="0" w:color="auto"/>
        <w:bottom w:val="none" w:sz="0" w:space="0" w:color="auto"/>
        <w:right w:val="none" w:sz="0" w:space="0" w:color="auto"/>
      </w:divBdr>
    </w:div>
    <w:div w:id="1928035958">
      <w:bodyDiv w:val="1"/>
      <w:marLeft w:val="0"/>
      <w:marRight w:val="0"/>
      <w:marTop w:val="0"/>
      <w:marBottom w:val="0"/>
      <w:divBdr>
        <w:top w:val="none" w:sz="0" w:space="0" w:color="auto"/>
        <w:left w:val="none" w:sz="0" w:space="0" w:color="auto"/>
        <w:bottom w:val="none" w:sz="0" w:space="0" w:color="auto"/>
        <w:right w:val="none" w:sz="0" w:space="0" w:color="auto"/>
      </w:divBdr>
    </w:div>
    <w:div w:id="1928688344">
      <w:bodyDiv w:val="1"/>
      <w:marLeft w:val="0"/>
      <w:marRight w:val="0"/>
      <w:marTop w:val="0"/>
      <w:marBottom w:val="0"/>
      <w:divBdr>
        <w:top w:val="none" w:sz="0" w:space="0" w:color="auto"/>
        <w:left w:val="none" w:sz="0" w:space="0" w:color="auto"/>
        <w:bottom w:val="none" w:sz="0" w:space="0" w:color="auto"/>
        <w:right w:val="none" w:sz="0" w:space="0" w:color="auto"/>
      </w:divBdr>
    </w:div>
    <w:div w:id="1987393722">
      <w:bodyDiv w:val="1"/>
      <w:marLeft w:val="0"/>
      <w:marRight w:val="0"/>
      <w:marTop w:val="0"/>
      <w:marBottom w:val="0"/>
      <w:divBdr>
        <w:top w:val="none" w:sz="0" w:space="0" w:color="auto"/>
        <w:left w:val="none" w:sz="0" w:space="0" w:color="auto"/>
        <w:bottom w:val="none" w:sz="0" w:space="0" w:color="auto"/>
        <w:right w:val="none" w:sz="0" w:space="0" w:color="auto"/>
      </w:divBdr>
    </w:div>
    <w:div w:id="2010979034">
      <w:bodyDiv w:val="1"/>
      <w:marLeft w:val="0"/>
      <w:marRight w:val="0"/>
      <w:marTop w:val="0"/>
      <w:marBottom w:val="0"/>
      <w:divBdr>
        <w:top w:val="none" w:sz="0" w:space="0" w:color="auto"/>
        <w:left w:val="none" w:sz="0" w:space="0" w:color="auto"/>
        <w:bottom w:val="none" w:sz="0" w:space="0" w:color="auto"/>
        <w:right w:val="none" w:sz="0" w:space="0" w:color="auto"/>
      </w:divBdr>
    </w:div>
    <w:div w:id="2051372504">
      <w:bodyDiv w:val="1"/>
      <w:marLeft w:val="0"/>
      <w:marRight w:val="0"/>
      <w:marTop w:val="0"/>
      <w:marBottom w:val="0"/>
      <w:divBdr>
        <w:top w:val="none" w:sz="0" w:space="0" w:color="auto"/>
        <w:left w:val="none" w:sz="0" w:space="0" w:color="auto"/>
        <w:bottom w:val="none" w:sz="0" w:space="0" w:color="auto"/>
        <w:right w:val="none" w:sz="0" w:space="0" w:color="auto"/>
      </w:divBdr>
    </w:div>
    <w:div w:id="2065980545">
      <w:bodyDiv w:val="1"/>
      <w:marLeft w:val="0"/>
      <w:marRight w:val="0"/>
      <w:marTop w:val="0"/>
      <w:marBottom w:val="0"/>
      <w:divBdr>
        <w:top w:val="none" w:sz="0" w:space="0" w:color="auto"/>
        <w:left w:val="none" w:sz="0" w:space="0" w:color="auto"/>
        <w:bottom w:val="none" w:sz="0" w:space="0" w:color="auto"/>
        <w:right w:val="none" w:sz="0" w:space="0" w:color="auto"/>
      </w:divBdr>
    </w:div>
    <w:div w:id="2104454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files.eric.ed.gov/fulltext/ED598664.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792FD385D7444C85857B3C4B832346" ma:contentTypeVersion="12" ma:contentTypeDescription="Create a new document." ma:contentTypeScope="" ma:versionID="ce3508332e46ceb81ce02ed9313e538a">
  <xsd:schema xmlns:xsd="http://www.w3.org/2001/XMLSchema" xmlns:xs="http://www.w3.org/2001/XMLSchema" xmlns:p="http://schemas.microsoft.com/office/2006/metadata/properties" xmlns:ns2="04a9aeb6-62a3-4e10-8746-b30843c659ea" xmlns:ns3="77ec9820-26bd-48b1-b406-a2e69b9fc0b8" targetNamespace="http://schemas.microsoft.com/office/2006/metadata/properties" ma:root="true" ma:fieldsID="176fd59c7636816f7db1d2e6d4589ee4" ns2:_="" ns3:_="">
    <xsd:import namespace="04a9aeb6-62a3-4e10-8746-b30843c659ea"/>
    <xsd:import namespace="77ec9820-26bd-48b1-b406-a2e69b9fc0b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Count"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a9aeb6-62a3-4e10-8746-b30843c659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Count" ma:index="15" nillable="true" ma:displayName="Count" ma:default="1" ma:format="Dropdown" ma:internalName="Count">
      <xsd:simpleType>
        <xsd:restriction base="dms:Boolea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7ec9820-26bd-48b1-b406-a2e69b9fc0b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ount xmlns="04a9aeb6-62a3-4e10-8746-b30843c659ea">true</Count>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3B6D8B-D2D2-427B-8984-43EA8DB9D25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4a9aeb6-62a3-4e10-8746-b30843c659ea"/>
    <ds:schemaRef ds:uri="77ec9820-26bd-48b1-b406-a2e69b9fc0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3017A83-A2E2-411D-BD40-231075F88DCB}">
  <ds:schemaRefs>
    <ds:schemaRef ds:uri="http://schemas.microsoft.com/sharepoint/v3/contenttype/forms"/>
  </ds:schemaRefs>
</ds:datastoreItem>
</file>

<file path=customXml/itemProps3.xml><?xml version="1.0" encoding="utf-8"?>
<ds:datastoreItem xmlns:ds="http://schemas.openxmlformats.org/officeDocument/2006/customXml" ds:itemID="{E886728C-CF32-4D57-B042-E8B824B845F9}">
  <ds:schemaRefs>
    <ds:schemaRef ds:uri="http://schemas.microsoft.com/office/2006/documentManagement/types"/>
    <ds:schemaRef ds:uri="77ec9820-26bd-48b1-b406-a2e69b9fc0b8"/>
    <ds:schemaRef ds:uri="http://purl.org/dc/elements/1.1/"/>
    <ds:schemaRef ds:uri="http://schemas.microsoft.com/office/2006/metadata/properties"/>
    <ds:schemaRef ds:uri="http://schemas.openxmlformats.org/package/2006/metadata/core-properties"/>
    <ds:schemaRef ds:uri="http://schemas.microsoft.com/office/infopath/2007/PartnerControls"/>
    <ds:schemaRef ds:uri="http://purl.org/dc/terms/"/>
    <ds:schemaRef ds:uri="04a9aeb6-62a3-4e10-8746-b30843c659ea"/>
    <ds:schemaRef ds:uri="http://www.w3.org/XML/1998/namespace"/>
    <ds:schemaRef ds:uri="http://purl.org/dc/dcmitype/"/>
  </ds:schemaRefs>
</ds:datastoreItem>
</file>

<file path=customXml/itemProps4.xml><?xml version="1.0" encoding="utf-8"?>
<ds:datastoreItem xmlns:ds="http://schemas.openxmlformats.org/officeDocument/2006/customXml" ds:itemID="{3F0C09DD-FC35-4095-A626-63DEE36523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2957</Words>
  <Characters>16855</Characters>
  <Application>Microsoft Office Word</Application>
  <DocSecurity>0</DocSecurity>
  <Lines>140</Lines>
  <Paragraphs>39</Paragraphs>
  <ScaleCrop>false</ScaleCrop>
  <HeadingPairs>
    <vt:vector size="2" baseType="variant">
      <vt:variant>
        <vt:lpstr>Title</vt:lpstr>
      </vt:variant>
      <vt:variant>
        <vt:i4>1</vt:i4>
      </vt:variant>
    </vt:vector>
  </HeadingPairs>
  <TitlesOfParts>
    <vt:vector size="1" baseType="lpstr">
      <vt:lpstr/>
    </vt:vector>
  </TitlesOfParts>
  <Company>American Institutes for Research</Company>
  <LinksUpToDate>false</LinksUpToDate>
  <CharactersWithSpaces>19773</CharactersWithSpaces>
  <SharedDoc>false</SharedDoc>
  <HLinks>
    <vt:vector size="84" baseType="variant">
      <vt:variant>
        <vt:i4>3473512</vt:i4>
      </vt:variant>
      <vt:variant>
        <vt:i4>81</vt:i4>
      </vt:variant>
      <vt:variant>
        <vt:i4>0</vt:i4>
      </vt:variant>
      <vt:variant>
        <vt:i4>5</vt:i4>
      </vt:variant>
      <vt:variant>
        <vt:lpwstr>https://files.eric.ed.gov/fulltext/ED598664.pdf</vt:lpwstr>
      </vt:variant>
      <vt:variant>
        <vt:lpwstr/>
      </vt:variant>
      <vt:variant>
        <vt:i4>1376308</vt:i4>
      </vt:variant>
      <vt:variant>
        <vt:i4>74</vt:i4>
      </vt:variant>
      <vt:variant>
        <vt:i4>0</vt:i4>
      </vt:variant>
      <vt:variant>
        <vt:i4>5</vt:i4>
      </vt:variant>
      <vt:variant>
        <vt:lpwstr/>
      </vt:variant>
      <vt:variant>
        <vt:lpwstr>_Toc50625424</vt:lpwstr>
      </vt:variant>
      <vt:variant>
        <vt:i4>1179700</vt:i4>
      </vt:variant>
      <vt:variant>
        <vt:i4>68</vt:i4>
      </vt:variant>
      <vt:variant>
        <vt:i4>0</vt:i4>
      </vt:variant>
      <vt:variant>
        <vt:i4>5</vt:i4>
      </vt:variant>
      <vt:variant>
        <vt:lpwstr/>
      </vt:variant>
      <vt:variant>
        <vt:lpwstr>_Toc50625423</vt:lpwstr>
      </vt:variant>
      <vt:variant>
        <vt:i4>1245236</vt:i4>
      </vt:variant>
      <vt:variant>
        <vt:i4>62</vt:i4>
      </vt:variant>
      <vt:variant>
        <vt:i4>0</vt:i4>
      </vt:variant>
      <vt:variant>
        <vt:i4>5</vt:i4>
      </vt:variant>
      <vt:variant>
        <vt:lpwstr/>
      </vt:variant>
      <vt:variant>
        <vt:lpwstr>_Toc50625422</vt:lpwstr>
      </vt:variant>
      <vt:variant>
        <vt:i4>1048628</vt:i4>
      </vt:variant>
      <vt:variant>
        <vt:i4>56</vt:i4>
      </vt:variant>
      <vt:variant>
        <vt:i4>0</vt:i4>
      </vt:variant>
      <vt:variant>
        <vt:i4>5</vt:i4>
      </vt:variant>
      <vt:variant>
        <vt:lpwstr/>
      </vt:variant>
      <vt:variant>
        <vt:lpwstr>_Toc50625421</vt:lpwstr>
      </vt:variant>
      <vt:variant>
        <vt:i4>1114164</vt:i4>
      </vt:variant>
      <vt:variant>
        <vt:i4>50</vt:i4>
      </vt:variant>
      <vt:variant>
        <vt:i4>0</vt:i4>
      </vt:variant>
      <vt:variant>
        <vt:i4>5</vt:i4>
      </vt:variant>
      <vt:variant>
        <vt:lpwstr/>
      </vt:variant>
      <vt:variant>
        <vt:lpwstr>_Toc50625420</vt:lpwstr>
      </vt:variant>
      <vt:variant>
        <vt:i4>1572919</vt:i4>
      </vt:variant>
      <vt:variant>
        <vt:i4>44</vt:i4>
      </vt:variant>
      <vt:variant>
        <vt:i4>0</vt:i4>
      </vt:variant>
      <vt:variant>
        <vt:i4>5</vt:i4>
      </vt:variant>
      <vt:variant>
        <vt:lpwstr/>
      </vt:variant>
      <vt:variant>
        <vt:lpwstr>_Toc50625419</vt:lpwstr>
      </vt:variant>
      <vt:variant>
        <vt:i4>1638455</vt:i4>
      </vt:variant>
      <vt:variant>
        <vt:i4>38</vt:i4>
      </vt:variant>
      <vt:variant>
        <vt:i4>0</vt:i4>
      </vt:variant>
      <vt:variant>
        <vt:i4>5</vt:i4>
      </vt:variant>
      <vt:variant>
        <vt:lpwstr/>
      </vt:variant>
      <vt:variant>
        <vt:lpwstr>_Toc50625418</vt:lpwstr>
      </vt:variant>
      <vt:variant>
        <vt:i4>1441847</vt:i4>
      </vt:variant>
      <vt:variant>
        <vt:i4>32</vt:i4>
      </vt:variant>
      <vt:variant>
        <vt:i4>0</vt:i4>
      </vt:variant>
      <vt:variant>
        <vt:i4>5</vt:i4>
      </vt:variant>
      <vt:variant>
        <vt:lpwstr/>
      </vt:variant>
      <vt:variant>
        <vt:lpwstr>_Toc50625417</vt:lpwstr>
      </vt:variant>
      <vt:variant>
        <vt:i4>1507383</vt:i4>
      </vt:variant>
      <vt:variant>
        <vt:i4>26</vt:i4>
      </vt:variant>
      <vt:variant>
        <vt:i4>0</vt:i4>
      </vt:variant>
      <vt:variant>
        <vt:i4>5</vt:i4>
      </vt:variant>
      <vt:variant>
        <vt:lpwstr/>
      </vt:variant>
      <vt:variant>
        <vt:lpwstr>_Toc50625416</vt:lpwstr>
      </vt:variant>
      <vt:variant>
        <vt:i4>1310775</vt:i4>
      </vt:variant>
      <vt:variant>
        <vt:i4>20</vt:i4>
      </vt:variant>
      <vt:variant>
        <vt:i4>0</vt:i4>
      </vt:variant>
      <vt:variant>
        <vt:i4>5</vt:i4>
      </vt:variant>
      <vt:variant>
        <vt:lpwstr/>
      </vt:variant>
      <vt:variant>
        <vt:lpwstr>_Toc50625415</vt:lpwstr>
      </vt:variant>
      <vt:variant>
        <vt:i4>1376311</vt:i4>
      </vt:variant>
      <vt:variant>
        <vt:i4>14</vt:i4>
      </vt:variant>
      <vt:variant>
        <vt:i4>0</vt:i4>
      </vt:variant>
      <vt:variant>
        <vt:i4>5</vt:i4>
      </vt:variant>
      <vt:variant>
        <vt:lpwstr/>
      </vt:variant>
      <vt:variant>
        <vt:lpwstr>_Toc50625414</vt:lpwstr>
      </vt:variant>
      <vt:variant>
        <vt:i4>1179703</vt:i4>
      </vt:variant>
      <vt:variant>
        <vt:i4>8</vt:i4>
      </vt:variant>
      <vt:variant>
        <vt:i4>0</vt:i4>
      </vt:variant>
      <vt:variant>
        <vt:i4>5</vt:i4>
      </vt:variant>
      <vt:variant>
        <vt:lpwstr/>
      </vt:variant>
      <vt:variant>
        <vt:lpwstr>_Toc50625413</vt:lpwstr>
      </vt:variant>
      <vt:variant>
        <vt:i4>1245239</vt:i4>
      </vt:variant>
      <vt:variant>
        <vt:i4>2</vt:i4>
      </vt:variant>
      <vt:variant>
        <vt:i4>0</vt:i4>
      </vt:variant>
      <vt:variant>
        <vt:i4>5</vt:i4>
      </vt:variant>
      <vt:variant>
        <vt:lpwstr/>
      </vt:variant>
      <vt:variant>
        <vt:lpwstr>_Toc50625412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Group</dc:creator>
  <cp:keywords/>
  <dc:description/>
  <cp:lastModifiedBy>Boyle, Andrea</cp:lastModifiedBy>
  <cp:revision>2</cp:revision>
  <cp:lastPrinted>2016-01-08T21:03:00Z</cp:lastPrinted>
  <dcterms:created xsi:type="dcterms:W3CDTF">2020-12-18T19:28:00Z</dcterms:created>
  <dcterms:modified xsi:type="dcterms:W3CDTF">2020-12-18T19:28:00Z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0x010100AD792FD385D7444C85857B3C4B832346</vt:lpwstr>
  </property>
</Properties>
</file>