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27491" w:rsidR="009D6B6D" w:rsidP="001D2EC1" w:rsidRDefault="001D2EC1" w14:paraId="47F59ADF" w14:textId="77777777">
      <w:pPr>
        <w:widowControl/>
        <w:tabs>
          <w:tab w:val="center" w:pos="5040"/>
        </w:tabs>
        <w:jc w:val="center"/>
        <w:rPr>
          <w:b/>
          <w:bCs/>
          <w:szCs w:val="26"/>
        </w:rPr>
      </w:pPr>
      <w:r w:rsidRPr="00A27491">
        <w:rPr>
          <w:b/>
          <w:bCs/>
          <w:szCs w:val="26"/>
        </w:rPr>
        <w:t>Supporting Statement for</w:t>
      </w:r>
    </w:p>
    <w:p w:rsidRPr="00162D91" w:rsidR="002B2810" w:rsidP="001D2EC1" w:rsidRDefault="003151DF" w14:paraId="1AABC5F9" w14:textId="146B8089">
      <w:pPr>
        <w:widowControl/>
        <w:tabs>
          <w:tab w:val="center" w:pos="5040"/>
        </w:tabs>
        <w:jc w:val="center"/>
        <w:rPr>
          <w:b/>
          <w:bCs/>
          <w:szCs w:val="26"/>
        </w:rPr>
      </w:pPr>
      <w:r w:rsidRPr="00A27491">
        <w:rPr>
          <w:b/>
          <w:bCs/>
          <w:szCs w:val="26"/>
        </w:rPr>
        <w:t>FERC-516H</w:t>
      </w:r>
      <w:r w:rsidRPr="00A27491" w:rsidR="002B2810">
        <w:rPr>
          <w:b/>
          <w:bCs/>
          <w:szCs w:val="26"/>
        </w:rPr>
        <w:t xml:space="preserve"> (</w:t>
      </w:r>
      <w:r w:rsidRPr="00A27491" w:rsidR="00F37BCE">
        <w:rPr>
          <w:b/>
          <w:bCs/>
          <w:szCs w:val="26"/>
        </w:rPr>
        <w:t>Electric Rate Schedules and Tariff Filings</w:t>
      </w:r>
      <w:r w:rsidRPr="00162D91" w:rsidR="006E6A27">
        <w:rPr>
          <w:b/>
          <w:bCs/>
          <w:szCs w:val="26"/>
        </w:rPr>
        <w:t>,</w:t>
      </w:r>
    </w:p>
    <w:p w:rsidRPr="00162D91" w:rsidR="00F37BCE" w:rsidP="001D2EC1" w:rsidRDefault="00F37BCE" w14:paraId="50481766" w14:textId="6CBDEAEA">
      <w:pPr>
        <w:widowControl/>
        <w:tabs>
          <w:tab w:val="center" w:pos="5040"/>
        </w:tabs>
        <w:jc w:val="center"/>
        <w:rPr>
          <w:b/>
          <w:bCs/>
          <w:szCs w:val="26"/>
        </w:rPr>
      </w:pPr>
      <w:r w:rsidRPr="00162D91">
        <w:rPr>
          <w:b/>
          <w:bCs/>
          <w:szCs w:val="26"/>
        </w:rPr>
        <w:t xml:space="preserve">in </w:t>
      </w:r>
      <w:r w:rsidRPr="00162D91" w:rsidR="00D1013F">
        <w:rPr>
          <w:b/>
          <w:bCs/>
          <w:szCs w:val="26"/>
        </w:rPr>
        <w:t xml:space="preserve">Final Rule </w:t>
      </w:r>
      <w:r w:rsidRPr="00162D91" w:rsidR="00F12119">
        <w:rPr>
          <w:b/>
          <w:bCs/>
          <w:szCs w:val="26"/>
        </w:rPr>
        <w:t xml:space="preserve">in </w:t>
      </w:r>
      <w:r w:rsidRPr="00162D91">
        <w:rPr>
          <w:b/>
          <w:bCs/>
          <w:szCs w:val="26"/>
        </w:rPr>
        <w:t>Docket No</w:t>
      </w:r>
      <w:r w:rsidRPr="00162D91" w:rsidR="00236948">
        <w:rPr>
          <w:b/>
          <w:bCs/>
          <w:szCs w:val="26"/>
        </w:rPr>
        <w:t>.</w:t>
      </w:r>
      <w:r w:rsidRPr="00162D91">
        <w:rPr>
          <w:b/>
          <w:bCs/>
          <w:szCs w:val="26"/>
        </w:rPr>
        <w:t xml:space="preserve"> RM1</w:t>
      </w:r>
      <w:r w:rsidRPr="00162D91" w:rsidR="00B04CA6">
        <w:rPr>
          <w:b/>
          <w:bCs/>
          <w:szCs w:val="26"/>
        </w:rPr>
        <w:t>8-9</w:t>
      </w:r>
      <w:r w:rsidRPr="00162D91">
        <w:rPr>
          <w:b/>
          <w:bCs/>
          <w:szCs w:val="26"/>
        </w:rPr>
        <w:t>-000</w:t>
      </w:r>
      <w:r w:rsidRPr="00162D91" w:rsidR="000766C0">
        <w:rPr>
          <w:b/>
          <w:bCs/>
          <w:szCs w:val="26"/>
        </w:rPr>
        <w:t>)</w:t>
      </w:r>
    </w:p>
    <w:p w:rsidRPr="00162D91" w:rsidR="009D6B6D" w:rsidP="001D2EC1" w:rsidRDefault="009D6B6D" w14:paraId="13D26165" w14:textId="77777777">
      <w:pPr>
        <w:widowControl/>
        <w:tabs>
          <w:tab w:val="center" w:pos="5040"/>
        </w:tabs>
        <w:jc w:val="center"/>
        <w:rPr>
          <w:szCs w:val="26"/>
        </w:rPr>
      </w:pPr>
    </w:p>
    <w:p w:rsidRPr="00162D91" w:rsidR="009D6B6D" w:rsidP="001F3ADE" w:rsidRDefault="009D6B6D" w14:paraId="08EF0C81" w14:textId="3CFE3C28">
      <w:pPr>
        <w:widowControl/>
        <w:tabs>
          <w:tab w:val="center" w:pos="5040"/>
        </w:tabs>
        <w:rPr>
          <w:b/>
          <w:szCs w:val="26"/>
        </w:rPr>
      </w:pPr>
      <w:r w:rsidRPr="00162D91">
        <w:rPr>
          <w:bCs/>
          <w:szCs w:val="26"/>
        </w:rPr>
        <w:t>The Federal Energy Regulatory Commission (Commission or FERC) requests that the Office of Management and Budget (OMB) review and approve</w:t>
      </w:r>
      <w:r w:rsidRPr="00162D91" w:rsidR="009A4408">
        <w:rPr>
          <w:bCs/>
          <w:szCs w:val="26"/>
        </w:rPr>
        <w:t xml:space="preserve"> revisions of</w:t>
      </w:r>
      <w:r w:rsidRPr="00162D91">
        <w:rPr>
          <w:bCs/>
          <w:szCs w:val="26"/>
        </w:rPr>
        <w:t xml:space="preserve"> </w:t>
      </w:r>
      <w:r w:rsidRPr="00162D91" w:rsidR="003151DF">
        <w:rPr>
          <w:bCs/>
          <w:szCs w:val="26"/>
        </w:rPr>
        <w:t xml:space="preserve">FERC-516H as </w:t>
      </w:r>
      <w:r w:rsidRPr="00162D91" w:rsidR="00E362BD">
        <w:rPr>
          <w:bCs/>
          <w:szCs w:val="26"/>
        </w:rPr>
        <w:t xml:space="preserve">revised </w:t>
      </w:r>
      <w:r w:rsidRPr="00162D91" w:rsidR="00F37BCE">
        <w:rPr>
          <w:bCs/>
          <w:szCs w:val="26"/>
        </w:rPr>
        <w:t xml:space="preserve">in the </w:t>
      </w:r>
      <w:r w:rsidRPr="00162D91" w:rsidR="00E362BD">
        <w:rPr>
          <w:bCs/>
          <w:szCs w:val="26"/>
        </w:rPr>
        <w:t>f</w:t>
      </w:r>
      <w:r w:rsidRPr="00162D91" w:rsidR="006E6A27">
        <w:rPr>
          <w:bCs/>
          <w:szCs w:val="26"/>
        </w:rPr>
        <w:t xml:space="preserve">inal </w:t>
      </w:r>
      <w:r w:rsidRPr="00162D91" w:rsidR="00E362BD">
        <w:rPr>
          <w:bCs/>
          <w:szCs w:val="26"/>
        </w:rPr>
        <w:t>r</w:t>
      </w:r>
      <w:r w:rsidRPr="00162D91" w:rsidR="006E6A27">
        <w:rPr>
          <w:bCs/>
          <w:szCs w:val="26"/>
        </w:rPr>
        <w:t>ule</w:t>
      </w:r>
      <w:r w:rsidRPr="00162D91" w:rsidR="00E362BD">
        <w:rPr>
          <w:bCs/>
          <w:szCs w:val="26"/>
        </w:rPr>
        <w:t xml:space="preserve"> </w:t>
      </w:r>
      <w:r w:rsidRPr="00162D91" w:rsidR="00F37BCE">
        <w:rPr>
          <w:bCs/>
          <w:szCs w:val="26"/>
        </w:rPr>
        <w:t>in Docket No. RM</w:t>
      </w:r>
      <w:r w:rsidRPr="00162D91" w:rsidR="001D50B2">
        <w:rPr>
          <w:bCs/>
          <w:szCs w:val="26"/>
        </w:rPr>
        <w:t>18-9</w:t>
      </w:r>
      <w:r w:rsidRPr="00162D91" w:rsidR="00F37BCE">
        <w:rPr>
          <w:bCs/>
          <w:szCs w:val="26"/>
        </w:rPr>
        <w:t>-000.</w:t>
      </w:r>
    </w:p>
    <w:p w:rsidRPr="00162D91" w:rsidR="009D6B6D" w:rsidP="001D2EC1" w:rsidRDefault="009D6B6D" w14:paraId="55BF55CD" w14:textId="77777777">
      <w:pPr>
        <w:widowControl/>
        <w:rPr>
          <w:szCs w:val="26"/>
        </w:rPr>
      </w:pPr>
    </w:p>
    <w:p w:rsidRPr="00162D91" w:rsidR="009D6B6D" w:rsidP="00B6237D" w:rsidRDefault="009D6B6D" w14:paraId="284B885E" w14:textId="0296E60E">
      <w:pPr>
        <w:widowControl/>
        <w:ind w:left="720" w:hanging="720"/>
        <w:rPr>
          <w:b/>
          <w:szCs w:val="26"/>
        </w:rPr>
      </w:pPr>
      <w:r w:rsidRPr="00162D91">
        <w:rPr>
          <w:b/>
          <w:szCs w:val="26"/>
        </w:rPr>
        <w:t>1.</w:t>
      </w:r>
      <w:r w:rsidRPr="00162D91">
        <w:rPr>
          <w:b/>
          <w:szCs w:val="26"/>
        </w:rPr>
        <w:tab/>
        <w:t>CIRCUMSTANCES THAT MAKE THE COLLECTION OF INFORMATION NECESSARY</w:t>
      </w:r>
    </w:p>
    <w:p w:rsidRPr="00162D91" w:rsidR="009D6B6D" w:rsidP="00B1436F" w:rsidRDefault="009D6B6D" w14:paraId="74BB5164" w14:textId="77777777">
      <w:pPr>
        <w:widowControl/>
        <w:rPr>
          <w:b/>
          <w:szCs w:val="26"/>
        </w:rPr>
      </w:pPr>
    </w:p>
    <w:p w:rsidRPr="00162D91" w:rsidR="00CF499A" w:rsidP="00F37BCE" w:rsidRDefault="00F37BCE" w14:paraId="35142A91" w14:textId="14EE0161">
      <w:pPr>
        <w:rPr>
          <w:szCs w:val="26"/>
        </w:rPr>
      </w:pPr>
      <w:r w:rsidRPr="005F0C42">
        <w:rPr>
          <w:szCs w:val="26"/>
        </w:rPr>
        <w:t xml:space="preserve">The Commission </w:t>
      </w:r>
      <w:r w:rsidRPr="005F0C42" w:rsidR="00D27544">
        <w:rPr>
          <w:szCs w:val="26"/>
        </w:rPr>
        <w:t xml:space="preserve">has </w:t>
      </w:r>
      <w:r w:rsidRPr="004C6566">
        <w:rPr>
          <w:szCs w:val="26"/>
        </w:rPr>
        <w:t>issue</w:t>
      </w:r>
      <w:r w:rsidRPr="004C6566" w:rsidR="00D27544">
        <w:rPr>
          <w:szCs w:val="26"/>
        </w:rPr>
        <w:t>d</w:t>
      </w:r>
      <w:r w:rsidRPr="004C6566">
        <w:rPr>
          <w:szCs w:val="26"/>
        </w:rPr>
        <w:t xml:space="preserve"> </w:t>
      </w:r>
      <w:r w:rsidRPr="004C6566" w:rsidR="00D27544">
        <w:rPr>
          <w:szCs w:val="26"/>
        </w:rPr>
        <w:t>a</w:t>
      </w:r>
      <w:r w:rsidRPr="004C6566">
        <w:rPr>
          <w:szCs w:val="26"/>
        </w:rPr>
        <w:t xml:space="preserve"> </w:t>
      </w:r>
      <w:r w:rsidRPr="004C6566" w:rsidR="00B1436F">
        <w:rPr>
          <w:szCs w:val="26"/>
        </w:rPr>
        <w:t>f</w:t>
      </w:r>
      <w:r w:rsidRPr="004C6566" w:rsidR="006E6A27">
        <w:rPr>
          <w:szCs w:val="26"/>
        </w:rPr>
        <w:t xml:space="preserve">inal </w:t>
      </w:r>
      <w:r w:rsidRPr="004C6566" w:rsidR="00B1436F">
        <w:rPr>
          <w:szCs w:val="26"/>
        </w:rPr>
        <w:t>r</w:t>
      </w:r>
      <w:r w:rsidRPr="004C6566" w:rsidR="006E6A27">
        <w:rPr>
          <w:szCs w:val="26"/>
        </w:rPr>
        <w:t>ule</w:t>
      </w:r>
      <w:r w:rsidRPr="005F0C42" w:rsidR="00F12119">
        <w:rPr>
          <w:rStyle w:val="FootnoteReference"/>
          <w:szCs w:val="26"/>
          <w:vertAlign w:val="superscript"/>
        </w:rPr>
        <w:footnoteReference w:id="2"/>
      </w:r>
      <w:r w:rsidRPr="005F0C42">
        <w:rPr>
          <w:szCs w:val="26"/>
          <w:vertAlign w:val="superscript"/>
        </w:rPr>
        <w:t xml:space="preserve"> </w:t>
      </w:r>
      <w:r w:rsidRPr="005F0C42">
        <w:rPr>
          <w:szCs w:val="26"/>
        </w:rPr>
        <w:t xml:space="preserve">to amend </w:t>
      </w:r>
      <w:r w:rsidRPr="004C6566" w:rsidR="006356CF">
        <w:rPr>
          <w:szCs w:val="26"/>
        </w:rPr>
        <w:t>18 CFR 35.28</w:t>
      </w:r>
      <w:r w:rsidRPr="004C6566" w:rsidR="0095131E">
        <w:rPr>
          <w:szCs w:val="26"/>
        </w:rPr>
        <w:t xml:space="preserve">, which </w:t>
      </w:r>
      <w:r w:rsidRPr="004C6566" w:rsidR="008D36BC">
        <w:rPr>
          <w:szCs w:val="26"/>
        </w:rPr>
        <w:t xml:space="preserve">is one of </w:t>
      </w:r>
      <w:r w:rsidRPr="004C6566" w:rsidR="00D068EB">
        <w:rPr>
          <w:szCs w:val="26"/>
        </w:rPr>
        <w:t xml:space="preserve">the </w:t>
      </w:r>
      <w:r w:rsidRPr="004C6566" w:rsidR="008D36BC">
        <w:rPr>
          <w:szCs w:val="26"/>
        </w:rPr>
        <w:t xml:space="preserve">regulations that address how the Commission ensures </w:t>
      </w:r>
      <w:r w:rsidRPr="00162D91" w:rsidR="006935BB">
        <w:rPr>
          <w:szCs w:val="26"/>
        </w:rPr>
        <w:t xml:space="preserve">compliance </w:t>
      </w:r>
      <w:r w:rsidRPr="00162D91" w:rsidR="008D36BC">
        <w:rPr>
          <w:szCs w:val="26"/>
        </w:rPr>
        <w:t xml:space="preserve">with </w:t>
      </w:r>
      <w:r w:rsidRPr="00162D91" w:rsidR="0095131E">
        <w:rPr>
          <w:szCs w:val="26"/>
        </w:rPr>
        <w:t>section 206 of the Federal Power Act (16 U.S.C. 824e)</w:t>
      </w:r>
      <w:r w:rsidRPr="00162D91" w:rsidR="00A268D2">
        <w:rPr>
          <w:szCs w:val="26"/>
        </w:rPr>
        <w:t xml:space="preserve">.  </w:t>
      </w:r>
      <w:r w:rsidRPr="00162D91" w:rsidR="006935BB">
        <w:rPr>
          <w:szCs w:val="26"/>
        </w:rPr>
        <w:t>As revised in the final rule, 18 CFR 35.28</w:t>
      </w:r>
      <w:r w:rsidRPr="00162D91" w:rsidR="007511CD">
        <w:rPr>
          <w:szCs w:val="26"/>
        </w:rPr>
        <w:t xml:space="preserve"> </w:t>
      </w:r>
      <w:r w:rsidR="004C5269">
        <w:rPr>
          <w:szCs w:val="26"/>
        </w:rPr>
        <w:t xml:space="preserve">requires regional transmission organizations (RTOs) and independent system operators (ISOs) to revise their tariffs and thereby </w:t>
      </w:r>
      <w:r w:rsidRPr="00162D91" w:rsidR="00A268D2">
        <w:rPr>
          <w:szCs w:val="26"/>
        </w:rPr>
        <w:t>r</w:t>
      </w:r>
      <w:r w:rsidRPr="00162D91">
        <w:rPr>
          <w:szCs w:val="26"/>
        </w:rPr>
        <w:t xml:space="preserve">emove barriers to the participation </w:t>
      </w:r>
      <w:r w:rsidRPr="00162D91" w:rsidR="00D27544">
        <w:rPr>
          <w:szCs w:val="26"/>
        </w:rPr>
        <w:t xml:space="preserve">of </w:t>
      </w:r>
      <w:r w:rsidRPr="00162D91">
        <w:rPr>
          <w:szCs w:val="26"/>
        </w:rPr>
        <w:t xml:space="preserve">distributed energy resource </w:t>
      </w:r>
      <w:r w:rsidRPr="00162D91" w:rsidR="00C66F8B">
        <w:rPr>
          <w:szCs w:val="26"/>
        </w:rPr>
        <w:t xml:space="preserve">(DER) </w:t>
      </w:r>
      <w:r w:rsidRPr="00162D91">
        <w:rPr>
          <w:szCs w:val="26"/>
        </w:rPr>
        <w:t>aggregat</w:t>
      </w:r>
      <w:r w:rsidRPr="00162D91" w:rsidR="005E2C23">
        <w:rPr>
          <w:szCs w:val="26"/>
        </w:rPr>
        <w:t>ions</w:t>
      </w:r>
      <w:r w:rsidRPr="00162D91">
        <w:rPr>
          <w:szCs w:val="26"/>
        </w:rPr>
        <w:t xml:space="preserve"> in the capacity, energy, and ancillary service markets operated by </w:t>
      </w:r>
      <w:r w:rsidR="00E54301">
        <w:rPr>
          <w:szCs w:val="26"/>
        </w:rPr>
        <w:t>RTOs and ISOs.</w:t>
      </w:r>
    </w:p>
    <w:p w:rsidRPr="00162D91" w:rsidR="001F3ADE" w:rsidP="001F3ADE" w:rsidRDefault="001F3ADE" w14:paraId="095CE0E8" w14:textId="77777777">
      <w:pPr>
        <w:pStyle w:val="FERCparanumber"/>
        <w:numPr>
          <w:ilvl w:val="0"/>
          <w:numId w:val="0"/>
        </w:numPr>
        <w:tabs>
          <w:tab w:val="left" w:pos="720"/>
          <w:tab w:val="left" w:pos="4860"/>
        </w:tabs>
        <w:rPr>
          <w:sz w:val="24"/>
          <w:szCs w:val="26"/>
        </w:rPr>
      </w:pPr>
    </w:p>
    <w:p w:rsidRPr="00162D91" w:rsidR="009D6B6D" w:rsidP="001D2EC1" w:rsidRDefault="009D6B6D" w14:paraId="31D7969C" w14:textId="77777777">
      <w:pPr>
        <w:pStyle w:val="FERCparanumber"/>
        <w:numPr>
          <w:ilvl w:val="0"/>
          <w:numId w:val="7"/>
        </w:numPr>
        <w:tabs>
          <w:tab w:val="left" w:pos="720"/>
          <w:tab w:val="left" w:pos="4860"/>
        </w:tabs>
        <w:rPr>
          <w:sz w:val="24"/>
          <w:szCs w:val="26"/>
        </w:rPr>
      </w:pPr>
      <w:r w:rsidRPr="00162D91">
        <w:rPr>
          <w:b/>
          <w:sz w:val="24"/>
          <w:szCs w:val="26"/>
        </w:rPr>
        <w:t>HOW, BY WHOM AND FOR WHAT P</w:t>
      </w:r>
      <w:r w:rsidRPr="00162D91" w:rsidR="00980E8E">
        <w:rPr>
          <w:b/>
          <w:sz w:val="24"/>
          <w:szCs w:val="26"/>
        </w:rPr>
        <w:t>URPOSE IS THE INFORMATION USED AND THE CONSEQUENCES OF NOT COLLECTING THE INFORMATION</w:t>
      </w:r>
    </w:p>
    <w:p w:rsidRPr="005F0C42" w:rsidR="00980E8E" w:rsidP="00980E8E" w:rsidRDefault="00980E8E" w14:paraId="36B9A4E1" w14:textId="77777777">
      <w:pPr>
        <w:pStyle w:val="FERCparanumber"/>
        <w:numPr>
          <w:ilvl w:val="0"/>
          <w:numId w:val="0"/>
        </w:numPr>
        <w:tabs>
          <w:tab w:val="left" w:pos="720"/>
          <w:tab w:val="left" w:pos="4860"/>
        </w:tabs>
        <w:rPr>
          <w:b/>
          <w:sz w:val="24"/>
          <w:szCs w:val="26"/>
        </w:rPr>
      </w:pPr>
    </w:p>
    <w:p w:rsidRPr="00162D91" w:rsidR="00F47A18" w:rsidP="00D068EB" w:rsidRDefault="00D068EB" w14:paraId="2FBB57B9" w14:textId="043BB9DB">
      <w:pPr>
        <w:pStyle w:val="FERCparanumber"/>
        <w:numPr>
          <w:ilvl w:val="0"/>
          <w:numId w:val="0"/>
        </w:numPr>
        <w:tabs>
          <w:tab w:val="left" w:pos="720"/>
          <w:tab w:val="left" w:pos="4860"/>
        </w:tabs>
        <w:rPr>
          <w:sz w:val="24"/>
          <w:szCs w:val="26"/>
        </w:rPr>
      </w:pPr>
      <w:r w:rsidRPr="004C6566">
        <w:rPr>
          <w:sz w:val="24"/>
          <w:szCs w:val="26"/>
        </w:rPr>
        <w:t xml:space="preserve">The final rule </w:t>
      </w:r>
      <w:r w:rsidRPr="004C6566" w:rsidR="006935BB">
        <w:rPr>
          <w:sz w:val="24"/>
          <w:szCs w:val="26"/>
        </w:rPr>
        <w:t>that the Commission issued on</w:t>
      </w:r>
      <w:r w:rsidR="00CE1EC0">
        <w:rPr>
          <w:sz w:val="24"/>
          <w:szCs w:val="26"/>
        </w:rPr>
        <w:t xml:space="preserve"> September 17, 2020</w:t>
      </w:r>
      <w:r w:rsidRPr="004C6566" w:rsidR="006935BB">
        <w:rPr>
          <w:sz w:val="24"/>
        </w:rPr>
        <w:t xml:space="preserve"> </w:t>
      </w:r>
      <w:r w:rsidRPr="004C6566">
        <w:rPr>
          <w:sz w:val="24"/>
          <w:szCs w:val="26"/>
        </w:rPr>
        <w:t xml:space="preserve">is a continuation of efforts to ensure that the RTO/ISO tariffs and market rules </w:t>
      </w:r>
      <w:r w:rsidRPr="00162D91" w:rsidR="00650720">
        <w:rPr>
          <w:sz w:val="24"/>
          <w:szCs w:val="26"/>
        </w:rPr>
        <w:t>result in rates that are not unjust, unreasonable, or unduly discriminatory or preferential, in accordance with section 206 of the Federal Power Act.</w:t>
      </w:r>
      <w:r w:rsidRPr="00162D91" w:rsidR="00F47A18">
        <w:rPr>
          <w:sz w:val="24"/>
          <w:szCs w:val="26"/>
        </w:rPr>
        <w:t xml:space="preserve">  The </w:t>
      </w:r>
      <w:r w:rsidRPr="00162D91" w:rsidR="00FB5824">
        <w:rPr>
          <w:sz w:val="24"/>
          <w:szCs w:val="26"/>
        </w:rPr>
        <w:t xml:space="preserve">Commission included FERC-516H in a </w:t>
      </w:r>
      <w:r w:rsidRPr="00162D91" w:rsidR="00F47A18">
        <w:rPr>
          <w:sz w:val="24"/>
          <w:szCs w:val="26"/>
        </w:rPr>
        <w:t>Notice of Proposed Rulemaking (NOPR)</w:t>
      </w:r>
      <w:r w:rsidRPr="005F0C42" w:rsidR="00F47A18">
        <w:rPr>
          <w:sz w:val="24"/>
          <w:szCs w:val="26"/>
          <w:vertAlign w:val="superscript"/>
        </w:rPr>
        <w:footnoteReference w:id="3"/>
      </w:r>
      <w:r w:rsidRPr="005F0C42" w:rsidR="00F47A18">
        <w:rPr>
          <w:sz w:val="24"/>
          <w:szCs w:val="26"/>
        </w:rPr>
        <w:t xml:space="preserve"> </w:t>
      </w:r>
      <w:r w:rsidRPr="005F0C42" w:rsidR="00FB5824">
        <w:rPr>
          <w:sz w:val="24"/>
          <w:szCs w:val="26"/>
        </w:rPr>
        <w:t xml:space="preserve">with the Docket Number RM16-23-000.  In the NOPR, the Commission </w:t>
      </w:r>
      <w:r w:rsidRPr="004C6566" w:rsidR="008C4D1A">
        <w:rPr>
          <w:sz w:val="24"/>
          <w:szCs w:val="26"/>
        </w:rPr>
        <w:t xml:space="preserve">proposed to </w:t>
      </w:r>
      <w:r w:rsidRPr="004C6566" w:rsidR="005B166E">
        <w:rPr>
          <w:sz w:val="24"/>
          <w:szCs w:val="26"/>
        </w:rPr>
        <w:t>require each RTO and ISO to revise its tariff to</w:t>
      </w:r>
      <w:r w:rsidRPr="00162D91" w:rsidR="005B166E">
        <w:rPr>
          <w:sz w:val="24"/>
          <w:szCs w:val="26"/>
        </w:rPr>
        <w:t xml:space="preserve"> </w:t>
      </w:r>
      <w:r w:rsidRPr="00162D91" w:rsidR="00821459">
        <w:rPr>
          <w:sz w:val="24"/>
          <w:szCs w:val="26"/>
        </w:rPr>
        <w:t xml:space="preserve">implement a proposed participation model </w:t>
      </w:r>
      <w:r w:rsidRPr="00162D91" w:rsidR="007B1F1E">
        <w:rPr>
          <w:sz w:val="24"/>
          <w:szCs w:val="26"/>
        </w:rPr>
        <w:t xml:space="preserve">consisting of market rules that </w:t>
      </w:r>
      <w:r w:rsidRPr="00162D91" w:rsidR="00672B10">
        <w:rPr>
          <w:sz w:val="24"/>
          <w:szCs w:val="26"/>
        </w:rPr>
        <w:t xml:space="preserve">would </w:t>
      </w:r>
      <w:r w:rsidRPr="00162D91" w:rsidR="00540BF8">
        <w:rPr>
          <w:sz w:val="24"/>
          <w:szCs w:val="26"/>
        </w:rPr>
        <w:t xml:space="preserve">facilitate participation of </w:t>
      </w:r>
      <w:r w:rsidRPr="00162D91" w:rsidR="00323E26">
        <w:rPr>
          <w:sz w:val="24"/>
          <w:szCs w:val="26"/>
        </w:rPr>
        <w:t xml:space="preserve">both </w:t>
      </w:r>
      <w:r w:rsidRPr="00162D91" w:rsidR="00540BF8">
        <w:rPr>
          <w:sz w:val="24"/>
          <w:szCs w:val="26"/>
        </w:rPr>
        <w:t>electric storage resources and DER aggregations</w:t>
      </w:r>
      <w:r w:rsidRPr="00162D91" w:rsidR="007B1F1E">
        <w:rPr>
          <w:sz w:val="24"/>
          <w:szCs w:val="26"/>
        </w:rPr>
        <w:t xml:space="preserve"> in RTO/ISO markets.</w:t>
      </w:r>
      <w:r w:rsidRPr="00162D91" w:rsidR="00672B10">
        <w:rPr>
          <w:sz w:val="24"/>
          <w:szCs w:val="26"/>
        </w:rPr>
        <w:t xml:space="preserve"> </w:t>
      </w:r>
    </w:p>
    <w:p w:rsidRPr="00162D91" w:rsidR="00D068EB" w:rsidP="00D068EB" w:rsidRDefault="00D068EB" w14:paraId="23F13366" w14:textId="32C7A2BF">
      <w:pPr>
        <w:pStyle w:val="FERCparanumber"/>
        <w:numPr>
          <w:ilvl w:val="0"/>
          <w:numId w:val="0"/>
        </w:numPr>
        <w:tabs>
          <w:tab w:val="left" w:pos="720"/>
          <w:tab w:val="left" w:pos="4860"/>
        </w:tabs>
        <w:rPr>
          <w:sz w:val="24"/>
          <w:szCs w:val="26"/>
        </w:rPr>
      </w:pPr>
      <w:r w:rsidRPr="00162D91">
        <w:rPr>
          <w:sz w:val="24"/>
          <w:szCs w:val="26"/>
        </w:rPr>
        <w:t xml:space="preserve">    </w:t>
      </w:r>
    </w:p>
    <w:p w:rsidRPr="004C6566" w:rsidR="00980E8E" w:rsidP="00CF499A" w:rsidRDefault="00540BF8" w14:paraId="32B2D492" w14:textId="2DB63A90">
      <w:pPr>
        <w:rPr>
          <w:szCs w:val="26"/>
        </w:rPr>
      </w:pPr>
      <w:r w:rsidRPr="00162D91">
        <w:rPr>
          <w:szCs w:val="26"/>
        </w:rPr>
        <w:t>On March 6, 2018, the Commission issued a final rule in Docket Number RM16-23-000</w:t>
      </w:r>
      <w:r w:rsidRPr="00162D91" w:rsidR="00781074">
        <w:rPr>
          <w:szCs w:val="26"/>
        </w:rPr>
        <w:t>.</w:t>
      </w:r>
      <w:r w:rsidRPr="005F0C42" w:rsidR="00781074">
        <w:rPr>
          <w:rStyle w:val="FootnoteReference"/>
          <w:szCs w:val="26"/>
          <w:vertAlign w:val="superscript"/>
        </w:rPr>
        <w:footnoteReference w:id="4"/>
      </w:r>
      <w:r w:rsidRPr="005F0C42">
        <w:rPr>
          <w:szCs w:val="26"/>
        </w:rPr>
        <w:t xml:space="preserve"> </w:t>
      </w:r>
      <w:r w:rsidRPr="005F0C42" w:rsidR="00CF499A">
        <w:rPr>
          <w:szCs w:val="26"/>
        </w:rPr>
        <w:t xml:space="preserve"> In t</w:t>
      </w:r>
      <w:r w:rsidRPr="004C6566" w:rsidR="00A70307">
        <w:rPr>
          <w:szCs w:val="26"/>
        </w:rPr>
        <w:t>hat final rule</w:t>
      </w:r>
      <w:r w:rsidRPr="004C6566" w:rsidR="00CF499A">
        <w:rPr>
          <w:szCs w:val="26"/>
        </w:rPr>
        <w:t xml:space="preserve">, the Commission revised and </w:t>
      </w:r>
      <w:r w:rsidRPr="004C6566" w:rsidR="0046088D">
        <w:rPr>
          <w:szCs w:val="26"/>
        </w:rPr>
        <w:t xml:space="preserve">adopted </w:t>
      </w:r>
      <w:r w:rsidRPr="004C6566" w:rsidR="00A70307">
        <w:rPr>
          <w:szCs w:val="26"/>
        </w:rPr>
        <w:t>provisions pertaining to electric storage resources</w:t>
      </w:r>
      <w:r w:rsidRPr="00162D91" w:rsidR="00CF499A">
        <w:rPr>
          <w:szCs w:val="26"/>
        </w:rPr>
        <w:t xml:space="preserve">, but announced that it would take no further action regarding </w:t>
      </w:r>
      <w:r w:rsidRPr="00162D91" w:rsidR="008520FA">
        <w:rPr>
          <w:szCs w:val="26"/>
        </w:rPr>
        <w:t>DER aggregation</w:t>
      </w:r>
      <w:r w:rsidRPr="00162D91" w:rsidR="00CF499A">
        <w:rPr>
          <w:szCs w:val="26"/>
        </w:rPr>
        <w:t xml:space="preserve">s under Docket Number RM16-23-000.  Instead, the Commission </w:t>
      </w:r>
      <w:r w:rsidRPr="00162D91" w:rsidR="00FD049B">
        <w:rPr>
          <w:szCs w:val="26"/>
        </w:rPr>
        <w:t xml:space="preserve">stated its intention to </w:t>
      </w:r>
      <w:r w:rsidRPr="00162D91" w:rsidR="00CF499A">
        <w:rPr>
          <w:szCs w:val="26"/>
        </w:rPr>
        <w:t xml:space="preserve">continue </w:t>
      </w:r>
      <w:r w:rsidRPr="00162D91" w:rsidR="00FD049B">
        <w:rPr>
          <w:szCs w:val="26"/>
        </w:rPr>
        <w:t>e</w:t>
      </w:r>
      <w:r w:rsidRPr="00162D91" w:rsidR="00CF499A">
        <w:rPr>
          <w:szCs w:val="26"/>
        </w:rPr>
        <w:t>xplor</w:t>
      </w:r>
      <w:r w:rsidRPr="00162D91" w:rsidR="00FD049B">
        <w:rPr>
          <w:szCs w:val="26"/>
        </w:rPr>
        <w:t>ing</w:t>
      </w:r>
      <w:r w:rsidRPr="00162D91" w:rsidR="00CF499A">
        <w:rPr>
          <w:szCs w:val="26"/>
        </w:rPr>
        <w:t xml:space="preserve"> DER aggregation</w:t>
      </w:r>
      <w:r w:rsidRPr="00162D91" w:rsidR="008520FA">
        <w:rPr>
          <w:szCs w:val="26"/>
        </w:rPr>
        <w:t xml:space="preserve"> reforms under Docket Number RM18</w:t>
      </w:r>
      <w:r w:rsidR="00A27491">
        <w:rPr>
          <w:szCs w:val="26"/>
        </w:rPr>
        <w:t>-</w:t>
      </w:r>
      <w:r w:rsidRPr="00162D91" w:rsidR="008520FA">
        <w:rPr>
          <w:szCs w:val="26"/>
        </w:rPr>
        <w:t>9</w:t>
      </w:r>
      <w:r w:rsidR="00A27491">
        <w:rPr>
          <w:szCs w:val="26"/>
        </w:rPr>
        <w:t>-</w:t>
      </w:r>
      <w:r w:rsidRPr="00162D91" w:rsidR="008520FA">
        <w:rPr>
          <w:szCs w:val="26"/>
        </w:rPr>
        <w:t>000.  The Commission issued a Notice of Technical Conference</w:t>
      </w:r>
      <w:r w:rsidRPr="00162D91" w:rsidR="00162D91">
        <w:rPr>
          <w:rStyle w:val="FootnoteReference"/>
          <w:szCs w:val="26"/>
          <w:vertAlign w:val="superscript"/>
        </w:rPr>
        <w:footnoteReference w:id="5"/>
      </w:r>
      <w:r w:rsidRPr="00162D91" w:rsidR="00CF499A">
        <w:rPr>
          <w:szCs w:val="26"/>
        </w:rPr>
        <w:t xml:space="preserve"> </w:t>
      </w:r>
      <w:r w:rsidRPr="005F0C42" w:rsidR="008520FA">
        <w:rPr>
          <w:szCs w:val="26"/>
        </w:rPr>
        <w:t>with questions related to the participation of DER aggregations in RTO/ISO markets</w:t>
      </w:r>
      <w:r w:rsidRPr="004C6566" w:rsidR="00E716C2">
        <w:rPr>
          <w:szCs w:val="26"/>
        </w:rPr>
        <w:t>.</w:t>
      </w:r>
    </w:p>
    <w:p w:rsidRPr="001E4583" w:rsidR="00905D2C" w:rsidP="00F37BCE" w:rsidRDefault="00905D2C" w14:paraId="6045AD52" w14:textId="6C170970">
      <w:pPr>
        <w:rPr>
          <w:szCs w:val="26"/>
        </w:rPr>
      </w:pPr>
    </w:p>
    <w:p w:rsidRPr="00A3517F" w:rsidR="00F554C6" w:rsidP="00A26160" w:rsidRDefault="00437320" w14:paraId="14DB9786" w14:textId="2DE00AA2">
      <w:pPr>
        <w:rPr>
          <w:szCs w:val="26"/>
        </w:rPr>
      </w:pPr>
      <w:r w:rsidRPr="005F0C42">
        <w:rPr>
          <w:szCs w:val="26"/>
        </w:rPr>
        <w:t xml:space="preserve">In the final rule that was issued on </w:t>
      </w:r>
      <w:r w:rsidR="00797F6C">
        <w:rPr>
          <w:szCs w:val="26"/>
        </w:rPr>
        <w:t>September 17, 2020</w:t>
      </w:r>
      <w:r w:rsidRPr="004C6566">
        <w:rPr>
          <w:szCs w:val="26"/>
        </w:rPr>
        <w:t>, the Commission adopt</w:t>
      </w:r>
      <w:r w:rsidR="00334C55">
        <w:rPr>
          <w:szCs w:val="26"/>
        </w:rPr>
        <w:t>ed</w:t>
      </w:r>
      <w:r w:rsidRPr="004C6566">
        <w:rPr>
          <w:szCs w:val="26"/>
        </w:rPr>
        <w:t xml:space="preserve"> the specific DER aggregation reforms proposed in the NOPR with revisions based on the record in </w:t>
      </w:r>
      <w:r w:rsidRPr="00162D91">
        <w:rPr>
          <w:szCs w:val="26"/>
        </w:rPr>
        <w:t>Docket Number RM18-9-000</w:t>
      </w:r>
      <w:r w:rsidRPr="00162D91" w:rsidR="00AE5BF0">
        <w:rPr>
          <w:szCs w:val="26"/>
        </w:rPr>
        <w:t xml:space="preserve">, including </w:t>
      </w:r>
      <w:r w:rsidRPr="00162D91" w:rsidR="00F554C6">
        <w:rPr>
          <w:szCs w:val="26"/>
        </w:rPr>
        <w:t>pertinent public comments on the NOPR in Docket Number RM16-23-000</w:t>
      </w:r>
      <w:r w:rsidRPr="00162D91" w:rsidR="00AE5BF0">
        <w:rPr>
          <w:szCs w:val="26"/>
        </w:rPr>
        <w:t xml:space="preserve"> that are adopted into the record in Docket Number RM18-9-000</w:t>
      </w:r>
      <w:r w:rsidRPr="00A3517F" w:rsidR="00F554C6">
        <w:rPr>
          <w:szCs w:val="26"/>
        </w:rPr>
        <w:t>.</w:t>
      </w:r>
    </w:p>
    <w:p w:rsidRPr="001E4583" w:rsidR="00F554C6" w:rsidP="00A26160" w:rsidRDefault="00F554C6" w14:paraId="7F4A5C43" w14:textId="77777777">
      <w:pPr>
        <w:rPr>
          <w:szCs w:val="26"/>
        </w:rPr>
      </w:pPr>
    </w:p>
    <w:p w:rsidRPr="001E4583" w:rsidR="003C360D" w:rsidP="00A26160" w:rsidRDefault="00245ECA" w14:paraId="7C0BBFBF" w14:textId="5A238808">
      <w:pPr>
        <w:rPr>
          <w:szCs w:val="26"/>
        </w:rPr>
      </w:pPr>
      <w:r w:rsidRPr="001E4583">
        <w:rPr>
          <w:szCs w:val="26"/>
        </w:rPr>
        <w:t xml:space="preserve">In explaining the need for the rule, </w:t>
      </w:r>
      <w:r w:rsidRPr="001E4583" w:rsidR="00A26160">
        <w:rPr>
          <w:szCs w:val="26"/>
        </w:rPr>
        <w:t xml:space="preserve">the Commission determined that DERs are technically capable of participating in the RTO/ISO markets on their own or through aggregation.  Moreover, the Commission adopted the </w:t>
      </w:r>
      <w:r w:rsidRPr="001E4583" w:rsidR="00480964">
        <w:rPr>
          <w:szCs w:val="26"/>
        </w:rPr>
        <w:t xml:space="preserve">preliminary </w:t>
      </w:r>
      <w:r w:rsidRPr="001E4583" w:rsidR="00A26160">
        <w:rPr>
          <w:szCs w:val="26"/>
        </w:rPr>
        <w:t>finding in the NOPR that existing RTO and ISO market rules are unjust and unreasonable because they present barriers to the participation of DER aggregations in the RTO/ISO markets, and such barriers reduce competition and fail to ensure just and reasonable rates.</w:t>
      </w:r>
    </w:p>
    <w:p w:rsidRPr="001E4583" w:rsidR="00FE40BA" w:rsidP="00FE40BA" w:rsidRDefault="00FE40BA" w14:paraId="3FF2CAA5" w14:textId="77777777">
      <w:pPr>
        <w:rPr>
          <w:szCs w:val="26"/>
        </w:rPr>
      </w:pPr>
    </w:p>
    <w:p w:rsidRPr="001E4583" w:rsidR="00FE40BA" w:rsidP="00FE40BA" w:rsidRDefault="00FE40BA" w14:paraId="20AD640E" w14:textId="53F239C3">
      <w:pPr>
        <w:rPr>
          <w:szCs w:val="26"/>
        </w:rPr>
      </w:pPr>
      <w:r w:rsidRPr="001E4583">
        <w:rPr>
          <w:szCs w:val="26"/>
        </w:rPr>
        <w:t xml:space="preserve">Section 35.28, as revised by the final rule, requires each RTO and ISO to </w:t>
      </w:r>
      <w:r w:rsidRPr="001E4583" w:rsidR="00A312CC">
        <w:rPr>
          <w:szCs w:val="26"/>
        </w:rPr>
        <w:t xml:space="preserve">include in its tariff </w:t>
      </w:r>
      <w:r w:rsidRPr="001E4583">
        <w:rPr>
          <w:szCs w:val="26"/>
        </w:rPr>
        <w:t xml:space="preserve"> market rules that address: </w:t>
      </w:r>
    </w:p>
    <w:p w:rsidRPr="001E4583" w:rsidR="00FE40BA" w:rsidP="00FE40BA" w:rsidRDefault="00FE40BA" w14:paraId="36E42C40" w14:textId="77777777">
      <w:pPr>
        <w:rPr>
          <w:szCs w:val="26"/>
        </w:rPr>
      </w:pPr>
    </w:p>
    <w:p w:rsidRPr="001E4583" w:rsidR="00FE40BA" w:rsidP="00FE40BA" w:rsidRDefault="00FE40BA" w14:paraId="6A8271CF" w14:textId="390250A2">
      <w:pPr>
        <w:numPr>
          <w:ilvl w:val="0"/>
          <w:numId w:val="17"/>
        </w:numPr>
        <w:rPr>
          <w:szCs w:val="26"/>
        </w:rPr>
      </w:pPr>
      <w:r w:rsidRPr="001E4583">
        <w:rPr>
          <w:szCs w:val="26"/>
        </w:rPr>
        <w:t xml:space="preserve">Eligibility to participate in the RTO or ISO markets through a DER aggregation; </w:t>
      </w:r>
    </w:p>
    <w:p w:rsidRPr="001E4583" w:rsidR="00FE40BA" w:rsidP="00FE40BA" w:rsidRDefault="00FE40BA" w14:paraId="2954F4E2" w14:textId="11E65E06">
      <w:pPr>
        <w:numPr>
          <w:ilvl w:val="0"/>
          <w:numId w:val="17"/>
        </w:numPr>
        <w:rPr>
          <w:szCs w:val="26"/>
        </w:rPr>
      </w:pPr>
      <w:r w:rsidRPr="001E4583">
        <w:rPr>
          <w:szCs w:val="26"/>
        </w:rPr>
        <w:t xml:space="preserve">Locational requirements for </w:t>
      </w:r>
      <w:r w:rsidRPr="001E4583" w:rsidR="00A312CC">
        <w:rPr>
          <w:szCs w:val="26"/>
        </w:rPr>
        <w:t>DER</w:t>
      </w:r>
      <w:r w:rsidRPr="001E4583">
        <w:rPr>
          <w:szCs w:val="26"/>
        </w:rPr>
        <w:t xml:space="preserve"> aggregations; </w:t>
      </w:r>
    </w:p>
    <w:p w:rsidRPr="001E4583" w:rsidR="00FE40BA" w:rsidP="00FE40BA" w:rsidRDefault="00FE40BA" w14:paraId="3B433E0B" w14:textId="17F01384">
      <w:pPr>
        <w:numPr>
          <w:ilvl w:val="0"/>
          <w:numId w:val="17"/>
        </w:numPr>
        <w:rPr>
          <w:szCs w:val="26"/>
        </w:rPr>
      </w:pPr>
      <w:r w:rsidRPr="001E4583">
        <w:rPr>
          <w:szCs w:val="26"/>
        </w:rPr>
        <w:t xml:space="preserve">Distribution factors and bidding parameters for </w:t>
      </w:r>
      <w:r w:rsidRPr="001E4583" w:rsidR="005262E1">
        <w:rPr>
          <w:szCs w:val="26"/>
        </w:rPr>
        <w:t>DER</w:t>
      </w:r>
      <w:r w:rsidRPr="001E4583">
        <w:rPr>
          <w:szCs w:val="26"/>
        </w:rPr>
        <w:t xml:space="preserve"> aggregations; </w:t>
      </w:r>
    </w:p>
    <w:p w:rsidRPr="001E4583" w:rsidR="00FE40BA" w:rsidP="00FE40BA" w:rsidRDefault="00FE40BA" w14:paraId="1DB011D3" w14:textId="38AE7975">
      <w:pPr>
        <w:numPr>
          <w:ilvl w:val="0"/>
          <w:numId w:val="17"/>
        </w:numPr>
        <w:rPr>
          <w:szCs w:val="26"/>
        </w:rPr>
      </w:pPr>
      <w:r w:rsidRPr="001E4583">
        <w:rPr>
          <w:szCs w:val="26"/>
        </w:rPr>
        <w:t xml:space="preserve">Information and data requirements for </w:t>
      </w:r>
      <w:r w:rsidRPr="001E4583" w:rsidR="005262E1">
        <w:rPr>
          <w:szCs w:val="26"/>
        </w:rPr>
        <w:t>DER</w:t>
      </w:r>
      <w:r w:rsidRPr="001E4583">
        <w:rPr>
          <w:szCs w:val="26"/>
        </w:rPr>
        <w:t xml:space="preserve"> aggregations;</w:t>
      </w:r>
    </w:p>
    <w:p w:rsidRPr="001E4583" w:rsidR="00FE40BA" w:rsidP="00FE40BA" w:rsidRDefault="00FE40BA" w14:paraId="06A89FBA" w14:textId="291F9822">
      <w:pPr>
        <w:numPr>
          <w:ilvl w:val="0"/>
          <w:numId w:val="17"/>
        </w:numPr>
        <w:rPr>
          <w:szCs w:val="26"/>
        </w:rPr>
      </w:pPr>
      <w:r w:rsidRPr="001E4583">
        <w:rPr>
          <w:szCs w:val="26"/>
        </w:rPr>
        <w:t xml:space="preserve">Modification to the list of resources in a </w:t>
      </w:r>
      <w:r w:rsidRPr="001E4583" w:rsidR="005262E1">
        <w:rPr>
          <w:szCs w:val="26"/>
        </w:rPr>
        <w:t>DER</w:t>
      </w:r>
      <w:r w:rsidRPr="001E4583">
        <w:rPr>
          <w:szCs w:val="26"/>
        </w:rPr>
        <w:t xml:space="preserve"> aggregation; </w:t>
      </w:r>
    </w:p>
    <w:p w:rsidRPr="001E4583" w:rsidR="00FE40BA" w:rsidP="00FE40BA" w:rsidRDefault="00FE40BA" w14:paraId="0E044E68" w14:textId="43D499AC">
      <w:pPr>
        <w:numPr>
          <w:ilvl w:val="0"/>
          <w:numId w:val="17"/>
        </w:numPr>
        <w:rPr>
          <w:szCs w:val="26"/>
        </w:rPr>
      </w:pPr>
      <w:r w:rsidRPr="001E4583">
        <w:rPr>
          <w:szCs w:val="26"/>
        </w:rPr>
        <w:t xml:space="preserve">Metering and telemetry system requirements for </w:t>
      </w:r>
      <w:r w:rsidRPr="001E4583" w:rsidR="005262E1">
        <w:rPr>
          <w:szCs w:val="26"/>
        </w:rPr>
        <w:t>DER</w:t>
      </w:r>
      <w:r w:rsidRPr="001E4583">
        <w:rPr>
          <w:szCs w:val="26"/>
        </w:rPr>
        <w:t xml:space="preserve"> aggregations; </w:t>
      </w:r>
    </w:p>
    <w:p w:rsidRPr="001E4583" w:rsidR="00FE40BA" w:rsidP="00FE40BA" w:rsidRDefault="00FE40BA" w14:paraId="5640A939" w14:textId="43C8C11E">
      <w:pPr>
        <w:numPr>
          <w:ilvl w:val="0"/>
          <w:numId w:val="17"/>
        </w:numPr>
        <w:rPr>
          <w:szCs w:val="26"/>
        </w:rPr>
      </w:pPr>
      <w:r w:rsidRPr="001E4583">
        <w:rPr>
          <w:szCs w:val="26"/>
        </w:rPr>
        <w:t xml:space="preserve">Coordination between the </w:t>
      </w:r>
      <w:r w:rsidRPr="001E4583" w:rsidR="005262E1">
        <w:rPr>
          <w:szCs w:val="26"/>
        </w:rPr>
        <w:t xml:space="preserve">RTO </w:t>
      </w:r>
      <w:r w:rsidRPr="001E4583">
        <w:rPr>
          <w:szCs w:val="26"/>
        </w:rPr>
        <w:t xml:space="preserve">or </w:t>
      </w:r>
      <w:r w:rsidRPr="001E4583" w:rsidR="005262E1">
        <w:rPr>
          <w:szCs w:val="26"/>
        </w:rPr>
        <w:t>ISO</w:t>
      </w:r>
      <w:r w:rsidRPr="001E4583">
        <w:rPr>
          <w:szCs w:val="26"/>
        </w:rPr>
        <w:t xml:space="preserve">, the </w:t>
      </w:r>
      <w:r w:rsidRPr="001E4583" w:rsidR="005262E1">
        <w:rPr>
          <w:szCs w:val="26"/>
        </w:rPr>
        <w:t>DER</w:t>
      </w:r>
      <w:r w:rsidRPr="001E4583">
        <w:rPr>
          <w:szCs w:val="26"/>
        </w:rPr>
        <w:t xml:space="preserve"> aggregator, the distribution utility, and the relevant electric retail regulatory authorities; and</w:t>
      </w:r>
    </w:p>
    <w:p w:rsidRPr="001E4583" w:rsidR="00FE40BA" w:rsidP="00FE40BA" w:rsidRDefault="00FE40BA" w14:paraId="09A8C774" w14:textId="523C0D76">
      <w:pPr>
        <w:numPr>
          <w:ilvl w:val="0"/>
          <w:numId w:val="17"/>
        </w:numPr>
        <w:rPr>
          <w:szCs w:val="26"/>
        </w:rPr>
      </w:pPr>
      <w:r w:rsidRPr="001E4583">
        <w:rPr>
          <w:szCs w:val="26"/>
        </w:rPr>
        <w:t xml:space="preserve">Market participation agreements for </w:t>
      </w:r>
      <w:r w:rsidRPr="001E4583" w:rsidR="005262E1">
        <w:rPr>
          <w:szCs w:val="26"/>
        </w:rPr>
        <w:t xml:space="preserve">DER </w:t>
      </w:r>
      <w:r w:rsidRPr="001E4583">
        <w:rPr>
          <w:szCs w:val="26"/>
        </w:rPr>
        <w:t>aggregators.</w:t>
      </w:r>
    </w:p>
    <w:p w:rsidRPr="001E4583" w:rsidR="00C64B4C" w:rsidP="00C64B4C" w:rsidRDefault="00C64B4C" w14:paraId="64DD527D" w14:textId="77777777">
      <w:pPr>
        <w:rPr>
          <w:szCs w:val="26"/>
        </w:rPr>
      </w:pPr>
    </w:p>
    <w:p w:rsidRPr="001E4583" w:rsidR="00FD4638" w:rsidP="00A26160" w:rsidRDefault="000814E2" w14:paraId="05B96350" w14:textId="737FCFDC">
      <w:pPr>
        <w:rPr>
          <w:szCs w:val="26"/>
        </w:rPr>
      </w:pPr>
      <w:r w:rsidRPr="001E4583">
        <w:rPr>
          <w:szCs w:val="26"/>
        </w:rPr>
        <w:t>Revised s</w:t>
      </w:r>
      <w:r w:rsidRPr="001E4583" w:rsidR="00C64B4C">
        <w:rPr>
          <w:szCs w:val="26"/>
        </w:rPr>
        <w:t>ection 35.28 also requires each RTO and ISO to establish a minimum size requirement for DER aggregations that does not exceed 100 kW</w:t>
      </w:r>
      <w:r w:rsidRPr="001E4583">
        <w:rPr>
          <w:szCs w:val="26"/>
        </w:rPr>
        <w:t>.</w:t>
      </w:r>
      <w:r w:rsidRPr="001E4583" w:rsidR="00FD4638">
        <w:rPr>
          <w:szCs w:val="26"/>
        </w:rPr>
        <w:t xml:space="preserve">  In the preamble of the final rule, the Commission acknowledged that some commenters have concerns about the ability of modeling and dispatch software to handle a large number of small DER aggregations.  Therefore, the Commission stated a commitment to consider any future post-implementation requests to increase the minimum size requirement above 100 kW if the RTO/ISO</w:t>
      </w:r>
      <w:r w:rsidRPr="001E4583" w:rsidDel="00C13899" w:rsidR="00FD4638">
        <w:rPr>
          <w:szCs w:val="26"/>
        </w:rPr>
        <w:t xml:space="preserve"> </w:t>
      </w:r>
      <w:r w:rsidRPr="001E4583" w:rsidR="00FD4638">
        <w:rPr>
          <w:szCs w:val="26"/>
        </w:rPr>
        <w:t xml:space="preserve">demonstrates that it is experiencing difficulty calculating efficient market results and there is not a viable software solution for improving such calculations.  In addition, the Commission is including software </w:t>
      </w:r>
      <w:r w:rsidRPr="001E4583" w:rsidR="00FC5232">
        <w:rPr>
          <w:szCs w:val="26"/>
        </w:rPr>
        <w:t>updating among the estimated information collection burdens.</w:t>
      </w:r>
    </w:p>
    <w:p w:rsidRPr="001E4583" w:rsidR="00FD4638" w:rsidP="00A26160" w:rsidRDefault="00FD4638" w14:paraId="5823FC31" w14:textId="77777777">
      <w:pPr>
        <w:rPr>
          <w:szCs w:val="26"/>
        </w:rPr>
      </w:pPr>
    </w:p>
    <w:p w:rsidR="009F5EBC" w:rsidP="00A26160" w:rsidRDefault="000814E2" w14:paraId="2BD5F2BC" w14:textId="0956311F">
      <w:pPr>
        <w:rPr>
          <w:szCs w:val="26"/>
        </w:rPr>
      </w:pPr>
      <w:r w:rsidRPr="001E4583">
        <w:rPr>
          <w:szCs w:val="26"/>
        </w:rPr>
        <w:t>Finally, revised section 35.28 requires each RTO and ISO to accept bids from a D</w:t>
      </w:r>
      <w:r w:rsidRPr="001E4583" w:rsidR="0091218B">
        <w:rPr>
          <w:szCs w:val="26"/>
        </w:rPr>
        <w:t>ER</w:t>
      </w:r>
      <w:r w:rsidRPr="001E4583">
        <w:rPr>
          <w:szCs w:val="26"/>
        </w:rPr>
        <w:t xml:space="preserve"> aggregator if its aggregation includes DERs that are customers of utilities that distributed more than 4 million megawatt-hours in the previous fiscal year, and prohibits an RTO or ISO </w:t>
      </w:r>
      <w:r w:rsidRPr="001E4583" w:rsidR="00E8144A">
        <w:rPr>
          <w:szCs w:val="26"/>
        </w:rPr>
        <w:t xml:space="preserve">from accepting bids from a DER </w:t>
      </w:r>
      <w:r w:rsidRPr="001E4583">
        <w:rPr>
          <w:szCs w:val="26"/>
        </w:rPr>
        <w:t xml:space="preserve">aggregator if its aggregation includes distributed energy resources that are customers of utilities that distributed 4 million megawatt-hours or less in the previous fiscal year, unless the relevant electric retail regulatory authority permits such customers to be bid into RTO/ISO markets by a </w:t>
      </w:r>
      <w:r w:rsidRPr="001E4583" w:rsidR="00E8144A">
        <w:rPr>
          <w:szCs w:val="26"/>
        </w:rPr>
        <w:t xml:space="preserve">DER </w:t>
      </w:r>
      <w:r w:rsidRPr="001E4583">
        <w:rPr>
          <w:szCs w:val="26"/>
        </w:rPr>
        <w:t>aggregator.</w:t>
      </w:r>
    </w:p>
    <w:p w:rsidR="00E237C2" w:rsidRDefault="00E237C2" w14:paraId="5AD4A0FA" w14:textId="2A3072D5">
      <w:pPr>
        <w:widowControl/>
        <w:autoSpaceDE/>
        <w:autoSpaceDN/>
        <w:adjustRightInd/>
        <w:spacing w:after="200" w:line="276" w:lineRule="auto"/>
        <w:rPr>
          <w:szCs w:val="26"/>
        </w:rPr>
      </w:pPr>
      <w:r>
        <w:rPr>
          <w:szCs w:val="26"/>
        </w:rPr>
        <w:br w:type="page"/>
      </w:r>
    </w:p>
    <w:p w:rsidRPr="001E4583" w:rsidR="00B126DC" w:rsidP="00B126DC" w:rsidRDefault="00B126DC" w14:paraId="527B8A92" w14:textId="772A6736">
      <w:pPr>
        <w:rPr>
          <w:szCs w:val="26"/>
        </w:rPr>
      </w:pPr>
      <w:r w:rsidRPr="001E4583">
        <w:rPr>
          <w:szCs w:val="26"/>
        </w:rPr>
        <w:lastRenderedPageBreak/>
        <w:t xml:space="preserve">The requirements in this information collection are the minimum necessary to comply with </w:t>
      </w:r>
      <w:r w:rsidRPr="001E4583" w:rsidR="00760776">
        <w:rPr>
          <w:szCs w:val="26"/>
        </w:rPr>
        <w:t xml:space="preserve">section 206 of the Federal Power Act and </w:t>
      </w:r>
      <w:r w:rsidRPr="001E4583">
        <w:rPr>
          <w:szCs w:val="26"/>
        </w:rPr>
        <w:t>the final rule.  If this information was not collected or retained, there would be no data available to determine whether violations of the laws had occurred.</w:t>
      </w:r>
    </w:p>
    <w:p w:rsidRPr="001E4583" w:rsidR="00B126DC" w:rsidP="00A26160" w:rsidRDefault="00B126DC" w14:paraId="1968762D" w14:textId="578A5F68">
      <w:pPr>
        <w:rPr>
          <w:szCs w:val="26"/>
        </w:rPr>
      </w:pPr>
    </w:p>
    <w:p w:rsidRPr="001E4583" w:rsidR="00980E8E" w:rsidP="005240A1" w:rsidRDefault="00980E8E" w14:paraId="1191C360" w14:textId="7B0529DE">
      <w:pPr>
        <w:widowControl/>
        <w:numPr>
          <w:ilvl w:val="0"/>
          <w:numId w:val="7"/>
        </w:numPr>
        <w:rPr>
          <w:szCs w:val="26"/>
        </w:rPr>
      </w:pPr>
      <w:r w:rsidRPr="001E4583">
        <w:rPr>
          <w:b/>
          <w:szCs w:val="26"/>
        </w:rPr>
        <w:t>DESCRIBE ANY CONSIDERATION OF THE USE OF IMPROVED INFORMATION TECHNOLOGY TO REDUCE BURDEN AND THE TECHNICAL OR LEGAL OBSTACLES TO REDUCING BURDEN</w:t>
      </w:r>
    </w:p>
    <w:p w:rsidRPr="001E4583" w:rsidR="00980E8E" w:rsidP="00980E8E" w:rsidRDefault="00980E8E" w14:paraId="200107A7" w14:textId="77777777">
      <w:pPr>
        <w:rPr>
          <w:szCs w:val="26"/>
        </w:rPr>
      </w:pPr>
    </w:p>
    <w:p w:rsidRPr="001E4583" w:rsidR="004D4C7B" w:rsidP="00042ECE" w:rsidRDefault="00F37BCE" w14:paraId="317BE605" w14:textId="7497018B">
      <w:pPr>
        <w:rPr>
          <w:szCs w:val="26"/>
        </w:rPr>
      </w:pPr>
      <w:r w:rsidRPr="001E4583">
        <w:rPr>
          <w:szCs w:val="26"/>
        </w:rPr>
        <w:t>FERC implement</w:t>
      </w:r>
      <w:r w:rsidRPr="001E4583" w:rsidR="00AA199C">
        <w:rPr>
          <w:szCs w:val="26"/>
        </w:rPr>
        <w:t>s</w:t>
      </w:r>
      <w:r w:rsidRPr="001E4583">
        <w:rPr>
          <w:szCs w:val="26"/>
        </w:rPr>
        <w:t xml:space="preserve"> its eTariff system for the electronic filing of tariffs.</w:t>
      </w:r>
      <w:r w:rsidRPr="001E4583" w:rsidR="000811C6">
        <w:rPr>
          <w:szCs w:val="26"/>
        </w:rPr>
        <w:t xml:space="preserve">  More information on eTariff is posted at</w:t>
      </w:r>
      <w:r w:rsidR="00B90974">
        <w:rPr>
          <w:szCs w:val="26"/>
        </w:rPr>
        <w:t xml:space="preserve"> </w:t>
      </w:r>
      <w:hyperlink w:history="1" r:id="rId12">
        <w:r w:rsidRPr="00B90974" w:rsidR="00B90974">
          <w:rPr>
            <w:rStyle w:val="Hyperlink"/>
            <w:szCs w:val="26"/>
          </w:rPr>
          <w:t>https://www.ferc.gov/ferc-online/etariff</w:t>
        </w:r>
      </w:hyperlink>
      <w:r w:rsidR="00B90974">
        <w:rPr>
          <w:szCs w:val="26"/>
        </w:rPr>
        <w:t>.</w:t>
      </w:r>
    </w:p>
    <w:p w:rsidRPr="001E4583" w:rsidR="00FB2BC3" w:rsidP="00042ECE" w:rsidRDefault="00FB2BC3" w14:paraId="1385B7F4" w14:textId="77777777">
      <w:pPr>
        <w:rPr>
          <w:szCs w:val="26"/>
        </w:rPr>
      </w:pPr>
    </w:p>
    <w:p w:rsidRPr="001E4583" w:rsidR="009D6B6D" w:rsidP="005240A1" w:rsidRDefault="009D6B6D" w14:paraId="0E702588" w14:textId="7BD1EC28">
      <w:pPr>
        <w:pStyle w:val="FERCparanumber"/>
        <w:numPr>
          <w:ilvl w:val="0"/>
          <w:numId w:val="7"/>
        </w:numPr>
        <w:rPr>
          <w:sz w:val="24"/>
          <w:szCs w:val="26"/>
        </w:rPr>
      </w:pPr>
      <w:r w:rsidRPr="001E4583">
        <w:rPr>
          <w:b/>
          <w:sz w:val="24"/>
          <w:szCs w:val="26"/>
        </w:rPr>
        <w:t>DESCRIBE EFFORTS TO IDENTIFY DUPLICAT</w:t>
      </w:r>
      <w:r w:rsidRPr="001E4583" w:rsidR="004927EF">
        <w:rPr>
          <w:b/>
          <w:sz w:val="24"/>
          <w:szCs w:val="26"/>
        </w:rPr>
        <w:t>I</w:t>
      </w:r>
      <w:r w:rsidRPr="001E4583">
        <w:rPr>
          <w:b/>
          <w:sz w:val="24"/>
          <w:szCs w:val="26"/>
        </w:rPr>
        <w:t>ON AND SHOW SPECIFICALLY WHY ANY SIMILAR INFORMATION ALREADY AVAILABLE CANNOT BE USED OR MODIFIED FOR USE FOR THE PURPOSE(S) DESCRIBED IN INSTRUCTION NO. 2</w:t>
      </w:r>
    </w:p>
    <w:p w:rsidRPr="001E4583" w:rsidR="00BD4039" w:rsidP="00BD4039" w:rsidRDefault="00BD4039" w14:paraId="7F5C95B0" w14:textId="77777777">
      <w:pPr>
        <w:pStyle w:val="FERCparanumber"/>
        <w:numPr>
          <w:ilvl w:val="0"/>
          <w:numId w:val="0"/>
        </w:numPr>
        <w:rPr>
          <w:b/>
          <w:sz w:val="24"/>
          <w:szCs w:val="26"/>
        </w:rPr>
      </w:pPr>
    </w:p>
    <w:p w:rsidRPr="001E4583" w:rsidR="00BD4039" w:rsidP="000541E0" w:rsidRDefault="00F37BCE" w14:paraId="44C363AB" w14:textId="5E040DB2">
      <w:pPr>
        <w:rPr>
          <w:szCs w:val="26"/>
        </w:rPr>
      </w:pPr>
      <w:r w:rsidRPr="001E4583">
        <w:rPr>
          <w:szCs w:val="26"/>
        </w:rPr>
        <w:t xml:space="preserve">FERC rules and data requirements are periodically reviewed in conjunction with OMB clearance expiration dates.  This includes a review of </w:t>
      </w:r>
      <w:r w:rsidRPr="001E4583" w:rsidR="00AC35A0">
        <w:rPr>
          <w:szCs w:val="26"/>
        </w:rPr>
        <w:t>the Commission’s</w:t>
      </w:r>
      <w:r w:rsidRPr="001E4583" w:rsidR="00D43059">
        <w:rPr>
          <w:szCs w:val="26"/>
        </w:rPr>
        <w:t xml:space="preserve"> </w:t>
      </w:r>
      <w:r w:rsidRPr="001E4583">
        <w:rPr>
          <w:szCs w:val="26"/>
        </w:rPr>
        <w:t xml:space="preserve">regulations and data requirements to identify duplication.  The information to be submitted, generated, retained, or posted, pursuant to this </w:t>
      </w:r>
      <w:r w:rsidRPr="001E4583" w:rsidR="006E6A27">
        <w:rPr>
          <w:szCs w:val="26"/>
        </w:rPr>
        <w:t>Final Rule</w:t>
      </w:r>
      <w:r w:rsidRPr="001E4583">
        <w:rPr>
          <w:szCs w:val="26"/>
        </w:rPr>
        <w:t xml:space="preserve"> is not readily available from other sources</w:t>
      </w:r>
      <w:r w:rsidRPr="001E4583" w:rsidR="008060D2">
        <w:rPr>
          <w:szCs w:val="26"/>
        </w:rPr>
        <w:t xml:space="preserve">. </w:t>
      </w:r>
    </w:p>
    <w:p w:rsidRPr="001E4583" w:rsidR="008060D2" w:rsidP="00BD4039" w:rsidRDefault="008060D2" w14:paraId="01E02908" w14:textId="77777777">
      <w:pPr>
        <w:pStyle w:val="FERCparanumber"/>
        <w:numPr>
          <w:ilvl w:val="0"/>
          <w:numId w:val="0"/>
        </w:numPr>
        <w:rPr>
          <w:sz w:val="24"/>
          <w:szCs w:val="26"/>
        </w:rPr>
      </w:pPr>
    </w:p>
    <w:p w:rsidRPr="001E4583" w:rsidR="009D6B6D" w:rsidP="005240A1" w:rsidRDefault="009D6B6D" w14:paraId="16D376F5" w14:textId="77777777">
      <w:pPr>
        <w:pStyle w:val="FERCparanumber"/>
        <w:numPr>
          <w:ilvl w:val="0"/>
          <w:numId w:val="7"/>
        </w:numPr>
        <w:rPr>
          <w:sz w:val="24"/>
          <w:szCs w:val="26"/>
        </w:rPr>
      </w:pPr>
      <w:r w:rsidRPr="001E4583">
        <w:rPr>
          <w:b/>
          <w:sz w:val="24"/>
          <w:szCs w:val="26"/>
        </w:rPr>
        <w:t>METHODS USED TO MINIMIZE BURDEN IN COLLECTION OF INFORMATION INVOLVING SMALL ENTITIES</w:t>
      </w:r>
      <w:r w:rsidRPr="001E4583">
        <w:rPr>
          <w:sz w:val="24"/>
          <w:szCs w:val="26"/>
        </w:rPr>
        <w:t xml:space="preserve"> </w:t>
      </w:r>
    </w:p>
    <w:p w:rsidRPr="001E4583" w:rsidR="00D43059" w:rsidP="00F37BCE" w:rsidRDefault="00D43059" w14:paraId="1B29DA3E" w14:textId="77777777">
      <w:pPr>
        <w:rPr>
          <w:szCs w:val="26"/>
        </w:rPr>
      </w:pPr>
    </w:p>
    <w:p w:rsidRPr="001E4583" w:rsidR="008060D2" w:rsidP="00F37BCE" w:rsidRDefault="00107F6A" w14:paraId="6A972740" w14:textId="02525FA5">
      <w:pPr>
        <w:rPr>
          <w:szCs w:val="26"/>
        </w:rPr>
      </w:pPr>
      <w:r w:rsidRPr="001E4583">
        <w:rPr>
          <w:szCs w:val="26"/>
        </w:rPr>
        <w:t>Under the Small Business Administration’s classification</w:t>
      </w:r>
      <w:r w:rsidRPr="001E4583" w:rsidR="00E547F4">
        <w:rPr>
          <w:szCs w:val="26"/>
        </w:rPr>
        <w:t>,</w:t>
      </w:r>
      <w:r w:rsidRPr="001E4583">
        <w:rPr>
          <w:rStyle w:val="FootnoteReference"/>
          <w:szCs w:val="26"/>
          <w:vertAlign w:val="superscript"/>
        </w:rPr>
        <w:footnoteReference w:id="6"/>
      </w:r>
      <w:r w:rsidRPr="001E4583">
        <w:rPr>
          <w:szCs w:val="26"/>
        </w:rPr>
        <w:t xml:space="preserve"> the six RTOs/ISOs would be considered electric bulk power transmission and control, for which the small business size threshold is 500 or fewer employees.  </w:t>
      </w:r>
      <w:r w:rsidRPr="001E4583" w:rsidR="00B12FD6">
        <w:rPr>
          <w:szCs w:val="26"/>
        </w:rPr>
        <w:t>Because each RTO/ISO has more than 500 employees, none are considered small entities.</w:t>
      </w:r>
      <w:r w:rsidRPr="001E4583" w:rsidR="00F37BCE">
        <w:rPr>
          <w:szCs w:val="26"/>
        </w:rPr>
        <w:t xml:space="preserve">  </w:t>
      </w:r>
    </w:p>
    <w:p w:rsidRPr="001E4583" w:rsidR="005240A1" w:rsidP="000541E0" w:rsidRDefault="005240A1" w14:paraId="2329B0A1" w14:textId="77777777">
      <w:pPr>
        <w:pStyle w:val="FERCparanumber"/>
        <w:numPr>
          <w:ilvl w:val="0"/>
          <w:numId w:val="0"/>
        </w:numPr>
        <w:tabs>
          <w:tab w:val="num" w:pos="0"/>
        </w:tabs>
        <w:jc w:val="center"/>
        <w:rPr>
          <w:sz w:val="24"/>
          <w:szCs w:val="26"/>
        </w:rPr>
      </w:pPr>
    </w:p>
    <w:p w:rsidRPr="001E4583" w:rsidR="009D6B6D" w:rsidP="005240A1" w:rsidRDefault="009D6B6D" w14:paraId="1169CF0E" w14:textId="77777777">
      <w:pPr>
        <w:pStyle w:val="FERCparanumber"/>
        <w:numPr>
          <w:ilvl w:val="0"/>
          <w:numId w:val="7"/>
        </w:numPr>
        <w:rPr>
          <w:sz w:val="24"/>
          <w:szCs w:val="26"/>
        </w:rPr>
      </w:pPr>
      <w:r w:rsidRPr="001E4583">
        <w:rPr>
          <w:b/>
          <w:sz w:val="24"/>
          <w:szCs w:val="26"/>
        </w:rPr>
        <w:t>CONSEQUENCE TO FEDERAL PROGRAM IF COLLECTION WERE CONDUCTED LESS FREQUENTLY</w:t>
      </w:r>
    </w:p>
    <w:p w:rsidRPr="001E4583" w:rsidR="00BB6095" w:rsidP="00BB6095" w:rsidRDefault="00BB6095" w14:paraId="23391944" w14:textId="77777777">
      <w:pPr>
        <w:pStyle w:val="FERCparanumber"/>
        <w:numPr>
          <w:ilvl w:val="0"/>
          <w:numId w:val="0"/>
        </w:numPr>
        <w:rPr>
          <w:b/>
          <w:sz w:val="24"/>
          <w:szCs w:val="26"/>
        </w:rPr>
      </w:pPr>
    </w:p>
    <w:p w:rsidRPr="001E4583" w:rsidR="00042ECE" w:rsidP="00042ECE" w:rsidRDefault="00AC35A0" w14:paraId="621621A2" w14:textId="5DB29B21">
      <w:pPr>
        <w:rPr>
          <w:szCs w:val="26"/>
        </w:rPr>
      </w:pPr>
      <w:r w:rsidRPr="001E4583">
        <w:rPr>
          <w:szCs w:val="26"/>
        </w:rPr>
        <w:t>The Commission</w:t>
      </w:r>
      <w:r w:rsidRPr="001E4583" w:rsidR="00F37BCE">
        <w:rPr>
          <w:szCs w:val="26"/>
        </w:rPr>
        <w:t xml:space="preserve"> requires this information in order to perform its mandated oversight and review responsibilities with respect to electric market-based rates being just and reasonable.  Without this information, the Commission would be unable to meet its statutory responsibility under Section 20</w:t>
      </w:r>
      <w:r w:rsidRPr="001E4583">
        <w:rPr>
          <w:szCs w:val="26"/>
        </w:rPr>
        <w:t>6</w:t>
      </w:r>
      <w:r w:rsidRPr="001E4583" w:rsidR="00F37BCE">
        <w:rPr>
          <w:szCs w:val="26"/>
        </w:rPr>
        <w:t xml:space="preserve"> of the FPA to ensure </w:t>
      </w:r>
      <w:r w:rsidRPr="001E4583">
        <w:rPr>
          <w:szCs w:val="26"/>
        </w:rPr>
        <w:t xml:space="preserve">that </w:t>
      </w:r>
      <w:r w:rsidRPr="001E4583" w:rsidR="00F37BCE">
        <w:rPr>
          <w:szCs w:val="26"/>
        </w:rPr>
        <w:t xml:space="preserve">electric utility rates and tariffs are </w:t>
      </w:r>
      <w:r w:rsidRPr="001E4583">
        <w:rPr>
          <w:szCs w:val="26"/>
        </w:rPr>
        <w:t>not un</w:t>
      </w:r>
      <w:r w:rsidRPr="001E4583" w:rsidR="00F37BCE">
        <w:rPr>
          <w:szCs w:val="26"/>
        </w:rPr>
        <w:t>just</w:t>
      </w:r>
      <w:r w:rsidRPr="001E4583">
        <w:rPr>
          <w:szCs w:val="26"/>
        </w:rPr>
        <w:t>,</w:t>
      </w:r>
      <w:r w:rsidRPr="001E4583" w:rsidR="00F37BCE">
        <w:rPr>
          <w:szCs w:val="26"/>
        </w:rPr>
        <w:t xml:space="preserve"> </w:t>
      </w:r>
      <w:r w:rsidRPr="001E4583">
        <w:rPr>
          <w:szCs w:val="26"/>
        </w:rPr>
        <w:t>un</w:t>
      </w:r>
      <w:r w:rsidRPr="001E4583" w:rsidR="00F37BCE">
        <w:rPr>
          <w:szCs w:val="26"/>
        </w:rPr>
        <w:t>reasonable</w:t>
      </w:r>
      <w:r w:rsidRPr="001E4583">
        <w:rPr>
          <w:szCs w:val="26"/>
        </w:rPr>
        <w:t>, or unduly discriminatory or preferential</w:t>
      </w:r>
      <w:r w:rsidRPr="001E4583" w:rsidR="00F37BCE">
        <w:rPr>
          <w:szCs w:val="26"/>
        </w:rPr>
        <w:t>.  Failing to meet this responsibility could result in public utilities charging rates that are not just and reasonable</w:t>
      </w:r>
      <w:r w:rsidRPr="001E4583" w:rsidR="00042ECE">
        <w:rPr>
          <w:szCs w:val="26"/>
        </w:rPr>
        <w:t xml:space="preserve">.  </w:t>
      </w:r>
    </w:p>
    <w:p w:rsidRPr="001E4583" w:rsidR="00BB6095" w:rsidP="00BB6095" w:rsidRDefault="00BB6095" w14:paraId="4F0A656F" w14:textId="77777777">
      <w:pPr>
        <w:pStyle w:val="FERCparanumber"/>
        <w:numPr>
          <w:ilvl w:val="0"/>
          <w:numId w:val="0"/>
        </w:numPr>
        <w:rPr>
          <w:sz w:val="24"/>
          <w:szCs w:val="26"/>
        </w:rPr>
      </w:pPr>
    </w:p>
    <w:p w:rsidRPr="001E4583" w:rsidR="00BB6095" w:rsidP="005240A1" w:rsidRDefault="00BB6095" w14:paraId="5CE22EF6" w14:textId="77777777">
      <w:pPr>
        <w:pStyle w:val="FERCparanumber"/>
        <w:numPr>
          <w:ilvl w:val="0"/>
          <w:numId w:val="7"/>
        </w:numPr>
        <w:rPr>
          <w:sz w:val="24"/>
          <w:szCs w:val="26"/>
        </w:rPr>
      </w:pPr>
      <w:r w:rsidRPr="001E4583">
        <w:rPr>
          <w:b/>
          <w:sz w:val="24"/>
          <w:szCs w:val="26"/>
        </w:rPr>
        <w:t>EXPLAIN ANY SPECIAL CIRCUMSTANCES RELATING TO THE INFORMATION</w:t>
      </w:r>
    </w:p>
    <w:p w:rsidRPr="001E4583" w:rsidR="00BB6095" w:rsidP="00BB6095" w:rsidRDefault="00BB6095" w14:paraId="6C3072D3" w14:textId="77777777">
      <w:pPr>
        <w:pStyle w:val="FERCparanumber"/>
        <w:numPr>
          <w:ilvl w:val="0"/>
          <w:numId w:val="0"/>
        </w:numPr>
        <w:rPr>
          <w:b/>
          <w:sz w:val="24"/>
          <w:szCs w:val="26"/>
        </w:rPr>
      </w:pPr>
    </w:p>
    <w:p w:rsidRPr="001E4583" w:rsidR="00BB6095" w:rsidP="004D4C7B" w:rsidRDefault="00FC192E" w14:paraId="19B1F23B" w14:textId="79644114">
      <w:pPr>
        <w:rPr>
          <w:szCs w:val="26"/>
        </w:rPr>
      </w:pPr>
      <w:r w:rsidRPr="001E4583">
        <w:rPr>
          <w:szCs w:val="26"/>
        </w:rPr>
        <w:t>There are no special circumstances relating to this information collection</w:t>
      </w:r>
      <w:r w:rsidRPr="001E4583" w:rsidR="000541E0">
        <w:rPr>
          <w:szCs w:val="26"/>
        </w:rPr>
        <w:t>.</w:t>
      </w:r>
      <w:r w:rsidRPr="001E4583" w:rsidR="00BB6095">
        <w:rPr>
          <w:szCs w:val="26"/>
        </w:rPr>
        <w:t xml:space="preserve"> </w:t>
      </w:r>
    </w:p>
    <w:p w:rsidRPr="001E4583" w:rsidR="00BB6095" w:rsidP="00BB6095" w:rsidRDefault="00BB6095" w14:paraId="5AA6725C" w14:textId="77777777">
      <w:pPr>
        <w:pStyle w:val="FERCparanumber"/>
        <w:numPr>
          <w:ilvl w:val="0"/>
          <w:numId w:val="0"/>
        </w:numPr>
        <w:rPr>
          <w:sz w:val="24"/>
          <w:szCs w:val="26"/>
        </w:rPr>
      </w:pPr>
    </w:p>
    <w:p w:rsidRPr="001E4583" w:rsidR="00BB6095" w:rsidP="007D42B3" w:rsidRDefault="00BB6095" w14:paraId="08534C89" w14:textId="0DD94007">
      <w:pPr>
        <w:pStyle w:val="FERCparanumber"/>
        <w:numPr>
          <w:ilvl w:val="0"/>
          <w:numId w:val="7"/>
        </w:numPr>
        <w:rPr>
          <w:sz w:val="24"/>
          <w:szCs w:val="26"/>
        </w:rPr>
      </w:pPr>
      <w:r w:rsidRPr="001E4583">
        <w:rPr>
          <w:b/>
          <w:sz w:val="24"/>
          <w:szCs w:val="26"/>
        </w:rPr>
        <w:t>DESCRIBE EFFORTS TO CONSULT OUTSIDE THE AGENCY: SUMMARIZE PUBLIC COMMENTS AND THE AGENCY’S RESPONSE TO THESE COMMENTS</w:t>
      </w:r>
    </w:p>
    <w:p w:rsidRPr="001E4583" w:rsidR="004D0562" w:rsidP="00BB6095" w:rsidRDefault="004D0562" w14:paraId="1E957E11" w14:textId="77777777">
      <w:pPr>
        <w:rPr>
          <w:szCs w:val="26"/>
        </w:rPr>
      </w:pPr>
    </w:p>
    <w:p w:rsidRPr="00A3517F" w:rsidR="00DE602D" w:rsidP="00DE602D" w:rsidRDefault="00DE602D" w14:paraId="5AE16F2B" w14:textId="361CCA31">
      <w:pPr>
        <w:pStyle w:val="FERCparanumber"/>
        <w:numPr>
          <w:ilvl w:val="0"/>
          <w:numId w:val="0"/>
        </w:numPr>
        <w:tabs>
          <w:tab w:val="left" w:pos="720"/>
          <w:tab w:val="left" w:pos="4860"/>
        </w:tabs>
        <w:rPr>
          <w:sz w:val="24"/>
          <w:szCs w:val="26"/>
        </w:rPr>
      </w:pPr>
      <w:r w:rsidRPr="005F0C42">
        <w:rPr>
          <w:sz w:val="24"/>
          <w:szCs w:val="26"/>
        </w:rPr>
        <w:t xml:space="preserve">The Commission included FERC-516H in </w:t>
      </w:r>
      <w:r w:rsidRPr="004C6566" w:rsidR="00F64F7B">
        <w:rPr>
          <w:sz w:val="24"/>
          <w:szCs w:val="26"/>
        </w:rPr>
        <w:t xml:space="preserve">the </w:t>
      </w:r>
      <w:r w:rsidRPr="00162D91">
        <w:rPr>
          <w:sz w:val="24"/>
          <w:szCs w:val="26"/>
        </w:rPr>
        <w:t>NOPR</w:t>
      </w:r>
      <w:r w:rsidRPr="005F0C42">
        <w:rPr>
          <w:sz w:val="24"/>
          <w:szCs w:val="26"/>
          <w:vertAlign w:val="superscript"/>
        </w:rPr>
        <w:footnoteReference w:id="7"/>
      </w:r>
      <w:r w:rsidRPr="005F0C42">
        <w:rPr>
          <w:sz w:val="24"/>
          <w:szCs w:val="26"/>
        </w:rPr>
        <w:t xml:space="preserve"> </w:t>
      </w:r>
      <w:r w:rsidRPr="00162D91" w:rsidR="00F64F7B">
        <w:rPr>
          <w:sz w:val="24"/>
          <w:szCs w:val="26"/>
        </w:rPr>
        <w:t>in</w:t>
      </w:r>
      <w:r w:rsidRPr="00162D91">
        <w:rPr>
          <w:sz w:val="24"/>
          <w:szCs w:val="26"/>
        </w:rPr>
        <w:t xml:space="preserve"> Docket Number RM16-23-000.  In the NOPR, the Commission proposed to require each RTO and ISO to revise its tariff to implement </w:t>
      </w:r>
      <w:r w:rsidRPr="00A3517F">
        <w:rPr>
          <w:sz w:val="24"/>
          <w:szCs w:val="26"/>
        </w:rPr>
        <w:t>a proposed participation model consisting of market rules that would facilitate participation of both electric storage resources and DER aggregations in RTO/ISO markets.</w:t>
      </w:r>
    </w:p>
    <w:p w:rsidRPr="001E4583" w:rsidR="00DE602D" w:rsidP="00DE602D" w:rsidRDefault="00DE602D" w14:paraId="1572A32F" w14:textId="44D9B94C">
      <w:pPr>
        <w:pStyle w:val="FERCparanumber"/>
        <w:numPr>
          <w:ilvl w:val="0"/>
          <w:numId w:val="0"/>
        </w:numPr>
        <w:tabs>
          <w:tab w:val="left" w:pos="720"/>
          <w:tab w:val="left" w:pos="4860"/>
        </w:tabs>
        <w:rPr>
          <w:sz w:val="24"/>
          <w:szCs w:val="26"/>
        </w:rPr>
      </w:pPr>
    </w:p>
    <w:p w:rsidRPr="001E4583" w:rsidR="00E60946" w:rsidP="00E60946" w:rsidRDefault="00DE602D" w14:paraId="767EDE20" w14:textId="03DB8441">
      <w:pPr>
        <w:pStyle w:val="FERCparanumber"/>
        <w:numPr>
          <w:ilvl w:val="0"/>
          <w:numId w:val="0"/>
        </w:numPr>
        <w:tabs>
          <w:tab w:val="left" w:pos="720"/>
          <w:tab w:val="left" w:pos="4860"/>
        </w:tabs>
        <w:rPr>
          <w:sz w:val="24"/>
          <w:szCs w:val="26"/>
        </w:rPr>
      </w:pPr>
      <w:r w:rsidRPr="001E4583">
        <w:rPr>
          <w:sz w:val="24"/>
          <w:szCs w:val="26"/>
        </w:rPr>
        <w:t xml:space="preserve">The final rule issued in 2018 in Docket Number RM16-23-000 pertains only to electric storage resources.  The final rule issued on </w:t>
      </w:r>
      <w:r w:rsidR="00A40C46">
        <w:rPr>
          <w:sz w:val="24"/>
          <w:szCs w:val="26"/>
        </w:rPr>
        <w:t>September 17, 2020</w:t>
      </w:r>
      <w:r w:rsidRPr="001E4583">
        <w:rPr>
          <w:sz w:val="24"/>
          <w:szCs w:val="26"/>
        </w:rPr>
        <w:t xml:space="preserve"> revises FERC-51</w:t>
      </w:r>
      <w:r w:rsidR="001E4583">
        <w:rPr>
          <w:sz w:val="24"/>
          <w:szCs w:val="26"/>
        </w:rPr>
        <w:t>6H</w:t>
      </w:r>
      <w:r w:rsidRPr="001E4583">
        <w:rPr>
          <w:sz w:val="24"/>
          <w:szCs w:val="26"/>
        </w:rPr>
        <w:t xml:space="preserve"> in Docket Number RM18-9-000, taking into account public comments on the NOPR, </w:t>
      </w:r>
      <w:r w:rsidRPr="001E4583" w:rsidR="00E60946">
        <w:rPr>
          <w:sz w:val="24"/>
          <w:szCs w:val="26"/>
        </w:rPr>
        <w:t>input from a Commission technical conference convened April 10-11, 2018, responses to a post-technical conference notice, and responses to the Commission’s September 5, 2019 Data Requests to RTOs/ISOs on policies and procedures that affect the interconnection of DERs.</w:t>
      </w:r>
    </w:p>
    <w:p w:rsidRPr="005F0C42" w:rsidR="000C09AE" w:rsidP="000C09AE" w:rsidRDefault="000C09AE" w14:paraId="20FC9553" w14:textId="77777777">
      <w:pPr>
        <w:rPr>
          <w:b/>
          <w:szCs w:val="26"/>
        </w:rPr>
      </w:pPr>
    </w:p>
    <w:p w:rsidRPr="004C6566" w:rsidR="000C09AE" w:rsidP="00CA3F9B" w:rsidRDefault="00512C48" w14:paraId="354DAC18" w14:textId="6EF80A9B">
      <w:pPr>
        <w:rPr>
          <w:b/>
          <w:szCs w:val="26"/>
        </w:rPr>
      </w:pPr>
      <w:r w:rsidRPr="004C6566">
        <w:rPr>
          <w:b/>
          <w:szCs w:val="26"/>
        </w:rPr>
        <w:t>Need for Reforms</w:t>
      </w:r>
    </w:p>
    <w:p w:rsidRPr="001E4583" w:rsidR="000C09AE" w:rsidP="00CA3F9B" w:rsidRDefault="000C09AE" w14:paraId="3CBBDAA3" w14:textId="77777777">
      <w:pPr>
        <w:rPr>
          <w:szCs w:val="26"/>
        </w:rPr>
      </w:pPr>
    </w:p>
    <w:p w:rsidRPr="001E4583" w:rsidR="00CA3F9B" w:rsidP="00CA3F9B" w:rsidRDefault="00CA3F9B" w14:paraId="7D98590B" w14:textId="53598BF3">
      <w:pPr>
        <w:rPr>
          <w:szCs w:val="26"/>
        </w:rPr>
      </w:pPr>
      <w:r w:rsidRPr="001E4583">
        <w:rPr>
          <w:szCs w:val="26"/>
        </w:rPr>
        <w:t>Most commenters, including state entities and RTOs/ISOs, supported requiring RTOs/ISOs to remove barriers to the participation of DER aggregations in their markets, subject to the Commission’s adopting certain modifications to the NOPR proposals and/or allowing for regional flexibility in implementing reforms in any eventual final rule.  Among other things, these commenters identified improved competition and reliability as benefits of the proposed reforms and noted that they provide a better way to provide price signals to DERs than current retail programs, which may reduce the cost of meeting power system needs.  Commenters also stated that the removal of barriers to, and integration of, DER aggregations could spur innovation, and allow these aggregations to serve important roles on the grid.  Several commenters emphasized that a DER aggregation framework must ensure that aggregated DERs can provide all the services that they are capable of providing, while competing on a level and technology-neutral playing field with other resources.</w:t>
      </w:r>
    </w:p>
    <w:p w:rsidRPr="001E4583" w:rsidR="00ED185A" w:rsidP="00ED185A" w:rsidRDefault="00ED185A" w14:paraId="11717FBE" w14:textId="77777777">
      <w:pPr>
        <w:rPr>
          <w:szCs w:val="26"/>
        </w:rPr>
      </w:pPr>
    </w:p>
    <w:p w:rsidR="00CC7D5C" w:rsidP="00CA3F9B" w:rsidRDefault="00ED185A" w14:paraId="2D5ADA32" w14:textId="14E40174">
      <w:pPr>
        <w:rPr>
          <w:szCs w:val="26"/>
        </w:rPr>
      </w:pPr>
      <w:r w:rsidRPr="001E4583">
        <w:rPr>
          <w:szCs w:val="26"/>
        </w:rPr>
        <w:t xml:space="preserve">In the final rule issued on </w:t>
      </w:r>
      <w:r w:rsidR="00E76AEC">
        <w:rPr>
          <w:szCs w:val="26"/>
        </w:rPr>
        <w:t>September 17, 2020</w:t>
      </w:r>
      <w:r w:rsidRPr="001E4583">
        <w:rPr>
          <w:szCs w:val="26"/>
        </w:rPr>
        <w:t xml:space="preserve">, the Commission affirmed the preliminary finding in the NOPR that existing RTO/ISO market rules </w:t>
      </w:r>
      <w:bookmarkStart w:name="_Hlk51057682" w:id="0"/>
      <w:r w:rsidRPr="001E4583">
        <w:rPr>
          <w:szCs w:val="26"/>
        </w:rPr>
        <w:t>are unjust and unreasonable because they present barriers to the participation of DER aggregations in the RTO/ISO markets, and such barriers reduce competition and fail to ensure just and reasonable rates.</w:t>
      </w:r>
      <w:bookmarkEnd w:id="0"/>
      <w:r w:rsidRPr="001E4583">
        <w:rPr>
          <w:szCs w:val="26"/>
        </w:rPr>
        <w:t xml:space="preserve">  The Commission also found that the reforms adopted in the final rule will remove the barriers that qualification and performance requirements currently pose to the participation of DER in the RTO/ISO markets.</w:t>
      </w:r>
    </w:p>
    <w:p w:rsidR="00CC7D5C" w:rsidRDefault="00CC7D5C" w14:paraId="0A1884DD" w14:textId="77777777">
      <w:pPr>
        <w:widowControl/>
        <w:autoSpaceDE/>
        <w:autoSpaceDN/>
        <w:adjustRightInd/>
        <w:spacing w:after="200" w:line="276" w:lineRule="auto"/>
        <w:rPr>
          <w:szCs w:val="26"/>
        </w:rPr>
      </w:pPr>
      <w:r>
        <w:rPr>
          <w:szCs w:val="26"/>
        </w:rPr>
        <w:br w:type="page"/>
      </w:r>
    </w:p>
    <w:p w:rsidRPr="004C6566" w:rsidR="00512C48" w:rsidP="000C09AE" w:rsidRDefault="00F21A0A" w14:paraId="76E15EFA" w14:textId="60806110">
      <w:pPr>
        <w:rPr>
          <w:b/>
          <w:szCs w:val="26"/>
        </w:rPr>
      </w:pPr>
      <w:r w:rsidRPr="005F0C42">
        <w:rPr>
          <w:b/>
          <w:szCs w:val="26"/>
        </w:rPr>
        <w:lastRenderedPageBreak/>
        <w:t xml:space="preserve">Submission and </w:t>
      </w:r>
      <w:r w:rsidRPr="004C6566" w:rsidR="00512C48">
        <w:rPr>
          <w:b/>
          <w:szCs w:val="26"/>
        </w:rPr>
        <w:t>Implementation</w:t>
      </w:r>
      <w:r w:rsidRPr="004C6566">
        <w:rPr>
          <w:b/>
          <w:szCs w:val="26"/>
        </w:rPr>
        <w:t xml:space="preserve"> of Tariff Provisions</w:t>
      </w:r>
    </w:p>
    <w:p w:rsidRPr="00162D91" w:rsidR="000C09AE" w:rsidP="000C09AE" w:rsidRDefault="000C09AE" w14:paraId="2C874E63" w14:textId="77777777">
      <w:pPr>
        <w:rPr>
          <w:b/>
          <w:szCs w:val="26"/>
        </w:rPr>
      </w:pPr>
    </w:p>
    <w:p w:rsidRPr="001E4583" w:rsidR="00512C48" w:rsidP="00512C48" w:rsidRDefault="00512C48" w14:paraId="7B9F42E6" w14:textId="5C559B42">
      <w:pPr>
        <w:rPr>
          <w:szCs w:val="26"/>
        </w:rPr>
      </w:pPr>
      <w:r w:rsidRPr="001E4583">
        <w:rPr>
          <w:szCs w:val="26"/>
        </w:rPr>
        <w:t>In the NOPR, the Commission proposed to require each RTO/ISO to submit a compliance filing within six months of the date of a final rule in Docket Number RM16-23-000.  The Commission stated that it believed that six months is sufficient for each RTO/ISO to develop and submit its compliance filing, but recognized that implementation of the reforms proposed in the NOPR could take more time due to the changes that may be necessary to each RTO’s/ISO’s modeling and dispatch software.  Therefore, the Commission proposed to allow 12 months from the date of the compliance filing for implementation of the proposed reforms to become effective.</w:t>
      </w:r>
    </w:p>
    <w:p w:rsidRPr="001E4583" w:rsidR="00512C48" w:rsidP="00512C48" w:rsidRDefault="00512C48" w14:paraId="27D65C41" w14:textId="518F7FC8">
      <w:pPr>
        <w:tabs>
          <w:tab w:val="num" w:pos="2160"/>
        </w:tabs>
        <w:rPr>
          <w:b/>
          <w:szCs w:val="26"/>
          <w:u w:val="single"/>
        </w:rPr>
      </w:pPr>
    </w:p>
    <w:p w:rsidRPr="004C6566" w:rsidR="00512C48" w:rsidP="00F520F9" w:rsidRDefault="00512C48" w14:paraId="77FD6192" w14:textId="60F0FB77">
      <w:pPr>
        <w:tabs>
          <w:tab w:val="left" w:pos="5220"/>
        </w:tabs>
        <w:rPr>
          <w:szCs w:val="26"/>
        </w:rPr>
      </w:pPr>
      <w:r w:rsidRPr="001E4583">
        <w:rPr>
          <w:szCs w:val="26"/>
        </w:rPr>
        <w:t xml:space="preserve">Most RTO/ISO commenters indicated that they would need to modify their existing rules to appropriately integrate DER aggregations.  One commenter stated that it does not require significant modifications because it already has developed many tools that can be adapted for </w:t>
      </w:r>
      <w:r w:rsidRPr="001E4583" w:rsidR="007B50EA">
        <w:rPr>
          <w:szCs w:val="26"/>
        </w:rPr>
        <w:t>DER</w:t>
      </w:r>
      <w:r w:rsidRPr="001E4583">
        <w:rPr>
          <w:szCs w:val="26"/>
        </w:rPr>
        <w:t xml:space="preserve"> aggregations, but that improved coordination with electric distribution providers may be a challenge.</w:t>
      </w:r>
      <w:r w:rsidRPr="001E4583" w:rsidR="00F520F9">
        <w:rPr>
          <w:szCs w:val="26"/>
        </w:rPr>
        <w:t xml:space="preserve">  </w:t>
      </w:r>
      <w:r w:rsidRPr="001E4583" w:rsidR="007B50EA">
        <w:rPr>
          <w:szCs w:val="26"/>
        </w:rPr>
        <w:t xml:space="preserve">Other </w:t>
      </w:r>
      <w:r w:rsidRPr="001E4583" w:rsidR="004127B5">
        <w:rPr>
          <w:szCs w:val="26"/>
        </w:rPr>
        <w:t>commenters suggested various methods for</w:t>
      </w:r>
      <w:r w:rsidRPr="001E4583" w:rsidR="00F520F9">
        <w:rPr>
          <w:szCs w:val="26"/>
        </w:rPr>
        <w:t xml:space="preserve"> addressing the complexities of including </w:t>
      </w:r>
      <w:r w:rsidRPr="001E4583" w:rsidR="004127B5">
        <w:rPr>
          <w:szCs w:val="26"/>
        </w:rPr>
        <w:t>DER aggregations in RTO/ISO markets</w:t>
      </w:r>
      <w:r w:rsidRPr="001E4583" w:rsidR="000C09AE">
        <w:rPr>
          <w:szCs w:val="26"/>
        </w:rPr>
        <w:t>.  For example, one commenter suggested undertaking a pilot project, and another commenter recommended ob</w:t>
      </w:r>
      <w:r w:rsidRPr="005F0C42" w:rsidR="004127B5">
        <w:rPr>
          <w:szCs w:val="26"/>
        </w:rPr>
        <w:t xml:space="preserve">serving and testing new technologies </w:t>
      </w:r>
      <w:r w:rsidRPr="004C6566" w:rsidR="000C09AE">
        <w:rPr>
          <w:szCs w:val="26"/>
        </w:rPr>
        <w:t>before DER integration.</w:t>
      </w:r>
    </w:p>
    <w:p w:rsidRPr="00162D91" w:rsidR="000C09AE" w:rsidP="000C09AE" w:rsidRDefault="000C09AE" w14:paraId="18266E0F" w14:textId="77777777">
      <w:pPr>
        <w:rPr>
          <w:szCs w:val="26"/>
        </w:rPr>
      </w:pPr>
    </w:p>
    <w:p w:rsidRPr="001E4583" w:rsidR="00512C48" w:rsidP="00512C48" w:rsidRDefault="00512C48" w14:paraId="491AC941" w14:textId="06B5C0A9">
      <w:pPr>
        <w:rPr>
          <w:szCs w:val="26"/>
        </w:rPr>
      </w:pPr>
      <w:r w:rsidRPr="001E4583">
        <w:rPr>
          <w:szCs w:val="26"/>
        </w:rPr>
        <w:t xml:space="preserve">After </w:t>
      </w:r>
      <w:r w:rsidRPr="001E4583" w:rsidR="000C09AE">
        <w:rPr>
          <w:szCs w:val="26"/>
        </w:rPr>
        <w:t>cons</w:t>
      </w:r>
      <w:r w:rsidRPr="001E4583" w:rsidR="00C23C88">
        <w:rPr>
          <w:szCs w:val="26"/>
        </w:rPr>
        <w:t>idering</w:t>
      </w:r>
      <w:r w:rsidRPr="001E4583" w:rsidR="000C09AE">
        <w:rPr>
          <w:szCs w:val="26"/>
        </w:rPr>
        <w:t xml:space="preserve"> the comments </w:t>
      </w:r>
      <w:r w:rsidRPr="001E4583">
        <w:rPr>
          <w:szCs w:val="26"/>
        </w:rPr>
        <w:t xml:space="preserve">submitted, </w:t>
      </w:r>
      <w:r w:rsidRPr="001E4583" w:rsidR="000C09AE">
        <w:rPr>
          <w:szCs w:val="26"/>
        </w:rPr>
        <w:t xml:space="preserve">the Commission decided </w:t>
      </w:r>
      <w:r w:rsidRPr="001E4583">
        <w:rPr>
          <w:szCs w:val="26"/>
        </w:rPr>
        <w:t>to provide RTOs/ISOs with additional time to submit their proposed tariff revisions in response to the final rule</w:t>
      </w:r>
      <w:r w:rsidRPr="001E4583" w:rsidR="009E7E5C">
        <w:rPr>
          <w:szCs w:val="26"/>
        </w:rPr>
        <w:t xml:space="preserve">. </w:t>
      </w:r>
      <w:r w:rsidRPr="001E4583">
        <w:rPr>
          <w:szCs w:val="26"/>
        </w:rPr>
        <w:t xml:space="preserve"> </w:t>
      </w:r>
      <w:r w:rsidRPr="001E4583" w:rsidR="009E7E5C">
        <w:rPr>
          <w:szCs w:val="26"/>
        </w:rPr>
        <w:t>T</w:t>
      </w:r>
      <w:r w:rsidRPr="001E4583" w:rsidR="000C09AE">
        <w:rPr>
          <w:szCs w:val="26"/>
        </w:rPr>
        <w:t xml:space="preserve">he Commission stated in the preamble of the final rule that </w:t>
      </w:r>
      <w:r w:rsidRPr="001E4583">
        <w:rPr>
          <w:szCs w:val="26"/>
        </w:rPr>
        <w:t xml:space="preserve">each RTO/ISO </w:t>
      </w:r>
      <w:r w:rsidRPr="001E4583" w:rsidR="000C09AE">
        <w:rPr>
          <w:szCs w:val="26"/>
        </w:rPr>
        <w:t>must</w:t>
      </w:r>
      <w:r w:rsidRPr="001E4583">
        <w:rPr>
          <w:szCs w:val="26"/>
        </w:rPr>
        <w:t xml:space="preserve"> file the tariff changes within 270 days of the publication date of </w:t>
      </w:r>
      <w:r w:rsidRPr="001E4583" w:rsidR="000C09AE">
        <w:rPr>
          <w:szCs w:val="26"/>
        </w:rPr>
        <w:t>the f</w:t>
      </w:r>
      <w:r w:rsidRPr="001E4583">
        <w:rPr>
          <w:szCs w:val="26"/>
        </w:rPr>
        <w:t xml:space="preserve">inal rule in the </w:t>
      </w:r>
      <w:r w:rsidRPr="001E4583">
        <w:rPr>
          <w:i/>
          <w:szCs w:val="26"/>
        </w:rPr>
        <w:t>Federal Register</w:t>
      </w:r>
      <w:r w:rsidRPr="001E4583">
        <w:rPr>
          <w:i/>
          <w:iCs/>
          <w:szCs w:val="26"/>
        </w:rPr>
        <w:t>.</w:t>
      </w:r>
      <w:r w:rsidRPr="001E4583">
        <w:rPr>
          <w:szCs w:val="26"/>
        </w:rPr>
        <w:t xml:space="preserve">  </w:t>
      </w:r>
      <w:r w:rsidRPr="001E4583" w:rsidR="001E349E">
        <w:rPr>
          <w:szCs w:val="26"/>
        </w:rPr>
        <w:t>The Commission stated that, t</w:t>
      </w:r>
      <w:r w:rsidRPr="001E4583">
        <w:rPr>
          <w:szCs w:val="26"/>
        </w:rPr>
        <w:t xml:space="preserve">o the extent that an RTO/ISO proposes to comply with any or all of the requirements in this final rule using its currently effective requirements for </w:t>
      </w:r>
      <w:r w:rsidRPr="001E4583" w:rsidR="000C09AE">
        <w:rPr>
          <w:szCs w:val="26"/>
        </w:rPr>
        <w:t>DERs</w:t>
      </w:r>
      <w:r w:rsidRPr="001E4583">
        <w:rPr>
          <w:szCs w:val="26"/>
        </w:rPr>
        <w:t>, it must demonstrate on compliance that its existing approach meets the requirements in th</w:t>
      </w:r>
      <w:r w:rsidRPr="001E4583" w:rsidR="006F312E">
        <w:rPr>
          <w:szCs w:val="26"/>
        </w:rPr>
        <w:t>e</w:t>
      </w:r>
      <w:r w:rsidRPr="001E4583">
        <w:rPr>
          <w:szCs w:val="26"/>
        </w:rPr>
        <w:t xml:space="preserve"> final rule.</w:t>
      </w:r>
    </w:p>
    <w:p w:rsidRPr="001E4583" w:rsidR="006F312E" w:rsidP="00512C48" w:rsidRDefault="006F312E" w14:paraId="2A24552A" w14:textId="77777777">
      <w:pPr>
        <w:rPr>
          <w:szCs w:val="26"/>
        </w:rPr>
      </w:pPr>
    </w:p>
    <w:p w:rsidRPr="001E4583" w:rsidR="00DF5525" w:rsidDel="00283AF1" w:rsidP="00ED185A" w:rsidRDefault="006F312E" w14:paraId="5CC982E4" w14:textId="7D161611">
      <w:pPr>
        <w:rPr>
          <w:szCs w:val="26"/>
        </w:rPr>
      </w:pPr>
      <w:r w:rsidRPr="001E4583">
        <w:rPr>
          <w:szCs w:val="26"/>
        </w:rPr>
        <w:t xml:space="preserve">In light of </w:t>
      </w:r>
      <w:r w:rsidRPr="001E4583" w:rsidR="00512C48">
        <w:rPr>
          <w:szCs w:val="26"/>
        </w:rPr>
        <w:t xml:space="preserve">comments submitted about the complexity of changes to RTO/ISO market rules and systems, </w:t>
      </w:r>
      <w:r w:rsidRPr="001E4583">
        <w:rPr>
          <w:szCs w:val="26"/>
        </w:rPr>
        <w:t>the Commission stated in the preamble of the final rule that implementation o</w:t>
      </w:r>
      <w:r w:rsidRPr="001E4583" w:rsidR="00512C48">
        <w:rPr>
          <w:szCs w:val="26"/>
        </w:rPr>
        <w:t xml:space="preserve">f the tariff provisions </w:t>
      </w:r>
      <w:r w:rsidRPr="001E4583">
        <w:rPr>
          <w:szCs w:val="26"/>
        </w:rPr>
        <w:t xml:space="preserve">will not be required </w:t>
      </w:r>
      <w:r w:rsidRPr="001E4583" w:rsidR="00512C48">
        <w:rPr>
          <w:szCs w:val="26"/>
        </w:rPr>
        <w:t xml:space="preserve">within 12 months from the date of the compliance filing, as proposed in the NOPR.  Instead, </w:t>
      </w:r>
      <w:r w:rsidRPr="001E4583" w:rsidR="008C61FB">
        <w:rPr>
          <w:szCs w:val="26"/>
        </w:rPr>
        <w:t xml:space="preserve">the Commission </w:t>
      </w:r>
      <w:r w:rsidRPr="001E4583" w:rsidR="00512C48">
        <w:rPr>
          <w:szCs w:val="26"/>
        </w:rPr>
        <w:t>will require each RTO/ISO to propose a reasonable implementation date, together with adequate support explaining how the proposal is appropriately tailored for its region and implements th</w:t>
      </w:r>
      <w:r w:rsidRPr="001E4583" w:rsidR="008C61FB">
        <w:rPr>
          <w:szCs w:val="26"/>
        </w:rPr>
        <w:t>e</w:t>
      </w:r>
      <w:r w:rsidRPr="001E4583" w:rsidR="00512C48">
        <w:rPr>
          <w:szCs w:val="26"/>
        </w:rPr>
        <w:t xml:space="preserve"> final rule in a timely manner.  The Commission will establish on compliance the effective date for each RTO’s/ISO’s compliance filing.</w:t>
      </w:r>
      <w:r w:rsidRPr="001E4583" w:rsidR="00DF5525">
        <w:rPr>
          <w:szCs w:val="26"/>
        </w:rPr>
        <w:t xml:space="preserve"> </w:t>
      </w:r>
    </w:p>
    <w:p w:rsidRPr="001E4583" w:rsidR="00BB6095" w:rsidP="00BB6095" w:rsidRDefault="00BB6095" w14:paraId="2386E560" w14:textId="305551BD">
      <w:pPr>
        <w:pStyle w:val="FERCparanumber"/>
        <w:numPr>
          <w:ilvl w:val="0"/>
          <w:numId w:val="0"/>
        </w:numPr>
        <w:rPr>
          <w:sz w:val="24"/>
          <w:szCs w:val="26"/>
        </w:rPr>
      </w:pPr>
    </w:p>
    <w:p w:rsidRPr="001E4583" w:rsidR="009D6B6D" w:rsidP="001D2EC1" w:rsidRDefault="00BB6095" w14:paraId="091A69F9" w14:textId="77777777">
      <w:pPr>
        <w:pStyle w:val="FERCparanumber"/>
        <w:numPr>
          <w:ilvl w:val="0"/>
          <w:numId w:val="7"/>
        </w:numPr>
        <w:rPr>
          <w:sz w:val="24"/>
          <w:szCs w:val="26"/>
        </w:rPr>
      </w:pPr>
      <w:r w:rsidRPr="001E4583">
        <w:rPr>
          <w:b/>
          <w:sz w:val="24"/>
          <w:szCs w:val="26"/>
        </w:rPr>
        <w:t>EXPLAIN ANY PAYMENT OR GIFTS TO RESPONDENTS</w:t>
      </w:r>
    </w:p>
    <w:p w:rsidRPr="001E4583" w:rsidR="00BB6095" w:rsidP="00BB6095" w:rsidRDefault="00BB6095" w14:paraId="55601D9E" w14:textId="77777777">
      <w:pPr>
        <w:pStyle w:val="FERCparanumber"/>
        <w:numPr>
          <w:ilvl w:val="0"/>
          <w:numId w:val="0"/>
        </w:numPr>
        <w:rPr>
          <w:b/>
          <w:sz w:val="24"/>
          <w:szCs w:val="26"/>
        </w:rPr>
      </w:pPr>
    </w:p>
    <w:p w:rsidRPr="001E4583" w:rsidR="00BB6095" w:rsidP="00BB6095" w:rsidRDefault="00BB6095" w14:paraId="200271A7" w14:textId="71510E46">
      <w:pPr>
        <w:pStyle w:val="FERCparanumber"/>
        <w:numPr>
          <w:ilvl w:val="0"/>
          <w:numId w:val="0"/>
        </w:numPr>
        <w:rPr>
          <w:sz w:val="24"/>
          <w:szCs w:val="26"/>
        </w:rPr>
      </w:pPr>
      <w:r w:rsidRPr="001E4583">
        <w:rPr>
          <w:sz w:val="24"/>
          <w:szCs w:val="26"/>
        </w:rPr>
        <w:t xml:space="preserve">There are no payments or gifts to respondents </w:t>
      </w:r>
      <w:r w:rsidRPr="001E4583" w:rsidR="007B025D">
        <w:rPr>
          <w:sz w:val="24"/>
          <w:szCs w:val="26"/>
        </w:rPr>
        <w:t>of</w:t>
      </w:r>
      <w:r w:rsidRPr="001E4583">
        <w:rPr>
          <w:sz w:val="24"/>
          <w:szCs w:val="26"/>
        </w:rPr>
        <w:t xml:space="preserve"> this collection.</w:t>
      </w:r>
    </w:p>
    <w:p w:rsidRPr="001E4583" w:rsidR="001C0D4B" w:rsidP="00BB6095" w:rsidRDefault="001C0D4B" w14:paraId="4D9D9A9A" w14:textId="77777777">
      <w:pPr>
        <w:pStyle w:val="FERCparanumber"/>
        <w:numPr>
          <w:ilvl w:val="0"/>
          <w:numId w:val="0"/>
        </w:numPr>
        <w:rPr>
          <w:sz w:val="24"/>
          <w:szCs w:val="26"/>
        </w:rPr>
      </w:pPr>
    </w:p>
    <w:p w:rsidRPr="001E4583" w:rsidR="009D6B6D" w:rsidP="001D2EC1" w:rsidRDefault="00BB6095" w14:paraId="18CEDA1A" w14:textId="77777777">
      <w:pPr>
        <w:pStyle w:val="FERCparanumber"/>
        <w:numPr>
          <w:ilvl w:val="0"/>
          <w:numId w:val="7"/>
        </w:numPr>
        <w:rPr>
          <w:sz w:val="24"/>
          <w:szCs w:val="26"/>
        </w:rPr>
      </w:pPr>
      <w:r w:rsidRPr="001E4583">
        <w:rPr>
          <w:b/>
          <w:sz w:val="24"/>
          <w:szCs w:val="26"/>
        </w:rPr>
        <w:t>DESCRIBE ANY ASSURANCE OF CONFIDENTIALITY PROVIDED TO RESPONDENTS</w:t>
      </w:r>
    </w:p>
    <w:p w:rsidRPr="001E4583" w:rsidR="00BB6095" w:rsidP="00BB6095" w:rsidRDefault="00BB6095" w14:paraId="5291E765" w14:textId="77777777">
      <w:pPr>
        <w:pStyle w:val="FERCparanumber"/>
        <w:numPr>
          <w:ilvl w:val="0"/>
          <w:numId w:val="0"/>
        </w:numPr>
        <w:rPr>
          <w:b/>
          <w:sz w:val="24"/>
          <w:szCs w:val="26"/>
        </w:rPr>
      </w:pPr>
    </w:p>
    <w:p w:rsidRPr="001E4583" w:rsidR="000541E0" w:rsidP="000541E0" w:rsidRDefault="004D4C7B" w14:paraId="748CD524" w14:textId="15050545">
      <w:pPr>
        <w:rPr>
          <w:szCs w:val="26"/>
        </w:rPr>
      </w:pPr>
      <w:r w:rsidRPr="001E4583">
        <w:rPr>
          <w:szCs w:val="26"/>
        </w:rPr>
        <w:t>The Commission does not consider the information collecte</w:t>
      </w:r>
      <w:r w:rsidRPr="001E4583" w:rsidR="009049AF">
        <w:rPr>
          <w:szCs w:val="26"/>
        </w:rPr>
        <w:t xml:space="preserve">d in </w:t>
      </w:r>
      <w:r w:rsidRPr="001E4583" w:rsidR="003151DF">
        <w:rPr>
          <w:szCs w:val="26"/>
        </w:rPr>
        <w:t>FERC-516H</w:t>
      </w:r>
      <w:r w:rsidRPr="001E4583">
        <w:rPr>
          <w:szCs w:val="26"/>
        </w:rPr>
        <w:t xml:space="preserve"> filings to be </w:t>
      </w:r>
      <w:r w:rsidRPr="001E4583">
        <w:rPr>
          <w:szCs w:val="26"/>
        </w:rPr>
        <w:lastRenderedPageBreak/>
        <w:t>confidential</w:t>
      </w:r>
      <w:r w:rsidRPr="001E4583" w:rsidR="00371943">
        <w:rPr>
          <w:szCs w:val="26"/>
        </w:rPr>
        <w:t>.</w:t>
      </w:r>
    </w:p>
    <w:p w:rsidRPr="001E4583" w:rsidR="009049AF" w:rsidP="000541E0" w:rsidRDefault="009049AF" w14:paraId="4705E9B4" w14:textId="77777777">
      <w:pPr>
        <w:rPr>
          <w:szCs w:val="26"/>
        </w:rPr>
      </w:pPr>
    </w:p>
    <w:p w:rsidRPr="001E4583" w:rsidR="009049AF" w:rsidP="000541E0" w:rsidRDefault="009049AF" w14:paraId="48E36C9E" w14:textId="7CA7E222">
      <w:pPr>
        <w:rPr>
          <w:szCs w:val="26"/>
        </w:rPr>
      </w:pPr>
      <w:r w:rsidRPr="001E4583">
        <w:rPr>
          <w:szCs w:val="26"/>
        </w:rPr>
        <w:t>Generally, the Commission does not consider this information to be confidential.  If an entity chooses to seek confidential treatment of the information, they must submit a request for the Commission to treat this information as confidential and non-public, consistent with 18 CFR 388.112.</w:t>
      </w:r>
    </w:p>
    <w:p w:rsidRPr="001E4583" w:rsidR="00BB6095" w:rsidP="00BB6095" w:rsidRDefault="00BB6095" w14:paraId="7FB64A9E" w14:textId="77777777">
      <w:pPr>
        <w:pStyle w:val="FERCparanumber"/>
        <w:numPr>
          <w:ilvl w:val="0"/>
          <w:numId w:val="0"/>
        </w:numPr>
        <w:rPr>
          <w:sz w:val="24"/>
          <w:szCs w:val="26"/>
        </w:rPr>
      </w:pPr>
    </w:p>
    <w:p w:rsidRPr="001E4583" w:rsidR="009D6B6D" w:rsidP="001D2EC1" w:rsidRDefault="00BB6095" w14:paraId="0F599F44" w14:textId="6387DEE9">
      <w:pPr>
        <w:pStyle w:val="FERCparanumber"/>
        <w:numPr>
          <w:ilvl w:val="0"/>
          <w:numId w:val="7"/>
        </w:numPr>
        <w:rPr>
          <w:sz w:val="24"/>
          <w:szCs w:val="26"/>
        </w:rPr>
      </w:pPr>
      <w:r w:rsidRPr="001E4583">
        <w:rPr>
          <w:b/>
          <w:sz w:val="24"/>
          <w:szCs w:val="26"/>
        </w:rPr>
        <w:t>PROVIDE ADDITIONAL JUSTIFICATION FOR ANY QUESTIONS OF A SENSITIVE NATURE</w:t>
      </w:r>
      <w:r w:rsidRPr="001E4583" w:rsidR="00860C58">
        <w:rPr>
          <w:b/>
          <w:sz w:val="24"/>
          <w:szCs w:val="26"/>
        </w:rPr>
        <w:t>, SUCH AS SEXUAL BEHAVIOR AND ATTITUDES, RELIGIOUS BELIEFS, AND OTHER MATTERS THAT ARE COMMONLY CONSIDERED PRIVATE</w:t>
      </w:r>
    </w:p>
    <w:p w:rsidRPr="001E4583" w:rsidR="00BB6095" w:rsidP="00BB6095" w:rsidRDefault="00BB6095" w14:paraId="7C3F9D96" w14:textId="77777777">
      <w:pPr>
        <w:pStyle w:val="FERCparanumber"/>
        <w:numPr>
          <w:ilvl w:val="0"/>
          <w:numId w:val="0"/>
        </w:numPr>
        <w:rPr>
          <w:b/>
          <w:sz w:val="24"/>
          <w:szCs w:val="26"/>
        </w:rPr>
      </w:pPr>
    </w:p>
    <w:p w:rsidRPr="001E4583" w:rsidR="00BB6095" w:rsidP="00BB6095" w:rsidRDefault="00BB6095" w14:paraId="2F8D71F0" w14:textId="77777777">
      <w:pPr>
        <w:widowControl/>
        <w:rPr>
          <w:b/>
          <w:szCs w:val="26"/>
        </w:rPr>
      </w:pPr>
      <w:r w:rsidRPr="001E4583">
        <w:rPr>
          <w:szCs w:val="26"/>
        </w:rPr>
        <w:t xml:space="preserve">There are no questions of a sensitive nature associated with the reporting requirements.  </w:t>
      </w:r>
    </w:p>
    <w:p w:rsidRPr="001E4583" w:rsidR="00BB6095" w:rsidP="00BB6095" w:rsidRDefault="00BB6095" w14:paraId="6058D422" w14:textId="77777777">
      <w:pPr>
        <w:pStyle w:val="FERCparanumber"/>
        <w:numPr>
          <w:ilvl w:val="0"/>
          <w:numId w:val="0"/>
        </w:numPr>
        <w:rPr>
          <w:sz w:val="24"/>
          <w:szCs w:val="26"/>
        </w:rPr>
      </w:pPr>
    </w:p>
    <w:p w:rsidRPr="001E4583" w:rsidR="00BB6095" w:rsidP="001D2EC1" w:rsidRDefault="00BB6095" w14:paraId="4ACF1549" w14:textId="788C12E9">
      <w:pPr>
        <w:pStyle w:val="FERCparanumber"/>
        <w:numPr>
          <w:ilvl w:val="0"/>
          <w:numId w:val="7"/>
        </w:numPr>
        <w:rPr>
          <w:sz w:val="24"/>
          <w:szCs w:val="26"/>
        </w:rPr>
      </w:pPr>
      <w:r w:rsidRPr="001E4583">
        <w:rPr>
          <w:b/>
          <w:sz w:val="24"/>
          <w:szCs w:val="26"/>
        </w:rPr>
        <w:t>ESTIMATED BURDEN COLLECTION OF INFORMATION</w:t>
      </w:r>
    </w:p>
    <w:p w:rsidRPr="001E4583" w:rsidR="00851214" w:rsidP="00851214" w:rsidRDefault="00851214" w14:paraId="30BE609E" w14:textId="128D5D80">
      <w:pPr>
        <w:pStyle w:val="FERCparanumber"/>
        <w:numPr>
          <w:ilvl w:val="0"/>
          <w:numId w:val="0"/>
        </w:numPr>
        <w:ind w:left="72"/>
        <w:rPr>
          <w:b/>
          <w:sz w:val="24"/>
          <w:szCs w:val="26"/>
        </w:rPr>
      </w:pPr>
    </w:p>
    <w:p w:rsidRPr="001E4583" w:rsidR="004F2F74" w:rsidP="00FF7229" w:rsidRDefault="00851214" w14:paraId="1A1F5E30" w14:textId="6B28BB94">
      <w:pPr>
        <w:pStyle w:val="FERCparanumber"/>
        <w:numPr>
          <w:ilvl w:val="0"/>
          <w:numId w:val="0"/>
        </w:numPr>
        <w:ind w:left="72"/>
        <w:rPr>
          <w:sz w:val="24"/>
          <w:szCs w:val="26"/>
        </w:rPr>
      </w:pPr>
      <w:r w:rsidRPr="001E4583">
        <w:rPr>
          <w:sz w:val="24"/>
          <w:szCs w:val="26"/>
        </w:rPr>
        <w:t>The Commission estimates the total annual burden</w:t>
      </w:r>
      <w:r w:rsidRPr="001E4583">
        <w:rPr>
          <w:rStyle w:val="FootnoteReference"/>
          <w:sz w:val="24"/>
          <w:szCs w:val="26"/>
          <w:vertAlign w:val="superscript"/>
        </w:rPr>
        <w:footnoteReference w:id="8"/>
      </w:r>
      <w:r w:rsidRPr="001E4583">
        <w:rPr>
          <w:sz w:val="24"/>
          <w:szCs w:val="26"/>
        </w:rPr>
        <w:t xml:space="preserve"> and cost</w:t>
      </w:r>
      <w:r w:rsidRPr="001E4583">
        <w:rPr>
          <w:b/>
          <w:sz w:val="24"/>
          <w:szCs w:val="26"/>
          <w:vertAlign w:val="superscript"/>
        </w:rPr>
        <w:footnoteReference w:id="9"/>
      </w:r>
      <w:r w:rsidRPr="001E4583">
        <w:rPr>
          <w:sz w:val="24"/>
          <w:szCs w:val="26"/>
        </w:rPr>
        <w:t xml:space="preserve"> for this IC in the following table:</w:t>
      </w:r>
    </w:p>
    <w:p w:rsidRPr="001E4583" w:rsidR="009F1C7A" w:rsidP="00BB6095" w:rsidRDefault="009F1C7A" w14:paraId="06B3B050" w14:textId="77777777">
      <w:pPr>
        <w:pStyle w:val="FERCparanumber"/>
        <w:numPr>
          <w:ilvl w:val="0"/>
          <w:numId w:val="0"/>
        </w:numPr>
        <w:rPr>
          <w:sz w:val="24"/>
          <w:szCs w:val="26"/>
        </w:rPr>
      </w:pPr>
    </w:p>
    <w:tbl>
      <w:tblPr>
        <w:tblStyle w:val="TableGrid"/>
        <w:tblW w:w="0" w:type="auto"/>
        <w:tblLook w:val="04A0" w:firstRow="1" w:lastRow="0" w:firstColumn="1" w:lastColumn="0" w:noHBand="0" w:noVBand="1"/>
      </w:tblPr>
      <w:tblGrid>
        <w:gridCol w:w="1264"/>
        <w:gridCol w:w="1515"/>
        <w:gridCol w:w="1423"/>
        <w:gridCol w:w="1264"/>
        <w:gridCol w:w="1171"/>
        <w:gridCol w:w="1290"/>
        <w:gridCol w:w="1423"/>
      </w:tblGrid>
      <w:tr w:rsidRPr="001E4583" w:rsidR="000251AF" w:rsidTr="000251AF" w14:paraId="47593D87" w14:textId="77777777">
        <w:tc>
          <w:tcPr>
            <w:tcW w:w="9350" w:type="dxa"/>
            <w:gridSpan w:val="7"/>
          </w:tcPr>
          <w:p w:rsidRPr="004C6566" w:rsidR="000251AF" w:rsidP="006F7CDB" w:rsidRDefault="000251AF" w14:paraId="5FF7FAB1" w14:textId="58F4A65E">
            <w:pPr>
              <w:pStyle w:val="FERCparanumber"/>
              <w:numPr>
                <w:ilvl w:val="0"/>
                <w:numId w:val="0"/>
              </w:numPr>
              <w:jc w:val="center"/>
              <w:rPr>
                <w:b/>
                <w:bCs/>
                <w:sz w:val="24"/>
                <w:szCs w:val="26"/>
              </w:rPr>
            </w:pPr>
            <w:r w:rsidRPr="005F0C42">
              <w:rPr>
                <w:b/>
                <w:bCs/>
                <w:sz w:val="24"/>
                <w:szCs w:val="26"/>
              </w:rPr>
              <w:t>Table 12-1:  Additions to FERC-516H, as Implemented in the Final Rule in Docket No. RM18-9-000</w:t>
            </w:r>
          </w:p>
        </w:tc>
      </w:tr>
      <w:tr w:rsidRPr="001E4583" w:rsidR="00540437" w:rsidTr="007C6654" w14:paraId="069EA383" w14:textId="77777777">
        <w:tc>
          <w:tcPr>
            <w:tcW w:w="1295" w:type="dxa"/>
          </w:tcPr>
          <w:p w:rsidRPr="001E4583" w:rsidR="00540437" w:rsidP="006F7CDB" w:rsidRDefault="00540437" w14:paraId="46386DA2" w14:textId="40478C35">
            <w:pPr>
              <w:pStyle w:val="FERCparanumber"/>
              <w:numPr>
                <w:ilvl w:val="0"/>
                <w:numId w:val="0"/>
              </w:numPr>
              <w:jc w:val="center"/>
              <w:rPr>
                <w:b/>
                <w:bCs/>
                <w:sz w:val="24"/>
                <w:szCs w:val="26"/>
              </w:rPr>
            </w:pPr>
            <w:r w:rsidRPr="001E4583">
              <w:rPr>
                <w:b/>
                <w:bCs/>
                <w:sz w:val="24"/>
                <w:szCs w:val="26"/>
              </w:rPr>
              <w:t>A.</w:t>
            </w:r>
          </w:p>
          <w:p w:rsidRPr="001E4583" w:rsidR="00540437" w:rsidP="006F7CDB" w:rsidRDefault="00540437" w14:paraId="13DAABF3" w14:textId="2A1A05D1">
            <w:pPr>
              <w:pStyle w:val="FERCparanumber"/>
              <w:numPr>
                <w:ilvl w:val="0"/>
                <w:numId w:val="0"/>
              </w:numPr>
              <w:jc w:val="center"/>
              <w:rPr>
                <w:b/>
                <w:bCs/>
                <w:sz w:val="24"/>
                <w:szCs w:val="26"/>
              </w:rPr>
            </w:pPr>
            <w:r w:rsidRPr="001E4583">
              <w:rPr>
                <w:b/>
                <w:bCs/>
                <w:sz w:val="24"/>
                <w:szCs w:val="26"/>
              </w:rPr>
              <w:t>Types of Responses</w:t>
            </w:r>
          </w:p>
          <w:p w:rsidRPr="001E4583" w:rsidR="00540437" w:rsidP="006F7CDB" w:rsidRDefault="00540437" w14:paraId="50AD7B4F" w14:textId="7F8FAEF8">
            <w:pPr>
              <w:pStyle w:val="FERCparanumber"/>
              <w:numPr>
                <w:ilvl w:val="0"/>
                <w:numId w:val="0"/>
              </w:numPr>
              <w:jc w:val="center"/>
              <w:rPr>
                <w:b/>
                <w:bCs/>
                <w:sz w:val="24"/>
                <w:szCs w:val="26"/>
              </w:rPr>
            </w:pPr>
          </w:p>
        </w:tc>
        <w:tc>
          <w:tcPr>
            <w:tcW w:w="1540" w:type="dxa"/>
          </w:tcPr>
          <w:p w:rsidRPr="001E4583" w:rsidR="00540437" w:rsidP="006F7CDB" w:rsidRDefault="00540437" w14:paraId="0EE2EB02" w14:textId="77777777">
            <w:pPr>
              <w:pStyle w:val="FERCparanumber"/>
              <w:numPr>
                <w:ilvl w:val="0"/>
                <w:numId w:val="0"/>
              </w:numPr>
              <w:jc w:val="center"/>
              <w:rPr>
                <w:b/>
                <w:bCs/>
                <w:sz w:val="24"/>
                <w:szCs w:val="26"/>
              </w:rPr>
            </w:pPr>
            <w:r w:rsidRPr="001E4583">
              <w:rPr>
                <w:b/>
                <w:bCs/>
                <w:sz w:val="24"/>
                <w:szCs w:val="26"/>
              </w:rPr>
              <w:t>B.</w:t>
            </w:r>
          </w:p>
          <w:p w:rsidRPr="001E4583" w:rsidR="00540437" w:rsidP="006F7CDB" w:rsidRDefault="00540437" w14:paraId="2A605DBE" w14:textId="4DF89B57">
            <w:pPr>
              <w:pStyle w:val="FERCparanumber"/>
              <w:numPr>
                <w:ilvl w:val="0"/>
                <w:numId w:val="0"/>
              </w:numPr>
              <w:jc w:val="center"/>
              <w:rPr>
                <w:b/>
                <w:bCs/>
                <w:sz w:val="24"/>
                <w:szCs w:val="26"/>
              </w:rPr>
            </w:pPr>
            <w:r w:rsidRPr="001E4583">
              <w:rPr>
                <w:b/>
                <w:bCs/>
                <w:sz w:val="24"/>
                <w:szCs w:val="26"/>
              </w:rPr>
              <w:t>No. of Respondents</w:t>
            </w:r>
          </w:p>
        </w:tc>
        <w:tc>
          <w:tcPr>
            <w:tcW w:w="1430" w:type="dxa"/>
          </w:tcPr>
          <w:p w:rsidRPr="001E4583" w:rsidR="00540437" w:rsidP="006F7CDB" w:rsidRDefault="00540437" w14:paraId="7DFA24A6" w14:textId="77777777">
            <w:pPr>
              <w:pStyle w:val="FERCparanumber"/>
              <w:numPr>
                <w:ilvl w:val="0"/>
                <w:numId w:val="0"/>
              </w:numPr>
              <w:jc w:val="center"/>
              <w:rPr>
                <w:b/>
                <w:bCs/>
                <w:sz w:val="24"/>
                <w:szCs w:val="26"/>
              </w:rPr>
            </w:pPr>
            <w:r w:rsidRPr="001E4583">
              <w:rPr>
                <w:b/>
                <w:bCs/>
                <w:sz w:val="24"/>
                <w:szCs w:val="26"/>
              </w:rPr>
              <w:t>C.</w:t>
            </w:r>
          </w:p>
          <w:p w:rsidRPr="001E4583" w:rsidR="00540437" w:rsidP="006F7CDB" w:rsidRDefault="00540437" w14:paraId="78F203CD" w14:textId="05D22F19">
            <w:pPr>
              <w:pStyle w:val="FERCparanumber"/>
              <w:numPr>
                <w:ilvl w:val="0"/>
                <w:numId w:val="0"/>
              </w:numPr>
              <w:jc w:val="center"/>
              <w:rPr>
                <w:b/>
                <w:bCs/>
                <w:sz w:val="24"/>
                <w:szCs w:val="26"/>
              </w:rPr>
            </w:pPr>
            <w:r w:rsidRPr="001E4583">
              <w:rPr>
                <w:b/>
                <w:bCs/>
                <w:sz w:val="24"/>
                <w:szCs w:val="26"/>
              </w:rPr>
              <w:t>Avg. No. of Responses per Respondent</w:t>
            </w:r>
          </w:p>
        </w:tc>
        <w:tc>
          <w:tcPr>
            <w:tcW w:w="1270" w:type="dxa"/>
          </w:tcPr>
          <w:p w:rsidRPr="001E4583" w:rsidR="00540437" w:rsidP="006F7CDB" w:rsidRDefault="00540437" w14:paraId="41104229" w14:textId="45EB8FA2">
            <w:pPr>
              <w:pStyle w:val="FERCparanumber"/>
              <w:numPr>
                <w:ilvl w:val="0"/>
                <w:numId w:val="0"/>
              </w:numPr>
              <w:jc w:val="center"/>
              <w:rPr>
                <w:b/>
                <w:bCs/>
                <w:sz w:val="24"/>
                <w:szCs w:val="26"/>
              </w:rPr>
            </w:pPr>
            <w:r w:rsidRPr="001E4583">
              <w:rPr>
                <w:b/>
                <w:bCs/>
                <w:sz w:val="24"/>
                <w:szCs w:val="26"/>
              </w:rPr>
              <w:t>D.</w:t>
            </w:r>
          </w:p>
          <w:p w:rsidRPr="001E4583" w:rsidR="00540437" w:rsidP="006F7CDB" w:rsidRDefault="00540437" w14:paraId="4AE86A27" w14:textId="77777777">
            <w:pPr>
              <w:pStyle w:val="FERCparanumber"/>
              <w:numPr>
                <w:ilvl w:val="0"/>
                <w:numId w:val="0"/>
              </w:numPr>
              <w:jc w:val="center"/>
              <w:rPr>
                <w:b/>
                <w:bCs/>
                <w:sz w:val="24"/>
                <w:szCs w:val="26"/>
              </w:rPr>
            </w:pPr>
            <w:r w:rsidRPr="001E4583">
              <w:rPr>
                <w:b/>
                <w:bCs/>
                <w:sz w:val="24"/>
                <w:szCs w:val="26"/>
              </w:rPr>
              <w:t>Total No. of Responses</w:t>
            </w:r>
          </w:p>
          <w:p w:rsidRPr="001E4583" w:rsidR="00540437" w:rsidP="006F7CDB" w:rsidRDefault="00540437" w14:paraId="656484D9" w14:textId="5B3C5329">
            <w:pPr>
              <w:pStyle w:val="FERCparanumber"/>
              <w:numPr>
                <w:ilvl w:val="0"/>
                <w:numId w:val="0"/>
              </w:numPr>
              <w:jc w:val="center"/>
              <w:rPr>
                <w:b/>
                <w:bCs/>
                <w:sz w:val="24"/>
                <w:szCs w:val="26"/>
              </w:rPr>
            </w:pPr>
            <w:r w:rsidRPr="001E4583">
              <w:rPr>
                <w:b/>
                <w:bCs/>
                <w:sz w:val="24"/>
                <w:szCs w:val="26"/>
              </w:rPr>
              <w:t>(Col. B x Col. C)</w:t>
            </w:r>
          </w:p>
        </w:tc>
        <w:tc>
          <w:tcPr>
            <w:tcW w:w="1179" w:type="dxa"/>
          </w:tcPr>
          <w:p w:rsidRPr="001E4583" w:rsidR="00540437" w:rsidP="006F7CDB" w:rsidRDefault="00540437" w14:paraId="5241A0AD" w14:textId="77777777">
            <w:pPr>
              <w:pStyle w:val="FERCparanumber"/>
              <w:numPr>
                <w:ilvl w:val="0"/>
                <w:numId w:val="0"/>
              </w:numPr>
              <w:jc w:val="center"/>
              <w:rPr>
                <w:b/>
                <w:bCs/>
                <w:sz w:val="24"/>
                <w:szCs w:val="26"/>
              </w:rPr>
            </w:pPr>
            <w:r w:rsidRPr="001E4583">
              <w:rPr>
                <w:b/>
                <w:bCs/>
                <w:sz w:val="24"/>
                <w:szCs w:val="26"/>
              </w:rPr>
              <w:t>E.</w:t>
            </w:r>
          </w:p>
          <w:p w:rsidRPr="001E4583" w:rsidR="00540437" w:rsidP="006F7CDB" w:rsidRDefault="00540437" w14:paraId="3FE39CF9" w14:textId="5A210AED">
            <w:pPr>
              <w:pStyle w:val="FERCparanumber"/>
              <w:numPr>
                <w:ilvl w:val="0"/>
                <w:numId w:val="0"/>
              </w:numPr>
              <w:jc w:val="center"/>
              <w:rPr>
                <w:b/>
                <w:bCs/>
                <w:sz w:val="24"/>
                <w:szCs w:val="26"/>
              </w:rPr>
            </w:pPr>
            <w:r w:rsidRPr="001E4583">
              <w:rPr>
                <w:b/>
                <w:bCs/>
                <w:sz w:val="24"/>
                <w:szCs w:val="26"/>
              </w:rPr>
              <w:t>Avg. Burden Hours and Cost per Response</w:t>
            </w:r>
          </w:p>
        </w:tc>
        <w:tc>
          <w:tcPr>
            <w:tcW w:w="1206" w:type="dxa"/>
          </w:tcPr>
          <w:p w:rsidRPr="001E4583" w:rsidR="00540437" w:rsidP="006F7CDB" w:rsidRDefault="00540437" w14:paraId="3FF262E4" w14:textId="77777777">
            <w:pPr>
              <w:pStyle w:val="FERCparanumber"/>
              <w:numPr>
                <w:ilvl w:val="0"/>
                <w:numId w:val="0"/>
              </w:numPr>
              <w:jc w:val="center"/>
              <w:rPr>
                <w:b/>
                <w:bCs/>
                <w:sz w:val="24"/>
                <w:szCs w:val="26"/>
              </w:rPr>
            </w:pPr>
            <w:r w:rsidRPr="001E4583">
              <w:rPr>
                <w:b/>
                <w:bCs/>
                <w:sz w:val="24"/>
                <w:szCs w:val="26"/>
              </w:rPr>
              <w:t>F.</w:t>
            </w:r>
          </w:p>
          <w:p w:rsidRPr="001E4583" w:rsidR="00540437" w:rsidP="006F7CDB" w:rsidRDefault="00540437" w14:paraId="3B7017DB" w14:textId="77777777">
            <w:pPr>
              <w:pStyle w:val="FERCparanumber"/>
              <w:numPr>
                <w:ilvl w:val="0"/>
                <w:numId w:val="0"/>
              </w:numPr>
              <w:jc w:val="center"/>
              <w:rPr>
                <w:b/>
                <w:bCs/>
                <w:sz w:val="24"/>
                <w:szCs w:val="26"/>
              </w:rPr>
            </w:pPr>
            <w:r w:rsidRPr="001E4583">
              <w:rPr>
                <w:b/>
                <w:bCs/>
                <w:sz w:val="24"/>
                <w:szCs w:val="26"/>
              </w:rPr>
              <w:t>Total Annual Burden Hours and Total Annual Cost</w:t>
            </w:r>
          </w:p>
          <w:p w:rsidRPr="001E4583" w:rsidR="00540437" w:rsidP="006F7CDB" w:rsidRDefault="00540437" w14:paraId="026AB24D" w14:textId="11294F8E">
            <w:pPr>
              <w:pStyle w:val="FERCparanumber"/>
              <w:numPr>
                <w:ilvl w:val="0"/>
                <w:numId w:val="0"/>
              </w:numPr>
              <w:jc w:val="center"/>
              <w:rPr>
                <w:b/>
                <w:bCs/>
                <w:sz w:val="24"/>
                <w:szCs w:val="26"/>
              </w:rPr>
            </w:pPr>
            <w:r w:rsidRPr="001E4583">
              <w:rPr>
                <w:b/>
                <w:bCs/>
                <w:sz w:val="24"/>
                <w:szCs w:val="26"/>
              </w:rPr>
              <w:t xml:space="preserve">(Col. D x </w:t>
            </w:r>
          </w:p>
          <w:p w:rsidRPr="001E4583" w:rsidR="00540437" w:rsidP="006F7CDB" w:rsidRDefault="00540437" w14:paraId="2C857B63" w14:textId="29C54D0A">
            <w:pPr>
              <w:pStyle w:val="FERCparanumber"/>
              <w:numPr>
                <w:ilvl w:val="0"/>
                <w:numId w:val="0"/>
              </w:numPr>
              <w:jc w:val="center"/>
              <w:rPr>
                <w:b/>
                <w:bCs/>
                <w:sz w:val="24"/>
                <w:szCs w:val="26"/>
              </w:rPr>
            </w:pPr>
            <w:r w:rsidRPr="001E4583">
              <w:rPr>
                <w:b/>
                <w:bCs/>
                <w:sz w:val="24"/>
                <w:szCs w:val="26"/>
              </w:rPr>
              <w:t>Col. E)</w:t>
            </w:r>
          </w:p>
        </w:tc>
        <w:tc>
          <w:tcPr>
            <w:tcW w:w="1430" w:type="dxa"/>
          </w:tcPr>
          <w:p w:rsidRPr="001E4583" w:rsidR="00540437" w:rsidP="006F7CDB" w:rsidRDefault="00540437" w14:paraId="44543E4B" w14:textId="77777777">
            <w:pPr>
              <w:pStyle w:val="FERCparanumber"/>
              <w:numPr>
                <w:ilvl w:val="0"/>
                <w:numId w:val="0"/>
              </w:numPr>
              <w:jc w:val="center"/>
              <w:rPr>
                <w:b/>
                <w:bCs/>
                <w:sz w:val="24"/>
                <w:szCs w:val="26"/>
              </w:rPr>
            </w:pPr>
            <w:r w:rsidRPr="001E4583">
              <w:rPr>
                <w:b/>
                <w:bCs/>
                <w:sz w:val="24"/>
                <w:szCs w:val="26"/>
              </w:rPr>
              <w:t>G.</w:t>
            </w:r>
          </w:p>
          <w:p w:rsidRPr="001E4583" w:rsidR="00540437" w:rsidP="006F7CDB" w:rsidRDefault="00540437" w14:paraId="2E1B36B1" w14:textId="77777777">
            <w:pPr>
              <w:pStyle w:val="FERCparanumber"/>
              <w:numPr>
                <w:ilvl w:val="0"/>
                <w:numId w:val="0"/>
              </w:numPr>
              <w:jc w:val="center"/>
              <w:rPr>
                <w:b/>
                <w:bCs/>
                <w:sz w:val="24"/>
                <w:szCs w:val="26"/>
              </w:rPr>
            </w:pPr>
            <w:r w:rsidRPr="001E4583">
              <w:rPr>
                <w:b/>
                <w:bCs/>
                <w:sz w:val="24"/>
                <w:szCs w:val="26"/>
              </w:rPr>
              <w:t>Cost per Respondent</w:t>
            </w:r>
          </w:p>
          <w:p w:rsidRPr="001E4583" w:rsidR="00540437" w:rsidP="006F7CDB" w:rsidRDefault="00540437" w14:paraId="5C49646D" w14:textId="470BD044">
            <w:pPr>
              <w:pStyle w:val="FERCparanumber"/>
              <w:numPr>
                <w:ilvl w:val="0"/>
                <w:numId w:val="0"/>
              </w:numPr>
              <w:jc w:val="center"/>
              <w:rPr>
                <w:b/>
                <w:bCs/>
                <w:sz w:val="24"/>
                <w:szCs w:val="26"/>
              </w:rPr>
            </w:pPr>
            <w:r w:rsidRPr="001E4583">
              <w:rPr>
                <w:b/>
                <w:bCs/>
                <w:sz w:val="24"/>
                <w:szCs w:val="26"/>
              </w:rPr>
              <w:t>(Col. F ÷ Col. B)</w:t>
            </w:r>
          </w:p>
        </w:tc>
      </w:tr>
      <w:tr w:rsidRPr="001E4583" w:rsidR="007C6654" w:rsidTr="007C6654" w14:paraId="4B50E3B1" w14:textId="77777777">
        <w:tc>
          <w:tcPr>
            <w:tcW w:w="1295" w:type="dxa"/>
            <w:vAlign w:val="center"/>
          </w:tcPr>
          <w:p w:rsidRPr="001E4583" w:rsidR="007C6654" w:rsidP="007C6654" w:rsidRDefault="007C6654" w14:paraId="765BCB1B" w14:textId="4AF1C0A4">
            <w:pPr>
              <w:widowControl/>
              <w:jc w:val="center"/>
            </w:pPr>
            <w:r w:rsidRPr="001E4583">
              <w:t>One-Time</w:t>
            </w:r>
          </w:p>
          <w:p w:rsidRPr="001E4583" w:rsidR="007C6654" w:rsidP="007C6654" w:rsidRDefault="007C6654" w14:paraId="3BBE1ADE" w14:textId="377832E3">
            <w:pPr>
              <w:pStyle w:val="FERCparanumber"/>
              <w:numPr>
                <w:ilvl w:val="0"/>
                <w:numId w:val="0"/>
              </w:numPr>
              <w:jc w:val="center"/>
              <w:rPr>
                <w:sz w:val="24"/>
                <w:szCs w:val="26"/>
              </w:rPr>
            </w:pPr>
            <w:r w:rsidRPr="001E4583">
              <w:rPr>
                <w:sz w:val="24"/>
              </w:rPr>
              <w:t>Tariff Filing Due to RM18-9 Final Rule</w:t>
            </w:r>
          </w:p>
        </w:tc>
        <w:tc>
          <w:tcPr>
            <w:tcW w:w="1540" w:type="dxa"/>
            <w:vAlign w:val="center"/>
          </w:tcPr>
          <w:p w:rsidRPr="001E4583" w:rsidR="007C6654" w:rsidP="007C6654" w:rsidRDefault="007C6654" w14:paraId="07197C69" w14:textId="1469355C">
            <w:pPr>
              <w:pStyle w:val="FERCparanumber"/>
              <w:numPr>
                <w:ilvl w:val="0"/>
                <w:numId w:val="0"/>
              </w:numPr>
              <w:jc w:val="right"/>
              <w:rPr>
                <w:sz w:val="24"/>
                <w:szCs w:val="26"/>
              </w:rPr>
            </w:pPr>
            <w:r w:rsidRPr="001E4583">
              <w:rPr>
                <w:sz w:val="24"/>
              </w:rPr>
              <w:t>6</w:t>
            </w:r>
          </w:p>
        </w:tc>
        <w:tc>
          <w:tcPr>
            <w:tcW w:w="1430" w:type="dxa"/>
            <w:vAlign w:val="center"/>
          </w:tcPr>
          <w:p w:rsidRPr="001E4583" w:rsidR="007C6654" w:rsidP="007C6654" w:rsidRDefault="007C6654" w14:paraId="582EFF2D" w14:textId="2C6CCEF4">
            <w:pPr>
              <w:pStyle w:val="FERCparanumber"/>
              <w:numPr>
                <w:ilvl w:val="0"/>
                <w:numId w:val="0"/>
              </w:numPr>
              <w:jc w:val="right"/>
              <w:rPr>
                <w:sz w:val="24"/>
              </w:rPr>
            </w:pPr>
            <w:r w:rsidRPr="001E4583">
              <w:rPr>
                <w:sz w:val="24"/>
              </w:rPr>
              <w:t>1</w:t>
            </w:r>
          </w:p>
        </w:tc>
        <w:tc>
          <w:tcPr>
            <w:tcW w:w="1270" w:type="dxa"/>
            <w:vAlign w:val="center"/>
          </w:tcPr>
          <w:p w:rsidRPr="001E4583" w:rsidR="007C6654" w:rsidP="007C6654" w:rsidRDefault="007C6654" w14:paraId="77C67FBD" w14:textId="6A250133">
            <w:pPr>
              <w:pStyle w:val="FERCparanumber"/>
              <w:numPr>
                <w:ilvl w:val="0"/>
                <w:numId w:val="0"/>
              </w:numPr>
              <w:jc w:val="right"/>
              <w:rPr>
                <w:sz w:val="24"/>
                <w:szCs w:val="26"/>
              </w:rPr>
            </w:pPr>
            <w:r w:rsidRPr="001E4583">
              <w:rPr>
                <w:sz w:val="24"/>
              </w:rPr>
              <w:t>6</w:t>
            </w:r>
          </w:p>
        </w:tc>
        <w:tc>
          <w:tcPr>
            <w:tcW w:w="1179" w:type="dxa"/>
            <w:vAlign w:val="center"/>
          </w:tcPr>
          <w:p w:rsidRPr="001E4583" w:rsidR="007C6654" w:rsidP="007C6654" w:rsidRDefault="007C6654" w14:paraId="17080307" w14:textId="77777777">
            <w:pPr>
              <w:widowControl/>
              <w:jc w:val="right"/>
            </w:pPr>
            <w:r w:rsidRPr="001E4583">
              <w:t>1,529 hrs;</w:t>
            </w:r>
          </w:p>
          <w:p w:rsidRPr="001E4583" w:rsidR="007C6654" w:rsidP="007C6654" w:rsidRDefault="007C6654" w14:paraId="151F6D53" w14:textId="2968D021">
            <w:pPr>
              <w:pStyle w:val="FERCparanumber"/>
              <w:numPr>
                <w:ilvl w:val="0"/>
                <w:numId w:val="0"/>
              </w:numPr>
              <w:jc w:val="right"/>
              <w:rPr>
                <w:sz w:val="24"/>
                <w:szCs w:val="26"/>
              </w:rPr>
            </w:pPr>
            <w:r w:rsidRPr="001E4583">
              <w:rPr>
                <w:sz w:val="24"/>
              </w:rPr>
              <w:t>$126,907</w:t>
            </w:r>
          </w:p>
        </w:tc>
        <w:tc>
          <w:tcPr>
            <w:tcW w:w="1206" w:type="dxa"/>
            <w:vAlign w:val="center"/>
          </w:tcPr>
          <w:p w:rsidRPr="001E4583" w:rsidR="007C6654" w:rsidP="007C6654" w:rsidRDefault="007C6654" w14:paraId="558EBDFE" w14:textId="77777777">
            <w:pPr>
              <w:widowControl/>
              <w:jc w:val="right"/>
            </w:pPr>
            <w:r w:rsidRPr="001E4583">
              <w:t>9,174 hrs;</w:t>
            </w:r>
          </w:p>
          <w:p w:rsidRPr="001E4583" w:rsidR="007C6654" w:rsidP="007C6654" w:rsidRDefault="007C6654" w14:paraId="71B1BFC6" w14:textId="601B8E2A">
            <w:pPr>
              <w:pStyle w:val="FERCparanumber"/>
              <w:numPr>
                <w:ilvl w:val="0"/>
                <w:numId w:val="0"/>
              </w:numPr>
              <w:jc w:val="right"/>
              <w:rPr>
                <w:sz w:val="24"/>
                <w:szCs w:val="26"/>
              </w:rPr>
            </w:pPr>
            <w:r w:rsidRPr="001E4583">
              <w:rPr>
                <w:sz w:val="24"/>
              </w:rPr>
              <w:t>$761,442</w:t>
            </w:r>
          </w:p>
        </w:tc>
        <w:tc>
          <w:tcPr>
            <w:tcW w:w="1430" w:type="dxa"/>
            <w:vAlign w:val="center"/>
          </w:tcPr>
          <w:p w:rsidRPr="001E4583" w:rsidR="007C6654" w:rsidP="007C6654" w:rsidRDefault="007C6654" w14:paraId="4B16F8BA" w14:textId="0D1B4A38">
            <w:pPr>
              <w:pStyle w:val="FERCparanumber"/>
              <w:numPr>
                <w:ilvl w:val="0"/>
                <w:numId w:val="0"/>
              </w:numPr>
              <w:jc w:val="right"/>
              <w:rPr>
                <w:sz w:val="24"/>
                <w:szCs w:val="26"/>
              </w:rPr>
            </w:pPr>
            <w:r w:rsidRPr="001E4583">
              <w:rPr>
                <w:sz w:val="24"/>
              </w:rPr>
              <w:t>$126,907</w:t>
            </w:r>
          </w:p>
        </w:tc>
      </w:tr>
      <w:tr w:rsidRPr="001E4583" w:rsidR="007C6654" w:rsidTr="00E32D46" w14:paraId="6A0CE3DB" w14:textId="77777777">
        <w:tc>
          <w:tcPr>
            <w:tcW w:w="1295" w:type="dxa"/>
            <w:vAlign w:val="center"/>
          </w:tcPr>
          <w:p w:rsidRPr="001E4583" w:rsidR="007C6654" w:rsidP="007C6654" w:rsidRDefault="007C6654" w14:paraId="0F426AA1" w14:textId="1D1824F2">
            <w:pPr>
              <w:pStyle w:val="FERCparanumber"/>
              <w:numPr>
                <w:ilvl w:val="0"/>
                <w:numId w:val="0"/>
              </w:numPr>
              <w:jc w:val="center"/>
              <w:rPr>
                <w:sz w:val="24"/>
                <w:szCs w:val="26"/>
              </w:rPr>
            </w:pPr>
            <w:r w:rsidRPr="001E4583">
              <w:rPr>
                <w:sz w:val="24"/>
              </w:rPr>
              <w:lastRenderedPageBreak/>
              <w:t>Software Update</w:t>
            </w:r>
          </w:p>
        </w:tc>
        <w:tc>
          <w:tcPr>
            <w:tcW w:w="1540" w:type="dxa"/>
            <w:tcBorders>
              <w:bottom w:val="single" w:color="auto" w:sz="4" w:space="0"/>
            </w:tcBorders>
            <w:vAlign w:val="center"/>
          </w:tcPr>
          <w:p w:rsidRPr="001E4583" w:rsidR="007C6654" w:rsidP="007C6654" w:rsidRDefault="007C6654" w14:paraId="0201591D" w14:textId="74815A3A">
            <w:pPr>
              <w:pStyle w:val="FERCparanumber"/>
              <w:numPr>
                <w:ilvl w:val="0"/>
                <w:numId w:val="0"/>
              </w:numPr>
              <w:jc w:val="right"/>
              <w:rPr>
                <w:sz w:val="24"/>
                <w:szCs w:val="26"/>
              </w:rPr>
            </w:pPr>
            <w:r w:rsidRPr="001E4583">
              <w:rPr>
                <w:sz w:val="24"/>
              </w:rPr>
              <w:t>6</w:t>
            </w:r>
          </w:p>
        </w:tc>
        <w:tc>
          <w:tcPr>
            <w:tcW w:w="1430" w:type="dxa"/>
            <w:tcBorders>
              <w:bottom w:val="single" w:color="auto" w:sz="4" w:space="0"/>
            </w:tcBorders>
            <w:vAlign w:val="center"/>
          </w:tcPr>
          <w:p w:rsidRPr="001E4583" w:rsidR="007C6654" w:rsidP="007C6654" w:rsidRDefault="007C6654" w14:paraId="09DFF2A1" w14:textId="654C298D">
            <w:pPr>
              <w:pStyle w:val="FERCparanumber"/>
              <w:numPr>
                <w:ilvl w:val="0"/>
                <w:numId w:val="0"/>
              </w:numPr>
              <w:jc w:val="right"/>
              <w:rPr>
                <w:sz w:val="24"/>
              </w:rPr>
            </w:pPr>
            <w:r w:rsidRPr="001E4583">
              <w:rPr>
                <w:sz w:val="24"/>
              </w:rPr>
              <w:t>1</w:t>
            </w:r>
          </w:p>
        </w:tc>
        <w:tc>
          <w:tcPr>
            <w:tcW w:w="1270" w:type="dxa"/>
            <w:tcBorders>
              <w:bottom w:val="single" w:color="auto" w:sz="4" w:space="0"/>
            </w:tcBorders>
            <w:vAlign w:val="center"/>
          </w:tcPr>
          <w:p w:rsidRPr="001E4583" w:rsidR="007C6654" w:rsidP="007C6654" w:rsidRDefault="007C6654" w14:paraId="08C470F9" w14:textId="5CE869E7">
            <w:pPr>
              <w:pStyle w:val="FERCparanumber"/>
              <w:numPr>
                <w:ilvl w:val="0"/>
                <w:numId w:val="0"/>
              </w:numPr>
              <w:jc w:val="right"/>
              <w:rPr>
                <w:sz w:val="24"/>
                <w:szCs w:val="26"/>
              </w:rPr>
            </w:pPr>
            <w:r w:rsidRPr="001E4583">
              <w:rPr>
                <w:sz w:val="24"/>
                <w:szCs w:val="26"/>
              </w:rPr>
              <w:t>6</w:t>
            </w:r>
          </w:p>
        </w:tc>
        <w:tc>
          <w:tcPr>
            <w:tcW w:w="1179" w:type="dxa"/>
            <w:vAlign w:val="center"/>
          </w:tcPr>
          <w:p w:rsidRPr="001E4583" w:rsidR="007C6654" w:rsidP="007C6654" w:rsidRDefault="007C6654" w14:paraId="35053863" w14:textId="77777777">
            <w:pPr>
              <w:widowControl/>
            </w:pPr>
            <w:r w:rsidRPr="001E4583">
              <w:t>1,500 hrs;</w:t>
            </w:r>
          </w:p>
          <w:p w:rsidRPr="001E4583" w:rsidR="007C6654" w:rsidP="007C6654" w:rsidRDefault="007C6654" w14:paraId="732EC637" w14:textId="245102DC">
            <w:pPr>
              <w:pStyle w:val="FERCparanumber"/>
              <w:numPr>
                <w:ilvl w:val="0"/>
                <w:numId w:val="0"/>
              </w:numPr>
              <w:jc w:val="right"/>
              <w:rPr>
                <w:sz w:val="24"/>
                <w:szCs w:val="26"/>
              </w:rPr>
            </w:pPr>
            <w:r w:rsidRPr="001E4583">
              <w:rPr>
                <w:sz w:val="24"/>
              </w:rPr>
              <w:t>$124,500</w:t>
            </w:r>
          </w:p>
        </w:tc>
        <w:tc>
          <w:tcPr>
            <w:tcW w:w="1206" w:type="dxa"/>
            <w:vAlign w:val="center"/>
          </w:tcPr>
          <w:p w:rsidRPr="001E4583" w:rsidR="007C6654" w:rsidP="007C6654" w:rsidRDefault="007C6654" w14:paraId="1C29D9BF" w14:textId="77777777">
            <w:pPr>
              <w:widowControl/>
              <w:jc w:val="right"/>
            </w:pPr>
            <w:r w:rsidRPr="001E4583">
              <w:t>9,000 hrs;</w:t>
            </w:r>
          </w:p>
          <w:p w:rsidRPr="001E4583" w:rsidR="007C6654" w:rsidP="007C6654" w:rsidRDefault="007C6654" w14:paraId="647720EF" w14:textId="0C932ADD">
            <w:pPr>
              <w:pStyle w:val="FERCparanumber"/>
              <w:numPr>
                <w:ilvl w:val="0"/>
                <w:numId w:val="0"/>
              </w:numPr>
              <w:jc w:val="right"/>
              <w:rPr>
                <w:sz w:val="24"/>
                <w:szCs w:val="26"/>
              </w:rPr>
            </w:pPr>
            <w:r w:rsidRPr="001E4583">
              <w:rPr>
                <w:sz w:val="24"/>
              </w:rPr>
              <w:t>$747,000</w:t>
            </w:r>
          </w:p>
        </w:tc>
        <w:tc>
          <w:tcPr>
            <w:tcW w:w="1430" w:type="dxa"/>
            <w:vAlign w:val="center"/>
          </w:tcPr>
          <w:p w:rsidRPr="001E4583" w:rsidR="007C6654" w:rsidP="007C6654" w:rsidRDefault="007C6654" w14:paraId="49375035" w14:textId="6AFAF5D9">
            <w:pPr>
              <w:pStyle w:val="FERCparanumber"/>
              <w:numPr>
                <w:ilvl w:val="0"/>
                <w:numId w:val="0"/>
              </w:numPr>
              <w:jc w:val="right"/>
              <w:rPr>
                <w:sz w:val="24"/>
                <w:szCs w:val="26"/>
              </w:rPr>
            </w:pPr>
            <w:r w:rsidRPr="001E4583">
              <w:rPr>
                <w:sz w:val="24"/>
              </w:rPr>
              <w:t>$124,500</w:t>
            </w:r>
          </w:p>
        </w:tc>
      </w:tr>
      <w:tr w:rsidRPr="00A3517F" w:rsidR="007C6654" w:rsidTr="00E32D46" w14:paraId="09E33740" w14:textId="77777777">
        <w:tc>
          <w:tcPr>
            <w:tcW w:w="1295" w:type="dxa"/>
            <w:vAlign w:val="center"/>
          </w:tcPr>
          <w:p w:rsidRPr="001E4583" w:rsidR="007C6654" w:rsidP="007C6654" w:rsidRDefault="007C6654" w14:paraId="3A10E695" w14:textId="424E2517">
            <w:pPr>
              <w:pStyle w:val="FERCparanumber"/>
              <w:numPr>
                <w:ilvl w:val="0"/>
                <w:numId w:val="0"/>
              </w:numPr>
              <w:jc w:val="center"/>
              <w:rPr>
                <w:sz w:val="24"/>
                <w:szCs w:val="26"/>
              </w:rPr>
            </w:pPr>
            <w:r w:rsidRPr="001E4583">
              <w:rPr>
                <w:sz w:val="24"/>
              </w:rPr>
              <w:t>Total Burden</w:t>
            </w:r>
          </w:p>
        </w:tc>
        <w:tc>
          <w:tcPr>
            <w:tcW w:w="1540" w:type="dxa"/>
            <w:shd w:val="pct12" w:color="auto" w:fill="BFBFBF" w:themeFill="background1" w:themeFillShade="BF"/>
            <w:vAlign w:val="center"/>
          </w:tcPr>
          <w:p w:rsidRPr="001E4583" w:rsidR="007C6654" w:rsidP="007C6654" w:rsidRDefault="007C6654" w14:paraId="356AAC3C" w14:textId="77777777">
            <w:pPr>
              <w:pStyle w:val="FERCparanumber"/>
              <w:numPr>
                <w:ilvl w:val="0"/>
                <w:numId w:val="0"/>
              </w:numPr>
              <w:jc w:val="right"/>
              <w:rPr>
                <w:sz w:val="24"/>
                <w:szCs w:val="26"/>
              </w:rPr>
            </w:pPr>
          </w:p>
        </w:tc>
        <w:tc>
          <w:tcPr>
            <w:tcW w:w="1430" w:type="dxa"/>
            <w:shd w:val="pct12" w:color="auto" w:fill="BFBFBF" w:themeFill="background1" w:themeFillShade="BF"/>
            <w:vAlign w:val="center"/>
          </w:tcPr>
          <w:p w:rsidRPr="001E4583" w:rsidR="007C6654" w:rsidP="007C6654" w:rsidRDefault="007C6654" w14:paraId="15CAA2BB" w14:textId="77777777">
            <w:pPr>
              <w:pStyle w:val="FERCparanumber"/>
              <w:numPr>
                <w:ilvl w:val="0"/>
                <w:numId w:val="0"/>
              </w:numPr>
              <w:jc w:val="right"/>
              <w:rPr>
                <w:sz w:val="24"/>
                <w:szCs w:val="26"/>
              </w:rPr>
            </w:pPr>
          </w:p>
        </w:tc>
        <w:tc>
          <w:tcPr>
            <w:tcW w:w="1270" w:type="dxa"/>
            <w:shd w:val="pct12" w:color="auto" w:fill="BFBFBF" w:themeFill="background1" w:themeFillShade="BF"/>
            <w:vAlign w:val="center"/>
          </w:tcPr>
          <w:p w:rsidRPr="001E4583" w:rsidR="007C6654" w:rsidP="007C6654" w:rsidRDefault="007C6654" w14:paraId="585E45EC" w14:textId="6F6BCDFF">
            <w:pPr>
              <w:pStyle w:val="FERCparanumber"/>
              <w:numPr>
                <w:ilvl w:val="0"/>
                <w:numId w:val="0"/>
              </w:numPr>
              <w:jc w:val="right"/>
              <w:rPr>
                <w:sz w:val="24"/>
                <w:szCs w:val="26"/>
              </w:rPr>
            </w:pPr>
          </w:p>
        </w:tc>
        <w:tc>
          <w:tcPr>
            <w:tcW w:w="1179" w:type="dxa"/>
            <w:vAlign w:val="center"/>
          </w:tcPr>
          <w:p w:rsidRPr="001E4583" w:rsidR="007C6654" w:rsidP="007C6654" w:rsidRDefault="007C6654" w14:paraId="52E7840B" w14:textId="77777777">
            <w:pPr>
              <w:widowControl/>
            </w:pPr>
            <w:r w:rsidRPr="001E4583">
              <w:t>3029 hrs;</w:t>
            </w:r>
          </w:p>
          <w:p w:rsidRPr="001E4583" w:rsidR="007C6654" w:rsidP="007C6654" w:rsidRDefault="007C6654" w14:paraId="33AD5D8E" w14:textId="16C176D6">
            <w:pPr>
              <w:pStyle w:val="FERCparanumber"/>
              <w:numPr>
                <w:ilvl w:val="0"/>
                <w:numId w:val="0"/>
              </w:numPr>
              <w:jc w:val="right"/>
              <w:rPr>
                <w:sz w:val="24"/>
                <w:szCs w:val="26"/>
              </w:rPr>
            </w:pPr>
            <w:r w:rsidRPr="001E4583">
              <w:rPr>
                <w:sz w:val="24"/>
              </w:rPr>
              <w:t>$251,407</w:t>
            </w:r>
          </w:p>
        </w:tc>
        <w:tc>
          <w:tcPr>
            <w:tcW w:w="1206" w:type="dxa"/>
            <w:vAlign w:val="center"/>
          </w:tcPr>
          <w:p w:rsidRPr="001E4583" w:rsidR="007C6654" w:rsidP="007C6654" w:rsidRDefault="007C6654" w14:paraId="04E015CA" w14:textId="77777777">
            <w:pPr>
              <w:widowControl/>
              <w:jc w:val="right"/>
            </w:pPr>
            <w:r w:rsidRPr="001E4583">
              <w:t>18,174 hrs;</w:t>
            </w:r>
          </w:p>
          <w:p w:rsidRPr="001E4583" w:rsidR="007C6654" w:rsidP="007C6654" w:rsidRDefault="007C6654" w14:paraId="1CEADCDE" w14:textId="23B08E06">
            <w:pPr>
              <w:pStyle w:val="FERCparanumber"/>
              <w:numPr>
                <w:ilvl w:val="0"/>
                <w:numId w:val="0"/>
              </w:numPr>
              <w:jc w:val="right"/>
              <w:rPr>
                <w:sz w:val="24"/>
                <w:szCs w:val="26"/>
              </w:rPr>
            </w:pPr>
            <w:r w:rsidRPr="001E4583">
              <w:rPr>
                <w:sz w:val="24"/>
              </w:rPr>
              <w:t>$1,508,442</w:t>
            </w:r>
          </w:p>
        </w:tc>
        <w:tc>
          <w:tcPr>
            <w:tcW w:w="1430" w:type="dxa"/>
            <w:vAlign w:val="center"/>
          </w:tcPr>
          <w:p w:rsidRPr="001E4583" w:rsidR="007C6654" w:rsidP="007C6654" w:rsidRDefault="007C6654" w14:paraId="7927E0AD" w14:textId="38B665D1">
            <w:pPr>
              <w:pStyle w:val="FERCparanumber"/>
              <w:numPr>
                <w:ilvl w:val="0"/>
                <w:numId w:val="0"/>
              </w:numPr>
              <w:jc w:val="right"/>
              <w:rPr>
                <w:sz w:val="24"/>
                <w:szCs w:val="26"/>
              </w:rPr>
            </w:pPr>
            <w:r w:rsidRPr="001E4583">
              <w:rPr>
                <w:sz w:val="24"/>
              </w:rPr>
              <w:t>$251,407</w:t>
            </w:r>
          </w:p>
        </w:tc>
      </w:tr>
    </w:tbl>
    <w:p w:rsidRPr="001E4583" w:rsidR="00912035" w:rsidP="00BB6095" w:rsidRDefault="00912035" w14:paraId="09B33354" w14:textId="77777777">
      <w:pPr>
        <w:pStyle w:val="FERCparanumber"/>
        <w:numPr>
          <w:ilvl w:val="0"/>
          <w:numId w:val="0"/>
        </w:numPr>
        <w:rPr>
          <w:sz w:val="24"/>
          <w:szCs w:val="26"/>
        </w:rPr>
      </w:pPr>
    </w:p>
    <w:p w:rsidRPr="001E4583" w:rsidR="009D6B6D" w:rsidP="001D2EC1" w:rsidRDefault="00BB6095" w14:paraId="13BF2A57" w14:textId="77777777">
      <w:pPr>
        <w:pStyle w:val="FERCparanumber"/>
        <w:numPr>
          <w:ilvl w:val="0"/>
          <w:numId w:val="7"/>
        </w:numPr>
        <w:rPr>
          <w:sz w:val="24"/>
          <w:szCs w:val="26"/>
        </w:rPr>
      </w:pPr>
      <w:r w:rsidRPr="001E4583">
        <w:rPr>
          <w:b/>
          <w:sz w:val="24"/>
          <w:szCs w:val="26"/>
        </w:rPr>
        <w:t>ESTIMATE OF THE TOTAL ANNUAL COST BURDEN TO RESPONDENTS</w:t>
      </w:r>
    </w:p>
    <w:p w:rsidRPr="001E4583" w:rsidR="00EF40FF" w:rsidP="00EF40FF" w:rsidRDefault="00EF40FF" w14:paraId="27C816AF" w14:textId="77777777">
      <w:pPr>
        <w:pStyle w:val="FERCparanumber"/>
        <w:numPr>
          <w:ilvl w:val="0"/>
          <w:numId w:val="0"/>
        </w:numPr>
        <w:rPr>
          <w:b/>
          <w:sz w:val="24"/>
          <w:szCs w:val="26"/>
        </w:rPr>
      </w:pPr>
    </w:p>
    <w:p w:rsidRPr="001E4583" w:rsidR="003712E9" w:rsidP="0009613C" w:rsidRDefault="00432DA3" w14:paraId="23C283D8" w14:textId="7A2BD0ED">
      <w:pPr>
        <w:widowControl/>
        <w:rPr>
          <w:szCs w:val="26"/>
        </w:rPr>
      </w:pPr>
      <w:r w:rsidRPr="001E4583">
        <w:rPr>
          <w:szCs w:val="26"/>
        </w:rPr>
        <w:t xml:space="preserve">There are no non-labor </w:t>
      </w:r>
      <w:r w:rsidRPr="001E4583" w:rsidR="00A83498">
        <w:rPr>
          <w:szCs w:val="26"/>
        </w:rPr>
        <w:t xml:space="preserve">PRA-related </w:t>
      </w:r>
      <w:r w:rsidRPr="001E4583">
        <w:rPr>
          <w:szCs w:val="26"/>
        </w:rPr>
        <w:t>costs. All costs are related to burden hours and are addressed in Questions #12 and #15.</w:t>
      </w:r>
    </w:p>
    <w:p w:rsidRPr="001E4583" w:rsidR="00EF40FF" w:rsidP="00EF40FF" w:rsidRDefault="00EF40FF" w14:paraId="237DA0EC" w14:textId="77777777">
      <w:pPr>
        <w:pStyle w:val="FERCparanumber"/>
        <w:numPr>
          <w:ilvl w:val="0"/>
          <w:numId w:val="0"/>
        </w:numPr>
        <w:rPr>
          <w:sz w:val="24"/>
          <w:szCs w:val="26"/>
        </w:rPr>
      </w:pPr>
    </w:p>
    <w:p w:rsidRPr="001E4583" w:rsidR="00EF40FF" w:rsidP="001D2EC1" w:rsidRDefault="00EF40FF" w14:paraId="25934EE2" w14:textId="77777777">
      <w:pPr>
        <w:pStyle w:val="FERCparanumber"/>
        <w:numPr>
          <w:ilvl w:val="0"/>
          <w:numId w:val="7"/>
        </w:numPr>
        <w:rPr>
          <w:b/>
          <w:sz w:val="24"/>
          <w:szCs w:val="26"/>
        </w:rPr>
      </w:pPr>
      <w:r w:rsidRPr="001E4583">
        <w:rPr>
          <w:b/>
          <w:sz w:val="24"/>
          <w:szCs w:val="26"/>
        </w:rPr>
        <w:t>ESTIMATED ANNUALIZED COST TO FEDERAL GOVERNMENT</w:t>
      </w:r>
    </w:p>
    <w:p w:rsidRPr="001E4583" w:rsidR="00EF40FF" w:rsidP="00874F1D" w:rsidRDefault="00EF40FF" w14:paraId="5BF0DAF9" w14:textId="14D5E081">
      <w:pPr>
        <w:rPr>
          <w:b/>
          <w:szCs w:val="26"/>
        </w:rPr>
      </w:pPr>
    </w:p>
    <w:p w:rsidRPr="001E4583" w:rsidR="00A90967" w:rsidP="00A90967" w:rsidRDefault="00A90967" w14:paraId="0F2821CF" w14:textId="52571C6C">
      <w:pPr>
        <w:pStyle w:val="FERCparanumber"/>
        <w:numPr>
          <w:ilvl w:val="0"/>
          <w:numId w:val="0"/>
        </w:numPr>
        <w:ind w:left="72"/>
        <w:rPr>
          <w:sz w:val="24"/>
          <w:szCs w:val="26"/>
        </w:rPr>
      </w:pPr>
      <w:r w:rsidRPr="001E4583">
        <w:rPr>
          <w:sz w:val="24"/>
          <w:szCs w:val="26"/>
        </w:rPr>
        <w:t>The Commission estimates the total annual federal burden and cost for this IC in the following table:</w:t>
      </w:r>
    </w:p>
    <w:p w:rsidRPr="001E4583" w:rsidR="007637CB" w:rsidP="00874F1D" w:rsidRDefault="007637CB" w14:paraId="6C1272FA" w14:textId="1AD1D0EA">
      <w:pPr>
        <w:rPr>
          <w:b/>
          <w:szCs w:val="26"/>
        </w:rPr>
      </w:pPr>
    </w:p>
    <w:p w:rsidRPr="001E4583" w:rsidR="007637CB" w:rsidP="00874F1D" w:rsidRDefault="007637CB" w14:paraId="7E4870A7" w14:textId="77777777">
      <w:pPr>
        <w:rPr>
          <w:b/>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A3517F" w:rsidR="00EF40FF" w:rsidTr="0091218B" w14:paraId="6C55F3AE" w14:textId="77777777">
        <w:tc>
          <w:tcPr>
            <w:tcW w:w="1756" w:type="pct"/>
            <w:shd w:val="clear" w:color="auto" w:fill="D9D9D9"/>
            <w:vAlign w:val="center"/>
          </w:tcPr>
          <w:p w:rsidRPr="001E4583" w:rsidR="00EF40FF" w:rsidP="0091218B" w:rsidRDefault="00EF40FF" w14:paraId="420D71F3" w14:textId="7ECC1371">
            <w:pPr>
              <w:pStyle w:val="ListParagraph"/>
              <w:spacing w:after="0" w:line="240" w:lineRule="auto"/>
              <w:ind w:left="0"/>
              <w:rPr>
                <w:rFonts w:ascii="Times New Roman" w:hAnsi="Times New Roman"/>
                <w:b/>
                <w:sz w:val="24"/>
                <w:szCs w:val="26"/>
              </w:rPr>
            </w:pPr>
          </w:p>
        </w:tc>
        <w:tc>
          <w:tcPr>
            <w:tcW w:w="1627" w:type="pct"/>
            <w:shd w:val="clear" w:color="auto" w:fill="D9D9D9"/>
            <w:vAlign w:val="center"/>
          </w:tcPr>
          <w:p w:rsidRPr="001E4583" w:rsidR="00EF40FF" w:rsidP="0091218B" w:rsidRDefault="00EF40FF" w14:paraId="18D95BE9" w14:textId="03FB7D25">
            <w:pPr>
              <w:pStyle w:val="ListParagraph"/>
              <w:spacing w:after="0" w:line="240" w:lineRule="auto"/>
              <w:ind w:left="0"/>
              <w:jc w:val="center"/>
              <w:rPr>
                <w:rFonts w:ascii="Times New Roman" w:hAnsi="Times New Roman"/>
                <w:b/>
                <w:sz w:val="24"/>
                <w:szCs w:val="26"/>
              </w:rPr>
            </w:pPr>
            <w:r w:rsidRPr="001E4583">
              <w:rPr>
                <w:rFonts w:ascii="Times New Roman" w:hAnsi="Times New Roman"/>
                <w:b/>
                <w:sz w:val="24"/>
                <w:szCs w:val="26"/>
              </w:rPr>
              <w:t>Number of Employees (F</w:t>
            </w:r>
            <w:r w:rsidRPr="001E4583" w:rsidR="001639D1">
              <w:rPr>
                <w:rFonts w:ascii="Times New Roman" w:hAnsi="Times New Roman"/>
                <w:b/>
                <w:sz w:val="24"/>
                <w:szCs w:val="26"/>
              </w:rPr>
              <w:t>ull-</w:t>
            </w:r>
            <w:r w:rsidRPr="001E4583">
              <w:rPr>
                <w:rFonts w:ascii="Times New Roman" w:hAnsi="Times New Roman"/>
                <w:b/>
                <w:sz w:val="24"/>
                <w:szCs w:val="26"/>
              </w:rPr>
              <w:t>T</w:t>
            </w:r>
            <w:r w:rsidRPr="001E4583" w:rsidR="001639D1">
              <w:rPr>
                <w:rFonts w:ascii="Times New Roman" w:hAnsi="Times New Roman"/>
                <w:b/>
                <w:sz w:val="24"/>
                <w:szCs w:val="26"/>
              </w:rPr>
              <w:t xml:space="preserve">ime </w:t>
            </w:r>
            <w:r w:rsidRPr="001E4583">
              <w:rPr>
                <w:rFonts w:ascii="Times New Roman" w:hAnsi="Times New Roman"/>
                <w:b/>
                <w:sz w:val="24"/>
                <w:szCs w:val="26"/>
              </w:rPr>
              <w:t>E</w:t>
            </w:r>
            <w:r w:rsidRPr="001E4583" w:rsidR="001639D1">
              <w:rPr>
                <w:rFonts w:ascii="Times New Roman" w:hAnsi="Times New Roman"/>
                <w:b/>
                <w:sz w:val="24"/>
                <w:szCs w:val="26"/>
              </w:rPr>
              <w:t>quivalents</w:t>
            </w:r>
            <w:r w:rsidRPr="001E4583">
              <w:rPr>
                <w:rFonts w:ascii="Times New Roman" w:hAnsi="Times New Roman"/>
                <w:b/>
                <w:sz w:val="24"/>
                <w:szCs w:val="26"/>
              </w:rPr>
              <w:t>)</w:t>
            </w:r>
          </w:p>
        </w:tc>
        <w:tc>
          <w:tcPr>
            <w:tcW w:w="1617" w:type="pct"/>
            <w:shd w:val="clear" w:color="auto" w:fill="D9D9D9"/>
            <w:vAlign w:val="center"/>
          </w:tcPr>
          <w:p w:rsidRPr="001E4583" w:rsidR="00EF40FF" w:rsidP="0091218B" w:rsidRDefault="00EF40FF" w14:paraId="65A7AAF2" w14:textId="77777777">
            <w:pPr>
              <w:pStyle w:val="ListParagraph"/>
              <w:spacing w:after="0" w:line="240" w:lineRule="auto"/>
              <w:ind w:left="0"/>
              <w:jc w:val="center"/>
              <w:rPr>
                <w:rFonts w:ascii="Times New Roman" w:hAnsi="Times New Roman"/>
                <w:b/>
                <w:sz w:val="24"/>
                <w:szCs w:val="26"/>
              </w:rPr>
            </w:pPr>
            <w:r w:rsidRPr="001E4583">
              <w:rPr>
                <w:rFonts w:ascii="Times New Roman" w:hAnsi="Times New Roman"/>
                <w:b/>
                <w:sz w:val="24"/>
                <w:szCs w:val="26"/>
              </w:rPr>
              <w:t>Estimated Annual Federal Cost</w:t>
            </w:r>
          </w:p>
        </w:tc>
      </w:tr>
      <w:tr w:rsidRPr="00A3517F" w:rsidR="00EF40FF" w:rsidTr="0091218B" w14:paraId="73366A6A" w14:textId="77777777">
        <w:tc>
          <w:tcPr>
            <w:tcW w:w="1756" w:type="pct"/>
            <w:shd w:val="clear" w:color="auto" w:fill="auto"/>
            <w:vAlign w:val="center"/>
          </w:tcPr>
          <w:p w:rsidRPr="001E4583" w:rsidR="00EF40FF" w:rsidP="0091218B" w:rsidRDefault="00EF40FF" w14:paraId="38725E63" w14:textId="77777777">
            <w:pPr>
              <w:pStyle w:val="ListParagraph"/>
              <w:spacing w:after="0" w:line="240" w:lineRule="auto"/>
              <w:ind w:left="0"/>
              <w:rPr>
                <w:rFonts w:ascii="Times New Roman" w:hAnsi="Times New Roman"/>
                <w:sz w:val="24"/>
                <w:szCs w:val="26"/>
              </w:rPr>
            </w:pPr>
            <w:r w:rsidRPr="001E4583">
              <w:rPr>
                <w:rFonts w:ascii="Times New Roman" w:hAnsi="Times New Roman"/>
                <w:sz w:val="24"/>
                <w:szCs w:val="26"/>
              </w:rPr>
              <w:t>Analysis and Processing of Filings</w:t>
            </w:r>
            <w:r w:rsidRPr="001E4583">
              <w:rPr>
                <w:rStyle w:val="FootnoteReference"/>
                <w:rFonts w:ascii="Times New Roman" w:hAnsi="Times New Roman"/>
                <w:sz w:val="24"/>
                <w:szCs w:val="26"/>
                <w:vertAlign w:val="superscript"/>
              </w:rPr>
              <w:footnoteReference w:id="10"/>
            </w:r>
          </w:p>
        </w:tc>
        <w:tc>
          <w:tcPr>
            <w:tcW w:w="1627" w:type="pct"/>
            <w:shd w:val="clear" w:color="auto" w:fill="auto"/>
            <w:vAlign w:val="center"/>
          </w:tcPr>
          <w:p w:rsidRPr="001E4583" w:rsidR="00EF40FF" w:rsidP="00BD73DD" w:rsidRDefault="0045205A" w14:paraId="169BBF54" w14:textId="5D5A73E7">
            <w:pPr>
              <w:pStyle w:val="ListParagraph"/>
              <w:spacing w:after="0" w:line="240" w:lineRule="auto"/>
              <w:ind w:left="0"/>
              <w:jc w:val="right"/>
              <w:rPr>
                <w:rFonts w:ascii="Times New Roman" w:hAnsi="Times New Roman"/>
                <w:sz w:val="24"/>
                <w:szCs w:val="26"/>
              </w:rPr>
            </w:pPr>
            <w:r w:rsidRPr="001E4583">
              <w:rPr>
                <w:rFonts w:ascii="Times New Roman" w:hAnsi="Times New Roman"/>
                <w:sz w:val="24"/>
                <w:szCs w:val="26"/>
              </w:rPr>
              <w:t>3.</w:t>
            </w:r>
            <w:r w:rsidRPr="001E4583" w:rsidR="00BD73DD">
              <w:rPr>
                <w:rFonts w:ascii="Times New Roman" w:hAnsi="Times New Roman"/>
                <w:sz w:val="24"/>
                <w:szCs w:val="26"/>
              </w:rPr>
              <w:t>3</w:t>
            </w:r>
          </w:p>
        </w:tc>
        <w:tc>
          <w:tcPr>
            <w:tcW w:w="1617" w:type="pct"/>
            <w:shd w:val="clear" w:color="auto" w:fill="auto"/>
            <w:vAlign w:val="center"/>
          </w:tcPr>
          <w:p w:rsidRPr="001E4583" w:rsidR="00EF40FF" w:rsidP="0091218B" w:rsidRDefault="00B96B45" w14:paraId="7007B84E" w14:textId="772DF4D3">
            <w:pPr>
              <w:pStyle w:val="ListParagraph"/>
              <w:spacing w:after="0" w:line="240" w:lineRule="auto"/>
              <w:ind w:left="0"/>
              <w:jc w:val="right"/>
              <w:rPr>
                <w:rFonts w:ascii="Times New Roman" w:hAnsi="Times New Roman"/>
                <w:sz w:val="24"/>
                <w:szCs w:val="26"/>
              </w:rPr>
            </w:pPr>
            <w:r w:rsidRPr="001E4583">
              <w:rPr>
                <w:rFonts w:ascii="Times New Roman" w:hAnsi="Times New Roman"/>
                <w:sz w:val="24"/>
                <w:szCs w:val="26"/>
              </w:rPr>
              <w:t>$5</w:t>
            </w:r>
            <w:r w:rsidRPr="001E4583" w:rsidR="00F225F9">
              <w:rPr>
                <w:rFonts w:ascii="Times New Roman" w:hAnsi="Times New Roman"/>
                <w:sz w:val="24"/>
                <w:szCs w:val="26"/>
              </w:rPr>
              <w:t>68,685.70</w:t>
            </w:r>
          </w:p>
        </w:tc>
      </w:tr>
      <w:tr w:rsidRPr="00A3517F" w:rsidR="00EF40FF" w:rsidTr="0091218B" w14:paraId="7009D51E" w14:textId="77777777">
        <w:tc>
          <w:tcPr>
            <w:tcW w:w="1756" w:type="pct"/>
            <w:shd w:val="clear" w:color="auto" w:fill="auto"/>
            <w:vAlign w:val="center"/>
          </w:tcPr>
          <w:p w:rsidRPr="001E4583" w:rsidR="00EF40FF" w:rsidP="00195E58" w:rsidRDefault="00EF40FF" w14:paraId="099D5BDF" w14:textId="6EC46709">
            <w:pPr>
              <w:pStyle w:val="ListParagraph"/>
              <w:spacing w:after="0" w:line="240" w:lineRule="auto"/>
              <w:ind w:left="0"/>
              <w:rPr>
                <w:rFonts w:ascii="Times New Roman" w:hAnsi="Times New Roman"/>
                <w:sz w:val="24"/>
                <w:szCs w:val="26"/>
              </w:rPr>
            </w:pPr>
            <w:r w:rsidRPr="001E4583">
              <w:rPr>
                <w:rFonts w:ascii="Times New Roman" w:hAnsi="Times New Roman"/>
                <w:sz w:val="24"/>
                <w:szCs w:val="26"/>
              </w:rPr>
              <w:t>PRA</w:t>
            </w:r>
            <w:r w:rsidRPr="005F0C42" w:rsidR="00A86896">
              <w:rPr>
                <w:rStyle w:val="FootnoteReference"/>
                <w:rFonts w:ascii="Times New Roman" w:hAnsi="Times New Roman"/>
                <w:sz w:val="24"/>
                <w:szCs w:val="26"/>
                <w:vertAlign w:val="superscript"/>
              </w:rPr>
              <w:footnoteReference w:id="11"/>
            </w:r>
            <w:r w:rsidRPr="001E4583">
              <w:rPr>
                <w:rFonts w:ascii="Times New Roman" w:hAnsi="Times New Roman"/>
                <w:sz w:val="24"/>
                <w:szCs w:val="26"/>
              </w:rPr>
              <w:t xml:space="preserve"> Administrative Cost</w:t>
            </w:r>
          </w:p>
        </w:tc>
        <w:tc>
          <w:tcPr>
            <w:tcW w:w="1627" w:type="pct"/>
            <w:shd w:val="clear" w:color="auto" w:fill="D9D9D9"/>
            <w:vAlign w:val="center"/>
          </w:tcPr>
          <w:p w:rsidRPr="001E4583" w:rsidR="00EF40FF" w:rsidP="0091218B" w:rsidRDefault="00EF40FF" w14:paraId="74DA3B1F" w14:textId="77777777">
            <w:pPr>
              <w:pStyle w:val="ListParagraph"/>
              <w:spacing w:after="0" w:line="240" w:lineRule="auto"/>
              <w:ind w:left="0"/>
              <w:jc w:val="right"/>
              <w:rPr>
                <w:rFonts w:ascii="Times New Roman" w:hAnsi="Times New Roman"/>
                <w:b/>
                <w:sz w:val="24"/>
                <w:szCs w:val="26"/>
              </w:rPr>
            </w:pPr>
          </w:p>
        </w:tc>
        <w:tc>
          <w:tcPr>
            <w:tcW w:w="1617" w:type="pct"/>
            <w:shd w:val="clear" w:color="auto" w:fill="auto"/>
            <w:vAlign w:val="center"/>
          </w:tcPr>
          <w:p w:rsidRPr="001E4583" w:rsidR="00EF40FF" w:rsidP="0091218B" w:rsidRDefault="001563EF" w14:paraId="731B0E8B" w14:textId="5817EDCB">
            <w:pPr>
              <w:pStyle w:val="ListParagraph"/>
              <w:spacing w:after="0" w:line="240" w:lineRule="auto"/>
              <w:ind w:left="0"/>
              <w:jc w:val="right"/>
              <w:rPr>
                <w:rFonts w:ascii="Times New Roman" w:hAnsi="Times New Roman"/>
                <w:sz w:val="24"/>
                <w:szCs w:val="26"/>
              </w:rPr>
            </w:pPr>
            <w:r w:rsidRPr="001E4583">
              <w:rPr>
                <w:rFonts w:ascii="Times New Roman" w:hAnsi="Times New Roman"/>
                <w:sz w:val="24"/>
                <w:szCs w:val="26"/>
              </w:rPr>
              <w:t>$5,723</w:t>
            </w:r>
          </w:p>
        </w:tc>
      </w:tr>
      <w:tr w:rsidRPr="00A3517F" w:rsidR="00EF40FF" w:rsidTr="0091218B" w14:paraId="0A5B5FA9" w14:textId="77777777">
        <w:tc>
          <w:tcPr>
            <w:tcW w:w="1756" w:type="pct"/>
            <w:shd w:val="clear" w:color="auto" w:fill="auto"/>
            <w:vAlign w:val="center"/>
          </w:tcPr>
          <w:p w:rsidRPr="001E4583" w:rsidR="00EF40FF" w:rsidP="0091218B" w:rsidRDefault="00EF40FF" w14:paraId="4441CC05" w14:textId="6172CF4C">
            <w:pPr>
              <w:pStyle w:val="ListParagraph"/>
              <w:spacing w:after="0" w:line="240" w:lineRule="auto"/>
              <w:ind w:left="0"/>
              <w:rPr>
                <w:rFonts w:ascii="Times New Roman" w:hAnsi="Times New Roman"/>
                <w:sz w:val="24"/>
                <w:szCs w:val="26"/>
              </w:rPr>
            </w:pPr>
            <w:r w:rsidRPr="001E4583">
              <w:rPr>
                <w:rFonts w:ascii="Times New Roman" w:hAnsi="Times New Roman"/>
                <w:sz w:val="24"/>
                <w:szCs w:val="26"/>
              </w:rPr>
              <w:t>Total</w:t>
            </w:r>
            <w:r w:rsidR="009B2295">
              <w:rPr>
                <w:rFonts w:ascii="Times New Roman" w:hAnsi="Times New Roman"/>
                <w:sz w:val="24"/>
                <w:szCs w:val="26"/>
              </w:rPr>
              <w:t xml:space="preserve"> Federal Cost</w:t>
            </w:r>
          </w:p>
        </w:tc>
        <w:tc>
          <w:tcPr>
            <w:tcW w:w="1627" w:type="pct"/>
            <w:shd w:val="clear" w:color="auto" w:fill="D9D9D9"/>
            <w:vAlign w:val="center"/>
          </w:tcPr>
          <w:p w:rsidRPr="001E4583" w:rsidR="00EF40FF" w:rsidP="0091218B" w:rsidRDefault="00EF40FF" w14:paraId="2B3CB9DA" w14:textId="77777777">
            <w:pPr>
              <w:pStyle w:val="ListParagraph"/>
              <w:spacing w:after="0" w:line="240" w:lineRule="auto"/>
              <w:ind w:left="0"/>
              <w:jc w:val="right"/>
              <w:rPr>
                <w:rFonts w:ascii="Times New Roman" w:hAnsi="Times New Roman"/>
                <w:b/>
                <w:sz w:val="24"/>
                <w:szCs w:val="26"/>
              </w:rPr>
            </w:pPr>
          </w:p>
        </w:tc>
        <w:tc>
          <w:tcPr>
            <w:tcW w:w="1617" w:type="pct"/>
            <w:shd w:val="clear" w:color="auto" w:fill="auto"/>
            <w:vAlign w:val="center"/>
          </w:tcPr>
          <w:p w:rsidRPr="001E4583" w:rsidR="00EF40FF" w:rsidP="0091218B" w:rsidRDefault="009B2295" w14:paraId="53B2B876" w14:textId="45F3FBE5">
            <w:pPr>
              <w:pStyle w:val="ListParagraph"/>
              <w:spacing w:after="0" w:line="240" w:lineRule="auto"/>
              <w:ind w:left="0"/>
              <w:jc w:val="right"/>
              <w:rPr>
                <w:rFonts w:ascii="Times New Roman" w:hAnsi="Times New Roman"/>
                <w:sz w:val="24"/>
                <w:szCs w:val="26"/>
              </w:rPr>
            </w:pPr>
            <w:r>
              <w:rPr>
                <w:rFonts w:ascii="Times New Roman" w:hAnsi="Times New Roman"/>
                <w:sz w:val="24"/>
                <w:szCs w:val="26"/>
              </w:rPr>
              <w:t>$574,408.70</w:t>
            </w:r>
          </w:p>
        </w:tc>
      </w:tr>
    </w:tbl>
    <w:p w:rsidRPr="00A3517F" w:rsidR="003866AD" w:rsidP="00EF40FF" w:rsidRDefault="003866AD" w14:paraId="49B9BB07" w14:textId="77777777">
      <w:pPr>
        <w:pStyle w:val="ListParagraph"/>
        <w:spacing w:after="0" w:line="240" w:lineRule="auto"/>
        <w:rPr>
          <w:rFonts w:ascii="Times New Roman" w:hAnsi="Times New Roman"/>
          <w:b/>
          <w:sz w:val="24"/>
          <w:szCs w:val="26"/>
        </w:rPr>
      </w:pPr>
    </w:p>
    <w:p w:rsidR="00EF40FF" w:rsidP="00EF40FF" w:rsidRDefault="00C32787" w14:paraId="162A5185" w14:textId="2DB4AC9A">
      <w:pPr>
        <w:rPr>
          <w:szCs w:val="26"/>
        </w:rPr>
      </w:pPr>
      <w:r w:rsidRPr="00A3517F">
        <w:rPr>
          <w:szCs w:val="26"/>
        </w:rPr>
        <w:t>FERC</w:t>
      </w:r>
      <w:r w:rsidRPr="00A3517F" w:rsidR="00EF40FF">
        <w:rPr>
          <w:szCs w:val="26"/>
        </w:rPr>
        <w:t xml:space="preserve">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F515BD" w:rsidP="00EF40FF" w:rsidRDefault="00F515BD" w14:paraId="074E6704" w14:textId="65D2BA79">
      <w:pPr>
        <w:rPr>
          <w:szCs w:val="26"/>
        </w:rPr>
      </w:pPr>
    </w:p>
    <w:p w:rsidRPr="00A3517F" w:rsidR="00F515BD" w:rsidP="00EF40FF" w:rsidRDefault="00F515BD" w14:paraId="6048B2BC" w14:textId="76D4E76A">
      <w:pPr>
        <w:rPr>
          <w:szCs w:val="26"/>
        </w:rPr>
      </w:pPr>
      <w:r>
        <w:rPr>
          <w:szCs w:val="26"/>
        </w:rPr>
        <w:t xml:space="preserve">The “PRA Administrative Cost” is </w:t>
      </w:r>
      <w:r w:rsidRPr="00F515BD">
        <w:rPr>
          <w:szCs w:val="26"/>
        </w:rPr>
        <w:t>associated with preparing, issuing, and submitting materials necessary to comply with the P</w:t>
      </w:r>
      <w:r>
        <w:rPr>
          <w:szCs w:val="26"/>
        </w:rPr>
        <w:t xml:space="preserve">aperwork </w:t>
      </w:r>
      <w:r w:rsidRPr="00F515BD">
        <w:rPr>
          <w:szCs w:val="26"/>
        </w:rPr>
        <w:t>R</w:t>
      </w:r>
      <w:r>
        <w:rPr>
          <w:szCs w:val="26"/>
        </w:rPr>
        <w:t xml:space="preserve">eduction </w:t>
      </w:r>
      <w:r w:rsidRPr="00F515BD">
        <w:rPr>
          <w:szCs w:val="26"/>
        </w:rPr>
        <w:t>A</w:t>
      </w:r>
      <w:r>
        <w:rPr>
          <w:szCs w:val="26"/>
        </w:rPr>
        <w:t>ct</w:t>
      </w:r>
      <w:r w:rsidRPr="00F515BD">
        <w:rPr>
          <w:szCs w:val="26"/>
        </w:rPr>
        <w:t xml:space="preserve"> for rulemakings, orders, or any other vehicle used to create, modify, extend, or discontinue an information collection.  This average annual cost includes requests for extensions, all associated rulemakings and orders, other changes to the collection, and publication of related notices in the Federal Register.</w:t>
      </w:r>
    </w:p>
    <w:p w:rsidRPr="00A3517F" w:rsidR="00EF40FF" w:rsidP="00EF40FF" w:rsidRDefault="00EF40FF" w14:paraId="7086245E" w14:textId="77777777">
      <w:pPr>
        <w:pStyle w:val="FERCparanumber"/>
        <w:numPr>
          <w:ilvl w:val="0"/>
          <w:numId w:val="0"/>
        </w:numPr>
        <w:rPr>
          <w:b/>
          <w:sz w:val="24"/>
          <w:szCs w:val="26"/>
        </w:rPr>
      </w:pPr>
    </w:p>
    <w:p w:rsidRPr="00A3517F" w:rsidR="00EF40FF" w:rsidP="001D2EC1" w:rsidRDefault="00EF40FF" w14:paraId="652E2E2C" w14:textId="77777777">
      <w:pPr>
        <w:pStyle w:val="FERCparanumber"/>
        <w:numPr>
          <w:ilvl w:val="0"/>
          <w:numId w:val="7"/>
        </w:numPr>
        <w:rPr>
          <w:b/>
          <w:sz w:val="24"/>
          <w:szCs w:val="26"/>
        </w:rPr>
      </w:pPr>
      <w:r w:rsidRPr="00A3517F">
        <w:rPr>
          <w:b/>
          <w:sz w:val="24"/>
          <w:szCs w:val="26"/>
        </w:rPr>
        <w:t>REASONS FOR CHANGES IN BURDEN INCLUDING THE NEED FOR ANY INCREASE</w:t>
      </w:r>
    </w:p>
    <w:p w:rsidRPr="00A3517F" w:rsidR="00EF40FF" w:rsidP="00EF40FF" w:rsidRDefault="00EF40FF" w14:paraId="37AE29EC" w14:textId="77777777">
      <w:pPr>
        <w:pStyle w:val="FERCparanumber"/>
        <w:numPr>
          <w:ilvl w:val="0"/>
          <w:numId w:val="0"/>
        </w:numPr>
        <w:rPr>
          <w:b/>
          <w:sz w:val="24"/>
          <w:szCs w:val="26"/>
        </w:rPr>
      </w:pPr>
    </w:p>
    <w:p w:rsidRPr="00A3517F" w:rsidR="00F9384F" w:rsidP="00A90967" w:rsidRDefault="00681805" w14:paraId="37F0AF8F" w14:textId="67A8B3BC">
      <w:pPr>
        <w:rPr>
          <w:szCs w:val="26"/>
        </w:rPr>
      </w:pPr>
      <w:r w:rsidRPr="00A3517F">
        <w:rPr>
          <w:szCs w:val="26"/>
        </w:rPr>
        <w:lastRenderedPageBreak/>
        <w:t xml:space="preserve">Each RTO and ISO will </w:t>
      </w:r>
      <w:r w:rsidRPr="00A3517F" w:rsidR="00166DA1">
        <w:rPr>
          <w:szCs w:val="26"/>
        </w:rPr>
        <w:t xml:space="preserve">now </w:t>
      </w:r>
      <w:r w:rsidRPr="00A3517F">
        <w:rPr>
          <w:szCs w:val="26"/>
        </w:rPr>
        <w:t xml:space="preserve">be required to revise its tariff to establish a participation model consisting of market rules that facilitates the participation </w:t>
      </w:r>
      <w:r w:rsidRPr="00A3517F" w:rsidR="00A90967">
        <w:rPr>
          <w:szCs w:val="26"/>
        </w:rPr>
        <w:t xml:space="preserve">of DER aggregations </w:t>
      </w:r>
      <w:r w:rsidRPr="00A3517F">
        <w:rPr>
          <w:szCs w:val="26"/>
        </w:rPr>
        <w:t>in the RTO/ISO markets.</w:t>
      </w:r>
      <w:r w:rsidR="006201D2">
        <w:rPr>
          <w:szCs w:val="26"/>
        </w:rPr>
        <w:t xml:space="preserve">  In addition, software updating may be necessary.</w:t>
      </w:r>
    </w:p>
    <w:p w:rsidRPr="00A3517F" w:rsidR="00A90967" w:rsidP="00A90967" w:rsidRDefault="00A90967" w14:paraId="51F91876" w14:textId="5C2C42BA">
      <w:pPr>
        <w:rPr>
          <w:szCs w:val="26"/>
        </w:rPr>
      </w:pPr>
    </w:p>
    <w:p w:rsidRPr="00A3517F" w:rsidR="00545B62" w:rsidP="00A90967" w:rsidRDefault="00A90967" w14:paraId="0EF2A067" w14:textId="0FAAAF65">
      <w:pPr>
        <w:rPr>
          <w:szCs w:val="26"/>
        </w:rPr>
      </w:pPr>
      <w:r w:rsidRPr="00A3517F">
        <w:rPr>
          <w:szCs w:val="26"/>
        </w:rPr>
        <w:t>The total burdens and costs shown in Item # 12, above, are program changes to FERC-516H.</w:t>
      </w:r>
    </w:p>
    <w:p w:rsidRPr="00A3517F" w:rsidR="003866AD" w:rsidP="00EF40FF" w:rsidRDefault="003866AD" w14:paraId="1C9DDF85" w14:textId="77777777">
      <w:pPr>
        <w:pStyle w:val="FERCparanumber"/>
        <w:numPr>
          <w:ilvl w:val="0"/>
          <w:numId w:val="0"/>
        </w:numPr>
        <w:rPr>
          <w:b/>
          <w:sz w:val="24"/>
          <w:szCs w:val="26"/>
        </w:rPr>
      </w:pPr>
    </w:p>
    <w:p w:rsidRPr="00A3517F" w:rsidR="009D6B6D" w:rsidP="00EF40FF" w:rsidRDefault="00EF40FF" w14:paraId="7CD93336" w14:textId="77777777">
      <w:pPr>
        <w:pStyle w:val="FERCparanumber"/>
        <w:numPr>
          <w:ilvl w:val="0"/>
          <w:numId w:val="7"/>
        </w:numPr>
        <w:rPr>
          <w:b/>
          <w:sz w:val="24"/>
          <w:szCs w:val="26"/>
        </w:rPr>
      </w:pPr>
      <w:r w:rsidRPr="00A3517F">
        <w:rPr>
          <w:b/>
          <w:sz w:val="24"/>
          <w:szCs w:val="26"/>
        </w:rPr>
        <w:t>TIME SCHEDULE FOR PUBLICATION OF DATA</w:t>
      </w:r>
    </w:p>
    <w:p w:rsidRPr="00A3517F" w:rsidR="00EF40FF" w:rsidP="00EF40FF" w:rsidRDefault="00EF40FF" w14:paraId="338E8E30" w14:textId="77777777">
      <w:pPr>
        <w:pStyle w:val="FERCparanumber"/>
        <w:numPr>
          <w:ilvl w:val="0"/>
          <w:numId w:val="0"/>
        </w:numPr>
        <w:rPr>
          <w:b/>
          <w:sz w:val="24"/>
          <w:szCs w:val="26"/>
        </w:rPr>
      </w:pPr>
    </w:p>
    <w:p w:rsidR="00EB21C5" w:rsidP="0009613C" w:rsidRDefault="00545B62" w14:paraId="78BC14DE" w14:textId="76A597A8">
      <w:pPr>
        <w:widowControl/>
        <w:rPr>
          <w:szCs w:val="26"/>
        </w:rPr>
      </w:pPr>
      <w:r w:rsidRPr="00A3517F">
        <w:rPr>
          <w:szCs w:val="26"/>
        </w:rPr>
        <w:t>There are no tabulating, statistical or tabulating analysis or publication plans for the collection of information.  The data are used for regulatory purposes only</w:t>
      </w:r>
    </w:p>
    <w:p w:rsidR="0009613C" w:rsidP="0009613C" w:rsidRDefault="0009613C" w14:paraId="49B7EF0F" w14:textId="77777777">
      <w:pPr>
        <w:widowControl/>
        <w:rPr>
          <w:szCs w:val="26"/>
        </w:rPr>
      </w:pPr>
    </w:p>
    <w:p w:rsidRPr="00A3517F" w:rsidR="009D6B6D" w:rsidP="001D2EC1" w:rsidRDefault="00EF40FF" w14:paraId="15394295" w14:textId="77777777">
      <w:pPr>
        <w:pStyle w:val="FERCparanumber"/>
        <w:numPr>
          <w:ilvl w:val="0"/>
          <w:numId w:val="7"/>
        </w:numPr>
        <w:rPr>
          <w:b/>
          <w:sz w:val="24"/>
          <w:szCs w:val="26"/>
        </w:rPr>
      </w:pPr>
      <w:r w:rsidRPr="00A3517F">
        <w:rPr>
          <w:b/>
          <w:sz w:val="24"/>
          <w:szCs w:val="26"/>
        </w:rPr>
        <w:t>DISPLAY OF EXPIRATION DATE</w:t>
      </w:r>
    </w:p>
    <w:p w:rsidR="00EF40FF" w:rsidP="00EF40FF" w:rsidRDefault="00EF40FF" w14:paraId="50BC026E" w14:textId="6A6CEAEB">
      <w:pPr>
        <w:pStyle w:val="FERCparanumber"/>
        <w:numPr>
          <w:ilvl w:val="0"/>
          <w:numId w:val="0"/>
        </w:numPr>
        <w:rPr>
          <w:b/>
          <w:sz w:val="24"/>
          <w:szCs w:val="26"/>
        </w:rPr>
      </w:pPr>
    </w:p>
    <w:p w:rsidRPr="001E4583" w:rsidR="006441AD" w:rsidP="002B0D1B" w:rsidRDefault="00704DA2" w14:paraId="587C08CA" w14:textId="39D7D3A5">
      <w:pPr>
        <w:pStyle w:val="FERCparanumber"/>
        <w:numPr>
          <w:ilvl w:val="0"/>
          <w:numId w:val="0"/>
        </w:numPr>
        <w:rPr>
          <w:szCs w:val="26"/>
        </w:rPr>
      </w:pPr>
      <w:r>
        <w:rPr>
          <w:bCs/>
          <w:sz w:val="24"/>
          <w:szCs w:val="26"/>
        </w:rPr>
        <w:t xml:space="preserve">The expiration date is displayed at </w:t>
      </w:r>
      <w:hyperlink w:history="1" r:id="rId13">
        <w:r w:rsidRPr="00554392">
          <w:rPr>
            <w:rStyle w:val="Hyperlink"/>
            <w:bCs/>
            <w:sz w:val="24"/>
            <w:szCs w:val="26"/>
          </w:rPr>
          <w:t>https://cms.ferc.gov/enforcement-legal/legal/information-collections</w:t>
        </w:r>
      </w:hyperlink>
      <w:r w:rsidR="002B0D1B">
        <w:rPr>
          <w:bCs/>
          <w:sz w:val="24"/>
          <w:szCs w:val="26"/>
        </w:rPr>
        <w:t>.</w:t>
      </w:r>
    </w:p>
    <w:p w:rsidRPr="001E4583" w:rsidR="00EF40FF" w:rsidP="00EF40FF" w:rsidRDefault="00EF40FF" w14:paraId="00403C61" w14:textId="77777777">
      <w:pPr>
        <w:pStyle w:val="FERCparanumber"/>
        <w:numPr>
          <w:ilvl w:val="0"/>
          <w:numId w:val="0"/>
        </w:numPr>
        <w:rPr>
          <w:b/>
          <w:sz w:val="24"/>
          <w:szCs w:val="26"/>
        </w:rPr>
      </w:pPr>
    </w:p>
    <w:p w:rsidRPr="001E4583" w:rsidR="00EF40FF" w:rsidP="00E138E1" w:rsidRDefault="00EF40FF" w14:paraId="3B590558" w14:textId="77777777">
      <w:pPr>
        <w:widowControl/>
        <w:numPr>
          <w:ilvl w:val="0"/>
          <w:numId w:val="7"/>
        </w:numPr>
        <w:ind w:hanging="720"/>
        <w:rPr>
          <w:b/>
          <w:szCs w:val="26"/>
        </w:rPr>
      </w:pPr>
      <w:r w:rsidRPr="001E4583">
        <w:rPr>
          <w:b/>
          <w:szCs w:val="26"/>
        </w:rPr>
        <w:t>EXCEPTIONS TO THE CERTIFICATION STATEMENT</w:t>
      </w:r>
    </w:p>
    <w:p w:rsidRPr="001E4583" w:rsidR="009D6B6D" w:rsidP="001D2EC1" w:rsidRDefault="009D6B6D" w14:paraId="612ECBF9" w14:textId="77777777">
      <w:pPr>
        <w:widowControl/>
        <w:ind w:left="720"/>
        <w:rPr>
          <w:b/>
          <w:szCs w:val="26"/>
        </w:rPr>
      </w:pPr>
    </w:p>
    <w:p w:rsidRPr="001E4583" w:rsidR="0091218B" w:rsidP="001D2EC1" w:rsidRDefault="00545B62" w14:paraId="5B53F0DD" w14:textId="77777777">
      <w:pPr>
        <w:widowControl/>
        <w:rPr>
          <w:szCs w:val="26"/>
        </w:rPr>
      </w:pPr>
      <w:r w:rsidRPr="001E4583">
        <w:rPr>
          <w:szCs w:val="26"/>
        </w:rPr>
        <w:t>There are no exceptions.</w:t>
      </w:r>
      <w:bookmarkStart w:name="_GoBack" w:id="1"/>
      <w:bookmarkEnd w:id="1"/>
    </w:p>
    <w:sectPr w:rsidRPr="001E4583" w:rsidR="0091218B" w:rsidSect="0070312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BE47F" w14:textId="77777777" w:rsidR="00CD4482" w:rsidRDefault="00CD4482" w:rsidP="009D6B6D">
      <w:r>
        <w:separator/>
      </w:r>
    </w:p>
  </w:endnote>
  <w:endnote w:type="continuationSeparator" w:id="0">
    <w:p w14:paraId="4F38A3FD" w14:textId="77777777" w:rsidR="00CD4482" w:rsidRDefault="00CD4482" w:rsidP="009D6B6D">
      <w:r>
        <w:continuationSeparator/>
      </w:r>
    </w:p>
  </w:endnote>
  <w:endnote w:type="continuationNotice" w:id="1">
    <w:p w14:paraId="2569F44A" w14:textId="77777777" w:rsidR="00CD4482" w:rsidRDefault="00CD4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2A4C" w14:textId="77777777" w:rsidR="00E54301" w:rsidRDefault="00E54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0493" w14:textId="77777777" w:rsidR="0051519A" w:rsidRDefault="0051519A">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7CE16875" w14:textId="77777777" w:rsidR="0051519A" w:rsidRDefault="00515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7F34B" w14:textId="77777777" w:rsidR="00E54301" w:rsidRDefault="00E54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6387A" w14:textId="77777777" w:rsidR="00CD4482" w:rsidRDefault="00CD4482" w:rsidP="009D6B6D">
      <w:r>
        <w:separator/>
      </w:r>
    </w:p>
  </w:footnote>
  <w:footnote w:type="continuationSeparator" w:id="0">
    <w:p w14:paraId="131A3E69" w14:textId="77777777" w:rsidR="00CD4482" w:rsidRDefault="00CD4482" w:rsidP="009D6B6D">
      <w:r>
        <w:continuationSeparator/>
      </w:r>
    </w:p>
  </w:footnote>
  <w:footnote w:type="continuationNotice" w:id="1">
    <w:p w14:paraId="5141E4AE" w14:textId="77777777" w:rsidR="00CD4482" w:rsidRDefault="00CD4482"/>
  </w:footnote>
  <w:footnote w:id="2">
    <w:p w14:paraId="1992C764" w14:textId="10D4A2D4" w:rsidR="0051519A" w:rsidRPr="00797F6C" w:rsidRDefault="0051519A">
      <w:pPr>
        <w:pStyle w:val="FootnoteText"/>
        <w:rPr>
          <w:sz w:val="24"/>
          <w:szCs w:val="26"/>
        </w:rPr>
      </w:pPr>
      <w:r w:rsidRPr="008D7A2E">
        <w:rPr>
          <w:rStyle w:val="FootnoteReference"/>
          <w:sz w:val="24"/>
          <w:vertAlign w:val="superscript"/>
        </w:rPr>
        <w:footnoteRef/>
      </w:r>
      <w:r>
        <w:t xml:space="preserve"> </w:t>
      </w:r>
      <w:r w:rsidRPr="003D297D">
        <w:rPr>
          <w:sz w:val="24"/>
          <w:szCs w:val="26"/>
        </w:rPr>
        <w:t xml:space="preserve">The </w:t>
      </w:r>
      <w:r>
        <w:rPr>
          <w:sz w:val="24"/>
          <w:szCs w:val="26"/>
        </w:rPr>
        <w:t>f</w:t>
      </w:r>
      <w:r w:rsidRPr="003D297D">
        <w:rPr>
          <w:sz w:val="24"/>
          <w:szCs w:val="26"/>
        </w:rPr>
        <w:t xml:space="preserve">inal </w:t>
      </w:r>
      <w:r>
        <w:rPr>
          <w:sz w:val="24"/>
          <w:szCs w:val="26"/>
        </w:rPr>
        <w:t>r</w:t>
      </w:r>
      <w:r w:rsidRPr="003D297D">
        <w:rPr>
          <w:sz w:val="24"/>
          <w:szCs w:val="26"/>
        </w:rPr>
        <w:t xml:space="preserve">ule is posted in FERC’s eLibrary at </w:t>
      </w:r>
      <w:r w:rsidR="00797F6C" w:rsidRPr="00797F6C">
        <w:rPr>
          <w:sz w:val="24"/>
          <w:szCs w:val="26"/>
        </w:rPr>
        <w:t>https://elibrary.ferc.gov/eLibrary/docinfo?document_id=14892834</w:t>
      </w:r>
      <w:r w:rsidR="00797F6C">
        <w:rPr>
          <w:sz w:val="24"/>
          <w:szCs w:val="26"/>
        </w:rPr>
        <w:t>.</w:t>
      </w:r>
      <w:hyperlink r:id="rId1" w:history="1"/>
    </w:p>
  </w:footnote>
  <w:footnote w:id="3">
    <w:p w14:paraId="0198DD6A" w14:textId="47ACC1CE" w:rsidR="0051519A" w:rsidRPr="00116A2E" w:rsidRDefault="0051519A" w:rsidP="00F47A18">
      <w:pPr>
        <w:pStyle w:val="FootnoteText"/>
        <w:rPr>
          <w:sz w:val="26"/>
          <w:szCs w:val="26"/>
        </w:rPr>
      </w:pPr>
      <w:r w:rsidRPr="00116A2E">
        <w:rPr>
          <w:rStyle w:val="FootnoteReference"/>
          <w:sz w:val="26"/>
          <w:szCs w:val="26"/>
          <w:vertAlign w:val="superscript"/>
        </w:rPr>
        <w:footnoteRef/>
      </w:r>
      <w:r w:rsidRPr="00116A2E">
        <w:rPr>
          <w:sz w:val="26"/>
          <w:szCs w:val="26"/>
        </w:rPr>
        <w:t xml:space="preserve"> </w:t>
      </w:r>
      <w:r w:rsidRPr="00C334AD">
        <w:rPr>
          <w:sz w:val="24"/>
          <w:szCs w:val="26"/>
        </w:rPr>
        <w:t>81 FR 86522 (Nov. 30, 2016).</w:t>
      </w:r>
    </w:p>
  </w:footnote>
  <w:footnote w:id="4">
    <w:p w14:paraId="2EE9976F" w14:textId="5F65A098" w:rsidR="0051519A" w:rsidRPr="00781074" w:rsidRDefault="0051519A">
      <w:pPr>
        <w:pStyle w:val="FootnoteText"/>
        <w:rPr>
          <w:sz w:val="24"/>
        </w:rPr>
      </w:pPr>
      <w:r w:rsidRPr="00781074">
        <w:rPr>
          <w:rStyle w:val="FootnoteReference"/>
          <w:sz w:val="24"/>
          <w:vertAlign w:val="superscript"/>
        </w:rPr>
        <w:footnoteRef/>
      </w:r>
      <w:r>
        <w:t xml:space="preserve"> </w:t>
      </w:r>
      <w:r>
        <w:rPr>
          <w:sz w:val="24"/>
        </w:rPr>
        <w:t>83 FR 9580 (March 6, 2018), Order on Rehearing and Clarification, 84 FR 23902 (May 23, 2019).</w:t>
      </w:r>
    </w:p>
  </w:footnote>
  <w:footnote w:id="5">
    <w:p w14:paraId="303BA81D" w14:textId="3AAA8E5D" w:rsidR="00162D91" w:rsidRPr="00162D91" w:rsidRDefault="00162D91">
      <w:pPr>
        <w:pStyle w:val="FootnoteText"/>
        <w:rPr>
          <w:sz w:val="24"/>
          <w:vertAlign w:val="superscript"/>
        </w:rPr>
      </w:pPr>
      <w:r w:rsidRPr="00162D91">
        <w:rPr>
          <w:rStyle w:val="FootnoteReference"/>
          <w:sz w:val="24"/>
          <w:vertAlign w:val="superscript"/>
        </w:rPr>
        <w:footnoteRef/>
      </w:r>
      <w:r w:rsidRPr="00162D91">
        <w:rPr>
          <w:sz w:val="24"/>
          <w:vertAlign w:val="superscript"/>
        </w:rPr>
        <w:t xml:space="preserve"> </w:t>
      </w:r>
      <w:r w:rsidRPr="00797F6C">
        <w:rPr>
          <w:sz w:val="24"/>
        </w:rPr>
        <w:t>83 FR 7703 (Feb. 22, 2018)</w:t>
      </w:r>
      <w:r>
        <w:rPr>
          <w:sz w:val="24"/>
        </w:rPr>
        <w:t>.</w:t>
      </w:r>
      <w:r w:rsidRPr="001E4583">
        <w:rPr>
          <w:sz w:val="24"/>
        </w:rPr>
        <w:t xml:space="preserve"> </w:t>
      </w:r>
    </w:p>
  </w:footnote>
  <w:footnote w:id="6">
    <w:p w14:paraId="560EC395" w14:textId="357C5BD5" w:rsidR="0051519A" w:rsidRPr="005D2056" w:rsidRDefault="0051519A">
      <w:pPr>
        <w:pStyle w:val="FootnoteText"/>
        <w:rPr>
          <w:sz w:val="26"/>
          <w:szCs w:val="26"/>
        </w:rPr>
      </w:pPr>
      <w:r w:rsidRPr="005D2056">
        <w:rPr>
          <w:rStyle w:val="FootnoteReference"/>
          <w:sz w:val="26"/>
          <w:szCs w:val="26"/>
          <w:vertAlign w:val="superscript"/>
        </w:rPr>
        <w:footnoteRef/>
      </w:r>
      <w:r w:rsidRPr="005D2056">
        <w:rPr>
          <w:sz w:val="26"/>
          <w:szCs w:val="26"/>
        </w:rPr>
        <w:t xml:space="preserve"> 13 CFR 121.201 (</w:t>
      </w:r>
      <w:r w:rsidR="006A0CA7">
        <w:rPr>
          <w:sz w:val="26"/>
          <w:szCs w:val="26"/>
        </w:rPr>
        <w:t xml:space="preserve">2020) </w:t>
      </w:r>
      <w:r w:rsidR="006A0CA7" w:rsidRPr="005D2056">
        <w:rPr>
          <w:sz w:val="26"/>
          <w:szCs w:val="26"/>
        </w:rPr>
        <w:t>(</w:t>
      </w:r>
      <w:r w:rsidRPr="005D2056">
        <w:rPr>
          <w:sz w:val="26"/>
          <w:szCs w:val="26"/>
        </w:rPr>
        <w:t>Sector 22, Utilities)</w:t>
      </w:r>
      <w:r>
        <w:rPr>
          <w:sz w:val="26"/>
          <w:szCs w:val="26"/>
        </w:rPr>
        <w:t>.</w:t>
      </w:r>
    </w:p>
  </w:footnote>
  <w:footnote w:id="7">
    <w:p w14:paraId="772E24A2" w14:textId="77777777" w:rsidR="0051519A" w:rsidRPr="00116A2E" w:rsidRDefault="0051519A" w:rsidP="00DE602D">
      <w:pPr>
        <w:pStyle w:val="FootnoteText"/>
        <w:rPr>
          <w:sz w:val="26"/>
          <w:szCs w:val="26"/>
        </w:rPr>
      </w:pPr>
      <w:r w:rsidRPr="00116A2E">
        <w:rPr>
          <w:rStyle w:val="FootnoteReference"/>
          <w:sz w:val="26"/>
          <w:szCs w:val="26"/>
          <w:vertAlign w:val="superscript"/>
        </w:rPr>
        <w:footnoteRef/>
      </w:r>
      <w:r w:rsidRPr="00116A2E">
        <w:rPr>
          <w:sz w:val="26"/>
          <w:szCs w:val="26"/>
        </w:rPr>
        <w:t xml:space="preserve"> </w:t>
      </w:r>
      <w:r w:rsidRPr="00C334AD">
        <w:rPr>
          <w:sz w:val="24"/>
          <w:szCs w:val="26"/>
        </w:rPr>
        <w:t>81 FR 86522 (Nov. 30, 2016).</w:t>
      </w:r>
    </w:p>
  </w:footnote>
  <w:footnote w:id="8">
    <w:p w14:paraId="676DF474" w14:textId="02387076" w:rsidR="0051519A" w:rsidRPr="00797F6C" w:rsidRDefault="0051519A" w:rsidP="009F5BD9">
      <w:pPr>
        <w:pStyle w:val="FootnoteText"/>
        <w:rPr>
          <w:sz w:val="26"/>
          <w:szCs w:val="26"/>
          <w:vertAlign w:val="superscript"/>
        </w:rPr>
      </w:pPr>
      <w:r w:rsidRPr="00797F6C">
        <w:rPr>
          <w:rStyle w:val="FootnoteReference"/>
          <w:sz w:val="26"/>
          <w:szCs w:val="26"/>
          <w:vertAlign w:val="superscript"/>
        </w:rPr>
        <w:footnoteRef/>
      </w:r>
      <w:r w:rsidRPr="00797F6C">
        <w:rPr>
          <w:sz w:val="26"/>
          <w:szCs w:val="26"/>
          <w:vertAlign w:val="superscript"/>
        </w:rPr>
        <w:t xml:space="preserve"> </w:t>
      </w:r>
      <w:r w:rsidRPr="00A86896">
        <w:rPr>
          <w:sz w:val="24"/>
          <w:szCs w:val="26"/>
        </w:rPr>
        <w:t>“Burden”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9">
    <w:p w14:paraId="47B3F1DA" w14:textId="77777777" w:rsidR="0051519A" w:rsidRPr="00737717" w:rsidRDefault="0051519A" w:rsidP="00851214">
      <w:pPr>
        <w:pStyle w:val="FootnoteText"/>
        <w:rPr>
          <w:szCs w:val="26"/>
        </w:rPr>
      </w:pPr>
      <w:r w:rsidRPr="00797F6C">
        <w:rPr>
          <w:rStyle w:val="FootnoteReference"/>
          <w:sz w:val="26"/>
          <w:szCs w:val="26"/>
          <w:vertAlign w:val="superscript"/>
        </w:rPr>
        <w:footnoteRef/>
      </w:r>
      <w:r w:rsidRPr="00737717">
        <w:rPr>
          <w:szCs w:val="26"/>
        </w:rPr>
        <w:t xml:space="preserve"> </w:t>
      </w:r>
      <w:r w:rsidRPr="00737717">
        <w:rPr>
          <w:sz w:val="24"/>
          <w:szCs w:val="26"/>
        </w:rPr>
        <w:t>Commission staff believes that industry is similarly situated in terms of cost for wages and benefits.  Therefore, we are using the FERC 2020 average cost (for wages plus benefits) for one FERC full-time equivalent (FTE) of $172,329 ($83.00 per hour).</w:t>
      </w:r>
    </w:p>
    <w:p w14:paraId="5D521601" w14:textId="77777777" w:rsidR="0051519A" w:rsidRDefault="0051519A" w:rsidP="00851214">
      <w:pPr>
        <w:pStyle w:val="FootnoteText"/>
      </w:pPr>
    </w:p>
  </w:footnote>
  <w:footnote w:id="10">
    <w:p w14:paraId="5C7AA698" w14:textId="39EC65DB" w:rsidR="0051519A" w:rsidRPr="00874F1D" w:rsidRDefault="0051519A" w:rsidP="00FB2BC3">
      <w:pPr>
        <w:rPr>
          <w:sz w:val="26"/>
          <w:szCs w:val="26"/>
        </w:rPr>
      </w:pPr>
      <w:r w:rsidRPr="00B96B45">
        <w:rPr>
          <w:rStyle w:val="FootnoteReference"/>
          <w:b/>
          <w:sz w:val="26"/>
          <w:szCs w:val="26"/>
          <w:vertAlign w:val="superscript"/>
        </w:rPr>
        <w:footnoteRef/>
      </w:r>
      <w:r w:rsidRPr="00B96B45">
        <w:rPr>
          <w:b/>
          <w:sz w:val="26"/>
          <w:szCs w:val="26"/>
        </w:rPr>
        <w:t xml:space="preserve"> </w:t>
      </w:r>
      <w:r w:rsidRPr="00A86896">
        <w:rPr>
          <w:szCs w:val="26"/>
        </w:rPr>
        <w:t>Based upon 2020 FTE average annual salary plus benefits ($172,329).</w:t>
      </w:r>
    </w:p>
  </w:footnote>
  <w:footnote w:id="11">
    <w:p w14:paraId="7FB1BF39" w14:textId="66D8C533" w:rsidR="00A86896" w:rsidRPr="003712E9" w:rsidRDefault="00A86896" w:rsidP="00A86896">
      <w:pPr>
        <w:pStyle w:val="FootnoteText"/>
        <w:rPr>
          <w:sz w:val="24"/>
        </w:rPr>
      </w:pPr>
      <w:r w:rsidRPr="003712E9">
        <w:rPr>
          <w:rStyle w:val="FootnoteReference"/>
          <w:sz w:val="24"/>
          <w:vertAlign w:val="superscript"/>
        </w:rPr>
        <w:footnoteRef/>
      </w:r>
      <w:r w:rsidRPr="003712E9">
        <w:rPr>
          <w:sz w:val="24"/>
          <w:vertAlign w:val="superscript"/>
        </w:rPr>
        <w:t xml:space="preserve"> </w:t>
      </w:r>
      <w:r>
        <w:rPr>
          <w:sz w:val="24"/>
          <w:vertAlign w:val="superscript"/>
        </w:rPr>
        <w:t xml:space="preserve"> </w:t>
      </w:r>
      <w:r w:rsidRPr="00A86896">
        <w:rPr>
          <w:sz w:val="24"/>
          <w:szCs w:val="26"/>
        </w:rPr>
        <w:t>“PRA” refers to the Paperwork Reduction Act of 1.</w:t>
      </w:r>
      <w:r>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7679" w14:textId="77777777" w:rsidR="00E54301" w:rsidRDefault="00E54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828C5" w14:textId="2C22398D" w:rsidR="0051519A" w:rsidRPr="00757BB4" w:rsidRDefault="0051519A">
    <w:pPr>
      <w:pStyle w:val="Header"/>
      <w:rPr>
        <w:sz w:val="26"/>
        <w:szCs w:val="26"/>
      </w:rPr>
    </w:pPr>
    <w:r w:rsidRPr="00757BB4">
      <w:rPr>
        <w:sz w:val="26"/>
        <w:szCs w:val="26"/>
      </w:rPr>
      <w:t xml:space="preserve">FERC-516H (OMB Control No. </w:t>
    </w:r>
    <w:r>
      <w:rPr>
        <w:sz w:val="26"/>
        <w:szCs w:val="26"/>
      </w:rPr>
      <w:t>1902-0303</w:t>
    </w:r>
    <w:r w:rsidRPr="00757BB4">
      <w:rPr>
        <w:sz w:val="26"/>
        <w:szCs w:val="26"/>
      </w:rPr>
      <w:t>)</w:t>
    </w:r>
  </w:p>
  <w:p w14:paraId="71BE1D87" w14:textId="118A6DC7" w:rsidR="0051519A" w:rsidRDefault="0051519A">
    <w:pPr>
      <w:pStyle w:val="Header"/>
      <w:rPr>
        <w:sz w:val="26"/>
        <w:szCs w:val="26"/>
      </w:rPr>
    </w:pPr>
    <w:r w:rsidRPr="00757BB4">
      <w:rPr>
        <w:sz w:val="26"/>
        <w:szCs w:val="26"/>
      </w:rPr>
      <w:t xml:space="preserve">Final Rule (issued </w:t>
    </w:r>
    <w:r w:rsidR="00233A9E">
      <w:rPr>
        <w:sz w:val="26"/>
        <w:szCs w:val="26"/>
      </w:rPr>
      <w:t>September 17, 2020</w:t>
    </w:r>
    <w:r w:rsidRPr="00757BB4">
      <w:rPr>
        <w:sz w:val="26"/>
        <w:szCs w:val="26"/>
      </w:rPr>
      <w:t>)</w:t>
    </w:r>
  </w:p>
  <w:p w14:paraId="59CE8FC2" w14:textId="3C78E803" w:rsidR="0051519A" w:rsidRPr="003A4C85" w:rsidRDefault="0051519A">
    <w:pPr>
      <w:pStyle w:val="Header"/>
      <w:rPr>
        <w:sz w:val="26"/>
        <w:szCs w:val="26"/>
      </w:rPr>
    </w:pPr>
    <w:r w:rsidRPr="003A4C85">
      <w:rPr>
        <w:sz w:val="26"/>
        <w:szCs w:val="26"/>
      </w:rPr>
      <w:t>Docket No. RM</w:t>
    </w:r>
    <w:r>
      <w:rPr>
        <w:sz w:val="26"/>
        <w:szCs w:val="26"/>
      </w:rPr>
      <w:t>18</w:t>
    </w:r>
    <w:r w:rsidRPr="003A4C85">
      <w:rPr>
        <w:sz w:val="26"/>
        <w:szCs w:val="26"/>
      </w:rPr>
      <w:t>-</w:t>
    </w:r>
    <w:r>
      <w:rPr>
        <w:sz w:val="26"/>
        <w:szCs w:val="26"/>
      </w:rPr>
      <w:t>9</w:t>
    </w:r>
    <w:r w:rsidRPr="003A4C85">
      <w:rPr>
        <w:sz w:val="26"/>
        <w:szCs w:val="26"/>
      </w:rPr>
      <w:t xml:space="preserve">-000 </w:t>
    </w:r>
  </w:p>
  <w:p w14:paraId="74710264" w14:textId="4F210B90" w:rsidR="0051519A" w:rsidRPr="003A4C85" w:rsidRDefault="0051519A">
    <w:pPr>
      <w:pStyle w:val="Header"/>
      <w:rPr>
        <w:sz w:val="26"/>
        <w:szCs w:val="26"/>
      </w:rPr>
    </w:pPr>
    <w:r w:rsidRPr="003A4C85">
      <w:rPr>
        <w:sz w:val="26"/>
        <w:szCs w:val="26"/>
      </w:rPr>
      <w:t>RIN 1902-</w:t>
    </w:r>
    <w:r>
      <w:rPr>
        <w:sz w:val="26"/>
        <w:szCs w:val="26"/>
      </w:rPr>
      <w:t>AF73</w:t>
    </w:r>
  </w:p>
  <w:p w14:paraId="7C8C1321" w14:textId="77777777" w:rsidR="0051519A" w:rsidRPr="003A4C85" w:rsidRDefault="0051519A">
    <w:pPr>
      <w:pStyle w:val="Head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E994" w14:textId="77777777" w:rsidR="0051519A" w:rsidRDefault="0051519A">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9A5"/>
    <w:multiLevelType w:val="hybridMultilevel"/>
    <w:tmpl w:val="896A27C6"/>
    <w:lvl w:ilvl="0" w:tplc="F482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6E0"/>
    <w:multiLevelType w:val="hybridMultilevel"/>
    <w:tmpl w:val="9508BE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12683"/>
    <w:multiLevelType w:val="hybridMultilevel"/>
    <w:tmpl w:val="3B22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91E31"/>
    <w:multiLevelType w:val="hybridMultilevel"/>
    <w:tmpl w:val="D4485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5262F0"/>
    <w:multiLevelType w:val="hybridMultilevel"/>
    <w:tmpl w:val="B142A88A"/>
    <w:lvl w:ilvl="0" w:tplc="3D2071F2">
      <w:start w:val="1"/>
      <w:numFmt w:val="bullet"/>
      <w:lvlText w:val="*"/>
      <w:lvlJc w:val="left"/>
      <w:pPr>
        <w:ind w:left="4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E60AEF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A4D31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4EF65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84265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CC9F6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CBA184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AD6DF8E">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BADF0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58630EC"/>
    <w:multiLevelType w:val="hybridMultilevel"/>
    <w:tmpl w:val="CE5C2F76"/>
    <w:lvl w:ilvl="0" w:tplc="D2908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64F88"/>
    <w:multiLevelType w:val="hybridMultilevel"/>
    <w:tmpl w:val="D9621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56940"/>
    <w:multiLevelType w:val="hybridMultilevel"/>
    <w:tmpl w:val="62BE67C2"/>
    <w:lvl w:ilvl="0" w:tplc="C98A2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725098"/>
    <w:multiLevelType w:val="hybridMultilevel"/>
    <w:tmpl w:val="43F0D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293499"/>
    <w:multiLevelType w:val="hybridMultilevel"/>
    <w:tmpl w:val="FD0E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61CDB"/>
    <w:multiLevelType w:val="hybridMultilevel"/>
    <w:tmpl w:val="B6CAE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157DE7"/>
    <w:multiLevelType w:val="hybridMultilevel"/>
    <w:tmpl w:val="C3E25AA4"/>
    <w:lvl w:ilvl="0" w:tplc="EBB2A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1"/>
  </w:num>
  <w:num w:numId="3">
    <w:abstractNumId w:val="16"/>
  </w:num>
  <w:num w:numId="4">
    <w:abstractNumId w:val="6"/>
  </w:num>
  <w:num w:numId="5">
    <w:abstractNumId w:val="15"/>
  </w:num>
  <w:num w:numId="6">
    <w:abstractNumId w:val="17"/>
  </w:num>
  <w:num w:numId="7">
    <w:abstractNumId w:val="12"/>
  </w:num>
  <w:num w:numId="8">
    <w:abstractNumId w:val="3"/>
  </w:num>
  <w:num w:numId="9">
    <w:abstractNumId w:val="22"/>
  </w:num>
  <w:num w:numId="10">
    <w:abstractNumId w:val="2"/>
  </w:num>
  <w:num w:numId="11">
    <w:abstractNumId w:val="19"/>
  </w:num>
  <w:num w:numId="12">
    <w:abstractNumId w:val="10"/>
  </w:num>
  <w:num w:numId="13">
    <w:abstractNumId w:val="8"/>
  </w:num>
  <w:num w:numId="14">
    <w:abstractNumId w:val="20"/>
  </w:num>
  <w:num w:numId="15">
    <w:abstractNumId w:val="0"/>
  </w:num>
  <w:num w:numId="16">
    <w:abstractNumId w:val="7"/>
  </w:num>
  <w:num w:numId="17">
    <w:abstractNumId w:val="9"/>
  </w:num>
  <w:num w:numId="18">
    <w:abstractNumId w:val="21"/>
  </w:num>
  <w:num w:numId="19">
    <w:abstractNumId w:val="5"/>
  </w:num>
  <w:num w:numId="20">
    <w:abstractNumId w:val="13"/>
  </w:num>
  <w:num w:numId="21">
    <w:abstractNumId w:val="1"/>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6D"/>
    <w:rsid w:val="0000699C"/>
    <w:rsid w:val="00017A8F"/>
    <w:rsid w:val="00021084"/>
    <w:rsid w:val="000218B7"/>
    <w:rsid w:val="000251AF"/>
    <w:rsid w:val="000335E8"/>
    <w:rsid w:val="0003687C"/>
    <w:rsid w:val="0003747E"/>
    <w:rsid w:val="000414A5"/>
    <w:rsid w:val="00042ECE"/>
    <w:rsid w:val="00046193"/>
    <w:rsid w:val="000541E0"/>
    <w:rsid w:val="00062E37"/>
    <w:rsid w:val="00071BAF"/>
    <w:rsid w:val="000766C0"/>
    <w:rsid w:val="000806CF"/>
    <w:rsid w:val="000811C6"/>
    <w:rsid w:val="000814E2"/>
    <w:rsid w:val="00081EF8"/>
    <w:rsid w:val="00090716"/>
    <w:rsid w:val="0009152C"/>
    <w:rsid w:val="0009613C"/>
    <w:rsid w:val="000969B5"/>
    <w:rsid w:val="000A3526"/>
    <w:rsid w:val="000B4BE9"/>
    <w:rsid w:val="000B7440"/>
    <w:rsid w:val="000C09AE"/>
    <w:rsid w:val="000C21B6"/>
    <w:rsid w:val="000C5C56"/>
    <w:rsid w:val="000D0EEE"/>
    <w:rsid w:val="000D1890"/>
    <w:rsid w:val="000D1CC3"/>
    <w:rsid w:val="000D2AF5"/>
    <w:rsid w:val="000D5E2E"/>
    <w:rsid w:val="000E2463"/>
    <w:rsid w:val="000F53A6"/>
    <w:rsid w:val="001042C8"/>
    <w:rsid w:val="00107F6A"/>
    <w:rsid w:val="00116A2E"/>
    <w:rsid w:val="00116D13"/>
    <w:rsid w:val="0011793D"/>
    <w:rsid w:val="001352B5"/>
    <w:rsid w:val="00135AA9"/>
    <w:rsid w:val="00147917"/>
    <w:rsid w:val="00152635"/>
    <w:rsid w:val="001563EF"/>
    <w:rsid w:val="0015728E"/>
    <w:rsid w:val="001578E1"/>
    <w:rsid w:val="00162D91"/>
    <w:rsid w:val="00163006"/>
    <w:rsid w:val="001639D1"/>
    <w:rsid w:val="00166DA1"/>
    <w:rsid w:val="001746E9"/>
    <w:rsid w:val="0017633F"/>
    <w:rsid w:val="00181B4A"/>
    <w:rsid w:val="00183D26"/>
    <w:rsid w:val="00184AC4"/>
    <w:rsid w:val="001922FC"/>
    <w:rsid w:val="00192A85"/>
    <w:rsid w:val="00195E58"/>
    <w:rsid w:val="001A07E0"/>
    <w:rsid w:val="001A2C3A"/>
    <w:rsid w:val="001A3D17"/>
    <w:rsid w:val="001B1350"/>
    <w:rsid w:val="001B6647"/>
    <w:rsid w:val="001B74E3"/>
    <w:rsid w:val="001C042A"/>
    <w:rsid w:val="001C0D4B"/>
    <w:rsid w:val="001D1355"/>
    <w:rsid w:val="001D28C9"/>
    <w:rsid w:val="001D2EC1"/>
    <w:rsid w:val="001D50B2"/>
    <w:rsid w:val="001E349E"/>
    <w:rsid w:val="001E4583"/>
    <w:rsid w:val="001E6D2B"/>
    <w:rsid w:val="001F377F"/>
    <w:rsid w:val="001F3ADE"/>
    <w:rsid w:val="001F42E7"/>
    <w:rsid w:val="001F60CC"/>
    <w:rsid w:val="001F703D"/>
    <w:rsid w:val="002000AA"/>
    <w:rsid w:val="00203D37"/>
    <w:rsid w:val="0021208A"/>
    <w:rsid w:val="002142A2"/>
    <w:rsid w:val="00223476"/>
    <w:rsid w:val="00223CFA"/>
    <w:rsid w:val="00227E39"/>
    <w:rsid w:val="002324B6"/>
    <w:rsid w:val="00233A9E"/>
    <w:rsid w:val="00236948"/>
    <w:rsid w:val="00237C0C"/>
    <w:rsid w:val="0024137A"/>
    <w:rsid w:val="00242B70"/>
    <w:rsid w:val="00242F2B"/>
    <w:rsid w:val="00245280"/>
    <w:rsid w:val="00245ECA"/>
    <w:rsid w:val="00250B5D"/>
    <w:rsid w:val="00251F40"/>
    <w:rsid w:val="00255ACF"/>
    <w:rsid w:val="002565F8"/>
    <w:rsid w:val="002643FB"/>
    <w:rsid w:val="00267F92"/>
    <w:rsid w:val="002727F4"/>
    <w:rsid w:val="00275313"/>
    <w:rsid w:val="002766FC"/>
    <w:rsid w:val="00295C38"/>
    <w:rsid w:val="002A27B8"/>
    <w:rsid w:val="002A2B8E"/>
    <w:rsid w:val="002B0890"/>
    <w:rsid w:val="002B09D2"/>
    <w:rsid w:val="002B0D1B"/>
    <w:rsid w:val="002B2810"/>
    <w:rsid w:val="002B355F"/>
    <w:rsid w:val="002B4900"/>
    <w:rsid w:val="002B7F73"/>
    <w:rsid w:val="002C7726"/>
    <w:rsid w:val="002D5138"/>
    <w:rsid w:val="002E47AD"/>
    <w:rsid w:val="002F167E"/>
    <w:rsid w:val="002F353A"/>
    <w:rsid w:val="00303DA5"/>
    <w:rsid w:val="00307F28"/>
    <w:rsid w:val="00310D71"/>
    <w:rsid w:val="003151DF"/>
    <w:rsid w:val="0032225E"/>
    <w:rsid w:val="00322F48"/>
    <w:rsid w:val="00323E26"/>
    <w:rsid w:val="003341F0"/>
    <w:rsid w:val="00334777"/>
    <w:rsid w:val="00334C55"/>
    <w:rsid w:val="00335C0D"/>
    <w:rsid w:val="00342459"/>
    <w:rsid w:val="003431A7"/>
    <w:rsid w:val="0034569D"/>
    <w:rsid w:val="00353DC5"/>
    <w:rsid w:val="0035481D"/>
    <w:rsid w:val="0036069A"/>
    <w:rsid w:val="00360FCE"/>
    <w:rsid w:val="003712E9"/>
    <w:rsid w:val="00371943"/>
    <w:rsid w:val="00381D75"/>
    <w:rsid w:val="003866AD"/>
    <w:rsid w:val="003A4AD2"/>
    <w:rsid w:val="003A4C85"/>
    <w:rsid w:val="003A6A4F"/>
    <w:rsid w:val="003B7DB9"/>
    <w:rsid w:val="003C20FA"/>
    <w:rsid w:val="003C360D"/>
    <w:rsid w:val="003C429A"/>
    <w:rsid w:val="003D297D"/>
    <w:rsid w:val="003D2A7E"/>
    <w:rsid w:val="003D3487"/>
    <w:rsid w:val="003D7DE6"/>
    <w:rsid w:val="003E5B70"/>
    <w:rsid w:val="003F62BB"/>
    <w:rsid w:val="004076C0"/>
    <w:rsid w:val="00407CE4"/>
    <w:rsid w:val="00410497"/>
    <w:rsid w:val="004109C3"/>
    <w:rsid w:val="004127B5"/>
    <w:rsid w:val="004208AC"/>
    <w:rsid w:val="004243CF"/>
    <w:rsid w:val="00425003"/>
    <w:rsid w:val="004258C2"/>
    <w:rsid w:val="00426B6E"/>
    <w:rsid w:val="004327CC"/>
    <w:rsid w:val="00432DA3"/>
    <w:rsid w:val="00437320"/>
    <w:rsid w:val="004445CE"/>
    <w:rsid w:val="004472EB"/>
    <w:rsid w:val="0045205A"/>
    <w:rsid w:val="00452E75"/>
    <w:rsid w:val="00454D32"/>
    <w:rsid w:val="0046088D"/>
    <w:rsid w:val="0047330F"/>
    <w:rsid w:val="0047669F"/>
    <w:rsid w:val="00480964"/>
    <w:rsid w:val="0048257F"/>
    <w:rsid w:val="004927EF"/>
    <w:rsid w:val="00493BAE"/>
    <w:rsid w:val="00493EFD"/>
    <w:rsid w:val="004970F6"/>
    <w:rsid w:val="004B0930"/>
    <w:rsid w:val="004B21C3"/>
    <w:rsid w:val="004B409D"/>
    <w:rsid w:val="004B5D16"/>
    <w:rsid w:val="004C13D3"/>
    <w:rsid w:val="004C5269"/>
    <w:rsid w:val="004C592C"/>
    <w:rsid w:val="004C59D8"/>
    <w:rsid w:val="004C5DB1"/>
    <w:rsid w:val="004C6566"/>
    <w:rsid w:val="004D0562"/>
    <w:rsid w:val="004D4C7B"/>
    <w:rsid w:val="004D6DEB"/>
    <w:rsid w:val="004D79BB"/>
    <w:rsid w:val="004F024E"/>
    <w:rsid w:val="004F2F74"/>
    <w:rsid w:val="004F7BFA"/>
    <w:rsid w:val="00501FCA"/>
    <w:rsid w:val="00506697"/>
    <w:rsid w:val="00507F03"/>
    <w:rsid w:val="0051003D"/>
    <w:rsid w:val="00512C48"/>
    <w:rsid w:val="0051519A"/>
    <w:rsid w:val="005240A1"/>
    <w:rsid w:val="005262E1"/>
    <w:rsid w:val="00540437"/>
    <w:rsid w:val="00540BF8"/>
    <w:rsid w:val="00541938"/>
    <w:rsid w:val="00542519"/>
    <w:rsid w:val="00545B62"/>
    <w:rsid w:val="00557CB8"/>
    <w:rsid w:val="00560503"/>
    <w:rsid w:val="00574928"/>
    <w:rsid w:val="00583677"/>
    <w:rsid w:val="00585B78"/>
    <w:rsid w:val="00592E82"/>
    <w:rsid w:val="00593CC7"/>
    <w:rsid w:val="005A6CCF"/>
    <w:rsid w:val="005A79EF"/>
    <w:rsid w:val="005A7F01"/>
    <w:rsid w:val="005B166E"/>
    <w:rsid w:val="005B337B"/>
    <w:rsid w:val="005C5DE2"/>
    <w:rsid w:val="005C6866"/>
    <w:rsid w:val="005C6964"/>
    <w:rsid w:val="005D0FAD"/>
    <w:rsid w:val="005D2056"/>
    <w:rsid w:val="005D6791"/>
    <w:rsid w:val="005E2C23"/>
    <w:rsid w:val="005F0C42"/>
    <w:rsid w:val="005F2E11"/>
    <w:rsid w:val="005F62ED"/>
    <w:rsid w:val="005F7D7C"/>
    <w:rsid w:val="00601596"/>
    <w:rsid w:val="00602D91"/>
    <w:rsid w:val="00607DF1"/>
    <w:rsid w:val="0061484F"/>
    <w:rsid w:val="00614D21"/>
    <w:rsid w:val="006201D2"/>
    <w:rsid w:val="0062624C"/>
    <w:rsid w:val="00627780"/>
    <w:rsid w:val="006348F6"/>
    <w:rsid w:val="006356CF"/>
    <w:rsid w:val="00642250"/>
    <w:rsid w:val="006441AD"/>
    <w:rsid w:val="00646012"/>
    <w:rsid w:val="0064706B"/>
    <w:rsid w:val="00647D2D"/>
    <w:rsid w:val="00650145"/>
    <w:rsid w:val="00650720"/>
    <w:rsid w:val="006512C1"/>
    <w:rsid w:val="006523EC"/>
    <w:rsid w:val="0066130F"/>
    <w:rsid w:val="00672B10"/>
    <w:rsid w:val="00677E3A"/>
    <w:rsid w:val="00681805"/>
    <w:rsid w:val="00682982"/>
    <w:rsid w:val="006935BB"/>
    <w:rsid w:val="006A027B"/>
    <w:rsid w:val="006A0AE5"/>
    <w:rsid w:val="006A0CA7"/>
    <w:rsid w:val="006A1A2E"/>
    <w:rsid w:val="006A6928"/>
    <w:rsid w:val="006B0369"/>
    <w:rsid w:val="006C0F70"/>
    <w:rsid w:val="006C1E96"/>
    <w:rsid w:val="006D7E44"/>
    <w:rsid w:val="006E2AB8"/>
    <w:rsid w:val="006E53EE"/>
    <w:rsid w:val="006E61A4"/>
    <w:rsid w:val="006E6A27"/>
    <w:rsid w:val="006F30ED"/>
    <w:rsid w:val="006F312E"/>
    <w:rsid w:val="006F7CDB"/>
    <w:rsid w:val="00703122"/>
    <w:rsid w:val="00704DA2"/>
    <w:rsid w:val="0070705E"/>
    <w:rsid w:val="007107C2"/>
    <w:rsid w:val="00714117"/>
    <w:rsid w:val="0071709A"/>
    <w:rsid w:val="00717199"/>
    <w:rsid w:val="0072415E"/>
    <w:rsid w:val="00730509"/>
    <w:rsid w:val="00737717"/>
    <w:rsid w:val="007379E3"/>
    <w:rsid w:val="007446EB"/>
    <w:rsid w:val="00746748"/>
    <w:rsid w:val="007511CD"/>
    <w:rsid w:val="0075271C"/>
    <w:rsid w:val="0075420C"/>
    <w:rsid w:val="007544A8"/>
    <w:rsid w:val="00757BB4"/>
    <w:rsid w:val="00760776"/>
    <w:rsid w:val="007625CD"/>
    <w:rsid w:val="007637CB"/>
    <w:rsid w:val="007722E7"/>
    <w:rsid w:val="00774069"/>
    <w:rsid w:val="00780B06"/>
    <w:rsid w:val="00781074"/>
    <w:rsid w:val="00785BAA"/>
    <w:rsid w:val="00790DB8"/>
    <w:rsid w:val="00792005"/>
    <w:rsid w:val="00797F6C"/>
    <w:rsid w:val="007A699F"/>
    <w:rsid w:val="007B025D"/>
    <w:rsid w:val="007B1E3E"/>
    <w:rsid w:val="007B1F1E"/>
    <w:rsid w:val="007B50EA"/>
    <w:rsid w:val="007C205F"/>
    <w:rsid w:val="007C3A14"/>
    <w:rsid w:val="007C6654"/>
    <w:rsid w:val="007C76C3"/>
    <w:rsid w:val="007D3EF2"/>
    <w:rsid w:val="007D42B3"/>
    <w:rsid w:val="007E19EB"/>
    <w:rsid w:val="007E5154"/>
    <w:rsid w:val="007F0316"/>
    <w:rsid w:val="007F788C"/>
    <w:rsid w:val="00803D8D"/>
    <w:rsid w:val="008060D2"/>
    <w:rsid w:val="0081220C"/>
    <w:rsid w:val="00817390"/>
    <w:rsid w:val="00820C76"/>
    <w:rsid w:val="00821459"/>
    <w:rsid w:val="008249DC"/>
    <w:rsid w:val="008277E3"/>
    <w:rsid w:val="00833307"/>
    <w:rsid w:val="00834050"/>
    <w:rsid w:val="00837836"/>
    <w:rsid w:val="00851214"/>
    <w:rsid w:val="00851D29"/>
    <w:rsid w:val="008520FA"/>
    <w:rsid w:val="00854ED1"/>
    <w:rsid w:val="00860C58"/>
    <w:rsid w:val="00865702"/>
    <w:rsid w:val="00867774"/>
    <w:rsid w:val="00870A54"/>
    <w:rsid w:val="00874297"/>
    <w:rsid w:val="00874DC1"/>
    <w:rsid w:val="00874F1D"/>
    <w:rsid w:val="0088784F"/>
    <w:rsid w:val="00891C89"/>
    <w:rsid w:val="00893289"/>
    <w:rsid w:val="0089369D"/>
    <w:rsid w:val="0089425C"/>
    <w:rsid w:val="008A122A"/>
    <w:rsid w:val="008A38B5"/>
    <w:rsid w:val="008A5A17"/>
    <w:rsid w:val="008A6456"/>
    <w:rsid w:val="008B128B"/>
    <w:rsid w:val="008B1A17"/>
    <w:rsid w:val="008B418B"/>
    <w:rsid w:val="008C4D1A"/>
    <w:rsid w:val="008C61FB"/>
    <w:rsid w:val="008D11A0"/>
    <w:rsid w:val="008D1467"/>
    <w:rsid w:val="008D36BC"/>
    <w:rsid w:val="008D7A2E"/>
    <w:rsid w:val="008E2C0D"/>
    <w:rsid w:val="008F7EBB"/>
    <w:rsid w:val="009049AF"/>
    <w:rsid w:val="00905D2C"/>
    <w:rsid w:val="00907A71"/>
    <w:rsid w:val="0091154B"/>
    <w:rsid w:val="00912035"/>
    <w:rsid w:val="0091218B"/>
    <w:rsid w:val="00912EC7"/>
    <w:rsid w:val="009200A9"/>
    <w:rsid w:val="00933179"/>
    <w:rsid w:val="00933292"/>
    <w:rsid w:val="00940AB3"/>
    <w:rsid w:val="00946648"/>
    <w:rsid w:val="0095131E"/>
    <w:rsid w:val="00957DA2"/>
    <w:rsid w:val="009606E5"/>
    <w:rsid w:val="009608FA"/>
    <w:rsid w:val="009616C9"/>
    <w:rsid w:val="009633FE"/>
    <w:rsid w:val="0097638B"/>
    <w:rsid w:val="00980E8E"/>
    <w:rsid w:val="00991730"/>
    <w:rsid w:val="009A14BE"/>
    <w:rsid w:val="009A4408"/>
    <w:rsid w:val="009A4753"/>
    <w:rsid w:val="009B2295"/>
    <w:rsid w:val="009B263A"/>
    <w:rsid w:val="009B2C5E"/>
    <w:rsid w:val="009C0A0C"/>
    <w:rsid w:val="009D6B6D"/>
    <w:rsid w:val="009E5E6C"/>
    <w:rsid w:val="009E7E5C"/>
    <w:rsid w:val="009F1C7A"/>
    <w:rsid w:val="009F5BD9"/>
    <w:rsid w:val="009F5EBC"/>
    <w:rsid w:val="00A01010"/>
    <w:rsid w:val="00A03295"/>
    <w:rsid w:val="00A26160"/>
    <w:rsid w:val="00A268D2"/>
    <w:rsid w:val="00A27491"/>
    <w:rsid w:val="00A312CC"/>
    <w:rsid w:val="00A3517F"/>
    <w:rsid w:val="00A37A1E"/>
    <w:rsid w:val="00A4077E"/>
    <w:rsid w:val="00A40C46"/>
    <w:rsid w:val="00A57E47"/>
    <w:rsid w:val="00A6064A"/>
    <w:rsid w:val="00A619B6"/>
    <w:rsid w:val="00A61BDB"/>
    <w:rsid w:val="00A6300F"/>
    <w:rsid w:val="00A66622"/>
    <w:rsid w:val="00A70307"/>
    <w:rsid w:val="00A75D13"/>
    <w:rsid w:val="00A83498"/>
    <w:rsid w:val="00A86896"/>
    <w:rsid w:val="00A879E8"/>
    <w:rsid w:val="00A90967"/>
    <w:rsid w:val="00A91F22"/>
    <w:rsid w:val="00A94615"/>
    <w:rsid w:val="00AA199C"/>
    <w:rsid w:val="00AA3F59"/>
    <w:rsid w:val="00AC0958"/>
    <w:rsid w:val="00AC24A9"/>
    <w:rsid w:val="00AC2F46"/>
    <w:rsid w:val="00AC35A0"/>
    <w:rsid w:val="00AD1B98"/>
    <w:rsid w:val="00AD32D5"/>
    <w:rsid w:val="00AD5137"/>
    <w:rsid w:val="00AE5BF0"/>
    <w:rsid w:val="00AE7E4B"/>
    <w:rsid w:val="00AF3118"/>
    <w:rsid w:val="00AF414C"/>
    <w:rsid w:val="00AF66E0"/>
    <w:rsid w:val="00B04CA6"/>
    <w:rsid w:val="00B078C0"/>
    <w:rsid w:val="00B11515"/>
    <w:rsid w:val="00B126DC"/>
    <w:rsid w:val="00B12FD6"/>
    <w:rsid w:val="00B13159"/>
    <w:rsid w:val="00B1436F"/>
    <w:rsid w:val="00B27808"/>
    <w:rsid w:val="00B4017A"/>
    <w:rsid w:val="00B445C5"/>
    <w:rsid w:val="00B47FC5"/>
    <w:rsid w:val="00B52724"/>
    <w:rsid w:val="00B56BAA"/>
    <w:rsid w:val="00B57B5B"/>
    <w:rsid w:val="00B61F02"/>
    <w:rsid w:val="00B6237D"/>
    <w:rsid w:val="00B6530E"/>
    <w:rsid w:val="00B723B3"/>
    <w:rsid w:val="00B83908"/>
    <w:rsid w:val="00B87759"/>
    <w:rsid w:val="00B90974"/>
    <w:rsid w:val="00B96B45"/>
    <w:rsid w:val="00BA2EE0"/>
    <w:rsid w:val="00BA37B8"/>
    <w:rsid w:val="00BA6428"/>
    <w:rsid w:val="00BB391F"/>
    <w:rsid w:val="00BB6095"/>
    <w:rsid w:val="00BC5BC5"/>
    <w:rsid w:val="00BD2A12"/>
    <w:rsid w:val="00BD4039"/>
    <w:rsid w:val="00BD47D2"/>
    <w:rsid w:val="00BD59F7"/>
    <w:rsid w:val="00BD5BFC"/>
    <w:rsid w:val="00BD73DD"/>
    <w:rsid w:val="00BF493B"/>
    <w:rsid w:val="00BF72C6"/>
    <w:rsid w:val="00C07FC8"/>
    <w:rsid w:val="00C12DC0"/>
    <w:rsid w:val="00C13C94"/>
    <w:rsid w:val="00C23C88"/>
    <w:rsid w:val="00C24FDF"/>
    <w:rsid w:val="00C2698F"/>
    <w:rsid w:val="00C27A70"/>
    <w:rsid w:val="00C3086A"/>
    <w:rsid w:val="00C314A7"/>
    <w:rsid w:val="00C31871"/>
    <w:rsid w:val="00C32787"/>
    <w:rsid w:val="00C334AD"/>
    <w:rsid w:val="00C33FDE"/>
    <w:rsid w:val="00C42832"/>
    <w:rsid w:val="00C604C0"/>
    <w:rsid w:val="00C64B4C"/>
    <w:rsid w:val="00C651D2"/>
    <w:rsid w:val="00C66F8B"/>
    <w:rsid w:val="00C74F2F"/>
    <w:rsid w:val="00C7666C"/>
    <w:rsid w:val="00C80C0C"/>
    <w:rsid w:val="00C82760"/>
    <w:rsid w:val="00C909A2"/>
    <w:rsid w:val="00C9611F"/>
    <w:rsid w:val="00C96343"/>
    <w:rsid w:val="00C97FEE"/>
    <w:rsid w:val="00CA19D9"/>
    <w:rsid w:val="00CA3F9B"/>
    <w:rsid w:val="00CA4F38"/>
    <w:rsid w:val="00CA5AF7"/>
    <w:rsid w:val="00CA635D"/>
    <w:rsid w:val="00CA7E9A"/>
    <w:rsid w:val="00CB1B2C"/>
    <w:rsid w:val="00CB3EA0"/>
    <w:rsid w:val="00CC144F"/>
    <w:rsid w:val="00CC3916"/>
    <w:rsid w:val="00CC615D"/>
    <w:rsid w:val="00CC7D5C"/>
    <w:rsid w:val="00CD3C99"/>
    <w:rsid w:val="00CD4482"/>
    <w:rsid w:val="00CE1EC0"/>
    <w:rsid w:val="00CE217C"/>
    <w:rsid w:val="00CF499A"/>
    <w:rsid w:val="00CF6603"/>
    <w:rsid w:val="00CF7943"/>
    <w:rsid w:val="00D00D07"/>
    <w:rsid w:val="00D05C1E"/>
    <w:rsid w:val="00D068EB"/>
    <w:rsid w:val="00D1013F"/>
    <w:rsid w:val="00D14D54"/>
    <w:rsid w:val="00D204DE"/>
    <w:rsid w:val="00D218E0"/>
    <w:rsid w:val="00D25F02"/>
    <w:rsid w:val="00D26BE1"/>
    <w:rsid w:val="00D27544"/>
    <w:rsid w:val="00D358EA"/>
    <w:rsid w:val="00D43059"/>
    <w:rsid w:val="00D50849"/>
    <w:rsid w:val="00D50E12"/>
    <w:rsid w:val="00D50E98"/>
    <w:rsid w:val="00D57B2B"/>
    <w:rsid w:val="00D7083D"/>
    <w:rsid w:val="00D721CB"/>
    <w:rsid w:val="00D755A1"/>
    <w:rsid w:val="00D774EA"/>
    <w:rsid w:val="00D85B47"/>
    <w:rsid w:val="00D9097D"/>
    <w:rsid w:val="00D93813"/>
    <w:rsid w:val="00D9496A"/>
    <w:rsid w:val="00DA4553"/>
    <w:rsid w:val="00DC2C99"/>
    <w:rsid w:val="00DC4EFF"/>
    <w:rsid w:val="00DD2F91"/>
    <w:rsid w:val="00DD3FFB"/>
    <w:rsid w:val="00DD62BF"/>
    <w:rsid w:val="00DE0C3A"/>
    <w:rsid w:val="00DE3734"/>
    <w:rsid w:val="00DE5423"/>
    <w:rsid w:val="00DE602D"/>
    <w:rsid w:val="00DE6B6F"/>
    <w:rsid w:val="00DF2C68"/>
    <w:rsid w:val="00DF5525"/>
    <w:rsid w:val="00DF6A49"/>
    <w:rsid w:val="00E061F4"/>
    <w:rsid w:val="00E138E1"/>
    <w:rsid w:val="00E16543"/>
    <w:rsid w:val="00E237C2"/>
    <w:rsid w:val="00E32773"/>
    <w:rsid w:val="00E32D46"/>
    <w:rsid w:val="00E355FA"/>
    <w:rsid w:val="00E362BD"/>
    <w:rsid w:val="00E40D6E"/>
    <w:rsid w:val="00E46B67"/>
    <w:rsid w:val="00E521EE"/>
    <w:rsid w:val="00E54301"/>
    <w:rsid w:val="00E547F4"/>
    <w:rsid w:val="00E56439"/>
    <w:rsid w:val="00E60946"/>
    <w:rsid w:val="00E70D50"/>
    <w:rsid w:val="00E716C2"/>
    <w:rsid w:val="00E76211"/>
    <w:rsid w:val="00E76AEC"/>
    <w:rsid w:val="00E8144A"/>
    <w:rsid w:val="00E82BDC"/>
    <w:rsid w:val="00E86553"/>
    <w:rsid w:val="00E95EF8"/>
    <w:rsid w:val="00EA026E"/>
    <w:rsid w:val="00EB052D"/>
    <w:rsid w:val="00EB21C5"/>
    <w:rsid w:val="00EC4DE9"/>
    <w:rsid w:val="00ED01C0"/>
    <w:rsid w:val="00ED16CF"/>
    <w:rsid w:val="00ED185A"/>
    <w:rsid w:val="00ED26F9"/>
    <w:rsid w:val="00ED3A92"/>
    <w:rsid w:val="00ED3ED1"/>
    <w:rsid w:val="00EF40FF"/>
    <w:rsid w:val="00EF4BE9"/>
    <w:rsid w:val="00EF4CE0"/>
    <w:rsid w:val="00F12119"/>
    <w:rsid w:val="00F14D3D"/>
    <w:rsid w:val="00F1670E"/>
    <w:rsid w:val="00F205D2"/>
    <w:rsid w:val="00F21A0A"/>
    <w:rsid w:val="00F225F9"/>
    <w:rsid w:val="00F3471C"/>
    <w:rsid w:val="00F34FDB"/>
    <w:rsid w:val="00F3663C"/>
    <w:rsid w:val="00F37BCE"/>
    <w:rsid w:val="00F47A18"/>
    <w:rsid w:val="00F515BD"/>
    <w:rsid w:val="00F520F9"/>
    <w:rsid w:val="00F528CE"/>
    <w:rsid w:val="00F533A0"/>
    <w:rsid w:val="00F554C6"/>
    <w:rsid w:val="00F620F6"/>
    <w:rsid w:val="00F64F7B"/>
    <w:rsid w:val="00F65832"/>
    <w:rsid w:val="00F71DEA"/>
    <w:rsid w:val="00F80DE0"/>
    <w:rsid w:val="00F839D2"/>
    <w:rsid w:val="00F91B95"/>
    <w:rsid w:val="00F934AA"/>
    <w:rsid w:val="00F9384F"/>
    <w:rsid w:val="00F97007"/>
    <w:rsid w:val="00FA1FE0"/>
    <w:rsid w:val="00FA33AC"/>
    <w:rsid w:val="00FA5F94"/>
    <w:rsid w:val="00FB20D6"/>
    <w:rsid w:val="00FB2BC3"/>
    <w:rsid w:val="00FB5824"/>
    <w:rsid w:val="00FC0F45"/>
    <w:rsid w:val="00FC192E"/>
    <w:rsid w:val="00FC5232"/>
    <w:rsid w:val="00FC5DAC"/>
    <w:rsid w:val="00FC7C5C"/>
    <w:rsid w:val="00FD049B"/>
    <w:rsid w:val="00FD23EC"/>
    <w:rsid w:val="00FD4638"/>
    <w:rsid w:val="00FE22D2"/>
    <w:rsid w:val="00FE40BA"/>
    <w:rsid w:val="00FE70B5"/>
    <w:rsid w:val="00FF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F0AE0"/>
  <w15:docId w15:val="{CA4C1513-EE65-45C1-9026-29FC2AD9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3">
    <w:name w:val="heading 3"/>
    <w:basedOn w:val="Normal"/>
    <w:next w:val="Normal"/>
    <w:link w:val="Heading3Char"/>
    <w:uiPriority w:val="9"/>
    <w:semiHidden/>
    <w:unhideWhenUsed/>
    <w:qFormat/>
    <w:rsid w:val="00512C4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qFormat/>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f"/>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ft Char Char,f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semiHidden/>
    <w:unhideWhenUsed/>
    <w:rsid w:val="00F47A18"/>
    <w:rPr>
      <w:color w:val="605E5C"/>
      <w:shd w:val="clear" w:color="auto" w:fill="E1DFDD"/>
    </w:rPr>
  </w:style>
  <w:style w:type="character" w:customStyle="1" w:styleId="Heading3Char">
    <w:name w:val="Heading 3 Char"/>
    <w:basedOn w:val="DefaultParagraphFont"/>
    <w:link w:val="Heading3"/>
    <w:uiPriority w:val="9"/>
    <w:semiHidden/>
    <w:rsid w:val="00512C48"/>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CA7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4">
    <w:name w:val="myTOC 4"/>
    <w:basedOn w:val="Normal"/>
    <w:next w:val="Normal"/>
    <w:rsid w:val="002C7726"/>
    <w:pPr>
      <w:tabs>
        <w:tab w:val="right" w:leader="dot" w:pos="9360"/>
      </w:tabs>
      <w:ind w:left="864"/>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ms.ferc.gov/enforcement-legal/legal/information-collectio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erc.gov/ferc-online/etarif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idmws/common/opennat.asp?fileID=14823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Closed_x003f__x0020__x0028_Yes_x002f_No_x0029_ xmlns="eca1d5f7-e5f4-470d-9b0f-de6bf2d806f5">false</Closed_x003f__x0020__x0028_Yes_x002f_No_x0029_>
    <Ratings xmlns="http://schemas.microsoft.com/sharepoint/v3" xsi:nil="true"/>
    <Presentation_x0020_date xmlns="6348586a-5d49-4697-917a-501e2409f758" xsi:nil="true"/>
    <LikedBy xmlns="http://schemas.microsoft.com/sharepoint/v3">
      <UserInfo>
        <DisplayName/>
        <AccountId xsi:nil="true"/>
        <AccountType/>
      </UserInfo>
    </LikedBy>
    <Project_x0020_Number xmlns="6348586a-5d49-4697-917a-501e2409f758" xsi:nil="true"/>
    <PublishingExpirationDate xmlns="http://schemas.microsoft.com/sharepoint/v3" xsi:nil="true"/>
    <P_x003a__x0020_Drive_x0020_Data xmlns="6348586a-5d49-4697-917a-501e2409f758" xsi:nil="true"/>
    <in8c xmlns="6348586a-5d49-4697-917a-501e2409f758" xsi:nil="true"/>
    <PublishingStartDate xmlns="http://schemas.microsoft.com/sharepoint/v3" xsi:nil="true"/>
    <Project_x0020_Number_x0020__x0028_additional_x0029_ xmlns="6348586a-5d49-4697-917a-501e2409f758" xsi:nil="true"/>
    <r5p7 xmlns="6348586a-5d49-4697-917a-501e2409f758" xsi:nil="true"/>
    <RatedBy xmlns="http://schemas.microsoft.com/sharepoint/v3">
      <UserInfo>
        <DisplayName/>
        <AccountId xsi:nil="true"/>
        <AccountType/>
      </UserInfo>
    </RatedBy>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E7CBDE48CC8F745893C10441DC3615E" ma:contentTypeVersion="51" ma:contentTypeDescription="Create a new document." ma:contentTypeScope="" ma:versionID="b96efe49d4292f396c4651ac00d41ca2">
  <xsd:schema xmlns:xsd="http://www.w3.org/2001/XMLSchema" xmlns:xs="http://www.w3.org/2001/XMLSchema" xmlns:p="http://schemas.microsoft.com/office/2006/metadata/properties" xmlns:ns1="http://schemas.microsoft.com/sharepoint/v3" xmlns:ns2="eca1d5f7-e5f4-470d-9b0f-de6bf2d806f5" xmlns:ns3="6348586a-5d49-4697-917a-501e2409f758" targetNamespace="http://schemas.microsoft.com/office/2006/metadata/properties" ma:root="true" ma:fieldsID="135929cc10005c154ae24026370c0533" ns1:_="" ns2:_="" ns3:_="">
    <xsd:import namespace="http://schemas.microsoft.com/sharepoint/v3"/>
    <xsd:import namespace="eca1d5f7-e5f4-470d-9b0f-de6bf2d806f5"/>
    <xsd:import namespace="6348586a-5d49-4697-917a-501e2409f758"/>
    <xsd:element name="properties">
      <xsd:complexType>
        <xsd:sequence>
          <xsd:element name="documentManagement">
            <xsd:complexType>
              <xsd:all>
                <xsd:element ref="ns2:Closed_x003f__x0020__x0028_Yes_x002f_No_x0029_" minOccurs="0"/>
                <xsd:element ref="ns3:Project_x0020_Number" minOccurs="0"/>
                <xsd:element ref="ns3:Project_x0020_Number_x0020__x0028_additional_x0029_" minOccurs="0"/>
                <xsd:element ref="ns1:PublishingStartDate" minOccurs="0"/>
                <xsd:element ref="ns1:PublishingExpirationDate"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edBy" ma:index="19"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0" nillable="true" ma:displayName="User ratings" ma:description="User ratings for the item" ma:hidden="true" ma:internalName="Ratings">
      <xsd:simpleType>
        <xsd:restriction base="dms:Note"/>
      </xsd:simpleType>
    </xsd:element>
    <xsd:element name="LikesCount" ma:index="21" nillable="true" ma:displayName="Number of Likes" ma:internalName="LikesCount">
      <xsd:simpleType>
        <xsd:restriction base="dms:Unknown"/>
      </xsd:simpleType>
    </xsd:element>
    <xsd:element name="LikedBy" ma:index="22"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a1d5f7-e5f4-470d-9b0f-de6bf2d806f5" elementFormDefault="qualified">
    <xsd:import namespace="http://schemas.microsoft.com/office/2006/documentManagement/types"/>
    <xsd:import namespace="http://schemas.microsoft.com/office/infopath/2007/PartnerControls"/>
    <xsd:element name="Closed_x003f__x0020__x0028_Yes_x002f_No_x0029_" ma:index="2" nillable="true" ma:displayName="Closed? (Yes/No)" ma:default="0" ma:description="Check for closed, unchecked for open" ma:internalName="Closed_x003F__x0020__x0028_Yes_x002F_No_x0029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48586a-5d49-4697-917a-501e2409f758" elementFormDefault="qualified">
    <xsd:import namespace="http://schemas.microsoft.com/office/2006/documentManagement/types"/>
    <xsd:import namespace="http://schemas.microsoft.com/office/infopath/2007/PartnerControls"/>
    <xsd:element name="Project_x0020_Number" ma:index="3"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4"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678A-27A8-4A1F-8D0C-B3A31E55376D}">
  <ds:schemaRefs>
    <ds:schemaRef ds:uri="eca1d5f7-e5f4-470d-9b0f-de6bf2d806f5"/>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6348586a-5d49-4697-917a-501e2409f758"/>
    <ds:schemaRef ds:uri="http://purl.org/dc/dcmitype/"/>
  </ds:schemaRefs>
</ds:datastoreItem>
</file>

<file path=customXml/itemProps2.xml><?xml version="1.0" encoding="utf-8"?>
<ds:datastoreItem xmlns:ds="http://schemas.openxmlformats.org/officeDocument/2006/customXml" ds:itemID="{58885D4D-3DD5-436D-8CD1-AFC546A2F3B6}">
  <ds:schemaRefs>
    <ds:schemaRef ds:uri="Microsoft.SharePoint.Taxonomy.ContentTypeSync"/>
  </ds:schemaRefs>
</ds:datastoreItem>
</file>

<file path=customXml/itemProps3.xml><?xml version="1.0" encoding="utf-8"?>
<ds:datastoreItem xmlns:ds="http://schemas.openxmlformats.org/officeDocument/2006/customXml" ds:itemID="{351E5DDC-B7BF-46CC-ACA4-657A30BF2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a1d5f7-e5f4-470d-9b0f-de6bf2d806f5"/>
    <ds:schemaRef ds:uri="6348586a-5d49-4697-917a-501e2409f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5.xml><?xml version="1.0" encoding="utf-8"?>
<ds:datastoreItem xmlns:ds="http://schemas.openxmlformats.org/officeDocument/2006/customXml" ds:itemID="{D54F6A15-1EF4-4F00-9931-BF33DB9B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2498</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Nishi Parekh</dc:creator>
  <cp:lastModifiedBy>Jean Sonneman</cp:lastModifiedBy>
  <cp:revision>2</cp:revision>
  <cp:lastPrinted>2018-01-30T20:32:00Z</cp:lastPrinted>
  <dcterms:created xsi:type="dcterms:W3CDTF">2020-10-23T12:55:00Z</dcterms:created>
  <dcterms:modified xsi:type="dcterms:W3CDTF">2020-10-23T12:55:00Z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0x0101009E7CBDE48CC8F745893C10441DC3615E</vt:lpwstr>
  </property>
  <property fmtid="{D5CDD505-2E9C-101B-9397-08002B2CF9AE}" pid="3" name="_NewReviewCycle">
    <vt:lpwstr/>
  </property>
  <property fmtid="{D5CDD505-2E9C-101B-9397-08002B2CF9AE}" pid="4" name="MSIP_Label_6155a89b-0f08-4a93-8ea2-8a916d6643b5_Enabled">
    <vt:lpwstr>True</vt:lpwstr>
  </property>
  <property fmtid="{D5CDD505-2E9C-101B-9397-08002B2CF9AE}" pid="5" name="MSIP_Label_6155a89b-0f08-4a93-8ea2-8a916d6643b5_SiteId">
    <vt:lpwstr>19caa9e9-04ff-43fa-885f-d77fac387903</vt:lpwstr>
  </property>
  <property fmtid="{D5CDD505-2E9C-101B-9397-08002B2CF9AE}" pid="6" name="MSIP_Label_6155a89b-0f08-4a93-8ea2-8a916d6643b5_Owner">
    <vt:lpwstr>Jean.Sonneman@ferc.gov</vt:lpwstr>
  </property>
  <property fmtid="{D5CDD505-2E9C-101B-9397-08002B2CF9AE}" pid="7" name="MSIP_Label_6155a89b-0f08-4a93-8ea2-8a916d6643b5_SetDate">
    <vt:lpwstr>2020-10-20T14:09:39.6862211Z</vt:lpwstr>
  </property>
  <property fmtid="{D5CDD505-2E9C-101B-9397-08002B2CF9AE}" pid="8" name="MSIP_Label_6155a89b-0f08-4a93-8ea2-8a916d6643b5_Name">
    <vt:lpwstr>General</vt:lpwstr>
  </property>
  <property fmtid="{D5CDD505-2E9C-101B-9397-08002B2CF9AE}" pid="9" name="MSIP_Label_6155a89b-0f08-4a93-8ea2-8a916d6643b5_Application">
    <vt:lpwstr>Microsoft Azure Information Protection</vt:lpwstr>
  </property>
  <property fmtid="{D5CDD505-2E9C-101B-9397-08002B2CF9AE}" pid="10" name="MSIP_Label_6155a89b-0f08-4a93-8ea2-8a916d6643b5_ActionId">
    <vt:lpwstr>57b33751-fbc5-4583-a64b-29d6fc863fe6</vt:lpwstr>
  </property>
  <property fmtid="{D5CDD505-2E9C-101B-9397-08002B2CF9AE}" pid="11" name="MSIP_Label_6155a89b-0f08-4a93-8ea2-8a916d6643b5_Extended_MSFT_Method">
    <vt:lpwstr>Manual</vt:lpwstr>
  </property>
  <property fmtid="{D5CDD505-2E9C-101B-9397-08002B2CF9AE}" pid="12" name="Sensitivity">
    <vt:lpwstr>General</vt:lpwstr>
  </property>
</Properties>
</file>