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439D" w:rsidP="0035439D" w:rsidRDefault="0035439D" w14:paraId="7C40BF24" w14:textId="1B145F5D">
      <w:pPr>
        <w:widowControl/>
        <w:tabs>
          <w:tab w:val="center" w:pos="5040"/>
        </w:tabs>
        <w:jc w:val="center"/>
        <w:rPr>
          <w:sz w:val="26"/>
          <w:szCs w:val="26"/>
        </w:rPr>
      </w:pPr>
      <w:r w:rsidRPr="003737CB">
        <w:rPr>
          <w:sz w:val="26"/>
          <w:szCs w:val="26"/>
        </w:rPr>
        <w:t>Supporting Statement</w:t>
      </w:r>
    </w:p>
    <w:p w:rsidR="007028E6" w:rsidP="00961C86" w:rsidRDefault="007028E6" w14:paraId="5F613317" w14:textId="77777777">
      <w:pPr>
        <w:widowControl/>
        <w:tabs>
          <w:tab w:val="center" w:pos="5040"/>
        </w:tabs>
        <w:rPr>
          <w:sz w:val="26"/>
          <w:szCs w:val="26"/>
        </w:rPr>
      </w:pPr>
    </w:p>
    <w:p w:rsidRPr="00517123" w:rsidR="00804175" w:rsidP="00804175" w:rsidRDefault="00804175" w14:paraId="6595768D" w14:textId="661EE427">
      <w:pPr>
        <w:jc w:val="center"/>
        <w:rPr>
          <w:b/>
        </w:rPr>
      </w:pPr>
      <w:r w:rsidRPr="00517123">
        <w:rPr>
          <w:b/>
        </w:rPr>
        <w:t xml:space="preserve">FERC-725A, FERC-725G1, and FERC-725Z, as modified by the </w:t>
      </w:r>
      <w:r w:rsidR="00160E1C">
        <w:rPr>
          <w:b/>
        </w:rPr>
        <w:t>Final Rule</w:t>
      </w:r>
      <w:r w:rsidRPr="00517123">
        <w:rPr>
          <w:b/>
        </w:rPr>
        <w:t xml:space="preserve"> in Docket Nos. RM19-16 and RM19-17</w:t>
      </w:r>
      <w:r w:rsidRPr="00517123" w:rsidR="00FE44F6">
        <w:rPr>
          <w:b/>
        </w:rPr>
        <w:t xml:space="preserve"> (issued </w:t>
      </w:r>
      <w:r w:rsidR="008B6D16">
        <w:rPr>
          <w:b/>
        </w:rPr>
        <w:t>September 17,</w:t>
      </w:r>
      <w:r w:rsidRPr="00517123" w:rsidR="00FE44F6">
        <w:rPr>
          <w:b/>
        </w:rPr>
        <w:t xml:space="preserve"> 2020)</w:t>
      </w:r>
    </w:p>
    <w:p w:rsidRPr="00961C86" w:rsidR="007028E6" w:rsidP="00961C86" w:rsidRDefault="007028E6" w14:paraId="3FF8F497" w14:textId="77777777">
      <w:pPr>
        <w:jc w:val="center"/>
      </w:pPr>
    </w:p>
    <w:p w:rsidR="00376EC6" w:rsidP="00517123" w:rsidRDefault="00F144B6" w14:paraId="4398FB6F" w14:textId="0371A2DF">
      <w:pPr>
        <w:rPr>
          <w:rFonts w:ascii="Calibri" w:hAnsi="Calibri"/>
          <w:sz w:val="22"/>
          <w:szCs w:val="22"/>
        </w:rPr>
      </w:pPr>
      <w:r w:rsidRPr="001A153B">
        <w:rPr>
          <w:sz w:val="26"/>
          <w:szCs w:val="26"/>
        </w:rPr>
        <w:t xml:space="preserve">The Federal Energy Regulatory Commission (Commission or FERC) requests OMB review and approval of the changes to reporting and recordkeeping requirements, </w:t>
      </w:r>
      <w:r w:rsidR="00160E1C">
        <w:rPr>
          <w:sz w:val="26"/>
          <w:szCs w:val="26"/>
        </w:rPr>
        <w:t>for th</w:t>
      </w:r>
      <w:r w:rsidR="00C0261E">
        <w:rPr>
          <w:sz w:val="26"/>
          <w:szCs w:val="26"/>
        </w:rPr>
        <w:t>e</w:t>
      </w:r>
      <w:r w:rsidRPr="001A153B" w:rsidR="00481DA4">
        <w:rPr>
          <w:sz w:val="26"/>
          <w:szCs w:val="26"/>
        </w:rPr>
        <w:t xml:space="preserve"> </w:t>
      </w:r>
      <w:r w:rsidR="00783D96">
        <w:rPr>
          <w:sz w:val="26"/>
          <w:szCs w:val="26"/>
        </w:rPr>
        <w:t>fi</w:t>
      </w:r>
      <w:r w:rsidR="00160E1C">
        <w:rPr>
          <w:sz w:val="26"/>
          <w:szCs w:val="26"/>
        </w:rPr>
        <w:t xml:space="preserve">nal </w:t>
      </w:r>
      <w:r w:rsidR="00783D96">
        <w:rPr>
          <w:sz w:val="26"/>
          <w:szCs w:val="26"/>
        </w:rPr>
        <w:t>r</w:t>
      </w:r>
      <w:r w:rsidR="00160E1C">
        <w:rPr>
          <w:sz w:val="26"/>
          <w:szCs w:val="26"/>
        </w:rPr>
        <w:t>ule</w:t>
      </w:r>
      <w:r w:rsidRPr="00481DA4" w:rsidR="00481DA4">
        <w:rPr>
          <w:sz w:val="26"/>
          <w:szCs w:val="26"/>
        </w:rPr>
        <w:t xml:space="preserve"> </w:t>
      </w:r>
      <w:r w:rsidRPr="001A153B">
        <w:rPr>
          <w:sz w:val="26"/>
          <w:szCs w:val="26"/>
        </w:rPr>
        <w:t>(</w:t>
      </w:r>
      <w:r w:rsidR="00724E4B">
        <w:rPr>
          <w:sz w:val="26"/>
          <w:szCs w:val="26"/>
        </w:rPr>
        <w:t>Electric Reliability Organization Proposal to Retire Requirements in Reliability Standards Under the NERC Standards Efficiency Review)</w:t>
      </w:r>
      <w:r w:rsidRPr="001A153B">
        <w:rPr>
          <w:sz w:val="26"/>
          <w:szCs w:val="26"/>
        </w:rPr>
        <w:t xml:space="preserve"> in Docket No</w:t>
      </w:r>
      <w:r w:rsidR="00A65EF9">
        <w:rPr>
          <w:sz w:val="26"/>
          <w:szCs w:val="26"/>
        </w:rPr>
        <w:t>s</w:t>
      </w:r>
      <w:r w:rsidRPr="001A153B">
        <w:rPr>
          <w:sz w:val="26"/>
          <w:szCs w:val="26"/>
        </w:rPr>
        <w:t>. RM</w:t>
      </w:r>
      <w:r w:rsidR="005043FE">
        <w:rPr>
          <w:sz w:val="26"/>
          <w:szCs w:val="26"/>
        </w:rPr>
        <w:t>19-</w:t>
      </w:r>
      <w:r w:rsidRPr="001A153B">
        <w:rPr>
          <w:sz w:val="26"/>
          <w:szCs w:val="26"/>
        </w:rPr>
        <w:t>16</w:t>
      </w:r>
      <w:r w:rsidR="00A65EF9">
        <w:rPr>
          <w:sz w:val="26"/>
          <w:szCs w:val="26"/>
        </w:rPr>
        <w:t xml:space="preserve"> and RM19-</w:t>
      </w:r>
      <w:r w:rsidR="00C2455D">
        <w:rPr>
          <w:sz w:val="26"/>
          <w:szCs w:val="26"/>
        </w:rPr>
        <w:t>17</w:t>
      </w:r>
      <w:r w:rsidRPr="001A153B">
        <w:rPr>
          <w:sz w:val="26"/>
          <w:szCs w:val="26"/>
        </w:rPr>
        <w:t>.</w:t>
      </w:r>
      <w:r w:rsidR="00650471">
        <w:rPr>
          <w:sz w:val="26"/>
          <w:szCs w:val="26"/>
        </w:rPr>
        <w:t xml:space="preserve">  The petitions in </w:t>
      </w:r>
      <w:r w:rsidR="00581FD7">
        <w:rPr>
          <w:sz w:val="26"/>
          <w:szCs w:val="26"/>
        </w:rPr>
        <w:t xml:space="preserve">these </w:t>
      </w:r>
      <w:r w:rsidR="00650471">
        <w:rPr>
          <w:sz w:val="26"/>
          <w:szCs w:val="26"/>
        </w:rPr>
        <w:t>dockets were submitted on June 7, 2019</w:t>
      </w:r>
      <w:r w:rsidR="00517123">
        <w:rPr>
          <w:sz w:val="26"/>
          <w:szCs w:val="26"/>
        </w:rPr>
        <w:t xml:space="preserve"> </w:t>
      </w:r>
      <w:r w:rsidR="00650471">
        <w:rPr>
          <w:sz w:val="26"/>
          <w:szCs w:val="26"/>
        </w:rPr>
        <w:t xml:space="preserve">and have been consolidated for contemporaneous consideration in the </w:t>
      </w:r>
      <w:r w:rsidR="00040474">
        <w:rPr>
          <w:sz w:val="26"/>
          <w:szCs w:val="26"/>
        </w:rPr>
        <w:t>final rule</w:t>
      </w:r>
      <w:r w:rsidR="00650471">
        <w:rPr>
          <w:sz w:val="26"/>
          <w:szCs w:val="26"/>
        </w:rPr>
        <w:t xml:space="preserve">. </w:t>
      </w:r>
      <w:r w:rsidR="0026242F">
        <w:rPr>
          <w:sz w:val="26"/>
          <w:szCs w:val="26"/>
        </w:rPr>
        <w:t xml:space="preserve"> </w:t>
      </w:r>
      <w:r w:rsidR="0041033E">
        <w:rPr>
          <w:sz w:val="26"/>
          <w:szCs w:val="26"/>
        </w:rPr>
        <w:t>The Federal Energy Regulatory Commission (Commission or FERC) requests the Office of Management and Budget (OMB) review and approve the</w:t>
      </w:r>
      <w:r w:rsidR="00A65EF9">
        <w:rPr>
          <w:sz w:val="26"/>
          <w:szCs w:val="26"/>
        </w:rPr>
        <w:t xml:space="preserve"> </w:t>
      </w:r>
      <w:r w:rsidR="0041033E">
        <w:rPr>
          <w:sz w:val="26"/>
          <w:szCs w:val="26"/>
        </w:rPr>
        <w:t xml:space="preserve">revisions </w:t>
      </w:r>
      <w:r w:rsidR="0020129D">
        <w:rPr>
          <w:sz w:val="26"/>
          <w:szCs w:val="26"/>
        </w:rPr>
        <w:t>of</w:t>
      </w:r>
      <w:r w:rsidR="00650471">
        <w:rPr>
          <w:sz w:val="26"/>
          <w:szCs w:val="26"/>
        </w:rPr>
        <w:t>:</w:t>
      </w:r>
    </w:p>
    <w:p w:rsidR="00376EC6" w:rsidP="00961C86" w:rsidRDefault="00376EC6" w14:paraId="49CC76C1" w14:textId="77777777">
      <w:pPr>
        <w:ind w:left="720"/>
      </w:pPr>
    </w:p>
    <w:p w:rsidRPr="00961C86" w:rsidR="0003654A" w:rsidP="00C0261E" w:rsidRDefault="0003654A" w14:paraId="3C11215E" w14:textId="7D542C57">
      <w:pPr>
        <w:pStyle w:val="ListParagraph"/>
        <w:numPr>
          <w:ilvl w:val="0"/>
          <w:numId w:val="12"/>
        </w:numPr>
        <w:rPr>
          <w:rFonts w:ascii="Times New Roman" w:hAnsi="Times New Roman"/>
          <w:sz w:val="24"/>
          <w:szCs w:val="24"/>
        </w:rPr>
      </w:pPr>
      <w:r w:rsidRPr="00961C86">
        <w:rPr>
          <w:rFonts w:ascii="Times New Roman" w:hAnsi="Times New Roman"/>
          <w:sz w:val="24"/>
          <w:szCs w:val="24"/>
        </w:rPr>
        <w:t>FERC-725</w:t>
      </w:r>
      <w:r w:rsidR="00FD129C">
        <w:rPr>
          <w:rFonts w:ascii="Times New Roman" w:hAnsi="Times New Roman"/>
          <w:sz w:val="24"/>
          <w:szCs w:val="24"/>
        </w:rPr>
        <w:t>A</w:t>
      </w:r>
      <w:r w:rsidRPr="00961C86" w:rsidR="00EA1967">
        <w:rPr>
          <w:rFonts w:ascii="Times New Roman" w:hAnsi="Times New Roman"/>
          <w:sz w:val="24"/>
          <w:szCs w:val="24"/>
        </w:rPr>
        <w:t xml:space="preserve"> </w:t>
      </w:r>
      <w:bookmarkStart w:name="_Hlk53586471" w:id="0"/>
      <w:r w:rsidRPr="00961C86">
        <w:rPr>
          <w:rFonts w:ascii="Times New Roman" w:hAnsi="Times New Roman"/>
          <w:sz w:val="24"/>
          <w:szCs w:val="24"/>
        </w:rPr>
        <w:t>(Mandatory Reliability Standards for the Bulk-Power System)</w:t>
      </w:r>
      <w:r w:rsidRPr="00961C86" w:rsidR="00A65EF9">
        <w:rPr>
          <w:rFonts w:ascii="Times New Roman" w:hAnsi="Times New Roman"/>
          <w:sz w:val="24"/>
          <w:szCs w:val="24"/>
        </w:rPr>
        <w:t>,</w:t>
      </w:r>
      <w:r w:rsidRPr="00961C86" w:rsidR="00EA1967">
        <w:rPr>
          <w:rFonts w:ascii="Times New Roman" w:hAnsi="Times New Roman"/>
          <w:sz w:val="24"/>
          <w:szCs w:val="24"/>
        </w:rPr>
        <w:t xml:space="preserve"> OMB Control No. 1902-0244</w:t>
      </w:r>
      <w:r w:rsidR="00D1182E">
        <w:rPr>
          <w:rFonts w:ascii="Times New Roman" w:hAnsi="Times New Roman"/>
          <w:sz w:val="24"/>
          <w:szCs w:val="24"/>
        </w:rPr>
        <w:t>;</w:t>
      </w:r>
      <w:r w:rsidRPr="00934C09" w:rsidR="00934C09">
        <w:rPr>
          <w:rStyle w:val="FootnoteReference"/>
          <w:rFonts w:ascii="Times New Roman" w:hAnsi="Times New Roman"/>
          <w:sz w:val="24"/>
          <w:szCs w:val="24"/>
          <w:vertAlign w:val="superscript"/>
        </w:rPr>
        <w:footnoteReference w:id="1"/>
      </w:r>
      <w:bookmarkEnd w:id="0"/>
    </w:p>
    <w:p w:rsidRPr="00961C86" w:rsidR="0003654A" w:rsidP="00961C86" w:rsidRDefault="0003654A" w14:paraId="7839EAD0" w14:textId="4227173F">
      <w:pPr>
        <w:pStyle w:val="ListParagraph"/>
        <w:numPr>
          <w:ilvl w:val="0"/>
          <w:numId w:val="12"/>
        </w:numPr>
        <w:tabs>
          <w:tab w:val="center" w:pos="5040"/>
        </w:tabs>
        <w:rPr>
          <w:rFonts w:ascii="Times New Roman" w:hAnsi="Times New Roman"/>
          <w:sz w:val="24"/>
          <w:szCs w:val="24"/>
        </w:rPr>
      </w:pPr>
      <w:r w:rsidRPr="00961C86">
        <w:rPr>
          <w:rFonts w:ascii="Times New Roman" w:hAnsi="Times New Roman"/>
          <w:sz w:val="24"/>
          <w:szCs w:val="24"/>
        </w:rPr>
        <w:t>FERC-725G1 Reliability Standards for the Bulk Power System: Reliability Standard PRC-004-5(i))</w:t>
      </w:r>
      <w:r w:rsidRPr="00961C86" w:rsidR="00A65EF9">
        <w:rPr>
          <w:rFonts w:ascii="Times New Roman" w:hAnsi="Times New Roman"/>
          <w:sz w:val="24"/>
          <w:szCs w:val="24"/>
        </w:rPr>
        <w:t>,</w:t>
      </w:r>
      <w:r w:rsidRPr="00961C86" w:rsidR="00EA1967">
        <w:rPr>
          <w:rFonts w:ascii="Times New Roman" w:hAnsi="Times New Roman"/>
          <w:sz w:val="24"/>
          <w:szCs w:val="24"/>
        </w:rPr>
        <w:t xml:space="preserve"> OMB Control No. 1902-0284</w:t>
      </w:r>
      <w:r w:rsidR="00D1182E">
        <w:rPr>
          <w:rFonts w:ascii="Times New Roman" w:hAnsi="Times New Roman"/>
          <w:sz w:val="24"/>
          <w:szCs w:val="24"/>
        </w:rPr>
        <w:t>; and</w:t>
      </w:r>
    </w:p>
    <w:p w:rsidRPr="00376EC6" w:rsidR="0035439D" w:rsidP="00D1182E" w:rsidRDefault="0003654A" w14:paraId="69956F4D" w14:textId="536C505F">
      <w:pPr>
        <w:pStyle w:val="ListParagraph"/>
        <w:numPr>
          <w:ilvl w:val="0"/>
          <w:numId w:val="12"/>
        </w:numPr>
        <w:spacing w:after="0" w:line="240" w:lineRule="auto"/>
      </w:pPr>
      <w:r w:rsidRPr="00376EC6">
        <w:rPr>
          <w:rFonts w:ascii="Times New Roman" w:hAnsi="Times New Roman"/>
          <w:sz w:val="24"/>
          <w:szCs w:val="24"/>
        </w:rPr>
        <w:t>FERC-725Z (Mandatory Reliability Standards:  IRO Reliability Standards)</w:t>
      </w:r>
      <w:r w:rsidRPr="00376EC6" w:rsidR="00A65EF9">
        <w:rPr>
          <w:rFonts w:ascii="Times New Roman" w:hAnsi="Times New Roman"/>
          <w:sz w:val="24"/>
          <w:szCs w:val="24"/>
        </w:rPr>
        <w:t>,</w:t>
      </w:r>
      <w:r w:rsidRPr="00376EC6">
        <w:rPr>
          <w:rFonts w:ascii="Times New Roman" w:hAnsi="Times New Roman"/>
          <w:sz w:val="24"/>
          <w:szCs w:val="24"/>
        </w:rPr>
        <w:t xml:space="preserve"> </w:t>
      </w:r>
      <w:r w:rsidRPr="00376EC6" w:rsidR="00EA1967">
        <w:rPr>
          <w:rFonts w:ascii="Times New Roman" w:hAnsi="Times New Roman"/>
          <w:sz w:val="24"/>
          <w:szCs w:val="24"/>
        </w:rPr>
        <w:t>OMB Control No. 1902-027</w:t>
      </w:r>
      <w:r w:rsidRPr="00376EC6" w:rsidR="002E448E">
        <w:rPr>
          <w:rFonts w:ascii="Times New Roman" w:hAnsi="Times New Roman"/>
          <w:sz w:val="24"/>
          <w:szCs w:val="24"/>
        </w:rPr>
        <w:t>6</w:t>
      </w:r>
      <w:r w:rsidR="00D1182E">
        <w:rPr>
          <w:rFonts w:ascii="Times New Roman" w:hAnsi="Times New Roman"/>
          <w:sz w:val="24"/>
          <w:szCs w:val="24"/>
        </w:rPr>
        <w:t>.</w:t>
      </w:r>
    </w:p>
    <w:p w:rsidRPr="002E448E" w:rsidR="00376EC6" w:rsidP="00961C86" w:rsidRDefault="00376EC6" w14:paraId="555DE473" w14:textId="77777777"/>
    <w:p w:rsidR="0035439D" w:rsidP="00485111" w:rsidRDefault="0035439D" w14:paraId="24DBC87F" w14:textId="2EA373EC">
      <w:pPr>
        <w:widowControl/>
        <w:spacing w:line="20" w:lineRule="atLeast"/>
        <w:rPr>
          <w:b/>
          <w:sz w:val="26"/>
          <w:szCs w:val="26"/>
        </w:rPr>
      </w:pPr>
      <w:r w:rsidRPr="003737CB">
        <w:rPr>
          <w:b/>
          <w:sz w:val="26"/>
          <w:szCs w:val="26"/>
        </w:rPr>
        <w:t>1.</w:t>
      </w:r>
      <w:r w:rsidR="00511139">
        <w:rPr>
          <w:b/>
          <w:sz w:val="26"/>
          <w:szCs w:val="26"/>
        </w:rPr>
        <w:t xml:space="preserve"> </w:t>
      </w:r>
      <w:r w:rsidR="001D7D74">
        <w:rPr>
          <w:b/>
          <w:sz w:val="26"/>
          <w:szCs w:val="26"/>
        </w:rPr>
        <w:t xml:space="preserve"> </w:t>
      </w:r>
      <w:r w:rsidR="00511139">
        <w:rPr>
          <w:b/>
          <w:sz w:val="26"/>
          <w:szCs w:val="26"/>
        </w:rPr>
        <w:t xml:space="preserve"> </w:t>
      </w:r>
      <w:r w:rsidRPr="003737CB">
        <w:rPr>
          <w:b/>
          <w:sz w:val="26"/>
          <w:szCs w:val="26"/>
        </w:rPr>
        <w:t>CIRCUMSTANCES THAT MAKE THE COLLECTION OF INFORMATION NECESSARY</w:t>
      </w:r>
    </w:p>
    <w:p w:rsidRPr="003737CB" w:rsidR="00466A5A" w:rsidP="00485111" w:rsidRDefault="00466A5A" w14:paraId="4FA2F07C" w14:textId="77777777">
      <w:pPr>
        <w:widowControl/>
        <w:spacing w:line="20" w:lineRule="atLeast"/>
        <w:rPr>
          <w:b/>
          <w:sz w:val="26"/>
          <w:szCs w:val="26"/>
        </w:rPr>
      </w:pPr>
    </w:p>
    <w:p w:rsidR="0035439D" w:rsidP="00F27D92" w:rsidRDefault="00F27D92" w14:paraId="1EA77CB7" w14:textId="10035A63">
      <w:pPr>
        <w:widowControl/>
        <w:spacing w:line="20" w:lineRule="atLeast"/>
        <w:rPr>
          <w:b/>
          <w:sz w:val="26"/>
          <w:szCs w:val="26"/>
        </w:rPr>
      </w:pPr>
      <w:r>
        <w:rPr>
          <w:b/>
          <w:sz w:val="26"/>
          <w:szCs w:val="26"/>
        </w:rPr>
        <w:t>Background</w:t>
      </w:r>
    </w:p>
    <w:p w:rsidR="007028E6" w:rsidP="00F27D92" w:rsidRDefault="007028E6" w14:paraId="6BAF446E" w14:textId="77777777">
      <w:pPr>
        <w:widowControl/>
        <w:spacing w:line="20" w:lineRule="atLeast"/>
        <w:rPr>
          <w:b/>
          <w:sz w:val="26"/>
          <w:szCs w:val="26"/>
        </w:rPr>
      </w:pPr>
    </w:p>
    <w:p w:rsidR="00F27D92" w:rsidP="00F27D92" w:rsidRDefault="00F27D92" w14:paraId="688673E4" w14:textId="389FA340">
      <w:pPr>
        <w:rPr>
          <w:sz w:val="26"/>
          <w:szCs w:val="26"/>
        </w:rPr>
      </w:pPr>
      <w:r w:rsidRPr="001A153B">
        <w:rPr>
          <w:sz w:val="26"/>
          <w:szCs w:val="26"/>
        </w:rPr>
        <w:t>On August 8, 2005, The Electricity Modernization Act of 2005, Title XII of the Energy Policy Act of 2005 (EP</w:t>
      </w:r>
      <w:r>
        <w:rPr>
          <w:sz w:val="26"/>
          <w:szCs w:val="26"/>
        </w:rPr>
        <w:t>A</w:t>
      </w:r>
      <w:r w:rsidR="00376EC6">
        <w:rPr>
          <w:sz w:val="26"/>
          <w:szCs w:val="26"/>
        </w:rPr>
        <w:t>ct</w:t>
      </w:r>
      <w:r>
        <w:rPr>
          <w:sz w:val="26"/>
          <w:szCs w:val="26"/>
        </w:rPr>
        <w:t xml:space="preserve"> of</w:t>
      </w:r>
      <w:r w:rsidRPr="001A153B">
        <w:rPr>
          <w:sz w:val="26"/>
          <w:szCs w:val="26"/>
        </w:rPr>
        <w:t xml:space="preserve"> 2005), was enacted into law</w:t>
      </w:r>
      <w:r w:rsidR="00093F87">
        <w:rPr>
          <w:sz w:val="26"/>
          <w:szCs w:val="26"/>
        </w:rPr>
        <w:t>.</w:t>
      </w:r>
      <w:r w:rsidRPr="001A153B">
        <w:rPr>
          <w:sz w:val="26"/>
          <w:szCs w:val="26"/>
          <w:vertAlign w:val="superscript"/>
        </w:rPr>
        <w:footnoteReference w:id="2"/>
      </w:r>
      <w:r w:rsidRPr="001A153B">
        <w:rPr>
          <w:sz w:val="26"/>
          <w:szCs w:val="26"/>
        </w:rPr>
        <w:t xml:space="preserve">  EPA</w:t>
      </w:r>
      <w:r w:rsidR="00376EC6">
        <w:rPr>
          <w:sz w:val="26"/>
          <w:szCs w:val="26"/>
        </w:rPr>
        <w:t>ct</w:t>
      </w:r>
      <w:r>
        <w:rPr>
          <w:sz w:val="26"/>
          <w:szCs w:val="26"/>
        </w:rPr>
        <w:t xml:space="preserve"> of </w:t>
      </w:r>
      <w:r w:rsidRPr="001A153B">
        <w:rPr>
          <w:sz w:val="26"/>
          <w:szCs w:val="26"/>
        </w:rPr>
        <w:t>2005 added a new section 215 to the Federal Power Act (FPA), which requires a Commission-certified Electric Reliability Organization (ERO) to develop mandatory and enforceable Reliability Standards, subject to Commission review and approval</w:t>
      </w:r>
      <w:r>
        <w:rPr>
          <w:sz w:val="26"/>
          <w:szCs w:val="26"/>
        </w:rPr>
        <w:t>.</w:t>
      </w:r>
    </w:p>
    <w:p w:rsidRPr="001A153B" w:rsidR="00E44BBF" w:rsidP="00F27D92" w:rsidRDefault="00E44BBF" w14:paraId="2A45EF12" w14:textId="77777777">
      <w:pPr>
        <w:rPr>
          <w:sz w:val="26"/>
          <w:szCs w:val="26"/>
        </w:rPr>
      </w:pPr>
    </w:p>
    <w:p w:rsidR="00EB39C6" w:rsidP="005043FE" w:rsidRDefault="001529B8" w14:paraId="1A46C6CB" w14:textId="4976006B">
      <w:pPr>
        <w:widowControl/>
        <w:rPr>
          <w:sz w:val="26"/>
          <w:szCs w:val="26"/>
        </w:rPr>
      </w:pPr>
      <w:r w:rsidRPr="001529B8">
        <w:rPr>
          <w:sz w:val="26"/>
          <w:szCs w:val="26"/>
        </w:rPr>
        <w:t>Section 215 of the FPA requires the Commission-certified ERO to develop mandatory and enforceable Reliability Standards, subject to Commission review and approval.  Once approved, the Reliability Standards may be enforced in the United States by the ERO subject to Commission oversight, or by the Commission independently.</w:t>
      </w:r>
      <w:r w:rsidRPr="001529B8">
        <w:rPr>
          <w:bCs/>
          <w:sz w:val="26"/>
          <w:szCs w:val="26"/>
        </w:rPr>
        <w:t xml:space="preserve">  Pursuant to the </w:t>
      </w:r>
      <w:r w:rsidRPr="001529B8">
        <w:rPr>
          <w:bCs/>
          <w:sz w:val="26"/>
          <w:szCs w:val="26"/>
        </w:rPr>
        <w:lastRenderedPageBreak/>
        <w:t>requirements of FPA section 215, the Commission established a process to select and certify an ERO</w:t>
      </w:r>
      <w:r w:rsidRPr="002E3748">
        <w:rPr>
          <w:sz w:val="26"/>
          <w:szCs w:val="26"/>
          <w:vertAlign w:val="superscript"/>
        </w:rPr>
        <w:footnoteReference w:id="3"/>
      </w:r>
      <w:r w:rsidRPr="001529B8">
        <w:rPr>
          <w:bCs/>
          <w:sz w:val="26"/>
          <w:szCs w:val="26"/>
        </w:rPr>
        <w:t xml:space="preserve"> and, subsequently, certified</w:t>
      </w:r>
      <w:r w:rsidR="00724E4B">
        <w:rPr>
          <w:bCs/>
          <w:sz w:val="26"/>
          <w:szCs w:val="26"/>
        </w:rPr>
        <w:t xml:space="preserve"> the</w:t>
      </w:r>
      <w:r w:rsidRPr="001529B8">
        <w:rPr>
          <w:bCs/>
          <w:sz w:val="26"/>
          <w:szCs w:val="26"/>
        </w:rPr>
        <w:t xml:space="preserve"> </w:t>
      </w:r>
      <w:r w:rsidRPr="00B34FA8" w:rsidR="00B34FA8">
        <w:rPr>
          <w:bCs/>
          <w:sz w:val="26"/>
          <w:szCs w:val="26"/>
        </w:rPr>
        <w:t>North American Electric Reliability Corporation (NERC)</w:t>
      </w:r>
      <w:r w:rsidRPr="002E3748" w:rsidR="00B34FA8">
        <w:rPr>
          <w:sz w:val="26"/>
          <w:szCs w:val="26"/>
          <w:vertAlign w:val="superscript"/>
        </w:rPr>
        <w:footnoteReference w:id="4"/>
      </w:r>
      <w:r w:rsidRPr="00B34FA8" w:rsidR="00B34FA8">
        <w:rPr>
          <w:bCs/>
          <w:sz w:val="26"/>
          <w:szCs w:val="26"/>
        </w:rPr>
        <w:t xml:space="preserve"> </w:t>
      </w:r>
      <w:r w:rsidRPr="001529B8">
        <w:rPr>
          <w:bCs/>
          <w:sz w:val="26"/>
          <w:szCs w:val="26"/>
        </w:rPr>
        <w:t>as the ERO.</w:t>
      </w:r>
      <w:r w:rsidR="005561E1">
        <w:rPr>
          <w:bCs/>
          <w:sz w:val="26"/>
          <w:szCs w:val="26"/>
        </w:rPr>
        <w:t xml:space="preserve">  </w:t>
      </w:r>
      <w:r w:rsidRPr="000D78CE" w:rsidR="000D78CE">
        <w:rPr>
          <w:sz w:val="26"/>
          <w:szCs w:val="26"/>
        </w:rPr>
        <w:t xml:space="preserve">Pursuant to Section 215(d)(1) of the </w:t>
      </w:r>
      <w:r w:rsidR="000D78CE">
        <w:rPr>
          <w:sz w:val="26"/>
          <w:szCs w:val="26"/>
        </w:rPr>
        <w:t xml:space="preserve">FPA and 18 CFR </w:t>
      </w:r>
      <w:r w:rsidRPr="000D78CE" w:rsidR="000D78CE">
        <w:rPr>
          <w:sz w:val="26"/>
          <w:szCs w:val="26"/>
        </w:rPr>
        <w:t xml:space="preserve">39.5, the </w:t>
      </w:r>
      <w:r w:rsidR="000D78CE">
        <w:rPr>
          <w:sz w:val="26"/>
          <w:szCs w:val="26"/>
        </w:rPr>
        <w:t xml:space="preserve">NERC is authorized to </w:t>
      </w:r>
      <w:r w:rsidR="005561E1">
        <w:rPr>
          <w:sz w:val="26"/>
          <w:szCs w:val="26"/>
        </w:rPr>
        <w:t>submit</w:t>
      </w:r>
      <w:r w:rsidRPr="000D78CE" w:rsidR="000D78CE">
        <w:rPr>
          <w:sz w:val="26"/>
          <w:szCs w:val="26"/>
        </w:rPr>
        <w:t xml:space="preserve"> for Commission approval proposed Reliability Standards</w:t>
      </w:r>
      <w:r w:rsidR="005561E1">
        <w:rPr>
          <w:sz w:val="26"/>
          <w:szCs w:val="26"/>
        </w:rPr>
        <w:t>, and to propose revision or retirement of such standards.</w:t>
      </w:r>
    </w:p>
    <w:p w:rsidRPr="005043FE" w:rsidR="005043FE" w:rsidP="005043FE" w:rsidRDefault="005043FE" w14:paraId="5AAAD5AA" w14:textId="77777777">
      <w:pPr>
        <w:widowControl/>
        <w:rPr>
          <w:sz w:val="26"/>
          <w:szCs w:val="26"/>
        </w:rPr>
      </w:pPr>
    </w:p>
    <w:p w:rsidR="00EB39C6" w:rsidP="00F27D92" w:rsidRDefault="00EB39C6" w14:paraId="7D69663F" w14:textId="288C9449">
      <w:pPr>
        <w:widowControl/>
        <w:spacing w:line="20" w:lineRule="atLeast"/>
        <w:rPr>
          <w:b/>
          <w:sz w:val="26"/>
          <w:szCs w:val="26"/>
        </w:rPr>
      </w:pPr>
      <w:r>
        <w:rPr>
          <w:b/>
          <w:sz w:val="26"/>
          <w:szCs w:val="26"/>
        </w:rPr>
        <w:t>Justification</w:t>
      </w:r>
    </w:p>
    <w:p w:rsidR="007028E6" w:rsidP="00F27D92" w:rsidRDefault="007028E6" w14:paraId="34216D77" w14:textId="77777777">
      <w:pPr>
        <w:widowControl/>
        <w:spacing w:line="20" w:lineRule="atLeast"/>
        <w:rPr>
          <w:b/>
          <w:sz w:val="26"/>
          <w:szCs w:val="26"/>
        </w:rPr>
      </w:pPr>
    </w:p>
    <w:p w:rsidR="00241A5C" w:rsidP="0026242F" w:rsidRDefault="00F7709F" w14:paraId="29C71136" w14:textId="77777777">
      <w:pPr>
        <w:widowControl/>
        <w:spacing w:line="20" w:lineRule="atLeast"/>
        <w:rPr>
          <w:sz w:val="26"/>
          <w:szCs w:val="26"/>
        </w:rPr>
      </w:pPr>
      <w:r>
        <w:rPr>
          <w:sz w:val="26"/>
          <w:szCs w:val="26"/>
        </w:rPr>
        <w:t>On October 15,</w:t>
      </w:r>
      <w:r w:rsidR="000D78CE">
        <w:rPr>
          <w:sz w:val="26"/>
          <w:szCs w:val="26"/>
        </w:rPr>
        <w:t xml:space="preserve"> </w:t>
      </w:r>
      <w:r>
        <w:rPr>
          <w:sz w:val="26"/>
          <w:szCs w:val="26"/>
        </w:rPr>
        <w:t>2020, the Commission published a final rule in Docket Nos. RM19-16-000 and RM19-17-000 (85 FR 65207).  In that final rule, the Commission</w:t>
      </w:r>
      <w:r w:rsidR="005561E1">
        <w:rPr>
          <w:sz w:val="26"/>
          <w:szCs w:val="26"/>
        </w:rPr>
        <w:t xml:space="preserve"> acted on petitions submitted by the NERC</w:t>
      </w:r>
      <w:r>
        <w:rPr>
          <w:sz w:val="26"/>
          <w:szCs w:val="26"/>
        </w:rPr>
        <w:t xml:space="preserve"> </w:t>
      </w:r>
      <w:r w:rsidR="005561E1">
        <w:rPr>
          <w:sz w:val="26"/>
          <w:szCs w:val="26"/>
        </w:rPr>
        <w:t>by approving</w:t>
      </w:r>
      <w:r w:rsidRPr="00F7709F">
        <w:rPr>
          <w:sz w:val="26"/>
          <w:szCs w:val="26"/>
        </w:rPr>
        <w:t xml:space="preserve"> the retirement of</w:t>
      </w:r>
      <w:r>
        <w:rPr>
          <w:sz w:val="26"/>
          <w:szCs w:val="26"/>
        </w:rPr>
        <w:t xml:space="preserve"> </w:t>
      </w:r>
      <w:r w:rsidRPr="00F7709F">
        <w:rPr>
          <w:sz w:val="26"/>
          <w:szCs w:val="26"/>
        </w:rPr>
        <w:t>four Reliability Standards in their</w:t>
      </w:r>
      <w:r>
        <w:rPr>
          <w:sz w:val="26"/>
          <w:szCs w:val="26"/>
        </w:rPr>
        <w:t xml:space="preserve"> </w:t>
      </w:r>
      <w:r w:rsidRPr="00F7709F">
        <w:rPr>
          <w:sz w:val="26"/>
          <w:szCs w:val="26"/>
        </w:rPr>
        <w:t xml:space="preserve">entirety and </w:t>
      </w:r>
      <w:r w:rsidR="005561E1">
        <w:rPr>
          <w:sz w:val="26"/>
          <w:szCs w:val="26"/>
        </w:rPr>
        <w:t xml:space="preserve">revising </w:t>
      </w:r>
      <w:r w:rsidRPr="00F7709F">
        <w:rPr>
          <w:sz w:val="26"/>
          <w:szCs w:val="26"/>
        </w:rPr>
        <w:t>five Reliability</w:t>
      </w:r>
      <w:r>
        <w:rPr>
          <w:sz w:val="26"/>
          <w:szCs w:val="26"/>
        </w:rPr>
        <w:t xml:space="preserve"> </w:t>
      </w:r>
      <w:r w:rsidRPr="00F7709F">
        <w:rPr>
          <w:sz w:val="26"/>
          <w:szCs w:val="26"/>
        </w:rPr>
        <w:t>Standards</w:t>
      </w:r>
      <w:r w:rsidR="005561E1">
        <w:rPr>
          <w:sz w:val="26"/>
          <w:szCs w:val="26"/>
        </w:rPr>
        <w:t xml:space="preserve">.  These actions </w:t>
      </w:r>
      <w:r w:rsidRPr="00F7709F">
        <w:rPr>
          <w:sz w:val="26"/>
          <w:szCs w:val="26"/>
        </w:rPr>
        <w:t>reflect a total of 18 retired</w:t>
      </w:r>
      <w:r>
        <w:rPr>
          <w:sz w:val="26"/>
          <w:szCs w:val="26"/>
        </w:rPr>
        <w:t xml:space="preserve"> </w:t>
      </w:r>
      <w:r w:rsidRPr="00F7709F">
        <w:rPr>
          <w:sz w:val="26"/>
          <w:szCs w:val="26"/>
        </w:rPr>
        <w:t>requirements</w:t>
      </w:r>
      <w:r w:rsidR="005561E1">
        <w:rPr>
          <w:sz w:val="26"/>
          <w:szCs w:val="26"/>
        </w:rPr>
        <w:t>.</w:t>
      </w:r>
    </w:p>
    <w:p w:rsidR="00F7709F" w:rsidP="0026242F" w:rsidRDefault="00F7709F" w14:paraId="6D5A0BD7" w14:textId="4D093308">
      <w:pPr>
        <w:widowControl/>
        <w:spacing w:line="20" w:lineRule="atLeast"/>
        <w:rPr>
          <w:sz w:val="26"/>
          <w:szCs w:val="26"/>
        </w:rPr>
      </w:pPr>
    </w:p>
    <w:p w:rsidRPr="0026242F" w:rsidR="0026242F" w:rsidP="0026242F" w:rsidRDefault="005561E1" w14:paraId="6C7C793A" w14:textId="4B375863">
      <w:pPr>
        <w:widowControl/>
        <w:spacing w:line="20" w:lineRule="atLeast"/>
        <w:rPr>
          <w:sz w:val="26"/>
          <w:szCs w:val="26"/>
        </w:rPr>
      </w:pPr>
      <w:r>
        <w:rPr>
          <w:sz w:val="26"/>
          <w:szCs w:val="26"/>
        </w:rPr>
        <w:t>Sp</w:t>
      </w:r>
      <w:r w:rsidR="00D85C85">
        <w:rPr>
          <w:sz w:val="26"/>
          <w:szCs w:val="26"/>
        </w:rPr>
        <w:t>e</w:t>
      </w:r>
      <w:r>
        <w:rPr>
          <w:sz w:val="26"/>
          <w:szCs w:val="26"/>
        </w:rPr>
        <w:t>cifically, p</w:t>
      </w:r>
      <w:r w:rsidRPr="0026242F" w:rsidR="0026242F">
        <w:rPr>
          <w:sz w:val="26"/>
          <w:szCs w:val="26"/>
        </w:rPr>
        <w:t xml:space="preserve">ursuant to section 215(d)(2) of the </w:t>
      </w:r>
      <w:r>
        <w:rPr>
          <w:sz w:val="26"/>
          <w:szCs w:val="26"/>
        </w:rPr>
        <w:t>FPA</w:t>
      </w:r>
      <w:r w:rsidRPr="0026242F" w:rsidR="0026242F">
        <w:rPr>
          <w:sz w:val="26"/>
          <w:szCs w:val="26"/>
        </w:rPr>
        <w:t>,</w:t>
      </w:r>
      <w:r w:rsidRPr="009E21F3" w:rsidR="0026242F">
        <w:rPr>
          <w:bCs/>
          <w:sz w:val="26"/>
          <w:szCs w:val="26"/>
          <w:vertAlign w:val="superscript"/>
        </w:rPr>
        <w:footnoteReference w:id="5"/>
      </w:r>
      <w:r w:rsidRPr="0026242F" w:rsidR="0026242F">
        <w:rPr>
          <w:sz w:val="26"/>
          <w:szCs w:val="26"/>
        </w:rPr>
        <w:t xml:space="preserve"> the Commission approve</w:t>
      </w:r>
      <w:r w:rsidR="00EE542C">
        <w:rPr>
          <w:sz w:val="26"/>
          <w:szCs w:val="26"/>
        </w:rPr>
        <w:t>d</w:t>
      </w:r>
      <w:r w:rsidRPr="0026242F" w:rsidR="0026242F">
        <w:rPr>
          <w:sz w:val="26"/>
          <w:szCs w:val="26"/>
        </w:rPr>
        <w:t xml:space="preserve"> </w:t>
      </w:r>
      <w:r w:rsidR="00241A5C">
        <w:rPr>
          <w:sz w:val="26"/>
          <w:szCs w:val="26"/>
        </w:rPr>
        <w:t xml:space="preserve">retirement of </w:t>
      </w:r>
      <w:r w:rsidRPr="0026242F" w:rsidR="0026242F">
        <w:rPr>
          <w:sz w:val="26"/>
          <w:szCs w:val="26"/>
        </w:rPr>
        <w:t>18 Reliability Standard requirements</w:t>
      </w:r>
      <w:r w:rsidR="00241A5C">
        <w:rPr>
          <w:sz w:val="26"/>
          <w:szCs w:val="26"/>
        </w:rPr>
        <w:t>.</w:t>
      </w:r>
      <w:r w:rsidRPr="009E21F3" w:rsidR="0026242F">
        <w:rPr>
          <w:bCs/>
          <w:sz w:val="26"/>
          <w:szCs w:val="26"/>
          <w:vertAlign w:val="superscript"/>
        </w:rPr>
        <w:footnoteReference w:id="6"/>
      </w:r>
      <w:r w:rsidRPr="0026242F" w:rsidR="0026242F">
        <w:rPr>
          <w:sz w:val="26"/>
          <w:szCs w:val="26"/>
        </w:rPr>
        <w:t xml:space="preserve">  For the reasons discussed below, </w:t>
      </w:r>
      <w:r w:rsidR="003A6249">
        <w:rPr>
          <w:sz w:val="26"/>
          <w:szCs w:val="26"/>
        </w:rPr>
        <w:t>the Commission</w:t>
      </w:r>
      <w:r w:rsidRPr="0026242F" w:rsidR="0026242F">
        <w:rPr>
          <w:sz w:val="26"/>
          <w:szCs w:val="26"/>
        </w:rPr>
        <w:t xml:space="preserve"> determine</w:t>
      </w:r>
      <w:r w:rsidR="00EE542C">
        <w:rPr>
          <w:sz w:val="26"/>
          <w:szCs w:val="26"/>
        </w:rPr>
        <w:t>d</w:t>
      </w:r>
      <w:r w:rsidRPr="0026242F" w:rsidR="0026242F">
        <w:rPr>
          <w:sz w:val="26"/>
          <w:szCs w:val="26"/>
        </w:rPr>
        <w:t xml:space="preserve"> that the retirement of the 18 Reliability Standard requirements through the retirement of four Reliability Standards and the modification of five Reliability Standards is just, reasonable, not unduly discriminatory or preferential, and in the public interest.</w:t>
      </w:r>
      <w:r w:rsidRPr="00470ABF" w:rsidR="0026242F">
        <w:rPr>
          <w:bCs/>
          <w:sz w:val="26"/>
          <w:szCs w:val="26"/>
          <w:vertAlign w:val="superscript"/>
        </w:rPr>
        <w:footnoteReference w:id="7"/>
      </w:r>
      <w:r w:rsidRPr="0026242F" w:rsidR="0026242F">
        <w:rPr>
          <w:sz w:val="26"/>
          <w:szCs w:val="26"/>
        </w:rPr>
        <w:t xml:space="preserve">  The Commission also approve</w:t>
      </w:r>
      <w:r w:rsidR="00EE542C">
        <w:rPr>
          <w:sz w:val="26"/>
          <w:szCs w:val="26"/>
        </w:rPr>
        <w:t>d</w:t>
      </w:r>
      <w:r w:rsidRPr="0026242F" w:rsidR="0026242F">
        <w:rPr>
          <w:sz w:val="26"/>
          <w:szCs w:val="26"/>
        </w:rPr>
        <w:t xml:space="preserve"> the associated violation risk factors, violation severity levels, implementation plan, and effective dates proposed by NERC.</w:t>
      </w:r>
    </w:p>
    <w:p w:rsidR="00724E4B" w:rsidP="007F1546" w:rsidRDefault="00724E4B" w14:paraId="45B6C7ED" w14:textId="77777777">
      <w:pPr>
        <w:widowControl/>
        <w:spacing w:line="20" w:lineRule="atLeast"/>
        <w:rPr>
          <w:sz w:val="26"/>
          <w:szCs w:val="26"/>
        </w:rPr>
      </w:pPr>
    </w:p>
    <w:p w:rsidR="00EA3614" w:rsidP="007F1546" w:rsidRDefault="001F4CC8" w14:paraId="419913B2" w14:textId="1A617FF9">
      <w:pPr>
        <w:widowControl/>
        <w:spacing w:line="20" w:lineRule="atLeast"/>
        <w:rPr>
          <w:sz w:val="26"/>
          <w:szCs w:val="26"/>
        </w:rPr>
      </w:pPr>
      <w:r w:rsidRPr="007F1546">
        <w:rPr>
          <w:sz w:val="26"/>
        </w:rPr>
        <w:t>NERC state</w:t>
      </w:r>
      <w:r w:rsidR="00E805FD">
        <w:rPr>
          <w:sz w:val="26"/>
        </w:rPr>
        <w:t>d</w:t>
      </w:r>
      <w:r w:rsidRPr="007F1546">
        <w:rPr>
          <w:sz w:val="26"/>
        </w:rPr>
        <w:t xml:space="preserve"> that the proposed retirements are the product of its Standards Efficiency Review (SER) Project</w:t>
      </w:r>
      <w:r w:rsidR="009C4A26">
        <w:rPr>
          <w:sz w:val="26"/>
        </w:rPr>
        <w:t>,</w:t>
      </w:r>
      <w:r w:rsidRPr="007F1546">
        <w:rPr>
          <w:sz w:val="26"/>
        </w:rPr>
        <w:t xml:space="preserve">  </w:t>
      </w:r>
      <w:r w:rsidR="009C4A26">
        <w:rPr>
          <w:sz w:val="26"/>
        </w:rPr>
        <w:t>launched</w:t>
      </w:r>
      <w:r w:rsidRPr="007F1546">
        <w:rPr>
          <w:sz w:val="26"/>
        </w:rPr>
        <w:t xml:space="preserve"> in 2017 “to achieve [NERC’s] long-term strategic goal of establishing risk-based controls to minimize [Bulk-Power System] reliability risk while also driving operational efficiencies and effectiveness.”</w:t>
      </w:r>
      <w:r w:rsidRPr="00470ABF">
        <w:rPr>
          <w:bCs/>
          <w:sz w:val="26"/>
          <w:vertAlign w:val="superscript"/>
        </w:rPr>
        <w:footnoteReference w:id="8"/>
      </w:r>
      <w:r w:rsidRPr="007F1546">
        <w:rPr>
          <w:sz w:val="26"/>
        </w:rPr>
        <w:t xml:space="preserve">  NERC state</w:t>
      </w:r>
      <w:r w:rsidR="00E805FD">
        <w:rPr>
          <w:sz w:val="26"/>
        </w:rPr>
        <w:t>d</w:t>
      </w:r>
      <w:r w:rsidRPr="007F1546">
        <w:rPr>
          <w:sz w:val="26"/>
        </w:rPr>
        <w:t xml:space="preserve"> that in Phase 1 of the SER Project, teams of industry experts conducted a risk-based analysis of </w:t>
      </w:r>
      <w:r w:rsidRPr="007F1546">
        <w:rPr>
          <w:sz w:val="26"/>
        </w:rPr>
        <w:lastRenderedPageBreak/>
        <w:t>non-CIP Reliability Standards.</w:t>
      </w:r>
      <w:r w:rsidRPr="00ED1A55">
        <w:rPr>
          <w:bCs/>
          <w:sz w:val="26"/>
          <w:vertAlign w:val="superscript"/>
        </w:rPr>
        <w:footnoteReference w:id="9"/>
      </w:r>
      <w:r w:rsidRPr="007F1546">
        <w:rPr>
          <w:sz w:val="26"/>
        </w:rPr>
        <w:t xml:space="preserve">  </w:t>
      </w:r>
      <w:r w:rsidR="009C4A26">
        <w:rPr>
          <w:sz w:val="26"/>
        </w:rPr>
        <w:t>NERC explain</w:t>
      </w:r>
      <w:r w:rsidR="00E805FD">
        <w:rPr>
          <w:sz w:val="26"/>
        </w:rPr>
        <w:t>ed</w:t>
      </w:r>
      <w:r w:rsidR="009C4A26">
        <w:rPr>
          <w:sz w:val="26"/>
        </w:rPr>
        <w:t xml:space="preserve"> that t</w:t>
      </w:r>
      <w:r w:rsidRPr="007F1546">
        <w:rPr>
          <w:sz w:val="26"/>
        </w:rPr>
        <w:t>he purpose of this review was “to identify Reliability Standard requirements that provide little or no benefit to reliability and should be retired.”</w:t>
      </w:r>
      <w:r w:rsidRPr="00ED1A55">
        <w:rPr>
          <w:bCs/>
          <w:sz w:val="26"/>
          <w:vertAlign w:val="superscript"/>
        </w:rPr>
        <w:footnoteReference w:id="10"/>
      </w:r>
      <w:r w:rsidRPr="007F1546">
        <w:rPr>
          <w:sz w:val="26"/>
        </w:rPr>
        <w:t xml:space="preserve">  NERC maintain</w:t>
      </w:r>
      <w:r w:rsidR="00E805FD">
        <w:rPr>
          <w:sz w:val="26"/>
        </w:rPr>
        <w:t>ed</w:t>
      </w:r>
      <w:r w:rsidRPr="007F1546">
        <w:rPr>
          <w:sz w:val="26"/>
        </w:rPr>
        <w:t xml:space="preserve"> that, unlike the periodic reviews</w:t>
      </w:r>
      <w:r w:rsidRPr="00724D9E">
        <w:rPr>
          <w:bCs/>
          <w:sz w:val="26"/>
          <w:vertAlign w:val="superscript"/>
        </w:rPr>
        <w:footnoteReference w:id="11"/>
      </w:r>
      <w:r w:rsidRPr="007F1546">
        <w:rPr>
          <w:sz w:val="26"/>
        </w:rPr>
        <w:t xml:space="preserve"> of Reliability Standards performed by NERC pursuant to the NERC Rules of Procedure, the SER Project involved “exploring the relationships between the different Reliability Standards in a deeper way than would be feasible during a targeted periodic review </w:t>
      </w:r>
      <w:r w:rsidR="008B7177">
        <w:rPr>
          <w:sz w:val="26"/>
        </w:rPr>
        <w:t xml:space="preserve">and </w:t>
      </w:r>
      <w:r w:rsidRPr="007F1546">
        <w:rPr>
          <w:sz w:val="26"/>
        </w:rPr>
        <w:t>allowed NERC to identify requirements that are not necessary for reliability or that are redundant to other requirements.”</w:t>
      </w:r>
      <w:r w:rsidRPr="00724D9E">
        <w:rPr>
          <w:bCs/>
          <w:sz w:val="26"/>
          <w:vertAlign w:val="superscript"/>
        </w:rPr>
        <w:footnoteReference w:id="12"/>
      </w:r>
      <w:r>
        <w:rPr>
          <w:sz w:val="26"/>
        </w:rPr>
        <w:t xml:space="preserve"> </w:t>
      </w:r>
      <w:r w:rsidR="00EA3614">
        <w:rPr>
          <w:sz w:val="26"/>
        </w:rPr>
        <w:t xml:space="preserve"> </w:t>
      </w:r>
      <w:r w:rsidRPr="007F1546">
        <w:rPr>
          <w:sz w:val="26"/>
        </w:rPr>
        <w:t xml:space="preserve">NERC </w:t>
      </w:r>
      <w:r w:rsidR="009C4A26">
        <w:rPr>
          <w:sz w:val="26"/>
        </w:rPr>
        <w:t>state</w:t>
      </w:r>
      <w:r w:rsidR="00E805FD">
        <w:rPr>
          <w:sz w:val="26"/>
        </w:rPr>
        <w:t>d</w:t>
      </w:r>
      <w:r w:rsidRPr="007F1546">
        <w:rPr>
          <w:sz w:val="26"/>
        </w:rPr>
        <w:t xml:space="preserve"> that the SER Project “was conducted in an open and transparent manner, with broad industry participation.”</w:t>
      </w:r>
      <w:r w:rsidRPr="009206DF">
        <w:rPr>
          <w:bCs/>
          <w:sz w:val="26"/>
          <w:vertAlign w:val="superscript"/>
        </w:rPr>
        <w:footnoteReference w:id="13"/>
      </w:r>
      <w:r w:rsidRPr="007F1546">
        <w:rPr>
          <w:sz w:val="26"/>
        </w:rPr>
        <w:t xml:space="preserve">  </w:t>
      </w:r>
    </w:p>
    <w:p w:rsidR="00EA3614" w:rsidP="007F1546" w:rsidRDefault="00EA3614" w14:paraId="069CAACA" w14:textId="2546A9FB">
      <w:pPr>
        <w:widowControl/>
        <w:spacing w:line="20" w:lineRule="atLeast"/>
        <w:rPr>
          <w:sz w:val="26"/>
          <w:szCs w:val="26"/>
        </w:rPr>
      </w:pPr>
    </w:p>
    <w:p w:rsidR="008A3E93" w:rsidP="00517123" w:rsidRDefault="009E0C52" w14:paraId="7A2F543F" w14:textId="24427D6E">
      <w:pPr>
        <w:widowControl/>
        <w:spacing w:line="20" w:lineRule="atLeast"/>
        <w:rPr>
          <w:sz w:val="26"/>
        </w:rPr>
      </w:pPr>
      <w:r w:rsidRPr="009E0C52">
        <w:rPr>
          <w:sz w:val="26"/>
        </w:rPr>
        <w:t xml:space="preserve">The Commission believes that the retirements </w:t>
      </w:r>
      <w:r w:rsidR="0085178F">
        <w:rPr>
          <w:sz w:val="26"/>
        </w:rPr>
        <w:t xml:space="preserve">approved in the final rule </w:t>
      </w:r>
      <w:r w:rsidRPr="009E0C52">
        <w:rPr>
          <w:sz w:val="26"/>
        </w:rPr>
        <w:t>will further the efficiency of the Reliability Standards program by reducing duplicative or otherwise unnecessary regulatory burden</w:t>
      </w:r>
      <w:r w:rsidR="00016357">
        <w:rPr>
          <w:sz w:val="26"/>
        </w:rPr>
        <w:t>s</w:t>
      </w:r>
      <w:r w:rsidRPr="009E0C52">
        <w:rPr>
          <w:sz w:val="26"/>
        </w:rPr>
        <w:t xml:space="preserve">.  Further, </w:t>
      </w:r>
      <w:r w:rsidR="00E805FD">
        <w:rPr>
          <w:sz w:val="26"/>
        </w:rPr>
        <w:t xml:space="preserve">the </w:t>
      </w:r>
      <w:r w:rsidR="00D85C85">
        <w:rPr>
          <w:sz w:val="26"/>
        </w:rPr>
        <w:t>Commission</w:t>
      </w:r>
      <w:r w:rsidR="00E805FD">
        <w:rPr>
          <w:sz w:val="26"/>
        </w:rPr>
        <w:t xml:space="preserve"> </w:t>
      </w:r>
      <w:r w:rsidRPr="009E0C52">
        <w:rPr>
          <w:sz w:val="26"/>
        </w:rPr>
        <w:t>agree</w:t>
      </w:r>
      <w:r w:rsidR="004F5705">
        <w:rPr>
          <w:sz w:val="26"/>
        </w:rPr>
        <w:t>s</w:t>
      </w:r>
      <w:r w:rsidRPr="009E0C52">
        <w:rPr>
          <w:sz w:val="26"/>
        </w:rPr>
        <w:t xml:space="preserve"> with NERC that the retirement of the Reliability Standard </w:t>
      </w:r>
      <w:r w:rsidR="00EA3614">
        <w:rPr>
          <w:sz w:val="26"/>
        </w:rPr>
        <w:t>requirements</w:t>
      </w:r>
      <w:r w:rsidRPr="009E0C52">
        <w:rPr>
          <w:sz w:val="26"/>
        </w:rPr>
        <w:t xml:space="preserve"> will benefit overall reliability by allowing registered entities to focus their resources on complying with those Reliability Standard requirements that more effectively promote the reliable operation and planning of the nation’s bulk-power system.</w:t>
      </w:r>
      <w:r w:rsidRPr="00596D3B">
        <w:rPr>
          <w:bCs/>
          <w:sz w:val="26"/>
          <w:szCs w:val="26"/>
          <w:vertAlign w:val="superscript"/>
        </w:rPr>
        <w:footnoteReference w:id="14"/>
      </w:r>
      <w:r w:rsidR="00EA3614">
        <w:rPr>
          <w:sz w:val="26"/>
        </w:rPr>
        <w:t xml:space="preserve">  </w:t>
      </w:r>
      <w:r w:rsidRPr="009E0C52">
        <w:rPr>
          <w:sz w:val="26"/>
          <w:szCs w:val="26"/>
        </w:rPr>
        <w:t xml:space="preserve">With respect to </w:t>
      </w:r>
      <w:r w:rsidR="00EA3614">
        <w:rPr>
          <w:sz w:val="26"/>
          <w:szCs w:val="26"/>
        </w:rPr>
        <w:t>two</w:t>
      </w:r>
      <w:r w:rsidRPr="009E0C52">
        <w:rPr>
          <w:sz w:val="26"/>
          <w:szCs w:val="26"/>
        </w:rPr>
        <w:t xml:space="preserve"> requirements that NERC </w:t>
      </w:r>
      <w:r w:rsidR="00EA3614">
        <w:rPr>
          <w:sz w:val="26"/>
          <w:szCs w:val="26"/>
        </w:rPr>
        <w:t>propose</w:t>
      </w:r>
      <w:r w:rsidR="00AF78DE">
        <w:rPr>
          <w:sz w:val="26"/>
          <w:szCs w:val="26"/>
        </w:rPr>
        <w:t>d</w:t>
      </w:r>
      <w:r w:rsidRPr="009E0C52">
        <w:rPr>
          <w:sz w:val="26"/>
          <w:szCs w:val="26"/>
        </w:rPr>
        <w:t xml:space="preserve"> to retire, the Commission seeks more information regarding NERC’s justification for retiring </w:t>
      </w:r>
      <w:r w:rsidRPr="009E0C52" w:rsidR="00EA3614">
        <w:rPr>
          <w:sz w:val="26"/>
          <w:szCs w:val="26"/>
        </w:rPr>
        <w:t>Requirements R7 and R8</w:t>
      </w:r>
      <w:r w:rsidR="00EA3614">
        <w:rPr>
          <w:sz w:val="26"/>
          <w:szCs w:val="26"/>
        </w:rPr>
        <w:t xml:space="preserve"> of </w:t>
      </w:r>
      <w:r w:rsidRPr="009E0C52">
        <w:rPr>
          <w:sz w:val="26"/>
          <w:szCs w:val="26"/>
        </w:rPr>
        <w:t xml:space="preserve">Reliability Standard FAC-008-3.  As discussed below, </w:t>
      </w:r>
      <w:r w:rsidR="00EA3614">
        <w:rPr>
          <w:sz w:val="26"/>
          <w:szCs w:val="26"/>
        </w:rPr>
        <w:t xml:space="preserve">while </w:t>
      </w:r>
      <w:r w:rsidR="00AF78DE">
        <w:rPr>
          <w:sz w:val="26"/>
          <w:szCs w:val="26"/>
        </w:rPr>
        <w:t xml:space="preserve">NERC </w:t>
      </w:r>
      <w:r w:rsidR="00D85C85">
        <w:rPr>
          <w:sz w:val="26"/>
          <w:szCs w:val="26"/>
        </w:rPr>
        <w:t>asserted</w:t>
      </w:r>
      <w:r w:rsidRPr="009E0C52">
        <w:rPr>
          <w:sz w:val="26"/>
          <w:szCs w:val="26"/>
        </w:rPr>
        <w:t xml:space="preserve"> that the two requirements are redundant of other Reliability Standards, NERC d</w:t>
      </w:r>
      <w:r w:rsidR="00AF78DE">
        <w:rPr>
          <w:sz w:val="26"/>
          <w:szCs w:val="26"/>
        </w:rPr>
        <w:t>id</w:t>
      </w:r>
      <w:r w:rsidRPr="009E0C52">
        <w:rPr>
          <w:sz w:val="26"/>
          <w:szCs w:val="26"/>
        </w:rPr>
        <w:t xml:space="preserve"> not </w:t>
      </w:r>
      <w:r w:rsidR="00EA3614">
        <w:rPr>
          <w:sz w:val="26"/>
          <w:szCs w:val="26"/>
        </w:rPr>
        <w:t>address</w:t>
      </w:r>
      <w:r w:rsidRPr="009E0C52">
        <w:rPr>
          <w:sz w:val="26"/>
          <w:szCs w:val="26"/>
        </w:rPr>
        <w:t xml:space="preserve"> how certain elements of these requirements </w:t>
      </w:r>
      <w:r w:rsidR="00EA3614">
        <w:rPr>
          <w:sz w:val="26"/>
          <w:szCs w:val="26"/>
        </w:rPr>
        <w:t>do not appear to be</w:t>
      </w:r>
      <w:r w:rsidRPr="009E0C52">
        <w:rPr>
          <w:sz w:val="26"/>
          <w:szCs w:val="26"/>
        </w:rPr>
        <w:t xml:space="preserve"> redundant</w:t>
      </w:r>
      <w:r w:rsidR="00EA3614">
        <w:rPr>
          <w:sz w:val="26"/>
          <w:szCs w:val="26"/>
        </w:rPr>
        <w:t xml:space="preserve"> of other Reliability Standards or requirements</w:t>
      </w:r>
      <w:r w:rsidRPr="009E0C52">
        <w:rPr>
          <w:sz w:val="26"/>
          <w:szCs w:val="26"/>
        </w:rPr>
        <w:t xml:space="preserve">.  The Commission’s final determination on the retirement of these two requirements will be based on the comments received from NERC and </w:t>
      </w:r>
      <w:r w:rsidR="00016357">
        <w:rPr>
          <w:sz w:val="26"/>
          <w:szCs w:val="26"/>
        </w:rPr>
        <w:t>the industry.</w:t>
      </w:r>
      <w:r w:rsidRPr="009E0C52">
        <w:rPr>
          <w:sz w:val="26"/>
          <w:szCs w:val="26"/>
        </w:rPr>
        <w:t xml:space="preserve">  </w:t>
      </w:r>
      <w:r w:rsidR="00016357">
        <w:rPr>
          <w:sz w:val="26"/>
          <w:szCs w:val="26"/>
        </w:rPr>
        <w:t>Finally, the Commission is not persuaded that Requirement R2 of Reliability Standard VAR-001-5 is redundant or otherwise unnecessary for reliability.  Therefore,</w:t>
      </w:r>
      <w:r w:rsidRPr="009E0C52">
        <w:rPr>
          <w:sz w:val="26"/>
          <w:szCs w:val="26"/>
        </w:rPr>
        <w:t xml:space="preserve"> pursuant to section 215(d)(4) of the FPA, the Commission </w:t>
      </w:r>
      <w:r w:rsidR="00D85C85">
        <w:rPr>
          <w:sz w:val="26"/>
          <w:szCs w:val="26"/>
        </w:rPr>
        <w:t>remanded</w:t>
      </w:r>
      <w:r w:rsidRPr="009E0C52">
        <w:rPr>
          <w:sz w:val="26"/>
          <w:szCs w:val="26"/>
        </w:rPr>
        <w:t xml:space="preserve"> </w:t>
      </w:r>
      <w:r w:rsidR="00016357">
        <w:rPr>
          <w:sz w:val="26"/>
          <w:szCs w:val="26"/>
        </w:rPr>
        <w:t xml:space="preserve">proposed </w:t>
      </w:r>
      <w:r w:rsidRPr="009E0C52">
        <w:rPr>
          <w:sz w:val="26"/>
          <w:szCs w:val="26"/>
        </w:rPr>
        <w:t>Reliability Standard VAR-001-6</w:t>
      </w:r>
      <w:r w:rsidR="00016357">
        <w:rPr>
          <w:sz w:val="26"/>
          <w:szCs w:val="26"/>
        </w:rPr>
        <w:t xml:space="preserve"> </w:t>
      </w:r>
      <w:r w:rsidR="00AF78DE">
        <w:rPr>
          <w:sz w:val="26"/>
          <w:szCs w:val="26"/>
        </w:rPr>
        <w:t xml:space="preserve">to NERC </w:t>
      </w:r>
      <w:r w:rsidR="00016357">
        <w:rPr>
          <w:sz w:val="26"/>
          <w:szCs w:val="26"/>
        </w:rPr>
        <w:t>so that Requirement R2 can be retained in the current version of that Reliability Standard</w:t>
      </w:r>
      <w:r w:rsidRPr="009E0C52">
        <w:rPr>
          <w:sz w:val="26"/>
          <w:szCs w:val="26"/>
        </w:rPr>
        <w:t>.</w:t>
      </w:r>
      <w:r w:rsidRPr="00745EC2">
        <w:rPr>
          <w:bCs/>
          <w:sz w:val="26"/>
          <w:szCs w:val="26"/>
          <w:vertAlign w:val="superscript"/>
        </w:rPr>
        <w:footnoteReference w:id="15"/>
      </w:r>
      <w:r w:rsidRPr="009E0C52">
        <w:rPr>
          <w:sz w:val="26"/>
          <w:szCs w:val="26"/>
        </w:rPr>
        <w:t xml:space="preserve">  </w:t>
      </w:r>
    </w:p>
    <w:p w:rsidR="00E2783A" w:rsidP="009E0C52" w:rsidRDefault="00E2783A" w14:paraId="4F49277D" w14:textId="77777777">
      <w:pPr>
        <w:rPr>
          <w:b/>
          <w:sz w:val="26"/>
          <w:u w:val="single"/>
        </w:rPr>
      </w:pPr>
    </w:p>
    <w:p w:rsidRPr="00961C86" w:rsidR="00C642DF" w:rsidP="009E0C52" w:rsidRDefault="00581FD7" w14:paraId="4D16EDD3" w14:textId="457C284B">
      <w:pPr>
        <w:rPr>
          <w:b/>
          <w:sz w:val="26"/>
          <w:u w:val="single"/>
        </w:rPr>
      </w:pPr>
      <w:r>
        <w:rPr>
          <w:b/>
          <w:sz w:val="26"/>
          <w:u w:val="single"/>
        </w:rPr>
        <w:lastRenderedPageBreak/>
        <w:t>IRO, TOP</w:t>
      </w:r>
      <w:r w:rsidR="003B0E8B">
        <w:rPr>
          <w:b/>
          <w:sz w:val="26"/>
          <w:u w:val="single"/>
        </w:rPr>
        <w:t>, and VAR</w:t>
      </w:r>
      <w:r w:rsidR="000E7821">
        <w:rPr>
          <w:b/>
          <w:sz w:val="26"/>
          <w:u w:val="single"/>
        </w:rPr>
        <w:t xml:space="preserve"> Petition (Docket No. RM19-16-000)</w:t>
      </w:r>
    </w:p>
    <w:p w:rsidR="00E2783A" w:rsidP="00C642DF" w:rsidRDefault="00E2783A" w14:paraId="13A274BE" w14:textId="77777777">
      <w:pPr>
        <w:rPr>
          <w:sz w:val="26"/>
        </w:rPr>
      </w:pPr>
    </w:p>
    <w:p w:rsidR="00A75BEB" w:rsidP="00A75BEB" w:rsidRDefault="00A75BEB" w14:paraId="20AA99AC" w14:textId="1289F4D5">
      <w:pPr>
        <w:rPr>
          <w:sz w:val="26"/>
        </w:rPr>
      </w:pPr>
      <w:r w:rsidRPr="00A75BEB">
        <w:rPr>
          <w:sz w:val="26"/>
        </w:rPr>
        <w:t>On June 7, 2019, in Docket No. RM19-16-000, NERC submitted for Commission approval new versions of three Reliability Standards:  IRO-002-7 (Reliability Coordination—Monitoring and Analysis), TOP-001-5 (Transmission Operations), and VAR-001-6 (Voltage and Reactive Control).</w:t>
      </w:r>
      <w:r w:rsidRPr="009A0959">
        <w:rPr>
          <w:bCs/>
          <w:sz w:val="26"/>
          <w:vertAlign w:val="superscript"/>
        </w:rPr>
        <w:footnoteReference w:id="16"/>
      </w:r>
      <w:r w:rsidRPr="00A75BEB">
        <w:rPr>
          <w:sz w:val="26"/>
        </w:rPr>
        <w:t xml:space="preserve">  NERC explain</w:t>
      </w:r>
      <w:r w:rsidR="00AF78DE">
        <w:rPr>
          <w:sz w:val="26"/>
        </w:rPr>
        <w:t>ed</w:t>
      </w:r>
      <w:r w:rsidRPr="00A75BEB">
        <w:rPr>
          <w:sz w:val="26"/>
        </w:rPr>
        <w:t xml:space="preserve"> that approval of the new versions would result in the retirement of four requirements from the currently-effective versions of the Reliability Standards.</w:t>
      </w:r>
      <w:r w:rsidRPr="009A0959">
        <w:rPr>
          <w:bCs/>
          <w:sz w:val="26"/>
          <w:vertAlign w:val="superscript"/>
        </w:rPr>
        <w:footnoteReference w:id="17"/>
      </w:r>
      <w:r w:rsidRPr="00A75BEB">
        <w:rPr>
          <w:sz w:val="26"/>
        </w:rPr>
        <w:t xml:space="preserve">  NERC propose</w:t>
      </w:r>
      <w:r w:rsidR="00AF78DE">
        <w:rPr>
          <w:sz w:val="26"/>
        </w:rPr>
        <w:t>d</w:t>
      </w:r>
      <w:r w:rsidRPr="00A75BEB">
        <w:rPr>
          <w:sz w:val="26"/>
        </w:rPr>
        <w:t xml:space="preserve"> to retire three of the existing requirements in Reliability Standards IRO-002 and TOP-001 that require the reliability coordinator, transmission operator, and balancing authority to have data exchange capabilities with entities having data needed to perform operational planning analyses and to develop operating plans for next-day operations.  NERC contend</w:t>
      </w:r>
      <w:r w:rsidR="00AF78DE">
        <w:rPr>
          <w:sz w:val="26"/>
        </w:rPr>
        <w:t>ed</w:t>
      </w:r>
      <w:r w:rsidRPr="00A75BEB">
        <w:rPr>
          <w:sz w:val="26"/>
        </w:rPr>
        <w:t xml:space="preserve"> that these requirements are redundant and not necessary “because the performance required by these requirements is inherent to the performance of other Reliability Standard requirements.”</w:t>
      </w:r>
      <w:r w:rsidRPr="00957C93">
        <w:rPr>
          <w:bCs/>
          <w:sz w:val="26"/>
          <w:vertAlign w:val="superscript"/>
        </w:rPr>
        <w:footnoteReference w:id="18"/>
      </w:r>
    </w:p>
    <w:p w:rsidRPr="00A75BEB" w:rsidR="00A75BEB" w:rsidP="00A75BEB" w:rsidRDefault="00A75BEB" w14:paraId="32608729" w14:textId="77777777">
      <w:pPr>
        <w:rPr>
          <w:sz w:val="26"/>
        </w:rPr>
      </w:pPr>
    </w:p>
    <w:p w:rsidR="00A75BEB" w:rsidP="00A75BEB" w:rsidRDefault="00A75BEB" w14:paraId="4BD62690" w14:textId="15C852EA">
      <w:pPr>
        <w:rPr>
          <w:sz w:val="26"/>
        </w:rPr>
      </w:pPr>
      <w:r w:rsidRPr="00A75BEB">
        <w:rPr>
          <w:sz w:val="26"/>
        </w:rPr>
        <w:t>In particular, NERC maintain</w:t>
      </w:r>
      <w:r w:rsidR="00AF78DE">
        <w:rPr>
          <w:sz w:val="26"/>
        </w:rPr>
        <w:t>ed</w:t>
      </w:r>
      <w:r w:rsidRPr="00A75BEB">
        <w:rPr>
          <w:sz w:val="26"/>
        </w:rPr>
        <w:t xml:space="preserve"> that the data exchange capability requirement in Reliability Standard IRO-002-5, Requirement R1 is covered by Reliability Standard IRO-008-2, Requirement R1, which obligates the reliability coordinator to perform operational planning analyses to assess whether the planned operations for the next-day will exceed System Operating Limits and Interconnection Reliability Operating Limits within its Wide Area.  NERC assert</w:t>
      </w:r>
      <w:r w:rsidR="00AF78DE">
        <w:rPr>
          <w:sz w:val="26"/>
        </w:rPr>
        <w:t>ed</w:t>
      </w:r>
      <w:r w:rsidRPr="00A75BEB">
        <w:rPr>
          <w:sz w:val="26"/>
        </w:rPr>
        <w:t xml:space="preserve"> that “to perform the required operational planning analyses, the Reliability Coordinator must have the data it deems necessary from those entities that possess it.”</w:t>
      </w:r>
      <w:r w:rsidRPr="00DC642F">
        <w:rPr>
          <w:bCs/>
          <w:sz w:val="26"/>
          <w:vertAlign w:val="superscript"/>
        </w:rPr>
        <w:footnoteReference w:id="19"/>
      </w:r>
    </w:p>
    <w:p w:rsidRPr="00A75BEB" w:rsidR="00A75BEB" w:rsidP="00A75BEB" w:rsidRDefault="00A75BEB" w14:paraId="4AD11EA5" w14:textId="77777777">
      <w:pPr>
        <w:rPr>
          <w:sz w:val="26"/>
        </w:rPr>
      </w:pPr>
    </w:p>
    <w:p w:rsidR="00A75BEB" w:rsidP="00A75BEB" w:rsidRDefault="00A75BEB" w14:paraId="71923C4C" w14:textId="1B2B9D21">
      <w:pPr>
        <w:rPr>
          <w:sz w:val="26"/>
        </w:rPr>
      </w:pPr>
      <w:r w:rsidRPr="00A75BEB">
        <w:rPr>
          <w:sz w:val="26"/>
        </w:rPr>
        <w:t>Additionally, regarding data exchange, NERC cite</w:t>
      </w:r>
      <w:r w:rsidR="00AF78DE">
        <w:rPr>
          <w:sz w:val="26"/>
        </w:rPr>
        <w:t>d</w:t>
      </w:r>
      <w:r w:rsidRPr="00A75BEB">
        <w:rPr>
          <w:sz w:val="26"/>
        </w:rPr>
        <w:t xml:space="preserve"> Reliability Standard IRO-010-2 (Reliability Coordinator Data Specification and Collection) and its stated purpose of  preventing instability, uncontrolled separation, or cascading outages “by ensuring the Reliability Coordinator has the data it needs to monitor and assess the operation of its Reliability Coordinator Area.”</w:t>
      </w:r>
      <w:r w:rsidRPr="00B860CA">
        <w:rPr>
          <w:bCs/>
          <w:sz w:val="26"/>
          <w:vertAlign w:val="superscript"/>
        </w:rPr>
        <w:footnoteReference w:id="20"/>
      </w:r>
      <w:r w:rsidRPr="00B860CA">
        <w:rPr>
          <w:bCs/>
          <w:sz w:val="26"/>
        </w:rPr>
        <w:t xml:space="preserve">  </w:t>
      </w:r>
      <w:r w:rsidRPr="00A75BEB">
        <w:rPr>
          <w:sz w:val="26"/>
        </w:rPr>
        <w:t>NERC state</w:t>
      </w:r>
      <w:r w:rsidR="00AF78DE">
        <w:rPr>
          <w:sz w:val="26"/>
        </w:rPr>
        <w:t>d</w:t>
      </w:r>
      <w:r w:rsidRPr="00A75BEB">
        <w:rPr>
          <w:sz w:val="26"/>
        </w:rPr>
        <w:t xml:space="preserve"> that under Reliability Standard IRO-010-2, Requirements R1, R2 and R3, the reliability coordinator must specify the data necessary for it to perform its operational planning analyses and provide the specifications to the entities from which it needs data who then must comply with the data request using a mutually agreeable format and security protocols.</w:t>
      </w:r>
    </w:p>
    <w:p w:rsidRPr="00A75BEB" w:rsidR="00A75BEB" w:rsidP="00A75BEB" w:rsidRDefault="00A75BEB" w14:paraId="0ED740E2" w14:textId="77777777">
      <w:pPr>
        <w:rPr>
          <w:sz w:val="26"/>
        </w:rPr>
      </w:pPr>
    </w:p>
    <w:p w:rsidRPr="00A75BEB" w:rsidR="00A75BEB" w:rsidP="00A75BEB" w:rsidRDefault="00A75BEB" w14:paraId="12203596" w14:textId="253E6011">
      <w:pPr>
        <w:rPr>
          <w:sz w:val="26"/>
        </w:rPr>
      </w:pPr>
      <w:r w:rsidRPr="00A75BEB">
        <w:rPr>
          <w:sz w:val="26"/>
        </w:rPr>
        <w:t>NERC state</w:t>
      </w:r>
      <w:r w:rsidR="00AF78DE">
        <w:rPr>
          <w:sz w:val="26"/>
        </w:rPr>
        <w:t>d</w:t>
      </w:r>
      <w:r w:rsidRPr="00A75BEB">
        <w:rPr>
          <w:sz w:val="26"/>
        </w:rPr>
        <w:t xml:space="preserve"> that the performance of Reliability Standard IRO-010-2, Requirements R1, R2 and R3 is premised on the existence of data exchange capabilities, “regardless of whether a separate requirement expressly requires the Reliability Coordinator to have data exchange capabilities in place.”</w:t>
      </w:r>
      <w:r w:rsidRPr="00C61BF8">
        <w:rPr>
          <w:bCs/>
          <w:sz w:val="26"/>
          <w:vertAlign w:val="superscript"/>
        </w:rPr>
        <w:footnoteReference w:id="21"/>
      </w:r>
      <w:r w:rsidRPr="00A75BEB">
        <w:rPr>
          <w:sz w:val="26"/>
        </w:rPr>
        <w:t xml:space="preserve">  NERC therefore assert</w:t>
      </w:r>
      <w:r w:rsidR="00AF78DE">
        <w:rPr>
          <w:sz w:val="26"/>
        </w:rPr>
        <w:t>ed</w:t>
      </w:r>
      <w:r w:rsidRPr="00A75BEB">
        <w:rPr>
          <w:sz w:val="26"/>
        </w:rPr>
        <w:t xml:space="preserve"> that Reliability Standard IRO-002-5, Requirement R1 provides no additional reliability benefit and “is therefore unnecessary and redundant and should be retired.”</w:t>
      </w:r>
      <w:r w:rsidRPr="00045A20">
        <w:rPr>
          <w:bCs/>
          <w:sz w:val="26"/>
          <w:vertAlign w:val="superscript"/>
        </w:rPr>
        <w:footnoteReference w:id="22"/>
      </w:r>
    </w:p>
    <w:p w:rsidR="00726588" w:rsidP="00A75BEB" w:rsidRDefault="00726588" w14:paraId="06038F55" w14:textId="77777777">
      <w:pPr>
        <w:rPr>
          <w:sz w:val="26"/>
        </w:rPr>
      </w:pPr>
    </w:p>
    <w:p w:rsidRPr="00A75BEB" w:rsidR="00A75BEB" w:rsidP="00A75BEB" w:rsidRDefault="00A75BEB" w14:paraId="78B46646" w14:textId="7B0175CA">
      <w:pPr>
        <w:rPr>
          <w:sz w:val="26"/>
        </w:rPr>
      </w:pPr>
      <w:r w:rsidRPr="00A75BEB">
        <w:rPr>
          <w:sz w:val="26"/>
        </w:rPr>
        <w:t>NERC also propose</w:t>
      </w:r>
      <w:r w:rsidR="00AF78DE">
        <w:rPr>
          <w:sz w:val="26"/>
        </w:rPr>
        <w:t>d</w:t>
      </w:r>
      <w:r w:rsidRPr="00A75BEB">
        <w:rPr>
          <w:sz w:val="26"/>
        </w:rPr>
        <w:t xml:space="preserve"> to retire Reliability Standards TOP-001-4, Requirements R19 and R22.  NERC explain</w:t>
      </w:r>
      <w:r w:rsidR="00AF78DE">
        <w:rPr>
          <w:sz w:val="26"/>
        </w:rPr>
        <w:t>ed</w:t>
      </w:r>
      <w:r w:rsidRPr="00A75BEB">
        <w:rPr>
          <w:sz w:val="26"/>
        </w:rPr>
        <w:t xml:space="preserve"> that Requirements R19 and R22 of Reliability Standard       TOP-001-4 require transmission operators and balancing authorities respectively to have data exchange capabilities with entities from which they need data to perform operational planning analyses (transmission operators) and next-day Operating Plans (balancing authorities).  NERC note</w:t>
      </w:r>
      <w:r w:rsidR="00AF78DE">
        <w:rPr>
          <w:sz w:val="26"/>
        </w:rPr>
        <w:t>d</w:t>
      </w:r>
      <w:r w:rsidRPr="00A75BEB">
        <w:rPr>
          <w:sz w:val="26"/>
        </w:rPr>
        <w:t>, however, that Reliability Standard TOP-002-4, Requirement R1 requires a transmission operator to perform an operational planning analyses to determine whether next-day operations within its area will exceed System Operating Limits.  NERC also state</w:t>
      </w:r>
      <w:r w:rsidR="00AF78DE">
        <w:rPr>
          <w:sz w:val="26"/>
        </w:rPr>
        <w:t>d</w:t>
      </w:r>
      <w:r w:rsidRPr="00A75BEB">
        <w:rPr>
          <w:sz w:val="26"/>
        </w:rPr>
        <w:t xml:space="preserve"> that TOP-002-4, Requirement R4 requires each balancing authority to have a next-day Operating Plan addressing expected generation resource commitment and dispatch, Interchange scheduling and related matters.  NERC assert</w:t>
      </w:r>
      <w:r w:rsidR="00AF78DE">
        <w:rPr>
          <w:sz w:val="26"/>
        </w:rPr>
        <w:t>ed</w:t>
      </w:r>
      <w:r w:rsidRPr="00A75BEB">
        <w:rPr>
          <w:sz w:val="26"/>
        </w:rPr>
        <w:t xml:space="preserve"> that to satisfy these requirements, “each Transmission Operator and Balancing Authority must have the data it deems necessary from those entities that possess it.”</w:t>
      </w:r>
      <w:r w:rsidRPr="00FC57B0">
        <w:rPr>
          <w:bCs/>
          <w:sz w:val="26"/>
          <w:vertAlign w:val="superscript"/>
        </w:rPr>
        <w:footnoteReference w:id="23"/>
      </w:r>
    </w:p>
    <w:p w:rsidR="00726588" w:rsidP="00A75BEB" w:rsidRDefault="00726588" w14:paraId="42DAFCCD" w14:textId="77777777">
      <w:pPr>
        <w:rPr>
          <w:sz w:val="26"/>
        </w:rPr>
      </w:pPr>
    </w:p>
    <w:p w:rsidR="00A75BEB" w:rsidP="00A75BEB" w:rsidRDefault="00A75BEB" w14:paraId="3BC480C5" w14:textId="30DDEA3D">
      <w:pPr>
        <w:rPr>
          <w:sz w:val="26"/>
        </w:rPr>
      </w:pPr>
      <w:r w:rsidRPr="00A75BEB">
        <w:rPr>
          <w:sz w:val="26"/>
        </w:rPr>
        <w:t>NERC also point</w:t>
      </w:r>
      <w:r w:rsidR="00AF78DE">
        <w:rPr>
          <w:sz w:val="26"/>
        </w:rPr>
        <w:t>ed</w:t>
      </w:r>
      <w:r w:rsidRPr="00A75BEB">
        <w:rPr>
          <w:sz w:val="26"/>
        </w:rPr>
        <w:t xml:space="preserve"> to Reliability Standard TOP-003-3 (Operational Reliability Data) whose purpose is “to ensure that the Transmission Operator and Balancing Authority have data needed to fulfill their operational and planning responsibilities.”  NERC contend</w:t>
      </w:r>
      <w:r w:rsidR="00AF78DE">
        <w:rPr>
          <w:sz w:val="26"/>
        </w:rPr>
        <w:t>ed</w:t>
      </w:r>
      <w:r w:rsidRPr="00A75BEB">
        <w:rPr>
          <w:sz w:val="26"/>
        </w:rPr>
        <w:t xml:space="preserve"> that the requirements in Reliability Standard TOP-003-3 largely mirror the requirements in Reliability Standard IRO-010-2 discussed above, and thus, as with Reliability Standard IRO-010-2, transmission operators and balancing authorities must have data exchange capabilities with its reporting entities to satisfy the requirements of Reliability TOP-003-3.  For these reasons, NERC contend</w:t>
      </w:r>
      <w:r w:rsidR="00AF78DE">
        <w:rPr>
          <w:sz w:val="26"/>
        </w:rPr>
        <w:t>ed</w:t>
      </w:r>
      <w:r w:rsidRPr="00A75BEB">
        <w:rPr>
          <w:sz w:val="26"/>
        </w:rPr>
        <w:t xml:space="preserve"> that Reliability Standards TOP-001-4, Requirements R19 and R22 are unnecessary and redundant and should be retired.</w:t>
      </w:r>
    </w:p>
    <w:p w:rsidRPr="00A75BEB" w:rsidR="00A75BEB" w:rsidP="00A75BEB" w:rsidRDefault="00A75BEB" w14:paraId="00BD877B" w14:textId="77777777">
      <w:pPr>
        <w:rPr>
          <w:sz w:val="26"/>
        </w:rPr>
      </w:pPr>
    </w:p>
    <w:p w:rsidR="007028E6" w:rsidP="00C642DF" w:rsidRDefault="00A75BEB" w14:paraId="5C33E079" w14:textId="3DE69BDF">
      <w:pPr>
        <w:rPr>
          <w:sz w:val="26"/>
        </w:rPr>
      </w:pPr>
      <w:r w:rsidRPr="00A75BEB">
        <w:rPr>
          <w:sz w:val="26"/>
        </w:rPr>
        <w:t>NERC request</w:t>
      </w:r>
      <w:r w:rsidR="00AF78DE">
        <w:rPr>
          <w:sz w:val="26"/>
        </w:rPr>
        <w:t>ed</w:t>
      </w:r>
      <w:r w:rsidRPr="00A75BEB">
        <w:rPr>
          <w:sz w:val="26"/>
        </w:rPr>
        <w:t xml:space="preserve"> that the Commission approve the implementation plan, attached to NERC’s petition as Exhibit B, and the associated violation risk factors and violation severity levels described in Exhibit D.  The implementation plan provides that proposed Reliability Standards IRO-002-7 and TOP-001-5 would become effective on the first day of the first calendar quarter that is three months after regulatory approval.  The </w:t>
      </w:r>
      <w:r w:rsidR="00AF78DE">
        <w:rPr>
          <w:sz w:val="26"/>
        </w:rPr>
        <w:t>previously</w:t>
      </w:r>
      <w:r w:rsidRPr="00A75BEB">
        <w:rPr>
          <w:sz w:val="26"/>
        </w:rPr>
        <w:t xml:space="preserve"> </w:t>
      </w:r>
      <w:r w:rsidRPr="00A75BEB">
        <w:rPr>
          <w:sz w:val="26"/>
        </w:rPr>
        <w:lastRenderedPageBreak/>
        <w:t>effective versions of the Reliability Standards would be retired immediately prior to the effective date of the revised Reliability Standards.  NERC explain</w:t>
      </w:r>
      <w:r w:rsidR="00AF78DE">
        <w:rPr>
          <w:sz w:val="26"/>
        </w:rPr>
        <w:t>ed</w:t>
      </w:r>
      <w:r w:rsidRPr="00A75BEB">
        <w:rPr>
          <w:sz w:val="26"/>
        </w:rPr>
        <w:t xml:space="preserve"> that the requested timeline accounts for the time entities will need to update their systems and related documentation.</w:t>
      </w:r>
    </w:p>
    <w:p w:rsidR="007028E6" w:rsidP="00C642DF" w:rsidRDefault="007028E6" w14:paraId="7F1E90C2" w14:textId="77777777">
      <w:pPr>
        <w:rPr>
          <w:sz w:val="26"/>
        </w:rPr>
      </w:pPr>
    </w:p>
    <w:p w:rsidRPr="00961C86" w:rsidR="00C642DF" w:rsidP="00C642DF" w:rsidRDefault="00581FD7" w14:paraId="4FE5A54C" w14:textId="663888D8">
      <w:pPr>
        <w:rPr>
          <w:b/>
          <w:sz w:val="26"/>
          <w:u w:val="single"/>
        </w:rPr>
      </w:pPr>
      <w:r>
        <w:rPr>
          <w:b/>
          <w:sz w:val="26"/>
          <w:u w:val="single"/>
        </w:rPr>
        <w:t>FAC, INT, MOD</w:t>
      </w:r>
      <w:r w:rsidR="003B0E8B">
        <w:rPr>
          <w:b/>
          <w:sz w:val="26"/>
          <w:u w:val="single"/>
        </w:rPr>
        <w:t xml:space="preserve"> and PRC</w:t>
      </w:r>
      <w:r w:rsidR="00066383">
        <w:rPr>
          <w:b/>
          <w:sz w:val="26"/>
          <w:u w:val="single"/>
        </w:rPr>
        <w:t xml:space="preserve"> Petition (Docket No. RM19-17-000)</w:t>
      </w:r>
    </w:p>
    <w:p w:rsidR="003B0E8B" w:rsidP="00C642DF" w:rsidRDefault="003B0E8B" w14:paraId="5CFB0F02" w14:textId="77777777">
      <w:pPr>
        <w:rPr>
          <w:sz w:val="26"/>
        </w:rPr>
      </w:pPr>
    </w:p>
    <w:p w:rsidRPr="00A75BEB" w:rsidR="00A75BEB" w:rsidP="00A75BEB" w:rsidRDefault="00A75BEB" w14:paraId="63FE5ADC" w14:textId="4ED0C02E">
      <w:pPr>
        <w:rPr>
          <w:sz w:val="26"/>
        </w:rPr>
      </w:pPr>
      <w:r w:rsidRPr="00A75BEB">
        <w:rPr>
          <w:sz w:val="26"/>
        </w:rPr>
        <w:t>On June 7, 2019, in Docket No. RM19-17-000, NERC submitted for Commission approval the proposed retirement of 10 currently-effective FAC, INT, MOD and PRC Reliability Standards in their entirety without replacement.</w:t>
      </w:r>
      <w:r w:rsidRPr="006612AE">
        <w:rPr>
          <w:bCs/>
          <w:sz w:val="26"/>
          <w:vertAlign w:val="superscript"/>
        </w:rPr>
        <w:footnoteReference w:id="24"/>
      </w:r>
      <w:r w:rsidRPr="00A75BEB">
        <w:rPr>
          <w:sz w:val="26"/>
        </w:rPr>
        <w:t xml:space="preserve">  Additionally, NERC proposed modifications to four Reliability Standards reflecting the retirement of certain requirements from the currently-effective versions:  FAC-008-4 (Facility Ratings),     INT-006-5 (Evaluation of Interchange Transactions), INT-009-3 (Implementation of Interchange) and PRC-004-6 (Protection System Misoperation Identification and Correction).</w:t>
      </w:r>
      <w:r w:rsidRPr="00B1100E">
        <w:rPr>
          <w:bCs/>
          <w:sz w:val="26"/>
          <w:vertAlign w:val="superscript"/>
        </w:rPr>
        <w:footnoteReference w:id="25"/>
      </w:r>
      <w:r w:rsidRPr="00A75BEB">
        <w:rPr>
          <w:sz w:val="26"/>
        </w:rPr>
        <w:t xml:space="preserve">  NERC assert</w:t>
      </w:r>
      <w:r w:rsidR="00AF78DE">
        <w:rPr>
          <w:sz w:val="26"/>
        </w:rPr>
        <w:t>ed</w:t>
      </w:r>
      <w:r w:rsidRPr="00A75BEB">
        <w:rPr>
          <w:sz w:val="26"/>
        </w:rPr>
        <w:t xml:space="preserve"> that its proposals would not adversely impact reliability, but rather they “would benefit reliability by allowing entities to focus their resources on those Reliability Standard requirements that promote the reliable operation and planning of the BPS [Bulk-Power System] and avoid unnecessary regulatory burden.”</w:t>
      </w:r>
      <w:r w:rsidRPr="004007BF">
        <w:rPr>
          <w:bCs/>
          <w:sz w:val="26"/>
          <w:vertAlign w:val="superscript"/>
        </w:rPr>
        <w:footnoteReference w:id="26"/>
      </w:r>
    </w:p>
    <w:p w:rsidR="00726588" w:rsidP="00A75BEB" w:rsidRDefault="00726588" w14:paraId="208BE99D" w14:textId="77777777">
      <w:pPr>
        <w:rPr>
          <w:sz w:val="26"/>
        </w:rPr>
      </w:pPr>
    </w:p>
    <w:p w:rsidR="00486C5C" w:rsidP="00A75BEB" w:rsidRDefault="00A75BEB" w14:paraId="130FE3AD" w14:textId="42021F5C">
      <w:pPr>
        <w:rPr>
          <w:sz w:val="26"/>
        </w:rPr>
      </w:pPr>
      <w:r w:rsidRPr="00A75BEB">
        <w:rPr>
          <w:sz w:val="26"/>
        </w:rPr>
        <w:t>Regarding the full FAC, INT, MOD and PRC Reliability Standards proposed for retirement, NERC contend</w:t>
      </w:r>
      <w:r w:rsidR="00AF78DE">
        <w:rPr>
          <w:sz w:val="26"/>
        </w:rPr>
        <w:t>ed</w:t>
      </w:r>
      <w:r w:rsidRPr="00A75BEB">
        <w:rPr>
          <w:sz w:val="26"/>
        </w:rPr>
        <w:t xml:space="preserve"> that they</w:t>
      </w:r>
      <w:r w:rsidRPr="00A75BEB">
        <w:rPr>
          <w:b/>
          <w:sz w:val="26"/>
        </w:rPr>
        <w:t xml:space="preserve"> </w:t>
      </w:r>
      <w:r w:rsidRPr="00A75BEB">
        <w:rPr>
          <w:sz w:val="26"/>
        </w:rPr>
        <w:t>are not necessary and that removing them would not adversely affect reliability.  NERC state</w:t>
      </w:r>
      <w:r w:rsidR="00AF78DE">
        <w:rPr>
          <w:sz w:val="26"/>
        </w:rPr>
        <w:t>d</w:t>
      </w:r>
      <w:r w:rsidRPr="00A75BEB">
        <w:rPr>
          <w:sz w:val="26"/>
        </w:rPr>
        <w:t xml:space="preserve"> that retirement of the ten full Reliability Standards is justified because they are primarily administrative in nature or largely related to commercial or business practices, and therefore no longer serve a reliability purpose.</w:t>
      </w:r>
      <w:r w:rsidRPr="0013758C">
        <w:rPr>
          <w:bCs/>
          <w:sz w:val="26"/>
          <w:vertAlign w:val="superscript"/>
        </w:rPr>
        <w:footnoteReference w:id="27"/>
      </w:r>
      <w:r w:rsidRPr="00A75BEB">
        <w:rPr>
          <w:sz w:val="26"/>
        </w:rPr>
        <w:t xml:space="preserve">  For example, NERC state</w:t>
      </w:r>
      <w:r w:rsidR="00AF78DE">
        <w:rPr>
          <w:sz w:val="26"/>
        </w:rPr>
        <w:t>d</w:t>
      </w:r>
      <w:r w:rsidRPr="00A75BEB">
        <w:rPr>
          <w:sz w:val="26"/>
        </w:rPr>
        <w:t xml:space="preserve"> that the transfer capability assessment required under Reliability Standard FAC-013-2 “serves only a market function” and “is not an indicator of [bulk electric system] reliability.”</w:t>
      </w:r>
      <w:r w:rsidRPr="00A8125B">
        <w:rPr>
          <w:bCs/>
          <w:sz w:val="26"/>
          <w:vertAlign w:val="superscript"/>
        </w:rPr>
        <w:footnoteReference w:id="28"/>
      </w:r>
      <w:r w:rsidRPr="00A75BEB">
        <w:rPr>
          <w:sz w:val="26"/>
        </w:rPr>
        <w:t xml:space="preserve">  In supporting its conclusion that Reliability Standard INT-010-2.1 primarily relates to commercial and business practices, NERC note</w:t>
      </w:r>
      <w:r w:rsidR="00AF78DE">
        <w:rPr>
          <w:sz w:val="26"/>
        </w:rPr>
        <w:t>d</w:t>
      </w:r>
      <w:r w:rsidRPr="00A75BEB">
        <w:rPr>
          <w:sz w:val="26"/>
        </w:rPr>
        <w:t xml:space="preserve"> that in 2013 the NERC Independent Experts Review Panel recommended retiring the previous version of the Reliability Standard “due to overlap with the NAESB </w:t>
      </w:r>
      <w:r w:rsidRPr="00A75BEB">
        <w:rPr>
          <w:sz w:val="26"/>
        </w:rPr>
        <w:lastRenderedPageBreak/>
        <w:t>Electronic Tagging Functional Specification.”</w:t>
      </w:r>
      <w:r w:rsidRPr="00486C5C">
        <w:rPr>
          <w:bCs/>
          <w:sz w:val="26"/>
          <w:vertAlign w:val="superscript"/>
        </w:rPr>
        <w:footnoteReference w:id="29"/>
      </w:r>
    </w:p>
    <w:p w:rsidRPr="00A75BEB" w:rsidR="00A75BEB" w:rsidP="00A75BEB" w:rsidRDefault="00A75BEB" w14:paraId="3780A408" w14:textId="77777777">
      <w:pPr>
        <w:rPr>
          <w:sz w:val="26"/>
        </w:rPr>
      </w:pPr>
    </w:p>
    <w:p w:rsidRPr="00A75BEB" w:rsidR="00A75BEB" w:rsidP="00A75BEB" w:rsidRDefault="00A75BEB" w14:paraId="3D0672F4" w14:textId="6B2AF63E">
      <w:pPr>
        <w:rPr>
          <w:sz w:val="26"/>
        </w:rPr>
      </w:pPr>
      <w:r w:rsidRPr="00A75BEB">
        <w:rPr>
          <w:sz w:val="26"/>
        </w:rPr>
        <w:t>Similarly, regarding the MOD Reliability Standards, NERC state</w:t>
      </w:r>
      <w:r w:rsidR="00AF78DE">
        <w:rPr>
          <w:sz w:val="26"/>
        </w:rPr>
        <w:t>d</w:t>
      </w:r>
      <w:r w:rsidRPr="00A75BEB">
        <w:rPr>
          <w:sz w:val="26"/>
        </w:rPr>
        <w:t xml:space="preserve"> that “[Available Transfer Capability] and [Available Flowgate Methodology], as well as e-Tags, are commercially-focused elements facilitating interchange and balancing of interchange,” and that system operators maintain reliability by monitoring Real-time flows based on System Operating Limits and Interconnection Reliability Operating Limits.</w:t>
      </w:r>
      <w:r w:rsidRPr="00CF20EB">
        <w:rPr>
          <w:bCs/>
          <w:sz w:val="26"/>
          <w:vertAlign w:val="superscript"/>
        </w:rPr>
        <w:footnoteReference w:id="30"/>
      </w:r>
      <w:r w:rsidRPr="00A75BEB">
        <w:rPr>
          <w:sz w:val="26"/>
        </w:rPr>
        <w:t xml:space="preserve">  In particular, NERC explain</w:t>
      </w:r>
      <w:r w:rsidR="00AF78DE">
        <w:rPr>
          <w:sz w:val="26"/>
        </w:rPr>
        <w:t>ed</w:t>
      </w:r>
      <w:r w:rsidRPr="00A75BEB">
        <w:rPr>
          <w:sz w:val="26"/>
        </w:rPr>
        <w:t xml:space="preserve"> that information on Interruptible Demands and Direct Control Load Management required under Reliability Standard MOD-020-0 is not useful for transmission operators and reliability coordinators, “who must plan and operate the [Bulk-Power System] within System Operating Limits and Interconnection Reliability Operating Limits under the TOP and IRO Reliability Standards.”</w:t>
      </w:r>
      <w:r w:rsidRPr="00757B62">
        <w:rPr>
          <w:bCs/>
          <w:sz w:val="26"/>
          <w:vertAlign w:val="superscript"/>
        </w:rPr>
        <w:footnoteReference w:id="31"/>
      </w:r>
    </w:p>
    <w:p w:rsidR="00726588" w:rsidP="00A75BEB" w:rsidRDefault="00726588" w14:paraId="0C14449B" w14:textId="77777777">
      <w:pPr>
        <w:rPr>
          <w:sz w:val="26"/>
        </w:rPr>
      </w:pPr>
    </w:p>
    <w:p w:rsidR="00A75BEB" w:rsidP="00A75BEB" w:rsidRDefault="00A75BEB" w14:paraId="3B74E09E" w14:textId="6F0A21BF">
      <w:pPr>
        <w:rPr>
          <w:sz w:val="26"/>
        </w:rPr>
      </w:pPr>
      <w:r w:rsidRPr="00A75BEB">
        <w:rPr>
          <w:sz w:val="26"/>
        </w:rPr>
        <w:t>Regarding NERC’s proposed modified Reliability Standards, NERC state</w:t>
      </w:r>
      <w:r w:rsidR="00AF78DE">
        <w:rPr>
          <w:sz w:val="26"/>
        </w:rPr>
        <w:t>d</w:t>
      </w:r>
      <w:r w:rsidRPr="00A75BEB">
        <w:rPr>
          <w:sz w:val="26"/>
        </w:rPr>
        <w:t xml:space="preserve"> that the data provision obligations of currently effective Reliability Standard FAC-008-3,</w:t>
      </w:r>
      <w:r w:rsidR="00D85C85">
        <w:rPr>
          <w:sz w:val="26"/>
        </w:rPr>
        <w:t xml:space="preserve"> </w:t>
      </w:r>
      <w:r w:rsidRPr="00A75BEB">
        <w:rPr>
          <w:sz w:val="26"/>
        </w:rPr>
        <w:t>Requirements R7 and R8 are redundant with Reliability Standards MOD-032-1,</w:t>
      </w:r>
      <w:r w:rsidR="00D85C85">
        <w:rPr>
          <w:sz w:val="26"/>
        </w:rPr>
        <w:t xml:space="preserve"> </w:t>
      </w:r>
      <w:r w:rsidRPr="00A75BEB">
        <w:rPr>
          <w:sz w:val="26"/>
        </w:rPr>
        <w:t>IRO-010-2 and TOP-003-3.  NERC assert</w:t>
      </w:r>
      <w:r w:rsidR="00AF78DE">
        <w:rPr>
          <w:sz w:val="26"/>
        </w:rPr>
        <w:t>ed</w:t>
      </w:r>
      <w:r w:rsidRPr="00A75BEB">
        <w:rPr>
          <w:sz w:val="26"/>
        </w:rPr>
        <w:t xml:space="preserve"> that Requirements R3.1, R4 and R5 of currently-effective Reliability Standard INT-006-4 “provide little, if any, benefit or protection to the reliability operation of the [Bulk-Power System]”</w:t>
      </w:r>
      <w:r w:rsidRPr="0006379D">
        <w:rPr>
          <w:bCs/>
          <w:sz w:val="26"/>
          <w:vertAlign w:val="superscript"/>
        </w:rPr>
        <w:footnoteReference w:id="32"/>
      </w:r>
      <w:r w:rsidRPr="00A75BEB">
        <w:rPr>
          <w:sz w:val="26"/>
        </w:rPr>
        <w:t xml:space="preserve"> and that the substance of Requirements R4 and R5 in particular relate to commercial or business practices and are better addressed through the balancing authority’s e-Tag Authority Service.</w:t>
      </w:r>
      <w:r w:rsidRPr="00990485">
        <w:rPr>
          <w:bCs/>
          <w:sz w:val="26"/>
          <w:vertAlign w:val="superscript"/>
        </w:rPr>
        <w:footnoteReference w:id="33"/>
      </w:r>
      <w:r w:rsidRPr="00A75BEB">
        <w:rPr>
          <w:sz w:val="26"/>
        </w:rPr>
        <w:t xml:space="preserve">  Also, NERC state</w:t>
      </w:r>
      <w:r w:rsidR="00AF78DE">
        <w:rPr>
          <w:sz w:val="26"/>
        </w:rPr>
        <w:t>d</w:t>
      </w:r>
      <w:r w:rsidRPr="00A75BEB">
        <w:rPr>
          <w:sz w:val="26"/>
        </w:rPr>
        <w:t xml:space="preserve"> that Requirement R1 of </w:t>
      </w:r>
      <w:r w:rsidR="005E49A0">
        <w:rPr>
          <w:sz w:val="26"/>
        </w:rPr>
        <w:t>previously</w:t>
      </w:r>
      <w:r w:rsidRPr="00A75BEB">
        <w:rPr>
          <w:sz w:val="26"/>
        </w:rPr>
        <w:t xml:space="preserve">-effective Reliability Standard INT-009-2.1 </w:t>
      </w:r>
      <w:r w:rsidR="005E49A0">
        <w:rPr>
          <w:sz w:val="26"/>
        </w:rPr>
        <w:t>should be revised</w:t>
      </w:r>
      <w:r w:rsidRPr="00A75BEB">
        <w:rPr>
          <w:sz w:val="26"/>
        </w:rPr>
        <w:t xml:space="preserve"> to remove the reference to Reliability Standard INT-010, which </w:t>
      </w:r>
      <w:r w:rsidR="00AF78DE">
        <w:rPr>
          <w:sz w:val="26"/>
        </w:rPr>
        <w:t>was</w:t>
      </w:r>
      <w:r w:rsidRPr="00A75BEB">
        <w:rPr>
          <w:sz w:val="26"/>
        </w:rPr>
        <w:t xml:space="preserve"> also proposed for retirement, and Requirement R2 is redundant with Reliability Standard BAL-005-1, Requirement R7.</w:t>
      </w:r>
      <w:r w:rsidRPr="0045692C">
        <w:rPr>
          <w:bCs/>
          <w:sz w:val="26"/>
          <w:vertAlign w:val="superscript"/>
        </w:rPr>
        <w:footnoteReference w:id="34"/>
      </w:r>
      <w:r w:rsidRPr="00A75BEB">
        <w:rPr>
          <w:sz w:val="26"/>
        </w:rPr>
        <w:t xml:space="preserve">  Finally, NERC state</w:t>
      </w:r>
      <w:r w:rsidR="005E49A0">
        <w:rPr>
          <w:sz w:val="26"/>
        </w:rPr>
        <w:t>d</w:t>
      </w:r>
      <w:r w:rsidRPr="00A75BEB">
        <w:rPr>
          <w:sz w:val="26"/>
        </w:rPr>
        <w:t xml:space="preserve"> that it has determined that rather than the “specific, recurring and inflexible timeframe” set forth in Requirement R4 of currently-effective Reliability Standard PRC-004-5 for identifying the cause of a protection system misoperation, “it would be more effective to have entities investigate the causes of misoperations according to their own internal control policies and procedures.”</w:t>
      </w:r>
      <w:r w:rsidRPr="008A75E7">
        <w:rPr>
          <w:bCs/>
          <w:sz w:val="26"/>
          <w:vertAlign w:val="superscript"/>
        </w:rPr>
        <w:footnoteReference w:id="35"/>
      </w:r>
    </w:p>
    <w:p w:rsidRPr="00A75BEB" w:rsidR="00A75BEB" w:rsidP="00A75BEB" w:rsidRDefault="00A75BEB" w14:paraId="6E151193" w14:textId="77777777">
      <w:pPr>
        <w:rPr>
          <w:sz w:val="26"/>
        </w:rPr>
      </w:pPr>
    </w:p>
    <w:p w:rsidRPr="00A75BEB" w:rsidR="00A75BEB" w:rsidP="00A75BEB" w:rsidRDefault="00A75BEB" w14:paraId="0DD9EF68" w14:textId="36CE48A7">
      <w:pPr>
        <w:rPr>
          <w:sz w:val="26"/>
        </w:rPr>
      </w:pPr>
      <w:r w:rsidRPr="00A75BEB">
        <w:rPr>
          <w:sz w:val="26"/>
        </w:rPr>
        <w:t>NERC request</w:t>
      </w:r>
      <w:r w:rsidR="009F15F4">
        <w:rPr>
          <w:sz w:val="26"/>
        </w:rPr>
        <w:t>ed</w:t>
      </w:r>
      <w:r w:rsidRPr="00A75BEB">
        <w:rPr>
          <w:sz w:val="26"/>
        </w:rPr>
        <w:t xml:space="preserve"> that the Commission approve the implementation plan, attached to NERC’s petition as Exhibit B, and the associated violation risk factors and violation severity levels, attached to NERC’s petition as Exhibit D, which are generally unchanged </w:t>
      </w:r>
      <w:r w:rsidRPr="00A75BEB">
        <w:rPr>
          <w:sz w:val="26"/>
        </w:rPr>
        <w:lastRenderedPageBreak/>
        <w:t xml:space="preserve">from the </w:t>
      </w:r>
      <w:r w:rsidR="005E49A0">
        <w:rPr>
          <w:sz w:val="26"/>
        </w:rPr>
        <w:t xml:space="preserve">previously </w:t>
      </w:r>
      <w:r w:rsidRPr="00A75BEB">
        <w:rPr>
          <w:sz w:val="26"/>
        </w:rPr>
        <w:t>effective versions.  For the Reliability Standards retired in their entirety, NERC propose</w:t>
      </w:r>
      <w:r w:rsidR="009F15F4">
        <w:rPr>
          <w:sz w:val="26"/>
        </w:rPr>
        <w:t>d</w:t>
      </w:r>
      <w:r w:rsidR="00E926CA">
        <w:rPr>
          <w:sz w:val="26"/>
        </w:rPr>
        <w:t xml:space="preserve"> </w:t>
      </w:r>
      <w:r w:rsidRPr="00A75BEB">
        <w:rPr>
          <w:sz w:val="26"/>
        </w:rPr>
        <w:t xml:space="preserve">an effective date that is immediately upon regulatory approval of the retirement.  NERC also </w:t>
      </w:r>
      <w:r w:rsidR="009F15F4">
        <w:rPr>
          <w:sz w:val="26"/>
        </w:rPr>
        <w:t>sought</w:t>
      </w:r>
      <w:r w:rsidRPr="00A75BEB">
        <w:rPr>
          <w:sz w:val="26"/>
        </w:rPr>
        <w:t xml:space="preserve"> to retire the currently effective Reliability Standards FAC-008-3, INT-006-4, INT-009-2.1, and PRC-004-5(i) immediately prior to the effective date of their new versions.</w:t>
      </w:r>
    </w:p>
    <w:p w:rsidRPr="003737CB" w:rsidR="0035439D" w:rsidP="00485111" w:rsidRDefault="0035439D" w14:paraId="7E20F894" w14:textId="77777777">
      <w:pPr>
        <w:pStyle w:val="FERCparanumber"/>
        <w:numPr>
          <w:ilvl w:val="0"/>
          <w:numId w:val="0"/>
        </w:numPr>
        <w:tabs>
          <w:tab w:val="left" w:pos="720"/>
          <w:tab w:val="left" w:pos="4860"/>
        </w:tabs>
        <w:spacing w:line="20" w:lineRule="atLeast"/>
        <w:rPr>
          <w:szCs w:val="26"/>
        </w:rPr>
      </w:pPr>
    </w:p>
    <w:p w:rsidRPr="00961C86" w:rsidR="001529B8" w:rsidP="001529B8" w:rsidRDefault="0035439D" w14:paraId="407DDE27" w14:textId="23ABB0EA">
      <w:pPr>
        <w:pStyle w:val="FERCparanumber"/>
        <w:numPr>
          <w:ilvl w:val="0"/>
          <w:numId w:val="2"/>
        </w:numPr>
        <w:tabs>
          <w:tab w:val="left" w:pos="720"/>
          <w:tab w:val="left" w:pos="4860"/>
        </w:tabs>
        <w:spacing w:line="20" w:lineRule="atLeast"/>
        <w:rPr>
          <w:szCs w:val="26"/>
        </w:rPr>
      </w:pPr>
      <w:r w:rsidRPr="003737CB">
        <w:rPr>
          <w:b/>
          <w:szCs w:val="26"/>
        </w:rPr>
        <w:t>HOW, BY WHOM AND FOR WHAT PURPOSE IS THE INFORMATION USED AND THE CONSEQUENCES OF NOT COLLECTING THE INFORMATION</w:t>
      </w:r>
    </w:p>
    <w:p w:rsidR="002C6802" w:rsidP="00961C86" w:rsidRDefault="002C6802" w14:paraId="0CAEB7DC" w14:textId="77777777">
      <w:pPr>
        <w:pStyle w:val="FERCparanumber"/>
        <w:numPr>
          <w:ilvl w:val="0"/>
          <w:numId w:val="0"/>
        </w:numPr>
        <w:tabs>
          <w:tab w:val="left" w:pos="720"/>
          <w:tab w:val="left" w:pos="4860"/>
        </w:tabs>
        <w:spacing w:line="20" w:lineRule="atLeast"/>
        <w:ind w:left="72"/>
        <w:rPr>
          <w:szCs w:val="26"/>
        </w:rPr>
      </w:pPr>
    </w:p>
    <w:p w:rsidRPr="00024C4F" w:rsidR="001529B8" w:rsidP="00A75BEB" w:rsidRDefault="001529B8" w14:paraId="26DF7BA8" w14:textId="7408FF7E">
      <w:pPr>
        <w:rPr>
          <w:sz w:val="26"/>
          <w:szCs w:val="26"/>
        </w:rPr>
      </w:pPr>
      <w:r w:rsidRPr="00024C4F">
        <w:rPr>
          <w:sz w:val="26"/>
          <w:szCs w:val="26"/>
        </w:rPr>
        <w:t xml:space="preserve">NERC’s justifications for retiring the </w:t>
      </w:r>
      <w:r w:rsidRPr="00024C4F" w:rsidR="00A75BEB">
        <w:rPr>
          <w:sz w:val="26"/>
          <w:szCs w:val="26"/>
        </w:rPr>
        <w:t>18</w:t>
      </w:r>
      <w:r w:rsidRPr="00024C4F">
        <w:rPr>
          <w:sz w:val="26"/>
          <w:szCs w:val="26"/>
        </w:rPr>
        <w:t xml:space="preserve"> requirements are consistent with the Commission-approved bases for retiring Reliability Standard requirements articulated in prior proceedings</w:t>
      </w:r>
      <w:r w:rsidRPr="00024C4F" w:rsidR="00FE44F6">
        <w:rPr>
          <w:sz w:val="26"/>
          <w:szCs w:val="26"/>
        </w:rPr>
        <w:t xml:space="preserve">, </w:t>
      </w:r>
      <w:r w:rsidRPr="00024C4F" w:rsidR="00581FD7">
        <w:rPr>
          <w:sz w:val="26"/>
          <w:szCs w:val="26"/>
        </w:rPr>
        <w:t>including the</w:t>
      </w:r>
      <w:r w:rsidRPr="00024C4F" w:rsidR="00F03F5A">
        <w:rPr>
          <w:sz w:val="26"/>
          <w:szCs w:val="26"/>
        </w:rPr>
        <w:t xml:space="preserve"> Commission</w:t>
      </w:r>
      <w:r w:rsidRPr="00024C4F" w:rsidR="00FE44F6">
        <w:rPr>
          <w:sz w:val="26"/>
          <w:szCs w:val="26"/>
        </w:rPr>
        <w:t>’s</w:t>
      </w:r>
      <w:r w:rsidRPr="00024C4F" w:rsidR="00F03F5A">
        <w:rPr>
          <w:sz w:val="26"/>
          <w:szCs w:val="26"/>
        </w:rPr>
        <w:t xml:space="preserve"> </w:t>
      </w:r>
      <w:r w:rsidRPr="00024C4F" w:rsidR="00FE44F6">
        <w:rPr>
          <w:sz w:val="26"/>
          <w:szCs w:val="26"/>
        </w:rPr>
        <w:t>determination</w:t>
      </w:r>
      <w:r w:rsidRPr="00024C4F" w:rsidR="00F03F5A">
        <w:rPr>
          <w:sz w:val="26"/>
          <w:szCs w:val="26"/>
        </w:rPr>
        <w:t xml:space="preserve"> that the proposed retirements will </w:t>
      </w:r>
      <w:r w:rsidRPr="00024C4F" w:rsidR="00FE44F6">
        <w:rPr>
          <w:sz w:val="26"/>
          <w:szCs w:val="26"/>
        </w:rPr>
        <w:t>promote</w:t>
      </w:r>
      <w:r w:rsidRPr="00024C4F" w:rsidR="00F03F5A">
        <w:rPr>
          <w:sz w:val="26"/>
          <w:szCs w:val="26"/>
        </w:rPr>
        <w:t xml:space="preserve"> the efficiency of the Reliability Standards program by reducing duplicative or otherwise unnecessary regulatory burden</w:t>
      </w:r>
      <w:r w:rsidRPr="00024C4F" w:rsidR="00FE44F6">
        <w:rPr>
          <w:sz w:val="26"/>
          <w:szCs w:val="26"/>
        </w:rPr>
        <w:t>s</w:t>
      </w:r>
      <w:r w:rsidRPr="00024C4F" w:rsidR="00F03F5A">
        <w:rPr>
          <w:sz w:val="26"/>
          <w:szCs w:val="26"/>
        </w:rPr>
        <w:t>.  Further, the retirement of the Reliability Standard provisions will benefit overall reliability by allowing registered entities to focus their resources on complying with those Reliability Standard requirements that more effectively promote the reliable operation and planning of the nation’s bulk-power system.</w:t>
      </w:r>
      <w:r w:rsidRPr="00024C4F" w:rsidR="00B4341E">
        <w:rPr>
          <w:sz w:val="26"/>
          <w:szCs w:val="26"/>
        </w:rPr>
        <w:t xml:space="preserve">  Therefore, </w:t>
      </w:r>
      <w:r w:rsidRPr="00024C4F" w:rsidR="00CD5B5D">
        <w:rPr>
          <w:sz w:val="26"/>
          <w:szCs w:val="26"/>
        </w:rPr>
        <w:t>because the Reliability Standards and requirements proposed for retirement have been found to be no longer necessary, the related information collection requirements no longer serve any purpose.</w:t>
      </w:r>
    </w:p>
    <w:p w:rsidRPr="00024C4F" w:rsidR="003737CB" w:rsidP="00485111" w:rsidRDefault="003737CB" w14:paraId="097B37C0" w14:textId="77777777">
      <w:pPr>
        <w:pStyle w:val="FERCparanumber"/>
        <w:numPr>
          <w:ilvl w:val="0"/>
          <w:numId w:val="0"/>
        </w:numPr>
        <w:tabs>
          <w:tab w:val="left" w:pos="720"/>
          <w:tab w:val="left" w:pos="4860"/>
        </w:tabs>
        <w:spacing w:line="20" w:lineRule="atLeast"/>
        <w:rPr>
          <w:szCs w:val="26"/>
        </w:rPr>
      </w:pPr>
    </w:p>
    <w:p w:rsidRPr="00024C4F" w:rsidR="0035439D" w:rsidP="00485111" w:rsidRDefault="0035439D" w14:paraId="0EC063BE" w14:textId="2CF804E2">
      <w:pPr>
        <w:widowControl/>
        <w:numPr>
          <w:ilvl w:val="0"/>
          <w:numId w:val="2"/>
        </w:numPr>
        <w:spacing w:line="20" w:lineRule="atLeast"/>
        <w:rPr>
          <w:sz w:val="26"/>
          <w:szCs w:val="26"/>
        </w:rPr>
      </w:pPr>
      <w:r w:rsidRPr="00024C4F">
        <w:rPr>
          <w:b/>
          <w:sz w:val="26"/>
          <w:szCs w:val="26"/>
        </w:rPr>
        <w:t>DESCRIBE ANY CONSIDERATION OF THE USE OF IMPROVED INFORMATION TECHNOLOGY TO REDUCE BURDEN AND THE TECHNICAL OR LEGAL OBSTACLES TO REDUCING BURDEN</w:t>
      </w:r>
    </w:p>
    <w:p w:rsidRPr="00024C4F" w:rsidR="007028E6" w:rsidP="00961C86" w:rsidRDefault="007028E6" w14:paraId="41E01504" w14:textId="77777777">
      <w:pPr>
        <w:widowControl/>
        <w:spacing w:line="20" w:lineRule="atLeast"/>
        <w:ind w:left="720"/>
        <w:rPr>
          <w:sz w:val="26"/>
          <w:szCs w:val="26"/>
        </w:rPr>
      </w:pPr>
    </w:p>
    <w:p w:rsidRPr="00024C4F" w:rsidR="00417265" w:rsidP="00417265" w:rsidRDefault="00417265" w14:paraId="6AC874EC" w14:textId="723D7881">
      <w:pPr>
        <w:ind w:left="72"/>
        <w:rPr>
          <w:rFonts w:eastAsia="Calibri"/>
          <w:sz w:val="26"/>
          <w:szCs w:val="26"/>
        </w:rPr>
      </w:pPr>
      <w:r w:rsidRPr="00024C4F">
        <w:rPr>
          <w:rFonts w:eastAsia="Calibri"/>
          <w:sz w:val="26"/>
          <w:szCs w:val="26"/>
        </w:rPr>
        <w:t>The use of current or improved technology are not covered in Reliability Standards and are therefore left to the discretion of each respondent.</w:t>
      </w:r>
      <w:r w:rsidRPr="00024C4F" w:rsidR="00490A07">
        <w:rPr>
          <w:rFonts w:eastAsia="Calibri"/>
          <w:sz w:val="26"/>
          <w:szCs w:val="26"/>
        </w:rPr>
        <w:t xml:space="preserve">  </w:t>
      </w:r>
      <w:r w:rsidRPr="00024C4F" w:rsidR="00E9746D">
        <w:rPr>
          <w:rFonts w:eastAsia="Calibri"/>
          <w:sz w:val="26"/>
          <w:szCs w:val="26"/>
        </w:rPr>
        <w:t xml:space="preserve">Also, as explained above, the retirement </w:t>
      </w:r>
      <w:r w:rsidR="00AD065C">
        <w:rPr>
          <w:rFonts w:eastAsia="Calibri"/>
          <w:sz w:val="26"/>
          <w:szCs w:val="26"/>
        </w:rPr>
        <w:t xml:space="preserve">and revision </w:t>
      </w:r>
      <w:r w:rsidRPr="00024C4F" w:rsidR="00E9746D">
        <w:rPr>
          <w:rFonts w:eastAsia="Calibri"/>
          <w:sz w:val="26"/>
          <w:szCs w:val="26"/>
        </w:rPr>
        <w:t>of Reliability Standards</w:t>
      </w:r>
      <w:r w:rsidR="00AD065C">
        <w:rPr>
          <w:rFonts w:eastAsia="Calibri"/>
          <w:sz w:val="26"/>
          <w:szCs w:val="26"/>
        </w:rPr>
        <w:t xml:space="preserve">, the retirement of 18 </w:t>
      </w:r>
      <w:r w:rsidRPr="00024C4F" w:rsidR="00E9746D">
        <w:rPr>
          <w:rFonts w:eastAsia="Calibri"/>
          <w:sz w:val="26"/>
          <w:szCs w:val="26"/>
        </w:rPr>
        <w:t xml:space="preserve">requirements in the </w:t>
      </w:r>
      <w:r w:rsidR="00C861F6">
        <w:rPr>
          <w:rFonts w:eastAsia="Calibri"/>
          <w:sz w:val="26"/>
          <w:szCs w:val="26"/>
        </w:rPr>
        <w:t>fi</w:t>
      </w:r>
      <w:r w:rsidRPr="00024C4F" w:rsidR="00CD0C1A">
        <w:rPr>
          <w:rFonts w:eastAsia="Calibri"/>
          <w:sz w:val="26"/>
          <w:szCs w:val="26"/>
        </w:rPr>
        <w:t xml:space="preserve">nal </w:t>
      </w:r>
      <w:r w:rsidR="00C861F6">
        <w:rPr>
          <w:rFonts w:eastAsia="Calibri"/>
          <w:sz w:val="26"/>
          <w:szCs w:val="26"/>
        </w:rPr>
        <w:t>r</w:t>
      </w:r>
      <w:r w:rsidRPr="00024C4F" w:rsidR="00CD0C1A">
        <w:rPr>
          <w:rFonts w:eastAsia="Calibri"/>
          <w:sz w:val="26"/>
          <w:szCs w:val="26"/>
        </w:rPr>
        <w:t>ule</w:t>
      </w:r>
      <w:r w:rsidR="00AD065C">
        <w:rPr>
          <w:rFonts w:eastAsia="Calibri"/>
          <w:sz w:val="26"/>
          <w:szCs w:val="26"/>
        </w:rPr>
        <w:t xml:space="preserve">, remove </w:t>
      </w:r>
      <w:r w:rsidRPr="00024C4F" w:rsidR="00BE139C">
        <w:rPr>
          <w:rFonts w:eastAsia="Calibri"/>
          <w:sz w:val="26"/>
          <w:szCs w:val="26"/>
        </w:rPr>
        <w:t xml:space="preserve">the related </w:t>
      </w:r>
      <w:r w:rsidRPr="00024C4F" w:rsidR="00E9746D">
        <w:rPr>
          <w:rFonts w:eastAsia="Calibri"/>
          <w:sz w:val="26"/>
          <w:szCs w:val="26"/>
        </w:rPr>
        <w:t>regulatory burden</w:t>
      </w:r>
      <w:r w:rsidRPr="00024C4F" w:rsidR="00BE139C">
        <w:rPr>
          <w:rFonts w:eastAsia="Calibri"/>
          <w:sz w:val="26"/>
          <w:szCs w:val="26"/>
        </w:rPr>
        <w:t>s</w:t>
      </w:r>
      <w:r w:rsidRPr="00024C4F" w:rsidR="00E9746D">
        <w:rPr>
          <w:rFonts w:eastAsia="Calibri"/>
          <w:sz w:val="26"/>
          <w:szCs w:val="26"/>
        </w:rPr>
        <w:t>.</w:t>
      </w:r>
    </w:p>
    <w:p w:rsidRPr="00024C4F" w:rsidR="004A6934" w:rsidP="00417265" w:rsidRDefault="004A6934" w14:paraId="28DFDF65" w14:textId="77777777">
      <w:pPr>
        <w:widowControl/>
        <w:spacing w:line="20" w:lineRule="atLeast"/>
        <w:rPr>
          <w:sz w:val="26"/>
          <w:szCs w:val="26"/>
        </w:rPr>
      </w:pPr>
    </w:p>
    <w:p w:rsidRPr="00024C4F" w:rsidR="0035439D" w:rsidP="00485111" w:rsidRDefault="0035439D" w14:paraId="10328CC1" w14:textId="73848F8A">
      <w:pPr>
        <w:pStyle w:val="FERCparanumber"/>
        <w:numPr>
          <w:ilvl w:val="0"/>
          <w:numId w:val="2"/>
        </w:numPr>
        <w:spacing w:line="20" w:lineRule="atLeast"/>
        <w:rPr>
          <w:szCs w:val="26"/>
        </w:rPr>
      </w:pPr>
      <w:r w:rsidRPr="00024C4F">
        <w:rPr>
          <w:b/>
          <w:szCs w:val="26"/>
        </w:rPr>
        <w:t>DESCRIBE EFFORTS TO IDENTIFY DUPLICATON AND SHOW SPECIFICALLY WHY ANY SIMILAR INFORMATION ALREADY AVAILABLE CANNOT BE USED OR MODIFIED FOR USE FOR THE PURPOSE(S) DESCRIBED IN INSTRUCTION NO. 2.</w:t>
      </w:r>
    </w:p>
    <w:p w:rsidRPr="00024C4F" w:rsidR="007028E6" w:rsidP="00961C86" w:rsidRDefault="007028E6" w14:paraId="3F8398B8" w14:textId="77777777">
      <w:pPr>
        <w:pStyle w:val="FERCparanumber"/>
        <w:numPr>
          <w:ilvl w:val="0"/>
          <w:numId w:val="0"/>
        </w:numPr>
        <w:spacing w:line="20" w:lineRule="atLeast"/>
        <w:ind w:left="720"/>
        <w:rPr>
          <w:szCs w:val="26"/>
        </w:rPr>
      </w:pPr>
    </w:p>
    <w:p w:rsidRPr="00024C4F" w:rsidR="00EE2E0C" w:rsidP="00EE2E0C" w:rsidRDefault="00FB74A1" w14:paraId="7F54AFDF" w14:textId="42E994DF">
      <w:pPr>
        <w:rPr>
          <w:rFonts w:eastAsia="Calibri"/>
          <w:sz w:val="26"/>
          <w:szCs w:val="26"/>
        </w:rPr>
      </w:pPr>
      <w:r w:rsidRPr="00024C4F">
        <w:rPr>
          <w:rFonts w:eastAsia="Calibri"/>
          <w:sz w:val="26"/>
          <w:szCs w:val="26"/>
        </w:rPr>
        <w:t xml:space="preserve">As explained above, the </w:t>
      </w:r>
      <w:r w:rsidR="00780A18">
        <w:rPr>
          <w:rFonts w:eastAsia="Calibri"/>
          <w:sz w:val="26"/>
          <w:szCs w:val="26"/>
        </w:rPr>
        <w:t>f</w:t>
      </w:r>
      <w:r w:rsidRPr="00024C4F" w:rsidR="00EF4047">
        <w:rPr>
          <w:rFonts w:eastAsia="Calibri"/>
          <w:sz w:val="26"/>
          <w:szCs w:val="26"/>
        </w:rPr>
        <w:t xml:space="preserve">inal </w:t>
      </w:r>
      <w:r w:rsidR="00780A18">
        <w:rPr>
          <w:rFonts w:eastAsia="Calibri"/>
          <w:sz w:val="26"/>
          <w:szCs w:val="26"/>
        </w:rPr>
        <w:t>r</w:t>
      </w:r>
      <w:r w:rsidRPr="00024C4F" w:rsidR="00EF4047">
        <w:rPr>
          <w:rFonts w:eastAsia="Calibri"/>
          <w:sz w:val="26"/>
          <w:szCs w:val="26"/>
        </w:rPr>
        <w:t>ule</w:t>
      </w:r>
      <w:r w:rsidRPr="00024C4F">
        <w:rPr>
          <w:rFonts w:eastAsia="Calibri"/>
          <w:sz w:val="26"/>
          <w:szCs w:val="26"/>
        </w:rPr>
        <w:t xml:space="preserve"> </w:t>
      </w:r>
      <w:r w:rsidR="00D85C85">
        <w:rPr>
          <w:rFonts w:eastAsia="Calibri"/>
          <w:sz w:val="26"/>
          <w:szCs w:val="26"/>
        </w:rPr>
        <w:t>approved</w:t>
      </w:r>
      <w:r w:rsidR="005464BA">
        <w:rPr>
          <w:rFonts w:eastAsia="Calibri"/>
          <w:sz w:val="26"/>
          <w:szCs w:val="26"/>
        </w:rPr>
        <w:t xml:space="preserve"> the retirement of</w:t>
      </w:r>
      <w:r w:rsidRPr="00024C4F">
        <w:rPr>
          <w:rFonts w:eastAsia="Calibri"/>
          <w:sz w:val="26"/>
          <w:szCs w:val="26"/>
        </w:rPr>
        <w:t xml:space="preserve"> certain Reliability Standards and requirements and related information collection requirements determined to be no longer needed for reliability.  </w:t>
      </w:r>
      <w:r w:rsidRPr="00024C4F" w:rsidR="005130A5">
        <w:rPr>
          <w:rFonts w:eastAsia="Calibri"/>
          <w:sz w:val="26"/>
          <w:szCs w:val="26"/>
        </w:rPr>
        <w:t>Accordingly, the information collection requirements for the remaining, active Reliability Standards and requirements are unique</w:t>
      </w:r>
      <w:r w:rsidRPr="00024C4F" w:rsidR="00333446">
        <w:rPr>
          <w:rFonts w:eastAsia="Calibri"/>
          <w:sz w:val="26"/>
          <w:szCs w:val="26"/>
        </w:rPr>
        <w:t xml:space="preserve"> to them</w:t>
      </w:r>
      <w:r w:rsidRPr="00024C4F" w:rsidR="005130A5">
        <w:rPr>
          <w:rFonts w:eastAsia="Calibri"/>
          <w:sz w:val="26"/>
          <w:szCs w:val="26"/>
        </w:rPr>
        <w:t xml:space="preserve"> and not duplicative of those </w:t>
      </w:r>
      <w:r w:rsidR="00297E78">
        <w:rPr>
          <w:rFonts w:eastAsia="Calibri"/>
          <w:sz w:val="26"/>
          <w:szCs w:val="26"/>
        </w:rPr>
        <w:t xml:space="preserve">approved </w:t>
      </w:r>
      <w:r w:rsidRPr="00024C4F" w:rsidR="005130A5">
        <w:rPr>
          <w:rFonts w:eastAsia="Calibri"/>
          <w:sz w:val="26"/>
          <w:szCs w:val="26"/>
        </w:rPr>
        <w:t xml:space="preserve">for retirement in the </w:t>
      </w:r>
      <w:r w:rsidR="00297E78">
        <w:rPr>
          <w:rFonts w:eastAsia="Calibri"/>
          <w:sz w:val="26"/>
          <w:szCs w:val="26"/>
        </w:rPr>
        <w:t>f</w:t>
      </w:r>
      <w:r w:rsidRPr="00024C4F" w:rsidR="00EF4047">
        <w:rPr>
          <w:rFonts w:eastAsia="Calibri"/>
          <w:sz w:val="26"/>
          <w:szCs w:val="26"/>
        </w:rPr>
        <w:t xml:space="preserve">inal </w:t>
      </w:r>
      <w:r w:rsidR="00297E78">
        <w:rPr>
          <w:rFonts w:eastAsia="Calibri"/>
          <w:sz w:val="26"/>
          <w:szCs w:val="26"/>
        </w:rPr>
        <w:t>r</w:t>
      </w:r>
      <w:r w:rsidRPr="00024C4F" w:rsidR="00EF4047">
        <w:rPr>
          <w:rFonts w:eastAsia="Calibri"/>
          <w:sz w:val="26"/>
          <w:szCs w:val="26"/>
        </w:rPr>
        <w:t>ule</w:t>
      </w:r>
      <w:r w:rsidRPr="00024C4F" w:rsidR="005130A5">
        <w:rPr>
          <w:rFonts w:eastAsia="Calibri"/>
          <w:sz w:val="26"/>
          <w:szCs w:val="26"/>
        </w:rPr>
        <w:t>.</w:t>
      </w:r>
    </w:p>
    <w:p w:rsidRPr="00024C4F" w:rsidR="00EE2E0C" w:rsidP="00EE2E0C" w:rsidRDefault="00EE2E0C" w14:paraId="204EB430" w14:textId="77777777">
      <w:pPr>
        <w:pStyle w:val="FERCparanumber"/>
        <w:numPr>
          <w:ilvl w:val="0"/>
          <w:numId w:val="0"/>
        </w:numPr>
        <w:spacing w:line="20" w:lineRule="atLeast"/>
        <w:rPr>
          <w:szCs w:val="26"/>
        </w:rPr>
      </w:pPr>
    </w:p>
    <w:p w:rsidRPr="00024C4F" w:rsidR="0035439D" w:rsidP="00485111" w:rsidRDefault="0035439D" w14:paraId="0E17AE2E" w14:textId="6467DB9F">
      <w:pPr>
        <w:pStyle w:val="FERCparanumber"/>
        <w:numPr>
          <w:ilvl w:val="0"/>
          <w:numId w:val="2"/>
        </w:numPr>
        <w:spacing w:line="20" w:lineRule="atLeast"/>
        <w:rPr>
          <w:szCs w:val="26"/>
        </w:rPr>
      </w:pPr>
      <w:r w:rsidRPr="00024C4F">
        <w:rPr>
          <w:b/>
          <w:szCs w:val="26"/>
        </w:rPr>
        <w:t>METHODS USED TO MINIMIZE BURDEN IN COLLECTION OF INFORMATION INVOLVING SMALL ENTITIES</w:t>
      </w:r>
      <w:r w:rsidRPr="00024C4F">
        <w:rPr>
          <w:szCs w:val="26"/>
        </w:rPr>
        <w:t xml:space="preserve"> </w:t>
      </w:r>
    </w:p>
    <w:p w:rsidRPr="00024C4F" w:rsidR="00D53853" w:rsidP="00961C86" w:rsidRDefault="00D53853" w14:paraId="7F61552C" w14:textId="77777777">
      <w:pPr>
        <w:pStyle w:val="FERCparanumber"/>
        <w:numPr>
          <w:ilvl w:val="0"/>
          <w:numId w:val="0"/>
        </w:numPr>
        <w:spacing w:line="20" w:lineRule="atLeast"/>
        <w:ind w:left="720"/>
        <w:rPr>
          <w:szCs w:val="26"/>
        </w:rPr>
      </w:pPr>
    </w:p>
    <w:p w:rsidRPr="00024C4F" w:rsidR="00EE2E0C" w:rsidP="00EE2E0C" w:rsidRDefault="00225FCC" w14:paraId="3AAF6FDC" w14:textId="142A57CF">
      <w:pPr>
        <w:rPr>
          <w:rFonts w:eastAsia="Calibri"/>
          <w:bCs/>
          <w:sz w:val="26"/>
          <w:szCs w:val="26"/>
        </w:rPr>
      </w:pPr>
      <w:r w:rsidRPr="00024C4F">
        <w:rPr>
          <w:sz w:val="26"/>
          <w:szCs w:val="26"/>
        </w:rPr>
        <w:t xml:space="preserve">By </w:t>
      </w:r>
      <w:r w:rsidR="007520ED">
        <w:rPr>
          <w:sz w:val="26"/>
          <w:szCs w:val="26"/>
        </w:rPr>
        <w:t xml:space="preserve">approving the retirement </w:t>
      </w:r>
      <w:r w:rsidR="00D85C85">
        <w:rPr>
          <w:sz w:val="26"/>
          <w:szCs w:val="26"/>
        </w:rPr>
        <w:t xml:space="preserve">of </w:t>
      </w:r>
      <w:r w:rsidRPr="00024C4F" w:rsidR="00D85C85">
        <w:rPr>
          <w:sz w:val="26"/>
          <w:szCs w:val="26"/>
        </w:rPr>
        <w:t>18</w:t>
      </w:r>
      <w:r w:rsidRPr="00024C4F" w:rsidR="00EF4047">
        <w:rPr>
          <w:sz w:val="26"/>
          <w:szCs w:val="26"/>
        </w:rPr>
        <w:t xml:space="preserve"> </w:t>
      </w:r>
      <w:r w:rsidRPr="00024C4F">
        <w:rPr>
          <w:sz w:val="26"/>
          <w:szCs w:val="26"/>
        </w:rPr>
        <w:t>Reliability Standard</w:t>
      </w:r>
      <w:r w:rsidR="007520ED">
        <w:rPr>
          <w:sz w:val="26"/>
          <w:szCs w:val="26"/>
        </w:rPr>
        <w:t xml:space="preserve"> requirements </w:t>
      </w:r>
      <w:r w:rsidRPr="00024C4F" w:rsidR="00EF4047">
        <w:rPr>
          <w:sz w:val="26"/>
          <w:szCs w:val="26"/>
        </w:rPr>
        <w:t>out of</w:t>
      </w:r>
      <w:r w:rsidRPr="00024C4F">
        <w:rPr>
          <w:sz w:val="26"/>
          <w:szCs w:val="26"/>
        </w:rPr>
        <w:t xml:space="preserve"> 7</w:t>
      </w:r>
      <w:r w:rsidRPr="00024C4F" w:rsidR="00EF4047">
        <w:rPr>
          <w:sz w:val="26"/>
          <w:szCs w:val="26"/>
        </w:rPr>
        <w:t>6</w:t>
      </w:r>
      <w:r w:rsidRPr="00024C4F">
        <w:rPr>
          <w:sz w:val="26"/>
          <w:szCs w:val="26"/>
        </w:rPr>
        <w:t xml:space="preserve"> Reliability Standard requirements, the </w:t>
      </w:r>
      <w:r w:rsidR="00B74784">
        <w:rPr>
          <w:sz w:val="26"/>
          <w:szCs w:val="26"/>
        </w:rPr>
        <w:t>f</w:t>
      </w:r>
      <w:r w:rsidRPr="00024C4F" w:rsidR="00EF4047">
        <w:rPr>
          <w:sz w:val="26"/>
          <w:szCs w:val="26"/>
        </w:rPr>
        <w:t xml:space="preserve">inal </w:t>
      </w:r>
      <w:r w:rsidR="00B74784">
        <w:rPr>
          <w:sz w:val="26"/>
          <w:szCs w:val="26"/>
        </w:rPr>
        <w:t>r</w:t>
      </w:r>
      <w:r w:rsidRPr="00024C4F" w:rsidR="00EF4047">
        <w:rPr>
          <w:sz w:val="26"/>
          <w:szCs w:val="26"/>
        </w:rPr>
        <w:t>ule</w:t>
      </w:r>
      <w:r w:rsidRPr="00024C4F">
        <w:rPr>
          <w:sz w:val="26"/>
          <w:szCs w:val="26"/>
        </w:rPr>
        <w:t xml:space="preserve"> reduce</w:t>
      </w:r>
      <w:r w:rsidR="007520ED">
        <w:rPr>
          <w:sz w:val="26"/>
          <w:szCs w:val="26"/>
        </w:rPr>
        <w:t>s</w:t>
      </w:r>
      <w:r w:rsidRPr="00024C4F">
        <w:rPr>
          <w:sz w:val="26"/>
          <w:szCs w:val="26"/>
        </w:rPr>
        <w:t xml:space="preserve"> the burden on both large and small entities because it is eliminating associated information collection </w:t>
      </w:r>
      <w:r w:rsidRPr="00024C4F" w:rsidR="00581FD7">
        <w:rPr>
          <w:sz w:val="26"/>
          <w:szCs w:val="26"/>
        </w:rPr>
        <w:t>requirements.</w:t>
      </w:r>
      <w:r w:rsidRPr="00024C4F" w:rsidR="00581FD7">
        <w:rPr>
          <w:rFonts w:eastAsia="Calibri"/>
          <w:bCs/>
          <w:sz w:val="26"/>
          <w:szCs w:val="26"/>
        </w:rPr>
        <w:t xml:space="preserve"> For</w:t>
      </w:r>
      <w:r w:rsidRPr="00024C4F" w:rsidR="00331D7C">
        <w:rPr>
          <w:rFonts w:eastAsia="Calibri"/>
          <w:bCs/>
          <w:sz w:val="26"/>
          <w:szCs w:val="26"/>
        </w:rPr>
        <w:t xml:space="preserve"> </w:t>
      </w:r>
      <w:r w:rsidRPr="00024C4F" w:rsidR="00581FD7">
        <w:rPr>
          <w:rFonts w:eastAsia="Calibri"/>
          <w:bCs/>
          <w:sz w:val="26"/>
          <w:szCs w:val="26"/>
        </w:rPr>
        <w:t>the Reliability</w:t>
      </w:r>
      <w:r w:rsidRPr="00024C4F" w:rsidR="005130A5">
        <w:rPr>
          <w:rFonts w:eastAsia="Calibri"/>
          <w:bCs/>
          <w:sz w:val="26"/>
          <w:szCs w:val="26"/>
        </w:rPr>
        <w:t xml:space="preserve"> Standards and R</w:t>
      </w:r>
      <w:r w:rsidRPr="00024C4F" w:rsidR="00331D7C">
        <w:rPr>
          <w:rFonts w:eastAsia="Calibri"/>
          <w:bCs/>
          <w:sz w:val="26"/>
          <w:szCs w:val="26"/>
        </w:rPr>
        <w:t>equirements</w:t>
      </w:r>
      <w:r w:rsidRPr="00024C4F" w:rsidR="005130A5">
        <w:rPr>
          <w:rFonts w:eastAsia="Calibri"/>
          <w:bCs/>
          <w:sz w:val="26"/>
          <w:szCs w:val="26"/>
        </w:rPr>
        <w:t xml:space="preserve"> not </w:t>
      </w:r>
      <w:r w:rsidR="00B129F4">
        <w:rPr>
          <w:rFonts w:eastAsia="Calibri"/>
          <w:bCs/>
          <w:sz w:val="26"/>
          <w:szCs w:val="26"/>
        </w:rPr>
        <w:t>approved</w:t>
      </w:r>
      <w:r w:rsidRPr="00024C4F" w:rsidR="005130A5">
        <w:rPr>
          <w:rFonts w:eastAsia="Calibri"/>
          <w:bCs/>
          <w:sz w:val="26"/>
          <w:szCs w:val="26"/>
        </w:rPr>
        <w:t xml:space="preserve"> for retirement</w:t>
      </w:r>
      <w:r w:rsidRPr="00024C4F" w:rsidR="00333446">
        <w:rPr>
          <w:rFonts w:eastAsia="Calibri"/>
          <w:bCs/>
          <w:sz w:val="26"/>
          <w:szCs w:val="26"/>
        </w:rPr>
        <w:t xml:space="preserve"> in the </w:t>
      </w:r>
      <w:r w:rsidR="00EA5B56">
        <w:rPr>
          <w:rFonts w:eastAsia="Calibri"/>
          <w:bCs/>
          <w:sz w:val="26"/>
          <w:szCs w:val="26"/>
        </w:rPr>
        <w:t>f</w:t>
      </w:r>
      <w:r w:rsidRPr="00024C4F" w:rsidR="00EF4047">
        <w:rPr>
          <w:rFonts w:eastAsia="Calibri"/>
          <w:bCs/>
          <w:sz w:val="26"/>
          <w:szCs w:val="26"/>
        </w:rPr>
        <w:t xml:space="preserve">inal </w:t>
      </w:r>
      <w:r w:rsidR="00EA5B56">
        <w:rPr>
          <w:rFonts w:eastAsia="Calibri"/>
          <w:bCs/>
          <w:sz w:val="26"/>
          <w:szCs w:val="26"/>
        </w:rPr>
        <w:t>r</w:t>
      </w:r>
      <w:r w:rsidRPr="00024C4F" w:rsidR="00EF4047">
        <w:rPr>
          <w:rFonts w:eastAsia="Calibri"/>
          <w:bCs/>
          <w:sz w:val="26"/>
          <w:szCs w:val="26"/>
        </w:rPr>
        <w:t>ule</w:t>
      </w:r>
      <w:r w:rsidRPr="00024C4F" w:rsidR="00331D7C">
        <w:rPr>
          <w:rFonts w:eastAsia="Calibri"/>
          <w:bCs/>
          <w:sz w:val="26"/>
          <w:szCs w:val="26"/>
        </w:rPr>
        <w:t>,</w:t>
      </w:r>
      <w:r w:rsidRPr="00024C4F" w:rsidR="00EE2E0C">
        <w:rPr>
          <w:rFonts w:eastAsia="Calibri"/>
          <w:bCs/>
          <w:sz w:val="26"/>
          <w:szCs w:val="26"/>
        </w:rPr>
        <w:t xml:space="preserve"> small entities </w:t>
      </w:r>
      <w:r w:rsidR="00B75D13">
        <w:rPr>
          <w:rFonts w:eastAsia="Calibri"/>
          <w:bCs/>
          <w:sz w:val="26"/>
          <w:szCs w:val="26"/>
        </w:rPr>
        <w:t>may</w:t>
      </w:r>
      <w:r w:rsidRPr="00024C4F" w:rsidR="00EE2E0C">
        <w:rPr>
          <w:rFonts w:eastAsia="Calibri"/>
          <w:bCs/>
          <w:sz w:val="26"/>
          <w:szCs w:val="26"/>
        </w:rPr>
        <w:t xml:space="preserve"> reduce their burden by </w:t>
      </w:r>
      <w:r w:rsidRPr="00024C4F" w:rsidR="005130A5">
        <w:rPr>
          <w:rFonts w:eastAsia="Calibri"/>
          <w:bCs/>
          <w:sz w:val="26"/>
          <w:szCs w:val="26"/>
        </w:rPr>
        <w:t>joining</w:t>
      </w:r>
      <w:r w:rsidRPr="00024C4F" w:rsidR="00EE2E0C">
        <w:rPr>
          <w:rFonts w:eastAsia="Calibri"/>
          <w:bCs/>
          <w:sz w:val="26"/>
          <w:szCs w:val="26"/>
        </w:rPr>
        <w:t xml:space="preserve"> a joint registration organization or a coordinated function registration.  These options allow an entity to share its compliance burden with other similar entities.  Detailed information regarding these options is available in NERC’s Rules of Procedure at section 1502.2, available </w:t>
      </w:r>
      <w:r w:rsidRPr="00024C4F" w:rsidR="00BA2026">
        <w:rPr>
          <w:rFonts w:eastAsia="Calibri"/>
          <w:bCs/>
          <w:sz w:val="26"/>
          <w:szCs w:val="26"/>
        </w:rPr>
        <w:t>on</w:t>
      </w:r>
      <w:r w:rsidRPr="00024C4F" w:rsidR="00EE2E0C">
        <w:rPr>
          <w:rFonts w:eastAsia="Calibri"/>
          <w:bCs/>
          <w:sz w:val="26"/>
          <w:szCs w:val="26"/>
        </w:rPr>
        <w:t xml:space="preserve"> NERCs website.</w:t>
      </w:r>
    </w:p>
    <w:p w:rsidRPr="00024C4F" w:rsidR="0035439D" w:rsidP="003214A4" w:rsidRDefault="0035439D" w14:paraId="3D81C618" w14:textId="77777777">
      <w:pPr>
        <w:widowControl/>
        <w:spacing w:line="20" w:lineRule="atLeast"/>
        <w:rPr>
          <w:sz w:val="26"/>
          <w:szCs w:val="26"/>
        </w:rPr>
      </w:pPr>
    </w:p>
    <w:p w:rsidRPr="00961C86" w:rsidR="0035439D" w:rsidP="00485111" w:rsidRDefault="0035439D" w14:paraId="4029ECA4" w14:textId="379C7806">
      <w:pPr>
        <w:pStyle w:val="FERCparanumber"/>
        <w:numPr>
          <w:ilvl w:val="0"/>
          <w:numId w:val="2"/>
        </w:numPr>
        <w:spacing w:line="20" w:lineRule="atLeast"/>
        <w:rPr>
          <w:szCs w:val="26"/>
        </w:rPr>
      </w:pPr>
      <w:r w:rsidRPr="003737CB">
        <w:rPr>
          <w:b/>
          <w:szCs w:val="26"/>
        </w:rPr>
        <w:t>CONSEQUENCE TO FEDERAL PROGRAM IF COLLECTION WERE CONDUCTED LESS FREQUENTLY</w:t>
      </w:r>
    </w:p>
    <w:p w:rsidRPr="00EE2E0C" w:rsidR="00D53853" w:rsidP="00961C86" w:rsidRDefault="00D53853" w14:paraId="08B54058" w14:textId="77777777">
      <w:pPr>
        <w:pStyle w:val="FERCparanumber"/>
        <w:numPr>
          <w:ilvl w:val="0"/>
          <w:numId w:val="0"/>
        </w:numPr>
        <w:spacing w:line="20" w:lineRule="atLeast"/>
        <w:ind w:left="720"/>
        <w:rPr>
          <w:szCs w:val="26"/>
        </w:rPr>
      </w:pPr>
    </w:p>
    <w:p w:rsidR="005043FE" w:rsidP="005043FE" w:rsidRDefault="00CE0F2B" w14:paraId="5FE566A5" w14:textId="119349CF">
      <w:pPr>
        <w:rPr>
          <w:sz w:val="26"/>
          <w:szCs w:val="26"/>
        </w:rPr>
      </w:pPr>
      <w:r>
        <w:rPr>
          <w:sz w:val="26"/>
          <w:szCs w:val="26"/>
        </w:rPr>
        <w:t xml:space="preserve">In general, information collection requirements in Reliability Standards and requirements help maintain Bulk-Power System reliability. The Commission believes that the elimination of unnecessary requirements </w:t>
      </w:r>
      <w:r w:rsidR="00034F5D">
        <w:rPr>
          <w:sz w:val="26"/>
          <w:szCs w:val="26"/>
        </w:rPr>
        <w:t>will</w:t>
      </w:r>
      <w:r>
        <w:rPr>
          <w:sz w:val="26"/>
          <w:szCs w:val="26"/>
        </w:rPr>
        <w:t xml:space="preserve"> </w:t>
      </w:r>
      <w:r w:rsidR="00581FD7">
        <w:rPr>
          <w:sz w:val="26"/>
          <w:szCs w:val="26"/>
        </w:rPr>
        <w:t>strengthen</w:t>
      </w:r>
      <w:r>
        <w:rPr>
          <w:sz w:val="26"/>
          <w:szCs w:val="26"/>
        </w:rPr>
        <w:t xml:space="preserve"> the Reliability Standards program and benefit overall reliability by allowing registered entities to focus their resources on complying with those Reliability Standard requirements that more effectively promote the reliability operation and planning of the nation’s Bulk-Power System.</w:t>
      </w:r>
    </w:p>
    <w:p w:rsidRPr="005043FE" w:rsidR="00141A4E" w:rsidP="005043FE" w:rsidRDefault="00141A4E" w14:paraId="2822244A" w14:textId="77777777">
      <w:pPr>
        <w:rPr>
          <w:rFonts w:eastAsia="Calibri"/>
          <w:sz w:val="26"/>
          <w:szCs w:val="26"/>
        </w:rPr>
      </w:pPr>
    </w:p>
    <w:p w:rsidRPr="00961C86" w:rsidR="0035439D" w:rsidP="00CE08CC" w:rsidRDefault="0035439D" w14:paraId="5A27DE51" w14:textId="75CDA10D">
      <w:pPr>
        <w:pStyle w:val="FERCparanumber"/>
        <w:numPr>
          <w:ilvl w:val="0"/>
          <w:numId w:val="2"/>
        </w:numPr>
        <w:spacing w:line="20" w:lineRule="atLeast"/>
        <w:rPr>
          <w:szCs w:val="26"/>
        </w:rPr>
      </w:pPr>
      <w:r w:rsidRPr="003737CB">
        <w:rPr>
          <w:b/>
          <w:szCs w:val="26"/>
        </w:rPr>
        <w:t>EXPLAIN ANY SPECIAL CIRCUMSTANCES RELATING TO THE INFORMATION</w:t>
      </w:r>
    </w:p>
    <w:p w:rsidR="00D53853" w:rsidP="00961C86" w:rsidRDefault="00D53853" w14:paraId="6CA87039" w14:textId="77777777">
      <w:pPr>
        <w:pStyle w:val="FERCparanumber"/>
        <w:numPr>
          <w:ilvl w:val="0"/>
          <w:numId w:val="0"/>
        </w:numPr>
        <w:spacing w:line="20" w:lineRule="atLeast"/>
        <w:ind w:left="720"/>
        <w:rPr>
          <w:szCs w:val="26"/>
        </w:rPr>
      </w:pPr>
    </w:p>
    <w:p w:rsidRPr="00CE08CC" w:rsidR="00CE08CC" w:rsidP="00CE08CC" w:rsidRDefault="00CE08CC" w14:paraId="76D02095" w14:textId="07E84293">
      <w:pPr>
        <w:pStyle w:val="FERCparanumber"/>
        <w:numPr>
          <w:ilvl w:val="0"/>
          <w:numId w:val="0"/>
        </w:numPr>
        <w:spacing w:line="20" w:lineRule="atLeast"/>
        <w:rPr>
          <w:szCs w:val="26"/>
        </w:rPr>
      </w:pPr>
      <w:r>
        <w:rPr>
          <w:szCs w:val="26"/>
        </w:rPr>
        <w:t>There are no special circumstances</w:t>
      </w:r>
      <w:r w:rsidR="000A30C7">
        <w:rPr>
          <w:szCs w:val="26"/>
        </w:rPr>
        <w:t xml:space="preserve"> as described in 5 CFR 1320.5(d)(2) related to th</w:t>
      </w:r>
      <w:r w:rsidR="00554673">
        <w:rPr>
          <w:szCs w:val="26"/>
        </w:rPr>
        <w:t>e</w:t>
      </w:r>
      <w:r w:rsidR="000A30C7">
        <w:rPr>
          <w:szCs w:val="26"/>
        </w:rPr>
        <w:t xml:space="preserve"> </w:t>
      </w:r>
      <w:r w:rsidR="002A7545">
        <w:rPr>
          <w:szCs w:val="26"/>
        </w:rPr>
        <w:t>f</w:t>
      </w:r>
      <w:r w:rsidR="00EF4047">
        <w:rPr>
          <w:szCs w:val="26"/>
        </w:rPr>
        <w:t>inal</w:t>
      </w:r>
      <w:r w:rsidR="000A30C7">
        <w:rPr>
          <w:szCs w:val="26"/>
        </w:rPr>
        <w:t xml:space="preserve"> </w:t>
      </w:r>
      <w:r w:rsidR="002A7545">
        <w:rPr>
          <w:szCs w:val="26"/>
        </w:rPr>
        <w:t>r</w:t>
      </w:r>
      <w:r w:rsidR="000A30C7">
        <w:rPr>
          <w:szCs w:val="26"/>
        </w:rPr>
        <w:t>ule.</w:t>
      </w:r>
      <w:r>
        <w:rPr>
          <w:szCs w:val="26"/>
        </w:rPr>
        <w:t xml:space="preserve"> </w:t>
      </w:r>
    </w:p>
    <w:p w:rsidRPr="003737CB" w:rsidR="0035439D" w:rsidP="00485111" w:rsidRDefault="0035439D" w14:paraId="03BB3011" w14:textId="77777777">
      <w:pPr>
        <w:pStyle w:val="FERCparanumber"/>
        <w:numPr>
          <w:ilvl w:val="0"/>
          <w:numId w:val="0"/>
        </w:numPr>
        <w:spacing w:line="20" w:lineRule="atLeast"/>
        <w:rPr>
          <w:szCs w:val="26"/>
        </w:rPr>
      </w:pPr>
    </w:p>
    <w:p w:rsidRPr="00961C86" w:rsidR="00CE08CC" w:rsidP="00CE08CC" w:rsidRDefault="0035439D" w14:paraId="6CDD40BD" w14:textId="1319D29E">
      <w:pPr>
        <w:pStyle w:val="FERCparanumber"/>
        <w:numPr>
          <w:ilvl w:val="0"/>
          <w:numId w:val="2"/>
        </w:numPr>
        <w:spacing w:line="20" w:lineRule="atLeast"/>
        <w:rPr>
          <w:szCs w:val="26"/>
        </w:rPr>
      </w:pPr>
      <w:r w:rsidRPr="003737CB">
        <w:rPr>
          <w:b/>
          <w:szCs w:val="26"/>
        </w:rPr>
        <w:t>DESCRIBE EFFORTS TO CONSULT OUTSIDE THE AGENCY: SUMMARIZE PUBLIC COMMENTS AND THE AGENCY’S RESPONSE TO THESE COMMENTS</w:t>
      </w:r>
    </w:p>
    <w:p w:rsidR="00D53853" w:rsidP="00961C86" w:rsidRDefault="00D53853" w14:paraId="60B1A148" w14:textId="77777777">
      <w:pPr>
        <w:pStyle w:val="FERCparanumber"/>
        <w:numPr>
          <w:ilvl w:val="0"/>
          <w:numId w:val="0"/>
        </w:numPr>
        <w:spacing w:line="20" w:lineRule="atLeast"/>
        <w:ind w:left="720"/>
        <w:rPr>
          <w:szCs w:val="26"/>
        </w:rPr>
      </w:pPr>
    </w:p>
    <w:p w:rsidR="0035439D" w:rsidP="00A965CA" w:rsidRDefault="00240DF3" w14:paraId="24E81A88" w14:textId="1013AFD0">
      <w:pPr>
        <w:rPr>
          <w:sz w:val="26"/>
          <w:szCs w:val="26"/>
        </w:rPr>
      </w:pPr>
      <w:r w:rsidRPr="00240DF3">
        <w:rPr>
          <w:bCs/>
          <w:sz w:val="26"/>
          <w:szCs w:val="26"/>
        </w:rPr>
        <w:t>The ERO process to develop Reliability Standards</w:t>
      </w:r>
      <w:r w:rsidR="00423A59">
        <w:rPr>
          <w:bCs/>
          <w:sz w:val="26"/>
          <w:szCs w:val="26"/>
        </w:rPr>
        <w:t xml:space="preserve"> or, as with t</w:t>
      </w:r>
      <w:r w:rsidR="00EF4047">
        <w:rPr>
          <w:bCs/>
          <w:sz w:val="26"/>
          <w:szCs w:val="26"/>
        </w:rPr>
        <w:t xml:space="preserve">his </w:t>
      </w:r>
      <w:r w:rsidR="0051397B">
        <w:rPr>
          <w:bCs/>
          <w:sz w:val="26"/>
          <w:szCs w:val="26"/>
        </w:rPr>
        <w:t>f</w:t>
      </w:r>
      <w:r w:rsidR="00EF4047">
        <w:rPr>
          <w:bCs/>
          <w:sz w:val="26"/>
          <w:szCs w:val="26"/>
        </w:rPr>
        <w:t xml:space="preserve">inal </w:t>
      </w:r>
      <w:r w:rsidR="0051397B">
        <w:rPr>
          <w:bCs/>
          <w:sz w:val="26"/>
          <w:szCs w:val="26"/>
        </w:rPr>
        <w:t>r</w:t>
      </w:r>
      <w:r w:rsidR="00EF4047">
        <w:rPr>
          <w:bCs/>
          <w:sz w:val="26"/>
          <w:szCs w:val="26"/>
        </w:rPr>
        <w:t>ule</w:t>
      </w:r>
      <w:r w:rsidR="00423A59">
        <w:rPr>
          <w:bCs/>
          <w:sz w:val="26"/>
          <w:szCs w:val="26"/>
        </w:rPr>
        <w:t xml:space="preserve">, </w:t>
      </w:r>
      <w:r w:rsidR="00752870">
        <w:rPr>
          <w:bCs/>
          <w:sz w:val="26"/>
          <w:szCs w:val="26"/>
        </w:rPr>
        <w:t>retire</w:t>
      </w:r>
      <w:r w:rsidR="00423A59">
        <w:rPr>
          <w:bCs/>
          <w:sz w:val="26"/>
          <w:szCs w:val="26"/>
        </w:rPr>
        <w:t xml:space="preserve"> Reliability Standard re</w:t>
      </w:r>
      <w:r w:rsidR="00752870">
        <w:rPr>
          <w:bCs/>
          <w:sz w:val="26"/>
          <w:szCs w:val="26"/>
        </w:rPr>
        <w:t>quirements</w:t>
      </w:r>
      <w:r w:rsidR="00423A59">
        <w:rPr>
          <w:bCs/>
          <w:sz w:val="26"/>
          <w:szCs w:val="26"/>
        </w:rPr>
        <w:t xml:space="preserve">, </w:t>
      </w:r>
      <w:r w:rsidRPr="00240DF3">
        <w:rPr>
          <w:bCs/>
          <w:sz w:val="26"/>
          <w:szCs w:val="26"/>
        </w:rPr>
        <w:t xml:space="preserve">is a collaborative process involving the ERO, Regional Entities and other stakeholders developing and reviewing drafts, and providing comments,  </w:t>
      </w:r>
      <w:r w:rsidR="00423A59">
        <w:rPr>
          <w:bCs/>
          <w:sz w:val="26"/>
          <w:szCs w:val="26"/>
        </w:rPr>
        <w:t>with</w:t>
      </w:r>
      <w:r w:rsidRPr="00240DF3">
        <w:rPr>
          <w:bCs/>
          <w:sz w:val="26"/>
          <w:szCs w:val="26"/>
        </w:rPr>
        <w:t xml:space="preserve"> the final proposed standard</w:t>
      </w:r>
      <w:r w:rsidR="00423A59">
        <w:rPr>
          <w:bCs/>
          <w:sz w:val="26"/>
          <w:szCs w:val="26"/>
        </w:rPr>
        <w:t xml:space="preserve"> or action</w:t>
      </w:r>
      <w:r w:rsidRPr="00240DF3">
        <w:rPr>
          <w:bCs/>
          <w:sz w:val="26"/>
          <w:szCs w:val="26"/>
        </w:rPr>
        <w:t xml:space="preserve"> submitted to the FERC for review and approval.</w:t>
      </w:r>
      <w:r w:rsidRPr="00F46F6D">
        <w:rPr>
          <w:b/>
          <w:vertAlign w:val="superscript"/>
        </w:rPr>
        <w:footnoteReference w:id="36"/>
      </w:r>
      <w:r w:rsidRPr="00240DF3">
        <w:rPr>
          <w:bCs/>
          <w:sz w:val="26"/>
          <w:szCs w:val="26"/>
        </w:rPr>
        <w:t xml:space="preserve">  </w:t>
      </w:r>
      <w:r w:rsidRPr="008B6D16" w:rsidR="00423A59">
        <w:rPr>
          <w:bCs/>
          <w:sz w:val="26"/>
          <w:szCs w:val="26"/>
        </w:rPr>
        <w:t xml:space="preserve">In addition, each FERC rulemaking </w:t>
      </w:r>
      <w:r w:rsidR="00A965CA">
        <w:rPr>
          <w:bCs/>
          <w:sz w:val="26"/>
          <w:szCs w:val="26"/>
        </w:rPr>
        <w:t xml:space="preserve">involves publication of a proposed </w:t>
      </w:r>
      <w:r w:rsidR="00A965CA">
        <w:rPr>
          <w:bCs/>
          <w:sz w:val="26"/>
          <w:szCs w:val="26"/>
        </w:rPr>
        <w:lastRenderedPageBreak/>
        <w:t xml:space="preserve">rule </w:t>
      </w:r>
      <w:r w:rsidRPr="008B6D16" w:rsidR="00423A59">
        <w:rPr>
          <w:bCs/>
          <w:sz w:val="26"/>
          <w:szCs w:val="26"/>
        </w:rPr>
        <w:t xml:space="preserve">in the </w:t>
      </w:r>
      <w:r w:rsidRPr="00216B53" w:rsidR="00423A59">
        <w:rPr>
          <w:bCs/>
          <w:sz w:val="26"/>
          <w:szCs w:val="26"/>
        </w:rPr>
        <w:t>Federal Register</w:t>
      </w:r>
      <w:r w:rsidRPr="008B6D16" w:rsidR="00423A59">
        <w:rPr>
          <w:bCs/>
          <w:sz w:val="26"/>
          <w:szCs w:val="26"/>
        </w:rPr>
        <w:t xml:space="preserve">, thereby providing public utilities and licensees, state commissions, Federal agencies, and other interested parties an opportunity to submit data, views, comments or suggestions concerning the proposed collection of </w:t>
      </w:r>
      <w:r w:rsidR="00A965CA">
        <w:rPr>
          <w:bCs/>
          <w:sz w:val="26"/>
          <w:szCs w:val="26"/>
        </w:rPr>
        <w:t>information</w:t>
      </w:r>
      <w:r w:rsidRPr="008B6D16" w:rsidR="00423A59">
        <w:rPr>
          <w:bCs/>
          <w:sz w:val="26"/>
          <w:szCs w:val="26"/>
        </w:rPr>
        <w:t xml:space="preserve">. </w:t>
      </w:r>
      <w:r w:rsidRPr="008B6D16" w:rsidR="00423A59">
        <w:rPr>
          <w:sz w:val="26"/>
          <w:szCs w:val="26"/>
        </w:rPr>
        <w:t xml:space="preserve"> The </w:t>
      </w:r>
      <w:r w:rsidR="0098543E">
        <w:rPr>
          <w:sz w:val="26"/>
          <w:szCs w:val="26"/>
        </w:rPr>
        <w:t>proposed rule</w:t>
      </w:r>
      <w:r w:rsidRPr="008B6D16" w:rsidR="00423A59">
        <w:rPr>
          <w:sz w:val="26"/>
          <w:szCs w:val="26"/>
        </w:rPr>
        <w:t xml:space="preserve"> was published in the Federal Register on February 6, 2020 (85 FR 6831)</w:t>
      </w:r>
      <w:r w:rsidRPr="008B6D16" w:rsidR="008B6D16">
        <w:rPr>
          <w:sz w:val="26"/>
          <w:szCs w:val="26"/>
        </w:rPr>
        <w:t>.</w:t>
      </w:r>
      <w:r w:rsidR="00AA6C2F">
        <w:rPr>
          <w:sz w:val="26"/>
          <w:szCs w:val="26"/>
        </w:rPr>
        <w:t xml:space="preserve">  No public comments were filed on the collection of information.</w:t>
      </w:r>
      <w:r w:rsidR="00B72ABC">
        <w:rPr>
          <w:sz w:val="26"/>
          <w:szCs w:val="26"/>
        </w:rPr>
        <w:t xml:space="preserve">  The final rule </w:t>
      </w:r>
      <w:r w:rsidRPr="00842126" w:rsidR="00842126">
        <w:rPr>
          <w:sz w:val="26"/>
          <w:szCs w:val="26"/>
        </w:rPr>
        <w:t xml:space="preserve">was published </w:t>
      </w:r>
      <w:r w:rsidR="00842126">
        <w:rPr>
          <w:sz w:val="26"/>
          <w:szCs w:val="26"/>
        </w:rPr>
        <w:t xml:space="preserve">on </w:t>
      </w:r>
      <w:r w:rsidRPr="00842126" w:rsidR="00842126">
        <w:rPr>
          <w:sz w:val="26"/>
          <w:szCs w:val="26"/>
        </w:rPr>
        <w:t>October 15, 2020 (85 FR 65207).</w:t>
      </w:r>
    </w:p>
    <w:p w:rsidRPr="003737CB" w:rsidR="00A965CA" w:rsidP="00A965CA" w:rsidRDefault="00A965CA" w14:paraId="7D63FD52" w14:textId="77777777">
      <w:pPr>
        <w:rPr>
          <w:b/>
          <w:szCs w:val="26"/>
        </w:rPr>
      </w:pPr>
      <w:bookmarkStart w:name="_GoBack" w:id="2"/>
      <w:bookmarkEnd w:id="2"/>
    </w:p>
    <w:p w:rsidRPr="00961C86" w:rsidR="00E01C25" w:rsidP="00E01C25" w:rsidRDefault="0035439D" w14:paraId="565E7C93" w14:textId="69FDBD18">
      <w:pPr>
        <w:pStyle w:val="FERCparanumber"/>
        <w:numPr>
          <w:ilvl w:val="0"/>
          <w:numId w:val="2"/>
        </w:numPr>
        <w:spacing w:line="20" w:lineRule="atLeast"/>
        <w:rPr>
          <w:szCs w:val="26"/>
        </w:rPr>
      </w:pPr>
      <w:r w:rsidRPr="003737CB">
        <w:rPr>
          <w:b/>
          <w:szCs w:val="26"/>
        </w:rPr>
        <w:t>EXPLAIN ANY PAYMENT OR GIFTS TO RESPONDENTS</w:t>
      </w:r>
    </w:p>
    <w:p w:rsidRPr="00E01C25" w:rsidR="00B7145D" w:rsidP="00961C86" w:rsidRDefault="00B7145D" w14:paraId="464C3568" w14:textId="77777777">
      <w:pPr>
        <w:pStyle w:val="FERCparanumber"/>
        <w:numPr>
          <w:ilvl w:val="0"/>
          <w:numId w:val="0"/>
        </w:numPr>
        <w:spacing w:line="20" w:lineRule="atLeast"/>
        <w:ind w:left="720"/>
        <w:rPr>
          <w:szCs w:val="26"/>
        </w:rPr>
      </w:pPr>
    </w:p>
    <w:p w:rsidRPr="00E01C25" w:rsidR="00E01C25" w:rsidP="00E01C25" w:rsidRDefault="00756C2E" w14:paraId="0677D98C" w14:textId="7F04EAAA">
      <w:pPr>
        <w:pStyle w:val="FERCparanumber"/>
        <w:numPr>
          <w:ilvl w:val="0"/>
          <w:numId w:val="0"/>
        </w:numPr>
        <w:spacing w:line="20" w:lineRule="atLeast"/>
        <w:rPr>
          <w:szCs w:val="26"/>
        </w:rPr>
      </w:pPr>
      <w:r>
        <w:t xml:space="preserve">The Commission </w:t>
      </w:r>
      <w:r w:rsidR="00182F5F">
        <w:t xml:space="preserve">has </w:t>
      </w:r>
      <w:r w:rsidR="00C41768">
        <w:t>not</w:t>
      </w:r>
      <w:r w:rsidR="00D31455">
        <w:t xml:space="preserve"> made</w:t>
      </w:r>
      <w:r w:rsidR="00C41768">
        <w:t xml:space="preserve">, </w:t>
      </w:r>
      <w:r w:rsidR="00182F5F">
        <w:t xml:space="preserve">and </w:t>
      </w:r>
      <w:r>
        <w:t>does not</w:t>
      </w:r>
      <w:r w:rsidR="00D31455">
        <w:t xml:space="preserve"> make</w:t>
      </w:r>
      <w:r w:rsidR="00C41768">
        <w:t>,</w:t>
      </w:r>
      <w:r>
        <w:t xml:space="preserve"> payments or provide gifts to respondents associated with or related to the information collection obligations addressed in the </w:t>
      </w:r>
      <w:r w:rsidR="00D31455">
        <w:t>f</w:t>
      </w:r>
      <w:r w:rsidR="00EF4047">
        <w:t xml:space="preserve">inal </w:t>
      </w:r>
      <w:r w:rsidR="00D31455">
        <w:t>r</w:t>
      </w:r>
      <w:r w:rsidR="00EF4047">
        <w:t>ule</w:t>
      </w:r>
      <w:r>
        <w:t>.</w:t>
      </w:r>
    </w:p>
    <w:p w:rsidRPr="003737CB" w:rsidR="0035439D" w:rsidP="00485111" w:rsidRDefault="0035439D" w14:paraId="771C8F96" w14:textId="77777777">
      <w:pPr>
        <w:pStyle w:val="FERCparanumber"/>
        <w:numPr>
          <w:ilvl w:val="0"/>
          <w:numId w:val="0"/>
        </w:numPr>
        <w:spacing w:line="20" w:lineRule="atLeast"/>
        <w:rPr>
          <w:b/>
          <w:szCs w:val="26"/>
        </w:rPr>
      </w:pPr>
    </w:p>
    <w:p w:rsidRPr="00961C86" w:rsidR="0035439D" w:rsidP="00485111" w:rsidRDefault="0035439D" w14:paraId="05D006BB" w14:textId="09A9647F">
      <w:pPr>
        <w:pStyle w:val="FERCparanumber"/>
        <w:numPr>
          <w:ilvl w:val="0"/>
          <w:numId w:val="2"/>
        </w:numPr>
        <w:spacing w:line="20" w:lineRule="atLeast"/>
        <w:rPr>
          <w:szCs w:val="26"/>
        </w:rPr>
      </w:pPr>
      <w:r w:rsidRPr="003737CB">
        <w:rPr>
          <w:b/>
          <w:szCs w:val="26"/>
        </w:rPr>
        <w:t>DESCRIBE ANY ASSURANCE OF CONFIDENTIALITY PROVIDED TO RESPONDENTS</w:t>
      </w:r>
    </w:p>
    <w:p w:rsidRPr="003737CB" w:rsidR="00B7145D" w:rsidP="00961C86" w:rsidRDefault="00B7145D" w14:paraId="428113CF" w14:textId="77777777">
      <w:pPr>
        <w:pStyle w:val="FERCparanumber"/>
        <w:numPr>
          <w:ilvl w:val="0"/>
          <w:numId w:val="0"/>
        </w:numPr>
        <w:spacing w:line="20" w:lineRule="atLeast"/>
        <w:ind w:left="720"/>
        <w:rPr>
          <w:szCs w:val="26"/>
        </w:rPr>
      </w:pPr>
    </w:p>
    <w:p w:rsidRPr="00517123" w:rsidR="00423C1A" w:rsidP="00423C1A" w:rsidRDefault="00423C1A" w14:paraId="1ADEA3CE" w14:textId="4697D7AD">
      <w:pPr>
        <w:rPr>
          <w:sz w:val="26"/>
          <w:szCs w:val="26"/>
        </w:rPr>
      </w:pPr>
      <w:r w:rsidRPr="00517123">
        <w:rPr>
          <w:sz w:val="26"/>
          <w:szCs w:val="26"/>
        </w:rPr>
        <w:t>Th</w:t>
      </w:r>
      <w:r>
        <w:rPr>
          <w:sz w:val="26"/>
          <w:szCs w:val="26"/>
        </w:rPr>
        <w:t xml:space="preserve">e </w:t>
      </w:r>
      <w:r w:rsidR="0051397B">
        <w:rPr>
          <w:sz w:val="26"/>
          <w:szCs w:val="26"/>
        </w:rPr>
        <w:t>f</w:t>
      </w:r>
      <w:r w:rsidR="00EF4047">
        <w:rPr>
          <w:sz w:val="26"/>
          <w:szCs w:val="26"/>
        </w:rPr>
        <w:t>inal</w:t>
      </w:r>
      <w:r w:rsidR="0051397B">
        <w:rPr>
          <w:sz w:val="26"/>
          <w:szCs w:val="26"/>
        </w:rPr>
        <w:t xml:space="preserve"> ru</w:t>
      </w:r>
      <w:r w:rsidR="00EF4047">
        <w:rPr>
          <w:sz w:val="26"/>
          <w:szCs w:val="26"/>
        </w:rPr>
        <w:t>le</w:t>
      </w:r>
      <w:r w:rsidRPr="00517123">
        <w:rPr>
          <w:sz w:val="26"/>
          <w:szCs w:val="26"/>
        </w:rPr>
        <w:t xml:space="preserve"> eliminat</w:t>
      </w:r>
      <w:r>
        <w:rPr>
          <w:sz w:val="26"/>
          <w:szCs w:val="26"/>
        </w:rPr>
        <w:t>e</w:t>
      </w:r>
      <w:r w:rsidR="0051397B">
        <w:rPr>
          <w:sz w:val="26"/>
          <w:szCs w:val="26"/>
        </w:rPr>
        <w:t>s</w:t>
      </w:r>
      <w:r w:rsidRPr="00517123">
        <w:rPr>
          <w:sz w:val="26"/>
          <w:szCs w:val="26"/>
        </w:rPr>
        <w:t xml:space="preserve"> </w:t>
      </w:r>
      <w:r>
        <w:rPr>
          <w:sz w:val="26"/>
          <w:szCs w:val="26"/>
        </w:rPr>
        <w:t>certain Reliability Standards and</w:t>
      </w:r>
      <w:r w:rsidRPr="00517123">
        <w:rPr>
          <w:sz w:val="26"/>
          <w:szCs w:val="26"/>
        </w:rPr>
        <w:t xml:space="preserve"> requirements (within </w:t>
      </w:r>
      <w:r>
        <w:rPr>
          <w:sz w:val="26"/>
          <w:szCs w:val="26"/>
        </w:rPr>
        <w:t xml:space="preserve">FERC 725A, </w:t>
      </w:r>
      <w:r w:rsidRPr="00517123">
        <w:rPr>
          <w:sz w:val="26"/>
          <w:szCs w:val="26"/>
        </w:rPr>
        <w:t>725</w:t>
      </w:r>
      <w:r>
        <w:rPr>
          <w:sz w:val="26"/>
          <w:szCs w:val="26"/>
        </w:rPr>
        <w:t>G1</w:t>
      </w:r>
      <w:r w:rsidRPr="00517123">
        <w:rPr>
          <w:sz w:val="26"/>
          <w:szCs w:val="26"/>
        </w:rPr>
        <w:t>,</w:t>
      </w:r>
      <w:r>
        <w:rPr>
          <w:sz w:val="26"/>
          <w:szCs w:val="26"/>
        </w:rPr>
        <w:t xml:space="preserve"> </w:t>
      </w:r>
      <w:r w:rsidRPr="00517123">
        <w:rPr>
          <w:sz w:val="26"/>
          <w:szCs w:val="26"/>
        </w:rPr>
        <w:t>and 725</w:t>
      </w:r>
      <w:r>
        <w:rPr>
          <w:sz w:val="26"/>
          <w:szCs w:val="26"/>
        </w:rPr>
        <w:t>Z</w:t>
      </w:r>
      <w:r w:rsidRPr="00517123">
        <w:rPr>
          <w:sz w:val="26"/>
          <w:szCs w:val="26"/>
        </w:rPr>
        <w:t>) that are unnecessary or redundant</w:t>
      </w:r>
      <w:r w:rsidR="001D25B2">
        <w:rPr>
          <w:sz w:val="26"/>
          <w:szCs w:val="26"/>
        </w:rPr>
        <w:t>.  F</w:t>
      </w:r>
      <w:r w:rsidRPr="00517123">
        <w:rPr>
          <w:sz w:val="26"/>
          <w:szCs w:val="26"/>
        </w:rPr>
        <w:t>or the remaining requirements which are unaffected by t</w:t>
      </w:r>
      <w:r>
        <w:rPr>
          <w:sz w:val="26"/>
          <w:szCs w:val="26"/>
        </w:rPr>
        <w:t xml:space="preserve">he </w:t>
      </w:r>
      <w:r w:rsidR="001D25B2">
        <w:rPr>
          <w:sz w:val="26"/>
          <w:szCs w:val="26"/>
        </w:rPr>
        <w:t>final rule</w:t>
      </w:r>
      <w:r w:rsidRPr="00517123">
        <w:rPr>
          <w:sz w:val="26"/>
          <w:szCs w:val="26"/>
        </w:rPr>
        <w:t xml:space="preserve">, </w:t>
      </w:r>
      <w:r w:rsidRPr="001529B8" w:rsidR="001D25B2">
        <w:rPr>
          <w:sz w:val="26"/>
          <w:szCs w:val="26"/>
        </w:rPr>
        <w:t xml:space="preserve">the Reliability Standards </w:t>
      </w:r>
      <w:r w:rsidR="001D25B2">
        <w:rPr>
          <w:sz w:val="26"/>
          <w:szCs w:val="26"/>
        </w:rPr>
        <w:t xml:space="preserve">usually are monitored, audited, and </w:t>
      </w:r>
      <w:r w:rsidRPr="001529B8" w:rsidR="001D25B2">
        <w:rPr>
          <w:sz w:val="26"/>
          <w:szCs w:val="26"/>
        </w:rPr>
        <w:t>enforced in the United States by the ERO subject to Commission oversight</w:t>
      </w:r>
      <w:r w:rsidR="001D25B2">
        <w:rPr>
          <w:sz w:val="26"/>
          <w:szCs w:val="26"/>
        </w:rPr>
        <w:t xml:space="preserve">.  Occasionally </w:t>
      </w:r>
      <w:r w:rsidRPr="001529B8" w:rsidR="001D25B2">
        <w:rPr>
          <w:sz w:val="26"/>
          <w:szCs w:val="26"/>
        </w:rPr>
        <w:t xml:space="preserve">the Commission </w:t>
      </w:r>
      <w:r w:rsidR="001D25B2">
        <w:rPr>
          <w:sz w:val="26"/>
          <w:szCs w:val="26"/>
        </w:rPr>
        <w:t xml:space="preserve">takes such action </w:t>
      </w:r>
      <w:r w:rsidRPr="001529B8" w:rsidR="001D25B2">
        <w:rPr>
          <w:sz w:val="26"/>
          <w:szCs w:val="26"/>
        </w:rPr>
        <w:t>independently</w:t>
      </w:r>
      <w:r w:rsidR="001D25B2">
        <w:rPr>
          <w:sz w:val="26"/>
          <w:szCs w:val="26"/>
        </w:rPr>
        <w:t>.</w:t>
      </w:r>
      <w:r w:rsidRPr="00517123">
        <w:rPr>
          <w:sz w:val="26"/>
          <w:szCs w:val="26"/>
        </w:rPr>
        <w:t xml:space="preserve">  Each Reliability Standard identifies the Compliance Enforcement Authorities and describes the treatment of the records.</w:t>
      </w:r>
    </w:p>
    <w:p w:rsidRPr="00517123" w:rsidR="00423C1A" w:rsidP="00423C1A" w:rsidRDefault="00423C1A" w14:paraId="6A3ECE54" w14:textId="77777777">
      <w:pPr>
        <w:rPr>
          <w:sz w:val="26"/>
          <w:szCs w:val="26"/>
        </w:rPr>
      </w:pPr>
    </w:p>
    <w:p w:rsidRPr="00E01C25" w:rsidR="00423C1A" w:rsidP="00E01C25" w:rsidRDefault="00423C1A" w14:paraId="690FE0EF" w14:textId="292FAEE4">
      <w:pPr>
        <w:rPr>
          <w:sz w:val="26"/>
          <w:szCs w:val="26"/>
        </w:rPr>
      </w:pPr>
      <w:r w:rsidRPr="00517123">
        <w:rPr>
          <w:sz w:val="26"/>
          <w:szCs w:val="26"/>
        </w:rPr>
        <w:t>On the rare occasion that FERC may receive copies of or obtain access to these records, the Commission has in place procedures to prevent the disclosure of sensitive information, such as the use of protective orders and rules establishing critical energy infrastructure information (CEII).  In addition, information provided with a filing may be submitted with a specific request for confidential treatment to the extent permitted by law and considered pursuant to 18 CFR 388.112 of FERC's regulations.</w:t>
      </w:r>
    </w:p>
    <w:p w:rsidR="008C2165" w:rsidP="00485111" w:rsidRDefault="008C2165" w14:paraId="54175468" w14:textId="77777777">
      <w:pPr>
        <w:spacing w:line="20" w:lineRule="atLeast"/>
        <w:rPr>
          <w:sz w:val="26"/>
          <w:szCs w:val="26"/>
        </w:rPr>
      </w:pPr>
    </w:p>
    <w:p w:rsidRPr="00961C86" w:rsidR="0035439D" w:rsidP="00485111" w:rsidRDefault="0035439D" w14:paraId="49995E1B" w14:textId="1D397A66">
      <w:pPr>
        <w:pStyle w:val="FERCparanumber"/>
        <w:numPr>
          <w:ilvl w:val="0"/>
          <w:numId w:val="2"/>
        </w:numPr>
        <w:spacing w:line="20" w:lineRule="atLeast"/>
        <w:rPr>
          <w:szCs w:val="26"/>
        </w:rPr>
      </w:pPr>
      <w:r w:rsidRPr="003737CB">
        <w:rPr>
          <w:b/>
          <w:szCs w:val="26"/>
        </w:rPr>
        <w:t>PROVIDE ADDITIONAL JUSTIFICATION FOR ANY QUESTIONS OF A SENSITIVE NATURE, SUCH AS SEXUAL BEHAVIOR AND ATTITUDES, RELIGIOUS BELIEFS, AND OTHER MATTERS THAT ARE COMMONLY CONSIDERED PRIVATE</w:t>
      </w:r>
    </w:p>
    <w:p w:rsidRPr="003737CB" w:rsidR="00B7145D" w:rsidP="00961C86" w:rsidRDefault="00B7145D" w14:paraId="411969CE" w14:textId="77777777">
      <w:pPr>
        <w:pStyle w:val="FERCparanumber"/>
        <w:numPr>
          <w:ilvl w:val="0"/>
          <w:numId w:val="0"/>
        </w:numPr>
        <w:spacing w:line="20" w:lineRule="atLeast"/>
        <w:ind w:left="720"/>
        <w:rPr>
          <w:szCs w:val="26"/>
        </w:rPr>
      </w:pPr>
    </w:p>
    <w:p w:rsidRPr="00961C86" w:rsidR="0035439D" w:rsidP="00E01C25" w:rsidRDefault="00E01C25" w14:paraId="1BBC20EE" w14:textId="1E9BA04C">
      <w:pPr>
        <w:rPr>
          <w:sz w:val="26"/>
          <w:szCs w:val="26"/>
        </w:rPr>
      </w:pPr>
      <w:r w:rsidRPr="00961C86">
        <w:rPr>
          <w:sz w:val="26"/>
          <w:szCs w:val="26"/>
        </w:rPr>
        <w:t xml:space="preserve">There are no </w:t>
      </w:r>
      <w:r w:rsidRPr="007028E6">
        <w:rPr>
          <w:sz w:val="26"/>
          <w:szCs w:val="26"/>
        </w:rPr>
        <w:t>questions</w:t>
      </w:r>
      <w:r w:rsidRPr="00961C86">
        <w:rPr>
          <w:sz w:val="26"/>
          <w:szCs w:val="26"/>
        </w:rPr>
        <w:t xml:space="preserve"> of a sensitive nature in the requirements.</w:t>
      </w:r>
    </w:p>
    <w:p w:rsidRPr="00961C86" w:rsidR="0035439D" w:rsidP="00485111" w:rsidRDefault="0035439D" w14:paraId="360AB929" w14:textId="77777777">
      <w:pPr>
        <w:pStyle w:val="FERCparanumber"/>
        <w:numPr>
          <w:ilvl w:val="0"/>
          <w:numId w:val="0"/>
        </w:numPr>
        <w:spacing w:line="20" w:lineRule="atLeast"/>
        <w:rPr>
          <w:sz w:val="24"/>
        </w:rPr>
      </w:pPr>
    </w:p>
    <w:p w:rsidRPr="00961C86" w:rsidR="0035439D" w:rsidP="00485111" w:rsidRDefault="0035439D" w14:paraId="546E1F6D" w14:textId="42956FB4">
      <w:pPr>
        <w:pStyle w:val="FERCparanumber"/>
        <w:numPr>
          <w:ilvl w:val="0"/>
          <w:numId w:val="2"/>
        </w:numPr>
        <w:spacing w:line="20" w:lineRule="atLeast"/>
        <w:rPr>
          <w:szCs w:val="26"/>
        </w:rPr>
      </w:pPr>
      <w:r w:rsidRPr="003737CB">
        <w:rPr>
          <w:b/>
          <w:szCs w:val="26"/>
        </w:rPr>
        <w:t>ESTIMATED BURDEN</w:t>
      </w:r>
      <w:r w:rsidR="001D7D74">
        <w:rPr>
          <w:b/>
          <w:szCs w:val="26"/>
        </w:rPr>
        <w:t xml:space="preserve"> OF</w:t>
      </w:r>
      <w:r w:rsidRPr="003737CB">
        <w:rPr>
          <w:b/>
          <w:szCs w:val="26"/>
        </w:rPr>
        <w:t xml:space="preserve"> COLLECTION OF INFORMATION</w:t>
      </w:r>
    </w:p>
    <w:p w:rsidRPr="003737CB" w:rsidR="00B7145D" w:rsidP="00961C86" w:rsidRDefault="00B7145D" w14:paraId="79EB34FD" w14:textId="77777777">
      <w:pPr>
        <w:pStyle w:val="FERCparanumber"/>
        <w:numPr>
          <w:ilvl w:val="0"/>
          <w:numId w:val="0"/>
        </w:numPr>
        <w:spacing w:line="20" w:lineRule="atLeast"/>
        <w:ind w:left="720"/>
        <w:rPr>
          <w:szCs w:val="26"/>
        </w:rPr>
      </w:pPr>
    </w:p>
    <w:p w:rsidR="00650AFD" w:rsidP="002B5F01" w:rsidRDefault="00EF4047" w14:paraId="5CC02F48" w14:textId="566426F5">
      <w:pPr>
        <w:tabs>
          <w:tab w:val="num" w:pos="720"/>
        </w:tabs>
        <w:rPr>
          <w:sz w:val="26"/>
        </w:rPr>
      </w:pPr>
      <w:r w:rsidRPr="00EF4047">
        <w:rPr>
          <w:sz w:val="26"/>
        </w:rPr>
        <w:t xml:space="preserve">The Commission estimates that the final rule, which would retire 18 requirements of Reliability Standards without adding any new obligations on registered entities, would </w:t>
      </w:r>
      <w:r w:rsidRPr="00EF4047">
        <w:rPr>
          <w:sz w:val="26"/>
        </w:rPr>
        <w:lastRenderedPageBreak/>
        <w:t xml:space="preserve">result in a </w:t>
      </w:r>
      <w:bookmarkStart w:name="_Hlk52567778" w:id="3"/>
      <w:r w:rsidRPr="002B5F01" w:rsidR="002B5F01">
        <w:rPr>
          <w:sz w:val="26"/>
        </w:rPr>
        <w:t>total industry reduction in burden for all entities (large and small) to be 42,907.44 hours (or approximately 18 hours (rounded) per response)</w:t>
      </w:r>
      <w:bookmarkEnd w:id="3"/>
      <w:r w:rsidRPr="002B5F01" w:rsidR="002B5F01">
        <w:rPr>
          <w:sz w:val="26"/>
        </w:rPr>
        <w:t xml:space="preserve">.  </w:t>
      </w:r>
      <w:r w:rsidRPr="00EF4047">
        <w:rPr>
          <w:sz w:val="26"/>
        </w:rPr>
        <w:t>The Commission based the burden reduction estimates on staff experience, knowledge, and expertise.</w:t>
      </w:r>
    </w:p>
    <w:p w:rsidRPr="00EF4047" w:rsidR="002B5F01" w:rsidP="002B5F01" w:rsidRDefault="002B5F01" w14:paraId="5B37630A" w14:textId="77777777">
      <w:pPr>
        <w:tabs>
          <w:tab w:val="num" w:pos="720"/>
        </w:tabs>
        <w:rPr>
          <w:sz w:val="26"/>
        </w:rPr>
      </w:pPr>
    </w:p>
    <w:tbl>
      <w:tblPr>
        <w:tblStyle w:val="TableGrid"/>
        <w:tblW w:w="0" w:type="auto"/>
        <w:tblLook w:val="04A0" w:firstRow="1" w:lastRow="0" w:firstColumn="1" w:lastColumn="0" w:noHBand="0" w:noVBand="1"/>
      </w:tblPr>
      <w:tblGrid>
        <w:gridCol w:w="1675"/>
        <w:gridCol w:w="1849"/>
        <w:gridCol w:w="1358"/>
        <w:gridCol w:w="1404"/>
        <w:gridCol w:w="1257"/>
        <w:gridCol w:w="1807"/>
      </w:tblGrid>
      <w:tr w:rsidRPr="00DC3EA9" w:rsidR="00DC3EA9" w:rsidTr="00B87176" w14:paraId="510A6928" w14:textId="77777777">
        <w:tc>
          <w:tcPr>
            <w:tcW w:w="9350" w:type="dxa"/>
            <w:gridSpan w:val="6"/>
          </w:tcPr>
          <w:p w:rsidRPr="00DC3EA9" w:rsidR="00DC3EA9" w:rsidP="00DC3EA9" w:rsidRDefault="00DC3EA9" w14:paraId="0E46E6A1" w14:textId="77777777">
            <w:pPr>
              <w:jc w:val="center"/>
              <w:rPr>
                <w:b/>
                <w:sz w:val="26"/>
              </w:rPr>
            </w:pPr>
            <w:r w:rsidRPr="00DC3EA9">
              <w:rPr>
                <w:b/>
                <w:sz w:val="26"/>
              </w:rPr>
              <w:t>Reductions Due to Final Rule in Docket Nos. RM19-16 &amp; RM19-17</w:t>
            </w:r>
          </w:p>
        </w:tc>
      </w:tr>
      <w:tr w:rsidRPr="00DC3EA9" w:rsidR="00DC3EA9" w:rsidTr="00DC3EA9" w14:paraId="3BC9D937" w14:textId="77777777">
        <w:tc>
          <w:tcPr>
            <w:tcW w:w="1675" w:type="dxa"/>
            <w:vAlign w:val="bottom"/>
          </w:tcPr>
          <w:p w:rsidRPr="00DC3EA9" w:rsidR="00DC3EA9" w:rsidP="00DC3EA9" w:rsidRDefault="00DC3EA9" w14:paraId="177105FD" w14:textId="77777777">
            <w:pPr>
              <w:jc w:val="center"/>
              <w:rPr>
                <w:b/>
                <w:sz w:val="26"/>
              </w:rPr>
            </w:pPr>
            <w:r w:rsidRPr="00DC3EA9">
              <w:rPr>
                <w:b/>
                <w:sz w:val="26"/>
              </w:rPr>
              <w:t>Reliability Standard &amp; Requirement</w:t>
            </w:r>
          </w:p>
        </w:tc>
        <w:tc>
          <w:tcPr>
            <w:tcW w:w="1849" w:type="dxa"/>
            <w:vAlign w:val="bottom"/>
          </w:tcPr>
          <w:p w:rsidRPr="00DC3EA9" w:rsidR="00DC3EA9" w:rsidP="00DC3EA9" w:rsidRDefault="00DC3EA9" w14:paraId="65FF884F" w14:textId="77777777">
            <w:pPr>
              <w:jc w:val="center"/>
              <w:rPr>
                <w:b/>
                <w:sz w:val="26"/>
              </w:rPr>
            </w:pPr>
            <w:r w:rsidRPr="00DC3EA9">
              <w:rPr>
                <w:b/>
                <w:sz w:val="26"/>
              </w:rPr>
              <w:t>Type</w:t>
            </w:r>
            <w:r w:rsidRPr="00DC3EA9">
              <w:rPr>
                <w:b/>
                <w:sz w:val="26"/>
                <w:szCs w:val="26"/>
                <w:vertAlign w:val="superscript"/>
              </w:rPr>
              <w:footnoteReference w:id="37"/>
            </w:r>
            <w:r w:rsidRPr="00DC3EA9">
              <w:rPr>
                <w:b/>
                <w:sz w:val="26"/>
              </w:rPr>
              <w:t xml:space="preserve"> and Number of Entity</w:t>
            </w:r>
          </w:p>
          <w:p w:rsidRPr="00DC3EA9" w:rsidR="00DC3EA9" w:rsidP="00DC3EA9" w:rsidRDefault="00DC3EA9" w14:paraId="171D30E5" w14:textId="77777777">
            <w:pPr>
              <w:jc w:val="center"/>
              <w:rPr>
                <w:b/>
                <w:sz w:val="26"/>
              </w:rPr>
            </w:pPr>
            <w:r w:rsidRPr="00DC3EA9">
              <w:rPr>
                <w:sz w:val="26"/>
              </w:rPr>
              <w:t>(1)</w:t>
            </w:r>
          </w:p>
        </w:tc>
        <w:tc>
          <w:tcPr>
            <w:tcW w:w="1358" w:type="dxa"/>
            <w:vAlign w:val="bottom"/>
          </w:tcPr>
          <w:p w:rsidRPr="00DC3EA9" w:rsidR="00DC3EA9" w:rsidP="00DC3EA9" w:rsidRDefault="00DC3EA9" w14:paraId="55E96DC6" w14:textId="0A3A43D6">
            <w:pPr>
              <w:jc w:val="center"/>
              <w:rPr>
                <w:b/>
                <w:sz w:val="26"/>
              </w:rPr>
            </w:pPr>
            <w:r w:rsidRPr="00DC3EA9">
              <w:rPr>
                <w:b/>
                <w:sz w:val="26"/>
              </w:rPr>
              <w:t xml:space="preserve">Number of Annual </w:t>
            </w:r>
            <w:r w:rsidRPr="00DC3EA9" w:rsidR="00D85C85">
              <w:rPr>
                <w:b/>
                <w:sz w:val="26"/>
              </w:rPr>
              <w:t>Responses Per</w:t>
            </w:r>
            <w:r w:rsidRPr="00DC3EA9">
              <w:rPr>
                <w:b/>
                <w:sz w:val="26"/>
              </w:rPr>
              <w:t xml:space="preserve"> Entity</w:t>
            </w:r>
          </w:p>
          <w:p w:rsidRPr="00DC3EA9" w:rsidR="00DC3EA9" w:rsidP="00DC3EA9" w:rsidRDefault="00DC3EA9" w14:paraId="772521B0" w14:textId="77777777">
            <w:pPr>
              <w:jc w:val="center"/>
              <w:rPr>
                <w:b/>
                <w:sz w:val="26"/>
              </w:rPr>
            </w:pPr>
            <w:r w:rsidRPr="00DC3EA9">
              <w:rPr>
                <w:b/>
                <w:sz w:val="26"/>
              </w:rPr>
              <w:t>(</w:t>
            </w:r>
            <w:r w:rsidRPr="00DC3EA9">
              <w:rPr>
                <w:sz w:val="26"/>
              </w:rPr>
              <w:t>2)</w:t>
            </w:r>
          </w:p>
        </w:tc>
        <w:tc>
          <w:tcPr>
            <w:tcW w:w="1404" w:type="dxa"/>
            <w:vAlign w:val="bottom"/>
          </w:tcPr>
          <w:p w:rsidRPr="00DC3EA9" w:rsidR="00DC3EA9" w:rsidP="00DC3EA9" w:rsidRDefault="00DC3EA9" w14:paraId="668A5831" w14:textId="77777777">
            <w:pPr>
              <w:jc w:val="center"/>
              <w:rPr>
                <w:b/>
                <w:sz w:val="26"/>
              </w:rPr>
            </w:pPr>
            <w:r w:rsidRPr="00DC3EA9">
              <w:rPr>
                <w:b/>
                <w:sz w:val="26"/>
              </w:rPr>
              <w:t>Total Number of Responses</w:t>
            </w:r>
          </w:p>
          <w:p w:rsidRPr="00DC3EA9" w:rsidR="00DC3EA9" w:rsidP="00DC3EA9" w:rsidRDefault="00DC3EA9" w14:paraId="6466485C" w14:textId="05F032BC">
            <w:pPr>
              <w:jc w:val="center"/>
              <w:rPr>
                <w:b/>
                <w:sz w:val="26"/>
              </w:rPr>
            </w:pPr>
            <w:r w:rsidRPr="00DC3EA9">
              <w:rPr>
                <w:b/>
                <w:sz w:val="26"/>
              </w:rPr>
              <w:t>(</w:t>
            </w:r>
            <w:r w:rsidRPr="00DC3EA9" w:rsidR="00D85C85">
              <w:rPr>
                <w:b/>
                <w:sz w:val="26"/>
              </w:rPr>
              <w:t>1) *</w:t>
            </w:r>
            <w:r w:rsidRPr="00DC3EA9">
              <w:rPr>
                <w:b/>
                <w:sz w:val="26"/>
              </w:rPr>
              <w:t>(</w:t>
            </w:r>
            <w:r w:rsidRPr="00DC3EA9" w:rsidR="00D85C85">
              <w:rPr>
                <w:b/>
                <w:sz w:val="26"/>
              </w:rPr>
              <w:t>2) = (</w:t>
            </w:r>
            <w:r w:rsidRPr="00DC3EA9">
              <w:rPr>
                <w:b/>
                <w:sz w:val="26"/>
              </w:rPr>
              <w:t>3)</w:t>
            </w:r>
          </w:p>
        </w:tc>
        <w:tc>
          <w:tcPr>
            <w:tcW w:w="1257" w:type="dxa"/>
            <w:vAlign w:val="bottom"/>
          </w:tcPr>
          <w:p w:rsidRPr="00DC3EA9" w:rsidR="00DC3EA9" w:rsidP="00DC3EA9" w:rsidRDefault="00DC3EA9" w14:paraId="42F2D53A" w14:textId="77777777">
            <w:pPr>
              <w:jc w:val="center"/>
              <w:rPr>
                <w:b/>
                <w:sz w:val="26"/>
              </w:rPr>
            </w:pPr>
            <w:r w:rsidRPr="00DC3EA9">
              <w:rPr>
                <w:b/>
                <w:sz w:val="26"/>
              </w:rPr>
              <w:t>Average Number of Burden Hours per Response</w:t>
            </w:r>
          </w:p>
          <w:p w:rsidRPr="00DC3EA9" w:rsidR="00DC3EA9" w:rsidP="00DC3EA9" w:rsidRDefault="00DC3EA9" w14:paraId="78EAE9CF" w14:textId="77777777">
            <w:pPr>
              <w:jc w:val="center"/>
              <w:rPr>
                <w:b/>
                <w:sz w:val="26"/>
              </w:rPr>
            </w:pPr>
            <w:r w:rsidRPr="00DC3EA9">
              <w:rPr>
                <w:b/>
                <w:sz w:val="26"/>
              </w:rPr>
              <w:t>(4)</w:t>
            </w:r>
          </w:p>
        </w:tc>
        <w:tc>
          <w:tcPr>
            <w:tcW w:w="1807" w:type="dxa"/>
            <w:vAlign w:val="bottom"/>
          </w:tcPr>
          <w:p w:rsidRPr="00DC3EA9" w:rsidR="00DC3EA9" w:rsidP="00DC3EA9" w:rsidRDefault="00DC3EA9" w14:paraId="67189EEF" w14:textId="77777777">
            <w:pPr>
              <w:jc w:val="center"/>
              <w:rPr>
                <w:b/>
                <w:sz w:val="26"/>
              </w:rPr>
            </w:pPr>
            <w:r w:rsidRPr="00DC3EA9">
              <w:rPr>
                <w:b/>
                <w:sz w:val="26"/>
              </w:rPr>
              <w:t>Total Burden Hours</w:t>
            </w:r>
          </w:p>
          <w:p w:rsidRPr="00DC3EA9" w:rsidR="00DC3EA9" w:rsidP="00DC3EA9" w:rsidRDefault="00DC3EA9" w14:paraId="36963707" w14:textId="34D1B10B">
            <w:pPr>
              <w:jc w:val="center"/>
              <w:rPr>
                <w:b/>
                <w:sz w:val="26"/>
              </w:rPr>
            </w:pPr>
            <w:r w:rsidRPr="00DC3EA9">
              <w:rPr>
                <w:b/>
                <w:sz w:val="26"/>
              </w:rPr>
              <w:t>(</w:t>
            </w:r>
            <w:r w:rsidRPr="00DC3EA9" w:rsidR="00D85C85">
              <w:rPr>
                <w:b/>
                <w:sz w:val="26"/>
              </w:rPr>
              <w:t>3) *</w:t>
            </w:r>
            <w:r w:rsidRPr="00DC3EA9">
              <w:rPr>
                <w:b/>
                <w:sz w:val="26"/>
              </w:rPr>
              <w:t>(</w:t>
            </w:r>
            <w:r w:rsidRPr="00DC3EA9" w:rsidR="00D85C85">
              <w:rPr>
                <w:b/>
                <w:sz w:val="26"/>
              </w:rPr>
              <w:t>4) = (</w:t>
            </w:r>
            <w:r w:rsidRPr="00DC3EA9">
              <w:rPr>
                <w:b/>
                <w:sz w:val="26"/>
              </w:rPr>
              <w:t>5)</w:t>
            </w:r>
          </w:p>
        </w:tc>
      </w:tr>
      <w:tr w:rsidRPr="00DC3EA9" w:rsidR="00DC3EA9" w:rsidTr="00B87176" w14:paraId="70DEC6BC" w14:textId="77777777">
        <w:tc>
          <w:tcPr>
            <w:tcW w:w="9350" w:type="dxa"/>
            <w:gridSpan w:val="6"/>
          </w:tcPr>
          <w:p w:rsidRPr="00DC3EA9" w:rsidR="00DC3EA9" w:rsidP="00DC3EA9" w:rsidRDefault="00DC3EA9" w14:paraId="499EEC5F" w14:textId="77777777">
            <w:pPr>
              <w:jc w:val="center"/>
              <w:rPr>
                <w:b/>
                <w:sz w:val="26"/>
              </w:rPr>
            </w:pPr>
            <w:r w:rsidRPr="00DC3EA9">
              <w:rPr>
                <w:b/>
                <w:sz w:val="26"/>
              </w:rPr>
              <w:t>FERC-725A</w:t>
            </w:r>
          </w:p>
        </w:tc>
      </w:tr>
      <w:tr w:rsidRPr="00DC3EA9" w:rsidR="00DC3EA9" w:rsidTr="00DC3EA9" w14:paraId="4C09C4B0" w14:textId="77777777">
        <w:tc>
          <w:tcPr>
            <w:tcW w:w="1675" w:type="dxa"/>
          </w:tcPr>
          <w:p w:rsidRPr="00DC3EA9" w:rsidR="00DC3EA9" w:rsidP="00DC3EA9" w:rsidRDefault="00DC3EA9" w14:paraId="2D7B0C6A" w14:textId="77777777">
            <w:pPr>
              <w:rPr>
                <w:sz w:val="26"/>
              </w:rPr>
            </w:pPr>
            <w:r w:rsidRPr="00DC3EA9">
              <w:rPr>
                <w:sz w:val="26"/>
              </w:rPr>
              <w:t>FAC-013-2</w:t>
            </w:r>
          </w:p>
        </w:tc>
        <w:tc>
          <w:tcPr>
            <w:tcW w:w="1849" w:type="dxa"/>
          </w:tcPr>
          <w:p w:rsidRPr="00DC3EA9" w:rsidR="00DC3EA9" w:rsidP="00DC3EA9" w:rsidRDefault="00DC3EA9" w14:paraId="64980A8F" w14:textId="77777777">
            <w:pPr>
              <w:rPr>
                <w:sz w:val="26"/>
              </w:rPr>
            </w:pPr>
            <w:r w:rsidRPr="00DC3EA9">
              <w:rPr>
                <w:sz w:val="26"/>
              </w:rPr>
              <w:t>RC (12)</w:t>
            </w:r>
          </w:p>
        </w:tc>
        <w:tc>
          <w:tcPr>
            <w:tcW w:w="1358" w:type="dxa"/>
          </w:tcPr>
          <w:p w:rsidRPr="00DC3EA9" w:rsidR="00DC3EA9" w:rsidP="00DC3EA9" w:rsidRDefault="00DC3EA9" w14:paraId="37D9F7CD" w14:textId="77777777">
            <w:pPr>
              <w:tabs>
                <w:tab w:val="center" w:pos="620"/>
                <w:tab w:val="right" w:pos="1241"/>
              </w:tabs>
              <w:jc w:val="right"/>
              <w:rPr>
                <w:sz w:val="26"/>
              </w:rPr>
            </w:pPr>
            <w:r w:rsidRPr="00DC3EA9">
              <w:rPr>
                <w:sz w:val="26"/>
              </w:rPr>
              <w:tab/>
              <w:t>8.33</w:t>
            </w:r>
          </w:p>
        </w:tc>
        <w:tc>
          <w:tcPr>
            <w:tcW w:w="1404" w:type="dxa"/>
          </w:tcPr>
          <w:p w:rsidRPr="00DC3EA9" w:rsidR="00DC3EA9" w:rsidP="00DC3EA9" w:rsidRDefault="00DC3EA9" w14:paraId="400443DF" w14:textId="77777777">
            <w:pPr>
              <w:jc w:val="right"/>
              <w:rPr>
                <w:sz w:val="26"/>
              </w:rPr>
            </w:pPr>
            <w:r w:rsidRPr="00DC3EA9">
              <w:rPr>
                <w:sz w:val="26"/>
              </w:rPr>
              <w:t>100</w:t>
            </w:r>
          </w:p>
        </w:tc>
        <w:tc>
          <w:tcPr>
            <w:tcW w:w="1257" w:type="dxa"/>
          </w:tcPr>
          <w:p w:rsidRPr="00DC3EA9" w:rsidR="00DC3EA9" w:rsidP="00DC3EA9" w:rsidRDefault="00DC3EA9" w14:paraId="7EAC9807" w14:textId="77777777">
            <w:pPr>
              <w:jc w:val="right"/>
              <w:rPr>
                <w:sz w:val="26"/>
              </w:rPr>
            </w:pPr>
            <w:r w:rsidRPr="00DC3EA9">
              <w:rPr>
                <w:sz w:val="26"/>
              </w:rPr>
              <w:t>26.67</w:t>
            </w:r>
          </w:p>
        </w:tc>
        <w:tc>
          <w:tcPr>
            <w:tcW w:w="1807" w:type="dxa"/>
          </w:tcPr>
          <w:p w:rsidRPr="00DC3EA9" w:rsidR="00DC3EA9" w:rsidP="00DC3EA9" w:rsidRDefault="00DC3EA9" w14:paraId="3E513277" w14:textId="77777777">
            <w:pPr>
              <w:jc w:val="right"/>
              <w:rPr>
                <w:sz w:val="26"/>
              </w:rPr>
            </w:pPr>
            <w:r w:rsidRPr="00DC3EA9">
              <w:rPr>
                <w:sz w:val="26"/>
              </w:rPr>
              <w:t>2,667</w:t>
            </w:r>
          </w:p>
        </w:tc>
      </w:tr>
      <w:tr w:rsidRPr="00DC3EA9" w:rsidR="00DC3EA9" w:rsidTr="00DC3EA9" w14:paraId="4B198E8A" w14:textId="77777777">
        <w:tc>
          <w:tcPr>
            <w:tcW w:w="1675" w:type="dxa"/>
          </w:tcPr>
          <w:p w:rsidRPr="00DC3EA9" w:rsidR="00DC3EA9" w:rsidP="00DC3EA9" w:rsidRDefault="00DC3EA9" w14:paraId="2DCB7C64" w14:textId="77777777">
            <w:pPr>
              <w:rPr>
                <w:sz w:val="26"/>
              </w:rPr>
            </w:pPr>
            <w:r w:rsidRPr="00DC3EA9">
              <w:rPr>
                <w:sz w:val="26"/>
              </w:rPr>
              <w:t>INT-006-4 R3.1, R4, R5, R5.1, R5.2, R5.3, R5.4, R5.5</w:t>
            </w:r>
          </w:p>
        </w:tc>
        <w:tc>
          <w:tcPr>
            <w:tcW w:w="1849" w:type="dxa"/>
          </w:tcPr>
          <w:p w:rsidRPr="00DC3EA9" w:rsidR="00DC3EA9" w:rsidP="00DC3EA9" w:rsidRDefault="00DC3EA9" w14:paraId="726FC3BE" w14:textId="77777777">
            <w:pPr>
              <w:rPr>
                <w:sz w:val="26"/>
              </w:rPr>
            </w:pPr>
            <w:r w:rsidRPr="00DC3EA9">
              <w:rPr>
                <w:sz w:val="26"/>
              </w:rPr>
              <w:t>BA/TSP (169)</w:t>
            </w:r>
          </w:p>
        </w:tc>
        <w:tc>
          <w:tcPr>
            <w:tcW w:w="1358" w:type="dxa"/>
          </w:tcPr>
          <w:p w:rsidRPr="00DC3EA9" w:rsidR="00DC3EA9" w:rsidP="00DC3EA9" w:rsidRDefault="00DC3EA9" w14:paraId="44B551CD" w14:textId="77777777">
            <w:pPr>
              <w:jc w:val="right"/>
              <w:rPr>
                <w:sz w:val="26"/>
              </w:rPr>
            </w:pPr>
            <w:r w:rsidRPr="00DC3EA9">
              <w:rPr>
                <w:sz w:val="26"/>
              </w:rPr>
              <w:t>1</w:t>
            </w:r>
          </w:p>
        </w:tc>
        <w:tc>
          <w:tcPr>
            <w:tcW w:w="1404" w:type="dxa"/>
          </w:tcPr>
          <w:p w:rsidRPr="00DC3EA9" w:rsidR="00DC3EA9" w:rsidP="00DC3EA9" w:rsidRDefault="00DC3EA9" w14:paraId="7B0FF006" w14:textId="77777777">
            <w:pPr>
              <w:jc w:val="right"/>
              <w:rPr>
                <w:sz w:val="26"/>
              </w:rPr>
            </w:pPr>
            <w:r w:rsidRPr="00DC3EA9">
              <w:rPr>
                <w:sz w:val="26"/>
              </w:rPr>
              <w:t>169</w:t>
            </w:r>
          </w:p>
        </w:tc>
        <w:tc>
          <w:tcPr>
            <w:tcW w:w="1257" w:type="dxa"/>
          </w:tcPr>
          <w:p w:rsidRPr="00DC3EA9" w:rsidR="00DC3EA9" w:rsidP="00DC3EA9" w:rsidRDefault="00DC3EA9" w14:paraId="2D780C1E" w14:textId="77777777">
            <w:pPr>
              <w:jc w:val="right"/>
              <w:rPr>
                <w:sz w:val="26"/>
              </w:rPr>
            </w:pPr>
            <w:r w:rsidRPr="00DC3EA9">
              <w:rPr>
                <w:sz w:val="26"/>
              </w:rPr>
              <w:t>56.3</w:t>
            </w:r>
          </w:p>
        </w:tc>
        <w:tc>
          <w:tcPr>
            <w:tcW w:w="1807" w:type="dxa"/>
          </w:tcPr>
          <w:p w:rsidRPr="00DC3EA9" w:rsidR="00DC3EA9" w:rsidP="00DC3EA9" w:rsidRDefault="00DC3EA9" w14:paraId="7175B123" w14:textId="77777777">
            <w:pPr>
              <w:jc w:val="right"/>
              <w:rPr>
                <w:sz w:val="26"/>
              </w:rPr>
            </w:pPr>
            <w:r w:rsidRPr="00DC3EA9">
              <w:rPr>
                <w:sz w:val="26"/>
              </w:rPr>
              <w:t>9,514.7</w:t>
            </w:r>
          </w:p>
        </w:tc>
      </w:tr>
      <w:tr w:rsidRPr="00DC3EA9" w:rsidR="00DC3EA9" w:rsidTr="00DC3EA9" w14:paraId="3704514D" w14:textId="77777777">
        <w:tc>
          <w:tcPr>
            <w:tcW w:w="1675" w:type="dxa"/>
          </w:tcPr>
          <w:p w:rsidRPr="00DC3EA9" w:rsidR="00DC3EA9" w:rsidP="00DC3EA9" w:rsidRDefault="00DC3EA9" w14:paraId="2E7E23AB" w14:textId="77777777">
            <w:pPr>
              <w:rPr>
                <w:sz w:val="26"/>
              </w:rPr>
            </w:pPr>
            <w:r w:rsidRPr="00DC3EA9">
              <w:rPr>
                <w:sz w:val="26"/>
              </w:rPr>
              <w:t>INT-004-3.1</w:t>
            </w:r>
          </w:p>
        </w:tc>
        <w:tc>
          <w:tcPr>
            <w:tcW w:w="1849" w:type="dxa"/>
          </w:tcPr>
          <w:p w:rsidRPr="00DC3EA9" w:rsidR="00DC3EA9" w:rsidP="00DC3EA9" w:rsidRDefault="00DC3EA9" w14:paraId="382B214D" w14:textId="77777777">
            <w:pPr>
              <w:rPr>
                <w:sz w:val="26"/>
              </w:rPr>
            </w:pPr>
            <w:r w:rsidRPr="00DC3EA9">
              <w:rPr>
                <w:sz w:val="26"/>
              </w:rPr>
              <w:t>BA (97)</w:t>
            </w:r>
          </w:p>
        </w:tc>
        <w:tc>
          <w:tcPr>
            <w:tcW w:w="1358" w:type="dxa"/>
          </w:tcPr>
          <w:p w:rsidRPr="00DC3EA9" w:rsidR="00DC3EA9" w:rsidP="00DC3EA9" w:rsidRDefault="00DC3EA9" w14:paraId="69A95A11" w14:textId="77777777">
            <w:pPr>
              <w:jc w:val="right"/>
              <w:rPr>
                <w:sz w:val="26"/>
              </w:rPr>
            </w:pPr>
            <w:r w:rsidRPr="00DC3EA9">
              <w:rPr>
                <w:sz w:val="26"/>
              </w:rPr>
              <w:t>1</w:t>
            </w:r>
          </w:p>
        </w:tc>
        <w:tc>
          <w:tcPr>
            <w:tcW w:w="1404" w:type="dxa"/>
          </w:tcPr>
          <w:p w:rsidRPr="00DC3EA9" w:rsidR="00DC3EA9" w:rsidP="00DC3EA9" w:rsidRDefault="00DC3EA9" w14:paraId="20F128E0" w14:textId="77777777">
            <w:pPr>
              <w:jc w:val="right"/>
              <w:rPr>
                <w:sz w:val="26"/>
              </w:rPr>
            </w:pPr>
            <w:r w:rsidRPr="00DC3EA9">
              <w:rPr>
                <w:sz w:val="26"/>
              </w:rPr>
              <w:t>97</w:t>
            </w:r>
          </w:p>
        </w:tc>
        <w:tc>
          <w:tcPr>
            <w:tcW w:w="1257" w:type="dxa"/>
          </w:tcPr>
          <w:p w:rsidRPr="00DC3EA9" w:rsidR="00DC3EA9" w:rsidP="00DC3EA9" w:rsidRDefault="00DC3EA9" w14:paraId="5EB9E606" w14:textId="77777777">
            <w:pPr>
              <w:jc w:val="right"/>
              <w:rPr>
                <w:sz w:val="26"/>
              </w:rPr>
            </w:pPr>
            <w:r w:rsidRPr="00DC3EA9">
              <w:rPr>
                <w:sz w:val="26"/>
              </w:rPr>
              <w:t>56.3</w:t>
            </w:r>
          </w:p>
        </w:tc>
        <w:tc>
          <w:tcPr>
            <w:tcW w:w="1807" w:type="dxa"/>
          </w:tcPr>
          <w:p w:rsidRPr="00DC3EA9" w:rsidR="00DC3EA9" w:rsidP="00DC3EA9" w:rsidRDefault="00DC3EA9" w14:paraId="1CBA6D6B" w14:textId="77777777">
            <w:pPr>
              <w:jc w:val="right"/>
              <w:rPr>
                <w:sz w:val="26"/>
              </w:rPr>
            </w:pPr>
            <w:r w:rsidRPr="00DC3EA9">
              <w:rPr>
                <w:sz w:val="26"/>
              </w:rPr>
              <w:t>5,461.1</w:t>
            </w:r>
          </w:p>
        </w:tc>
      </w:tr>
      <w:tr w:rsidRPr="00DC3EA9" w:rsidR="00DC3EA9" w:rsidTr="00DC3EA9" w14:paraId="4BD32ADC" w14:textId="77777777">
        <w:tc>
          <w:tcPr>
            <w:tcW w:w="1675" w:type="dxa"/>
          </w:tcPr>
          <w:p w:rsidRPr="00DC3EA9" w:rsidR="00DC3EA9" w:rsidP="00DC3EA9" w:rsidRDefault="00DC3EA9" w14:paraId="3BAFCFFD" w14:textId="77777777">
            <w:pPr>
              <w:rPr>
                <w:sz w:val="26"/>
              </w:rPr>
            </w:pPr>
            <w:r w:rsidRPr="00DC3EA9">
              <w:rPr>
                <w:sz w:val="26"/>
              </w:rPr>
              <w:t>INT-010-2.1</w:t>
            </w:r>
          </w:p>
        </w:tc>
        <w:tc>
          <w:tcPr>
            <w:tcW w:w="1849" w:type="dxa"/>
          </w:tcPr>
          <w:p w:rsidRPr="00DC3EA9" w:rsidR="00DC3EA9" w:rsidP="00DC3EA9" w:rsidRDefault="00D85C85" w14:paraId="62CAEEA8" w14:textId="4C70B401">
            <w:pPr>
              <w:rPr>
                <w:sz w:val="26"/>
              </w:rPr>
            </w:pPr>
            <w:r w:rsidRPr="00DC3EA9">
              <w:rPr>
                <w:sz w:val="26"/>
              </w:rPr>
              <w:t>BA (</w:t>
            </w:r>
            <w:r w:rsidRPr="00DC3EA9" w:rsidR="00DC3EA9">
              <w:rPr>
                <w:sz w:val="26"/>
              </w:rPr>
              <w:t>97)</w:t>
            </w:r>
          </w:p>
        </w:tc>
        <w:tc>
          <w:tcPr>
            <w:tcW w:w="1358" w:type="dxa"/>
          </w:tcPr>
          <w:p w:rsidRPr="00DC3EA9" w:rsidR="00DC3EA9" w:rsidP="00DC3EA9" w:rsidRDefault="00DC3EA9" w14:paraId="1E328364" w14:textId="77777777">
            <w:pPr>
              <w:jc w:val="right"/>
              <w:rPr>
                <w:sz w:val="26"/>
              </w:rPr>
            </w:pPr>
            <w:r w:rsidRPr="00DC3EA9">
              <w:rPr>
                <w:sz w:val="26"/>
              </w:rPr>
              <w:t>1</w:t>
            </w:r>
          </w:p>
        </w:tc>
        <w:tc>
          <w:tcPr>
            <w:tcW w:w="1404" w:type="dxa"/>
          </w:tcPr>
          <w:p w:rsidRPr="00DC3EA9" w:rsidR="00DC3EA9" w:rsidP="00DC3EA9" w:rsidRDefault="00DC3EA9" w14:paraId="12E75D6F" w14:textId="77777777">
            <w:pPr>
              <w:jc w:val="right"/>
              <w:rPr>
                <w:sz w:val="26"/>
              </w:rPr>
            </w:pPr>
            <w:r w:rsidRPr="00DC3EA9">
              <w:rPr>
                <w:sz w:val="26"/>
              </w:rPr>
              <w:t>97</w:t>
            </w:r>
          </w:p>
        </w:tc>
        <w:tc>
          <w:tcPr>
            <w:tcW w:w="1257" w:type="dxa"/>
          </w:tcPr>
          <w:p w:rsidRPr="00DC3EA9" w:rsidR="00DC3EA9" w:rsidP="00DC3EA9" w:rsidRDefault="00DC3EA9" w14:paraId="50F83773" w14:textId="77777777">
            <w:pPr>
              <w:jc w:val="right"/>
              <w:rPr>
                <w:sz w:val="26"/>
              </w:rPr>
            </w:pPr>
            <w:r w:rsidRPr="00DC3EA9">
              <w:rPr>
                <w:sz w:val="26"/>
              </w:rPr>
              <w:t>56.3</w:t>
            </w:r>
          </w:p>
        </w:tc>
        <w:tc>
          <w:tcPr>
            <w:tcW w:w="1807" w:type="dxa"/>
          </w:tcPr>
          <w:p w:rsidRPr="00DC3EA9" w:rsidR="00DC3EA9" w:rsidP="00DC3EA9" w:rsidRDefault="00DC3EA9" w14:paraId="5D742598" w14:textId="77777777">
            <w:pPr>
              <w:jc w:val="right"/>
              <w:rPr>
                <w:sz w:val="26"/>
              </w:rPr>
            </w:pPr>
            <w:r w:rsidRPr="00DC3EA9">
              <w:rPr>
                <w:sz w:val="26"/>
              </w:rPr>
              <w:t>5,461.1</w:t>
            </w:r>
          </w:p>
        </w:tc>
      </w:tr>
      <w:tr w:rsidRPr="00DC3EA9" w:rsidR="00934C09" w:rsidTr="00DC3EA9" w14:paraId="7B101CED" w14:textId="77777777">
        <w:tc>
          <w:tcPr>
            <w:tcW w:w="1675" w:type="dxa"/>
          </w:tcPr>
          <w:p w:rsidRPr="006E258C" w:rsidR="00934C09" w:rsidP="00934C09" w:rsidRDefault="00934C09" w14:paraId="37FB23FB" w14:textId="0867E0FF">
            <w:pPr>
              <w:rPr>
                <w:sz w:val="26"/>
              </w:rPr>
            </w:pPr>
            <w:r w:rsidRPr="00C467F5">
              <w:rPr>
                <w:sz w:val="26"/>
              </w:rPr>
              <w:t>TOP-001-4 R19 &amp; R22</w:t>
            </w:r>
          </w:p>
        </w:tc>
        <w:tc>
          <w:tcPr>
            <w:tcW w:w="1849" w:type="dxa"/>
          </w:tcPr>
          <w:p w:rsidRPr="006E258C" w:rsidR="00934C09" w:rsidP="00934C09" w:rsidRDefault="00934C09" w14:paraId="38A025A2" w14:textId="142F5B0D">
            <w:pPr>
              <w:rPr>
                <w:sz w:val="26"/>
              </w:rPr>
            </w:pPr>
            <w:r w:rsidRPr="00C467F5">
              <w:rPr>
                <w:sz w:val="26"/>
              </w:rPr>
              <w:t>BA/TO/GO/DP (1,704)</w:t>
            </w:r>
          </w:p>
        </w:tc>
        <w:tc>
          <w:tcPr>
            <w:tcW w:w="1358" w:type="dxa"/>
          </w:tcPr>
          <w:p w:rsidRPr="006E258C" w:rsidR="00934C09" w:rsidP="00934C09" w:rsidRDefault="00934C09" w14:paraId="72D07C55" w14:textId="77C4AEFA">
            <w:pPr>
              <w:jc w:val="right"/>
              <w:rPr>
                <w:sz w:val="26"/>
              </w:rPr>
            </w:pPr>
            <w:r w:rsidRPr="00C467F5">
              <w:rPr>
                <w:sz w:val="26"/>
              </w:rPr>
              <w:t>.25</w:t>
            </w:r>
          </w:p>
        </w:tc>
        <w:tc>
          <w:tcPr>
            <w:tcW w:w="1404" w:type="dxa"/>
          </w:tcPr>
          <w:p w:rsidRPr="00C467F5" w:rsidR="00934C09" w:rsidP="00934C09" w:rsidRDefault="00934C09" w14:paraId="4F79A1EF" w14:textId="77777777">
            <w:pPr>
              <w:jc w:val="right"/>
              <w:rPr>
                <w:sz w:val="26"/>
              </w:rPr>
            </w:pPr>
            <w:r w:rsidRPr="00C467F5">
              <w:rPr>
                <w:sz w:val="26"/>
              </w:rPr>
              <w:t>426</w:t>
            </w:r>
          </w:p>
          <w:p w:rsidRPr="006E258C" w:rsidR="00934C09" w:rsidP="00934C09" w:rsidRDefault="00934C09" w14:paraId="433EC9D5" w14:textId="77777777">
            <w:pPr>
              <w:jc w:val="right"/>
              <w:rPr>
                <w:sz w:val="26"/>
              </w:rPr>
            </w:pPr>
          </w:p>
        </w:tc>
        <w:tc>
          <w:tcPr>
            <w:tcW w:w="1257" w:type="dxa"/>
          </w:tcPr>
          <w:p w:rsidRPr="006E258C" w:rsidR="00934C09" w:rsidP="00934C09" w:rsidRDefault="00934C09" w14:paraId="5AD1BB15" w14:textId="08462412">
            <w:pPr>
              <w:jc w:val="right"/>
              <w:rPr>
                <w:sz w:val="26"/>
              </w:rPr>
            </w:pPr>
            <w:r w:rsidRPr="00C467F5">
              <w:rPr>
                <w:sz w:val="26"/>
              </w:rPr>
              <w:t>0.8</w:t>
            </w:r>
          </w:p>
        </w:tc>
        <w:tc>
          <w:tcPr>
            <w:tcW w:w="1807" w:type="dxa"/>
          </w:tcPr>
          <w:p w:rsidRPr="006E258C" w:rsidR="00934C09" w:rsidP="00934C09" w:rsidRDefault="00934C09" w14:paraId="3B02F224" w14:textId="05E27CA4">
            <w:pPr>
              <w:jc w:val="right"/>
              <w:rPr>
                <w:sz w:val="26"/>
              </w:rPr>
            </w:pPr>
            <w:r w:rsidRPr="00C467F5">
              <w:rPr>
                <w:sz w:val="26"/>
              </w:rPr>
              <w:t>340.8</w:t>
            </w:r>
          </w:p>
        </w:tc>
      </w:tr>
      <w:tr w:rsidRPr="00DC3EA9" w:rsidR="00934C09" w:rsidTr="00DC3EA9" w14:paraId="3097DF2F" w14:textId="77777777">
        <w:tc>
          <w:tcPr>
            <w:tcW w:w="1675" w:type="dxa"/>
          </w:tcPr>
          <w:p w:rsidRPr="006E258C" w:rsidR="00934C09" w:rsidP="00934C09" w:rsidRDefault="00934C09" w14:paraId="7F201050" w14:textId="77777777">
            <w:pPr>
              <w:rPr>
                <w:sz w:val="26"/>
              </w:rPr>
            </w:pPr>
            <w:r w:rsidRPr="006E258C">
              <w:rPr>
                <w:sz w:val="26"/>
              </w:rPr>
              <w:t>INT-009-2.1 R2</w:t>
            </w:r>
          </w:p>
        </w:tc>
        <w:tc>
          <w:tcPr>
            <w:tcW w:w="1849" w:type="dxa"/>
          </w:tcPr>
          <w:p w:rsidRPr="006E258C" w:rsidR="00934C09" w:rsidP="00934C09" w:rsidRDefault="00934C09" w14:paraId="0C1EB777" w14:textId="77777777">
            <w:pPr>
              <w:rPr>
                <w:sz w:val="26"/>
              </w:rPr>
            </w:pPr>
            <w:r w:rsidRPr="006E258C">
              <w:rPr>
                <w:sz w:val="26"/>
              </w:rPr>
              <w:t>BA (97)</w:t>
            </w:r>
          </w:p>
        </w:tc>
        <w:tc>
          <w:tcPr>
            <w:tcW w:w="1358" w:type="dxa"/>
          </w:tcPr>
          <w:p w:rsidRPr="006E258C" w:rsidR="00934C09" w:rsidP="00934C09" w:rsidRDefault="00934C09" w14:paraId="11710103" w14:textId="77777777">
            <w:pPr>
              <w:jc w:val="right"/>
              <w:rPr>
                <w:sz w:val="26"/>
              </w:rPr>
            </w:pPr>
            <w:r w:rsidRPr="006E258C">
              <w:rPr>
                <w:sz w:val="26"/>
              </w:rPr>
              <w:t>1</w:t>
            </w:r>
          </w:p>
        </w:tc>
        <w:tc>
          <w:tcPr>
            <w:tcW w:w="1404" w:type="dxa"/>
          </w:tcPr>
          <w:p w:rsidRPr="005B2CEE" w:rsidR="00934C09" w:rsidP="00934C09" w:rsidRDefault="00934C09" w14:paraId="37408D15" w14:textId="77777777">
            <w:pPr>
              <w:jc w:val="right"/>
              <w:rPr>
                <w:sz w:val="26"/>
              </w:rPr>
            </w:pPr>
            <w:r w:rsidRPr="00786E4A">
              <w:rPr>
                <w:sz w:val="26"/>
              </w:rPr>
              <w:t>97</w:t>
            </w:r>
          </w:p>
        </w:tc>
        <w:tc>
          <w:tcPr>
            <w:tcW w:w="1257" w:type="dxa"/>
          </w:tcPr>
          <w:p w:rsidRPr="00C467F5" w:rsidR="00934C09" w:rsidP="00934C09" w:rsidRDefault="00934C09" w14:paraId="427132EC" w14:textId="77777777">
            <w:pPr>
              <w:jc w:val="right"/>
              <w:rPr>
                <w:sz w:val="26"/>
              </w:rPr>
            </w:pPr>
            <w:r w:rsidRPr="00C467F5">
              <w:rPr>
                <w:sz w:val="26"/>
              </w:rPr>
              <w:t>56.3</w:t>
            </w:r>
          </w:p>
        </w:tc>
        <w:tc>
          <w:tcPr>
            <w:tcW w:w="1807" w:type="dxa"/>
          </w:tcPr>
          <w:p w:rsidRPr="00C467F5" w:rsidR="00934C09" w:rsidP="00934C09" w:rsidRDefault="00934C09" w14:paraId="0BBB6ED7" w14:textId="77777777">
            <w:pPr>
              <w:jc w:val="right"/>
              <w:rPr>
                <w:sz w:val="26"/>
              </w:rPr>
            </w:pPr>
            <w:r w:rsidRPr="00C467F5">
              <w:rPr>
                <w:sz w:val="26"/>
              </w:rPr>
              <w:t>5,461.1</w:t>
            </w:r>
          </w:p>
        </w:tc>
      </w:tr>
      <w:tr w:rsidRPr="00DC3EA9" w:rsidR="00934C09" w:rsidTr="00DC3EA9" w14:paraId="68D37621" w14:textId="77777777">
        <w:tc>
          <w:tcPr>
            <w:tcW w:w="1675" w:type="dxa"/>
          </w:tcPr>
          <w:p w:rsidRPr="006E258C" w:rsidR="00934C09" w:rsidP="00934C09" w:rsidRDefault="00934C09" w14:paraId="4D59E6F0" w14:textId="77777777">
            <w:pPr>
              <w:rPr>
                <w:sz w:val="26"/>
              </w:rPr>
            </w:pPr>
            <w:r w:rsidRPr="006E258C">
              <w:rPr>
                <w:sz w:val="26"/>
              </w:rPr>
              <w:t>MOD-020-0</w:t>
            </w:r>
          </w:p>
        </w:tc>
        <w:tc>
          <w:tcPr>
            <w:tcW w:w="1849" w:type="dxa"/>
          </w:tcPr>
          <w:p w:rsidRPr="006E258C" w:rsidR="00934C09" w:rsidP="00934C09" w:rsidRDefault="00934C09" w14:paraId="0CFD6F5D" w14:textId="77777777">
            <w:pPr>
              <w:rPr>
                <w:sz w:val="26"/>
              </w:rPr>
            </w:pPr>
            <w:r w:rsidRPr="006E258C">
              <w:rPr>
                <w:sz w:val="26"/>
              </w:rPr>
              <w:t>TP/RP/DP/BA (767)</w:t>
            </w:r>
          </w:p>
        </w:tc>
        <w:tc>
          <w:tcPr>
            <w:tcW w:w="1358" w:type="dxa"/>
          </w:tcPr>
          <w:p w:rsidRPr="006E258C" w:rsidR="00934C09" w:rsidP="00934C09" w:rsidRDefault="00934C09" w14:paraId="71A60505" w14:textId="77777777">
            <w:pPr>
              <w:jc w:val="right"/>
              <w:rPr>
                <w:sz w:val="26"/>
              </w:rPr>
            </w:pPr>
            <w:r w:rsidRPr="006E258C">
              <w:rPr>
                <w:sz w:val="26"/>
              </w:rPr>
              <w:t>1</w:t>
            </w:r>
          </w:p>
        </w:tc>
        <w:tc>
          <w:tcPr>
            <w:tcW w:w="1404" w:type="dxa"/>
          </w:tcPr>
          <w:p w:rsidRPr="005B2CEE" w:rsidR="00934C09" w:rsidP="00934C09" w:rsidRDefault="00934C09" w14:paraId="091B808A" w14:textId="77777777">
            <w:pPr>
              <w:jc w:val="right"/>
              <w:rPr>
                <w:sz w:val="26"/>
              </w:rPr>
            </w:pPr>
            <w:r w:rsidRPr="00786E4A">
              <w:rPr>
                <w:sz w:val="26"/>
              </w:rPr>
              <w:t>767</w:t>
            </w:r>
          </w:p>
        </w:tc>
        <w:tc>
          <w:tcPr>
            <w:tcW w:w="1257" w:type="dxa"/>
          </w:tcPr>
          <w:p w:rsidRPr="00C467F5" w:rsidR="00934C09" w:rsidP="00934C09" w:rsidRDefault="00934C09" w14:paraId="7F1EDB03" w14:textId="77777777">
            <w:pPr>
              <w:jc w:val="right"/>
              <w:rPr>
                <w:sz w:val="26"/>
              </w:rPr>
            </w:pPr>
            <w:r w:rsidRPr="00C467F5">
              <w:rPr>
                <w:sz w:val="26"/>
              </w:rPr>
              <w:t>14.4</w:t>
            </w:r>
          </w:p>
        </w:tc>
        <w:tc>
          <w:tcPr>
            <w:tcW w:w="1807" w:type="dxa"/>
          </w:tcPr>
          <w:p w:rsidRPr="00C467F5" w:rsidR="00934C09" w:rsidP="00934C09" w:rsidRDefault="00934C09" w14:paraId="5DC4FAB9" w14:textId="77777777">
            <w:pPr>
              <w:jc w:val="right"/>
              <w:rPr>
                <w:sz w:val="26"/>
              </w:rPr>
            </w:pPr>
            <w:r w:rsidRPr="00C467F5">
              <w:rPr>
                <w:sz w:val="26"/>
              </w:rPr>
              <w:t>11,044.8</w:t>
            </w:r>
          </w:p>
        </w:tc>
      </w:tr>
      <w:tr w:rsidRPr="00DC3EA9" w:rsidR="00934C09" w:rsidTr="00DC3EA9" w14:paraId="7B71ED99" w14:textId="77777777">
        <w:tc>
          <w:tcPr>
            <w:tcW w:w="1675" w:type="dxa"/>
          </w:tcPr>
          <w:p w:rsidRPr="006E258C" w:rsidR="00934C09" w:rsidP="00934C09" w:rsidRDefault="00934C09" w14:paraId="1367B18C" w14:textId="77777777">
            <w:pPr>
              <w:rPr>
                <w:b/>
                <w:sz w:val="26"/>
              </w:rPr>
            </w:pPr>
            <w:r w:rsidRPr="006E258C">
              <w:rPr>
                <w:b/>
                <w:sz w:val="26"/>
              </w:rPr>
              <w:t>Sub-Total for FERC-725A</w:t>
            </w:r>
          </w:p>
        </w:tc>
        <w:tc>
          <w:tcPr>
            <w:tcW w:w="1849" w:type="dxa"/>
          </w:tcPr>
          <w:p w:rsidRPr="006E258C" w:rsidR="00934C09" w:rsidP="00934C09" w:rsidRDefault="00934C09" w14:paraId="0C130E5F" w14:textId="6ABE4DC4">
            <w:pPr>
              <w:rPr>
                <w:b/>
                <w:sz w:val="26"/>
              </w:rPr>
            </w:pPr>
            <w:r w:rsidRPr="006E258C">
              <w:rPr>
                <w:b/>
                <w:sz w:val="26"/>
              </w:rPr>
              <w:t>2,943</w:t>
            </w:r>
          </w:p>
        </w:tc>
        <w:tc>
          <w:tcPr>
            <w:tcW w:w="1358" w:type="dxa"/>
          </w:tcPr>
          <w:p w:rsidRPr="006E258C" w:rsidR="00934C09" w:rsidP="00934C09" w:rsidRDefault="00934C09" w14:paraId="521B0311" w14:textId="77777777">
            <w:pPr>
              <w:jc w:val="right"/>
              <w:rPr>
                <w:sz w:val="26"/>
              </w:rPr>
            </w:pPr>
          </w:p>
        </w:tc>
        <w:tc>
          <w:tcPr>
            <w:tcW w:w="1404" w:type="dxa"/>
          </w:tcPr>
          <w:p w:rsidRPr="005B2CEE" w:rsidR="00934C09" w:rsidP="00934C09" w:rsidRDefault="00934C09" w14:paraId="7151719F" w14:textId="6F1DEB7A">
            <w:pPr>
              <w:jc w:val="right"/>
              <w:rPr>
                <w:b/>
                <w:sz w:val="26"/>
              </w:rPr>
            </w:pPr>
            <w:r w:rsidRPr="00786E4A">
              <w:rPr>
                <w:b/>
                <w:sz w:val="26"/>
              </w:rPr>
              <w:t>1,</w:t>
            </w:r>
            <w:r w:rsidRPr="005B2CEE">
              <w:rPr>
                <w:b/>
                <w:sz w:val="26"/>
              </w:rPr>
              <w:t>753</w:t>
            </w:r>
          </w:p>
        </w:tc>
        <w:tc>
          <w:tcPr>
            <w:tcW w:w="1257" w:type="dxa"/>
          </w:tcPr>
          <w:p w:rsidRPr="00C467F5" w:rsidR="00934C09" w:rsidP="00934C09" w:rsidRDefault="00934C09" w14:paraId="5C80E7C8" w14:textId="77777777">
            <w:pPr>
              <w:jc w:val="right"/>
              <w:rPr>
                <w:sz w:val="26"/>
              </w:rPr>
            </w:pPr>
          </w:p>
        </w:tc>
        <w:tc>
          <w:tcPr>
            <w:tcW w:w="1807" w:type="dxa"/>
          </w:tcPr>
          <w:p w:rsidRPr="00C467F5" w:rsidR="00934C09" w:rsidP="00934C09" w:rsidRDefault="00934C09" w14:paraId="5848C9C8" w14:textId="39037B33">
            <w:pPr>
              <w:jc w:val="right"/>
              <w:rPr>
                <w:b/>
                <w:sz w:val="26"/>
              </w:rPr>
            </w:pPr>
            <w:r w:rsidRPr="00C467F5">
              <w:rPr>
                <w:b/>
                <w:sz w:val="26"/>
              </w:rPr>
              <w:t>39,950.60</w:t>
            </w:r>
          </w:p>
        </w:tc>
      </w:tr>
      <w:tr w:rsidRPr="00DC3EA9" w:rsidR="00934C09" w:rsidTr="00B87176" w14:paraId="612359A0" w14:textId="77777777">
        <w:tc>
          <w:tcPr>
            <w:tcW w:w="9350" w:type="dxa"/>
            <w:gridSpan w:val="6"/>
          </w:tcPr>
          <w:p w:rsidRPr="006E258C" w:rsidR="00934C09" w:rsidP="00934C09" w:rsidRDefault="00934C09" w14:paraId="6F1DB12F" w14:textId="77777777">
            <w:pPr>
              <w:jc w:val="center"/>
              <w:rPr>
                <w:b/>
                <w:sz w:val="26"/>
              </w:rPr>
            </w:pPr>
            <w:r w:rsidRPr="006E258C">
              <w:rPr>
                <w:b/>
                <w:sz w:val="26"/>
              </w:rPr>
              <w:t>FERC-725G1</w:t>
            </w:r>
          </w:p>
        </w:tc>
      </w:tr>
      <w:tr w:rsidRPr="00DC3EA9" w:rsidR="00934C09" w:rsidTr="00DC3EA9" w14:paraId="7EC61CDE" w14:textId="77777777">
        <w:tc>
          <w:tcPr>
            <w:tcW w:w="1675" w:type="dxa"/>
          </w:tcPr>
          <w:p w:rsidRPr="006E258C" w:rsidR="00934C09" w:rsidP="00934C09" w:rsidRDefault="00934C09" w14:paraId="24322B37" w14:textId="77777777">
            <w:pPr>
              <w:rPr>
                <w:sz w:val="26"/>
              </w:rPr>
            </w:pPr>
            <w:r w:rsidRPr="006E258C">
              <w:rPr>
                <w:sz w:val="26"/>
              </w:rPr>
              <w:t>PRC-004-5(i) R4</w:t>
            </w:r>
          </w:p>
        </w:tc>
        <w:tc>
          <w:tcPr>
            <w:tcW w:w="1849" w:type="dxa"/>
          </w:tcPr>
          <w:p w:rsidRPr="00C467F5" w:rsidR="00934C09" w:rsidP="00934C09" w:rsidRDefault="00934C09" w14:paraId="33B09986" w14:textId="77777777">
            <w:pPr>
              <w:rPr>
                <w:sz w:val="26"/>
              </w:rPr>
            </w:pPr>
            <w:r w:rsidRPr="00C467F5">
              <w:rPr>
                <w:sz w:val="26"/>
              </w:rPr>
              <w:t>TO/GO/DP (1,607)</w:t>
            </w:r>
          </w:p>
        </w:tc>
        <w:tc>
          <w:tcPr>
            <w:tcW w:w="1358" w:type="dxa"/>
          </w:tcPr>
          <w:p w:rsidRPr="00C467F5" w:rsidR="00934C09" w:rsidP="00934C09" w:rsidRDefault="00934C09" w14:paraId="18FE7A88" w14:textId="77777777">
            <w:pPr>
              <w:jc w:val="right"/>
              <w:rPr>
                <w:sz w:val="26"/>
              </w:rPr>
            </w:pPr>
            <w:r w:rsidRPr="00C467F5">
              <w:rPr>
                <w:sz w:val="26"/>
              </w:rPr>
              <w:t>.41</w:t>
            </w:r>
          </w:p>
        </w:tc>
        <w:tc>
          <w:tcPr>
            <w:tcW w:w="1404" w:type="dxa"/>
          </w:tcPr>
          <w:p w:rsidRPr="00C467F5" w:rsidR="00934C09" w:rsidP="00934C09" w:rsidRDefault="00934C09" w14:paraId="75AF6681" w14:textId="77777777">
            <w:pPr>
              <w:jc w:val="right"/>
              <w:rPr>
                <w:sz w:val="26"/>
              </w:rPr>
            </w:pPr>
            <w:r w:rsidRPr="00C467F5">
              <w:rPr>
                <w:sz w:val="26"/>
              </w:rPr>
              <w:t>659</w:t>
            </w:r>
          </w:p>
        </w:tc>
        <w:tc>
          <w:tcPr>
            <w:tcW w:w="1257" w:type="dxa"/>
          </w:tcPr>
          <w:p w:rsidRPr="00C467F5" w:rsidR="00934C09" w:rsidP="00934C09" w:rsidRDefault="00934C09" w14:paraId="64FC5E6B" w14:textId="77777777">
            <w:pPr>
              <w:jc w:val="right"/>
              <w:rPr>
                <w:sz w:val="26"/>
              </w:rPr>
            </w:pPr>
            <w:r w:rsidRPr="00C467F5">
              <w:rPr>
                <w:sz w:val="26"/>
              </w:rPr>
              <w:t>4.36</w:t>
            </w:r>
          </w:p>
        </w:tc>
        <w:tc>
          <w:tcPr>
            <w:tcW w:w="1807" w:type="dxa"/>
          </w:tcPr>
          <w:p w:rsidRPr="00C467F5" w:rsidR="00934C09" w:rsidP="00934C09" w:rsidRDefault="00934C09" w14:paraId="40BF1CF1" w14:textId="77777777">
            <w:pPr>
              <w:jc w:val="right"/>
              <w:rPr>
                <w:sz w:val="26"/>
              </w:rPr>
            </w:pPr>
            <w:r w:rsidRPr="00C467F5">
              <w:rPr>
                <w:sz w:val="26"/>
              </w:rPr>
              <w:t>2,873.24</w:t>
            </w:r>
          </w:p>
        </w:tc>
      </w:tr>
      <w:tr w:rsidRPr="00DC3EA9" w:rsidR="00934C09" w:rsidTr="00DC3EA9" w14:paraId="612F6F34" w14:textId="77777777">
        <w:tc>
          <w:tcPr>
            <w:tcW w:w="1675" w:type="dxa"/>
          </w:tcPr>
          <w:p w:rsidRPr="006E258C" w:rsidR="00934C09" w:rsidP="00934C09" w:rsidRDefault="00934C09" w14:paraId="114E7041" w14:textId="77777777">
            <w:pPr>
              <w:rPr>
                <w:b/>
                <w:sz w:val="26"/>
              </w:rPr>
            </w:pPr>
            <w:r w:rsidRPr="006E258C">
              <w:rPr>
                <w:b/>
                <w:sz w:val="26"/>
              </w:rPr>
              <w:t xml:space="preserve">Sub-Total </w:t>
            </w:r>
            <w:r w:rsidRPr="006E258C">
              <w:rPr>
                <w:b/>
                <w:sz w:val="26"/>
              </w:rPr>
              <w:lastRenderedPageBreak/>
              <w:t>for FERC-725G1</w:t>
            </w:r>
          </w:p>
        </w:tc>
        <w:tc>
          <w:tcPr>
            <w:tcW w:w="1849" w:type="dxa"/>
          </w:tcPr>
          <w:p w:rsidRPr="00C467F5" w:rsidR="00934C09" w:rsidP="00934C09" w:rsidRDefault="00934C09" w14:paraId="09352DFB" w14:textId="77777777">
            <w:pPr>
              <w:rPr>
                <w:b/>
                <w:sz w:val="26"/>
              </w:rPr>
            </w:pPr>
            <w:r w:rsidRPr="00C467F5">
              <w:rPr>
                <w:b/>
                <w:sz w:val="26"/>
              </w:rPr>
              <w:lastRenderedPageBreak/>
              <w:t>1,607</w:t>
            </w:r>
          </w:p>
        </w:tc>
        <w:tc>
          <w:tcPr>
            <w:tcW w:w="1358" w:type="dxa"/>
          </w:tcPr>
          <w:p w:rsidRPr="00C467F5" w:rsidR="00934C09" w:rsidP="00934C09" w:rsidRDefault="00934C09" w14:paraId="5831AAC8" w14:textId="77777777">
            <w:pPr>
              <w:jc w:val="right"/>
              <w:rPr>
                <w:sz w:val="26"/>
              </w:rPr>
            </w:pPr>
          </w:p>
        </w:tc>
        <w:tc>
          <w:tcPr>
            <w:tcW w:w="1404" w:type="dxa"/>
          </w:tcPr>
          <w:p w:rsidRPr="00C467F5" w:rsidR="00934C09" w:rsidP="00934C09" w:rsidRDefault="00934C09" w14:paraId="0471A821" w14:textId="77777777">
            <w:pPr>
              <w:jc w:val="right"/>
              <w:rPr>
                <w:b/>
                <w:sz w:val="26"/>
              </w:rPr>
            </w:pPr>
            <w:r w:rsidRPr="00C467F5">
              <w:rPr>
                <w:b/>
                <w:sz w:val="26"/>
              </w:rPr>
              <w:t>659</w:t>
            </w:r>
          </w:p>
        </w:tc>
        <w:tc>
          <w:tcPr>
            <w:tcW w:w="1257" w:type="dxa"/>
          </w:tcPr>
          <w:p w:rsidRPr="00C467F5" w:rsidR="00934C09" w:rsidP="00934C09" w:rsidRDefault="00934C09" w14:paraId="174BBBEE" w14:textId="77777777">
            <w:pPr>
              <w:jc w:val="right"/>
              <w:rPr>
                <w:sz w:val="26"/>
              </w:rPr>
            </w:pPr>
          </w:p>
        </w:tc>
        <w:tc>
          <w:tcPr>
            <w:tcW w:w="1807" w:type="dxa"/>
          </w:tcPr>
          <w:p w:rsidRPr="00C467F5" w:rsidR="00934C09" w:rsidP="00934C09" w:rsidRDefault="00934C09" w14:paraId="4F7546F1" w14:textId="77777777">
            <w:pPr>
              <w:jc w:val="right"/>
              <w:rPr>
                <w:b/>
                <w:sz w:val="26"/>
              </w:rPr>
            </w:pPr>
            <w:r w:rsidRPr="00C467F5">
              <w:rPr>
                <w:b/>
                <w:sz w:val="26"/>
              </w:rPr>
              <w:t>2,873.24</w:t>
            </w:r>
          </w:p>
        </w:tc>
      </w:tr>
      <w:tr w:rsidRPr="00DC3EA9" w:rsidR="00934C09" w:rsidTr="00B87176" w14:paraId="298A2C11" w14:textId="77777777">
        <w:tc>
          <w:tcPr>
            <w:tcW w:w="9350" w:type="dxa"/>
            <w:gridSpan w:val="6"/>
          </w:tcPr>
          <w:p w:rsidRPr="006E258C" w:rsidR="00934C09" w:rsidP="00934C09" w:rsidRDefault="00934C09" w14:paraId="73CA0E0E" w14:textId="77777777">
            <w:pPr>
              <w:jc w:val="center"/>
              <w:rPr>
                <w:b/>
                <w:sz w:val="26"/>
              </w:rPr>
            </w:pPr>
            <w:r w:rsidRPr="006E258C">
              <w:rPr>
                <w:b/>
                <w:sz w:val="26"/>
              </w:rPr>
              <w:t>FERC-725Z</w:t>
            </w:r>
          </w:p>
        </w:tc>
      </w:tr>
      <w:tr w:rsidRPr="00DC3EA9" w:rsidR="00934C09" w:rsidTr="00DC3EA9" w14:paraId="4A3BD8C8" w14:textId="77777777">
        <w:tc>
          <w:tcPr>
            <w:tcW w:w="1675" w:type="dxa"/>
          </w:tcPr>
          <w:p w:rsidRPr="006E258C" w:rsidR="00934C09" w:rsidP="00934C09" w:rsidRDefault="00934C09" w14:paraId="34C9611E" w14:textId="77777777">
            <w:pPr>
              <w:rPr>
                <w:sz w:val="26"/>
              </w:rPr>
            </w:pPr>
            <w:r w:rsidRPr="006E258C">
              <w:rPr>
                <w:sz w:val="26"/>
              </w:rPr>
              <w:t>IRO-002-6 R1</w:t>
            </w:r>
          </w:p>
        </w:tc>
        <w:tc>
          <w:tcPr>
            <w:tcW w:w="1849" w:type="dxa"/>
          </w:tcPr>
          <w:p w:rsidRPr="00C467F5" w:rsidR="00934C09" w:rsidP="00934C09" w:rsidRDefault="00934C09" w14:paraId="2C9F86AE" w14:textId="77777777">
            <w:pPr>
              <w:rPr>
                <w:sz w:val="26"/>
              </w:rPr>
            </w:pPr>
            <w:r w:rsidRPr="00C467F5">
              <w:rPr>
                <w:sz w:val="26"/>
              </w:rPr>
              <w:t>RC (12)</w:t>
            </w:r>
          </w:p>
        </w:tc>
        <w:tc>
          <w:tcPr>
            <w:tcW w:w="1358" w:type="dxa"/>
          </w:tcPr>
          <w:p w:rsidRPr="00C467F5" w:rsidR="00934C09" w:rsidP="00934C09" w:rsidRDefault="00934C09" w14:paraId="7EFE7F53" w14:textId="77777777">
            <w:pPr>
              <w:jc w:val="right"/>
              <w:rPr>
                <w:sz w:val="26"/>
              </w:rPr>
            </w:pPr>
            <w:r w:rsidRPr="00C467F5">
              <w:rPr>
                <w:sz w:val="26"/>
              </w:rPr>
              <w:t>1.17</w:t>
            </w:r>
          </w:p>
        </w:tc>
        <w:tc>
          <w:tcPr>
            <w:tcW w:w="1404" w:type="dxa"/>
          </w:tcPr>
          <w:p w:rsidRPr="00C467F5" w:rsidR="00934C09" w:rsidP="00934C09" w:rsidRDefault="00934C09" w14:paraId="04678340" w14:textId="77777777">
            <w:pPr>
              <w:jc w:val="right"/>
              <w:rPr>
                <w:sz w:val="26"/>
              </w:rPr>
            </w:pPr>
            <w:r w:rsidRPr="00C467F5">
              <w:rPr>
                <w:sz w:val="26"/>
              </w:rPr>
              <w:t>14</w:t>
            </w:r>
          </w:p>
        </w:tc>
        <w:tc>
          <w:tcPr>
            <w:tcW w:w="1257" w:type="dxa"/>
          </w:tcPr>
          <w:p w:rsidRPr="00C467F5" w:rsidR="00934C09" w:rsidP="00934C09" w:rsidRDefault="00934C09" w14:paraId="1222D78A" w14:textId="77777777">
            <w:pPr>
              <w:jc w:val="right"/>
              <w:rPr>
                <w:sz w:val="26"/>
              </w:rPr>
            </w:pPr>
            <w:r w:rsidRPr="00C467F5">
              <w:rPr>
                <w:sz w:val="26"/>
              </w:rPr>
              <w:t>5.97</w:t>
            </w:r>
          </w:p>
        </w:tc>
        <w:tc>
          <w:tcPr>
            <w:tcW w:w="1807" w:type="dxa"/>
          </w:tcPr>
          <w:p w:rsidRPr="00C467F5" w:rsidR="00934C09" w:rsidP="00934C09" w:rsidRDefault="00934C09" w14:paraId="5DB37FD4" w14:textId="77777777">
            <w:pPr>
              <w:jc w:val="right"/>
              <w:rPr>
                <w:sz w:val="26"/>
              </w:rPr>
            </w:pPr>
            <w:r w:rsidRPr="00C467F5">
              <w:rPr>
                <w:sz w:val="26"/>
              </w:rPr>
              <w:t>83.6</w:t>
            </w:r>
          </w:p>
        </w:tc>
      </w:tr>
      <w:tr w:rsidRPr="00DC3EA9" w:rsidR="00934C09" w:rsidTr="00DC3EA9" w14:paraId="1319ED4E" w14:textId="77777777">
        <w:tc>
          <w:tcPr>
            <w:tcW w:w="1675" w:type="dxa"/>
          </w:tcPr>
          <w:p w:rsidRPr="00DC3EA9" w:rsidR="00934C09" w:rsidP="00934C09" w:rsidRDefault="00934C09" w14:paraId="74F858A7" w14:textId="77777777">
            <w:pPr>
              <w:rPr>
                <w:b/>
                <w:sz w:val="26"/>
              </w:rPr>
            </w:pPr>
            <w:r w:rsidRPr="00DC3EA9">
              <w:rPr>
                <w:b/>
                <w:sz w:val="26"/>
              </w:rPr>
              <w:t>Sub-Total for FERC-725Z</w:t>
            </w:r>
          </w:p>
        </w:tc>
        <w:tc>
          <w:tcPr>
            <w:tcW w:w="1849" w:type="dxa"/>
          </w:tcPr>
          <w:p w:rsidRPr="00C467F5" w:rsidR="00934C09" w:rsidP="00934C09" w:rsidRDefault="00934C09" w14:paraId="766E035D" w14:textId="77777777">
            <w:pPr>
              <w:rPr>
                <w:b/>
                <w:sz w:val="26"/>
              </w:rPr>
            </w:pPr>
            <w:r w:rsidRPr="00C467F5">
              <w:rPr>
                <w:b/>
                <w:sz w:val="26"/>
              </w:rPr>
              <w:t>12</w:t>
            </w:r>
          </w:p>
        </w:tc>
        <w:tc>
          <w:tcPr>
            <w:tcW w:w="1358" w:type="dxa"/>
          </w:tcPr>
          <w:p w:rsidRPr="00C467F5" w:rsidR="00934C09" w:rsidP="00934C09" w:rsidRDefault="00934C09" w14:paraId="7583FAFF" w14:textId="77777777">
            <w:pPr>
              <w:jc w:val="right"/>
              <w:rPr>
                <w:sz w:val="26"/>
              </w:rPr>
            </w:pPr>
          </w:p>
        </w:tc>
        <w:tc>
          <w:tcPr>
            <w:tcW w:w="1404" w:type="dxa"/>
          </w:tcPr>
          <w:p w:rsidRPr="00C467F5" w:rsidR="00934C09" w:rsidP="00934C09" w:rsidRDefault="00934C09" w14:paraId="6340FE59" w14:textId="77777777">
            <w:pPr>
              <w:jc w:val="right"/>
              <w:rPr>
                <w:b/>
                <w:sz w:val="26"/>
              </w:rPr>
            </w:pPr>
            <w:r w:rsidRPr="00C467F5">
              <w:rPr>
                <w:b/>
                <w:sz w:val="26"/>
              </w:rPr>
              <w:t>14</w:t>
            </w:r>
          </w:p>
        </w:tc>
        <w:tc>
          <w:tcPr>
            <w:tcW w:w="1257" w:type="dxa"/>
          </w:tcPr>
          <w:p w:rsidRPr="00C467F5" w:rsidR="00934C09" w:rsidP="00934C09" w:rsidRDefault="00934C09" w14:paraId="4F6A83F5" w14:textId="77777777">
            <w:pPr>
              <w:jc w:val="right"/>
              <w:rPr>
                <w:sz w:val="26"/>
              </w:rPr>
            </w:pPr>
          </w:p>
        </w:tc>
        <w:tc>
          <w:tcPr>
            <w:tcW w:w="1807" w:type="dxa"/>
          </w:tcPr>
          <w:p w:rsidRPr="00C467F5" w:rsidR="00934C09" w:rsidP="00934C09" w:rsidRDefault="00934C09" w14:paraId="44552FDC" w14:textId="77777777">
            <w:pPr>
              <w:jc w:val="right"/>
              <w:rPr>
                <w:b/>
                <w:sz w:val="26"/>
              </w:rPr>
            </w:pPr>
            <w:r w:rsidRPr="00C467F5">
              <w:rPr>
                <w:b/>
                <w:sz w:val="26"/>
              </w:rPr>
              <w:t>83.6</w:t>
            </w:r>
          </w:p>
        </w:tc>
      </w:tr>
      <w:tr w:rsidRPr="00DC3EA9" w:rsidR="00934C09" w:rsidTr="00DC3EA9" w14:paraId="72231FA2" w14:textId="77777777">
        <w:tc>
          <w:tcPr>
            <w:tcW w:w="1675" w:type="dxa"/>
          </w:tcPr>
          <w:p w:rsidRPr="00DC3EA9" w:rsidR="00934C09" w:rsidP="00934C09" w:rsidRDefault="00934C09" w14:paraId="64B18FC4" w14:textId="77777777">
            <w:pPr>
              <w:rPr>
                <w:b/>
                <w:sz w:val="26"/>
              </w:rPr>
            </w:pPr>
            <w:r w:rsidRPr="00DC3EA9">
              <w:rPr>
                <w:b/>
                <w:sz w:val="26"/>
              </w:rPr>
              <w:t>Total Reductions Due to Final Rule in RM19-16 &amp; RM19-17</w:t>
            </w:r>
          </w:p>
        </w:tc>
        <w:tc>
          <w:tcPr>
            <w:tcW w:w="1849" w:type="dxa"/>
          </w:tcPr>
          <w:p w:rsidRPr="00DC3EA9" w:rsidR="00934C09" w:rsidP="00934C09" w:rsidRDefault="00934C09" w14:paraId="0AE54885" w14:textId="77777777">
            <w:pPr>
              <w:rPr>
                <w:sz w:val="26"/>
              </w:rPr>
            </w:pPr>
          </w:p>
        </w:tc>
        <w:tc>
          <w:tcPr>
            <w:tcW w:w="1358" w:type="dxa"/>
          </w:tcPr>
          <w:p w:rsidRPr="00DC3EA9" w:rsidR="00934C09" w:rsidP="00934C09" w:rsidRDefault="00934C09" w14:paraId="191BC287" w14:textId="77777777">
            <w:pPr>
              <w:rPr>
                <w:sz w:val="26"/>
              </w:rPr>
            </w:pPr>
          </w:p>
        </w:tc>
        <w:tc>
          <w:tcPr>
            <w:tcW w:w="1404" w:type="dxa"/>
          </w:tcPr>
          <w:p w:rsidRPr="00DC3EA9" w:rsidR="00934C09" w:rsidP="00934C09" w:rsidRDefault="00934C09" w14:paraId="59026EF6" w14:textId="77777777">
            <w:pPr>
              <w:jc w:val="right"/>
              <w:rPr>
                <w:b/>
                <w:sz w:val="26"/>
              </w:rPr>
            </w:pPr>
            <w:r w:rsidRPr="00DC3EA9">
              <w:rPr>
                <w:b/>
                <w:sz w:val="26"/>
              </w:rPr>
              <w:t>2,426</w:t>
            </w:r>
          </w:p>
        </w:tc>
        <w:tc>
          <w:tcPr>
            <w:tcW w:w="1257" w:type="dxa"/>
          </w:tcPr>
          <w:p w:rsidRPr="00DC3EA9" w:rsidR="00934C09" w:rsidP="00934C09" w:rsidRDefault="00934C09" w14:paraId="4D67BCDE" w14:textId="77777777">
            <w:pPr>
              <w:rPr>
                <w:sz w:val="26"/>
              </w:rPr>
            </w:pPr>
          </w:p>
        </w:tc>
        <w:tc>
          <w:tcPr>
            <w:tcW w:w="1807" w:type="dxa"/>
          </w:tcPr>
          <w:p w:rsidRPr="00DC3EA9" w:rsidR="00934C09" w:rsidP="00934C09" w:rsidRDefault="00934C09" w14:paraId="1FC560E6" w14:textId="77777777">
            <w:pPr>
              <w:jc w:val="right"/>
              <w:rPr>
                <w:b/>
                <w:sz w:val="26"/>
              </w:rPr>
            </w:pPr>
            <w:r w:rsidRPr="00DC3EA9">
              <w:rPr>
                <w:b/>
                <w:sz w:val="26"/>
              </w:rPr>
              <w:t>42,907.44</w:t>
            </w:r>
          </w:p>
        </w:tc>
      </w:tr>
    </w:tbl>
    <w:p w:rsidRPr="003737CB" w:rsidR="0035439D" w:rsidP="00485111" w:rsidRDefault="0035439D" w14:paraId="1E482C03" w14:textId="77777777">
      <w:pPr>
        <w:pStyle w:val="FERCparanumber"/>
        <w:numPr>
          <w:ilvl w:val="0"/>
          <w:numId w:val="0"/>
        </w:numPr>
        <w:spacing w:line="20" w:lineRule="atLeast"/>
        <w:rPr>
          <w:szCs w:val="26"/>
        </w:rPr>
      </w:pPr>
    </w:p>
    <w:p w:rsidRPr="00961C86" w:rsidR="0035439D" w:rsidP="00035D73" w:rsidRDefault="0035439D" w14:paraId="4A0C544C" w14:textId="6E2F3E2B">
      <w:pPr>
        <w:pStyle w:val="FERCparanumber"/>
        <w:numPr>
          <w:ilvl w:val="0"/>
          <w:numId w:val="2"/>
        </w:numPr>
        <w:spacing w:line="20" w:lineRule="atLeast"/>
        <w:rPr>
          <w:szCs w:val="26"/>
        </w:rPr>
      </w:pPr>
      <w:r w:rsidRPr="003737CB">
        <w:rPr>
          <w:b/>
          <w:szCs w:val="26"/>
        </w:rPr>
        <w:t>ESTIMATE OF THE TOTAL ANNUAL COST BURDEN TO RESPONDENTS</w:t>
      </w:r>
    </w:p>
    <w:p w:rsidRPr="00035D73" w:rsidR="00B7145D" w:rsidP="00961C86" w:rsidRDefault="00B7145D" w14:paraId="2570DBCD" w14:textId="77777777">
      <w:pPr>
        <w:pStyle w:val="FERCparanumber"/>
        <w:numPr>
          <w:ilvl w:val="0"/>
          <w:numId w:val="0"/>
        </w:numPr>
        <w:spacing w:line="20" w:lineRule="atLeast"/>
        <w:ind w:left="720"/>
        <w:rPr>
          <w:szCs w:val="26"/>
        </w:rPr>
      </w:pPr>
    </w:p>
    <w:p w:rsidR="00D53853" w:rsidP="00961C86" w:rsidRDefault="001F47D8" w14:paraId="2999C67D" w14:textId="3E8A4A05">
      <w:bookmarkStart w:name="_Hlk31267530" w:id="4"/>
      <w:bookmarkStart w:name="_Hlk29990213" w:id="5"/>
      <w:r>
        <w:t xml:space="preserve">As a result of the different standards being submitted at different times over several years for the various collections, there will not be any annual cost burden calculations for this collection. </w:t>
      </w:r>
      <w:r w:rsidRPr="008C6369" w:rsidR="008C6369">
        <w:rPr>
          <w:rFonts w:eastAsia="Calibri"/>
          <w:sz w:val="26"/>
          <w:szCs w:val="26"/>
        </w:rPr>
        <w:t xml:space="preserve"> </w:t>
      </w:r>
      <w:bookmarkStart w:name="_Hlk31956960" w:id="6"/>
      <w:bookmarkEnd w:id="4"/>
      <w:r w:rsidRPr="008C6369" w:rsidR="00142C84">
        <w:rPr>
          <w:rFonts w:eastAsia="Calibri"/>
          <w:sz w:val="26"/>
          <w:szCs w:val="26"/>
        </w:rPr>
        <w:t>All</w:t>
      </w:r>
      <w:r w:rsidRPr="008C6369" w:rsidR="008C6369">
        <w:rPr>
          <w:rFonts w:eastAsia="Calibri"/>
          <w:sz w:val="26"/>
          <w:szCs w:val="26"/>
        </w:rPr>
        <w:t xml:space="preserve"> the PRA-related costs due to this NOPR in RM19-</w:t>
      </w:r>
      <w:r w:rsidR="008C6369">
        <w:rPr>
          <w:rFonts w:eastAsia="Calibri"/>
          <w:sz w:val="26"/>
          <w:szCs w:val="26"/>
        </w:rPr>
        <w:t>16 and RM19-17</w:t>
      </w:r>
      <w:r w:rsidRPr="008C6369" w:rsidR="008C6369">
        <w:rPr>
          <w:rFonts w:eastAsia="Calibri"/>
          <w:sz w:val="26"/>
          <w:szCs w:val="26"/>
        </w:rPr>
        <w:t xml:space="preserve"> are associated with burden hours (labor) </w:t>
      </w:r>
      <w:bookmarkEnd w:id="6"/>
      <w:r w:rsidRPr="008C6369" w:rsidR="008C6369">
        <w:rPr>
          <w:rFonts w:eastAsia="Calibri"/>
          <w:sz w:val="26"/>
          <w:szCs w:val="26"/>
        </w:rPr>
        <w:t xml:space="preserve">and described in Questions #12 and </w:t>
      </w:r>
      <w:r w:rsidR="004D33C5">
        <w:rPr>
          <w:rFonts w:eastAsia="Calibri"/>
          <w:sz w:val="26"/>
          <w:szCs w:val="26"/>
        </w:rPr>
        <w:t>#</w:t>
      </w:r>
      <w:r w:rsidRPr="008C6369" w:rsidR="008C6369">
        <w:rPr>
          <w:rFonts w:eastAsia="Calibri"/>
          <w:sz w:val="26"/>
          <w:szCs w:val="26"/>
        </w:rPr>
        <w:t>15.</w:t>
      </w:r>
      <w:r w:rsidR="008C6369">
        <w:rPr>
          <w:rFonts w:eastAsia="Calibri"/>
          <w:sz w:val="26"/>
          <w:szCs w:val="26"/>
        </w:rPr>
        <w:t xml:space="preserve"> </w:t>
      </w:r>
    </w:p>
    <w:p w:rsidRPr="00035D73" w:rsidR="0035439D" w:rsidP="00961C86" w:rsidRDefault="0035439D" w14:paraId="78106EE6" w14:textId="30F8F455">
      <w:pPr>
        <w:pStyle w:val="FERCparanumber"/>
        <w:numPr>
          <w:ilvl w:val="0"/>
          <w:numId w:val="0"/>
        </w:numPr>
        <w:autoSpaceDE w:val="0"/>
        <w:autoSpaceDN w:val="0"/>
        <w:adjustRightInd w:val="0"/>
        <w:contextualSpacing/>
        <w:rPr>
          <w:rFonts w:eastAsia="Calibri"/>
        </w:rPr>
      </w:pPr>
    </w:p>
    <w:bookmarkEnd w:id="5"/>
    <w:p w:rsidR="0035439D" w:rsidP="009B2C82" w:rsidRDefault="0035439D" w14:paraId="7FCC962F" w14:textId="6CB7E407">
      <w:pPr>
        <w:pStyle w:val="FERCparanumber"/>
        <w:numPr>
          <w:ilvl w:val="0"/>
          <w:numId w:val="2"/>
        </w:numPr>
        <w:spacing w:line="20" w:lineRule="atLeast"/>
        <w:rPr>
          <w:b/>
          <w:szCs w:val="26"/>
        </w:rPr>
      </w:pPr>
      <w:r w:rsidRPr="003737CB">
        <w:rPr>
          <w:b/>
          <w:szCs w:val="26"/>
        </w:rPr>
        <w:t>ESTIMATED ANNUALIZED COST TO FEDERAL GOVERNMENT</w:t>
      </w:r>
    </w:p>
    <w:p w:rsidR="00B7145D" w:rsidP="00961C86" w:rsidRDefault="00B7145D" w14:paraId="65B3D188" w14:textId="77777777">
      <w:pPr>
        <w:pStyle w:val="FERCparanumber"/>
        <w:numPr>
          <w:ilvl w:val="0"/>
          <w:numId w:val="0"/>
        </w:numPr>
        <w:spacing w:line="20" w:lineRule="atLeast"/>
        <w:ind w:left="720"/>
        <w:rPr>
          <w:b/>
          <w:szCs w:val="26"/>
        </w:rPr>
      </w:pPr>
    </w:p>
    <w:p w:rsidR="00335EE7" w:rsidP="00035D73" w:rsidRDefault="00035D73" w14:paraId="7DB267FD" w14:textId="1660131F">
      <w:pPr>
        <w:rPr>
          <w:sz w:val="26"/>
          <w:szCs w:val="26"/>
        </w:rPr>
      </w:pPr>
      <w:r w:rsidRPr="00035D73">
        <w:rPr>
          <w:rFonts w:eastAsia="Calibri"/>
          <w:sz w:val="26"/>
          <w:szCs w:val="26"/>
        </w:rPr>
        <w:t>There are no capital or start-up costs related to this information collection.  All costs are related to burden hours.</w:t>
      </w:r>
      <w:r w:rsidRPr="00035D73">
        <w:rPr>
          <w:sz w:val="26"/>
          <w:szCs w:val="26"/>
        </w:rPr>
        <w:t xml:space="preserve"> </w:t>
      </w:r>
      <w:r w:rsidRPr="004109FB">
        <w:rPr>
          <w:sz w:val="26"/>
          <w:szCs w:val="26"/>
        </w:rPr>
        <w:t>The Regional Entities and NERC do most of the data processing, monitoring</w:t>
      </w:r>
      <w:r>
        <w:rPr>
          <w:sz w:val="26"/>
          <w:szCs w:val="26"/>
        </w:rPr>
        <w:t xml:space="preserve">, auditing, </w:t>
      </w:r>
      <w:r w:rsidRPr="004109FB">
        <w:rPr>
          <w:sz w:val="26"/>
          <w:szCs w:val="26"/>
        </w:rPr>
        <w:t xml:space="preserve">and compliance work for Reliability Standards.  </w:t>
      </w:r>
      <w:r w:rsidRPr="003D155C">
        <w:rPr>
          <w:sz w:val="26"/>
          <w:szCs w:val="26"/>
        </w:rPr>
        <w:t>Any involvement by the Commission is covered under the FERC-725</w:t>
      </w:r>
      <w:r w:rsidR="00905176">
        <w:rPr>
          <w:sz w:val="26"/>
          <w:szCs w:val="26"/>
        </w:rPr>
        <w:t>A</w:t>
      </w:r>
      <w:r w:rsidRPr="003D155C">
        <w:rPr>
          <w:sz w:val="26"/>
          <w:szCs w:val="26"/>
        </w:rPr>
        <w:t xml:space="preserve"> (OMB Control No. 1902-0</w:t>
      </w:r>
      <w:r w:rsidR="00E01C25">
        <w:rPr>
          <w:sz w:val="26"/>
          <w:szCs w:val="26"/>
        </w:rPr>
        <w:t>244</w:t>
      </w:r>
      <w:r w:rsidRPr="003D155C">
        <w:rPr>
          <w:sz w:val="26"/>
          <w:szCs w:val="26"/>
        </w:rPr>
        <w:t>)</w:t>
      </w:r>
      <w:r w:rsidR="00905176">
        <w:rPr>
          <w:sz w:val="26"/>
          <w:szCs w:val="26"/>
        </w:rPr>
        <w:t>.</w:t>
      </w:r>
      <w:r w:rsidRPr="003D155C">
        <w:rPr>
          <w:sz w:val="26"/>
          <w:szCs w:val="26"/>
        </w:rPr>
        <w:t xml:space="preserve">  The data </w:t>
      </w:r>
      <w:r>
        <w:rPr>
          <w:sz w:val="26"/>
          <w:szCs w:val="26"/>
        </w:rPr>
        <w:t xml:space="preserve">for </w:t>
      </w:r>
      <w:r w:rsidR="00896373">
        <w:rPr>
          <w:sz w:val="26"/>
          <w:szCs w:val="26"/>
        </w:rPr>
        <w:t>FERC-725A, FERC-725G1,</w:t>
      </w:r>
      <w:r>
        <w:rPr>
          <w:sz w:val="26"/>
          <w:szCs w:val="26"/>
        </w:rPr>
        <w:t xml:space="preserve"> and FERC-725Z </w:t>
      </w:r>
      <w:r w:rsidRPr="003D155C">
        <w:rPr>
          <w:sz w:val="26"/>
          <w:szCs w:val="26"/>
        </w:rPr>
        <w:t xml:space="preserve">are not submitted to FERC.  </w:t>
      </w:r>
    </w:p>
    <w:p w:rsidR="00335EE7" w:rsidP="00035D73" w:rsidRDefault="00335EE7" w14:paraId="4A13FA99" w14:textId="77777777">
      <w:pPr>
        <w:rPr>
          <w:sz w:val="26"/>
          <w:szCs w:val="26"/>
        </w:rPr>
      </w:pPr>
    </w:p>
    <w:p w:rsidR="00815283" w:rsidP="00035D73" w:rsidRDefault="00035D73" w14:paraId="5F98906D" w14:textId="404C4C32">
      <w:pPr>
        <w:rPr>
          <w:sz w:val="26"/>
          <w:szCs w:val="26"/>
        </w:rPr>
      </w:pPr>
      <w:r w:rsidRPr="00D0606B">
        <w:rPr>
          <w:sz w:val="26"/>
          <w:szCs w:val="26"/>
        </w:rPr>
        <w:t>The Commission d</w:t>
      </w:r>
      <w:r w:rsidRPr="00D0606B" w:rsidDel="00EB1C92" w:rsidR="00EB1C92">
        <w:rPr>
          <w:sz w:val="26"/>
          <w:szCs w:val="26"/>
        </w:rPr>
        <w:t>o</w:t>
      </w:r>
      <w:r w:rsidR="00815283">
        <w:rPr>
          <w:sz w:val="26"/>
          <w:szCs w:val="26"/>
        </w:rPr>
        <w:t>e</w:t>
      </w:r>
      <w:r w:rsidRPr="00D0606B">
        <w:rPr>
          <w:sz w:val="26"/>
          <w:szCs w:val="26"/>
        </w:rPr>
        <w:t xml:space="preserve">s incur the costs associated with obtaining OMB clearance for </w:t>
      </w:r>
      <w:r>
        <w:rPr>
          <w:sz w:val="26"/>
          <w:szCs w:val="26"/>
        </w:rPr>
        <w:t>the</w:t>
      </w:r>
      <w:r w:rsidR="00815283">
        <w:rPr>
          <w:sz w:val="26"/>
          <w:szCs w:val="26"/>
        </w:rPr>
        <w:t xml:space="preserve"> four </w:t>
      </w:r>
      <w:r>
        <w:rPr>
          <w:sz w:val="26"/>
          <w:szCs w:val="26"/>
        </w:rPr>
        <w:t xml:space="preserve">collections under the Paperwork Reduction Act of 1995 (PRA).  </w:t>
      </w:r>
      <w:r w:rsidRPr="003D155C">
        <w:rPr>
          <w:sz w:val="26"/>
          <w:szCs w:val="26"/>
        </w:rPr>
        <w:t>The PRA Administrative Cost is a Federal Cost associated with preparing, issuing, and submitting materials necessary to comply with the PRA for rulemakings, orders, or any other vehicle used to create, modify, extend, or discontinue an information collection.  This average annual cost includes requests for extensions, all associated rulemakings and orders, other changes to the collection, and associated publications in the Federal Register.</w:t>
      </w:r>
      <w:r>
        <w:rPr>
          <w:sz w:val="26"/>
          <w:szCs w:val="26"/>
        </w:rPr>
        <w:t xml:space="preserve">  </w:t>
      </w:r>
    </w:p>
    <w:p w:rsidR="00132EE3" w:rsidP="00132EE3" w:rsidRDefault="00132EE3" w14:paraId="0EE4FB8B" w14:textId="77777777"/>
    <w:tbl>
      <w:tblPr>
        <w:tblW w:w="9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182"/>
        <w:gridCol w:w="3201"/>
        <w:gridCol w:w="2995"/>
      </w:tblGrid>
      <w:tr w:rsidRPr="00A276F5" w:rsidR="00132EE3" w:rsidTr="005E76BF" w14:paraId="14068C2E" w14:textId="77777777">
        <w:tc>
          <w:tcPr>
            <w:tcW w:w="3182" w:type="dxa"/>
            <w:shd w:val="clear" w:color="auto" w:fill="CCCCCC"/>
          </w:tcPr>
          <w:p w:rsidRPr="00A276F5" w:rsidR="00132EE3" w:rsidP="005E76BF" w:rsidRDefault="00132EE3" w14:paraId="0192AEE2" w14:textId="77777777"/>
        </w:tc>
        <w:tc>
          <w:tcPr>
            <w:tcW w:w="3201" w:type="dxa"/>
            <w:shd w:val="clear" w:color="auto" w:fill="CCCCCC"/>
          </w:tcPr>
          <w:p w:rsidRPr="00A276F5" w:rsidR="00132EE3" w:rsidP="005E76BF" w:rsidRDefault="00132EE3" w14:paraId="734BCE18" w14:textId="77777777">
            <w:pPr>
              <w:rPr>
                <w:b/>
              </w:rPr>
            </w:pPr>
            <w:r>
              <w:rPr>
                <w:b/>
              </w:rPr>
              <w:t>*</w:t>
            </w:r>
            <w:r w:rsidRPr="00A276F5">
              <w:rPr>
                <w:b/>
              </w:rPr>
              <w:t>Number of Employees (FTEs)</w:t>
            </w:r>
            <w:r>
              <w:rPr>
                <w:b/>
              </w:rPr>
              <w:t xml:space="preserve"> or Number of Hours*</w:t>
            </w:r>
          </w:p>
        </w:tc>
        <w:tc>
          <w:tcPr>
            <w:tcW w:w="2995" w:type="dxa"/>
            <w:shd w:val="clear" w:color="auto" w:fill="CCCCCC"/>
          </w:tcPr>
          <w:p w:rsidRPr="00A276F5" w:rsidR="00132EE3" w:rsidP="005E76BF" w:rsidRDefault="00132EE3" w14:paraId="3E2E5F30" w14:textId="77777777">
            <w:pPr>
              <w:rPr>
                <w:b/>
              </w:rPr>
            </w:pPr>
            <w:r w:rsidRPr="00A276F5">
              <w:rPr>
                <w:b/>
              </w:rPr>
              <w:t>Estimated Annual Federal Cost</w:t>
            </w:r>
          </w:p>
        </w:tc>
      </w:tr>
      <w:tr w:rsidRPr="00A276F5" w:rsidR="00132EE3" w:rsidTr="005E76BF" w14:paraId="77B57954" w14:textId="77777777">
        <w:tc>
          <w:tcPr>
            <w:tcW w:w="3182" w:type="dxa"/>
            <w:shd w:val="clear" w:color="auto" w:fill="auto"/>
          </w:tcPr>
          <w:p w:rsidRPr="00A276F5" w:rsidR="00132EE3" w:rsidP="005E76BF" w:rsidRDefault="00132EE3" w14:paraId="5A3C8F16" w14:textId="77777777">
            <w:r w:rsidRPr="00A276F5">
              <w:lastRenderedPageBreak/>
              <w:t>Analysis and Processing of filings</w:t>
            </w:r>
            <w:r w:rsidRPr="00A276F5">
              <w:rPr>
                <w:rStyle w:val="FootnoteReference"/>
                <w:vertAlign w:val="superscript"/>
              </w:rPr>
              <w:footnoteReference w:id="38"/>
            </w:r>
          </w:p>
        </w:tc>
        <w:tc>
          <w:tcPr>
            <w:tcW w:w="3201" w:type="dxa"/>
            <w:tcBorders>
              <w:bottom w:val="single" w:color="auto" w:sz="4" w:space="0"/>
            </w:tcBorders>
            <w:shd w:val="clear" w:color="auto" w:fill="auto"/>
            <w:vAlign w:val="center"/>
          </w:tcPr>
          <w:p w:rsidRPr="00A276F5" w:rsidR="00132EE3" w:rsidP="005E76BF" w:rsidRDefault="00896373" w14:paraId="604A18AE" w14:textId="30D647A9">
            <w:pPr>
              <w:jc w:val="right"/>
            </w:pPr>
            <w:r>
              <w:t>0</w:t>
            </w:r>
          </w:p>
        </w:tc>
        <w:tc>
          <w:tcPr>
            <w:tcW w:w="2995" w:type="dxa"/>
            <w:shd w:val="clear" w:color="auto" w:fill="auto"/>
            <w:vAlign w:val="center"/>
          </w:tcPr>
          <w:p w:rsidRPr="00A276F5" w:rsidR="00132EE3" w:rsidP="005E76BF" w:rsidRDefault="00132EE3" w14:paraId="15A1B550" w14:textId="7E04356A">
            <w:pPr>
              <w:jc w:val="right"/>
            </w:pPr>
            <w:r>
              <w:t>$</w:t>
            </w:r>
            <w:r w:rsidR="00896373">
              <w:t>00,000</w:t>
            </w:r>
          </w:p>
        </w:tc>
      </w:tr>
      <w:tr w:rsidRPr="00A276F5" w:rsidR="00132EE3" w:rsidTr="005E76BF" w14:paraId="5048D8AB" w14:textId="77777777">
        <w:tc>
          <w:tcPr>
            <w:tcW w:w="3182" w:type="dxa"/>
            <w:shd w:val="clear" w:color="auto" w:fill="auto"/>
          </w:tcPr>
          <w:p w:rsidRPr="00A276F5" w:rsidR="00132EE3" w:rsidP="005E76BF" w:rsidRDefault="00132EE3" w14:paraId="07FC7F5C" w14:textId="77777777">
            <w:r>
              <w:t>PRA</w:t>
            </w:r>
            <w:r w:rsidRPr="00EF21B5">
              <w:rPr>
                <w:rStyle w:val="FootnoteReference"/>
                <w:vertAlign w:val="superscript"/>
              </w:rPr>
              <w:footnoteReference w:id="39"/>
            </w:r>
            <w:r>
              <w:t xml:space="preserve"> Administrative Cost</w:t>
            </w:r>
            <w:r w:rsidRPr="000B783F">
              <w:rPr>
                <w:rStyle w:val="FootnoteReference"/>
                <w:vertAlign w:val="superscript"/>
              </w:rPr>
              <w:footnoteReference w:id="40"/>
            </w:r>
          </w:p>
        </w:tc>
        <w:tc>
          <w:tcPr>
            <w:tcW w:w="3201" w:type="dxa"/>
            <w:vMerge w:val="restart"/>
            <w:shd w:val="clear" w:color="auto" w:fill="D9D9D9" w:themeFill="background1" w:themeFillShade="D9"/>
            <w:vAlign w:val="center"/>
          </w:tcPr>
          <w:p w:rsidRPr="00A276F5" w:rsidR="00132EE3" w:rsidP="005E76BF" w:rsidRDefault="00132EE3" w14:paraId="7CAE9900" w14:textId="77777777">
            <w:pPr>
              <w:jc w:val="right"/>
            </w:pPr>
          </w:p>
        </w:tc>
        <w:tc>
          <w:tcPr>
            <w:tcW w:w="2995" w:type="dxa"/>
            <w:shd w:val="clear" w:color="auto" w:fill="auto"/>
            <w:vAlign w:val="center"/>
          </w:tcPr>
          <w:p w:rsidRPr="00A276F5" w:rsidR="00132EE3" w:rsidP="0073049F" w:rsidRDefault="00896373" w14:paraId="51309820" w14:textId="0B1AA9F9">
            <w:pPr>
              <w:jc w:val="right"/>
            </w:pPr>
            <w:r>
              <w:t>$19,328</w:t>
            </w:r>
          </w:p>
        </w:tc>
      </w:tr>
      <w:tr w:rsidRPr="00A276F5" w:rsidR="00132EE3" w:rsidTr="005E76BF" w14:paraId="6716263B" w14:textId="77777777">
        <w:tc>
          <w:tcPr>
            <w:tcW w:w="3182" w:type="dxa"/>
            <w:shd w:val="clear" w:color="auto" w:fill="auto"/>
          </w:tcPr>
          <w:p w:rsidRPr="00A276F5" w:rsidR="00132EE3" w:rsidP="005E76BF" w:rsidRDefault="00132EE3" w14:paraId="15ACF82F" w14:textId="77777777">
            <w:pPr>
              <w:rPr>
                <w:b/>
              </w:rPr>
            </w:pPr>
            <w:r w:rsidRPr="00A276F5">
              <w:rPr>
                <w:b/>
              </w:rPr>
              <w:t>FERC Total</w:t>
            </w:r>
          </w:p>
        </w:tc>
        <w:tc>
          <w:tcPr>
            <w:tcW w:w="3201" w:type="dxa"/>
            <w:vMerge/>
            <w:shd w:val="clear" w:color="auto" w:fill="D9D9D9" w:themeFill="background1" w:themeFillShade="D9"/>
            <w:vAlign w:val="center"/>
          </w:tcPr>
          <w:p w:rsidRPr="00A276F5" w:rsidR="00132EE3" w:rsidP="005E76BF" w:rsidRDefault="00132EE3" w14:paraId="27B9D14F" w14:textId="77777777">
            <w:pPr>
              <w:jc w:val="right"/>
            </w:pPr>
          </w:p>
        </w:tc>
        <w:tc>
          <w:tcPr>
            <w:tcW w:w="2995" w:type="dxa"/>
            <w:shd w:val="clear" w:color="auto" w:fill="auto"/>
            <w:vAlign w:val="center"/>
          </w:tcPr>
          <w:p w:rsidRPr="00A276F5" w:rsidR="00132EE3" w:rsidP="005E76BF" w:rsidRDefault="00132EE3" w14:paraId="1E9F79F3" w14:textId="39D94EA3">
            <w:pPr>
              <w:jc w:val="right"/>
            </w:pPr>
            <w:r>
              <w:t>$</w:t>
            </w:r>
            <w:r w:rsidR="007028E6">
              <w:t>19,328</w:t>
            </w:r>
          </w:p>
        </w:tc>
      </w:tr>
    </w:tbl>
    <w:p w:rsidRPr="009B2C82" w:rsidR="00035D73" w:rsidP="00961C86" w:rsidRDefault="00035D73" w14:paraId="41B09DE2" w14:textId="77777777"/>
    <w:p w:rsidR="0035439D" w:rsidP="00485111" w:rsidRDefault="0035439D" w14:paraId="2B7FE90B" w14:textId="15455C6B">
      <w:pPr>
        <w:pStyle w:val="FERCparanumber"/>
        <w:numPr>
          <w:ilvl w:val="0"/>
          <w:numId w:val="2"/>
        </w:numPr>
        <w:spacing w:line="20" w:lineRule="atLeast"/>
        <w:rPr>
          <w:b/>
          <w:szCs w:val="26"/>
        </w:rPr>
      </w:pPr>
      <w:r w:rsidRPr="003737CB">
        <w:rPr>
          <w:b/>
          <w:szCs w:val="26"/>
        </w:rPr>
        <w:t>REASONS FOR CHANGES IN BURDEN INCLUDING THE NEED FOR ANY INCREASE</w:t>
      </w:r>
    </w:p>
    <w:p w:rsidRPr="003737CB" w:rsidR="00B7145D" w:rsidP="00961C86" w:rsidRDefault="00B7145D" w14:paraId="20F72AD2" w14:textId="77777777">
      <w:pPr>
        <w:pStyle w:val="FERCparanumber"/>
        <w:numPr>
          <w:ilvl w:val="0"/>
          <w:numId w:val="0"/>
        </w:numPr>
        <w:spacing w:line="20" w:lineRule="atLeast"/>
        <w:ind w:left="720"/>
        <w:rPr>
          <w:b/>
          <w:szCs w:val="26"/>
        </w:rPr>
      </w:pPr>
    </w:p>
    <w:p w:rsidR="0035439D" w:rsidP="009B2C82" w:rsidRDefault="009B2C82" w14:paraId="4915C0A1" w14:textId="0E6A8D03">
      <w:pPr>
        <w:pStyle w:val="FERCparanumber"/>
        <w:numPr>
          <w:ilvl w:val="0"/>
          <w:numId w:val="0"/>
        </w:numPr>
        <w:autoSpaceDE w:val="0"/>
        <w:autoSpaceDN w:val="0"/>
        <w:adjustRightInd w:val="0"/>
        <w:contextualSpacing/>
      </w:pPr>
      <w:r>
        <w:t>The Commission believes that th</w:t>
      </w:r>
      <w:r w:rsidR="00335EE7">
        <w:t>e</w:t>
      </w:r>
      <w:r>
        <w:t xml:space="preserve"> propos</w:t>
      </w:r>
      <w:r w:rsidR="00335EE7">
        <w:t>ed Reliability Standard and requirement retirements</w:t>
      </w:r>
      <w:r>
        <w:t xml:space="preserve"> will reduce burden and cost for all affected entities. </w:t>
      </w:r>
      <w:r w:rsidR="00F95B74">
        <w:t xml:space="preserve">The Commission estimates the </w:t>
      </w:r>
      <w:r w:rsidRPr="00FF0AAC" w:rsidR="00FF0AAC">
        <w:t>total industry reduction in burden for all entities (large and small) to be 42,907.44 hours (or approximately 18 hours (rounded) per response)</w:t>
      </w:r>
      <w:r w:rsidR="00F95B74">
        <w:rPr>
          <w:bCs/>
          <w:szCs w:val="26"/>
        </w:rPr>
        <w:t xml:space="preserve">The decrease in the number of responses and hours, and the removal of one reliability standard is reflected in the tables below for each </w:t>
      </w:r>
      <w:r w:rsidR="00FC2E1A">
        <w:rPr>
          <w:bCs/>
          <w:szCs w:val="26"/>
        </w:rPr>
        <w:t>Collection affected.</w:t>
      </w:r>
    </w:p>
    <w:p w:rsidR="005B2CEE" w:rsidP="005B2CEE" w:rsidRDefault="005B2CEE" w14:paraId="2F25AC92" w14:textId="77777777">
      <w:pPr>
        <w:pStyle w:val="FERCparanumber"/>
        <w:numPr>
          <w:ilvl w:val="0"/>
          <w:numId w:val="0"/>
        </w:numPr>
        <w:tabs>
          <w:tab w:val="left" w:pos="720"/>
        </w:tabs>
        <w:autoSpaceDE w:val="0"/>
        <w:autoSpaceDN w:val="0"/>
        <w:adjustRightInd w:val="0"/>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005B2CEE" w:rsidTr="005B2CEE" w14:paraId="708FA219"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535A32D5" w14:textId="77777777">
            <w:pPr>
              <w:widowControl/>
              <w:autoSpaceDE/>
              <w:adjustRightInd/>
              <w:spacing w:line="256" w:lineRule="auto"/>
              <w:rPr>
                <w:rFonts w:eastAsia="Calibri"/>
                <w:b/>
                <w:sz w:val="26"/>
                <w:szCs w:val="26"/>
              </w:rPr>
            </w:pPr>
            <w:r>
              <w:rPr>
                <w:rFonts w:eastAsia="Calibri"/>
                <w:b/>
                <w:sz w:val="26"/>
                <w:szCs w:val="26"/>
              </w:rPr>
              <w:t>FERC-725A</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465CEE65" w14:textId="77777777">
            <w:pPr>
              <w:widowControl/>
              <w:autoSpaceDE/>
              <w:adjustRightInd/>
              <w:spacing w:line="256" w:lineRule="auto"/>
              <w:rPr>
                <w:rFonts w:eastAsia="Calibri"/>
                <w:b/>
                <w:sz w:val="26"/>
                <w:szCs w:val="26"/>
              </w:rPr>
            </w:pPr>
            <w:r>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76326A6F" w14:textId="77777777">
            <w:pPr>
              <w:widowControl/>
              <w:autoSpaceDE/>
              <w:adjustRightInd/>
              <w:spacing w:line="256" w:lineRule="auto"/>
              <w:rPr>
                <w:rFonts w:eastAsia="Calibri"/>
                <w:b/>
                <w:sz w:val="26"/>
                <w:szCs w:val="26"/>
              </w:rPr>
            </w:pPr>
            <w:r>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072A2B0D" w14:textId="77777777">
            <w:pPr>
              <w:widowControl/>
              <w:autoSpaceDE/>
              <w:adjustRightInd/>
              <w:spacing w:line="256" w:lineRule="auto"/>
              <w:rPr>
                <w:rFonts w:eastAsia="Calibri"/>
                <w:b/>
                <w:sz w:val="26"/>
                <w:szCs w:val="26"/>
              </w:rPr>
            </w:pPr>
            <w:r>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77C2359C" w14:textId="77777777">
            <w:pPr>
              <w:widowControl/>
              <w:autoSpaceDE/>
              <w:adjustRightInd/>
              <w:spacing w:line="256" w:lineRule="auto"/>
              <w:rPr>
                <w:rFonts w:eastAsia="Calibri"/>
                <w:b/>
                <w:sz w:val="26"/>
                <w:szCs w:val="26"/>
              </w:rPr>
            </w:pPr>
            <w:r>
              <w:rPr>
                <w:rFonts w:eastAsia="Calibri"/>
                <w:b/>
                <w:sz w:val="26"/>
                <w:szCs w:val="26"/>
              </w:rPr>
              <w:t>Previously Approved</w:t>
            </w:r>
          </w:p>
        </w:tc>
      </w:tr>
      <w:tr w:rsidR="005B2CEE" w:rsidTr="005B2CEE" w14:paraId="7F6B74C3"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514A7FCF" w14:textId="77777777">
            <w:pPr>
              <w:widowControl/>
              <w:autoSpaceDE/>
              <w:adjustRightInd/>
              <w:spacing w:line="256" w:lineRule="auto"/>
              <w:rPr>
                <w:rFonts w:eastAsia="Calibri"/>
                <w:sz w:val="26"/>
                <w:szCs w:val="26"/>
              </w:rPr>
            </w:pPr>
            <w:r>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216033D" w14:textId="77777777">
            <w:pPr>
              <w:widowControl/>
              <w:autoSpaceDE/>
              <w:adjustRightInd/>
              <w:spacing w:line="256" w:lineRule="auto"/>
              <w:jc w:val="right"/>
              <w:rPr>
                <w:rFonts w:eastAsia="Calibri"/>
                <w:sz w:val="26"/>
                <w:szCs w:val="26"/>
              </w:rPr>
            </w:pPr>
            <w:r>
              <w:rPr>
                <w:rFonts w:eastAsia="Calibri"/>
                <w:sz w:val="26"/>
                <w:szCs w:val="26"/>
              </w:rPr>
              <w:t>2,466</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187093D" w14:textId="77777777">
            <w:pPr>
              <w:widowControl/>
              <w:autoSpaceDE/>
              <w:adjustRightInd/>
              <w:spacing w:line="256" w:lineRule="auto"/>
              <w:jc w:val="right"/>
              <w:rPr>
                <w:rFonts w:eastAsia="Calibri"/>
                <w:sz w:val="26"/>
                <w:szCs w:val="26"/>
              </w:rPr>
            </w:pPr>
            <w:r>
              <w:rPr>
                <w:rFonts w:eastAsia="Calibri"/>
                <w:sz w:val="26"/>
                <w:szCs w:val="26"/>
              </w:rPr>
              <w:t>-100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047A26FB"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5D36190A" w14:textId="77777777">
            <w:pPr>
              <w:widowControl/>
              <w:autoSpaceDE/>
              <w:adjustRightInd/>
              <w:spacing w:line="256" w:lineRule="auto"/>
              <w:jc w:val="right"/>
              <w:rPr>
                <w:rFonts w:eastAsia="Calibri"/>
                <w:sz w:val="26"/>
                <w:szCs w:val="26"/>
              </w:rPr>
            </w:pPr>
            <w:r>
              <w:rPr>
                <w:rFonts w:eastAsia="Calibri"/>
                <w:sz w:val="26"/>
                <w:szCs w:val="26"/>
              </w:rPr>
              <w:t>2,566</w:t>
            </w:r>
          </w:p>
        </w:tc>
      </w:tr>
      <w:tr w:rsidR="005B2CEE" w:rsidTr="005B2CEE" w14:paraId="2800DDC7"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586B5EC4" w14:textId="77777777">
            <w:pPr>
              <w:widowControl/>
              <w:autoSpaceDE/>
              <w:adjustRightInd/>
              <w:spacing w:line="256" w:lineRule="auto"/>
              <w:rPr>
                <w:rFonts w:eastAsia="Calibri"/>
                <w:sz w:val="26"/>
                <w:szCs w:val="26"/>
              </w:rPr>
            </w:pPr>
            <w:r>
              <w:rPr>
                <w:rFonts w:eastAsia="Calibri"/>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A1F5DD8" w14:textId="5C6ACF60">
            <w:pPr>
              <w:widowControl/>
              <w:autoSpaceDE/>
              <w:adjustRightInd/>
              <w:spacing w:line="256" w:lineRule="auto"/>
              <w:jc w:val="right"/>
              <w:rPr>
                <w:rFonts w:eastAsia="Calibri"/>
                <w:sz w:val="26"/>
                <w:szCs w:val="26"/>
              </w:rPr>
            </w:pPr>
            <w:r>
              <w:rPr>
                <w:rFonts w:eastAsia="Calibri"/>
                <w:sz w:val="26"/>
                <w:szCs w:val="26"/>
              </w:rPr>
              <w:t>1,</w:t>
            </w:r>
            <w:r w:rsidR="003A14EE">
              <w:rPr>
                <w:rFonts w:eastAsia="Calibri"/>
                <w:sz w:val="26"/>
                <w:szCs w:val="26"/>
              </w:rPr>
              <w:t>466,716</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05FFCBE" w14:textId="523C7AE8">
            <w:pPr>
              <w:widowControl/>
              <w:autoSpaceDE/>
              <w:adjustRightInd/>
              <w:spacing w:line="256" w:lineRule="auto"/>
              <w:jc w:val="right"/>
              <w:rPr>
                <w:rFonts w:eastAsia="Calibri"/>
                <w:sz w:val="26"/>
                <w:szCs w:val="26"/>
              </w:rPr>
            </w:pPr>
            <w:r>
              <w:rPr>
                <w:rFonts w:eastAsia="Calibri"/>
                <w:sz w:val="26"/>
                <w:szCs w:val="26"/>
              </w:rPr>
              <w:t>-</w:t>
            </w:r>
            <w:r w:rsidR="003A14EE">
              <w:rPr>
                <w:rFonts w:eastAsia="Calibri"/>
                <w:sz w:val="26"/>
                <w:szCs w:val="26"/>
              </w:rPr>
              <w:t>3,005</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3A14EE" w14:paraId="4D6FAD42" w14:textId="75779BDE">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5056AB92" w14:textId="77777777">
            <w:pPr>
              <w:widowControl/>
              <w:autoSpaceDE/>
              <w:adjustRightInd/>
              <w:spacing w:line="256" w:lineRule="auto"/>
              <w:jc w:val="right"/>
              <w:rPr>
                <w:rFonts w:eastAsia="Calibri"/>
                <w:sz w:val="26"/>
                <w:szCs w:val="26"/>
              </w:rPr>
            </w:pPr>
            <w:r>
              <w:rPr>
                <w:rFonts w:eastAsia="Calibri"/>
                <w:sz w:val="26"/>
                <w:szCs w:val="26"/>
              </w:rPr>
              <w:t>1,469,721</w:t>
            </w:r>
          </w:p>
        </w:tc>
      </w:tr>
      <w:tr w:rsidR="005B2CEE" w:rsidTr="005B2CEE" w14:paraId="430B2740"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4448D7AF" w14:textId="77777777">
            <w:pPr>
              <w:widowControl/>
              <w:autoSpaceDE/>
              <w:adjustRightInd/>
              <w:spacing w:line="256" w:lineRule="auto"/>
              <w:rPr>
                <w:rFonts w:eastAsia="Calibri"/>
                <w:sz w:val="26"/>
                <w:szCs w:val="26"/>
              </w:rPr>
            </w:pPr>
            <w:r>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9873DD9" w14:textId="77777777">
            <w:pPr>
              <w:widowControl/>
              <w:autoSpaceDE/>
              <w:adjustRightInd/>
              <w:spacing w:line="256" w:lineRule="auto"/>
              <w:jc w:val="right"/>
              <w:rPr>
                <w:rFonts w:eastAsia="Calibri"/>
                <w:sz w:val="26"/>
                <w:szCs w:val="26"/>
              </w:rPr>
            </w:pPr>
            <w:r>
              <w:rPr>
                <w:rFonts w:eastAsia="Calibri"/>
                <w:sz w:val="26"/>
                <w:szCs w:val="26"/>
              </w:rPr>
              <w:t>$126,725</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45C8F8B" w14:textId="77777777">
            <w:pPr>
              <w:widowControl/>
              <w:autoSpaceDE/>
              <w:adjustRightInd/>
              <w:spacing w:line="256" w:lineRule="auto"/>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DFB7594"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72DA7D70" w14:textId="77777777">
            <w:pPr>
              <w:widowControl/>
              <w:autoSpaceDE/>
              <w:adjustRightInd/>
              <w:spacing w:line="256" w:lineRule="auto"/>
              <w:jc w:val="right"/>
              <w:rPr>
                <w:rFonts w:eastAsia="Calibri"/>
                <w:sz w:val="26"/>
                <w:szCs w:val="26"/>
              </w:rPr>
            </w:pPr>
            <w:r>
              <w:rPr>
                <w:rFonts w:eastAsia="Calibri"/>
                <w:sz w:val="26"/>
                <w:szCs w:val="26"/>
              </w:rPr>
              <w:t>$126,725</w:t>
            </w:r>
          </w:p>
        </w:tc>
      </w:tr>
    </w:tbl>
    <w:p w:rsidR="005B2CEE" w:rsidP="005B2CEE" w:rsidRDefault="005B2CEE" w14:paraId="31B9AE6C" w14:textId="77777777">
      <w:pPr>
        <w:pStyle w:val="FERCparanumber"/>
        <w:numPr>
          <w:ilvl w:val="0"/>
          <w:numId w:val="0"/>
        </w:numPr>
        <w:tabs>
          <w:tab w:val="left" w:pos="720"/>
        </w:tabs>
        <w:autoSpaceDE w:val="0"/>
        <w:autoSpaceDN w:val="0"/>
        <w:adjustRightInd w:val="0"/>
        <w:rPr>
          <w:szCs w:val="26"/>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005B2CEE" w:rsidTr="005B2CEE" w14:paraId="5AEA313F"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3B65266C" w14:textId="77777777">
            <w:pPr>
              <w:widowControl/>
              <w:autoSpaceDE/>
              <w:adjustRightInd/>
              <w:spacing w:line="256" w:lineRule="auto"/>
              <w:rPr>
                <w:rFonts w:eastAsia="Calibri"/>
                <w:b/>
                <w:sz w:val="26"/>
                <w:szCs w:val="26"/>
              </w:rPr>
            </w:pPr>
            <w:r>
              <w:rPr>
                <w:rFonts w:eastAsia="Calibri"/>
                <w:b/>
                <w:sz w:val="26"/>
                <w:szCs w:val="26"/>
              </w:rPr>
              <w:t>FERC-725G1</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327FD820" w14:textId="77777777">
            <w:pPr>
              <w:widowControl/>
              <w:autoSpaceDE/>
              <w:adjustRightInd/>
              <w:spacing w:line="256" w:lineRule="auto"/>
              <w:rPr>
                <w:rFonts w:eastAsia="Calibri"/>
                <w:b/>
                <w:sz w:val="26"/>
                <w:szCs w:val="26"/>
              </w:rPr>
            </w:pPr>
            <w:r>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6D9303C3" w14:textId="77777777">
            <w:pPr>
              <w:widowControl/>
              <w:autoSpaceDE/>
              <w:adjustRightInd/>
              <w:spacing w:line="256" w:lineRule="auto"/>
              <w:rPr>
                <w:rFonts w:eastAsia="Calibri"/>
                <w:b/>
                <w:sz w:val="26"/>
                <w:szCs w:val="26"/>
              </w:rPr>
            </w:pPr>
            <w:r>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3C043C43" w14:textId="77777777">
            <w:pPr>
              <w:widowControl/>
              <w:autoSpaceDE/>
              <w:adjustRightInd/>
              <w:spacing w:line="256" w:lineRule="auto"/>
              <w:rPr>
                <w:rFonts w:eastAsia="Calibri"/>
                <w:b/>
                <w:sz w:val="26"/>
                <w:szCs w:val="26"/>
              </w:rPr>
            </w:pPr>
            <w:r>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0988A9E3" w14:textId="77777777">
            <w:pPr>
              <w:widowControl/>
              <w:autoSpaceDE/>
              <w:adjustRightInd/>
              <w:spacing w:line="256" w:lineRule="auto"/>
              <w:rPr>
                <w:rFonts w:eastAsia="Calibri"/>
                <w:b/>
                <w:sz w:val="26"/>
                <w:szCs w:val="26"/>
              </w:rPr>
            </w:pPr>
            <w:r>
              <w:rPr>
                <w:rFonts w:eastAsia="Calibri"/>
                <w:b/>
                <w:sz w:val="26"/>
                <w:szCs w:val="26"/>
              </w:rPr>
              <w:t>Previously Approved</w:t>
            </w:r>
          </w:p>
        </w:tc>
      </w:tr>
      <w:tr w:rsidR="005B2CEE" w:rsidTr="005B2CEE" w14:paraId="246015A4"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6570182C" w14:textId="77777777">
            <w:pPr>
              <w:widowControl/>
              <w:autoSpaceDE/>
              <w:adjustRightInd/>
              <w:spacing w:line="256" w:lineRule="auto"/>
              <w:rPr>
                <w:rFonts w:eastAsia="Calibri"/>
                <w:sz w:val="26"/>
                <w:szCs w:val="26"/>
              </w:rPr>
            </w:pPr>
            <w:r>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85C4B78" w14:textId="77777777">
            <w:pPr>
              <w:widowControl/>
              <w:autoSpaceDE/>
              <w:adjustRightInd/>
              <w:spacing w:line="256" w:lineRule="auto"/>
              <w:jc w:val="right"/>
              <w:rPr>
                <w:rFonts w:eastAsia="Calibri"/>
                <w:sz w:val="26"/>
                <w:szCs w:val="26"/>
              </w:rPr>
            </w:pPr>
            <w:r>
              <w:rPr>
                <w:rFonts w:eastAsia="Calibri"/>
                <w:sz w:val="26"/>
                <w:szCs w:val="26"/>
              </w:rPr>
              <w:t>659</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7C7FB42" w14:textId="77777777">
            <w:pPr>
              <w:widowControl/>
              <w:autoSpaceDE/>
              <w:adjustRightInd/>
              <w:spacing w:line="256" w:lineRule="auto"/>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DFEE373"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76688FC3" w14:textId="77777777">
            <w:pPr>
              <w:widowControl/>
              <w:autoSpaceDE/>
              <w:adjustRightInd/>
              <w:spacing w:line="256" w:lineRule="auto"/>
              <w:jc w:val="right"/>
              <w:rPr>
                <w:rFonts w:eastAsia="Calibri"/>
                <w:sz w:val="26"/>
                <w:szCs w:val="26"/>
              </w:rPr>
            </w:pPr>
            <w:r>
              <w:rPr>
                <w:rFonts w:eastAsia="Calibri"/>
                <w:sz w:val="26"/>
                <w:szCs w:val="26"/>
              </w:rPr>
              <w:t>659</w:t>
            </w:r>
          </w:p>
        </w:tc>
      </w:tr>
      <w:tr w:rsidR="005B2CEE" w:rsidTr="005B2CEE" w14:paraId="417AD723"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152AFA57" w14:textId="77777777">
            <w:pPr>
              <w:widowControl/>
              <w:autoSpaceDE/>
              <w:adjustRightInd/>
              <w:spacing w:line="256" w:lineRule="auto"/>
              <w:rPr>
                <w:rFonts w:eastAsia="Calibri"/>
                <w:sz w:val="26"/>
                <w:szCs w:val="26"/>
              </w:rPr>
            </w:pPr>
            <w:r>
              <w:rPr>
                <w:rFonts w:eastAsia="Calibri"/>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CD29334" w14:textId="77777777">
            <w:pPr>
              <w:widowControl/>
              <w:autoSpaceDE/>
              <w:adjustRightInd/>
              <w:spacing w:line="256" w:lineRule="auto"/>
              <w:jc w:val="right"/>
              <w:rPr>
                <w:rFonts w:eastAsia="Calibri"/>
                <w:sz w:val="26"/>
                <w:szCs w:val="26"/>
              </w:rPr>
            </w:pPr>
            <w:r>
              <w:rPr>
                <w:rFonts w:eastAsia="Calibri"/>
                <w:sz w:val="26"/>
                <w:szCs w:val="26"/>
              </w:rPr>
              <w:t>11,623</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5660331" w14:textId="77777777">
            <w:pPr>
              <w:widowControl/>
              <w:autoSpaceDE/>
              <w:adjustRightInd/>
              <w:spacing w:line="256" w:lineRule="auto"/>
              <w:jc w:val="right"/>
              <w:rPr>
                <w:rFonts w:eastAsia="Calibri"/>
                <w:sz w:val="26"/>
                <w:szCs w:val="26"/>
              </w:rPr>
            </w:pPr>
            <w:r>
              <w:rPr>
                <w:rFonts w:eastAsia="Calibri"/>
                <w:sz w:val="26"/>
                <w:szCs w:val="26"/>
              </w:rPr>
              <w:t>-2,875</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55952559"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55C6AA29" w14:textId="77777777">
            <w:pPr>
              <w:widowControl/>
              <w:autoSpaceDE/>
              <w:adjustRightInd/>
              <w:spacing w:line="256" w:lineRule="auto"/>
              <w:jc w:val="right"/>
              <w:rPr>
                <w:rFonts w:eastAsia="Calibri"/>
                <w:sz w:val="26"/>
                <w:szCs w:val="26"/>
              </w:rPr>
            </w:pPr>
            <w:r>
              <w:rPr>
                <w:rFonts w:eastAsia="Calibri"/>
                <w:sz w:val="26"/>
                <w:szCs w:val="26"/>
              </w:rPr>
              <w:t>14,498</w:t>
            </w:r>
          </w:p>
        </w:tc>
      </w:tr>
      <w:tr w:rsidR="005B2CEE" w:rsidTr="005B2CEE" w14:paraId="005108CB"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209C374D" w14:textId="77777777">
            <w:pPr>
              <w:widowControl/>
              <w:autoSpaceDE/>
              <w:adjustRightInd/>
              <w:spacing w:line="256" w:lineRule="auto"/>
              <w:rPr>
                <w:rFonts w:eastAsia="Calibri"/>
                <w:sz w:val="26"/>
                <w:szCs w:val="26"/>
              </w:rPr>
            </w:pPr>
            <w:r>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40259CB" w14:textId="77777777">
            <w:pPr>
              <w:widowControl/>
              <w:autoSpaceDE/>
              <w:adjustRightInd/>
              <w:spacing w:line="256" w:lineRule="auto"/>
              <w:jc w:val="right"/>
              <w:rPr>
                <w:rFonts w:eastAsia="Calibri"/>
                <w:sz w:val="26"/>
                <w:szCs w:val="26"/>
              </w:rPr>
            </w:pPr>
            <w:r>
              <w:rPr>
                <w:rFonts w:eastAsia="Calibri"/>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093B8BE7" w14:textId="77777777">
            <w:pPr>
              <w:widowControl/>
              <w:autoSpaceDE/>
              <w:adjustRightInd/>
              <w:spacing w:line="256" w:lineRule="auto"/>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4C72D783"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6CC29813" w14:textId="77777777">
            <w:pPr>
              <w:widowControl/>
              <w:autoSpaceDE/>
              <w:adjustRightInd/>
              <w:spacing w:line="256" w:lineRule="auto"/>
              <w:jc w:val="right"/>
              <w:rPr>
                <w:rFonts w:eastAsia="Calibri"/>
                <w:sz w:val="26"/>
                <w:szCs w:val="26"/>
              </w:rPr>
            </w:pPr>
            <w:r>
              <w:rPr>
                <w:rFonts w:eastAsia="Calibri"/>
                <w:sz w:val="26"/>
                <w:szCs w:val="26"/>
              </w:rPr>
              <w:t>$0</w:t>
            </w:r>
          </w:p>
        </w:tc>
      </w:tr>
    </w:tbl>
    <w:p w:rsidR="005B2CEE" w:rsidP="005B2CEE" w:rsidRDefault="005B2CEE" w14:paraId="3FCAF8D6" w14:textId="77777777">
      <w:pPr>
        <w:pStyle w:val="FERCparanumber"/>
        <w:numPr>
          <w:ilvl w:val="0"/>
          <w:numId w:val="0"/>
        </w:numPr>
        <w:tabs>
          <w:tab w:val="left" w:pos="720"/>
        </w:tabs>
        <w:autoSpaceDE w:val="0"/>
        <w:autoSpaceDN w:val="0"/>
        <w:adjustRightInd w:val="0"/>
        <w:rPr>
          <w:szCs w:val="26"/>
        </w:rPr>
      </w:pPr>
    </w:p>
    <w:tbl>
      <w:tblPr>
        <w:tblW w:w="990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02"/>
        <w:gridCol w:w="1779"/>
        <w:gridCol w:w="1959"/>
        <w:gridCol w:w="1683"/>
        <w:gridCol w:w="1777"/>
      </w:tblGrid>
      <w:tr w:rsidR="005B2CEE" w:rsidTr="005B2CEE" w14:paraId="32337628" w14:textId="77777777">
        <w:trPr>
          <w:trHeight w:val="870"/>
        </w:trPr>
        <w:tc>
          <w:tcPr>
            <w:tcW w:w="2702"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68B90035" w14:textId="77777777">
            <w:pPr>
              <w:widowControl/>
              <w:autoSpaceDE/>
              <w:adjustRightInd/>
              <w:spacing w:line="256" w:lineRule="auto"/>
              <w:rPr>
                <w:rFonts w:eastAsia="Calibri"/>
                <w:b/>
                <w:sz w:val="26"/>
                <w:szCs w:val="26"/>
              </w:rPr>
            </w:pPr>
            <w:r>
              <w:rPr>
                <w:rFonts w:eastAsia="Calibri"/>
                <w:b/>
                <w:sz w:val="26"/>
                <w:szCs w:val="26"/>
              </w:rPr>
              <w:t>FERC-725Z</w:t>
            </w:r>
          </w:p>
        </w:tc>
        <w:tc>
          <w:tcPr>
            <w:tcW w:w="177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1C49F102" w14:textId="77777777">
            <w:pPr>
              <w:widowControl/>
              <w:autoSpaceDE/>
              <w:adjustRightInd/>
              <w:spacing w:line="256" w:lineRule="auto"/>
              <w:rPr>
                <w:rFonts w:eastAsia="Calibri"/>
                <w:b/>
                <w:sz w:val="26"/>
                <w:szCs w:val="26"/>
              </w:rPr>
            </w:pPr>
            <w:r>
              <w:rPr>
                <w:rFonts w:eastAsia="Calibri"/>
                <w:b/>
                <w:sz w:val="26"/>
                <w:szCs w:val="26"/>
              </w:rPr>
              <w:t>Total Request</w:t>
            </w:r>
          </w:p>
        </w:tc>
        <w:tc>
          <w:tcPr>
            <w:tcW w:w="1959"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5BAFA7F3" w14:textId="77777777">
            <w:pPr>
              <w:widowControl/>
              <w:autoSpaceDE/>
              <w:adjustRightInd/>
              <w:spacing w:line="256" w:lineRule="auto"/>
              <w:rPr>
                <w:rFonts w:eastAsia="Calibri"/>
                <w:b/>
                <w:sz w:val="26"/>
                <w:szCs w:val="26"/>
              </w:rPr>
            </w:pPr>
            <w:r>
              <w:rPr>
                <w:rFonts w:eastAsia="Calibri"/>
                <w:b/>
                <w:sz w:val="26"/>
                <w:szCs w:val="26"/>
              </w:rPr>
              <w:t>Change Due to Agency Discretion</w:t>
            </w:r>
          </w:p>
        </w:tc>
        <w:tc>
          <w:tcPr>
            <w:tcW w:w="1683"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7CCB0764" w14:textId="77777777">
            <w:pPr>
              <w:widowControl/>
              <w:autoSpaceDE/>
              <w:adjustRightInd/>
              <w:spacing w:line="256" w:lineRule="auto"/>
              <w:rPr>
                <w:rFonts w:eastAsia="Calibri"/>
                <w:b/>
                <w:sz w:val="26"/>
                <w:szCs w:val="26"/>
              </w:rPr>
            </w:pPr>
            <w:r>
              <w:rPr>
                <w:rFonts w:eastAsia="Calibri"/>
                <w:b/>
                <w:sz w:val="26"/>
                <w:szCs w:val="26"/>
              </w:rPr>
              <w:t>Change due to Adjustment in Estimate</w:t>
            </w:r>
          </w:p>
        </w:tc>
        <w:tc>
          <w:tcPr>
            <w:tcW w:w="1777" w:type="dxa"/>
            <w:tcBorders>
              <w:top w:val="single" w:color="auto" w:sz="4" w:space="0"/>
              <w:left w:val="single" w:color="auto" w:sz="4" w:space="0"/>
              <w:bottom w:val="single" w:color="auto" w:sz="4" w:space="0"/>
              <w:right w:val="single" w:color="auto" w:sz="4" w:space="0"/>
            </w:tcBorders>
            <w:shd w:val="clear" w:color="auto" w:fill="D9D9D9"/>
            <w:vAlign w:val="bottom"/>
            <w:hideMark/>
          </w:tcPr>
          <w:p w:rsidR="005B2CEE" w:rsidRDefault="005B2CEE" w14:paraId="13E779AC" w14:textId="77777777">
            <w:pPr>
              <w:widowControl/>
              <w:autoSpaceDE/>
              <w:adjustRightInd/>
              <w:spacing w:line="256" w:lineRule="auto"/>
              <w:rPr>
                <w:rFonts w:eastAsia="Calibri"/>
                <w:b/>
                <w:sz w:val="26"/>
                <w:szCs w:val="26"/>
              </w:rPr>
            </w:pPr>
            <w:r>
              <w:rPr>
                <w:rFonts w:eastAsia="Calibri"/>
                <w:b/>
                <w:sz w:val="26"/>
                <w:szCs w:val="26"/>
              </w:rPr>
              <w:t>Previously Approved</w:t>
            </w:r>
          </w:p>
        </w:tc>
      </w:tr>
      <w:tr w:rsidR="005B2CEE" w:rsidTr="005B2CEE" w14:paraId="35E31D4D" w14:textId="77777777">
        <w:trPr>
          <w:trHeight w:val="591"/>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7B48989F" w14:textId="77777777">
            <w:pPr>
              <w:widowControl/>
              <w:autoSpaceDE/>
              <w:adjustRightInd/>
              <w:spacing w:line="256" w:lineRule="auto"/>
              <w:rPr>
                <w:rFonts w:eastAsia="Calibri"/>
                <w:sz w:val="26"/>
                <w:szCs w:val="26"/>
              </w:rPr>
            </w:pPr>
            <w:r>
              <w:rPr>
                <w:rFonts w:eastAsia="Calibri"/>
                <w:sz w:val="26"/>
                <w:szCs w:val="26"/>
              </w:rPr>
              <w:t>Annual Number of Responses</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B13FF87" w14:textId="77777777">
            <w:pPr>
              <w:widowControl/>
              <w:autoSpaceDE/>
              <w:adjustRightInd/>
              <w:spacing w:line="256" w:lineRule="auto"/>
              <w:jc w:val="right"/>
              <w:rPr>
                <w:rFonts w:eastAsia="Calibri"/>
                <w:sz w:val="26"/>
                <w:szCs w:val="26"/>
              </w:rPr>
            </w:pPr>
            <w:r>
              <w:rPr>
                <w:rFonts w:eastAsia="Calibri"/>
                <w:sz w:val="26"/>
                <w:szCs w:val="26"/>
              </w:rPr>
              <w:t>6,686</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93EA9F2" w14:textId="77777777">
            <w:pPr>
              <w:widowControl/>
              <w:autoSpaceDE/>
              <w:adjustRightInd/>
              <w:spacing w:line="256" w:lineRule="auto"/>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40A82D4"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249D7A9" w14:textId="77777777">
            <w:pPr>
              <w:widowControl/>
              <w:autoSpaceDE/>
              <w:adjustRightInd/>
              <w:spacing w:line="256" w:lineRule="auto"/>
              <w:jc w:val="right"/>
              <w:rPr>
                <w:rFonts w:eastAsia="Calibri"/>
                <w:sz w:val="26"/>
                <w:szCs w:val="26"/>
              </w:rPr>
            </w:pPr>
            <w:r>
              <w:rPr>
                <w:rFonts w:eastAsia="Calibri"/>
                <w:sz w:val="26"/>
                <w:szCs w:val="26"/>
              </w:rPr>
              <w:t>6,686</w:t>
            </w:r>
          </w:p>
        </w:tc>
      </w:tr>
      <w:tr w:rsidR="005B2CEE" w:rsidTr="005B2CEE" w14:paraId="73757D57" w14:textId="77777777">
        <w:trPr>
          <w:trHeight w:val="57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64E7E192" w14:textId="77777777">
            <w:pPr>
              <w:widowControl/>
              <w:autoSpaceDE/>
              <w:adjustRightInd/>
              <w:spacing w:line="256" w:lineRule="auto"/>
              <w:rPr>
                <w:rFonts w:eastAsia="Calibri"/>
                <w:sz w:val="26"/>
                <w:szCs w:val="26"/>
              </w:rPr>
            </w:pPr>
            <w:r>
              <w:rPr>
                <w:rFonts w:eastAsia="Calibri"/>
                <w:sz w:val="26"/>
                <w:szCs w:val="26"/>
              </w:rPr>
              <w:t>Annual Time Burden (Hr.)</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2EC58CA2" w14:textId="77777777">
            <w:pPr>
              <w:widowControl/>
              <w:autoSpaceDE/>
              <w:adjustRightInd/>
              <w:spacing w:line="256" w:lineRule="auto"/>
              <w:jc w:val="right"/>
              <w:rPr>
                <w:rFonts w:eastAsia="Calibri"/>
                <w:sz w:val="26"/>
                <w:szCs w:val="26"/>
              </w:rPr>
            </w:pPr>
            <w:r>
              <w:rPr>
                <w:rFonts w:eastAsia="Calibri"/>
                <w:sz w:val="26"/>
                <w:szCs w:val="26"/>
              </w:rPr>
              <w:t>50,083</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6BB10096" w14:textId="77777777">
            <w:pPr>
              <w:widowControl/>
              <w:autoSpaceDE/>
              <w:adjustRightInd/>
              <w:spacing w:line="256" w:lineRule="auto"/>
              <w:jc w:val="right"/>
              <w:rPr>
                <w:rFonts w:eastAsia="Calibri"/>
                <w:sz w:val="26"/>
                <w:szCs w:val="26"/>
              </w:rPr>
            </w:pPr>
            <w:r>
              <w:rPr>
                <w:rFonts w:eastAsia="Calibri"/>
                <w:sz w:val="26"/>
                <w:szCs w:val="26"/>
              </w:rPr>
              <w:t>-84</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00705D40"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71B6234F" w14:textId="77777777">
            <w:pPr>
              <w:widowControl/>
              <w:autoSpaceDE/>
              <w:adjustRightInd/>
              <w:spacing w:line="256" w:lineRule="auto"/>
              <w:jc w:val="right"/>
              <w:rPr>
                <w:rFonts w:eastAsia="Calibri"/>
                <w:sz w:val="26"/>
                <w:szCs w:val="26"/>
              </w:rPr>
            </w:pPr>
            <w:r>
              <w:rPr>
                <w:rFonts w:eastAsia="Calibri"/>
                <w:sz w:val="26"/>
                <w:szCs w:val="26"/>
              </w:rPr>
              <w:t>50,167</w:t>
            </w:r>
          </w:p>
        </w:tc>
      </w:tr>
      <w:tr w:rsidR="005B2CEE" w:rsidTr="005B2CEE" w14:paraId="076A82BA" w14:textId="77777777">
        <w:trPr>
          <w:trHeight w:val="295"/>
        </w:trPr>
        <w:tc>
          <w:tcPr>
            <w:tcW w:w="2702" w:type="dxa"/>
            <w:tcBorders>
              <w:top w:val="single" w:color="auto" w:sz="4" w:space="0"/>
              <w:left w:val="single" w:color="auto" w:sz="4" w:space="0"/>
              <w:bottom w:val="single" w:color="auto" w:sz="4" w:space="0"/>
              <w:right w:val="single" w:color="auto" w:sz="4" w:space="0"/>
            </w:tcBorders>
            <w:hideMark/>
          </w:tcPr>
          <w:p w:rsidR="005B2CEE" w:rsidRDefault="005B2CEE" w14:paraId="7D5670B5" w14:textId="77777777">
            <w:pPr>
              <w:widowControl/>
              <w:autoSpaceDE/>
              <w:adjustRightInd/>
              <w:spacing w:line="256" w:lineRule="auto"/>
              <w:rPr>
                <w:rFonts w:eastAsia="Calibri"/>
                <w:sz w:val="26"/>
                <w:szCs w:val="26"/>
              </w:rPr>
            </w:pPr>
            <w:r>
              <w:rPr>
                <w:rFonts w:eastAsia="Calibri"/>
                <w:sz w:val="26"/>
                <w:szCs w:val="26"/>
              </w:rPr>
              <w:t>Annual Cost Burden ($)</w:t>
            </w:r>
          </w:p>
        </w:tc>
        <w:tc>
          <w:tcPr>
            <w:tcW w:w="177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782EC490" w14:textId="77777777">
            <w:pPr>
              <w:widowControl/>
              <w:autoSpaceDE/>
              <w:adjustRightInd/>
              <w:spacing w:line="256" w:lineRule="auto"/>
              <w:jc w:val="right"/>
              <w:rPr>
                <w:rFonts w:eastAsia="Calibri"/>
                <w:sz w:val="26"/>
                <w:szCs w:val="26"/>
              </w:rPr>
            </w:pPr>
            <w:r>
              <w:rPr>
                <w:rFonts w:eastAsia="Calibri"/>
                <w:sz w:val="26"/>
                <w:szCs w:val="26"/>
              </w:rPr>
              <w:t>$0</w:t>
            </w:r>
          </w:p>
        </w:tc>
        <w:tc>
          <w:tcPr>
            <w:tcW w:w="1959"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537CF69" w14:textId="77777777">
            <w:pPr>
              <w:widowControl/>
              <w:autoSpaceDE/>
              <w:adjustRightInd/>
              <w:spacing w:line="256" w:lineRule="auto"/>
              <w:jc w:val="right"/>
              <w:rPr>
                <w:rFonts w:eastAsia="Calibri"/>
                <w:sz w:val="26"/>
                <w:szCs w:val="26"/>
              </w:rPr>
            </w:pPr>
            <w:r>
              <w:rPr>
                <w:rFonts w:eastAsia="Calibri"/>
                <w:sz w:val="26"/>
                <w:szCs w:val="26"/>
              </w:rPr>
              <w:t>$0</w:t>
            </w:r>
          </w:p>
        </w:tc>
        <w:tc>
          <w:tcPr>
            <w:tcW w:w="1683"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391CB5CD" w14:textId="77777777">
            <w:pPr>
              <w:widowControl/>
              <w:autoSpaceDE/>
              <w:adjustRightInd/>
              <w:spacing w:line="256" w:lineRule="auto"/>
              <w:jc w:val="right"/>
              <w:rPr>
                <w:rFonts w:eastAsia="Calibri"/>
                <w:sz w:val="26"/>
                <w:szCs w:val="26"/>
              </w:rPr>
            </w:pPr>
            <w:r>
              <w:rPr>
                <w:rFonts w:eastAsia="Calibri"/>
                <w:sz w:val="26"/>
                <w:szCs w:val="26"/>
              </w:rPr>
              <w:t>$0</w:t>
            </w:r>
          </w:p>
        </w:tc>
        <w:tc>
          <w:tcPr>
            <w:tcW w:w="1777" w:type="dxa"/>
            <w:tcBorders>
              <w:top w:val="single" w:color="auto" w:sz="4" w:space="0"/>
              <w:left w:val="single" w:color="auto" w:sz="4" w:space="0"/>
              <w:bottom w:val="single" w:color="auto" w:sz="4" w:space="0"/>
              <w:right w:val="single" w:color="auto" w:sz="4" w:space="0"/>
            </w:tcBorders>
            <w:vAlign w:val="center"/>
            <w:hideMark/>
          </w:tcPr>
          <w:p w:rsidR="005B2CEE" w:rsidRDefault="005B2CEE" w14:paraId="1D775E54" w14:textId="77777777">
            <w:pPr>
              <w:widowControl/>
              <w:autoSpaceDE/>
              <w:adjustRightInd/>
              <w:spacing w:line="256" w:lineRule="auto"/>
              <w:jc w:val="right"/>
              <w:rPr>
                <w:rFonts w:eastAsia="Calibri"/>
                <w:sz w:val="26"/>
                <w:szCs w:val="26"/>
              </w:rPr>
            </w:pPr>
            <w:r>
              <w:rPr>
                <w:rFonts w:eastAsia="Calibri"/>
                <w:sz w:val="26"/>
                <w:szCs w:val="26"/>
              </w:rPr>
              <w:t>$0</w:t>
            </w:r>
          </w:p>
        </w:tc>
      </w:tr>
    </w:tbl>
    <w:p w:rsidRPr="003737CB" w:rsidR="0035439D" w:rsidP="00485111" w:rsidRDefault="0035439D" w14:paraId="628BB6F4" w14:textId="77777777">
      <w:pPr>
        <w:pStyle w:val="FERCparanumber"/>
        <w:numPr>
          <w:ilvl w:val="0"/>
          <w:numId w:val="2"/>
        </w:numPr>
        <w:spacing w:line="20" w:lineRule="atLeast"/>
        <w:rPr>
          <w:b/>
          <w:szCs w:val="26"/>
        </w:rPr>
      </w:pPr>
      <w:r w:rsidRPr="003737CB">
        <w:rPr>
          <w:b/>
          <w:szCs w:val="26"/>
        </w:rPr>
        <w:t>TIME SCHEDULE FOR PUBLICATION OF DATA</w:t>
      </w:r>
    </w:p>
    <w:p w:rsidRPr="003737CB" w:rsidR="0035439D" w:rsidP="00485111" w:rsidRDefault="0035439D" w14:paraId="24F6A002" w14:textId="77777777">
      <w:pPr>
        <w:pStyle w:val="FERCparanumber"/>
        <w:numPr>
          <w:ilvl w:val="0"/>
          <w:numId w:val="0"/>
        </w:numPr>
        <w:spacing w:line="20" w:lineRule="atLeast"/>
        <w:rPr>
          <w:b/>
          <w:szCs w:val="26"/>
        </w:rPr>
      </w:pPr>
    </w:p>
    <w:p w:rsidRPr="003737CB" w:rsidR="0035439D" w:rsidP="00485111" w:rsidRDefault="0035439D" w14:paraId="24653FC0" w14:textId="12B3FACC">
      <w:pPr>
        <w:spacing w:line="20" w:lineRule="atLeast"/>
        <w:rPr>
          <w:sz w:val="26"/>
          <w:szCs w:val="26"/>
        </w:rPr>
      </w:pPr>
      <w:r w:rsidRPr="003737CB">
        <w:rPr>
          <w:sz w:val="26"/>
          <w:szCs w:val="26"/>
        </w:rPr>
        <w:t>There is no publication of data associated with FERC-</w:t>
      </w:r>
      <w:r w:rsidR="00035181">
        <w:rPr>
          <w:sz w:val="26"/>
          <w:szCs w:val="26"/>
        </w:rPr>
        <w:t>725</w:t>
      </w:r>
      <w:r w:rsidR="00EF05D5">
        <w:rPr>
          <w:sz w:val="26"/>
          <w:szCs w:val="26"/>
        </w:rPr>
        <w:t xml:space="preserve">A, </w:t>
      </w:r>
      <w:r w:rsidR="00905176">
        <w:rPr>
          <w:sz w:val="26"/>
          <w:szCs w:val="26"/>
        </w:rPr>
        <w:t>725</w:t>
      </w:r>
      <w:r w:rsidR="00EF05D5">
        <w:rPr>
          <w:sz w:val="26"/>
          <w:szCs w:val="26"/>
        </w:rPr>
        <w:t xml:space="preserve">G1, </w:t>
      </w:r>
      <w:r w:rsidR="00A97B44">
        <w:rPr>
          <w:sz w:val="26"/>
          <w:szCs w:val="26"/>
        </w:rPr>
        <w:t>and</w:t>
      </w:r>
      <w:r w:rsidR="00EF05D5">
        <w:rPr>
          <w:sz w:val="26"/>
          <w:szCs w:val="26"/>
        </w:rPr>
        <w:t xml:space="preserve"> </w:t>
      </w:r>
      <w:r w:rsidR="00905176">
        <w:rPr>
          <w:sz w:val="26"/>
          <w:szCs w:val="26"/>
        </w:rPr>
        <w:t>725</w:t>
      </w:r>
      <w:r w:rsidR="00EF05D5">
        <w:rPr>
          <w:sz w:val="26"/>
          <w:szCs w:val="26"/>
        </w:rPr>
        <w:t>Z</w:t>
      </w:r>
      <w:r w:rsidRPr="003737CB">
        <w:rPr>
          <w:sz w:val="26"/>
          <w:szCs w:val="26"/>
        </w:rPr>
        <w:t xml:space="preserve"> information.</w:t>
      </w:r>
    </w:p>
    <w:p w:rsidRPr="003737CB" w:rsidR="0035439D" w:rsidP="00485111" w:rsidRDefault="0035439D" w14:paraId="5B4B661D" w14:textId="77777777">
      <w:pPr>
        <w:pStyle w:val="FERCparanumber"/>
        <w:numPr>
          <w:ilvl w:val="0"/>
          <w:numId w:val="0"/>
        </w:numPr>
        <w:spacing w:line="20" w:lineRule="atLeast"/>
        <w:rPr>
          <w:b/>
          <w:szCs w:val="26"/>
        </w:rPr>
      </w:pPr>
    </w:p>
    <w:p w:rsidRPr="003737CB" w:rsidR="0035439D" w:rsidP="00485111" w:rsidRDefault="0035439D" w14:paraId="76995DAB" w14:textId="77777777">
      <w:pPr>
        <w:pStyle w:val="FERCparanumber"/>
        <w:numPr>
          <w:ilvl w:val="0"/>
          <w:numId w:val="2"/>
        </w:numPr>
        <w:spacing w:line="20" w:lineRule="atLeast"/>
        <w:rPr>
          <w:b/>
          <w:szCs w:val="26"/>
        </w:rPr>
      </w:pPr>
      <w:r w:rsidRPr="003737CB">
        <w:rPr>
          <w:b/>
          <w:szCs w:val="26"/>
        </w:rPr>
        <w:t>DISPLAY OF EXPIRATION DATE</w:t>
      </w:r>
    </w:p>
    <w:p w:rsidRPr="003737CB" w:rsidR="0035439D" w:rsidP="00485111" w:rsidRDefault="0035439D" w14:paraId="74AB61FA" w14:textId="77777777">
      <w:pPr>
        <w:pStyle w:val="FERCparanumber"/>
        <w:numPr>
          <w:ilvl w:val="0"/>
          <w:numId w:val="0"/>
        </w:numPr>
        <w:spacing w:line="20" w:lineRule="atLeast"/>
        <w:rPr>
          <w:b/>
          <w:szCs w:val="26"/>
        </w:rPr>
      </w:pPr>
    </w:p>
    <w:p w:rsidRPr="003737CB" w:rsidR="0035439D" w:rsidP="00485111" w:rsidRDefault="0035439D" w14:paraId="6DDAB392" w14:textId="415EC570">
      <w:pPr>
        <w:spacing w:line="20" w:lineRule="atLeast"/>
        <w:rPr>
          <w:sz w:val="26"/>
          <w:szCs w:val="26"/>
        </w:rPr>
      </w:pPr>
      <w:r w:rsidRPr="003737CB">
        <w:rPr>
          <w:sz w:val="26"/>
          <w:szCs w:val="26"/>
        </w:rPr>
        <w:t xml:space="preserve">The expiration date is displayed in a table posted on ferc.gov at </w:t>
      </w:r>
      <w:hyperlink w:history="1" r:id="rId13">
        <w:r w:rsidRPr="003737CB">
          <w:rPr>
            <w:rStyle w:val="Hyperlink"/>
            <w:sz w:val="26"/>
            <w:szCs w:val="26"/>
          </w:rPr>
          <w:t>http://www.ferc.gov/docs-filing/info-collections.asp</w:t>
        </w:r>
      </w:hyperlink>
      <w:r w:rsidRPr="003737CB">
        <w:rPr>
          <w:sz w:val="26"/>
          <w:szCs w:val="26"/>
        </w:rPr>
        <w:t>.</w:t>
      </w:r>
      <w:r w:rsidR="006D3142">
        <w:rPr>
          <w:sz w:val="26"/>
          <w:szCs w:val="26"/>
        </w:rPr>
        <w:t xml:space="preserve">  </w:t>
      </w:r>
    </w:p>
    <w:p w:rsidRPr="003737CB" w:rsidR="0035439D" w:rsidP="00485111" w:rsidRDefault="0035439D" w14:paraId="7A27DCB3" w14:textId="77777777">
      <w:pPr>
        <w:pStyle w:val="FERCparanumber"/>
        <w:numPr>
          <w:ilvl w:val="0"/>
          <w:numId w:val="0"/>
        </w:numPr>
        <w:spacing w:line="20" w:lineRule="atLeast"/>
        <w:rPr>
          <w:b/>
          <w:szCs w:val="26"/>
        </w:rPr>
      </w:pPr>
    </w:p>
    <w:p w:rsidRPr="003737CB" w:rsidR="0035439D" w:rsidP="00485111" w:rsidRDefault="0035439D" w14:paraId="664AB82F" w14:textId="77777777">
      <w:pPr>
        <w:widowControl/>
        <w:numPr>
          <w:ilvl w:val="0"/>
          <w:numId w:val="2"/>
        </w:numPr>
        <w:spacing w:line="20" w:lineRule="atLeast"/>
        <w:ind w:hanging="720"/>
        <w:rPr>
          <w:b/>
          <w:sz w:val="26"/>
          <w:szCs w:val="26"/>
        </w:rPr>
      </w:pPr>
      <w:r w:rsidRPr="003737CB">
        <w:rPr>
          <w:b/>
          <w:sz w:val="26"/>
          <w:szCs w:val="26"/>
        </w:rPr>
        <w:t>EXCEPTIONS TO THE CERTIFICATION STATEMENT</w:t>
      </w:r>
    </w:p>
    <w:p w:rsidRPr="003737CB" w:rsidR="0035439D" w:rsidP="00485111" w:rsidRDefault="0035439D" w14:paraId="5B88D856" w14:textId="77777777">
      <w:pPr>
        <w:widowControl/>
        <w:spacing w:line="20" w:lineRule="atLeast"/>
        <w:ind w:left="720"/>
        <w:rPr>
          <w:b/>
          <w:sz w:val="26"/>
          <w:szCs w:val="26"/>
        </w:rPr>
      </w:pPr>
    </w:p>
    <w:p w:rsidRPr="00961C86" w:rsidR="00E704E3" w:rsidP="00D15576" w:rsidRDefault="0035439D" w14:paraId="54EB0695" w14:textId="725EECF5">
      <w:pPr>
        <w:widowControl/>
        <w:spacing w:line="20" w:lineRule="atLeast"/>
      </w:pPr>
      <w:r w:rsidRPr="00517123">
        <w:rPr>
          <w:sz w:val="26"/>
          <w:szCs w:val="26"/>
        </w:rPr>
        <w:t>There are no exceptions</w:t>
      </w:r>
      <w:r w:rsidR="0029622B">
        <w:rPr>
          <w:sz w:val="26"/>
          <w:szCs w:val="26"/>
        </w:rPr>
        <w:t>.</w:t>
      </w:r>
    </w:p>
    <w:sectPr w:rsidRPr="00961C86" w:rsidR="00E704E3" w:rsidSect="00C6008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45F10" w14:textId="77777777" w:rsidR="006469B6" w:rsidRDefault="006469B6" w:rsidP="0035439D">
      <w:r>
        <w:separator/>
      </w:r>
    </w:p>
  </w:endnote>
  <w:endnote w:type="continuationSeparator" w:id="0">
    <w:p w14:paraId="4E1CB0C5" w14:textId="77777777" w:rsidR="006469B6" w:rsidRDefault="006469B6" w:rsidP="00354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DB82C" w14:textId="77777777" w:rsidR="00AA6C2F" w:rsidRDefault="00AA6C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5AE2" w14:textId="77777777" w:rsidR="00225FCC" w:rsidRDefault="00225FCC">
    <w:pPr>
      <w:pStyle w:val="Footer"/>
      <w:jc w:val="right"/>
    </w:pPr>
    <w:r>
      <w:t xml:space="preserve">Page </w:t>
    </w:r>
    <w:sdt>
      <w:sdtPr>
        <w:id w:val="2106064877"/>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1</w:t>
        </w:r>
        <w:r>
          <w:rPr>
            <w:noProof/>
          </w:rPr>
          <w:fldChar w:fldCharType="end"/>
        </w:r>
      </w:sdtContent>
    </w:sdt>
  </w:p>
  <w:p w14:paraId="510D5CE7" w14:textId="77777777" w:rsidR="00225FCC" w:rsidRDefault="00225FC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403DE" w14:textId="77777777" w:rsidR="00AA6C2F" w:rsidRDefault="00AA6C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0D60BC" w14:textId="77777777" w:rsidR="006469B6" w:rsidRDefault="006469B6" w:rsidP="0035439D">
      <w:r>
        <w:separator/>
      </w:r>
    </w:p>
  </w:footnote>
  <w:footnote w:type="continuationSeparator" w:id="0">
    <w:p w14:paraId="6F09B534" w14:textId="77777777" w:rsidR="006469B6" w:rsidRDefault="006469B6" w:rsidP="0035439D">
      <w:r>
        <w:continuationSeparator/>
      </w:r>
    </w:p>
  </w:footnote>
  <w:footnote w:id="1">
    <w:p w14:paraId="79DDBC25" w14:textId="56D5BF59" w:rsidR="00934C09" w:rsidRDefault="00934C09" w:rsidP="00C0261E">
      <w:pPr>
        <w:pStyle w:val="FootnoteText"/>
      </w:pPr>
      <w:r w:rsidRPr="00C0261E">
        <w:rPr>
          <w:rStyle w:val="FootnoteReference"/>
          <w:sz w:val="24"/>
          <w:vertAlign w:val="superscript"/>
        </w:rPr>
        <w:footnoteRef/>
      </w:r>
      <w:r w:rsidRPr="00C467F5">
        <w:t xml:space="preserve"> The IC for </w:t>
      </w:r>
      <w:r w:rsidR="00C0261E" w:rsidRPr="00C0261E">
        <w:t>FERC-725A(1C) (Mandatory Reliability Standards for Bulk-Power System: Reliability Standard TOP-001-4), OMB Control No. 1902-0298</w:t>
      </w:r>
      <w:r w:rsidR="00C0261E">
        <w:t>,</w:t>
      </w:r>
      <w:r w:rsidR="008B6D16" w:rsidRPr="00C467F5">
        <w:t xml:space="preserve"> originally incorporated in the </w:t>
      </w:r>
      <w:r w:rsidR="00922755">
        <w:t>f</w:t>
      </w:r>
      <w:r w:rsidR="008B6D16" w:rsidRPr="00C467F5">
        <w:t xml:space="preserve">inal </w:t>
      </w:r>
      <w:r w:rsidR="00922755">
        <w:t>r</w:t>
      </w:r>
      <w:r w:rsidR="008B6D16" w:rsidRPr="00C467F5">
        <w:t>ule</w:t>
      </w:r>
      <w:r w:rsidR="00C0261E">
        <w:t>,</w:t>
      </w:r>
      <w:r w:rsidRPr="00C467F5">
        <w:t xml:space="preserve"> is currently being renewed through OMB</w:t>
      </w:r>
      <w:r w:rsidR="00C0261E">
        <w:t>.  A</w:t>
      </w:r>
      <w:r w:rsidRPr="00C467F5">
        <w:t>s a result</w:t>
      </w:r>
      <w:r w:rsidR="00C0261E">
        <w:t xml:space="preserve">, in this request, </w:t>
      </w:r>
      <w:r w:rsidRPr="00C467F5">
        <w:t xml:space="preserve">the burden </w:t>
      </w:r>
      <w:r w:rsidR="00C0261E">
        <w:t xml:space="preserve">for FERC-725A(1C) </w:t>
      </w:r>
      <w:r w:rsidRPr="00C467F5">
        <w:t xml:space="preserve">will be </w:t>
      </w:r>
      <w:r w:rsidR="00C0261E">
        <w:t xml:space="preserve">included </w:t>
      </w:r>
      <w:r w:rsidRPr="00C467F5">
        <w:t>represented in FERC-725A (Mandatory Reliability Standards for the Bulk-Power System), OMB Control No. 1902-0244</w:t>
      </w:r>
      <w:r w:rsidR="00C0261E">
        <w:t>.</w:t>
      </w:r>
    </w:p>
  </w:footnote>
  <w:footnote w:id="2">
    <w:p w14:paraId="18FF1D23" w14:textId="77777777" w:rsidR="00225FCC" w:rsidRPr="00961C86" w:rsidRDefault="00225FCC" w:rsidP="00F27D92">
      <w:pPr>
        <w:pStyle w:val="FootnoteText"/>
      </w:pPr>
      <w:r w:rsidRPr="00C0261E">
        <w:rPr>
          <w:rStyle w:val="FootnoteReference"/>
          <w:sz w:val="24"/>
          <w:vertAlign w:val="superscript"/>
        </w:rPr>
        <w:footnoteRef/>
      </w:r>
      <w:r w:rsidRPr="00961C86">
        <w:rPr>
          <w:vertAlign w:val="superscript"/>
        </w:rPr>
        <w:t xml:space="preserve"> </w:t>
      </w:r>
      <w:r w:rsidRPr="00961C86">
        <w:t>The Energy Policy Act of 2005, Pub. L. No 109-58, Title XII, Subtitle A, 119 Stat. 594, 941 (2005), codified at 16 U.S.C. 824o (2006).</w:t>
      </w:r>
    </w:p>
  </w:footnote>
  <w:footnote w:id="3">
    <w:p w14:paraId="010B6810" w14:textId="77777777" w:rsidR="00225FCC" w:rsidRPr="001F2271" w:rsidRDefault="00225FCC" w:rsidP="001529B8">
      <w:pPr>
        <w:pStyle w:val="FootnoteText"/>
      </w:pPr>
      <w:r w:rsidRPr="00880B8B">
        <w:rPr>
          <w:rStyle w:val="FootnoteReference"/>
          <w:sz w:val="24"/>
          <w:vertAlign w:val="superscript"/>
        </w:rPr>
        <w:footnoteRef/>
      </w:r>
      <w:r w:rsidRPr="001F2271">
        <w:t xml:space="preserve"> </w:t>
      </w:r>
      <w:r w:rsidRPr="00961C86">
        <w:t>Rules Concerning Certification of the Electric Reliability Organization; and Procedures for the Establishment, Approval, and Enforcement of Electric Reliability Standards</w:t>
      </w:r>
      <w:r w:rsidRPr="001F2271">
        <w:t xml:space="preserve">, Order No. 672, FERC Stats. &amp; Regs. ¶ 31,204, </w:t>
      </w:r>
      <w:r w:rsidRPr="00961C86">
        <w:t>order on reh’g</w:t>
      </w:r>
      <w:r w:rsidRPr="001F2271">
        <w:t xml:space="preserve">, Order No. 672-A, FERC Stats. &amp; Regs. ¶ 31,212 (2006).  </w:t>
      </w:r>
    </w:p>
  </w:footnote>
  <w:footnote w:id="4">
    <w:p w14:paraId="1EF2CF4B" w14:textId="1395D55D" w:rsidR="00225FCC" w:rsidRPr="007168F7" w:rsidRDefault="00225FCC" w:rsidP="00B34FA8">
      <w:pPr>
        <w:pStyle w:val="FootnoteText"/>
      </w:pPr>
      <w:r w:rsidRPr="00880B8B">
        <w:rPr>
          <w:rStyle w:val="FootnoteReference"/>
          <w:sz w:val="24"/>
          <w:vertAlign w:val="superscript"/>
        </w:rPr>
        <w:footnoteRef/>
      </w:r>
      <w:r w:rsidRPr="007168F7">
        <w:t xml:space="preserve"> The retirements will result in the elimination of 1</w:t>
      </w:r>
      <w:r w:rsidR="00A75BEB">
        <w:t>8</w:t>
      </w:r>
      <w:r w:rsidRPr="007168F7">
        <w:t xml:space="preserve"> </w:t>
      </w:r>
      <w:r w:rsidR="0012620C">
        <w:t xml:space="preserve">of 76 </w:t>
      </w:r>
      <w:r w:rsidRPr="007168F7">
        <w:t>Reliability Standard</w:t>
      </w:r>
      <w:r w:rsidR="0012620C">
        <w:t xml:space="preserve"> requirements.</w:t>
      </w:r>
      <w:r w:rsidRPr="007168F7">
        <w:t xml:space="preserve"> </w:t>
      </w:r>
    </w:p>
  </w:footnote>
  <w:footnote w:id="5">
    <w:p w14:paraId="7E43A0F3" w14:textId="77777777" w:rsidR="0026242F" w:rsidRDefault="0026242F" w:rsidP="0026242F">
      <w:pPr>
        <w:pStyle w:val="FootnoteText"/>
      </w:pPr>
      <w:r w:rsidRPr="00880B8B">
        <w:rPr>
          <w:rStyle w:val="FootnoteReference"/>
          <w:sz w:val="24"/>
          <w:vertAlign w:val="superscript"/>
        </w:rPr>
        <w:footnoteRef/>
      </w:r>
      <w:r>
        <w:t xml:space="preserve"> 16 U.S.C. 824</w:t>
      </w:r>
      <w:r w:rsidRPr="00880B8B">
        <w:rPr>
          <w:i/>
          <w:iCs/>
        </w:rPr>
        <w:t>o</w:t>
      </w:r>
      <w:r>
        <w:t>(d)(2).</w:t>
      </w:r>
    </w:p>
  </w:footnote>
  <w:footnote w:id="6">
    <w:p w14:paraId="0382864A" w14:textId="77777777" w:rsidR="0026242F" w:rsidRDefault="0026242F" w:rsidP="0026242F">
      <w:pPr>
        <w:pStyle w:val="FootnoteText"/>
      </w:pPr>
      <w:r w:rsidRPr="0012620C">
        <w:rPr>
          <w:rStyle w:val="FootnoteReference"/>
          <w:sz w:val="22"/>
          <w:vertAlign w:val="superscript"/>
        </w:rPr>
        <w:footnoteRef/>
      </w:r>
      <w:r>
        <w:t xml:space="preserve"> </w:t>
      </w:r>
      <w:r>
        <w:rPr>
          <w:szCs w:val="26"/>
        </w:rPr>
        <w:t>NERC withdrew the originally requested retirement of Reliability Standard VAR-001-6, Requirement R2 on May 14, 2020.</w:t>
      </w:r>
    </w:p>
  </w:footnote>
  <w:footnote w:id="7">
    <w:p w14:paraId="416669AC" w14:textId="77777777" w:rsidR="0026242F" w:rsidRDefault="0026242F" w:rsidP="0026242F">
      <w:pPr>
        <w:pStyle w:val="FootnoteText"/>
      </w:pPr>
      <w:r w:rsidRPr="0012620C">
        <w:rPr>
          <w:rStyle w:val="FootnoteReference"/>
          <w:sz w:val="24"/>
          <w:vertAlign w:val="superscript"/>
        </w:rPr>
        <w:footnoteRef/>
      </w:r>
      <w:r>
        <w:t xml:space="preserve"> The four </w:t>
      </w:r>
      <w:r>
        <w:rPr>
          <w:szCs w:val="26"/>
        </w:rPr>
        <w:t xml:space="preserve">Reliability Standards being eliminated in their entirety are </w:t>
      </w:r>
      <w:r>
        <w:t>Reliability Standards FAC-013-2 (Assessment of Transfer Capability for the Near-term Transmission Planning Horizon), INT-004-3.1 (Dynamic Transfers), INT-010-2.1 (Interchange Initiation and Modification for Reliability), MOD-020-0 (Providing Interruptible Demands and Direct Control Load Management Data to System    Operations and Reliability Coordinators).  T</w:t>
      </w:r>
      <w:r>
        <w:rPr>
          <w:szCs w:val="26"/>
        </w:rPr>
        <w:t xml:space="preserve">he five modified Reliability Standards approved herein are Reliability Standards </w:t>
      </w:r>
      <w:r w:rsidRPr="00FA4865">
        <w:rPr>
          <w:szCs w:val="26"/>
        </w:rPr>
        <w:t>INT-006-5 (Evaluation of Interchange Transactions), INT-009-3 (Implementation of Interchange) and PRC-004-6 (Protection System Misoperation Identification and Correction)</w:t>
      </w:r>
      <w:r>
        <w:rPr>
          <w:szCs w:val="26"/>
        </w:rPr>
        <w:t xml:space="preserve">, </w:t>
      </w:r>
      <w:r w:rsidRPr="000173B5">
        <w:rPr>
          <w:szCs w:val="26"/>
        </w:rPr>
        <w:t>IRO-002-7 (Reliability Coordination—Monitoring and Analysis), TOP-001-5 (Transmission Operations)</w:t>
      </w:r>
      <w:r>
        <w:rPr>
          <w:szCs w:val="26"/>
        </w:rPr>
        <w:t>.</w:t>
      </w:r>
    </w:p>
  </w:footnote>
  <w:footnote w:id="8">
    <w:p w14:paraId="2ED1F413" w14:textId="77777777" w:rsidR="00225FCC" w:rsidRPr="007168F7" w:rsidRDefault="00225FCC" w:rsidP="001F4CC8">
      <w:pPr>
        <w:pStyle w:val="FootnoteText"/>
      </w:pPr>
      <w:r w:rsidRPr="001B56F8">
        <w:rPr>
          <w:rStyle w:val="FootnoteReference"/>
          <w:sz w:val="24"/>
          <w:vertAlign w:val="superscript"/>
        </w:rPr>
        <w:footnoteRef/>
      </w:r>
      <w:r w:rsidRPr="007168F7">
        <w:t xml:space="preserve"> Docket No. RM19-16-000 Petition at 3; Docket No. RM19-17-000 </w:t>
      </w:r>
      <w:r w:rsidRPr="00961C86">
        <w:t>Petition at 4</w:t>
      </w:r>
      <w:r w:rsidRPr="007168F7">
        <w:t>.</w:t>
      </w:r>
    </w:p>
  </w:footnote>
  <w:footnote w:id="9">
    <w:p w14:paraId="478D50D2" w14:textId="1051E581" w:rsidR="00225FCC" w:rsidRPr="007168F7" w:rsidRDefault="00225FCC" w:rsidP="001F4CC8">
      <w:pPr>
        <w:pStyle w:val="FootnoteText"/>
      </w:pPr>
      <w:r w:rsidRPr="001B56F8">
        <w:rPr>
          <w:rStyle w:val="FootnoteReference"/>
          <w:sz w:val="24"/>
          <w:vertAlign w:val="superscript"/>
        </w:rPr>
        <w:footnoteRef/>
      </w:r>
      <w:r w:rsidRPr="007168F7">
        <w:t xml:space="preserve"> NERC state</w:t>
      </w:r>
      <w:r w:rsidR="001B56F8">
        <w:t>d</w:t>
      </w:r>
      <w:r w:rsidRPr="007168F7">
        <w:t xml:space="preserve"> that Phase 2 of the SER Project will “consider recommendations for Reliability Standard revisions that would further improve the efficiency of the body of NERC Reliability Standards, such as through consolidation of Reliability Standard requirements . . . [and will] consider recommendations for standards-based improvements that would further reduce inefficiencies and promote effectiveness.”  Docket No. RM19-16-000 Petition at 6-7; Docket No. RM19-17-000 Petition at 7.</w:t>
      </w:r>
    </w:p>
  </w:footnote>
  <w:footnote w:id="10">
    <w:p w14:paraId="136272EA" w14:textId="77777777" w:rsidR="00225FCC" w:rsidRPr="007168F7" w:rsidRDefault="00225FCC" w:rsidP="001F4CC8">
      <w:pPr>
        <w:pStyle w:val="FootnoteText"/>
      </w:pPr>
      <w:r w:rsidRPr="008973DC">
        <w:rPr>
          <w:rStyle w:val="FootnoteReference"/>
          <w:sz w:val="24"/>
          <w:vertAlign w:val="superscript"/>
        </w:rPr>
        <w:footnoteRef/>
      </w:r>
      <w:r w:rsidRPr="007168F7">
        <w:t xml:space="preserve"> Docket No. RM19-16-000 Petition at 5; Docket No. RM19-17-000 </w:t>
      </w:r>
      <w:r w:rsidRPr="00961C86">
        <w:t>Petition at 6</w:t>
      </w:r>
      <w:r w:rsidRPr="007168F7">
        <w:t>.</w:t>
      </w:r>
    </w:p>
  </w:footnote>
  <w:footnote w:id="11">
    <w:p w14:paraId="42DF40B1" w14:textId="77777777" w:rsidR="00225FCC" w:rsidRPr="007168F7" w:rsidRDefault="00225FCC" w:rsidP="001F4CC8">
      <w:pPr>
        <w:pStyle w:val="FootnoteText"/>
      </w:pPr>
      <w:r w:rsidRPr="00785DCC">
        <w:rPr>
          <w:rStyle w:val="FootnoteReference"/>
          <w:sz w:val="24"/>
          <w:vertAlign w:val="superscript"/>
        </w:rPr>
        <w:footnoteRef/>
      </w:r>
      <w:r w:rsidRPr="007168F7">
        <w:t xml:space="preserve"> </w:t>
      </w:r>
      <w:r w:rsidRPr="007168F7">
        <w:rPr>
          <w:szCs w:val="26"/>
        </w:rPr>
        <w:t xml:space="preserve">The NERC Rules of Procedure require a periodic review of each Reliability Standard; and they provide for a five-year cyclical review of Reliability Standards approved by the American National Standards Institute (ANSI) and ten-year cyclical review for Reliability Standards not approved by ANSI.  </w:t>
      </w:r>
      <w:r w:rsidRPr="007168F7">
        <w:rPr>
          <w:i/>
          <w:szCs w:val="26"/>
        </w:rPr>
        <w:t xml:space="preserve">See </w:t>
      </w:r>
      <w:r w:rsidRPr="007168F7">
        <w:rPr>
          <w:szCs w:val="26"/>
        </w:rPr>
        <w:t>NERC Rules of Procedure, Section 317 and Appendix 3A (Standards Process Manual), section 13.0.</w:t>
      </w:r>
    </w:p>
  </w:footnote>
  <w:footnote w:id="12">
    <w:p w14:paraId="09C19D4C" w14:textId="77777777" w:rsidR="00225FCC" w:rsidRDefault="00225FCC" w:rsidP="001F4CC8">
      <w:pPr>
        <w:pStyle w:val="FootnoteText"/>
      </w:pPr>
      <w:r w:rsidRPr="00645E7D">
        <w:rPr>
          <w:rStyle w:val="FootnoteReference"/>
          <w:sz w:val="24"/>
          <w:vertAlign w:val="superscript"/>
        </w:rPr>
        <w:footnoteRef/>
      </w:r>
      <w:r w:rsidRPr="007168F7">
        <w:t xml:space="preserve"> Docket No. RM19-16-000 Petition at 5; Docket No. RM19-17-000 </w:t>
      </w:r>
      <w:r w:rsidRPr="00961C86">
        <w:t>Petition at 6.</w:t>
      </w:r>
    </w:p>
  </w:footnote>
  <w:footnote w:id="13">
    <w:p w14:paraId="63BC1BAA" w14:textId="77777777" w:rsidR="00225FCC" w:rsidRPr="008B7177" w:rsidRDefault="00225FCC" w:rsidP="001F4CC8">
      <w:pPr>
        <w:pStyle w:val="FootnoteText"/>
      </w:pPr>
      <w:r w:rsidRPr="00B83548">
        <w:rPr>
          <w:rStyle w:val="FootnoteReference"/>
          <w:sz w:val="24"/>
          <w:vertAlign w:val="superscript"/>
        </w:rPr>
        <w:footnoteRef/>
      </w:r>
      <w:r>
        <w:t xml:space="preserve"> Docket No. RM19-16-000 Petition at 5-6; Docket No. RM19-17-000 </w:t>
      </w:r>
      <w:r w:rsidRPr="00961C86">
        <w:t>Petition at 7</w:t>
      </w:r>
      <w:r w:rsidRPr="008B7177">
        <w:t>.</w:t>
      </w:r>
    </w:p>
  </w:footnote>
  <w:footnote w:id="14">
    <w:p w14:paraId="419A7ECB" w14:textId="77777777" w:rsidR="00225FCC" w:rsidRDefault="00225FCC" w:rsidP="009E0C52">
      <w:pPr>
        <w:pStyle w:val="FootnoteText"/>
      </w:pPr>
      <w:r w:rsidRPr="00F607A9">
        <w:rPr>
          <w:rStyle w:val="FootnoteReference"/>
          <w:sz w:val="24"/>
          <w:vertAlign w:val="superscript"/>
        </w:rPr>
        <w:footnoteRef/>
      </w:r>
      <w:r w:rsidRPr="008B7177">
        <w:t xml:space="preserve"> </w:t>
      </w:r>
      <w:r w:rsidRPr="008B7177">
        <w:rPr>
          <w:i/>
        </w:rPr>
        <w:t>See</w:t>
      </w:r>
      <w:r w:rsidRPr="008B7177">
        <w:t xml:space="preserve"> NERC, Docket No. RM19-17-000, Petition at 7.</w:t>
      </w:r>
    </w:p>
  </w:footnote>
  <w:footnote w:id="15">
    <w:p w14:paraId="5EFF141D" w14:textId="77777777" w:rsidR="00225FCC" w:rsidRDefault="00225FCC" w:rsidP="009E0C52">
      <w:pPr>
        <w:pStyle w:val="FootnoteText"/>
      </w:pPr>
      <w:r w:rsidRPr="00AD367C">
        <w:rPr>
          <w:rStyle w:val="FootnoteReference"/>
          <w:sz w:val="24"/>
          <w:vertAlign w:val="superscript"/>
        </w:rPr>
        <w:footnoteRef/>
      </w:r>
      <w:r>
        <w:t xml:space="preserve"> 16 U.S.C. 824</w:t>
      </w:r>
      <w:r w:rsidRPr="00AD367C">
        <w:rPr>
          <w:i/>
          <w:iCs/>
        </w:rPr>
        <w:t>o</w:t>
      </w:r>
      <w:r>
        <w:t>(d)(4).</w:t>
      </w:r>
    </w:p>
  </w:footnote>
  <w:footnote w:id="16">
    <w:p w14:paraId="403E8EAA" w14:textId="77777777" w:rsidR="00A75BEB" w:rsidRDefault="00A75BEB" w:rsidP="00A75BEB">
      <w:pPr>
        <w:pStyle w:val="FootnoteText"/>
      </w:pPr>
      <w:r w:rsidRPr="00D306C9">
        <w:rPr>
          <w:rStyle w:val="FootnoteReference"/>
          <w:sz w:val="24"/>
          <w:vertAlign w:val="superscript"/>
        </w:rPr>
        <w:footnoteRef/>
      </w:r>
      <w:r>
        <w:t xml:space="preserve"> On May 14, 2020, </w:t>
      </w:r>
      <w:r w:rsidRPr="0025258D">
        <w:rPr>
          <w:szCs w:val="26"/>
        </w:rPr>
        <w:t xml:space="preserve">NERC </w:t>
      </w:r>
      <w:r>
        <w:rPr>
          <w:szCs w:val="26"/>
        </w:rPr>
        <w:t>withdrew its request to retire Reliability Standard VAR-001-6, Requirement R2.</w:t>
      </w:r>
    </w:p>
  </w:footnote>
  <w:footnote w:id="17">
    <w:p w14:paraId="3AF3EC4B" w14:textId="600B4CE5" w:rsidR="00A75BEB" w:rsidRDefault="00A75BEB" w:rsidP="00A75BEB">
      <w:pPr>
        <w:pStyle w:val="FootnoteText"/>
      </w:pPr>
      <w:r w:rsidRPr="00D306C9">
        <w:rPr>
          <w:rStyle w:val="FootnoteReference"/>
          <w:sz w:val="24"/>
          <w:vertAlign w:val="superscript"/>
        </w:rPr>
        <w:footnoteRef/>
      </w:r>
      <w:r>
        <w:t xml:space="preserve"> The revised versions of the IRO and TOP Reliability Standards are not attached to th</w:t>
      </w:r>
      <w:r w:rsidR="008F13F2">
        <w:t>e</w:t>
      </w:r>
      <w:r>
        <w:t xml:space="preserve"> final rule.  The complete text of the Reliability Standards is available on the Commission’s eLibrary document retrieval system in Docket No. RM19-16-000 and is posted on the ERO’s website, </w:t>
      </w:r>
      <w:hyperlink r:id="rId1" w:history="1">
        <w:r w:rsidRPr="0071293D">
          <w:rPr>
            <w:rStyle w:val="Hyperlink"/>
          </w:rPr>
          <w:t>http://www.nerc.com</w:t>
        </w:r>
      </w:hyperlink>
      <w:r>
        <w:t>.</w:t>
      </w:r>
    </w:p>
  </w:footnote>
  <w:footnote w:id="18">
    <w:p w14:paraId="3ABCDF99" w14:textId="77777777" w:rsidR="00A75BEB" w:rsidRPr="00DD7CBC" w:rsidRDefault="00A75BEB" w:rsidP="00A75BEB">
      <w:pPr>
        <w:pStyle w:val="FootnoteText"/>
        <w:rPr>
          <w:szCs w:val="26"/>
        </w:rPr>
      </w:pPr>
      <w:r w:rsidRPr="00FE58C7">
        <w:rPr>
          <w:rStyle w:val="FootnoteReference"/>
          <w:sz w:val="24"/>
          <w:vertAlign w:val="superscript"/>
        </w:rPr>
        <w:footnoteRef/>
      </w:r>
      <w:r>
        <w:t xml:space="preserve"> Docket No. RM19-16-000 </w:t>
      </w:r>
      <w:r w:rsidRPr="00DD7CBC">
        <w:rPr>
          <w:szCs w:val="26"/>
        </w:rPr>
        <w:t>Petition at 7.</w:t>
      </w:r>
    </w:p>
  </w:footnote>
  <w:footnote w:id="19">
    <w:p w14:paraId="7ADACF10" w14:textId="77777777" w:rsidR="00A75BEB" w:rsidRPr="00000EA3" w:rsidRDefault="00A75BEB" w:rsidP="00A75BEB">
      <w:pPr>
        <w:pStyle w:val="FootnoteText"/>
        <w:rPr>
          <w:szCs w:val="26"/>
        </w:rPr>
      </w:pPr>
      <w:r w:rsidRPr="00FE58C7">
        <w:rPr>
          <w:rStyle w:val="FootnoteReference"/>
          <w:sz w:val="24"/>
          <w:vertAlign w:val="superscript"/>
        </w:rPr>
        <w:footnoteRef/>
      </w:r>
      <w:r>
        <w:t xml:space="preserve"> </w:t>
      </w:r>
      <w:r w:rsidRPr="00000EA3">
        <w:rPr>
          <w:i/>
          <w:szCs w:val="26"/>
        </w:rPr>
        <w:t xml:space="preserve">Id. </w:t>
      </w:r>
      <w:r w:rsidRPr="00000EA3">
        <w:rPr>
          <w:szCs w:val="26"/>
        </w:rPr>
        <w:t>at 14-15.</w:t>
      </w:r>
    </w:p>
  </w:footnote>
  <w:footnote w:id="20">
    <w:p w14:paraId="37469AE4" w14:textId="77777777" w:rsidR="00A75BEB" w:rsidRPr="00E646F0" w:rsidRDefault="00A75BEB" w:rsidP="00A75BEB">
      <w:pPr>
        <w:pStyle w:val="FootnoteText"/>
        <w:rPr>
          <w:szCs w:val="26"/>
        </w:rPr>
      </w:pPr>
      <w:r w:rsidRPr="00FE58C7">
        <w:rPr>
          <w:rStyle w:val="FootnoteReference"/>
          <w:sz w:val="24"/>
          <w:vertAlign w:val="superscript"/>
        </w:rPr>
        <w:footnoteRef/>
      </w:r>
      <w:r>
        <w:t xml:space="preserve"> </w:t>
      </w:r>
      <w:r w:rsidRPr="00E646F0">
        <w:rPr>
          <w:i/>
          <w:szCs w:val="26"/>
        </w:rPr>
        <w:t xml:space="preserve">Id. </w:t>
      </w:r>
      <w:r w:rsidRPr="00E646F0">
        <w:rPr>
          <w:szCs w:val="26"/>
        </w:rPr>
        <w:t>at 15.</w:t>
      </w:r>
    </w:p>
  </w:footnote>
  <w:footnote w:id="21">
    <w:p w14:paraId="2AB0DCE5" w14:textId="77777777" w:rsidR="00A75BEB" w:rsidRPr="00914780" w:rsidRDefault="00A75BEB" w:rsidP="00A75BEB">
      <w:pPr>
        <w:pStyle w:val="FootnoteText"/>
        <w:rPr>
          <w:i/>
          <w:szCs w:val="26"/>
        </w:rPr>
      </w:pPr>
      <w:r w:rsidRPr="00E064F7">
        <w:rPr>
          <w:rStyle w:val="FootnoteReference"/>
          <w:sz w:val="24"/>
          <w:vertAlign w:val="superscript"/>
        </w:rPr>
        <w:footnoteRef/>
      </w:r>
      <w:r>
        <w:rPr>
          <w:i/>
          <w:szCs w:val="26"/>
        </w:rPr>
        <w:t xml:space="preserve"> </w:t>
      </w:r>
      <w:r w:rsidRPr="00914780">
        <w:rPr>
          <w:i/>
          <w:szCs w:val="26"/>
        </w:rPr>
        <w:t>Id</w:t>
      </w:r>
      <w:r w:rsidRPr="00E064F7">
        <w:rPr>
          <w:iCs/>
          <w:szCs w:val="26"/>
        </w:rPr>
        <w:t>.</w:t>
      </w:r>
      <w:r w:rsidRPr="00914780">
        <w:rPr>
          <w:i/>
          <w:szCs w:val="26"/>
        </w:rPr>
        <w:t xml:space="preserve"> </w:t>
      </w:r>
    </w:p>
  </w:footnote>
  <w:footnote w:id="22">
    <w:p w14:paraId="5E16FC48" w14:textId="77777777" w:rsidR="00A75BEB" w:rsidRPr="00914780" w:rsidRDefault="00A75BEB" w:rsidP="00A75BEB">
      <w:pPr>
        <w:pStyle w:val="FootnoteText"/>
        <w:rPr>
          <w:i/>
        </w:rPr>
      </w:pPr>
      <w:r w:rsidRPr="00E064F7">
        <w:rPr>
          <w:rStyle w:val="FootnoteReference"/>
          <w:sz w:val="24"/>
          <w:vertAlign w:val="superscript"/>
        </w:rPr>
        <w:footnoteRef/>
      </w:r>
      <w:r>
        <w:t xml:space="preserve"> </w:t>
      </w:r>
      <w:r w:rsidRPr="00914780">
        <w:rPr>
          <w:i/>
          <w:szCs w:val="26"/>
        </w:rPr>
        <w:t>Id.</w:t>
      </w:r>
    </w:p>
  </w:footnote>
  <w:footnote w:id="23">
    <w:p w14:paraId="32D92DC0" w14:textId="77777777" w:rsidR="00A75BEB" w:rsidRPr="00760135" w:rsidRDefault="00A75BEB" w:rsidP="00A75BEB">
      <w:pPr>
        <w:pStyle w:val="FootnoteText"/>
        <w:rPr>
          <w:szCs w:val="26"/>
        </w:rPr>
      </w:pPr>
      <w:r w:rsidRPr="00E064F7">
        <w:rPr>
          <w:rStyle w:val="FootnoteReference"/>
          <w:sz w:val="24"/>
          <w:vertAlign w:val="superscript"/>
        </w:rPr>
        <w:footnoteRef/>
      </w:r>
      <w:r>
        <w:t xml:space="preserve"> </w:t>
      </w:r>
      <w:r w:rsidRPr="00760135">
        <w:rPr>
          <w:i/>
          <w:szCs w:val="26"/>
        </w:rPr>
        <w:t>Id.</w:t>
      </w:r>
      <w:r w:rsidRPr="00760135">
        <w:rPr>
          <w:szCs w:val="26"/>
        </w:rPr>
        <w:t xml:space="preserve"> at 16.</w:t>
      </w:r>
    </w:p>
  </w:footnote>
  <w:footnote w:id="24">
    <w:p w14:paraId="7CC232BB" w14:textId="47ADD187" w:rsidR="00A75BEB" w:rsidRDefault="00A75BEB" w:rsidP="00A75BEB">
      <w:pPr>
        <w:pStyle w:val="FootnoteText"/>
      </w:pPr>
      <w:r w:rsidRPr="0082230E">
        <w:rPr>
          <w:rStyle w:val="FootnoteReference"/>
          <w:sz w:val="24"/>
          <w:vertAlign w:val="superscript"/>
        </w:rPr>
        <w:footnoteRef/>
      </w:r>
      <w:r>
        <w:t xml:space="preserve"> Reliability Standards FAC-013-2 (Assessment of Transfer Capability for the Near-term Transmission Planning Horizon), INT-004-3.1 (Dynamic Transfers), INT-010-2.1 (Interchange Initiation and Modification for Reliability), MOD-001-1a (Available Transmission System Capability), MOD-004-1 (Capacity Benefit Margin), MOD-008-1 (Transmission Reliability Margin Calculation Methodology), MOD-020-0 (Providing Interruptible Demands and Direct Control Load Management Data to System    Operations and Reliability Coordinators), MOD-028-2 (Area Interchange Methodology), MOD-029-2a (Rated System Path Methodology), and MOD-030-3 (Flowgate Methodology).</w:t>
      </w:r>
    </w:p>
  </w:footnote>
  <w:footnote w:id="25">
    <w:p w14:paraId="41213ADA" w14:textId="5335B725" w:rsidR="00A75BEB" w:rsidRPr="00F43449" w:rsidRDefault="00A75BEB" w:rsidP="00A75BEB">
      <w:pPr>
        <w:pStyle w:val="FootnoteText"/>
      </w:pPr>
      <w:r w:rsidRPr="00052EF0">
        <w:rPr>
          <w:rStyle w:val="FootnoteReference"/>
          <w:sz w:val="24"/>
          <w:vertAlign w:val="superscript"/>
        </w:rPr>
        <w:footnoteRef/>
      </w:r>
      <w:r>
        <w:t xml:space="preserve"> </w:t>
      </w:r>
      <w:bookmarkStart w:id="1" w:name="_Hlk27491733"/>
      <w:r>
        <w:t xml:space="preserve">The revised versions of the FAC, INT and PRC Reliability Standards are not attached to </w:t>
      </w:r>
      <w:r w:rsidR="00076864">
        <w:t>the</w:t>
      </w:r>
      <w:r>
        <w:t xml:space="preserve"> final rule.  The complete text of the Reliability Standards is available on the Commission’s eLibrary document retrieval system in Docket No. RM19-17-000 and is posted on the ERO’s website, </w:t>
      </w:r>
      <w:hyperlink r:id="rId2" w:history="1">
        <w:r w:rsidRPr="0071293D">
          <w:rPr>
            <w:rStyle w:val="Hyperlink"/>
          </w:rPr>
          <w:t>http://www.nerc.com</w:t>
        </w:r>
      </w:hyperlink>
      <w:r>
        <w:t xml:space="preserve">. </w:t>
      </w:r>
      <w:bookmarkEnd w:id="1"/>
    </w:p>
  </w:footnote>
  <w:footnote w:id="26">
    <w:p w14:paraId="32DB8E0B" w14:textId="77777777" w:rsidR="00A75BEB" w:rsidRDefault="00A75BEB" w:rsidP="00A75BEB">
      <w:pPr>
        <w:pStyle w:val="FootnoteText"/>
      </w:pPr>
      <w:r w:rsidRPr="00BD7FB9">
        <w:rPr>
          <w:rStyle w:val="FootnoteReference"/>
          <w:sz w:val="24"/>
          <w:vertAlign w:val="superscript"/>
        </w:rPr>
        <w:footnoteRef/>
      </w:r>
      <w:r>
        <w:t xml:space="preserve"> Docket No. RM19-17-000 Petition at 7.</w:t>
      </w:r>
    </w:p>
  </w:footnote>
  <w:footnote w:id="27">
    <w:p w14:paraId="2BE51576" w14:textId="77777777" w:rsidR="00A75BEB" w:rsidRPr="008B120F" w:rsidRDefault="00A75BEB" w:rsidP="00A75BEB">
      <w:pPr>
        <w:pStyle w:val="FootnoteText"/>
      </w:pPr>
      <w:r w:rsidRPr="00B94F1E">
        <w:rPr>
          <w:rStyle w:val="FootnoteReference"/>
          <w:sz w:val="24"/>
          <w:vertAlign w:val="superscript"/>
        </w:rPr>
        <w:footnoteRef/>
      </w:r>
      <w:r>
        <w:t xml:space="preserve"> Docket No. RM19-17-000 Petition at 13-24.</w:t>
      </w:r>
    </w:p>
  </w:footnote>
  <w:footnote w:id="28">
    <w:p w14:paraId="0E752510" w14:textId="77777777" w:rsidR="00A75BEB" w:rsidRPr="00D90F79" w:rsidRDefault="00A75BEB" w:rsidP="00A75BEB">
      <w:pPr>
        <w:pStyle w:val="FootnoteText"/>
      </w:pPr>
      <w:r w:rsidRPr="00B94F1E">
        <w:rPr>
          <w:rStyle w:val="FootnoteReference"/>
          <w:sz w:val="24"/>
          <w:vertAlign w:val="superscript"/>
        </w:rPr>
        <w:footnoteRef/>
      </w:r>
      <w:r>
        <w:t xml:space="preserve"> </w:t>
      </w:r>
      <w:r>
        <w:rPr>
          <w:i/>
        </w:rPr>
        <w:t>Id.</w:t>
      </w:r>
      <w:r>
        <w:t xml:space="preserve"> at 13.</w:t>
      </w:r>
    </w:p>
  </w:footnote>
  <w:footnote w:id="29">
    <w:p w14:paraId="3F1B9E72" w14:textId="77777777" w:rsidR="00A75BEB" w:rsidRPr="00973095" w:rsidRDefault="00A75BEB" w:rsidP="00A75BEB">
      <w:pPr>
        <w:pStyle w:val="FootnoteText"/>
      </w:pPr>
      <w:r w:rsidRPr="00272BC4">
        <w:rPr>
          <w:rStyle w:val="FootnoteReference"/>
          <w:sz w:val="24"/>
          <w:vertAlign w:val="superscript"/>
        </w:rPr>
        <w:footnoteRef/>
      </w:r>
      <w:r>
        <w:t xml:space="preserve"> </w:t>
      </w:r>
      <w:r>
        <w:rPr>
          <w:i/>
        </w:rPr>
        <w:t xml:space="preserve">Id. </w:t>
      </w:r>
      <w:r>
        <w:t>at 16-19.</w:t>
      </w:r>
    </w:p>
  </w:footnote>
  <w:footnote w:id="30">
    <w:p w14:paraId="219A47C5" w14:textId="77777777" w:rsidR="00A75BEB" w:rsidRPr="003E33CE" w:rsidRDefault="00A75BEB" w:rsidP="00A75BEB">
      <w:pPr>
        <w:pStyle w:val="FootnoteText"/>
      </w:pPr>
      <w:r w:rsidRPr="00272BC4">
        <w:rPr>
          <w:rStyle w:val="FootnoteReference"/>
          <w:sz w:val="24"/>
          <w:vertAlign w:val="superscript"/>
        </w:rPr>
        <w:footnoteRef/>
      </w:r>
      <w:r>
        <w:t xml:space="preserve"> </w:t>
      </w:r>
      <w:r>
        <w:rPr>
          <w:i/>
        </w:rPr>
        <w:t>Id.</w:t>
      </w:r>
      <w:r>
        <w:t xml:space="preserve"> at 21.</w:t>
      </w:r>
    </w:p>
  </w:footnote>
  <w:footnote w:id="31">
    <w:p w14:paraId="36C00791" w14:textId="77777777" w:rsidR="00A75BEB" w:rsidRPr="002D19A9" w:rsidRDefault="00A75BEB" w:rsidP="00A75BEB">
      <w:pPr>
        <w:pStyle w:val="FootnoteText"/>
      </w:pPr>
      <w:r w:rsidRPr="00272BC4">
        <w:rPr>
          <w:rStyle w:val="FootnoteReference"/>
          <w:sz w:val="24"/>
          <w:vertAlign w:val="superscript"/>
        </w:rPr>
        <w:footnoteRef/>
      </w:r>
      <w:r>
        <w:t xml:space="preserve"> </w:t>
      </w:r>
      <w:r>
        <w:rPr>
          <w:i/>
        </w:rPr>
        <w:t xml:space="preserve">Id. </w:t>
      </w:r>
      <w:r>
        <w:t>at 23.</w:t>
      </w:r>
    </w:p>
  </w:footnote>
  <w:footnote w:id="32">
    <w:p w14:paraId="7FEF0596" w14:textId="77777777" w:rsidR="00A75BEB" w:rsidRPr="00D80EAF" w:rsidRDefault="00A75BEB" w:rsidP="00A75BEB">
      <w:pPr>
        <w:pStyle w:val="FootnoteText"/>
      </w:pPr>
      <w:r w:rsidRPr="00272BC4">
        <w:rPr>
          <w:rStyle w:val="FootnoteReference"/>
          <w:sz w:val="24"/>
          <w:vertAlign w:val="superscript"/>
        </w:rPr>
        <w:footnoteRef/>
      </w:r>
      <w:r>
        <w:t xml:space="preserve"> </w:t>
      </w:r>
      <w:r>
        <w:rPr>
          <w:i/>
        </w:rPr>
        <w:t xml:space="preserve">Id. </w:t>
      </w:r>
      <w:r>
        <w:t>at 29.</w:t>
      </w:r>
    </w:p>
  </w:footnote>
  <w:footnote w:id="33">
    <w:p w14:paraId="0FB64960" w14:textId="77777777" w:rsidR="00A75BEB" w:rsidRPr="00D80EAF" w:rsidRDefault="00A75BEB" w:rsidP="00A75BEB">
      <w:pPr>
        <w:pStyle w:val="FootnoteText"/>
      </w:pPr>
      <w:r w:rsidRPr="00921F24">
        <w:rPr>
          <w:rStyle w:val="FootnoteReference"/>
          <w:sz w:val="24"/>
          <w:vertAlign w:val="superscript"/>
        </w:rPr>
        <w:footnoteRef/>
      </w:r>
      <w:r>
        <w:t xml:space="preserve"> </w:t>
      </w:r>
      <w:r>
        <w:rPr>
          <w:i/>
        </w:rPr>
        <w:t xml:space="preserve">Id. </w:t>
      </w:r>
      <w:r>
        <w:t>at 29-31.</w:t>
      </w:r>
    </w:p>
  </w:footnote>
  <w:footnote w:id="34">
    <w:p w14:paraId="5F29A158" w14:textId="77777777" w:rsidR="00A75BEB" w:rsidRPr="00CE54C6" w:rsidRDefault="00A75BEB" w:rsidP="00A75BEB">
      <w:pPr>
        <w:pStyle w:val="FootnoteText"/>
      </w:pPr>
      <w:r w:rsidRPr="00921F24">
        <w:rPr>
          <w:rStyle w:val="FootnoteReference"/>
          <w:sz w:val="24"/>
          <w:vertAlign w:val="superscript"/>
        </w:rPr>
        <w:footnoteRef/>
      </w:r>
      <w:r>
        <w:t xml:space="preserve"> </w:t>
      </w:r>
      <w:r>
        <w:rPr>
          <w:i/>
        </w:rPr>
        <w:t xml:space="preserve">Id. </w:t>
      </w:r>
      <w:r>
        <w:t>at 31-32.</w:t>
      </w:r>
    </w:p>
  </w:footnote>
  <w:footnote w:id="35">
    <w:p w14:paraId="5B1F9305" w14:textId="77777777" w:rsidR="00A75BEB" w:rsidRPr="002741EB" w:rsidRDefault="00A75BEB" w:rsidP="00A75BEB">
      <w:pPr>
        <w:pStyle w:val="FootnoteText"/>
      </w:pPr>
      <w:r w:rsidRPr="00921F24">
        <w:rPr>
          <w:rStyle w:val="FootnoteReference"/>
          <w:sz w:val="24"/>
          <w:vertAlign w:val="superscript"/>
        </w:rPr>
        <w:footnoteRef/>
      </w:r>
      <w:r>
        <w:t xml:space="preserve"> </w:t>
      </w:r>
      <w:r>
        <w:rPr>
          <w:i/>
        </w:rPr>
        <w:t xml:space="preserve">Id. </w:t>
      </w:r>
      <w:r>
        <w:t>at 34.</w:t>
      </w:r>
    </w:p>
  </w:footnote>
  <w:footnote w:id="36">
    <w:p w14:paraId="1F63967F" w14:textId="01DF9CEC" w:rsidR="00225FCC" w:rsidRPr="00961C86" w:rsidRDefault="00225FCC" w:rsidP="00240DF3">
      <w:pPr>
        <w:pStyle w:val="FootnoteText"/>
        <w:rPr>
          <w:sz w:val="16"/>
          <w:szCs w:val="16"/>
        </w:rPr>
      </w:pPr>
      <w:r w:rsidRPr="00961C86">
        <w:rPr>
          <w:rStyle w:val="FootnoteReference"/>
          <w:sz w:val="24"/>
          <w:szCs w:val="24"/>
          <w:vertAlign w:val="superscript"/>
        </w:rPr>
        <w:footnoteRef/>
      </w:r>
      <w:r w:rsidRPr="00961C86">
        <w:rPr>
          <w:sz w:val="24"/>
          <w:szCs w:val="24"/>
        </w:rPr>
        <w:t xml:space="preserve"> </w:t>
      </w:r>
      <w:r w:rsidRPr="00961C86">
        <w:rPr>
          <w:sz w:val="16"/>
          <w:szCs w:val="16"/>
        </w:rPr>
        <w:t xml:space="preserve">Details of the current ERO Reliability Standard processes are available on the NERC website at </w:t>
      </w:r>
      <w:hyperlink r:id="rId3" w:history="1">
        <w:r w:rsidRPr="00961C86">
          <w:rPr>
            <w:rStyle w:val="Hyperlink"/>
            <w:sz w:val="16"/>
            <w:szCs w:val="16"/>
          </w:rPr>
          <w:t>http://www.nerc.com/FilingsOrders/us/RuleOfProcedureDL/Appendix_3A_StandardProcessesManual_20130626.pdf</w:t>
        </w:r>
      </w:hyperlink>
      <w:r w:rsidRPr="00961C86">
        <w:rPr>
          <w:sz w:val="16"/>
          <w:szCs w:val="16"/>
        </w:rPr>
        <w:t xml:space="preserve">. </w:t>
      </w:r>
    </w:p>
  </w:footnote>
  <w:footnote w:id="37">
    <w:p w14:paraId="48818003" w14:textId="4DC281C7" w:rsidR="00DC3EA9" w:rsidRDefault="00DC3EA9" w:rsidP="00DC3EA9">
      <w:pPr>
        <w:pStyle w:val="FootnoteText"/>
      </w:pPr>
      <w:r w:rsidRPr="0042679B">
        <w:rPr>
          <w:rStyle w:val="FootnoteReference"/>
          <w:sz w:val="24"/>
          <w:vertAlign w:val="superscript"/>
        </w:rPr>
        <w:footnoteRef/>
      </w:r>
      <w:r>
        <w:t xml:space="preserve"> RC=Reliability Coordinator; BA=Balancing Authority; TSP=Transmission Service Provider; TO=Transmission Owner; GO=Generator Owner; DP=Distribution Provider; TP=Transmission Provider; and RP=Resource Planner.  </w:t>
      </w:r>
      <w:r w:rsidRPr="00D00632">
        <w:t xml:space="preserve">Our estimates are based on the NERC Compliance Registry of </w:t>
      </w:r>
      <w:r>
        <w:t>July 17, 2020</w:t>
      </w:r>
      <w:r w:rsidRPr="00D00632">
        <w:t xml:space="preserve">, which indicates there are </w:t>
      </w:r>
      <w:r>
        <w:t xml:space="preserve">   974</w:t>
      </w:r>
      <w:r w:rsidRPr="00D00632">
        <w:t xml:space="preserve"> entities registered as </w:t>
      </w:r>
      <w:r>
        <w:t>GO</w:t>
      </w:r>
      <w:r w:rsidRPr="00D00632">
        <w:t xml:space="preserve">s, </w:t>
      </w:r>
      <w:r>
        <w:t>321</w:t>
      </w:r>
      <w:r w:rsidRPr="00D00632">
        <w:t xml:space="preserve"> entities registered as </w:t>
      </w:r>
      <w:r>
        <w:t>TO</w:t>
      </w:r>
      <w:r w:rsidRPr="00D00632">
        <w:t>s,</w:t>
      </w:r>
      <w:r>
        <w:t xml:space="preserve"> </w:t>
      </w:r>
      <w:r w:rsidRPr="00D00632">
        <w:t xml:space="preserve">97 entities registered as BAs, </w:t>
      </w:r>
      <w:r>
        <w:t>72</w:t>
      </w:r>
      <w:r w:rsidRPr="00D00632">
        <w:t xml:space="preserve"> entities registered as </w:t>
      </w:r>
      <w:r>
        <w:t>TSP</w:t>
      </w:r>
      <w:r w:rsidRPr="00D00632">
        <w:t>s,</w:t>
      </w:r>
      <w:r>
        <w:t xml:space="preserve"> 1</w:t>
      </w:r>
      <w:r w:rsidRPr="00D00632">
        <w:t>9</w:t>
      </w:r>
      <w:r>
        <w:t>8</w:t>
      </w:r>
      <w:r w:rsidRPr="00D00632">
        <w:t xml:space="preserve"> entities registered as </w:t>
      </w:r>
      <w:r>
        <w:t>TP</w:t>
      </w:r>
      <w:r w:rsidRPr="00D00632">
        <w:t>s</w:t>
      </w:r>
      <w:r>
        <w:t>312</w:t>
      </w:r>
      <w:r w:rsidRPr="00D00632">
        <w:t xml:space="preserve"> entities registered as </w:t>
      </w:r>
      <w:r>
        <w:t>DP</w:t>
      </w:r>
      <w:r w:rsidRPr="00D00632">
        <w:t>s,</w:t>
      </w:r>
      <w:r>
        <w:t xml:space="preserve"> 160</w:t>
      </w:r>
      <w:r w:rsidRPr="00233EC4">
        <w:t xml:space="preserve"> entities registered as </w:t>
      </w:r>
      <w:r>
        <w:t>RP</w:t>
      </w:r>
      <w:r w:rsidRPr="00233EC4">
        <w:t>s,</w:t>
      </w:r>
      <w:r>
        <w:t xml:space="preserve"> </w:t>
      </w:r>
      <w:r w:rsidRPr="00D00632">
        <w:t>and 12 entities registered as RCs within the United States.</w:t>
      </w:r>
    </w:p>
  </w:footnote>
  <w:footnote w:id="38">
    <w:p w14:paraId="54844EFB" w14:textId="2E180A32" w:rsidR="00225FCC" w:rsidRDefault="00225FCC" w:rsidP="00132EE3">
      <w:pPr>
        <w:pStyle w:val="FootnoteText"/>
      </w:pPr>
      <w:r w:rsidRPr="004B425D">
        <w:rPr>
          <w:rStyle w:val="FootnoteReference"/>
          <w:sz w:val="24"/>
          <w:vertAlign w:val="superscript"/>
        </w:rPr>
        <w:footnoteRef/>
      </w:r>
      <w:r>
        <w:t xml:space="preserve"> Based upon 20</w:t>
      </w:r>
      <w:r w:rsidR="0029622B">
        <w:t>20</w:t>
      </w:r>
      <w:r>
        <w:t xml:space="preserve"> FTE average salary ($ </w:t>
      </w:r>
      <w:r w:rsidR="00221A41">
        <w:t>8</w:t>
      </w:r>
      <w:r w:rsidR="0029622B">
        <w:t>3</w:t>
      </w:r>
      <w:r w:rsidR="00221A41">
        <w:t>/</w:t>
      </w:r>
      <w:r w:rsidR="00581FD7">
        <w:t>hr.)</w:t>
      </w:r>
    </w:p>
  </w:footnote>
  <w:footnote w:id="39">
    <w:p w14:paraId="72D6D616" w14:textId="77777777" w:rsidR="00225FCC" w:rsidRDefault="00225FCC" w:rsidP="00132EE3">
      <w:pPr>
        <w:pStyle w:val="FootnoteText"/>
      </w:pPr>
      <w:r w:rsidRPr="004B425D">
        <w:rPr>
          <w:rStyle w:val="FootnoteReference"/>
          <w:sz w:val="24"/>
          <w:vertAlign w:val="superscript"/>
        </w:rPr>
        <w:footnoteRef/>
      </w:r>
      <w:r>
        <w:t xml:space="preserve"> Paperwork Reduction Act of 1995 (PRA)</w:t>
      </w:r>
    </w:p>
  </w:footnote>
  <w:footnote w:id="40">
    <w:p w14:paraId="3792B520" w14:textId="5EF55B45" w:rsidR="00225FCC" w:rsidRDefault="00225FCC">
      <w:pPr>
        <w:pStyle w:val="FootnoteText"/>
      </w:pPr>
      <w:r w:rsidRPr="004B425D">
        <w:rPr>
          <w:rStyle w:val="FootnoteReference"/>
          <w:sz w:val="24"/>
          <w:vertAlign w:val="superscript"/>
        </w:rPr>
        <w:footnoteRef/>
      </w:r>
      <w:r>
        <w:t xml:space="preserve"> </w:t>
      </w:r>
      <w:r w:rsidRPr="005D7A1B">
        <w:t>The Commission bases the cost of Paperwork Reduction Act administration on staff time, and other costs related to compliance with the Paperwork Reduction Act of 1995.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DC6DC" w14:textId="77777777" w:rsidR="00AA6C2F" w:rsidRDefault="00AA6C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C2DE4" w14:textId="50E4FC43" w:rsidR="00225FCC" w:rsidRDefault="00225FCC" w:rsidP="005043FE">
    <w:r>
      <w:rPr>
        <w:noProof/>
      </w:rPr>
      <mc:AlternateContent>
        <mc:Choice Requires="wps">
          <w:drawing>
            <wp:anchor distT="0" distB="0" distL="114300" distR="114300" simplePos="0" relativeHeight="251659264" behindDoc="0" locked="0" layoutInCell="0" allowOverlap="1" wp14:anchorId="23471B81" wp14:editId="49127CBF">
              <wp:simplePos x="0" y="0"/>
              <wp:positionH relativeFrom="page">
                <wp:posOffset>0</wp:posOffset>
              </wp:positionH>
              <wp:positionV relativeFrom="page">
                <wp:posOffset>190500</wp:posOffset>
              </wp:positionV>
              <wp:extent cx="7772400" cy="266700"/>
              <wp:effectExtent l="0" t="0" r="0" b="0"/>
              <wp:wrapNone/>
              <wp:docPr id="1" name="MSIPCM08ad4db6892ebc63cc6f39ce"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B8365" w14:textId="3CE3E2DA" w:rsidR="00225FCC" w:rsidRPr="007E29E7" w:rsidRDefault="00225FCC" w:rsidP="007E29E7">
                          <w:pPr>
                            <w:jc w:val="center"/>
                            <w:rPr>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23471B81" id="_x0000_t202" coordsize="21600,21600" o:spt="202" path="m,l,21600r21600,l21600,xe">
              <v:stroke joinstyle="miter"/>
              <v:path gradientshapeok="t" o:connecttype="rect"/>
            </v:shapetype>
            <v:shape id="MSIPCM08ad4db6892ebc63cc6f39ce" o:spid="_x0000_s1026" type="#_x0000_t202" alt="{&quot;HashCode&quot;:9291258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" o:allowincell="f" filled="f" stroked="f" strokeweight=".5pt">
              <v:textbox inset=",0,,0">
                <w:txbxContent>
                  <w:p w14:paraId="688B8365" w14:textId="3CE3E2DA" w:rsidR="00225FCC" w:rsidRPr="007E29E7" w:rsidRDefault="00225FCC" w:rsidP="007E29E7">
                    <w:pPr>
                      <w:jc w:val="center"/>
                      <w:rPr>
                        <w:color w:val="A80000"/>
                        <w:sz w:val="26"/>
                      </w:rPr>
                    </w:pPr>
                  </w:p>
                </w:txbxContent>
              </v:textbox>
              <w10:wrap anchorx="page" anchory="page"/>
            </v:shape>
          </w:pict>
        </mc:Fallback>
      </mc:AlternateContent>
    </w:r>
    <w:r>
      <w:t xml:space="preserve">FERC-725A,  FERC-725G1, FERC-725Z (OMB Control Nos. 1902-0244, </w:t>
    </w:r>
    <w:r w:rsidR="009943D2">
      <w:t>1902</w:t>
    </w:r>
    <w:r>
      <w:t xml:space="preserve">-0284, and </w:t>
    </w:r>
    <w:r w:rsidR="009943D2">
      <w:t>1902</w:t>
    </w:r>
    <w:r>
      <w:t>-0276),</w:t>
    </w:r>
  </w:p>
  <w:p w14:paraId="6C365624" w14:textId="1A6E03CF" w:rsidR="00225FCC" w:rsidRDefault="00160E1C" w:rsidP="005043FE">
    <w:pPr>
      <w:rPr>
        <w:sz w:val="26"/>
        <w:szCs w:val="26"/>
      </w:rPr>
    </w:pPr>
    <w:r>
      <w:t xml:space="preserve">Final Rule </w:t>
    </w:r>
    <w:r w:rsidR="00225FCC" w:rsidRPr="001A153B">
      <w:rPr>
        <w:sz w:val="26"/>
        <w:szCs w:val="26"/>
      </w:rPr>
      <w:t>Docket No</w:t>
    </w:r>
    <w:r w:rsidR="00225FCC">
      <w:rPr>
        <w:sz w:val="26"/>
        <w:szCs w:val="26"/>
      </w:rPr>
      <w:t>s</w:t>
    </w:r>
    <w:r w:rsidR="00225FCC" w:rsidRPr="001A153B">
      <w:rPr>
        <w:sz w:val="26"/>
        <w:szCs w:val="26"/>
      </w:rPr>
      <w:t>. RM</w:t>
    </w:r>
    <w:r w:rsidR="00225FCC">
      <w:rPr>
        <w:sz w:val="26"/>
        <w:szCs w:val="26"/>
      </w:rPr>
      <w:t>19-</w:t>
    </w:r>
    <w:r w:rsidR="00225FCC" w:rsidRPr="001A153B">
      <w:rPr>
        <w:sz w:val="26"/>
        <w:szCs w:val="26"/>
      </w:rPr>
      <w:t>16</w:t>
    </w:r>
    <w:r w:rsidR="00225FCC">
      <w:rPr>
        <w:sz w:val="26"/>
        <w:szCs w:val="26"/>
      </w:rPr>
      <w:t xml:space="preserve"> and RM19-17</w:t>
    </w:r>
  </w:p>
  <w:p w14:paraId="7678DB75" w14:textId="42DC8EA7" w:rsidR="00225FCC" w:rsidRDefault="00225FCC">
    <w:pPr>
      <w:pStyle w:val="Header"/>
    </w:pPr>
    <w:r>
      <w:rPr>
        <w:sz w:val="26"/>
        <w:szCs w:val="26"/>
      </w:rPr>
      <w:t xml:space="preserve">RIN </w:t>
    </w:r>
    <w:r w:rsidRPr="00C17CFB">
      <w:rPr>
        <w:sz w:val="26"/>
        <w:szCs w:val="26"/>
      </w:rPr>
      <w:t>1902-AF69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6AF1F" w14:textId="77777777" w:rsidR="00225FCC" w:rsidRDefault="00225FCC">
    <w:pPr>
      <w:pStyle w:val="Header"/>
    </w:pPr>
    <w:r>
      <w:t>FERC Form 730 (OMB Control No. 1902-0239)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A7469D"/>
    <w:multiLevelType w:val="hybridMultilevel"/>
    <w:tmpl w:val="12D84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A72F7"/>
    <w:multiLevelType w:val="hybridMultilevel"/>
    <w:tmpl w:val="5596ABA0"/>
    <w:lvl w:ilvl="0" w:tplc="8078EF7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6AE766A"/>
    <w:multiLevelType w:val="hybridMultilevel"/>
    <w:tmpl w:val="1616D212"/>
    <w:lvl w:ilvl="0" w:tplc="AECAF66C">
      <w:start w:val="2"/>
      <w:numFmt w:val="decimal"/>
      <w:lvlText w:val="%1."/>
      <w:lvlJc w:val="left"/>
      <w:pPr>
        <w:ind w:left="720" w:hanging="648"/>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5218F3"/>
    <w:multiLevelType w:val="hybridMultilevel"/>
    <w:tmpl w:val="F80CA9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4955CE"/>
    <w:multiLevelType w:val="hybridMultilevel"/>
    <w:tmpl w:val="3F96D202"/>
    <w:lvl w:ilvl="0" w:tplc="26F4CD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7A926C1"/>
    <w:multiLevelType w:val="hybridMultilevel"/>
    <w:tmpl w:val="D7D23B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0F24093"/>
    <w:multiLevelType w:val="hybridMultilevel"/>
    <w:tmpl w:val="1FC41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D712E3"/>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B925DAF"/>
    <w:multiLevelType w:val="hybridMultilevel"/>
    <w:tmpl w:val="CA96808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7E4E4DD3"/>
    <w:multiLevelType w:val="hybridMultilevel"/>
    <w:tmpl w:val="BC5EF5AE"/>
    <w:lvl w:ilvl="0" w:tplc="F91A07FC">
      <w:start w:val="1"/>
      <w:numFmt w:val="decimal"/>
      <w:lvlText w:val="%1."/>
      <w:lvlJc w:val="left"/>
      <w:pPr>
        <w:tabs>
          <w:tab w:val="num" w:pos="1080"/>
        </w:tabs>
        <w:ind w:left="360" w:firstLine="0"/>
      </w:pPr>
    </w:lvl>
    <w:lvl w:ilvl="1" w:tplc="CDAE170E">
      <w:start w:val="1"/>
      <w:numFmt w:val="lowerRoman"/>
      <w:lvlText w:val="%2."/>
      <w:lvlJc w:val="left"/>
      <w:pPr>
        <w:tabs>
          <w:tab w:val="num" w:pos="1800"/>
        </w:tabs>
        <w:ind w:left="1800" w:hanging="720"/>
      </w:pPr>
    </w:lvl>
    <w:lvl w:ilvl="2" w:tplc="FFFFFFFF">
      <w:start w:val="1"/>
      <w:numFmt w:val="decimal"/>
      <w:lvlText w:val="%3."/>
      <w:lvlJc w:val="left"/>
      <w:pPr>
        <w:ind w:left="2340" w:hanging="36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4"/>
  </w:num>
  <w:num w:numId="4">
    <w:abstractNumId w:val="3"/>
  </w:num>
  <w:num w:numId="5">
    <w:abstractNumId w:val="9"/>
  </w:num>
  <w:num w:numId="6">
    <w:abstractNumId w:val="7"/>
  </w:num>
  <w:num w:numId="7">
    <w:abstractNumId w:val="8"/>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0"/>
  </w:num>
  <w:num w:numId="11">
    <w:abstractNumId w:val="10"/>
  </w:num>
  <w:num w:numId="12">
    <w:abstractNumId w:val="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39D"/>
    <w:rsid w:val="0000749A"/>
    <w:rsid w:val="0001287C"/>
    <w:rsid w:val="000128E2"/>
    <w:rsid w:val="00016357"/>
    <w:rsid w:val="00017159"/>
    <w:rsid w:val="00017F2F"/>
    <w:rsid w:val="00024C4F"/>
    <w:rsid w:val="00025079"/>
    <w:rsid w:val="00027C7B"/>
    <w:rsid w:val="00034F5D"/>
    <w:rsid w:val="00035181"/>
    <w:rsid w:val="00035D73"/>
    <w:rsid w:val="0003606D"/>
    <w:rsid w:val="0003654A"/>
    <w:rsid w:val="00040474"/>
    <w:rsid w:val="00042536"/>
    <w:rsid w:val="000434BB"/>
    <w:rsid w:val="000452C9"/>
    <w:rsid w:val="00045A20"/>
    <w:rsid w:val="000526A0"/>
    <w:rsid w:val="00052EF0"/>
    <w:rsid w:val="0006157E"/>
    <w:rsid w:val="0006379D"/>
    <w:rsid w:val="00066383"/>
    <w:rsid w:val="00071F50"/>
    <w:rsid w:val="00076864"/>
    <w:rsid w:val="00081CB3"/>
    <w:rsid w:val="00093F87"/>
    <w:rsid w:val="00095939"/>
    <w:rsid w:val="000A30C7"/>
    <w:rsid w:val="000A7485"/>
    <w:rsid w:val="000C002F"/>
    <w:rsid w:val="000D78CE"/>
    <w:rsid w:val="000E7821"/>
    <w:rsid w:val="000F0D95"/>
    <w:rsid w:val="000F395A"/>
    <w:rsid w:val="00103FEB"/>
    <w:rsid w:val="001041DE"/>
    <w:rsid w:val="0010788F"/>
    <w:rsid w:val="0011154B"/>
    <w:rsid w:val="0012104D"/>
    <w:rsid w:val="001258A0"/>
    <w:rsid w:val="0012620C"/>
    <w:rsid w:val="00132EE3"/>
    <w:rsid w:val="0013758C"/>
    <w:rsid w:val="00141A4E"/>
    <w:rsid w:val="00142C84"/>
    <w:rsid w:val="00152980"/>
    <w:rsid w:val="001529B8"/>
    <w:rsid w:val="00160E1C"/>
    <w:rsid w:val="00162740"/>
    <w:rsid w:val="00182F5F"/>
    <w:rsid w:val="00194854"/>
    <w:rsid w:val="001A142D"/>
    <w:rsid w:val="001A2C92"/>
    <w:rsid w:val="001B56F8"/>
    <w:rsid w:val="001B785B"/>
    <w:rsid w:val="001C15D3"/>
    <w:rsid w:val="001C632F"/>
    <w:rsid w:val="001D25B2"/>
    <w:rsid w:val="001D7D74"/>
    <w:rsid w:val="001E7946"/>
    <w:rsid w:val="001F2271"/>
    <w:rsid w:val="001F47D8"/>
    <w:rsid w:val="001F4CC8"/>
    <w:rsid w:val="0020129D"/>
    <w:rsid w:val="00201BAA"/>
    <w:rsid w:val="00216B53"/>
    <w:rsid w:val="00221A41"/>
    <w:rsid w:val="00225FCC"/>
    <w:rsid w:val="002307CE"/>
    <w:rsid w:val="00234DA2"/>
    <w:rsid w:val="00240DF3"/>
    <w:rsid w:val="00241A5C"/>
    <w:rsid w:val="00250471"/>
    <w:rsid w:val="0026242F"/>
    <w:rsid w:val="00272BC4"/>
    <w:rsid w:val="002872C4"/>
    <w:rsid w:val="00291CC8"/>
    <w:rsid w:val="00293DE0"/>
    <w:rsid w:val="0029622B"/>
    <w:rsid w:val="00296E28"/>
    <w:rsid w:val="00297E78"/>
    <w:rsid w:val="002A30A5"/>
    <w:rsid w:val="002A7545"/>
    <w:rsid w:val="002B27E9"/>
    <w:rsid w:val="002B2FED"/>
    <w:rsid w:val="002B4C11"/>
    <w:rsid w:val="002B5F01"/>
    <w:rsid w:val="002B6920"/>
    <w:rsid w:val="002C66B8"/>
    <w:rsid w:val="002C6802"/>
    <w:rsid w:val="002E33AC"/>
    <w:rsid w:val="002E3748"/>
    <w:rsid w:val="002E448E"/>
    <w:rsid w:val="002E58B3"/>
    <w:rsid w:val="00305AA3"/>
    <w:rsid w:val="00311534"/>
    <w:rsid w:val="003214A4"/>
    <w:rsid w:val="0032714C"/>
    <w:rsid w:val="0033197F"/>
    <w:rsid w:val="00331D7C"/>
    <w:rsid w:val="00333446"/>
    <w:rsid w:val="00335EE7"/>
    <w:rsid w:val="00341BDF"/>
    <w:rsid w:val="0035439D"/>
    <w:rsid w:val="003737CB"/>
    <w:rsid w:val="00376EC6"/>
    <w:rsid w:val="00381274"/>
    <w:rsid w:val="00393D37"/>
    <w:rsid w:val="00397819"/>
    <w:rsid w:val="003A14EE"/>
    <w:rsid w:val="003A6249"/>
    <w:rsid w:val="003B0E8B"/>
    <w:rsid w:val="003B4609"/>
    <w:rsid w:val="003B56D0"/>
    <w:rsid w:val="003C3221"/>
    <w:rsid w:val="003D74F0"/>
    <w:rsid w:val="003F50F8"/>
    <w:rsid w:val="004007BF"/>
    <w:rsid w:val="0041033E"/>
    <w:rsid w:val="004133BF"/>
    <w:rsid w:val="00417265"/>
    <w:rsid w:val="00423A59"/>
    <w:rsid w:val="00423C1A"/>
    <w:rsid w:val="004259FB"/>
    <w:rsid w:val="00426402"/>
    <w:rsid w:val="0042679B"/>
    <w:rsid w:val="0045692C"/>
    <w:rsid w:val="00464356"/>
    <w:rsid w:val="00466A5A"/>
    <w:rsid w:val="00470ABF"/>
    <w:rsid w:val="00470D35"/>
    <w:rsid w:val="00476FC2"/>
    <w:rsid w:val="00481DA4"/>
    <w:rsid w:val="00485111"/>
    <w:rsid w:val="00486C5C"/>
    <w:rsid w:val="00490A07"/>
    <w:rsid w:val="0049102C"/>
    <w:rsid w:val="00495FC1"/>
    <w:rsid w:val="004A6934"/>
    <w:rsid w:val="004B425D"/>
    <w:rsid w:val="004D33C5"/>
    <w:rsid w:val="004E5BCE"/>
    <w:rsid w:val="004F5705"/>
    <w:rsid w:val="005043FE"/>
    <w:rsid w:val="00511139"/>
    <w:rsid w:val="005130A5"/>
    <w:rsid w:val="005135B1"/>
    <w:rsid w:val="0051397B"/>
    <w:rsid w:val="00517123"/>
    <w:rsid w:val="00520643"/>
    <w:rsid w:val="005464BA"/>
    <w:rsid w:val="00554673"/>
    <w:rsid w:val="005561E1"/>
    <w:rsid w:val="005615EC"/>
    <w:rsid w:val="005678EF"/>
    <w:rsid w:val="00575667"/>
    <w:rsid w:val="00581FD7"/>
    <w:rsid w:val="0058511C"/>
    <w:rsid w:val="00596D3B"/>
    <w:rsid w:val="005B2CEE"/>
    <w:rsid w:val="005B5992"/>
    <w:rsid w:val="005B713E"/>
    <w:rsid w:val="005D154A"/>
    <w:rsid w:val="005E49A0"/>
    <w:rsid w:val="005E76BF"/>
    <w:rsid w:val="005F09F8"/>
    <w:rsid w:val="005F14D9"/>
    <w:rsid w:val="006107DC"/>
    <w:rsid w:val="00615E33"/>
    <w:rsid w:val="0063186E"/>
    <w:rsid w:val="00645E7D"/>
    <w:rsid w:val="006469B6"/>
    <w:rsid w:val="00647686"/>
    <w:rsid w:val="00650471"/>
    <w:rsid w:val="00650AFD"/>
    <w:rsid w:val="00651852"/>
    <w:rsid w:val="006612AE"/>
    <w:rsid w:val="00662F24"/>
    <w:rsid w:val="00680023"/>
    <w:rsid w:val="00683108"/>
    <w:rsid w:val="006B10A7"/>
    <w:rsid w:val="006B2AFA"/>
    <w:rsid w:val="006D3142"/>
    <w:rsid w:val="006E258C"/>
    <w:rsid w:val="006E61E6"/>
    <w:rsid w:val="006F3545"/>
    <w:rsid w:val="007016B1"/>
    <w:rsid w:val="007028E6"/>
    <w:rsid w:val="00714F09"/>
    <w:rsid w:val="0071574E"/>
    <w:rsid w:val="007168F7"/>
    <w:rsid w:val="007177F4"/>
    <w:rsid w:val="00720692"/>
    <w:rsid w:val="00724D9E"/>
    <w:rsid w:val="00724E4B"/>
    <w:rsid w:val="00726588"/>
    <w:rsid w:val="0072712D"/>
    <w:rsid w:val="0073049F"/>
    <w:rsid w:val="00732AE3"/>
    <w:rsid w:val="0074018F"/>
    <w:rsid w:val="00742ECB"/>
    <w:rsid w:val="00745EC2"/>
    <w:rsid w:val="00746357"/>
    <w:rsid w:val="007520ED"/>
    <w:rsid w:val="00752870"/>
    <w:rsid w:val="00756C2E"/>
    <w:rsid w:val="00757B62"/>
    <w:rsid w:val="00780A18"/>
    <w:rsid w:val="00783D96"/>
    <w:rsid w:val="00785AD4"/>
    <w:rsid w:val="00785DCC"/>
    <w:rsid w:val="00786E4A"/>
    <w:rsid w:val="007A6743"/>
    <w:rsid w:val="007B25E6"/>
    <w:rsid w:val="007B5519"/>
    <w:rsid w:val="007C1E51"/>
    <w:rsid w:val="007D6D08"/>
    <w:rsid w:val="007E29E7"/>
    <w:rsid w:val="007F1546"/>
    <w:rsid w:val="00804175"/>
    <w:rsid w:val="00815283"/>
    <w:rsid w:val="0082230E"/>
    <w:rsid w:val="00842126"/>
    <w:rsid w:val="0085178F"/>
    <w:rsid w:val="00860155"/>
    <w:rsid w:val="00870E3C"/>
    <w:rsid w:val="00880B8B"/>
    <w:rsid w:val="0089177B"/>
    <w:rsid w:val="00894FA6"/>
    <w:rsid w:val="00896373"/>
    <w:rsid w:val="008973DC"/>
    <w:rsid w:val="008A0E22"/>
    <w:rsid w:val="008A3E93"/>
    <w:rsid w:val="008A665B"/>
    <w:rsid w:val="008A75E7"/>
    <w:rsid w:val="008B4986"/>
    <w:rsid w:val="008B6D16"/>
    <w:rsid w:val="008B7177"/>
    <w:rsid w:val="008C2165"/>
    <w:rsid w:val="008C6369"/>
    <w:rsid w:val="008E1327"/>
    <w:rsid w:val="008E3CDE"/>
    <w:rsid w:val="008F13F2"/>
    <w:rsid w:val="008F1CC4"/>
    <w:rsid w:val="00905176"/>
    <w:rsid w:val="009206DF"/>
    <w:rsid w:val="00921F24"/>
    <w:rsid w:val="00922755"/>
    <w:rsid w:val="009229CE"/>
    <w:rsid w:val="00924102"/>
    <w:rsid w:val="00924602"/>
    <w:rsid w:val="00934C09"/>
    <w:rsid w:val="00937D61"/>
    <w:rsid w:val="0095012D"/>
    <w:rsid w:val="00952BBC"/>
    <w:rsid w:val="00954319"/>
    <w:rsid w:val="00957C93"/>
    <w:rsid w:val="00960238"/>
    <w:rsid w:val="00961C86"/>
    <w:rsid w:val="00963A78"/>
    <w:rsid w:val="00976A39"/>
    <w:rsid w:val="0098543E"/>
    <w:rsid w:val="00986CA9"/>
    <w:rsid w:val="00990485"/>
    <w:rsid w:val="00993BB7"/>
    <w:rsid w:val="009943D2"/>
    <w:rsid w:val="009A0959"/>
    <w:rsid w:val="009B2C82"/>
    <w:rsid w:val="009B48F2"/>
    <w:rsid w:val="009C3974"/>
    <w:rsid w:val="009C4A26"/>
    <w:rsid w:val="009D0C39"/>
    <w:rsid w:val="009D532D"/>
    <w:rsid w:val="009D780E"/>
    <w:rsid w:val="009E0C52"/>
    <w:rsid w:val="009E21F3"/>
    <w:rsid w:val="009F15F4"/>
    <w:rsid w:val="00A10AEB"/>
    <w:rsid w:val="00A22AC4"/>
    <w:rsid w:val="00A261C8"/>
    <w:rsid w:val="00A4166F"/>
    <w:rsid w:val="00A643D5"/>
    <w:rsid w:val="00A65EF9"/>
    <w:rsid w:val="00A75BEB"/>
    <w:rsid w:val="00A8125B"/>
    <w:rsid w:val="00A829B3"/>
    <w:rsid w:val="00A86806"/>
    <w:rsid w:val="00A902B5"/>
    <w:rsid w:val="00A965CA"/>
    <w:rsid w:val="00A97B44"/>
    <w:rsid w:val="00AA6C2F"/>
    <w:rsid w:val="00AD065C"/>
    <w:rsid w:val="00AD367C"/>
    <w:rsid w:val="00AF74C2"/>
    <w:rsid w:val="00AF78DE"/>
    <w:rsid w:val="00B02715"/>
    <w:rsid w:val="00B1100E"/>
    <w:rsid w:val="00B129F4"/>
    <w:rsid w:val="00B17685"/>
    <w:rsid w:val="00B34FA8"/>
    <w:rsid w:val="00B4341E"/>
    <w:rsid w:val="00B43F08"/>
    <w:rsid w:val="00B44DCE"/>
    <w:rsid w:val="00B7145D"/>
    <w:rsid w:val="00B72ABC"/>
    <w:rsid w:val="00B74784"/>
    <w:rsid w:val="00B75742"/>
    <w:rsid w:val="00B75D13"/>
    <w:rsid w:val="00B810B3"/>
    <w:rsid w:val="00B83548"/>
    <w:rsid w:val="00B860CA"/>
    <w:rsid w:val="00B94F1E"/>
    <w:rsid w:val="00BA2026"/>
    <w:rsid w:val="00BD0D97"/>
    <w:rsid w:val="00BD3633"/>
    <w:rsid w:val="00BD7FB9"/>
    <w:rsid w:val="00BE139C"/>
    <w:rsid w:val="00C0261E"/>
    <w:rsid w:val="00C03891"/>
    <w:rsid w:val="00C05982"/>
    <w:rsid w:val="00C1319D"/>
    <w:rsid w:val="00C17CFB"/>
    <w:rsid w:val="00C2407F"/>
    <w:rsid w:val="00C2455D"/>
    <w:rsid w:val="00C252ED"/>
    <w:rsid w:val="00C379D4"/>
    <w:rsid w:val="00C41768"/>
    <w:rsid w:val="00C467F5"/>
    <w:rsid w:val="00C46FB9"/>
    <w:rsid w:val="00C544F0"/>
    <w:rsid w:val="00C6008B"/>
    <w:rsid w:val="00C61BF8"/>
    <w:rsid w:val="00C642DF"/>
    <w:rsid w:val="00C70263"/>
    <w:rsid w:val="00C72D80"/>
    <w:rsid w:val="00C73980"/>
    <w:rsid w:val="00C82C88"/>
    <w:rsid w:val="00C86038"/>
    <w:rsid w:val="00C861F6"/>
    <w:rsid w:val="00CA53ED"/>
    <w:rsid w:val="00CC3ACE"/>
    <w:rsid w:val="00CC783B"/>
    <w:rsid w:val="00CD0C1A"/>
    <w:rsid w:val="00CD46EB"/>
    <w:rsid w:val="00CD5B5D"/>
    <w:rsid w:val="00CD77CA"/>
    <w:rsid w:val="00CE08CC"/>
    <w:rsid w:val="00CE0F2B"/>
    <w:rsid w:val="00CF20EB"/>
    <w:rsid w:val="00CF790C"/>
    <w:rsid w:val="00D1182E"/>
    <w:rsid w:val="00D15576"/>
    <w:rsid w:val="00D220BD"/>
    <w:rsid w:val="00D27DB0"/>
    <w:rsid w:val="00D306C9"/>
    <w:rsid w:val="00D31455"/>
    <w:rsid w:val="00D53853"/>
    <w:rsid w:val="00D752C6"/>
    <w:rsid w:val="00D85C85"/>
    <w:rsid w:val="00DC3EA9"/>
    <w:rsid w:val="00DC642F"/>
    <w:rsid w:val="00DE7E7F"/>
    <w:rsid w:val="00DF5B74"/>
    <w:rsid w:val="00DF6DE4"/>
    <w:rsid w:val="00E01C25"/>
    <w:rsid w:val="00E0342D"/>
    <w:rsid w:val="00E06075"/>
    <w:rsid w:val="00E064F7"/>
    <w:rsid w:val="00E20027"/>
    <w:rsid w:val="00E22318"/>
    <w:rsid w:val="00E2783A"/>
    <w:rsid w:val="00E41FE3"/>
    <w:rsid w:val="00E44BBF"/>
    <w:rsid w:val="00E54CEF"/>
    <w:rsid w:val="00E6636E"/>
    <w:rsid w:val="00E6777E"/>
    <w:rsid w:val="00E704E3"/>
    <w:rsid w:val="00E805FD"/>
    <w:rsid w:val="00E83D45"/>
    <w:rsid w:val="00E926CA"/>
    <w:rsid w:val="00E9746D"/>
    <w:rsid w:val="00E97667"/>
    <w:rsid w:val="00EA1967"/>
    <w:rsid w:val="00EA3614"/>
    <w:rsid w:val="00EA538F"/>
    <w:rsid w:val="00EA5B56"/>
    <w:rsid w:val="00EA789F"/>
    <w:rsid w:val="00EB19DB"/>
    <w:rsid w:val="00EB1C92"/>
    <w:rsid w:val="00EB39C6"/>
    <w:rsid w:val="00EB6161"/>
    <w:rsid w:val="00ED1A55"/>
    <w:rsid w:val="00EE2E0C"/>
    <w:rsid w:val="00EE4656"/>
    <w:rsid w:val="00EE542C"/>
    <w:rsid w:val="00EF05D5"/>
    <w:rsid w:val="00EF4047"/>
    <w:rsid w:val="00EF67F1"/>
    <w:rsid w:val="00F03F5A"/>
    <w:rsid w:val="00F144B6"/>
    <w:rsid w:val="00F26116"/>
    <w:rsid w:val="00F27D92"/>
    <w:rsid w:val="00F30F65"/>
    <w:rsid w:val="00F36FAE"/>
    <w:rsid w:val="00F607A9"/>
    <w:rsid w:val="00F61BC6"/>
    <w:rsid w:val="00F73BCC"/>
    <w:rsid w:val="00F74152"/>
    <w:rsid w:val="00F7709F"/>
    <w:rsid w:val="00F80925"/>
    <w:rsid w:val="00F865DE"/>
    <w:rsid w:val="00F95B74"/>
    <w:rsid w:val="00FB0BEF"/>
    <w:rsid w:val="00FB74A1"/>
    <w:rsid w:val="00FC2E1A"/>
    <w:rsid w:val="00FC3F6B"/>
    <w:rsid w:val="00FC57B0"/>
    <w:rsid w:val="00FD129C"/>
    <w:rsid w:val="00FE44F6"/>
    <w:rsid w:val="00FE58C7"/>
    <w:rsid w:val="00FF0A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5B3B2D"/>
  <w15:docId w15:val="{717A205C-EAE2-4A39-A4AD-F7EE04339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035D7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aliases w:val="o,fr,Style 13,Style 12,Style 15,Style 17,Style 9,o1,fr1,o2,fr2,o3,fr3,Style 18,(NECG) Footnote Reference,Style 20,Style 7,Style 8,Style 19,Style 28,Styl,Style 11,Style 16,Footnote Reference (EIS),fnr,Footnote reference (EA),Style 30,."/>
    <w:qFormat/>
    <w:rsid w:val="0035439D"/>
  </w:style>
  <w:style w:type="paragraph" w:styleId="FootnoteText">
    <w:name w:val="footnote text"/>
    <w:aliases w:val="fn,Footnote Text Char1,Footnote Text Char Char,Footnote Text Char1 Char,Footnote Text Char Char Char, Char,Footnote Text Char Char1,fn Char Char,Footnote Text Char1 Char1 Char,Footnote Text Char Char Char1 Char,ft,Char,Char Char1,fn1,fn3"/>
    <w:basedOn w:val="Normal"/>
    <w:link w:val="FootnoteTextChar2"/>
    <w:qFormat/>
    <w:rsid w:val="0035439D"/>
    <w:rPr>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1,fn Char1"/>
    <w:basedOn w:val="DefaultParagraphFont"/>
    <w:rsid w:val="0035439D"/>
    <w:rPr>
      <w:rFonts w:ascii="Times New Roman" w:eastAsia="Times New Roman" w:hAnsi="Times New Roman" w:cs="Times New Roman"/>
      <w:sz w:val="20"/>
      <w:szCs w:val="20"/>
    </w:rPr>
  </w:style>
  <w:style w:type="paragraph" w:customStyle="1" w:styleId="FERCparanumber">
    <w:name w:val="FERC paranumber"/>
    <w:basedOn w:val="Normal"/>
    <w:link w:val="FERCparanumberChar"/>
    <w:qFormat/>
    <w:rsid w:val="0035439D"/>
    <w:pPr>
      <w:widowControl/>
      <w:numPr>
        <w:numId w:val="1"/>
      </w:numPr>
      <w:autoSpaceDE/>
      <w:autoSpaceDN/>
      <w:adjustRightInd/>
    </w:pPr>
    <w:rPr>
      <w:sz w:val="26"/>
    </w:rPr>
  </w:style>
  <w:style w:type="character" w:customStyle="1" w:styleId="FootnoteTextChar2">
    <w:name w:val="Footnote Text Char2"/>
    <w:aliases w:val="fn Char,Footnote Text Char1 Char1,Footnote Text Char Char Char1,Footnote Text Char1 Char Char,Footnote Text Char Char Char Char, Char Char,Footnote Text Char Char1 Char,fn Char Char Char,Footnote Text Char1 Char1 Char Char,ft Char"/>
    <w:link w:val="FootnoteText"/>
    <w:uiPriority w:val="99"/>
    <w:locked/>
    <w:rsid w:val="0035439D"/>
    <w:rPr>
      <w:rFonts w:ascii="Times New Roman" w:eastAsia="Times New Roman" w:hAnsi="Times New Roman" w:cs="Times New Roman"/>
      <w:sz w:val="20"/>
      <w:szCs w:val="20"/>
    </w:rPr>
  </w:style>
  <w:style w:type="character" w:customStyle="1" w:styleId="FERCparanumberChar">
    <w:name w:val="FERC paranumber Char"/>
    <w:link w:val="FERCparanumber"/>
    <w:rsid w:val="0035439D"/>
    <w:rPr>
      <w:rFonts w:ascii="Times New Roman" w:eastAsia="Times New Roman" w:hAnsi="Times New Roman" w:cs="Times New Roman"/>
      <w:sz w:val="26"/>
      <w:szCs w:val="24"/>
    </w:rPr>
  </w:style>
  <w:style w:type="character" w:styleId="Hyperlink">
    <w:name w:val="Hyperlink"/>
    <w:rsid w:val="0035439D"/>
    <w:rPr>
      <w:color w:val="0000FF"/>
      <w:u w:val="single"/>
    </w:rPr>
  </w:style>
  <w:style w:type="paragraph" w:styleId="ListParagraph">
    <w:name w:val="List Paragraph"/>
    <w:basedOn w:val="Normal"/>
    <w:uiPriority w:val="34"/>
    <w:qFormat/>
    <w:rsid w:val="0035439D"/>
    <w:pPr>
      <w:widowControl/>
      <w:autoSpaceDE/>
      <w:autoSpaceDN/>
      <w:adjustRightInd/>
      <w:spacing w:after="200" w:line="276" w:lineRule="auto"/>
      <w:ind w:left="720"/>
      <w:contextualSpacing/>
    </w:pPr>
    <w:rPr>
      <w:rFonts w:ascii="Calibri" w:hAnsi="Calibri"/>
      <w:sz w:val="22"/>
      <w:szCs w:val="22"/>
    </w:rPr>
  </w:style>
  <w:style w:type="paragraph" w:styleId="Header">
    <w:name w:val="header"/>
    <w:basedOn w:val="Normal"/>
    <w:link w:val="HeaderChar"/>
    <w:rsid w:val="0035439D"/>
    <w:pPr>
      <w:tabs>
        <w:tab w:val="center" w:pos="4680"/>
        <w:tab w:val="right" w:pos="9360"/>
      </w:tabs>
    </w:pPr>
  </w:style>
  <w:style w:type="character" w:customStyle="1" w:styleId="HeaderChar">
    <w:name w:val="Header Char"/>
    <w:basedOn w:val="DefaultParagraphFont"/>
    <w:link w:val="Header"/>
    <w:rsid w:val="0035439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5439D"/>
    <w:pPr>
      <w:tabs>
        <w:tab w:val="center" w:pos="4680"/>
        <w:tab w:val="right" w:pos="9360"/>
      </w:tabs>
    </w:pPr>
  </w:style>
  <w:style w:type="character" w:customStyle="1" w:styleId="FooterChar">
    <w:name w:val="Footer Char"/>
    <w:basedOn w:val="DefaultParagraphFont"/>
    <w:link w:val="Footer"/>
    <w:uiPriority w:val="99"/>
    <w:rsid w:val="0035439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0749A"/>
    <w:rPr>
      <w:sz w:val="16"/>
      <w:szCs w:val="16"/>
    </w:rPr>
  </w:style>
  <w:style w:type="paragraph" w:styleId="CommentText">
    <w:name w:val="annotation text"/>
    <w:basedOn w:val="Normal"/>
    <w:link w:val="CommentTextChar"/>
    <w:uiPriority w:val="99"/>
    <w:semiHidden/>
    <w:unhideWhenUsed/>
    <w:rsid w:val="0000749A"/>
    <w:rPr>
      <w:sz w:val="20"/>
      <w:szCs w:val="20"/>
    </w:rPr>
  </w:style>
  <w:style w:type="character" w:customStyle="1" w:styleId="CommentTextChar">
    <w:name w:val="Comment Text Char"/>
    <w:basedOn w:val="DefaultParagraphFont"/>
    <w:link w:val="CommentText"/>
    <w:uiPriority w:val="99"/>
    <w:semiHidden/>
    <w:rsid w:val="0000749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0749A"/>
    <w:rPr>
      <w:b/>
      <w:bCs/>
    </w:rPr>
  </w:style>
  <w:style w:type="character" w:customStyle="1" w:styleId="CommentSubjectChar">
    <w:name w:val="Comment Subject Char"/>
    <w:basedOn w:val="CommentTextChar"/>
    <w:link w:val="CommentSubject"/>
    <w:uiPriority w:val="99"/>
    <w:semiHidden/>
    <w:rsid w:val="0000749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00749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49A"/>
    <w:rPr>
      <w:rFonts w:ascii="Segoe UI" w:eastAsia="Times New Roman" w:hAnsi="Segoe UI" w:cs="Segoe UI"/>
      <w:sz w:val="18"/>
      <w:szCs w:val="18"/>
    </w:rPr>
  </w:style>
  <w:style w:type="character" w:styleId="FollowedHyperlink">
    <w:name w:val="FollowedHyperlink"/>
    <w:basedOn w:val="DefaultParagraphFont"/>
    <w:uiPriority w:val="99"/>
    <w:semiHidden/>
    <w:unhideWhenUsed/>
    <w:rsid w:val="00CD46EB"/>
    <w:rPr>
      <w:color w:val="954F72" w:themeColor="followedHyperlink"/>
      <w:u w:val="single"/>
    </w:rPr>
  </w:style>
  <w:style w:type="character" w:customStyle="1" w:styleId="FERCparanumberChar1">
    <w:name w:val="FERC paranumber Char1"/>
    <w:rsid w:val="00F03F5A"/>
    <w:rPr>
      <w:rFonts w:ascii="Times New Roman" w:eastAsia="Times New Roman" w:hAnsi="Times New Roman" w:cs="Times New Roman"/>
      <w:sz w:val="26"/>
      <w:szCs w:val="24"/>
    </w:rPr>
  </w:style>
  <w:style w:type="table" w:styleId="TableGrid">
    <w:name w:val="Table Grid"/>
    <w:basedOn w:val="TableNormal"/>
    <w:uiPriority w:val="39"/>
    <w:rsid w:val="009B2C82"/>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Format">
    <w:name w:val="Legal Format"/>
    <w:basedOn w:val="ListContinue"/>
    <w:uiPriority w:val="99"/>
    <w:rsid w:val="00035D73"/>
    <w:pPr>
      <w:widowControl/>
      <w:tabs>
        <w:tab w:val="num" w:pos="10080"/>
      </w:tabs>
      <w:autoSpaceDE/>
      <w:autoSpaceDN/>
      <w:adjustRightInd/>
      <w:spacing w:after="240"/>
      <w:ind w:left="9360"/>
      <w:contextualSpacing w:val="0"/>
    </w:pPr>
    <w:rPr>
      <w:sz w:val="26"/>
      <w:szCs w:val="26"/>
    </w:rPr>
  </w:style>
  <w:style w:type="paragraph" w:styleId="ListContinue">
    <w:name w:val="List Continue"/>
    <w:basedOn w:val="Normal"/>
    <w:uiPriority w:val="99"/>
    <w:semiHidden/>
    <w:unhideWhenUsed/>
    <w:rsid w:val="00035D73"/>
    <w:pPr>
      <w:spacing w:after="120"/>
      <w:ind w:left="360"/>
      <w:contextualSpacing/>
    </w:pPr>
  </w:style>
  <w:style w:type="paragraph" w:customStyle="1" w:styleId="Default">
    <w:name w:val="Default"/>
    <w:rsid w:val="007B5519"/>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961C86"/>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E37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7498">
      <w:bodyDiv w:val="1"/>
      <w:marLeft w:val="0"/>
      <w:marRight w:val="0"/>
      <w:marTop w:val="0"/>
      <w:marBottom w:val="0"/>
      <w:divBdr>
        <w:top w:val="none" w:sz="0" w:space="0" w:color="auto"/>
        <w:left w:val="none" w:sz="0" w:space="0" w:color="auto"/>
        <w:bottom w:val="none" w:sz="0" w:space="0" w:color="auto"/>
        <w:right w:val="none" w:sz="0" w:space="0" w:color="auto"/>
      </w:divBdr>
    </w:div>
    <w:div w:id="178009532">
      <w:bodyDiv w:val="1"/>
      <w:marLeft w:val="0"/>
      <w:marRight w:val="0"/>
      <w:marTop w:val="0"/>
      <w:marBottom w:val="0"/>
      <w:divBdr>
        <w:top w:val="none" w:sz="0" w:space="0" w:color="auto"/>
        <w:left w:val="none" w:sz="0" w:space="0" w:color="auto"/>
        <w:bottom w:val="none" w:sz="0" w:space="0" w:color="auto"/>
        <w:right w:val="none" w:sz="0" w:space="0" w:color="auto"/>
      </w:divBdr>
    </w:div>
    <w:div w:id="399405804">
      <w:bodyDiv w:val="1"/>
      <w:marLeft w:val="0"/>
      <w:marRight w:val="0"/>
      <w:marTop w:val="0"/>
      <w:marBottom w:val="0"/>
      <w:divBdr>
        <w:top w:val="none" w:sz="0" w:space="0" w:color="auto"/>
        <w:left w:val="none" w:sz="0" w:space="0" w:color="auto"/>
        <w:bottom w:val="none" w:sz="0" w:space="0" w:color="auto"/>
        <w:right w:val="none" w:sz="0" w:space="0" w:color="auto"/>
      </w:divBdr>
    </w:div>
    <w:div w:id="486942888">
      <w:bodyDiv w:val="1"/>
      <w:marLeft w:val="0"/>
      <w:marRight w:val="0"/>
      <w:marTop w:val="0"/>
      <w:marBottom w:val="0"/>
      <w:divBdr>
        <w:top w:val="none" w:sz="0" w:space="0" w:color="auto"/>
        <w:left w:val="none" w:sz="0" w:space="0" w:color="auto"/>
        <w:bottom w:val="none" w:sz="0" w:space="0" w:color="auto"/>
        <w:right w:val="none" w:sz="0" w:space="0" w:color="auto"/>
      </w:divBdr>
    </w:div>
    <w:div w:id="543951651">
      <w:bodyDiv w:val="1"/>
      <w:marLeft w:val="0"/>
      <w:marRight w:val="0"/>
      <w:marTop w:val="0"/>
      <w:marBottom w:val="0"/>
      <w:divBdr>
        <w:top w:val="none" w:sz="0" w:space="0" w:color="auto"/>
        <w:left w:val="none" w:sz="0" w:space="0" w:color="auto"/>
        <w:bottom w:val="none" w:sz="0" w:space="0" w:color="auto"/>
        <w:right w:val="none" w:sz="0" w:space="0" w:color="auto"/>
      </w:divBdr>
    </w:div>
    <w:div w:id="1082601380">
      <w:bodyDiv w:val="1"/>
      <w:marLeft w:val="0"/>
      <w:marRight w:val="0"/>
      <w:marTop w:val="0"/>
      <w:marBottom w:val="0"/>
      <w:divBdr>
        <w:top w:val="none" w:sz="0" w:space="0" w:color="auto"/>
        <w:left w:val="none" w:sz="0" w:space="0" w:color="auto"/>
        <w:bottom w:val="none" w:sz="0" w:space="0" w:color="auto"/>
        <w:right w:val="none" w:sz="0" w:space="0" w:color="auto"/>
      </w:divBdr>
    </w:div>
    <w:div w:id="1132945136">
      <w:bodyDiv w:val="1"/>
      <w:marLeft w:val="0"/>
      <w:marRight w:val="0"/>
      <w:marTop w:val="0"/>
      <w:marBottom w:val="0"/>
      <w:divBdr>
        <w:top w:val="none" w:sz="0" w:space="0" w:color="auto"/>
        <w:left w:val="none" w:sz="0" w:space="0" w:color="auto"/>
        <w:bottom w:val="none" w:sz="0" w:space="0" w:color="auto"/>
        <w:right w:val="none" w:sz="0" w:space="0" w:color="auto"/>
      </w:divBdr>
    </w:div>
    <w:div w:id="1401756044">
      <w:bodyDiv w:val="1"/>
      <w:marLeft w:val="0"/>
      <w:marRight w:val="0"/>
      <w:marTop w:val="0"/>
      <w:marBottom w:val="0"/>
      <w:divBdr>
        <w:top w:val="none" w:sz="0" w:space="0" w:color="auto"/>
        <w:left w:val="none" w:sz="0" w:space="0" w:color="auto"/>
        <w:bottom w:val="none" w:sz="0" w:space="0" w:color="auto"/>
        <w:right w:val="none" w:sz="0" w:space="0" w:color="auto"/>
      </w:divBdr>
    </w:div>
    <w:div w:id="15032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erc.gov/docs-filing/info-collections.asp"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erc.com/FilingsOrders/us/RuleOfProcedureDL/Appendix_3A_StandardProcessesManual_20130626.pdf" TargetMode="External"/><Relationship Id="rId2" Type="http://schemas.openxmlformats.org/officeDocument/2006/relationships/hyperlink" Target="http://www.nerc.com" TargetMode="External"/><Relationship Id="rId1" Type="http://schemas.openxmlformats.org/officeDocument/2006/relationships/hyperlink" Target="http://www.ne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mso-contentType ?>
<SharedContentType xmlns="Microsoft.SharePoint.Taxonomy.ContentTypeSync" SourceId="74a4cd09-5f17-433b-814a-38e7e9115d16"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 A, 725A1C</_x0031__x002e__x0020_Collection_x0020_Number>
    <Date xmlns="d6eefc7d-9817-4fa6-84d5-3bc009be21b8">2020-01-15T05:00:00+00:00</Date>
    <Status xmlns="d6eefc7d-9817-4fa6-84d5-3bc009be21b8">Draft</Status>
    <_x0032__x002e__x0020_Docket_x0020_Number xmlns="d6eefc7d-9817-4fa6-84d5-3bc009be21b8">RM19-17</_x0032__x002e__x0020_Docket_x0020_Number>
    <_x0032__x002e__x0020_Collection_x0020_Number xmlns="d6eefc7d-9817-4fa6-84d5-3bc009be21b8">725 G1</_x0032__x002e__x0020_Collection_x0020_Number>
    <_x0031__x002e__x0020_Docket_x0020_Number xmlns="d6eefc7d-9817-4fa6-84d5-3bc009be21b8">RM19-16</_x0031__x002e__x0020_Docket_x0020_Number>
    <_x0033__x002e__x0020_Collection_x0020_Number xmlns="d6eefc7d-9817-4fa6-84d5-3bc009be21b8">725Z</_x0033__x002e__x0020_Collection_x0020_Number>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C44047-8D3D-4A49-A89B-F816E60486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3FBF0-3ECA-4F31-91AC-35A430414B42}">
  <ds:schemaRefs>
    <ds:schemaRef ds:uri="http://schemas.microsoft.com/office/2006/metadata/customXsn"/>
  </ds:schemaRefs>
</ds:datastoreItem>
</file>

<file path=customXml/itemProps3.xml><?xml version="1.0" encoding="utf-8"?>
<ds:datastoreItem xmlns:ds="http://schemas.openxmlformats.org/officeDocument/2006/customXml" ds:itemID="{56937516-BFF8-4E1E-823F-70EB7E0C51D1}">
  <ds:schemaRefs>
    <ds:schemaRef ds:uri="Microsoft.SharePoint.Taxonomy.ContentTypeSync"/>
  </ds:schemaRefs>
</ds:datastoreItem>
</file>

<file path=customXml/itemProps4.xml><?xml version="1.0" encoding="utf-8"?>
<ds:datastoreItem xmlns:ds="http://schemas.openxmlformats.org/officeDocument/2006/customXml" ds:itemID="{C7B94129-A4AE-4FF0-BB55-28AC9113BDC0}">
  <ds:schemaRefs>
    <ds:schemaRef ds:uri="http://schemas.microsoft.com/sharepoint/v3/contenttype/forms"/>
  </ds:schemaRefs>
</ds:datastoreItem>
</file>

<file path=customXml/itemProps5.xml><?xml version="1.0" encoding="utf-8"?>
<ds:datastoreItem xmlns:ds="http://schemas.openxmlformats.org/officeDocument/2006/customXml" ds:itemID="{28FABFCA-6F10-4FE9-B319-1D761BC8E370}">
  <ds:schemaRefs>
    <ds:schemaRef ds:uri="http://schemas.microsoft.com/office/2006/metadata/properties"/>
    <ds:schemaRef ds:uri="http://schemas.microsoft.com/office/infopath/2007/PartnerControls"/>
    <ds:schemaRef ds:uri="d6eefc7d-9817-4fa6-84d5-3bc009be21b8"/>
  </ds:schemaRefs>
</ds:datastoreItem>
</file>

<file path=customXml/itemProps6.xml><?xml version="1.0" encoding="utf-8"?>
<ds:datastoreItem xmlns:ds="http://schemas.openxmlformats.org/officeDocument/2006/customXml" ds:itemID="{ED1292D3-D981-4066-A079-3F03F5F583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14</Pages>
  <Words>4097</Words>
  <Characters>23353</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Jean Sonneman</cp:lastModifiedBy>
  <cp:revision>103</cp:revision>
  <cp:lastPrinted>2020-02-04T14:20:00Z</cp:lastPrinted>
  <dcterms:created xsi:type="dcterms:W3CDTF">2020-11-18T14:39:00Z</dcterms:created>
  <dcterms:modified xsi:type="dcterms:W3CDTF">2020-11-18T16:35:00Z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0x0101001EA51C0686BDB848B772F285AB6866B0</vt:lpwstr>
  </property>
  <property fmtid="{D5CDD505-2E9C-101B-9397-08002B2CF9AE}" pid="3" name="MSIP_Label_6155a89b-0f08-4a93-8ea2-8a916d6643b5_Enabled">
    <vt:lpwstr>True</vt:lpwstr>
  </property>
  <property fmtid="{D5CDD505-2E9C-101B-9397-08002B2CF9AE}" pid="4" name="MSIP_Label_6155a89b-0f08-4a93-8ea2-8a916d6643b5_SiteId">
    <vt:lpwstr>19caa9e9-04ff-43fa-885f-d77fac387903</vt:lpwstr>
  </property>
  <property fmtid="{D5CDD505-2E9C-101B-9397-08002B2CF9AE}" pid="5" name="MSIP_Label_6155a89b-0f08-4a93-8ea2-8a916d6643b5_Owner">
    <vt:lpwstr>Kayla.Williams@ferc.gov</vt:lpwstr>
  </property>
  <property fmtid="{D5CDD505-2E9C-101B-9397-08002B2CF9AE}" pid="6" name="MSIP_Label_6155a89b-0f08-4a93-8ea2-8a916d6643b5_SetDate">
    <vt:lpwstr>2020-11-06T17:33:41.5151717Z</vt:lpwstr>
  </property>
  <property fmtid="{D5CDD505-2E9C-101B-9397-08002B2CF9AE}" pid="7" name="MSIP_Label_6155a89b-0f08-4a93-8ea2-8a916d6643b5_Name">
    <vt:lpwstr>General</vt:lpwstr>
  </property>
  <property fmtid="{D5CDD505-2E9C-101B-9397-08002B2CF9AE}" pid="8" name="MSIP_Label_6155a89b-0f08-4a93-8ea2-8a916d6643b5_Application">
    <vt:lpwstr>Microsoft Azure Information Protection</vt:lpwstr>
  </property>
  <property fmtid="{D5CDD505-2E9C-101B-9397-08002B2CF9AE}" pid="9" name="MSIP_Label_6155a89b-0f08-4a93-8ea2-8a916d6643b5_ActionId">
    <vt:lpwstr>633c82c4-2e9a-42ea-ae6b-02a76df8a81c</vt:lpwstr>
  </property>
  <property fmtid="{D5CDD505-2E9C-101B-9397-08002B2CF9AE}" pid="10" name="MSIP_Label_6155a89b-0f08-4a93-8ea2-8a916d6643b5_Extended_MSFT_Method">
    <vt:lpwstr>Manual</vt:lpwstr>
  </property>
  <property fmtid="{D5CDD505-2E9C-101B-9397-08002B2CF9AE}" pid="11" name="Sensitivity">
    <vt:lpwstr>General</vt:lpwstr>
  </property>
</Properties>
</file>