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4D129F" w14:paraId="3AA437AF" w14:textId="66AB05A3">
          <w:pPr>
            <w:rPr>
              <w:noProof/>
            </w:rPr>
          </w:pPr>
          <w:r>
            <w:rPr>
              <w:noProof/>
            </w:rPr>
            <w:drawing>
              <wp:anchor distT="0" distB="0" distL="114300" distR="114300" simplePos="0" relativeHeight="251658241" behindDoc="0" locked="0" layoutInCell="1" allowOverlap="1" wp14:editId="029CAC4F" wp14:anchorId="3AA4386E">
                <wp:simplePos x="0" y="0"/>
                <wp:positionH relativeFrom="column">
                  <wp:posOffset>6350</wp:posOffset>
                </wp:positionH>
                <wp:positionV relativeFrom="paragraph">
                  <wp:posOffset>76200</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58242" behindDoc="1" locked="0" layoutInCell="1" allowOverlap="1" wp14:editId="4A04289D" wp14:anchorId="3AA4386C">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2B90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711414">
            <w:rPr>
              <w:noProof/>
            </w:rPr>
            <mc:AlternateContent>
              <mc:Choice Requires="wps">
                <w:drawing>
                  <wp:anchor distT="0" distB="0" distL="114300" distR="114300" simplePos="0" relativeHeight="251658243" behindDoc="0" locked="0" layoutInCell="1" allowOverlap="1" wp14:editId="3AA43871" wp14:anchorId="3AA43870">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CA35F57">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3AA437B0" w14:textId="77777777">
          <w:pPr>
            <w:ind w:left="1080"/>
          </w:pPr>
          <w:r>
            <w:rPr>
              <w:noProof/>
            </w:rPr>
            <w:softHyphen/>
          </w:r>
          <w:r>
            <w:rPr>
              <w:noProof/>
            </w:rPr>
            <w:softHyphen/>
          </w:r>
          <w:r>
            <w:rPr>
              <w:noProof/>
            </w:rPr>
            <w:softHyphen/>
          </w:r>
        </w:p>
      </w:sdtContent>
    </w:sdt>
    <w:p w:rsidR="00D928FD" w:rsidP="00D928FD" w:rsidRDefault="00D928FD" w14:paraId="3AA437B1"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571FB6" w14:paraId="3AA437B2"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Survey Clearance</w:t>
          </w:r>
        </w:p>
      </w:sdtContent>
    </w:sdt>
    <w:p w:rsidRPr="00EE2CAF" w:rsidR="0059212D" w:rsidP="00EE2CAF" w:rsidRDefault="00EE2CAF" w14:paraId="3AA437B3" w14:textId="77777777">
      <w:pPr>
        <w:pStyle w:val="Heading1"/>
      </w:pPr>
      <w:bookmarkStart w:name="_Toc492634199" w:id="0"/>
      <w:r w:rsidRPr="00EE2CAF">
        <w:t>Part A: Justification</w:t>
      </w:r>
      <w:bookmarkEnd w:id="0"/>
    </w:p>
    <w:p w:rsidRPr="00711414" w:rsidR="00711414" w:rsidP="00D928FD" w:rsidRDefault="0059212D" w14:paraId="3AA437B4" w14:textId="77777777">
      <w:pPr>
        <w:rPr>
          <w:b/>
          <w:sz w:val="36"/>
          <w:szCs w:val="36"/>
        </w:rPr>
      </w:pPr>
      <w:r>
        <w:rPr>
          <w:noProof/>
        </w:rPr>
        <mc:AlternateContent>
          <mc:Choice Requires="wps">
            <w:drawing>
              <wp:anchor distT="0" distB="0" distL="114300" distR="114300" simplePos="0" relativeHeight="251658249" behindDoc="0" locked="0" layoutInCell="1" allowOverlap="1" wp14:editId="3AA43873" wp14:anchorId="3AA43872">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1F453D" w:rsidP="00FB6BF3" w:rsidRDefault="001F453D" w14:paraId="3AA4388C" w14:textId="0E545239">
                            <w:pPr>
                              <w:rPr>
                                <w:i/>
                                <w:sz w:val="28"/>
                                <w:szCs w:val="28"/>
                              </w:rPr>
                            </w:pPr>
                            <w:r w:rsidRPr="00165C80">
                              <w:rPr>
                                <w:sz w:val="28"/>
                                <w:szCs w:val="28"/>
                              </w:rPr>
                              <w:t>Form EIA-914</w:t>
                            </w:r>
                            <w:r w:rsidRPr="0059212D">
                              <w:rPr>
                                <w:i/>
                                <w:sz w:val="28"/>
                                <w:szCs w:val="28"/>
                              </w:rPr>
                              <w:t xml:space="preserve"> </w:t>
                            </w:r>
                            <w:r>
                              <w:rPr>
                                <w:i/>
                                <w:sz w:val="28"/>
                                <w:szCs w:val="28"/>
                              </w:rPr>
                              <w:t>Monthly Crude Oil and Lease Condensate, and Natural Gas Production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AA43872">
                <v:stroke joinstyle="miter"/>
                <v:path gradientshapeok="t" o:connecttype="rect"/>
              </v:shapetype>
              <v:shape id="Text Box 10" style="position:absolute;margin-left:0;margin-top:231.75pt;width:474pt;height:26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Pr="0059212D" w:rsidR="001F453D" w:rsidP="00FB6BF3" w:rsidRDefault="001F453D" w14:paraId="3AA4388C" w14:textId="0E545239">
                      <w:pPr>
                        <w:rPr>
                          <w:i/>
                          <w:sz w:val="28"/>
                          <w:szCs w:val="28"/>
                        </w:rPr>
                      </w:pPr>
                      <w:r w:rsidRPr="00165C80">
                        <w:rPr>
                          <w:sz w:val="28"/>
                          <w:szCs w:val="28"/>
                        </w:rPr>
                        <w:t>Form EIA-914</w:t>
                      </w:r>
                      <w:r w:rsidRPr="0059212D">
                        <w:rPr>
                          <w:i/>
                          <w:sz w:val="28"/>
                          <w:szCs w:val="28"/>
                        </w:rPr>
                        <w:t xml:space="preserve"> </w:t>
                      </w:r>
                      <w:r>
                        <w:rPr>
                          <w:i/>
                          <w:sz w:val="28"/>
                          <w:szCs w:val="28"/>
                        </w:rPr>
                        <w:t>Monthly Crude Oil and Lease Condensate, and Natural Gas Production Report</w:t>
                      </w:r>
                    </w:p>
                  </w:txbxContent>
                </v:textbox>
                <w10:wrap type="square" anchorx="margin" anchory="margin"/>
              </v:shape>
            </w:pict>
          </mc:Fallback>
        </mc:AlternateContent>
      </w:r>
      <w:r w:rsidRPr="00711414" w:rsidR="00711414">
        <w:rPr>
          <w:rFonts w:ascii="Times New Roman" w:hAnsi="Times New Roman" w:cs="Times New Roman"/>
          <w:b/>
          <w:sz w:val="36"/>
          <w:szCs w:val="36"/>
        </w:rPr>
        <w:t>OMB No. 1905-0</w:t>
      </w:r>
      <w:r w:rsidR="00571FB6">
        <w:rPr>
          <w:rFonts w:ascii="Times New Roman" w:hAnsi="Times New Roman" w:cs="Times New Roman"/>
          <w:b/>
          <w:sz w:val="36"/>
          <w:szCs w:val="36"/>
        </w:rPr>
        <w:t>205</w:t>
      </w:r>
    </w:p>
    <w:p w:rsidRPr="00711414" w:rsidR="001F3A8F" w:rsidP="00711414" w:rsidRDefault="00EE2CAF" w14:paraId="3AA437B5" w14:textId="77777777">
      <w:pPr>
        <w:rPr>
          <w:i/>
          <w:sz w:val="28"/>
          <w:szCs w:val="28"/>
        </w:rPr>
      </w:pPr>
      <w:r>
        <w:rPr>
          <w:noProof/>
        </w:rPr>
        <mc:AlternateContent>
          <mc:Choice Requires="wps">
            <w:drawing>
              <wp:anchor distT="0" distB="0" distL="114300" distR="114300" simplePos="0" relativeHeight="251658245" behindDoc="0" locked="0" layoutInCell="1" allowOverlap="1" wp14:editId="3AA43875" wp14:anchorId="3AA43874">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F453D" w:rsidRDefault="004B6C8A" w14:paraId="3AA4388D" w14:textId="65C39340">
                            <w:pPr>
                              <w:rPr>
                                <w:color w:val="A6A6A6" w:themeColor="background1" w:themeShade="A6"/>
                                <w:sz w:val="36"/>
                              </w:rPr>
                            </w:pPr>
                            <w:r>
                              <w:rPr>
                                <w:color w:val="A6A6A6" w:themeColor="background1" w:themeShade="A6"/>
                                <w:sz w:val="36"/>
                              </w:rPr>
                              <w:t>September</w:t>
                            </w:r>
                            <w:r w:rsidR="001F453D">
                              <w:rPr>
                                <w:color w:val="A6A6A6" w:themeColor="background1" w:themeShade="A6"/>
                                <w:sz w:val="36"/>
                              </w:rPr>
                              <w:t xml:space="preserve">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0"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3AA43874">
                <v:textbox style="mso-fit-shape-to-text:t" inset="0">
                  <w:txbxContent>
                    <w:p w:rsidRPr="009818F9" w:rsidR="001F453D" w:rsidRDefault="004B6C8A" w14:paraId="3AA4388D" w14:textId="65C39340">
                      <w:pPr>
                        <w:rPr>
                          <w:color w:val="A6A6A6" w:themeColor="background1" w:themeShade="A6"/>
                          <w:sz w:val="36"/>
                        </w:rPr>
                      </w:pPr>
                      <w:r>
                        <w:rPr>
                          <w:color w:val="A6A6A6" w:themeColor="background1" w:themeShade="A6"/>
                          <w:sz w:val="36"/>
                        </w:rPr>
                        <w:t>September</w:t>
                      </w:r>
                      <w:r w:rsidR="001F453D">
                        <w:rPr>
                          <w:color w:val="A6A6A6" w:themeColor="background1" w:themeShade="A6"/>
                          <w:sz w:val="36"/>
                        </w:rPr>
                        <w:t xml:space="preserve"> 2020</w:t>
                      </w:r>
                    </w:p>
                  </w:txbxContent>
                </v:textbox>
                <w10:wrap type="square" anchorx="margin" anchory="margin"/>
              </v:shape>
            </w:pict>
          </mc:Fallback>
        </mc:AlternateContent>
      </w:r>
      <w:r>
        <w:rPr>
          <w:noProof/>
        </w:rPr>
        <mc:AlternateContent>
          <mc:Choice Requires="wps">
            <w:drawing>
              <wp:anchor distT="0" distB="0" distL="114300" distR="114300" simplePos="0" relativeHeight="251658246" behindDoc="1" locked="0" layoutInCell="1" allowOverlap="1" wp14:editId="3AA43877" wp14:anchorId="3AA43876">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4"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4EEE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58244" behindDoc="0" locked="0" layoutInCell="1" allowOverlap="1" wp14:editId="3AA43879" wp14:anchorId="3AA43878">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F453D" w:rsidP="00D001E4" w:rsidRDefault="001F453D" w14:paraId="3AA4388E"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9"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3AA43878">
                <v:textbox inset="0">
                  <w:txbxContent>
                    <w:p w:rsidRPr="00AA3D91" w:rsidR="001F453D" w:rsidP="00D001E4" w:rsidRDefault="001F453D" w14:paraId="3AA4388E"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14:editId="3AA4387B" wp14:anchorId="3AA4387A">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58247" behindDoc="0" locked="0" layoutInCell="1" allowOverlap="1" wp14:editId="3AA4387D" wp14:anchorId="3AA4387C">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F453D" w:rsidP="00D300F4" w:rsidRDefault="001F453D" w14:paraId="3AA4388F"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F453D" w:rsidP="002556F3" w:rsidRDefault="001F453D" w14:paraId="3AA43890"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5"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3AA4387C">
                <v:textbox inset="0,,0">
                  <w:txbxContent>
                    <w:p w:rsidRPr="008F4CBD" w:rsidR="001F453D" w:rsidP="00D300F4" w:rsidRDefault="001F453D" w14:paraId="3AA4388F"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F453D" w:rsidP="002556F3" w:rsidRDefault="001F453D" w14:paraId="3AA43890"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58248" behindDoc="0" locked="0" layoutInCell="1" allowOverlap="1" wp14:editId="3AA4387F" wp14:anchorId="3AA4387E">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F453D" w:rsidP="002556F3" w:rsidRDefault="001F453D" w14:paraId="3AA4389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453D" w:rsidP="002556F3" w:rsidRDefault="001F453D" w14:paraId="3AA43892"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6"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3AA4387E">
                <v:textbox inset="0">
                  <w:txbxContent>
                    <w:p w:rsidRPr="008F4CBD" w:rsidR="001F453D" w:rsidP="002556F3" w:rsidRDefault="001F453D" w14:paraId="3AA4389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453D" w:rsidP="002556F3" w:rsidRDefault="001F453D" w14:paraId="3AA43892"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3AA437B6" w14:textId="77777777">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3AA437B7" w14:textId="77777777">
          <w:pPr>
            <w:pStyle w:val="TOCHeading"/>
          </w:pPr>
          <w:r>
            <w:t>Table of Contents</w:t>
          </w:r>
        </w:p>
        <w:p w:rsidR="00933D5D" w:rsidRDefault="0059212D" w14:paraId="3AA437B8" w14:textId="77777777">
          <w:pPr>
            <w:pStyle w:val="TOC1"/>
            <w:rPr>
              <w:rFonts w:eastAsiaTheme="minorEastAsia"/>
              <w:noProof/>
              <w:color w:val="auto"/>
            </w:rPr>
          </w:pPr>
          <w:r>
            <w:fldChar w:fldCharType="begin"/>
          </w:r>
          <w:r>
            <w:instrText xml:space="preserve"> TOC \o "1-3" \h \z \u </w:instrText>
          </w:r>
          <w:r>
            <w:fldChar w:fldCharType="separate"/>
          </w:r>
          <w:hyperlink w:history="1" w:anchor="_Toc492634199">
            <w:r w:rsidRPr="00593C41" w:rsidR="00933D5D">
              <w:rPr>
                <w:rStyle w:val="Hyperlink"/>
                <w:noProof/>
              </w:rPr>
              <w:t>Part A: Justification</w:t>
            </w:r>
            <w:r w:rsidR="00933D5D">
              <w:rPr>
                <w:noProof/>
                <w:webHidden/>
              </w:rPr>
              <w:tab/>
            </w:r>
            <w:r w:rsidR="00933D5D">
              <w:rPr>
                <w:noProof/>
                <w:webHidden/>
              </w:rPr>
              <w:fldChar w:fldCharType="begin"/>
            </w:r>
            <w:r w:rsidR="00933D5D">
              <w:rPr>
                <w:noProof/>
                <w:webHidden/>
              </w:rPr>
              <w:instrText xml:space="preserve"> PAGEREF _Toc492634199 \h </w:instrText>
            </w:r>
            <w:r w:rsidR="00933D5D">
              <w:rPr>
                <w:noProof/>
                <w:webHidden/>
              </w:rPr>
            </w:r>
            <w:r w:rsidR="00933D5D">
              <w:rPr>
                <w:noProof/>
                <w:webHidden/>
              </w:rPr>
              <w:fldChar w:fldCharType="separate"/>
            </w:r>
            <w:r w:rsidR="00C8606F">
              <w:rPr>
                <w:noProof/>
                <w:webHidden/>
              </w:rPr>
              <w:t>i</w:t>
            </w:r>
            <w:r w:rsidR="00933D5D">
              <w:rPr>
                <w:noProof/>
                <w:webHidden/>
              </w:rPr>
              <w:fldChar w:fldCharType="end"/>
            </w:r>
          </w:hyperlink>
        </w:p>
        <w:p w:rsidR="00933D5D" w:rsidRDefault="00A65AA6" w14:paraId="3AA437B9" w14:textId="77777777">
          <w:pPr>
            <w:pStyle w:val="TOC2"/>
            <w:rPr>
              <w:rFonts w:eastAsiaTheme="minorEastAsia"/>
              <w:noProof/>
              <w:color w:val="auto"/>
            </w:rPr>
          </w:pPr>
          <w:hyperlink w:history="1" w:anchor="_Toc492634200">
            <w:r w:rsidRPr="00593C41" w:rsidR="00933D5D">
              <w:rPr>
                <w:rStyle w:val="Hyperlink"/>
                <w:noProof/>
              </w:rPr>
              <w:t>Introduction</w:t>
            </w:r>
            <w:r w:rsidR="00933D5D">
              <w:rPr>
                <w:noProof/>
                <w:webHidden/>
              </w:rPr>
              <w:tab/>
            </w:r>
            <w:r w:rsidR="00933D5D">
              <w:rPr>
                <w:noProof/>
                <w:webHidden/>
              </w:rPr>
              <w:fldChar w:fldCharType="begin"/>
            </w:r>
            <w:r w:rsidR="00933D5D">
              <w:rPr>
                <w:noProof/>
                <w:webHidden/>
              </w:rPr>
              <w:instrText xml:space="preserve"> PAGEREF _Toc492634200 \h </w:instrText>
            </w:r>
            <w:r w:rsidR="00933D5D">
              <w:rPr>
                <w:noProof/>
                <w:webHidden/>
              </w:rPr>
            </w:r>
            <w:r w:rsidR="00933D5D">
              <w:rPr>
                <w:noProof/>
                <w:webHidden/>
              </w:rPr>
              <w:fldChar w:fldCharType="separate"/>
            </w:r>
            <w:r w:rsidR="00C8606F">
              <w:rPr>
                <w:noProof/>
                <w:webHidden/>
              </w:rPr>
              <w:t>2</w:t>
            </w:r>
            <w:r w:rsidR="00933D5D">
              <w:rPr>
                <w:noProof/>
                <w:webHidden/>
              </w:rPr>
              <w:fldChar w:fldCharType="end"/>
            </w:r>
          </w:hyperlink>
        </w:p>
        <w:p w:rsidR="00933D5D" w:rsidRDefault="00A65AA6" w14:paraId="3AA437BA" w14:textId="77777777">
          <w:pPr>
            <w:pStyle w:val="TOC2"/>
            <w:rPr>
              <w:rFonts w:eastAsiaTheme="minorEastAsia"/>
              <w:noProof/>
              <w:color w:val="auto"/>
            </w:rPr>
          </w:pPr>
          <w:hyperlink w:history="1" w:anchor="_Toc492634201">
            <w:r w:rsidRPr="00593C41" w:rsidR="00933D5D">
              <w:rPr>
                <w:rStyle w:val="Hyperlink"/>
                <w:noProof/>
              </w:rPr>
              <w:t>A.1. Legal Justification</w:t>
            </w:r>
            <w:r w:rsidR="00933D5D">
              <w:rPr>
                <w:noProof/>
                <w:webHidden/>
              </w:rPr>
              <w:tab/>
            </w:r>
            <w:r w:rsidR="00933D5D">
              <w:rPr>
                <w:noProof/>
                <w:webHidden/>
              </w:rPr>
              <w:fldChar w:fldCharType="begin"/>
            </w:r>
            <w:r w:rsidR="00933D5D">
              <w:rPr>
                <w:noProof/>
                <w:webHidden/>
              </w:rPr>
              <w:instrText xml:space="preserve"> PAGEREF _Toc492634201 \h </w:instrText>
            </w:r>
            <w:r w:rsidR="00933D5D">
              <w:rPr>
                <w:noProof/>
                <w:webHidden/>
              </w:rPr>
            </w:r>
            <w:r w:rsidR="00933D5D">
              <w:rPr>
                <w:noProof/>
                <w:webHidden/>
              </w:rPr>
              <w:fldChar w:fldCharType="separate"/>
            </w:r>
            <w:r w:rsidR="00C8606F">
              <w:rPr>
                <w:noProof/>
                <w:webHidden/>
              </w:rPr>
              <w:t>2</w:t>
            </w:r>
            <w:r w:rsidR="00933D5D">
              <w:rPr>
                <w:noProof/>
                <w:webHidden/>
              </w:rPr>
              <w:fldChar w:fldCharType="end"/>
            </w:r>
          </w:hyperlink>
        </w:p>
        <w:p w:rsidR="00933D5D" w:rsidRDefault="00A65AA6" w14:paraId="3AA437BB" w14:textId="65DCF591">
          <w:pPr>
            <w:pStyle w:val="TOC2"/>
            <w:rPr>
              <w:rFonts w:eastAsiaTheme="minorEastAsia"/>
              <w:noProof/>
              <w:color w:val="auto"/>
            </w:rPr>
          </w:pPr>
          <w:hyperlink w:history="1" w:anchor="_Toc492634202">
            <w:r w:rsidRPr="00593C41" w:rsidR="00790530">
              <w:rPr>
                <w:rStyle w:val="Hyperlink"/>
                <w:noProof/>
              </w:rPr>
              <w:t>A.2. Needs and Uses of Data</w:t>
            </w:r>
            <w:r w:rsidR="00790530">
              <w:rPr>
                <w:noProof/>
                <w:webHidden/>
              </w:rPr>
              <w:tab/>
              <w:t>4</w:t>
            </w:r>
          </w:hyperlink>
        </w:p>
        <w:p w:rsidR="00933D5D" w:rsidRDefault="00A65AA6" w14:paraId="3AA437BC" w14:textId="68C5ABD7">
          <w:pPr>
            <w:pStyle w:val="TOC2"/>
            <w:rPr>
              <w:rFonts w:eastAsiaTheme="minorEastAsia"/>
              <w:noProof/>
              <w:color w:val="auto"/>
            </w:rPr>
          </w:pPr>
          <w:hyperlink w:history="1" w:anchor="_Toc492634203">
            <w:r w:rsidRPr="00593C41" w:rsidR="00790530">
              <w:rPr>
                <w:rStyle w:val="Hyperlink"/>
                <w:noProof/>
              </w:rPr>
              <w:t>A.3. Use of Technology</w:t>
            </w:r>
            <w:r w:rsidR="00790530">
              <w:rPr>
                <w:noProof/>
                <w:webHidden/>
              </w:rPr>
              <w:tab/>
              <w:t>6</w:t>
            </w:r>
          </w:hyperlink>
        </w:p>
        <w:p w:rsidR="00933D5D" w:rsidRDefault="00A65AA6" w14:paraId="3AA437BD" w14:textId="025E5417">
          <w:pPr>
            <w:pStyle w:val="TOC2"/>
            <w:rPr>
              <w:rFonts w:eastAsiaTheme="minorEastAsia"/>
              <w:noProof/>
              <w:color w:val="auto"/>
            </w:rPr>
          </w:pPr>
          <w:hyperlink w:history="1" w:anchor="_Toc492634204">
            <w:r w:rsidRPr="00593C41" w:rsidR="00790530">
              <w:rPr>
                <w:rStyle w:val="Hyperlink"/>
                <w:noProof/>
              </w:rPr>
              <w:t>A.4. Efforts to Identify Duplication</w:t>
            </w:r>
            <w:r w:rsidR="00790530">
              <w:rPr>
                <w:noProof/>
                <w:webHidden/>
              </w:rPr>
              <w:tab/>
              <w:t>6</w:t>
            </w:r>
          </w:hyperlink>
        </w:p>
        <w:p w:rsidR="00933D5D" w:rsidRDefault="00A65AA6" w14:paraId="3AA437BE" w14:textId="77CCA8EE">
          <w:pPr>
            <w:pStyle w:val="TOC2"/>
            <w:rPr>
              <w:rFonts w:eastAsiaTheme="minorEastAsia"/>
              <w:noProof/>
              <w:color w:val="auto"/>
            </w:rPr>
          </w:pPr>
          <w:hyperlink w:history="1" w:anchor="_Toc492634205">
            <w:r w:rsidRPr="00593C41" w:rsidR="00790530">
              <w:rPr>
                <w:rStyle w:val="Hyperlink"/>
                <w:noProof/>
              </w:rPr>
              <w:t>A.5. Provisions for Reducing Burden on Small Businesses</w:t>
            </w:r>
            <w:r w:rsidR="00790530">
              <w:rPr>
                <w:noProof/>
                <w:webHidden/>
              </w:rPr>
              <w:tab/>
              <w:t>7</w:t>
            </w:r>
          </w:hyperlink>
        </w:p>
        <w:p w:rsidR="00933D5D" w:rsidRDefault="00A65AA6" w14:paraId="3AA437BF" w14:textId="0179A39C">
          <w:pPr>
            <w:pStyle w:val="TOC2"/>
            <w:rPr>
              <w:rFonts w:eastAsiaTheme="minorEastAsia"/>
              <w:noProof/>
              <w:color w:val="auto"/>
            </w:rPr>
          </w:pPr>
          <w:hyperlink w:history="1" w:anchor="_Toc492634206">
            <w:r w:rsidRPr="00593C41" w:rsidR="00790530">
              <w:rPr>
                <w:rStyle w:val="Hyperlink"/>
                <w:noProof/>
              </w:rPr>
              <w:t>A.6. Consequences of Less-Frequent Reporting</w:t>
            </w:r>
            <w:r w:rsidR="00790530">
              <w:rPr>
                <w:noProof/>
                <w:webHidden/>
              </w:rPr>
              <w:tab/>
              <w:t>7</w:t>
            </w:r>
          </w:hyperlink>
        </w:p>
        <w:p w:rsidR="00933D5D" w:rsidRDefault="00A65AA6" w14:paraId="3AA437C0" w14:textId="32864681">
          <w:pPr>
            <w:pStyle w:val="TOC2"/>
            <w:rPr>
              <w:rFonts w:eastAsiaTheme="minorEastAsia"/>
              <w:noProof/>
              <w:color w:val="auto"/>
            </w:rPr>
          </w:pPr>
          <w:hyperlink w:history="1" w:anchor="_Toc492634207">
            <w:r w:rsidRPr="00593C41" w:rsidR="00790530">
              <w:rPr>
                <w:rStyle w:val="Hyperlink"/>
                <w:noProof/>
              </w:rPr>
              <w:t>A.7. Compliance with 5 CFR 1320.5</w:t>
            </w:r>
            <w:r w:rsidR="00790530">
              <w:rPr>
                <w:noProof/>
                <w:webHidden/>
              </w:rPr>
              <w:tab/>
              <w:t>7</w:t>
            </w:r>
          </w:hyperlink>
        </w:p>
        <w:p w:rsidR="00933D5D" w:rsidRDefault="00A65AA6" w14:paraId="3AA437C1" w14:textId="644B8A7E">
          <w:pPr>
            <w:pStyle w:val="TOC2"/>
            <w:rPr>
              <w:rFonts w:eastAsiaTheme="minorEastAsia"/>
              <w:noProof/>
              <w:color w:val="auto"/>
            </w:rPr>
          </w:pPr>
          <w:hyperlink w:history="1" w:anchor="_Toc492634208">
            <w:r w:rsidRPr="00593C41" w:rsidR="00790530">
              <w:rPr>
                <w:rStyle w:val="Hyperlink"/>
                <w:noProof/>
              </w:rPr>
              <w:t>A.8. Summary of Consultations Outside of the Agency</w:t>
            </w:r>
            <w:r w:rsidR="00790530">
              <w:rPr>
                <w:noProof/>
                <w:webHidden/>
              </w:rPr>
              <w:tab/>
              <w:t>7</w:t>
            </w:r>
          </w:hyperlink>
        </w:p>
        <w:p w:rsidR="00933D5D" w:rsidRDefault="00A65AA6" w14:paraId="3AA437C2" w14:textId="410D01FE">
          <w:pPr>
            <w:pStyle w:val="TOC2"/>
            <w:rPr>
              <w:rFonts w:eastAsiaTheme="minorEastAsia"/>
              <w:noProof/>
              <w:color w:val="auto"/>
            </w:rPr>
          </w:pPr>
          <w:hyperlink w:history="1" w:anchor="_Toc492634209">
            <w:r w:rsidRPr="00593C41" w:rsidR="00790530">
              <w:rPr>
                <w:rStyle w:val="Hyperlink"/>
                <w:noProof/>
              </w:rPr>
              <w:t>A.9. Payments or Gifts to Respondents</w:t>
            </w:r>
            <w:r w:rsidR="00790530">
              <w:rPr>
                <w:noProof/>
                <w:webHidden/>
              </w:rPr>
              <w:tab/>
              <w:t>7</w:t>
            </w:r>
          </w:hyperlink>
        </w:p>
        <w:p w:rsidR="00933D5D" w:rsidRDefault="00A65AA6" w14:paraId="3AA437C3" w14:textId="2B1232F5">
          <w:pPr>
            <w:pStyle w:val="TOC2"/>
            <w:rPr>
              <w:rFonts w:eastAsiaTheme="minorEastAsia"/>
              <w:noProof/>
              <w:color w:val="auto"/>
            </w:rPr>
          </w:pPr>
          <w:hyperlink w:history="1" w:anchor="_Toc492634210">
            <w:r w:rsidRPr="00593C41" w:rsidR="00790530">
              <w:rPr>
                <w:rStyle w:val="Hyperlink"/>
                <w:noProof/>
              </w:rPr>
              <w:t>A.10. Provisions for Protection of Information</w:t>
            </w:r>
            <w:r w:rsidR="00790530">
              <w:rPr>
                <w:noProof/>
                <w:webHidden/>
              </w:rPr>
              <w:tab/>
              <w:t>7</w:t>
            </w:r>
          </w:hyperlink>
        </w:p>
        <w:p w:rsidR="00933D5D" w:rsidRDefault="00A65AA6" w14:paraId="3AA437C4" w14:textId="7439B7FE">
          <w:pPr>
            <w:pStyle w:val="TOC2"/>
            <w:rPr>
              <w:rFonts w:eastAsiaTheme="minorEastAsia"/>
              <w:noProof/>
              <w:color w:val="auto"/>
            </w:rPr>
          </w:pPr>
          <w:hyperlink w:history="1" w:anchor="_Toc492634211">
            <w:r w:rsidRPr="00593C41" w:rsidR="00790530">
              <w:rPr>
                <w:rStyle w:val="Hyperlink"/>
                <w:noProof/>
              </w:rPr>
              <w:t>A.11. Justification for Sensitive Questions</w:t>
            </w:r>
            <w:r w:rsidR="00790530">
              <w:rPr>
                <w:noProof/>
                <w:webHidden/>
              </w:rPr>
              <w:tab/>
              <w:t>8</w:t>
            </w:r>
          </w:hyperlink>
        </w:p>
        <w:p w:rsidR="00933D5D" w:rsidRDefault="00A65AA6" w14:paraId="3AA437C5" w14:textId="6554870E">
          <w:pPr>
            <w:pStyle w:val="TOC2"/>
            <w:rPr>
              <w:rFonts w:eastAsiaTheme="minorEastAsia"/>
              <w:noProof/>
              <w:color w:val="auto"/>
            </w:rPr>
          </w:pPr>
          <w:hyperlink w:history="1" w:anchor="_Toc492634212">
            <w:r w:rsidRPr="00593C41" w:rsidR="00790530">
              <w:rPr>
                <w:rStyle w:val="Hyperlink"/>
                <w:noProof/>
              </w:rPr>
              <w:t>A.12. Estimate of Respondent Burden Hours and Cost</w:t>
            </w:r>
            <w:r w:rsidR="00790530">
              <w:rPr>
                <w:noProof/>
                <w:webHidden/>
              </w:rPr>
              <w:tab/>
              <w:t>8</w:t>
            </w:r>
          </w:hyperlink>
        </w:p>
        <w:p w:rsidR="00933D5D" w:rsidRDefault="00A65AA6" w14:paraId="3AA437C6" w14:textId="76CE009F">
          <w:pPr>
            <w:pStyle w:val="TOC2"/>
            <w:rPr>
              <w:rFonts w:eastAsiaTheme="minorEastAsia"/>
              <w:noProof/>
              <w:color w:val="auto"/>
            </w:rPr>
          </w:pPr>
          <w:hyperlink w:history="1" w:anchor="_Toc492634213">
            <w:r w:rsidRPr="00593C41" w:rsidR="00790530">
              <w:rPr>
                <w:rStyle w:val="Hyperlink"/>
                <w:noProof/>
              </w:rPr>
              <w:t>A.13. Annual Cost to the Federal Government</w:t>
            </w:r>
            <w:r w:rsidR="00790530">
              <w:rPr>
                <w:noProof/>
                <w:webHidden/>
              </w:rPr>
              <w:tab/>
              <w:t>8</w:t>
            </w:r>
          </w:hyperlink>
        </w:p>
        <w:p w:rsidR="00933D5D" w:rsidRDefault="00A65AA6" w14:paraId="3AA437C7" w14:textId="57FABA1D">
          <w:pPr>
            <w:pStyle w:val="TOC2"/>
            <w:rPr>
              <w:rFonts w:eastAsiaTheme="minorEastAsia"/>
              <w:noProof/>
              <w:color w:val="auto"/>
            </w:rPr>
          </w:pPr>
          <w:hyperlink w:history="1" w:anchor="_Toc492634214">
            <w:r w:rsidRPr="00593C41" w:rsidR="00790530">
              <w:rPr>
                <w:rStyle w:val="Hyperlink"/>
                <w:noProof/>
              </w:rPr>
              <w:t>A.14. Changes in Burden</w:t>
            </w:r>
            <w:r w:rsidR="00790530">
              <w:rPr>
                <w:noProof/>
                <w:webHidden/>
              </w:rPr>
              <w:tab/>
            </w:r>
            <w:r w:rsidR="00790530">
              <w:rPr>
                <w:noProof/>
                <w:webHidden/>
              </w:rPr>
              <w:fldChar w:fldCharType="begin"/>
            </w:r>
            <w:r w:rsidR="00790530">
              <w:rPr>
                <w:noProof/>
                <w:webHidden/>
              </w:rPr>
              <w:instrText xml:space="preserve"> PAGEREF _Toc492634214 \h </w:instrText>
            </w:r>
            <w:r w:rsidR="00790530">
              <w:rPr>
                <w:noProof/>
                <w:webHidden/>
              </w:rPr>
            </w:r>
            <w:r w:rsidR="00790530">
              <w:rPr>
                <w:noProof/>
                <w:webHidden/>
              </w:rPr>
              <w:fldChar w:fldCharType="separate"/>
            </w:r>
            <w:r w:rsidR="00790530">
              <w:rPr>
                <w:noProof/>
                <w:webHidden/>
              </w:rPr>
              <w:t>10</w:t>
            </w:r>
            <w:r w:rsidR="00790530">
              <w:rPr>
                <w:noProof/>
                <w:webHidden/>
              </w:rPr>
              <w:fldChar w:fldCharType="end"/>
            </w:r>
          </w:hyperlink>
        </w:p>
        <w:p w:rsidR="00933D5D" w:rsidRDefault="00A65AA6" w14:paraId="3AA437C8" w14:textId="48C2C92B">
          <w:pPr>
            <w:pStyle w:val="TOC2"/>
            <w:rPr>
              <w:rFonts w:eastAsiaTheme="minorEastAsia"/>
              <w:noProof/>
              <w:color w:val="auto"/>
            </w:rPr>
          </w:pPr>
          <w:hyperlink w:history="1" w:anchor="_Toc492634215">
            <w:r w:rsidRPr="00593C41" w:rsidR="00790530">
              <w:rPr>
                <w:rStyle w:val="Hyperlink"/>
                <w:noProof/>
              </w:rPr>
              <w:t>A.15. Reasons for Changes in Burden</w:t>
            </w:r>
            <w:r w:rsidR="00790530">
              <w:rPr>
                <w:noProof/>
                <w:webHidden/>
              </w:rPr>
              <w:tab/>
            </w:r>
            <w:r w:rsidR="00790530">
              <w:rPr>
                <w:noProof/>
                <w:webHidden/>
              </w:rPr>
              <w:fldChar w:fldCharType="begin"/>
            </w:r>
            <w:r w:rsidR="00790530">
              <w:rPr>
                <w:noProof/>
                <w:webHidden/>
              </w:rPr>
              <w:instrText xml:space="preserve"> PAGEREF _Toc492634215 \h </w:instrText>
            </w:r>
            <w:r w:rsidR="00790530">
              <w:rPr>
                <w:noProof/>
                <w:webHidden/>
              </w:rPr>
            </w:r>
            <w:r w:rsidR="00790530">
              <w:rPr>
                <w:noProof/>
                <w:webHidden/>
              </w:rPr>
              <w:fldChar w:fldCharType="separate"/>
            </w:r>
            <w:r w:rsidR="00790530">
              <w:rPr>
                <w:noProof/>
                <w:webHidden/>
              </w:rPr>
              <w:t>11</w:t>
            </w:r>
            <w:r w:rsidR="00790530">
              <w:rPr>
                <w:noProof/>
                <w:webHidden/>
              </w:rPr>
              <w:fldChar w:fldCharType="end"/>
            </w:r>
          </w:hyperlink>
        </w:p>
        <w:p w:rsidR="00933D5D" w:rsidRDefault="00A65AA6" w14:paraId="3AA437C9" w14:textId="73AC6044">
          <w:pPr>
            <w:pStyle w:val="TOC2"/>
            <w:rPr>
              <w:rFonts w:eastAsiaTheme="minorEastAsia"/>
              <w:noProof/>
              <w:color w:val="auto"/>
            </w:rPr>
          </w:pPr>
          <w:hyperlink w:history="1" w:anchor="_Toc492634216">
            <w:r w:rsidRPr="00593C41" w:rsidR="00790530">
              <w:rPr>
                <w:rStyle w:val="Hyperlink"/>
                <w:noProof/>
              </w:rPr>
              <w:t>A.16. Collection, Tabulation, and Publication Plans</w:t>
            </w:r>
            <w:r w:rsidR="00790530">
              <w:rPr>
                <w:noProof/>
                <w:webHidden/>
              </w:rPr>
              <w:tab/>
            </w:r>
            <w:r w:rsidR="00790530">
              <w:rPr>
                <w:noProof/>
                <w:webHidden/>
              </w:rPr>
              <w:fldChar w:fldCharType="begin"/>
            </w:r>
            <w:r w:rsidR="00790530">
              <w:rPr>
                <w:noProof/>
                <w:webHidden/>
              </w:rPr>
              <w:instrText xml:space="preserve"> PAGEREF _Toc492634216 \h </w:instrText>
            </w:r>
            <w:r w:rsidR="00790530">
              <w:rPr>
                <w:noProof/>
                <w:webHidden/>
              </w:rPr>
            </w:r>
            <w:r w:rsidR="00790530">
              <w:rPr>
                <w:noProof/>
                <w:webHidden/>
              </w:rPr>
              <w:fldChar w:fldCharType="separate"/>
            </w:r>
            <w:r w:rsidR="00790530">
              <w:rPr>
                <w:noProof/>
                <w:webHidden/>
              </w:rPr>
              <w:t>11</w:t>
            </w:r>
            <w:r w:rsidR="00790530">
              <w:rPr>
                <w:noProof/>
                <w:webHidden/>
              </w:rPr>
              <w:fldChar w:fldCharType="end"/>
            </w:r>
          </w:hyperlink>
        </w:p>
        <w:p w:rsidR="00933D5D" w:rsidRDefault="00A65AA6" w14:paraId="3AA437CA" w14:textId="36F61541">
          <w:pPr>
            <w:pStyle w:val="TOC2"/>
            <w:rPr>
              <w:rFonts w:eastAsiaTheme="minorEastAsia"/>
              <w:noProof/>
              <w:color w:val="auto"/>
            </w:rPr>
          </w:pPr>
          <w:hyperlink w:history="1" w:anchor="_Toc492634217">
            <w:r w:rsidRPr="00593C41" w:rsidR="00790530">
              <w:rPr>
                <w:rStyle w:val="Hyperlink"/>
                <w:noProof/>
              </w:rPr>
              <w:t>A.17. OMB Number and Expiration Date</w:t>
            </w:r>
            <w:r w:rsidR="00790530">
              <w:rPr>
                <w:noProof/>
                <w:webHidden/>
              </w:rPr>
              <w:tab/>
            </w:r>
            <w:r w:rsidR="00790530">
              <w:rPr>
                <w:noProof/>
                <w:webHidden/>
              </w:rPr>
              <w:fldChar w:fldCharType="begin"/>
            </w:r>
            <w:r w:rsidR="00790530">
              <w:rPr>
                <w:noProof/>
                <w:webHidden/>
              </w:rPr>
              <w:instrText xml:space="preserve"> PAGEREF _Toc492634217 \h </w:instrText>
            </w:r>
            <w:r w:rsidR="00790530">
              <w:rPr>
                <w:noProof/>
                <w:webHidden/>
              </w:rPr>
            </w:r>
            <w:r w:rsidR="00790530">
              <w:rPr>
                <w:noProof/>
                <w:webHidden/>
              </w:rPr>
              <w:fldChar w:fldCharType="separate"/>
            </w:r>
            <w:r w:rsidR="00790530">
              <w:rPr>
                <w:noProof/>
                <w:webHidden/>
              </w:rPr>
              <w:t>11</w:t>
            </w:r>
            <w:r w:rsidR="00790530">
              <w:rPr>
                <w:noProof/>
                <w:webHidden/>
              </w:rPr>
              <w:fldChar w:fldCharType="end"/>
            </w:r>
          </w:hyperlink>
        </w:p>
        <w:p w:rsidR="00933D5D" w:rsidRDefault="00A65AA6" w14:paraId="3AA437CB" w14:textId="199A1E88">
          <w:pPr>
            <w:pStyle w:val="TOC2"/>
            <w:rPr>
              <w:rFonts w:eastAsiaTheme="minorEastAsia"/>
              <w:noProof/>
              <w:color w:val="auto"/>
            </w:rPr>
          </w:pPr>
          <w:hyperlink w:history="1" w:anchor="_Toc492634218">
            <w:r w:rsidRPr="00593C41" w:rsidR="00790530">
              <w:rPr>
                <w:rStyle w:val="Hyperlink"/>
                <w:noProof/>
              </w:rPr>
              <w:t>A.18. Certification Statement</w:t>
            </w:r>
            <w:r w:rsidR="00790530">
              <w:rPr>
                <w:noProof/>
                <w:webHidden/>
              </w:rPr>
              <w:tab/>
            </w:r>
            <w:r w:rsidR="00790530">
              <w:rPr>
                <w:noProof/>
                <w:webHidden/>
              </w:rPr>
              <w:fldChar w:fldCharType="begin"/>
            </w:r>
            <w:r w:rsidR="00790530">
              <w:rPr>
                <w:noProof/>
                <w:webHidden/>
              </w:rPr>
              <w:instrText xml:space="preserve"> PAGEREF _Toc492634218 \h </w:instrText>
            </w:r>
            <w:r w:rsidR="00790530">
              <w:rPr>
                <w:noProof/>
                <w:webHidden/>
              </w:rPr>
            </w:r>
            <w:r w:rsidR="00790530">
              <w:rPr>
                <w:noProof/>
                <w:webHidden/>
              </w:rPr>
              <w:fldChar w:fldCharType="separate"/>
            </w:r>
            <w:r w:rsidR="00790530">
              <w:rPr>
                <w:noProof/>
                <w:webHidden/>
              </w:rPr>
              <w:t>11</w:t>
            </w:r>
            <w:r w:rsidR="00790530">
              <w:rPr>
                <w:noProof/>
                <w:webHidden/>
              </w:rPr>
              <w:fldChar w:fldCharType="end"/>
            </w:r>
          </w:hyperlink>
        </w:p>
        <w:p w:rsidR="0059212D" w:rsidRDefault="0059212D" w14:paraId="3AA437CC" w14:textId="77777777">
          <w:r>
            <w:rPr>
              <w:b/>
              <w:bCs/>
              <w:noProof/>
            </w:rPr>
            <w:fldChar w:fldCharType="end"/>
          </w:r>
        </w:p>
      </w:sdtContent>
    </w:sdt>
    <w:p w:rsidR="001F3A8F" w:rsidP="00D928FD" w:rsidRDefault="001F3A8F" w14:paraId="3AA437CD" w14:textId="77777777"/>
    <w:p w:rsidR="00D928FD" w:rsidP="00D928FD" w:rsidRDefault="00D928FD" w14:paraId="3AA437CE" w14:textId="77777777">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3AA437CF" w14:textId="77777777">
      <w:pPr>
        <w:spacing w:line="240" w:lineRule="auto"/>
      </w:pPr>
    </w:p>
    <w:p w:rsidR="00933D5D" w:rsidP="00933D5D" w:rsidRDefault="00933D5D" w14:paraId="3AA437D0" w14:textId="77777777">
      <w:pPr>
        <w:tabs>
          <w:tab w:val="left" w:pos="7365"/>
        </w:tabs>
      </w:pPr>
      <w:r>
        <w:tab/>
      </w:r>
    </w:p>
    <w:p w:rsidRPr="00933D5D" w:rsidR="00041909" w:rsidP="00933D5D" w:rsidRDefault="00933D5D" w14:paraId="3AA437D1" w14:textId="77777777">
      <w:pPr>
        <w:tabs>
          <w:tab w:val="left" w:pos="7365"/>
        </w:tabs>
        <w:sectPr w:rsidRPr="00933D5D"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rsidRDefault="008C734C" w14:paraId="3AA437D2" w14:textId="77777777">
      <w:pPr>
        <w:pStyle w:val="Heading2"/>
      </w:pPr>
      <w:bookmarkStart w:name="_Toc492634200" w:id="1"/>
      <w:r>
        <w:lastRenderedPageBreak/>
        <w:t>Introdu</w:t>
      </w:r>
      <w:r w:rsidR="00844524">
        <w:t>ction</w:t>
      </w:r>
      <w:bookmarkEnd w:id="1"/>
    </w:p>
    <w:p w:rsidRPr="00F37446" w:rsidR="00844524" w:rsidP="00844524" w:rsidRDefault="00844524" w14:paraId="3AA437D3" w14:textId="1E0E31A6">
      <w:pPr>
        <w:rPr>
          <w:u w:val="single"/>
        </w:rPr>
      </w:pPr>
      <w:r w:rsidRPr="00F37446">
        <w:t>The U.S. Energy Information Administration (EIA) is the statistical and analytical agency within the U.S. Department of Energy (DOE).</w:t>
      </w:r>
      <w:r w:rsidR="00841844">
        <w:t xml:space="preserve"> </w:t>
      </w:r>
      <w:r w:rsidRPr="00F37446">
        <w:t>It collects, analyzes, and disseminates independent and impartial energy information to promote sound policymaking, efficient markets, and public understanding regarding energy and its interaction with the economy and the environment.</w:t>
      </w:r>
    </w:p>
    <w:p w:rsidRPr="004D4B61" w:rsidR="007B7743" w:rsidP="007B7743" w:rsidRDefault="00D645A3" w14:paraId="250D4DF6" w14:textId="43D292A3">
      <w:r>
        <w:t>E</w:t>
      </w:r>
      <w:r w:rsidRPr="004D4B61">
        <w:t>IA requests a three-year</w:t>
      </w:r>
      <w:r w:rsidRPr="007B659F">
        <w:rPr>
          <w:i/>
        </w:rPr>
        <w:t xml:space="preserve"> </w:t>
      </w:r>
      <w:r w:rsidRPr="004D4B61">
        <w:t xml:space="preserve">extension </w:t>
      </w:r>
      <w:r w:rsidR="002C5A44">
        <w:t xml:space="preserve">with changes </w:t>
      </w:r>
      <w:r>
        <w:t xml:space="preserve">from </w:t>
      </w:r>
      <w:r w:rsidRPr="004D4B61">
        <w:t xml:space="preserve">the Office of Management and Budget (OMB) to continue Form EIA-914 </w:t>
      </w:r>
      <w:r w:rsidRPr="00382953">
        <w:rPr>
          <w:i/>
        </w:rPr>
        <w:t>Monthly Crude Oil and Lease Condensate, and Natural Gas Production Report</w:t>
      </w:r>
      <w:r w:rsidRPr="004D4B61">
        <w:t>.</w:t>
      </w:r>
      <w:r w:rsidR="007B7743">
        <w:t xml:space="preserve">  </w:t>
      </w:r>
      <w:r w:rsidRPr="004D4B61" w:rsidR="007B7743">
        <w:t>Form EIA-914 survey collects monthly data on natural gas production (natural gas gross withdrawals and natural gas lease production), crude oil and lease condensate production, and crude oil and lease condensate sales</w:t>
      </w:r>
      <w:r w:rsidR="007B7743">
        <w:t xml:space="preserve"> based on</w:t>
      </w:r>
      <w:r w:rsidRPr="004D4B61" w:rsidR="007B7743">
        <w:t xml:space="preserve"> </w:t>
      </w:r>
      <w:r w:rsidR="007B7743">
        <w:t>American Petroleum Institute (</w:t>
      </w:r>
      <w:r w:rsidRPr="004D4B61" w:rsidR="007B7743">
        <w:t>API</w:t>
      </w:r>
      <w:r w:rsidR="007B7743">
        <w:t>)</w:t>
      </w:r>
      <w:r w:rsidRPr="004D4B61" w:rsidR="007B7743">
        <w:t xml:space="preserve"> gravity category</w:t>
      </w:r>
      <w:r w:rsidR="007B7743">
        <w:t xml:space="preserve">. </w:t>
      </w:r>
      <w:r w:rsidRPr="004D4B61" w:rsidR="007B7743">
        <w:t xml:space="preserve">Crude oil and lease condensate </w:t>
      </w:r>
      <w:r w:rsidR="007B7743">
        <w:t xml:space="preserve">production are </w:t>
      </w:r>
      <w:r w:rsidRPr="004D4B61" w:rsidR="007B7743">
        <w:t>collected as a single volume</w:t>
      </w:r>
      <w:r w:rsidR="007B7743">
        <w:t>.</w:t>
      </w:r>
    </w:p>
    <w:p w:rsidR="007B7743" w:rsidP="007B7743" w:rsidRDefault="007B7743" w14:paraId="67A856B7" w14:textId="71CFE8F8">
      <w:r>
        <w:t xml:space="preserve">The change to the form is that respondents in the following four states (Alabama, Michigan, Mississippi, and Virginia), and the Federal Offshore Pacific area will report crude oil and natural gas production in the category “Other States” rather than separately report their state or offshore area production.  Production in these 4 states and offshore area will be combined with other states with small production volumes in the “Other States” category. </w:t>
      </w:r>
      <w:r w:rsidR="008D1058">
        <w:t xml:space="preserve"> </w:t>
      </w:r>
      <w:r>
        <w:t xml:space="preserve">Although production in these 4 states and offshore area have remained stable over the past 3 years, their percentage of the US total production for crude oil and natural gas has declined over the past 4 years.  From 2016 – 2020, the percentage of crude oil produced from these 4 states and off shore area plus the existing states reporting in the Other States category declined from </w:t>
      </w:r>
      <w:r w:rsidR="008D1058">
        <w:t>1.9</w:t>
      </w:r>
      <w:r>
        <w:t>% to 0.</w:t>
      </w:r>
      <w:r w:rsidR="008D1058">
        <w:t>8</w:t>
      </w:r>
      <w:r>
        <w:t>% while the percentage of natural gas production from these same 4 states and off shore area plus the Other States category declined from 1.</w:t>
      </w:r>
      <w:r w:rsidR="008D1058">
        <w:t>8</w:t>
      </w:r>
      <w:r>
        <w:t xml:space="preserve">% to </w:t>
      </w:r>
      <w:r w:rsidR="008D1058">
        <w:t>1.1</w:t>
      </w:r>
      <w:r w:rsidR="00CD1CA3">
        <w:t>%</w:t>
      </w:r>
      <w:r>
        <w:t>.</w:t>
      </w:r>
    </w:p>
    <w:p w:rsidRPr="00F37446" w:rsidR="00F37446" w:rsidP="00844524" w:rsidRDefault="00F37446" w14:paraId="3AA437D7" w14:textId="77777777"/>
    <w:p w:rsidR="008C734C" w:rsidP="008C734C" w:rsidRDefault="008C734C" w14:paraId="3AA437D8" w14:textId="77777777">
      <w:pPr>
        <w:pStyle w:val="Heading2"/>
      </w:pPr>
      <w:bookmarkStart w:name="_Toc492634201" w:id="2"/>
      <w:r>
        <w:t>A.1. Legal Justification</w:t>
      </w:r>
      <w:bookmarkEnd w:id="2"/>
    </w:p>
    <w:p w:rsidRPr="004D4B61" w:rsidR="00D645A3" w:rsidP="00D645A3" w:rsidRDefault="00D645A3" w14:paraId="3AA437D9" w14:textId="77777777">
      <w:pPr>
        <w:ind w:left="360" w:hanging="360"/>
      </w:pPr>
      <w:r w:rsidRPr="004D4B61">
        <w:t>The authority for this mandatory data collection is provided by the following provisions:</w:t>
      </w:r>
    </w:p>
    <w:p w:rsidR="008A6177" w:rsidP="00382953" w:rsidRDefault="008A6177" w14:paraId="7DB0A5F0" w14:textId="77777777">
      <w:pPr>
        <w:pStyle w:val="ListParagraph"/>
      </w:pPr>
      <w:r w:rsidRPr="00850E0B">
        <w:t>15 U.S.C. §772(b)</w:t>
      </w:r>
      <w:r>
        <w:t xml:space="preserve"> states:</w:t>
      </w:r>
    </w:p>
    <w:p w:rsidR="008A6177" w:rsidP="00382953" w:rsidRDefault="008A6177" w14:paraId="7CDAE5FD" w14:textId="77777777">
      <w:pPr>
        <w:ind w:left="1800"/>
      </w:pPr>
      <w:r>
        <w:t>"All persons owning or operating facilities or business premises who are engaged in any phase of energy supply or major energy consumption shall make available to the Administrator such information and periodic reports, records, documents, and other data, relating to the purposes of this Act, including full identification of all data and projections as to source, time and methodology of development; as the Administrator may prescribe by regulation or order as necessary or appropriate for the proper exercise of functions under this chapter."</w:t>
      </w:r>
    </w:p>
    <w:p w:rsidR="008A6177" w:rsidP="00382953" w:rsidRDefault="008A6177" w14:paraId="74B61A36" w14:textId="77777777">
      <w:pPr>
        <w:pStyle w:val="ListParagraph"/>
      </w:pPr>
      <w:r w:rsidRPr="00382953">
        <w:t>15 U.S.C. §764(b)</w:t>
      </w:r>
      <w:r>
        <w:t xml:space="preserve"> states that to the extent authorized by subsection (a), the Administrator shall:</w:t>
      </w:r>
    </w:p>
    <w:p w:rsidR="008A6177" w:rsidP="00C57F55" w:rsidRDefault="008A6177" w14:paraId="09187AD6" w14:textId="77777777">
      <w:pPr>
        <w:pStyle w:val="ListParagraph"/>
        <w:numPr>
          <w:ilvl w:val="2"/>
          <w:numId w:val="10"/>
        </w:numPr>
      </w:pPr>
      <w:r>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w:t>
      </w:r>
    </w:p>
    <w:p w:rsidR="008A6177" w:rsidP="00C57F55" w:rsidRDefault="008A6177" w14:paraId="0B2D28E8" w14:textId="77777777">
      <w:pPr>
        <w:pStyle w:val="ListParagraph"/>
        <w:numPr>
          <w:ilvl w:val="2"/>
          <w:numId w:val="10"/>
        </w:numPr>
      </w:pPr>
      <w:r>
        <w:lastRenderedPageBreak/>
        <w:t>assess the adequacy of energy resources to meet demands in the immediate and longer range future for all sectors of the economy and for the general public;</w:t>
      </w:r>
    </w:p>
    <w:p w:rsidR="008A6177" w:rsidP="00C57F55" w:rsidRDefault="008A6177" w14:paraId="5E86F27E" w14:textId="77777777">
      <w:pPr>
        <w:pStyle w:val="ListParagraph"/>
        <w:numPr>
          <w:ilvl w:val="2"/>
          <w:numId w:val="10"/>
        </w:numPr>
      </w:pPr>
      <w:r>
        <w:t>develop effective arrangements for the participation of State and local governments in the resolution of energy problems;</w:t>
      </w:r>
    </w:p>
    <w:p w:rsidR="008A6177" w:rsidP="00C57F55" w:rsidRDefault="008A6177" w14:paraId="7A11BE09" w14:textId="77777777">
      <w:pPr>
        <w:pStyle w:val="ListParagraph"/>
        <w:numPr>
          <w:ilvl w:val="2"/>
          <w:numId w:val="10"/>
        </w:numPr>
      </w:pPr>
      <w:r>
        <w:t>develop plans and programs for dealing with energy production shortages; …</w:t>
      </w:r>
    </w:p>
    <w:p w:rsidR="008A6177" w:rsidP="00C57F55" w:rsidRDefault="008A6177" w14:paraId="15B45F8D" w14:textId="77777777">
      <w:pPr>
        <w:pStyle w:val="ListParagraph"/>
        <w:numPr>
          <w:ilvl w:val="2"/>
          <w:numId w:val="10"/>
        </w:numPr>
      </w:pPr>
      <w:r>
        <w:t>promote stability in energy prices to the consumer, promote free and open competition in all aspects of the energy field, prevent unreasonable profits within the various segments of the energy industry, and promote free enterprise;</w:t>
      </w:r>
    </w:p>
    <w:p w:rsidR="008A6177" w:rsidP="00C57F55" w:rsidRDefault="008A6177" w14:paraId="43C25680" w14:textId="77777777">
      <w:pPr>
        <w:pStyle w:val="ListParagraph"/>
        <w:numPr>
          <w:ilvl w:val="2"/>
          <w:numId w:val="10"/>
        </w:numPr>
      </w:pPr>
      <w:r>
        <w:t>assure that energy programs are designed and implemented in a fair and efficient manner so as to minimize hardship and inequity while assuring that the priority needs of the Nation are met;</w:t>
      </w:r>
    </w:p>
    <w:p w:rsidR="008A6177" w:rsidP="00C57F55" w:rsidRDefault="008A6177" w14:paraId="117D41C6" w14:textId="77777777">
      <w:pPr>
        <w:pStyle w:val="ListParagraph"/>
        <w:numPr>
          <w:ilvl w:val="2"/>
          <w:numId w:val="10"/>
        </w:numPr>
      </w:pPr>
      <w:r>
        <w:t xml:space="preserve">develop and oversee the implementation of equitable voluntary and mandatory energy conservation programs and promote efficiencies in the use of energy resources; </w:t>
      </w:r>
    </w:p>
    <w:p w:rsidR="008A6177" w:rsidP="00C57F55" w:rsidRDefault="008A6177" w14:paraId="0D50F12B" w14:textId="77777777">
      <w:pPr>
        <w:pStyle w:val="ListParagraph"/>
        <w:numPr>
          <w:ilvl w:val="2"/>
          <w:numId w:val="10"/>
        </w:numPr>
      </w:pPr>
      <w:r>
        <w:t>develop and recommend policies on the import and export of energy resources;</w:t>
      </w:r>
    </w:p>
    <w:p w:rsidR="008A6177" w:rsidP="00C57F55" w:rsidRDefault="008A6177" w14:paraId="7540C6D9" w14:textId="77777777">
      <w:pPr>
        <w:pStyle w:val="ListParagraph"/>
        <w:numPr>
          <w:ilvl w:val="2"/>
          <w:numId w:val="10"/>
        </w:numPr>
      </w:pPr>
      <w:r>
        <w:t xml:space="preserve">collect, evaluate, assemble, and analyze energy information on reserves, production, demand, and related economic data; </w:t>
      </w:r>
    </w:p>
    <w:p w:rsidR="008A6177" w:rsidP="00C57F55" w:rsidRDefault="008A6177" w14:paraId="511976EE" w14:textId="77777777">
      <w:pPr>
        <w:pStyle w:val="ListParagraph"/>
        <w:numPr>
          <w:ilvl w:val="2"/>
          <w:numId w:val="10"/>
        </w:numPr>
      </w:pPr>
      <w:r>
        <w:t>work with business, labor, consumer and other interests and obtain their cooperation;</w:t>
      </w:r>
    </w:p>
    <w:p w:rsidR="008A6177" w:rsidP="00C57F55" w:rsidRDefault="008A6177" w14:paraId="58F46B4A" w14:textId="77777777">
      <w:pPr>
        <w:pStyle w:val="ListParagraph"/>
        <w:numPr>
          <w:ilvl w:val="2"/>
          <w:numId w:val="10"/>
        </w:numPr>
      </w:pPr>
      <w:r>
        <w:t>in administering any pricing authority, provide by rule, for equitable allocation of all component costs of producing propane gas. Such rules may require that (a) only those costs directly related to the production of propane may be allocated by any producer to such gas for purposes of establishing any price for propane, and (b) prices for propane shall be based on the prices for propane in effect on May 15, 1973. The Administrator shall not allow costs attributable to changes in ownership and movement of propane gas where, in the opinion of the Administrator, changes in ownership and movement occur primarily for the purpose of establishing a higher price;</w:t>
      </w:r>
    </w:p>
    <w:p w:rsidR="008A6177" w:rsidP="00C57F55" w:rsidRDefault="008A6177" w14:paraId="33C4E620" w14:textId="77777777">
      <w:pPr>
        <w:pStyle w:val="ListParagraph"/>
        <w:numPr>
          <w:ilvl w:val="2"/>
          <w:numId w:val="10"/>
        </w:numPr>
      </w:pPr>
      <w:r>
        <w:t>perform such other functions as may be prescribed by law."</w:t>
      </w:r>
    </w:p>
    <w:p w:rsidR="00B86A47" w:rsidP="00382953" w:rsidRDefault="008A6177" w14:paraId="242C4DDE" w14:textId="7276D8D5">
      <w:pPr>
        <w:pStyle w:val="ListParagraph"/>
      </w:pPr>
      <w:r>
        <w:t xml:space="preserve">As the authority for invoking subsection (b), above, </w:t>
      </w:r>
      <w:r w:rsidRPr="00382953">
        <w:t>15 U.S.C. §764(a)</w:t>
      </w:r>
      <w:r>
        <w:t xml:space="preserve"> states:</w:t>
      </w:r>
    </w:p>
    <w:p w:rsidR="008A6177" w:rsidP="00C57F55" w:rsidRDefault="008A6177" w14:paraId="2CFBE770" w14:textId="77777777">
      <w:pPr>
        <w:pStyle w:val="ListParagraph"/>
        <w:numPr>
          <w:ilvl w:val="2"/>
          <w:numId w:val="10"/>
        </w:numPr>
      </w:pPr>
      <w: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8A6177" w:rsidP="00C57F55" w:rsidRDefault="008A6177" w14:paraId="56EA7ED7" w14:textId="77777777">
      <w:pPr>
        <w:pStyle w:val="ListParagraph"/>
        <w:numPr>
          <w:ilvl w:val="2"/>
          <w:numId w:val="10"/>
        </w:numPr>
      </w:pPr>
      <w:r>
        <w:t>specifically transferred to or vested in him by or pursuant to this chapter;</w:t>
      </w:r>
    </w:p>
    <w:p w:rsidR="008A6177" w:rsidP="00C57F55" w:rsidRDefault="008A6177" w14:paraId="7D10DF0F" w14:textId="77777777">
      <w:pPr>
        <w:pStyle w:val="ListParagraph"/>
        <w:numPr>
          <w:ilvl w:val="2"/>
          <w:numId w:val="10"/>
        </w:numPr>
      </w:pPr>
      <w:r>
        <w:t>delegated to him by the President pursuant to specific authority vested in the President by law; and</w:t>
      </w:r>
    </w:p>
    <w:p w:rsidR="008A6177" w:rsidP="00C57F55" w:rsidRDefault="008A6177" w14:paraId="0B4A444E" w14:textId="77777777">
      <w:pPr>
        <w:pStyle w:val="ListParagraph"/>
        <w:numPr>
          <w:ilvl w:val="2"/>
          <w:numId w:val="10"/>
        </w:numPr>
      </w:pPr>
      <w:r>
        <w:t>otherwise specifically vested in the Administrator by the Congress."</w:t>
      </w:r>
    </w:p>
    <w:p w:rsidR="008A6177" w:rsidP="00382953" w:rsidRDefault="008A6177" w14:paraId="3B2B0F92" w14:textId="77777777">
      <w:pPr>
        <w:pStyle w:val="ListParagraph"/>
      </w:pPr>
      <w:r>
        <w:t xml:space="preserve">Additional authority for this information collection is provided by </w:t>
      </w:r>
      <w:r w:rsidRPr="00382953">
        <w:t>15 U.S.C. §790(a)</w:t>
      </w:r>
      <w:r>
        <w:t xml:space="preserve"> which states;</w:t>
      </w:r>
    </w:p>
    <w:p w:rsidR="008A6177" w:rsidP="00C57F55" w:rsidRDefault="008A6177" w14:paraId="7E012675" w14:textId="77777777">
      <w:pPr>
        <w:pStyle w:val="ListParagraph"/>
        <w:numPr>
          <w:ilvl w:val="2"/>
          <w:numId w:val="10"/>
        </w:numPr>
      </w:pPr>
      <w:r>
        <w:t>“It shall be the duty of the Director to establish a National Energy Information System…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rsidR="008A6177" w:rsidP="00C57F55" w:rsidRDefault="008A6177" w14:paraId="0D2D4F38" w14:textId="77777777">
      <w:pPr>
        <w:pStyle w:val="ListParagraph"/>
        <w:numPr>
          <w:ilvl w:val="2"/>
          <w:numId w:val="10"/>
        </w:numPr>
      </w:pPr>
      <w:r>
        <w:t>the Department of Energy in carrying out its lawful functions;</w:t>
      </w:r>
    </w:p>
    <w:p w:rsidR="008A6177" w:rsidP="00C57F55" w:rsidRDefault="008A6177" w14:paraId="1E44BC70" w14:textId="77777777">
      <w:pPr>
        <w:pStyle w:val="ListParagraph"/>
        <w:numPr>
          <w:ilvl w:val="2"/>
          <w:numId w:val="10"/>
        </w:numPr>
      </w:pPr>
      <w:r>
        <w:t>the Congress;</w:t>
      </w:r>
    </w:p>
    <w:p w:rsidR="00B86A47" w:rsidP="002258F4" w:rsidRDefault="008A6177" w14:paraId="57B5117D" w14:textId="57B4F9C1">
      <w:pPr>
        <w:pStyle w:val="ListParagraph"/>
        <w:numPr>
          <w:ilvl w:val="2"/>
          <w:numId w:val="10"/>
        </w:numPr>
      </w:pPr>
      <w:r>
        <w:t>other officers and employees of the United States in whom have been vested, or to whom have been delegated energy-related policy decision-making responsibilities;</w:t>
      </w:r>
    </w:p>
    <w:p w:rsidR="008A6177" w:rsidP="00382953" w:rsidRDefault="008A6177" w14:paraId="1B736AC0" w14:textId="77777777">
      <w:pPr>
        <w:pStyle w:val="ListParagraph"/>
      </w:pPr>
      <w:r>
        <w:t>the States to the extent required by the Natural Gas Act [15 U.S.C. §717 et seq.] and the Federal Power Act [16 U.S.C. §791a et seq.].</w:t>
      </w:r>
    </w:p>
    <w:p w:rsidR="008A6177" w:rsidP="00FB7221" w:rsidRDefault="008A6177" w14:paraId="35D31AC6" w14:textId="77777777">
      <w:pPr>
        <w:pStyle w:val="ListParagraph"/>
        <w:numPr>
          <w:ilvl w:val="2"/>
          <w:numId w:val="10"/>
        </w:numPr>
      </w:pPr>
      <w:r>
        <w:t>"At a minimum, the System shall contain such energy information as is necessary to carry out the Administration's statistical and forecasting activities, and shall include… such energy information as is required to define and permit analysis of;</w:t>
      </w:r>
    </w:p>
    <w:p w:rsidR="008A6177" w:rsidP="00FB7221" w:rsidRDefault="008A6177" w14:paraId="7EB6DB4B" w14:textId="77777777">
      <w:pPr>
        <w:pStyle w:val="ListParagraph"/>
        <w:numPr>
          <w:ilvl w:val="2"/>
          <w:numId w:val="10"/>
        </w:numPr>
      </w:pPr>
      <w:r>
        <w:t>the institutional structure of the energy supply system including patterns of ownership and control of mineral fuel and non-mineral energy resources and the production, distribution, and marketing of mineral fuels and electricity;</w:t>
      </w:r>
    </w:p>
    <w:p w:rsidR="008A6177" w:rsidP="00FB7221" w:rsidRDefault="008A6177" w14:paraId="4807C362" w14:textId="77777777">
      <w:pPr>
        <w:pStyle w:val="ListParagraph"/>
        <w:numPr>
          <w:ilvl w:val="2"/>
          <w:numId w:val="10"/>
        </w:numPr>
      </w:pPr>
      <w:r>
        <w:t>the consumption of mineral fuels, non-mineral energy resources, and electricity by such classes, sectors, and regions as may be appropriate for the purposes of this chapter;</w:t>
      </w:r>
    </w:p>
    <w:p w:rsidR="008A6177" w:rsidP="00FB7221" w:rsidRDefault="008A6177" w14:paraId="6CDF593F" w14:textId="77777777">
      <w:pPr>
        <w:pStyle w:val="ListParagraph"/>
        <w:numPr>
          <w:ilvl w:val="2"/>
          <w:numId w:val="10"/>
        </w:numPr>
      </w:pPr>
      <w:r>
        <w:t>the sensitivity of energy resource reserves, exploration, development, production, transportation, and consumption to economic factors, environmental constraints, technological improvements, and suitability of alternate energy sources;</w:t>
      </w:r>
    </w:p>
    <w:p w:rsidR="008A6177" w:rsidP="00FB7221" w:rsidRDefault="008A6177" w14:paraId="4F6FAD23" w14:textId="77777777">
      <w:pPr>
        <w:pStyle w:val="ListParagraph"/>
        <w:numPr>
          <w:ilvl w:val="2"/>
          <w:numId w:val="10"/>
        </w:numPr>
      </w:pPr>
      <w:r>
        <w:t>the comparability of energy information and statistics that are supplied by different sources;</w:t>
      </w:r>
    </w:p>
    <w:p w:rsidR="008A6177" w:rsidP="00FB7221" w:rsidRDefault="008A6177" w14:paraId="0A51FD3F" w14:textId="77777777">
      <w:pPr>
        <w:pStyle w:val="ListParagraph"/>
        <w:numPr>
          <w:ilvl w:val="2"/>
          <w:numId w:val="10"/>
        </w:numPr>
      </w:pPr>
      <w:r>
        <w:t>industrial, labor, and regional impacts of changes in patterns of energy supply and consumption;</w:t>
      </w:r>
    </w:p>
    <w:p w:rsidR="008A6177" w:rsidP="00FB7221" w:rsidRDefault="008A6177" w14:paraId="066D1216" w14:textId="77777777">
      <w:pPr>
        <w:pStyle w:val="ListParagraph"/>
        <w:numPr>
          <w:ilvl w:val="2"/>
          <w:numId w:val="10"/>
        </w:numPr>
      </w:pPr>
      <w:r>
        <w:t>international aspects, economic and otherwise, of the evolving energy situation; and</w:t>
      </w:r>
    </w:p>
    <w:p w:rsidR="008A6177" w:rsidP="00FB7221" w:rsidRDefault="008A6177" w14:paraId="23684D59" w14:textId="0B7B96D7">
      <w:pPr>
        <w:pStyle w:val="ListParagraph"/>
        <w:numPr>
          <w:ilvl w:val="2"/>
          <w:numId w:val="10"/>
        </w:numPr>
      </w:pPr>
      <w:r>
        <w:t>long-term relationships between energy supply and consumption in the United States and world communities.”</w:t>
      </w:r>
    </w:p>
    <w:p w:rsidRPr="00A41763" w:rsidR="00D645A3" w:rsidP="00382953" w:rsidRDefault="00D645A3" w14:paraId="3AA437F4" w14:textId="0468B8CE">
      <w:pPr>
        <w:ind w:left="1980"/>
      </w:pPr>
    </w:p>
    <w:p w:rsidRPr="00A41763" w:rsidR="008C734C" w:rsidP="00A41763" w:rsidRDefault="008C734C" w14:paraId="3AA437F5" w14:textId="77777777"/>
    <w:p w:rsidR="008C734C" w:rsidP="008C734C" w:rsidRDefault="008C734C" w14:paraId="3AA437F6" w14:textId="77777777">
      <w:pPr>
        <w:pStyle w:val="Heading2"/>
      </w:pPr>
      <w:bookmarkStart w:name="_Toc492634202" w:id="3"/>
      <w:r>
        <w:t>A.2. Needs and Uses of Data</w:t>
      </w:r>
      <w:bookmarkEnd w:id="3"/>
    </w:p>
    <w:p w:rsidR="00E81C94" w:rsidP="00E81C94" w:rsidRDefault="00E81C94" w14:paraId="3AA437F7" w14:textId="29D3C629">
      <w:r>
        <w:t xml:space="preserve">The purpose of Form EIA-914 is to collect and disseminate data on crude oil and lease condensate, and natural gas production </w:t>
      </w:r>
      <w:r w:rsidR="00506B95">
        <w:t>at the state level on</w:t>
      </w:r>
      <w:r>
        <w:t xml:space="preserve"> a timely basis in order to meet EIA’s mission to provide credible, reliable, and timely energy information and energy data users’ needs.</w:t>
      </w:r>
      <w:r w:rsidR="00841844">
        <w:t xml:space="preserve"> </w:t>
      </w:r>
      <w:r>
        <w:t xml:space="preserve">Timely and accurate information on monthly crude oil and lease condensate, and natural gas production in the United States is necessary to </w:t>
      </w:r>
      <w:r w:rsidR="00506B95">
        <w:t xml:space="preserve">identify </w:t>
      </w:r>
      <w:r>
        <w:t>monthly production levels, variations, and trends</w:t>
      </w:r>
      <w:r w:rsidR="00630972">
        <w:t>.</w:t>
      </w:r>
      <w:r>
        <w:t xml:space="preserve"> </w:t>
      </w:r>
      <w:r w:rsidR="00630972">
        <w:t>This</w:t>
      </w:r>
      <w:r>
        <w:t xml:space="preserve"> information is crucial for informed decision and policy making </w:t>
      </w:r>
      <w:r w:rsidR="00630972">
        <w:t>relating the nation’s crude oil production and trade</w:t>
      </w:r>
      <w:r>
        <w:t>.</w:t>
      </w:r>
      <w:r w:rsidR="00841844">
        <w:t xml:space="preserve"> </w:t>
      </w:r>
      <w:r>
        <w:t>The information collected from this survey is used to monitor crude oil and lease condensate, and natural gas production, and is used by EIA to assess domestic supplies. Federal and state agencies, Congress, industry analysts, educators, and the general public all rely on the impartial information EIA provides.</w:t>
      </w:r>
    </w:p>
    <w:p w:rsidR="00E81C94" w:rsidP="00E81C94" w:rsidRDefault="00E81C94" w14:paraId="3AA437F8" w14:textId="66E6AC76">
      <w:r>
        <w:t>Further, collecting API gravity information for state-level production provides information about the quality and changing trends in the quality of domestic oil production, informing topics of increasing public interest, such as optimizing domestic refining capabilities and evaluating the qualities of imported oil needed.</w:t>
      </w:r>
      <w:r w:rsidR="00CE545C">
        <w:t xml:space="preserve">  </w:t>
      </w:r>
      <w:r w:rsidR="004328AA">
        <w:t xml:space="preserve">The </w:t>
      </w:r>
      <w:r w:rsidR="00B94B4A">
        <w:t>EIA</w:t>
      </w:r>
      <w:r w:rsidR="00995D28">
        <w:t>-914</w:t>
      </w:r>
      <w:r w:rsidR="00B94B4A">
        <w:t xml:space="preserve"> website registered 9</w:t>
      </w:r>
      <w:r w:rsidR="00995D28">
        <w:t>4</w:t>
      </w:r>
      <w:r w:rsidR="00B94B4A">
        <w:t>,</w:t>
      </w:r>
      <w:r w:rsidR="00995D28">
        <w:t>118</w:t>
      </w:r>
      <w:r w:rsidR="00B94B4A">
        <w:t xml:space="preserve"> page views in 201</w:t>
      </w:r>
      <w:r w:rsidR="00995D28">
        <w:t>9, approximately 8,000 views per month</w:t>
      </w:r>
      <w:r w:rsidR="00B94B4A">
        <w:t>.</w:t>
      </w:r>
    </w:p>
    <w:p w:rsidR="00E81C94" w:rsidP="00382953" w:rsidRDefault="00E81C94" w14:paraId="3AA437F9" w14:textId="2D239AE0">
      <w:pPr>
        <w:pStyle w:val="ListParagraph"/>
        <w:numPr>
          <w:ilvl w:val="0"/>
          <w:numId w:val="17"/>
        </w:numPr>
      </w:pPr>
      <w:r>
        <w:t>The data from this survey provide additional benefits, such as:</w:t>
      </w:r>
    </w:p>
    <w:p w:rsidR="00E81C94" w:rsidP="00382953" w:rsidRDefault="00E81C94" w14:paraId="3AA437FA" w14:textId="77777777">
      <w:pPr>
        <w:pStyle w:val="ListParagraph"/>
        <w:numPr>
          <w:ilvl w:val="1"/>
          <w:numId w:val="17"/>
        </w:numPr>
      </w:pPr>
      <w:r>
        <w:t>A database for use in forecasting, policy making, planning, and analysis.</w:t>
      </w:r>
    </w:p>
    <w:p w:rsidR="00E81C94" w:rsidP="00382953" w:rsidRDefault="00E81C94" w14:paraId="3AA437FB" w14:textId="77777777">
      <w:pPr>
        <w:pStyle w:val="ListParagraph"/>
        <w:numPr>
          <w:ilvl w:val="1"/>
          <w:numId w:val="17"/>
        </w:numPr>
      </w:pPr>
      <w:r>
        <w:t xml:space="preserve">An </w:t>
      </w:r>
      <w:r w:rsidRPr="0047663F">
        <w:t xml:space="preserve">official data bank </w:t>
      </w:r>
      <w:r>
        <w:t>available to Congress and other government agencies for crude oil and lease condensate, and natural gas production in the United States.</w:t>
      </w:r>
    </w:p>
    <w:p w:rsidR="00E81C94" w:rsidP="00382953" w:rsidRDefault="00E81C94" w14:paraId="3AA437FC" w14:textId="77777777">
      <w:pPr>
        <w:pStyle w:val="ListParagraph"/>
        <w:numPr>
          <w:ilvl w:val="1"/>
          <w:numId w:val="17"/>
        </w:numPr>
      </w:pPr>
      <w:r>
        <w:t>A source of data for other government agencies, business firms, trade associations, and private research and consulting organizations for analysis, projections, and monitoring purposes.</w:t>
      </w:r>
    </w:p>
    <w:p w:rsidR="00E81C94" w:rsidP="00382953" w:rsidRDefault="00E81C94" w14:paraId="3AA437FD" w14:textId="58E45499">
      <w:pPr>
        <w:pStyle w:val="ListParagraph"/>
        <w:numPr>
          <w:ilvl w:val="0"/>
          <w:numId w:val="17"/>
        </w:numPr>
      </w:pPr>
      <w:r>
        <w:t xml:space="preserve">The data collected by Form EIA-914 </w:t>
      </w:r>
      <w:r w:rsidR="002C5A44">
        <w:t>are</w:t>
      </w:r>
      <w:r>
        <w:t xml:space="preserve"> used by EIA to generate robust estimates that are the official EIA crude oil and lease condensate, and natural gas production figures.</w:t>
      </w:r>
      <w:r w:rsidR="00841844">
        <w:t xml:space="preserve"> </w:t>
      </w:r>
      <w:r>
        <w:t xml:space="preserve">These estimates </w:t>
      </w:r>
      <w:r w:rsidR="006323E9">
        <w:t xml:space="preserve">are used as </w:t>
      </w:r>
      <w:r>
        <w:t>inputs into the following EIA website products:</w:t>
      </w:r>
    </w:p>
    <w:p w:rsidR="00E81C94" w:rsidP="00382953" w:rsidRDefault="00A65AA6" w14:paraId="3AA437FE" w14:textId="77777777">
      <w:pPr>
        <w:pStyle w:val="ListParagraph"/>
        <w:numPr>
          <w:ilvl w:val="1"/>
          <w:numId w:val="17"/>
        </w:numPr>
      </w:pPr>
      <w:hyperlink w:history="1" r:id="rId18">
        <w:r w:rsidRPr="007A29E6" w:rsidR="00E81C94">
          <w:rPr>
            <w:rStyle w:val="Hyperlink"/>
          </w:rPr>
          <w:t>Monthly Crude Oil and Lease Condensate, and Natural Gas Production Report</w:t>
        </w:r>
      </w:hyperlink>
    </w:p>
    <w:p w:rsidRPr="00902B43" w:rsidR="00E81C94" w:rsidP="00382953" w:rsidRDefault="00A65AA6" w14:paraId="3AA437FF" w14:textId="77777777">
      <w:pPr>
        <w:pStyle w:val="ListParagraph"/>
        <w:numPr>
          <w:ilvl w:val="1"/>
          <w:numId w:val="17"/>
        </w:numPr>
        <w:rPr>
          <w:rStyle w:val="Hyperlink"/>
        </w:rPr>
      </w:pPr>
      <w:hyperlink w:history="1" r:id="rId19">
        <w:r w:rsidRPr="004063ED" w:rsidR="00E81C94">
          <w:rPr>
            <w:rStyle w:val="Hyperlink"/>
          </w:rPr>
          <w:t>Natural Gas Monthly</w:t>
        </w:r>
      </w:hyperlink>
    </w:p>
    <w:p w:rsidRPr="00902B43" w:rsidR="00E81C94" w:rsidP="00382953" w:rsidRDefault="00A65AA6" w14:paraId="3AA43800" w14:textId="77777777">
      <w:pPr>
        <w:pStyle w:val="ListParagraph"/>
        <w:numPr>
          <w:ilvl w:val="1"/>
          <w:numId w:val="17"/>
        </w:numPr>
        <w:rPr>
          <w:rStyle w:val="Hyperlink"/>
        </w:rPr>
      </w:pPr>
      <w:hyperlink w:history="1" r:id="rId20">
        <w:r w:rsidRPr="007D5CF8" w:rsidR="00E81C94">
          <w:rPr>
            <w:rStyle w:val="Hyperlink"/>
          </w:rPr>
          <w:t>Petroleum Supply Monthly</w:t>
        </w:r>
      </w:hyperlink>
    </w:p>
    <w:p w:rsidRPr="00902B43" w:rsidR="00E81C94" w:rsidP="00382953" w:rsidRDefault="00A65AA6" w14:paraId="3AA43801" w14:textId="77777777">
      <w:pPr>
        <w:pStyle w:val="ListParagraph"/>
        <w:numPr>
          <w:ilvl w:val="1"/>
          <w:numId w:val="17"/>
        </w:numPr>
        <w:rPr>
          <w:rStyle w:val="Hyperlink"/>
        </w:rPr>
      </w:pPr>
      <w:hyperlink w:history="1" r:id="rId21">
        <w:r w:rsidRPr="0017606F" w:rsidR="00E81C94">
          <w:rPr>
            <w:rStyle w:val="Hyperlink"/>
          </w:rPr>
          <w:t>Monthly Energy Review</w:t>
        </w:r>
      </w:hyperlink>
    </w:p>
    <w:p w:rsidRPr="00902B43" w:rsidR="00E81C94" w:rsidP="00382953" w:rsidRDefault="00A65AA6" w14:paraId="3AA43802" w14:textId="77777777">
      <w:pPr>
        <w:pStyle w:val="ListParagraph"/>
        <w:numPr>
          <w:ilvl w:val="1"/>
          <w:numId w:val="17"/>
        </w:numPr>
        <w:rPr>
          <w:rStyle w:val="Hyperlink"/>
        </w:rPr>
      </w:pPr>
      <w:hyperlink w:history="1" r:id="rId22">
        <w:r w:rsidRPr="007E5382" w:rsidR="00E81C94">
          <w:rPr>
            <w:rStyle w:val="Hyperlink"/>
          </w:rPr>
          <w:t>Natural Gas Annual</w:t>
        </w:r>
      </w:hyperlink>
      <w:r w:rsidRPr="00902B43" w:rsidR="00E81C94">
        <w:rPr>
          <w:rStyle w:val="Hyperlink"/>
        </w:rPr>
        <w:t xml:space="preserve"> </w:t>
      </w:r>
    </w:p>
    <w:p w:rsidRPr="00902B43" w:rsidR="00E81C94" w:rsidP="00382953" w:rsidRDefault="00A65AA6" w14:paraId="3AA43803" w14:textId="4A8E5AB5">
      <w:pPr>
        <w:pStyle w:val="ListParagraph"/>
        <w:numPr>
          <w:ilvl w:val="1"/>
          <w:numId w:val="17"/>
        </w:numPr>
        <w:rPr>
          <w:rStyle w:val="Hyperlink"/>
        </w:rPr>
      </w:pPr>
      <w:hyperlink w:history="1" r:id="rId23">
        <w:r w:rsidRPr="007E5382" w:rsidR="00E81C94">
          <w:rPr>
            <w:rStyle w:val="Hyperlink"/>
          </w:rPr>
          <w:t>Petroleum Supply Annual, Volume 1</w:t>
        </w:r>
      </w:hyperlink>
    </w:p>
    <w:p w:rsidRPr="00902B43" w:rsidR="00E81C94" w:rsidP="00382953" w:rsidRDefault="00A65AA6" w14:paraId="3AA43804" w14:textId="77777777">
      <w:pPr>
        <w:pStyle w:val="ListParagraph"/>
        <w:numPr>
          <w:ilvl w:val="1"/>
          <w:numId w:val="17"/>
        </w:numPr>
        <w:rPr>
          <w:rStyle w:val="Hyperlink"/>
        </w:rPr>
      </w:pPr>
      <w:hyperlink w:history="1" r:id="rId24">
        <w:r w:rsidRPr="007E5382" w:rsidR="00E81C94">
          <w:rPr>
            <w:rStyle w:val="Hyperlink"/>
          </w:rPr>
          <w:t>Petroleum Supply Annual, Volume 2</w:t>
        </w:r>
      </w:hyperlink>
    </w:p>
    <w:p w:rsidRPr="00902B43" w:rsidR="00E81C94" w:rsidP="00382953" w:rsidRDefault="00A65AA6" w14:paraId="3AA43805" w14:textId="77777777">
      <w:pPr>
        <w:pStyle w:val="ListParagraph"/>
        <w:numPr>
          <w:ilvl w:val="1"/>
          <w:numId w:val="17"/>
        </w:numPr>
        <w:rPr>
          <w:rStyle w:val="Hyperlink"/>
        </w:rPr>
      </w:pPr>
      <w:hyperlink w:history="1" r:id="rId25">
        <w:r w:rsidRPr="00E86A9E" w:rsidR="00E81C94">
          <w:rPr>
            <w:rStyle w:val="Hyperlink"/>
          </w:rPr>
          <w:t>Annual Energy Outlook</w:t>
        </w:r>
      </w:hyperlink>
    </w:p>
    <w:p w:rsidRPr="00BE21AC" w:rsidR="00E81C94" w:rsidP="00382953" w:rsidRDefault="00A65AA6" w14:paraId="3AA43806" w14:textId="77777777">
      <w:pPr>
        <w:pStyle w:val="ListParagraph"/>
        <w:numPr>
          <w:ilvl w:val="1"/>
          <w:numId w:val="17"/>
        </w:numPr>
        <w:rPr>
          <w:rStyle w:val="Hyperlink"/>
          <w:color w:val="auto"/>
          <w:u w:val="none"/>
        </w:rPr>
      </w:pPr>
      <w:hyperlink w:history="1" r:id="rId26">
        <w:r w:rsidRPr="00E86A9E" w:rsidR="00E81C94">
          <w:rPr>
            <w:rStyle w:val="Hyperlink"/>
          </w:rPr>
          <w:t>Short-Term Energy Outlook</w:t>
        </w:r>
      </w:hyperlink>
    </w:p>
    <w:p w:rsidRPr="00741AB0" w:rsidR="00741AB0" w:rsidP="00382953" w:rsidRDefault="00A65AA6" w14:paraId="72B43437" w14:textId="7D39A9D1">
      <w:pPr>
        <w:pStyle w:val="ListParagraph"/>
        <w:numPr>
          <w:ilvl w:val="1"/>
          <w:numId w:val="17"/>
        </w:numPr>
        <w:rPr>
          <w:rStyle w:val="Hyperlink"/>
          <w:color w:val="auto"/>
          <w:u w:val="none"/>
        </w:rPr>
      </w:pPr>
      <w:hyperlink w:history="1" r:id="rId27">
        <w:r w:rsidRPr="00ED293D" w:rsidR="00E81C94">
          <w:rPr>
            <w:rStyle w:val="Hyperlink"/>
          </w:rPr>
          <w:t>State Energy Data System</w:t>
        </w:r>
      </w:hyperlink>
    </w:p>
    <w:p w:rsidR="00612A06" w:rsidP="00382953" w:rsidRDefault="00A65AA6" w14:paraId="2F769553" w14:textId="06440590">
      <w:pPr>
        <w:pStyle w:val="ListParagraph"/>
        <w:numPr>
          <w:ilvl w:val="1"/>
          <w:numId w:val="17"/>
        </w:numPr>
      </w:pPr>
      <w:hyperlink w:history="1" r:id="rId28">
        <w:r w:rsidRPr="00612A06" w:rsidR="00612A06">
          <w:rPr>
            <w:rStyle w:val="Hyperlink"/>
          </w:rPr>
          <w:t>Today in Energy</w:t>
        </w:r>
      </w:hyperlink>
    </w:p>
    <w:p w:rsidR="00E81C94" w:rsidP="00E81C94" w:rsidRDefault="00AF77E5" w14:paraId="3AA43808" w14:textId="17BE721B">
      <w:r>
        <w:t xml:space="preserve">More than 23 reports under the EIA product </w:t>
      </w:r>
      <w:r w:rsidRPr="00382953">
        <w:rPr>
          <w:i/>
        </w:rPr>
        <w:t>Today in Energy</w:t>
      </w:r>
      <w:r>
        <w:t xml:space="preserve"> </w:t>
      </w:r>
      <w:r w:rsidR="00E97590">
        <w:t>use</w:t>
      </w:r>
      <w:r>
        <w:t xml:space="preserve"> data collected by EIA-914.  </w:t>
      </w:r>
      <w:r w:rsidR="00E81C94">
        <w:t>Numerous other EIA information products are affected by these production data and the estimates they support.</w:t>
      </w:r>
      <w:r w:rsidR="00841844">
        <w:t xml:space="preserve"> </w:t>
      </w:r>
      <w:r w:rsidR="00B94B4A">
        <w:t xml:space="preserve"> </w:t>
      </w:r>
    </w:p>
    <w:p w:rsidR="00E81C94" w:rsidP="00382953" w:rsidRDefault="006323E9" w14:paraId="3AA43809" w14:textId="002C3966">
      <w:pPr>
        <w:pStyle w:val="ListParagraph"/>
        <w:numPr>
          <w:ilvl w:val="0"/>
          <w:numId w:val="17"/>
        </w:numPr>
      </w:pPr>
      <w:r>
        <w:t xml:space="preserve">Data reported on </w:t>
      </w:r>
      <w:r w:rsidR="00E81C94">
        <w:t xml:space="preserve">Form EIA-914 </w:t>
      </w:r>
      <w:r>
        <w:t>are</w:t>
      </w:r>
      <w:r w:rsidR="00E81C94">
        <w:t xml:space="preserve"> used for many purposes, including the following:</w:t>
      </w:r>
    </w:p>
    <w:p w:rsidR="00E81C94" w:rsidP="00382953" w:rsidRDefault="00E81C94" w14:paraId="3AA4380A" w14:textId="764190BE">
      <w:pPr>
        <w:pStyle w:val="ListParagraph"/>
        <w:numPr>
          <w:ilvl w:val="1"/>
          <w:numId w:val="17"/>
        </w:numPr>
      </w:pPr>
      <w:r>
        <w:t xml:space="preserve">Develop and make available to the Congress, the states, and the public a timely, transparent, and accurate quantified assessment of </w:t>
      </w:r>
      <w:r w:rsidR="006323E9">
        <w:t xml:space="preserve">domestic </w:t>
      </w:r>
      <w:r>
        <w:t>monthly crude oil and lease condensate, and natural gas production.</w:t>
      </w:r>
    </w:p>
    <w:p w:rsidR="00E81C94" w:rsidP="00382953" w:rsidRDefault="00E81C94" w14:paraId="3AA4380B" w14:textId="77777777">
      <w:pPr>
        <w:pStyle w:val="ListParagraph"/>
        <w:numPr>
          <w:ilvl w:val="1"/>
          <w:numId w:val="17"/>
        </w:numPr>
      </w:pPr>
      <w:r>
        <w:t>Generate and distribute national crude oil and lease condensate, and natural gas production and consumption balances in a timely manner.</w:t>
      </w:r>
    </w:p>
    <w:p w:rsidR="00E81C94" w:rsidP="00382953" w:rsidRDefault="00E81C94" w14:paraId="3AA4380C" w14:textId="77777777">
      <w:pPr>
        <w:pStyle w:val="ListParagraph"/>
        <w:numPr>
          <w:ilvl w:val="1"/>
          <w:numId w:val="17"/>
        </w:numPr>
      </w:pPr>
      <w:r>
        <w:t>Improve state-level coverage of crude oil and lease condensate data collection.</w:t>
      </w:r>
    </w:p>
    <w:p w:rsidR="00E81C94" w:rsidP="00382953" w:rsidRDefault="00E81C94" w14:paraId="3AA4380D" w14:textId="77777777">
      <w:pPr>
        <w:pStyle w:val="ListParagraph"/>
        <w:numPr>
          <w:ilvl w:val="1"/>
          <w:numId w:val="17"/>
        </w:numPr>
      </w:pPr>
      <w:r>
        <w:t xml:space="preserve">Provide crude oil and lease condensate, and natural gas production data to EIA forecasting models, such as the </w:t>
      </w:r>
      <w:hyperlink w:history="1" r:id="rId29">
        <w:r w:rsidRPr="00B1000C">
          <w:rPr>
            <w:rStyle w:val="Hyperlink"/>
          </w:rPr>
          <w:t>Short-Term Energy Outlook (STEO)</w:t>
        </w:r>
      </w:hyperlink>
      <w:r>
        <w:t xml:space="preserve"> and the National Energy Modeling System (NEMS).</w:t>
      </w:r>
    </w:p>
    <w:p w:rsidR="00E81C94" w:rsidP="00382953" w:rsidRDefault="00E81C94" w14:paraId="3AA4380E" w14:textId="77777777">
      <w:pPr>
        <w:pStyle w:val="ListParagraph"/>
        <w:numPr>
          <w:ilvl w:val="1"/>
          <w:numId w:val="17"/>
        </w:numPr>
      </w:pPr>
      <w:r>
        <w:t>Respond to Congressional and internal departmental requests for analysis of policy and regulatory issues associated with crude oil and lease condensate, and natural gas production (e.g., to inform the growing discussion about U.S. refining capacity and changing crude oil imports).</w:t>
      </w:r>
    </w:p>
    <w:p w:rsidR="00E81C94" w:rsidP="00E81C94" w:rsidRDefault="00E81C94" w14:paraId="3AA4380F" w14:textId="3A7329F2">
      <w:r>
        <w:t>EIA’s crude oil and lease condensate, and natural gas production estimates are also published in papers, trade journals, and technical reports, and are cited and republished in reports by consulting firms and financial institutions. For example:</w:t>
      </w:r>
    </w:p>
    <w:p w:rsidRPr="00F47276" w:rsidR="00E81C94" w:rsidP="00DA099E" w:rsidRDefault="00E81C94" w14:paraId="3AA43810" w14:textId="77777777">
      <w:pPr>
        <w:pStyle w:val="ListParagraph"/>
        <w:numPr>
          <w:ilvl w:val="1"/>
          <w:numId w:val="9"/>
        </w:numPr>
        <w:rPr>
          <w:rStyle w:val="Hyperlink"/>
        </w:rPr>
      </w:pPr>
      <w:r>
        <w:fldChar w:fldCharType="begin"/>
      </w:r>
      <w:r>
        <w:instrText>HYPERLINK "http://www.theenergycollective.com/todayinenergy/2400376/u-s-crude-oil-natural-gas-production-fell-2016"</w:instrText>
      </w:r>
      <w:r>
        <w:fldChar w:fldCharType="separate"/>
      </w:r>
      <w:r>
        <w:rPr>
          <w:rStyle w:val="Hyperlink"/>
        </w:rPr>
        <w:t>The Energy Collective</w:t>
      </w:r>
    </w:p>
    <w:p w:rsidRPr="00B518AB" w:rsidR="00E81C94" w:rsidP="00DA099E" w:rsidRDefault="00E81C94" w14:paraId="3AA43811" w14:textId="78432B65">
      <w:pPr>
        <w:pStyle w:val="ListParagraph"/>
        <w:numPr>
          <w:ilvl w:val="1"/>
          <w:numId w:val="9"/>
        </w:numPr>
        <w:rPr>
          <w:rStyle w:val="Hyperlink"/>
        </w:rPr>
      </w:pPr>
      <w:r>
        <w:fldChar w:fldCharType="end"/>
      </w:r>
      <w:hyperlink w:history="1" r:id="rId30">
        <w:r w:rsidRPr="007957F8" w:rsidR="007957F8">
          <w:rPr>
            <w:rStyle w:val="Hyperlink"/>
          </w:rPr>
          <w:t>Refinitiv</w:t>
        </w:r>
      </w:hyperlink>
      <w:r w:rsidR="007957F8">
        <w:rPr>
          <w:rStyle w:val="Hyperlink"/>
        </w:rPr>
        <w:t xml:space="preserve"> </w:t>
      </w:r>
    </w:p>
    <w:p w:rsidRPr="00215A06" w:rsidR="00E81C94" w:rsidP="00DA099E" w:rsidRDefault="00E81C94" w14:paraId="3AA43812" w14:textId="264431D1">
      <w:pPr>
        <w:pStyle w:val="ListParagraph"/>
        <w:numPr>
          <w:ilvl w:val="1"/>
          <w:numId w:val="9"/>
        </w:numPr>
        <w:rPr>
          <w:rStyle w:val="Hyperlink"/>
        </w:rPr>
      </w:pPr>
      <w:r>
        <w:fldChar w:fldCharType="begin"/>
      </w:r>
      <w:r>
        <w:instrText>HYPERLINK "http://www.hellenicshippingnews.com/sp-global-platts-analysis-of-u-s-energy-information-administration-eia-data-9/"</w:instrText>
      </w:r>
      <w:r>
        <w:fldChar w:fldCharType="separate"/>
      </w:r>
      <w:r w:rsidRPr="00215A06">
        <w:rPr>
          <w:rStyle w:val="Hyperlink"/>
        </w:rPr>
        <w:t>Hellenic Shipping News Worldwide</w:t>
      </w:r>
      <w:r w:rsidRPr="00382953" w:rsidR="5C846155">
        <w:rPr>
          <w:rStyle w:val="Hyperlink"/>
        </w:rPr>
        <w:t xml:space="preserve"> </w:t>
      </w:r>
    </w:p>
    <w:p w:rsidR="00E81C94" w:rsidP="00DA099E" w:rsidRDefault="00E81C94" w14:paraId="3AA43813" w14:textId="77777777">
      <w:pPr>
        <w:pStyle w:val="ListParagraph"/>
        <w:numPr>
          <w:ilvl w:val="1"/>
          <w:numId w:val="9"/>
        </w:numPr>
        <w:rPr>
          <w:rStyle w:val="Hyperlink"/>
        </w:rPr>
      </w:pPr>
      <w:r>
        <w:fldChar w:fldCharType="end"/>
      </w:r>
      <w:hyperlink w:history="1" r:id="rId31">
        <w:r w:rsidRPr="00513D1B">
          <w:rPr>
            <w:rStyle w:val="Hyperlink"/>
          </w:rPr>
          <w:t>Investor Village</w:t>
        </w:r>
      </w:hyperlink>
    </w:p>
    <w:p w:rsidR="0077477A" w:rsidP="00DA099E" w:rsidRDefault="00A65AA6" w14:paraId="694E475C" w14:textId="7E9B6992">
      <w:pPr>
        <w:pStyle w:val="ListParagraph"/>
        <w:numPr>
          <w:ilvl w:val="1"/>
          <w:numId w:val="9"/>
        </w:numPr>
        <w:rPr>
          <w:rStyle w:val="Hyperlink"/>
        </w:rPr>
      </w:pPr>
      <w:hyperlink w:history="1" r:id="rId32">
        <w:r w:rsidRPr="0077477A" w:rsidR="0077477A">
          <w:rPr>
            <w:rStyle w:val="Hyperlink"/>
          </w:rPr>
          <w:t>Citi</w:t>
        </w:r>
        <w:r w:rsidR="005F1F38">
          <w:rPr>
            <w:rStyle w:val="Hyperlink"/>
          </w:rPr>
          <w:t>.Com</w:t>
        </w:r>
      </w:hyperlink>
      <w:r w:rsidR="005F1F38">
        <w:rPr>
          <w:rStyle w:val="Hyperlink"/>
        </w:rPr>
        <w:t xml:space="preserve"> </w:t>
      </w:r>
    </w:p>
    <w:p w:rsidRPr="00513D1B" w:rsidR="0077477A" w:rsidP="00DA099E" w:rsidRDefault="00A65AA6" w14:paraId="40AAC082" w14:textId="32D2BF15">
      <w:pPr>
        <w:pStyle w:val="ListParagraph"/>
        <w:numPr>
          <w:ilvl w:val="1"/>
          <w:numId w:val="9"/>
        </w:numPr>
        <w:rPr>
          <w:rStyle w:val="Hyperlink"/>
        </w:rPr>
      </w:pPr>
      <w:hyperlink w:history="1" r:id="rId33">
        <w:r w:rsidRPr="0077477A" w:rsidR="0077477A">
          <w:rPr>
            <w:rStyle w:val="Hyperlink"/>
          </w:rPr>
          <w:t>Energy Intelligence</w:t>
        </w:r>
      </w:hyperlink>
    </w:p>
    <w:p w:rsidRPr="00A41763" w:rsidR="00A41763" w:rsidP="00A41763" w:rsidRDefault="00A41763" w14:paraId="3AA43814" w14:textId="77777777"/>
    <w:p w:rsidR="008C734C" w:rsidP="008C734C" w:rsidRDefault="008C734C" w14:paraId="3AA43815" w14:textId="77777777">
      <w:pPr>
        <w:pStyle w:val="Heading2"/>
      </w:pPr>
      <w:bookmarkStart w:name="_Toc492634203" w:id="4"/>
      <w:r>
        <w:t>A.</w:t>
      </w:r>
      <w:r w:rsidRPr="00A41763" w:rsidR="00A41763">
        <w:t xml:space="preserve">3. </w:t>
      </w:r>
      <w:r>
        <w:t>Use of Technology</w:t>
      </w:r>
      <w:bookmarkEnd w:id="4"/>
    </w:p>
    <w:p w:rsidR="00254BD9" w:rsidP="00254BD9" w:rsidRDefault="00254BD9" w14:paraId="3AA43816" w14:textId="6A95CAAF">
      <w:r>
        <w:t>EIA uses an Internet Data Collection (IDC) system for Form EIA-914. The IDC system reduces respondent burden by identifying and correcting potential errors, as the system runs edit checks at the time of submission to EIA.</w:t>
      </w:r>
      <w:r w:rsidR="00841844">
        <w:t xml:space="preserve"> </w:t>
      </w:r>
      <w:r>
        <w:t>The IDC system also eliminates the respondent processing steps associated with sending the paper forms back to EIA by U.S. Mail or email, as the respondent will use the IDC to complete the form online.</w:t>
      </w:r>
      <w:r w:rsidR="00841844">
        <w:t xml:space="preserve"> </w:t>
      </w:r>
      <w:r>
        <w:t>In addition, the IDC system permits EIA to conduct timely communications with all respondents via automatic generation of e-mail messages.</w:t>
      </w:r>
    </w:p>
    <w:p w:rsidRPr="00A41763" w:rsidR="008C734C" w:rsidP="00A41763" w:rsidRDefault="008C734C" w14:paraId="3AA43818" w14:textId="77777777"/>
    <w:p w:rsidR="008C734C" w:rsidP="008C734C" w:rsidRDefault="008C734C" w14:paraId="3AA43819" w14:textId="77777777">
      <w:pPr>
        <w:pStyle w:val="Heading2"/>
      </w:pPr>
      <w:bookmarkStart w:name="_Toc492634204" w:id="5"/>
      <w:r>
        <w:t>A.</w:t>
      </w:r>
      <w:r w:rsidRPr="00A41763" w:rsidR="00A41763">
        <w:t xml:space="preserve">4. </w:t>
      </w:r>
      <w:r>
        <w:t>Efforts to Identify Duplication</w:t>
      </w:r>
      <w:bookmarkEnd w:id="5"/>
    </w:p>
    <w:p w:rsidR="009D1184" w:rsidP="009D1184" w:rsidRDefault="009D1184" w14:paraId="44F54642" w14:textId="77777777">
      <w:pPr>
        <w:spacing w:after="0"/>
      </w:pPr>
    </w:p>
    <w:p w:rsidRPr="00A41763" w:rsidR="009D1184" w:rsidP="009D1184" w:rsidRDefault="009D1184" w14:paraId="423989BC" w14:textId="50D597DD">
      <w:pPr>
        <w:spacing w:after="0"/>
      </w:pPr>
      <w:r>
        <w:t xml:space="preserve">The purpose for using Form EIA-914 is to provide users with comprehensive data on monthly U.S. crude oil and lease condensate, and natural gas production in a single place and in a standard format that is timely, accurate and easy to use. Before data from Form EIA-914 became available, EIA published monthly and annual estimates of U.S. crude oil and lease condensate, and natural gas production using data from state websites, Form EIA-895, Form EIA-182, </w:t>
      </w:r>
      <w:r w:rsidR="00DA0419">
        <w:t>and the U.S.</w:t>
      </w:r>
      <w:r>
        <w:t xml:space="preserve"> </w:t>
      </w:r>
      <w:r w:rsidR="00DA0419">
        <w:t xml:space="preserve">Department of interior </w:t>
      </w:r>
      <w:r w:rsidR="0047663F">
        <w:t>Bureau of Safety and Environmental Enforcement (</w:t>
      </w:r>
      <w:r>
        <w:t>BSEE</w:t>
      </w:r>
      <w:r w:rsidR="0047663F">
        <w:t>)</w:t>
      </w:r>
      <w:r>
        <w:t xml:space="preserve">. While some of these sources provided sufficient and timely data, most reported data were incomplete in recent months or were not timely for direct dissemination by EIA. Form EIA-914 was created and expanded to replace the state level data sources with more timely and accurate data. EIA is aware of two private companies that provide these data for all states (Enverus and IHS), their data are incomplete in recent months.  </w:t>
      </w:r>
      <w:r w:rsidR="004B695E">
        <w:t>O</w:t>
      </w:r>
      <w:r>
        <w:t xml:space="preserve">ther private companies </w:t>
      </w:r>
      <w:r w:rsidRPr="004B695E">
        <w:t>provide selected state</w:t>
      </w:r>
      <w:r>
        <w:t>-level data, but coverage is limited and insufficient for our purposes.</w:t>
      </w:r>
    </w:p>
    <w:p w:rsidR="00B41EB5" w:rsidP="00254BD9" w:rsidRDefault="00B41EB5" w14:paraId="3E8A951B" w14:textId="40BE7FE8"/>
    <w:p w:rsidR="00254BD9" w:rsidP="00254BD9" w:rsidRDefault="00254BD9" w14:paraId="3AA4381A" w14:textId="7F015F84">
      <w:r>
        <w:t xml:space="preserve">EIA gathers </w:t>
      </w:r>
      <w:r w:rsidR="00E556F1">
        <w:t xml:space="preserve">and </w:t>
      </w:r>
      <w:r w:rsidR="008849A8">
        <w:t>purchases</w:t>
      </w:r>
      <w:r w:rsidR="00E556F1">
        <w:t xml:space="preserve"> </w:t>
      </w:r>
      <w:r>
        <w:t xml:space="preserve">similar data </w:t>
      </w:r>
      <w:r w:rsidR="00DA0419">
        <w:t xml:space="preserve">on </w:t>
      </w:r>
      <w:r>
        <w:t xml:space="preserve">monthly </w:t>
      </w:r>
      <w:r w:rsidR="00E556F1">
        <w:t>and</w:t>
      </w:r>
      <w:r>
        <w:t xml:space="preserve"> annual format</w:t>
      </w:r>
      <w:r w:rsidR="00E556F1">
        <w:t>s</w:t>
      </w:r>
      <w:r>
        <w:t xml:space="preserve"> from other sources</w:t>
      </w:r>
      <w:r w:rsidR="008849A8">
        <w:t xml:space="preserve">. These </w:t>
      </w:r>
      <w:r>
        <w:t xml:space="preserve">data from </w:t>
      </w:r>
      <w:r w:rsidR="008459C2">
        <w:t xml:space="preserve">administrative or </w:t>
      </w:r>
      <w:r>
        <w:t xml:space="preserve">third parties are not validated </w:t>
      </w:r>
      <w:r w:rsidR="008849A8">
        <w:t xml:space="preserve">by EIA </w:t>
      </w:r>
      <w:r>
        <w:t xml:space="preserve">for accuracy or completeness, </w:t>
      </w:r>
      <w:r w:rsidR="00DA0419">
        <w:t xml:space="preserve">and </w:t>
      </w:r>
      <w:r w:rsidR="007D5630">
        <w:t xml:space="preserve">are sometimes </w:t>
      </w:r>
      <w:r w:rsidR="009B572C">
        <w:t>incomplete for current months</w:t>
      </w:r>
      <w:r w:rsidR="00DA0419">
        <w:t>. T</w:t>
      </w:r>
      <w:r>
        <w:t xml:space="preserve">herefore, </w:t>
      </w:r>
      <w:r w:rsidR="00B6738A">
        <w:t>their data</w:t>
      </w:r>
      <w:r w:rsidR="00DA0419">
        <w:t xml:space="preserve"> </w:t>
      </w:r>
      <w:r>
        <w:t>do not meet the needs of EIA’s data users.</w:t>
      </w:r>
    </w:p>
    <w:p w:rsidR="002F7D95" w:rsidP="00382953" w:rsidRDefault="006323E9" w14:paraId="5B96F6FA" w14:textId="292DB3F0">
      <w:pPr>
        <w:spacing w:after="0"/>
      </w:pPr>
      <w:r>
        <w:t>The following sources collect d</w:t>
      </w:r>
      <w:r w:rsidR="00254BD9">
        <w:t>ata similar to</w:t>
      </w:r>
      <w:r w:rsidR="002C5A44">
        <w:t xml:space="preserve"> </w:t>
      </w:r>
      <w:r w:rsidR="00254BD9">
        <w:t xml:space="preserve">the </w:t>
      </w:r>
      <w:r w:rsidR="00C279B6">
        <w:t xml:space="preserve">data collected </w:t>
      </w:r>
      <w:r w:rsidR="00254BD9">
        <w:t>on Form EIA-914</w:t>
      </w:r>
      <w:r>
        <w:t>.</w:t>
      </w:r>
    </w:p>
    <w:p w:rsidR="002F7D95" w:rsidP="00382953" w:rsidRDefault="002F7D95" w14:paraId="23B86397" w14:textId="77777777">
      <w:pPr>
        <w:spacing w:after="0"/>
      </w:pPr>
    </w:p>
    <w:p w:rsidR="002F7D95" w:rsidP="0020218F" w:rsidRDefault="002F7D95" w14:paraId="3B32316A" w14:textId="03B8AA7E">
      <w:pPr>
        <w:pStyle w:val="ListParagraph"/>
        <w:numPr>
          <w:ilvl w:val="0"/>
          <w:numId w:val="16"/>
        </w:numPr>
      </w:pPr>
      <w:r>
        <w:t>Bureau of Safety and Environmental Enforcement (BSEE) in the Department of Interior for the Federal Offshore Gulf of Mexico and Federal Offshore Pacific.</w:t>
      </w:r>
    </w:p>
    <w:p w:rsidR="002F7D95" w:rsidP="00DA099E" w:rsidRDefault="002F7D95" w14:paraId="0F9E7173" w14:textId="78C7EE72">
      <w:pPr>
        <w:pStyle w:val="ListParagraph"/>
        <w:numPr>
          <w:ilvl w:val="0"/>
          <w:numId w:val="16"/>
        </w:numPr>
      </w:pPr>
      <w:r>
        <w:t>Manual downloads by EIA staff of data from state websites (for crude oil and lease condensate, and natural gas).  Each state has different reporting period aggregations and reports finalized data up to two years after the initially reported production period.</w:t>
      </w:r>
    </w:p>
    <w:p w:rsidR="002F7D95" w:rsidP="00DA099E" w:rsidRDefault="002F7D95" w14:paraId="4C72F642" w14:textId="77777777">
      <w:pPr>
        <w:pStyle w:val="ListParagraph"/>
        <w:numPr>
          <w:ilvl w:val="0"/>
          <w:numId w:val="16"/>
        </w:numPr>
      </w:pPr>
      <w:r>
        <w:t>Form EIA-23L, Annual Survey of Domestic Oil and Gas Reserves (aggregated annual reporting of crude oil and lease condensate, and natural gas production for the previous reporting year.</w:t>
      </w:r>
    </w:p>
    <w:p w:rsidR="002F7D95" w:rsidP="00DA099E" w:rsidRDefault="002F7D95" w14:paraId="715E25A1" w14:textId="72BA4083">
      <w:pPr>
        <w:pStyle w:val="ListParagraph"/>
        <w:numPr>
          <w:ilvl w:val="0"/>
          <w:numId w:val="16"/>
        </w:numPr>
      </w:pPr>
      <w:r>
        <w:t xml:space="preserve">Purchased production data from Enverus and IHS (private companies) in a common format, but it has the same timing limitations as stated </w:t>
      </w:r>
      <w:r w:rsidRPr="004B6C8A">
        <w:t>in “</w:t>
      </w:r>
      <w:r w:rsidRPr="004B6C8A" w:rsidR="004B695E">
        <w:t>b</w:t>
      </w:r>
      <w:r w:rsidRPr="004B6C8A">
        <w:t>” above</w:t>
      </w:r>
      <w:r>
        <w:t>.</w:t>
      </w:r>
    </w:p>
    <w:p w:rsidR="002F7D95" w:rsidP="00254BD9" w:rsidRDefault="002F7D95" w14:paraId="16D17E2B" w14:textId="77777777"/>
    <w:p w:rsidR="008C734C" w:rsidP="008C734C" w:rsidRDefault="008C734C" w14:paraId="3AA43823" w14:textId="77777777">
      <w:pPr>
        <w:pStyle w:val="Heading2"/>
      </w:pPr>
      <w:bookmarkStart w:name="_Toc492634205" w:id="6"/>
      <w:r>
        <w:t>A.</w:t>
      </w:r>
      <w:r w:rsidRPr="00A41763" w:rsidR="00A41763">
        <w:t xml:space="preserve">5. </w:t>
      </w:r>
      <w:r w:rsidRPr="008C734C">
        <w:t>Provisions for Reducing Burden on Small Businesses</w:t>
      </w:r>
      <w:bookmarkEnd w:id="6"/>
      <w:r w:rsidRPr="008C734C">
        <w:t xml:space="preserve"> </w:t>
      </w:r>
    </w:p>
    <w:p w:rsidRPr="00A41763" w:rsidR="00CD7484" w:rsidP="00CD7484" w:rsidRDefault="00E37DDF" w14:paraId="3AA43824" w14:textId="488EC104">
      <w:r>
        <w:t xml:space="preserve">The </w:t>
      </w:r>
      <w:r w:rsidRPr="004D4B61" w:rsidR="00CD7484">
        <w:t xml:space="preserve">survey sample </w:t>
      </w:r>
      <w:r w:rsidR="00DF0B62">
        <w:t xml:space="preserve">for </w:t>
      </w:r>
      <w:r w:rsidRPr="004D4B61" w:rsidR="00DF0B62">
        <w:t xml:space="preserve">Form EIA-914 </w:t>
      </w:r>
      <w:r>
        <w:t xml:space="preserve">is </w:t>
      </w:r>
      <w:r w:rsidRPr="004D4B61" w:rsidR="00CD7484">
        <w:t>comprise</w:t>
      </w:r>
      <w:r>
        <w:t>d of</w:t>
      </w:r>
      <w:r w:rsidRPr="004D4B61" w:rsidR="00CD7484">
        <w:t xml:space="preserve"> </w:t>
      </w:r>
      <w:r w:rsidR="00CD7484">
        <w:t>approximately</w:t>
      </w:r>
      <w:r w:rsidRPr="004D4B61" w:rsidR="00CD7484">
        <w:t xml:space="preserve"> </w:t>
      </w:r>
      <w:r w:rsidR="004B695E">
        <w:t>4</w:t>
      </w:r>
      <w:r w:rsidR="00CD7484">
        <w:t>00</w:t>
      </w:r>
      <w:r w:rsidRPr="004D4B61" w:rsidR="00CD7484">
        <w:t xml:space="preserve"> of the 1</w:t>
      </w:r>
      <w:r w:rsidR="00CD7484">
        <w:t>5</w:t>
      </w:r>
      <w:r w:rsidRPr="004D4B61" w:rsidR="00CD7484">
        <w:t>,000 active operators of crude oil and natural gas wells in the United States.</w:t>
      </w:r>
      <w:r w:rsidR="00841844">
        <w:t xml:space="preserve"> </w:t>
      </w:r>
      <w:r w:rsidRPr="004D4B61" w:rsidR="00CD7484">
        <w:t xml:space="preserve">EIA conducts the survey using a cut-off sample of </w:t>
      </w:r>
      <w:r w:rsidR="009D1184">
        <w:t xml:space="preserve">the largest </w:t>
      </w:r>
      <w:r w:rsidRPr="004D4B61" w:rsidR="00CD7484">
        <w:t>operators to help ensure that the impact</w:t>
      </w:r>
      <w:r>
        <w:t xml:space="preserve"> </w:t>
      </w:r>
      <w:r w:rsidRPr="004D4B61" w:rsidR="00CD7484">
        <w:t>on smaller entities is minimized.</w:t>
      </w:r>
    </w:p>
    <w:p w:rsidRPr="00A41763" w:rsidR="008C734C" w:rsidP="00A41763" w:rsidRDefault="008C734C" w14:paraId="3AA43825" w14:textId="77777777"/>
    <w:p w:rsidR="008C734C" w:rsidP="008C734C" w:rsidRDefault="008C734C" w14:paraId="3AA43826" w14:textId="77777777">
      <w:pPr>
        <w:pStyle w:val="Heading2"/>
      </w:pPr>
      <w:bookmarkStart w:name="_Toc492634206" w:id="7"/>
      <w:r>
        <w:t>A.</w:t>
      </w:r>
      <w:r w:rsidRPr="00A41763" w:rsidR="00A41763">
        <w:t xml:space="preserve">6. </w:t>
      </w:r>
      <w:r w:rsidRPr="008C734C">
        <w:t>Consequences of Less-Frequent Reporting</w:t>
      </w:r>
      <w:bookmarkEnd w:id="7"/>
    </w:p>
    <w:p w:rsidRPr="00A41763" w:rsidR="00CD7484" w:rsidP="00CD7484" w:rsidRDefault="00CD7484" w14:paraId="3AA43827" w14:textId="278F825B">
      <w:r>
        <w:t>Less frequent reporting on Form EIA-914 would prevent EIA from meeting its mandate of providing timely, essential, and reliable energy information.</w:t>
      </w:r>
      <w:r w:rsidRPr="00E37DDF" w:rsidR="00E37DDF">
        <w:t xml:space="preserve"> </w:t>
      </w:r>
      <w:r w:rsidR="009D1184">
        <w:t xml:space="preserve">Monthly crude oil and </w:t>
      </w:r>
      <w:r w:rsidR="00415092">
        <w:t xml:space="preserve">natural </w:t>
      </w:r>
      <w:r w:rsidR="009D1184">
        <w:t xml:space="preserve">gas </w:t>
      </w:r>
      <w:r w:rsidR="00415092">
        <w:t>production data are</w:t>
      </w:r>
      <w:r w:rsidR="009D1184">
        <w:t xml:space="preserve"> ne</w:t>
      </w:r>
      <w:r w:rsidR="005F648C">
        <w:t>ede</w:t>
      </w:r>
      <w:r w:rsidR="004B695E">
        <w:t>d.</w:t>
      </w:r>
    </w:p>
    <w:p w:rsidRPr="00A41763" w:rsidR="008C734C" w:rsidP="00A41763" w:rsidRDefault="008C734C" w14:paraId="3AA43828" w14:textId="77777777"/>
    <w:p w:rsidR="008C734C" w:rsidP="008C734C" w:rsidRDefault="008C734C" w14:paraId="3AA43829" w14:textId="77777777">
      <w:pPr>
        <w:pStyle w:val="Heading2"/>
      </w:pPr>
      <w:bookmarkStart w:name="_Toc492634207" w:id="8"/>
      <w:r>
        <w:t>A.</w:t>
      </w:r>
      <w:r w:rsidRPr="00A41763" w:rsidR="00A41763">
        <w:t xml:space="preserve">7. </w:t>
      </w:r>
      <w:r w:rsidRPr="008C734C">
        <w:t>Compliance with 5 CFR 1320.5</w:t>
      </w:r>
      <w:bookmarkEnd w:id="8"/>
    </w:p>
    <w:p w:rsidRPr="00D10B88" w:rsidR="00290F2E" w:rsidP="00290F2E" w:rsidRDefault="00290F2E" w14:paraId="3AA4382A" w14:textId="2683CB3E">
      <w:pPr>
        <w:rPr>
          <w:bCs/>
        </w:rPr>
      </w:pPr>
      <w:r w:rsidRPr="00D10B88">
        <w:rPr>
          <w:bCs/>
        </w:rPr>
        <w:t>Form EIA-914 data will be collected consistent with the guidelines in 5 C.F.R. 1320.5, to reduce the public’s paperwork burden.</w:t>
      </w:r>
    </w:p>
    <w:p w:rsidR="008C734C" w:rsidP="00A41763" w:rsidRDefault="008C734C" w14:paraId="3AA4382B" w14:textId="77777777">
      <w:pPr>
        <w:rPr>
          <w:b/>
          <w:bCs/>
        </w:rPr>
      </w:pPr>
    </w:p>
    <w:p w:rsidR="008C734C" w:rsidP="008C734C" w:rsidRDefault="008C734C" w14:paraId="3AA4382C" w14:textId="77777777">
      <w:pPr>
        <w:pStyle w:val="Heading2"/>
      </w:pPr>
      <w:bookmarkStart w:name="_Toc492634208" w:id="9"/>
      <w:r>
        <w:t>A.</w:t>
      </w:r>
      <w:r w:rsidRPr="00A41763" w:rsidR="00A41763">
        <w:t xml:space="preserve">8. </w:t>
      </w:r>
      <w:r w:rsidRPr="008C734C">
        <w:t>Summary of Consultations Outside of the Agency</w:t>
      </w:r>
      <w:bookmarkEnd w:id="9"/>
    </w:p>
    <w:p w:rsidR="008C734C" w:rsidP="00382953" w:rsidRDefault="00290F2E" w14:paraId="3AA4382D" w14:textId="525C263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rPr>
          <w:bCs/>
        </w:rPr>
      </w:pPr>
      <w:r>
        <w:t>A request for comments from interested persons was published</w:t>
      </w:r>
      <w:r>
        <w:rPr>
          <w:b/>
        </w:rPr>
        <w:t xml:space="preserve"> </w:t>
      </w:r>
      <w:r w:rsidRPr="00BE7F4A">
        <w:t xml:space="preserve">on </w:t>
      </w:r>
      <w:r w:rsidRPr="00BE7F4A" w:rsidR="001F453D">
        <w:t>Federal Register/Vol. 84, No. 247/Thursday, December</w:t>
      </w:r>
      <w:r w:rsidRPr="00BE7F4A" w:rsidR="00992384">
        <w:t xml:space="preserve"> 26, 2019/Notices 70967.  </w:t>
      </w:r>
      <w:r w:rsidRPr="00BE7F4A" w:rsidR="001F453D">
        <w:t>No c</w:t>
      </w:r>
      <w:r w:rsidRPr="00BE7F4A">
        <w:t>omments were received in response to this Federal Register Notice.</w:t>
      </w:r>
    </w:p>
    <w:p w:rsidRPr="00C608CC" w:rsidR="00C608CC" w:rsidP="00C608CC" w:rsidRDefault="00C608CC" w14:paraId="3AA4382E" w14:textId="77777777"/>
    <w:p w:rsidR="008C734C" w:rsidP="008C734C" w:rsidRDefault="008C734C" w14:paraId="3AA4382F" w14:textId="77777777">
      <w:pPr>
        <w:pStyle w:val="Heading2"/>
      </w:pPr>
      <w:bookmarkStart w:name="_Toc492634209" w:id="10"/>
      <w:r>
        <w:t>A.</w:t>
      </w:r>
      <w:r w:rsidRPr="00A41763" w:rsidR="00A41763">
        <w:t xml:space="preserve">9. </w:t>
      </w:r>
      <w:r w:rsidRPr="008C734C">
        <w:t>Payments or Gifts to Respondents</w:t>
      </w:r>
      <w:bookmarkEnd w:id="10"/>
      <w:r w:rsidRPr="008C734C">
        <w:t xml:space="preserve"> </w:t>
      </w:r>
    </w:p>
    <w:p w:rsidRPr="005C6DD6" w:rsidR="00C608CC" w:rsidP="00C608CC" w:rsidRDefault="00C608CC" w14:paraId="3AA43830"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rPr>
          <w:szCs w:val="24"/>
          <w:u w:val="single"/>
        </w:rPr>
      </w:pPr>
      <w:r w:rsidRPr="005C6DD6">
        <w:rPr>
          <w:szCs w:val="24"/>
        </w:rPr>
        <w:t xml:space="preserve">There will not be any payments made or gifts given to respondents as an incentive to </w:t>
      </w:r>
      <w:r>
        <w:rPr>
          <w:szCs w:val="24"/>
        </w:rPr>
        <w:t>complete Form EIA-914.</w:t>
      </w:r>
    </w:p>
    <w:p w:rsidR="008C734C" w:rsidP="00A41763" w:rsidRDefault="008C734C" w14:paraId="3AA43831" w14:textId="77777777">
      <w:pPr>
        <w:rPr>
          <w:b/>
          <w:bCs/>
        </w:rPr>
      </w:pPr>
    </w:p>
    <w:p w:rsidR="008C734C" w:rsidP="008C734C" w:rsidRDefault="008C734C" w14:paraId="3AA43832" w14:textId="77777777">
      <w:pPr>
        <w:pStyle w:val="Heading2"/>
      </w:pPr>
      <w:bookmarkStart w:name="_Toc492634210" w:id="11"/>
      <w:r>
        <w:t>A.</w:t>
      </w:r>
      <w:r w:rsidRPr="00A41763" w:rsidR="00A41763">
        <w:t xml:space="preserve">10. </w:t>
      </w:r>
      <w:r w:rsidRPr="008C734C">
        <w:t>Provisions for Protection of Information</w:t>
      </w:r>
      <w:bookmarkEnd w:id="11"/>
      <w:r w:rsidRPr="008C734C">
        <w:t xml:space="preserve"> </w:t>
      </w:r>
    </w:p>
    <w:p w:rsidRPr="00D10B88" w:rsidR="00C608CC" w:rsidP="00C608CC" w:rsidRDefault="005768E4" w14:paraId="3AA43833" w14:textId="61B870BA">
      <w:pPr>
        <w:rPr>
          <w:bCs/>
        </w:rPr>
      </w:pPr>
      <w:r>
        <w:rPr>
          <w:bCs/>
        </w:rPr>
        <w:t xml:space="preserve">Data reported on </w:t>
      </w:r>
      <w:r w:rsidRPr="00D10B88" w:rsidR="00C608CC">
        <w:rPr>
          <w:bCs/>
        </w:rPr>
        <w:t xml:space="preserve">Form EIA-914 information </w:t>
      </w:r>
      <w:r>
        <w:rPr>
          <w:bCs/>
        </w:rPr>
        <w:t>are</w:t>
      </w:r>
      <w:r w:rsidRPr="00D10B88" w:rsidR="00C608CC">
        <w:rPr>
          <w:bCs/>
        </w:rPr>
        <w:t xml:space="preserve"> </w:t>
      </w:r>
      <w:r>
        <w:rPr>
          <w:bCs/>
        </w:rPr>
        <w:t xml:space="preserve">protected under </w:t>
      </w:r>
      <w:r w:rsidRPr="00D10B88" w:rsidR="00C608CC">
        <w:rPr>
          <w:bCs/>
        </w:rPr>
        <w:t>the provisions of Title V of the E-Government Act, Confidential Information Protection and Statistical Efficiency Act, (Pub. L. 107-347).</w:t>
      </w:r>
      <w:r w:rsidR="00841844">
        <w:rPr>
          <w:bCs/>
        </w:rPr>
        <w:t xml:space="preserve"> </w:t>
      </w:r>
      <w:r w:rsidRPr="00D10B88" w:rsidR="00C608CC">
        <w:rPr>
          <w:bCs/>
        </w:rPr>
        <w:t xml:space="preserve">This information </w:t>
      </w:r>
      <w:r>
        <w:rPr>
          <w:bCs/>
        </w:rPr>
        <w:t xml:space="preserve">is protected </w:t>
      </w:r>
      <w:r w:rsidRPr="00D10B88" w:rsidR="00C608CC">
        <w:rPr>
          <w:bCs/>
        </w:rPr>
        <w:t>as confidential and used exclusively for statistical purposes.</w:t>
      </w:r>
      <w:r w:rsidR="00841844">
        <w:rPr>
          <w:bCs/>
        </w:rPr>
        <w:t xml:space="preserve"> </w:t>
      </w:r>
      <w:r>
        <w:rPr>
          <w:bCs/>
        </w:rPr>
        <w:t>S</w:t>
      </w:r>
      <w:r w:rsidRPr="00D10B88" w:rsidR="00C608CC">
        <w:rPr>
          <w:bCs/>
        </w:rPr>
        <w:t>urvey respondents</w:t>
      </w:r>
      <w:r>
        <w:rPr>
          <w:bCs/>
        </w:rPr>
        <w:t xml:space="preserve"> receive the following pledge</w:t>
      </w:r>
      <w:r w:rsidRPr="00D10B88" w:rsidR="00C608CC">
        <w:rPr>
          <w:bCs/>
        </w:rPr>
        <w:t>:</w:t>
      </w:r>
    </w:p>
    <w:p w:rsidRPr="00E80860" w:rsidR="00C608CC" w:rsidP="00382953" w:rsidRDefault="00C608CC" w14:paraId="3AA43834" w14:textId="199FDED9">
      <w:pPr>
        <w:spacing w:before="216"/>
        <w:ind w:left="720"/>
        <w:rPr>
          <w:rFonts w:ascii="Calibri" w:hAnsi="Calibri"/>
          <w:bCs/>
        </w:rPr>
      </w:pPr>
      <w:r w:rsidRPr="00C608CC">
        <w:rPr>
          <w:rFonts w:ascii="Calibri" w:hAnsi="Calibri"/>
          <w:bCs/>
        </w:rPr>
        <w:t>“</w:t>
      </w:r>
      <w:r w:rsidRPr="00C608CC">
        <w:rPr>
          <w:rFonts w:ascii="Calibri" w:hAnsi="Calibri" w:cs="Arial"/>
          <w:spacing w:val="2"/>
        </w:rPr>
        <w:t>The information you provide on Form EIA-914 will be used for statistical purposes only and is confidential by law.</w:t>
      </w:r>
      <w:r w:rsidR="00841844">
        <w:rPr>
          <w:rFonts w:ascii="Calibri" w:hAnsi="Calibri" w:cs="Arial"/>
          <w:spacing w:val="2"/>
        </w:rPr>
        <w:t xml:space="preserve"> </w:t>
      </w:r>
      <w:r w:rsidRPr="00C608CC">
        <w:rPr>
          <w:rFonts w:ascii="Calibri" w:hAnsi="Calibri" w:cs="Arial"/>
          <w:spacing w:val="2"/>
        </w:rPr>
        <w:t>In accordance with the Confidential Information Protection and Statistical Efficiency Act of 20</w:t>
      </w:r>
      <w:r w:rsidR="005768E4">
        <w:rPr>
          <w:rFonts w:ascii="Calibri" w:hAnsi="Calibri" w:cs="Arial"/>
          <w:spacing w:val="2"/>
        </w:rPr>
        <w:t>18</w:t>
      </w:r>
      <w:r w:rsidRPr="00C608CC">
        <w:rPr>
          <w:rFonts w:ascii="Calibri" w:hAnsi="Calibri" w:cs="Arial"/>
          <w:spacing w:val="2"/>
        </w:rPr>
        <w:t xml:space="preserve"> and other applicable Federal laws, your responses will not be disclosed in identifiable form without your consent.</w:t>
      </w:r>
      <w:r w:rsidR="00841844">
        <w:rPr>
          <w:rFonts w:ascii="Calibri" w:hAnsi="Calibri" w:cs="Arial"/>
          <w:spacing w:val="2"/>
        </w:rPr>
        <w:t xml:space="preserve"> </w:t>
      </w:r>
      <w:r w:rsidRPr="00C608CC">
        <w:rPr>
          <w:rFonts w:ascii="Calibri" w:hAnsi="Calibri" w:cs="Arial"/>
          <w:spacing w:val="2"/>
        </w:rPr>
        <w:t>Per the Federal Cybersecurity Enhancement Act of 2015, Federal information systems are protected from malicious activities through cybersecurity screening of transmitted data.</w:t>
      </w:r>
      <w:r w:rsidR="00841844">
        <w:rPr>
          <w:rFonts w:ascii="Calibri" w:hAnsi="Calibri" w:cs="Arial"/>
          <w:spacing w:val="2"/>
        </w:rPr>
        <w:t xml:space="preserve"> </w:t>
      </w:r>
      <w:r w:rsidRPr="00C608CC">
        <w:rPr>
          <w:rFonts w:ascii="Calibri" w:hAnsi="Calibri" w:cs="Arial"/>
          <w:spacing w:val="2"/>
        </w:rPr>
        <w:t>Every EIA employee, as well as every agent, is subject to a jail term, a fine, or both if he or she makes public ANY identifiable information you reported.</w:t>
      </w:r>
      <w:r w:rsidRPr="00E80860">
        <w:rPr>
          <w:rFonts w:ascii="Calibri" w:hAnsi="Calibri" w:cs="Times New Roman"/>
          <w:iCs/>
        </w:rPr>
        <w:t>”</w:t>
      </w:r>
    </w:p>
    <w:p w:rsidRPr="00D10B88" w:rsidR="00C608CC" w:rsidP="00C608CC" w:rsidRDefault="005768E4" w14:paraId="3AA43835" w14:textId="79D69C22">
      <w:pPr>
        <w:rPr>
          <w:bCs/>
        </w:rPr>
      </w:pPr>
      <w:r>
        <w:rPr>
          <w:bCs/>
        </w:rPr>
        <w:t xml:space="preserve">Data protection methods </w:t>
      </w:r>
      <w:r w:rsidRPr="00D10B88" w:rsidR="00C608CC">
        <w:rPr>
          <w:bCs/>
        </w:rPr>
        <w:t xml:space="preserve">are applied to the statistical aggregates to </w:t>
      </w:r>
      <w:r>
        <w:rPr>
          <w:bCs/>
        </w:rPr>
        <w:t xml:space="preserve">protect against the re-identification of respondent’s reported values from the published statistical aggregate values. </w:t>
      </w:r>
    </w:p>
    <w:p w:rsidR="00F056C3" w:rsidP="00A41763" w:rsidRDefault="00F056C3" w14:paraId="3AA43836" w14:textId="77777777">
      <w:pPr>
        <w:rPr>
          <w:b/>
          <w:bCs/>
        </w:rPr>
      </w:pPr>
    </w:p>
    <w:p w:rsidR="00F056C3" w:rsidP="00F056C3" w:rsidRDefault="00F056C3" w14:paraId="3AA43837" w14:textId="77777777">
      <w:pPr>
        <w:pStyle w:val="Heading2"/>
      </w:pPr>
      <w:bookmarkStart w:name="_Toc492634211" w:id="12"/>
      <w:r>
        <w:t>A.</w:t>
      </w:r>
      <w:r w:rsidRPr="00A41763" w:rsidR="00A41763">
        <w:t xml:space="preserve">11. </w:t>
      </w:r>
      <w:r w:rsidRPr="00F056C3">
        <w:t>Justification for Sensitive Questions</w:t>
      </w:r>
      <w:bookmarkEnd w:id="12"/>
      <w:r w:rsidRPr="00F056C3">
        <w:t xml:space="preserve"> </w:t>
      </w:r>
    </w:p>
    <w:p w:rsidRPr="00D10B88" w:rsidR="004E1745" w:rsidP="004E1745" w:rsidRDefault="004E1745" w14:paraId="3AA43838" w14:textId="77777777">
      <w:pPr>
        <w:rPr>
          <w:bCs/>
        </w:rPr>
      </w:pPr>
      <w:r w:rsidRPr="00D10B88">
        <w:rPr>
          <w:bCs/>
        </w:rPr>
        <w:t>The form contains no questions of a sensitive nature.</w:t>
      </w:r>
    </w:p>
    <w:p w:rsidR="00F056C3" w:rsidP="00A41763" w:rsidRDefault="00F056C3" w14:paraId="3AA43839" w14:textId="77777777">
      <w:pPr>
        <w:rPr>
          <w:b/>
          <w:bCs/>
        </w:rPr>
      </w:pPr>
    </w:p>
    <w:p w:rsidR="00F056C3" w:rsidP="00F056C3" w:rsidRDefault="00F056C3" w14:paraId="3AA4383A" w14:textId="77777777">
      <w:pPr>
        <w:pStyle w:val="Heading2"/>
      </w:pPr>
      <w:bookmarkStart w:name="_Toc492634212" w:id="13"/>
      <w:r>
        <w:t>A.</w:t>
      </w:r>
      <w:r w:rsidRPr="00A41763" w:rsidR="00A41763">
        <w:t xml:space="preserve">12. </w:t>
      </w:r>
      <w:r w:rsidRPr="00F056C3">
        <w:t>Estimate of Respondent Burden Hours and Cost</w:t>
      </w:r>
      <w:bookmarkEnd w:id="13"/>
      <w:r w:rsidRPr="00F056C3">
        <w:t xml:space="preserve"> </w:t>
      </w:r>
    </w:p>
    <w:p w:rsidR="004E1745" w:rsidP="004E1745" w:rsidRDefault="004E1745" w14:paraId="3AA4383C" w14:textId="75CB9B6F">
      <w:r>
        <w:t>The overall annual burden cost for this ICR is estimated to be $1,</w:t>
      </w:r>
      <w:r w:rsidR="0020218F">
        <w:t>538,688</w:t>
      </w:r>
      <w:r>
        <w:t>.</w:t>
      </w:r>
      <w:r w:rsidR="00841844">
        <w:t xml:space="preserve"> </w:t>
      </w:r>
      <w:r>
        <w:t>This amount is based on a 4 hour burden per response.</w:t>
      </w:r>
      <w:r w:rsidR="00841844">
        <w:t xml:space="preserve"> </w:t>
      </w:r>
      <w:r>
        <w:t xml:space="preserve">The annual burden cost is calculated by </w:t>
      </w:r>
      <w:r w:rsidR="0020218F">
        <w:t>19,2</w:t>
      </w:r>
      <w:r>
        <w:t>0</w:t>
      </w:r>
      <w:r w:rsidR="001F7089">
        <w:t>0</w:t>
      </w:r>
      <w:r>
        <w:t xml:space="preserve"> hours x </w:t>
      </w:r>
      <w:r w:rsidRPr="004B6C8A">
        <w:t>$</w:t>
      </w:r>
      <w:r w:rsidRPr="004B6C8A" w:rsidR="008F50F3">
        <w:t>80.14</w:t>
      </w:r>
      <w:r w:rsidRPr="004B6C8A">
        <w:t xml:space="preserve"> per hour</w:t>
      </w:r>
      <w:r>
        <w:t xml:space="preserve"> = $</w:t>
      </w:r>
      <w:r w:rsidR="004A5621">
        <w:t>1,</w:t>
      </w:r>
      <w:r w:rsidR="0020218F">
        <w:t>538,688</w:t>
      </w:r>
      <w:bookmarkStart w:name="_MON_1658662543" w:id="14"/>
      <w:bookmarkEnd w:id="14"/>
      <w:r w:rsidR="00F43A28">
        <w:rPr>
          <w:b/>
          <w:bCs/>
        </w:rPr>
        <w:object w:dxaOrig="10222" w:dyaOrig="1890" w14:anchorId="20C4653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10.6pt;height:99.6pt" o:ole="" type="#_x0000_t75">
            <v:imagedata o:title="" r:id="rId34"/>
          </v:shape>
          <o:OLEObject Type="Embed" ProgID="Excel.Sheet.12" ShapeID="_x0000_i1025" DrawAspect="Content" ObjectID="_1661859087" r:id="rId35"/>
        </w:object>
      </w:r>
    </w:p>
    <w:p w:rsidR="00F056C3" w:rsidP="00A41763" w:rsidRDefault="00F056C3" w14:paraId="3AA4383F" w14:textId="77777777">
      <w:pPr>
        <w:rPr>
          <w:b/>
          <w:bCs/>
        </w:rPr>
      </w:pPr>
    </w:p>
    <w:p w:rsidR="00F056C3" w:rsidP="00F056C3" w:rsidRDefault="00F056C3" w14:paraId="3AA43840" w14:textId="77777777">
      <w:pPr>
        <w:pStyle w:val="Heading2"/>
      </w:pPr>
      <w:bookmarkStart w:name="_Toc492634213" w:id="15"/>
      <w:r>
        <w:t>A.</w:t>
      </w:r>
      <w:r w:rsidRPr="00A41763" w:rsidR="00A41763">
        <w:t xml:space="preserve">13. </w:t>
      </w:r>
      <w:r w:rsidRPr="00F056C3">
        <w:t>Annual Cost to the Federal Government</w:t>
      </w:r>
      <w:bookmarkEnd w:id="15"/>
    </w:p>
    <w:p w:rsidR="000E7D6F" w:rsidP="000E7D6F" w:rsidRDefault="000E7D6F" w14:paraId="3AA43841" w14:textId="668CA138">
      <w:r>
        <w:t>The average annual cost including personnel, systems development and maintenance, data collection, processing, estimation, and dissemination is $</w:t>
      </w:r>
      <w:r w:rsidR="00BB0BC0">
        <w:t>1,</w:t>
      </w:r>
      <w:r w:rsidR="007D6DD2">
        <w:t>825,654</w:t>
      </w:r>
      <w:r>
        <w:t xml:space="preserve"> per year.</w:t>
      </w:r>
      <w:r w:rsidR="009D6377">
        <w:t xml:space="preserve"> </w:t>
      </w:r>
      <w:r w:rsidRPr="006325D9" w:rsidR="009D6377">
        <w:t xml:space="preserve">The contractors </w:t>
      </w:r>
      <w:r w:rsidR="006325D9">
        <w:t>cost includes labor, overhead, and labor hours related to activities such as survey frame development and the transformation/modernization costs associated with updating EIA data collection practices. Transformation/modernization activities such as migrating databases, ensuring data integrity, and maintaining seamless data collection cycles during technological transitions were previously completed by this ICR and do not need to be factored into future costs of the next three years. The</w:t>
      </w:r>
      <w:r w:rsidRPr="006325D9" w:rsidR="009D6377">
        <w:t xml:space="preserve"> cost </w:t>
      </w:r>
      <w:r w:rsidR="00475C22">
        <w:t>of</w:t>
      </w:r>
      <w:r w:rsidRPr="006325D9" w:rsidR="009D6377">
        <w:t xml:space="preserve"> federal employees slightly increased as the federal hourly rate </w:t>
      </w:r>
      <w:r w:rsidRPr="006325D9" w:rsidR="00AA7132">
        <w:t xml:space="preserve">increased by </w:t>
      </w:r>
      <w:r w:rsidR="00992384">
        <w:t>2</w:t>
      </w:r>
      <w:r w:rsidRPr="006325D9" w:rsidR="00AA7132">
        <w:t>%</w:t>
      </w:r>
      <w:r w:rsidR="00475C22">
        <w:t xml:space="preserve"> in </w:t>
      </w:r>
      <w:r w:rsidR="00415092">
        <w:t>2020</w:t>
      </w:r>
      <w:r w:rsidRPr="006325D9" w:rsidR="00AA7132">
        <w:t xml:space="preserve">. </w:t>
      </w:r>
      <w:r w:rsidR="006325D9">
        <w:t xml:space="preserve"> </w:t>
      </w:r>
    </w:p>
    <w:p w:rsidR="000E7D6F" w:rsidP="000E7D6F" w:rsidRDefault="000E7D6F" w14:paraId="3AA43842" w14:textId="77777777">
      <w:pPr>
        <w:spacing w:after="0"/>
      </w:pPr>
      <w:r>
        <w:t>a. Personnel:</w:t>
      </w:r>
    </w:p>
    <w:p w:rsidR="000E7D6F" w:rsidP="00DA099E" w:rsidRDefault="000E7D6F" w14:paraId="3AA43843" w14:textId="165B7302">
      <w:pPr>
        <w:pStyle w:val="ListParagraph"/>
        <w:numPr>
          <w:ilvl w:val="0"/>
          <w:numId w:val="12"/>
        </w:numPr>
      </w:pPr>
      <w:r>
        <w:t>Contractors:</w:t>
      </w:r>
      <w:r w:rsidR="007D6DD2">
        <w:t xml:space="preserve"> </w:t>
      </w:r>
      <w:r>
        <w:t xml:space="preserve"> </w:t>
      </w:r>
      <w:r w:rsidR="00287D79">
        <w:t>$</w:t>
      </w:r>
      <w:r w:rsidR="007D6DD2">
        <w:t>1,375,588</w:t>
      </w:r>
    </w:p>
    <w:p w:rsidR="000E7D6F" w:rsidP="00DA099E" w:rsidRDefault="000E7D6F" w14:paraId="3AA43844" w14:textId="4D57D7B0">
      <w:pPr>
        <w:pStyle w:val="ListParagraph"/>
        <w:numPr>
          <w:ilvl w:val="0"/>
          <w:numId w:val="12"/>
        </w:numPr>
      </w:pPr>
      <w:r>
        <w:t>Federal Employees:$4</w:t>
      </w:r>
      <w:r w:rsidR="007D6DD2">
        <w:t>50,066</w:t>
      </w:r>
    </w:p>
    <w:p w:rsidR="000E7D6F" w:rsidP="00DA099E" w:rsidRDefault="000E7D6F" w14:paraId="3AA43845" w14:textId="28DCF155">
      <w:pPr>
        <w:pStyle w:val="ListParagraph"/>
        <w:numPr>
          <w:ilvl w:val="1"/>
          <w:numId w:val="12"/>
        </w:numPr>
      </w:pPr>
      <w:r>
        <w:t xml:space="preserve">(2.7 FTE x 40 hours x 52 weeks) </w:t>
      </w:r>
      <w:r w:rsidRPr="004B6C8A">
        <w:t>x $</w:t>
      </w:r>
      <w:r w:rsidRPr="004B6C8A" w:rsidR="0020218F">
        <w:t>80.14</w:t>
      </w:r>
      <w:r>
        <w:t xml:space="preserve"> = $4</w:t>
      </w:r>
      <w:r w:rsidR="0020218F">
        <w:t>5</w:t>
      </w:r>
      <w:r w:rsidR="00F745C7">
        <w:t>0,</w:t>
      </w:r>
      <w:r w:rsidR="0020218F">
        <w:t>066</w:t>
      </w:r>
    </w:p>
    <w:p w:rsidR="000E7D6F" w:rsidP="000E7D6F" w:rsidRDefault="000E7D6F" w14:paraId="3AA43846" w14:textId="3F230F90">
      <w:pPr>
        <w:spacing w:after="0"/>
      </w:pPr>
      <w:r>
        <w:t xml:space="preserve">b. Total Annual Cost to the Federal Government: </w:t>
      </w:r>
      <w:r w:rsidR="00BB0BC0">
        <w:t>$1,</w:t>
      </w:r>
      <w:r w:rsidR="007D6DD2">
        <w:t>825,654</w:t>
      </w:r>
    </w:p>
    <w:p w:rsidR="007D6DD2" w:rsidP="00A41763" w:rsidRDefault="007D6DD2" w14:paraId="3461D054" w14:textId="77777777">
      <w:pPr>
        <w:rPr>
          <w:color w:val="FF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8"/>
        <w:gridCol w:w="1712"/>
        <w:gridCol w:w="990"/>
        <w:gridCol w:w="1710"/>
      </w:tblGrid>
      <w:tr w:rsidRPr="004B6C8A" w:rsidR="007D6DD2" w:rsidTr="00122183" w14:paraId="4772841C" w14:textId="77777777">
        <w:trPr>
          <w:trHeight w:val="280"/>
        </w:trPr>
        <w:tc>
          <w:tcPr>
            <w:tcW w:w="9360" w:type="dxa"/>
            <w:gridSpan w:val="4"/>
            <w:tcBorders>
              <w:top w:val="nil"/>
              <w:left w:val="nil"/>
              <w:bottom w:val="single" w:color="auto" w:sz="4" w:space="0"/>
              <w:right w:val="nil"/>
            </w:tcBorders>
            <w:shd w:val="clear" w:color="auto" w:fill="auto"/>
            <w:noWrap/>
            <w:vAlign w:val="bottom"/>
            <w:hideMark/>
          </w:tcPr>
          <w:p w:rsidRPr="004B6C8A" w:rsidR="007D6DD2" w:rsidP="007D6DD2" w:rsidRDefault="007D6DD2" w14:paraId="16EE1A45" w14:textId="77777777">
            <w:pPr>
              <w:spacing w:after="0" w:line="240" w:lineRule="auto"/>
              <w:jc w:val="center"/>
              <w:rPr>
                <w:rFonts w:eastAsia="Times New Roman" w:cstheme="minorHAnsi"/>
                <w:b/>
                <w:bCs/>
                <w:color w:val="000000"/>
              </w:rPr>
            </w:pPr>
            <w:r w:rsidRPr="00122183">
              <w:rPr>
                <w:rFonts w:eastAsia="Times New Roman" w:cstheme="minorHAnsi"/>
                <w:b/>
                <w:bCs/>
                <w:color w:val="0070C0"/>
              </w:rPr>
              <w:t>Table A2.  Annual Cost to the Federal Government</w:t>
            </w:r>
          </w:p>
        </w:tc>
      </w:tr>
      <w:tr w:rsidRPr="004B6C8A" w:rsidR="007D6DD2" w:rsidTr="00122183" w14:paraId="17A1BB3E" w14:textId="77777777">
        <w:trPr>
          <w:trHeight w:val="280"/>
        </w:trPr>
        <w:tc>
          <w:tcPr>
            <w:tcW w:w="4948" w:type="dxa"/>
            <w:tcBorders>
              <w:top w:val="single" w:color="auto" w:sz="4" w:space="0"/>
            </w:tcBorders>
            <w:shd w:val="clear" w:color="auto" w:fill="00B0F0"/>
            <w:noWrap/>
            <w:vAlign w:val="bottom"/>
            <w:hideMark/>
          </w:tcPr>
          <w:p w:rsidRPr="004B6C8A" w:rsidR="007D6DD2" w:rsidP="007D6DD2" w:rsidRDefault="007D6DD2" w14:paraId="0F43051C" w14:textId="77777777">
            <w:pPr>
              <w:spacing w:after="0" w:line="240" w:lineRule="auto"/>
              <w:jc w:val="center"/>
              <w:rPr>
                <w:rFonts w:eastAsia="Times New Roman" w:cstheme="minorHAnsi"/>
                <w:b/>
                <w:bCs/>
                <w:color w:val="000000"/>
              </w:rPr>
            </w:pPr>
            <w:r w:rsidRPr="004B6C8A">
              <w:rPr>
                <w:rFonts w:eastAsia="Times New Roman" w:cstheme="minorHAnsi"/>
                <w:b/>
                <w:bCs/>
                <w:color w:val="000000"/>
              </w:rPr>
              <w:t>Activity</w:t>
            </w:r>
          </w:p>
        </w:tc>
        <w:tc>
          <w:tcPr>
            <w:tcW w:w="1712" w:type="dxa"/>
            <w:tcBorders>
              <w:top w:val="single" w:color="auto" w:sz="4" w:space="0"/>
            </w:tcBorders>
            <w:shd w:val="clear" w:color="auto" w:fill="00B0F0"/>
            <w:noWrap/>
            <w:vAlign w:val="bottom"/>
            <w:hideMark/>
          </w:tcPr>
          <w:p w:rsidRPr="004B6C8A" w:rsidR="007D6DD2" w:rsidP="007D6DD2" w:rsidRDefault="007D6DD2" w14:paraId="1927BBF8" w14:textId="77777777">
            <w:pPr>
              <w:spacing w:after="0" w:line="240" w:lineRule="auto"/>
              <w:jc w:val="center"/>
              <w:rPr>
                <w:rFonts w:eastAsia="Times New Roman" w:cstheme="minorHAnsi"/>
                <w:b/>
                <w:bCs/>
                <w:color w:val="000000"/>
              </w:rPr>
            </w:pPr>
            <w:r w:rsidRPr="004B6C8A">
              <w:rPr>
                <w:rFonts w:eastAsia="Times New Roman" w:cstheme="minorHAnsi"/>
                <w:b/>
                <w:bCs/>
                <w:color w:val="000000"/>
              </w:rPr>
              <w:t>Labor Hours</w:t>
            </w:r>
          </w:p>
        </w:tc>
        <w:tc>
          <w:tcPr>
            <w:tcW w:w="990" w:type="dxa"/>
            <w:tcBorders>
              <w:top w:val="single" w:color="auto" w:sz="4" w:space="0"/>
            </w:tcBorders>
            <w:shd w:val="clear" w:color="auto" w:fill="00B0F0"/>
            <w:noWrap/>
            <w:vAlign w:val="bottom"/>
            <w:hideMark/>
          </w:tcPr>
          <w:p w:rsidRPr="004B6C8A" w:rsidR="007D6DD2" w:rsidP="007D6DD2" w:rsidRDefault="007D6DD2" w14:paraId="2462E6CC" w14:textId="77777777">
            <w:pPr>
              <w:spacing w:after="0" w:line="240" w:lineRule="auto"/>
              <w:jc w:val="center"/>
              <w:rPr>
                <w:rFonts w:eastAsia="Times New Roman" w:cstheme="minorHAnsi"/>
                <w:b/>
                <w:bCs/>
                <w:color w:val="000000"/>
              </w:rPr>
            </w:pPr>
            <w:r w:rsidRPr="004B6C8A">
              <w:rPr>
                <w:rFonts w:eastAsia="Times New Roman" w:cstheme="minorHAnsi"/>
                <w:b/>
                <w:bCs/>
                <w:color w:val="000000"/>
              </w:rPr>
              <w:t>xRate</w:t>
            </w:r>
          </w:p>
        </w:tc>
        <w:tc>
          <w:tcPr>
            <w:tcW w:w="1710" w:type="dxa"/>
            <w:tcBorders>
              <w:top w:val="single" w:color="auto" w:sz="4" w:space="0"/>
            </w:tcBorders>
            <w:shd w:val="clear" w:color="auto" w:fill="00B0F0"/>
            <w:noWrap/>
            <w:vAlign w:val="bottom"/>
            <w:hideMark/>
          </w:tcPr>
          <w:p w:rsidRPr="004B6C8A" w:rsidR="007D6DD2" w:rsidP="007D6DD2" w:rsidRDefault="007D6DD2" w14:paraId="013CE173" w14:textId="77777777">
            <w:pPr>
              <w:spacing w:after="0" w:line="240" w:lineRule="auto"/>
              <w:jc w:val="center"/>
              <w:rPr>
                <w:rFonts w:eastAsia="Times New Roman" w:cstheme="minorHAnsi"/>
                <w:b/>
                <w:bCs/>
                <w:color w:val="000000"/>
              </w:rPr>
            </w:pPr>
            <w:r w:rsidRPr="004B6C8A">
              <w:rPr>
                <w:rFonts w:eastAsia="Times New Roman" w:cstheme="minorHAnsi"/>
                <w:b/>
                <w:bCs/>
                <w:color w:val="000000"/>
              </w:rPr>
              <w:t>=Cost</w:t>
            </w:r>
          </w:p>
        </w:tc>
      </w:tr>
      <w:tr w:rsidRPr="004B6C8A" w:rsidR="007D6DD2" w:rsidTr="00122183" w14:paraId="57DC85A1" w14:textId="77777777">
        <w:trPr>
          <w:trHeight w:val="280"/>
        </w:trPr>
        <w:tc>
          <w:tcPr>
            <w:tcW w:w="4948" w:type="dxa"/>
            <w:shd w:val="clear" w:color="auto" w:fill="auto"/>
            <w:noWrap/>
            <w:vAlign w:val="bottom"/>
            <w:hideMark/>
          </w:tcPr>
          <w:p w:rsidRPr="004B6C8A" w:rsidR="007D6DD2" w:rsidP="007D6DD2" w:rsidRDefault="007D6DD2" w14:paraId="3298F16C" w14:textId="77777777">
            <w:pPr>
              <w:spacing w:after="0" w:line="240" w:lineRule="auto"/>
              <w:rPr>
                <w:rFonts w:eastAsia="Times New Roman" w:cstheme="minorHAnsi"/>
                <w:color w:val="000000"/>
              </w:rPr>
            </w:pPr>
            <w:r w:rsidRPr="004B6C8A">
              <w:rPr>
                <w:rFonts w:eastAsia="Times New Roman" w:cstheme="minorHAnsi"/>
                <w:color w:val="000000"/>
              </w:rPr>
              <w:t>Survey Frame and Maintenance</w:t>
            </w:r>
          </w:p>
        </w:tc>
        <w:tc>
          <w:tcPr>
            <w:tcW w:w="1712" w:type="dxa"/>
            <w:shd w:val="clear" w:color="auto" w:fill="auto"/>
            <w:noWrap/>
            <w:vAlign w:val="bottom"/>
            <w:hideMark/>
          </w:tcPr>
          <w:p w:rsidRPr="004B6C8A" w:rsidR="007D6DD2" w:rsidP="007D6DD2" w:rsidRDefault="007D6DD2" w14:paraId="30728E8B" w14:textId="77777777">
            <w:pPr>
              <w:spacing w:after="0" w:line="240" w:lineRule="auto"/>
              <w:jc w:val="right"/>
              <w:rPr>
                <w:rFonts w:eastAsia="Times New Roman" w:cstheme="minorHAnsi"/>
                <w:color w:val="000000"/>
              </w:rPr>
            </w:pPr>
            <w:r w:rsidRPr="004B6C8A">
              <w:rPr>
                <w:rFonts w:eastAsia="Times New Roman" w:cstheme="minorHAnsi"/>
                <w:color w:val="000000"/>
              </w:rPr>
              <w:t>2,446.08</w:t>
            </w:r>
          </w:p>
        </w:tc>
        <w:tc>
          <w:tcPr>
            <w:tcW w:w="990" w:type="dxa"/>
            <w:shd w:val="clear" w:color="auto" w:fill="auto"/>
            <w:noWrap/>
            <w:vAlign w:val="bottom"/>
            <w:hideMark/>
          </w:tcPr>
          <w:p w:rsidRPr="004B6C8A" w:rsidR="007D6DD2" w:rsidP="007D6DD2" w:rsidRDefault="007D6DD2" w14:paraId="35D34593" w14:textId="77777777">
            <w:pPr>
              <w:spacing w:after="0" w:line="240" w:lineRule="auto"/>
              <w:jc w:val="right"/>
              <w:rPr>
                <w:rFonts w:eastAsia="Times New Roman" w:cstheme="minorHAnsi"/>
                <w:color w:val="000000"/>
              </w:rPr>
            </w:pPr>
            <w:r w:rsidRPr="004B6C8A">
              <w:rPr>
                <w:rFonts w:eastAsia="Times New Roman" w:cstheme="minorHAnsi"/>
                <w:color w:val="000000"/>
              </w:rPr>
              <w:t>$80.14</w:t>
            </w:r>
          </w:p>
        </w:tc>
        <w:tc>
          <w:tcPr>
            <w:tcW w:w="1710" w:type="dxa"/>
            <w:shd w:val="clear" w:color="auto" w:fill="auto"/>
            <w:noWrap/>
            <w:vAlign w:val="bottom"/>
            <w:hideMark/>
          </w:tcPr>
          <w:p w:rsidRPr="004B6C8A" w:rsidR="007D6DD2" w:rsidP="007D6DD2" w:rsidRDefault="007D6DD2" w14:paraId="0520D6C9" w14:textId="77777777">
            <w:pPr>
              <w:spacing w:after="0" w:line="240" w:lineRule="auto"/>
              <w:jc w:val="right"/>
              <w:rPr>
                <w:rFonts w:eastAsia="Times New Roman" w:cstheme="minorHAnsi"/>
                <w:color w:val="000000"/>
              </w:rPr>
            </w:pPr>
            <w:r w:rsidRPr="004B6C8A">
              <w:rPr>
                <w:rFonts w:eastAsia="Times New Roman" w:cstheme="minorHAnsi"/>
                <w:color w:val="000000"/>
              </w:rPr>
              <w:t>$196,028.85</w:t>
            </w:r>
          </w:p>
        </w:tc>
      </w:tr>
      <w:tr w:rsidRPr="004B6C8A" w:rsidR="007D6DD2" w:rsidTr="00122183" w14:paraId="2213F905" w14:textId="77777777">
        <w:trPr>
          <w:trHeight w:val="280"/>
        </w:trPr>
        <w:tc>
          <w:tcPr>
            <w:tcW w:w="4948" w:type="dxa"/>
            <w:shd w:val="clear" w:color="auto" w:fill="auto"/>
            <w:noWrap/>
            <w:vAlign w:val="bottom"/>
            <w:hideMark/>
          </w:tcPr>
          <w:p w:rsidRPr="004B6C8A" w:rsidR="007D6DD2" w:rsidP="007D6DD2" w:rsidRDefault="007D6DD2" w14:paraId="41FF5C90" w14:textId="77777777">
            <w:pPr>
              <w:spacing w:after="0" w:line="240" w:lineRule="auto"/>
              <w:rPr>
                <w:rFonts w:eastAsia="Times New Roman" w:cstheme="minorHAnsi"/>
                <w:color w:val="000000"/>
              </w:rPr>
            </w:pPr>
            <w:r w:rsidRPr="004B6C8A">
              <w:rPr>
                <w:rFonts w:eastAsia="Times New Roman" w:cstheme="minorHAnsi"/>
                <w:color w:val="000000"/>
              </w:rPr>
              <w:t>Data Collection and Processing</w:t>
            </w:r>
          </w:p>
        </w:tc>
        <w:tc>
          <w:tcPr>
            <w:tcW w:w="1712" w:type="dxa"/>
            <w:shd w:val="clear" w:color="auto" w:fill="auto"/>
            <w:noWrap/>
            <w:vAlign w:val="bottom"/>
            <w:hideMark/>
          </w:tcPr>
          <w:p w:rsidRPr="004B6C8A" w:rsidR="007D6DD2" w:rsidP="007D6DD2" w:rsidRDefault="007D6DD2" w14:paraId="7C8EC970" w14:textId="77777777">
            <w:pPr>
              <w:spacing w:after="0" w:line="240" w:lineRule="auto"/>
              <w:jc w:val="right"/>
              <w:rPr>
                <w:rFonts w:eastAsia="Times New Roman" w:cstheme="minorHAnsi"/>
                <w:color w:val="000000"/>
              </w:rPr>
            </w:pPr>
            <w:r w:rsidRPr="004B6C8A">
              <w:rPr>
                <w:rFonts w:eastAsia="Times New Roman" w:cstheme="minorHAnsi"/>
                <w:color w:val="000000"/>
              </w:rPr>
              <w:t>11,038.66</w:t>
            </w:r>
          </w:p>
        </w:tc>
        <w:tc>
          <w:tcPr>
            <w:tcW w:w="990" w:type="dxa"/>
            <w:shd w:val="clear" w:color="auto" w:fill="auto"/>
            <w:noWrap/>
            <w:vAlign w:val="bottom"/>
            <w:hideMark/>
          </w:tcPr>
          <w:p w:rsidRPr="004B6C8A" w:rsidR="007D6DD2" w:rsidP="007D6DD2" w:rsidRDefault="007D6DD2" w14:paraId="0CD2D8AF" w14:textId="77777777">
            <w:pPr>
              <w:spacing w:after="0" w:line="240" w:lineRule="auto"/>
              <w:jc w:val="right"/>
              <w:rPr>
                <w:rFonts w:eastAsia="Times New Roman" w:cstheme="minorHAnsi"/>
                <w:color w:val="000000"/>
              </w:rPr>
            </w:pPr>
            <w:r w:rsidRPr="004B6C8A">
              <w:rPr>
                <w:rFonts w:eastAsia="Times New Roman" w:cstheme="minorHAnsi"/>
                <w:color w:val="000000"/>
              </w:rPr>
              <w:t>$80.14</w:t>
            </w:r>
          </w:p>
        </w:tc>
        <w:tc>
          <w:tcPr>
            <w:tcW w:w="1710" w:type="dxa"/>
            <w:shd w:val="clear" w:color="auto" w:fill="auto"/>
            <w:noWrap/>
            <w:vAlign w:val="bottom"/>
            <w:hideMark/>
          </w:tcPr>
          <w:p w:rsidRPr="004B6C8A" w:rsidR="007D6DD2" w:rsidP="007D6DD2" w:rsidRDefault="007D6DD2" w14:paraId="0FCF62F5" w14:textId="77777777">
            <w:pPr>
              <w:spacing w:after="0" w:line="240" w:lineRule="auto"/>
              <w:jc w:val="right"/>
              <w:rPr>
                <w:rFonts w:eastAsia="Times New Roman" w:cstheme="minorHAnsi"/>
                <w:color w:val="000000"/>
              </w:rPr>
            </w:pPr>
            <w:r w:rsidRPr="004B6C8A">
              <w:rPr>
                <w:rFonts w:eastAsia="Times New Roman" w:cstheme="minorHAnsi"/>
                <w:color w:val="000000"/>
              </w:rPr>
              <w:t>$884,638.21</w:t>
            </w:r>
          </w:p>
        </w:tc>
      </w:tr>
      <w:tr w:rsidRPr="004B6C8A" w:rsidR="007D6DD2" w:rsidTr="00122183" w14:paraId="1EAA7231" w14:textId="77777777">
        <w:trPr>
          <w:trHeight w:val="280"/>
        </w:trPr>
        <w:tc>
          <w:tcPr>
            <w:tcW w:w="4948" w:type="dxa"/>
            <w:shd w:val="clear" w:color="auto" w:fill="auto"/>
            <w:noWrap/>
            <w:vAlign w:val="bottom"/>
            <w:hideMark/>
          </w:tcPr>
          <w:p w:rsidRPr="004B6C8A" w:rsidR="007D6DD2" w:rsidP="007D6DD2" w:rsidRDefault="007D6DD2" w14:paraId="7344E824" w14:textId="77777777">
            <w:pPr>
              <w:spacing w:after="0" w:line="240" w:lineRule="auto"/>
              <w:rPr>
                <w:rFonts w:eastAsia="Times New Roman" w:cstheme="minorHAnsi"/>
                <w:color w:val="000000"/>
              </w:rPr>
            </w:pPr>
            <w:r w:rsidRPr="004B6C8A">
              <w:rPr>
                <w:rFonts w:eastAsia="Times New Roman" w:cstheme="minorHAnsi"/>
                <w:color w:val="000000"/>
              </w:rPr>
              <w:t>Data Dissemination</w:t>
            </w:r>
          </w:p>
        </w:tc>
        <w:tc>
          <w:tcPr>
            <w:tcW w:w="1712" w:type="dxa"/>
            <w:shd w:val="clear" w:color="auto" w:fill="auto"/>
            <w:noWrap/>
            <w:vAlign w:val="bottom"/>
            <w:hideMark/>
          </w:tcPr>
          <w:p w:rsidRPr="004B6C8A" w:rsidR="007D6DD2" w:rsidP="007D6DD2" w:rsidRDefault="007D6DD2" w14:paraId="358A972D" w14:textId="77777777">
            <w:pPr>
              <w:spacing w:after="0" w:line="240" w:lineRule="auto"/>
              <w:jc w:val="right"/>
              <w:rPr>
                <w:rFonts w:eastAsia="Times New Roman" w:cstheme="minorHAnsi"/>
                <w:color w:val="000000"/>
              </w:rPr>
            </w:pPr>
            <w:r w:rsidRPr="004B6C8A">
              <w:rPr>
                <w:rFonts w:eastAsia="Times New Roman" w:cstheme="minorHAnsi"/>
                <w:color w:val="000000"/>
              </w:rPr>
              <w:t>1,774.66</w:t>
            </w:r>
          </w:p>
        </w:tc>
        <w:tc>
          <w:tcPr>
            <w:tcW w:w="990" w:type="dxa"/>
            <w:shd w:val="clear" w:color="auto" w:fill="auto"/>
            <w:noWrap/>
            <w:vAlign w:val="bottom"/>
            <w:hideMark/>
          </w:tcPr>
          <w:p w:rsidRPr="004B6C8A" w:rsidR="007D6DD2" w:rsidP="007D6DD2" w:rsidRDefault="007D6DD2" w14:paraId="20D67AFB" w14:textId="77777777">
            <w:pPr>
              <w:spacing w:after="0" w:line="240" w:lineRule="auto"/>
              <w:jc w:val="right"/>
              <w:rPr>
                <w:rFonts w:eastAsia="Times New Roman" w:cstheme="minorHAnsi"/>
                <w:color w:val="000000"/>
              </w:rPr>
            </w:pPr>
            <w:r w:rsidRPr="004B6C8A">
              <w:rPr>
                <w:rFonts w:eastAsia="Times New Roman" w:cstheme="minorHAnsi"/>
                <w:color w:val="000000"/>
              </w:rPr>
              <w:t>$80.14</w:t>
            </w:r>
          </w:p>
        </w:tc>
        <w:tc>
          <w:tcPr>
            <w:tcW w:w="1710" w:type="dxa"/>
            <w:shd w:val="clear" w:color="auto" w:fill="auto"/>
            <w:noWrap/>
            <w:vAlign w:val="bottom"/>
            <w:hideMark/>
          </w:tcPr>
          <w:p w:rsidRPr="004B6C8A" w:rsidR="007D6DD2" w:rsidP="007D6DD2" w:rsidRDefault="007D6DD2" w14:paraId="5F38BCA8" w14:textId="77777777">
            <w:pPr>
              <w:spacing w:after="0" w:line="240" w:lineRule="auto"/>
              <w:jc w:val="right"/>
              <w:rPr>
                <w:rFonts w:eastAsia="Times New Roman" w:cstheme="minorHAnsi"/>
                <w:color w:val="000000"/>
              </w:rPr>
            </w:pPr>
            <w:r w:rsidRPr="004B6C8A">
              <w:rPr>
                <w:rFonts w:eastAsia="Times New Roman" w:cstheme="minorHAnsi"/>
                <w:color w:val="000000"/>
              </w:rPr>
              <w:t>$142,221.25</w:t>
            </w:r>
          </w:p>
        </w:tc>
      </w:tr>
      <w:tr w:rsidRPr="004B6C8A" w:rsidR="007D6DD2" w:rsidTr="00122183" w14:paraId="7F71B058" w14:textId="77777777">
        <w:trPr>
          <w:trHeight w:val="280"/>
        </w:trPr>
        <w:tc>
          <w:tcPr>
            <w:tcW w:w="4948" w:type="dxa"/>
            <w:shd w:val="clear" w:color="auto" w:fill="auto"/>
            <w:noWrap/>
            <w:vAlign w:val="bottom"/>
            <w:hideMark/>
          </w:tcPr>
          <w:p w:rsidRPr="004B6C8A" w:rsidR="007D6DD2" w:rsidP="007D6DD2" w:rsidRDefault="007D6DD2" w14:paraId="0BEB90A1" w14:textId="77777777">
            <w:pPr>
              <w:spacing w:after="0" w:line="240" w:lineRule="auto"/>
              <w:rPr>
                <w:rFonts w:eastAsia="Times New Roman" w:cstheme="minorHAnsi"/>
                <w:color w:val="000000"/>
              </w:rPr>
            </w:pPr>
            <w:r w:rsidRPr="004B6C8A">
              <w:rPr>
                <w:rFonts w:eastAsia="Times New Roman" w:cstheme="minorHAnsi"/>
                <w:color w:val="000000"/>
              </w:rPr>
              <w:t>Data Systems Maintenance and Enhancements</w:t>
            </w:r>
          </w:p>
        </w:tc>
        <w:tc>
          <w:tcPr>
            <w:tcW w:w="1712" w:type="dxa"/>
            <w:shd w:val="clear" w:color="auto" w:fill="auto"/>
            <w:noWrap/>
            <w:vAlign w:val="bottom"/>
            <w:hideMark/>
          </w:tcPr>
          <w:p w:rsidRPr="004B6C8A" w:rsidR="007D6DD2" w:rsidP="007D6DD2" w:rsidRDefault="007D6DD2" w14:paraId="67182742" w14:textId="77777777">
            <w:pPr>
              <w:spacing w:after="0" w:line="240" w:lineRule="auto"/>
              <w:jc w:val="right"/>
              <w:rPr>
                <w:rFonts w:eastAsia="Times New Roman" w:cstheme="minorHAnsi"/>
                <w:color w:val="000000"/>
              </w:rPr>
            </w:pPr>
            <w:r w:rsidRPr="004B6C8A">
              <w:rPr>
                <w:rFonts w:eastAsia="Times New Roman" w:cstheme="minorHAnsi"/>
                <w:color w:val="000000"/>
              </w:rPr>
              <w:t>1,905.41</w:t>
            </w:r>
          </w:p>
        </w:tc>
        <w:tc>
          <w:tcPr>
            <w:tcW w:w="990" w:type="dxa"/>
            <w:shd w:val="clear" w:color="auto" w:fill="auto"/>
            <w:noWrap/>
            <w:vAlign w:val="bottom"/>
            <w:hideMark/>
          </w:tcPr>
          <w:p w:rsidRPr="004B6C8A" w:rsidR="007D6DD2" w:rsidP="007D6DD2" w:rsidRDefault="007D6DD2" w14:paraId="24A706B7" w14:textId="77777777">
            <w:pPr>
              <w:spacing w:after="0" w:line="240" w:lineRule="auto"/>
              <w:jc w:val="right"/>
              <w:rPr>
                <w:rFonts w:eastAsia="Times New Roman" w:cstheme="minorHAnsi"/>
                <w:color w:val="000000"/>
              </w:rPr>
            </w:pPr>
            <w:r w:rsidRPr="004B6C8A">
              <w:rPr>
                <w:rFonts w:eastAsia="Times New Roman" w:cstheme="minorHAnsi"/>
                <w:color w:val="000000"/>
              </w:rPr>
              <w:t>$80.14</w:t>
            </w:r>
          </w:p>
        </w:tc>
        <w:tc>
          <w:tcPr>
            <w:tcW w:w="1710" w:type="dxa"/>
            <w:shd w:val="clear" w:color="auto" w:fill="auto"/>
            <w:noWrap/>
            <w:vAlign w:val="bottom"/>
            <w:hideMark/>
          </w:tcPr>
          <w:p w:rsidRPr="004B6C8A" w:rsidR="007D6DD2" w:rsidP="007D6DD2" w:rsidRDefault="007D6DD2" w14:paraId="36B957FF" w14:textId="77777777">
            <w:pPr>
              <w:spacing w:after="0" w:line="240" w:lineRule="auto"/>
              <w:jc w:val="right"/>
              <w:rPr>
                <w:rFonts w:eastAsia="Times New Roman" w:cstheme="minorHAnsi"/>
                <w:color w:val="000000"/>
              </w:rPr>
            </w:pPr>
            <w:r w:rsidRPr="004B6C8A">
              <w:rPr>
                <w:rFonts w:eastAsia="Times New Roman" w:cstheme="minorHAnsi"/>
                <w:color w:val="000000"/>
              </w:rPr>
              <w:t>$152,699.56</w:t>
            </w:r>
          </w:p>
        </w:tc>
      </w:tr>
      <w:tr w:rsidRPr="004B6C8A" w:rsidR="007D6DD2" w:rsidTr="00122183" w14:paraId="3FB49A12" w14:textId="77777777">
        <w:trPr>
          <w:trHeight w:val="280"/>
        </w:trPr>
        <w:tc>
          <w:tcPr>
            <w:tcW w:w="4948" w:type="dxa"/>
            <w:shd w:val="clear" w:color="auto" w:fill="auto"/>
            <w:noWrap/>
            <w:vAlign w:val="bottom"/>
            <w:hideMark/>
          </w:tcPr>
          <w:p w:rsidRPr="004B6C8A" w:rsidR="007D6DD2" w:rsidP="007D6DD2" w:rsidRDefault="007D6DD2" w14:paraId="47871096" w14:textId="77777777">
            <w:pPr>
              <w:spacing w:after="0" w:line="240" w:lineRule="auto"/>
              <w:rPr>
                <w:rFonts w:eastAsia="Times New Roman" w:cstheme="minorHAnsi"/>
                <w:b/>
                <w:bCs/>
                <w:color w:val="000000"/>
              </w:rPr>
            </w:pPr>
            <w:r w:rsidRPr="004B6C8A">
              <w:rPr>
                <w:rFonts w:eastAsia="Times New Roman" w:cstheme="minorHAnsi"/>
                <w:b/>
                <w:bCs/>
                <w:color w:val="000000"/>
              </w:rPr>
              <w:t>Total Annual Costs</w:t>
            </w:r>
          </w:p>
        </w:tc>
        <w:tc>
          <w:tcPr>
            <w:tcW w:w="1712" w:type="dxa"/>
            <w:shd w:val="clear" w:color="auto" w:fill="auto"/>
            <w:noWrap/>
            <w:vAlign w:val="bottom"/>
            <w:hideMark/>
          </w:tcPr>
          <w:p w:rsidRPr="004B6C8A" w:rsidR="007D6DD2" w:rsidP="007D6DD2" w:rsidRDefault="007D6DD2" w14:paraId="239424A2" w14:textId="77777777">
            <w:pPr>
              <w:spacing w:after="0" w:line="240" w:lineRule="auto"/>
              <w:jc w:val="right"/>
              <w:rPr>
                <w:rFonts w:eastAsia="Times New Roman" w:cstheme="minorHAnsi"/>
                <w:b/>
                <w:bCs/>
                <w:color w:val="000000"/>
              </w:rPr>
            </w:pPr>
            <w:r w:rsidRPr="004B6C8A">
              <w:rPr>
                <w:rFonts w:eastAsia="Times New Roman" w:cstheme="minorHAnsi"/>
                <w:b/>
                <w:bCs/>
                <w:color w:val="000000"/>
              </w:rPr>
              <w:t>17,164.81</w:t>
            </w:r>
          </w:p>
        </w:tc>
        <w:tc>
          <w:tcPr>
            <w:tcW w:w="990" w:type="dxa"/>
            <w:shd w:val="clear" w:color="auto" w:fill="auto"/>
            <w:noWrap/>
            <w:vAlign w:val="bottom"/>
            <w:hideMark/>
          </w:tcPr>
          <w:p w:rsidRPr="004B6C8A" w:rsidR="007D6DD2" w:rsidP="007D6DD2" w:rsidRDefault="007D6DD2" w14:paraId="054E220A" w14:textId="77777777">
            <w:pPr>
              <w:spacing w:after="0" w:line="240" w:lineRule="auto"/>
              <w:jc w:val="right"/>
              <w:rPr>
                <w:rFonts w:eastAsia="Times New Roman" w:cstheme="minorHAnsi"/>
                <w:b/>
                <w:bCs/>
                <w:color w:val="000000"/>
              </w:rPr>
            </w:pPr>
          </w:p>
        </w:tc>
        <w:tc>
          <w:tcPr>
            <w:tcW w:w="1710" w:type="dxa"/>
            <w:shd w:val="clear" w:color="auto" w:fill="auto"/>
            <w:noWrap/>
            <w:vAlign w:val="bottom"/>
            <w:hideMark/>
          </w:tcPr>
          <w:p w:rsidRPr="004B6C8A" w:rsidR="007D6DD2" w:rsidP="007D6DD2" w:rsidRDefault="007D6DD2" w14:paraId="217C7C2D" w14:textId="77777777">
            <w:pPr>
              <w:spacing w:after="0" w:line="240" w:lineRule="auto"/>
              <w:jc w:val="right"/>
              <w:rPr>
                <w:rFonts w:eastAsia="Times New Roman" w:cstheme="minorHAnsi"/>
                <w:b/>
                <w:bCs/>
                <w:color w:val="000000"/>
              </w:rPr>
            </w:pPr>
            <w:r w:rsidRPr="004B6C8A">
              <w:rPr>
                <w:rFonts w:eastAsia="Times New Roman" w:cstheme="minorHAnsi"/>
                <w:b/>
                <w:bCs/>
                <w:color w:val="000000"/>
              </w:rPr>
              <w:t>$1,375,587.87</w:t>
            </w:r>
          </w:p>
        </w:tc>
      </w:tr>
    </w:tbl>
    <w:p w:rsidR="007D6DD2" w:rsidP="00A41763" w:rsidRDefault="007D6DD2" w14:paraId="3D8EA02F" w14:textId="77777777">
      <w:pPr>
        <w:rPr>
          <w:color w:val="FF0000"/>
        </w:rPr>
      </w:pPr>
    </w:p>
    <w:p w:rsidR="00FA2A58" w:rsidRDefault="00FA2A58" w14:paraId="3AA43847" w14:textId="2A90EE85">
      <w:pPr>
        <w:spacing w:line="240" w:lineRule="auto"/>
      </w:pPr>
      <w:r>
        <w:br w:type="page"/>
      </w:r>
    </w:p>
    <w:p w:rsidR="00AF4B59" w:rsidP="00A41763" w:rsidRDefault="00AF4B59" w14:paraId="465EFF2C" w14:textId="77777777">
      <w:pPr>
        <w:sectPr w:rsidR="00AF4B59" w:rsidSect="00FA2A58">
          <w:footerReference w:type="default" r:id="rId36"/>
          <w:pgSz w:w="12240" w:h="15840"/>
          <w:pgMar w:top="1440" w:right="1440" w:bottom="1440" w:left="1440" w:header="720" w:footer="720" w:gutter="0"/>
          <w:cols w:space="720"/>
          <w:docGrid w:linePitch="360"/>
        </w:sectPr>
      </w:pPr>
    </w:p>
    <w:p w:rsidR="00F056C3" w:rsidP="00A41763" w:rsidRDefault="00F056C3" w14:paraId="151B2D60" w14:textId="3E75C04C"/>
    <w:p w:rsidR="00F056C3" w:rsidP="00F056C3" w:rsidRDefault="00F056C3" w14:paraId="3AA43848" w14:textId="77777777">
      <w:pPr>
        <w:pStyle w:val="Heading2"/>
      </w:pPr>
      <w:bookmarkStart w:name="_Toc492634214" w:id="16"/>
      <w:r>
        <w:t>A.</w:t>
      </w:r>
      <w:r w:rsidRPr="00A41763" w:rsidR="00A41763">
        <w:t xml:space="preserve">14. </w:t>
      </w:r>
      <w:r w:rsidRPr="00F056C3">
        <w:t>Changes in Burden</w:t>
      </w:r>
      <w:bookmarkEnd w:id="16"/>
      <w:r w:rsidRPr="00F056C3">
        <w:t xml:space="preserve"> </w:t>
      </w:r>
    </w:p>
    <w:p w:rsidR="00812C91" w:rsidP="00175C08" w:rsidRDefault="00175C08" w14:paraId="3AA43849" w14:textId="77777777">
      <w:pPr>
        <w:ind w:right="-720"/>
        <w:rPr>
          <w:bCs/>
        </w:rPr>
      </w:pPr>
      <w:r>
        <w:rPr>
          <w:bCs/>
        </w:rPr>
        <w:t>EIA anticipates no changes to Burden</w:t>
      </w:r>
    </w:p>
    <w:bookmarkStart w:name="_MON_1566376226" w:id="17"/>
    <w:bookmarkEnd w:id="17"/>
    <w:p w:rsidR="00FA2A58" w:rsidP="00175C08" w:rsidRDefault="00A0166A" w14:paraId="22733FF9" w14:textId="769CAE00">
      <w:pPr>
        <w:ind w:right="-720"/>
        <w:rPr>
          <w:b/>
          <w:bCs/>
        </w:rPr>
      </w:pPr>
      <w:r>
        <w:rPr>
          <w:b/>
          <w:bCs/>
        </w:rPr>
        <w:object w:dxaOrig="19579" w:dyaOrig="4103" w14:anchorId="03306427">
          <v:shape id="_x0000_i1030" style="width:718.55pt;height:151pt" o:ole="" type="#_x0000_t75">
            <v:imagedata o:title="" r:id="rId37"/>
          </v:shape>
          <o:OLEObject Type="Embed" ProgID="Excel.Sheet.12" ShapeID="_x0000_i1030" DrawAspect="Content" ObjectID="_1661859088" r:id="rId38"/>
        </w:object>
      </w:r>
    </w:p>
    <w:p w:rsidR="00FA2A58" w:rsidRDefault="00FA2A58" w14:paraId="1DD7B2B4" w14:textId="77777777">
      <w:pPr>
        <w:spacing w:line="240" w:lineRule="auto"/>
        <w:rPr>
          <w:b/>
          <w:bCs/>
        </w:rPr>
      </w:pPr>
      <w:r>
        <w:rPr>
          <w:b/>
          <w:bCs/>
        </w:rPr>
        <w:br w:type="page"/>
      </w:r>
    </w:p>
    <w:p w:rsidR="00AF4B59" w:rsidP="00175C08" w:rsidRDefault="00AF4B59" w14:paraId="77A7F6A6" w14:textId="77777777">
      <w:pPr>
        <w:ind w:right="-720"/>
        <w:rPr>
          <w:bCs/>
        </w:rPr>
        <w:sectPr w:rsidR="00AF4B59" w:rsidSect="00AF4B59">
          <w:pgSz w:w="15840" w:h="12240" w:orient="landscape"/>
          <w:pgMar w:top="1440" w:right="1440" w:bottom="1440" w:left="1440" w:header="720" w:footer="720" w:gutter="0"/>
          <w:cols w:space="720"/>
          <w:docGrid w:linePitch="360"/>
        </w:sectPr>
      </w:pPr>
    </w:p>
    <w:p w:rsidR="006D42EC" w:rsidP="006D42EC" w:rsidRDefault="00F056C3" w14:paraId="3AA4384A" w14:textId="77777777">
      <w:pPr>
        <w:pStyle w:val="Heading2"/>
      </w:pPr>
      <w:bookmarkStart w:name="_Toc492634215" w:id="18"/>
      <w:r>
        <w:t>A.</w:t>
      </w:r>
      <w:r w:rsidRPr="00A41763" w:rsidR="00A41763">
        <w:t xml:space="preserve">15. </w:t>
      </w:r>
      <w:r w:rsidR="006D42EC">
        <w:t>Reasons for Changes in Burden</w:t>
      </w:r>
      <w:bookmarkEnd w:id="18"/>
    </w:p>
    <w:p w:rsidRPr="00175C08" w:rsidR="004B6C8A" w:rsidP="00A41763" w:rsidRDefault="00175C08" w14:paraId="699EA996" w14:textId="2F7371EE">
      <w:pPr>
        <w:rPr>
          <w:iCs/>
        </w:rPr>
      </w:pPr>
      <w:r>
        <w:rPr>
          <w:iCs/>
        </w:rPr>
        <w:t xml:space="preserve">The </w:t>
      </w:r>
      <w:r w:rsidR="008703CF">
        <w:rPr>
          <w:iCs/>
        </w:rPr>
        <w:t>current sample is about 400 compared to 500 previously</w:t>
      </w:r>
      <w:r>
        <w:rPr>
          <w:iCs/>
        </w:rPr>
        <w:t xml:space="preserve">, and therefore, the total annual burden </w:t>
      </w:r>
      <w:r w:rsidR="008703CF">
        <w:rPr>
          <w:iCs/>
        </w:rPr>
        <w:t>is reduced from 24,000 hours to 19,200 hours.</w:t>
      </w:r>
      <w:r w:rsidR="00672101">
        <w:rPr>
          <w:iCs/>
        </w:rPr>
        <w:t xml:space="preserve">  The sample size </w:t>
      </w:r>
      <w:r w:rsidR="007D6932">
        <w:rPr>
          <w:iCs/>
        </w:rPr>
        <w:t xml:space="preserve">decreased due to consolidation, mergers, and acquisitions of well operators over the past three years.  As the number of well operators declined, EIA was able to meet its 85% cutoff thresholds from operators with high production volumes.  EIA is able to publish production volumes that meet the relative square error targets with a smaller sample size by using a cutoff sample based on the reporting from companies with high production volumes and market share.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00545C0F" w14:paraId="3AA4384E"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8459C2" w:rsidRDefault="008A7E5F" w14:paraId="3AA4384D" w14:textId="77777777">
            <w:pPr>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Table A3. ICR Summary of Burden</w:t>
            </w:r>
          </w:p>
        </w:tc>
      </w:tr>
      <w:tr w:rsidRPr="00812C91" w:rsidR="00545C0F" w:rsidTr="00545C0F" w14:paraId="3AA43854"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8459C2" w:rsidRDefault="008A7E5F" w14:paraId="3AA4384F"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459C2" w:rsidRDefault="008A7E5F" w14:paraId="3AA43850"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459C2" w:rsidRDefault="008A7E5F" w14:paraId="3AA43851"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459C2" w:rsidRDefault="008A7E5F" w14:paraId="3AA43852"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459C2" w:rsidRDefault="008A7E5F" w14:paraId="3AA43853"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00545C0F" w14:paraId="3AA4385A"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8459C2" w:rsidRDefault="00A874E4" w14:paraId="3AA43855"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sidR="008A7E5F">
              <w:rPr>
                <w:rFonts w:ascii="Calibri" w:hAnsi="Calibri" w:eastAsia="Times New Roman" w:cs="Arial"/>
                <w:color w:val="576170"/>
                <w:sz w:val="20"/>
                <w:szCs w:val="20"/>
              </w:rPr>
              <w:t>Number of Responses</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703CF" w:rsidRDefault="008A7E5F" w14:paraId="3AA43856" w14:textId="50E86D6B">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8703CF">
              <w:rPr>
                <w:rFonts w:ascii="Calibri" w:hAnsi="Calibri" w:eastAsia="Times New Roman" w:cs="Arial"/>
                <w:color w:val="576170"/>
                <w:sz w:val="20"/>
                <w:szCs w:val="20"/>
              </w:rPr>
              <w:t>4,8</w:t>
            </w:r>
            <w:r w:rsidR="000078D9">
              <w:rPr>
                <w:rFonts w:ascii="Calibri" w:hAnsi="Calibri" w:eastAsia="Times New Roman" w:cs="Arial"/>
                <w:color w:val="576170"/>
                <w:sz w:val="20"/>
                <w:szCs w:val="20"/>
              </w:rPr>
              <w:t>00</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459C2" w:rsidRDefault="008A7E5F" w14:paraId="3AA43857"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0078D9">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A0166A" w:rsidRDefault="008A7E5F" w14:paraId="3AA43858" w14:textId="5A53B7A8">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A0166A">
              <w:rPr>
                <w:rFonts w:ascii="Calibri" w:hAnsi="Calibri" w:eastAsia="Times New Roman" w:cs="Arial"/>
                <w:color w:val="576170"/>
                <w:sz w:val="20"/>
                <w:szCs w:val="20"/>
              </w:rPr>
              <w:t>-1,200</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459C2" w:rsidRDefault="008A7E5F" w14:paraId="3AA43859"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0078D9">
              <w:rPr>
                <w:rFonts w:ascii="Calibri" w:hAnsi="Calibri" w:eastAsia="Times New Roman" w:cs="Arial"/>
                <w:color w:val="576170"/>
                <w:sz w:val="20"/>
                <w:szCs w:val="20"/>
              </w:rPr>
              <w:t>6,000</w:t>
            </w:r>
          </w:p>
        </w:tc>
      </w:tr>
      <w:tr w:rsidRPr="00812C91" w:rsidR="008A7E5F" w:rsidTr="00545C0F" w14:paraId="3AA43860"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8459C2" w:rsidRDefault="00A874E4" w14:paraId="3AA4385B"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sidR="008A7E5F">
              <w:rPr>
                <w:rFonts w:ascii="Calibri" w:hAnsi="Calibri" w:eastAsia="Times New Roman" w:cs="Arial"/>
                <w:color w:val="576170"/>
                <w:sz w:val="20"/>
                <w:szCs w:val="20"/>
              </w:rPr>
              <w:t>l Time Burden (Hr)</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703CF" w:rsidRDefault="008A7E5F" w14:paraId="3AA4385C" w14:textId="2FE0EA06">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8703CF">
              <w:rPr>
                <w:rFonts w:ascii="Calibri" w:hAnsi="Calibri" w:eastAsia="Times New Roman" w:cs="Arial"/>
                <w:color w:val="576170"/>
                <w:sz w:val="20"/>
                <w:szCs w:val="20"/>
              </w:rPr>
              <w:t>19</w:t>
            </w:r>
            <w:r w:rsidR="000078D9">
              <w:rPr>
                <w:rFonts w:ascii="Calibri" w:hAnsi="Calibri" w:eastAsia="Times New Roman" w:cs="Arial"/>
                <w:color w:val="576170"/>
                <w:sz w:val="20"/>
                <w:szCs w:val="20"/>
              </w:rPr>
              <w:t>,</w:t>
            </w:r>
            <w:r w:rsidR="008703CF">
              <w:rPr>
                <w:rFonts w:ascii="Calibri" w:hAnsi="Calibri" w:eastAsia="Times New Roman" w:cs="Arial"/>
                <w:color w:val="576170"/>
                <w:sz w:val="20"/>
                <w:szCs w:val="20"/>
              </w:rPr>
              <w:t>2</w:t>
            </w:r>
            <w:r w:rsidR="000078D9">
              <w:rPr>
                <w:rFonts w:ascii="Calibri" w:hAnsi="Calibri" w:eastAsia="Times New Roman" w:cs="Arial"/>
                <w:color w:val="576170"/>
                <w:sz w:val="20"/>
                <w:szCs w:val="20"/>
              </w:rPr>
              <w:t>00</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459C2" w:rsidRDefault="008A7E5F" w14:paraId="3AA4385D"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0078D9">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A0166A" w:rsidRDefault="008A7E5F" w14:paraId="3AA4385E" w14:textId="0CA367DF">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A0166A">
              <w:rPr>
                <w:rFonts w:ascii="Calibri" w:hAnsi="Calibri" w:eastAsia="Times New Roman" w:cs="Arial"/>
                <w:color w:val="576170"/>
                <w:sz w:val="20"/>
                <w:szCs w:val="20"/>
              </w:rPr>
              <w:t>-4,800</w:t>
            </w:r>
          </w:p>
        </w:tc>
        <w:tc>
          <w:tcPr>
            <w:tcW w:w="9360" w:type="dxa"/>
            <w:tcBorders>
              <w:top w:val="nil"/>
              <w:left w:val="nil"/>
              <w:bottom w:val="single" w:color="auto" w:sz="4" w:space="0"/>
              <w:right w:val="single" w:color="auto" w:sz="4" w:space="0"/>
            </w:tcBorders>
            <w:shd w:val="clear" w:color="auto" w:fill="auto"/>
            <w:vAlign w:val="center"/>
            <w:hideMark/>
          </w:tcPr>
          <w:p w:rsidRPr="00812C91" w:rsidR="008A7E5F" w:rsidP="008459C2" w:rsidRDefault="008A7E5F" w14:paraId="3AA4385F"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0078D9">
              <w:rPr>
                <w:rFonts w:ascii="Calibri" w:hAnsi="Calibri" w:eastAsia="Times New Roman" w:cs="Arial"/>
                <w:color w:val="576170"/>
                <w:sz w:val="20"/>
                <w:szCs w:val="20"/>
              </w:rPr>
              <w:t>24,000</w:t>
            </w:r>
          </w:p>
        </w:tc>
      </w:tr>
    </w:tbl>
    <w:p w:rsidRPr="00A41763" w:rsidR="00D854D8" w:rsidP="00A41763" w:rsidRDefault="00D854D8" w14:paraId="3AA43861" w14:textId="77777777"/>
    <w:p w:rsidR="00056D6C" w:rsidP="00F056C3" w:rsidRDefault="00F056C3" w14:paraId="1BE128F5" w14:textId="77777777">
      <w:pPr>
        <w:pStyle w:val="Heading2"/>
      </w:pPr>
      <w:bookmarkStart w:name="_Toc492634216" w:id="19"/>
      <w:r>
        <w:t>A.</w:t>
      </w:r>
      <w:r w:rsidRPr="00A41763" w:rsidR="00A41763">
        <w:t xml:space="preserve">16. </w:t>
      </w:r>
      <w:r w:rsidRPr="00F056C3">
        <w:t>Collection, Tabulation, and Publication Plans</w:t>
      </w:r>
      <w:bookmarkStart w:name="_GoBack" w:id="20"/>
      <w:bookmarkEnd w:id="19"/>
      <w:bookmarkEnd w:id="20"/>
    </w:p>
    <w:p w:rsidR="00F056C3" w:rsidP="00382953" w:rsidRDefault="00056D6C" w14:paraId="3AA43862" w14:textId="3032F233">
      <w:r w:rsidRPr="00BF7C95">
        <w:rPr>
          <w:bCs/>
        </w:rPr>
        <w:t xml:space="preserve">Plans to tabulate and publish data collected are described below. </w:t>
      </w:r>
      <w:r w:rsidRPr="00F056C3" w:rsidR="00F056C3">
        <w:t xml:space="preserve"> </w:t>
      </w:r>
    </w:p>
    <w:p w:rsidR="004F09B6" w:rsidP="004F09B6" w:rsidRDefault="004F09B6" w14:paraId="3AA43863" w14:textId="44CA616F">
      <w:r>
        <w:t>1. Data collection due date:</w:t>
      </w:r>
      <w:r w:rsidR="00841844">
        <w:t xml:space="preserve"> </w:t>
      </w:r>
      <w:r>
        <w:t>Forty calendar days after the end of the report month (e.g., March 12 for the reporting month of January).</w:t>
      </w:r>
      <w:r w:rsidR="00841844">
        <w:t xml:space="preserve"> </w:t>
      </w:r>
      <w:r>
        <w:t>The due date for the form has not changed from the previous collection cycles.</w:t>
      </w:r>
    </w:p>
    <w:p w:rsidRPr="00A41763" w:rsidR="004F09B6" w:rsidP="004F09B6" w:rsidRDefault="004F09B6" w14:paraId="3AA43864" w14:textId="203B975D">
      <w:r>
        <w:t>2. Publication schedule:</w:t>
      </w:r>
      <w:r w:rsidR="00841844">
        <w:t xml:space="preserve"> </w:t>
      </w:r>
      <w:r>
        <w:t>During normal survey operations, state-level crude oil and lease condensate, and natural gas production data are to be published at the end of the second month following the reporting month (e.g., January aggregate data are to be reported at the end of March).</w:t>
      </w:r>
      <w:r w:rsidR="00841844">
        <w:t xml:space="preserve"> </w:t>
      </w:r>
      <w:r>
        <w:t>These data will be published on the Monthly Crude Oil and Lease Condensate, and Natural Gas Production web page as well as in other EIA web pages, reports, and publications mentioned above.</w:t>
      </w:r>
    </w:p>
    <w:p w:rsidRPr="00A41763" w:rsidR="00F056C3" w:rsidP="00A41763" w:rsidRDefault="00F056C3" w14:paraId="3AA43865" w14:textId="77777777"/>
    <w:p w:rsidR="00F056C3" w:rsidP="00F056C3" w:rsidRDefault="00F056C3" w14:paraId="3AA43866" w14:textId="77777777">
      <w:pPr>
        <w:pStyle w:val="Heading2"/>
      </w:pPr>
      <w:bookmarkStart w:name="_Toc492634217" w:id="21"/>
      <w:r>
        <w:t>A.</w:t>
      </w:r>
      <w:r w:rsidRPr="00A41763" w:rsidR="00A41763">
        <w:t xml:space="preserve">17. </w:t>
      </w:r>
      <w:r w:rsidRPr="00F056C3">
        <w:t>OMB Number and Expiration Date</w:t>
      </w:r>
      <w:bookmarkEnd w:id="21"/>
      <w:r w:rsidRPr="00F056C3">
        <w:t xml:space="preserve"> </w:t>
      </w:r>
    </w:p>
    <w:p w:rsidRPr="00726618" w:rsidR="004F09B6" w:rsidP="004F09B6" w:rsidRDefault="004F09B6" w14:paraId="3AA43867" w14:textId="77777777">
      <w:pPr>
        <w:rPr>
          <w:bCs/>
        </w:rPr>
      </w:pPr>
      <w:r w:rsidRPr="00726618">
        <w:rPr>
          <w:bCs/>
        </w:rPr>
        <w:t xml:space="preserve">The OMB approval expiration date and OMB number will be displayed on </w:t>
      </w:r>
      <w:r>
        <w:rPr>
          <w:bCs/>
        </w:rPr>
        <w:t xml:space="preserve">Form </w:t>
      </w:r>
      <w:r w:rsidRPr="00726618">
        <w:rPr>
          <w:bCs/>
        </w:rPr>
        <w:t xml:space="preserve">EIA-914 </w:t>
      </w:r>
      <w:r>
        <w:rPr>
          <w:bCs/>
        </w:rPr>
        <w:t>and its instructions</w:t>
      </w:r>
      <w:r w:rsidRPr="00726618">
        <w:rPr>
          <w:bCs/>
        </w:rPr>
        <w:t>.</w:t>
      </w:r>
    </w:p>
    <w:p w:rsidR="00F056C3" w:rsidP="00A41763" w:rsidRDefault="00F056C3" w14:paraId="3AA43868" w14:textId="77777777">
      <w:pPr>
        <w:rPr>
          <w:b/>
          <w:bCs/>
        </w:rPr>
      </w:pPr>
    </w:p>
    <w:p w:rsidR="00F056C3" w:rsidP="00F056C3" w:rsidRDefault="00F056C3" w14:paraId="3AA43869" w14:textId="77777777">
      <w:pPr>
        <w:pStyle w:val="Heading2"/>
      </w:pPr>
      <w:bookmarkStart w:name="_Toc492634218" w:id="22"/>
      <w:r>
        <w:t>A.</w:t>
      </w:r>
      <w:r w:rsidRPr="00A41763" w:rsidR="00A41763">
        <w:t xml:space="preserve">18. </w:t>
      </w:r>
      <w:r w:rsidRPr="00F056C3">
        <w:t>Certification Statement</w:t>
      </w:r>
      <w:bookmarkEnd w:id="22"/>
      <w:r w:rsidRPr="00F056C3">
        <w:t xml:space="preserve"> </w:t>
      </w:r>
    </w:p>
    <w:p w:rsidR="00056D6C" w:rsidP="00056D6C" w:rsidRDefault="00056D6C" w14:paraId="5CE0443F" w14:textId="77777777">
      <w:r w:rsidRPr="00040D64">
        <w:t xml:space="preserve">This submission meets all certification requirements of the </w:t>
      </w:r>
      <w:r w:rsidRPr="00D371B3">
        <w:t>"Certification for Paperwork Reduction Act Submissions," of OMB Form 83-I.</w:t>
      </w:r>
    </w:p>
    <w:p w:rsidRPr="004F09B6" w:rsidR="004F09B6" w:rsidP="004F09B6" w:rsidRDefault="004F09B6" w14:paraId="3AA4386B" w14:textId="77777777"/>
    <w:sectPr w:rsidRPr="004F09B6" w:rsidR="004F09B6" w:rsidSect="00AF4B59">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73256C4D" w16cid:durableId="3EA7BC10"/>
  <w16cid:commentId w16cid:paraId="32F2A3FD" w16cid:durableId="28073353"/>
  <w16cid:commentId w16cid:paraId="6BDB7C38" w16cid:durableId="53B19736"/>
  <w16cid:commentId w16cid:paraId="01DE5C0E" w16cid:durableId="3FDC38DF"/>
  <w16cid:commentId w16cid:paraId="4A0862DB" w16cid:durableId="41F4F787"/>
  <w16cid:commentId w16cid:paraId="73517597" w16cid:durableId="54F0A217"/>
  <w16cid:commentId w16cid:paraId="2D9D5B98" w16cid:durableId="1962799B"/>
  <w16cid:commentId w16cid:paraId="75D0DD32" w16cid:durableId="4AA49474"/>
  <w16cid:commentId w16cid:paraId="290048BD" w16cid:durableId="6FD26EA9"/>
  <w16cid:commentId w16cid:paraId="7B687A94" w16cid:durableId="37F0CF46"/>
  <w16cid:commentId w16cid:paraId="2E2804FF" w16cid:durableId="503CB20D"/>
  <w16cid:commentId w16cid:paraId="004106D5" w16cid:durableId="639DD9C4"/>
  <w16cid:commentId w16cid:paraId="01BE1A40" w16cid:durableId="2F8DCE5E"/>
  <w16cid:commentId w16cid:paraId="3303C34C" w16cid:durableId="05DA434D"/>
  <w16cid:commentId w16cid:paraId="300F9863" w16cid:durableId="114EC418"/>
  <w16cid:commentId w16cid:paraId="62BB4D32" w16cid:durableId="54724C08"/>
  <w16cid:commentId w16cid:paraId="7D037587" w16cid:durableId="4A35F0ED"/>
  <w16cid:commentId w16cid:paraId="6A9F23EE" w16cid:durableId="5DF2773B"/>
  <w16cid:commentId w16cid:paraId="04D1A3C4" w16cid:durableId="3715C673"/>
  <w16cid:commentId w16cid:paraId="3346C800" w16cid:durableId="3BC6F0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5F92C" w14:textId="77777777" w:rsidR="001F453D" w:rsidRDefault="001F453D" w:rsidP="00536CE1">
      <w:pPr>
        <w:spacing w:after="0" w:line="240" w:lineRule="auto"/>
      </w:pPr>
      <w:r>
        <w:separator/>
      </w:r>
    </w:p>
  </w:endnote>
  <w:endnote w:type="continuationSeparator" w:id="0">
    <w:p w14:paraId="0C66B2E0" w14:textId="77777777" w:rsidR="001F453D" w:rsidRDefault="001F453D" w:rsidP="00536CE1">
      <w:pPr>
        <w:spacing w:after="0" w:line="240" w:lineRule="auto"/>
      </w:pPr>
      <w:r>
        <w:continuationSeparator/>
      </w:r>
    </w:p>
  </w:endnote>
  <w:endnote w:type="continuationNotice" w:id="1">
    <w:p w14:paraId="37A3D5E6" w14:textId="77777777" w:rsidR="001F453D" w:rsidRDefault="001F4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43886" w14:textId="2789B6DD" w:rsidR="001F453D" w:rsidRPr="001F3A8F" w:rsidRDefault="001F453D" w:rsidP="00616E46">
    <w:pPr>
      <w:pStyle w:val="Footer"/>
      <w:tabs>
        <w:tab w:val="clear" w:pos="9720"/>
        <w:tab w:val="left" w:pos="8655"/>
      </w:tabs>
    </w:pPr>
    <w:r w:rsidRPr="00CB180D">
      <w:t>U.S. Energy Information Administration</w:t>
    </w:r>
    <w:r>
      <w:t xml:space="preserve"> </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sidR="00A0166A">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43887" w14:textId="7B71FAF0" w:rsidR="001F453D" w:rsidRDefault="00A65AA6" w:rsidP="00760677">
    <w:pPr>
      <w:pStyle w:val="Footer"/>
    </w:pPr>
    <w:sdt>
      <w:sdtPr>
        <w:id w:val="272451101"/>
        <w:docPartObj>
          <w:docPartGallery w:val="Page Numbers (Bottom of Page)"/>
          <w:docPartUnique/>
        </w:docPartObj>
      </w:sdtPr>
      <w:sdtEndPr/>
      <w:sdtContent>
        <w:r w:rsidR="001F453D" w:rsidRPr="00CB180D">
          <w:t>U.S. Energy Information Administration</w:t>
        </w:r>
        <w:r w:rsidR="001F453D">
          <w:t xml:space="preserve"> </w:t>
        </w:r>
        <w:r w:rsidR="001F453D" w:rsidRPr="00CB180D">
          <w:t xml:space="preserve"> |</w:t>
        </w:r>
        <w:r w:rsidR="001F453D">
          <w:t xml:space="preserve"> </w:t>
        </w:r>
        <w:r w:rsidR="001F453D"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F453D">
              <w:t>Improving the Quality and Scope of EIA Data</w:t>
            </w:r>
          </w:sdtContent>
        </w:sdt>
        <w:r w:rsidR="001F453D" w:rsidRPr="00CB180D">
          <w:tab/>
        </w:r>
      </w:sdtContent>
    </w:sdt>
    <w:r w:rsidR="001F453D" w:rsidRPr="00760677">
      <w:t xml:space="preserve"> </w:t>
    </w:r>
    <w:r w:rsidR="001F453D">
      <w:fldChar w:fldCharType="begin"/>
    </w:r>
    <w:r w:rsidR="001F453D">
      <w:instrText xml:space="preserve"> PAGE   \* MERGEFORMAT </w:instrText>
    </w:r>
    <w:r w:rsidR="001F453D">
      <w:fldChar w:fldCharType="separate"/>
    </w:r>
    <w:r w:rsidR="001F453D">
      <w:rPr>
        <w:noProof/>
      </w:rPr>
      <w:t>i</w:t>
    </w:r>
    <w:r w:rsidR="001F453D">
      <w:rPr>
        <w:noProof/>
      </w:rPr>
      <w:fldChar w:fldCharType="end"/>
    </w:r>
  </w:p>
  <w:p w14:paraId="3AA43888" w14:textId="77777777" w:rsidR="001F453D" w:rsidRDefault="001F45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43889" w14:textId="063087F1" w:rsidR="001F453D" w:rsidRDefault="00A65AA6" w:rsidP="00760677">
    <w:pPr>
      <w:pStyle w:val="Footer"/>
    </w:pPr>
    <w:sdt>
      <w:sdtPr>
        <w:id w:val="-22715443"/>
        <w:docPartObj>
          <w:docPartGallery w:val="Page Numbers (Bottom of Page)"/>
          <w:docPartUnique/>
        </w:docPartObj>
      </w:sdtPr>
      <w:sdtEndPr/>
      <w:sdtContent>
        <w:r w:rsidR="001F453D" w:rsidRPr="00CB180D">
          <w:t>U.S. Energy Information Administration</w:t>
        </w:r>
        <w:r w:rsidR="001F453D">
          <w:t xml:space="preserve"> </w:t>
        </w:r>
        <w:r w:rsidR="001F453D" w:rsidRPr="00CB180D">
          <w:t xml:space="preserve"> |</w:t>
        </w:r>
        <w:r w:rsidR="001F453D">
          <w:t xml:space="preserve"> </w:t>
        </w:r>
        <w:r w:rsidR="001F453D"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F453D">
              <w:t>Improving the Quality and Scope of EIA Data</w:t>
            </w:r>
          </w:sdtContent>
        </w:sdt>
        <w:r w:rsidR="001F453D" w:rsidRPr="00CB180D">
          <w:tab/>
        </w:r>
      </w:sdtContent>
    </w:sdt>
    <w:r w:rsidR="001F453D" w:rsidRPr="00760677">
      <w:t xml:space="preserve"> </w:t>
    </w:r>
    <w:r w:rsidR="001F453D">
      <w:fldChar w:fldCharType="begin"/>
    </w:r>
    <w:r w:rsidR="001F453D">
      <w:instrText xml:space="preserve"> PAGE   \* MERGEFORMAT </w:instrText>
    </w:r>
    <w:r w:rsidR="001F453D">
      <w:fldChar w:fldCharType="separate"/>
    </w:r>
    <w:r w:rsidR="001F453D">
      <w:rPr>
        <w:noProof/>
      </w:rPr>
      <w:t>ii</w:t>
    </w:r>
    <w:r w:rsidR="001F453D">
      <w:rPr>
        <w:noProof/>
      </w:rPr>
      <w:fldChar w:fldCharType="end"/>
    </w:r>
  </w:p>
  <w:p w14:paraId="3AA4388A" w14:textId="77777777" w:rsidR="001F453D" w:rsidRDefault="001F453D"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4388B" w14:textId="51324808" w:rsidR="001F453D" w:rsidRPr="001F3A8F" w:rsidRDefault="001F453D" w:rsidP="00616E46">
    <w:pPr>
      <w:pStyle w:val="Footer"/>
      <w:tabs>
        <w:tab w:val="clear" w:pos="9720"/>
        <w:tab w:val="left" w:pos="8655"/>
      </w:tabs>
    </w:pPr>
    <w:r w:rsidRPr="00CB180D">
      <w:t>U.S. Energy Information Administration</w:t>
    </w:r>
    <w:r>
      <w:t xml:space="preserve"> </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rsidR="00FA2A58">
      <w:t>1905-0205</w:t>
    </w:r>
    <w:r>
      <w:tab/>
      <w:t xml:space="preserve"> </w:t>
    </w:r>
    <w:r>
      <w:fldChar w:fldCharType="begin"/>
    </w:r>
    <w:r>
      <w:instrText xml:space="preserve"> PAGE   \* MERGEFORMAT </w:instrText>
    </w:r>
    <w:r>
      <w:fldChar w:fldCharType="separate"/>
    </w:r>
    <w:r w:rsidR="00A65AA6">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9D4DD" w14:textId="77777777" w:rsidR="001F453D" w:rsidRDefault="001F453D" w:rsidP="00536CE1">
      <w:pPr>
        <w:spacing w:after="0" w:line="240" w:lineRule="auto"/>
      </w:pPr>
      <w:r>
        <w:separator/>
      </w:r>
    </w:p>
  </w:footnote>
  <w:footnote w:type="continuationSeparator" w:id="0">
    <w:p w14:paraId="4032659B" w14:textId="77777777" w:rsidR="001F453D" w:rsidRDefault="001F453D" w:rsidP="00536CE1">
      <w:pPr>
        <w:spacing w:after="0" w:line="240" w:lineRule="auto"/>
      </w:pPr>
      <w:r>
        <w:continuationSeparator/>
      </w:r>
    </w:p>
  </w:footnote>
  <w:footnote w:type="continuationNotice" w:id="1">
    <w:p w14:paraId="489B9C3C" w14:textId="77777777" w:rsidR="001F453D" w:rsidRDefault="001F45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43885" w14:textId="77777777" w:rsidR="001F453D" w:rsidRDefault="001F453D" w:rsidP="0072545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B223D81"/>
    <w:multiLevelType w:val="hybridMultilevel"/>
    <w:tmpl w:val="5CC66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F4B09"/>
    <w:multiLevelType w:val="hybridMultilevel"/>
    <w:tmpl w:val="D7AA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3631E"/>
    <w:multiLevelType w:val="hybridMultilevel"/>
    <w:tmpl w:val="76BC9F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34D3F"/>
    <w:multiLevelType w:val="multilevel"/>
    <w:tmpl w:val="2D44103C"/>
    <w:styleLink w:val="Legal"/>
    <w:lvl w:ilvl="0">
      <w:start w:val="1"/>
      <w:numFmt w:val="lowerLetter"/>
      <w:lvlText w:val="%1."/>
      <w:lvlJc w:val="left"/>
      <w:pPr>
        <w:ind w:left="1080" w:hanging="720"/>
      </w:pPr>
      <w:rPr>
        <w:rFonts w:hint="default"/>
      </w:r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6B24E0"/>
    <w:multiLevelType w:val="multilevel"/>
    <w:tmpl w:val="2D44103C"/>
    <w:numStyleLink w:val="Legal"/>
  </w:abstractNum>
  <w:abstractNum w:abstractNumId="11" w15:restartNumberingAfterBreak="0">
    <w:nsid w:val="649F6FA0"/>
    <w:multiLevelType w:val="hybridMultilevel"/>
    <w:tmpl w:val="624425E4"/>
    <w:lvl w:ilvl="0" w:tplc="0409000F">
      <w:start w:val="1"/>
      <w:numFmt w:val="decimal"/>
      <w:lvlText w:val="%1."/>
      <w:lvlJc w:val="left"/>
      <w:pPr>
        <w:ind w:left="360" w:hanging="360"/>
      </w:pPr>
    </w:lvl>
    <w:lvl w:ilvl="1" w:tplc="E0386CDE">
      <w:start w:val="1"/>
      <w:numFmt w:val="lowerLetter"/>
      <w:pStyle w:val="ListParagraph"/>
      <w:lvlText w:val="%2."/>
      <w:lvlJc w:val="left"/>
      <w:pPr>
        <w:ind w:left="1080" w:hanging="360"/>
      </w:pPr>
      <w:rPr>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3D009B"/>
    <w:multiLevelType w:val="hybridMultilevel"/>
    <w:tmpl w:val="B2C4BCD6"/>
    <w:lvl w:ilvl="0" w:tplc="5948B7AA">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7305F5"/>
    <w:multiLevelType w:val="hybridMultilevel"/>
    <w:tmpl w:val="1F8A6AA2"/>
    <w:lvl w:ilvl="0" w:tplc="0409000F">
      <w:start w:val="1"/>
      <w:numFmt w:val="decimal"/>
      <w:lvlText w:val="%1."/>
      <w:lvlJc w:val="left"/>
      <w:pPr>
        <w:ind w:left="360" w:hanging="360"/>
      </w:pPr>
    </w:lvl>
    <w:lvl w:ilvl="1" w:tplc="AE600F12">
      <w:start w:val="1"/>
      <w:numFmt w:val="lowerLetter"/>
      <w:lvlText w:val="%2."/>
      <w:lvlJc w:val="left"/>
      <w:pPr>
        <w:ind w:left="1080" w:hanging="360"/>
      </w:pPr>
      <w:rPr>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555F39"/>
    <w:multiLevelType w:val="hybridMultilevel"/>
    <w:tmpl w:val="D7F0D358"/>
    <w:lvl w:ilvl="0" w:tplc="561E4444">
      <w:start w:val="1"/>
      <w:numFmt w:val="lowerLetter"/>
      <w:lvlText w:val="%1."/>
      <w:lvlJc w:val="left"/>
      <w:pPr>
        <w:ind w:left="720" w:hanging="360"/>
      </w:pPr>
    </w:lvl>
    <w:lvl w:ilvl="1" w:tplc="5948B7A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6" w15:restartNumberingAfterBreak="0">
    <w:nsid w:val="7A0449B3"/>
    <w:multiLevelType w:val="hybridMultilevel"/>
    <w:tmpl w:val="18107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15"/>
  </w:num>
  <w:num w:numId="8">
    <w:abstractNumId w:val="6"/>
  </w:num>
  <w:num w:numId="9">
    <w:abstractNumId w:val="14"/>
  </w:num>
  <w:num w:numId="10">
    <w:abstractNumId w:val="11"/>
  </w:num>
  <w:num w:numId="11">
    <w:abstractNumId w:val="12"/>
  </w:num>
  <w:num w:numId="12">
    <w:abstractNumId w:val="7"/>
  </w:num>
  <w:num w:numId="13">
    <w:abstractNumId w:val="9"/>
  </w:num>
  <w:num w:numId="14">
    <w:abstractNumId w:val="10"/>
  </w:num>
  <w:num w:numId="15">
    <w:abstractNumId w:val="8"/>
  </w:num>
  <w:num w:numId="16">
    <w:abstractNumId w:val="16"/>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18785"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078D9"/>
    <w:rsid w:val="00011B3F"/>
    <w:rsid w:val="00013373"/>
    <w:rsid w:val="000142E5"/>
    <w:rsid w:val="00015DA7"/>
    <w:rsid w:val="000248CE"/>
    <w:rsid w:val="00024E1E"/>
    <w:rsid w:val="00030EDD"/>
    <w:rsid w:val="00034A4B"/>
    <w:rsid w:val="00037722"/>
    <w:rsid w:val="00041909"/>
    <w:rsid w:val="0004568D"/>
    <w:rsid w:val="00046593"/>
    <w:rsid w:val="00047C08"/>
    <w:rsid w:val="0005401F"/>
    <w:rsid w:val="00055769"/>
    <w:rsid w:val="00056D6C"/>
    <w:rsid w:val="00056EC3"/>
    <w:rsid w:val="00062CFE"/>
    <w:rsid w:val="0007129A"/>
    <w:rsid w:val="000831C4"/>
    <w:rsid w:val="000844CA"/>
    <w:rsid w:val="000A2372"/>
    <w:rsid w:val="000A55C3"/>
    <w:rsid w:val="000B3FBE"/>
    <w:rsid w:val="000C0DB5"/>
    <w:rsid w:val="000C28E1"/>
    <w:rsid w:val="000C3A42"/>
    <w:rsid w:val="000C5311"/>
    <w:rsid w:val="000D7E95"/>
    <w:rsid w:val="000E0634"/>
    <w:rsid w:val="000E0DE3"/>
    <w:rsid w:val="000E5933"/>
    <w:rsid w:val="000E7D6F"/>
    <w:rsid w:val="000F040A"/>
    <w:rsid w:val="000F0B05"/>
    <w:rsid w:val="000F56C6"/>
    <w:rsid w:val="001034E8"/>
    <w:rsid w:val="00112A69"/>
    <w:rsid w:val="0011541D"/>
    <w:rsid w:val="00122183"/>
    <w:rsid w:val="001303A2"/>
    <w:rsid w:val="00132F4A"/>
    <w:rsid w:val="0015191F"/>
    <w:rsid w:val="00154192"/>
    <w:rsid w:val="00160BC8"/>
    <w:rsid w:val="0016358D"/>
    <w:rsid w:val="00165C80"/>
    <w:rsid w:val="00167425"/>
    <w:rsid w:val="00175B03"/>
    <w:rsid w:val="00175C08"/>
    <w:rsid w:val="001771EE"/>
    <w:rsid w:val="001807A3"/>
    <w:rsid w:val="001947D5"/>
    <w:rsid w:val="001A685D"/>
    <w:rsid w:val="001A6E1E"/>
    <w:rsid w:val="001B0E69"/>
    <w:rsid w:val="001B3649"/>
    <w:rsid w:val="001B6585"/>
    <w:rsid w:val="001C1654"/>
    <w:rsid w:val="001C4C23"/>
    <w:rsid w:val="001C6EED"/>
    <w:rsid w:val="001D03A8"/>
    <w:rsid w:val="001F3A8F"/>
    <w:rsid w:val="001F453D"/>
    <w:rsid w:val="001F7089"/>
    <w:rsid w:val="002008B4"/>
    <w:rsid w:val="00201F24"/>
    <w:rsid w:val="0020218F"/>
    <w:rsid w:val="0020369C"/>
    <w:rsid w:val="00210600"/>
    <w:rsid w:val="002127CE"/>
    <w:rsid w:val="00215842"/>
    <w:rsid w:val="002177D8"/>
    <w:rsid w:val="002207DF"/>
    <w:rsid w:val="00221AC2"/>
    <w:rsid w:val="00227E4B"/>
    <w:rsid w:val="0023015A"/>
    <w:rsid w:val="0023708A"/>
    <w:rsid w:val="00243C9B"/>
    <w:rsid w:val="0025022D"/>
    <w:rsid w:val="002511CF"/>
    <w:rsid w:val="002530BB"/>
    <w:rsid w:val="00254BD9"/>
    <w:rsid w:val="002556F3"/>
    <w:rsid w:val="002600D2"/>
    <w:rsid w:val="00260EDF"/>
    <w:rsid w:val="00264148"/>
    <w:rsid w:val="002722D9"/>
    <w:rsid w:val="00274179"/>
    <w:rsid w:val="00282F04"/>
    <w:rsid w:val="00287D79"/>
    <w:rsid w:val="00290F2E"/>
    <w:rsid w:val="002A5A7B"/>
    <w:rsid w:val="002B0FD2"/>
    <w:rsid w:val="002B6107"/>
    <w:rsid w:val="002B7036"/>
    <w:rsid w:val="002C378C"/>
    <w:rsid w:val="002C5A44"/>
    <w:rsid w:val="002C5F54"/>
    <w:rsid w:val="002C6042"/>
    <w:rsid w:val="002E3FD5"/>
    <w:rsid w:val="002E7A38"/>
    <w:rsid w:val="002F6D02"/>
    <w:rsid w:val="002F7D95"/>
    <w:rsid w:val="00301F2F"/>
    <w:rsid w:val="00306516"/>
    <w:rsid w:val="00345A60"/>
    <w:rsid w:val="003469CB"/>
    <w:rsid w:val="00350C8B"/>
    <w:rsid w:val="00351313"/>
    <w:rsid w:val="00363331"/>
    <w:rsid w:val="00371E14"/>
    <w:rsid w:val="00373208"/>
    <w:rsid w:val="003746C8"/>
    <w:rsid w:val="003775A1"/>
    <w:rsid w:val="00382953"/>
    <w:rsid w:val="00383DB3"/>
    <w:rsid w:val="003854B2"/>
    <w:rsid w:val="00385AE6"/>
    <w:rsid w:val="00387C8D"/>
    <w:rsid w:val="00392DD0"/>
    <w:rsid w:val="00396BCB"/>
    <w:rsid w:val="00397825"/>
    <w:rsid w:val="003A1073"/>
    <w:rsid w:val="003A10F3"/>
    <w:rsid w:val="003A3906"/>
    <w:rsid w:val="003B03A4"/>
    <w:rsid w:val="003B46C1"/>
    <w:rsid w:val="003C03EA"/>
    <w:rsid w:val="003C690C"/>
    <w:rsid w:val="003D4B63"/>
    <w:rsid w:val="003E3BB3"/>
    <w:rsid w:val="003E40FA"/>
    <w:rsid w:val="003F24ED"/>
    <w:rsid w:val="003F529E"/>
    <w:rsid w:val="004021E8"/>
    <w:rsid w:val="004046ED"/>
    <w:rsid w:val="00407BFE"/>
    <w:rsid w:val="00407CCE"/>
    <w:rsid w:val="00415092"/>
    <w:rsid w:val="004177EE"/>
    <w:rsid w:val="00426481"/>
    <w:rsid w:val="004328AA"/>
    <w:rsid w:val="00432966"/>
    <w:rsid w:val="00442E40"/>
    <w:rsid w:val="00452F8A"/>
    <w:rsid w:val="00453488"/>
    <w:rsid w:val="0045608E"/>
    <w:rsid w:val="0045662F"/>
    <w:rsid w:val="00465CF6"/>
    <w:rsid w:val="00466959"/>
    <w:rsid w:val="00474FFF"/>
    <w:rsid w:val="00475C22"/>
    <w:rsid w:val="0047663F"/>
    <w:rsid w:val="0047784B"/>
    <w:rsid w:val="004946F0"/>
    <w:rsid w:val="00497C2A"/>
    <w:rsid w:val="004A0DA6"/>
    <w:rsid w:val="004A3F0E"/>
    <w:rsid w:val="004A3F44"/>
    <w:rsid w:val="004A5621"/>
    <w:rsid w:val="004A616A"/>
    <w:rsid w:val="004B1075"/>
    <w:rsid w:val="004B1D46"/>
    <w:rsid w:val="004B695E"/>
    <w:rsid w:val="004B6C8A"/>
    <w:rsid w:val="004C277B"/>
    <w:rsid w:val="004D05FB"/>
    <w:rsid w:val="004D129F"/>
    <w:rsid w:val="004D29C7"/>
    <w:rsid w:val="004D5764"/>
    <w:rsid w:val="004E1745"/>
    <w:rsid w:val="004F09B6"/>
    <w:rsid w:val="004F36EA"/>
    <w:rsid w:val="004F5B9B"/>
    <w:rsid w:val="004F69A6"/>
    <w:rsid w:val="00504119"/>
    <w:rsid w:val="005065CF"/>
    <w:rsid w:val="00506B95"/>
    <w:rsid w:val="00506BB4"/>
    <w:rsid w:val="0050705F"/>
    <w:rsid w:val="005170D3"/>
    <w:rsid w:val="0052493A"/>
    <w:rsid w:val="0052783E"/>
    <w:rsid w:val="005305F4"/>
    <w:rsid w:val="00535CAF"/>
    <w:rsid w:val="00536054"/>
    <w:rsid w:val="0053654B"/>
    <w:rsid w:val="00536CE1"/>
    <w:rsid w:val="0054180D"/>
    <w:rsid w:val="00542B57"/>
    <w:rsid w:val="00545C0F"/>
    <w:rsid w:val="00547B53"/>
    <w:rsid w:val="005515CD"/>
    <w:rsid w:val="00571D8F"/>
    <w:rsid w:val="00571FB6"/>
    <w:rsid w:val="0057367D"/>
    <w:rsid w:val="005755EA"/>
    <w:rsid w:val="005768E4"/>
    <w:rsid w:val="00585BE3"/>
    <w:rsid w:val="005911A7"/>
    <w:rsid w:val="0059212D"/>
    <w:rsid w:val="005B2B58"/>
    <w:rsid w:val="005B567C"/>
    <w:rsid w:val="005C00FA"/>
    <w:rsid w:val="005C1026"/>
    <w:rsid w:val="005C239A"/>
    <w:rsid w:val="005C2D89"/>
    <w:rsid w:val="005C485B"/>
    <w:rsid w:val="005D39D7"/>
    <w:rsid w:val="005D5956"/>
    <w:rsid w:val="005D6F63"/>
    <w:rsid w:val="005F1F38"/>
    <w:rsid w:val="005F4848"/>
    <w:rsid w:val="005F648C"/>
    <w:rsid w:val="006019CA"/>
    <w:rsid w:val="00602128"/>
    <w:rsid w:val="006037BF"/>
    <w:rsid w:val="00603D21"/>
    <w:rsid w:val="00612A06"/>
    <w:rsid w:val="00616E46"/>
    <w:rsid w:val="0062008C"/>
    <w:rsid w:val="00620797"/>
    <w:rsid w:val="00626494"/>
    <w:rsid w:val="00630972"/>
    <w:rsid w:val="006323E9"/>
    <w:rsid w:val="006325D9"/>
    <w:rsid w:val="006402D2"/>
    <w:rsid w:val="00641DE2"/>
    <w:rsid w:val="00643384"/>
    <w:rsid w:val="00645FA4"/>
    <w:rsid w:val="0065406F"/>
    <w:rsid w:val="006551C6"/>
    <w:rsid w:val="00663EC4"/>
    <w:rsid w:val="006667CF"/>
    <w:rsid w:val="00672101"/>
    <w:rsid w:val="00677C5F"/>
    <w:rsid w:val="006A0BC7"/>
    <w:rsid w:val="006A2EB1"/>
    <w:rsid w:val="006A3657"/>
    <w:rsid w:val="006C0062"/>
    <w:rsid w:val="006C097E"/>
    <w:rsid w:val="006C2DC3"/>
    <w:rsid w:val="006C2FF4"/>
    <w:rsid w:val="006D0439"/>
    <w:rsid w:val="006D42EC"/>
    <w:rsid w:val="006E00BF"/>
    <w:rsid w:val="006E16A3"/>
    <w:rsid w:val="006F0DF0"/>
    <w:rsid w:val="006F17DB"/>
    <w:rsid w:val="006F18FE"/>
    <w:rsid w:val="00704B7D"/>
    <w:rsid w:val="00711414"/>
    <w:rsid w:val="00725453"/>
    <w:rsid w:val="00730DA0"/>
    <w:rsid w:val="00737591"/>
    <w:rsid w:val="00741AB0"/>
    <w:rsid w:val="007438F2"/>
    <w:rsid w:val="00755C3D"/>
    <w:rsid w:val="007576EF"/>
    <w:rsid w:val="00760677"/>
    <w:rsid w:val="0076192B"/>
    <w:rsid w:val="00761C12"/>
    <w:rsid w:val="007658BA"/>
    <w:rsid w:val="0077477A"/>
    <w:rsid w:val="00776CF4"/>
    <w:rsid w:val="007775C5"/>
    <w:rsid w:val="00777E63"/>
    <w:rsid w:val="00784F89"/>
    <w:rsid w:val="00786336"/>
    <w:rsid w:val="00790530"/>
    <w:rsid w:val="00793242"/>
    <w:rsid w:val="007951D6"/>
    <w:rsid w:val="007957F8"/>
    <w:rsid w:val="007A0E7F"/>
    <w:rsid w:val="007A4378"/>
    <w:rsid w:val="007B7743"/>
    <w:rsid w:val="007C5CE9"/>
    <w:rsid w:val="007D226F"/>
    <w:rsid w:val="007D39CC"/>
    <w:rsid w:val="007D5630"/>
    <w:rsid w:val="007D6932"/>
    <w:rsid w:val="007D6AAF"/>
    <w:rsid w:val="007D6DD2"/>
    <w:rsid w:val="007E0E86"/>
    <w:rsid w:val="007E29F8"/>
    <w:rsid w:val="007E5A11"/>
    <w:rsid w:val="007E73E6"/>
    <w:rsid w:val="007F1954"/>
    <w:rsid w:val="007F21D7"/>
    <w:rsid w:val="008057F8"/>
    <w:rsid w:val="00811060"/>
    <w:rsid w:val="00811910"/>
    <w:rsid w:val="00812C91"/>
    <w:rsid w:val="00813C6C"/>
    <w:rsid w:val="008213F9"/>
    <w:rsid w:val="008307E1"/>
    <w:rsid w:val="00835512"/>
    <w:rsid w:val="00836865"/>
    <w:rsid w:val="00836D62"/>
    <w:rsid w:val="00841844"/>
    <w:rsid w:val="00844524"/>
    <w:rsid w:val="0084564F"/>
    <w:rsid w:val="008456FC"/>
    <w:rsid w:val="008459C2"/>
    <w:rsid w:val="008520E4"/>
    <w:rsid w:val="00867160"/>
    <w:rsid w:val="008703CF"/>
    <w:rsid w:val="0087205B"/>
    <w:rsid w:val="00874FB8"/>
    <w:rsid w:val="008849A8"/>
    <w:rsid w:val="00887EBC"/>
    <w:rsid w:val="00895669"/>
    <w:rsid w:val="00897946"/>
    <w:rsid w:val="008A3276"/>
    <w:rsid w:val="008A3447"/>
    <w:rsid w:val="008A6177"/>
    <w:rsid w:val="008A7E5F"/>
    <w:rsid w:val="008B38AC"/>
    <w:rsid w:val="008C25BE"/>
    <w:rsid w:val="008C734C"/>
    <w:rsid w:val="008D1058"/>
    <w:rsid w:val="008E36FE"/>
    <w:rsid w:val="008E4BF2"/>
    <w:rsid w:val="008E5A15"/>
    <w:rsid w:val="008F4CBD"/>
    <w:rsid w:val="008F50F3"/>
    <w:rsid w:val="009017AD"/>
    <w:rsid w:val="00901BED"/>
    <w:rsid w:val="0090543F"/>
    <w:rsid w:val="00905735"/>
    <w:rsid w:val="009131B9"/>
    <w:rsid w:val="0091409C"/>
    <w:rsid w:val="00933D5D"/>
    <w:rsid w:val="00935805"/>
    <w:rsid w:val="009368F3"/>
    <w:rsid w:val="00945287"/>
    <w:rsid w:val="0094528D"/>
    <w:rsid w:val="00947C42"/>
    <w:rsid w:val="00950489"/>
    <w:rsid w:val="00954BFF"/>
    <w:rsid w:val="00957DE9"/>
    <w:rsid w:val="009616F7"/>
    <w:rsid w:val="009627B1"/>
    <w:rsid w:val="00965A44"/>
    <w:rsid w:val="00967D7C"/>
    <w:rsid w:val="0097548D"/>
    <w:rsid w:val="009757AD"/>
    <w:rsid w:val="009764BC"/>
    <w:rsid w:val="00980B6A"/>
    <w:rsid w:val="009818F9"/>
    <w:rsid w:val="0098618F"/>
    <w:rsid w:val="00987C32"/>
    <w:rsid w:val="00991646"/>
    <w:rsid w:val="00992384"/>
    <w:rsid w:val="0099448B"/>
    <w:rsid w:val="00995D28"/>
    <w:rsid w:val="00997347"/>
    <w:rsid w:val="009A31C1"/>
    <w:rsid w:val="009B19CE"/>
    <w:rsid w:val="009B572C"/>
    <w:rsid w:val="009C1F4C"/>
    <w:rsid w:val="009C202F"/>
    <w:rsid w:val="009C77F7"/>
    <w:rsid w:val="009D1184"/>
    <w:rsid w:val="009D6107"/>
    <w:rsid w:val="009D6377"/>
    <w:rsid w:val="009E20ED"/>
    <w:rsid w:val="009E48F1"/>
    <w:rsid w:val="009E5ABC"/>
    <w:rsid w:val="009E5B9C"/>
    <w:rsid w:val="009E64B3"/>
    <w:rsid w:val="009F4ED1"/>
    <w:rsid w:val="009F7337"/>
    <w:rsid w:val="00A00D71"/>
    <w:rsid w:val="00A00EDF"/>
    <w:rsid w:val="00A0166A"/>
    <w:rsid w:val="00A01CD6"/>
    <w:rsid w:val="00A17F3A"/>
    <w:rsid w:val="00A26A17"/>
    <w:rsid w:val="00A30169"/>
    <w:rsid w:val="00A312A3"/>
    <w:rsid w:val="00A321E4"/>
    <w:rsid w:val="00A33D9F"/>
    <w:rsid w:val="00A37229"/>
    <w:rsid w:val="00A41763"/>
    <w:rsid w:val="00A418C9"/>
    <w:rsid w:val="00A41D88"/>
    <w:rsid w:val="00A65AA6"/>
    <w:rsid w:val="00A72AA8"/>
    <w:rsid w:val="00A7429F"/>
    <w:rsid w:val="00A74C9B"/>
    <w:rsid w:val="00A815FA"/>
    <w:rsid w:val="00A85521"/>
    <w:rsid w:val="00A874E4"/>
    <w:rsid w:val="00A93478"/>
    <w:rsid w:val="00A97FE7"/>
    <w:rsid w:val="00AA3FD0"/>
    <w:rsid w:val="00AA46CA"/>
    <w:rsid w:val="00AA7132"/>
    <w:rsid w:val="00AA7EFA"/>
    <w:rsid w:val="00AB61B3"/>
    <w:rsid w:val="00AC323A"/>
    <w:rsid w:val="00AD52A9"/>
    <w:rsid w:val="00AD6357"/>
    <w:rsid w:val="00AD6535"/>
    <w:rsid w:val="00AD7F81"/>
    <w:rsid w:val="00AE4CA9"/>
    <w:rsid w:val="00AF0A5E"/>
    <w:rsid w:val="00AF367D"/>
    <w:rsid w:val="00AF45FD"/>
    <w:rsid w:val="00AF4B59"/>
    <w:rsid w:val="00AF77E5"/>
    <w:rsid w:val="00B2386E"/>
    <w:rsid w:val="00B35E2A"/>
    <w:rsid w:val="00B4157C"/>
    <w:rsid w:val="00B41EB5"/>
    <w:rsid w:val="00B4263D"/>
    <w:rsid w:val="00B55FCB"/>
    <w:rsid w:val="00B56F49"/>
    <w:rsid w:val="00B6738A"/>
    <w:rsid w:val="00B73C39"/>
    <w:rsid w:val="00B7442A"/>
    <w:rsid w:val="00B86A47"/>
    <w:rsid w:val="00B94B4A"/>
    <w:rsid w:val="00B97002"/>
    <w:rsid w:val="00BB0BC0"/>
    <w:rsid w:val="00BB2F70"/>
    <w:rsid w:val="00BB6CF4"/>
    <w:rsid w:val="00BC14C3"/>
    <w:rsid w:val="00BC1ABE"/>
    <w:rsid w:val="00BD2F20"/>
    <w:rsid w:val="00BD4F62"/>
    <w:rsid w:val="00BE4AFD"/>
    <w:rsid w:val="00BE7F4A"/>
    <w:rsid w:val="00C00590"/>
    <w:rsid w:val="00C00E0B"/>
    <w:rsid w:val="00C04647"/>
    <w:rsid w:val="00C056F6"/>
    <w:rsid w:val="00C058CF"/>
    <w:rsid w:val="00C12551"/>
    <w:rsid w:val="00C211CD"/>
    <w:rsid w:val="00C2393C"/>
    <w:rsid w:val="00C25328"/>
    <w:rsid w:val="00C279B6"/>
    <w:rsid w:val="00C3349E"/>
    <w:rsid w:val="00C3744D"/>
    <w:rsid w:val="00C43A84"/>
    <w:rsid w:val="00C54E52"/>
    <w:rsid w:val="00C57F55"/>
    <w:rsid w:val="00C608CC"/>
    <w:rsid w:val="00C64137"/>
    <w:rsid w:val="00C658E4"/>
    <w:rsid w:val="00C711A2"/>
    <w:rsid w:val="00C725FD"/>
    <w:rsid w:val="00C7266E"/>
    <w:rsid w:val="00C738FE"/>
    <w:rsid w:val="00C76C66"/>
    <w:rsid w:val="00C82DF9"/>
    <w:rsid w:val="00C850B0"/>
    <w:rsid w:val="00C8606F"/>
    <w:rsid w:val="00C87190"/>
    <w:rsid w:val="00C9087E"/>
    <w:rsid w:val="00CA1564"/>
    <w:rsid w:val="00CA414A"/>
    <w:rsid w:val="00CA7C8A"/>
    <w:rsid w:val="00CB44E8"/>
    <w:rsid w:val="00CB7978"/>
    <w:rsid w:val="00CC0EF7"/>
    <w:rsid w:val="00CC1D12"/>
    <w:rsid w:val="00CD1CA3"/>
    <w:rsid w:val="00CD7484"/>
    <w:rsid w:val="00CE14F4"/>
    <w:rsid w:val="00CE42E9"/>
    <w:rsid w:val="00CE545C"/>
    <w:rsid w:val="00CF5A74"/>
    <w:rsid w:val="00D001E4"/>
    <w:rsid w:val="00D00AA8"/>
    <w:rsid w:val="00D02778"/>
    <w:rsid w:val="00D13E84"/>
    <w:rsid w:val="00D1454E"/>
    <w:rsid w:val="00D17918"/>
    <w:rsid w:val="00D25C65"/>
    <w:rsid w:val="00D25E0C"/>
    <w:rsid w:val="00D300F4"/>
    <w:rsid w:val="00D3344B"/>
    <w:rsid w:val="00D40175"/>
    <w:rsid w:val="00D42B0E"/>
    <w:rsid w:val="00D5348C"/>
    <w:rsid w:val="00D55243"/>
    <w:rsid w:val="00D62F90"/>
    <w:rsid w:val="00D63E74"/>
    <w:rsid w:val="00D645A3"/>
    <w:rsid w:val="00D715C4"/>
    <w:rsid w:val="00D73B1E"/>
    <w:rsid w:val="00D744B0"/>
    <w:rsid w:val="00D8357A"/>
    <w:rsid w:val="00D854D8"/>
    <w:rsid w:val="00D85CE7"/>
    <w:rsid w:val="00D928FD"/>
    <w:rsid w:val="00DA0419"/>
    <w:rsid w:val="00DA05CA"/>
    <w:rsid w:val="00DA099E"/>
    <w:rsid w:val="00DA524D"/>
    <w:rsid w:val="00DC79E3"/>
    <w:rsid w:val="00DD35FD"/>
    <w:rsid w:val="00DD51E1"/>
    <w:rsid w:val="00DD718B"/>
    <w:rsid w:val="00DE2D54"/>
    <w:rsid w:val="00DF0B62"/>
    <w:rsid w:val="00DF7C73"/>
    <w:rsid w:val="00E02BB0"/>
    <w:rsid w:val="00E03CE6"/>
    <w:rsid w:val="00E13716"/>
    <w:rsid w:val="00E1496F"/>
    <w:rsid w:val="00E266FF"/>
    <w:rsid w:val="00E27661"/>
    <w:rsid w:val="00E37DDF"/>
    <w:rsid w:val="00E43479"/>
    <w:rsid w:val="00E47DB3"/>
    <w:rsid w:val="00E509A9"/>
    <w:rsid w:val="00E51F8B"/>
    <w:rsid w:val="00E5242A"/>
    <w:rsid w:val="00E53398"/>
    <w:rsid w:val="00E55636"/>
    <w:rsid w:val="00E556F1"/>
    <w:rsid w:val="00E56879"/>
    <w:rsid w:val="00E66AE2"/>
    <w:rsid w:val="00E74DA4"/>
    <w:rsid w:val="00E81B89"/>
    <w:rsid w:val="00E81C94"/>
    <w:rsid w:val="00E91432"/>
    <w:rsid w:val="00E91B5A"/>
    <w:rsid w:val="00E971DF"/>
    <w:rsid w:val="00E97590"/>
    <w:rsid w:val="00EB7912"/>
    <w:rsid w:val="00EC3FD1"/>
    <w:rsid w:val="00EC7AFD"/>
    <w:rsid w:val="00ED293D"/>
    <w:rsid w:val="00ED5BE7"/>
    <w:rsid w:val="00ED6E45"/>
    <w:rsid w:val="00EE2CAF"/>
    <w:rsid w:val="00EE43E4"/>
    <w:rsid w:val="00F001EA"/>
    <w:rsid w:val="00F044D1"/>
    <w:rsid w:val="00F056C3"/>
    <w:rsid w:val="00F15770"/>
    <w:rsid w:val="00F16B90"/>
    <w:rsid w:val="00F23654"/>
    <w:rsid w:val="00F33D8F"/>
    <w:rsid w:val="00F34F19"/>
    <w:rsid w:val="00F37446"/>
    <w:rsid w:val="00F43A28"/>
    <w:rsid w:val="00F44A21"/>
    <w:rsid w:val="00F57490"/>
    <w:rsid w:val="00F575F0"/>
    <w:rsid w:val="00F6664C"/>
    <w:rsid w:val="00F745C7"/>
    <w:rsid w:val="00F750E7"/>
    <w:rsid w:val="00F80AF1"/>
    <w:rsid w:val="00F8298C"/>
    <w:rsid w:val="00F82E4E"/>
    <w:rsid w:val="00F90245"/>
    <w:rsid w:val="00F920D9"/>
    <w:rsid w:val="00F9248D"/>
    <w:rsid w:val="00F943CE"/>
    <w:rsid w:val="00F94781"/>
    <w:rsid w:val="00F94C5F"/>
    <w:rsid w:val="00FA2A58"/>
    <w:rsid w:val="00FA5388"/>
    <w:rsid w:val="00FA6FB5"/>
    <w:rsid w:val="00FB08E3"/>
    <w:rsid w:val="00FB6BF3"/>
    <w:rsid w:val="00FB7221"/>
    <w:rsid w:val="00FD0062"/>
    <w:rsid w:val="00FD397B"/>
    <w:rsid w:val="00FD3BEC"/>
    <w:rsid w:val="00FD4B01"/>
    <w:rsid w:val="00FD52F2"/>
    <w:rsid w:val="00FD7CDC"/>
    <w:rsid w:val="00FE58E0"/>
    <w:rsid w:val="00FE6155"/>
    <w:rsid w:val="00FE74D0"/>
    <w:rsid w:val="00FF4696"/>
    <w:rsid w:val="00FF46FC"/>
    <w:rsid w:val="01E784E6"/>
    <w:rsid w:val="1005164B"/>
    <w:rsid w:val="5C846155"/>
    <w:rsid w:val="6DB6294C"/>
    <w:rsid w:val="723BD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fill="f" fillcolor="white" stroke="f">
      <v:fill color="white" on="f"/>
      <v:stroke on="f"/>
    </o:shapedefaults>
    <o:shapelayout v:ext="edit">
      <o:idmap v:ext="edit" data="1"/>
    </o:shapelayout>
  </w:shapeDefaults>
  <w:decimalSymbol w:val="."/>
  <w:listSeparator w:val=","/>
  <w14:docId w14:val="3AA437A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301F2F"/>
    <w:pPr>
      <w:keepNext/>
      <w:keepLines/>
      <w:spacing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DA099E"/>
    <w:pPr>
      <w:numPr>
        <w:ilvl w:val="1"/>
        <w:numId w:val="10"/>
      </w:numPr>
      <w:spacing w:after="0" w:line="259"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numbering" w:customStyle="1" w:styleId="Legal">
    <w:name w:val="Legal"/>
    <w:uiPriority w:val="99"/>
    <w:rsid w:val="008A6177"/>
    <w:pPr>
      <w:numPr>
        <w:numId w:val="13"/>
      </w:numPr>
    </w:pPr>
  </w:style>
  <w:style w:type="character" w:styleId="CommentReference">
    <w:name w:val="annotation reference"/>
    <w:basedOn w:val="DefaultParagraphFont"/>
    <w:uiPriority w:val="99"/>
    <w:semiHidden/>
    <w:unhideWhenUsed/>
    <w:locked/>
    <w:rsid w:val="00FF46FC"/>
    <w:rPr>
      <w:sz w:val="16"/>
      <w:szCs w:val="16"/>
    </w:rPr>
  </w:style>
  <w:style w:type="paragraph" w:styleId="CommentText">
    <w:name w:val="annotation text"/>
    <w:basedOn w:val="Normal"/>
    <w:link w:val="CommentTextChar"/>
    <w:uiPriority w:val="99"/>
    <w:unhideWhenUsed/>
    <w:locked/>
    <w:rsid w:val="00FF46FC"/>
    <w:pPr>
      <w:spacing w:line="240" w:lineRule="auto"/>
    </w:pPr>
    <w:rPr>
      <w:sz w:val="20"/>
      <w:szCs w:val="20"/>
    </w:rPr>
  </w:style>
  <w:style w:type="character" w:customStyle="1" w:styleId="CommentTextChar">
    <w:name w:val="Comment Text Char"/>
    <w:basedOn w:val="DefaultParagraphFont"/>
    <w:link w:val="CommentText"/>
    <w:uiPriority w:val="99"/>
    <w:rsid w:val="00FF46FC"/>
    <w:rPr>
      <w:sz w:val="20"/>
      <w:szCs w:val="20"/>
    </w:rPr>
  </w:style>
  <w:style w:type="paragraph" w:styleId="CommentSubject">
    <w:name w:val="annotation subject"/>
    <w:basedOn w:val="CommentText"/>
    <w:next w:val="CommentText"/>
    <w:link w:val="CommentSubjectChar"/>
    <w:uiPriority w:val="99"/>
    <w:semiHidden/>
    <w:unhideWhenUsed/>
    <w:locked/>
    <w:rsid w:val="00FF46FC"/>
    <w:rPr>
      <w:b/>
      <w:bCs/>
    </w:rPr>
  </w:style>
  <w:style w:type="character" w:customStyle="1" w:styleId="CommentSubjectChar">
    <w:name w:val="Comment Subject Char"/>
    <w:basedOn w:val="CommentTextChar"/>
    <w:link w:val="CommentSubject"/>
    <w:uiPriority w:val="99"/>
    <w:semiHidden/>
    <w:rsid w:val="00FF46FC"/>
    <w:rPr>
      <w:b/>
      <w:bCs/>
      <w:sz w:val="20"/>
      <w:szCs w:val="20"/>
    </w:rPr>
  </w:style>
  <w:style w:type="paragraph" w:styleId="Revision">
    <w:name w:val="Revision"/>
    <w:hidden/>
    <w:uiPriority w:val="99"/>
    <w:semiHidden/>
    <w:rsid w:val="00C738FE"/>
    <w:pPr>
      <w:spacing w:after="0"/>
    </w:pPr>
  </w:style>
  <w:style w:type="character" w:styleId="FollowedHyperlink">
    <w:name w:val="FollowedHyperlink"/>
    <w:basedOn w:val="DefaultParagraphFont"/>
    <w:uiPriority w:val="99"/>
    <w:semiHidden/>
    <w:unhideWhenUsed/>
    <w:locked/>
    <w:rsid w:val="00741AB0"/>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85577066">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ia.doe.gov/oil_gas/natural_gas/data_publications/eia914/eia914.html" TargetMode="External"/><Relationship Id="rId26" Type="http://schemas.openxmlformats.org/officeDocument/2006/relationships/hyperlink" Target="http://www.eia.gov/forecasts/steo/" TargetMode="External"/><Relationship Id="rId39" Type="http://schemas.openxmlformats.org/officeDocument/2006/relationships/fontTable" Target="fontTable.xml"/><Relationship Id="rId21" Type="http://schemas.openxmlformats.org/officeDocument/2006/relationships/hyperlink" Target="http://www.eia.doe.gov/mer/" TargetMode="External"/><Relationship Id="rId34" Type="http://schemas.openxmlformats.org/officeDocument/2006/relationships/image" Target="media/image3.emf"/><Relationship Id="rId7" Type="http://schemas.openxmlformats.org/officeDocument/2006/relationships/styles" Target="styles.xml"/><Relationship Id="R27a0fe2522da479a"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ia.gov/petroleum/supply/monthly/" TargetMode="External"/><Relationship Id="rId29" Type="http://schemas.openxmlformats.org/officeDocument/2006/relationships/hyperlink" Target="https://www.eia.gov/outlooks/ste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ia.gov/petroleum/supply/annual/volume2/" TargetMode="External"/><Relationship Id="rId32" Type="http://schemas.openxmlformats.org/officeDocument/2006/relationships/hyperlink" Target="mailto:%20ed.morse@citi.com" TargetMode="External"/><Relationship Id="rId37" Type="http://schemas.openxmlformats.org/officeDocument/2006/relationships/image" Target="media/image4.emf"/><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eia.gov/petroleum/supply/annual/volume1/" TargetMode="External"/><Relationship Id="rId28" Type="http://schemas.openxmlformats.org/officeDocument/2006/relationships/hyperlink" Target="https://www.eia.gov/todayinenergy/"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ia.doe.gov/oil_gas/natural_gas/data_publications/natural_gas_monthly/ngm.html" TargetMode="External"/><Relationship Id="rId31" Type="http://schemas.openxmlformats.org/officeDocument/2006/relationships/hyperlink" Target="https://www.investorvillage.com/groups.asp?mb=19168&amp;mn=104150&amp;pt=msg&amp;mid=1739932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ia.doe.gov/natural_gas/data_publications/natural_gas_annual/nga.html" TargetMode="External"/><Relationship Id="rId27" Type="http://schemas.openxmlformats.org/officeDocument/2006/relationships/hyperlink" Target="https://www.eia.gov/state/seds/" TargetMode="External"/><Relationship Id="rId30" Type="http://schemas.openxmlformats.org/officeDocument/2006/relationships/hyperlink" Target="https://my.refinitiv.com/content/mytr/en/signin.html" TargetMode="External"/><Relationship Id="rId35" Type="http://schemas.openxmlformats.org/officeDocument/2006/relationships/package" Target="embeddings/Microsoft_Excel_Worksheet1.xlsx"/><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www.eia.gov/forecasts/aeo/er/" TargetMode="External"/><Relationship Id="rId33" Type="http://schemas.openxmlformats.org/officeDocument/2006/relationships/hyperlink" Target="https://www.energyintel.com/pages/non-subscriber.aspx" TargetMode="External"/><Relationship Id="rId38" Type="http://schemas.openxmlformats.org/officeDocument/2006/relationships/package" Target="embeddings/Microsoft_Excel_Worksheet2.xlsx"/></Relationships>
</file>

<file path=word/_rels/settings.xml.rels><?xml version="1.0" encoding="UTF-8" standalone="yes"?>
<Relationships xmlns="http://schemas.openxmlformats.org/package/2006/relationships"><Relationship Id="rId1" Type="http://schemas.openxmlformats.org/officeDocument/2006/relationships/attachedTemplate" Target="file:///\\sqlf1\Software\Office2013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457E4"/>
    <w:rsid w:val="000E222F"/>
    <w:rsid w:val="00133C1A"/>
    <w:rsid w:val="00280E0B"/>
    <w:rsid w:val="00447AE2"/>
    <w:rsid w:val="0050202C"/>
    <w:rsid w:val="0068493E"/>
    <w:rsid w:val="0097548D"/>
    <w:rsid w:val="009E75B6"/>
    <w:rsid w:val="00C46B32"/>
    <w:rsid w:val="00D17918"/>
    <w:rsid w:val="00F2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B49C1117F64A4B9667677D8A18766B" ma:contentTypeVersion="4" ma:contentTypeDescription="Create a new document." ma:contentTypeScope="" ma:versionID="09b466bfb70af64041a9d7b49dd19fee">
  <xsd:schema xmlns:xsd="http://www.w3.org/2001/XMLSchema" xmlns:xs="http://www.w3.org/2001/XMLSchema" xmlns:p="http://schemas.microsoft.com/office/2006/metadata/properties" xmlns:ns2="bee9945a-3dde-4000-a0bd-f581994a098a" xmlns:ns3="6635ac68-74ca-4ae8-8e23-c048ba221c6c" targetNamespace="http://schemas.microsoft.com/office/2006/metadata/properties" ma:root="true" ma:fieldsID="92339923fbf5eacb4f117f8934442f75" ns2:_="" ns3:_="">
    <xsd:import namespace="bee9945a-3dde-4000-a0bd-f581994a098a"/>
    <xsd:import namespace="6635ac68-74ca-4ae8-8e23-c048ba221c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945a-3dde-4000-a0bd-f581994a09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5ac68-74ca-4ae8-8e23-c048ba221c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33E008-FC9D-4599-AE71-86369AA883C8}">
  <ds:schemaRefs>
    <ds:schemaRef ds:uri="6635ac68-74ca-4ae8-8e23-c048ba221c6c"/>
    <ds:schemaRef ds:uri="http://schemas.microsoft.com/office/2006/documentManagement/types"/>
    <ds:schemaRef ds:uri="http://schemas.microsoft.com/office/infopath/2007/PartnerControls"/>
    <ds:schemaRef ds:uri="http://schemas.openxmlformats.org/package/2006/metadata/core-properties"/>
    <ds:schemaRef ds:uri="bee9945a-3dde-4000-a0bd-f581994a098a"/>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89BA78C-168B-4BBB-8159-1BB926B3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9945a-3dde-4000-a0bd-f581994a098a"/>
    <ds:schemaRef ds:uri="6635ac68-74ca-4ae8-8e23-c048ba221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954EC-ED01-4FB3-810F-B0855A81ED88}">
  <ds:schemaRefs>
    <ds:schemaRef ds:uri="http://schemas.microsoft.com/sharepoint/v3/contenttype/forms"/>
  </ds:schemaRefs>
</ds:datastoreItem>
</file>

<file path=customXml/itemProps5.xml><?xml version="1.0" encoding="utf-8"?>
<ds:datastoreItem xmlns:ds="http://schemas.openxmlformats.org/officeDocument/2006/customXml" ds:itemID="{AFA15CDE-9C30-419E-9BB3-7DF87ECE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0</TotalTime>
  <Pages>12</Pages>
  <Words>3618</Words>
  <Characters>20627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24197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Improving the Quality and Scope of EIA Data</dc:subject>
  <dc:creator>Morales, Gerson</dc:creator>
  <cp:keywords/>
  <dc:description/>
  <cp:lastModifiedBy>Aloulou, Faouzi</cp:lastModifiedBy>
  <cp:revision>2</cp:revision>
  <cp:lastPrinted>2019-11-12T17:55:00Z</cp:lastPrinted>
  <dcterms:created xsi:type="dcterms:W3CDTF">2020-09-17T18:44:00Z</dcterms:created>
  <dcterms:modified xsi:type="dcterms:W3CDTF">2020-09-17T18:44:00Z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0x01010026B49C1117F64A4B9667677D8A18766B</vt:lpwstr>
  </property>
</Properties>
</file>