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87" w:rsidP="00BA3587" w:rsidRDefault="00BA3587">
      <w:pPr>
        <w:pStyle w:val="Title"/>
        <w:rPr>
          <w:rFonts w:cs="Arial"/>
          <w:sz w:val="22"/>
        </w:rPr>
      </w:pPr>
      <w:bookmarkStart w:name="_GoBack" w:id="0"/>
      <w:bookmarkEnd w:id="0"/>
      <w:r w:rsidRPr="004A76BC">
        <w:rPr>
          <w:rFonts w:cs="Arial"/>
          <w:sz w:val="22"/>
        </w:rPr>
        <w:t>Supporting Statement</w:t>
      </w:r>
    </w:p>
    <w:p w:rsidR="007715AE" w:rsidP="00BA3587" w:rsidRDefault="00C265E5">
      <w:pPr>
        <w:pStyle w:val="Title"/>
        <w:rPr>
          <w:rFonts w:cs="Arial"/>
          <w:sz w:val="22"/>
        </w:rPr>
      </w:pPr>
      <w:r>
        <w:rPr>
          <w:rFonts w:cs="Arial"/>
          <w:sz w:val="22"/>
        </w:rPr>
        <w:t>Safety Awareness, Feedback, and Evaluation (SAFE) Program</w:t>
      </w:r>
    </w:p>
    <w:p w:rsidRPr="004A76BC" w:rsidR="00BA3587" w:rsidP="00BA3587" w:rsidRDefault="000A6E8F">
      <w:pPr>
        <w:pStyle w:val="Title"/>
        <w:rPr>
          <w:rFonts w:cs="Arial"/>
          <w:sz w:val="22"/>
        </w:rPr>
      </w:pPr>
      <w:r>
        <w:rPr>
          <w:rFonts w:cs="Arial"/>
          <w:noProof/>
          <w:snapToGrid/>
          <w:sz w:val="22"/>
        </w:rPr>
        <mc:AlternateContent>
          <mc:Choice Requires="wps">
            <w:drawing>
              <wp:anchor distT="0" distB="0" distL="114300" distR="114300" simplePos="0" relativeHeight="251657216" behindDoc="0" locked="0" layoutInCell="1" allowOverlap="1">
                <wp:simplePos x="0" y="0"/>
                <wp:positionH relativeFrom="column">
                  <wp:posOffset>-26670</wp:posOffset>
                </wp:positionH>
                <wp:positionV relativeFrom="paragraph">
                  <wp:posOffset>106680</wp:posOffset>
                </wp:positionV>
                <wp:extent cx="6372225" cy="0"/>
                <wp:effectExtent l="19050" t="16510" r="1905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2.1pt,8.4pt" to="499.65pt,8.4pt" w14:anchorId="17C1F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MEwIAACk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"/>
            </w:pict>
          </mc:Fallback>
        </mc:AlternateContent>
      </w:r>
    </w:p>
    <w:p w:rsidR="00BA3587" w:rsidP="00BA3587" w:rsidRDefault="00BA3587">
      <w:pPr>
        <w:rPr>
          <w:b/>
          <w:sz w:val="22"/>
          <w:u w:val="single"/>
        </w:rPr>
      </w:pPr>
    </w:p>
    <w:p w:rsidR="00BA3587" w:rsidP="00BA3587" w:rsidRDefault="00BA3587">
      <w:pPr>
        <w:rPr>
          <w:b/>
          <w:sz w:val="22"/>
          <w:u w:val="single"/>
        </w:rPr>
      </w:pPr>
    </w:p>
    <w:p w:rsidR="00BA3587" w:rsidP="00BA3587" w:rsidRDefault="00BA3587">
      <w:pPr>
        <w:rPr>
          <w:sz w:val="22"/>
        </w:rPr>
      </w:pPr>
      <w:r>
        <w:rPr>
          <w:b/>
          <w:sz w:val="22"/>
          <w:u w:val="single"/>
        </w:rPr>
        <w:t>B.  Statistical Methods</w:t>
      </w:r>
    </w:p>
    <w:p w:rsidR="00BA3587" w:rsidP="00BA3587" w:rsidRDefault="00BA3587">
      <w:pPr>
        <w:rPr>
          <w:sz w:val="22"/>
        </w:rPr>
      </w:pPr>
    </w:p>
    <w:p w:rsidR="00BA3587" w:rsidP="00BA3587" w:rsidRDefault="00BA3587">
      <w:pPr>
        <w:rPr>
          <w:b/>
          <w:sz w:val="22"/>
        </w:rPr>
      </w:pPr>
      <w:r>
        <w:rPr>
          <w:b/>
          <w:sz w:val="22"/>
        </w:rPr>
        <w:t>1.  Describe the potential respondent universe.</w:t>
      </w:r>
    </w:p>
    <w:p w:rsidR="00E92324" w:rsidP="00E92324" w:rsidRDefault="00E92324">
      <w:pPr>
        <w:rPr>
          <w:rFonts w:ascii="Calibri" w:hAnsi="Calibri" w:cs="Calibri"/>
        </w:rPr>
      </w:pPr>
      <w:r>
        <w:rPr>
          <w:rFonts w:ascii="Calibri" w:hAnsi="Calibri" w:cs="Calibri"/>
        </w:rPr>
        <w:t>The below table contains the universe of potential respondents. Each potential respondent, as a member of a stakeholder group, is required by federal regulations to hold a current certificate issued by the FAA Flight Standards Service. The required returns are based on a 50/50 split in the population on characteristics of interest</w:t>
      </w:r>
      <w:r w:rsidRPr="00D604BC">
        <w:rPr>
          <w:rFonts w:ascii="Calibri" w:hAnsi="Calibri" w:cs="Calibri"/>
          <w:u w:val="single"/>
        </w:rPr>
        <w:t xml:space="preserve"> </w:t>
      </w:r>
      <w:r w:rsidRPr="00D604BC">
        <w:rPr>
          <w:rFonts w:ascii="Calibri" w:hAnsi="Calibri" w:cs="Calibri"/>
        </w:rPr>
        <w:t xml:space="preserve">3% </w:t>
      </w:r>
      <w:r>
        <w:rPr>
          <w:rFonts w:ascii="Calibri" w:hAnsi="Calibri" w:cs="Calibri"/>
        </w:rPr>
        <w:t>target precision and 95% confidence levels</w:t>
      </w:r>
      <w:r w:rsidRPr="00AA5EE4">
        <w:rPr>
          <w:rFonts w:ascii="Calibri" w:hAnsi="Calibri" w:cs="Calibri"/>
        </w:rPr>
        <w:t>. In previous surveys administered to these populations, the response rate from Commercial and Airline Transport Pilots was 40.1%, General Aviation Pilots was 37.4%, R</w:t>
      </w:r>
      <w:r w:rsidRPr="00AA5EE4" w:rsidR="00AA5EE4">
        <w:rPr>
          <w:rFonts w:ascii="Calibri" w:hAnsi="Calibri" w:cs="Calibri"/>
        </w:rPr>
        <w:t>epair Station Operators was 54.5%,</w:t>
      </w:r>
      <w:r w:rsidRPr="00AA5EE4">
        <w:rPr>
          <w:rFonts w:ascii="Calibri" w:hAnsi="Calibri" w:cs="Calibri"/>
        </w:rPr>
        <w:t xml:space="preserve"> Aviation Maintenance Technic</w:t>
      </w:r>
      <w:r w:rsidRPr="00AA5EE4" w:rsidR="00AA5EE4">
        <w:rPr>
          <w:rFonts w:ascii="Calibri" w:hAnsi="Calibri" w:cs="Calibri"/>
        </w:rPr>
        <w:t>ians and Repairers was 31.1</w:t>
      </w:r>
      <w:r w:rsidRPr="00AA5EE4">
        <w:rPr>
          <w:rFonts w:ascii="Calibri" w:hAnsi="Calibri" w:cs="Calibri"/>
        </w:rPr>
        <w:t>%</w:t>
      </w:r>
      <w:r w:rsidRPr="00AA5EE4" w:rsidR="00AA5EE4">
        <w:rPr>
          <w:rFonts w:ascii="Calibri" w:hAnsi="Calibri" w:cs="Calibri"/>
        </w:rPr>
        <w:t>, and Air Carrier Operations Managers was 42.9%</w:t>
      </w:r>
      <w:r w:rsidRPr="00AA5EE4">
        <w:rPr>
          <w:rFonts w:ascii="Calibri" w:hAnsi="Calibri" w:cs="Calibri"/>
        </w:rPr>
        <w:t>.</w:t>
      </w:r>
      <w:r>
        <w:rPr>
          <w:rFonts w:ascii="Calibri" w:hAnsi="Calibri" w:cs="Calibri"/>
        </w:rPr>
        <w:t xml:space="preserve"> Because respondents will be offered options in accessing the survey (i.e., personal computer, mobile device, or print), we are basing the drawn sample size on a </w:t>
      </w:r>
      <w:r w:rsidRPr="007B7EF5">
        <w:rPr>
          <w:rFonts w:ascii="Calibri" w:hAnsi="Calibri" w:cs="Calibri"/>
          <w:b/>
          <w:u w:val="single"/>
        </w:rPr>
        <w:t>41% response rate</w:t>
      </w:r>
      <w:r>
        <w:rPr>
          <w:rFonts w:ascii="Calibri" w:hAnsi="Calibri" w:cs="Calibri"/>
        </w:rPr>
        <w:t xml:space="preserve">, the average response rate obtained in the last survey response cycle. We expect at most </w:t>
      </w:r>
      <w:r w:rsidRPr="00D83DC8">
        <w:rPr>
          <w:rFonts w:ascii="Calibri" w:hAnsi="Calibri" w:cs="Calibri"/>
        </w:rPr>
        <w:t>that 10% of</w:t>
      </w:r>
      <w:r>
        <w:rPr>
          <w:rFonts w:ascii="Calibri" w:hAnsi="Calibri" w:cs="Calibri"/>
        </w:rPr>
        <w:t xml:space="preserve"> respondents will request a paper version.</w:t>
      </w:r>
    </w:p>
    <w:p w:rsidRPr="00980639" w:rsidR="00E92324" w:rsidP="00E92324" w:rsidRDefault="00E92324">
      <w:pPr>
        <w:rPr>
          <w:rFonts w:ascii="Calibri" w:hAnsi="Calibri" w:cs="Calibri"/>
        </w:rPr>
      </w:pPr>
    </w:p>
    <w:tbl>
      <w:tblPr>
        <w:tblW w:w="10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720"/>
        <w:gridCol w:w="1440"/>
        <w:gridCol w:w="1440"/>
        <w:gridCol w:w="1440"/>
        <w:gridCol w:w="1440"/>
        <w:gridCol w:w="1440"/>
        <w:gridCol w:w="1440"/>
      </w:tblGrid>
      <w:tr w:rsidRPr="00980639" w:rsidR="009A01EE" w:rsidTr="009A01EE">
        <w:tc>
          <w:tcPr>
            <w:tcW w:w="2160" w:type="dxa"/>
            <w:gridSpan w:val="2"/>
            <w:vMerge w:val="restart"/>
            <w:tcBorders>
              <w:top w:val="nil"/>
              <w:left w:val="nil"/>
            </w:tcBorders>
            <w:shd w:val="clear" w:color="auto" w:fill="auto"/>
            <w:vAlign w:val="center"/>
          </w:tcPr>
          <w:p w:rsidRPr="003322F6" w:rsidR="009A01EE" w:rsidP="00D800BE" w:rsidRDefault="009A01EE">
            <w:pPr>
              <w:jc w:val="center"/>
              <w:rPr>
                <w:rFonts w:ascii="Calibri" w:hAnsi="Calibri" w:cs="Calibri"/>
                <w:b/>
                <w:sz w:val="22"/>
                <w:szCs w:val="22"/>
              </w:rPr>
            </w:pPr>
          </w:p>
        </w:tc>
        <w:tc>
          <w:tcPr>
            <w:tcW w:w="1440" w:type="dxa"/>
          </w:tcPr>
          <w:p w:rsidRPr="003322F6" w:rsidR="009A01EE" w:rsidP="00D800BE" w:rsidRDefault="009A01EE">
            <w:pPr>
              <w:jc w:val="center"/>
              <w:rPr>
                <w:rFonts w:ascii="Calibri" w:hAnsi="Calibri" w:cs="Calibri"/>
                <w:b/>
                <w:sz w:val="22"/>
                <w:szCs w:val="22"/>
              </w:rPr>
            </w:pPr>
          </w:p>
        </w:tc>
        <w:tc>
          <w:tcPr>
            <w:tcW w:w="7200" w:type="dxa"/>
            <w:gridSpan w:val="5"/>
            <w:shd w:val="clear" w:color="auto" w:fill="auto"/>
            <w:vAlign w:val="center"/>
          </w:tcPr>
          <w:p w:rsidRPr="0096642A" w:rsidR="009A01EE" w:rsidP="00D800BE" w:rsidRDefault="009A01EE">
            <w:pPr>
              <w:jc w:val="center"/>
              <w:rPr>
                <w:rFonts w:ascii="Calibri" w:hAnsi="Calibri" w:cs="Calibri"/>
                <w:sz w:val="22"/>
                <w:szCs w:val="22"/>
              </w:rPr>
            </w:pPr>
            <w:r w:rsidRPr="003322F6">
              <w:rPr>
                <w:rFonts w:ascii="Calibri" w:hAnsi="Calibri" w:cs="Calibri"/>
                <w:b/>
                <w:sz w:val="22"/>
                <w:szCs w:val="22"/>
              </w:rPr>
              <w:t>Stakeholder Group</w:t>
            </w:r>
          </w:p>
        </w:tc>
      </w:tr>
      <w:tr w:rsidRPr="00980639" w:rsidR="009A01EE" w:rsidTr="00BE7208">
        <w:trPr>
          <w:trHeight w:val="1439"/>
        </w:trPr>
        <w:tc>
          <w:tcPr>
            <w:tcW w:w="2160" w:type="dxa"/>
            <w:gridSpan w:val="2"/>
            <w:vMerge/>
            <w:tcBorders>
              <w:left w:val="nil"/>
            </w:tcBorders>
            <w:shd w:val="clear" w:color="auto" w:fill="auto"/>
            <w:vAlign w:val="center"/>
          </w:tcPr>
          <w:p w:rsidRPr="003322F6" w:rsidR="009A01EE" w:rsidP="00D800BE" w:rsidRDefault="009A01EE">
            <w:pPr>
              <w:jc w:val="center"/>
              <w:rPr>
                <w:rFonts w:ascii="Calibri" w:hAnsi="Calibri" w:cs="Calibri"/>
                <w:b/>
                <w:sz w:val="22"/>
                <w:szCs w:val="22"/>
              </w:rPr>
            </w:pPr>
          </w:p>
        </w:tc>
        <w:tc>
          <w:tcPr>
            <w:tcW w:w="1440" w:type="dxa"/>
            <w:shd w:val="clear" w:color="auto" w:fill="auto"/>
            <w:vAlign w:val="center"/>
          </w:tcPr>
          <w:p w:rsidRPr="003322F6" w:rsidR="009A01EE" w:rsidP="00D800BE" w:rsidRDefault="009A01EE">
            <w:pPr>
              <w:jc w:val="center"/>
              <w:rPr>
                <w:rFonts w:ascii="Calibri" w:hAnsi="Calibri" w:cs="Calibri"/>
                <w:b/>
                <w:sz w:val="22"/>
                <w:szCs w:val="22"/>
              </w:rPr>
            </w:pPr>
            <w:r w:rsidRPr="0096642A">
              <w:rPr>
                <w:rFonts w:ascii="Calibri" w:hAnsi="Calibri" w:cs="Calibri"/>
                <w:sz w:val="22"/>
                <w:szCs w:val="22"/>
              </w:rPr>
              <w:t>Commercial and Airline Transport Pilots</w:t>
            </w:r>
          </w:p>
        </w:tc>
        <w:tc>
          <w:tcPr>
            <w:tcW w:w="2880" w:type="dxa"/>
            <w:gridSpan w:val="2"/>
            <w:vAlign w:val="center"/>
          </w:tcPr>
          <w:p w:rsidRPr="0096642A" w:rsidR="009A01EE" w:rsidP="00563182" w:rsidRDefault="00563182">
            <w:pPr>
              <w:jc w:val="center"/>
              <w:rPr>
                <w:rFonts w:ascii="Calibri" w:hAnsi="Calibri" w:cs="Calibri"/>
                <w:sz w:val="22"/>
                <w:szCs w:val="22"/>
              </w:rPr>
            </w:pPr>
            <w:r w:rsidRPr="00563182">
              <w:rPr>
                <w:rFonts w:ascii="Calibri" w:hAnsi="Calibri" w:cs="Calibri"/>
                <w:sz w:val="22"/>
                <w:szCs w:val="22"/>
              </w:rPr>
              <w:t>General Aviation (</w:t>
            </w:r>
            <w:r>
              <w:rPr>
                <w:rFonts w:ascii="Calibri" w:hAnsi="Calibri" w:cs="Calibri"/>
                <w:sz w:val="22"/>
                <w:szCs w:val="22"/>
              </w:rPr>
              <w:t>left column</w:t>
            </w:r>
            <w:r w:rsidRPr="00563182">
              <w:rPr>
                <w:rFonts w:ascii="Calibri" w:hAnsi="Calibri" w:cs="Calibri"/>
                <w:sz w:val="22"/>
                <w:szCs w:val="22"/>
              </w:rPr>
              <w:t>) and Sport Pilots (</w:t>
            </w:r>
            <w:r>
              <w:rPr>
                <w:rFonts w:ascii="Calibri" w:hAnsi="Calibri" w:cs="Calibri"/>
                <w:sz w:val="22"/>
                <w:szCs w:val="22"/>
              </w:rPr>
              <w:t>right column</w:t>
            </w:r>
            <w:r w:rsidRPr="00563182">
              <w:rPr>
                <w:rFonts w:ascii="Calibri" w:hAnsi="Calibri" w:cs="Calibri"/>
                <w:sz w:val="22"/>
                <w:szCs w:val="22"/>
              </w:rPr>
              <w:t>)</w:t>
            </w:r>
          </w:p>
        </w:tc>
        <w:tc>
          <w:tcPr>
            <w:tcW w:w="1440" w:type="dxa"/>
            <w:shd w:val="clear" w:color="auto" w:fill="auto"/>
            <w:vAlign w:val="center"/>
          </w:tcPr>
          <w:p w:rsidRPr="00980639" w:rsidR="009A01EE" w:rsidP="00D800BE" w:rsidRDefault="009A01EE">
            <w:pPr>
              <w:jc w:val="center"/>
              <w:rPr>
                <w:rFonts w:ascii="Calibri" w:hAnsi="Calibri" w:cs="Calibri"/>
              </w:rPr>
            </w:pPr>
            <w:r w:rsidRPr="0096642A">
              <w:rPr>
                <w:rFonts w:ascii="Calibri" w:hAnsi="Calibri" w:cs="Calibri"/>
                <w:sz w:val="22"/>
                <w:szCs w:val="22"/>
              </w:rPr>
              <w:t>Repair Station Operators</w:t>
            </w:r>
          </w:p>
        </w:tc>
        <w:tc>
          <w:tcPr>
            <w:tcW w:w="1440" w:type="dxa"/>
            <w:shd w:val="clear" w:color="auto" w:fill="auto"/>
            <w:vAlign w:val="center"/>
          </w:tcPr>
          <w:p w:rsidRPr="00980639" w:rsidR="009A01EE" w:rsidP="00D800BE" w:rsidRDefault="009A01EE">
            <w:pPr>
              <w:jc w:val="center"/>
              <w:rPr>
                <w:rFonts w:ascii="Calibri" w:hAnsi="Calibri" w:cs="Calibri"/>
              </w:rPr>
            </w:pPr>
            <w:r w:rsidRPr="0096642A">
              <w:rPr>
                <w:rFonts w:ascii="Calibri" w:hAnsi="Calibri" w:cs="Calibri"/>
                <w:sz w:val="22"/>
                <w:szCs w:val="22"/>
              </w:rPr>
              <w:t>Aviation Maintenance Technicians and Repairers</w:t>
            </w:r>
          </w:p>
        </w:tc>
        <w:tc>
          <w:tcPr>
            <w:tcW w:w="1440" w:type="dxa"/>
            <w:shd w:val="clear" w:color="auto" w:fill="auto"/>
            <w:vAlign w:val="center"/>
          </w:tcPr>
          <w:p w:rsidRPr="00980639" w:rsidR="009A01EE" w:rsidP="00D800BE" w:rsidRDefault="009A01EE">
            <w:pPr>
              <w:jc w:val="center"/>
              <w:rPr>
                <w:rFonts w:ascii="Calibri" w:hAnsi="Calibri" w:cs="Calibri"/>
              </w:rPr>
            </w:pPr>
            <w:r w:rsidRPr="0096642A">
              <w:rPr>
                <w:rFonts w:ascii="Calibri" w:hAnsi="Calibri" w:cs="Calibri"/>
                <w:sz w:val="22"/>
                <w:szCs w:val="22"/>
              </w:rPr>
              <w:t>Air Carrier Operations Management</w:t>
            </w:r>
          </w:p>
        </w:tc>
      </w:tr>
      <w:tr w:rsidRPr="00980639" w:rsidR="009A01EE" w:rsidTr="009A01EE">
        <w:trPr>
          <w:trHeight w:val="734"/>
        </w:trPr>
        <w:tc>
          <w:tcPr>
            <w:tcW w:w="2160" w:type="dxa"/>
            <w:gridSpan w:val="2"/>
            <w:shd w:val="clear" w:color="auto" w:fill="auto"/>
            <w:vAlign w:val="center"/>
          </w:tcPr>
          <w:p w:rsidRPr="0096642A" w:rsidR="009A01EE" w:rsidP="00D800BE" w:rsidRDefault="009A01EE">
            <w:pPr>
              <w:jc w:val="center"/>
              <w:rPr>
                <w:rFonts w:ascii="Calibri" w:hAnsi="Calibri" w:cs="Calibri"/>
                <w:b/>
                <w:sz w:val="22"/>
                <w:szCs w:val="22"/>
              </w:rPr>
            </w:pPr>
            <w:r w:rsidRPr="0096642A">
              <w:rPr>
                <w:rFonts w:ascii="Calibri" w:hAnsi="Calibri" w:cs="Calibri"/>
                <w:b/>
                <w:sz w:val="22"/>
                <w:szCs w:val="22"/>
              </w:rPr>
              <w:t>Population Size</w:t>
            </w:r>
          </w:p>
          <w:p w:rsidRPr="003322F6" w:rsidR="009A01EE" w:rsidP="00D800BE" w:rsidRDefault="009A01EE">
            <w:pPr>
              <w:jc w:val="center"/>
              <w:rPr>
                <w:rFonts w:ascii="Calibri" w:hAnsi="Calibri" w:cs="Calibri"/>
                <w:sz w:val="22"/>
                <w:szCs w:val="22"/>
              </w:rPr>
            </w:pPr>
            <w:r w:rsidRPr="0096642A">
              <w:rPr>
                <w:rFonts w:ascii="Calibri" w:hAnsi="Calibri" w:cs="Calibri"/>
                <w:sz w:val="22"/>
                <w:szCs w:val="22"/>
              </w:rPr>
              <w:t>(201</w:t>
            </w:r>
            <w:r>
              <w:rPr>
                <w:rFonts w:ascii="Calibri" w:hAnsi="Calibri" w:cs="Calibri"/>
                <w:sz w:val="22"/>
                <w:szCs w:val="22"/>
              </w:rPr>
              <w:t>8</w:t>
            </w:r>
            <w:r w:rsidRPr="0096642A">
              <w:rPr>
                <w:rFonts w:ascii="Calibri" w:hAnsi="Calibri" w:cs="Calibri"/>
                <w:sz w:val="22"/>
                <w:szCs w:val="22"/>
              </w:rPr>
              <w:t xml:space="preserve"> data)</w:t>
            </w:r>
          </w:p>
        </w:tc>
        <w:tc>
          <w:tcPr>
            <w:tcW w:w="1440" w:type="dxa"/>
            <w:shd w:val="clear" w:color="auto" w:fill="auto"/>
            <w:vAlign w:val="center"/>
          </w:tcPr>
          <w:p w:rsidRPr="003322F6" w:rsidR="009A01EE" w:rsidP="00D800BE" w:rsidRDefault="009A01EE">
            <w:pPr>
              <w:jc w:val="center"/>
              <w:rPr>
                <w:rFonts w:ascii="Calibri" w:hAnsi="Calibri" w:cs="Calibri"/>
                <w:sz w:val="22"/>
                <w:szCs w:val="22"/>
              </w:rPr>
            </w:pPr>
            <w:r>
              <w:rPr>
                <w:rFonts w:ascii="Calibri" w:hAnsi="Calibri" w:cs="Calibri"/>
                <w:sz w:val="22"/>
                <w:szCs w:val="22"/>
              </w:rPr>
              <w:t>262,025</w:t>
            </w:r>
          </w:p>
        </w:tc>
        <w:tc>
          <w:tcPr>
            <w:tcW w:w="1440" w:type="dxa"/>
            <w:vAlign w:val="center"/>
          </w:tcPr>
          <w:p w:rsidRPr="00980639" w:rsidR="009A01EE" w:rsidP="00D800BE" w:rsidRDefault="009A01EE">
            <w:pPr>
              <w:jc w:val="center"/>
              <w:rPr>
                <w:rFonts w:ascii="Calibri" w:hAnsi="Calibri" w:cs="Calibri"/>
              </w:rPr>
            </w:pPr>
            <w:r w:rsidRPr="009A01EE">
              <w:rPr>
                <w:rFonts w:ascii="Calibri" w:hAnsi="Calibri" w:cs="Calibri"/>
                <w:sz w:val="22"/>
                <w:szCs w:val="22"/>
              </w:rPr>
              <w:t>224,404</w:t>
            </w:r>
          </w:p>
        </w:tc>
        <w:tc>
          <w:tcPr>
            <w:tcW w:w="1440" w:type="dxa"/>
          </w:tcPr>
          <w:p w:rsidR="009A01EE" w:rsidP="009A01EE" w:rsidRDefault="009A01EE">
            <w:pPr>
              <w:jc w:val="center"/>
              <w:rPr>
                <w:rFonts w:ascii="Calibri" w:hAnsi="Calibri" w:cs="Calibri"/>
                <w:sz w:val="22"/>
                <w:szCs w:val="22"/>
              </w:rPr>
            </w:pPr>
          </w:p>
          <w:p w:rsidRPr="0096642A" w:rsidR="009A01EE" w:rsidP="009A01EE" w:rsidRDefault="009A01EE">
            <w:pPr>
              <w:jc w:val="center"/>
              <w:rPr>
                <w:rFonts w:ascii="Calibri" w:hAnsi="Calibri" w:cs="Calibri"/>
                <w:sz w:val="22"/>
                <w:szCs w:val="22"/>
              </w:rPr>
            </w:pPr>
            <w:r w:rsidRPr="009A01EE">
              <w:rPr>
                <w:rFonts w:ascii="Calibri" w:hAnsi="Calibri" w:cs="Calibri"/>
                <w:sz w:val="22"/>
                <w:szCs w:val="22"/>
              </w:rPr>
              <w:t>6,513</w:t>
            </w:r>
          </w:p>
        </w:tc>
        <w:tc>
          <w:tcPr>
            <w:tcW w:w="1440" w:type="dxa"/>
            <w:shd w:val="clear" w:color="auto" w:fill="auto"/>
            <w:vAlign w:val="center"/>
          </w:tcPr>
          <w:p w:rsidRPr="00980639" w:rsidR="009A01EE" w:rsidP="00D800BE" w:rsidRDefault="009A01EE">
            <w:pPr>
              <w:jc w:val="center"/>
              <w:rPr>
                <w:rFonts w:ascii="Calibri" w:hAnsi="Calibri" w:cs="Calibri"/>
              </w:rPr>
            </w:pPr>
            <w:r w:rsidRPr="0096642A">
              <w:rPr>
                <w:rFonts w:ascii="Calibri" w:hAnsi="Calibri" w:cs="Calibri"/>
                <w:sz w:val="22"/>
                <w:szCs w:val="22"/>
              </w:rPr>
              <w:t>4,801</w:t>
            </w:r>
          </w:p>
        </w:tc>
        <w:tc>
          <w:tcPr>
            <w:tcW w:w="1440" w:type="dxa"/>
            <w:shd w:val="clear" w:color="auto" w:fill="auto"/>
            <w:vAlign w:val="center"/>
          </w:tcPr>
          <w:p w:rsidRPr="00980639" w:rsidR="009A01EE" w:rsidP="00D800BE" w:rsidRDefault="009A01EE">
            <w:pPr>
              <w:jc w:val="center"/>
              <w:rPr>
                <w:rFonts w:ascii="Calibri" w:hAnsi="Calibri" w:cs="Calibri"/>
              </w:rPr>
            </w:pPr>
            <w:r>
              <w:rPr>
                <w:rFonts w:ascii="Calibri" w:hAnsi="Calibri" w:cs="Calibri"/>
                <w:sz w:val="22"/>
                <w:szCs w:val="22"/>
              </w:rPr>
              <w:t>327,384</w:t>
            </w:r>
          </w:p>
        </w:tc>
        <w:tc>
          <w:tcPr>
            <w:tcW w:w="1440" w:type="dxa"/>
            <w:shd w:val="clear" w:color="auto" w:fill="auto"/>
            <w:vAlign w:val="center"/>
          </w:tcPr>
          <w:p w:rsidRPr="00980639" w:rsidR="009A01EE" w:rsidP="00D800BE" w:rsidRDefault="009A01EE">
            <w:pPr>
              <w:jc w:val="center"/>
              <w:rPr>
                <w:rFonts w:ascii="Calibri" w:hAnsi="Calibri" w:cs="Calibri"/>
              </w:rPr>
            </w:pPr>
            <w:r>
              <w:rPr>
                <w:rFonts w:ascii="Calibri" w:hAnsi="Calibri" w:cs="Calibri"/>
                <w:sz w:val="22"/>
                <w:szCs w:val="22"/>
              </w:rPr>
              <w:t>1,895</w:t>
            </w:r>
          </w:p>
        </w:tc>
      </w:tr>
      <w:tr w:rsidRPr="00980639" w:rsidR="009A01EE" w:rsidTr="009A01EE">
        <w:trPr>
          <w:trHeight w:val="734"/>
        </w:trPr>
        <w:tc>
          <w:tcPr>
            <w:tcW w:w="2160" w:type="dxa"/>
            <w:gridSpan w:val="2"/>
            <w:tcBorders>
              <w:bottom w:val="single" w:color="auto" w:sz="4" w:space="0"/>
            </w:tcBorders>
            <w:shd w:val="clear" w:color="auto" w:fill="auto"/>
            <w:vAlign w:val="center"/>
          </w:tcPr>
          <w:p w:rsidRPr="00966F3B" w:rsidR="009A01EE" w:rsidP="00D800BE" w:rsidRDefault="009A01EE">
            <w:pPr>
              <w:jc w:val="center"/>
              <w:rPr>
                <w:rFonts w:ascii="Calibri" w:hAnsi="Calibri" w:cs="Calibri"/>
                <w:b/>
                <w:sz w:val="22"/>
                <w:szCs w:val="22"/>
              </w:rPr>
            </w:pPr>
            <w:r>
              <w:rPr>
                <w:rFonts w:ascii="Calibri" w:hAnsi="Calibri" w:cs="Calibri"/>
                <w:b/>
                <w:sz w:val="22"/>
                <w:szCs w:val="22"/>
              </w:rPr>
              <w:t>Required Returns*</w:t>
            </w:r>
          </w:p>
          <w:p w:rsidRPr="00E5496D" w:rsidR="009A01EE" w:rsidP="00D800BE" w:rsidRDefault="009A01EE">
            <w:pPr>
              <w:jc w:val="center"/>
              <w:rPr>
                <w:rFonts w:ascii="Calibri" w:hAnsi="Calibri" w:cs="Calibri"/>
                <w:b/>
                <w:sz w:val="22"/>
                <w:szCs w:val="22"/>
              </w:rPr>
            </w:pPr>
            <w:r w:rsidRPr="009A01EE">
              <w:rPr>
                <w:rFonts w:ascii="Calibri" w:hAnsi="Calibri" w:cs="Calibri"/>
                <w:bCs/>
                <w:sz w:val="22"/>
                <w:szCs w:val="22"/>
              </w:rPr>
              <w:t>(95% confidence level, 3% margin of error)</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966F3B" w:rsidR="009A01EE" w:rsidP="00D800BE" w:rsidRDefault="009A01EE">
            <w:pPr>
              <w:jc w:val="center"/>
              <w:rPr>
                <w:rFonts w:ascii="Calibri" w:hAnsi="Calibri" w:cs="Calibri"/>
                <w:sz w:val="22"/>
                <w:szCs w:val="22"/>
                <w:vertAlign w:val="superscript"/>
              </w:rPr>
            </w:pPr>
            <w:r>
              <w:rPr>
                <w:rFonts w:ascii="Calibri" w:hAnsi="Calibri" w:cs="Calibri"/>
                <w:bCs/>
                <w:color w:val="000000"/>
                <w:sz w:val="22"/>
                <w:szCs w:val="22"/>
              </w:rPr>
              <w:t>1063</w:t>
            </w:r>
          </w:p>
        </w:tc>
        <w:tc>
          <w:tcPr>
            <w:tcW w:w="1440" w:type="dxa"/>
            <w:tcBorders>
              <w:bottom w:val="single" w:color="auto" w:sz="4" w:space="0"/>
            </w:tcBorders>
            <w:vAlign w:val="center"/>
          </w:tcPr>
          <w:p w:rsidR="009A01EE" w:rsidP="00D800BE" w:rsidRDefault="009A01EE">
            <w:pPr>
              <w:jc w:val="center"/>
              <w:rPr>
                <w:rFonts w:ascii="Calibri" w:hAnsi="Calibri" w:cs="Calibri"/>
                <w:bCs/>
                <w:color w:val="000000"/>
                <w:sz w:val="22"/>
                <w:szCs w:val="22"/>
              </w:rPr>
            </w:pPr>
          </w:p>
          <w:p w:rsidRPr="00561022" w:rsidR="009A01EE" w:rsidP="00D800BE" w:rsidRDefault="009A01EE">
            <w:pPr>
              <w:jc w:val="center"/>
              <w:rPr>
                <w:rFonts w:ascii="Calibri" w:hAnsi="Calibri" w:cs="Calibri"/>
                <w:sz w:val="22"/>
                <w:szCs w:val="22"/>
              </w:rPr>
            </w:pPr>
            <w:r>
              <w:rPr>
                <w:rFonts w:ascii="Calibri" w:hAnsi="Calibri" w:cs="Calibri"/>
                <w:bCs/>
                <w:color w:val="000000"/>
                <w:sz w:val="22"/>
                <w:szCs w:val="22"/>
              </w:rPr>
              <w:t>1063</w:t>
            </w:r>
          </w:p>
        </w:tc>
        <w:tc>
          <w:tcPr>
            <w:tcW w:w="1440" w:type="dxa"/>
            <w:tcBorders>
              <w:bottom w:val="single" w:color="auto" w:sz="4" w:space="0"/>
            </w:tcBorders>
          </w:tcPr>
          <w:p w:rsidR="009A01EE" w:rsidP="00D800BE" w:rsidRDefault="009A01EE">
            <w:pPr>
              <w:jc w:val="center"/>
              <w:rPr>
                <w:rFonts w:ascii="Calibri" w:hAnsi="Calibri" w:cs="Calibri"/>
                <w:bCs/>
                <w:color w:val="000000"/>
                <w:sz w:val="22"/>
                <w:szCs w:val="22"/>
              </w:rPr>
            </w:pPr>
          </w:p>
          <w:p w:rsidR="009A01EE" w:rsidP="00D800BE" w:rsidRDefault="009A01EE">
            <w:pPr>
              <w:jc w:val="center"/>
              <w:rPr>
                <w:rFonts w:ascii="Calibri" w:hAnsi="Calibri" w:cs="Calibri"/>
                <w:bCs/>
                <w:color w:val="000000"/>
                <w:sz w:val="22"/>
                <w:szCs w:val="22"/>
              </w:rPr>
            </w:pPr>
          </w:p>
          <w:p w:rsidR="009A01EE" w:rsidP="00D800BE" w:rsidRDefault="009A01EE">
            <w:pPr>
              <w:jc w:val="center"/>
              <w:rPr>
                <w:rFonts w:ascii="Calibri" w:hAnsi="Calibri" w:cs="Calibri"/>
                <w:bCs/>
                <w:color w:val="000000"/>
                <w:sz w:val="22"/>
                <w:szCs w:val="22"/>
              </w:rPr>
            </w:pPr>
            <w:r w:rsidRPr="009A01EE">
              <w:rPr>
                <w:rFonts w:ascii="Calibri" w:hAnsi="Calibri" w:cs="Calibri"/>
                <w:bCs/>
                <w:color w:val="000000"/>
                <w:sz w:val="22"/>
                <w:szCs w:val="22"/>
              </w:rPr>
              <w:t>918</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561022" w:rsidR="009A01EE" w:rsidP="00D800BE" w:rsidRDefault="009A01EE">
            <w:pPr>
              <w:jc w:val="center"/>
              <w:rPr>
                <w:rFonts w:ascii="Calibri" w:hAnsi="Calibri" w:cs="Calibri"/>
                <w:sz w:val="22"/>
                <w:szCs w:val="22"/>
              </w:rPr>
            </w:pPr>
            <w:r>
              <w:rPr>
                <w:rFonts w:ascii="Calibri" w:hAnsi="Calibri" w:cs="Calibri"/>
                <w:bCs/>
                <w:color w:val="000000"/>
                <w:sz w:val="22"/>
                <w:szCs w:val="22"/>
              </w:rPr>
              <w:t>873</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561022" w:rsidR="009A01EE" w:rsidP="00D800BE" w:rsidRDefault="009A01EE">
            <w:pPr>
              <w:jc w:val="center"/>
              <w:rPr>
                <w:rFonts w:ascii="Calibri" w:hAnsi="Calibri" w:cs="Calibri"/>
                <w:sz w:val="22"/>
                <w:szCs w:val="22"/>
              </w:rPr>
            </w:pPr>
            <w:r>
              <w:rPr>
                <w:rFonts w:ascii="Calibri" w:hAnsi="Calibri" w:cs="Calibri"/>
                <w:bCs/>
                <w:color w:val="000000"/>
                <w:sz w:val="22"/>
                <w:szCs w:val="22"/>
              </w:rPr>
              <w:t>1064</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561022" w:rsidR="009A01EE" w:rsidP="00D800BE" w:rsidRDefault="009A01EE">
            <w:pPr>
              <w:jc w:val="center"/>
              <w:rPr>
                <w:rFonts w:ascii="Calibri" w:hAnsi="Calibri" w:cs="Calibri"/>
                <w:sz w:val="22"/>
                <w:szCs w:val="22"/>
              </w:rPr>
            </w:pPr>
            <w:r>
              <w:rPr>
                <w:rFonts w:ascii="Calibri" w:hAnsi="Calibri" w:cs="Calibri"/>
                <w:bCs/>
                <w:color w:val="000000"/>
                <w:sz w:val="22"/>
                <w:szCs w:val="22"/>
              </w:rPr>
              <w:t>683</w:t>
            </w:r>
          </w:p>
        </w:tc>
      </w:tr>
      <w:tr w:rsidRPr="00980639" w:rsidR="009A01EE" w:rsidTr="00BE7208">
        <w:trPr>
          <w:trHeight w:val="734"/>
        </w:trPr>
        <w:tc>
          <w:tcPr>
            <w:tcW w:w="2160" w:type="dxa"/>
            <w:gridSpan w:val="2"/>
            <w:tcBorders>
              <w:bottom w:val="single" w:color="auto" w:sz="4" w:space="0"/>
            </w:tcBorders>
            <w:shd w:val="clear" w:color="auto" w:fill="auto"/>
            <w:vAlign w:val="center"/>
          </w:tcPr>
          <w:p w:rsidRPr="0096642A" w:rsidR="009A01EE" w:rsidP="00D800BE" w:rsidRDefault="009A01EE">
            <w:pPr>
              <w:jc w:val="center"/>
              <w:rPr>
                <w:rFonts w:ascii="Calibri" w:hAnsi="Calibri" w:cs="Calibri"/>
                <w:b/>
                <w:sz w:val="22"/>
                <w:szCs w:val="22"/>
              </w:rPr>
            </w:pPr>
            <w:r>
              <w:rPr>
                <w:rFonts w:ascii="Calibri" w:hAnsi="Calibri" w:cs="Calibri"/>
                <w:b/>
                <w:sz w:val="22"/>
                <w:szCs w:val="22"/>
              </w:rPr>
              <w:t xml:space="preserve">Drawn Sample Size </w:t>
            </w:r>
            <w:r w:rsidRPr="00DA0034">
              <w:rPr>
                <w:rFonts w:ascii="Calibri" w:hAnsi="Calibri" w:cs="Calibri"/>
                <w:sz w:val="22"/>
                <w:szCs w:val="22"/>
              </w:rPr>
              <w:t xml:space="preserve">(adjusted for </w:t>
            </w:r>
            <w:r>
              <w:rPr>
                <w:rFonts w:ascii="Calibri" w:hAnsi="Calibri" w:cs="Calibri"/>
                <w:sz w:val="22"/>
                <w:szCs w:val="22"/>
              </w:rPr>
              <w:t>41</w:t>
            </w:r>
            <w:r w:rsidRPr="00DA0034">
              <w:rPr>
                <w:rFonts w:ascii="Calibri" w:hAnsi="Calibri" w:cs="Calibri"/>
                <w:sz w:val="22"/>
                <w:szCs w:val="22"/>
              </w:rPr>
              <w:t>% response rate)</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561022" w:rsidR="009A01EE" w:rsidP="00D800BE" w:rsidRDefault="009A01EE">
            <w:pPr>
              <w:jc w:val="center"/>
              <w:rPr>
                <w:rFonts w:ascii="Calibri" w:hAnsi="Calibri" w:cs="Calibri"/>
                <w:sz w:val="22"/>
                <w:szCs w:val="22"/>
              </w:rPr>
            </w:pPr>
            <w:r>
              <w:rPr>
                <w:rFonts w:ascii="Calibri" w:hAnsi="Calibri" w:cs="Calibri"/>
                <w:bCs/>
                <w:color w:val="000000"/>
                <w:sz w:val="22"/>
                <w:szCs w:val="22"/>
              </w:rPr>
              <w:t>2593</w:t>
            </w:r>
            <w:r w:rsidRPr="00321261">
              <w:rPr>
                <w:rFonts w:ascii="Calibri" w:hAnsi="Calibri" w:cs="Calibri"/>
                <w:bCs/>
                <w:color w:val="000000"/>
                <w:sz w:val="22"/>
                <w:szCs w:val="22"/>
                <w:vertAlign w:val="superscript"/>
              </w:rPr>
              <w:t>^</w:t>
            </w:r>
          </w:p>
        </w:tc>
        <w:tc>
          <w:tcPr>
            <w:tcW w:w="2880" w:type="dxa"/>
            <w:gridSpan w:val="2"/>
            <w:tcBorders>
              <w:bottom w:val="single" w:color="auto" w:sz="4" w:space="0"/>
            </w:tcBorders>
            <w:vAlign w:val="center"/>
          </w:tcPr>
          <w:p w:rsidR="009A01EE" w:rsidP="00D800BE" w:rsidRDefault="009A01EE">
            <w:pPr>
              <w:jc w:val="center"/>
              <w:rPr>
                <w:rFonts w:ascii="Calibri" w:hAnsi="Calibri" w:cs="Calibri"/>
                <w:bCs/>
                <w:color w:val="000000"/>
                <w:sz w:val="22"/>
                <w:szCs w:val="22"/>
              </w:rPr>
            </w:pPr>
          </w:p>
          <w:p w:rsidR="009A01EE" w:rsidP="00D800BE" w:rsidRDefault="00CD6286">
            <w:pPr>
              <w:jc w:val="center"/>
              <w:rPr>
                <w:rFonts w:ascii="Calibri" w:hAnsi="Calibri" w:cs="Calibri"/>
                <w:bCs/>
                <w:color w:val="000000"/>
                <w:sz w:val="22"/>
                <w:szCs w:val="22"/>
              </w:rPr>
            </w:pPr>
            <w:r>
              <w:rPr>
                <w:rFonts w:ascii="Calibri" w:hAnsi="Calibri" w:cs="Calibri"/>
                <w:bCs/>
                <w:color w:val="000000"/>
                <w:sz w:val="22"/>
                <w:szCs w:val="22"/>
              </w:rPr>
              <w:t>4832</w:t>
            </w:r>
            <w:r w:rsidRPr="00321261" w:rsidR="009A01EE">
              <w:rPr>
                <w:rFonts w:ascii="Calibri" w:hAnsi="Calibri" w:cs="Calibri"/>
                <w:bCs/>
                <w:color w:val="000000"/>
                <w:sz w:val="22"/>
                <w:szCs w:val="22"/>
                <w:vertAlign w:val="superscript"/>
              </w:rPr>
              <w:t>^</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561022" w:rsidR="009A01EE" w:rsidP="00D800BE" w:rsidRDefault="009A01EE">
            <w:pPr>
              <w:jc w:val="center"/>
              <w:rPr>
                <w:rFonts w:ascii="Calibri" w:hAnsi="Calibri" w:cs="Calibri"/>
                <w:sz w:val="22"/>
                <w:szCs w:val="22"/>
              </w:rPr>
            </w:pPr>
            <w:r>
              <w:rPr>
                <w:rFonts w:ascii="Calibri" w:hAnsi="Calibri" w:cs="Calibri"/>
                <w:bCs/>
                <w:color w:val="000000"/>
                <w:sz w:val="22"/>
                <w:szCs w:val="22"/>
              </w:rPr>
              <w:t>2129</w:t>
            </w:r>
            <w:r w:rsidRPr="00321261">
              <w:rPr>
                <w:rFonts w:ascii="Calibri" w:hAnsi="Calibri" w:cs="Calibri"/>
                <w:bCs/>
                <w:color w:val="000000"/>
                <w:sz w:val="22"/>
                <w:szCs w:val="22"/>
                <w:vertAlign w:val="superscript"/>
              </w:rPr>
              <w:t>^</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561022" w:rsidR="009A01EE" w:rsidP="00D800BE" w:rsidRDefault="009A01EE">
            <w:pPr>
              <w:jc w:val="center"/>
              <w:rPr>
                <w:rFonts w:ascii="Calibri" w:hAnsi="Calibri" w:cs="Calibri"/>
                <w:sz w:val="22"/>
                <w:szCs w:val="22"/>
              </w:rPr>
            </w:pPr>
            <w:r>
              <w:rPr>
                <w:rFonts w:ascii="Calibri" w:hAnsi="Calibri" w:cs="Calibri"/>
                <w:bCs/>
                <w:color w:val="000000"/>
                <w:sz w:val="22"/>
                <w:szCs w:val="22"/>
              </w:rPr>
              <w:t>2595</w:t>
            </w:r>
            <w:r w:rsidRPr="00321261">
              <w:rPr>
                <w:rFonts w:ascii="Calibri" w:hAnsi="Calibri" w:cs="Calibri"/>
                <w:bCs/>
                <w:color w:val="000000"/>
                <w:sz w:val="22"/>
                <w:szCs w:val="22"/>
                <w:vertAlign w:val="superscript"/>
              </w:rPr>
              <w:t>^</w:t>
            </w:r>
          </w:p>
        </w:tc>
        <w:tc>
          <w:tcPr>
            <w:tcW w:w="1440" w:type="dxa"/>
            <w:tcBorders>
              <w:bottom w:val="single" w:color="auto" w:sz="4" w:space="0"/>
            </w:tcBorders>
            <w:shd w:val="clear" w:color="auto" w:fill="auto"/>
            <w:vAlign w:val="center"/>
          </w:tcPr>
          <w:p w:rsidR="009A01EE" w:rsidP="00D800BE" w:rsidRDefault="009A01EE">
            <w:pPr>
              <w:jc w:val="center"/>
              <w:rPr>
                <w:rFonts w:ascii="Calibri" w:hAnsi="Calibri" w:cs="Calibri"/>
                <w:bCs/>
                <w:color w:val="000000"/>
                <w:sz w:val="22"/>
                <w:szCs w:val="22"/>
              </w:rPr>
            </w:pPr>
          </w:p>
          <w:p w:rsidRPr="00561022" w:rsidR="009A01EE" w:rsidP="002916F3" w:rsidRDefault="009A01EE">
            <w:pPr>
              <w:jc w:val="center"/>
              <w:rPr>
                <w:rFonts w:ascii="Calibri" w:hAnsi="Calibri" w:cs="Calibri"/>
                <w:sz w:val="22"/>
                <w:szCs w:val="22"/>
              </w:rPr>
            </w:pPr>
            <w:r>
              <w:rPr>
                <w:rFonts w:ascii="Calibri" w:hAnsi="Calibri" w:cs="Calibri"/>
                <w:bCs/>
                <w:color w:val="000000"/>
                <w:sz w:val="22"/>
                <w:szCs w:val="22"/>
              </w:rPr>
              <w:t>1666</w:t>
            </w:r>
            <w:r w:rsidRPr="00321261">
              <w:rPr>
                <w:rFonts w:ascii="Calibri" w:hAnsi="Calibri" w:cs="Calibri"/>
                <w:bCs/>
                <w:color w:val="000000"/>
                <w:sz w:val="22"/>
                <w:szCs w:val="22"/>
                <w:vertAlign w:val="superscript"/>
              </w:rPr>
              <w:t>^</w:t>
            </w:r>
          </w:p>
        </w:tc>
      </w:tr>
      <w:tr w:rsidRPr="00980639" w:rsidR="009A01EE" w:rsidTr="009A01EE">
        <w:trPr>
          <w:trHeight w:val="2699"/>
        </w:trPr>
        <w:tc>
          <w:tcPr>
            <w:tcW w:w="1440" w:type="dxa"/>
            <w:tcBorders>
              <w:top w:val="single" w:color="auto" w:sz="4" w:space="0"/>
              <w:left w:val="nil"/>
              <w:bottom w:val="nil"/>
              <w:right w:val="nil"/>
            </w:tcBorders>
          </w:tcPr>
          <w:p w:rsidR="009A01EE" w:rsidP="00D800BE" w:rsidRDefault="009A01EE">
            <w:pPr>
              <w:rPr>
                <w:rFonts w:ascii="Calibri" w:hAnsi="Calibri" w:cs="Calibri"/>
                <w:bCs/>
                <w:color w:val="000000"/>
                <w:sz w:val="22"/>
                <w:szCs w:val="22"/>
              </w:rPr>
            </w:pPr>
          </w:p>
        </w:tc>
        <w:tc>
          <w:tcPr>
            <w:tcW w:w="9360" w:type="dxa"/>
            <w:gridSpan w:val="7"/>
            <w:tcBorders>
              <w:top w:val="single" w:color="auto" w:sz="4" w:space="0"/>
              <w:left w:val="nil"/>
              <w:bottom w:val="nil"/>
              <w:right w:val="nil"/>
            </w:tcBorders>
            <w:shd w:val="clear" w:color="auto" w:fill="auto"/>
          </w:tcPr>
          <w:p w:rsidR="009A01EE" w:rsidP="00D800BE" w:rsidRDefault="000A6E8F">
            <w:pPr>
              <w:rPr>
                <w:rFonts w:ascii="Calibri" w:hAnsi="Calibri" w:cs="Calibri"/>
                <w:bCs/>
                <w:color w:val="000000"/>
                <w:sz w:val="22"/>
                <w:szCs w:val="22"/>
              </w:rPr>
            </w:pPr>
            <w:r>
              <w:rPr>
                <w:rFonts w:ascii="Calibri" w:hAnsi="Calibri" w:cs="Calibri"/>
                <w:bCs/>
                <w:noProof/>
                <w:color w:val="000000"/>
                <w:sz w:val="22"/>
                <w:szCs w:val="22"/>
              </w:rPr>
              <w:drawing>
                <wp:inline distT="0" distB="0" distL="0" distR="0">
                  <wp:extent cx="5828030" cy="1792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8030" cy="1792605"/>
                          </a:xfrm>
                          <a:prstGeom prst="rect">
                            <a:avLst/>
                          </a:prstGeom>
                          <a:noFill/>
                        </pic:spPr>
                      </pic:pic>
                    </a:graphicData>
                  </a:graphic>
                </wp:inline>
              </w:drawing>
            </w:r>
          </w:p>
          <w:p w:rsidRPr="00DA0034" w:rsidR="009A01EE" w:rsidDel="00D82BAC" w:rsidP="00D800BE" w:rsidRDefault="009A01EE">
            <w:pPr>
              <w:rPr>
                <w:rFonts w:ascii="Calibri" w:hAnsi="Calibri" w:cs="Calibri"/>
                <w:bCs/>
                <w:color w:val="000000"/>
                <w:sz w:val="22"/>
                <w:szCs w:val="22"/>
              </w:rPr>
            </w:pPr>
            <w:r w:rsidRPr="00F05530">
              <w:rPr>
                <w:rFonts w:ascii="Calibri" w:hAnsi="Calibri" w:cs="Calibri"/>
                <w:bCs/>
                <w:color w:val="000000"/>
                <w:szCs w:val="22"/>
                <w:vertAlign w:val="superscript"/>
              </w:rPr>
              <w:t>^</w:t>
            </w:r>
            <w:r>
              <w:rPr>
                <w:rFonts w:ascii="Calibri" w:hAnsi="Calibri" w:cs="Calibri"/>
                <w:bCs/>
                <w:color w:val="000000"/>
                <w:szCs w:val="22"/>
              </w:rPr>
              <w:t>Based on 1064, t</w:t>
            </w:r>
            <w:r w:rsidRPr="00F05530">
              <w:rPr>
                <w:rFonts w:ascii="Calibri" w:hAnsi="Calibri" w:cs="Calibri"/>
                <w:bCs/>
                <w:color w:val="000000"/>
                <w:szCs w:val="22"/>
              </w:rPr>
              <w:t>he large</w:t>
            </w:r>
            <w:r>
              <w:rPr>
                <w:rFonts w:ascii="Calibri" w:hAnsi="Calibri" w:cs="Calibri"/>
                <w:bCs/>
                <w:color w:val="000000"/>
                <w:szCs w:val="22"/>
              </w:rPr>
              <w:t>st of the computed sample sizes for populations of 200,000+</w:t>
            </w:r>
            <w:r w:rsidRPr="00F05530">
              <w:rPr>
                <w:rFonts w:ascii="Calibri" w:hAnsi="Calibri" w:cs="Calibri"/>
                <w:bCs/>
                <w:color w:val="000000"/>
                <w:szCs w:val="22"/>
              </w:rPr>
              <w:t>.</w:t>
            </w:r>
          </w:p>
        </w:tc>
      </w:tr>
    </w:tbl>
    <w:p w:rsidRPr="00980639" w:rsidR="00E92324" w:rsidP="00E92324" w:rsidRDefault="00E92324">
      <w:pPr>
        <w:rPr>
          <w:rFonts w:ascii="Calibri" w:hAnsi="Calibri" w:cs="Calibri"/>
        </w:rPr>
      </w:pPr>
    </w:p>
    <w:p w:rsidR="00BA3587" w:rsidP="00BA3587" w:rsidRDefault="00BA3587">
      <w:pPr>
        <w:rPr>
          <w:sz w:val="22"/>
        </w:rPr>
      </w:pPr>
    </w:p>
    <w:p w:rsidR="00BA3587" w:rsidP="00BA3587" w:rsidRDefault="00BA3587">
      <w:pPr>
        <w:rPr>
          <w:sz w:val="22"/>
        </w:rPr>
      </w:pPr>
    </w:p>
    <w:p w:rsidR="00BA3587" w:rsidP="00BA3587" w:rsidRDefault="00BA3587">
      <w:pPr>
        <w:rPr>
          <w:b/>
          <w:sz w:val="22"/>
        </w:rPr>
      </w:pPr>
      <w:r>
        <w:rPr>
          <w:b/>
          <w:sz w:val="22"/>
        </w:rPr>
        <w:t>2.  Describe the procedures for the collection of information.</w:t>
      </w:r>
    </w:p>
    <w:p w:rsidR="00C265E5" w:rsidP="00C265E5" w:rsidRDefault="00C265E5">
      <w:pPr>
        <w:rPr>
          <w:rFonts w:ascii="Calibri" w:hAnsi="Calibri" w:cs="Calibri"/>
        </w:rPr>
      </w:pPr>
      <w:r>
        <w:rPr>
          <w:rFonts w:ascii="Calibri" w:hAnsi="Calibri" w:cs="Calibri"/>
        </w:rPr>
        <w:t xml:space="preserve">A </w:t>
      </w:r>
      <w:r w:rsidRPr="00DD69A7">
        <w:rPr>
          <w:rFonts w:ascii="Calibri" w:hAnsi="Calibri" w:cs="Calibri"/>
        </w:rPr>
        <w:t>simple random sample will be drawn from the sampling frames provided by the FAA system of records for certified pilots, mechanics, and air carriers. The SAFE program standard for precision in the sample data is 3 percentage points</w:t>
      </w:r>
      <w:r>
        <w:rPr>
          <w:rFonts w:ascii="Calibri" w:hAnsi="Calibri" w:cs="Calibri"/>
        </w:rPr>
        <w:t xml:space="preserve"> from the population value with a 95% confidence level that the estimate is within the margin of error. </w:t>
      </w:r>
    </w:p>
    <w:p w:rsidR="00C265E5" w:rsidP="00C265E5" w:rsidRDefault="00C265E5">
      <w:pPr>
        <w:rPr>
          <w:rFonts w:ascii="Calibri" w:hAnsi="Calibri" w:cs="Calibri"/>
        </w:rPr>
      </w:pPr>
    </w:p>
    <w:p w:rsidRPr="00980639" w:rsidR="00C265E5" w:rsidP="00C265E5" w:rsidRDefault="00C265E5">
      <w:pPr>
        <w:rPr>
          <w:rFonts w:ascii="Calibri" w:hAnsi="Calibri" w:cs="Calibri"/>
        </w:rPr>
      </w:pPr>
      <w:r>
        <w:rPr>
          <w:rFonts w:ascii="Calibri" w:hAnsi="Calibri" w:cs="Calibri"/>
        </w:rPr>
        <w:t>Stakeholder groups are on a 4-year data collection cycle, which minimizes the burden on respondents.</w:t>
      </w:r>
      <w:r w:rsidRPr="005B535C">
        <w:rPr>
          <w:rFonts w:ascii="Calibri" w:hAnsi="Calibri" w:cs="Calibri"/>
        </w:rPr>
        <w:t xml:space="preserve"> </w:t>
      </w:r>
      <w:r>
        <w:rPr>
          <w:rFonts w:ascii="Calibri" w:hAnsi="Calibri" w:cs="Calibri"/>
        </w:rPr>
        <w:t>Further, a mix-mode survey approach is being used, so respondents can choose the most convenient way to submit a survey--via a personal computer (PC), mobile device, or on paper. Thus, a unimode survey design is being used for each stakeholder survey to present respondents with identical experiences (e.g., item sequence, type, and wording) no matter which administration mode they choose.</w:t>
      </w:r>
    </w:p>
    <w:p w:rsidR="00BA3587" w:rsidP="00BA3587" w:rsidRDefault="00BA3587">
      <w:pPr>
        <w:rPr>
          <w:sz w:val="22"/>
        </w:rPr>
      </w:pPr>
    </w:p>
    <w:p w:rsidR="00BA3587" w:rsidP="00BA3587" w:rsidRDefault="00BA3587">
      <w:pPr>
        <w:rPr>
          <w:sz w:val="22"/>
          <w:szCs w:val="22"/>
        </w:rPr>
      </w:pPr>
    </w:p>
    <w:p w:rsidR="00BA3587" w:rsidP="00BA3587" w:rsidRDefault="00BA3587">
      <w:pPr>
        <w:rPr>
          <w:b/>
          <w:sz w:val="22"/>
        </w:rPr>
      </w:pPr>
      <w:r>
        <w:rPr>
          <w:b/>
          <w:sz w:val="22"/>
        </w:rPr>
        <w:t>3.  Describe methods to maximize response rates.</w:t>
      </w:r>
    </w:p>
    <w:p w:rsidRPr="00DF31EB" w:rsidR="00C265E5" w:rsidP="00C265E5" w:rsidRDefault="00C26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F31EB">
        <w:rPr>
          <w:rFonts w:ascii="Calibri" w:hAnsi="Calibri" w:cs="Calibri"/>
          <w:i/>
          <w:iCs/>
        </w:rPr>
        <w:t>Methods to maximize response rates:</w:t>
      </w:r>
      <w:r w:rsidRPr="00DF31EB">
        <w:rPr>
          <w:rFonts w:ascii="Calibri" w:hAnsi="Calibri" w:cs="Calibri"/>
        </w:rPr>
        <w:t xml:space="preserve"> </w:t>
      </w:r>
    </w:p>
    <w:p w:rsidRPr="00715628" w:rsidR="00C265E5" w:rsidP="00C265E5" w:rsidRDefault="00C265E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A mixed-mode survey methodology is being used to allow r</w:t>
      </w:r>
      <w:r w:rsidRPr="001612A8">
        <w:rPr>
          <w:rFonts w:ascii="Calibri" w:hAnsi="Calibri" w:cs="Calibri"/>
        </w:rPr>
        <w:t xml:space="preserve">espondents </w:t>
      </w:r>
      <w:r>
        <w:rPr>
          <w:rFonts w:ascii="Calibri" w:hAnsi="Calibri" w:cs="Calibri"/>
        </w:rPr>
        <w:t xml:space="preserve">the convenience of </w:t>
      </w:r>
      <w:r w:rsidRPr="001612A8">
        <w:rPr>
          <w:rFonts w:ascii="Calibri" w:hAnsi="Calibri" w:cs="Calibri"/>
        </w:rPr>
        <w:t xml:space="preserve">choosing how </w:t>
      </w:r>
      <w:r>
        <w:rPr>
          <w:rFonts w:ascii="Calibri" w:hAnsi="Calibri" w:cs="Calibri"/>
        </w:rPr>
        <w:t xml:space="preserve">(PC, mobile device, paper) </w:t>
      </w:r>
      <w:r w:rsidRPr="001612A8">
        <w:rPr>
          <w:rFonts w:ascii="Calibri" w:hAnsi="Calibri" w:cs="Calibri"/>
        </w:rPr>
        <w:t xml:space="preserve">and when they complete the survey, within the opening and closing dates. </w:t>
      </w:r>
    </w:p>
    <w:p w:rsidRPr="00DF31EB" w:rsidR="00C265E5" w:rsidP="00C265E5" w:rsidRDefault="00C265E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Notices will be published in trade magazines and posted on professional organizations websites, to alert potential respondents of the upcoming survey.</w:t>
      </w:r>
    </w:p>
    <w:p w:rsidRPr="00DF31EB" w:rsidR="00C265E5" w:rsidP="00C265E5" w:rsidRDefault="00C265E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An invitation from the FAA Flight Standards Service to participate will be mailed out to potential respondents, once the survey is online. The invitation will detail the purpose of the survey; the importance and benefit of providing feedback to improve service quality and delivery; directions for accessing the survey in each mode; the date the survey closes; and contact information for tech support and questions.</w:t>
      </w:r>
    </w:p>
    <w:p w:rsidRPr="00DF31EB" w:rsidR="00C265E5" w:rsidP="00C265E5" w:rsidRDefault="00C265E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 xml:space="preserve">Returns will be tracked based on a unique identifier; so that reminder </w:t>
      </w:r>
      <w:r>
        <w:rPr>
          <w:rFonts w:ascii="Calibri" w:hAnsi="Calibri" w:cs="Calibri"/>
        </w:rPr>
        <w:t>letters</w:t>
      </w:r>
      <w:r w:rsidRPr="00DF31EB">
        <w:rPr>
          <w:rFonts w:ascii="Calibri" w:hAnsi="Calibri" w:cs="Calibri"/>
        </w:rPr>
        <w:t xml:space="preserve"> from the FAA Flight Standards Service sent out 2 weeks and 4 weeks after the survey opens will only go to those potential respondents that have not submitted a survey.</w:t>
      </w:r>
    </w:p>
    <w:p w:rsidRPr="00DF31EB" w:rsidR="00C265E5" w:rsidP="00C265E5" w:rsidRDefault="00C265E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At 2 weeks before the survey closes, a final reminder letter from the FAA Flight Standards Service will be sent to those who have submitted a survey.</w:t>
      </w:r>
    </w:p>
    <w:p w:rsidRPr="00DF31EB" w:rsidR="00C265E5" w:rsidP="00C265E5" w:rsidRDefault="00C26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rsidRPr="00DF31EB" w:rsidR="00C265E5" w:rsidP="00C265E5" w:rsidRDefault="00C26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rPr>
      </w:pPr>
      <w:r w:rsidRPr="00DF31EB">
        <w:rPr>
          <w:rFonts w:ascii="Calibri" w:hAnsi="Calibri" w:cs="Calibri"/>
          <w:i/>
        </w:rPr>
        <w:t>Methods to assess generalizability:</w:t>
      </w:r>
    </w:p>
    <w:p w:rsidRPr="00DF31EB" w:rsidR="00C265E5" w:rsidP="00C265E5" w:rsidRDefault="00C265E5">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 xml:space="preserve">Non-response </w:t>
      </w:r>
      <w:r>
        <w:rPr>
          <w:rFonts w:ascii="Calibri" w:hAnsi="Calibri" w:cs="Calibri"/>
        </w:rPr>
        <w:t xml:space="preserve">bias </w:t>
      </w:r>
      <w:r w:rsidRPr="00DF31EB">
        <w:rPr>
          <w:rFonts w:ascii="Calibri" w:hAnsi="Calibri" w:cs="Calibri"/>
        </w:rPr>
        <w:t xml:space="preserve">analyses will be conducted </w:t>
      </w:r>
      <w:r>
        <w:rPr>
          <w:rFonts w:ascii="Calibri" w:hAnsi="Calibri" w:cs="Calibri"/>
        </w:rPr>
        <w:t xml:space="preserve">to determine if respondents differ systematically from non-respondents. The two groups will be compared on proportions of relevant characteristics found in the </w:t>
      </w:r>
      <w:r w:rsidRPr="00DF31EB">
        <w:rPr>
          <w:rFonts w:ascii="Calibri" w:hAnsi="Calibri" w:cs="Calibri"/>
        </w:rPr>
        <w:t>sampling frame</w:t>
      </w:r>
      <w:r>
        <w:rPr>
          <w:rFonts w:ascii="Calibri" w:hAnsi="Calibri" w:cs="Calibri"/>
        </w:rPr>
        <w:t xml:space="preserve"> data (e.g., type of certificate, years certified, region operating out of, and size of aviation operation). Proportional differences greater than 15% will be examined in relation to impact on survey outcomes to determine if it is necessary to contact non-respondents to minimize bias. Foremost, the analysis will reveal</w:t>
      </w:r>
      <w:r w:rsidRPr="0031152C">
        <w:rPr>
          <w:rFonts w:ascii="Calibri" w:hAnsi="Calibri" w:cs="Calibri"/>
        </w:rPr>
        <w:t xml:space="preserve"> </w:t>
      </w:r>
      <w:r>
        <w:rPr>
          <w:rFonts w:ascii="Calibri" w:hAnsi="Calibri" w:cs="Calibri"/>
        </w:rPr>
        <w:t>potential limitations of the survey results.</w:t>
      </w:r>
      <w:r w:rsidRPr="00DF31EB">
        <w:rPr>
          <w:rFonts w:ascii="Calibri" w:hAnsi="Calibri" w:cs="Calibri"/>
        </w:rPr>
        <w:t xml:space="preserve"> </w:t>
      </w:r>
    </w:p>
    <w:p w:rsidRPr="00DF31EB" w:rsidR="00C265E5" w:rsidP="00C265E5" w:rsidRDefault="00C265E5">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 xml:space="preserve">Comparisons of responses will be made among survey modes while controlling for respondent characteristics to test for response biases before compiling the final dataset. </w:t>
      </w:r>
    </w:p>
    <w:p w:rsidRPr="00DF31EB" w:rsidR="00C265E5" w:rsidP="00C265E5" w:rsidRDefault="00C265E5">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DF31EB">
        <w:rPr>
          <w:rFonts w:ascii="Calibri" w:hAnsi="Calibri" w:cs="Calibri"/>
        </w:rPr>
        <w:t xml:space="preserve">Weighted sample procedures will be used to mitigate bias if respondents differ significantly from the population. </w:t>
      </w:r>
    </w:p>
    <w:p w:rsidR="00BA3587" w:rsidP="00BA3587" w:rsidRDefault="00BA3587">
      <w:pPr>
        <w:rPr>
          <w:sz w:val="22"/>
        </w:rPr>
      </w:pPr>
    </w:p>
    <w:p w:rsidR="00BA3587" w:rsidP="00BA3587" w:rsidRDefault="00BA3587">
      <w:pPr>
        <w:rPr>
          <w:b/>
          <w:sz w:val="22"/>
        </w:rPr>
      </w:pPr>
      <w:r>
        <w:rPr>
          <w:b/>
          <w:sz w:val="22"/>
        </w:rPr>
        <w:t>4.  Describe tests of procedures and methods to be undertaken.</w:t>
      </w:r>
    </w:p>
    <w:p w:rsidRPr="00980639" w:rsidR="00C265E5" w:rsidP="00C265E5" w:rsidRDefault="00C265E5">
      <w:pPr>
        <w:rPr>
          <w:rFonts w:ascii="Calibri" w:hAnsi="Calibri" w:cs="Calibri"/>
        </w:rPr>
      </w:pPr>
      <w:r>
        <w:rPr>
          <w:rFonts w:ascii="Calibri" w:hAnsi="Calibri" w:cs="Calibri"/>
        </w:rPr>
        <w:t>A thorough item review process will be employed to include reviews by subject matter experts to ensure proper use of terminology and comprehensiveness of response options. As well, the electronic survey modes will undergo verification and validation to ensure that the items and response options properly display and correctly respond to input, and that the output is accurately stored.</w:t>
      </w:r>
    </w:p>
    <w:p w:rsidR="00BA3587" w:rsidP="00BA3587" w:rsidRDefault="00BA3587">
      <w:pPr>
        <w:rPr>
          <w:sz w:val="22"/>
        </w:rPr>
      </w:pPr>
    </w:p>
    <w:p w:rsidR="00BA3587" w:rsidP="00BA3587" w:rsidRDefault="00BA3587">
      <w:pPr>
        <w:rPr>
          <w:sz w:val="22"/>
        </w:rPr>
      </w:pPr>
    </w:p>
    <w:p w:rsidR="00BA3587" w:rsidP="00BA3587" w:rsidRDefault="00BA3587">
      <w:pPr>
        <w:rPr>
          <w:b/>
          <w:sz w:val="22"/>
        </w:rPr>
      </w:pPr>
      <w:r>
        <w:rPr>
          <w:b/>
          <w:sz w:val="22"/>
        </w:rPr>
        <w:t>5.  Provide the names of consultants and the person who will collect and analyze the information.</w:t>
      </w:r>
    </w:p>
    <w:p w:rsidRPr="00DA0034" w:rsidR="00C265E5" w:rsidP="00C265E5" w:rsidRDefault="00C265E5">
      <w:pPr>
        <w:rPr>
          <w:rFonts w:ascii="Calibri" w:hAnsi="Calibri" w:cs="Calibri"/>
        </w:rPr>
      </w:pPr>
      <w:r w:rsidRPr="00DA0034">
        <w:rPr>
          <w:rFonts w:ascii="Calibri" w:hAnsi="Calibri" w:cs="Calibri"/>
        </w:rPr>
        <w:t xml:space="preserve">The survey </w:t>
      </w:r>
      <w:r w:rsidRPr="00DF31EB">
        <w:rPr>
          <w:rFonts w:ascii="Calibri" w:hAnsi="Calibri" w:cs="Calibri"/>
        </w:rPr>
        <w:t>design</w:t>
      </w:r>
      <w:r w:rsidRPr="00DA0034">
        <w:rPr>
          <w:rFonts w:ascii="Calibri" w:hAnsi="Calibri" w:cs="Calibri"/>
        </w:rPr>
        <w:t xml:space="preserve"> and analysis will be conducted under the direction of </w:t>
      </w:r>
      <w:r>
        <w:rPr>
          <w:rFonts w:ascii="Calibri" w:hAnsi="Calibri" w:cs="Calibri"/>
        </w:rPr>
        <w:t>Dr. Jamie Barrett</w:t>
      </w:r>
      <w:r w:rsidRPr="00DF31EB">
        <w:rPr>
          <w:rFonts w:ascii="Calibri" w:hAnsi="Calibri" w:cs="Calibri"/>
        </w:rPr>
        <w:t xml:space="preserve"> [</w:t>
      </w:r>
      <w:hyperlink w:history="1" r:id="rId8"/>
      <w:r>
        <w:rPr>
          <w:rFonts w:ascii="Calibri" w:hAnsi="Calibri" w:cs="Calibri"/>
        </w:rPr>
        <w:t xml:space="preserve">Jamie. </w:t>
      </w:r>
      <w:hyperlink w:history="1" r:id="rId9">
        <w:r w:rsidRPr="00686352">
          <w:rPr>
            <w:rStyle w:val="Hyperlink"/>
            <w:rFonts w:ascii="Calibri" w:hAnsi="Calibri" w:cs="Calibri"/>
          </w:rPr>
          <w:t>barrett@faa.gov</w:t>
        </w:r>
      </w:hyperlink>
      <w:r>
        <w:rPr>
          <w:rFonts w:ascii="Calibri" w:hAnsi="Calibri" w:cs="Calibri"/>
        </w:rPr>
        <w:t xml:space="preserve"> </w:t>
      </w:r>
      <w:r w:rsidRPr="00E61A0A">
        <w:rPr>
          <w:rFonts w:ascii="Calibri" w:hAnsi="Calibri" w:cs="Calibri"/>
        </w:rPr>
        <w:t>or (405) 954-</w:t>
      </w:r>
      <w:r>
        <w:rPr>
          <w:rFonts w:ascii="Calibri" w:hAnsi="Calibri" w:cs="Calibri"/>
        </w:rPr>
        <w:t>6836], Engineering Research Psychologist</w:t>
      </w:r>
      <w:r w:rsidRPr="00DF31EB">
        <w:rPr>
          <w:rFonts w:ascii="Calibri" w:hAnsi="Calibri" w:cs="Calibri"/>
        </w:rPr>
        <w:t>,</w:t>
      </w:r>
      <w:r>
        <w:rPr>
          <w:rFonts w:ascii="Calibri" w:hAnsi="Calibri" w:cs="Calibri"/>
        </w:rPr>
        <w:t xml:space="preserve"> located at the</w:t>
      </w:r>
      <w:r w:rsidRPr="00DA0034">
        <w:rPr>
          <w:rFonts w:ascii="Calibri" w:hAnsi="Calibri" w:cs="Calibri"/>
        </w:rPr>
        <w:t xml:space="preserve"> Civil Aerospace Medical Institute, </w:t>
      </w:r>
      <w:r>
        <w:rPr>
          <w:rFonts w:ascii="Calibri" w:hAnsi="Calibri" w:cs="Calibri"/>
        </w:rPr>
        <w:t xml:space="preserve">in </w:t>
      </w:r>
      <w:r w:rsidRPr="00DA0034">
        <w:rPr>
          <w:rFonts w:ascii="Calibri" w:hAnsi="Calibri" w:cs="Calibri"/>
        </w:rPr>
        <w:t>Oklahoma City.</w:t>
      </w:r>
    </w:p>
    <w:p w:rsidRPr="00DA0034" w:rsidR="00C265E5" w:rsidP="00C265E5" w:rsidRDefault="00C265E5">
      <w:pPr>
        <w:rPr>
          <w:rFonts w:ascii="Calibri" w:hAnsi="Calibri" w:cs="Calibri"/>
        </w:rPr>
      </w:pPr>
    </w:p>
    <w:p w:rsidRPr="00DA0034" w:rsidR="00C265E5" w:rsidP="00C265E5" w:rsidRDefault="00C265E5">
      <w:pPr>
        <w:rPr>
          <w:rFonts w:ascii="Calibri" w:hAnsi="Calibri" w:cs="Calibri"/>
        </w:rPr>
      </w:pPr>
      <w:r w:rsidRPr="00DA0034">
        <w:rPr>
          <w:rFonts w:ascii="Calibri" w:hAnsi="Calibri" w:cs="Calibri"/>
        </w:rPr>
        <w:t>The survey will be distributed and the data will be collected</w:t>
      </w:r>
      <w:r>
        <w:rPr>
          <w:rFonts w:ascii="Calibri" w:hAnsi="Calibri" w:cs="Calibri"/>
        </w:rPr>
        <w:t xml:space="preserve"> </w:t>
      </w:r>
      <w:r w:rsidRPr="00DA0034">
        <w:rPr>
          <w:rFonts w:ascii="Calibri" w:hAnsi="Calibri" w:cs="Calibri"/>
        </w:rPr>
        <w:t xml:space="preserve">by a survey contractor, </w:t>
      </w:r>
      <w:r>
        <w:rPr>
          <w:rFonts w:ascii="Calibri" w:hAnsi="Calibri" w:cs="Calibri"/>
        </w:rPr>
        <w:t>Cherokee Nation 3-S</w:t>
      </w:r>
      <w:r w:rsidRPr="00DA0034">
        <w:rPr>
          <w:rFonts w:ascii="Calibri" w:hAnsi="Calibri" w:cs="Calibri"/>
        </w:rPr>
        <w:t>. The</w:t>
      </w:r>
      <w:r w:rsidRPr="00DF31EB">
        <w:rPr>
          <w:rFonts w:ascii="Calibri" w:hAnsi="Calibri" w:cs="Calibri"/>
        </w:rPr>
        <w:t>ir</w:t>
      </w:r>
      <w:r w:rsidRPr="00DA0034">
        <w:rPr>
          <w:rFonts w:ascii="Calibri" w:hAnsi="Calibri" w:cs="Calibri"/>
        </w:rPr>
        <w:t xml:space="preserve"> point of contact will be Janine King (</w:t>
      </w:r>
      <w:hyperlink w:history="1" r:id="rId10">
        <w:r w:rsidRPr="00DA0034">
          <w:rPr>
            <w:rStyle w:val="Hyperlink"/>
            <w:rFonts w:ascii="Calibri" w:hAnsi="Calibri" w:cs="Calibri"/>
          </w:rPr>
          <w:t>Janine.ctr.king@faa.gov</w:t>
        </w:r>
      </w:hyperlink>
      <w:r w:rsidRPr="00DA0034">
        <w:rPr>
          <w:rFonts w:ascii="Calibri" w:hAnsi="Calibri" w:cs="Calibri"/>
        </w:rPr>
        <w:t xml:space="preserve">). </w:t>
      </w:r>
    </w:p>
    <w:p w:rsidRPr="00980639" w:rsidR="00C265E5" w:rsidP="00C265E5" w:rsidRDefault="00C265E5">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Calibri" w:hAnsi="Calibri" w:cs="Calibri"/>
          <w:bCs/>
          <w:szCs w:val="24"/>
        </w:rPr>
      </w:pPr>
    </w:p>
    <w:p w:rsidR="00BA3587" w:rsidP="00C265E5" w:rsidRDefault="00BA3587"/>
    <w:sectPr w:rsidR="00BA3587" w:rsidSect="00BA3587">
      <w:endnotePr>
        <w:numFmt w:val="decimal"/>
      </w:endnotePr>
      <w:pgSz w:w="12240" w:h="15840" w:code="1"/>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208" w:rsidRDefault="00BE7208">
      <w:r>
        <w:separator/>
      </w:r>
    </w:p>
  </w:endnote>
  <w:endnote w:type="continuationSeparator" w:id="0">
    <w:p w:rsidR="00BE7208" w:rsidRDefault="00BE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208" w:rsidRDefault="00BE7208">
      <w:r>
        <w:separator/>
      </w:r>
    </w:p>
  </w:footnote>
  <w:footnote w:type="continuationSeparator" w:id="0">
    <w:p w:rsidR="00BE7208" w:rsidRDefault="00BE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004A8"/>
    <w:multiLevelType w:val="hybridMultilevel"/>
    <w:tmpl w:val="B6BE2600"/>
    <w:lvl w:ilvl="0" w:tplc="04090001">
      <w:start w:val="1"/>
      <w:numFmt w:val="bullet"/>
      <w:lvlText w:val=""/>
      <w:lvlJc w:val="left"/>
      <w:pPr>
        <w:tabs>
          <w:tab w:val="num" w:pos="360"/>
        </w:tabs>
        <w:ind w:left="360" w:hanging="360"/>
      </w:pPr>
      <w:rPr>
        <w:rFonts w:ascii="Symbol" w:hAnsi="Symbol" w:hint="default"/>
        <w:b/>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FDE7880"/>
    <w:multiLevelType w:val="hybridMultilevel"/>
    <w:tmpl w:val="314C7F8E"/>
    <w:lvl w:ilvl="0" w:tplc="04090001">
      <w:start w:val="1"/>
      <w:numFmt w:val="bullet"/>
      <w:lvlText w:val=""/>
      <w:lvlJc w:val="left"/>
      <w:pPr>
        <w:tabs>
          <w:tab w:val="num" w:pos="360"/>
        </w:tabs>
        <w:ind w:left="360" w:hanging="360"/>
      </w:pPr>
      <w:rPr>
        <w:rFonts w:ascii="Symbol" w:hAnsi="Symbol" w:hint="default"/>
        <w:b/>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7"/>
    <w:rsid w:val="000A6E8F"/>
    <w:rsid w:val="002916F3"/>
    <w:rsid w:val="002F0304"/>
    <w:rsid w:val="00563182"/>
    <w:rsid w:val="005A1AC6"/>
    <w:rsid w:val="005B7A6C"/>
    <w:rsid w:val="00611695"/>
    <w:rsid w:val="006A5B69"/>
    <w:rsid w:val="006D7A63"/>
    <w:rsid w:val="0070350B"/>
    <w:rsid w:val="00734089"/>
    <w:rsid w:val="007715AE"/>
    <w:rsid w:val="007B7EF5"/>
    <w:rsid w:val="00895741"/>
    <w:rsid w:val="009A01EE"/>
    <w:rsid w:val="00AA5EE4"/>
    <w:rsid w:val="00BA3587"/>
    <w:rsid w:val="00BE7208"/>
    <w:rsid w:val="00C265E5"/>
    <w:rsid w:val="00CD6286"/>
    <w:rsid w:val="00D800BE"/>
    <w:rsid w:val="00DD2555"/>
    <w:rsid w:val="00E27E05"/>
    <w:rsid w:val="00E9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8204D5-547C-4E07-A61E-49CDD49C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A3587"/>
    <w:pPr>
      <w:jc w:val="center"/>
    </w:pPr>
    <w:rPr>
      <w:b/>
      <w:bCs/>
    </w:rPr>
  </w:style>
  <w:style w:type="character" w:styleId="Hyperlink">
    <w:name w:val="Hyperlink"/>
    <w:rsid w:val="00C26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anine.ctr.king@faa.gov" TargetMode="External"/><Relationship Id="rId4" Type="http://schemas.openxmlformats.org/officeDocument/2006/relationships/webSettings" Target="webSettings.xml"/><Relationship Id="rId9" Type="http://schemas.openxmlformats.org/officeDocument/2006/relationships/hyperlink" Target="mailto:barrett@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5868</CharactersWithSpaces>
  <SharedDoc>false</SharedDoc>
  <HLinks>
    <vt:vector size="18" baseType="variant">
      <vt:variant>
        <vt:i4>6553683</vt:i4>
      </vt:variant>
      <vt:variant>
        <vt:i4>9</vt:i4>
      </vt:variant>
      <vt:variant>
        <vt:i4>0</vt:i4>
      </vt:variant>
      <vt:variant>
        <vt:i4>5</vt:i4>
      </vt:variant>
      <vt:variant>
        <vt:lpwstr>mailto:Janine.ctr.king@faa.gov</vt:lpwstr>
      </vt:variant>
      <vt:variant>
        <vt:lpwstr/>
      </vt:variant>
      <vt:variant>
        <vt:i4>7667789</vt:i4>
      </vt:variant>
      <vt:variant>
        <vt:i4>6</vt:i4>
      </vt:variant>
      <vt:variant>
        <vt:i4>0</vt:i4>
      </vt:variant>
      <vt:variant>
        <vt:i4>5</vt:i4>
      </vt:variant>
      <vt:variant>
        <vt:lpwstr>mailto:barrett@faa.gov</vt:lpwstr>
      </vt:variant>
      <vt:variant>
        <vt:lpwstr/>
      </vt: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subject/>
  <dc:creator>Taylor CTR Dahl</dc:creator>
  <cp:keywords/>
  <cp:lastModifiedBy>Tonic, Jacqueline (FAA)</cp:lastModifiedBy>
  <cp:revision>2</cp:revision>
  <dcterms:created xsi:type="dcterms:W3CDTF">2020-11-16T19:57:00Z</dcterms:created>
  <dcterms:modified xsi:type="dcterms:W3CDTF">2020-11-16T19:57:00Z</dcterms:modified>
</cp:coreProperties>
</file>