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5C" w:rsidRDefault="00C4595C" w14:paraId="40DA9DFD" w14:textId="77777777">
      <w:pPr>
        <w:tabs>
          <w:tab w:val="left" w:pos="-720"/>
        </w:tabs>
        <w:suppressAutoHyphens/>
        <w:jc w:val="center"/>
        <w:rPr>
          <w:b/>
          <w:sz w:val="24"/>
        </w:rPr>
      </w:pPr>
      <w:r>
        <w:rPr>
          <w:b/>
          <w:sz w:val="24"/>
        </w:rPr>
        <w:t>SUPPORTING STATEMENT</w:t>
      </w:r>
    </w:p>
    <w:p w:rsidR="00C4595C" w:rsidRDefault="00C4595C" w14:paraId="1DEBBE97" w14:textId="77777777">
      <w:pPr>
        <w:tabs>
          <w:tab w:val="left" w:pos="-720"/>
        </w:tabs>
        <w:suppressAutoHyphens/>
        <w:jc w:val="center"/>
        <w:rPr>
          <w:b/>
          <w:sz w:val="24"/>
        </w:rPr>
      </w:pPr>
    </w:p>
    <w:p w:rsidR="00C4595C" w:rsidRDefault="00C4595C" w14:paraId="77FB6BDD" w14:textId="77777777">
      <w:pPr>
        <w:tabs>
          <w:tab w:val="left" w:pos="-720"/>
        </w:tabs>
        <w:suppressAutoHyphens/>
        <w:rPr>
          <w:b/>
          <w:sz w:val="24"/>
          <w:u w:val="single"/>
        </w:rPr>
      </w:pPr>
      <w:r w:rsidRPr="00BC042A">
        <w:rPr>
          <w:b/>
          <w:sz w:val="24"/>
          <w:szCs w:val="24"/>
        </w:rPr>
        <w:t>A.</w:t>
      </w:r>
      <w:r w:rsidR="00BC042A">
        <w:rPr>
          <w:b/>
          <w:sz w:val="24"/>
          <w:szCs w:val="24"/>
        </w:rPr>
        <w:t xml:space="preserve">   </w:t>
      </w:r>
      <w:r>
        <w:rPr>
          <w:b/>
          <w:sz w:val="24"/>
          <w:u w:val="single"/>
        </w:rPr>
        <w:t>Justification:</w:t>
      </w:r>
    </w:p>
    <w:p w:rsidR="00C4595C" w:rsidRDefault="00C4595C" w14:paraId="0365E24B" w14:textId="77777777">
      <w:pPr>
        <w:tabs>
          <w:tab w:val="left" w:pos="-720"/>
        </w:tabs>
        <w:suppressAutoHyphens/>
        <w:rPr>
          <w:b/>
          <w:sz w:val="24"/>
          <w:u w:val="single"/>
        </w:rPr>
      </w:pPr>
    </w:p>
    <w:p w:rsidR="004725AB" w:rsidP="004725AB" w:rsidRDefault="004725AB" w14:paraId="76A70506" w14:textId="77777777">
      <w:pPr>
        <w:pStyle w:val="BodyText2"/>
        <w:numPr>
          <w:ilvl w:val="0"/>
          <w:numId w:val="7"/>
        </w:numPr>
        <w:rPr>
          <w:sz w:val="24"/>
        </w:rPr>
      </w:pPr>
      <w:r>
        <w:rPr>
          <w:sz w:val="24"/>
        </w:rPr>
        <w:t xml:space="preserve"> </w:t>
      </w:r>
      <w:r w:rsidR="00A042F9">
        <w:rPr>
          <w:sz w:val="24"/>
        </w:rPr>
        <w:t xml:space="preserve">The Federal Communications Commission ("Commission") is requesting that the Office of </w:t>
      </w:r>
    </w:p>
    <w:p w:rsidR="00886149" w:rsidP="004725AB" w:rsidRDefault="00A042F9" w14:paraId="0078B6B6" w14:textId="77777777">
      <w:pPr>
        <w:pStyle w:val="BodyText2"/>
        <w:rPr>
          <w:sz w:val="24"/>
        </w:rPr>
      </w:pPr>
      <w:r>
        <w:rPr>
          <w:sz w:val="24"/>
        </w:rPr>
        <w:t xml:space="preserve">Management and Budget (OMB) approve </w:t>
      </w:r>
      <w:r w:rsidR="007260A3">
        <w:rPr>
          <w:sz w:val="24"/>
        </w:rPr>
        <w:t xml:space="preserve">a three-year </w:t>
      </w:r>
      <w:r w:rsidR="004725AB">
        <w:rPr>
          <w:sz w:val="24"/>
        </w:rPr>
        <w:t xml:space="preserve">extension </w:t>
      </w:r>
      <w:r w:rsidR="00A9142A">
        <w:rPr>
          <w:sz w:val="24"/>
        </w:rPr>
        <w:t xml:space="preserve">of OMB </w:t>
      </w:r>
      <w:r>
        <w:rPr>
          <w:sz w:val="24"/>
        </w:rPr>
        <w:t>Control No. 3060-1054 titled, “Application for Renewal of an International Broadcast Station License (FCC Form 422-IB</w:t>
      </w:r>
      <w:r w:rsidR="00886149">
        <w:rPr>
          <w:sz w:val="24"/>
        </w:rPr>
        <w:t>)</w:t>
      </w:r>
      <w:r w:rsidR="007260A3">
        <w:rPr>
          <w:sz w:val="24"/>
        </w:rPr>
        <w:t>.</w:t>
      </w:r>
      <w:r w:rsidR="00886149">
        <w:rPr>
          <w:sz w:val="24"/>
        </w:rPr>
        <w:t>”</w:t>
      </w:r>
    </w:p>
    <w:p w:rsidR="004725AB" w:rsidP="004725AB" w:rsidRDefault="004725AB" w14:paraId="32061D97" w14:textId="77777777">
      <w:pPr>
        <w:pStyle w:val="BodyText2"/>
        <w:ind w:left="360"/>
        <w:rPr>
          <w:sz w:val="24"/>
        </w:rPr>
      </w:pPr>
    </w:p>
    <w:p w:rsidRPr="003559E7" w:rsidR="003559E7" w:rsidP="004725AB" w:rsidRDefault="003559E7" w14:paraId="2FA9E98C" w14:textId="77777777">
      <w:pPr>
        <w:autoSpaceDE w:val="0"/>
        <w:autoSpaceDN w:val="0"/>
        <w:adjustRightInd w:val="0"/>
        <w:rPr>
          <w:color w:val="000000"/>
          <w:sz w:val="24"/>
          <w:szCs w:val="24"/>
        </w:rPr>
      </w:pPr>
      <w:r w:rsidRPr="003559E7">
        <w:rPr>
          <w:color w:val="000000"/>
          <w:sz w:val="24"/>
          <w:szCs w:val="24"/>
        </w:rPr>
        <w:t>The Federal Communications Commission (“Commission”) plans to implement and release to the public an “Application for Renewal of an International Broadcast Station License (FCC Form 422-IB).” The form has not been implemented yet due to a lack of budget resources and techn</w:t>
      </w:r>
      <w:r w:rsidRPr="003559E7">
        <w:rPr>
          <w:color w:val="000000"/>
          <w:sz w:val="24"/>
          <w:szCs w:val="24"/>
        </w:rPr>
        <w:t>i</w:t>
      </w:r>
      <w:r w:rsidRPr="003559E7">
        <w:rPr>
          <w:color w:val="000000"/>
          <w:sz w:val="24"/>
          <w:szCs w:val="24"/>
        </w:rPr>
        <w:t xml:space="preserve">cal staff. After the FCC Form 422-IB has been implemented and the Commission receives final approval from OMB, applicants will complete the FCC Form 422-IB in lieu of the </w:t>
      </w:r>
      <w:r>
        <w:rPr>
          <w:color w:val="000000"/>
          <w:sz w:val="24"/>
          <w:szCs w:val="24"/>
        </w:rPr>
        <w:t>“</w:t>
      </w:r>
      <w:r w:rsidRPr="003559E7">
        <w:rPr>
          <w:color w:val="000000"/>
          <w:sz w:val="24"/>
          <w:szCs w:val="24"/>
        </w:rPr>
        <w:t>Application for Renewal of an International or Experimental Broadcast Station License,” (FCC Form 311). In the interim, applicants will continue to file the FCC Form 311 with the Commission. (Note: The OMB approved the FCC Form 311 under OMB Control No. 3060-1035).</w:t>
      </w:r>
    </w:p>
    <w:p w:rsidR="003559E7" w:rsidP="004725AB" w:rsidRDefault="003559E7" w14:paraId="24716DF9" w14:textId="77777777">
      <w:pPr>
        <w:pStyle w:val="BodyText2"/>
        <w:rPr>
          <w:bCs/>
          <w:sz w:val="24"/>
          <w:szCs w:val="24"/>
        </w:rPr>
      </w:pPr>
    </w:p>
    <w:p w:rsidR="00AE6FD1" w:rsidP="004725AB" w:rsidRDefault="00C4595C" w14:paraId="2E94BDF1" w14:textId="77777777">
      <w:pPr>
        <w:pStyle w:val="BodyText2"/>
        <w:rPr>
          <w:sz w:val="24"/>
        </w:rPr>
      </w:pPr>
      <w:r>
        <w:rPr>
          <w:sz w:val="24"/>
        </w:rPr>
        <w:t>The FCC Form 3</w:t>
      </w:r>
      <w:r w:rsidR="004C75E2">
        <w:rPr>
          <w:sz w:val="24"/>
        </w:rPr>
        <w:t>1</w:t>
      </w:r>
      <w:r w:rsidR="00BF759D">
        <w:rPr>
          <w:sz w:val="24"/>
        </w:rPr>
        <w:t>1</w:t>
      </w:r>
      <w:r>
        <w:rPr>
          <w:sz w:val="24"/>
        </w:rPr>
        <w:t xml:space="preserve"> is shared between the Internationa</w:t>
      </w:r>
      <w:r w:rsidR="00506770">
        <w:rPr>
          <w:sz w:val="24"/>
        </w:rPr>
        <w:t xml:space="preserve">l Bureau and the Media Bureau.  </w:t>
      </w:r>
    </w:p>
    <w:p w:rsidR="0060178F" w:rsidP="004725AB" w:rsidRDefault="00506770" w14:paraId="1B478588" w14:textId="77777777">
      <w:pPr>
        <w:pStyle w:val="BodyText2"/>
        <w:rPr>
          <w:sz w:val="24"/>
        </w:rPr>
      </w:pPr>
      <w:r>
        <w:rPr>
          <w:sz w:val="24"/>
        </w:rPr>
        <w:t xml:space="preserve">The International Bureau and Media Bureau </w:t>
      </w:r>
      <w:r w:rsidR="00AE6FD1">
        <w:rPr>
          <w:sz w:val="24"/>
        </w:rPr>
        <w:t>h</w:t>
      </w:r>
      <w:r>
        <w:rPr>
          <w:sz w:val="24"/>
        </w:rPr>
        <w:t>ave different inform</w:t>
      </w:r>
      <w:r w:rsidR="00EA76DE">
        <w:rPr>
          <w:sz w:val="24"/>
        </w:rPr>
        <w:t>ation collection requirements</w:t>
      </w:r>
      <w:r w:rsidR="006D0E47">
        <w:rPr>
          <w:sz w:val="24"/>
        </w:rPr>
        <w:t xml:space="preserve"> and automation goals.  </w:t>
      </w:r>
      <w:r w:rsidR="00EA76DE">
        <w:rPr>
          <w:sz w:val="24"/>
        </w:rPr>
        <w:t xml:space="preserve">The </w:t>
      </w:r>
      <w:r w:rsidR="00C4595C">
        <w:rPr>
          <w:sz w:val="24"/>
        </w:rPr>
        <w:t>FCC Form 3</w:t>
      </w:r>
      <w:r w:rsidR="004C75E2">
        <w:rPr>
          <w:sz w:val="24"/>
        </w:rPr>
        <w:t>1</w:t>
      </w:r>
      <w:r w:rsidR="00BF759D">
        <w:rPr>
          <w:sz w:val="24"/>
        </w:rPr>
        <w:t>1</w:t>
      </w:r>
      <w:r w:rsidR="00C4595C">
        <w:rPr>
          <w:sz w:val="24"/>
        </w:rPr>
        <w:t xml:space="preserve"> is used by the Media Bureau</w:t>
      </w:r>
      <w:r w:rsidR="00BF759D">
        <w:rPr>
          <w:sz w:val="24"/>
        </w:rPr>
        <w:t xml:space="preserve"> in connection with renewals of experimental broadcast station licenses.  The </w:t>
      </w:r>
      <w:r w:rsidR="001E7BBE">
        <w:rPr>
          <w:sz w:val="24"/>
        </w:rPr>
        <w:t>f</w:t>
      </w:r>
      <w:r w:rsidR="00BF759D">
        <w:rPr>
          <w:sz w:val="24"/>
        </w:rPr>
        <w:t xml:space="preserve">orm </w:t>
      </w:r>
      <w:r w:rsidR="00C4595C">
        <w:rPr>
          <w:sz w:val="24"/>
        </w:rPr>
        <w:t xml:space="preserve">is </w:t>
      </w:r>
      <w:r w:rsidR="00BF759D">
        <w:rPr>
          <w:sz w:val="24"/>
        </w:rPr>
        <w:t xml:space="preserve">also </w:t>
      </w:r>
      <w:r w:rsidR="00C4595C">
        <w:rPr>
          <w:sz w:val="24"/>
        </w:rPr>
        <w:t xml:space="preserve">used by the International Bureau </w:t>
      </w:r>
      <w:r w:rsidR="00BF759D">
        <w:rPr>
          <w:sz w:val="24"/>
        </w:rPr>
        <w:t xml:space="preserve">with </w:t>
      </w:r>
      <w:r w:rsidR="001E7BBE">
        <w:rPr>
          <w:sz w:val="24"/>
        </w:rPr>
        <w:t xml:space="preserve">respect </w:t>
      </w:r>
      <w:r w:rsidR="00BF759D">
        <w:rPr>
          <w:sz w:val="24"/>
        </w:rPr>
        <w:t xml:space="preserve">to renewals of licenses for </w:t>
      </w:r>
      <w:r w:rsidR="00C4595C">
        <w:rPr>
          <w:sz w:val="24"/>
        </w:rPr>
        <w:t>international broadcast stations</w:t>
      </w:r>
      <w:r w:rsidR="00B54A93">
        <w:rPr>
          <w:sz w:val="24"/>
        </w:rPr>
        <w:t xml:space="preserve">.  </w:t>
      </w:r>
    </w:p>
    <w:p w:rsidR="004337CD" w:rsidP="004725AB" w:rsidRDefault="004337CD" w14:paraId="21DA6C5E" w14:textId="77777777">
      <w:pPr>
        <w:pStyle w:val="BodyText2"/>
        <w:rPr>
          <w:sz w:val="24"/>
        </w:rPr>
      </w:pPr>
    </w:p>
    <w:p w:rsidR="004337CD" w:rsidP="007B2EDC" w:rsidRDefault="0010582A" w14:paraId="537C0596" w14:textId="77777777">
      <w:pPr>
        <w:rPr>
          <w:color w:val="000000"/>
          <w:sz w:val="24"/>
          <w:szCs w:val="24"/>
        </w:rPr>
      </w:pPr>
      <w:r w:rsidRPr="007B2EDC">
        <w:rPr>
          <w:color w:val="000000"/>
          <w:sz w:val="24"/>
          <w:szCs w:val="24"/>
        </w:rPr>
        <w:t xml:space="preserve">The Commission submitted </w:t>
      </w:r>
      <w:r w:rsidRPr="007B2EDC" w:rsidR="004337CD">
        <w:rPr>
          <w:color w:val="000000"/>
          <w:sz w:val="24"/>
          <w:szCs w:val="24"/>
        </w:rPr>
        <w:t>a non-substantive change request to the Office of Management and Budget (</w:t>
      </w:r>
      <w:r w:rsidRPr="007B2EDC" w:rsidR="003C1E88">
        <w:rPr>
          <w:color w:val="000000"/>
          <w:sz w:val="24"/>
          <w:szCs w:val="24"/>
        </w:rPr>
        <w:t>OMB</w:t>
      </w:r>
      <w:r w:rsidRPr="007B2EDC" w:rsidR="004337CD">
        <w:rPr>
          <w:color w:val="000000"/>
          <w:sz w:val="24"/>
          <w:szCs w:val="24"/>
        </w:rPr>
        <w:t>)</w:t>
      </w:r>
      <w:r w:rsidRPr="007B2EDC" w:rsidR="003C1E88">
        <w:rPr>
          <w:color w:val="000000"/>
          <w:sz w:val="24"/>
          <w:szCs w:val="24"/>
        </w:rPr>
        <w:t xml:space="preserve"> which was approved</w:t>
      </w:r>
      <w:r w:rsidRPr="007B2EDC" w:rsidR="004337CD">
        <w:rPr>
          <w:color w:val="000000"/>
          <w:sz w:val="24"/>
          <w:szCs w:val="24"/>
        </w:rPr>
        <w:t xml:space="preserve"> to allow </w:t>
      </w:r>
      <w:r w:rsidRPr="007B2EDC" w:rsidR="007B2EDC">
        <w:rPr>
          <w:color w:val="000000"/>
          <w:sz w:val="24"/>
          <w:szCs w:val="24"/>
        </w:rPr>
        <w:t>international high frequency (</w:t>
      </w:r>
      <w:r w:rsidRPr="007B2EDC" w:rsidR="004337CD">
        <w:rPr>
          <w:color w:val="000000"/>
          <w:sz w:val="24"/>
          <w:szCs w:val="24"/>
        </w:rPr>
        <w:t>IHF</w:t>
      </w:r>
      <w:r w:rsidRPr="007B2EDC" w:rsidR="007B2EDC">
        <w:rPr>
          <w:color w:val="000000"/>
          <w:sz w:val="24"/>
          <w:szCs w:val="24"/>
        </w:rPr>
        <w:t>)</w:t>
      </w:r>
      <w:r w:rsidRPr="007B2EDC" w:rsidR="004337CD">
        <w:rPr>
          <w:color w:val="000000"/>
          <w:sz w:val="24"/>
          <w:szCs w:val="24"/>
        </w:rPr>
        <w:t xml:space="preserve"> and 325(c) applicants the </w:t>
      </w:r>
      <w:r w:rsidRPr="007B2EDC" w:rsidR="004337CD">
        <w:rPr>
          <w:bCs/>
          <w:color w:val="000000"/>
          <w:sz w:val="24"/>
          <w:szCs w:val="24"/>
          <w:u w:val="single"/>
        </w:rPr>
        <w:t>option</w:t>
      </w:r>
      <w:r w:rsidRPr="007B2EDC" w:rsidR="004337CD">
        <w:rPr>
          <w:color w:val="000000"/>
          <w:sz w:val="24"/>
          <w:szCs w:val="24"/>
        </w:rPr>
        <w:t xml:space="preserve"> to upload a completed .PDF copy of their applications in the International Bureau Filing System (IBFS) and make their payment of the application filing fees electronically.  </w:t>
      </w:r>
      <w:r w:rsidRPr="007B2EDC" w:rsidR="00CC4807">
        <w:rPr>
          <w:color w:val="000000"/>
          <w:sz w:val="24"/>
          <w:szCs w:val="24"/>
        </w:rPr>
        <w:t xml:space="preserve">This option </w:t>
      </w:r>
      <w:r w:rsidRPr="007B2EDC" w:rsidR="004337CD">
        <w:rPr>
          <w:color w:val="000000"/>
          <w:sz w:val="24"/>
          <w:szCs w:val="24"/>
        </w:rPr>
        <w:t>save</w:t>
      </w:r>
      <w:r w:rsidRPr="007B2EDC" w:rsidR="00CC4807">
        <w:rPr>
          <w:color w:val="000000"/>
          <w:sz w:val="24"/>
          <w:szCs w:val="24"/>
        </w:rPr>
        <w:t>s</w:t>
      </w:r>
      <w:r w:rsidRPr="007B2EDC" w:rsidR="004337CD">
        <w:rPr>
          <w:color w:val="000000"/>
          <w:sz w:val="24"/>
          <w:szCs w:val="24"/>
        </w:rPr>
        <w:t xml:space="preserve"> time for the applicant, the bank and Commission staff. </w:t>
      </w:r>
      <w:r w:rsidRPr="007B2EDC" w:rsidR="00351F81">
        <w:rPr>
          <w:color w:val="000000"/>
          <w:sz w:val="24"/>
          <w:szCs w:val="24"/>
        </w:rPr>
        <w:t xml:space="preserve"> The non-</w:t>
      </w:r>
      <w:r w:rsidRPr="007B2EDC" w:rsidR="003C1E88">
        <w:rPr>
          <w:color w:val="000000"/>
          <w:sz w:val="24"/>
          <w:szCs w:val="24"/>
        </w:rPr>
        <w:t xml:space="preserve">substantive change request did </w:t>
      </w:r>
      <w:r w:rsidRPr="007B2EDC" w:rsidR="00351F81">
        <w:rPr>
          <w:color w:val="000000"/>
          <w:sz w:val="24"/>
          <w:szCs w:val="24"/>
        </w:rPr>
        <w:t xml:space="preserve">not impact </w:t>
      </w:r>
      <w:r w:rsidRPr="007B2EDC" w:rsidR="009515B7">
        <w:rPr>
          <w:color w:val="000000"/>
          <w:sz w:val="24"/>
          <w:szCs w:val="24"/>
        </w:rPr>
        <w:t xml:space="preserve">the </w:t>
      </w:r>
      <w:r w:rsidRPr="007B2EDC" w:rsidR="004337CD">
        <w:rPr>
          <w:color w:val="000000"/>
          <w:sz w:val="24"/>
          <w:szCs w:val="24"/>
        </w:rPr>
        <w:t>burden estimates.</w:t>
      </w:r>
    </w:p>
    <w:p w:rsidRPr="007B2EDC" w:rsidR="007B2EDC" w:rsidP="007B2EDC" w:rsidRDefault="007B2EDC" w14:paraId="57EF2CDC" w14:textId="77777777">
      <w:pPr>
        <w:rPr>
          <w:color w:val="000000"/>
          <w:sz w:val="24"/>
          <w:szCs w:val="24"/>
        </w:rPr>
      </w:pPr>
    </w:p>
    <w:p w:rsidRPr="006255EA" w:rsidR="009515B7" w:rsidP="004725AB" w:rsidRDefault="006255EA" w14:paraId="0D98E285" w14:textId="77777777">
      <w:pPr>
        <w:pStyle w:val="BodyText2"/>
        <w:rPr>
          <w:sz w:val="24"/>
          <w:szCs w:val="24"/>
        </w:rPr>
      </w:pPr>
      <w:r w:rsidRPr="006255EA">
        <w:rPr>
          <w:sz w:val="24"/>
          <w:szCs w:val="24"/>
        </w:rPr>
        <w:t>We stated previously that the Commission plans to develop a Consolidated Licensing System (CLS).  However, the Commission discontinued its plan to develop CLS.  Instead, the Commission plans to make the FCC Form 42</w:t>
      </w:r>
      <w:r w:rsidR="005E48D7">
        <w:rPr>
          <w:sz w:val="24"/>
          <w:szCs w:val="24"/>
        </w:rPr>
        <w:t>2</w:t>
      </w:r>
      <w:r w:rsidRPr="006255EA">
        <w:rPr>
          <w:sz w:val="24"/>
          <w:szCs w:val="24"/>
        </w:rPr>
        <w:t>-IB available to the public in the International Bureau Filing System (“IBFS”).  It is anticipated that this form will be available in IBFS on or before December 2021.</w:t>
      </w:r>
    </w:p>
    <w:p w:rsidRPr="006255EA" w:rsidR="0039469E" w:rsidP="004725AB" w:rsidRDefault="0039469E" w14:paraId="3D36BFB0" w14:textId="77777777">
      <w:pPr>
        <w:pStyle w:val="BodyText2"/>
        <w:rPr>
          <w:sz w:val="24"/>
          <w:szCs w:val="24"/>
        </w:rPr>
      </w:pPr>
    </w:p>
    <w:p w:rsidR="00C26157" w:rsidP="004725AB" w:rsidRDefault="00C26157" w14:paraId="7864A5B1" w14:textId="77777777">
      <w:pPr>
        <w:pStyle w:val="BodyText2"/>
        <w:rPr>
          <w:sz w:val="24"/>
        </w:rPr>
      </w:pPr>
      <w:r>
        <w:rPr>
          <w:sz w:val="24"/>
        </w:rPr>
        <w:t>The FCC Form 422-IB does not affect individuals and, therefore, is not subject to the Privacy Act of 1974, as amended.</w:t>
      </w:r>
    </w:p>
    <w:p w:rsidR="00C4595C" w:rsidP="004725AB" w:rsidRDefault="00C4595C" w14:paraId="48356093" w14:textId="77777777">
      <w:pPr>
        <w:pStyle w:val="BodyText2"/>
        <w:rPr>
          <w:sz w:val="24"/>
        </w:rPr>
      </w:pPr>
    </w:p>
    <w:p w:rsidR="00C4595C" w:rsidP="004725AB" w:rsidRDefault="00C4595C" w14:paraId="42C6C92F" w14:textId="77777777">
      <w:pPr>
        <w:pStyle w:val="BodyText2"/>
        <w:rPr>
          <w:sz w:val="24"/>
        </w:rPr>
      </w:pPr>
      <w:r>
        <w:rPr>
          <w:sz w:val="24"/>
        </w:rPr>
        <w:t xml:space="preserve">The Commission has authority for this collection pursuant to </w:t>
      </w:r>
      <w:r w:rsidR="00E1150E">
        <w:rPr>
          <w:sz w:val="24"/>
        </w:rPr>
        <w:t>Section 325(c) of the Communications Act of 1934, as amended.</w:t>
      </w:r>
    </w:p>
    <w:p w:rsidR="00C4595C" w:rsidP="004725AB" w:rsidRDefault="00C4595C" w14:paraId="5F20EB7C" w14:textId="77777777">
      <w:pPr>
        <w:tabs>
          <w:tab w:val="left" w:pos="-720"/>
        </w:tabs>
        <w:suppressAutoHyphens/>
        <w:rPr>
          <w:sz w:val="24"/>
        </w:rPr>
      </w:pPr>
    </w:p>
    <w:p w:rsidR="00653C95" w:rsidP="004725AB" w:rsidRDefault="008C525F" w14:paraId="0CF6E4F8" w14:textId="77777777">
      <w:pPr>
        <w:rPr>
          <w:color w:val="000000"/>
          <w:sz w:val="24"/>
        </w:rPr>
      </w:pPr>
      <w:r>
        <w:rPr>
          <w:color w:val="000000"/>
          <w:sz w:val="24"/>
        </w:rPr>
        <w:t xml:space="preserve">2.   </w:t>
      </w:r>
      <w:r w:rsidR="00C4595C">
        <w:rPr>
          <w:color w:val="000000"/>
          <w:sz w:val="24"/>
        </w:rPr>
        <w:t xml:space="preserve">The information collected pursuant to the rules set forth in </w:t>
      </w:r>
      <w:r w:rsidR="00704B4D">
        <w:rPr>
          <w:sz w:val="24"/>
        </w:rPr>
        <w:t xml:space="preserve">Section 325(c) of the Communications Act of 1934, as amended, and in </w:t>
      </w:r>
      <w:r w:rsidR="00C4595C">
        <w:rPr>
          <w:color w:val="000000"/>
          <w:sz w:val="24"/>
        </w:rPr>
        <w:t xml:space="preserve">47 CFR </w:t>
      </w:r>
      <w:r w:rsidR="009464E7">
        <w:rPr>
          <w:color w:val="000000"/>
          <w:sz w:val="24"/>
        </w:rPr>
        <w:t>P</w:t>
      </w:r>
      <w:r w:rsidR="00C4595C">
        <w:rPr>
          <w:color w:val="000000"/>
          <w:sz w:val="24"/>
        </w:rPr>
        <w:t xml:space="preserve">art 73, </w:t>
      </w:r>
      <w:r w:rsidR="009464E7">
        <w:rPr>
          <w:color w:val="000000"/>
          <w:sz w:val="24"/>
        </w:rPr>
        <w:t>S</w:t>
      </w:r>
      <w:r w:rsidR="00C4595C">
        <w:rPr>
          <w:color w:val="000000"/>
          <w:sz w:val="24"/>
        </w:rPr>
        <w:t xml:space="preserve">ubpart F, is used </w:t>
      </w:r>
    </w:p>
    <w:p w:rsidR="00C4595C" w:rsidP="004725AB" w:rsidRDefault="00C4595C" w14:paraId="76BAA74D" w14:textId="77777777">
      <w:pPr>
        <w:rPr>
          <w:color w:val="000000"/>
          <w:sz w:val="24"/>
        </w:rPr>
      </w:pPr>
      <w:r>
        <w:rPr>
          <w:color w:val="000000"/>
          <w:sz w:val="24"/>
        </w:rPr>
        <w:t>by the Commission to assign frequencies for use by international broadcast stations, to grant authority to operate such stations and to determine if interference or adverse propagation conditions exist that may impact the operation of such stations.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E576BB" w:rsidP="004725AB" w:rsidRDefault="00E576BB" w14:paraId="71B1316D" w14:textId="77777777">
      <w:pPr>
        <w:rPr>
          <w:color w:val="000000"/>
          <w:sz w:val="24"/>
        </w:rPr>
      </w:pPr>
    </w:p>
    <w:p w:rsidR="005363EA" w:rsidP="001A72F5" w:rsidRDefault="001A72F5" w14:paraId="35C21790" w14:textId="77777777">
      <w:pPr>
        <w:tabs>
          <w:tab w:val="left" w:pos="-720"/>
        </w:tabs>
        <w:suppressAutoHyphens/>
        <w:rPr>
          <w:sz w:val="24"/>
        </w:rPr>
      </w:pPr>
      <w:r>
        <w:rPr>
          <w:color w:val="000000"/>
          <w:sz w:val="24"/>
          <w:szCs w:val="24"/>
        </w:rPr>
        <w:t>3.</w:t>
      </w:r>
      <w:r w:rsidR="005363EA">
        <w:rPr>
          <w:color w:val="000000"/>
          <w:sz w:val="24"/>
          <w:szCs w:val="24"/>
        </w:rPr>
        <w:t xml:space="preserve"> </w:t>
      </w:r>
      <w:r w:rsidRPr="00E576BB" w:rsidR="00E576BB">
        <w:rPr>
          <w:color w:val="000000"/>
          <w:sz w:val="24"/>
          <w:szCs w:val="24"/>
        </w:rPr>
        <w:t xml:space="preserve">IHF and 325(c) applicants have the </w:t>
      </w:r>
      <w:r w:rsidRPr="00E576BB" w:rsidR="00E576BB">
        <w:rPr>
          <w:bCs/>
          <w:color w:val="000000"/>
          <w:sz w:val="24"/>
          <w:szCs w:val="24"/>
        </w:rPr>
        <w:t>option</w:t>
      </w:r>
      <w:r w:rsidRPr="00E576BB" w:rsidR="00E576BB">
        <w:rPr>
          <w:color w:val="000000"/>
          <w:sz w:val="24"/>
          <w:szCs w:val="24"/>
        </w:rPr>
        <w:t xml:space="preserve"> to upload a completed .PDF copy of </w:t>
      </w:r>
      <w:proofErr w:type="gramStart"/>
      <w:r w:rsidRPr="00E576BB" w:rsidR="00E576BB">
        <w:rPr>
          <w:color w:val="000000"/>
          <w:sz w:val="24"/>
          <w:szCs w:val="24"/>
        </w:rPr>
        <w:t>their</w:t>
      </w:r>
      <w:proofErr w:type="gramEnd"/>
      <w:r w:rsidR="005363EA">
        <w:rPr>
          <w:sz w:val="24"/>
        </w:rPr>
        <w:t xml:space="preserve"> </w:t>
      </w:r>
    </w:p>
    <w:p w:rsidR="00C4595C" w:rsidP="005363EA" w:rsidRDefault="00E576BB" w14:paraId="720EB79E" w14:textId="77777777">
      <w:pPr>
        <w:tabs>
          <w:tab w:val="left" w:pos="-720"/>
        </w:tabs>
        <w:suppressAutoHyphens/>
        <w:rPr>
          <w:bCs/>
          <w:sz w:val="24"/>
          <w:szCs w:val="24"/>
        </w:rPr>
      </w:pPr>
      <w:r w:rsidRPr="005363EA">
        <w:rPr>
          <w:color w:val="000000"/>
          <w:sz w:val="24"/>
          <w:szCs w:val="24"/>
        </w:rPr>
        <w:t>applications in the International Bureau Filing System (IBFS) and make their payment of the application filing fees electronically. </w:t>
      </w:r>
      <w:r w:rsidRPr="005363EA">
        <w:rPr>
          <w:bCs/>
          <w:sz w:val="24"/>
          <w:szCs w:val="24"/>
        </w:rPr>
        <w:t xml:space="preserve"> It is estimated that </w:t>
      </w:r>
      <w:r w:rsidR="00EC5988">
        <w:rPr>
          <w:bCs/>
          <w:sz w:val="24"/>
          <w:szCs w:val="24"/>
        </w:rPr>
        <w:t>9</w:t>
      </w:r>
      <w:r w:rsidRPr="005363EA">
        <w:rPr>
          <w:bCs/>
          <w:sz w:val="24"/>
          <w:szCs w:val="24"/>
        </w:rPr>
        <w:t xml:space="preserve">0 percent of applicants elect to use the electronic </w:t>
      </w:r>
      <w:r w:rsidR="0013013B">
        <w:rPr>
          <w:bCs/>
          <w:sz w:val="24"/>
          <w:szCs w:val="24"/>
        </w:rPr>
        <w:t xml:space="preserve">filing </w:t>
      </w:r>
      <w:r w:rsidRPr="005363EA">
        <w:rPr>
          <w:bCs/>
          <w:sz w:val="24"/>
          <w:szCs w:val="24"/>
        </w:rPr>
        <w:t xml:space="preserve">option </w:t>
      </w:r>
      <w:r w:rsidR="001568C5">
        <w:rPr>
          <w:bCs/>
          <w:sz w:val="24"/>
          <w:szCs w:val="24"/>
        </w:rPr>
        <w:t xml:space="preserve">because it saves time.  </w:t>
      </w:r>
      <w:r w:rsidR="00EC5988">
        <w:rPr>
          <w:bCs/>
          <w:sz w:val="24"/>
          <w:szCs w:val="24"/>
        </w:rPr>
        <w:t xml:space="preserve">Approximately 10 percent of applicants submit the application to the Commission in paper form.  </w:t>
      </w:r>
    </w:p>
    <w:p w:rsidR="006A4ED4" w:rsidP="005363EA" w:rsidRDefault="006A4ED4" w14:paraId="39A70D1A" w14:textId="77777777">
      <w:pPr>
        <w:tabs>
          <w:tab w:val="left" w:pos="-720"/>
        </w:tabs>
        <w:suppressAutoHyphens/>
        <w:rPr>
          <w:bCs/>
          <w:sz w:val="24"/>
          <w:szCs w:val="24"/>
        </w:rPr>
      </w:pPr>
    </w:p>
    <w:p w:rsidRPr="00674991" w:rsidR="00674991" w:rsidP="00674991" w:rsidRDefault="00674991" w14:paraId="58AE7D14" w14:textId="77777777">
      <w:pPr>
        <w:rPr>
          <w:snapToGrid/>
          <w:sz w:val="24"/>
          <w:szCs w:val="24"/>
        </w:rPr>
      </w:pPr>
      <w:r w:rsidRPr="00674991">
        <w:rPr>
          <w:sz w:val="24"/>
          <w:szCs w:val="24"/>
        </w:rPr>
        <w:t>The FCC Form 422-IB is in the process of development by the Commission and it is anticipated that the form will be completed by December 2021.  After it has been developed, the Commission will seek approval from OMB to implement the new form.  After it has been developed, it will be available to applicants in IBFS.  At present, zero (0) percent of this collection is automated because the form is not yet in existence.</w:t>
      </w:r>
    </w:p>
    <w:p w:rsidRPr="005363EA" w:rsidR="006A4ED4" w:rsidP="005363EA" w:rsidRDefault="006A4ED4" w14:paraId="390151EA" w14:textId="77777777">
      <w:pPr>
        <w:tabs>
          <w:tab w:val="left" w:pos="-720"/>
        </w:tabs>
        <w:suppressAutoHyphens/>
        <w:rPr>
          <w:sz w:val="24"/>
        </w:rPr>
      </w:pPr>
    </w:p>
    <w:p w:rsidR="00C4595C" w:rsidP="004725AB" w:rsidRDefault="00FB5739" w14:paraId="02B05C32" w14:textId="77777777">
      <w:pPr>
        <w:tabs>
          <w:tab w:val="left" w:pos="-720"/>
        </w:tabs>
        <w:suppressAutoHyphens/>
        <w:rPr>
          <w:sz w:val="24"/>
        </w:rPr>
      </w:pPr>
      <w:r>
        <w:rPr>
          <w:sz w:val="24"/>
        </w:rPr>
        <w:t xml:space="preserve">4.  </w:t>
      </w:r>
      <w:r w:rsidR="00590066">
        <w:rPr>
          <w:sz w:val="24"/>
        </w:rPr>
        <w:t xml:space="preserve"> </w:t>
      </w:r>
      <w:r w:rsidR="00C4595C">
        <w:rPr>
          <w:sz w:val="24"/>
        </w:rPr>
        <w:t>These information collection requirements are not duplicated elsewhere in the Commission’s rules.</w:t>
      </w:r>
    </w:p>
    <w:p w:rsidR="00C4595C" w:rsidP="004725AB" w:rsidRDefault="00C4595C" w14:paraId="42CDAA01" w14:textId="77777777">
      <w:pPr>
        <w:tabs>
          <w:tab w:val="left" w:pos="-720"/>
        </w:tabs>
        <w:suppressAutoHyphens/>
        <w:rPr>
          <w:sz w:val="24"/>
        </w:rPr>
      </w:pPr>
    </w:p>
    <w:p w:rsidR="00C4595C" w:rsidP="004725AB" w:rsidRDefault="006A3AB7" w14:paraId="66FFB8E9" w14:textId="77777777">
      <w:pPr>
        <w:pStyle w:val="BodyText2"/>
        <w:rPr>
          <w:sz w:val="24"/>
        </w:rPr>
      </w:pPr>
      <w:r>
        <w:rPr>
          <w:sz w:val="24"/>
        </w:rPr>
        <w:t xml:space="preserve">5.   </w:t>
      </w:r>
      <w:r w:rsidR="00C4595C">
        <w:rPr>
          <w:sz w:val="24"/>
        </w:rPr>
        <w:t xml:space="preserve">These information collection requirements do not have a significant impact on a substantial number of small entities.  The total number of entities subject to the Commission’s international broadcast rules is approximately </w:t>
      </w:r>
      <w:r w:rsidR="007223A2">
        <w:rPr>
          <w:sz w:val="24"/>
        </w:rPr>
        <w:t xml:space="preserve">10 </w:t>
      </w:r>
      <w:r w:rsidR="00C4595C">
        <w:rPr>
          <w:sz w:val="24"/>
        </w:rPr>
        <w:t xml:space="preserve">and only a small percentage, if any, of the </w:t>
      </w:r>
      <w:r w:rsidR="007223A2">
        <w:rPr>
          <w:sz w:val="24"/>
        </w:rPr>
        <w:t xml:space="preserve">10 </w:t>
      </w:r>
      <w:r w:rsidR="00C4595C">
        <w:rPr>
          <w:sz w:val="24"/>
        </w:rPr>
        <w:t xml:space="preserve">could be categorized as a small entity.  Also, the paperwork burdens accounted for in this collection are minimal. </w:t>
      </w:r>
    </w:p>
    <w:p w:rsidR="00C4595C" w:rsidP="004725AB" w:rsidRDefault="00C4595C" w14:paraId="7B65BD99" w14:textId="77777777">
      <w:pPr>
        <w:tabs>
          <w:tab w:val="left" w:pos="-720"/>
        </w:tabs>
        <w:suppressAutoHyphens/>
        <w:rPr>
          <w:sz w:val="24"/>
        </w:rPr>
      </w:pPr>
    </w:p>
    <w:p w:rsidR="00C4595C" w:rsidP="004725AB" w:rsidRDefault="00C834E9" w14:paraId="0927998F" w14:textId="77777777">
      <w:pPr>
        <w:tabs>
          <w:tab w:val="left" w:pos="-720"/>
        </w:tabs>
        <w:suppressAutoHyphens/>
        <w:rPr>
          <w:sz w:val="24"/>
        </w:rPr>
      </w:pPr>
      <w:r>
        <w:rPr>
          <w:sz w:val="24"/>
        </w:rPr>
        <w:t xml:space="preserve">6.   </w:t>
      </w:r>
      <w:r w:rsidR="00C4595C">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C834E9" w:rsidP="004725AB" w:rsidRDefault="00C834E9" w14:paraId="4F3AC9E8" w14:textId="77777777">
      <w:pPr>
        <w:tabs>
          <w:tab w:val="left" w:pos="-720"/>
        </w:tabs>
        <w:suppressAutoHyphens/>
        <w:rPr>
          <w:b/>
          <w:sz w:val="24"/>
        </w:rPr>
      </w:pPr>
    </w:p>
    <w:p w:rsidR="003B7B44" w:rsidP="004725AB" w:rsidRDefault="00C834E9" w14:paraId="1D60A3A6" w14:textId="77777777">
      <w:pPr>
        <w:pStyle w:val="BodyText"/>
      </w:pPr>
      <w:r>
        <w:t xml:space="preserve">7.   </w:t>
      </w:r>
      <w:r w:rsidR="00C4595C">
        <w:t xml:space="preserve">This information collection is conducted in a manner inconsistent with the guidelines in </w:t>
      </w:r>
    </w:p>
    <w:p w:rsidR="00C4595C" w:rsidP="004725AB" w:rsidRDefault="00C4595C" w14:paraId="1F72CD08" w14:textId="77777777">
      <w:pPr>
        <w:pStyle w:val="BodyText"/>
      </w:pPr>
      <w:r>
        <w:t>5 C</w:t>
      </w:r>
      <w:r w:rsidR="00653C95">
        <w:t>.</w:t>
      </w:r>
      <w:r>
        <w:t>F</w:t>
      </w:r>
      <w:r w:rsidR="00653C95">
        <w:t>.</w:t>
      </w:r>
      <w:r>
        <w:t xml:space="preserve">R 1320 in the following ways: </w:t>
      </w:r>
    </w:p>
    <w:p w:rsidR="00C4595C" w:rsidP="004725AB" w:rsidRDefault="00C4595C" w14:paraId="12306874" w14:textId="77777777">
      <w:pPr>
        <w:tabs>
          <w:tab w:val="left" w:pos="-720"/>
        </w:tabs>
        <w:suppressAutoHyphens/>
        <w:rPr>
          <w:sz w:val="24"/>
        </w:rPr>
      </w:pPr>
    </w:p>
    <w:p w:rsidR="00696C5B" w:rsidP="004725AB" w:rsidRDefault="00C4595C" w14:paraId="6623D49F" w14:textId="77777777">
      <w:pPr>
        <w:tabs>
          <w:tab w:val="left" w:pos="-720"/>
        </w:tabs>
        <w:suppressAutoHyphens/>
        <w:rPr>
          <w:sz w:val="24"/>
        </w:rPr>
      </w:pPr>
      <w:r>
        <w:rPr>
          <w:sz w:val="24"/>
        </w:rPr>
        <w:t xml:space="preserve">The report filed pursuant to Section 73.702(e) is to be filed by entities within 14 days after the end of each broadcast season.  </w:t>
      </w:r>
    </w:p>
    <w:p w:rsidR="00696C5B" w:rsidP="004725AB" w:rsidRDefault="00696C5B" w14:paraId="07A0D798" w14:textId="77777777">
      <w:pPr>
        <w:tabs>
          <w:tab w:val="left" w:pos="-720"/>
        </w:tabs>
        <w:suppressAutoHyphens/>
        <w:rPr>
          <w:sz w:val="24"/>
        </w:rPr>
      </w:pPr>
    </w:p>
    <w:p w:rsidR="00696C5B" w:rsidP="004725AB" w:rsidRDefault="00C4595C" w14:paraId="407B910D" w14:textId="77777777">
      <w:pPr>
        <w:tabs>
          <w:tab w:val="left" w:pos="-720"/>
        </w:tabs>
        <w:suppressAutoHyphens/>
        <w:rPr>
          <w:sz w:val="24"/>
        </w:rPr>
      </w:pPr>
      <w:r>
        <w:rPr>
          <w:sz w:val="24"/>
        </w:rPr>
        <w:lastRenderedPageBreak/>
        <w:t xml:space="preserve">Section 73.759(g) states that changes or modifications of transmission systems not specified in that rule section can be made at any time without the authority of the Commission provided that the Commission shall be immediately notified thereof.   </w:t>
      </w:r>
    </w:p>
    <w:p w:rsidR="00696C5B" w:rsidP="004725AB" w:rsidRDefault="00696C5B" w14:paraId="5F78675A" w14:textId="77777777">
      <w:pPr>
        <w:tabs>
          <w:tab w:val="left" w:pos="-720"/>
        </w:tabs>
        <w:suppressAutoHyphens/>
        <w:rPr>
          <w:sz w:val="24"/>
        </w:rPr>
      </w:pPr>
    </w:p>
    <w:p w:rsidR="00696C5B" w:rsidP="004725AB" w:rsidRDefault="00C4595C" w14:paraId="2921DA6A" w14:textId="77777777">
      <w:pPr>
        <w:tabs>
          <w:tab w:val="left" w:pos="-720"/>
        </w:tabs>
        <w:suppressAutoHyphens/>
        <w:rPr>
          <w:sz w:val="24"/>
        </w:rPr>
      </w:pPr>
      <w:r>
        <w:rPr>
          <w:sz w:val="24"/>
        </w:rPr>
        <w:t xml:space="preserve">Section 73.761(b) requires that entities immediately notify the Commission in writing of limitations and discontinuances of operation and that the Commission shall subsequently be notified when the station resumes regular operation.  </w:t>
      </w:r>
    </w:p>
    <w:p w:rsidR="00696C5B" w:rsidP="004725AB" w:rsidRDefault="00696C5B" w14:paraId="12C4CB82" w14:textId="77777777">
      <w:pPr>
        <w:tabs>
          <w:tab w:val="left" w:pos="-720"/>
        </w:tabs>
        <w:suppressAutoHyphens/>
        <w:rPr>
          <w:sz w:val="24"/>
        </w:rPr>
      </w:pPr>
    </w:p>
    <w:p w:rsidR="00C4595C" w:rsidP="004725AB" w:rsidRDefault="00C4595C" w14:paraId="22BFFA24" w14:textId="77777777">
      <w:pPr>
        <w:tabs>
          <w:tab w:val="left" w:pos="-720"/>
        </w:tabs>
        <w:suppressAutoHyphens/>
        <w:rPr>
          <w:sz w:val="24"/>
        </w:rPr>
      </w:pPr>
      <w:r>
        <w:rPr>
          <w:sz w:val="24"/>
        </w:rPr>
        <w:t>Section 73.782 requires that logs involving communications incident to a disaster or which include communications incident to or involved in an investigation by the Commission and concerning which the licensee has been notified, shall be retained by the licensee until he/she is specifically authorized in writing by the Commission to destroy them.</w:t>
      </w:r>
    </w:p>
    <w:p w:rsidR="00C4595C" w:rsidP="004725AB" w:rsidRDefault="00C4595C" w14:paraId="39EC0E98" w14:textId="77777777">
      <w:pPr>
        <w:tabs>
          <w:tab w:val="left" w:pos="-720"/>
        </w:tabs>
        <w:suppressAutoHyphens/>
        <w:rPr>
          <w:sz w:val="24"/>
        </w:rPr>
      </w:pPr>
    </w:p>
    <w:p w:rsidR="00C4595C" w:rsidP="004725AB" w:rsidRDefault="003571C3" w14:paraId="2FF8BD0E" w14:textId="2E2C33D3">
      <w:pPr>
        <w:tabs>
          <w:tab w:val="left" w:pos="-720"/>
        </w:tabs>
        <w:suppressAutoHyphens/>
        <w:rPr>
          <w:sz w:val="24"/>
        </w:rPr>
      </w:pPr>
      <w:r>
        <w:rPr>
          <w:sz w:val="24"/>
        </w:rPr>
        <w:t xml:space="preserve">8.   </w:t>
      </w:r>
      <w:r w:rsidR="007B4E5C">
        <w:rPr>
          <w:sz w:val="24"/>
        </w:rPr>
        <w:t>On</w:t>
      </w:r>
      <w:r w:rsidR="0044355F">
        <w:rPr>
          <w:sz w:val="24"/>
        </w:rPr>
        <w:t xml:space="preserve"> </w:t>
      </w:r>
      <w:r w:rsidR="00B50EC2">
        <w:rPr>
          <w:sz w:val="24"/>
        </w:rPr>
        <w:t>July 14, 2020</w:t>
      </w:r>
      <w:r w:rsidR="007B4E5C">
        <w:rPr>
          <w:sz w:val="24"/>
        </w:rPr>
        <w:t>, a</w:t>
      </w:r>
      <w:r w:rsidR="00C4595C">
        <w:rPr>
          <w:sz w:val="24"/>
        </w:rPr>
        <w:t xml:space="preserve"> 60-day notice was published in the Federal Register (</w:t>
      </w:r>
      <w:r w:rsidR="00B50EC2">
        <w:rPr>
          <w:sz w:val="24"/>
        </w:rPr>
        <w:t>85 FR 42398</w:t>
      </w:r>
      <w:r w:rsidR="00C4595C">
        <w:rPr>
          <w:sz w:val="24"/>
        </w:rPr>
        <w:t>) to solicit public comments on the</w:t>
      </w:r>
      <w:r w:rsidR="00422F2E">
        <w:rPr>
          <w:sz w:val="24"/>
        </w:rPr>
        <w:t xml:space="preserve"> extension of this information collection</w:t>
      </w:r>
      <w:r w:rsidR="00C4595C">
        <w:rPr>
          <w:sz w:val="24"/>
        </w:rPr>
        <w:t>.  No comments were received from the public</w:t>
      </w:r>
      <w:r w:rsidR="006357C4">
        <w:rPr>
          <w:sz w:val="24"/>
        </w:rPr>
        <w:t xml:space="preserve"> in response to the notice</w:t>
      </w:r>
      <w:r w:rsidR="00C4595C">
        <w:rPr>
          <w:sz w:val="24"/>
        </w:rPr>
        <w:t xml:space="preserve">.   </w:t>
      </w:r>
    </w:p>
    <w:p w:rsidR="00827C0A" w:rsidP="004725AB" w:rsidRDefault="00827C0A" w14:paraId="747981C6" w14:textId="77777777">
      <w:pPr>
        <w:tabs>
          <w:tab w:val="left" w:pos="-720"/>
        </w:tabs>
        <w:suppressAutoHyphens/>
        <w:rPr>
          <w:sz w:val="24"/>
        </w:rPr>
      </w:pPr>
    </w:p>
    <w:p w:rsidR="00C4595C" w:rsidP="004725AB" w:rsidRDefault="00496809" w14:paraId="747471E7" w14:textId="77777777">
      <w:pPr>
        <w:tabs>
          <w:tab w:val="left" w:pos="-720"/>
        </w:tabs>
        <w:suppressAutoHyphens/>
        <w:rPr>
          <w:sz w:val="24"/>
        </w:rPr>
      </w:pPr>
      <w:r>
        <w:rPr>
          <w:sz w:val="24"/>
        </w:rPr>
        <w:t xml:space="preserve">9.   </w:t>
      </w:r>
      <w:r w:rsidR="00C4595C">
        <w:rPr>
          <w:sz w:val="24"/>
        </w:rPr>
        <w:t>The Commission does not provide any payment or gift to respondents.</w:t>
      </w:r>
    </w:p>
    <w:p w:rsidR="00C4595C" w:rsidP="004725AB" w:rsidRDefault="00C4595C" w14:paraId="32429731" w14:textId="77777777">
      <w:pPr>
        <w:tabs>
          <w:tab w:val="left" w:pos="-720"/>
        </w:tabs>
        <w:suppressAutoHyphens/>
        <w:rPr>
          <w:sz w:val="24"/>
        </w:rPr>
      </w:pPr>
    </w:p>
    <w:p w:rsidR="00C4595C" w:rsidP="004725AB" w:rsidRDefault="00496809" w14:paraId="3FAEF869" w14:textId="77777777">
      <w:pPr>
        <w:suppressAutoHyphens/>
        <w:rPr>
          <w:sz w:val="24"/>
        </w:rPr>
      </w:pPr>
      <w:r>
        <w:rPr>
          <w:sz w:val="24"/>
        </w:rPr>
        <w:t xml:space="preserve">10.   </w:t>
      </w:r>
      <w:r w:rsidR="00C4595C">
        <w:rPr>
          <w:sz w:val="24"/>
        </w:rPr>
        <w:t>There is no need for confidentiality pertaining to the information collection requirements in this collection.</w:t>
      </w:r>
    </w:p>
    <w:p w:rsidR="002468CF" w:rsidP="004725AB" w:rsidRDefault="002468CF" w14:paraId="367CA42B" w14:textId="77777777">
      <w:pPr>
        <w:suppressAutoHyphens/>
        <w:rPr>
          <w:sz w:val="24"/>
        </w:rPr>
      </w:pPr>
    </w:p>
    <w:p w:rsidR="00C4595C" w:rsidP="004725AB" w:rsidRDefault="00496809" w14:paraId="66B2DF29" w14:textId="77777777">
      <w:pPr>
        <w:tabs>
          <w:tab w:val="left" w:pos="-720"/>
        </w:tabs>
        <w:suppressAutoHyphens/>
        <w:rPr>
          <w:sz w:val="24"/>
        </w:rPr>
      </w:pPr>
      <w:r>
        <w:rPr>
          <w:sz w:val="24"/>
        </w:rPr>
        <w:t xml:space="preserve">11.   </w:t>
      </w:r>
      <w:r w:rsidR="00C4595C">
        <w:rPr>
          <w:sz w:val="24"/>
        </w:rPr>
        <w:t>This collection does not contain questions of a sensitive nature.</w:t>
      </w:r>
    </w:p>
    <w:p w:rsidR="00C4595C" w:rsidP="004725AB" w:rsidRDefault="00C4595C" w14:paraId="7728040E" w14:textId="77777777">
      <w:pPr>
        <w:tabs>
          <w:tab w:val="left" w:pos="-720"/>
        </w:tabs>
        <w:suppressAutoHyphens/>
        <w:rPr>
          <w:b/>
          <w:sz w:val="24"/>
        </w:rPr>
      </w:pPr>
    </w:p>
    <w:p w:rsidR="00C4595C" w:rsidP="004725AB" w:rsidRDefault="002468CF" w14:paraId="553076F5" w14:textId="77777777">
      <w:pPr>
        <w:suppressAutoHyphens/>
        <w:rPr>
          <w:sz w:val="24"/>
        </w:rPr>
      </w:pPr>
      <w:r>
        <w:rPr>
          <w:sz w:val="24"/>
        </w:rPr>
        <w:br w:type="page"/>
      </w:r>
      <w:r w:rsidR="00496809">
        <w:rPr>
          <w:sz w:val="24"/>
        </w:rPr>
        <w:lastRenderedPageBreak/>
        <w:t xml:space="preserve">12.   </w:t>
      </w:r>
      <w:r w:rsidR="00C4595C">
        <w:rPr>
          <w:sz w:val="24"/>
        </w:rPr>
        <w:t xml:space="preserve">An estimate of </w:t>
      </w:r>
      <w:r w:rsidR="000E74D1">
        <w:rPr>
          <w:sz w:val="24"/>
        </w:rPr>
        <w:t xml:space="preserve">the annual </w:t>
      </w:r>
      <w:r w:rsidR="00C4595C">
        <w:rPr>
          <w:sz w:val="24"/>
        </w:rPr>
        <w:t xml:space="preserve">hour burden </w:t>
      </w:r>
      <w:r w:rsidR="00F649DB">
        <w:rPr>
          <w:sz w:val="24"/>
        </w:rPr>
        <w:t xml:space="preserve">hours for the 10 </w:t>
      </w:r>
      <w:r w:rsidR="00C4595C">
        <w:rPr>
          <w:sz w:val="24"/>
        </w:rPr>
        <w:t xml:space="preserve">respondents </w:t>
      </w:r>
      <w:r w:rsidR="00F649DB">
        <w:rPr>
          <w:sz w:val="24"/>
        </w:rPr>
        <w:t xml:space="preserve">to this information collection </w:t>
      </w:r>
      <w:r w:rsidR="00C4595C">
        <w:rPr>
          <w:sz w:val="24"/>
        </w:rPr>
        <w:t>is as follows:</w:t>
      </w:r>
    </w:p>
    <w:p w:rsidR="00C4595C" w:rsidRDefault="00C4595C" w14:paraId="3F50882B" w14:textId="77777777">
      <w:pPr>
        <w:suppressAutoHyphens/>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8"/>
        <w:gridCol w:w="1710"/>
        <w:gridCol w:w="2340"/>
        <w:gridCol w:w="1998"/>
      </w:tblGrid>
      <w:tr w:rsidR="00C4595C" w:rsidTr="00C7185D" w14:paraId="030E9D49" w14:textId="77777777">
        <w:tblPrEx>
          <w:tblCellMar>
            <w:top w:w="0" w:type="dxa"/>
            <w:bottom w:w="0" w:type="dxa"/>
          </w:tblCellMar>
        </w:tblPrEx>
        <w:tc>
          <w:tcPr>
            <w:tcW w:w="3528" w:type="dxa"/>
            <w:shd w:val="pct20" w:color="auto" w:fill="FFFFFF"/>
          </w:tcPr>
          <w:p w:rsidRPr="00253E55" w:rsidR="00C4595C" w:rsidRDefault="00C4595C" w14:paraId="0F84BA6F" w14:textId="77777777">
            <w:pPr>
              <w:pStyle w:val="BodyText"/>
              <w:jc w:val="center"/>
              <w:rPr>
                <w:b/>
                <w:sz w:val="22"/>
                <w:szCs w:val="22"/>
              </w:rPr>
            </w:pPr>
            <w:r w:rsidRPr="00253E55">
              <w:rPr>
                <w:b/>
                <w:sz w:val="22"/>
                <w:szCs w:val="22"/>
              </w:rPr>
              <w:t>FCC Form 42</w:t>
            </w:r>
            <w:r w:rsidRPr="00253E55" w:rsidR="0037204D">
              <w:rPr>
                <w:b/>
                <w:sz w:val="22"/>
                <w:szCs w:val="22"/>
              </w:rPr>
              <w:t>2</w:t>
            </w:r>
            <w:r w:rsidRPr="00253E55">
              <w:rPr>
                <w:b/>
                <w:sz w:val="22"/>
                <w:szCs w:val="22"/>
              </w:rPr>
              <w:t>-IB</w:t>
            </w:r>
          </w:p>
        </w:tc>
        <w:tc>
          <w:tcPr>
            <w:tcW w:w="1710" w:type="dxa"/>
            <w:shd w:val="pct20" w:color="auto" w:fill="FFFFFF"/>
          </w:tcPr>
          <w:p w:rsidRPr="00253E55" w:rsidR="00632951" w:rsidRDefault="00632951" w14:paraId="71F0DB82" w14:textId="77777777">
            <w:pPr>
              <w:pStyle w:val="BodyText"/>
              <w:jc w:val="center"/>
              <w:rPr>
                <w:b/>
                <w:sz w:val="22"/>
                <w:szCs w:val="22"/>
              </w:rPr>
            </w:pPr>
            <w:r>
              <w:rPr>
                <w:b/>
                <w:sz w:val="22"/>
                <w:szCs w:val="22"/>
              </w:rPr>
              <w:t>Responses</w:t>
            </w:r>
          </w:p>
        </w:tc>
        <w:tc>
          <w:tcPr>
            <w:tcW w:w="2340" w:type="dxa"/>
            <w:shd w:val="pct20" w:color="auto" w:fill="FFFFFF"/>
          </w:tcPr>
          <w:p w:rsidRPr="00253E55" w:rsidR="00C4595C" w:rsidRDefault="00C4595C" w14:paraId="40220A5B" w14:textId="77777777">
            <w:pPr>
              <w:pStyle w:val="BodyText"/>
              <w:jc w:val="center"/>
              <w:rPr>
                <w:b/>
                <w:sz w:val="22"/>
                <w:szCs w:val="22"/>
              </w:rPr>
            </w:pPr>
            <w:r w:rsidRPr="00253E55">
              <w:rPr>
                <w:b/>
                <w:sz w:val="22"/>
                <w:szCs w:val="22"/>
              </w:rPr>
              <w:t>Hours</w:t>
            </w:r>
          </w:p>
          <w:p w:rsidRPr="00253E55" w:rsidR="00A427F7" w:rsidRDefault="00A427F7" w14:paraId="74F40FE9" w14:textId="77777777">
            <w:pPr>
              <w:pStyle w:val="BodyText"/>
              <w:jc w:val="center"/>
              <w:rPr>
                <w:b/>
                <w:sz w:val="22"/>
                <w:szCs w:val="22"/>
              </w:rPr>
            </w:pPr>
            <w:r w:rsidRPr="00253E55">
              <w:rPr>
                <w:b/>
                <w:sz w:val="22"/>
                <w:szCs w:val="22"/>
              </w:rPr>
              <w:t xml:space="preserve">and Frequency </w:t>
            </w:r>
          </w:p>
          <w:p w:rsidRPr="00253E55" w:rsidR="00A427F7" w:rsidRDefault="00A427F7" w14:paraId="52134917" w14:textId="77777777">
            <w:pPr>
              <w:pStyle w:val="BodyText"/>
              <w:jc w:val="center"/>
              <w:rPr>
                <w:b/>
                <w:sz w:val="22"/>
                <w:szCs w:val="22"/>
              </w:rPr>
            </w:pPr>
            <w:r w:rsidRPr="00253E55">
              <w:rPr>
                <w:b/>
                <w:sz w:val="22"/>
                <w:szCs w:val="22"/>
              </w:rPr>
              <w:t>of Response</w:t>
            </w:r>
          </w:p>
        </w:tc>
        <w:tc>
          <w:tcPr>
            <w:tcW w:w="1998" w:type="dxa"/>
            <w:shd w:val="pct20" w:color="auto" w:fill="FFFFFF"/>
          </w:tcPr>
          <w:p w:rsidRPr="00253E55" w:rsidR="00C4595C" w:rsidRDefault="00C4595C" w14:paraId="48E7E37A" w14:textId="77777777">
            <w:pPr>
              <w:pStyle w:val="BodyText"/>
              <w:jc w:val="center"/>
              <w:rPr>
                <w:b/>
                <w:sz w:val="22"/>
                <w:szCs w:val="22"/>
              </w:rPr>
            </w:pPr>
            <w:r w:rsidRPr="00253E55">
              <w:rPr>
                <w:b/>
                <w:sz w:val="22"/>
                <w:szCs w:val="22"/>
              </w:rPr>
              <w:t>Burden Hours</w:t>
            </w:r>
          </w:p>
        </w:tc>
      </w:tr>
      <w:tr w:rsidR="00C4595C" w:rsidTr="00C7185D" w14:paraId="21E5FC68" w14:textId="77777777">
        <w:tblPrEx>
          <w:tblCellMar>
            <w:top w:w="0" w:type="dxa"/>
            <w:bottom w:w="0" w:type="dxa"/>
          </w:tblCellMar>
        </w:tblPrEx>
        <w:tc>
          <w:tcPr>
            <w:tcW w:w="3528" w:type="dxa"/>
          </w:tcPr>
          <w:p w:rsidRPr="00253E55" w:rsidR="00C4595C" w:rsidRDefault="002468CF" w14:paraId="62B4A474" w14:textId="77777777">
            <w:pPr>
              <w:pStyle w:val="BodyText"/>
              <w:rPr>
                <w:b/>
                <w:sz w:val="22"/>
                <w:szCs w:val="22"/>
              </w:rPr>
            </w:pPr>
            <w:r w:rsidRPr="00253E55">
              <w:rPr>
                <w:b/>
                <w:sz w:val="22"/>
                <w:szCs w:val="22"/>
              </w:rPr>
              <w:t>Section 325(c) Communications Act of 1934, as amended</w:t>
            </w:r>
          </w:p>
          <w:p w:rsidRPr="00253E55" w:rsidR="002468CF" w:rsidRDefault="00AF4B40" w14:paraId="4715D30E" w14:textId="77777777">
            <w:pPr>
              <w:pStyle w:val="BodyText"/>
              <w:rPr>
                <w:sz w:val="22"/>
                <w:szCs w:val="22"/>
              </w:rPr>
            </w:pPr>
            <w:r w:rsidRPr="00253E55">
              <w:rPr>
                <w:sz w:val="22"/>
                <w:szCs w:val="22"/>
              </w:rPr>
              <w:t>FCC Form 422-IB</w:t>
            </w:r>
          </w:p>
          <w:p w:rsidRPr="00253E55" w:rsidR="00C4595C" w:rsidRDefault="00C4595C" w14:paraId="2B4E938F" w14:textId="77777777">
            <w:pPr>
              <w:pStyle w:val="BodyText"/>
              <w:rPr>
                <w:sz w:val="22"/>
                <w:szCs w:val="22"/>
              </w:rPr>
            </w:pPr>
          </w:p>
        </w:tc>
        <w:tc>
          <w:tcPr>
            <w:tcW w:w="1710" w:type="dxa"/>
          </w:tcPr>
          <w:p w:rsidRPr="00253E55" w:rsidR="00C4595C" w:rsidRDefault="00C4595C" w14:paraId="007F95C4" w14:textId="77777777">
            <w:pPr>
              <w:pStyle w:val="BodyText"/>
              <w:jc w:val="center"/>
              <w:rPr>
                <w:sz w:val="22"/>
                <w:szCs w:val="22"/>
              </w:rPr>
            </w:pPr>
            <w:r w:rsidRPr="00253E55">
              <w:rPr>
                <w:sz w:val="22"/>
                <w:szCs w:val="22"/>
              </w:rPr>
              <w:t>10</w:t>
            </w:r>
          </w:p>
        </w:tc>
        <w:tc>
          <w:tcPr>
            <w:tcW w:w="2340" w:type="dxa"/>
          </w:tcPr>
          <w:p w:rsidRPr="00253E55" w:rsidR="00C4595C" w:rsidRDefault="00F27DA9" w14:paraId="39A13840" w14:textId="77777777">
            <w:pPr>
              <w:pStyle w:val="BodyText"/>
              <w:jc w:val="center"/>
              <w:rPr>
                <w:sz w:val="22"/>
                <w:szCs w:val="22"/>
              </w:rPr>
            </w:pPr>
            <w:r w:rsidRPr="00253E55">
              <w:rPr>
                <w:sz w:val="22"/>
                <w:szCs w:val="22"/>
              </w:rPr>
              <w:t>1</w:t>
            </w:r>
            <w:r w:rsidR="006F50DE">
              <w:rPr>
                <w:sz w:val="22"/>
                <w:szCs w:val="22"/>
              </w:rPr>
              <w:t xml:space="preserve"> hour</w:t>
            </w:r>
          </w:p>
          <w:p w:rsidRPr="00253E55" w:rsidR="00A04E2E" w:rsidRDefault="0081577C" w14:paraId="78F7C3FE" w14:textId="77777777">
            <w:pPr>
              <w:pStyle w:val="BodyText"/>
              <w:jc w:val="center"/>
              <w:rPr>
                <w:sz w:val="22"/>
                <w:szCs w:val="22"/>
              </w:rPr>
            </w:pPr>
            <w:r>
              <w:rPr>
                <w:sz w:val="22"/>
                <w:szCs w:val="22"/>
              </w:rPr>
              <w:t>On-occasion</w:t>
            </w:r>
          </w:p>
          <w:p w:rsidRPr="00253E55" w:rsidR="00C4595C" w:rsidRDefault="00C4595C" w14:paraId="5426DD49" w14:textId="77777777">
            <w:pPr>
              <w:pStyle w:val="BodyText"/>
              <w:jc w:val="center"/>
              <w:rPr>
                <w:sz w:val="22"/>
                <w:szCs w:val="22"/>
              </w:rPr>
            </w:pPr>
          </w:p>
        </w:tc>
        <w:tc>
          <w:tcPr>
            <w:tcW w:w="1998" w:type="dxa"/>
          </w:tcPr>
          <w:p w:rsidRPr="00253E55" w:rsidR="00C4595C" w:rsidRDefault="00F27DA9" w14:paraId="720416A7" w14:textId="77777777">
            <w:pPr>
              <w:pStyle w:val="BodyText"/>
              <w:jc w:val="center"/>
              <w:rPr>
                <w:sz w:val="22"/>
                <w:szCs w:val="22"/>
              </w:rPr>
            </w:pPr>
            <w:r w:rsidRPr="00253E55">
              <w:rPr>
                <w:sz w:val="22"/>
                <w:szCs w:val="22"/>
              </w:rPr>
              <w:t>1</w:t>
            </w:r>
            <w:r w:rsidRPr="00253E55" w:rsidR="00C4595C">
              <w:rPr>
                <w:sz w:val="22"/>
                <w:szCs w:val="22"/>
              </w:rPr>
              <w:t>0</w:t>
            </w:r>
          </w:p>
        </w:tc>
      </w:tr>
      <w:tr w:rsidR="0055018A" w:rsidTr="00C7185D" w14:paraId="180D90B3" w14:textId="77777777">
        <w:tblPrEx>
          <w:tblCellMar>
            <w:top w:w="0" w:type="dxa"/>
            <w:bottom w:w="0" w:type="dxa"/>
          </w:tblCellMar>
        </w:tblPrEx>
        <w:tc>
          <w:tcPr>
            <w:tcW w:w="3528" w:type="dxa"/>
          </w:tcPr>
          <w:p w:rsidRPr="00253E55" w:rsidR="0055018A" w:rsidP="006A041E" w:rsidRDefault="00B62A85" w14:paraId="0F10DF73" w14:textId="77777777">
            <w:pPr>
              <w:pStyle w:val="BodyText"/>
              <w:rPr>
                <w:b/>
                <w:sz w:val="22"/>
                <w:szCs w:val="22"/>
              </w:rPr>
            </w:pPr>
            <w:r w:rsidRPr="00253E55">
              <w:rPr>
                <w:b/>
                <w:sz w:val="22"/>
                <w:szCs w:val="22"/>
              </w:rPr>
              <w:t>47 CFR 73.702</w:t>
            </w:r>
          </w:p>
          <w:p w:rsidRPr="00253E55" w:rsidR="00B62A85" w:rsidP="006A041E" w:rsidRDefault="005B11B4" w14:paraId="15590510" w14:textId="77777777">
            <w:pPr>
              <w:pStyle w:val="BodyText"/>
              <w:rPr>
                <w:sz w:val="22"/>
                <w:szCs w:val="22"/>
              </w:rPr>
            </w:pPr>
            <w:r w:rsidRPr="00253E55">
              <w:rPr>
                <w:sz w:val="22"/>
                <w:szCs w:val="22"/>
              </w:rPr>
              <w:t>Report</w:t>
            </w:r>
            <w:r w:rsidR="00BA5627">
              <w:rPr>
                <w:sz w:val="22"/>
                <w:szCs w:val="22"/>
              </w:rPr>
              <w:t>s</w:t>
            </w:r>
            <w:r w:rsidRPr="00253E55">
              <w:rPr>
                <w:sz w:val="22"/>
                <w:szCs w:val="22"/>
              </w:rPr>
              <w:t xml:space="preserve"> filed by international broadcasters within 14 days after the end of each broadcast season.</w:t>
            </w:r>
          </w:p>
        </w:tc>
        <w:tc>
          <w:tcPr>
            <w:tcW w:w="1710" w:type="dxa"/>
          </w:tcPr>
          <w:p w:rsidRPr="00253E55" w:rsidR="0055018A" w:rsidRDefault="00A427F7" w14:paraId="1323F8D4" w14:textId="77777777">
            <w:pPr>
              <w:pStyle w:val="BodyText"/>
              <w:jc w:val="center"/>
              <w:rPr>
                <w:sz w:val="22"/>
                <w:szCs w:val="22"/>
              </w:rPr>
            </w:pPr>
            <w:r w:rsidRPr="00253E55">
              <w:rPr>
                <w:sz w:val="22"/>
                <w:szCs w:val="22"/>
              </w:rPr>
              <w:t>10</w:t>
            </w:r>
          </w:p>
        </w:tc>
        <w:tc>
          <w:tcPr>
            <w:tcW w:w="2340" w:type="dxa"/>
          </w:tcPr>
          <w:p w:rsidRPr="00253E55" w:rsidR="0055018A" w:rsidRDefault="00A427F7" w14:paraId="660D9177" w14:textId="77777777">
            <w:pPr>
              <w:pStyle w:val="BodyText"/>
              <w:jc w:val="center"/>
              <w:rPr>
                <w:sz w:val="22"/>
                <w:szCs w:val="22"/>
              </w:rPr>
            </w:pPr>
            <w:r w:rsidRPr="00253E55">
              <w:rPr>
                <w:sz w:val="22"/>
                <w:szCs w:val="22"/>
              </w:rPr>
              <w:t>2 hours</w:t>
            </w:r>
          </w:p>
          <w:p w:rsidRPr="00253E55" w:rsidR="00A427F7" w:rsidRDefault="00CE5F6C" w14:paraId="319261C4" w14:textId="77777777">
            <w:pPr>
              <w:pStyle w:val="BodyText"/>
              <w:jc w:val="center"/>
              <w:rPr>
                <w:sz w:val="22"/>
                <w:szCs w:val="22"/>
              </w:rPr>
            </w:pPr>
            <w:r>
              <w:rPr>
                <w:sz w:val="22"/>
                <w:szCs w:val="22"/>
              </w:rPr>
              <w:t>(2</w:t>
            </w:r>
            <w:r w:rsidRPr="00253E55" w:rsidR="00A427F7">
              <w:rPr>
                <w:sz w:val="22"/>
                <w:szCs w:val="22"/>
              </w:rPr>
              <w:t xml:space="preserve"> times per year</w:t>
            </w:r>
            <w:r w:rsidR="003559E7">
              <w:rPr>
                <w:sz w:val="22"/>
                <w:szCs w:val="22"/>
              </w:rPr>
              <w:t xml:space="preserve"> for a total of 2 hours</w:t>
            </w:r>
            <w:r>
              <w:rPr>
                <w:sz w:val="22"/>
                <w:szCs w:val="22"/>
              </w:rPr>
              <w:t>)</w:t>
            </w:r>
          </w:p>
        </w:tc>
        <w:tc>
          <w:tcPr>
            <w:tcW w:w="1998" w:type="dxa"/>
          </w:tcPr>
          <w:p w:rsidRPr="00253E55" w:rsidR="0055018A" w:rsidRDefault="00DD4386" w14:paraId="57BD6662" w14:textId="77777777">
            <w:pPr>
              <w:pStyle w:val="BodyText"/>
              <w:jc w:val="center"/>
              <w:rPr>
                <w:sz w:val="22"/>
                <w:szCs w:val="22"/>
              </w:rPr>
            </w:pPr>
            <w:r>
              <w:rPr>
                <w:sz w:val="22"/>
                <w:szCs w:val="22"/>
              </w:rPr>
              <w:t>4</w:t>
            </w:r>
            <w:r w:rsidRPr="00253E55" w:rsidR="00645178">
              <w:rPr>
                <w:sz w:val="22"/>
                <w:szCs w:val="22"/>
              </w:rPr>
              <w:t>0</w:t>
            </w:r>
          </w:p>
        </w:tc>
      </w:tr>
      <w:tr w:rsidR="0055018A" w:rsidTr="00C7185D" w14:paraId="72C6AD98" w14:textId="77777777">
        <w:tblPrEx>
          <w:tblCellMar>
            <w:top w:w="0" w:type="dxa"/>
            <w:bottom w:w="0" w:type="dxa"/>
          </w:tblCellMar>
        </w:tblPrEx>
        <w:tc>
          <w:tcPr>
            <w:tcW w:w="3528" w:type="dxa"/>
          </w:tcPr>
          <w:p w:rsidRPr="00253E55" w:rsidR="0055018A" w:rsidP="00B62A85" w:rsidRDefault="00B62A85" w14:paraId="5B74E75C" w14:textId="77777777">
            <w:pPr>
              <w:pStyle w:val="BodyText"/>
              <w:rPr>
                <w:b/>
                <w:sz w:val="22"/>
                <w:szCs w:val="22"/>
              </w:rPr>
            </w:pPr>
            <w:r w:rsidRPr="00253E55">
              <w:rPr>
                <w:b/>
                <w:sz w:val="22"/>
                <w:szCs w:val="22"/>
              </w:rPr>
              <w:t>47 CFR 73.759(g)</w:t>
            </w:r>
          </w:p>
          <w:p w:rsidRPr="00253E55" w:rsidR="00B62A85" w:rsidP="00B62A85" w:rsidRDefault="00EC010B" w14:paraId="2EDCA770" w14:textId="77777777">
            <w:pPr>
              <w:pStyle w:val="BodyText"/>
              <w:rPr>
                <w:b/>
                <w:sz w:val="22"/>
                <w:szCs w:val="22"/>
              </w:rPr>
            </w:pPr>
            <w:r w:rsidRPr="00253E55">
              <w:rPr>
                <w:sz w:val="22"/>
                <w:szCs w:val="22"/>
              </w:rPr>
              <w:t>I</w:t>
            </w:r>
            <w:r w:rsidRPr="00253E55" w:rsidR="005E4CCD">
              <w:rPr>
                <w:sz w:val="22"/>
                <w:szCs w:val="22"/>
              </w:rPr>
              <w:t>nternational broadcaste</w:t>
            </w:r>
            <w:r w:rsidRPr="00253E55">
              <w:rPr>
                <w:sz w:val="22"/>
                <w:szCs w:val="22"/>
              </w:rPr>
              <w:t xml:space="preserve">rs </w:t>
            </w:r>
            <w:r w:rsidRPr="00253E55" w:rsidR="005E4CCD">
              <w:rPr>
                <w:sz w:val="22"/>
                <w:szCs w:val="22"/>
              </w:rPr>
              <w:t>must notify the C</w:t>
            </w:r>
            <w:r w:rsidRPr="00253E55" w:rsidR="009B3936">
              <w:rPr>
                <w:sz w:val="22"/>
                <w:szCs w:val="22"/>
              </w:rPr>
              <w:t>ommission immediately of changes or modifications not specified in the rule section</w:t>
            </w:r>
            <w:r w:rsidRPr="00253E55" w:rsidR="008B641C">
              <w:rPr>
                <w:sz w:val="22"/>
                <w:szCs w:val="22"/>
              </w:rPr>
              <w:t>.</w:t>
            </w:r>
          </w:p>
        </w:tc>
        <w:tc>
          <w:tcPr>
            <w:tcW w:w="1710" w:type="dxa"/>
          </w:tcPr>
          <w:p w:rsidRPr="00253E55" w:rsidR="0055018A" w:rsidRDefault="00645178" w14:paraId="6210468E" w14:textId="77777777">
            <w:pPr>
              <w:pStyle w:val="BodyText"/>
              <w:jc w:val="center"/>
              <w:rPr>
                <w:sz w:val="22"/>
                <w:szCs w:val="22"/>
              </w:rPr>
            </w:pPr>
            <w:r w:rsidRPr="00253E55">
              <w:rPr>
                <w:sz w:val="22"/>
                <w:szCs w:val="22"/>
              </w:rPr>
              <w:t>10</w:t>
            </w:r>
          </w:p>
        </w:tc>
        <w:tc>
          <w:tcPr>
            <w:tcW w:w="2340" w:type="dxa"/>
          </w:tcPr>
          <w:p w:rsidR="0055018A" w:rsidRDefault="00645178" w14:paraId="256FB1BE" w14:textId="77777777">
            <w:pPr>
              <w:pStyle w:val="BodyText"/>
              <w:jc w:val="center"/>
              <w:rPr>
                <w:sz w:val="22"/>
                <w:szCs w:val="22"/>
              </w:rPr>
            </w:pPr>
            <w:r w:rsidRPr="00253E55">
              <w:rPr>
                <w:sz w:val="22"/>
                <w:szCs w:val="22"/>
              </w:rPr>
              <w:t>1 hour</w:t>
            </w:r>
          </w:p>
          <w:p w:rsidRPr="00253E55" w:rsidR="0081577C" w:rsidRDefault="0081577C" w14:paraId="49029F0A" w14:textId="77777777">
            <w:pPr>
              <w:pStyle w:val="BodyText"/>
              <w:jc w:val="center"/>
              <w:rPr>
                <w:sz w:val="22"/>
                <w:szCs w:val="22"/>
              </w:rPr>
            </w:pPr>
            <w:r>
              <w:rPr>
                <w:sz w:val="22"/>
                <w:szCs w:val="22"/>
              </w:rPr>
              <w:t xml:space="preserve">On-occasion </w:t>
            </w:r>
          </w:p>
        </w:tc>
        <w:tc>
          <w:tcPr>
            <w:tcW w:w="1998" w:type="dxa"/>
          </w:tcPr>
          <w:p w:rsidRPr="00253E55" w:rsidR="0055018A" w:rsidRDefault="00645178" w14:paraId="049C1462" w14:textId="77777777">
            <w:pPr>
              <w:pStyle w:val="BodyText"/>
              <w:jc w:val="center"/>
              <w:rPr>
                <w:sz w:val="22"/>
                <w:szCs w:val="22"/>
              </w:rPr>
            </w:pPr>
            <w:r w:rsidRPr="00253E55">
              <w:rPr>
                <w:sz w:val="22"/>
                <w:szCs w:val="22"/>
              </w:rPr>
              <w:t>10</w:t>
            </w:r>
          </w:p>
        </w:tc>
      </w:tr>
      <w:tr w:rsidR="0055018A" w:rsidTr="00C7185D" w14:paraId="1A851544" w14:textId="77777777">
        <w:tblPrEx>
          <w:tblCellMar>
            <w:top w:w="0" w:type="dxa"/>
            <w:bottom w:w="0" w:type="dxa"/>
          </w:tblCellMar>
        </w:tblPrEx>
        <w:tc>
          <w:tcPr>
            <w:tcW w:w="3528" w:type="dxa"/>
          </w:tcPr>
          <w:p w:rsidRPr="00253E55" w:rsidR="0055018A" w:rsidP="00B62A85" w:rsidRDefault="00B62A85" w14:paraId="4AFE90B0" w14:textId="77777777">
            <w:pPr>
              <w:pStyle w:val="BodyText"/>
              <w:rPr>
                <w:b/>
                <w:sz w:val="22"/>
                <w:szCs w:val="22"/>
              </w:rPr>
            </w:pPr>
            <w:r w:rsidRPr="00253E55">
              <w:rPr>
                <w:b/>
                <w:sz w:val="22"/>
                <w:szCs w:val="22"/>
              </w:rPr>
              <w:t>47 CFR 73.761(b)</w:t>
            </w:r>
          </w:p>
          <w:p w:rsidRPr="00253E55" w:rsidR="00B62A85" w:rsidP="00B62A85" w:rsidRDefault="00787354" w14:paraId="23017C24" w14:textId="77777777">
            <w:pPr>
              <w:pStyle w:val="BodyText"/>
              <w:rPr>
                <w:b/>
                <w:sz w:val="22"/>
                <w:szCs w:val="22"/>
              </w:rPr>
            </w:pPr>
            <w:r w:rsidRPr="00253E55">
              <w:rPr>
                <w:sz w:val="22"/>
                <w:szCs w:val="22"/>
              </w:rPr>
              <w:t>International broadcasters must immediately notify the Commission in writing of limitations and discontinuances of operation and that the Commission will subsequently be notified when the station resumes regular operation.</w:t>
            </w:r>
          </w:p>
        </w:tc>
        <w:tc>
          <w:tcPr>
            <w:tcW w:w="1710" w:type="dxa"/>
          </w:tcPr>
          <w:p w:rsidRPr="00253E55" w:rsidR="0055018A" w:rsidRDefault="00645178" w14:paraId="0B044081" w14:textId="77777777">
            <w:pPr>
              <w:pStyle w:val="BodyText"/>
              <w:jc w:val="center"/>
              <w:rPr>
                <w:sz w:val="22"/>
                <w:szCs w:val="22"/>
              </w:rPr>
            </w:pPr>
            <w:r w:rsidRPr="00253E55">
              <w:rPr>
                <w:sz w:val="22"/>
                <w:szCs w:val="22"/>
              </w:rPr>
              <w:t>10</w:t>
            </w:r>
          </w:p>
        </w:tc>
        <w:tc>
          <w:tcPr>
            <w:tcW w:w="2340" w:type="dxa"/>
          </w:tcPr>
          <w:p w:rsidR="0055018A" w:rsidRDefault="00F27DA9" w14:paraId="3D2B5D05" w14:textId="77777777">
            <w:pPr>
              <w:pStyle w:val="BodyText"/>
              <w:jc w:val="center"/>
              <w:rPr>
                <w:sz w:val="22"/>
                <w:szCs w:val="22"/>
              </w:rPr>
            </w:pPr>
            <w:r w:rsidRPr="00253E55">
              <w:rPr>
                <w:sz w:val="22"/>
                <w:szCs w:val="22"/>
              </w:rPr>
              <w:t>2</w:t>
            </w:r>
            <w:r w:rsidRPr="00253E55" w:rsidR="00645178">
              <w:rPr>
                <w:sz w:val="22"/>
                <w:szCs w:val="22"/>
              </w:rPr>
              <w:t xml:space="preserve"> hours</w:t>
            </w:r>
          </w:p>
          <w:p w:rsidRPr="00253E55" w:rsidR="0081577C" w:rsidRDefault="0081577C" w14:paraId="439C5F95" w14:textId="77777777">
            <w:pPr>
              <w:pStyle w:val="BodyText"/>
              <w:jc w:val="center"/>
              <w:rPr>
                <w:sz w:val="22"/>
                <w:szCs w:val="22"/>
              </w:rPr>
            </w:pPr>
            <w:r>
              <w:rPr>
                <w:sz w:val="22"/>
                <w:szCs w:val="22"/>
              </w:rPr>
              <w:t>On-occasion</w:t>
            </w:r>
          </w:p>
        </w:tc>
        <w:tc>
          <w:tcPr>
            <w:tcW w:w="1998" w:type="dxa"/>
          </w:tcPr>
          <w:p w:rsidRPr="00253E55" w:rsidR="0055018A" w:rsidRDefault="00645178" w14:paraId="610BBE01" w14:textId="77777777">
            <w:pPr>
              <w:pStyle w:val="BodyText"/>
              <w:jc w:val="center"/>
              <w:rPr>
                <w:sz w:val="22"/>
                <w:szCs w:val="22"/>
              </w:rPr>
            </w:pPr>
            <w:r w:rsidRPr="00253E55">
              <w:rPr>
                <w:sz w:val="22"/>
                <w:szCs w:val="22"/>
              </w:rPr>
              <w:t>20</w:t>
            </w:r>
          </w:p>
        </w:tc>
      </w:tr>
      <w:tr w:rsidR="0055018A" w:rsidTr="00C7185D" w14:paraId="5AE103BC" w14:textId="77777777">
        <w:tblPrEx>
          <w:tblCellMar>
            <w:top w:w="0" w:type="dxa"/>
            <w:bottom w:w="0" w:type="dxa"/>
          </w:tblCellMar>
        </w:tblPrEx>
        <w:tc>
          <w:tcPr>
            <w:tcW w:w="3528" w:type="dxa"/>
          </w:tcPr>
          <w:p w:rsidRPr="00253E55" w:rsidR="0055018A" w:rsidP="00B62A85" w:rsidRDefault="00B62A85" w14:paraId="7E8D9091" w14:textId="77777777">
            <w:pPr>
              <w:pStyle w:val="BodyText"/>
              <w:rPr>
                <w:b/>
                <w:sz w:val="22"/>
                <w:szCs w:val="22"/>
              </w:rPr>
            </w:pPr>
            <w:r w:rsidRPr="00253E55">
              <w:rPr>
                <w:b/>
                <w:sz w:val="22"/>
                <w:szCs w:val="22"/>
              </w:rPr>
              <w:t>47 CFR 73.782</w:t>
            </w:r>
          </w:p>
          <w:p w:rsidRPr="00253E55" w:rsidR="00B62A85" w:rsidP="004A67DB" w:rsidRDefault="006A6409" w14:paraId="17EFF3BA" w14:textId="77777777">
            <w:pPr>
              <w:pStyle w:val="BodyText"/>
              <w:rPr>
                <w:b/>
                <w:sz w:val="22"/>
                <w:szCs w:val="22"/>
              </w:rPr>
            </w:pPr>
            <w:r w:rsidRPr="00253E55">
              <w:rPr>
                <w:sz w:val="22"/>
                <w:szCs w:val="22"/>
              </w:rPr>
              <w:t>Reporting Requirement</w:t>
            </w:r>
            <w:r w:rsidRPr="00253E55">
              <w:rPr>
                <w:b/>
                <w:sz w:val="22"/>
                <w:szCs w:val="22"/>
              </w:rPr>
              <w:t xml:space="preserve"> – </w:t>
            </w:r>
            <w:r w:rsidRPr="00253E55">
              <w:rPr>
                <w:sz w:val="22"/>
                <w:szCs w:val="22"/>
              </w:rPr>
              <w:t>Logs involving communications incident to a disaster or which include communications incident to or involved in an investigation by the Commission and concerning which the licensee has been notified, shall be retained by the licensee until he/she is specifically authorized in writing by the Commission to destroy them.</w:t>
            </w:r>
          </w:p>
        </w:tc>
        <w:tc>
          <w:tcPr>
            <w:tcW w:w="1710" w:type="dxa"/>
          </w:tcPr>
          <w:p w:rsidRPr="00253E55" w:rsidR="0055018A" w:rsidRDefault="00645178" w14:paraId="6B65F385" w14:textId="77777777">
            <w:pPr>
              <w:pStyle w:val="BodyText"/>
              <w:jc w:val="center"/>
              <w:rPr>
                <w:sz w:val="22"/>
                <w:szCs w:val="22"/>
              </w:rPr>
            </w:pPr>
            <w:r w:rsidRPr="00253E55">
              <w:rPr>
                <w:sz w:val="22"/>
                <w:szCs w:val="22"/>
              </w:rPr>
              <w:t>10</w:t>
            </w:r>
          </w:p>
        </w:tc>
        <w:tc>
          <w:tcPr>
            <w:tcW w:w="2340" w:type="dxa"/>
          </w:tcPr>
          <w:p w:rsidR="0055018A" w:rsidRDefault="005F6781" w14:paraId="413C2410" w14:textId="77777777">
            <w:pPr>
              <w:pStyle w:val="BodyText"/>
              <w:jc w:val="center"/>
              <w:rPr>
                <w:sz w:val="22"/>
                <w:szCs w:val="22"/>
              </w:rPr>
            </w:pPr>
            <w:r>
              <w:rPr>
                <w:sz w:val="22"/>
                <w:szCs w:val="22"/>
              </w:rPr>
              <w:t>8</w:t>
            </w:r>
            <w:r w:rsidRPr="00253E55" w:rsidR="00645178">
              <w:rPr>
                <w:sz w:val="22"/>
                <w:szCs w:val="22"/>
              </w:rPr>
              <w:t xml:space="preserve"> hours</w:t>
            </w:r>
          </w:p>
          <w:p w:rsidRPr="00253E55" w:rsidR="0081577C" w:rsidRDefault="0081577C" w14:paraId="3B403F46" w14:textId="77777777">
            <w:pPr>
              <w:pStyle w:val="BodyText"/>
              <w:jc w:val="center"/>
              <w:rPr>
                <w:sz w:val="22"/>
                <w:szCs w:val="22"/>
              </w:rPr>
            </w:pPr>
            <w:r>
              <w:rPr>
                <w:sz w:val="22"/>
                <w:szCs w:val="22"/>
              </w:rPr>
              <w:t>On-occasion</w:t>
            </w:r>
          </w:p>
        </w:tc>
        <w:tc>
          <w:tcPr>
            <w:tcW w:w="1998" w:type="dxa"/>
          </w:tcPr>
          <w:p w:rsidRPr="00253E55" w:rsidR="0055018A" w:rsidRDefault="005F6781" w14:paraId="2AC82285" w14:textId="77777777">
            <w:pPr>
              <w:pStyle w:val="BodyText"/>
              <w:jc w:val="center"/>
              <w:rPr>
                <w:sz w:val="22"/>
                <w:szCs w:val="22"/>
              </w:rPr>
            </w:pPr>
            <w:r>
              <w:rPr>
                <w:sz w:val="22"/>
                <w:szCs w:val="22"/>
              </w:rPr>
              <w:t>8</w:t>
            </w:r>
            <w:r w:rsidRPr="00253E55" w:rsidR="00645178">
              <w:rPr>
                <w:sz w:val="22"/>
                <w:szCs w:val="22"/>
              </w:rPr>
              <w:t>0</w:t>
            </w:r>
          </w:p>
        </w:tc>
      </w:tr>
      <w:tr w:rsidR="00C4595C" w:rsidTr="00C7185D" w14:paraId="2BF7C9E2" w14:textId="77777777">
        <w:tblPrEx>
          <w:tblCellMar>
            <w:top w:w="0" w:type="dxa"/>
            <w:bottom w:w="0" w:type="dxa"/>
          </w:tblCellMar>
        </w:tblPrEx>
        <w:tc>
          <w:tcPr>
            <w:tcW w:w="3528" w:type="dxa"/>
          </w:tcPr>
          <w:p w:rsidRPr="00253E55" w:rsidR="00C4595C" w:rsidRDefault="00C4595C" w14:paraId="05591EB7" w14:textId="77777777">
            <w:pPr>
              <w:pStyle w:val="BodyText"/>
              <w:jc w:val="right"/>
              <w:rPr>
                <w:b/>
                <w:sz w:val="22"/>
                <w:szCs w:val="22"/>
              </w:rPr>
            </w:pPr>
            <w:r w:rsidRPr="00253E55">
              <w:rPr>
                <w:b/>
                <w:sz w:val="22"/>
                <w:szCs w:val="22"/>
              </w:rPr>
              <w:t>Total:</w:t>
            </w:r>
          </w:p>
          <w:p w:rsidRPr="00253E55" w:rsidR="00C4595C" w:rsidRDefault="00C4595C" w14:paraId="46FBF6AC" w14:textId="77777777">
            <w:pPr>
              <w:pStyle w:val="BodyText"/>
              <w:rPr>
                <w:sz w:val="22"/>
                <w:szCs w:val="22"/>
              </w:rPr>
            </w:pPr>
          </w:p>
        </w:tc>
        <w:tc>
          <w:tcPr>
            <w:tcW w:w="1710" w:type="dxa"/>
          </w:tcPr>
          <w:p w:rsidRPr="00253E55" w:rsidR="00C4595C" w:rsidRDefault="00F649DB" w14:paraId="4B32F40F" w14:textId="77777777">
            <w:pPr>
              <w:pStyle w:val="BodyText"/>
              <w:jc w:val="center"/>
              <w:rPr>
                <w:sz w:val="22"/>
                <w:szCs w:val="22"/>
              </w:rPr>
            </w:pPr>
            <w:r>
              <w:rPr>
                <w:sz w:val="22"/>
                <w:szCs w:val="22"/>
              </w:rPr>
              <w:t>5</w:t>
            </w:r>
            <w:r w:rsidR="00632951">
              <w:rPr>
                <w:sz w:val="22"/>
                <w:szCs w:val="22"/>
              </w:rPr>
              <w:t>0</w:t>
            </w:r>
          </w:p>
          <w:p w:rsidRPr="00253E55" w:rsidR="00C4595C" w:rsidRDefault="00581B83" w14:paraId="7CC9B98A" w14:textId="77777777">
            <w:pPr>
              <w:pStyle w:val="BodyText"/>
              <w:jc w:val="center"/>
              <w:rPr>
                <w:sz w:val="22"/>
                <w:szCs w:val="22"/>
              </w:rPr>
            </w:pPr>
            <w:r w:rsidRPr="00253E55">
              <w:rPr>
                <w:sz w:val="22"/>
                <w:szCs w:val="22"/>
              </w:rPr>
              <w:t>Respon</w:t>
            </w:r>
            <w:r w:rsidR="00632951">
              <w:rPr>
                <w:sz w:val="22"/>
                <w:szCs w:val="22"/>
              </w:rPr>
              <w:t>ses</w:t>
            </w:r>
          </w:p>
          <w:p w:rsidRPr="00253E55" w:rsidR="00581B83" w:rsidP="00632951" w:rsidRDefault="00581B83" w14:paraId="61DFD805" w14:textId="77777777">
            <w:pPr>
              <w:pStyle w:val="BodyText"/>
              <w:rPr>
                <w:sz w:val="22"/>
                <w:szCs w:val="22"/>
              </w:rPr>
            </w:pPr>
          </w:p>
          <w:p w:rsidRPr="00253E55" w:rsidR="00C4595C" w:rsidRDefault="00C4595C" w14:paraId="636F1F71" w14:textId="77777777">
            <w:pPr>
              <w:pStyle w:val="BodyText"/>
              <w:jc w:val="center"/>
              <w:rPr>
                <w:sz w:val="22"/>
                <w:szCs w:val="22"/>
              </w:rPr>
            </w:pPr>
          </w:p>
        </w:tc>
        <w:tc>
          <w:tcPr>
            <w:tcW w:w="2340" w:type="dxa"/>
          </w:tcPr>
          <w:p w:rsidRPr="00253E55" w:rsidR="00C4595C" w:rsidRDefault="004A67DB" w14:paraId="391613E8" w14:textId="77777777">
            <w:pPr>
              <w:pStyle w:val="BodyText"/>
              <w:jc w:val="center"/>
              <w:rPr>
                <w:sz w:val="22"/>
                <w:szCs w:val="22"/>
              </w:rPr>
            </w:pPr>
            <w:r w:rsidRPr="00253E55">
              <w:rPr>
                <w:sz w:val="22"/>
                <w:szCs w:val="22"/>
              </w:rPr>
              <w:t>1-</w:t>
            </w:r>
            <w:r w:rsidR="00357250">
              <w:rPr>
                <w:sz w:val="22"/>
                <w:szCs w:val="22"/>
              </w:rPr>
              <w:t>8</w:t>
            </w:r>
          </w:p>
          <w:p w:rsidRPr="00253E55" w:rsidR="00C4595C" w:rsidRDefault="00C4595C" w14:paraId="1F068DAA" w14:textId="77777777">
            <w:pPr>
              <w:pStyle w:val="BodyText"/>
              <w:jc w:val="center"/>
              <w:rPr>
                <w:sz w:val="22"/>
                <w:szCs w:val="22"/>
              </w:rPr>
            </w:pPr>
            <w:r w:rsidRPr="00253E55">
              <w:rPr>
                <w:sz w:val="22"/>
                <w:szCs w:val="22"/>
              </w:rPr>
              <w:t>Hours</w:t>
            </w:r>
          </w:p>
          <w:p w:rsidRPr="00253E55" w:rsidR="00581B83" w:rsidRDefault="00581B83" w14:paraId="59757930" w14:textId="77777777">
            <w:pPr>
              <w:pStyle w:val="BodyText"/>
              <w:jc w:val="center"/>
              <w:rPr>
                <w:sz w:val="22"/>
                <w:szCs w:val="22"/>
              </w:rPr>
            </w:pPr>
            <w:r w:rsidRPr="00253E55">
              <w:rPr>
                <w:sz w:val="22"/>
                <w:szCs w:val="22"/>
              </w:rPr>
              <w:t>Average</w:t>
            </w:r>
          </w:p>
        </w:tc>
        <w:tc>
          <w:tcPr>
            <w:tcW w:w="1998" w:type="dxa"/>
          </w:tcPr>
          <w:p w:rsidRPr="00253E55" w:rsidR="00C4595C" w:rsidRDefault="004A67DB" w14:paraId="0AB71CC1" w14:textId="77777777">
            <w:pPr>
              <w:pStyle w:val="BodyText"/>
              <w:jc w:val="center"/>
              <w:rPr>
                <w:sz w:val="22"/>
                <w:szCs w:val="22"/>
              </w:rPr>
            </w:pPr>
            <w:r w:rsidRPr="00253E55">
              <w:rPr>
                <w:sz w:val="22"/>
                <w:szCs w:val="22"/>
              </w:rPr>
              <w:t>1</w:t>
            </w:r>
            <w:r w:rsidR="005F6781">
              <w:rPr>
                <w:sz w:val="22"/>
                <w:szCs w:val="22"/>
              </w:rPr>
              <w:t>6</w:t>
            </w:r>
            <w:r w:rsidRPr="00253E55" w:rsidR="00C4595C">
              <w:rPr>
                <w:sz w:val="22"/>
                <w:szCs w:val="22"/>
              </w:rPr>
              <w:t>0</w:t>
            </w:r>
          </w:p>
          <w:p w:rsidRPr="00253E55" w:rsidR="00C4595C" w:rsidRDefault="00C4595C" w14:paraId="2DD6C453" w14:textId="77777777">
            <w:pPr>
              <w:pStyle w:val="BodyText"/>
              <w:jc w:val="center"/>
              <w:rPr>
                <w:sz w:val="22"/>
                <w:szCs w:val="22"/>
              </w:rPr>
            </w:pPr>
            <w:r w:rsidRPr="00253E55">
              <w:rPr>
                <w:sz w:val="22"/>
                <w:szCs w:val="22"/>
              </w:rPr>
              <w:t xml:space="preserve">Annual </w:t>
            </w:r>
            <w:r w:rsidRPr="00253E55" w:rsidR="005F3CF4">
              <w:rPr>
                <w:sz w:val="22"/>
                <w:szCs w:val="22"/>
              </w:rPr>
              <w:t xml:space="preserve">Burden </w:t>
            </w:r>
            <w:r w:rsidRPr="00253E55">
              <w:rPr>
                <w:sz w:val="22"/>
                <w:szCs w:val="22"/>
              </w:rPr>
              <w:t>Hours</w:t>
            </w:r>
          </w:p>
          <w:p w:rsidRPr="00253E55" w:rsidR="00C4595C" w:rsidRDefault="00C4595C" w14:paraId="23365E13" w14:textId="77777777">
            <w:pPr>
              <w:pStyle w:val="BodyText"/>
              <w:jc w:val="center"/>
              <w:rPr>
                <w:sz w:val="22"/>
                <w:szCs w:val="22"/>
              </w:rPr>
            </w:pPr>
            <w:r w:rsidRPr="00253E55">
              <w:rPr>
                <w:sz w:val="22"/>
                <w:szCs w:val="22"/>
              </w:rPr>
              <w:t>Average</w:t>
            </w:r>
          </w:p>
          <w:p w:rsidRPr="00253E55" w:rsidR="00C4595C" w:rsidRDefault="00C4595C" w14:paraId="77C3C209" w14:textId="77777777">
            <w:pPr>
              <w:pStyle w:val="BodyText"/>
              <w:jc w:val="center"/>
              <w:rPr>
                <w:sz w:val="22"/>
                <w:szCs w:val="22"/>
              </w:rPr>
            </w:pPr>
          </w:p>
        </w:tc>
      </w:tr>
    </w:tbl>
    <w:p w:rsidR="00C4595C" w:rsidRDefault="00C4595C" w14:paraId="5C08AB42" w14:textId="77777777">
      <w:pPr>
        <w:suppressAutoHyphens/>
        <w:rPr>
          <w:b/>
          <w:sz w:val="24"/>
        </w:rPr>
      </w:pPr>
    </w:p>
    <w:p w:rsidR="00F649DB" w:rsidP="00F649DB" w:rsidRDefault="00F649DB" w14:paraId="539ED9BE" w14:textId="77777777">
      <w:pPr>
        <w:tabs>
          <w:tab w:val="left" w:pos="-720"/>
        </w:tabs>
        <w:suppressAutoHyphens/>
        <w:rPr>
          <w:sz w:val="22"/>
          <w:szCs w:val="22"/>
        </w:rPr>
      </w:pPr>
    </w:p>
    <w:p w:rsidRPr="00F649DB" w:rsidR="00F649DB" w:rsidP="00F649DB" w:rsidRDefault="00F649DB" w14:paraId="101434E7" w14:textId="77777777">
      <w:pPr>
        <w:tabs>
          <w:tab w:val="left" w:pos="-720"/>
        </w:tabs>
        <w:suppressAutoHyphens/>
        <w:rPr>
          <w:sz w:val="24"/>
          <w:szCs w:val="24"/>
        </w:rPr>
      </w:pPr>
      <w:r w:rsidRPr="00F649DB">
        <w:rPr>
          <w:sz w:val="24"/>
          <w:szCs w:val="24"/>
        </w:rPr>
        <w:lastRenderedPageBreak/>
        <w:t>The annual “in-house costs” for this collection of information is as follows:  160 annual burden hours x $60/hour = $9,600.00. Therefore, the total annual “in-house cost” to the respondents for this collection of information is $9,600.00.</w:t>
      </w:r>
    </w:p>
    <w:p w:rsidR="00F649DB" w:rsidRDefault="00F649DB" w14:paraId="723E4474" w14:textId="77777777">
      <w:pPr>
        <w:suppressAutoHyphens/>
        <w:rPr>
          <w:sz w:val="24"/>
        </w:rPr>
      </w:pPr>
    </w:p>
    <w:p w:rsidR="00C4595C" w:rsidRDefault="00403B22" w14:paraId="59D4FB5E" w14:textId="77777777">
      <w:pPr>
        <w:suppressAutoHyphens/>
        <w:rPr>
          <w:sz w:val="24"/>
        </w:rPr>
      </w:pPr>
      <w:r>
        <w:rPr>
          <w:sz w:val="24"/>
        </w:rPr>
        <w:t xml:space="preserve">13.   </w:t>
      </w:r>
      <w:r w:rsidR="00F207CA">
        <w:rPr>
          <w:sz w:val="24"/>
        </w:rPr>
        <w:t xml:space="preserve">The estimated costs of </w:t>
      </w:r>
      <w:r w:rsidRPr="001C535A" w:rsidR="00F207CA">
        <w:rPr>
          <w:b/>
          <w:sz w:val="24"/>
          <w:szCs w:val="24"/>
        </w:rPr>
        <w:t>$3</w:t>
      </w:r>
      <w:r w:rsidR="004A591A">
        <w:rPr>
          <w:b/>
          <w:sz w:val="24"/>
          <w:szCs w:val="24"/>
        </w:rPr>
        <w:t>6</w:t>
      </w:r>
      <w:r w:rsidRPr="001C535A" w:rsidR="00F207CA">
        <w:rPr>
          <w:b/>
          <w:sz w:val="24"/>
          <w:szCs w:val="24"/>
        </w:rPr>
        <w:t>,000</w:t>
      </w:r>
      <w:r w:rsidR="00F207CA">
        <w:rPr>
          <w:sz w:val="24"/>
        </w:rPr>
        <w:t xml:space="preserve"> are summarized in the chart below.</w:t>
      </w:r>
    </w:p>
    <w:p w:rsidR="00C4595C" w:rsidRDefault="00C4595C" w14:paraId="5ABC2E46" w14:textId="77777777">
      <w:pPr>
        <w:pStyle w:val="BodyText3"/>
        <w:rPr>
          <w:b w:val="0"/>
          <w:sz w:val="24"/>
        </w:rPr>
      </w:pPr>
      <w:r>
        <w:rPr>
          <w:b w:val="0"/>
          <w:sz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78"/>
        <w:gridCol w:w="1710"/>
        <w:gridCol w:w="1710"/>
        <w:gridCol w:w="1890"/>
        <w:gridCol w:w="1440"/>
      </w:tblGrid>
      <w:tr w:rsidRPr="003E5EDC" w:rsidR="00C4595C" w14:paraId="75D7CD3A" w14:textId="77777777">
        <w:tblPrEx>
          <w:tblCellMar>
            <w:top w:w="0" w:type="dxa"/>
            <w:bottom w:w="0" w:type="dxa"/>
          </w:tblCellMar>
        </w:tblPrEx>
        <w:tc>
          <w:tcPr>
            <w:tcW w:w="2178" w:type="dxa"/>
            <w:shd w:val="pct20" w:color="auto" w:fill="FFFFFF"/>
          </w:tcPr>
          <w:p w:rsidRPr="003E5EDC" w:rsidR="00C4595C" w:rsidRDefault="00C4595C" w14:paraId="00480734" w14:textId="77777777">
            <w:pPr>
              <w:pStyle w:val="BodyText"/>
              <w:jc w:val="center"/>
              <w:rPr>
                <w:b/>
                <w:sz w:val="22"/>
                <w:szCs w:val="22"/>
              </w:rPr>
            </w:pPr>
            <w:r w:rsidRPr="003E5EDC">
              <w:rPr>
                <w:b/>
                <w:sz w:val="22"/>
                <w:szCs w:val="22"/>
              </w:rPr>
              <w:t>FCC Form 42</w:t>
            </w:r>
            <w:r w:rsidRPr="003E5EDC" w:rsidR="00AA6278">
              <w:rPr>
                <w:b/>
                <w:sz w:val="22"/>
                <w:szCs w:val="22"/>
              </w:rPr>
              <w:t>2</w:t>
            </w:r>
            <w:r w:rsidRPr="003E5EDC">
              <w:rPr>
                <w:b/>
                <w:sz w:val="22"/>
                <w:szCs w:val="22"/>
              </w:rPr>
              <w:t>-IB</w:t>
            </w:r>
          </w:p>
          <w:p w:rsidRPr="003E5EDC" w:rsidR="00C4595C" w:rsidRDefault="00C4595C" w14:paraId="66490C36" w14:textId="77777777">
            <w:pPr>
              <w:pStyle w:val="BodyText"/>
              <w:jc w:val="center"/>
              <w:rPr>
                <w:b/>
                <w:sz w:val="22"/>
                <w:szCs w:val="22"/>
              </w:rPr>
            </w:pPr>
          </w:p>
        </w:tc>
        <w:tc>
          <w:tcPr>
            <w:tcW w:w="1710" w:type="dxa"/>
            <w:shd w:val="pct20" w:color="auto" w:fill="FFFFFF"/>
          </w:tcPr>
          <w:p w:rsidRPr="003E5EDC" w:rsidR="00C4595C" w:rsidRDefault="00C4595C" w14:paraId="1B6667E9" w14:textId="77777777">
            <w:pPr>
              <w:pStyle w:val="BodyText"/>
              <w:jc w:val="center"/>
              <w:rPr>
                <w:b/>
                <w:sz w:val="22"/>
                <w:szCs w:val="22"/>
              </w:rPr>
            </w:pPr>
            <w:r w:rsidRPr="003E5EDC">
              <w:rPr>
                <w:b/>
                <w:sz w:val="22"/>
                <w:szCs w:val="22"/>
              </w:rPr>
              <w:t>Respon</w:t>
            </w:r>
            <w:r w:rsidR="00F649DB">
              <w:rPr>
                <w:b/>
                <w:sz w:val="22"/>
                <w:szCs w:val="22"/>
              </w:rPr>
              <w:t>ses</w:t>
            </w:r>
          </w:p>
        </w:tc>
        <w:tc>
          <w:tcPr>
            <w:tcW w:w="1710" w:type="dxa"/>
            <w:shd w:val="pct20" w:color="auto" w:fill="FFFFFF"/>
          </w:tcPr>
          <w:p w:rsidRPr="003E5EDC" w:rsidR="00C4595C" w:rsidRDefault="00C4595C" w14:paraId="42AD13E9" w14:textId="77777777">
            <w:pPr>
              <w:pStyle w:val="BodyText"/>
              <w:jc w:val="center"/>
              <w:rPr>
                <w:b/>
                <w:sz w:val="22"/>
                <w:szCs w:val="22"/>
              </w:rPr>
            </w:pPr>
            <w:r w:rsidRPr="003E5EDC">
              <w:rPr>
                <w:b/>
                <w:sz w:val="22"/>
                <w:szCs w:val="22"/>
              </w:rPr>
              <w:t>Hours</w:t>
            </w:r>
          </w:p>
        </w:tc>
        <w:tc>
          <w:tcPr>
            <w:tcW w:w="1890" w:type="dxa"/>
            <w:shd w:val="pct20" w:color="auto" w:fill="FFFFFF"/>
          </w:tcPr>
          <w:p w:rsidRPr="003E5EDC" w:rsidR="00C4595C" w:rsidRDefault="00C4595C" w14:paraId="04E1A951" w14:textId="77777777">
            <w:pPr>
              <w:pStyle w:val="BodyText"/>
              <w:jc w:val="center"/>
              <w:rPr>
                <w:b/>
                <w:sz w:val="22"/>
                <w:szCs w:val="22"/>
              </w:rPr>
            </w:pPr>
            <w:r w:rsidRPr="003E5EDC">
              <w:rPr>
                <w:b/>
                <w:sz w:val="22"/>
                <w:szCs w:val="22"/>
              </w:rPr>
              <w:t>Costs</w:t>
            </w:r>
          </w:p>
        </w:tc>
        <w:tc>
          <w:tcPr>
            <w:tcW w:w="1440" w:type="dxa"/>
            <w:shd w:val="pct20" w:color="auto" w:fill="FFFFFF"/>
          </w:tcPr>
          <w:p w:rsidRPr="003E5EDC" w:rsidR="00C4595C" w:rsidRDefault="00C4595C" w14:paraId="60292978" w14:textId="77777777">
            <w:pPr>
              <w:pStyle w:val="BodyText"/>
              <w:jc w:val="center"/>
              <w:rPr>
                <w:b/>
                <w:sz w:val="22"/>
                <w:szCs w:val="22"/>
              </w:rPr>
            </w:pPr>
            <w:r w:rsidRPr="003E5EDC">
              <w:rPr>
                <w:b/>
                <w:sz w:val="22"/>
                <w:szCs w:val="22"/>
              </w:rPr>
              <w:t>Total</w:t>
            </w:r>
          </w:p>
          <w:p w:rsidRPr="003E5EDC" w:rsidR="00DF7C2D" w:rsidRDefault="00DF7C2D" w14:paraId="2628BE68" w14:textId="77777777">
            <w:pPr>
              <w:pStyle w:val="BodyText"/>
              <w:jc w:val="center"/>
              <w:rPr>
                <w:b/>
                <w:sz w:val="22"/>
                <w:szCs w:val="22"/>
              </w:rPr>
            </w:pPr>
          </w:p>
          <w:p w:rsidRPr="003E5EDC" w:rsidR="00DF7C2D" w:rsidRDefault="00DF7C2D" w14:paraId="041D5F25" w14:textId="77777777">
            <w:pPr>
              <w:pStyle w:val="BodyText"/>
              <w:jc w:val="center"/>
              <w:rPr>
                <w:b/>
                <w:sz w:val="22"/>
                <w:szCs w:val="22"/>
              </w:rPr>
            </w:pPr>
          </w:p>
        </w:tc>
      </w:tr>
      <w:tr w:rsidRPr="003E5EDC" w:rsidR="00C4595C" w14:paraId="27C5AF90" w14:textId="77777777">
        <w:tblPrEx>
          <w:tblCellMar>
            <w:top w:w="0" w:type="dxa"/>
            <w:bottom w:w="0" w:type="dxa"/>
          </w:tblCellMar>
        </w:tblPrEx>
        <w:tc>
          <w:tcPr>
            <w:tcW w:w="2178" w:type="dxa"/>
          </w:tcPr>
          <w:p w:rsidRPr="003E5EDC" w:rsidR="00C4595C" w:rsidRDefault="00C4595C" w14:paraId="72E93283" w14:textId="77777777">
            <w:pPr>
              <w:pStyle w:val="BodyText"/>
              <w:jc w:val="center"/>
              <w:rPr>
                <w:sz w:val="22"/>
                <w:szCs w:val="22"/>
              </w:rPr>
            </w:pPr>
            <w:r w:rsidRPr="003E5EDC">
              <w:rPr>
                <w:sz w:val="22"/>
                <w:szCs w:val="22"/>
              </w:rPr>
              <w:t>Application Fees</w:t>
            </w:r>
          </w:p>
          <w:p w:rsidRPr="003E5EDC" w:rsidR="00C4595C" w:rsidRDefault="00C4595C" w14:paraId="7743C2F3" w14:textId="77777777">
            <w:pPr>
              <w:pStyle w:val="BodyText"/>
              <w:jc w:val="center"/>
              <w:rPr>
                <w:sz w:val="22"/>
                <w:szCs w:val="22"/>
              </w:rPr>
            </w:pPr>
          </w:p>
        </w:tc>
        <w:tc>
          <w:tcPr>
            <w:tcW w:w="1710" w:type="dxa"/>
          </w:tcPr>
          <w:p w:rsidRPr="003E5EDC" w:rsidR="00C4595C" w:rsidRDefault="00C4595C" w14:paraId="7D9ACBC0" w14:textId="77777777">
            <w:pPr>
              <w:pStyle w:val="BodyText"/>
              <w:jc w:val="center"/>
              <w:rPr>
                <w:sz w:val="22"/>
                <w:szCs w:val="22"/>
              </w:rPr>
            </w:pPr>
            <w:r w:rsidRPr="003E5EDC">
              <w:rPr>
                <w:sz w:val="22"/>
                <w:szCs w:val="22"/>
              </w:rPr>
              <w:t>10</w:t>
            </w:r>
          </w:p>
        </w:tc>
        <w:tc>
          <w:tcPr>
            <w:tcW w:w="1710" w:type="dxa"/>
          </w:tcPr>
          <w:p w:rsidRPr="003E5EDC" w:rsidR="00C4595C" w:rsidRDefault="00C4595C" w14:paraId="36877F1C" w14:textId="77777777">
            <w:pPr>
              <w:pStyle w:val="BodyText"/>
              <w:jc w:val="center"/>
              <w:rPr>
                <w:sz w:val="22"/>
                <w:szCs w:val="22"/>
              </w:rPr>
            </w:pPr>
            <w:r w:rsidRPr="003E5EDC">
              <w:rPr>
                <w:sz w:val="22"/>
                <w:szCs w:val="22"/>
              </w:rPr>
              <w:t>N/A</w:t>
            </w:r>
          </w:p>
        </w:tc>
        <w:tc>
          <w:tcPr>
            <w:tcW w:w="1890" w:type="dxa"/>
          </w:tcPr>
          <w:p w:rsidRPr="003E5EDC" w:rsidR="00C4595C" w:rsidRDefault="00C4595C" w14:paraId="0724207B" w14:textId="77777777">
            <w:pPr>
              <w:pStyle w:val="BodyText"/>
              <w:jc w:val="center"/>
              <w:rPr>
                <w:sz w:val="22"/>
                <w:szCs w:val="22"/>
              </w:rPr>
            </w:pPr>
            <w:r w:rsidRPr="003E5EDC">
              <w:rPr>
                <w:sz w:val="22"/>
                <w:szCs w:val="22"/>
              </w:rPr>
              <w:t>$2,</w:t>
            </w:r>
            <w:r w:rsidRPr="003E5EDC" w:rsidR="004A67DB">
              <w:rPr>
                <w:sz w:val="22"/>
                <w:szCs w:val="22"/>
              </w:rPr>
              <w:t>5</w:t>
            </w:r>
            <w:r w:rsidRPr="003E5EDC">
              <w:rPr>
                <w:sz w:val="22"/>
                <w:szCs w:val="22"/>
              </w:rPr>
              <w:t>0</w:t>
            </w:r>
            <w:r w:rsidRPr="003E5EDC" w:rsidR="003226F6">
              <w:rPr>
                <w:sz w:val="22"/>
                <w:szCs w:val="22"/>
              </w:rPr>
              <w:t>0</w:t>
            </w:r>
          </w:p>
          <w:p w:rsidRPr="003E5EDC" w:rsidR="00C4595C" w:rsidRDefault="00C4595C" w14:paraId="0FFEB0DB" w14:textId="77777777">
            <w:pPr>
              <w:pStyle w:val="BodyText"/>
              <w:jc w:val="center"/>
              <w:rPr>
                <w:sz w:val="22"/>
                <w:szCs w:val="22"/>
              </w:rPr>
            </w:pPr>
            <w:r w:rsidRPr="003E5EDC">
              <w:rPr>
                <w:sz w:val="22"/>
                <w:szCs w:val="22"/>
              </w:rPr>
              <w:t xml:space="preserve">per application </w:t>
            </w:r>
          </w:p>
          <w:p w:rsidRPr="003E5EDC" w:rsidR="00C4595C" w:rsidRDefault="00C4595C" w14:paraId="38D36E71" w14:textId="77777777">
            <w:pPr>
              <w:pStyle w:val="BodyText"/>
              <w:jc w:val="center"/>
              <w:rPr>
                <w:sz w:val="22"/>
                <w:szCs w:val="22"/>
              </w:rPr>
            </w:pPr>
          </w:p>
        </w:tc>
        <w:tc>
          <w:tcPr>
            <w:tcW w:w="1440" w:type="dxa"/>
          </w:tcPr>
          <w:p w:rsidRPr="003E5EDC" w:rsidR="00C4595C" w:rsidRDefault="00C4595C" w14:paraId="2240B753" w14:textId="77777777">
            <w:pPr>
              <w:pStyle w:val="BodyText"/>
              <w:jc w:val="center"/>
              <w:rPr>
                <w:sz w:val="22"/>
                <w:szCs w:val="22"/>
              </w:rPr>
            </w:pPr>
            <w:r w:rsidRPr="003E5EDC">
              <w:rPr>
                <w:sz w:val="22"/>
                <w:szCs w:val="22"/>
              </w:rPr>
              <w:t>$2</w:t>
            </w:r>
            <w:r w:rsidRPr="003E5EDC" w:rsidR="004A67DB">
              <w:rPr>
                <w:sz w:val="22"/>
                <w:szCs w:val="22"/>
              </w:rPr>
              <w:t>5</w:t>
            </w:r>
            <w:r w:rsidRPr="003E5EDC">
              <w:rPr>
                <w:sz w:val="22"/>
                <w:szCs w:val="22"/>
              </w:rPr>
              <w:t>,0</w:t>
            </w:r>
            <w:r w:rsidRPr="003E5EDC" w:rsidR="003226F6">
              <w:rPr>
                <w:sz w:val="22"/>
                <w:szCs w:val="22"/>
              </w:rPr>
              <w:t>0</w:t>
            </w:r>
            <w:r w:rsidRPr="003E5EDC">
              <w:rPr>
                <w:sz w:val="22"/>
                <w:szCs w:val="22"/>
              </w:rPr>
              <w:t>0</w:t>
            </w:r>
          </w:p>
        </w:tc>
      </w:tr>
      <w:tr w:rsidRPr="003E5EDC" w:rsidR="00BC0D4C" w14:paraId="562A1DEF" w14:textId="77777777">
        <w:tblPrEx>
          <w:tblCellMar>
            <w:top w:w="0" w:type="dxa"/>
            <w:bottom w:w="0" w:type="dxa"/>
          </w:tblCellMar>
        </w:tblPrEx>
        <w:trPr>
          <w:trHeight w:val="1151"/>
        </w:trPr>
        <w:tc>
          <w:tcPr>
            <w:tcW w:w="2178" w:type="dxa"/>
          </w:tcPr>
          <w:p w:rsidRPr="003E5EDC" w:rsidR="00BC0D4C" w:rsidRDefault="00BC0D4C" w14:paraId="65ECFAEE" w14:textId="77777777">
            <w:pPr>
              <w:pStyle w:val="BodyText"/>
              <w:jc w:val="center"/>
              <w:rPr>
                <w:sz w:val="22"/>
                <w:szCs w:val="22"/>
              </w:rPr>
            </w:pPr>
            <w:r w:rsidRPr="003E5EDC">
              <w:rPr>
                <w:sz w:val="22"/>
                <w:szCs w:val="22"/>
              </w:rPr>
              <w:t>Outside Legal Assistance</w:t>
            </w:r>
          </w:p>
        </w:tc>
        <w:tc>
          <w:tcPr>
            <w:tcW w:w="1710" w:type="dxa"/>
          </w:tcPr>
          <w:p w:rsidRPr="003E5EDC" w:rsidR="00BC0D4C" w:rsidRDefault="00BC0D4C" w14:paraId="4F637193" w14:textId="77777777">
            <w:pPr>
              <w:pStyle w:val="BodyText"/>
              <w:jc w:val="center"/>
              <w:rPr>
                <w:sz w:val="22"/>
                <w:szCs w:val="22"/>
              </w:rPr>
            </w:pPr>
            <w:r w:rsidRPr="003E5EDC">
              <w:rPr>
                <w:sz w:val="22"/>
                <w:szCs w:val="22"/>
              </w:rPr>
              <w:t>10</w:t>
            </w:r>
          </w:p>
        </w:tc>
        <w:tc>
          <w:tcPr>
            <w:tcW w:w="1710" w:type="dxa"/>
          </w:tcPr>
          <w:p w:rsidRPr="003E5EDC" w:rsidR="00BC0D4C" w:rsidRDefault="00BC0D4C" w14:paraId="3508EA92" w14:textId="77777777">
            <w:pPr>
              <w:pStyle w:val="BodyText"/>
              <w:jc w:val="center"/>
              <w:rPr>
                <w:sz w:val="22"/>
                <w:szCs w:val="22"/>
              </w:rPr>
            </w:pPr>
            <w:r w:rsidRPr="003E5EDC">
              <w:rPr>
                <w:sz w:val="22"/>
                <w:szCs w:val="22"/>
              </w:rPr>
              <w:t>2</w:t>
            </w:r>
            <w:r w:rsidR="00F649DB">
              <w:rPr>
                <w:sz w:val="22"/>
                <w:szCs w:val="22"/>
              </w:rPr>
              <w:t xml:space="preserve"> hours/response</w:t>
            </w:r>
          </w:p>
        </w:tc>
        <w:tc>
          <w:tcPr>
            <w:tcW w:w="1890" w:type="dxa"/>
          </w:tcPr>
          <w:p w:rsidRPr="003E5EDC" w:rsidR="00BC0D4C" w:rsidRDefault="00BC0D4C" w14:paraId="321BB889" w14:textId="77777777">
            <w:pPr>
              <w:pStyle w:val="BodyText"/>
              <w:jc w:val="center"/>
              <w:rPr>
                <w:sz w:val="22"/>
                <w:szCs w:val="22"/>
              </w:rPr>
            </w:pPr>
            <w:r w:rsidRPr="003E5EDC">
              <w:rPr>
                <w:sz w:val="22"/>
                <w:szCs w:val="22"/>
              </w:rPr>
              <w:t xml:space="preserve">$300 </w:t>
            </w:r>
          </w:p>
          <w:p w:rsidRPr="003E5EDC" w:rsidR="00BC0D4C" w:rsidRDefault="00BC0D4C" w14:paraId="6C831CE9" w14:textId="77777777">
            <w:pPr>
              <w:pStyle w:val="BodyText"/>
              <w:jc w:val="center"/>
              <w:rPr>
                <w:sz w:val="22"/>
                <w:szCs w:val="22"/>
              </w:rPr>
            </w:pPr>
            <w:r w:rsidRPr="003E5EDC">
              <w:rPr>
                <w:sz w:val="22"/>
                <w:szCs w:val="22"/>
              </w:rPr>
              <w:t xml:space="preserve">per hour </w:t>
            </w:r>
          </w:p>
          <w:p w:rsidRPr="003E5EDC" w:rsidR="00BC0D4C" w:rsidRDefault="00BC0D4C" w14:paraId="7CF8F8DF" w14:textId="77777777">
            <w:pPr>
              <w:pStyle w:val="BodyText"/>
              <w:jc w:val="center"/>
              <w:rPr>
                <w:sz w:val="22"/>
                <w:szCs w:val="22"/>
              </w:rPr>
            </w:pPr>
          </w:p>
        </w:tc>
        <w:tc>
          <w:tcPr>
            <w:tcW w:w="1440" w:type="dxa"/>
          </w:tcPr>
          <w:p w:rsidRPr="003E5EDC" w:rsidR="00BC0D4C" w:rsidRDefault="00970E75" w14:paraId="7670884E" w14:textId="77777777">
            <w:pPr>
              <w:pStyle w:val="BodyText"/>
              <w:jc w:val="center"/>
              <w:rPr>
                <w:sz w:val="22"/>
                <w:szCs w:val="22"/>
              </w:rPr>
            </w:pPr>
            <w:r w:rsidRPr="003E5EDC">
              <w:rPr>
                <w:sz w:val="22"/>
                <w:szCs w:val="22"/>
              </w:rPr>
              <w:t>$6,000</w:t>
            </w:r>
          </w:p>
        </w:tc>
      </w:tr>
      <w:tr w:rsidRPr="003E5EDC" w:rsidR="00C4595C" w14:paraId="43CDAF59" w14:textId="77777777">
        <w:tblPrEx>
          <w:tblCellMar>
            <w:top w:w="0" w:type="dxa"/>
            <w:bottom w:w="0" w:type="dxa"/>
          </w:tblCellMar>
        </w:tblPrEx>
        <w:trPr>
          <w:trHeight w:val="1151"/>
        </w:trPr>
        <w:tc>
          <w:tcPr>
            <w:tcW w:w="2178" w:type="dxa"/>
          </w:tcPr>
          <w:p w:rsidRPr="003E5EDC" w:rsidR="00C4595C" w:rsidRDefault="00C4595C" w14:paraId="28CB2E92" w14:textId="77777777">
            <w:pPr>
              <w:pStyle w:val="BodyText"/>
              <w:jc w:val="center"/>
              <w:rPr>
                <w:sz w:val="22"/>
                <w:szCs w:val="22"/>
              </w:rPr>
            </w:pPr>
            <w:r w:rsidRPr="003E5EDC">
              <w:rPr>
                <w:sz w:val="22"/>
                <w:szCs w:val="22"/>
              </w:rPr>
              <w:t>Outside</w:t>
            </w:r>
          </w:p>
          <w:p w:rsidRPr="003E5EDC" w:rsidR="00C4595C" w:rsidRDefault="00C4595C" w14:paraId="15C65B3A" w14:textId="77777777">
            <w:pPr>
              <w:pStyle w:val="BodyText"/>
              <w:jc w:val="center"/>
              <w:rPr>
                <w:sz w:val="22"/>
                <w:szCs w:val="22"/>
              </w:rPr>
            </w:pPr>
            <w:r w:rsidRPr="003E5EDC">
              <w:rPr>
                <w:sz w:val="22"/>
                <w:szCs w:val="22"/>
              </w:rPr>
              <w:t>Engineering</w:t>
            </w:r>
          </w:p>
          <w:p w:rsidRPr="003E5EDC" w:rsidR="00C4595C" w:rsidRDefault="00C4595C" w14:paraId="75A67EC8" w14:textId="77777777">
            <w:pPr>
              <w:pStyle w:val="BodyText"/>
              <w:jc w:val="center"/>
              <w:rPr>
                <w:sz w:val="22"/>
                <w:szCs w:val="22"/>
              </w:rPr>
            </w:pPr>
            <w:r w:rsidRPr="003E5EDC">
              <w:rPr>
                <w:sz w:val="22"/>
                <w:szCs w:val="22"/>
              </w:rPr>
              <w:t>Assistance</w:t>
            </w:r>
          </w:p>
          <w:p w:rsidRPr="003E5EDC" w:rsidR="00C4595C" w:rsidRDefault="00C4595C" w14:paraId="0F5AC023" w14:textId="77777777">
            <w:pPr>
              <w:pStyle w:val="BodyText"/>
              <w:jc w:val="center"/>
              <w:rPr>
                <w:sz w:val="22"/>
                <w:szCs w:val="22"/>
              </w:rPr>
            </w:pPr>
          </w:p>
        </w:tc>
        <w:tc>
          <w:tcPr>
            <w:tcW w:w="1710" w:type="dxa"/>
          </w:tcPr>
          <w:p w:rsidRPr="003E5EDC" w:rsidR="00C4595C" w:rsidRDefault="00C4595C" w14:paraId="2789AD66" w14:textId="77777777">
            <w:pPr>
              <w:pStyle w:val="BodyText"/>
              <w:jc w:val="center"/>
              <w:rPr>
                <w:sz w:val="22"/>
                <w:szCs w:val="22"/>
              </w:rPr>
            </w:pPr>
            <w:r w:rsidRPr="003E5EDC">
              <w:rPr>
                <w:sz w:val="22"/>
                <w:szCs w:val="22"/>
              </w:rPr>
              <w:t>10</w:t>
            </w:r>
          </w:p>
        </w:tc>
        <w:tc>
          <w:tcPr>
            <w:tcW w:w="1710" w:type="dxa"/>
          </w:tcPr>
          <w:p w:rsidRPr="003E5EDC" w:rsidR="00C4595C" w:rsidRDefault="00BC0D4C" w14:paraId="67CDDBBF" w14:textId="77777777">
            <w:pPr>
              <w:pStyle w:val="BodyText"/>
              <w:jc w:val="center"/>
              <w:rPr>
                <w:sz w:val="22"/>
                <w:szCs w:val="22"/>
              </w:rPr>
            </w:pPr>
            <w:r w:rsidRPr="003E5EDC">
              <w:rPr>
                <w:sz w:val="22"/>
                <w:szCs w:val="22"/>
              </w:rPr>
              <w:t>2</w:t>
            </w:r>
            <w:r w:rsidR="00F649DB">
              <w:rPr>
                <w:sz w:val="22"/>
                <w:szCs w:val="22"/>
              </w:rPr>
              <w:t xml:space="preserve"> hours/response</w:t>
            </w:r>
          </w:p>
          <w:p w:rsidRPr="003E5EDC" w:rsidR="00C4595C" w:rsidRDefault="00C4595C" w14:paraId="5F742958" w14:textId="77777777">
            <w:pPr>
              <w:pStyle w:val="BodyText"/>
              <w:jc w:val="center"/>
              <w:rPr>
                <w:sz w:val="22"/>
                <w:szCs w:val="22"/>
              </w:rPr>
            </w:pPr>
          </w:p>
        </w:tc>
        <w:tc>
          <w:tcPr>
            <w:tcW w:w="1890" w:type="dxa"/>
          </w:tcPr>
          <w:p w:rsidRPr="003E5EDC" w:rsidR="00C4595C" w:rsidRDefault="00BC0D4C" w14:paraId="0662F195" w14:textId="77777777">
            <w:pPr>
              <w:pStyle w:val="BodyText"/>
              <w:jc w:val="center"/>
              <w:rPr>
                <w:sz w:val="22"/>
                <w:szCs w:val="22"/>
              </w:rPr>
            </w:pPr>
            <w:r w:rsidRPr="003E5EDC">
              <w:rPr>
                <w:sz w:val="22"/>
                <w:szCs w:val="22"/>
              </w:rPr>
              <w:t>$250</w:t>
            </w:r>
          </w:p>
          <w:p w:rsidRPr="003E5EDC" w:rsidR="00BC0D4C" w:rsidRDefault="00BC0D4C" w14:paraId="1CDAA817" w14:textId="77777777">
            <w:pPr>
              <w:pStyle w:val="BodyText"/>
              <w:jc w:val="center"/>
              <w:rPr>
                <w:sz w:val="22"/>
                <w:szCs w:val="22"/>
              </w:rPr>
            </w:pPr>
            <w:r w:rsidRPr="003E5EDC">
              <w:rPr>
                <w:sz w:val="22"/>
                <w:szCs w:val="22"/>
              </w:rPr>
              <w:t>per hour</w:t>
            </w:r>
          </w:p>
          <w:p w:rsidRPr="003E5EDC" w:rsidR="00C4595C" w:rsidP="00BC0D4C" w:rsidRDefault="00C4595C" w14:paraId="0B6F2E5C" w14:textId="77777777">
            <w:pPr>
              <w:pStyle w:val="BodyText"/>
              <w:jc w:val="center"/>
              <w:rPr>
                <w:sz w:val="22"/>
                <w:szCs w:val="22"/>
              </w:rPr>
            </w:pPr>
          </w:p>
        </w:tc>
        <w:tc>
          <w:tcPr>
            <w:tcW w:w="1440" w:type="dxa"/>
          </w:tcPr>
          <w:p w:rsidRPr="003E5EDC" w:rsidR="00C4595C" w:rsidRDefault="00970E75" w14:paraId="43523525" w14:textId="77777777">
            <w:pPr>
              <w:pStyle w:val="BodyText"/>
              <w:jc w:val="center"/>
              <w:rPr>
                <w:sz w:val="22"/>
                <w:szCs w:val="22"/>
              </w:rPr>
            </w:pPr>
            <w:r w:rsidRPr="003E5EDC">
              <w:rPr>
                <w:sz w:val="22"/>
                <w:szCs w:val="22"/>
              </w:rPr>
              <w:t>$5,000</w:t>
            </w:r>
            <w:r w:rsidRPr="003E5EDC" w:rsidR="00DC3F59">
              <w:rPr>
                <w:sz w:val="22"/>
                <w:szCs w:val="22"/>
              </w:rPr>
              <w:t xml:space="preserve">   </w:t>
            </w:r>
          </w:p>
        </w:tc>
        <w:bookmarkStart w:name="_GoBack" w:id="0"/>
        <w:bookmarkEnd w:id="0"/>
      </w:tr>
      <w:tr w:rsidRPr="003E5EDC" w:rsidR="00C4595C" w14:paraId="02A52E44" w14:textId="77777777">
        <w:tblPrEx>
          <w:tblCellMar>
            <w:top w:w="0" w:type="dxa"/>
            <w:bottom w:w="0" w:type="dxa"/>
          </w:tblCellMar>
        </w:tblPrEx>
        <w:tc>
          <w:tcPr>
            <w:tcW w:w="2178" w:type="dxa"/>
          </w:tcPr>
          <w:p w:rsidRPr="003E5EDC" w:rsidR="00C4595C" w:rsidRDefault="00C4595C" w14:paraId="44CCBA2E" w14:textId="77777777">
            <w:pPr>
              <w:pStyle w:val="BodyText"/>
              <w:jc w:val="right"/>
              <w:rPr>
                <w:b/>
                <w:sz w:val="22"/>
                <w:szCs w:val="22"/>
              </w:rPr>
            </w:pPr>
            <w:r w:rsidRPr="003E5EDC">
              <w:rPr>
                <w:b/>
                <w:sz w:val="22"/>
                <w:szCs w:val="22"/>
              </w:rPr>
              <w:t>Total:</w:t>
            </w:r>
          </w:p>
          <w:p w:rsidRPr="003E5EDC" w:rsidR="00C4595C" w:rsidRDefault="00C4595C" w14:paraId="7D0F502C" w14:textId="77777777">
            <w:pPr>
              <w:pStyle w:val="BodyText"/>
              <w:rPr>
                <w:sz w:val="22"/>
                <w:szCs w:val="22"/>
              </w:rPr>
            </w:pPr>
          </w:p>
        </w:tc>
        <w:tc>
          <w:tcPr>
            <w:tcW w:w="1710" w:type="dxa"/>
          </w:tcPr>
          <w:p w:rsidRPr="003E5EDC" w:rsidR="00C4595C" w:rsidRDefault="00C4595C" w14:paraId="4F83A38A" w14:textId="77777777">
            <w:pPr>
              <w:pStyle w:val="BodyText"/>
              <w:jc w:val="center"/>
              <w:rPr>
                <w:b/>
                <w:sz w:val="22"/>
                <w:szCs w:val="22"/>
              </w:rPr>
            </w:pPr>
          </w:p>
        </w:tc>
        <w:tc>
          <w:tcPr>
            <w:tcW w:w="1710" w:type="dxa"/>
          </w:tcPr>
          <w:p w:rsidRPr="003E5EDC" w:rsidR="00C4595C" w:rsidP="00F649DB" w:rsidRDefault="00C4595C" w14:paraId="0825D335" w14:textId="77777777">
            <w:pPr>
              <w:pStyle w:val="BodyText"/>
              <w:jc w:val="center"/>
              <w:rPr>
                <w:b/>
                <w:sz w:val="22"/>
                <w:szCs w:val="22"/>
              </w:rPr>
            </w:pPr>
          </w:p>
        </w:tc>
        <w:tc>
          <w:tcPr>
            <w:tcW w:w="1890" w:type="dxa"/>
          </w:tcPr>
          <w:p w:rsidRPr="003E5EDC" w:rsidR="00C4595C" w:rsidRDefault="00C4595C" w14:paraId="2E244536" w14:textId="77777777">
            <w:pPr>
              <w:pStyle w:val="BodyText"/>
              <w:jc w:val="center"/>
              <w:rPr>
                <w:b/>
                <w:sz w:val="22"/>
                <w:szCs w:val="22"/>
              </w:rPr>
            </w:pPr>
          </w:p>
        </w:tc>
        <w:tc>
          <w:tcPr>
            <w:tcW w:w="1440" w:type="dxa"/>
          </w:tcPr>
          <w:p w:rsidRPr="003E5EDC" w:rsidR="00C4595C" w:rsidRDefault="00C4595C" w14:paraId="408001DB" w14:textId="77777777">
            <w:pPr>
              <w:pStyle w:val="BodyText"/>
              <w:jc w:val="center"/>
              <w:rPr>
                <w:b/>
                <w:sz w:val="22"/>
                <w:szCs w:val="22"/>
              </w:rPr>
            </w:pPr>
            <w:r w:rsidRPr="003E5EDC">
              <w:rPr>
                <w:b/>
                <w:sz w:val="22"/>
                <w:szCs w:val="22"/>
              </w:rPr>
              <w:t>$</w:t>
            </w:r>
            <w:r w:rsidRPr="003E5EDC" w:rsidR="00666F4F">
              <w:rPr>
                <w:b/>
                <w:sz w:val="22"/>
                <w:szCs w:val="22"/>
              </w:rPr>
              <w:t>3</w:t>
            </w:r>
            <w:r w:rsidRPr="003E5EDC" w:rsidR="00970E75">
              <w:rPr>
                <w:b/>
                <w:sz w:val="22"/>
                <w:szCs w:val="22"/>
              </w:rPr>
              <w:t>6</w:t>
            </w:r>
            <w:r w:rsidRPr="003E5EDC" w:rsidR="00740D1F">
              <w:rPr>
                <w:b/>
                <w:sz w:val="22"/>
                <w:szCs w:val="22"/>
              </w:rPr>
              <w:t>,000</w:t>
            </w:r>
          </w:p>
          <w:p w:rsidRPr="003E5EDC" w:rsidR="00C4595C" w:rsidRDefault="00C4595C" w14:paraId="09D41537" w14:textId="77777777">
            <w:pPr>
              <w:pStyle w:val="BodyText"/>
              <w:jc w:val="center"/>
              <w:rPr>
                <w:b/>
                <w:sz w:val="22"/>
                <w:szCs w:val="22"/>
              </w:rPr>
            </w:pPr>
            <w:r w:rsidRPr="003E5EDC">
              <w:rPr>
                <w:b/>
                <w:sz w:val="22"/>
                <w:szCs w:val="22"/>
              </w:rPr>
              <w:t>Total estimated costs</w:t>
            </w:r>
          </w:p>
          <w:p w:rsidRPr="003E5EDC" w:rsidR="00970E75" w:rsidRDefault="00970E75" w14:paraId="283E8C9D" w14:textId="77777777">
            <w:pPr>
              <w:pStyle w:val="BodyText"/>
              <w:jc w:val="center"/>
              <w:rPr>
                <w:b/>
                <w:sz w:val="22"/>
                <w:szCs w:val="22"/>
              </w:rPr>
            </w:pPr>
          </w:p>
        </w:tc>
      </w:tr>
    </w:tbl>
    <w:p w:rsidR="00C4595C" w:rsidRDefault="00C4595C" w14:paraId="15ECA845" w14:textId="77777777">
      <w:pPr>
        <w:pStyle w:val="BodyText3"/>
        <w:rPr>
          <w:b w:val="0"/>
          <w:sz w:val="24"/>
        </w:rPr>
      </w:pPr>
    </w:p>
    <w:p w:rsidR="00577945" w:rsidRDefault="001E1528" w14:paraId="33001013" w14:textId="77777777">
      <w:pPr>
        <w:tabs>
          <w:tab w:val="left" w:pos="-720"/>
        </w:tabs>
        <w:suppressAutoHyphens/>
        <w:rPr>
          <w:b/>
          <w:sz w:val="24"/>
          <w:szCs w:val="24"/>
        </w:rPr>
      </w:pPr>
      <w:r w:rsidRPr="00EB5F43">
        <w:rPr>
          <w:b/>
          <w:sz w:val="24"/>
          <w:szCs w:val="24"/>
        </w:rPr>
        <w:t xml:space="preserve">Please note that the licensees do not incur any costs related to their compliance with the information collection requirements contained in 47 CFR 73.702, 73.759(g), 73.761(b) </w:t>
      </w:r>
    </w:p>
    <w:p w:rsidRPr="00EB5F43" w:rsidR="001E1528" w:rsidRDefault="001E1528" w14:paraId="24756B71" w14:textId="77777777">
      <w:pPr>
        <w:tabs>
          <w:tab w:val="left" w:pos="-720"/>
        </w:tabs>
        <w:suppressAutoHyphens/>
        <w:rPr>
          <w:b/>
          <w:sz w:val="24"/>
        </w:rPr>
      </w:pPr>
      <w:r w:rsidRPr="00EB5F43">
        <w:rPr>
          <w:b/>
          <w:sz w:val="24"/>
          <w:szCs w:val="24"/>
        </w:rPr>
        <w:t>and 73.782.</w:t>
      </w:r>
    </w:p>
    <w:p w:rsidR="001E1528" w:rsidRDefault="001E1528" w14:paraId="47A78CEA" w14:textId="77777777">
      <w:pPr>
        <w:tabs>
          <w:tab w:val="left" w:pos="-720"/>
        </w:tabs>
        <w:suppressAutoHyphens/>
        <w:rPr>
          <w:sz w:val="24"/>
        </w:rPr>
      </w:pPr>
    </w:p>
    <w:p w:rsidR="00C4595C" w:rsidRDefault="008F2E27" w14:paraId="01D5D610" w14:textId="77777777">
      <w:pPr>
        <w:tabs>
          <w:tab w:val="left" w:pos="-720"/>
        </w:tabs>
        <w:suppressAutoHyphens/>
        <w:rPr>
          <w:sz w:val="24"/>
        </w:rPr>
      </w:pPr>
      <w:r>
        <w:rPr>
          <w:sz w:val="24"/>
        </w:rPr>
        <w:t xml:space="preserve">14.   </w:t>
      </w:r>
      <w:r w:rsidR="008B436F">
        <w:rPr>
          <w:sz w:val="24"/>
        </w:rPr>
        <w:t xml:space="preserve">The estimated annualized costs to the Federal government </w:t>
      </w:r>
      <w:r w:rsidR="009447D6">
        <w:rPr>
          <w:sz w:val="24"/>
        </w:rPr>
        <w:t xml:space="preserve">is </w:t>
      </w:r>
      <w:r w:rsidRPr="00586C21" w:rsidR="009447D6">
        <w:rPr>
          <w:sz w:val="24"/>
          <w:szCs w:val="24"/>
        </w:rPr>
        <w:t>$</w:t>
      </w:r>
      <w:r w:rsidR="00376803">
        <w:rPr>
          <w:sz w:val="24"/>
        </w:rPr>
        <w:t>2</w:t>
      </w:r>
      <w:r w:rsidR="00E676A5">
        <w:rPr>
          <w:sz w:val="24"/>
        </w:rPr>
        <w:t xml:space="preserve">78,964 </w:t>
      </w:r>
      <w:r w:rsidR="009447D6">
        <w:rPr>
          <w:sz w:val="24"/>
        </w:rPr>
        <w:t xml:space="preserve">and is calculated </w:t>
      </w:r>
      <w:r w:rsidR="008B436F">
        <w:rPr>
          <w:sz w:val="24"/>
        </w:rPr>
        <w:t>as follows:</w:t>
      </w:r>
    </w:p>
    <w:p w:rsidR="008B436F" w:rsidRDefault="008B436F" w14:paraId="0381CA41" w14:textId="77777777">
      <w:pPr>
        <w:tabs>
          <w:tab w:val="left" w:pos="-720"/>
        </w:tabs>
        <w:suppressAutoHyphens/>
        <w:rPr>
          <w:sz w:val="24"/>
        </w:rPr>
      </w:pPr>
    </w:p>
    <w:p w:rsidR="008B436F" w:rsidRDefault="009447D6" w14:paraId="2538DA10" w14:textId="77777777">
      <w:pPr>
        <w:tabs>
          <w:tab w:val="left" w:pos="-720"/>
        </w:tabs>
        <w:suppressAutoHyphens/>
        <w:rPr>
          <w:sz w:val="24"/>
        </w:rPr>
      </w:pPr>
      <w:r>
        <w:rPr>
          <w:sz w:val="24"/>
        </w:rPr>
        <w:tab/>
      </w:r>
      <w:r w:rsidR="008B436F">
        <w:rPr>
          <w:sz w:val="24"/>
        </w:rPr>
        <w:t>10 international broadcast license</w:t>
      </w:r>
      <w:r w:rsidR="00C359FD">
        <w:rPr>
          <w:sz w:val="24"/>
        </w:rPr>
        <w:t xml:space="preserve"> applications</w:t>
      </w:r>
      <w:r w:rsidR="008B436F">
        <w:rPr>
          <w:sz w:val="24"/>
        </w:rPr>
        <w:t xml:space="preserve"> X 360 annual hours = 3,600 </w:t>
      </w:r>
      <w:r>
        <w:rPr>
          <w:sz w:val="24"/>
        </w:rPr>
        <w:t xml:space="preserve">annual </w:t>
      </w:r>
      <w:r w:rsidR="008B436F">
        <w:rPr>
          <w:sz w:val="24"/>
        </w:rPr>
        <w:t>hours</w:t>
      </w:r>
    </w:p>
    <w:p w:rsidR="008B436F" w:rsidRDefault="008B436F" w14:paraId="111255FF" w14:textId="77777777">
      <w:pPr>
        <w:tabs>
          <w:tab w:val="left" w:pos="-720"/>
        </w:tabs>
        <w:suppressAutoHyphens/>
        <w:rPr>
          <w:sz w:val="24"/>
        </w:rPr>
      </w:pPr>
    </w:p>
    <w:p w:rsidR="009447D6" w:rsidP="009447D6" w:rsidRDefault="009447D6" w14:paraId="0779D917" w14:textId="77777777">
      <w:pPr>
        <w:tabs>
          <w:tab w:val="left" w:pos="-720"/>
        </w:tabs>
        <w:suppressAutoHyphens/>
        <w:ind w:left="720"/>
        <w:rPr>
          <w:sz w:val="24"/>
        </w:rPr>
      </w:pPr>
      <w:r>
        <w:rPr>
          <w:sz w:val="24"/>
        </w:rPr>
        <w:t>GS-855-1</w:t>
      </w:r>
      <w:r w:rsidR="00376BF5">
        <w:rPr>
          <w:sz w:val="24"/>
        </w:rPr>
        <w:t>5</w:t>
      </w:r>
      <w:r>
        <w:rPr>
          <w:sz w:val="24"/>
        </w:rPr>
        <w:t xml:space="preserve">/Step </w:t>
      </w:r>
      <w:r w:rsidR="00F3395B">
        <w:rPr>
          <w:sz w:val="24"/>
        </w:rPr>
        <w:t>5</w:t>
      </w:r>
      <w:r>
        <w:rPr>
          <w:sz w:val="24"/>
        </w:rPr>
        <w:t xml:space="preserve"> Electronics Engineer @ $</w:t>
      </w:r>
      <w:r w:rsidR="00376803">
        <w:rPr>
          <w:sz w:val="24"/>
        </w:rPr>
        <w:t>7</w:t>
      </w:r>
      <w:r w:rsidR="00E676A5">
        <w:rPr>
          <w:sz w:val="24"/>
        </w:rPr>
        <w:t>7</w:t>
      </w:r>
      <w:r w:rsidR="00376803">
        <w:rPr>
          <w:sz w:val="24"/>
        </w:rPr>
        <w:t>.</w:t>
      </w:r>
      <w:r w:rsidR="00E676A5">
        <w:rPr>
          <w:sz w:val="24"/>
        </w:rPr>
        <w:t>49</w:t>
      </w:r>
      <w:r w:rsidR="004A25CD">
        <w:rPr>
          <w:sz w:val="24"/>
        </w:rPr>
        <w:t xml:space="preserve"> </w:t>
      </w:r>
      <w:r>
        <w:rPr>
          <w:sz w:val="24"/>
        </w:rPr>
        <w:t xml:space="preserve">per hour X 3,600 annual </w:t>
      </w:r>
    </w:p>
    <w:p w:rsidR="008B436F" w:rsidP="009447D6" w:rsidRDefault="009447D6" w14:paraId="688A0116" w14:textId="77777777">
      <w:pPr>
        <w:tabs>
          <w:tab w:val="left" w:pos="-720"/>
        </w:tabs>
        <w:suppressAutoHyphens/>
        <w:ind w:left="720"/>
        <w:rPr>
          <w:sz w:val="24"/>
        </w:rPr>
      </w:pPr>
      <w:r>
        <w:rPr>
          <w:sz w:val="24"/>
        </w:rPr>
        <w:t>hours = $</w:t>
      </w:r>
      <w:r w:rsidR="00376803">
        <w:rPr>
          <w:sz w:val="24"/>
        </w:rPr>
        <w:t>2</w:t>
      </w:r>
      <w:r w:rsidR="00E676A5">
        <w:rPr>
          <w:sz w:val="24"/>
        </w:rPr>
        <w:t>78,964</w:t>
      </w:r>
    </w:p>
    <w:p w:rsidR="009447D6" w:rsidRDefault="009447D6" w14:paraId="11589441" w14:textId="77777777">
      <w:pPr>
        <w:tabs>
          <w:tab w:val="left" w:pos="-720"/>
          <w:tab w:val="num" w:pos="0"/>
        </w:tabs>
        <w:suppressAutoHyphens/>
        <w:rPr>
          <w:b/>
          <w:sz w:val="24"/>
        </w:rPr>
      </w:pPr>
    </w:p>
    <w:p w:rsidR="00C4595C" w:rsidRDefault="006F4E9F" w14:paraId="0E3C48F3" w14:textId="77777777">
      <w:pPr>
        <w:pStyle w:val="BodyText"/>
      </w:pPr>
      <w:r>
        <w:t xml:space="preserve">15.  </w:t>
      </w:r>
      <w:r w:rsidR="00513BD7">
        <w:t xml:space="preserve"> There are no program changes or adjustments</w:t>
      </w:r>
      <w:r w:rsidR="003D1E41">
        <w:t xml:space="preserve"> to this collection</w:t>
      </w:r>
      <w:r w:rsidR="00513BD7">
        <w:t>.</w:t>
      </w:r>
    </w:p>
    <w:p w:rsidR="00C4595C" w:rsidRDefault="00C4595C" w14:paraId="39C742C2" w14:textId="77777777">
      <w:pPr>
        <w:tabs>
          <w:tab w:val="left" w:pos="-720"/>
        </w:tabs>
        <w:suppressAutoHyphens/>
        <w:rPr>
          <w:b/>
          <w:sz w:val="24"/>
        </w:rPr>
      </w:pPr>
    </w:p>
    <w:p w:rsidR="00C4595C" w:rsidRDefault="008915FE" w14:paraId="2C58D3F6" w14:textId="77777777">
      <w:pPr>
        <w:tabs>
          <w:tab w:val="left" w:pos="-720"/>
        </w:tabs>
        <w:suppressAutoHyphens/>
        <w:rPr>
          <w:sz w:val="24"/>
        </w:rPr>
      </w:pPr>
      <w:r>
        <w:rPr>
          <w:sz w:val="24"/>
        </w:rPr>
        <w:t xml:space="preserve">16.   </w:t>
      </w:r>
      <w:r w:rsidR="00C4595C">
        <w:rPr>
          <w:sz w:val="24"/>
        </w:rPr>
        <w:t>The results of this information collection requirement will not be published for statistical use.</w:t>
      </w:r>
    </w:p>
    <w:p w:rsidR="00C4595C" w:rsidRDefault="00C4595C" w14:paraId="66C842C8" w14:textId="77777777">
      <w:pPr>
        <w:tabs>
          <w:tab w:val="left" w:pos="-720"/>
        </w:tabs>
        <w:suppressAutoHyphens/>
        <w:rPr>
          <w:b/>
          <w:sz w:val="24"/>
        </w:rPr>
      </w:pPr>
    </w:p>
    <w:p w:rsidR="008915FE" w:rsidRDefault="008915FE" w14:paraId="2BB6D843" w14:textId="77777777">
      <w:pPr>
        <w:tabs>
          <w:tab w:val="left" w:pos="-720"/>
        </w:tabs>
        <w:suppressAutoHyphens/>
        <w:rPr>
          <w:sz w:val="24"/>
        </w:rPr>
      </w:pPr>
      <w:r>
        <w:rPr>
          <w:sz w:val="24"/>
        </w:rPr>
        <w:t xml:space="preserve">17.   </w:t>
      </w:r>
      <w:r w:rsidR="00C4595C">
        <w:rPr>
          <w:sz w:val="24"/>
        </w:rPr>
        <w:t xml:space="preserve">We are seeking approval to not display the expiration date for OMB approval of this </w:t>
      </w:r>
      <w:r w:rsidR="00C4595C">
        <w:rPr>
          <w:sz w:val="24"/>
        </w:rPr>
        <w:lastRenderedPageBreak/>
        <w:t xml:space="preserve">information collection. </w:t>
      </w:r>
      <w:r w:rsidR="007D5CB1">
        <w:rPr>
          <w:sz w:val="24"/>
        </w:rPr>
        <w:t xml:space="preserve"> </w:t>
      </w:r>
      <w:r w:rsidR="00C4595C">
        <w:rPr>
          <w:sz w:val="24"/>
        </w:rPr>
        <w:t>The Commission will use an edition date in lie</w:t>
      </w:r>
      <w:r>
        <w:rPr>
          <w:sz w:val="24"/>
        </w:rPr>
        <w:t xml:space="preserve">u of the OMB expiration date.  </w:t>
      </w:r>
      <w:r w:rsidR="00C4595C">
        <w:rPr>
          <w:sz w:val="24"/>
        </w:rPr>
        <w:t xml:space="preserve">Additionally, the OMB expiration date and OMB control number are “displayed” in </w:t>
      </w:r>
    </w:p>
    <w:p w:rsidR="00C4595C" w:rsidRDefault="00C4595C" w14:paraId="20934182" w14:textId="77777777">
      <w:pPr>
        <w:tabs>
          <w:tab w:val="left" w:pos="-720"/>
        </w:tabs>
        <w:suppressAutoHyphens/>
        <w:rPr>
          <w:sz w:val="24"/>
        </w:rPr>
      </w:pPr>
      <w:r>
        <w:rPr>
          <w:sz w:val="24"/>
        </w:rPr>
        <w:t xml:space="preserve">47 CFR 0.408. </w:t>
      </w:r>
    </w:p>
    <w:p w:rsidR="00C4595C" w:rsidRDefault="00C4595C" w14:paraId="4C44D06C" w14:textId="77777777">
      <w:pPr>
        <w:tabs>
          <w:tab w:val="left" w:pos="-720"/>
        </w:tabs>
        <w:suppressAutoHyphens/>
        <w:rPr>
          <w:sz w:val="24"/>
        </w:rPr>
      </w:pPr>
    </w:p>
    <w:p w:rsidR="00CE222F" w:rsidP="00315063" w:rsidRDefault="008915FE" w14:paraId="06FCA1EB" w14:textId="77777777">
      <w:pPr>
        <w:tabs>
          <w:tab w:val="center" w:pos="4680"/>
        </w:tabs>
        <w:suppressAutoHyphens/>
        <w:rPr>
          <w:sz w:val="24"/>
        </w:rPr>
      </w:pPr>
      <w:r>
        <w:rPr>
          <w:sz w:val="24"/>
        </w:rPr>
        <w:t xml:space="preserve">18.   </w:t>
      </w:r>
      <w:r w:rsidR="00CE222F">
        <w:rPr>
          <w:sz w:val="24"/>
        </w:rPr>
        <w:t>There are no exceptions to the certification statement.</w:t>
      </w:r>
    </w:p>
    <w:p w:rsidR="00315063" w:rsidP="00315063" w:rsidRDefault="00315063" w14:paraId="24DC7051" w14:textId="77777777">
      <w:pPr>
        <w:tabs>
          <w:tab w:val="center" w:pos="4680"/>
        </w:tabs>
        <w:suppressAutoHyphens/>
        <w:rPr>
          <w:b/>
          <w:sz w:val="24"/>
          <w:u w:val="single"/>
        </w:rPr>
      </w:pPr>
      <w:r>
        <w:rPr>
          <w:sz w:val="24"/>
        </w:rPr>
        <w:tab/>
      </w:r>
    </w:p>
    <w:p w:rsidRPr="00AA6987" w:rsidR="00315063" w:rsidP="00315063" w:rsidRDefault="00315063" w14:paraId="37CD92E4" w14:textId="77777777">
      <w:pPr>
        <w:tabs>
          <w:tab w:val="left" w:pos="-720"/>
        </w:tabs>
        <w:suppressAutoHyphens/>
        <w:rPr>
          <w:sz w:val="24"/>
          <w:u w:val="single"/>
        </w:rPr>
      </w:pPr>
      <w:r w:rsidRPr="00AA6987">
        <w:rPr>
          <w:b/>
          <w:sz w:val="24"/>
          <w:u w:val="single"/>
        </w:rPr>
        <w:t>Part B.  Collections of Information Employing Statistical Methods</w:t>
      </w:r>
      <w:r>
        <w:rPr>
          <w:b/>
          <w:sz w:val="24"/>
          <w:u w:val="single"/>
        </w:rPr>
        <w:t>:</w:t>
      </w:r>
    </w:p>
    <w:p w:rsidR="00315063" w:rsidP="00315063" w:rsidRDefault="00315063" w14:paraId="648908E5" w14:textId="77777777">
      <w:pPr>
        <w:tabs>
          <w:tab w:val="left" w:pos="-720"/>
        </w:tabs>
        <w:suppressAutoHyphens/>
        <w:rPr>
          <w:sz w:val="24"/>
        </w:rPr>
      </w:pPr>
    </w:p>
    <w:p w:rsidR="00315063" w:rsidP="00315063" w:rsidRDefault="00315063" w14:paraId="782731BF" w14:textId="77777777">
      <w:pPr>
        <w:tabs>
          <w:tab w:val="left" w:pos="-720"/>
        </w:tabs>
        <w:suppressAutoHyphens/>
        <w:rPr>
          <w:sz w:val="24"/>
        </w:rPr>
      </w:pPr>
      <w:r>
        <w:rPr>
          <w:sz w:val="24"/>
        </w:rPr>
        <w:t>Not applicable.  This information collection does not employ statistical methods.</w:t>
      </w:r>
    </w:p>
    <w:sectPr w:rsidR="00315063">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AF722" w14:textId="77777777" w:rsidR="002D4D91" w:rsidRDefault="002D4D91">
      <w:pPr>
        <w:spacing w:line="20" w:lineRule="exact"/>
        <w:rPr>
          <w:sz w:val="24"/>
        </w:rPr>
      </w:pPr>
    </w:p>
  </w:endnote>
  <w:endnote w:type="continuationSeparator" w:id="0">
    <w:p w14:paraId="1E7E344E" w14:textId="77777777" w:rsidR="002D4D91" w:rsidRDefault="002D4D91">
      <w:r>
        <w:rPr>
          <w:sz w:val="24"/>
        </w:rPr>
        <w:t xml:space="preserve"> </w:t>
      </w:r>
    </w:p>
  </w:endnote>
  <w:endnote w:type="continuationNotice" w:id="1">
    <w:p w14:paraId="7EE0BDF1" w14:textId="77777777" w:rsidR="002D4D91" w:rsidRDefault="002D4D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F621" w14:textId="77777777" w:rsidR="00C4595C" w:rsidRDefault="00C4595C">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E9775E">
      <w:rPr>
        <w:rStyle w:val="PageNumber"/>
        <w:noProof/>
        <w:sz w:val="24"/>
      </w:rPr>
      <w:t>1</w:t>
    </w:r>
    <w:r>
      <w:rPr>
        <w:rStyle w:val="PageNumber"/>
        <w:sz w:val="24"/>
      </w:rPr>
      <w:fldChar w:fldCharType="end"/>
    </w:r>
  </w:p>
  <w:p w14:paraId="551C14D9" w14:textId="77777777" w:rsidR="00C4595C" w:rsidRDefault="00C4595C">
    <w:pPr>
      <w:tabs>
        <w:tab w:val="left" w:pos="-720"/>
      </w:tabs>
      <w:suppressAutoHyphens/>
      <w:rPr>
        <w:rFonts w:ascii="Courier" w:hAnsi="Courier"/>
        <w:sz w:val="24"/>
      </w:rPr>
    </w:pPr>
  </w:p>
  <w:p w14:paraId="31589FE6" w14:textId="6A8B0C5F" w:rsidR="00C4595C" w:rsidRDefault="002547B2">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5BB3175" wp14:editId="1A5C85F0">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653077"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B3175"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14:paraId="69653077"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CFD53" w14:textId="77777777" w:rsidR="002D4D91" w:rsidRDefault="002D4D91">
      <w:r>
        <w:rPr>
          <w:sz w:val="24"/>
        </w:rPr>
        <w:separator/>
      </w:r>
    </w:p>
  </w:footnote>
  <w:footnote w:type="continuationSeparator" w:id="0">
    <w:p w14:paraId="337BFDAB" w14:textId="77777777" w:rsidR="002D4D91" w:rsidRDefault="002D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94F7" w14:textId="77777777" w:rsidR="00C4595C" w:rsidRPr="00C3466B" w:rsidRDefault="00C3466B" w:rsidP="00C3466B">
    <w:pPr>
      <w:pStyle w:val="Header"/>
      <w:tabs>
        <w:tab w:val="left" w:pos="7110"/>
      </w:tabs>
      <w:rPr>
        <w:b/>
        <w:sz w:val="24"/>
        <w:szCs w:val="24"/>
      </w:rPr>
    </w:pPr>
    <w:r w:rsidRPr="00C3466B">
      <w:rPr>
        <w:b/>
        <w:sz w:val="24"/>
        <w:szCs w:val="24"/>
      </w:rPr>
      <w:t>Application for Renewal of an International</w:t>
    </w:r>
    <w:r>
      <w:rPr>
        <w:b/>
        <w:sz w:val="24"/>
        <w:szCs w:val="24"/>
      </w:rPr>
      <w:t xml:space="preserve">                  </w:t>
    </w:r>
    <w:r w:rsidR="00725D4C">
      <w:rPr>
        <w:b/>
        <w:sz w:val="24"/>
        <w:szCs w:val="24"/>
      </w:rPr>
      <w:t xml:space="preserve"> </w:t>
    </w:r>
    <w:r w:rsidR="007260A3">
      <w:rPr>
        <w:b/>
        <w:sz w:val="24"/>
        <w:szCs w:val="24"/>
      </w:rPr>
      <w:t xml:space="preserve">    </w:t>
    </w:r>
    <w:r w:rsidRPr="00C3466B">
      <w:rPr>
        <w:b/>
        <w:sz w:val="24"/>
        <w:szCs w:val="24"/>
      </w:rPr>
      <w:t>OMB Control No: 3060-1054</w:t>
    </w:r>
  </w:p>
  <w:p w14:paraId="29DFB92C" w14:textId="77777777" w:rsidR="00C3466B" w:rsidRDefault="00C3466B">
    <w:pPr>
      <w:pStyle w:val="Header"/>
      <w:rPr>
        <w:b/>
        <w:sz w:val="24"/>
        <w:szCs w:val="24"/>
      </w:rPr>
    </w:pPr>
    <w:r w:rsidRPr="00C3466B">
      <w:rPr>
        <w:b/>
        <w:sz w:val="24"/>
        <w:szCs w:val="24"/>
      </w:rPr>
      <w:t>Broadcast Station License (FCC Form 422-IB)</w:t>
    </w:r>
    <w:r w:rsidRPr="00C3466B">
      <w:rPr>
        <w:b/>
        <w:sz w:val="24"/>
        <w:szCs w:val="24"/>
      </w:rPr>
      <w:tab/>
    </w:r>
    <w:r w:rsidR="005C66C0">
      <w:rPr>
        <w:b/>
        <w:sz w:val="24"/>
        <w:szCs w:val="24"/>
      </w:rPr>
      <w:t>September</w:t>
    </w:r>
    <w:r w:rsidR="00C570FE">
      <w:rPr>
        <w:b/>
        <w:sz w:val="24"/>
        <w:szCs w:val="24"/>
      </w:rPr>
      <w:t xml:space="preserve"> 2020</w:t>
    </w:r>
  </w:p>
  <w:p w14:paraId="06CFA6FA" w14:textId="77777777" w:rsidR="00C3466B" w:rsidRDefault="00C3466B">
    <w:pPr>
      <w:pStyle w:val="Header"/>
      <w:rPr>
        <w:b/>
        <w:sz w:val="24"/>
        <w:szCs w:val="24"/>
      </w:rPr>
    </w:pPr>
  </w:p>
  <w:p w14:paraId="67457E10" w14:textId="77777777" w:rsidR="00C3466B" w:rsidRPr="00C3466B" w:rsidRDefault="00C3466B">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78F"/>
    <w:multiLevelType w:val="hybridMultilevel"/>
    <w:tmpl w:val="03367D66"/>
    <w:lvl w:ilvl="0" w:tplc="E9F04456">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D48D2"/>
    <w:multiLevelType w:val="hybridMultilevel"/>
    <w:tmpl w:val="D5B2CEF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59153E25"/>
    <w:multiLevelType w:val="hybridMultilevel"/>
    <w:tmpl w:val="3FE6EDBC"/>
    <w:lvl w:ilvl="0" w:tplc="29ACFCAE">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A579EF"/>
    <w:multiLevelType w:val="hybridMultilevel"/>
    <w:tmpl w:val="B76882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8"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2"/>
  </w:num>
  <w:num w:numId="2">
    <w:abstractNumId w:val="4"/>
  </w:num>
  <w:num w:numId="3">
    <w:abstractNumId w:val="7"/>
  </w:num>
  <w:num w:numId="4">
    <w:abstractNumId w:val="8"/>
  </w:num>
  <w:num w:numId="5">
    <w:abstractNumId w:val="1"/>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26"/>
    <w:rsid w:val="000124BA"/>
    <w:rsid w:val="00040B5F"/>
    <w:rsid w:val="00056EFE"/>
    <w:rsid w:val="000776A9"/>
    <w:rsid w:val="00080BC7"/>
    <w:rsid w:val="000A0112"/>
    <w:rsid w:val="000B495B"/>
    <w:rsid w:val="000C49B5"/>
    <w:rsid w:val="000D1BDE"/>
    <w:rsid w:val="000D39A8"/>
    <w:rsid w:val="000D48FC"/>
    <w:rsid w:val="000E74D1"/>
    <w:rsid w:val="000E77C5"/>
    <w:rsid w:val="0010582A"/>
    <w:rsid w:val="00115516"/>
    <w:rsid w:val="001172BC"/>
    <w:rsid w:val="0012638B"/>
    <w:rsid w:val="0013013B"/>
    <w:rsid w:val="00143B0D"/>
    <w:rsid w:val="001568C5"/>
    <w:rsid w:val="00187DE6"/>
    <w:rsid w:val="001942EA"/>
    <w:rsid w:val="001A0D0D"/>
    <w:rsid w:val="001A72F5"/>
    <w:rsid w:val="001C535A"/>
    <w:rsid w:val="001C5EAD"/>
    <w:rsid w:val="001C6456"/>
    <w:rsid w:val="001C6D69"/>
    <w:rsid w:val="001E0B1A"/>
    <w:rsid w:val="001E1528"/>
    <w:rsid w:val="001E403A"/>
    <w:rsid w:val="001E6F05"/>
    <w:rsid w:val="001E7BBE"/>
    <w:rsid w:val="00202898"/>
    <w:rsid w:val="002059CB"/>
    <w:rsid w:val="002255A4"/>
    <w:rsid w:val="0023140F"/>
    <w:rsid w:val="00237419"/>
    <w:rsid w:val="002468CF"/>
    <w:rsid w:val="00253E55"/>
    <w:rsid w:val="002547B2"/>
    <w:rsid w:val="00265725"/>
    <w:rsid w:val="00270019"/>
    <w:rsid w:val="00274795"/>
    <w:rsid w:val="00283C90"/>
    <w:rsid w:val="00284C54"/>
    <w:rsid w:val="00291DDA"/>
    <w:rsid w:val="002951F5"/>
    <w:rsid w:val="002A1C6F"/>
    <w:rsid w:val="002D0D50"/>
    <w:rsid w:val="002D4D91"/>
    <w:rsid w:val="002E10E5"/>
    <w:rsid w:val="002E3175"/>
    <w:rsid w:val="002E4CF3"/>
    <w:rsid w:val="002F300B"/>
    <w:rsid w:val="00304D82"/>
    <w:rsid w:val="00315063"/>
    <w:rsid w:val="003226F6"/>
    <w:rsid w:val="00323CC5"/>
    <w:rsid w:val="003265C2"/>
    <w:rsid w:val="00330AC0"/>
    <w:rsid w:val="00330D22"/>
    <w:rsid w:val="00335637"/>
    <w:rsid w:val="00345A2F"/>
    <w:rsid w:val="00351907"/>
    <w:rsid w:val="00351F81"/>
    <w:rsid w:val="003559E7"/>
    <w:rsid w:val="003571C3"/>
    <w:rsid w:val="00357250"/>
    <w:rsid w:val="00370478"/>
    <w:rsid w:val="00371ECE"/>
    <w:rsid w:val="0037204D"/>
    <w:rsid w:val="00373FB0"/>
    <w:rsid w:val="003749A3"/>
    <w:rsid w:val="00376803"/>
    <w:rsid w:val="00376BF5"/>
    <w:rsid w:val="00376DC7"/>
    <w:rsid w:val="0039425C"/>
    <w:rsid w:val="0039469E"/>
    <w:rsid w:val="003B0442"/>
    <w:rsid w:val="003B4417"/>
    <w:rsid w:val="003B7B44"/>
    <w:rsid w:val="003C1E88"/>
    <w:rsid w:val="003D1E41"/>
    <w:rsid w:val="003D5614"/>
    <w:rsid w:val="003E5EDC"/>
    <w:rsid w:val="003F5F26"/>
    <w:rsid w:val="00403B22"/>
    <w:rsid w:val="004136AE"/>
    <w:rsid w:val="00422F2E"/>
    <w:rsid w:val="004337CD"/>
    <w:rsid w:val="004403EF"/>
    <w:rsid w:val="0044355F"/>
    <w:rsid w:val="00445151"/>
    <w:rsid w:val="00463F57"/>
    <w:rsid w:val="004725AB"/>
    <w:rsid w:val="00473125"/>
    <w:rsid w:val="00486AFD"/>
    <w:rsid w:val="0049163E"/>
    <w:rsid w:val="004924CD"/>
    <w:rsid w:val="004927EC"/>
    <w:rsid w:val="00496809"/>
    <w:rsid w:val="004A25CD"/>
    <w:rsid w:val="004A3CFA"/>
    <w:rsid w:val="004A591A"/>
    <w:rsid w:val="004A67DB"/>
    <w:rsid w:val="004B69D3"/>
    <w:rsid w:val="004C75E2"/>
    <w:rsid w:val="004D27FC"/>
    <w:rsid w:val="004D7BBD"/>
    <w:rsid w:val="00506770"/>
    <w:rsid w:val="005074B1"/>
    <w:rsid w:val="00512A23"/>
    <w:rsid w:val="005132B4"/>
    <w:rsid w:val="00513BD7"/>
    <w:rsid w:val="00515903"/>
    <w:rsid w:val="005220D1"/>
    <w:rsid w:val="0052444C"/>
    <w:rsid w:val="00526C1F"/>
    <w:rsid w:val="00534185"/>
    <w:rsid w:val="0053488A"/>
    <w:rsid w:val="005363EA"/>
    <w:rsid w:val="00545922"/>
    <w:rsid w:val="0055018A"/>
    <w:rsid w:val="00566DF0"/>
    <w:rsid w:val="00577609"/>
    <w:rsid w:val="00577945"/>
    <w:rsid w:val="00581B83"/>
    <w:rsid w:val="00586C21"/>
    <w:rsid w:val="00587799"/>
    <w:rsid w:val="00590066"/>
    <w:rsid w:val="005A008B"/>
    <w:rsid w:val="005B11B4"/>
    <w:rsid w:val="005B7617"/>
    <w:rsid w:val="005B7B13"/>
    <w:rsid w:val="005C4869"/>
    <w:rsid w:val="005C66C0"/>
    <w:rsid w:val="005D3231"/>
    <w:rsid w:val="005E48D7"/>
    <w:rsid w:val="005E4CCD"/>
    <w:rsid w:val="005F3CF4"/>
    <w:rsid w:val="005F6781"/>
    <w:rsid w:val="0060036F"/>
    <w:rsid w:val="006003D4"/>
    <w:rsid w:val="00600A0E"/>
    <w:rsid w:val="0060178F"/>
    <w:rsid w:val="00601C82"/>
    <w:rsid w:val="00604AB4"/>
    <w:rsid w:val="0062132D"/>
    <w:rsid w:val="006245B9"/>
    <w:rsid w:val="006255EA"/>
    <w:rsid w:val="00632951"/>
    <w:rsid w:val="006357C4"/>
    <w:rsid w:val="00645178"/>
    <w:rsid w:val="00653C95"/>
    <w:rsid w:val="00666F4F"/>
    <w:rsid w:val="00674991"/>
    <w:rsid w:val="00683547"/>
    <w:rsid w:val="00685AC7"/>
    <w:rsid w:val="00692DB4"/>
    <w:rsid w:val="00694106"/>
    <w:rsid w:val="00696C5B"/>
    <w:rsid w:val="006A041E"/>
    <w:rsid w:val="006A065E"/>
    <w:rsid w:val="006A3AB7"/>
    <w:rsid w:val="006A4ED4"/>
    <w:rsid w:val="006A6409"/>
    <w:rsid w:val="006B1C4F"/>
    <w:rsid w:val="006B3284"/>
    <w:rsid w:val="006C0B3B"/>
    <w:rsid w:val="006C2824"/>
    <w:rsid w:val="006C5DF7"/>
    <w:rsid w:val="006D0E47"/>
    <w:rsid w:val="006D55B0"/>
    <w:rsid w:val="006E2184"/>
    <w:rsid w:val="006F0D26"/>
    <w:rsid w:val="006F4E9F"/>
    <w:rsid w:val="006F50DE"/>
    <w:rsid w:val="00704B4D"/>
    <w:rsid w:val="00707713"/>
    <w:rsid w:val="0071123E"/>
    <w:rsid w:val="00713DCB"/>
    <w:rsid w:val="007223A2"/>
    <w:rsid w:val="007239B2"/>
    <w:rsid w:val="00725D4C"/>
    <w:rsid w:val="007260A3"/>
    <w:rsid w:val="007262DF"/>
    <w:rsid w:val="0073470C"/>
    <w:rsid w:val="0073516F"/>
    <w:rsid w:val="00740D1F"/>
    <w:rsid w:val="007536F6"/>
    <w:rsid w:val="007625E6"/>
    <w:rsid w:val="007641AC"/>
    <w:rsid w:val="0078724F"/>
    <w:rsid w:val="00787354"/>
    <w:rsid w:val="007A555F"/>
    <w:rsid w:val="007B2060"/>
    <w:rsid w:val="007B2EDC"/>
    <w:rsid w:val="007B4E5C"/>
    <w:rsid w:val="007C4CBE"/>
    <w:rsid w:val="007D4277"/>
    <w:rsid w:val="007D5CB1"/>
    <w:rsid w:val="007E0030"/>
    <w:rsid w:val="0081577C"/>
    <w:rsid w:val="008240E1"/>
    <w:rsid w:val="00827C0A"/>
    <w:rsid w:val="00832772"/>
    <w:rsid w:val="00834F2F"/>
    <w:rsid w:val="00854400"/>
    <w:rsid w:val="00867D9B"/>
    <w:rsid w:val="00870B4A"/>
    <w:rsid w:val="00871DA9"/>
    <w:rsid w:val="00873530"/>
    <w:rsid w:val="00875E05"/>
    <w:rsid w:val="00885D9D"/>
    <w:rsid w:val="00886149"/>
    <w:rsid w:val="0089086F"/>
    <w:rsid w:val="008915FE"/>
    <w:rsid w:val="008A0A4B"/>
    <w:rsid w:val="008B436F"/>
    <w:rsid w:val="008B641C"/>
    <w:rsid w:val="008C3477"/>
    <w:rsid w:val="008C3691"/>
    <w:rsid w:val="008C525F"/>
    <w:rsid w:val="008D7A30"/>
    <w:rsid w:val="008F2E27"/>
    <w:rsid w:val="008F3624"/>
    <w:rsid w:val="008F3E01"/>
    <w:rsid w:val="008F570E"/>
    <w:rsid w:val="008F70EA"/>
    <w:rsid w:val="00905CFE"/>
    <w:rsid w:val="00910370"/>
    <w:rsid w:val="00910636"/>
    <w:rsid w:val="00924749"/>
    <w:rsid w:val="009437D9"/>
    <w:rsid w:val="009447D6"/>
    <w:rsid w:val="009464E7"/>
    <w:rsid w:val="009515B7"/>
    <w:rsid w:val="00955A29"/>
    <w:rsid w:val="00970E75"/>
    <w:rsid w:val="00973931"/>
    <w:rsid w:val="00977907"/>
    <w:rsid w:val="00984216"/>
    <w:rsid w:val="009949A9"/>
    <w:rsid w:val="009B3936"/>
    <w:rsid w:val="009B56C3"/>
    <w:rsid w:val="009D608A"/>
    <w:rsid w:val="009D62CD"/>
    <w:rsid w:val="009E593F"/>
    <w:rsid w:val="00A042F9"/>
    <w:rsid w:val="00A04E2E"/>
    <w:rsid w:val="00A05F7E"/>
    <w:rsid w:val="00A062F8"/>
    <w:rsid w:val="00A14B03"/>
    <w:rsid w:val="00A22C70"/>
    <w:rsid w:val="00A349A2"/>
    <w:rsid w:val="00A427F7"/>
    <w:rsid w:val="00A4468C"/>
    <w:rsid w:val="00A44E97"/>
    <w:rsid w:val="00A517A9"/>
    <w:rsid w:val="00A579E9"/>
    <w:rsid w:val="00A81DC3"/>
    <w:rsid w:val="00A8214D"/>
    <w:rsid w:val="00A9142A"/>
    <w:rsid w:val="00A91476"/>
    <w:rsid w:val="00AA6278"/>
    <w:rsid w:val="00AB228D"/>
    <w:rsid w:val="00AD743E"/>
    <w:rsid w:val="00AE51AD"/>
    <w:rsid w:val="00AE590F"/>
    <w:rsid w:val="00AE6631"/>
    <w:rsid w:val="00AE6FD1"/>
    <w:rsid w:val="00AF3713"/>
    <w:rsid w:val="00AF4B40"/>
    <w:rsid w:val="00B0429C"/>
    <w:rsid w:val="00B14643"/>
    <w:rsid w:val="00B170AA"/>
    <w:rsid w:val="00B50EC2"/>
    <w:rsid w:val="00B54A93"/>
    <w:rsid w:val="00B61482"/>
    <w:rsid w:val="00B62A85"/>
    <w:rsid w:val="00B76240"/>
    <w:rsid w:val="00B8059D"/>
    <w:rsid w:val="00B81CEF"/>
    <w:rsid w:val="00B82ED0"/>
    <w:rsid w:val="00B915DF"/>
    <w:rsid w:val="00B942D1"/>
    <w:rsid w:val="00BA5627"/>
    <w:rsid w:val="00BB6D66"/>
    <w:rsid w:val="00BC042A"/>
    <w:rsid w:val="00BC077F"/>
    <w:rsid w:val="00BC0D4C"/>
    <w:rsid w:val="00BC764A"/>
    <w:rsid w:val="00BF0706"/>
    <w:rsid w:val="00BF652C"/>
    <w:rsid w:val="00BF759D"/>
    <w:rsid w:val="00C10CEE"/>
    <w:rsid w:val="00C25000"/>
    <w:rsid w:val="00C26157"/>
    <w:rsid w:val="00C27F99"/>
    <w:rsid w:val="00C3466B"/>
    <w:rsid w:val="00C359FD"/>
    <w:rsid w:val="00C42B10"/>
    <w:rsid w:val="00C437C9"/>
    <w:rsid w:val="00C4595C"/>
    <w:rsid w:val="00C547D0"/>
    <w:rsid w:val="00C570FE"/>
    <w:rsid w:val="00C63A6F"/>
    <w:rsid w:val="00C7185D"/>
    <w:rsid w:val="00C72A37"/>
    <w:rsid w:val="00C83474"/>
    <w:rsid w:val="00C834E9"/>
    <w:rsid w:val="00C879BE"/>
    <w:rsid w:val="00CA3665"/>
    <w:rsid w:val="00CA79D3"/>
    <w:rsid w:val="00CA7AA8"/>
    <w:rsid w:val="00CB3C51"/>
    <w:rsid w:val="00CC4807"/>
    <w:rsid w:val="00CE1191"/>
    <w:rsid w:val="00CE222F"/>
    <w:rsid w:val="00CE5F6C"/>
    <w:rsid w:val="00CF6134"/>
    <w:rsid w:val="00CF66EF"/>
    <w:rsid w:val="00D03990"/>
    <w:rsid w:val="00D055DA"/>
    <w:rsid w:val="00D05FAF"/>
    <w:rsid w:val="00D06D90"/>
    <w:rsid w:val="00D2199A"/>
    <w:rsid w:val="00D2690D"/>
    <w:rsid w:val="00D27866"/>
    <w:rsid w:val="00D502B8"/>
    <w:rsid w:val="00D53063"/>
    <w:rsid w:val="00D70A93"/>
    <w:rsid w:val="00D85826"/>
    <w:rsid w:val="00DA0961"/>
    <w:rsid w:val="00DA63B4"/>
    <w:rsid w:val="00DB5442"/>
    <w:rsid w:val="00DC01B9"/>
    <w:rsid w:val="00DC24A0"/>
    <w:rsid w:val="00DC3577"/>
    <w:rsid w:val="00DC3F59"/>
    <w:rsid w:val="00DD2386"/>
    <w:rsid w:val="00DD4386"/>
    <w:rsid w:val="00DE5A53"/>
    <w:rsid w:val="00DF7C2D"/>
    <w:rsid w:val="00DF7E32"/>
    <w:rsid w:val="00E034EF"/>
    <w:rsid w:val="00E1150E"/>
    <w:rsid w:val="00E2307B"/>
    <w:rsid w:val="00E27556"/>
    <w:rsid w:val="00E27D0F"/>
    <w:rsid w:val="00E34837"/>
    <w:rsid w:val="00E35C54"/>
    <w:rsid w:val="00E43324"/>
    <w:rsid w:val="00E576BB"/>
    <w:rsid w:val="00E676A5"/>
    <w:rsid w:val="00E817AB"/>
    <w:rsid w:val="00E85E33"/>
    <w:rsid w:val="00E87F14"/>
    <w:rsid w:val="00E9775E"/>
    <w:rsid w:val="00EA76DE"/>
    <w:rsid w:val="00EB3B15"/>
    <w:rsid w:val="00EB5F43"/>
    <w:rsid w:val="00EB6FD3"/>
    <w:rsid w:val="00EC010B"/>
    <w:rsid w:val="00EC5988"/>
    <w:rsid w:val="00ED4424"/>
    <w:rsid w:val="00EE3A9D"/>
    <w:rsid w:val="00EF3BB1"/>
    <w:rsid w:val="00F207CA"/>
    <w:rsid w:val="00F27548"/>
    <w:rsid w:val="00F27DA9"/>
    <w:rsid w:val="00F30999"/>
    <w:rsid w:val="00F3395B"/>
    <w:rsid w:val="00F33B2C"/>
    <w:rsid w:val="00F34CA6"/>
    <w:rsid w:val="00F35AF5"/>
    <w:rsid w:val="00F649DB"/>
    <w:rsid w:val="00F7011A"/>
    <w:rsid w:val="00F95890"/>
    <w:rsid w:val="00FB0270"/>
    <w:rsid w:val="00FB4C5F"/>
    <w:rsid w:val="00FB5739"/>
    <w:rsid w:val="00FC440A"/>
    <w:rsid w:val="00FD3A99"/>
    <w:rsid w:val="00FD5644"/>
    <w:rsid w:val="00FF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68FC14"/>
  <w15:chartTrackingRefBased/>
  <w15:docId w15:val="{DA971280-7D25-4A56-BE76-3F135421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4337CD"/>
    <w:pPr>
      <w:widowControl/>
    </w:pPr>
    <w:rPr>
      <w:rFonts w:eastAsia="Calibr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5528">
      <w:bodyDiv w:val="1"/>
      <w:marLeft w:val="0"/>
      <w:marRight w:val="0"/>
      <w:marTop w:val="0"/>
      <w:marBottom w:val="0"/>
      <w:divBdr>
        <w:top w:val="none" w:sz="0" w:space="0" w:color="auto"/>
        <w:left w:val="none" w:sz="0" w:space="0" w:color="auto"/>
        <w:bottom w:val="none" w:sz="0" w:space="0" w:color="auto"/>
        <w:right w:val="none" w:sz="0" w:space="0" w:color="auto"/>
      </w:divBdr>
    </w:div>
    <w:div w:id="364407324">
      <w:bodyDiv w:val="1"/>
      <w:marLeft w:val="0"/>
      <w:marRight w:val="0"/>
      <w:marTop w:val="0"/>
      <w:marBottom w:val="0"/>
      <w:divBdr>
        <w:top w:val="none" w:sz="0" w:space="0" w:color="auto"/>
        <w:left w:val="none" w:sz="0" w:space="0" w:color="auto"/>
        <w:bottom w:val="none" w:sz="0" w:space="0" w:color="auto"/>
        <w:right w:val="none" w:sz="0" w:space="0" w:color="auto"/>
      </w:divBdr>
    </w:div>
    <w:div w:id="16707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AD82-8E07-4DE2-99F9-40AA877A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dc:description/>
  <cp:lastModifiedBy>Cathy Williams</cp:lastModifiedBy>
  <cp:revision>2</cp:revision>
  <cp:lastPrinted>2017-12-05T14:58:00Z</cp:lastPrinted>
  <dcterms:created xsi:type="dcterms:W3CDTF">2020-09-18T14:16:00Z</dcterms:created>
  <dcterms:modified xsi:type="dcterms:W3CDTF">2020-09-18T14:16:00Z</dcterms:modified>
</cp:coreProperties>
</file>