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3BF" w:rsidRDefault="00BD13BF">
      <w:bookmarkStart w:name="_GoBack" w:id="0"/>
      <w:bookmarkEnd w:id="0"/>
    </w:p>
    <w:p w:rsidRPr="00522976" w:rsidR="00CB78F4" w:rsidP="004B5271" w:rsidRDefault="004B5271">
      <w:pPr>
        <w:pBdr>
          <w:top w:val="double" w:color="auto" w:sz="4" w:space="1"/>
          <w:left w:val="double" w:color="auto" w:sz="4" w:space="4"/>
          <w:bottom w:val="double" w:color="auto" w:sz="4" w:space="1"/>
          <w:right w:val="double" w:color="auto" w:sz="4" w:space="4"/>
        </w:pBdr>
        <w:jc w:val="center"/>
        <w:rPr>
          <w:rFonts w:ascii="Times New Roman" w:hAnsi="Times New Roman" w:cs="Times New Roman"/>
          <w:sz w:val="17"/>
          <w:szCs w:val="17"/>
        </w:rPr>
      </w:pPr>
      <w:r w:rsidRPr="00522976">
        <w:rPr>
          <w:rFonts w:ascii="Times New Roman" w:hAnsi="Times New Roman" w:cs="Times New Roman"/>
          <w:sz w:val="17"/>
          <w:szCs w:val="17"/>
        </w:rPr>
        <w:t>PART C - AGENT MEMBERSHIP AGREEMENTS AND SUPPORTING DOCUMENTS</w:t>
      </w:r>
    </w:p>
    <w:p w:rsidRPr="00522976" w:rsidR="004B5271" w:rsidRDefault="004B5271">
      <w:pPr>
        <w:rPr>
          <w:rFonts w:ascii="Times New Roman" w:hAnsi="Times New Roman" w:cs="Times New Roman"/>
          <w:sz w:val="17"/>
          <w:szCs w:val="17"/>
        </w:rPr>
      </w:pPr>
    </w:p>
    <w:p w:rsidRPr="00522976" w:rsidR="00CB78F4" w:rsidP="00CB78F4" w:rsidRDefault="00CB78F4">
      <w:pPr>
        <w:pStyle w:val="ListParagraph"/>
        <w:numPr>
          <w:ilvl w:val="0"/>
          <w:numId w:val="1"/>
        </w:numPr>
        <w:rPr>
          <w:rFonts w:ascii="Times New Roman" w:hAnsi="Times New Roman" w:cs="Times New Roman"/>
          <w:sz w:val="17"/>
          <w:szCs w:val="17"/>
        </w:rPr>
      </w:pPr>
      <w:r w:rsidRPr="00522976">
        <w:rPr>
          <w:rFonts w:ascii="Times New Roman" w:hAnsi="Times New Roman" w:cs="Times New Roman"/>
          <w:sz w:val="17"/>
          <w:szCs w:val="17"/>
        </w:rPr>
        <w:t>The above named corporate credit union hereby applies for Agent membership in the Central Liquidity Facility (the “Facility”) as provided in Title III of the Federal Credit Union Act, and in conside</w:t>
      </w:r>
      <w:r w:rsidR="00522976">
        <w:rPr>
          <w:rFonts w:ascii="Times New Roman" w:hAnsi="Times New Roman" w:cs="Times New Roman"/>
          <w:sz w:val="17"/>
          <w:szCs w:val="17"/>
        </w:rPr>
        <w:t>ration of the granting of Agent</w:t>
      </w:r>
      <w:r w:rsidRPr="00522976">
        <w:rPr>
          <w:rFonts w:ascii="Times New Roman" w:hAnsi="Times New Roman" w:cs="Times New Roman"/>
          <w:sz w:val="17"/>
          <w:szCs w:val="17"/>
        </w:rPr>
        <w:t xml:space="preserve"> membership hereby agrees:</w:t>
      </w:r>
    </w:p>
    <w:p w:rsidRPr="00522976" w:rsidR="00CB78F4" w:rsidP="00CB78F4" w:rsidRDefault="00CB78F4">
      <w:pPr>
        <w:pStyle w:val="ListParagraph"/>
        <w:ind w:left="1080"/>
        <w:rPr>
          <w:rFonts w:ascii="Times New Roman" w:hAnsi="Times New Roman" w:cs="Times New Roman"/>
          <w:sz w:val="17"/>
          <w:szCs w:val="17"/>
        </w:rPr>
      </w:pPr>
    </w:p>
    <w:p w:rsidRPr="00522976" w:rsidR="00CB78F4" w:rsidP="00CB78F4" w:rsidRDefault="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To comply with the requirements of Title III of the Federal Credit Union Act and any regulations and reporting requirements which are prescribed for Agent members by the NCUA Board pursuant thereto.</w:t>
      </w:r>
    </w:p>
    <w:p w:rsidR="00522976" w:rsidP="00CB78F4" w:rsidRDefault="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permit such examinations as in the judgment of the NCUA Board may from time to time be deemed </w:t>
      </w:r>
    </w:p>
    <w:p w:rsidRPr="00522976" w:rsidR="00CB78F4" w:rsidP="00522976" w:rsidRDefault="00CB78F4">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necessary</w:t>
      </w:r>
      <w:proofErr w:type="gramEnd"/>
      <w:r w:rsidRPr="00522976">
        <w:rPr>
          <w:rFonts w:ascii="Times New Roman" w:hAnsi="Times New Roman" w:cs="Times New Roman"/>
          <w:sz w:val="17"/>
          <w:szCs w:val="17"/>
        </w:rPr>
        <w:t xml:space="preserve">. </w:t>
      </w:r>
    </w:p>
    <w:p w:rsidR="00522976" w:rsidP="00CB78F4" w:rsidRDefault="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permit the NCUA Board </w:t>
      </w:r>
      <w:r w:rsidRPr="00522976" w:rsidR="00216F8C">
        <w:rPr>
          <w:rFonts w:ascii="Times New Roman" w:hAnsi="Times New Roman" w:cs="Times New Roman"/>
          <w:sz w:val="17"/>
          <w:szCs w:val="17"/>
        </w:rPr>
        <w:t>o</w:t>
      </w:r>
      <w:r w:rsidR="00216F8C">
        <w:rPr>
          <w:rFonts w:ascii="Times New Roman" w:hAnsi="Times New Roman" w:cs="Times New Roman"/>
          <w:sz w:val="17"/>
          <w:szCs w:val="17"/>
        </w:rPr>
        <w:t>r</w:t>
      </w:r>
      <w:r w:rsidRPr="00522976" w:rsidR="00216F8C">
        <w:rPr>
          <w:rFonts w:ascii="Times New Roman" w:hAnsi="Times New Roman" w:cs="Times New Roman"/>
          <w:sz w:val="17"/>
          <w:szCs w:val="17"/>
        </w:rPr>
        <w:t xml:space="preserve"> </w:t>
      </w:r>
      <w:r w:rsidRPr="00522976">
        <w:rPr>
          <w:rFonts w:ascii="Times New Roman" w:hAnsi="Times New Roman" w:cs="Times New Roman"/>
          <w:sz w:val="17"/>
          <w:szCs w:val="17"/>
        </w:rPr>
        <w:t xml:space="preserve">its designee to have access to any information or report with respect to any examination made by or for any public regulatory authority, including any commission, board, or authority </w:t>
      </w:r>
    </w:p>
    <w:p w:rsidRPr="00522976" w:rsidR="00CB78F4" w:rsidP="00522976" w:rsidRDefault="00CB78F4">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having</w:t>
      </w:r>
      <w:proofErr w:type="gramEnd"/>
      <w:r w:rsidRPr="00522976">
        <w:rPr>
          <w:rFonts w:ascii="Times New Roman" w:hAnsi="Times New Roman" w:cs="Times New Roman"/>
          <w:sz w:val="17"/>
          <w:szCs w:val="17"/>
        </w:rPr>
        <w:t xml:space="preserve"> supervisory responsibility over this corporate credit union, and furnish such additional information </w:t>
      </w:r>
    </w:p>
    <w:p w:rsidRPr="00522976" w:rsidR="00CB78F4" w:rsidP="00CB78F4" w:rsidRDefault="00CB78F4">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with</w:t>
      </w:r>
      <w:proofErr w:type="gramEnd"/>
      <w:r w:rsidRPr="00522976">
        <w:rPr>
          <w:rFonts w:ascii="Times New Roman" w:hAnsi="Times New Roman" w:cs="Times New Roman"/>
          <w:sz w:val="17"/>
          <w:szCs w:val="17"/>
        </w:rPr>
        <w:t xml:space="preserve"> respect thereto as the NCUA Board may require.</w:t>
      </w:r>
    </w:p>
    <w:p w:rsidR="00522976" w:rsidP="00522976" w:rsidRDefault="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permit the NCUA Board or its designee to have access to all records and information concerning the affairs </w:t>
      </w:r>
    </w:p>
    <w:p w:rsidR="00522976" w:rsidP="00522976" w:rsidRDefault="00CB78F4">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of</w:t>
      </w:r>
      <w:proofErr w:type="gramEnd"/>
      <w:r w:rsidRPr="00522976">
        <w:rPr>
          <w:rFonts w:ascii="Times New Roman" w:hAnsi="Times New Roman" w:cs="Times New Roman"/>
          <w:sz w:val="17"/>
          <w:szCs w:val="17"/>
        </w:rPr>
        <w:t xml:space="preserve"> this corporate credit union related to Facility activity and to furnish such information pertinent thereto that </w:t>
      </w:r>
    </w:p>
    <w:p w:rsidRPr="00522976" w:rsidR="00CB78F4" w:rsidP="00522976" w:rsidRDefault="00CB78F4">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the</w:t>
      </w:r>
      <w:proofErr w:type="gramEnd"/>
      <w:r w:rsidRPr="00522976">
        <w:rPr>
          <w:rFonts w:ascii="Times New Roman" w:hAnsi="Times New Roman" w:cs="Times New Roman"/>
          <w:sz w:val="17"/>
          <w:szCs w:val="17"/>
        </w:rPr>
        <w:t xml:space="preserve"> Board may require.</w:t>
      </w:r>
    </w:p>
    <w:p w:rsidRPr="00522976" w:rsidR="00357758" w:rsidP="00CB78F4" w:rsidRDefault="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To cause to be made, on an annual basis, a third party independent audit of corporate credit union’s books</w:t>
      </w:r>
    </w:p>
    <w:p w:rsidRPr="00522976" w:rsidR="00357758" w:rsidP="00357758" w:rsidRDefault="00357758">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And records and provide the Facility with copies of such audit, if requested.</w:t>
      </w:r>
    </w:p>
    <w:p w:rsidRPr="00522976" w:rsidR="00357758" w:rsidP="00357758" w:rsidRDefault="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To maintain records related to Facility activity in conformance with requirements prescribed by the NCUA Board from time to time.</w:t>
      </w:r>
    </w:p>
    <w:p w:rsidRPr="00522976" w:rsidR="00357758" w:rsidP="00357758" w:rsidRDefault="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hold in confidence all information furnished by the Facility and to disclose such information only when </w:t>
      </w:r>
    </w:p>
    <w:p w:rsidRPr="00522976" w:rsidR="00357758" w:rsidP="00357758" w:rsidRDefault="00357758">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and</w:t>
      </w:r>
      <w:proofErr w:type="gramEnd"/>
      <w:r w:rsidRPr="00522976">
        <w:rPr>
          <w:rFonts w:ascii="Times New Roman" w:hAnsi="Times New Roman" w:cs="Times New Roman"/>
          <w:sz w:val="17"/>
          <w:szCs w:val="17"/>
        </w:rPr>
        <w:t xml:space="preserve"> to the extent authorized by the Facility.</w:t>
      </w:r>
    </w:p>
    <w:p w:rsidRPr="00522976" w:rsidR="00357758" w:rsidP="00357758" w:rsidRDefault="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hold in confidence all information furnished to the corporate credit union or credit union group in its role </w:t>
      </w:r>
    </w:p>
    <w:p w:rsidR="00AB7BF0" w:rsidP="00357758" w:rsidRDefault="00357758">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as</w:t>
      </w:r>
      <w:proofErr w:type="gramEnd"/>
      <w:r w:rsidRPr="00522976">
        <w:rPr>
          <w:rFonts w:ascii="Times New Roman" w:hAnsi="Times New Roman" w:cs="Times New Roman"/>
          <w:sz w:val="17"/>
          <w:szCs w:val="17"/>
        </w:rPr>
        <w:t xml:space="preserve"> an Agent of the Facility by any state regulatory authority or share insurance agent and to disclose such </w:t>
      </w:r>
    </w:p>
    <w:p w:rsidRPr="00522976" w:rsidR="00357758" w:rsidP="00357758" w:rsidRDefault="00357758">
      <w:pPr>
        <w:pStyle w:val="ListParagraph"/>
        <w:ind w:left="1080"/>
        <w:rPr>
          <w:rFonts w:ascii="Times New Roman" w:hAnsi="Times New Roman" w:cs="Times New Roman"/>
          <w:sz w:val="17"/>
          <w:szCs w:val="17"/>
        </w:rPr>
      </w:pPr>
      <w:proofErr w:type="gramStart"/>
      <w:r w:rsidRPr="00522976">
        <w:rPr>
          <w:rFonts w:ascii="Times New Roman" w:hAnsi="Times New Roman" w:cs="Times New Roman"/>
          <w:sz w:val="17"/>
          <w:szCs w:val="17"/>
        </w:rPr>
        <w:t>information</w:t>
      </w:r>
      <w:proofErr w:type="gramEnd"/>
      <w:r w:rsidRPr="00522976">
        <w:rPr>
          <w:rFonts w:ascii="Times New Roman" w:hAnsi="Times New Roman" w:cs="Times New Roman"/>
          <w:sz w:val="17"/>
          <w:szCs w:val="17"/>
        </w:rPr>
        <w:t xml:space="preserve"> only when and to the extent authorized by the Facility.</w:t>
      </w:r>
    </w:p>
    <w:p w:rsidRPr="00522976" w:rsidR="00357758" w:rsidP="00357758" w:rsidRDefault="00357758">
      <w:pPr>
        <w:pStyle w:val="ListParagraph"/>
        <w:ind w:left="1080"/>
        <w:rPr>
          <w:rFonts w:ascii="Times New Roman" w:hAnsi="Times New Roman" w:cs="Times New Roman"/>
          <w:sz w:val="17"/>
          <w:szCs w:val="17"/>
        </w:rPr>
      </w:pPr>
    </w:p>
    <w:p w:rsidRPr="00522976" w:rsidR="00357758" w:rsidP="00357758" w:rsidRDefault="00357758">
      <w:pPr>
        <w:pStyle w:val="ListParagraph"/>
        <w:numPr>
          <w:ilvl w:val="0"/>
          <w:numId w:val="1"/>
        </w:numPr>
        <w:rPr>
          <w:rFonts w:ascii="Times New Roman" w:hAnsi="Times New Roman" w:cs="Times New Roman"/>
          <w:sz w:val="17"/>
          <w:szCs w:val="17"/>
        </w:rPr>
      </w:pPr>
      <w:r w:rsidRPr="00522976">
        <w:rPr>
          <w:rFonts w:ascii="Times New Roman" w:hAnsi="Times New Roman" w:cs="Times New Roman"/>
          <w:sz w:val="17"/>
          <w:szCs w:val="17"/>
        </w:rPr>
        <w:t>The following required supporting documents are attached.</w:t>
      </w:r>
    </w:p>
    <w:p w:rsidRPr="00522976" w:rsidR="00357758" w:rsidP="00357758" w:rsidRDefault="00357758">
      <w:pPr>
        <w:pStyle w:val="ListParagraph"/>
        <w:numPr>
          <w:ilvl w:val="0"/>
          <w:numId w:val="3"/>
        </w:numPr>
        <w:rPr>
          <w:rFonts w:ascii="Times New Roman" w:hAnsi="Times New Roman" w:cs="Times New Roman"/>
          <w:sz w:val="17"/>
          <w:szCs w:val="17"/>
        </w:rPr>
      </w:pPr>
      <w:r w:rsidRPr="00522976">
        <w:rPr>
          <w:rFonts w:ascii="Times New Roman" w:hAnsi="Times New Roman" w:cs="Times New Roman"/>
          <w:sz w:val="17"/>
          <w:szCs w:val="17"/>
        </w:rPr>
        <w:t>Copies of our financial and statistical reports for the most recent month-end, including but not limited to:</w:t>
      </w:r>
    </w:p>
    <w:p w:rsidRPr="00522976" w:rsidR="004B5271" w:rsidP="004B5271" w:rsidRDefault="00357758">
      <w:pPr>
        <w:pStyle w:val="ListParagraph"/>
        <w:numPr>
          <w:ilvl w:val="0"/>
          <w:numId w:val="4"/>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 xml:space="preserve">Balance Sheet (The number and dollar amount of shares and loans to </w:t>
      </w:r>
      <w:r w:rsidRPr="00522976" w:rsidR="004B5271">
        <w:rPr>
          <w:rFonts w:ascii="Times New Roman" w:hAnsi="Times New Roman" w:cs="Times New Roman"/>
          <w:sz w:val="17"/>
          <w:szCs w:val="17"/>
        </w:rPr>
        <w:t xml:space="preserve">member credit unions must be </w:t>
      </w:r>
    </w:p>
    <w:p w:rsidRPr="00522976" w:rsidR="00357758" w:rsidP="002647C2" w:rsidRDefault="004B5271">
      <w:pPr>
        <w:spacing w:after="0" w:line="240" w:lineRule="auto"/>
        <w:ind w:left="1080"/>
        <w:rPr>
          <w:rFonts w:ascii="Times New Roman" w:hAnsi="Times New Roman" w:cs="Times New Roman"/>
          <w:sz w:val="17"/>
          <w:szCs w:val="17"/>
        </w:rPr>
      </w:pPr>
      <w:proofErr w:type="gramStart"/>
      <w:r w:rsidRPr="00522976">
        <w:rPr>
          <w:rFonts w:ascii="Times New Roman" w:hAnsi="Times New Roman" w:cs="Times New Roman"/>
          <w:sz w:val="17"/>
          <w:szCs w:val="17"/>
        </w:rPr>
        <w:t>disclosed</w:t>
      </w:r>
      <w:proofErr w:type="gramEnd"/>
      <w:r w:rsidRPr="00522976">
        <w:rPr>
          <w:rFonts w:ascii="Times New Roman" w:hAnsi="Times New Roman" w:cs="Times New Roman"/>
          <w:sz w:val="17"/>
          <w:szCs w:val="17"/>
        </w:rPr>
        <w:t xml:space="preserve"> separately from the number and dollar amounts of shares and loans to natural person credit unions.)</w:t>
      </w:r>
    </w:p>
    <w:p w:rsidRPr="00522976" w:rsidR="004B5271" w:rsidP="004B5271" w:rsidRDefault="004B5271">
      <w:pPr>
        <w:pStyle w:val="ListParagraph"/>
        <w:numPr>
          <w:ilvl w:val="0"/>
          <w:numId w:val="4"/>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Statement of Income and Expense</w:t>
      </w:r>
    </w:p>
    <w:p w:rsidRPr="00522976" w:rsidR="004B5271" w:rsidP="004B5271" w:rsidRDefault="004B5271">
      <w:pPr>
        <w:pStyle w:val="ListParagraph"/>
        <w:numPr>
          <w:ilvl w:val="0"/>
          <w:numId w:val="4"/>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 xml:space="preserve">Delinquent loan report showing the number and dollar amount of delinquent loans by delinquent </w:t>
      </w:r>
    </w:p>
    <w:p w:rsidR="00076373" w:rsidP="004B5271" w:rsidRDefault="004B5271">
      <w:pPr>
        <w:spacing w:after="0" w:line="240" w:lineRule="auto"/>
        <w:ind w:left="1080"/>
        <w:rPr>
          <w:rFonts w:ascii="Times New Roman" w:hAnsi="Times New Roman" w:cs="Times New Roman"/>
          <w:sz w:val="17"/>
          <w:szCs w:val="17"/>
        </w:rPr>
      </w:pPr>
      <w:r w:rsidRPr="00522976">
        <w:rPr>
          <w:rFonts w:ascii="Times New Roman" w:hAnsi="Times New Roman" w:cs="Times New Roman"/>
          <w:sz w:val="17"/>
          <w:szCs w:val="17"/>
        </w:rPr>
        <w:t xml:space="preserve">categories (2 months to less than 6 months, 6 months to less than 12 months, 12 months and over, or such </w:t>
      </w:r>
    </w:p>
    <w:p w:rsidRPr="00522976" w:rsidR="004B5271" w:rsidP="004B5271" w:rsidRDefault="004B5271">
      <w:pPr>
        <w:spacing w:after="0" w:line="240" w:lineRule="auto"/>
        <w:ind w:left="1080"/>
        <w:rPr>
          <w:rFonts w:ascii="Times New Roman" w:hAnsi="Times New Roman" w:cs="Times New Roman"/>
          <w:sz w:val="17"/>
          <w:szCs w:val="17"/>
        </w:rPr>
      </w:pPr>
      <w:proofErr w:type="gramStart"/>
      <w:r w:rsidRPr="00522976">
        <w:rPr>
          <w:rFonts w:ascii="Times New Roman" w:hAnsi="Times New Roman" w:cs="Times New Roman"/>
          <w:sz w:val="17"/>
          <w:szCs w:val="17"/>
        </w:rPr>
        <w:t>other</w:t>
      </w:r>
      <w:proofErr w:type="gramEnd"/>
      <w:r w:rsidRPr="00522976">
        <w:rPr>
          <w:rFonts w:ascii="Times New Roman" w:hAnsi="Times New Roman" w:cs="Times New Roman"/>
          <w:sz w:val="17"/>
          <w:szCs w:val="17"/>
        </w:rPr>
        <w:t xml:space="preserve"> categories as may be required by the state regulatory authority.</w:t>
      </w:r>
    </w:p>
    <w:p w:rsidRPr="00522976" w:rsidR="004B5271" w:rsidP="004B5271" w:rsidRDefault="004B5271">
      <w:pPr>
        <w:pStyle w:val="ListParagraph"/>
        <w:numPr>
          <w:ilvl w:val="0"/>
          <w:numId w:val="3"/>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A listing of all those natural person credit unions that are members of this corporate credit union (or in the</w:t>
      </w:r>
    </w:p>
    <w:p w:rsidRPr="00522976" w:rsidR="004B5271" w:rsidP="004B5271" w:rsidRDefault="004B5271">
      <w:pPr>
        <w:pStyle w:val="ListParagraph"/>
        <w:spacing w:after="0" w:line="240" w:lineRule="auto"/>
        <w:ind w:left="1080"/>
        <w:rPr>
          <w:rFonts w:ascii="Times New Roman" w:hAnsi="Times New Roman" w:cs="Times New Roman"/>
          <w:sz w:val="17"/>
          <w:szCs w:val="17"/>
        </w:rPr>
      </w:pPr>
      <w:proofErr w:type="gramStart"/>
      <w:r w:rsidRPr="00522976">
        <w:rPr>
          <w:rFonts w:ascii="Times New Roman" w:hAnsi="Times New Roman" w:cs="Times New Roman"/>
          <w:sz w:val="17"/>
          <w:szCs w:val="17"/>
        </w:rPr>
        <w:t>case</w:t>
      </w:r>
      <w:proofErr w:type="gramEnd"/>
      <w:r w:rsidRPr="00522976">
        <w:rPr>
          <w:rFonts w:ascii="Times New Roman" w:hAnsi="Times New Roman" w:cs="Times New Roman"/>
          <w:sz w:val="17"/>
          <w:szCs w:val="17"/>
        </w:rPr>
        <w:t xml:space="preserve"> of a credit union group, members of a corporate credit union belonging to the group), the </w:t>
      </w:r>
    </w:p>
    <w:p w:rsidRPr="00522976" w:rsidR="004B5271" w:rsidP="004B5271" w:rsidRDefault="004B5271">
      <w:pPr>
        <w:pStyle w:val="ListParagraph"/>
        <w:spacing w:after="0" w:line="240" w:lineRule="auto"/>
        <w:ind w:left="1080"/>
        <w:rPr>
          <w:rFonts w:ascii="Times New Roman" w:hAnsi="Times New Roman" w:cs="Times New Roman"/>
          <w:sz w:val="17"/>
          <w:szCs w:val="17"/>
        </w:rPr>
      </w:pPr>
      <w:proofErr w:type="gramStart"/>
      <w:r w:rsidRPr="00522976">
        <w:rPr>
          <w:rFonts w:ascii="Times New Roman" w:hAnsi="Times New Roman" w:cs="Times New Roman"/>
          <w:sz w:val="17"/>
          <w:szCs w:val="17"/>
        </w:rPr>
        <w:t>charter/insurance</w:t>
      </w:r>
      <w:proofErr w:type="gramEnd"/>
      <w:r w:rsidRPr="00522976">
        <w:rPr>
          <w:rFonts w:ascii="Times New Roman" w:hAnsi="Times New Roman" w:cs="Times New Roman"/>
          <w:sz w:val="17"/>
          <w:szCs w:val="17"/>
        </w:rPr>
        <w:t xml:space="preserve"> number, the name and address of the natural person credit union.</w:t>
      </w:r>
    </w:p>
    <w:p w:rsidRPr="00522976" w:rsidR="004B5271" w:rsidP="004B5271" w:rsidRDefault="004B5271">
      <w:pPr>
        <w:pStyle w:val="ListParagraph"/>
        <w:numPr>
          <w:ilvl w:val="0"/>
          <w:numId w:val="3"/>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A copy of our credit union’s charter and bylaws (not required for Federal credit union).</w:t>
      </w:r>
    </w:p>
    <w:p w:rsidRPr="00522976" w:rsidR="00CB78F4" w:rsidP="00CB78F4" w:rsidRDefault="00CB78F4">
      <w:pPr>
        <w:rPr>
          <w:rFonts w:ascii="Times New Roman" w:hAnsi="Times New Roman" w:cs="Times New Roman"/>
          <w:sz w:val="16"/>
          <w:szCs w:val="16"/>
        </w:rPr>
      </w:pPr>
    </w:p>
    <w:sectPr w:rsidRPr="00522976" w:rsidR="00CB78F4" w:rsidSect="00CB78F4">
      <w:headerReference w:type="default" r:id="rId8"/>
      <w:footerReference w:type="default" r:id="rId9"/>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8B0" w:rsidRDefault="00A568B0" w:rsidP="00AB7BF0">
      <w:pPr>
        <w:spacing w:after="0" w:line="240" w:lineRule="auto"/>
      </w:pPr>
      <w:r>
        <w:separator/>
      </w:r>
    </w:p>
  </w:endnote>
  <w:endnote w:type="continuationSeparator" w:id="0">
    <w:p w:rsidR="00A568B0" w:rsidRDefault="00A568B0" w:rsidP="00AB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F0" w:rsidRPr="00AB7BF0" w:rsidRDefault="00AB7BF0">
    <w:pPr>
      <w:pStyle w:val="Footer"/>
      <w:rPr>
        <w:rFonts w:ascii="Arial" w:hAnsi="Arial" w:cs="Arial"/>
      </w:rPr>
    </w:pPr>
    <w:r w:rsidRPr="00AB7BF0">
      <w:rPr>
        <w:rFonts w:ascii="Arial" w:hAnsi="Arial" w:cs="Arial"/>
      </w:rPr>
      <w:t>NCUA 8700C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8B0" w:rsidRDefault="00A568B0" w:rsidP="00AB7BF0">
      <w:pPr>
        <w:spacing w:after="0" w:line="240" w:lineRule="auto"/>
      </w:pPr>
      <w:r>
        <w:separator/>
      </w:r>
    </w:p>
  </w:footnote>
  <w:footnote w:type="continuationSeparator" w:id="0">
    <w:p w:rsidR="00A568B0" w:rsidRDefault="00A568B0" w:rsidP="00AB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F0" w:rsidRPr="00AB7BF0" w:rsidRDefault="00AB7BF0" w:rsidP="00AB7BF0">
    <w:pPr>
      <w:pStyle w:val="Header"/>
      <w:jc w:val="right"/>
      <w:rPr>
        <w:rFonts w:ascii="Arial" w:hAnsi="Arial" w:cs="Arial"/>
        <w:sz w:val="20"/>
        <w:szCs w:val="20"/>
      </w:rPr>
    </w:pPr>
    <w:r w:rsidRPr="00AB7BF0">
      <w:rPr>
        <w:rFonts w:ascii="Arial" w:hAnsi="Arial" w:cs="Arial"/>
        <w:sz w:val="20"/>
        <w:szCs w:val="20"/>
      </w:rPr>
      <w:t>OMB No. 3133-0061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7086"/>
    <w:multiLevelType w:val="hybridMultilevel"/>
    <w:tmpl w:val="CE02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D1286"/>
    <w:multiLevelType w:val="hybridMultilevel"/>
    <w:tmpl w:val="540E05A6"/>
    <w:lvl w:ilvl="0" w:tplc="9632A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0767DE"/>
    <w:multiLevelType w:val="hybridMultilevel"/>
    <w:tmpl w:val="36E44E78"/>
    <w:lvl w:ilvl="0" w:tplc="E640D0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986727"/>
    <w:multiLevelType w:val="hybridMultilevel"/>
    <w:tmpl w:val="768A12FC"/>
    <w:lvl w:ilvl="0" w:tplc="D540A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F4"/>
    <w:rsid w:val="00076373"/>
    <w:rsid w:val="00216F8C"/>
    <w:rsid w:val="002647C2"/>
    <w:rsid w:val="00357758"/>
    <w:rsid w:val="003A20C1"/>
    <w:rsid w:val="004B5271"/>
    <w:rsid w:val="00522976"/>
    <w:rsid w:val="00580A90"/>
    <w:rsid w:val="008742B9"/>
    <w:rsid w:val="00A568B0"/>
    <w:rsid w:val="00AB7BF0"/>
    <w:rsid w:val="00BD13BF"/>
    <w:rsid w:val="00CB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DF04B-51CC-49E5-9EF3-7872DE3D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8F4"/>
    <w:pPr>
      <w:ind w:left="720"/>
      <w:contextualSpacing/>
    </w:pPr>
  </w:style>
  <w:style w:type="paragraph" w:styleId="BalloonText">
    <w:name w:val="Balloon Text"/>
    <w:basedOn w:val="Normal"/>
    <w:link w:val="BalloonTextChar"/>
    <w:uiPriority w:val="99"/>
    <w:semiHidden/>
    <w:unhideWhenUsed/>
    <w:rsid w:val="00522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976"/>
    <w:rPr>
      <w:rFonts w:ascii="Segoe UI" w:hAnsi="Segoe UI" w:cs="Segoe UI"/>
      <w:sz w:val="18"/>
      <w:szCs w:val="18"/>
    </w:rPr>
  </w:style>
  <w:style w:type="paragraph" w:styleId="Header">
    <w:name w:val="header"/>
    <w:basedOn w:val="Normal"/>
    <w:link w:val="HeaderChar"/>
    <w:uiPriority w:val="99"/>
    <w:unhideWhenUsed/>
    <w:rsid w:val="00AB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F0"/>
  </w:style>
  <w:style w:type="paragraph" w:styleId="Footer">
    <w:name w:val="footer"/>
    <w:basedOn w:val="Normal"/>
    <w:link w:val="FooterChar"/>
    <w:uiPriority w:val="99"/>
    <w:unhideWhenUsed/>
    <w:rsid w:val="00AB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56CB-D4CF-4E6D-A209-FEC30203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2</cp:revision>
  <cp:lastPrinted>2019-08-29T16:58:00Z</cp:lastPrinted>
  <dcterms:created xsi:type="dcterms:W3CDTF">2020-04-14T17:59:00Z</dcterms:created>
  <dcterms:modified xsi:type="dcterms:W3CDTF">2020-04-14T17:59:00Z</dcterms:modified>
</cp:coreProperties>
</file>