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6056" w:rsidR="00006056" w:rsidP="00006056" w:rsidRDefault="00006056" w14:paraId="766D0EDA" w14:textId="77777777">
      <w:pPr>
        <w:pStyle w:val="ListParagraph"/>
        <w:ind w:left="0" w:firstLine="4"/>
        <w:jc w:val="center"/>
        <w:rPr>
          <w:bCs/>
        </w:rPr>
      </w:pPr>
      <w:r w:rsidRPr="00006056">
        <w:rPr>
          <w:bCs/>
        </w:rPr>
        <w:t>National Credit Union Administration</w:t>
      </w:r>
    </w:p>
    <w:p w:rsidR="008911A9" w:rsidP="006916B9" w:rsidRDefault="008911A9" w14:paraId="50DFAB38" w14:textId="77777777">
      <w:pPr>
        <w:pStyle w:val="ListParagraph"/>
        <w:ind w:left="0" w:firstLine="4"/>
        <w:jc w:val="center"/>
        <w:rPr>
          <w:b/>
          <w:bCs/>
        </w:rPr>
      </w:pPr>
      <w:r>
        <w:rPr>
          <w:b/>
          <w:bCs/>
        </w:rPr>
        <w:t>SUPPORTING STATEMENT</w:t>
      </w:r>
    </w:p>
    <w:p w:rsidR="00707050" w:rsidP="006916B9" w:rsidRDefault="00707050" w14:paraId="2FB85E15" w14:textId="77777777">
      <w:pPr>
        <w:pStyle w:val="ListParagraph"/>
        <w:ind w:left="0" w:firstLine="4"/>
        <w:jc w:val="center"/>
        <w:rPr>
          <w:b/>
          <w:bCs/>
        </w:rPr>
      </w:pPr>
    </w:p>
    <w:p w:rsidRPr="00006056" w:rsidR="00D25F1A" w:rsidP="006916B9" w:rsidRDefault="007C7AE6" w14:paraId="4EFE2432" w14:textId="77777777">
      <w:pPr>
        <w:pStyle w:val="ListParagraph"/>
        <w:ind w:left="0" w:firstLine="4"/>
        <w:jc w:val="center"/>
        <w:rPr>
          <w:bCs/>
        </w:rPr>
      </w:pPr>
      <w:r w:rsidRPr="00006056">
        <w:rPr>
          <w:bCs/>
        </w:rPr>
        <w:t xml:space="preserve">Federal Credit Union </w:t>
      </w:r>
      <w:r w:rsidRPr="00006056" w:rsidR="002912EA">
        <w:rPr>
          <w:bCs/>
        </w:rPr>
        <w:t xml:space="preserve">Occupancy, Planning, and Disposal of </w:t>
      </w:r>
    </w:p>
    <w:p w:rsidRPr="00006056" w:rsidR="007C7AE6" w:rsidP="006916B9" w:rsidRDefault="002912EA" w14:paraId="06BF6078" w14:textId="77777777">
      <w:pPr>
        <w:pStyle w:val="ListParagraph"/>
        <w:ind w:left="0" w:firstLine="4"/>
        <w:jc w:val="center"/>
        <w:rPr>
          <w:bCs/>
        </w:rPr>
      </w:pPr>
      <w:r w:rsidRPr="00006056">
        <w:rPr>
          <w:bCs/>
        </w:rPr>
        <w:t>Acquired and Abandoned Premises</w:t>
      </w:r>
    </w:p>
    <w:p w:rsidRPr="00006056" w:rsidR="007C7AE6" w:rsidP="006916B9" w:rsidRDefault="006916B9" w14:paraId="76E487F3" w14:textId="77777777">
      <w:pPr>
        <w:pStyle w:val="ListParagraph"/>
        <w:ind w:left="0" w:firstLine="4"/>
        <w:jc w:val="center"/>
        <w:rPr>
          <w:bCs/>
        </w:rPr>
      </w:pPr>
      <w:r w:rsidRPr="00006056">
        <w:rPr>
          <w:bCs/>
        </w:rPr>
        <w:t xml:space="preserve">12 CFR </w:t>
      </w:r>
      <w:r w:rsidRPr="00006056" w:rsidR="007C7AE6">
        <w:rPr>
          <w:bCs/>
        </w:rPr>
        <w:t>Part 701.36</w:t>
      </w:r>
    </w:p>
    <w:p w:rsidR="00006056" w:rsidP="006916B9" w:rsidRDefault="00006056" w14:paraId="3840637F" w14:textId="77777777">
      <w:pPr>
        <w:pStyle w:val="ListParagraph"/>
        <w:ind w:left="0" w:firstLine="4"/>
        <w:jc w:val="center"/>
        <w:rPr>
          <w:b/>
          <w:bCs/>
        </w:rPr>
      </w:pPr>
    </w:p>
    <w:p w:rsidR="003A0D60" w:rsidP="006916B9" w:rsidRDefault="006916B9" w14:paraId="1935E079" w14:textId="77777777">
      <w:pPr>
        <w:pStyle w:val="ListParagraph"/>
        <w:ind w:left="0" w:firstLine="4"/>
        <w:jc w:val="center"/>
        <w:rPr>
          <w:b/>
          <w:bCs/>
        </w:rPr>
      </w:pPr>
      <w:r>
        <w:rPr>
          <w:b/>
          <w:bCs/>
        </w:rPr>
        <w:t>OMB No. 3133-0040</w:t>
      </w:r>
      <w:r w:rsidR="00006056">
        <w:rPr>
          <w:b/>
          <w:bCs/>
        </w:rPr>
        <w:t xml:space="preserve"> </w:t>
      </w:r>
    </w:p>
    <w:p w:rsidR="008911A9" w:rsidP="006916B9" w:rsidRDefault="008911A9" w14:paraId="42F1338F" w14:textId="77777777">
      <w:pPr>
        <w:pStyle w:val="ListParagraph"/>
        <w:ind w:left="0" w:firstLine="4"/>
        <w:jc w:val="center"/>
        <w:rPr>
          <w:b/>
        </w:rPr>
      </w:pPr>
    </w:p>
    <w:p w:rsidR="00390EF5" w:rsidP="00286DDB" w:rsidRDefault="00390EF5" w14:paraId="106E2E81" w14:textId="0A453958">
      <w:pPr>
        <w:autoSpaceDE w:val="0"/>
        <w:autoSpaceDN w:val="0"/>
        <w:adjustRightInd w:val="0"/>
        <w:rPr>
          <w:rFonts w:eastAsiaTheme="minorHAnsi"/>
        </w:rPr>
      </w:pPr>
    </w:p>
    <w:p w:rsidR="00615942" w:rsidP="00286DDB" w:rsidRDefault="00615942" w14:paraId="1CB5AE2D" w14:textId="77777777">
      <w:pPr>
        <w:autoSpaceDE w:val="0"/>
        <w:autoSpaceDN w:val="0"/>
        <w:adjustRightInd w:val="0"/>
        <w:rPr>
          <w:rFonts w:eastAsiaTheme="minorHAnsi"/>
        </w:rPr>
      </w:pPr>
    </w:p>
    <w:p w:rsidRPr="00E44F63" w:rsidR="003A0D60" w:rsidP="006916B9" w:rsidRDefault="003A0D60" w14:paraId="6DFAC408" w14:textId="77777777">
      <w:pPr>
        <w:pStyle w:val="ListParagraph"/>
        <w:numPr>
          <w:ilvl w:val="0"/>
          <w:numId w:val="2"/>
        </w:numPr>
        <w:tabs>
          <w:tab w:val="left" w:pos="720"/>
        </w:tabs>
        <w:ind w:left="720" w:hanging="720"/>
        <w:rPr>
          <w:b/>
        </w:rPr>
      </w:pPr>
      <w:r w:rsidRPr="00E44F63">
        <w:rPr>
          <w:b/>
        </w:rPr>
        <w:t>JUSTIFICATION</w:t>
      </w:r>
    </w:p>
    <w:p w:rsidRPr="00E44F63" w:rsidR="003A0D60" w:rsidP="006916B9" w:rsidRDefault="003A0D60" w14:paraId="483F5773" w14:textId="77777777">
      <w:pPr>
        <w:pStyle w:val="ListParagraph"/>
        <w:tabs>
          <w:tab w:val="left" w:pos="720"/>
        </w:tabs>
        <w:ind w:hanging="720"/>
        <w:rPr>
          <w:b/>
        </w:rPr>
      </w:pPr>
    </w:p>
    <w:p w:rsidRPr="00E44F63" w:rsidR="003A0D60" w:rsidP="006916B9" w:rsidRDefault="00C7406B" w14:paraId="410AAA06" w14:textId="77777777">
      <w:pPr>
        <w:pStyle w:val="ListParagraph"/>
        <w:numPr>
          <w:ilvl w:val="0"/>
          <w:numId w:val="3"/>
        </w:numPr>
        <w:tabs>
          <w:tab w:val="left" w:pos="720"/>
        </w:tabs>
        <w:ind w:left="720" w:hanging="720"/>
        <w:rPr>
          <w:b/>
        </w:rPr>
      </w:pPr>
      <w:r>
        <w:rPr>
          <w:b/>
        </w:rPr>
        <w:t>Circumstances that make the collection of information necessary.</w:t>
      </w:r>
    </w:p>
    <w:p w:rsidR="004F2027" w:rsidP="00C7406B" w:rsidRDefault="004F2027" w14:paraId="51297A73" w14:textId="77777777">
      <w:pPr>
        <w:pStyle w:val="ListParagraph"/>
        <w:tabs>
          <w:tab w:val="left" w:pos="720"/>
        </w:tabs>
        <w:suppressAutoHyphens/>
      </w:pPr>
    </w:p>
    <w:p w:rsidRPr="00A25AC4" w:rsidR="00A25AC4" w:rsidP="00A25AC4" w:rsidRDefault="00A25AC4" w14:paraId="3F4B788D" w14:textId="77777777">
      <w:pPr>
        <w:pStyle w:val="Default"/>
        <w:ind w:left="720"/>
        <w:rPr>
          <w:rFonts w:ascii="Times New Roman" w:hAnsi="Times New Roman" w:cs="Times New Roman"/>
        </w:rPr>
      </w:pPr>
      <w:r w:rsidRPr="00A25AC4">
        <w:rPr>
          <w:rFonts w:ascii="Times New Roman" w:hAnsi="Times New Roman" w:cs="Times New Roman"/>
        </w:rPr>
        <w:t xml:space="preserve">Section 107(4) of the FCU Act authorizes an FCU to purchase, hold, and dispose of property necessary or incidental to its operations.  NCUA implemented this provision of the FCU Act in its regulation at 12 CFR 701.36.  In general, an FCU may invest in property only that it intends to use to transact credit union business or in property that supports its internal operations or serves its members.  Among other provisions, § 701.36: (1) limits FCU investments in fixed assets; and (2) establishes occupancy, planning, and disposal requirements for acquired and abandoned premises. </w:t>
      </w:r>
    </w:p>
    <w:p w:rsidRPr="00A25AC4" w:rsidR="00A25AC4" w:rsidP="00A25AC4" w:rsidRDefault="00A25AC4" w14:paraId="4D5C8CD8" w14:textId="77777777">
      <w:pPr>
        <w:pStyle w:val="Default"/>
        <w:ind w:left="720"/>
        <w:rPr>
          <w:rFonts w:ascii="Times New Roman" w:hAnsi="Times New Roman" w:cs="Times New Roman"/>
        </w:rPr>
      </w:pPr>
    </w:p>
    <w:p w:rsidRPr="00A25AC4" w:rsidR="00A25AC4" w:rsidP="00A25AC4" w:rsidRDefault="00A25AC4" w14:paraId="72940937" w14:textId="311626B7">
      <w:pPr>
        <w:pStyle w:val="Default"/>
        <w:ind w:left="720"/>
        <w:rPr>
          <w:rFonts w:ascii="Times New Roman" w:hAnsi="Times New Roman" w:cs="Times New Roman"/>
        </w:rPr>
      </w:pPr>
      <w:r w:rsidRPr="00A25AC4">
        <w:rPr>
          <w:rFonts w:ascii="Times New Roman" w:hAnsi="Times New Roman" w:cs="Times New Roman"/>
        </w:rPr>
        <w:t xml:space="preserve">The regulation provides that if an FCU acquires premises, including unimproved land or unimproved real property, it must partially occupy them “no later than six years after the date of acquisition,” subject to the NCUA granting a waiver.  Further, an FCU must make diligent efforts to dispose of abandoned premises and any other real property it does not intend to use in transacting business. </w:t>
      </w:r>
      <w:r w:rsidR="008B1BB5">
        <w:rPr>
          <w:rFonts w:ascii="Times New Roman" w:hAnsi="Times New Roman" w:cs="Times New Roman"/>
        </w:rPr>
        <w:t xml:space="preserve"> </w:t>
      </w:r>
      <w:r w:rsidRPr="00A25AC4">
        <w:rPr>
          <w:rFonts w:ascii="Times New Roman" w:hAnsi="Times New Roman" w:cs="Times New Roman"/>
        </w:rPr>
        <w:t xml:space="preserve">Additionally, the FCU must advertise for sale premises that have been abandoned for four years.  </w:t>
      </w:r>
    </w:p>
    <w:p w:rsidRPr="00A25AC4" w:rsidR="00A25AC4" w:rsidP="00A25AC4" w:rsidRDefault="00A25AC4" w14:paraId="34327F83" w14:textId="77777777">
      <w:pPr>
        <w:pStyle w:val="Default"/>
        <w:ind w:left="720"/>
        <w:rPr>
          <w:rFonts w:ascii="Times New Roman" w:hAnsi="Times New Roman" w:cs="Times New Roman"/>
        </w:rPr>
      </w:pPr>
    </w:p>
    <w:p w:rsidRPr="00A25AC4" w:rsidR="00A25AC4" w:rsidP="00A25AC4" w:rsidRDefault="00A25AC4" w14:paraId="10529A3C" w14:textId="75E3A3CD">
      <w:pPr>
        <w:pStyle w:val="Default"/>
        <w:ind w:left="720"/>
        <w:rPr>
          <w:rFonts w:ascii="Times New Roman" w:hAnsi="Times New Roman" w:cs="Times New Roman"/>
        </w:rPr>
      </w:pPr>
      <w:r w:rsidRPr="00A25AC4">
        <w:rPr>
          <w:rFonts w:ascii="Times New Roman" w:hAnsi="Times New Roman" w:cs="Times New Roman"/>
        </w:rPr>
        <w:t xml:space="preserve">In response to the COVID-19 crisis, many state and localities have implemented physical distancing measures to arrest the spread of the disease. These health-related restrictions on the mobility of individuals make the changes in occupancy and dispositions required by § 701.36 extremely difficult. </w:t>
      </w:r>
      <w:r w:rsidR="008B1BB5">
        <w:rPr>
          <w:rFonts w:ascii="Times New Roman" w:hAnsi="Times New Roman" w:cs="Times New Roman"/>
        </w:rPr>
        <w:t xml:space="preserve"> Accordingly, NCUA </w:t>
      </w:r>
      <w:r w:rsidRPr="00A25AC4">
        <w:rPr>
          <w:rFonts w:ascii="Times New Roman" w:hAnsi="Times New Roman" w:cs="Times New Roman"/>
        </w:rPr>
        <w:t xml:space="preserve">is temporarily tolling the regulatory mandated timeframes. </w:t>
      </w:r>
      <w:r w:rsidR="008B1BB5">
        <w:rPr>
          <w:rFonts w:ascii="Times New Roman" w:hAnsi="Times New Roman" w:cs="Times New Roman"/>
        </w:rPr>
        <w:t xml:space="preserve"> </w:t>
      </w:r>
      <w:r w:rsidRPr="00A25AC4">
        <w:rPr>
          <w:rFonts w:ascii="Times New Roman" w:hAnsi="Times New Roman" w:cs="Times New Roman"/>
        </w:rPr>
        <w:t xml:space="preserve">This temporary change appropriately reflects the unique circumstances while maintaining consistency with the statutory provision as interpreted and implemented by the Board.  Any days that fall within the period commencing on the date of publication of the temporary rulemaking in the </w:t>
      </w:r>
      <w:r w:rsidRPr="00A25AC4">
        <w:rPr>
          <w:rFonts w:ascii="Times New Roman" w:hAnsi="Times New Roman" w:cs="Times New Roman"/>
          <w:i/>
          <w:iCs/>
        </w:rPr>
        <w:t>Federal Register</w:t>
      </w:r>
      <w:r w:rsidRPr="00A25AC4">
        <w:rPr>
          <w:rFonts w:ascii="Times New Roman" w:hAnsi="Times New Roman" w:cs="Times New Roman"/>
        </w:rPr>
        <w:t xml:space="preserve"> and concluding at the close of December 31, 2020, shall not be counted for purposes of determining an FCU’s compliance with the regulatory time periods. </w:t>
      </w:r>
    </w:p>
    <w:p w:rsidR="008B1BB5" w:rsidP="00A25AC4" w:rsidRDefault="008B1BB5" w14:paraId="4BF3BAE0" w14:textId="77777777">
      <w:pPr>
        <w:pStyle w:val="Default"/>
        <w:ind w:left="720"/>
        <w:rPr>
          <w:rFonts w:ascii="Times New Roman" w:hAnsi="Times New Roman" w:cs="Times New Roman"/>
        </w:rPr>
      </w:pPr>
    </w:p>
    <w:p w:rsidRPr="00A25AC4" w:rsidR="00A25AC4" w:rsidP="00A25AC4" w:rsidRDefault="00A25AC4" w14:paraId="6054FD5D" w14:textId="77777777">
      <w:pPr>
        <w:pStyle w:val="Default"/>
        <w:ind w:left="720"/>
        <w:rPr>
          <w:rFonts w:ascii="Times New Roman" w:hAnsi="Times New Roman" w:cs="Times New Roman"/>
        </w:rPr>
      </w:pPr>
      <w:r w:rsidRPr="00A25AC4">
        <w:rPr>
          <w:rFonts w:ascii="Times New Roman" w:hAnsi="Times New Roman" w:cs="Times New Roman"/>
        </w:rPr>
        <w:t>This temporary deferral will provide FCUs with additional flexibility to comply with the prescribed time periods, while still complying with the statutory and regulatory goals of ensuring that properties acquired or held by FCUs are used for credit union business.</w:t>
      </w:r>
    </w:p>
    <w:p w:rsidRPr="00631257" w:rsidR="000F1B6A" w:rsidP="006916B9" w:rsidRDefault="000F1B6A" w14:paraId="0938610F" w14:textId="77777777">
      <w:pPr>
        <w:pStyle w:val="ListParagraph"/>
        <w:tabs>
          <w:tab w:val="left" w:pos="720"/>
        </w:tabs>
        <w:suppressAutoHyphens/>
        <w:ind w:hanging="720"/>
      </w:pPr>
    </w:p>
    <w:p w:rsidR="003A0D60" w:rsidP="006916B9" w:rsidRDefault="003A0D60" w14:paraId="52F027AF" w14:textId="77777777">
      <w:pPr>
        <w:pStyle w:val="ListParagraph"/>
        <w:numPr>
          <w:ilvl w:val="0"/>
          <w:numId w:val="3"/>
        </w:numPr>
        <w:tabs>
          <w:tab w:val="left" w:pos="720"/>
        </w:tabs>
        <w:ind w:left="720" w:hanging="720"/>
        <w:rPr>
          <w:b/>
        </w:rPr>
      </w:pPr>
      <w:r w:rsidRPr="00E44F63">
        <w:rPr>
          <w:b/>
        </w:rPr>
        <w:t xml:space="preserve">Purpose and </w:t>
      </w:r>
      <w:r w:rsidR="00C7406B">
        <w:rPr>
          <w:b/>
        </w:rPr>
        <w:t>u</w:t>
      </w:r>
      <w:r w:rsidRPr="00E44F63">
        <w:rPr>
          <w:b/>
        </w:rPr>
        <w:t xml:space="preserve">se of the </w:t>
      </w:r>
      <w:r w:rsidR="00C7406B">
        <w:rPr>
          <w:b/>
        </w:rPr>
        <w:t>i</w:t>
      </w:r>
      <w:r w:rsidRPr="00E44F63">
        <w:rPr>
          <w:b/>
        </w:rPr>
        <w:t xml:space="preserve">nformation </w:t>
      </w:r>
      <w:r w:rsidR="00C7406B">
        <w:rPr>
          <w:b/>
        </w:rPr>
        <w:t>c</w:t>
      </w:r>
      <w:r w:rsidRPr="00E44F63">
        <w:rPr>
          <w:b/>
        </w:rPr>
        <w:t>ollection</w:t>
      </w:r>
      <w:r w:rsidR="00C7406B">
        <w:rPr>
          <w:b/>
        </w:rPr>
        <w:t>.</w:t>
      </w:r>
    </w:p>
    <w:p w:rsidR="004F2027" w:rsidP="00C7406B" w:rsidRDefault="004F2027" w14:paraId="622F36FE" w14:textId="77777777">
      <w:pPr>
        <w:pStyle w:val="ListParagraph"/>
        <w:tabs>
          <w:tab w:val="left" w:pos="720"/>
        </w:tabs>
      </w:pPr>
    </w:p>
    <w:p w:rsidRPr="00057157" w:rsidR="008B1BB5" w:rsidP="008B1BB5" w:rsidRDefault="004F2027" w14:paraId="485DA6FC" w14:textId="0D2AA033">
      <w:pPr>
        <w:pStyle w:val="ListParagraph"/>
        <w:tabs>
          <w:tab w:val="left" w:pos="720"/>
        </w:tabs>
        <w:suppressAutoHyphens/>
        <w:ind w:hanging="720"/>
      </w:pPr>
      <w:r>
        <w:tab/>
      </w:r>
      <w:r w:rsidRPr="00057157" w:rsidR="008B1BB5">
        <w:t xml:space="preserve">NCUA reviews the information contained within the waiver to determine if the proposed action would adversely affect the financial soundness of the credit union or pose a risk to the National Credit Union Share Insurance Fund (NCUSIF).  The ability to review actions which are not in compliance with Part 701.36 allows NCUA to provide appropriate oversight of the credit union and prevent risk to NCUSIF.  </w:t>
      </w:r>
    </w:p>
    <w:p w:rsidRPr="00057157" w:rsidR="008B1BB5" w:rsidP="008B1BB5" w:rsidRDefault="008B1BB5" w14:paraId="4BDBDCED" w14:textId="77777777">
      <w:pPr>
        <w:pStyle w:val="ListParagraph"/>
        <w:tabs>
          <w:tab w:val="left" w:pos="720"/>
        </w:tabs>
        <w:suppressAutoHyphens/>
        <w:ind w:hanging="720"/>
      </w:pPr>
    </w:p>
    <w:p w:rsidRPr="00057157" w:rsidR="008B1BB5" w:rsidP="008B1BB5" w:rsidRDefault="008B1BB5" w14:paraId="4CB73F99" w14:textId="312C1DAF">
      <w:pPr>
        <w:pStyle w:val="ListParagraph"/>
        <w:tabs>
          <w:tab w:val="left" w:pos="720"/>
        </w:tabs>
        <w:suppressAutoHyphens/>
        <w:ind w:hanging="720"/>
      </w:pPr>
      <w:r w:rsidRPr="00057157">
        <w:tab/>
        <w:t>The types of wavier covered under this section</w:t>
      </w:r>
      <w:r w:rsidRPr="00057157" w:rsidR="00AC3D79">
        <w:t xml:space="preserve"> are as follows.  Temporary deferrals put in place by the temporary rule will impact partial occupancy and disposal of abandoned property waivers.</w:t>
      </w:r>
    </w:p>
    <w:p w:rsidRPr="00057157" w:rsidR="008B1BB5" w:rsidP="008B1BB5" w:rsidRDefault="008B1BB5" w14:paraId="2D0F9FB5" w14:textId="77777777">
      <w:pPr>
        <w:pStyle w:val="Default"/>
        <w:rPr>
          <w:rFonts w:ascii="Times New Roman" w:hAnsi="Times New Roman" w:cs="Times New Roman"/>
        </w:rPr>
      </w:pPr>
    </w:p>
    <w:p w:rsidRPr="00057157" w:rsidR="008B1BB5" w:rsidP="00E05F70" w:rsidRDefault="008B1BB5" w14:paraId="7131F14E" w14:textId="13FB6D0F">
      <w:pPr>
        <w:pStyle w:val="Default"/>
        <w:numPr>
          <w:ilvl w:val="0"/>
          <w:numId w:val="19"/>
        </w:numPr>
        <w:rPr>
          <w:rFonts w:ascii="Times New Roman" w:hAnsi="Times New Roman" w:cs="Times New Roman"/>
        </w:rPr>
      </w:pPr>
      <w:r w:rsidRPr="00057157">
        <w:rPr>
          <w:rFonts w:ascii="Times New Roman" w:hAnsi="Times New Roman" w:cs="Times New Roman"/>
          <w:i/>
        </w:rPr>
        <w:t xml:space="preserve">Waiver of requirement for partial occupation.  </w:t>
      </w:r>
      <w:r w:rsidRPr="00057157">
        <w:rPr>
          <w:rFonts w:ascii="Times New Roman" w:hAnsi="Times New Roman" w:cs="Times New Roman"/>
        </w:rPr>
        <w:t xml:space="preserve">The occupancy rule requires FCUs that acquire realty for future expansion but fail to at least partially occupy it within three years, or within six years for unimproved real property, to obtain a waiver from NCUA.  This rule becomes operative only when FCUs decide to acquire real estate and not partially occupy it within the stated </w:t>
      </w:r>
      <w:proofErr w:type="gramStart"/>
      <w:r w:rsidRPr="00057157">
        <w:rPr>
          <w:rFonts w:ascii="Times New Roman" w:hAnsi="Times New Roman" w:cs="Times New Roman"/>
        </w:rPr>
        <w:t>period of time</w:t>
      </w:r>
      <w:proofErr w:type="gramEnd"/>
      <w:r w:rsidRPr="00057157">
        <w:rPr>
          <w:rFonts w:ascii="Times New Roman" w:hAnsi="Times New Roman" w:cs="Times New Roman"/>
        </w:rPr>
        <w:t xml:space="preserve">.  </w:t>
      </w:r>
    </w:p>
    <w:p w:rsidRPr="00057157" w:rsidR="003F5B39" w:rsidP="00E05F70" w:rsidRDefault="003F5B39" w14:paraId="240322B7" w14:textId="77777777">
      <w:pPr>
        <w:pStyle w:val="Default"/>
        <w:rPr>
          <w:rFonts w:ascii="Times New Roman" w:hAnsi="Times New Roman" w:cs="Times New Roman"/>
        </w:rPr>
      </w:pPr>
    </w:p>
    <w:p w:rsidRPr="00057157" w:rsidR="008B1BB5" w:rsidP="008B1BB5" w:rsidRDefault="008B1BB5" w14:paraId="2757972E" w14:textId="21590AF0">
      <w:pPr>
        <w:pStyle w:val="Default"/>
        <w:numPr>
          <w:ilvl w:val="0"/>
          <w:numId w:val="18"/>
        </w:numPr>
        <w:ind w:left="1080"/>
        <w:rPr>
          <w:rFonts w:ascii="Times New Roman" w:hAnsi="Times New Roman" w:cs="Times New Roman"/>
        </w:rPr>
      </w:pPr>
      <w:r w:rsidRPr="00057157">
        <w:rPr>
          <w:rFonts w:ascii="Times New Roman" w:hAnsi="Times New Roman" w:cs="Times New Roman"/>
          <w:i/>
        </w:rPr>
        <w:t>Waiver of requirement to dispose of abandoned property.</w:t>
      </w:r>
      <w:r w:rsidRPr="00057157">
        <w:rPr>
          <w:rFonts w:ascii="Times New Roman" w:hAnsi="Times New Roman" w:cs="Times New Roman"/>
        </w:rPr>
        <w:t xml:space="preserve">  The occupancy rule requires FCUs that abandon property and fail to complete the sale of the property within 5 years of abandonment to seek written approval from NCUA.  This rule becomes operative only when FCUs decide to abandon property and not complete the sale of the abandoned property within the stated period.  The Federal Credit Union Act does not permit FCUs to own real estate for purposes other than for providing financial services to members.   </w:t>
      </w:r>
    </w:p>
    <w:p w:rsidRPr="00057157" w:rsidR="008B1BB5" w:rsidP="008B1BB5" w:rsidRDefault="008B1BB5" w14:paraId="664F8B3D" w14:textId="77777777">
      <w:pPr>
        <w:pStyle w:val="Default"/>
        <w:ind w:left="1080" w:hanging="360"/>
        <w:rPr>
          <w:rFonts w:ascii="Times New Roman" w:hAnsi="Times New Roman" w:cs="Times New Roman"/>
        </w:rPr>
      </w:pPr>
    </w:p>
    <w:p w:rsidRPr="00057157" w:rsidR="008B1BB5" w:rsidP="008B1BB5" w:rsidRDefault="008B1BB5" w14:paraId="149D8099" w14:textId="5F4C11E4">
      <w:pPr>
        <w:pStyle w:val="Default"/>
        <w:numPr>
          <w:ilvl w:val="0"/>
          <w:numId w:val="18"/>
        </w:numPr>
        <w:ind w:left="1080"/>
        <w:rPr>
          <w:rFonts w:ascii="Times New Roman" w:hAnsi="Times New Roman" w:cs="Times New Roman"/>
        </w:rPr>
      </w:pPr>
      <w:r w:rsidRPr="00057157">
        <w:rPr>
          <w:rFonts w:ascii="Times New Roman" w:hAnsi="Times New Roman" w:cs="Times New Roman"/>
          <w:i/>
        </w:rPr>
        <w:t xml:space="preserve">Waiver of prohibited transaction.  </w:t>
      </w:r>
      <w:r w:rsidRPr="00057157">
        <w:rPr>
          <w:rFonts w:ascii="Times New Roman" w:hAnsi="Times New Roman" w:cs="Times New Roman"/>
        </w:rPr>
        <w:t xml:space="preserve">The occupancy rule requires FCUs to obtain written approval from NCUA before acquiring or leasing, for one year or longer, realty from prohibited parties.  This rule becomes operative only when FCUs decide to acquire real estate from a prohibited party.  This part of the information requirement is submitted for approval. The Federal Credit Union Act does not permit FCUs to own real estate for purposes other than for providing financial services to members. </w:t>
      </w:r>
    </w:p>
    <w:p w:rsidRPr="00057157" w:rsidR="00A1541A" w:rsidP="006916B9" w:rsidRDefault="00A1541A" w14:paraId="795B3476" w14:textId="77777777">
      <w:pPr>
        <w:pStyle w:val="ListParagraph"/>
        <w:tabs>
          <w:tab w:val="left" w:pos="720"/>
        </w:tabs>
        <w:ind w:hanging="720"/>
      </w:pPr>
    </w:p>
    <w:p w:rsidR="006D004E" w:rsidP="00A1541A" w:rsidRDefault="007662E8" w14:paraId="3AF88CA0" w14:textId="77777777">
      <w:pPr>
        <w:pStyle w:val="ListParagraph"/>
        <w:tabs>
          <w:tab w:val="left" w:pos="720"/>
        </w:tabs>
      </w:pPr>
      <w:r w:rsidRPr="00057157">
        <w:t>NCUA reviews the information contained within the waiver to determine if the action would adversely affect the financial soundness of the credit union or pose a risk to the National Credit Union Share Insurance Fund (NCUSIF).  NCUA responds to waivers by either granting the request to operate outside of Part 701.36, by denying the request or otherwise compromising to meet the needs of the credit union without raising safety and soundness concerns.</w:t>
      </w:r>
    </w:p>
    <w:p w:rsidR="006D004E" w:rsidP="006916B9" w:rsidRDefault="006D004E" w14:paraId="6C37B668" w14:textId="77777777">
      <w:pPr>
        <w:pStyle w:val="ListParagraph"/>
        <w:tabs>
          <w:tab w:val="left" w:pos="720"/>
        </w:tabs>
        <w:ind w:hanging="720"/>
      </w:pPr>
    </w:p>
    <w:p w:rsidR="003A0D60" w:rsidP="006916B9" w:rsidRDefault="00C7406B" w14:paraId="305D9D48" w14:textId="77777777">
      <w:pPr>
        <w:pStyle w:val="ListParagraph"/>
        <w:numPr>
          <w:ilvl w:val="0"/>
          <w:numId w:val="3"/>
        </w:numPr>
        <w:tabs>
          <w:tab w:val="left" w:pos="720"/>
        </w:tabs>
        <w:ind w:left="720" w:hanging="720"/>
        <w:rPr>
          <w:b/>
        </w:rPr>
      </w:pPr>
      <w:r>
        <w:rPr>
          <w:b/>
        </w:rPr>
        <w:t>Use of i</w:t>
      </w:r>
      <w:r w:rsidRPr="00E44F63" w:rsidR="003A0D60">
        <w:rPr>
          <w:b/>
        </w:rPr>
        <w:t xml:space="preserve">nformation </w:t>
      </w:r>
      <w:r>
        <w:rPr>
          <w:b/>
        </w:rPr>
        <w:t>t</w:t>
      </w:r>
      <w:r w:rsidRPr="00E44F63" w:rsidR="003A0D60">
        <w:rPr>
          <w:b/>
        </w:rPr>
        <w:t>echnology</w:t>
      </w:r>
      <w:r>
        <w:rPr>
          <w:b/>
        </w:rPr>
        <w:t>.</w:t>
      </w:r>
    </w:p>
    <w:p w:rsidR="004F2027" w:rsidP="00C7406B" w:rsidRDefault="004F2027" w14:paraId="1267A368" w14:textId="77777777">
      <w:pPr>
        <w:pStyle w:val="ListParagraph"/>
        <w:tabs>
          <w:tab w:val="left" w:pos="720"/>
        </w:tabs>
        <w:suppressAutoHyphens/>
      </w:pPr>
    </w:p>
    <w:p w:rsidR="00497E15" w:rsidP="006916B9" w:rsidRDefault="004F2027" w14:paraId="2CF494DD" w14:textId="77777777">
      <w:pPr>
        <w:pStyle w:val="ListParagraph"/>
        <w:tabs>
          <w:tab w:val="left" w:pos="720"/>
        </w:tabs>
        <w:suppressAutoHyphens/>
        <w:ind w:hanging="720"/>
      </w:pPr>
      <w:r>
        <w:tab/>
      </w:r>
      <w:r w:rsidR="00497E15">
        <w:t>The information collection associated with Part 701.36 of NCUA Rules and Regulations would not em</w:t>
      </w:r>
      <w:r w:rsidR="006D004E">
        <w:t xml:space="preserve">ploy </w:t>
      </w:r>
      <w:r w:rsidR="00497E15">
        <w:t>information technology</w:t>
      </w:r>
      <w:r w:rsidR="00545BEC">
        <w:t>, beyond permission submission via e</w:t>
      </w:r>
      <w:r w:rsidR="006D004E">
        <w:t xml:space="preserve">lectronic </w:t>
      </w:r>
      <w:r w:rsidR="00545BEC">
        <w:t>mail</w:t>
      </w:r>
      <w:r w:rsidR="00497E15">
        <w:t>.  The waiver requirement is fundamentally manual, since the waiver request must be specifi</w:t>
      </w:r>
      <w:r w:rsidR="006D004E">
        <w:t xml:space="preserve">c and unique to the requestor. </w:t>
      </w:r>
    </w:p>
    <w:p w:rsidRPr="00E44F63" w:rsidR="000F1B6A" w:rsidP="006916B9" w:rsidRDefault="000F1B6A" w14:paraId="3DFFB216" w14:textId="77777777">
      <w:pPr>
        <w:tabs>
          <w:tab w:val="left" w:pos="720"/>
        </w:tabs>
        <w:suppressAutoHyphens/>
        <w:ind w:left="720" w:hanging="720"/>
      </w:pPr>
    </w:p>
    <w:p w:rsidRPr="00E44F63" w:rsidR="003A0D60" w:rsidP="006916B9" w:rsidRDefault="003A0D60" w14:paraId="155FBAA1" w14:textId="77777777">
      <w:pPr>
        <w:pStyle w:val="ListParagraph"/>
        <w:numPr>
          <w:ilvl w:val="0"/>
          <w:numId w:val="3"/>
        </w:numPr>
        <w:tabs>
          <w:tab w:val="left" w:pos="720"/>
        </w:tabs>
        <w:ind w:left="720" w:hanging="720"/>
        <w:rPr>
          <w:b/>
        </w:rPr>
      </w:pPr>
      <w:r w:rsidRPr="00E44F63">
        <w:rPr>
          <w:b/>
        </w:rPr>
        <w:t>Duplication</w:t>
      </w:r>
      <w:r w:rsidR="00C7406B">
        <w:rPr>
          <w:b/>
        </w:rPr>
        <w:t xml:space="preserve"> of information.</w:t>
      </w:r>
      <w:r w:rsidRPr="00E44F63">
        <w:rPr>
          <w:b/>
        </w:rPr>
        <w:t xml:space="preserve"> </w:t>
      </w:r>
    </w:p>
    <w:p w:rsidR="004F2027" w:rsidP="00C7406B" w:rsidRDefault="004F2027" w14:paraId="148774A7" w14:textId="77777777">
      <w:pPr>
        <w:pStyle w:val="ListParagraph"/>
        <w:tabs>
          <w:tab w:val="left" w:pos="720"/>
        </w:tabs>
        <w:suppressAutoHyphens/>
      </w:pPr>
    </w:p>
    <w:p w:rsidR="003A0D60" w:rsidP="006916B9" w:rsidRDefault="004F2027" w14:paraId="2B92ED0E" w14:textId="77777777">
      <w:pPr>
        <w:pStyle w:val="ListParagraph"/>
        <w:tabs>
          <w:tab w:val="left" w:pos="720"/>
        </w:tabs>
        <w:suppressAutoHyphens/>
        <w:ind w:hanging="720"/>
      </w:pPr>
      <w:r>
        <w:tab/>
      </w:r>
      <w:r w:rsidR="00413E7A">
        <w:t xml:space="preserve">There is no duplication of information collection.  </w:t>
      </w:r>
    </w:p>
    <w:p w:rsidRPr="00631257" w:rsidR="000F1B6A" w:rsidP="006916B9" w:rsidRDefault="000F1B6A" w14:paraId="3E9D0961" w14:textId="77777777">
      <w:pPr>
        <w:pStyle w:val="ListParagraph"/>
        <w:tabs>
          <w:tab w:val="left" w:pos="720"/>
        </w:tabs>
        <w:suppressAutoHyphens/>
        <w:ind w:hanging="720"/>
      </w:pPr>
    </w:p>
    <w:p w:rsidRPr="00E44F63" w:rsidR="003A0D60" w:rsidP="006916B9" w:rsidRDefault="003A0D60" w14:paraId="297D992B" w14:textId="77777777">
      <w:pPr>
        <w:pStyle w:val="ListParagraph"/>
        <w:numPr>
          <w:ilvl w:val="0"/>
          <w:numId w:val="3"/>
        </w:numPr>
        <w:tabs>
          <w:tab w:val="left" w:pos="720"/>
        </w:tabs>
        <w:ind w:left="720" w:hanging="720"/>
        <w:rPr>
          <w:b/>
        </w:rPr>
      </w:pPr>
      <w:r>
        <w:rPr>
          <w:b/>
        </w:rPr>
        <w:t xml:space="preserve">Effect </w:t>
      </w:r>
      <w:r w:rsidRPr="00E44F63">
        <w:rPr>
          <w:b/>
        </w:rPr>
        <w:t>on Small Entities</w:t>
      </w:r>
    </w:p>
    <w:p w:rsidR="004F2027" w:rsidP="00C7406B" w:rsidRDefault="004F2027" w14:paraId="5269D2AC" w14:textId="77777777">
      <w:pPr>
        <w:pStyle w:val="ListParagraph"/>
        <w:tabs>
          <w:tab w:val="left" w:pos="720"/>
        </w:tabs>
        <w:suppressAutoHyphens/>
      </w:pPr>
    </w:p>
    <w:p w:rsidR="00363B26" w:rsidP="007E401A" w:rsidRDefault="004F2027" w14:paraId="54032898" w14:textId="0F425568">
      <w:pPr>
        <w:pStyle w:val="ListParagraph"/>
        <w:tabs>
          <w:tab w:val="left" w:pos="720"/>
        </w:tabs>
        <w:suppressAutoHyphens/>
        <w:ind w:hanging="720"/>
      </w:pPr>
      <w:r>
        <w:tab/>
      </w:r>
      <w:r w:rsidRPr="004F2027" w:rsidR="00A95941">
        <w:t>The</w:t>
      </w:r>
      <w:r w:rsidRPr="004F2027" w:rsidR="003A0D60">
        <w:t xml:space="preserve"> collection of information</w:t>
      </w:r>
      <w:r>
        <w:t xml:space="preserve"> is less likely to have a significant</w:t>
      </w:r>
      <w:r w:rsidRPr="004F2027" w:rsidR="003A0D60">
        <w:t xml:space="preserve"> </w:t>
      </w:r>
      <w:r>
        <w:t>impact on</w:t>
      </w:r>
      <w:r w:rsidR="00E620B8">
        <w:t xml:space="preserve"> </w:t>
      </w:r>
      <w:r w:rsidRPr="004F2027" w:rsidR="003A0D60">
        <w:t>small businesses or other small entities</w:t>
      </w:r>
      <w:r w:rsidR="00E620B8">
        <w:t xml:space="preserve">. </w:t>
      </w:r>
      <w:r w:rsidRPr="004F2027" w:rsidR="00B3209E">
        <w:t xml:space="preserve">These entities would only be required to submit information if they made strategic decisions to operate outside of current occupancy guidelines and </w:t>
      </w:r>
      <w:r>
        <w:t>would be</w:t>
      </w:r>
      <w:r w:rsidRPr="004F2027" w:rsidR="00B3209E">
        <w:t xml:space="preserve"> required to draft a plan or submit a waiver to NCUA.  Therefore, if the entity operates within guidelines, there are options to avoid information collection.  </w:t>
      </w:r>
      <w:proofErr w:type="gramStart"/>
      <w:r w:rsidRPr="004F2027" w:rsidR="00B3209E">
        <w:t>The majority of</w:t>
      </w:r>
      <w:proofErr w:type="gramEnd"/>
      <w:r w:rsidRPr="004F2027" w:rsidR="00B3209E">
        <w:t xml:space="preserve"> credit unions, large and small, would not be expected to submit information each year.  NCUA estimates </w:t>
      </w:r>
      <w:r w:rsidRPr="004F2027" w:rsidR="006A13C5">
        <w:t xml:space="preserve">that significantly fewer than </w:t>
      </w:r>
      <w:r w:rsidRPr="004F2027" w:rsidR="00B3209E">
        <w:t xml:space="preserve">1% of credit unions would </w:t>
      </w:r>
      <w:r w:rsidRPr="004F2027" w:rsidR="006A13C5">
        <w:t>request a waiver to any of the three requirements in any particular year.</w:t>
      </w:r>
      <w:r w:rsidR="002A42C3">
        <w:t xml:space="preserve"> </w:t>
      </w:r>
    </w:p>
    <w:p w:rsidR="007E401A" w:rsidP="007E401A" w:rsidRDefault="007E401A" w14:paraId="7ED32456" w14:textId="0525E1DE">
      <w:pPr>
        <w:pStyle w:val="ListParagraph"/>
        <w:tabs>
          <w:tab w:val="left" w:pos="720"/>
        </w:tabs>
        <w:suppressAutoHyphens/>
        <w:ind w:hanging="720"/>
      </w:pPr>
    </w:p>
    <w:p w:rsidRPr="00E44F63" w:rsidR="003A0D60" w:rsidP="006916B9" w:rsidRDefault="003A0D60" w14:paraId="18393D24" w14:textId="77777777">
      <w:pPr>
        <w:pStyle w:val="ListParagraph"/>
        <w:numPr>
          <w:ilvl w:val="0"/>
          <w:numId w:val="3"/>
        </w:numPr>
        <w:tabs>
          <w:tab w:val="left" w:pos="720"/>
        </w:tabs>
        <w:ind w:left="720" w:hanging="720"/>
        <w:rPr>
          <w:b/>
        </w:rPr>
      </w:pPr>
      <w:r w:rsidRPr="00E44F63">
        <w:rPr>
          <w:b/>
        </w:rPr>
        <w:t xml:space="preserve">Consequences of </w:t>
      </w:r>
      <w:r w:rsidR="00C7406B">
        <w:rPr>
          <w:b/>
        </w:rPr>
        <w:t>n</w:t>
      </w:r>
      <w:r w:rsidRPr="00E44F63">
        <w:rPr>
          <w:b/>
        </w:rPr>
        <w:t xml:space="preserve">ot </w:t>
      </w:r>
      <w:r w:rsidR="00C7406B">
        <w:rPr>
          <w:b/>
        </w:rPr>
        <w:t>c</w:t>
      </w:r>
      <w:r w:rsidRPr="00E44F63">
        <w:rPr>
          <w:b/>
        </w:rPr>
        <w:t xml:space="preserve">onducting </w:t>
      </w:r>
      <w:r w:rsidR="00C7406B">
        <w:rPr>
          <w:b/>
        </w:rPr>
        <w:t>c</w:t>
      </w:r>
      <w:r w:rsidRPr="00E44F63">
        <w:rPr>
          <w:b/>
        </w:rPr>
        <w:t xml:space="preserve">ollection </w:t>
      </w:r>
    </w:p>
    <w:p w:rsidR="004F2027" w:rsidP="00C7406B" w:rsidRDefault="004F2027" w14:paraId="66EB5376" w14:textId="77777777">
      <w:pPr>
        <w:pStyle w:val="ListParagraph"/>
        <w:tabs>
          <w:tab w:val="left" w:pos="720"/>
        </w:tabs>
        <w:suppressAutoHyphens/>
      </w:pPr>
    </w:p>
    <w:p w:rsidR="003A0D60" w:rsidP="006916B9" w:rsidRDefault="004F2027" w14:paraId="6CEDB759" w14:textId="77777777">
      <w:pPr>
        <w:pStyle w:val="ListParagraph"/>
        <w:tabs>
          <w:tab w:val="left" w:pos="720"/>
        </w:tabs>
        <w:suppressAutoHyphens/>
        <w:ind w:hanging="720"/>
      </w:pPr>
      <w:r>
        <w:tab/>
      </w:r>
      <w:r w:rsidR="00A95941">
        <w:t>These requirements are necessary to allow the NCUA to supervise federal credit union</w:t>
      </w:r>
      <w:r w:rsidR="00B3209E">
        <w:t>s for compliance with the Federal Credit Union Act</w:t>
      </w:r>
      <w:r w:rsidR="008125F4">
        <w:t xml:space="preserve"> (FCU Act), </w:t>
      </w:r>
      <w:r w:rsidR="00B3209E">
        <w:t xml:space="preserve">which authorizes federal credit unions to purchase, hold, and dispose of property necessary or incidental to its operations.  </w:t>
      </w:r>
      <w:r w:rsidR="008125F4">
        <w:t>If the information is not collected, the consequence would be that NCUA would be unable to assess compliance with the FCU Act.</w:t>
      </w:r>
    </w:p>
    <w:p w:rsidRPr="00E44F63" w:rsidR="003A0D60" w:rsidP="006916B9" w:rsidRDefault="003A0D60" w14:paraId="769FB73B" w14:textId="77777777">
      <w:pPr>
        <w:tabs>
          <w:tab w:val="left" w:pos="720"/>
        </w:tabs>
        <w:ind w:left="720" w:hanging="720"/>
      </w:pPr>
    </w:p>
    <w:p w:rsidR="003A0D60" w:rsidP="006916B9" w:rsidRDefault="003A0D60" w14:paraId="684553D5" w14:textId="77777777">
      <w:pPr>
        <w:pStyle w:val="ListParagraph"/>
        <w:numPr>
          <w:ilvl w:val="0"/>
          <w:numId w:val="3"/>
        </w:numPr>
        <w:tabs>
          <w:tab w:val="left" w:pos="720"/>
        </w:tabs>
        <w:ind w:left="720" w:hanging="720"/>
        <w:rPr>
          <w:b/>
        </w:rPr>
      </w:pPr>
      <w:r>
        <w:rPr>
          <w:b/>
        </w:rPr>
        <w:t>Inconsistencies with Guidelines in 5 CFR 1320.5(d)(2)</w:t>
      </w:r>
      <w:r w:rsidR="00C7406B">
        <w:rPr>
          <w:b/>
        </w:rPr>
        <w:t>.</w:t>
      </w:r>
    </w:p>
    <w:p w:rsidRPr="00B70BC0" w:rsidR="003A0D60" w:rsidP="006916B9" w:rsidRDefault="006916B9" w14:paraId="46AE06E4" w14:textId="77777777">
      <w:pPr>
        <w:pStyle w:val="ListParagraph"/>
        <w:tabs>
          <w:tab w:val="left" w:pos="720"/>
        </w:tabs>
        <w:ind w:hanging="720"/>
      </w:pPr>
      <w:r>
        <w:tab/>
      </w:r>
      <w:r w:rsidR="003A0D60">
        <w:t xml:space="preserve">There are no special circumstances. This collection is consistent with the guidelines in 5 CFR </w:t>
      </w:r>
      <w:r w:rsidR="0002685E">
        <w:t>1320.5(d)(2).</w:t>
      </w:r>
    </w:p>
    <w:p w:rsidRPr="00E44F63" w:rsidR="000F1B6A" w:rsidP="006916B9" w:rsidRDefault="000F1B6A" w14:paraId="1D4B43FA" w14:textId="77777777">
      <w:pPr>
        <w:pStyle w:val="ListParagraph"/>
        <w:tabs>
          <w:tab w:val="left" w:pos="720"/>
        </w:tabs>
        <w:ind w:hanging="720"/>
        <w:rPr>
          <w:b/>
        </w:rPr>
      </w:pPr>
    </w:p>
    <w:p w:rsidR="006549EA" w:rsidP="006549EA" w:rsidRDefault="00C7406B" w14:paraId="6B7B9DEB" w14:textId="77777777">
      <w:pPr>
        <w:pStyle w:val="ListParagraph"/>
        <w:numPr>
          <w:ilvl w:val="0"/>
          <w:numId w:val="3"/>
        </w:numPr>
        <w:tabs>
          <w:tab w:val="left" w:pos="720"/>
        </w:tabs>
        <w:ind w:left="720" w:hanging="720"/>
        <w:rPr>
          <w:b/>
        </w:rPr>
      </w:pPr>
      <w:r>
        <w:rPr>
          <w:b/>
        </w:rPr>
        <w:t>Efforts to consult with persons outside the agency.</w:t>
      </w:r>
    </w:p>
    <w:p w:rsidR="00D33ADF" w:rsidP="00C7406B" w:rsidRDefault="00D33ADF" w14:paraId="006620E2" w14:textId="77777777">
      <w:pPr>
        <w:ind w:left="720"/>
        <w:rPr>
          <w:highlight w:val="yellow"/>
        </w:rPr>
      </w:pPr>
    </w:p>
    <w:p w:rsidRPr="006F235E" w:rsidR="00C7406B" w:rsidP="007E401A" w:rsidRDefault="00615942" w14:paraId="69082FC7" w14:textId="0B3466F4">
      <w:pPr>
        <w:ind w:left="720"/>
      </w:pPr>
      <w:r>
        <w:t>A 60-day notice was published in the Federal Register on June 10, 2020 at 85 FR 35444, soliciting comments from the public. No public comments were received on this information collection.</w:t>
      </w:r>
      <w:r w:rsidR="00C7406B">
        <w:t xml:space="preserve"> </w:t>
      </w:r>
    </w:p>
    <w:p w:rsidR="006549EA" w:rsidP="009F36D3" w:rsidRDefault="006549EA" w14:paraId="7A1DCF8A" w14:textId="77777777">
      <w:pPr>
        <w:tabs>
          <w:tab w:val="left" w:pos="720"/>
        </w:tabs>
        <w:ind w:left="720"/>
      </w:pPr>
    </w:p>
    <w:p w:rsidRPr="00E44F63" w:rsidR="003A0D60" w:rsidP="006916B9" w:rsidRDefault="003A0D60" w14:paraId="64AFDF16" w14:textId="77777777">
      <w:pPr>
        <w:pStyle w:val="ListParagraph"/>
        <w:numPr>
          <w:ilvl w:val="0"/>
          <w:numId w:val="3"/>
        </w:numPr>
        <w:tabs>
          <w:tab w:val="left" w:pos="720"/>
        </w:tabs>
        <w:ind w:left="720" w:hanging="720"/>
        <w:rPr>
          <w:b/>
        </w:rPr>
      </w:pPr>
      <w:r w:rsidRPr="00E44F63">
        <w:rPr>
          <w:b/>
        </w:rPr>
        <w:t xml:space="preserve">Payment or </w:t>
      </w:r>
      <w:r w:rsidR="00D33ADF">
        <w:rPr>
          <w:b/>
        </w:rPr>
        <w:t>g</w:t>
      </w:r>
      <w:r w:rsidRPr="00E44F63">
        <w:rPr>
          <w:b/>
        </w:rPr>
        <w:t>ift</w:t>
      </w:r>
      <w:r w:rsidR="00D33ADF">
        <w:rPr>
          <w:b/>
        </w:rPr>
        <w:t xml:space="preserve"> to respondents.</w:t>
      </w:r>
    </w:p>
    <w:p w:rsidR="00D33ADF" w:rsidP="00D33ADF" w:rsidRDefault="00D33ADF" w14:paraId="4A0E35DE" w14:textId="77777777">
      <w:pPr>
        <w:tabs>
          <w:tab w:val="left" w:pos="720"/>
        </w:tabs>
        <w:suppressAutoHyphens/>
        <w:ind w:left="720"/>
      </w:pPr>
    </w:p>
    <w:p w:rsidR="006923ED" w:rsidP="00D33ADF" w:rsidRDefault="00D33ADF" w14:paraId="1E356E8D" w14:textId="77777777">
      <w:pPr>
        <w:tabs>
          <w:tab w:val="left" w:pos="585"/>
          <w:tab w:val="left" w:pos="720"/>
        </w:tabs>
        <w:suppressAutoHyphens/>
        <w:ind w:left="720" w:hanging="720"/>
      </w:pPr>
      <w:r>
        <w:tab/>
      </w:r>
      <w:r>
        <w:tab/>
      </w:r>
      <w:r w:rsidR="006923ED">
        <w:t>There is no payment or g</w:t>
      </w:r>
      <w:r w:rsidR="00170206">
        <w:t>ifts provided to respondents</w:t>
      </w:r>
      <w:r w:rsidR="00B9392F">
        <w:t>.</w:t>
      </w:r>
      <w:r w:rsidR="006923ED">
        <w:t xml:space="preserve"> </w:t>
      </w:r>
      <w:r w:rsidR="004D0FCD">
        <w:t xml:space="preserve"> </w:t>
      </w:r>
    </w:p>
    <w:p w:rsidRPr="00E44F63" w:rsidR="003A0D60" w:rsidP="006916B9" w:rsidRDefault="003A0D60" w14:paraId="02DED617" w14:textId="77777777">
      <w:pPr>
        <w:tabs>
          <w:tab w:val="left" w:pos="1440"/>
        </w:tabs>
        <w:ind w:left="1440" w:hanging="720"/>
      </w:pPr>
    </w:p>
    <w:p w:rsidRPr="00AC2EA0" w:rsidR="006923ED" w:rsidP="006916B9" w:rsidRDefault="00D33ADF" w14:paraId="39C7F30B" w14:textId="77777777">
      <w:pPr>
        <w:pStyle w:val="ListParagraph"/>
        <w:numPr>
          <w:ilvl w:val="0"/>
          <w:numId w:val="3"/>
        </w:numPr>
        <w:tabs>
          <w:tab w:val="left" w:pos="720"/>
        </w:tabs>
        <w:ind w:left="720" w:hanging="720"/>
        <w:rPr>
          <w:b/>
        </w:rPr>
      </w:pPr>
      <w:r>
        <w:rPr>
          <w:b/>
        </w:rPr>
        <w:t>Assurance of c</w:t>
      </w:r>
      <w:r w:rsidRPr="00E44F63" w:rsidR="003A0D60">
        <w:rPr>
          <w:b/>
        </w:rPr>
        <w:t>onfidentiality</w:t>
      </w:r>
      <w:r w:rsidR="005B3254">
        <w:rPr>
          <w:b/>
        </w:rPr>
        <w:t>.</w:t>
      </w:r>
      <w:r w:rsidRPr="00E44F63" w:rsidR="003A0D60">
        <w:rPr>
          <w:b/>
        </w:rPr>
        <w:t xml:space="preserve"> </w:t>
      </w:r>
    </w:p>
    <w:p w:rsidR="00D33ADF" w:rsidP="00D33ADF" w:rsidRDefault="00D33ADF" w14:paraId="46C3B9CD" w14:textId="77777777">
      <w:pPr>
        <w:tabs>
          <w:tab w:val="left" w:pos="720"/>
        </w:tabs>
        <w:suppressAutoHyphens/>
        <w:ind w:left="720"/>
      </w:pPr>
    </w:p>
    <w:p w:rsidR="006923ED" w:rsidP="005B3254" w:rsidRDefault="005B3254" w14:paraId="5DBBBEEB" w14:textId="77777777">
      <w:pPr>
        <w:tabs>
          <w:tab w:val="left" w:pos="720"/>
        </w:tabs>
        <w:suppressAutoHyphens/>
        <w:ind w:left="720"/>
      </w:pPr>
      <w:r>
        <w:t>There is no assurance of confidentiality other than that provided by law</w:t>
      </w:r>
      <w:r w:rsidR="00AC2EA0">
        <w:t>.</w:t>
      </w:r>
    </w:p>
    <w:p w:rsidRPr="00E44F63" w:rsidR="003A0D60" w:rsidP="006916B9" w:rsidRDefault="003A0D60" w14:paraId="06982839" w14:textId="77777777">
      <w:pPr>
        <w:tabs>
          <w:tab w:val="left" w:pos="720"/>
        </w:tabs>
        <w:suppressAutoHyphens/>
        <w:ind w:left="720" w:hanging="720"/>
      </w:pPr>
    </w:p>
    <w:p w:rsidRPr="00E44F63" w:rsidR="003A0D60" w:rsidP="006916B9" w:rsidRDefault="005B3254" w14:paraId="164BC6EF" w14:textId="77777777">
      <w:pPr>
        <w:pStyle w:val="ListParagraph"/>
        <w:numPr>
          <w:ilvl w:val="0"/>
          <w:numId w:val="3"/>
        </w:numPr>
        <w:tabs>
          <w:tab w:val="left" w:pos="720"/>
        </w:tabs>
        <w:ind w:left="720" w:hanging="720"/>
        <w:rPr>
          <w:b/>
        </w:rPr>
      </w:pPr>
      <w:r>
        <w:rPr>
          <w:b/>
        </w:rPr>
        <w:t>Questions of a sensitive nature.</w:t>
      </w:r>
    </w:p>
    <w:p w:rsidR="005B3254" w:rsidP="005B3254" w:rsidRDefault="005B3254" w14:paraId="741B8973" w14:textId="77777777">
      <w:pPr>
        <w:pStyle w:val="ListParagraph"/>
        <w:tabs>
          <w:tab w:val="left" w:pos="720"/>
        </w:tabs>
        <w:suppressAutoHyphens/>
      </w:pPr>
    </w:p>
    <w:p w:rsidR="003A0D60" w:rsidP="006916B9" w:rsidRDefault="005B3254" w14:paraId="5F74FDAE" w14:textId="77777777">
      <w:pPr>
        <w:pStyle w:val="ListParagraph"/>
        <w:tabs>
          <w:tab w:val="left" w:pos="720"/>
        </w:tabs>
        <w:suppressAutoHyphens/>
        <w:ind w:hanging="720"/>
      </w:pPr>
      <w:r>
        <w:tab/>
      </w:r>
      <w:r w:rsidRPr="00891304" w:rsidR="003A0D60">
        <w:rPr>
          <w:spacing w:val="-3"/>
        </w:rPr>
        <w:t>No questions of a sensitive nature are asked.</w:t>
      </w:r>
      <w:r w:rsidR="003A0D60">
        <w:rPr>
          <w:spacing w:val="-3"/>
        </w:rPr>
        <w:t xml:space="preserve">  </w:t>
      </w:r>
      <w:r w:rsidR="00170206">
        <w:t>No</w:t>
      </w:r>
      <w:r w:rsidR="003A0D60">
        <w:t xml:space="preserve"> </w:t>
      </w:r>
      <w:r w:rsidR="00170206">
        <w:t>personally identifiable information (PII) is collected.</w:t>
      </w:r>
    </w:p>
    <w:p w:rsidRPr="00DB18FA" w:rsidR="003A0D60" w:rsidP="006916B9" w:rsidRDefault="003A0D60" w14:paraId="2634F49F" w14:textId="77777777">
      <w:pPr>
        <w:tabs>
          <w:tab w:val="left" w:pos="720"/>
        </w:tabs>
        <w:ind w:left="720" w:hanging="720"/>
        <w:rPr>
          <w:i/>
        </w:rPr>
      </w:pPr>
    </w:p>
    <w:p w:rsidR="003A0D60" w:rsidP="006916B9" w:rsidRDefault="003A0D60" w14:paraId="58994DA1" w14:textId="77777777">
      <w:pPr>
        <w:pStyle w:val="ListParagraph"/>
        <w:numPr>
          <w:ilvl w:val="0"/>
          <w:numId w:val="3"/>
        </w:numPr>
        <w:tabs>
          <w:tab w:val="left" w:pos="720"/>
        </w:tabs>
        <w:ind w:left="720" w:hanging="720"/>
        <w:rPr>
          <w:b/>
        </w:rPr>
      </w:pPr>
      <w:r w:rsidRPr="00E44F63">
        <w:rPr>
          <w:b/>
        </w:rPr>
        <w:t>Burden of Information Collection</w:t>
      </w:r>
      <w:r w:rsidR="005B3254">
        <w:rPr>
          <w:b/>
        </w:rPr>
        <w:t>.</w:t>
      </w:r>
    </w:p>
    <w:p w:rsidR="005B3254" w:rsidP="005B3254" w:rsidRDefault="005B3254" w14:paraId="0C43F97A" w14:textId="77777777">
      <w:pPr>
        <w:tabs>
          <w:tab w:val="left" w:pos="720"/>
        </w:tabs>
        <w:rPr>
          <w:b/>
        </w:rPr>
      </w:pPr>
    </w:p>
    <w:p w:rsidRPr="00AC3D79" w:rsidR="007E401A" w:rsidP="00AC3D79" w:rsidRDefault="005B3254" w14:paraId="7AAC0A64" w14:textId="3CDCE8CE">
      <w:pPr>
        <w:tabs>
          <w:tab w:val="left" w:pos="720"/>
        </w:tabs>
        <w:ind w:left="720"/>
      </w:pPr>
      <w:r w:rsidRPr="00AC3D79">
        <w:t xml:space="preserve">NCUA will be suspending the time limit assigned to partial </w:t>
      </w:r>
      <w:r w:rsidRPr="004901EC" w:rsidR="004901EC">
        <w:t>occupancy</w:t>
      </w:r>
      <w:r w:rsidRPr="00AC3D79">
        <w:t>, disposal of abandoned property, and advertisement of the sale of abandoned property, that falls on the date</w:t>
      </w:r>
      <w:r w:rsidR="004901EC">
        <w:t xml:space="preserve"> of the publication of this rule through December 31, 2020; not to begin until January 1, 2021. </w:t>
      </w:r>
      <w:r w:rsidR="00AC3D79">
        <w:t xml:space="preserve"> </w:t>
      </w:r>
      <w:r w:rsidR="004901EC">
        <w:t>The suspension of time requirements will eliminate the need for a waiver during this period for a reduction of 305 burden hours; for a total of 30 burden hours requested.</w:t>
      </w:r>
    </w:p>
    <w:p w:rsidR="003A0D60" w:rsidP="006916B9" w:rsidRDefault="003A0D60" w14:paraId="240D88DD" w14:textId="77777777">
      <w:pPr>
        <w:pStyle w:val="ListParagraph"/>
        <w:tabs>
          <w:tab w:val="left" w:pos="720"/>
        </w:tabs>
        <w:ind w:hanging="720"/>
      </w:pPr>
    </w:p>
    <w:tbl>
      <w:tblPr>
        <w:tblW w:w="5000" w:type="pct"/>
        <w:tblLook w:val="04A0" w:firstRow="1" w:lastRow="0" w:firstColumn="1" w:lastColumn="0" w:noHBand="0" w:noVBand="1"/>
      </w:tblPr>
      <w:tblGrid>
        <w:gridCol w:w="1222"/>
        <w:gridCol w:w="1366"/>
        <w:gridCol w:w="936"/>
        <w:gridCol w:w="990"/>
        <w:gridCol w:w="924"/>
        <w:gridCol w:w="873"/>
        <w:gridCol w:w="807"/>
        <w:gridCol w:w="640"/>
        <w:gridCol w:w="778"/>
        <w:gridCol w:w="814"/>
      </w:tblGrid>
      <w:tr w:rsidRPr="005B705A" w:rsidR="00AC3D79" w:rsidTr="007E401A" w14:paraId="72A8749F" w14:textId="77777777">
        <w:trPr>
          <w:trHeight w:val="780"/>
        </w:trPr>
        <w:tc>
          <w:tcPr>
            <w:tcW w:w="576" w:type="pct"/>
            <w:tcBorders>
              <w:top w:val="single" w:color="auto" w:sz="4" w:space="0"/>
              <w:left w:val="single" w:color="auto" w:sz="4" w:space="0"/>
              <w:bottom w:val="single" w:color="auto" w:sz="4" w:space="0"/>
              <w:right w:val="single" w:color="auto" w:sz="4" w:space="0"/>
            </w:tcBorders>
            <w:shd w:val="clear" w:color="000000" w:fill="DDEBF7"/>
            <w:vAlign w:val="center"/>
            <w:hideMark/>
          </w:tcPr>
          <w:p w:rsidRPr="005B705A" w:rsidR="005B705A" w:rsidP="005B705A" w:rsidRDefault="005B705A" w14:paraId="36484CDE" w14:textId="77777777">
            <w:pPr>
              <w:jc w:val="center"/>
              <w:rPr>
                <w:rFonts w:ascii="Arial Narrow" w:hAnsi="Arial Narrow"/>
                <w:color w:val="000000"/>
                <w:sz w:val="16"/>
                <w:szCs w:val="16"/>
              </w:rPr>
            </w:pPr>
            <w:r w:rsidRPr="005B705A">
              <w:rPr>
                <w:rFonts w:ascii="Arial Narrow" w:hAnsi="Arial Narrow"/>
                <w:color w:val="000000"/>
                <w:sz w:val="16"/>
                <w:szCs w:val="16"/>
              </w:rPr>
              <w:t>12 CFR</w:t>
            </w:r>
          </w:p>
        </w:tc>
        <w:tc>
          <w:tcPr>
            <w:tcW w:w="1035" w:type="pct"/>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0EB9BE89" w14:textId="77777777">
            <w:pPr>
              <w:jc w:val="center"/>
              <w:rPr>
                <w:rFonts w:ascii="Arial Narrow" w:hAnsi="Arial Narrow"/>
                <w:color w:val="000000"/>
                <w:sz w:val="16"/>
                <w:szCs w:val="16"/>
              </w:rPr>
            </w:pPr>
            <w:r w:rsidRPr="005B705A">
              <w:rPr>
                <w:rFonts w:ascii="Arial Narrow" w:hAnsi="Arial Narrow"/>
                <w:color w:val="000000"/>
                <w:sz w:val="16"/>
                <w:szCs w:val="16"/>
              </w:rPr>
              <w:t>Information Collection Activity</w:t>
            </w:r>
          </w:p>
        </w:tc>
        <w:tc>
          <w:tcPr>
            <w:tcW w:w="493" w:type="pct"/>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06CF581A" w14:textId="77777777">
            <w:pPr>
              <w:jc w:val="center"/>
              <w:rPr>
                <w:rFonts w:ascii="Arial Narrow" w:hAnsi="Arial Narrow"/>
                <w:color w:val="000000"/>
                <w:sz w:val="16"/>
                <w:szCs w:val="16"/>
              </w:rPr>
            </w:pPr>
            <w:r w:rsidRPr="005B705A">
              <w:rPr>
                <w:rFonts w:ascii="Arial Narrow" w:hAnsi="Arial Narrow"/>
                <w:color w:val="000000"/>
                <w:sz w:val="16"/>
                <w:szCs w:val="16"/>
              </w:rPr>
              <w:t>Type of Burden</w:t>
            </w:r>
          </w:p>
        </w:tc>
        <w:tc>
          <w:tcPr>
            <w:tcW w:w="466" w:type="pct"/>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5B73981D" w14:textId="77777777">
            <w:pPr>
              <w:jc w:val="center"/>
              <w:rPr>
                <w:rFonts w:ascii="Arial Narrow" w:hAnsi="Arial Narrow"/>
                <w:color w:val="000000"/>
                <w:sz w:val="16"/>
                <w:szCs w:val="16"/>
              </w:rPr>
            </w:pPr>
            <w:r w:rsidRPr="005B705A">
              <w:rPr>
                <w:rFonts w:ascii="Arial Narrow" w:hAnsi="Arial Narrow"/>
                <w:color w:val="000000"/>
                <w:sz w:val="16"/>
                <w:szCs w:val="16"/>
              </w:rPr>
              <w:t>Respondents</w:t>
            </w:r>
          </w:p>
        </w:tc>
        <w:tc>
          <w:tcPr>
            <w:tcW w:w="473" w:type="pct"/>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7C9F72FD" w14:textId="77777777">
            <w:pPr>
              <w:jc w:val="center"/>
              <w:rPr>
                <w:rFonts w:ascii="Arial Narrow" w:hAnsi="Arial Narrow"/>
                <w:color w:val="000000"/>
                <w:sz w:val="16"/>
                <w:szCs w:val="16"/>
              </w:rPr>
            </w:pPr>
            <w:r w:rsidRPr="005B705A">
              <w:rPr>
                <w:rFonts w:ascii="Arial Narrow" w:hAnsi="Arial Narrow"/>
                <w:color w:val="000000"/>
                <w:sz w:val="16"/>
                <w:szCs w:val="16"/>
              </w:rPr>
              <w:t># Responses per Respondent</w:t>
            </w:r>
          </w:p>
        </w:tc>
        <w:tc>
          <w:tcPr>
            <w:tcW w:w="440" w:type="pct"/>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0C0B47AE" w14:textId="77777777">
            <w:pPr>
              <w:jc w:val="center"/>
              <w:rPr>
                <w:rFonts w:ascii="Arial Narrow" w:hAnsi="Arial Narrow"/>
                <w:color w:val="000000"/>
                <w:sz w:val="16"/>
                <w:szCs w:val="16"/>
              </w:rPr>
            </w:pPr>
            <w:r w:rsidRPr="005B705A">
              <w:rPr>
                <w:rFonts w:ascii="Arial Narrow" w:hAnsi="Arial Narrow"/>
                <w:color w:val="000000"/>
                <w:sz w:val="16"/>
                <w:szCs w:val="16"/>
              </w:rPr>
              <w:t>Total Annual Responses</w:t>
            </w:r>
          </w:p>
        </w:tc>
        <w:tc>
          <w:tcPr>
            <w:tcW w:w="418" w:type="pct"/>
            <w:tcBorders>
              <w:top w:val="single" w:color="auto" w:sz="4" w:space="0"/>
              <w:left w:val="nil"/>
              <w:bottom w:val="single" w:color="auto" w:sz="4" w:space="0"/>
              <w:right w:val="single" w:color="auto" w:sz="4" w:space="0"/>
            </w:tcBorders>
            <w:shd w:val="clear" w:color="000000" w:fill="DDEBF7"/>
            <w:vAlign w:val="center"/>
            <w:hideMark/>
          </w:tcPr>
          <w:p w:rsidRPr="005B705A" w:rsidR="005B705A" w:rsidP="005B705A" w:rsidRDefault="005B705A" w14:paraId="27C983C0" w14:textId="77777777">
            <w:pPr>
              <w:jc w:val="center"/>
              <w:rPr>
                <w:rFonts w:ascii="Arial Narrow" w:hAnsi="Arial Narrow"/>
                <w:color w:val="000000"/>
                <w:sz w:val="16"/>
                <w:szCs w:val="16"/>
              </w:rPr>
            </w:pPr>
            <w:r w:rsidRPr="005B705A">
              <w:rPr>
                <w:rFonts w:ascii="Arial Narrow" w:hAnsi="Arial Narrow"/>
                <w:color w:val="000000"/>
                <w:sz w:val="16"/>
                <w:szCs w:val="16"/>
              </w:rPr>
              <w:t>Time per Response (Hours)</w:t>
            </w:r>
          </w:p>
        </w:tc>
        <w:tc>
          <w:tcPr>
            <w:tcW w:w="330" w:type="pct"/>
            <w:tcBorders>
              <w:top w:val="single" w:color="auto" w:sz="4" w:space="0"/>
              <w:left w:val="nil"/>
              <w:bottom w:val="single" w:color="auto" w:sz="4" w:space="0"/>
              <w:right w:val="nil"/>
            </w:tcBorders>
            <w:shd w:val="clear" w:color="000000" w:fill="DDEBF7"/>
            <w:vAlign w:val="center"/>
            <w:hideMark/>
          </w:tcPr>
          <w:p w:rsidRPr="005B705A" w:rsidR="005B705A" w:rsidP="005B705A" w:rsidRDefault="005B705A" w14:paraId="78D036A9" w14:textId="77777777">
            <w:pPr>
              <w:jc w:val="center"/>
              <w:rPr>
                <w:rFonts w:ascii="Arial Narrow" w:hAnsi="Arial Narrow"/>
                <w:color w:val="000000"/>
                <w:sz w:val="16"/>
                <w:szCs w:val="16"/>
              </w:rPr>
            </w:pPr>
            <w:r w:rsidRPr="005B705A">
              <w:rPr>
                <w:rFonts w:ascii="Arial Narrow" w:hAnsi="Arial Narrow"/>
                <w:color w:val="000000"/>
                <w:sz w:val="16"/>
                <w:szCs w:val="16"/>
              </w:rPr>
              <w:t>Total Annual Burden</w:t>
            </w:r>
          </w:p>
        </w:tc>
        <w:tc>
          <w:tcPr>
            <w:tcW w:w="387" w:type="pct"/>
            <w:tcBorders>
              <w:top w:val="single" w:color="auto" w:sz="4" w:space="0"/>
              <w:left w:val="single" w:color="auto" w:sz="8" w:space="0"/>
              <w:bottom w:val="single" w:color="auto" w:sz="4" w:space="0"/>
              <w:right w:val="single" w:color="auto" w:sz="4" w:space="0"/>
            </w:tcBorders>
            <w:shd w:val="clear" w:color="000000" w:fill="DDEBF7"/>
            <w:vAlign w:val="center"/>
            <w:hideMark/>
          </w:tcPr>
          <w:p w:rsidRPr="005B705A" w:rsidR="005B705A" w:rsidP="005B705A" w:rsidRDefault="005B705A" w14:paraId="66CDF065" w14:textId="77777777">
            <w:pPr>
              <w:jc w:val="center"/>
              <w:rPr>
                <w:rFonts w:ascii="Arial Narrow" w:hAnsi="Arial Narrow"/>
                <w:color w:val="000000"/>
                <w:sz w:val="16"/>
                <w:szCs w:val="16"/>
              </w:rPr>
            </w:pPr>
            <w:r w:rsidRPr="005B705A">
              <w:rPr>
                <w:rFonts w:ascii="Arial Narrow" w:hAnsi="Arial Narrow"/>
                <w:color w:val="000000"/>
                <w:sz w:val="16"/>
                <w:szCs w:val="16"/>
              </w:rPr>
              <w:t>Currently Approved</w:t>
            </w:r>
          </w:p>
        </w:tc>
        <w:tc>
          <w:tcPr>
            <w:tcW w:w="383" w:type="pct"/>
            <w:tcBorders>
              <w:top w:val="single" w:color="auto" w:sz="4" w:space="0"/>
              <w:left w:val="single" w:color="auto" w:sz="4" w:space="0"/>
              <w:bottom w:val="single" w:color="auto" w:sz="4" w:space="0"/>
              <w:right w:val="single" w:color="auto" w:sz="4" w:space="0"/>
            </w:tcBorders>
            <w:shd w:val="clear" w:color="000000" w:fill="DDEBF7"/>
            <w:vAlign w:val="center"/>
            <w:hideMark/>
          </w:tcPr>
          <w:p w:rsidRPr="005B705A" w:rsidR="005B705A" w:rsidP="005B705A" w:rsidRDefault="005B705A" w14:paraId="058C4E67" w14:textId="77777777">
            <w:pPr>
              <w:jc w:val="center"/>
              <w:rPr>
                <w:rFonts w:ascii="Arial Narrow" w:hAnsi="Arial Narrow"/>
                <w:color w:val="000000"/>
                <w:sz w:val="16"/>
                <w:szCs w:val="16"/>
              </w:rPr>
            </w:pPr>
            <w:r w:rsidRPr="005B705A">
              <w:rPr>
                <w:rFonts w:ascii="Arial Narrow" w:hAnsi="Arial Narrow"/>
                <w:color w:val="000000"/>
                <w:sz w:val="16"/>
                <w:szCs w:val="16"/>
              </w:rPr>
              <w:t>Difference</w:t>
            </w:r>
          </w:p>
        </w:tc>
      </w:tr>
      <w:tr w:rsidRPr="005B705A" w:rsidR="00880DFA" w:rsidTr="007E401A" w14:paraId="68864C26" w14:textId="77777777">
        <w:trPr>
          <w:trHeight w:val="480"/>
        </w:trPr>
        <w:tc>
          <w:tcPr>
            <w:tcW w:w="576" w:type="pct"/>
            <w:tcBorders>
              <w:top w:val="nil"/>
              <w:left w:val="single" w:color="auto" w:sz="4" w:space="0"/>
              <w:bottom w:val="single" w:color="auto" w:sz="4" w:space="0"/>
              <w:right w:val="single" w:color="auto" w:sz="4" w:space="0"/>
            </w:tcBorders>
            <w:shd w:val="clear" w:color="auto" w:fill="auto"/>
            <w:vAlign w:val="center"/>
            <w:hideMark/>
          </w:tcPr>
          <w:p w:rsidRPr="005B705A" w:rsidR="005B705A" w:rsidP="005B705A" w:rsidRDefault="005B705A" w14:paraId="438EE23C" w14:textId="77777777">
            <w:pPr>
              <w:rPr>
                <w:color w:val="000000"/>
                <w:sz w:val="20"/>
                <w:szCs w:val="20"/>
              </w:rPr>
            </w:pPr>
            <w:r w:rsidRPr="005B705A">
              <w:rPr>
                <w:color w:val="000000"/>
                <w:sz w:val="20"/>
                <w:szCs w:val="20"/>
              </w:rPr>
              <w:t>701.36(c)(1)</w:t>
            </w:r>
          </w:p>
        </w:tc>
        <w:tc>
          <w:tcPr>
            <w:tcW w:w="1035"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5B89F5FB" w14:textId="77777777">
            <w:pPr>
              <w:rPr>
                <w:color w:val="000000"/>
                <w:sz w:val="18"/>
                <w:szCs w:val="18"/>
              </w:rPr>
            </w:pPr>
            <w:r w:rsidRPr="005B705A">
              <w:rPr>
                <w:color w:val="000000"/>
                <w:sz w:val="18"/>
                <w:szCs w:val="18"/>
              </w:rPr>
              <w:t xml:space="preserve">Waiver of requirements for partial occupations </w:t>
            </w:r>
          </w:p>
        </w:tc>
        <w:tc>
          <w:tcPr>
            <w:tcW w:w="493"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56AE8462" w14:textId="77777777">
            <w:pPr>
              <w:rPr>
                <w:color w:val="000000"/>
                <w:sz w:val="18"/>
                <w:szCs w:val="18"/>
              </w:rPr>
            </w:pPr>
            <w:r w:rsidRPr="005B705A">
              <w:rPr>
                <w:color w:val="000000"/>
                <w:sz w:val="18"/>
                <w:szCs w:val="18"/>
              </w:rPr>
              <w:t>Reporting</w:t>
            </w:r>
          </w:p>
        </w:tc>
        <w:tc>
          <w:tcPr>
            <w:tcW w:w="466"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00199A84" w14:textId="77777777">
            <w:pPr>
              <w:jc w:val="right"/>
              <w:rPr>
                <w:color w:val="000000"/>
                <w:sz w:val="18"/>
                <w:szCs w:val="18"/>
              </w:rPr>
            </w:pPr>
            <w:r w:rsidRPr="005B705A">
              <w:rPr>
                <w:color w:val="000000"/>
                <w:sz w:val="18"/>
                <w:szCs w:val="18"/>
              </w:rPr>
              <w:t>0</w:t>
            </w:r>
          </w:p>
        </w:tc>
        <w:tc>
          <w:tcPr>
            <w:tcW w:w="473"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7149778B" w14:textId="77777777">
            <w:pPr>
              <w:jc w:val="right"/>
              <w:rPr>
                <w:color w:val="000000"/>
                <w:sz w:val="18"/>
                <w:szCs w:val="18"/>
              </w:rPr>
            </w:pPr>
            <w:r w:rsidRPr="005B705A">
              <w:rPr>
                <w:color w:val="000000"/>
                <w:sz w:val="18"/>
                <w:szCs w:val="18"/>
              </w:rPr>
              <w:t>1</w:t>
            </w:r>
          </w:p>
        </w:tc>
        <w:tc>
          <w:tcPr>
            <w:tcW w:w="440"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2A7BF52D" w14:textId="77777777">
            <w:pPr>
              <w:jc w:val="right"/>
              <w:rPr>
                <w:color w:val="000000"/>
                <w:sz w:val="18"/>
                <w:szCs w:val="18"/>
              </w:rPr>
            </w:pPr>
            <w:r w:rsidRPr="005B705A">
              <w:rPr>
                <w:color w:val="000000"/>
                <w:sz w:val="18"/>
                <w:szCs w:val="18"/>
              </w:rPr>
              <w:t>0</w:t>
            </w:r>
          </w:p>
        </w:tc>
        <w:tc>
          <w:tcPr>
            <w:tcW w:w="418"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70799331" w14:textId="77777777">
            <w:pPr>
              <w:jc w:val="right"/>
              <w:rPr>
                <w:color w:val="000000"/>
                <w:sz w:val="18"/>
                <w:szCs w:val="18"/>
              </w:rPr>
            </w:pPr>
            <w:r w:rsidRPr="005B705A">
              <w:rPr>
                <w:color w:val="000000"/>
                <w:sz w:val="18"/>
                <w:szCs w:val="18"/>
              </w:rPr>
              <w:t>15</w:t>
            </w:r>
          </w:p>
        </w:tc>
        <w:tc>
          <w:tcPr>
            <w:tcW w:w="330" w:type="pct"/>
            <w:tcBorders>
              <w:top w:val="nil"/>
              <w:left w:val="nil"/>
              <w:bottom w:val="single" w:color="auto" w:sz="4" w:space="0"/>
              <w:right w:val="nil"/>
            </w:tcBorders>
            <w:shd w:val="clear" w:color="auto" w:fill="auto"/>
            <w:vAlign w:val="center"/>
            <w:hideMark/>
          </w:tcPr>
          <w:p w:rsidRPr="005B705A" w:rsidR="005B705A" w:rsidP="005B705A" w:rsidRDefault="005B705A" w14:paraId="0310A276" w14:textId="77777777">
            <w:pPr>
              <w:jc w:val="right"/>
              <w:rPr>
                <w:color w:val="000000"/>
                <w:sz w:val="18"/>
                <w:szCs w:val="18"/>
              </w:rPr>
            </w:pPr>
            <w:r w:rsidRPr="005B705A">
              <w:rPr>
                <w:color w:val="000000"/>
                <w:sz w:val="18"/>
                <w:szCs w:val="18"/>
              </w:rPr>
              <w:t>0</w:t>
            </w:r>
          </w:p>
        </w:tc>
        <w:tc>
          <w:tcPr>
            <w:tcW w:w="387" w:type="pct"/>
            <w:tcBorders>
              <w:top w:val="single" w:color="auto" w:sz="8" w:space="0"/>
              <w:left w:val="single" w:color="auto" w:sz="8" w:space="0"/>
              <w:bottom w:val="single" w:color="auto" w:sz="4" w:space="0"/>
              <w:right w:val="single" w:color="auto" w:sz="4" w:space="0"/>
            </w:tcBorders>
            <w:shd w:val="clear" w:color="000000" w:fill="E2EFDA"/>
            <w:noWrap/>
            <w:vAlign w:val="center"/>
            <w:hideMark/>
          </w:tcPr>
          <w:p w:rsidRPr="005B705A" w:rsidR="005B705A" w:rsidP="005B705A" w:rsidRDefault="005B705A" w14:paraId="30352C76" w14:textId="77777777">
            <w:pPr>
              <w:jc w:val="right"/>
              <w:rPr>
                <w:sz w:val="18"/>
                <w:szCs w:val="18"/>
              </w:rPr>
            </w:pPr>
            <w:r w:rsidRPr="005B705A">
              <w:rPr>
                <w:sz w:val="18"/>
                <w:szCs w:val="18"/>
              </w:rPr>
              <w:t>225</w:t>
            </w:r>
          </w:p>
        </w:tc>
        <w:tc>
          <w:tcPr>
            <w:tcW w:w="383" w:type="pct"/>
            <w:tcBorders>
              <w:top w:val="single" w:color="auto" w:sz="4" w:space="0"/>
              <w:left w:val="nil"/>
              <w:bottom w:val="single" w:color="auto" w:sz="4" w:space="0"/>
              <w:right w:val="single" w:color="auto" w:sz="8" w:space="0"/>
            </w:tcBorders>
            <w:shd w:val="clear" w:color="000000" w:fill="FCE4D6"/>
            <w:noWrap/>
            <w:vAlign w:val="center"/>
            <w:hideMark/>
          </w:tcPr>
          <w:p w:rsidRPr="005B705A" w:rsidR="005B705A" w:rsidP="005B705A" w:rsidRDefault="005B705A" w14:paraId="02F76910" w14:textId="77777777">
            <w:pPr>
              <w:jc w:val="right"/>
              <w:rPr>
                <w:color w:val="000000"/>
                <w:sz w:val="18"/>
                <w:szCs w:val="18"/>
              </w:rPr>
            </w:pPr>
            <w:r w:rsidRPr="005B705A">
              <w:rPr>
                <w:color w:val="000000"/>
                <w:sz w:val="18"/>
                <w:szCs w:val="18"/>
              </w:rPr>
              <w:t>-225</w:t>
            </w:r>
          </w:p>
        </w:tc>
      </w:tr>
      <w:tr w:rsidRPr="005B705A" w:rsidR="00880DFA" w:rsidTr="007E401A" w14:paraId="13071B99" w14:textId="77777777">
        <w:trPr>
          <w:trHeight w:val="480"/>
        </w:trPr>
        <w:tc>
          <w:tcPr>
            <w:tcW w:w="576" w:type="pct"/>
            <w:tcBorders>
              <w:top w:val="nil"/>
              <w:left w:val="single" w:color="auto" w:sz="4" w:space="0"/>
              <w:bottom w:val="single" w:color="auto" w:sz="4" w:space="0"/>
              <w:right w:val="single" w:color="auto" w:sz="4" w:space="0"/>
            </w:tcBorders>
            <w:shd w:val="clear" w:color="auto" w:fill="auto"/>
            <w:vAlign w:val="center"/>
            <w:hideMark/>
          </w:tcPr>
          <w:p w:rsidRPr="005B705A" w:rsidR="005B705A" w:rsidP="005B705A" w:rsidRDefault="005B705A" w14:paraId="032436A3" w14:textId="77777777">
            <w:pPr>
              <w:rPr>
                <w:color w:val="000000"/>
                <w:sz w:val="20"/>
                <w:szCs w:val="20"/>
              </w:rPr>
            </w:pPr>
            <w:r w:rsidRPr="005B705A">
              <w:rPr>
                <w:color w:val="000000"/>
                <w:sz w:val="20"/>
                <w:szCs w:val="20"/>
              </w:rPr>
              <w:t>701.36(c)(2)</w:t>
            </w:r>
          </w:p>
        </w:tc>
        <w:tc>
          <w:tcPr>
            <w:tcW w:w="1035"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1F50B3C1" w14:textId="77777777">
            <w:pPr>
              <w:rPr>
                <w:color w:val="000000"/>
                <w:sz w:val="18"/>
                <w:szCs w:val="18"/>
              </w:rPr>
            </w:pPr>
            <w:r w:rsidRPr="005B705A">
              <w:rPr>
                <w:color w:val="000000"/>
                <w:sz w:val="18"/>
                <w:szCs w:val="18"/>
              </w:rPr>
              <w:t xml:space="preserve">Waiver of requirement to dispose of abandoned property </w:t>
            </w:r>
          </w:p>
        </w:tc>
        <w:tc>
          <w:tcPr>
            <w:tcW w:w="493"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760CB0DB" w14:textId="77777777">
            <w:pPr>
              <w:rPr>
                <w:color w:val="000000"/>
                <w:sz w:val="18"/>
                <w:szCs w:val="18"/>
              </w:rPr>
            </w:pPr>
            <w:r w:rsidRPr="005B705A">
              <w:rPr>
                <w:color w:val="000000"/>
                <w:sz w:val="18"/>
                <w:szCs w:val="18"/>
              </w:rPr>
              <w:t>Reporting</w:t>
            </w:r>
          </w:p>
        </w:tc>
        <w:tc>
          <w:tcPr>
            <w:tcW w:w="466"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5FE9A5D0" w14:textId="77777777">
            <w:pPr>
              <w:jc w:val="right"/>
              <w:rPr>
                <w:color w:val="000000"/>
                <w:sz w:val="18"/>
                <w:szCs w:val="18"/>
              </w:rPr>
            </w:pPr>
            <w:r w:rsidRPr="005B705A">
              <w:rPr>
                <w:color w:val="000000"/>
                <w:sz w:val="18"/>
                <w:szCs w:val="18"/>
              </w:rPr>
              <w:t>0</w:t>
            </w:r>
          </w:p>
        </w:tc>
        <w:tc>
          <w:tcPr>
            <w:tcW w:w="473"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218AF7E7" w14:textId="77777777">
            <w:pPr>
              <w:jc w:val="right"/>
              <w:rPr>
                <w:color w:val="000000"/>
                <w:sz w:val="18"/>
                <w:szCs w:val="18"/>
              </w:rPr>
            </w:pPr>
            <w:r w:rsidRPr="005B705A">
              <w:rPr>
                <w:color w:val="000000"/>
                <w:sz w:val="18"/>
                <w:szCs w:val="18"/>
              </w:rPr>
              <w:t>1</w:t>
            </w:r>
          </w:p>
        </w:tc>
        <w:tc>
          <w:tcPr>
            <w:tcW w:w="440"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6B551C80" w14:textId="77777777">
            <w:pPr>
              <w:jc w:val="right"/>
              <w:rPr>
                <w:color w:val="000000"/>
                <w:sz w:val="18"/>
                <w:szCs w:val="18"/>
              </w:rPr>
            </w:pPr>
            <w:r w:rsidRPr="005B705A">
              <w:rPr>
                <w:color w:val="000000"/>
                <w:sz w:val="18"/>
                <w:szCs w:val="18"/>
              </w:rPr>
              <w:t>0</w:t>
            </w:r>
          </w:p>
        </w:tc>
        <w:tc>
          <w:tcPr>
            <w:tcW w:w="418"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3B33548F" w14:textId="77777777">
            <w:pPr>
              <w:jc w:val="right"/>
              <w:rPr>
                <w:color w:val="000000"/>
                <w:sz w:val="18"/>
                <w:szCs w:val="18"/>
              </w:rPr>
            </w:pPr>
            <w:r w:rsidRPr="005B705A">
              <w:rPr>
                <w:color w:val="000000"/>
                <w:sz w:val="18"/>
                <w:szCs w:val="18"/>
              </w:rPr>
              <w:t>10</w:t>
            </w:r>
          </w:p>
        </w:tc>
        <w:tc>
          <w:tcPr>
            <w:tcW w:w="330" w:type="pct"/>
            <w:tcBorders>
              <w:top w:val="nil"/>
              <w:left w:val="nil"/>
              <w:bottom w:val="single" w:color="auto" w:sz="4" w:space="0"/>
              <w:right w:val="nil"/>
            </w:tcBorders>
            <w:shd w:val="clear" w:color="auto" w:fill="auto"/>
            <w:vAlign w:val="center"/>
            <w:hideMark/>
          </w:tcPr>
          <w:p w:rsidRPr="005B705A" w:rsidR="005B705A" w:rsidP="005B705A" w:rsidRDefault="005B705A" w14:paraId="3B3FC7BE" w14:textId="77777777">
            <w:pPr>
              <w:jc w:val="right"/>
              <w:rPr>
                <w:color w:val="000000"/>
                <w:sz w:val="18"/>
                <w:szCs w:val="18"/>
              </w:rPr>
            </w:pPr>
            <w:r w:rsidRPr="005B705A">
              <w:rPr>
                <w:color w:val="000000"/>
                <w:sz w:val="18"/>
                <w:szCs w:val="18"/>
              </w:rPr>
              <w:t>0</w:t>
            </w:r>
          </w:p>
        </w:tc>
        <w:tc>
          <w:tcPr>
            <w:tcW w:w="387" w:type="pct"/>
            <w:tcBorders>
              <w:top w:val="nil"/>
              <w:left w:val="single" w:color="auto" w:sz="8" w:space="0"/>
              <w:bottom w:val="single" w:color="auto" w:sz="4" w:space="0"/>
              <w:right w:val="single" w:color="auto" w:sz="4" w:space="0"/>
            </w:tcBorders>
            <w:shd w:val="clear" w:color="000000" w:fill="E2EFDA"/>
            <w:noWrap/>
            <w:vAlign w:val="center"/>
            <w:hideMark/>
          </w:tcPr>
          <w:p w:rsidRPr="005B705A" w:rsidR="005B705A" w:rsidP="005B705A" w:rsidRDefault="005B705A" w14:paraId="18DE9D0A" w14:textId="77777777">
            <w:pPr>
              <w:jc w:val="right"/>
              <w:rPr>
                <w:sz w:val="18"/>
                <w:szCs w:val="18"/>
              </w:rPr>
            </w:pPr>
            <w:r w:rsidRPr="005B705A">
              <w:rPr>
                <w:sz w:val="18"/>
                <w:szCs w:val="18"/>
              </w:rPr>
              <w:t>100</w:t>
            </w:r>
          </w:p>
        </w:tc>
        <w:tc>
          <w:tcPr>
            <w:tcW w:w="383" w:type="pct"/>
            <w:tcBorders>
              <w:top w:val="nil"/>
              <w:left w:val="nil"/>
              <w:bottom w:val="single" w:color="auto" w:sz="4" w:space="0"/>
              <w:right w:val="single" w:color="auto" w:sz="8" w:space="0"/>
            </w:tcBorders>
            <w:shd w:val="clear" w:color="000000" w:fill="FCE4D6"/>
            <w:noWrap/>
            <w:vAlign w:val="center"/>
            <w:hideMark/>
          </w:tcPr>
          <w:p w:rsidRPr="005B705A" w:rsidR="005B705A" w:rsidP="005B705A" w:rsidRDefault="005B705A" w14:paraId="2F3B5A62" w14:textId="77777777">
            <w:pPr>
              <w:jc w:val="right"/>
              <w:rPr>
                <w:color w:val="000000"/>
                <w:sz w:val="18"/>
                <w:szCs w:val="18"/>
              </w:rPr>
            </w:pPr>
            <w:r w:rsidRPr="005B705A">
              <w:rPr>
                <w:color w:val="000000"/>
                <w:sz w:val="18"/>
                <w:szCs w:val="18"/>
              </w:rPr>
              <w:t>-100</w:t>
            </w:r>
          </w:p>
        </w:tc>
      </w:tr>
      <w:tr w:rsidRPr="005B705A" w:rsidR="00AC3D79" w:rsidTr="007E401A" w14:paraId="6A03C5F1" w14:textId="77777777">
        <w:trPr>
          <w:trHeight w:val="315"/>
        </w:trPr>
        <w:tc>
          <w:tcPr>
            <w:tcW w:w="576" w:type="pct"/>
            <w:tcBorders>
              <w:top w:val="nil"/>
              <w:left w:val="single" w:color="auto" w:sz="4" w:space="0"/>
              <w:bottom w:val="single" w:color="auto" w:sz="4" w:space="0"/>
              <w:right w:val="single" w:color="auto" w:sz="4" w:space="0"/>
            </w:tcBorders>
            <w:shd w:val="clear" w:color="auto" w:fill="auto"/>
            <w:vAlign w:val="center"/>
            <w:hideMark/>
          </w:tcPr>
          <w:p w:rsidRPr="005B705A" w:rsidR="005B705A" w:rsidP="005B705A" w:rsidRDefault="005B705A" w14:paraId="12BA86B0" w14:textId="77777777">
            <w:pPr>
              <w:rPr>
                <w:color w:val="000000"/>
                <w:sz w:val="20"/>
                <w:szCs w:val="20"/>
              </w:rPr>
            </w:pPr>
            <w:r w:rsidRPr="005B705A">
              <w:rPr>
                <w:color w:val="000000"/>
                <w:sz w:val="20"/>
                <w:szCs w:val="20"/>
              </w:rPr>
              <w:t>701.36(d)</w:t>
            </w:r>
          </w:p>
        </w:tc>
        <w:tc>
          <w:tcPr>
            <w:tcW w:w="1035"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18CDDA11" w14:textId="77777777">
            <w:pPr>
              <w:rPr>
                <w:color w:val="000000"/>
                <w:sz w:val="18"/>
                <w:szCs w:val="18"/>
              </w:rPr>
            </w:pPr>
            <w:r w:rsidRPr="005B705A">
              <w:rPr>
                <w:color w:val="000000"/>
                <w:sz w:val="18"/>
                <w:szCs w:val="18"/>
              </w:rPr>
              <w:t>Waiver of prohibited transactions</w:t>
            </w:r>
          </w:p>
        </w:tc>
        <w:tc>
          <w:tcPr>
            <w:tcW w:w="493" w:type="pct"/>
            <w:tcBorders>
              <w:top w:val="nil"/>
              <w:left w:val="nil"/>
              <w:bottom w:val="single" w:color="auto" w:sz="4" w:space="0"/>
              <w:right w:val="single" w:color="auto" w:sz="4" w:space="0"/>
            </w:tcBorders>
            <w:shd w:val="clear" w:color="auto" w:fill="auto"/>
            <w:vAlign w:val="center"/>
            <w:hideMark/>
          </w:tcPr>
          <w:p w:rsidRPr="005B705A" w:rsidR="005B705A" w:rsidP="005B705A" w:rsidRDefault="005B705A" w14:paraId="2C3386A2" w14:textId="77777777">
            <w:pPr>
              <w:rPr>
                <w:color w:val="000000"/>
                <w:sz w:val="18"/>
                <w:szCs w:val="18"/>
              </w:rPr>
            </w:pPr>
            <w:r w:rsidRPr="005B705A">
              <w:rPr>
                <w:color w:val="000000"/>
                <w:sz w:val="18"/>
                <w:szCs w:val="18"/>
              </w:rPr>
              <w:t>Reporting</w:t>
            </w:r>
          </w:p>
        </w:tc>
        <w:tc>
          <w:tcPr>
            <w:tcW w:w="466" w:type="pct"/>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4FC0C121" w14:textId="77777777">
            <w:pPr>
              <w:jc w:val="right"/>
              <w:rPr>
                <w:color w:val="000000"/>
                <w:sz w:val="18"/>
                <w:szCs w:val="18"/>
              </w:rPr>
            </w:pPr>
            <w:r w:rsidRPr="005B705A">
              <w:rPr>
                <w:color w:val="000000"/>
                <w:sz w:val="18"/>
                <w:szCs w:val="18"/>
              </w:rPr>
              <w:t>3</w:t>
            </w:r>
          </w:p>
        </w:tc>
        <w:tc>
          <w:tcPr>
            <w:tcW w:w="473" w:type="pct"/>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30BDE562" w14:textId="77777777">
            <w:pPr>
              <w:jc w:val="right"/>
              <w:rPr>
                <w:color w:val="000000"/>
                <w:sz w:val="18"/>
                <w:szCs w:val="18"/>
              </w:rPr>
            </w:pPr>
            <w:r w:rsidRPr="005B705A">
              <w:rPr>
                <w:color w:val="000000"/>
                <w:sz w:val="18"/>
                <w:szCs w:val="18"/>
              </w:rPr>
              <w:t>1</w:t>
            </w:r>
          </w:p>
        </w:tc>
        <w:tc>
          <w:tcPr>
            <w:tcW w:w="440" w:type="pct"/>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0015A4A4" w14:textId="77777777">
            <w:pPr>
              <w:jc w:val="right"/>
              <w:rPr>
                <w:color w:val="000000"/>
                <w:sz w:val="18"/>
                <w:szCs w:val="18"/>
              </w:rPr>
            </w:pPr>
            <w:r w:rsidRPr="005B705A">
              <w:rPr>
                <w:color w:val="000000"/>
                <w:sz w:val="18"/>
                <w:szCs w:val="18"/>
              </w:rPr>
              <w:t>3</w:t>
            </w:r>
          </w:p>
        </w:tc>
        <w:tc>
          <w:tcPr>
            <w:tcW w:w="418" w:type="pct"/>
            <w:tcBorders>
              <w:top w:val="nil"/>
              <w:left w:val="nil"/>
              <w:bottom w:val="single" w:color="auto" w:sz="8" w:space="0"/>
              <w:right w:val="single" w:color="auto" w:sz="4" w:space="0"/>
            </w:tcBorders>
            <w:shd w:val="clear" w:color="auto" w:fill="auto"/>
            <w:vAlign w:val="center"/>
            <w:hideMark/>
          </w:tcPr>
          <w:p w:rsidRPr="005B705A" w:rsidR="005B705A" w:rsidP="005B705A" w:rsidRDefault="005B705A" w14:paraId="5959D85B" w14:textId="77777777">
            <w:pPr>
              <w:jc w:val="right"/>
              <w:rPr>
                <w:color w:val="000000"/>
                <w:sz w:val="18"/>
                <w:szCs w:val="18"/>
              </w:rPr>
            </w:pPr>
            <w:r w:rsidRPr="005B705A">
              <w:rPr>
                <w:color w:val="000000"/>
                <w:sz w:val="18"/>
                <w:szCs w:val="18"/>
              </w:rPr>
              <w:t>10</w:t>
            </w:r>
          </w:p>
        </w:tc>
        <w:tc>
          <w:tcPr>
            <w:tcW w:w="330" w:type="pct"/>
            <w:tcBorders>
              <w:top w:val="nil"/>
              <w:left w:val="nil"/>
              <w:bottom w:val="single" w:color="auto" w:sz="8" w:space="0"/>
              <w:right w:val="nil"/>
            </w:tcBorders>
            <w:shd w:val="clear" w:color="auto" w:fill="auto"/>
            <w:vAlign w:val="center"/>
            <w:hideMark/>
          </w:tcPr>
          <w:p w:rsidRPr="005B705A" w:rsidR="005B705A" w:rsidP="005B705A" w:rsidRDefault="005B705A" w14:paraId="66CDFE6A" w14:textId="77777777">
            <w:pPr>
              <w:jc w:val="right"/>
              <w:rPr>
                <w:color w:val="000000"/>
                <w:sz w:val="18"/>
                <w:szCs w:val="18"/>
              </w:rPr>
            </w:pPr>
            <w:r w:rsidRPr="005B705A">
              <w:rPr>
                <w:color w:val="000000"/>
                <w:sz w:val="18"/>
                <w:szCs w:val="18"/>
              </w:rPr>
              <w:t>30</w:t>
            </w:r>
          </w:p>
        </w:tc>
        <w:tc>
          <w:tcPr>
            <w:tcW w:w="387" w:type="pct"/>
            <w:tcBorders>
              <w:top w:val="nil"/>
              <w:left w:val="single" w:color="auto" w:sz="8" w:space="0"/>
              <w:bottom w:val="single" w:color="auto" w:sz="8" w:space="0"/>
              <w:right w:val="single" w:color="auto" w:sz="4" w:space="0"/>
            </w:tcBorders>
            <w:shd w:val="clear" w:color="000000" w:fill="E2EFDA"/>
            <w:noWrap/>
            <w:vAlign w:val="center"/>
            <w:hideMark/>
          </w:tcPr>
          <w:p w:rsidRPr="005B705A" w:rsidR="005B705A" w:rsidP="005B705A" w:rsidRDefault="005B705A" w14:paraId="07A60A71" w14:textId="77777777">
            <w:pPr>
              <w:jc w:val="right"/>
              <w:rPr>
                <w:sz w:val="18"/>
                <w:szCs w:val="18"/>
              </w:rPr>
            </w:pPr>
            <w:r w:rsidRPr="005B705A">
              <w:rPr>
                <w:sz w:val="18"/>
                <w:szCs w:val="18"/>
              </w:rPr>
              <w:t>10</w:t>
            </w:r>
          </w:p>
        </w:tc>
        <w:tc>
          <w:tcPr>
            <w:tcW w:w="383" w:type="pct"/>
            <w:tcBorders>
              <w:top w:val="nil"/>
              <w:left w:val="nil"/>
              <w:bottom w:val="single" w:color="auto" w:sz="8" w:space="0"/>
              <w:right w:val="single" w:color="auto" w:sz="8" w:space="0"/>
            </w:tcBorders>
            <w:shd w:val="clear" w:color="000000" w:fill="FCE4D6"/>
            <w:noWrap/>
            <w:vAlign w:val="center"/>
            <w:hideMark/>
          </w:tcPr>
          <w:p w:rsidRPr="005B705A" w:rsidR="005B705A" w:rsidP="005B705A" w:rsidRDefault="005B705A" w14:paraId="07EB540A" w14:textId="77777777">
            <w:pPr>
              <w:jc w:val="right"/>
              <w:rPr>
                <w:color w:val="000000"/>
                <w:sz w:val="18"/>
                <w:szCs w:val="18"/>
              </w:rPr>
            </w:pPr>
            <w:r w:rsidRPr="005B705A">
              <w:rPr>
                <w:color w:val="000000"/>
                <w:sz w:val="18"/>
                <w:szCs w:val="18"/>
              </w:rPr>
              <w:t>20</w:t>
            </w:r>
          </w:p>
        </w:tc>
      </w:tr>
      <w:tr w:rsidRPr="005B705A" w:rsidR="00AC3D79" w:rsidTr="007E401A" w14:paraId="51DB837A" w14:textId="77777777">
        <w:trPr>
          <w:trHeight w:val="300"/>
        </w:trPr>
        <w:tc>
          <w:tcPr>
            <w:tcW w:w="2103" w:type="pct"/>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B705A" w:rsidR="005B705A" w:rsidP="005B705A" w:rsidRDefault="005B705A" w14:paraId="2DCDA53D" w14:textId="77777777">
            <w:pPr>
              <w:jc w:val="right"/>
              <w:rPr>
                <w:b/>
                <w:bCs/>
                <w:color w:val="000000"/>
                <w:sz w:val="18"/>
                <w:szCs w:val="18"/>
              </w:rPr>
            </w:pPr>
            <w:r w:rsidRPr="005B705A">
              <w:rPr>
                <w:b/>
                <w:bCs/>
                <w:color w:val="000000"/>
                <w:sz w:val="18"/>
                <w:szCs w:val="18"/>
              </w:rPr>
              <w:t>Totals</w:t>
            </w:r>
          </w:p>
        </w:tc>
        <w:tc>
          <w:tcPr>
            <w:tcW w:w="466" w:type="pct"/>
            <w:tcBorders>
              <w:top w:val="nil"/>
              <w:left w:val="nil"/>
              <w:bottom w:val="single" w:color="auto" w:sz="4" w:space="0"/>
              <w:right w:val="single" w:color="auto" w:sz="4" w:space="0"/>
            </w:tcBorders>
            <w:shd w:val="clear" w:color="auto" w:fill="auto"/>
            <w:noWrap/>
            <w:vAlign w:val="center"/>
            <w:hideMark/>
          </w:tcPr>
          <w:p w:rsidRPr="005B705A" w:rsidR="005B705A" w:rsidP="005B705A" w:rsidRDefault="005B705A" w14:paraId="4548E436" w14:textId="77777777">
            <w:pPr>
              <w:jc w:val="right"/>
              <w:rPr>
                <w:color w:val="000000"/>
                <w:sz w:val="18"/>
                <w:szCs w:val="18"/>
              </w:rPr>
            </w:pPr>
            <w:r w:rsidRPr="005B705A">
              <w:rPr>
                <w:color w:val="000000"/>
                <w:sz w:val="18"/>
                <w:szCs w:val="18"/>
              </w:rPr>
              <w:t>3</w:t>
            </w:r>
          </w:p>
        </w:tc>
        <w:tc>
          <w:tcPr>
            <w:tcW w:w="473" w:type="pct"/>
            <w:tcBorders>
              <w:top w:val="nil"/>
              <w:left w:val="nil"/>
              <w:bottom w:val="single" w:color="auto" w:sz="4" w:space="0"/>
              <w:right w:val="single" w:color="auto" w:sz="4" w:space="0"/>
            </w:tcBorders>
            <w:shd w:val="clear" w:color="000000" w:fill="D9D9D9"/>
            <w:noWrap/>
            <w:vAlign w:val="center"/>
            <w:hideMark/>
          </w:tcPr>
          <w:p w:rsidRPr="005B705A" w:rsidR="005B705A" w:rsidP="005B705A" w:rsidRDefault="005B705A" w14:paraId="1867B74C" w14:textId="77777777">
            <w:pPr>
              <w:rPr>
                <w:color w:val="000000"/>
                <w:sz w:val="18"/>
                <w:szCs w:val="18"/>
              </w:rPr>
            </w:pPr>
            <w:r w:rsidRPr="005B705A">
              <w:rPr>
                <w:color w:val="000000"/>
                <w:sz w:val="18"/>
                <w:szCs w:val="18"/>
              </w:rPr>
              <w:t> </w:t>
            </w:r>
          </w:p>
        </w:tc>
        <w:tc>
          <w:tcPr>
            <w:tcW w:w="440" w:type="pct"/>
            <w:tcBorders>
              <w:top w:val="nil"/>
              <w:left w:val="nil"/>
              <w:bottom w:val="single" w:color="auto" w:sz="4" w:space="0"/>
              <w:right w:val="single" w:color="auto" w:sz="4" w:space="0"/>
            </w:tcBorders>
            <w:shd w:val="clear" w:color="auto" w:fill="auto"/>
            <w:noWrap/>
            <w:vAlign w:val="center"/>
            <w:hideMark/>
          </w:tcPr>
          <w:p w:rsidRPr="005B705A" w:rsidR="005B705A" w:rsidP="005B705A" w:rsidRDefault="005B705A" w14:paraId="5DEFA39E" w14:textId="77777777">
            <w:pPr>
              <w:jc w:val="right"/>
              <w:rPr>
                <w:color w:val="000000"/>
                <w:sz w:val="18"/>
                <w:szCs w:val="18"/>
              </w:rPr>
            </w:pPr>
            <w:r w:rsidRPr="005B705A">
              <w:rPr>
                <w:color w:val="000000"/>
                <w:sz w:val="18"/>
                <w:szCs w:val="18"/>
              </w:rPr>
              <w:t>3</w:t>
            </w:r>
          </w:p>
        </w:tc>
        <w:tc>
          <w:tcPr>
            <w:tcW w:w="418" w:type="pct"/>
            <w:tcBorders>
              <w:top w:val="nil"/>
              <w:left w:val="nil"/>
              <w:bottom w:val="single" w:color="auto" w:sz="4" w:space="0"/>
              <w:right w:val="single" w:color="auto" w:sz="4" w:space="0"/>
            </w:tcBorders>
            <w:shd w:val="clear" w:color="000000" w:fill="D9D9D9"/>
            <w:noWrap/>
            <w:vAlign w:val="center"/>
            <w:hideMark/>
          </w:tcPr>
          <w:p w:rsidRPr="005B705A" w:rsidR="005B705A" w:rsidP="005B705A" w:rsidRDefault="005B705A" w14:paraId="4D64C967" w14:textId="77777777">
            <w:pPr>
              <w:rPr>
                <w:color w:val="000000"/>
                <w:sz w:val="18"/>
                <w:szCs w:val="18"/>
              </w:rPr>
            </w:pPr>
            <w:r w:rsidRPr="005B705A">
              <w:rPr>
                <w:color w:val="000000"/>
                <w:sz w:val="18"/>
                <w:szCs w:val="18"/>
              </w:rPr>
              <w:t> </w:t>
            </w:r>
          </w:p>
        </w:tc>
        <w:tc>
          <w:tcPr>
            <w:tcW w:w="330" w:type="pct"/>
            <w:tcBorders>
              <w:top w:val="nil"/>
              <w:left w:val="nil"/>
              <w:bottom w:val="single" w:color="auto" w:sz="4" w:space="0"/>
              <w:right w:val="nil"/>
            </w:tcBorders>
            <w:shd w:val="clear" w:color="000000" w:fill="FFF2CC"/>
            <w:noWrap/>
            <w:vAlign w:val="center"/>
            <w:hideMark/>
          </w:tcPr>
          <w:p w:rsidRPr="005B705A" w:rsidR="005B705A" w:rsidP="005B705A" w:rsidRDefault="005B705A" w14:paraId="2E8F4890" w14:textId="77777777">
            <w:pPr>
              <w:jc w:val="right"/>
              <w:rPr>
                <w:b/>
                <w:bCs/>
                <w:color w:val="000000"/>
                <w:sz w:val="18"/>
                <w:szCs w:val="18"/>
              </w:rPr>
            </w:pPr>
            <w:r w:rsidRPr="005B705A">
              <w:rPr>
                <w:b/>
                <w:bCs/>
                <w:color w:val="000000"/>
                <w:sz w:val="18"/>
                <w:szCs w:val="18"/>
              </w:rPr>
              <w:t>30</w:t>
            </w:r>
          </w:p>
        </w:tc>
        <w:tc>
          <w:tcPr>
            <w:tcW w:w="387" w:type="pct"/>
            <w:tcBorders>
              <w:top w:val="nil"/>
              <w:left w:val="single" w:color="auto" w:sz="8" w:space="0"/>
              <w:bottom w:val="single" w:color="auto" w:sz="4" w:space="0"/>
              <w:right w:val="single" w:color="auto" w:sz="4" w:space="0"/>
            </w:tcBorders>
            <w:shd w:val="clear" w:color="000000" w:fill="E2EFDA"/>
            <w:noWrap/>
            <w:vAlign w:val="center"/>
            <w:hideMark/>
          </w:tcPr>
          <w:p w:rsidRPr="005B705A" w:rsidR="005B705A" w:rsidP="005B705A" w:rsidRDefault="005B705A" w14:paraId="49DF957A" w14:textId="77777777">
            <w:pPr>
              <w:jc w:val="right"/>
              <w:rPr>
                <w:color w:val="000000"/>
                <w:sz w:val="18"/>
                <w:szCs w:val="18"/>
              </w:rPr>
            </w:pPr>
            <w:r w:rsidRPr="005B705A">
              <w:rPr>
                <w:color w:val="000000"/>
                <w:sz w:val="18"/>
                <w:szCs w:val="18"/>
              </w:rPr>
              <w:t>335</w:t>
            </w:r>
          </w:p>
        </w:tc>
        <w:tc>
          <w:tcPr>
            <w:tcW w:w="383" w:type="pct"/>
            <w:tcBorders>
              <w:top w:val="nil"/>
              <w:left w:val="nil"/>
              <w:bottom w:val="single" w:color="auto" w:sz="4" w:space="0"/>
              <w:right w:val="single" w:color="auto" w:sz="8" w:space="0"/>
            </w:tcBorders>
            <w:shd w:val="clear" w:color="000000" w:fill="FCE4D6"/>
            <w:noWrap/>
            <w:vAlign w:val="center"/>
            <w:hideMark/>
          </w:tcPr>
          <w:p w:rsidRPr="005B705A" w:rsidR="005B705A" w:rsidP="005B705A" w:rsidRDefault="005B705A" w14:paraId="21764902" w14:textId="77777777">
            <w:pPr>
              <w:jc w:val="right"/>
              <w:rPr>
                <w:color w:val="000000"/>
                <w:sz w:val="18"/>
                <w:szCs w:val="18"/>
              </w:rPr>
            </w:pPr>
            <w:r w:rsidRPr="005B705A">
              <w:rPr>
                <w:color w:val="000000"/>
                <w:sz w:val="18"/>
                <w:szCs w:val="18"/>
              </w:rPr>
              <w:t>-305</w:t>
            </w:r>
          </w:p>
        </w:tc>
      </w:tr>
    </w:tbl>
    <w:p w:rsidR="00170206" w:rsidP="00AC3D79" w:rsidRDefault="004901EC" w14:paraId="6D4FD089" w14:textId="77777777">
      <w:pPr>
        <w:pStyle w:val="ListParagraph"/>
        <w:tabs>
          <w:tab w:val="left" w:pos="-720"/>
          <w:tab w:val="left" w:pos="403"/>
          <w:tab w:val="left" w:pos="450"/>
        </w:tabs>
        <w:suppressAutoHyphens/>
        <w:ind w:left="360"/>
      </w:pPr>
      <w:r w:rsidRPr="004901EC">
        <w:rPr>
          <w:rFonts w:eastAsia="Calibri"/>
        </w:rPr>
        <w:t>Based on the labor rate of $35 per hour, the total cost to respondents is $</w:t>
      </w:r>
      <w:r w:rsidR="00880DFA">
        <w:rPr>
          <w:rFonts w:eastAsia="Calibri"/>
        </w:rPr>
        <w:t>1,050</w:t>
      </w:r>
      <w:r w:rsidR="00170206">
        <w:t>.</w:t>
      </w:r>
    </w:p>
    <w:p w:rsidR="00170206" w:rsidP="00880DFA" w:rsidRDefault="00170206" w14:paraId="2A000338" w14:textId="77777777"/>
    <w:p w:rsidR="003A0D60" w:rsidP="00880DFA" w:rsidRDefault="00D477BB" w14:paraId="5D88411A" w14:textId="77777777">
      <w:pPr>
        <w:pStyle w:val="ListParagraph"/>
        <w:numPr>
          <w:ilvl w:val="0"/>
          <w:numId w:val="3"/>
        </w:numPr>
        <w:tabs>
          <w:tab w:val="left" w:pos="720"/>
        </w:tabs>
        <w:ind w:left="720" w:hanging="720"/>
        <w:rPr>
          <w:b/>
        </w:rPr>
      </w:pPr>
      <w:r>
        <w:rPr>
          <w:b/>
        </w:rPr>
        <w:t xml:space="preserve">Capital start-up and </w:t>
      </w:r>
      <w:r w:rsidR="00880DFA">
        <w:rPr>
          <w:b/>
        </w:rPr>
        <w:t>on-going operation and maintenance costs</w:t>
      </w:r>
      <w:r>
        <w:rPr>
          <w:b/>
        </w:rPr>
        <w:t>.</w:t>
      </w:r>
    </w:p>
    <w:p w:rsidR="00880DFA" w:rsidP="00880DFA" w:rsidRDefault="00880DFA" w14:paraId="4F366068" w14:textId="77777777">
      <w:pPr>
        <w:pStyle w:val="ListParagraph"/>
        <w:rPr>
          <w:b/>
        </w:rPr>
      </w:pPr>
    </w:p>
    <w:p w:rsidRPr="00631257" w:rsidR="003A0D60" w:rsidP="00D477BB" w:rsidRDefault="00D477BB" w14:paraId="741D4713" w14:textId="77777777">
      <w:pPr>
        <w:pStyle w:val="ListParagraph"/>
        <w:suppressAutoHyphens/>
        <w:ind w:hanging="720"/>
      </w:pPr>
      <w:r>
        <w:tab/>
        <w:t>There are no capital start-up or ongoing operation and maintenance costs associated with this information collection.</w:t>
      </w:r>
    </w:p>
    <w:p w:rsidR="000F1B6A" w:rsidP="00D477BB" w:rsidRDefault="000F1B6A" w14:paraId="223CA72E" w14:textId="77777777">
      <w:pPr>
        <w:pStyle w:val="ListParagraph"/>
        <w:tabs>
          <w:tab w:val="left" w:pos="720"/>
        </w:tabs>
        <w:ind w:hanging="720"/>
        <w:rPr>
          <w:b/>
        </w:rPr>
      </w:pPr>
    </w:p>
    <w:p w:rsidR="003A0D60" w:rsidP="00D477BB" w:rsidRDefault="00880DFA" w14:paraId="0BE64C2E" w14:textId="77777777">
      <w:pPr>
        <w:pStyle w:val="ListParagraph"/>
        <w:numPr>
          <w:ilvl w:val="0"/>
          <w:numId w:val="3"/>
        </w:numPr>
        <w:tabs>
          <w:tab w:val="left" w:pos="720"/>
        </w:tabs>
        <w:ind w:left="720" w:hanging="720"/>
        <w:rPr>
          <w:b/>
        </w:rPr>
      </w:pPr>
      <w:r>
        <w:rPr>
          <w:b/>
        </w:rPr>
        <w:t>Annualized cost to the</w:t>
      </w:r>
      <w:r w:rsidRPr="00E44F63" w:rsidR="003A0D60">
        <w:rPr>
          <w:b/>
        </w:rPr>
        <w:t xml:space="preserve"> Federal </w:t>
      </w:r>
      <w:r>
        <w:rPr>
          <w:b/>
        </w:rPr>
        <w:t>g</w:t>
      </w:r>
      <w:r w:rsidRPr="00E44F63" w:rsidR="003A0D60">
        <w:rPr>
          <w:b/>
        </w:rPr>
        <w:t>overnment</w:t>
      </w:r>
      <w:r>
        <w:rPr>
          <w:b/>
        </w:rPr>
        <w:t>.</w:t>
      </w:r>
    </w:p>
    <w:p w:rsidRPr="00E44F63" w:rsidR="00880DFA" w:rsidP="00880DFA" w:rsidRDefault="00880DFA" w14:paraId="1D054A98" w14:textId="77777777">
      <w:pPr>
        <w:pStyle w:val="ListParagraph"/>
        <w:tabs>
          <w:tab w:val="left" w:pos="720"/>
        </w:tabs>
        <w:rPr>
          <w:b/>
        </w:rPr>
      </w:pPr>
    </w:p>
    <w:p w:rsidRPr="00D477BB" w:rsidR="000F1B6A" w:rsidP="00D477BB" w:rsidRDefault="006E78AA" w14:paraId="6F0B6070" w14:textId="035D0547">
      <w:pPr>
        <w:numPr>
          <w:ilvl w:val="0"/>
          <w:numId w:val="15"/>
        </w:numPr>
        <w:tabs>
          <w:tab w:val="left" w:pos="-2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Pr="00D477BB" w:rsidR="000F1B6A">
        <w:t>The NCUA would likely spend an average of 8 man-hours processing each waiver request and 2 man-hours reviewing that processing.  The wage rate is about $55 an hour.  The total NCUA cost for each waiver request is $</w:t>
      </w:r>
      <w:r w:rsidR="00AC3D79">
        <w:t>1,650</w:t>
      </w:r>
      <w:r w:rsidRPr="00D477BB" w:rsidR="000F1B6A">
        <w:t xml:space="preserve">.   </w:t>
      </w:r>
    </w:p>
    <w:p w:rsidRPr="00E44F63" w:rsidR="000F1B6A" w:rsidP="00D477BB" w:rsidRDefault="000F1B6A" w14:paraId="227FA3DF" w14:textId="77777777">
      <w:pPr>
        <w:pStyle w:val="ListParagraph"/>
        <w:tabs>
          <w:tab w:val="left" w:pos="720"/>
        </w:tabs>
        <w:ind w:hanging="720"/>
        <w:rPr>
          <w:b/>
        </w:rPr>
      </w:pPr>
    </w:p>
    <w:p w:rsidR="003A0D60" w:rsidP="0046232E" w:rsidRDefault="003A0D60" w14:paraId="15BE6D2B" w14:textId="77777777">
      <w:pPr>
        <w:pStyle w:val="ListParagraph"/>
        <w:numPr>
          <w:ilvl w:val="0"/>
          <w:numId w:val="3"/>
        </w:numPr>
        <w:tabs>
          <w:tab w:val="left" w:pos="720"/>
        </w:tabs>
        <w:ind w:left="720" w:hanging="720"/>
        <w:rPr>
          <w:b/>
        </w:rPr>
      </w:pPr>
      <w:r w:rsidRPr="00E44F63">
        <w:rPr>
          <w:b/>
        </w:rPr>
        <w:t>Change</w:t>
      </w:r>
      <w:r>
        <w:rPr>
          <w:b/>
        </w:rPr>
        <w:t xml:space="preserve">s in </w:t>
      </w:r>
      <w:r w:rsidR="00880DFA">
        <w:rPr>
          <w:b/>
        </w:rPr>
        <w:t>b</w:t>
      </w:r>
      <w:r>
        <w:rPr>
          <w:b/>
        </w:rPr>
        <w:t>urden</w:t>
      </w:r>
      <w:r w:rsidR="00880DFA">
        <w:rPr>
          <w:b/>
        </w:rPr>
        <w:t>.</w:t>
      </w:r>
    </w:p>
    <w:p w:rsidRPr="00E44F63" w:rsidR="00880DFA" w:rsidP="00880DFA" w:rsidRDefault="00880DFA" w14:paraId="456EC537" w14:textId="77777777">
      <w:pPr>
        <w:pStyle w:val="ListParagraph"/>
        <w:tabs>
          <w:tab w:val="left" w:pos="720"/>
        </w:tabs>
        <w:rPr>
          <w:b/>
        </w:rPr>
      </w:pPr>
    </w:p>
    <w:p w:rsidRPr="00E13243" w:rsidR="00E13243" w:rsidP="00E13243" w:rsidRDefault="00D206DA" w14:paraId="538570F7" w14:textId="0E7CD424">
      <w:pPr>
        <w:ind w:left="720"/>
        <w:rPr>
          <w:rFonts w:eastAsia="Calibri"/>
        </w:rPr>
      </w:pPr>
      <w:r>
        <w:t>This is an extension of a currently approved collection. There are no changes or adjustments to this collection.</w:t>
      </w:r>
      <w:r w:rsidRPr="00567D75" w:rsidR="00E13243">
        <w:t xml:space="preserve"> </w:t>
      </w:r>
    </w:p>
    <w:p w:rsidR="0046232E" w:rsidP="007E401A" w:rsidRDefault="0046232E" w14:paraId="21038806" w14:textId="77777777">
      <w:pPr>
        <w:tabs>
          <w:tab w:val="left" w:pos="720"/>
        </w:tabs>
      </w:pPr>
    </w:p>
    <w:p w:rsidR="003A0D60" w:rsidP="0046232E" w:rsidRDefault="003A0D60" w14:paraId="1F861AD5" w14:textId="77777777">
      <w:pPr>
        <w:pStyle w:val="ListParagraph"/>
        <w:numPr>
          <w:ilvl w:val="0"/>
          <w:numId w:val="3"/>
        </w:numPr>
        <w:tabs>
          <w:tab w:val="left" w:pos="720"/>
        </w:tabs>
        <w:ind w:left="720" w:hanging="720"/>
        <w:rPr>
          <w:b/>
        </w:rPr>
      </w:pPr>
      <w:r>
        <w:rPr>
          <w:b/>
        </w:rPr>
        <w:t xml:space="preserve">Information </w:t>
      </w:r>
      <w:r w:rsidR="0046232E">
        <w:rPr>
          <w:b/>
        </w:rPr>
        <w:t>c</w:t>
      </w:r>
      <w:r>
        <w:rPr>
          <w:b/>
        </w:rPr>
        <w:t xml:space="preserve">ollection </w:t>
      </w:r>
      <w:r w:rsidR="0046232E">
        <w:rPr>
          <w:b/>
        </w:rPr>
        <w:t>p</w:t>
      </w:r>
      <w:r>
        <w:rPr>
          <w:b/>
        </w:rPr>
        <w:t xml:space="preserve">lanned for </w:t>
      </w:r>
      <w:r w:rsidR="0046232E">
        <w:rPr>
          <w:b/>
        </w:rPr>
        <w:t>s</w:t>
      </w:r>
      <w:r>
        <w:rPr>
          <w:b/>
        </w:rPr>
        <w:t xml:space="preserve">tatistical </w:t>
      </w:r>
      <w:r w:rsidR="0046232E">
        <w:rPr>
          <w:b/>
        </w:rPr>
        <w:t>p</w:t>
      </w:r>
      <w:r>
        <w:rPr>
          <w:b/>
        </w:rPr>
        <w:t>urposes</w:t>
      </w:r>
      <w:r w:rsidR="0046232E">
        <w:rPr>
          <w:b/>
        </w:rPr>
        <w:t>.</w:t>
      </w:r>
    </w:p>
    <w:p w:rsidRPr="00E44F63" w:rsidR="0046232E" w:rsidP="0046232E" w:rsidRDefault="0046232E" w14:paraId="76C0303F" w14:textId="77777777">
      <w:pPr>
        <w:pStyle w:val="ListParagraph"/>
        <w:tabs>
          <w:tab w:val="left" w:pos="0"/>
          <w:tab w:val="left" w:pos="720"/>
        </w:tabs>
        <w:ind w:left="360"/>
        <w:rPr>
          <w:b/>
        </w:rPr>
      </w:pPr>
    </w:p>
    <w:p w:rsidRPr="00631257" w:rsidR="003A0D60" w:rsidP="006E78AA" w:rsidRDefault="003A0D60" w14:paraId="4607DD0B" w14:textId="77777777">
      <w:pPr>
        <w:suppressAutoHyphens/>
        <w:ind w:left="720" w:hanging="720"/>
      </w:pPr>
      <w:r>
        <w:tab/>
        <w:t>The information collection is no</w:t>
      </w:r>
      <w:r w:rsidR="00FC5ACC">
        <w:t>t used for statistical purposes.</w:t>
      </w:r>
    </w:p>
    <w:p w:rsidRPr="00E44F63" w:rsidR="003A0D60" w:rsidP="006E78AA" w:rsidRDefault="003A0D60" w14:paraId="36B7C816" w14:textId="77777777">
      <w:pPr>
        <w:tabs>
          <w:tab w:val="left" w:pos="720"/>
        </w:tabs>
        <w:ind w:left="720" w:hanging="720"/>
      </w:pPr>
    </w:p>
    <w:p w:rsidR="003A0D60" w:rsidP="006E78AA" w:rsidRDefault="0046232E" w14:paraId="4383CCB5" w14:textId="77777777">
      <w:pPr>
        <w:pStyle w:val="ListParagraph"/>
        <w:keepNext/>
        <w:numPr>
          <w:ilvl w:val="0"/>
          <w:numId w:val="3"/>
        </w:numPr>
        <w:tabs>
          <w:tab w:val="left" w:pos="720"/>
        </w:tabs>
        <w:ind w:left="720" w:hanging="720"/>
        <w:rPr>
          <w:b/>
        </w:rPr>
      </w:pPr>
      <w:r>
        <w:rPr>
          <w:b/>
        </w:rPr>
        <w:lastRenderedPageBreak/>
        <w:t>Request non-display the expiration date of the OMB control number.</w:t>
      </w:r>
    </w:p>
    <w:p w:rsidRPr="00E44F63" w:rsidR="0046232E" w:rsidP="0046232E" w:rsidRDefault="0046232E" w14:paraId="325117FE" w14:textId="77777777">
      <w:pPr>
        <w:pStyle w:val="ListParagraph"/>
        <w:keepNext/>
        <w:tabs>
          <w:tab w:val="left" w:pos="720"/>
        </w:tabs>
        <w:rPr>
          <w:b/>
        </w:rPr>
      </w:pPr>
    </w:p>
    <w:p w:rsidRPr="0046232E" w:rsidR="0046232E" w:rsidP="0046232E" w:rsidRDefault="0046232E" w14:paraId="6C1235C0" w14:textId="77777777">
      <w:pPr>
        <w:ind w:left="720"/>
        <w:rPr>
          <w:rFonts w:eastAsia="Calibri"/>
        </w:rPr>
      </w:pPr>
      <w:r w:rsidRPr="0046232E">
        <w:rPr>
          <w:rFonts w:eastAsia="Calibri"/>
        </w:rPr>
        <w:t xml:space="preserve">The OMB control number and expiration date associated with this PRA submission will be displayed on the Federal Government’s electronic PRA docket website at </w:t>
      </w:r>
      <w:hyperlink w:history="1" r:id="rId8">
        <w:r w:rsidRPr="0046232E">
          <w:rPr>
            <w:rFonts w:eastAsia="Calibri"/>
            <w:noProof/>
            <w:color w:val="0000FF"/>
            <w:u w:val="single"/>
          </w:rPr>
          <w:t>www.reginfo.gov</w:t>
        </w:r>
      </w:hyperlink>
      <w:r w:rsidRPr="0046232E">
        <w:rPr>
          <w:rFonts w:eastAsia="Calibri"/>
        </w:rPr>
        <w:t>.</w:t>
      </w:r>
    </w:p>
    <w:p w:rsidRPr="00E44F63" w:rsidR="003A0D60" w:rsidP="006E78AA" w:rsidRDefault="003A0D60" w14:paraId="00736E23" w14:textId="77777777">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left="720" w:hanging="720"/>
      </w:pPr>
    </w:p>
    <w:p w:rsidR="003A0D60" w:rsidP="006E78AA" w:rsidRDefault="003A0D60" w14:paraId="3EA7599F" w14:textId="77777777">
      <w:pPr>
        <w:pStyle w:val="ListParagraph"/>
        <w:numPr>
          <w:ilvl w:val="0"/>
          <w:numId w:val="3"/>
        </w:numPr>
        <w:tabs>
          <w:tab w:val="left" w:pos="720"/>
        </w:tabs>
        <w:ind w:left="720" w:hanging="720"/>
        <w:rPr>
          <w:b/>
        </w:rPr>
      </w:pPr>
      <w:r w:rsidRPr="00E44F63">
        <w:rPr>
          <w:b/>
        </w:rPr>
        <w:t>Exceptions to Certification for Paperwork Reduction Act Submissions</w:t>
      </w:r>
      <w:r w:rsidR="00A70E51">
        <w:rPr>
          <w:b/>
        </w:rPr>
        <w:t>.</w:t>
      </w:r>
    </w:p>
    <w:p w:rsidRPr="00E44F63" w:rsidR="00A70E51" w:rsidP="00A70E51" w:rsidRDefault="00A70E51" w14:paraId="352604B3" w14:textId="77777777">
      <w:pPr>
        <w:pStyle w:val="ListParagraph"/>
        <w:tabs>
          <w:tab w:val="left" w:pos="720"/>
        </w:tabs>
        <w:rPr>
          <w:b/>
        </w:rPr>
      </w:pPr>
    </w:p>
    <w:p w:rsidR="003456F6" w:rsidP="00A70E51" w:rsidRDefault="003A0D60" w14:paraId="0E8F1C00" w14:textId="77777777">
      <w:pPr>
        <w:suppressAutoHyphens/>
        <w:ind w:left="720"/>
      </w:pPr>
      <w:r>
        <w:t>Th</w:t>
      </w:r>
      <w:r w:rsidR="00A70E51">
        <w:t>ere are no exceptions to the certification statement.</w:t>
      </w:r>
    </w:p>
    <w:p w:rsidR="003456F6" w:rsidP="006E78AA" w:rsidRDefault="003456F6" w14:paraId="2331DEBB" w14:textId="77777777">
      <w:pPr>
        <w:tabs>
          <w:tab w:val="left" w:pos="-720"/>
          <w:tab w:val="left" w:pos="286"/>
          <w:tab w:val="left" w:pos="403"/>
          <w:tab w:val="left" w:pos="720"/>
        </w:tabs>
        <w:suppressAutoHyphens/>
        <w:ind w:left="720" w:hanging="720"/>
      </w:pPr>
    </w:p>
    <w:p w:rsidR="008C52A8" w:rsidP="006E78AA" w:rsidRDefault="008C52A8" w14:paraId="4B3A5E49" w14:textId="27011C30">
      <w:pPr>
        <w:tabs>
          <w:tab w:val="left" w:pos="-720"/>
          <w:tab w:val="left" w:pos="286"/>
          <w:tab w:val="left" w:pos="403"/>
          <w:tab w:val="left" w:pos="720"/>
        </w:tabs>
        <w:suppressAutoHyphens/>
        <w:ind w:left="720" w:hanging="720"/>
      </w:pPr>
    </w:p>
    <w:p w:rsidR="00E13243" w:rsidP="006E78AA" w:rsidRDefault="00E13243" w14:paraId="70A3352D" w14:textId="77777777">
      <w:pPr>
        <w:tabs>
          <w:tab w:val="left" w:pos="-720"/>
          <w:tab w:val="left" w:pos="286"/>
          <w:tab w:val="left" w:pos="403"/>
          <w:tab w:val="left" w:pos="720"/>
        </w:tabs>
        <w:suppressAutoHyphens/>
        <w:ind w:left="720" w:hanging="720"/>
      </w:pPr>
    </w:p>
    <w:p w:rsidRPr="003456F6" w:rsidR="003A0D60" w:rsidP="008C52A8" w:rsidRDefault="003A0D60" w14:paraId="193FF2C2" w14:textId="77777777">
      <w:pPr>
        <w:pStyle w:val="ListParagraph"/>
        <w:numPr>
          <w:ilvl w:val="0"/>
          <w:numId w:val="2"/>
        </w:numPr>
        <w:tabs>
          <w:tab w:val="left" w:pos="720"/>
        </w:tabs>
        <w:suppressAutoHyphens/>
        <w:ind w:left="720" w:hanging="720"/>
      </w:pPr>
      <w:r w:rsidRPr="003456F6">
        <w:rPr>
          <w:b/>
          <w:caps/>
        </w:rPr>
        <w:t>Collections of Information Employing Statistical Methods</w:t>
      </w:r>
    </w:p>
    <w:p w:rsidR="008C52A8" w:rsidP="008C52A8" w:rsidRDefault="008C52A8" w14:paraId="4550C6F5" w14:textId="77777777">
      <w:pPr>
        <w:tabs>
          <w:tab w:val="left" w:pos="-8213"/>
          <w:tab w:val="left" w:pos="-7207"/>
          <w:tab w:val="left" w:pos="-7090"/>
          <w:tab w:val="left" w:pos="-3415"/>
          <w:tab w:val="left" w:pos="-3298"/>
          <w:tab w:val="left" w:pos="-2159"/>
          <w:tab w:val="left" w:pos="-2041"/>
        </w:tabs>
        <w:suppressAutoHyphens/>
        <w:ind w:left="720"/>
      </w:pPr>
    </w:p>
    <w:p w:rsidR="00221200" w:rsidP="008C52A8" w:rsidRDefault="00A70E51" w14:paraId="46ED6D9C" w14:textId="77777777">
      <w:pPr>
        <w:tabs>
          <w:tab w:val="left" w:pos="-8213"/>
          <w:tab w:val="left" w:pos="-7207"/>
          <w:tab w:val="left" w:pos="-7090"/>
          <w:tab w:val="left" w:pos="-3415"/>
          <w:tab w:val="left" w:pos="-3298"/>
          <w:tab w:val="left" w:pos="-2159"/>
          <w:tab w:val="left" w:pos="-2041"/>
        </w:tabs>
        <w:suppressAutoHyphens/>
        <w:ind w:left="720" w:hanging="720"/>
      </w:pPr>
      <w:r>
        <w:tab/>
      </w:r>
      <w:r w:rsidR="003A0D60">
        <w:t>This collection does n</w:t>
      </w:r>
      <w:bookmarkStart w:name="_GoBack" w:id="0"/>
      <w:bookmarkEnd w:id="0"/>
      <w:r w:rsidR="0063790D">
        <w:t>ot involve statistical methods.</w:t>
      </w:r>
      <w:r w:rsidR="003A0D60">
        <w:t xml:space="preserve">  </w:t>
      </w:r>
    </w:p>
    <w:sectPr w:rsidR="0022120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03364" w14:textId="77777777" w:rsidR="00B6503E" w:rsidRDefault="00B6503E" w:rsidP="00DD2B36">
      <w:r>
        <w:separator/>
      </w:r>
    </w:p>
  </w:endnote>
  <w:endnote w:type="continuationSeparator" w:id="0">
    <w:p w14:paraId="7AC3C4BB" w14:textId="77777777" w:rsidR="00B6503E" w:rsidRDefault="00B6503E" w:rsidP="00DD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62DB" w14:textId="000D0540" w:rsidR="008C52A8" w:rsidRDefault="00D25F1A" w:rsidP="00D54E63">
    <w:pPr>
      <w:pStyle w:val="Footer"/>
    </w:pPr>
    <w:r w:rsidRPr="00A70E51">
      <w:rPr>
        <w:i/>
        <w:sz w:val="20"/>
        <w:szCs w:val="20"/>
      </w:rPr>
      <w:t xml:space="preserve">OMB # </w:t>
    </w:r>
    <w:r w:rsidR="005E6458" w:rsidRPr="00A70E51">
      <w:rPr>
        <w:i/>
        <w:sz w:val="20"/>
        <w:szCs w:val="20"/>
      </w:rPr>
      <w:t>3133-0040</w:t>
    </w:r>
    <w:r w:rsidR="001F158A">
      <w:rPr>
        <w:i/>
        <w:sz w:val="20"/>
        <w:szCs w:val="20"/>
      </w:rPr>
      <w:t>;</w:t>
    </w:r>
    <w:r w:rsidRPr="00A70E51">
      <w:rPr>
        <w:i/>
        <w:sz w:val="20"/>
        <w:szCs w:val="20"/>
      </w:rPr>
      <w:t xml:space="preserve"> </w:t>
    </w:r>
    <w:r w:rsidR="00615942">
      <w:rPr>
        <w:i/>
        <w:sz w:val="20"/>
        <w:szCs w:val="20"/>
      </w:rPr>
      <w:t xml:space="preserve">September </w:t>
    </w:r>
    <w:r w:rsidR="005A5E1D">
      <w:rPr>
        <w:i/>
        <w:sz w:val="20"/>
        <w:szCs w:val="20"/>
      </w:rPr>
      <w:t>30</w:t>
    </w:r>
    <w:r w:rsidR="00615942">
      <w:rPr>
        <w:i/>
        <w:sz w:val="20"/>
        <w:szCs w:val="20"/>
      </w:rPr>
      <w:t>, 2020</w:t>
    </w:r>
    <w:r w:rsidR="00D54E63">
      <w:tab/>
    </w:r>
    <w:r w:rsidR="00D54E63">
      <w:tab/>
    </w:r>
    <w:sdt>
      <w:sdtPr>
        <w:id w:val="-985165216"/>
        <w:docPartObj>
          <w:docPartGallery w:val="Page Numbers (Bottom of Page)"/>
          <w:docPartUnique/>
        </w:docPartObj>
      </w:sdtPr>
      <w:sdtEndPr>
        <w:rPr>
          <w:noProof/>
        </w:rPr>
      </w:sdtEndPr>
      <w:sdtContent>
        <w:r w:rsidR="008C52A8">
          <w:fldChar w:fldCharType="begin"/>
        </w:r>
        <w:r w:rsidR="008C52A8">
          <w:instrText xml:space="preserve"> PAGE   \* MERGEFORMAT </w:instrText>
        </w:r>
        <w:r w:rsidR="008C52A8">
          <w:fldChar w:fldCharType="separate"/>
        </w:r>
        <w:r w:rsidR="00FB69D0">
          <w:rPr>
            <w:noProof/>
          </w:rPr>
          <w:t>1</w:t>
        </w:r>
        <w:r w:rsidR="008C52A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211E6" w14:textId="77777777" w:rsidR="00B6503E" w:rsidRDefault="00B6503E" w:rsidP="00DD2B36">
      <w:r>
        <w:separator/>
      </w:r>
    </w:p>
  </w:footnote>
  <w:footnote w:type="continuationSeparator" w:id="0">
    <w:p w14:paraId="6B48A9C0" w14:textId="77777777" w:rsidR="00B6503E" w:rsidRDefault="00B6503E" w:rsidP="00DD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E07CA"/>
    <w:multiLevelType w:val="hybridMultilevel"/>
    <w:tmpl w:val="536B9AE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701B16"/>
    <w:multiLevelType w:val="hybridMultilevel"/>
    <w:tmpl w:val="83443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B1BC1"/>
    <w:multiLevelType w:val="hybridMultilevel"/>
    <w:tmpl w:val="F398AC2C"/>
    <w:lvl w:ilvl="0" w:tplc="04090001">
      <w:start w:val="1"/>
      <w:numFmt w:val="bullet"/>
      <w:lvlText w:val=""/>
      <w:lvlJc w:val="left"/>
      <w:pPr>
        <w:ind w:left="3628" w:hanging="360"/>
      </w:pPr>
      <w:rPr>
        <w:rFonts w:ascii="Symbol" w:hAnsi="Symbol" w:hint="default"/>
        <w:b/>
        <w:u w:val="none"/>
      </w:rPr>
    </w:lvl>
    <w:lvl w:ilvl="1" w:tplc="04090003">
      <w:start w:val="1"/>
      <w:numFmt w:val="bullet"/>
      <w:lvlText w:val="o"/>
      <w:lvlJc w:val="left"/>
      <w:pPr>
        <w:ind w:left="4348" w:hanging="360"/>
      </w:pPr>
      <w:rPr>
        <w:rFonts w:ascii="Courier New" w:hAnsi="Courier New" w:cs="Courier New" w:hint="default"/>
      </w:rPr>
    </w:lvl>
    <w:lvl w:ilvl="2" w:tplc="04090005" w:tentative="1">
      <w:start w:val="1"/>
      <w:numFmt w:val="bullet"/>
      <w:lvlText w:val=""/>
      <w:lvlJc w:val="left"/>
      <w:pPr>
        <w:ind w:left="5068" w:hanging="360"/>
      </w:pPr>
      <w:rPr>
        <w:rFonts w:ascii="Wingdings" w:hAnsi="Wingdings" w:hint="default"/>
      </w:rPr>
    </w:lvl>
    <w:lvl w:ilvl="3" w:tplc="04090001" w:tentative="1">
      <w:start w:val="1"/>
      <w:numFmt w:val="bullet"/>
      <w:lvlText w:val=""/>
      <w:lvlJc w:val="left"/>
      <w:pPr>
        <w:ind w:left="5788" w:hanging="360"/>
      </w:pPr>
      <w:rPr>
        <w:rFonts w:ascii="Symbol" w:hAnsi="Symbol" w:hint="default"/>
      </w:rPr>
    </w:lvl>
    <w:lvl w:ilvl="4" w:tplc="04090003" w:tentative="1">
      <w:start w:val="1"/>
      <w:numFmt w:val="bullet"/>
      <w:lvlText w:val="o"/>
      <w:lvlJc w:val="left"/>
      <w:pPr>
        <w:ind w:left="6508" w:hanging="360"/>
      </w:pPr>
      <w:rPr>
        <w:rFonts w:ascii="Courier New" w:hAnsi="Courier New" w:cs="Courier New" w:hint="default"/>
      </w:rPr>
    </w:lvl>
    <w:lvl w:ilvl="5" w:tplc="04090005" w:tentative="1">
      <w:start w:val="1"/>
      <w:numFmt w:val="bullet"/>
      <w:lvlText w:val=""/>
      <w:lvlJc w:val="left"/>
      <w:pPr>
        <w:ind w:left="7228" w:hanging="360"/>
      </w:pPr>
      <w:rPr>
        <w:rFonts w:ascii="Wingdings" w:hAnsi="Wingdings" w:hint="default"/>
      </w:rPr>
    </w:lvl>
    <w:lvl w:ilvl="6" w:tplc="04090001" w:tentative="1">
      <w:start w:val="1"/>
      <w:numFmt w:val="bullet"/>
      <w:lvlText w:val=""/>
      <w:lvlJc w:val="left"/>
      <w:pPr>
        <w:ind w:left="7948" w:hanging="360"/>
      </w:pPr>
      <w:rPr>
        <w:rFonts w:ascii="Symbol" w:hAnsi="Symbol" w:hint="default"/>
      </w:rPr>
    </w:lvl>
    <w:lvl w:ilvl="7" w:tplc="04090003" w:tentative="1">
      <w:start w:val="1"/>
      <w:numFmt w:val="bullet"/>
      <w:lvlText w:val="o"/>
      <w:lvlJc w:val="left"/>
      <w:pPr>
        <w:ind w:left="8668" w:hanging="360"/>
      </w:pPr>
      <w:rPr>
        <w:rFonts w:ascii="Courier New" w:hAnsi="Courier New" w:cs="Courier New" w:hint="default"/>
      </w:rPr>
    </w:lvl>
    <w:lvl w:ilvl="8" w:tplc="04090005" w:tentative="1">
      <w:start w:val="1"/>
      <w:numFmt w:val="bullet"/>
      <w:lvlText w:val=""/>
      <w:lvlJc w:val="left"/>
      <w:pPr>
        <w:ind w:left="9388" w:hanging="360"/>
      </w:pPr>
      <w:rPr>
        <w:rFonts w:ascii="Wingdings" w:hAnsi="Wingdings" w:hint="default"/>
      </w:rPr>
    </w:lvl>
  </w:abstractNum>
  <w:abstractNum w:abstractNumId="8" w15:restartNumberingAfterBreak="0">
    <w:nsid w:val="4A4F0487"/>
    <w:multiLevelType w:val="hybridMultilevel"/>
    <w:tmpl w:val="4078CB5A"/>
    <w:lvl w:ilvl="0" w:tplc="44CA6F10">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E4F8A73E">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A5481F"/>
    <w:multiLevelType w:val="hybridMultilevel"/>
    <w:tmpl w:val="06E27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E1303C"/>
    <w:multiLevelType w:val="hybridMultilevel"/>
    <w:tmpl w:val="03008B4E"/>
    <w:lvl w:ilvl="0" w:tplc="FA62211E">
      <w:start w:val="10"/>
      <w:numFmt w:val="bullet"/>
      <w:lvlText w:val=""/>
      <w:lvlJc w:val="left"/>
      <w:pPr>
        <w:ind w:left="1080" w:hanging="360"/>
      </w:pPr>
      <w:rPr>
        <w:rFonts w:ascii="Wingdings" w:eastAsia="Times New Roman" w:hAnsi="Wingdings"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C34EC1"/>
    <w:multiLevelType w:val="hybridMultilevel"/>
    <w:tmpl w:val="09AED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412705"/>
    <w:multiLevelType w:val="hybridMultilevel"/>
    <w:tmpl w:val="0F1E7684"/>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073338D"/>
    <w:multiLevelType w:val="hybridMultilevel"/>
    <w:tmpl w:val="BE1A8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A0C2AB"/>
    <w:multiLevelType w:val="hybridMultilevel"/>
    <w:tmpl w:val="9507CD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8"/>
  </w:num>
  <w:num w:numId="3">
    <w:abstractNumId w:val="15"/>
  </w:num>
  <w:num w:numId="4">
    <w:abstractNumId w:val="3"/>
  </w:num>
  <w:num w:numId="5">
    <w:abstractNumId w:val="0"/>
  </w:num>
  <w:num w:numId="6">
    <w:abstractNumId w:val="7"/>
  </w:num>
  <w:num w:numId="7">
    <w:abstractNumId w:val="4"/>
  </w:num>
  <w:num w:numId="8">
    <w:abstractNumId w:val="2"/>
  </w:num>
  <w:num w:numId="9">
    <w:abstractNumId w:val="11"/>
  </w:num>
  <w:num w:numId="10">
    <w:abstractNumId w:val="14"/>
  </w:num>
  <w:num w:numId="11">
    <w:abstractNumId w:val="12"/>
  </w:num>
  <w:num w:numId="12">
    <w:abstractNumId w:val="16"/>
  </w:num>
  <w:num w:numId="13">
    <w:abstractNumId w:val="17"/>
  </w:num>
  <w:num w:numId="14">
    <w:abstractNumId w:val="18"/>
  </w:num>
  <w:num w:numId="15">
    <w:abstractNumId w:val="1"/>
  </w:num>
  <w:num w:numId="16">
    <w:abstractNumId w:val="9"/>
  </w:num>
  <w:num w:numId="17">
    <w:abstractNumId w:val="6"/>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6056"/>
    <w:rsid w:val="0002685E"/>
    <w:rsid w:val="00057157"/>
    <w:rsid w:val="0007637D"/>
    <w:rsid w:val="00080BAE"/>
    <w:rsid w:val="000F1B6A"/>
    <w:rsid w:val="00115189"/>
    <w:rsid w:val="0014602F"/>
    <w:rsid w:val="00151D71"/>
    <w:rsid w:val="00170206"/>
    <w:rsid w:val="001851D9"/>
    <w:rsid w:val="001C3A2E"/>
    <w:rsid w:val="001D4314"/>
    <w:rsid w:val="001F158A"/>
    <w:rsid w:val="00221200"/>
    <w:rsid w:val="00260B84"/>
    <w:rsid w:val="002745BE"/>
    <w:rsid w:val="00286DDB"/>
    <w:rsid w:val="002912EA"/>
    <w:rsid w:val="002A42C3"/>
    <w:rsid w:val="002B4C94"/>
    <w:rsid w:val="002C3934"/>
    <w:rsid w:val="00322127"/>
    <w:rsid w:val="003456F6"/>
    <w:rsid w:val="00363B26"/>
    <w:rsid w:val="00381567"/>
    <w:rsid w:val="00390EF5"/>
    <w:rsid w:val="0039486C"/>
    <w:rsid w:val="003A0D60"/>
    <w:rsid w:val="003A4C75"/>
    <w:rsid w:val="003C6394"/>
    <w:rsid w:val="003F51B8"/>
    <w:rsid w:val="003F5B39"/>
    <w:rsid w:val="00400389"/>
    <w:rsid w:val="00413E7A"/>
    <w:rsid w:val="00414E92"/>
    <w:rsid w:val="00460FF1"/>
    <w:rsid w:val="0046232E"/>
    <w:rsid w:val="004723DF"/>
    <w:rsid w:val="00477987"/>
    <w:rsid w:val="004901EC"/>
    <w:rsid w:val="00497E15"/>
    <w:rsid w:val="004D0FCD"/>
    <w:rsid w:val="004F06B3"/>
    <w:rsid w:val="004F2027"/>
    <w:rsid w:val="00545BEC"/>
    <w:rsid w:val="0057415C"/>
    <w:rsid w:val="00592A6E"/>
    <w:rsid w:val="005A11C5"/>
    <w:rsid w:val="005A5E1D"/>
    <w:rsid w:val="005B3254"/>
    <w:rsid w:val="005B705A"/>
    <w:rsid w:val="005E6458"/>
    <w:rsid w:val="005F7B57"/>
    <w:rsid w:val="00615942"/>
    <w:rsid w:val="0063790D"/>
    <w:rsid w:val="006549EA"/>
    <w:rsid w:val="006916B9"/>
    <w:rsid w:val="006923ED"/>
    <w:rsid w:val="006A13C5"/>
    <w:rsid w:val="006A31AF"/>
    <w:rsid w:val="006B4760"/>
    <w:rsid w:val="006C37DD"/>
    <w:rsid w:val="006D004E"/>
    <w:rsid w:val="006E030D"/>
    <w:rsid w:val="006E78AA"/>
    <w:rsid w:val="00707050"/>
    <w:rsid w:val="007662E8"/>
    <w:rsid w:val="007920D9"/>
    <w:rsid w:val="007C7AE6"/>
    <w:rsid w:val="007E401A"/>
    <w:rsid w:val="008125F4"/>
    <w:rsid w:val="00823C4E"/>
    <w:rsid w:val="00880DFA"/>
    <w:rsid w:val="008911A9"/>
    <w:rsid w:val="008A129B"/>
    <w:rsid w:val="008B1BB5"/>
    <w:rsid w:val="008C52A8"/>
    <w:rsid w:val="008E76D5"/>
    <w:rsid w:val="00905B30"/>
    <w:rsid w:val="009214AE"/>
    <w:rsid w:val="009C2940"/>
    <w:rsid w:val="009F36D3"/>
    <w:rsid w:val="00A1541A"/>
    <w:rsid w:val="00A2434C"/>
    <w:rsid w:val="00A25AC4"/>
    <w:rsid w:val="00A70E51"/>
    <w:rsid w:val="00A80C18"/>
    <w:rsid w:val="00A8264A"/>
    <w:rsid w:val="00A95941"/>
    <w:rsid w:val="00AC2EA0"/>
    <w:rsid w:val="00AC3D79"/>
    <w:rsid w:val="00AF6397"/>
    <w:rsid w:val="00B16912"/>
    <w:rsid w:val="00B3209E"/>
    <w:rsid w:val="00B36D73"/>
    <w:rsid w:val="00B6503E"/>
    <w:rsid w:val="00B9392F"/>
    <w:rsid w:val="00BD05D1"/>
    <w:rsid w:val="00BD56E2"/>
    <w:rsid w:val="00C27C5B"/>
    <w:rsid w:val="00C371A1"/>
    <w:rsid w:val="00C7406B"/>
    <w:rsid w:val="00CC100B"/>
    <w:rsid w:val="00D206DA"/>
    <w:rsid w:val="00D25F1A"/>
    <w:rsid w:val="00D26246"/>
    <w:rsid w:val="00D33ADF"/>
    <w:rsid w:val="00D47545"/>
    <w:rsid w:val="00D477BB"/>
    <w:rsid w:val="00D54E63"/>
    <w:rsid w:val="00D76C00"/>
    <w:rsid w:val="00DD2B36"/>
    <w:rsid w:val="00E05F70"/>
    <w:rsid w:val="00E13243"/>
    <w:rsid w:val="00E24CCB"/>
    <w:rsid w:val="00E43C79"/>
    <w:rsid w:val="00E620B8"/>
    <w:rsid w:val="00E66C12"/>
    <w:rsid w:val="00F10F94"/>
    <w:rsid w:val="00F16A75"/>
    <w:rsid w:val="00FB69D0"/>
    <w:rsid w:val="00FC5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D03AC31"/>
  <w15:docId w15:val="{12DA1141-45BD-488B-A01C-A250AA4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semiHidden/>
    <w:rsid w:val="00DD2B36"/>
    <w:rPr>
      <w:rFonts w:ascii="Arial" w:hAnsi="Arial" w:cs="Arial"/>
      <w:sz w:val="20"/>
      <w:szCs w:val="20"/>
    </w:rPr>
  </w:style>
  <w:style w:type="character" w:customStyle="1" w:styleId="FootnoteTextChar">
    <w:name w:val="Footnote Text Char"/>
    <w:basedOn w:val="DefaultParagraphFont"/>
    <w:link w:val="FootnoteText"/>
    <w:semiHidden/>
    <w:rsid w:val="00DD2B36"/>
    <w:rPr>
      <w:rFonts w:ascii="Arial" w:eastAsia="Times New Roman" w:hAnsi="Arial" w:cs="Arial"/>
      <w:sz w:val="20"/>
      <w:szCs w:val="20"/>
    </w:rPr>
  </w:style>
  <w:style w:type="character" w:styleId="FootnoteReference">
    <w:name w:val="footnote reference"/>
    <w:basedOn w:val="DefaultParagraphFont"/>
    <w:semiHidden/>
    <w:rsid w:val="00DD2B36"/>
    <w:rPr>
      <w:rFonts w:cs="Times New Roman"/>
      <w:vertAlign w:val="superscript"/>
    </w:rPr>
  </w:style>
  <w:style w:type="paragraph" w:styleId="BalloonText">
    <w:name w:val="Balloon Text"/>
    <w:basedOn w:val="Normal"/>
    <w:link w:val="BalloonTextChar"/>
    <w:uiPriority w:val="99"/>
    <w:semiHidden/>
    <w:unhideWhenUsed/>
    <w:rsid w:val="0057415C"/>
    <w:rPr>
      <w:rFonts w:ascii="Tahoma" w:hAnsi="Tahoma" w:cs="Tahoma"/>
      <w:sz w:val="16"/>
      <w:szCs w:val="16"/>
    </w:rPr>
  </w:style>
  <w:style w:type="character" w:customStyle="1" w:styleId="BalloonTextChar">
    <w:name w:val="Balloon Text Char"/>
    <w:basedOn w:val="DefaultParagraphFont"/>
    <w:link w:val="BalloonText"/>
    <w:uiPriority w:val="99"/>
    <w:semiHidden/>
    <w:rsid w:val="005741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7415C"/>
    <w:rPr>
      <w:sz w:val="16"/>
      <w:szCs w:val="16"/>
    </w:rPr>
  </w:style>
  <w:style w:type="paragraph" w:styleId="CommentText">
    <w:name w:val="annotation text"/>
    <w:basedOn w:val="Normal"/>
    <w:link w:val="CommentTextChar"/>
    <w:uiPriority w:val="99"/>
    <w:semiHidden/>
    <w:unhideWhenUsed/>
    <w:rsid w:val="0057415C"/>
    <w:rPr>
      <w:sz w:val="20"/>
      <w:szCs w:val="20"/>
    </w:rPr>
  </w:style>
  <w:style w:type="character" w:customStyle="1" w:styleId="CommentTextChar">
    <w:name w:val="Comment Text Char"/>
    <w:basedOn w:val="DefaultParagraphFont"/>
    <w:link w:val="CommentText"/>
    <w:uiPriority w:val="99"/>
    <w:semiHidden/>
    <w:rsid w:val="00574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415C"/>
    <w:rPr>
      <w:b/>
      <w:bCs/>
    </w:rPr>
  </w:style>
  <w:style w:type="character" w:customStyle="1" w:styleId="CommentSubjectChar">
    <w:name w:val="Comment Subject Char"/>
    <w:basedOn w:val="CommentTextChar"/>
    <w:link w:val="CommentSubject"/>
    <w:uiPriority w:val="99"/>
    <w:semiHidden/>
    <w:rsid w:val="0057415C"/>
    <w:rPr>
      <w:rFonts w:ascii="Times New Roman" w:eastAsia="Times New Roman" w:hAnsi="Times New Roman" w:cs="Times New Roman"/>
      <w:b/>
      <w:bCs/>
      <w:sz w:val="20"/>
      <w:szCs w:val="20"/>
    </w:rPr>
  </w:style>
  <w:style w:type="paragraph" w:customStyle="1" w:styleId="Default">
    <w:name w:val="Default"/>
    <w:rsid w:val="000F1B6A"/>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Revision">
    <w:name w:val="Revision"/>
    <w:hidden/>
    <w:uiPriority w:val="99"/>
    <w:semiHidden/>
    <w:rsid w:val="00390E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52A8"/>
    <w:pPr>
      <w:tabs>
        <w:tab w:val="center" w:pos="4680"/>
        <w:tab w:val="right" w:pos="9360"/>
      </w:tabs>
    </w:pPr>
  </w:style>
  <w:style w:type="character" w:customStyle="1" w:styleId="HeaderChar">
    <w:name w:val="Header Char"/>
    <w:basedOn w:val="DefaultParagraphFont"/>
    <w:link w:val="Header"/>
    <w:uiPriority w:val="99"/>
    <w:rsid w:val="008C52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2A8"/>
    <w:pPr>
      <w:tabs>
        <w:tab w:val="center" w:pos="4680"/>
        <w:tab w:val="right" w:pos="9360"/>
      </w:tabs>
    </w:pPr>
  </w:style>
  <w:style w:type="character" w:customStyle="1" w:styleId="FooterChar">
    <w:name w:val="Footer Char"/>
    <w:basedOn w:val="DefaultParagraphFont"/>
    <w:link w:val="Footer"/>
    <w:uiPriority w:val="99"/>
    <w:rsid w:val="008C52A8"/>
    <w:rPr>
      <w:rFonts w:ascii="Times New Roman" w:eastAsia="Times New Roman" w:hAnsi="Times New Roman" w:cs="Times New Roman"/>
      <w:sz w:val="24"/>
      <w:szCs w:val="24"/>
    </w:rPr>
  </w:style>
  <w:style w:type="character" w:styleId="Emphasis">
    <w:name w:val="Emphasis"/>
    <w:basedOn w:val="DefaultParagraphFont"/>
    <w:uiPriority w:val="20"/>
    <w:qFormat/>
    <w:rsid w:val="008E7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1536">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F7EE1-A379-47CD-AEBF-2652236A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Malaka, Mackie</cp:lastModifiedBy>
  <cp:revision>5</cp:revision>
  <cp:lastPrinted>2016-04-25T18:54:00Z</cp:lastPrinted>
  <dcterms:created xsi:type="dcterms:W3CDTF">2020-09-22T14:30:00Z</dcterms:created>
  <dcterms:modified xsi:type="dcterms:W3CDTF">2020-10-01T01:33:00Z</dcterms:modified>
</cp:coreProperties>
</file>