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6395" w:rsidP="690E3277" w:rsidRDefault="4CB0751A" w14:paraId="780F29E6" w14:textId="421776E9">
      <w:pPr>
        <w:jc w:val="center"/>
        <w:rPr>
          <w:rFonts w:ascii="Arial" w:hAnsi="Arial"/>
          <w:sz w:val="22"/>
          <w:szCs w:val="22"/>
        </w:rPr>
      </w:pPr>
      <w:r w:rsidRPr="690E3277">
        <w:rPr>
          <w:rFonts w:ascii="Arial" w:hAnsi="Arial"/>
          <w:sz w:val="22"/>
          <w:szCs w:val="22"/>
        </w:rPr>
        <w:t>FINAL</w:t>
      </w:r>
      <w:r w:rsidRPr="690E3277" w:rsidR="000D2AD9">
        <w:rPr>
          <w:rFonts w:ascii="Arial" w:hAnsi="Arial"/>
          <w:sz w:val="22"/>
          <w:szCs w:val="22"/>
        </w:rPr>
        <w:t xml:space="preserve"> </w:t>
      </w:r>
      <w:r w:rsidRPr="690E3277" w:rsidR="006F6395">
        <w:rPr>
          <w:rFonts w:ascii="Arial" w:hAnsi="Arial"/>
          <w:sz w:val="22"/>
          <w:szCs w:val="22"/>
        </w:rPr>
        <w:t>SUPPORTING STATEMENT FOR</w:t>
      </w:r>
    </w:p>
    <w:p w:rsidR="00403776" w:rsidP="009A40B2" w:rsidRDefault="00170607" w14:paraId="6FB9731D" w14:textId="77777777">
      <w:pPr>
        <w:jc w:val="center"/>
        <w:rPr>
          <w:rFonts w:ascii="Arial" w:hAnsi="Arial"/>
          <w:sz w:val="22"/>
        </w:rPr>
      </w:pPr>
      <w:r w:rsidRPr="00170607">
        <w:rPr>
          <w:rFonts w:ascii="Arial" w:hAnsi="Arial"/>
          <w:sz w:val="22"/>
        </w:rPr>
        <w:t>C</w:t>
      </w:r>
      <w:r>
        <w:rPr>
          <w:rFonts w:ascii="Arial" w:hAnsi="Arial"/>
          <w:sz w:val="22"/>
        </w:rPr>
        <w:t>OMPREHENSIVE DECOMMISSIONING PROGRAM</w:t>
      </w:r>
      <w:r w:rsidR="009A40B2">
        <w:rPr>
          <w:rFonts w:ascii="Arial" w:hAnsi="Arial"/>
          <w:sz w:val="22"/>
        </w:rPr>
        <w:t xml:space="preserve"> ANNUAL </w:t>
      </w:r>
    </w:p>
    <w:p w:rsidR="00717042" w:rsidP="00B15FCF" w:rsidRDefault="009A40B2" w14:paraId="410B1BBB" w14:textId="41C9B22B">
      <w:pPr>
        <w:jc w:val="center"/>
        <w:rPr>
          <w:rFonts w:ascii="Arial" w:hAnsi="Arial"/>
          <w:sz w:val="22"/>
        </w:rPr>
      </w:pPr>
      <w:r>
        <w:rPr>
          <w:rFonts w:ascii="Arial" w:hAnsi="Arial"/>
          <w:sz w:val="22"/>
        </w:rPr>
        <w:t>SITE LIST AND POINT OF CONTACT E</w:t>
      </w:r>
      <w:r w:rsidR="00FE274B">
        <w:rPr>
          <w:rFonts w:ascii="Arial" w:hAnsi="Arial"/>
          <w:sz w:val="22"/>
        </w:rPr>
        <w:t>XTENSION</w:t>
      </w:r>
    </w:p>
    <w:p w:rsidRPr="00DD391B" w:rsidR="00DD391B" w:rsidP="00DD391B" w:rsidRDefault="00DD391B" w14:paraId="3459BB2C" w14:textId="77777777">
      <w:pPr>
        <w:jc w:val="center"/>
        <w:rPr>
          <w:rFonts w:ascii="Arial" w:hAnsi="Arial"/>
          <w:sz w:val="22"/>
        </w:rPr>
      </w:pPr>
    </w:p>
    <w:p w:rsidR="00DD391B" w:rsidP="00DD391B" w:rsidRDefault="00DD391B" w14:paraId="3C96D1DF" w14:textId="3331C891">
      <w:pPr>
        <w:jc w:val="center"/>
        <w:rPr>
          <w:rFonts w:ascii="Arial" w:hAnsi="Arial"/>
          <w:sz w:val="22"/>
        </w:rPr>
      </w:pPr>
      <w:r w:rsidRPr="00DD391B">
        <w:rPr>
          <w:rFonts w:ascii="Arial" w:hAnsi="Arial"/>
          <w:sz w:val="22"/>
        </w:rPr>
        <w:t>REVISION</w:t>
      </w:r>
    </w:p>
    <w:p w:rsidR="00DD391B" w:rsidP="00DD391B" w:rsidRDefault="00DD391B" w14:paraId="17E82B22" w14:textId="77777777">
      <w:pPr>
        <w:jc w:val="center"/>
        <w:rPr>
          <w:rFonts w:ascii="Arial" w:hAnsi="Arial"/>
          <w:sz w:val="22"/>
        </w:rPr>
      </w:pPr>
    </w:p>
    <w:p w:rsidR="006F6395" w:rsidP="00717042" w:rsidRDefault="00717042" w14:paraId="6233BCA2" w14:textId="244076EE">
      <w:pPr>
        <w:jc w:val="center"/>
        <w:rPr>
          <w:rFonts w:ascii="Arial" w:hAnsi="Arial"/>
          <w:sz w:val="22"/>
        </w:rPr>
      </w:pPr>
      <w:r>
        <w:rPr>
          <w:rFonts w:ascii="Arial" w:hAnsi="Arial"/>
          <w:sz w:val="22"/>
        </w:rPr>
        <w:t>(</w:t>
      </w:r>
      <w:r w:rsidR="006F6395">
        <w:rPr>
          <w:rFonts w:ascii="Arial" w:hAnsi="Arial"/>
          <w:sz w:val="22"/>
        </w:rPr>
        <w:t>3150-</w:t>
      </w:r>
      <w:r>
        <w:rPr>
          <w:rFonts w:ascii="Arial" w:hAnsi="Arial"/>
          <w:sz w:val="22"/>
        </w:rPr>
        <w:t>0206)</w:t>
      </w:r>
    </w:p>
    <w:p w:rsidR="005574AE" w:rsidP="006F6395" w:rsidRDefault="005574AE" w14:paraId="75D87BAC" w14:textId="77777777">
      <w:pPr>
        <w:rPr>
          <w:rFonts w:ascii="Arial" w:hAnsi="Arial"/>
          <w:sz w:val="22"/>
        </w:rPr>
      </w:pPr>
    </w:p>
    <w:p w:rsidR="006F6395" w:rsidP="007D5EA7" w:rsidRDefault="006F6395" w14:paraId="0D0D7A1C" w14:textId="77777777">
      <w:pPr>
        <w:outlineLvl w:val="0"/>
        <w:rPr>
          <w:rFonts w:ascii="Arial" w:hAnsi="Arial"/>
          <w:sz w:val="22"/>
          <w:u w:val="single"/>
        </w:rPr>
      </w:pPr>
      <w:r>
        <w:rPr>
          <w:rFonts w:ascii="Arial" w:hAnsi="Arial"/>
          <w:sz w:val="22"/>
          <w:u w:val="single"/>
        </w:rPr>
        <w:t>Description of the Information Collection</w:t>
      </w:r>
    </w:p>
    <w:p w:rsidR="006F6395" w:rsidP="006F6395" w:rsidRDefault="006F6395" w14:paraId="59124B21" w14:textId="77777777">
      <w:pPr>
        <w:rPr>
          <w:rFonts w:ascii="Arial" w:hAnsi="Arial"/>
          <w:sz w:val="22"/>
        </w:rPr>
      </w:pPr>
    </w:p>
    <w:p w:rsidR="006F6395" w:rsidP="006F6395" w:rsidRDefault="006F6395" w14:paraId="4E557690" w14:textId="17B26E0D">
      <w:pPr>
        <w:rPr>
          <w:rFonts w:ascii="Arial" w:hAnsi="Arial"/>
          <w:sz w:val="22"/>
        </w:rPr>
      </w:pPr>
      <w:r>
        <w:rPr>
          <w:rFonts w:ascii="Arial" w:hAnsi="Arial"/>
          <w:sz w:val="22"/>
        </w:rPr>
        <w:t>Section 274 of the Atomic Energy Act recognizes the need and establishment of programs for cooperation between the U.S. Nuclear Regulatory Commission (NRC) and the States to control the radiation hazards associated with the use of radioactive materials.  To further the objective of cooperation in the decommissioning program area</w:t>
      </w:r>
      <w:r w:rsidR="00EE432C">
        <w:rPr>
          <w:rFonts w:ascii="Arial" w:hAnsi="Arial"/>
          <w:sz w:val="22"/>
        </w:rPr>
        <w:t xml:space="preserve"> </w:t>
      </w:r>
      <w:r w:rsidR="00AB2FDC">
        <w:rPr>
          <w:rFonts w:ascii="Arial" w:hAnsi="Arial"/>
          <w:sz w:val="22"/>
        </w:rPr>
        <w:t xml:space="preserve">on an annual basis </w:t>
      </w:r>
      <w:r>
        <w:rPr>
          <w:rFonts w:ascii="Arial" w:hAnsi="Arial"/>
          <w:sz w:val="22"/>
        </w:rPr>
        <w:t xml:space="preserve">Agreement States will be asked to provide </w:t>
      </w:r>
      <w:r w:rsidR="00DF1BAE">
        <w:rPr>
          <w:rFonts w:ascii="Arial" w:hAnsi="Arial"/>
          <w:sz w:val="22"/>
        </w:rPr>
        <w:t xml:space="preserve">a </w:t>
      </w:r>
      <w:r w:rsidR="004B28F9">
        <w:rPr>
          <w:rFonts w:ascii="Arial" w:hAnsi="Arial"/>
          <w:sz w:val="22"/>
        </w:rPr>
        <w:t>list of sites undergoing decommissioning</w:t>
      </w:r>
      <w:r w:rsidR="00922460">
        <w:rPr>
          <w:rFonts w:ascii="Arial" w:hAnsi="Arial"/>
          <w:sz w:val="22"/>
        </w:rPr>
        <w:t>,</w:t>
      </w:r>
      <w:r w:rsidR="004B28F9">
        <w:rPr>
          <w:rFonts w:ascii="Arial" w:hAnsi="Arial"/>
          <w:sz w:val="22"/>
        </w:rPr>
        <w:t xml:space="preserve"> and a </w:t>
      </w:r>
      <w:r w:rsidR="00C25638">
        <w:rPr>
          <w:rFonts w:ascii="Arial" w:hAnsi="Arial"/>
          <w:sz w:val="22"/>
        </w:rPr>
        <w:t xml:space="preserve">point of </w:t>
      </w:r>
      <w:r w:rsidR="00DF1BAE">
        <w:rPr>
          <w:rFonts w:ascii="Arial" w:hAnsi="Arial"/>
          <w:sz w:val="22"/>
        </w:rPr>
        <w:t xml:space="preserve">contact for </w:t>
      </w:r>
      <w:r>
        <w:rPr>
          <w:rFonts w:ascii="Arial" w:hAnsi="Arial"/>
          <w:sz w:val="22"/>
        </w:rPr>
        <w:t xml:space="preserve">information about uranium recovery and complex sites undergoing decommissioning </w:t>
      </w:r>
      <w:r w:rsidR="00922460">
        <w:rPr>
          <w:rFonts w:ascii="Arial" w:hAnsi="Arial"/>
          <w:sz w:val="22"/>
        </w:rPr>
        <w:t xml:space="preserve">that are </w:t>
      </w:r>
      <w:r>
        <w:rPr>
          <w:rFonts w:ascii="Arial" w:hAnsi="Arial"/>
          <w:sz w:val="22"/>
        </w:rPr>
        <w:t xml:space="preserve">regulated by the Agreement States.  The information request will allow the NRC to compile, in a centralized location, </w:t>
      </w:r>
      <w:r w:rsidR="00C25638">
        <w:rPr>
          <w:rFonts w:ascii="Arial" w:hAnsi="Arial"/>
          <w:sz w:val="22"/>
        </w:rPr>
        <w:t xml:space="preserve">a list of </w:t>
      </w:r>
      <w:r w:rsidR="004B28F9">
        <w:rPr>
          <w:rFonts w:ascii="Arial" w:hAnsi="Arial"/>
          <w:sz w:val="22"/>
        </w:rPr>
        <w:t xml:space="preserve">sites and points of </w:t>
      </w:r>
      <w:r w:rsidR="00C25638">
        <w:rPr>
          <w:rFonts w:ascii="Arial" w:hAnsi="Arial"/>
          <w:sz w:val="22"/>
        </w:rPr>
        <w:t>contact who can provide information regarding</w:t>
      </w:r>
      <w:r>
        <w:rPr>
          <w:rFonts w:ascii="Arial" w:hAnsi="Arial"/>
          <w:sz w:val="22"/>
        </w:rPr>
        <w:t xml:space="preserve"> </w:t>
      </w:r>
      <w:r w:rsidR="00C25638">
        <w:rPr>
          <w:rFonts w:ascii="Arial" w:hAnsi="Arial"/>
          <w:sz w:val="22"/>
        </w:rPr>
        <w:t xml:space="preserve">Agreement State sites undergoing </w:t>
      </w:r>
      <w:r>
        <w:rPr>
          <w:rFonts w:ascii="Arial" w:hAnsi="Arial"/>
          <w:sz w:val="22"/>
        </w:rPr>
        <w:t>decommissioning in the United States.</w:t>
      </w:r>
    </w:p>
    <w:p w:rsidR="006F6395" w:rsidP="006F6395" w:rsidRDefault="006F6395" w14:paraId="3FB24329" w14:textId="77777777">
      <w:pPr>
        <w:rPr>
          <w:rFonts w:ascii="Arial" w:hAnsi="Arial"/>
          <w:sz w:val="22"/>
        </w:rPr>
      </w:pPr>
    </w:p>
    <w:p w:rsidR="006F6395" w:rsidP="006F6395" w:rsidRDefault="006F6395" w14:paraId="34C7555C" w14:textId="77777777">
      <w:pPr>
        <w:pStyle w:val="Custom1"/>
        <w:widowControl/>
        <w:numPr>
          <w:ilvl w:val="0"/>
          <w:numId w:val="2"/>
        </w:numPr>
        <w:ind w:left="720" w:hanging="720"/>
        <w:rPr>
          <w:rFonts w:ascii="Arial" w:hAnsi="Arial"/>
          <w:sz w:val="22"/>
        </w:rPr>
      </w:pPr>
      <w:r>
        <w:rPr>
          <w:rFonts w:ascii="Arial" w:hAnsi="Arial"/>
          <w:sz w:val="22"/>
        </w:rPr>
        <w:tab/>
        <w:t>JUSTIFICATION</w:t>
      </w:r>
    </w:p>
    <w:p w:rsidR="006F6395" w:rsidP="006F6395" w:rsidRDefault="006F6395" w14:paraId="5E227F9D" w14:textId="77777777">
      <w:pPr>
        <w:rPr>
          <w:rFonts w:ascii="Arial" w:hAnsi="Arial"/>
          <w:sz w:val="22"/>
          <w:u w:val="single"/>
        </w:rPr>
      </w:pPr>
    </w:p>
    <w:p w:rsidR="006F6395" w:rsidP="006F6395" w:rsidRDefault="006F6395" w14:paraId="6C869807" w14:textId="77777777">
      <w:pPr>
        <w:ind w:left="1440" w:hanging="720"/>
        <w:rPr>
          <w:rFonts w:ascii="Arial" w:hAnsi="Arial"/>
          <w:sz w:val="22"/>
          <w:u w:val="single"/>
        </w:rPr>
      </w:pPr>
      <w:r>
        <w:rPr>
          <w:rFonts w:ascii="Arial" w:hAnsi="Arial"/>
          <w:sz w:val="22"/>
        </w:rPr>
        <w:t>1.</w:t>
      </w:r>
      <w:r>
        <w:rPr>
          <w:rFonts w:ascii="Arial" w:hAnsi="Arial"/>
          <w:sz w:val="22"/>
        </w:rPr>
        <w:tab/>
      </w:r>
      <w:r>
        <w:rPr>
          <w:rFonts w:ascii="Arial" w:hAnsi="Arial"/>
          <w:sz w:val="22"/>
          <w:u w:val="single"/>
        </w:rPr>
        <w:t>Need for and Practical Utility of the Collection Information</w:t>
      </w:r>
    </w:p>
    <w:p w:rsidR="005574AE" w:rsidP="006F6395" w:rsidRDefault="005574AE" w14:paraId="02833743" w14:textId="77777777">
      <w:pPr>
        <w:ind w:left="1440" w:hanging="720"/>
        <w:rPr>
          <w:rFonts w:ascii="Arial" w:hAnsi="Arial"/>
          <w:sz w:val="22"/>
        </w:rPr>
      </w:pPr>
    </w:p>
    <w:p w:rsidR="006F6395" w:rsidP="006F6395" w:rsidRDefault="006F6395" w14:paraId="7EEBBC69" w14:textId="27A6697D">
      <w:pPr>
        <w:ind w:left="1440"/>
        <w:rPr>
          <w:rFonts w:ascii="Arial" w:hAnsi="Arial"/>
          <w:sz w:val="22"/>
        </w:rPr>
      </w:pPr>
      <w:r>
        <w:rPr>
          <w:rFonts w:ascii="Arial" w:hAnsi="Arial"/>
          <w:sz w:val="22"/>
        </w:rPr>
        <w:t>In 1959, Section 274 of the Atomic Energy Act was enacted to provide a statutory basis under which the Federal Government could relinquish to the States portions of its regulatory authority.  The amendments made it possible for the States to license and regulate byproduct, source material, and small quantities of special nuclear material including the decommissioning of materials facilities (nuclear reactors were excluded) that possess, process or otherwise handle radioactive materials.  The mechanism for the transfer of NRC's authority to a State is an agreement between the Governor of the State and the NRC.  T</w:t>
      </w:r>
      <w:r w:rsidR="00871E68">
        <w:rPr>
          <w:rFonts w:ascii="Arial" w:hAnsi="Arial"/>
          <w:sz w:val="22"/>
        </w:rPr>
        <w:t>o date, t</w:t>
      </w:r>
      <w:r>
        <w:rPr>
          <w:rFonts w:ascii="Arial" w:hAnsi="Arial"/>
          <w:sz w:val="22"/>
        </w:rPr>
        <w:t xml:space="preserve">here are </w:t>
      </w:r>
      <w:r w:rsidR="006502AC">
        <w:rPr>
          <w:rFonts w:ascii="Arial" w:hAnsi="Arial"/>
          <w:sz w:val="22"/>
        </w:rPr>
        <w:t xml:space="preserve">39 </w:t>
      </w:r>
      <w:r>
        <w:rPr>
          <w:rFonts w:ascii="Arial" w:hAnsi="Arial"/>
          <w:sz w:val="22"/>
        </w:rPr>
        <w:t>Agreement States.</w:t>
      </w:r>
      <w:r w:rsidR="005518A8">
        <w:rPr>
          <w:rStyle w:val="FootnoteReference"/>
          <w:rFonts w:ascii="Arial" w:hAnsi="Arial"/>
          <w:sz w:val="22"/>
        </w:rPr>
        <w:footnoteReference w:id="1"/>
      </w:r>
      <w:r>
        <w:rPr>
          <w:rFonts w:ascii="Arial" w:hAnsi="Arial"/>
          <w:sz w:val="22"/>
        </w:rPr>
        <w:t xml:space="preserve">  Currently, there are a number of </w:t>
      </w:r>
      <w:r w:rsidR="00C25638">
        <w:rPr>
          <w:rFonts w:ascii="Arial" w:hAnsi="Arial"/>
          <w:sz w:val="22"/>
        </w:rPr>
        <w:t xml:space="preserve">sites </w:t>
      </w:r>
      <w:r>
        <w:rPr>
          <w:rFonts w:ascii="Arial" w:hAnsi="Arial"/>
          <w:sz w:val="22"/>
        </w:rPr>
        <w:t xml:space="preserve">that are undergoing </w:t>
      </w:r>
      <w:r w:rsidR="001F357A">
        <w:rPr>
          <w:rFonts w:ascii="Arial" w:hAnsi="Arial"/>
          <w:sz w:val="22"/>
        </w:rPr>
        <w:t xml:space="preserve">decommissioning </w:t>
      </w:r>
      <w:r>
        <w:rPr>
          <w:rFonts w:ascii="Arial" w:hAnsi="Arial"/>
          <w:sz w:val="22"/>
        </w:rPr>
        <w:t xml:space="preserve">under the jurisdiction of the Agreement States.  As part of the NRC’s comprehensive decommissioning program, </w:t>
      </w:r>
      <w:r w:rsidR="00605E1A">
        <w:rPr>
          <w:rFonts w:ascii="Arial" w:hAnsi="Arial"/>
          <w:sz w:val="22"/>
        </w:rPr>
        <w:t xml:space="preserve">a </w:t>
      </w:r>
      <w:r w:rsidR="00FD628F">
        <w:rPr>
          <w:rFonts w:ascii="Arial" w:hAnsi="Arial"/>
          <w:sz w:val="22"/>
        </w:rPr>
        <w:t xml:space="preserve">list of sites undergoing decommissioning and </w:t>
      </w:r>
      <w:r w:rsidR="00C25638">
        <w:rPr>
          <w:rFonts w:ascii="Arial" w:hAnsi="Arial"/>
          <w:sz w:val="22"/>
        </w:rPr>
        <w:t xml:space="preserve">point of </w:t>
      </w:r>
      <w:r w:rsidR="00605E1A">
        <w:rPr>
          <w:rFonts w:ascii="Arial" w:hAnsi="Arial"/>
          <w:sz w:val="22"/>
        </w:rPr>
        <w:t xml:space="preserve">contact for </w:t>
      </w:r>
      <w:r>
        <w:rPr>
          <w:rFonts w:ascii="Arial" w:hAnsi="Arial"/>
          <w:sz w:val="22"/>
        </w:rPr>
        <w:t>information about uranium recovery and complex</w:t>
      </w:r>
      <w:r w:rsidR="00082AFD">
        <w:rPr>
          <w:rFonts w:ascii="Arial" w:hAnsi="Arial"/>
          <w:sz w:val="22"/>
        </w:rPr>
        <w:t xml:space="preserve"> materials</w:t>
      </w:r>
      <w:r>
        <w:rPr>
          <w:rFonts w:ascii="Arial" w:hAnsi="Arial"/>
          <w:sz w:val="22"/>
        </w:rPr>
        <w:t xml:space="preserve"> sites undergoing decommissioning under the jurisdiction of the Agreement States, is being requested by the NRC.</w:t>
      </w:r>
    </w:p>
    <w:p w:rsidR="006F6395" w:rsidP="006F6395" w:rsidRDefault="006F6395" w14:paraId="34A7F565" w14:textId="77777777">
      <w:pPr>
        <w:rPr>
          <w:rFonts w:ascii="Arial" w:hAnsi="Arial"/>
          <w:sz w:val="22"/>
        </w:rPr>
      </w:pPr>
      <w:r>
        <w:rPr>
          <w:rFonts w:ascii="Arial" w:hAnsi="Arial"/>
          <w:sz w:val="22"/>
        </w:rPr>
        <w:t xml:space="preserve"> </w:t>
      </w:r>
    </w:p>
    <w:p w:rsidR="006F6395" w:rsidP="006F6395" w:rsidRDefault="006F6395" w14:paraId="2A7DE7CE" w14:textId="0901B5D8">
      <w:pPr>
        <w:ind w:left="1440"/>
        <w:rPr>
          <w:rFonts w:ascii="Arial" w:hAnsi="Arial"/>
          <w:sz w:val="22"/>
        </w:rPr>
      </w:pPr>
      <w:r>
        <w:rPr>
          <w:rFonts w:ascii="Arial" w:hAnsi="Arial"/>
          <w:sz w:val="22"/>
        </w:rPr>
        <w:t xml:space="preserve">This </w:t>
      </w:r>
      <w:r w:rsidR="003B2E84">
        <w:rPr>
          <w:rFonts w:ascii="Arial" w:hAnsi="Arial"/>
          <w:sz w:val="22"/>
        </w:rPr>
        <w:t xml:space="preserve">information </w:t>
      </w:r>
      <w:r>
        <w:rPr>
          <w:rFonts w:ascii="Arial" w:hAnsi="Arial"/>
          <w:sz w:val="22"/>
        </w:rPr>
        <w:t xml:space="preserve">will be used </w:t>
      </w:r>
      <w:r w:rsidR="004B28F9">
        <w:rPr>
          <w:rFonts w:ascii="Arial" w:hAnsi="Arial"/>
          <w:sz w:val="22"/>
        </w:rPr>
        <w:t xml:space="preserve">by </w:t>
      </w:r>
      <w:r>
        <w:rPr>
          <w:rFonts w:ascii="Arial" w:hAnsi="Arial"/>
          <w:sz w:val="22"/>
        </w:rPr>
        <w:t>the NRC</w:t>
      </w:r>
      <w:r w:rsidR="004B28F9">
        <w:rPr>
          <w:rFonts w:ascii="Arial" w:hAnsi="Arial"/>
          <w:sz w:val="22"/>
        </w:rPr>
        <w:t xml:space="preserve"> </w:t>
      </w:r>
      <w:r w:rsidR="002E0C1B">
        <w:rPr>
          <w:rFonts w:ascii="Arial" w:hAnsi="Arial"/>
          <w:sz w:val="22"/>
        </w:rPr>
        <w:t>to ensure accurate site information is accessible to interested stakeholders.</w:t>
      </w:r>
    </w:p>
    <w:p w:rsidR="004B5BD5" w:rsidP="006F6395" w:rsidRDefault="004B5BD5" w14:paraId="3B328195" w14:textId="77777777">
      <w:pPr>
        <w:ind w:left="1440"/>
        <w:rPr>
          <w:rFonts w:ascii="Arial" w:hAnsi="Arial"/>
          <w:sz w:val="22"/>
        </w:rPr>
      </w:pPr>
    </w:p>
    <w:p w:rsidR="006F6395" w:rsidP="006F6395" w:rsidRDefault="006F6395" w14:paraId="1BA2105E" w14:textId="77777777">
      <w:pPr>
        <w:ind w:left="1440" w:hanging="720"/>
        <w:rPr>
          <w:rFonts w:ascii="Arial" w:hAnsi="Arial"/>
          <w:sz w:val="22"/>
          <w:u w:val="single"/>
        </w:rPr>
      </w:pPr>
      <w:r>
        <w:rPr>
          <w:rFonts w:ascii="Arial" w:hAnsi="Arial"/>
          <w:sz w:val="22"/>
        </w:rPr>
        <w:t>2.</w:t>
      </w:r>
      <w:r>
        <w:rPr>
          <w:rFonts w:ascii="Arial" w:hAnsi="Arial"/>
          <w:sz w:val="22"/>
        </w:rPr>
        <w:tab/>
      </w:r>
      <w:r>
        <w:rPr>
          <w:rFonts w:ascii="Arial" w:hAnsi="Arial"/>
          <w:sz w:val="22"/>
          <w:u w:val="single"/>
        </w:rPr>
        <w:t>Agency Use of Information</w:t>
      </w:r>
    </w:p>
    <w:p w:rsidR="006F6395" w:rsidP="006F6395" w:rsidRDefault="006F6395" w14:paraId="335A9475" w14:textId="77777777">
      <w:pPr>
        <w:ind w:left="1440" w:hanging="720"/>
        <w:rPr>
          <w:rFonts w:ascii="Arial" w:hAnsi="Arial"/>
          <w:sz w:val="22"/>
        </w:rPr>
      </w:pPr>
    </w:p>
    <w:p w:rsidR="006F6395" w:rsidP="006F6395" w:rsidRDefault="006F6395" w14:paraId="34FE09B9" w14:textId="06D1F61F">
      <w:pPr>
        <w:ind w:left="1440"/>
        <w:rPr>
          <w:rFonts w:ascii="Arial" w:hAnsi="Arial"/>
          <w:sz w:val="22"/>
        </w:rPr>
      </w:pPr>
      <w:r>
        <w:rPr>
          <w:rFonts w:ascii="Arial" w:hAnsi="Arial"/>
          <w:sz w:val="22"/>
        </w:rPr>
        <w:t xml:space="preserve">The annual </w:t>
      </w:r>
      <w:r w:rsidR="00AF1BAF">
        <w:rPr>
          <w:rFonts w:ascii="Arial" w:hAnsi="Arial"/>
          <w:sz w:val="22"/>
        </w:rPr>
        <w:t xml:space="preserve">identification of </w:t>
      </w:r>
      <w:r w:rsidR="004B28F9">
        <w:rPr>
          <w:rFonts w:ascii="Arial" w:hAnsi="Arial"/>
          <w:sz w:val="22"/>
        </w:rPr>
        <w:t xml:space="preserve">sites and </w:t>
      </w:r>
      <w:r w:rsidR="00AF1BAF">
        <w:rPr>
          <w:rFonts w:ascii="Arial" w:hAnsi="Arial"/>
          <w:sz w:val="22"/>
        </w:rPr>
        <w:t>contact</w:t>
      </w:r>
      <w:r w:rsidR="004B28F9">
        <w:rPr>
          <w:rFonts w:ascii="Arial" w:hAnsi="Arial"/>
          <w:sz w:val="22"/>
        </w:rPr>
        <w:t>s</w:t>
      </w:r>
      <w:r w:rsidR="00AF1BAF">
        <w:rPr>
          <w:rFonts w:ascii="Arial" w:hAnsi="Arial"/>
          <w:sz w:val="22"/>
        </w:rPr>
        <w:t xml:space="preserve"> for decommissioning in </w:t>
      </w:r>
      <w:r>
        <w:rPr>
          <w:rFonts w:ascii="Arial" w:hAnsi="Arial"/>
          <w:sz w:val="22"/>
        </w:rPr>
        <w:t xml:space="preserve">the individual Agreement States will enable the NRC to enhance openness </w:t>
      </w:r>
      <w:r w:rsidR="00571678">
        <w:rPr>
          <w:rFonts w:ascii="Arial" w:hAnsi="Arial"/>
          <w:sz w:val="22"/>
        </w:rPr>
        <w:t>and provide the</w:t>
      </w:r>
      <w:r>
        <w:rPr>
          <w:rFonts w:ascii="Arial" w:hAnsi="Arial"/>
          <w:sz w:val="22"/>
        </w:rPr>
        <w:t xml:space="preserve"> public </w:t>
      </w:r>
      <w:r w:rsidR="002E0C1B">
        <w:rPr>
          <w:rFonts w:ascii="Arial" w:hAnsi="Arial"/>
          <w:sz w:val="22"/>
        </w:rPr>
        <w:t>a means to obtain</w:t>
      </w:r>
      <w:r w:rsidR="00571678">
        <w:rPr>
          <w:rFonts w:ascii="Arial" w:hAnsi="Arial"/>
          <w:sz w:val="22"/>
        </w:rPr>
        <w:t xml:space="preserve"> up</w:t>
      </w:r>
      <w:r w:rsidR="00E35D33">
        <w:rPr>
          <w:rFonts w:ascii="Arial" w:hAnsi="Arial"/>
          <w:sz w:val="22"/>
        </w:rPr>
        <w:t>-</w:t>
      </w:r>
      <w:r w:rsidR="008C3189">
        <w:rPr>
          <w:rFonts w:ascii="Arial" w:hAnsi="Arial"/>
          <w:sz w:val="22"/>
        </w:rPr>
        <w:t>to</w:t>
      </w:r>
      <w:r w:rsidR="00E35D33">
        <w:rPr>
          <w:rFonts w:ascii="Arial" w:hAnsi="Arial"/>
          <w:sz w:val="22"/>
        </w:rPr>
        <w:t>-</w:t>
      </w:r>
      <w:r w:rsidR="008C3189">
        <w:rPr>
          <w:rFonts w:ascii="Arial" w:hAnsi="Arial"/>
          <w:sz w:val="22"/>
        </w:rPr>
        <w:t xml:space="preserve">date information on decommissioning </w:t>
      </w:r>
      <w:r w:rsidR="008C3189">
        <w:rPr>
          <w:rFonts w:ascii="Arial" w:hAnsi="Arial"/>
          <w:sz w:val="22"/>
        </w:rPr>
        <w:lastRenderedPageBreak/>
        <w:t xml:space="preserve">sites </w:t>
      </w:r>
      <w:r w:rsidR="002E0C1B">
        <w:rPr>
          <w:rFonts w:ascii="Arial" w:hAnsi="Arial"/>
          <w:sz w:val="22"/>
        </w:rPr>
        <w:t>with</w:t>
      </w:r>
      <w:r w:rsidR="008C3189">
        <w:rPr>
          <w:rFonts w:ascii="Arial" w:hAnsi="Arial"/>
          <w:sz w:val="22"/>
        </w:rPr>
        <w:t>in the United States.</w:t>
      </w:r>
      <w:r>
        <w:rPr>
          <w:rFonts w:ascii="Arial" w:hAnsi="Arial"/>
          <w:sz w:val="22"/>
        </w:rPr>
        <w:t xml:space="preserve"> </w:t>
      </w:r>
      <w:r w:rsidR="00A2416A">
        <w:rPr>
          <w:rFonts w:ascii="Arial" w:hAnsi="Arial"/>
          <w:sz w:val="22"/>
        </w:rPr>
        <w:t xml:space="preserve"> </w:t>
      </w:r>
      <w:r>
        <w:rPr>
          <w:rFonts w:ascii="Arial" w:hAnsi="Arial"/>
          <w:sz w:val="22"/>
        </w:rPr>
        <w:t xml:space="preserve">The </w:t>
      </w:r>
      <w:r w:rsidR="004B28F9">
        <w:rPr>
          <w:rFonts w:ascii="Arial" w:hAnsi="Arial"/>
          <w:sz w:val="22"/>
        </w:rPr>
        <w:t xml:space="preserve">site and </w:t>
      </w:r>
      <w:r w:rsidR="00B6423D">
        <w:rPr>
          <w:rFonts w:ascii="Arial" w:hAnsi="Arial"/>
          <w:sz w:val="22"/>
        </w:rPr>
        <w:t xml:space="preserve">contact information </w:t>
      </w:r>
      <w:r>
        <w:rPr>
          <w:rFonts w:ascii="Arial" w:hAnsi="Arial"/>
          <w:sz w:val="22"/>
        </w:rPr>
        <w:t xml:space="preserve">will also be </w:t>
      </w:r>
      <w:r w:rsidR="00B6423D">
        <w:rPr>
          <w:rFonts w:ascii="Arial" w:hAnsi="Arial"/>
          <w:sz w:val="22"/>
        </w:rPr>
        <w:t xml:space="preserve">used to obtain </w:t>
      </w:r>
      <w:r w:rsidR="002A4F85">
        <w:rPr>
          <w:rFonts w:ascii="Arial" w:hAnsi="Arial"/>
          <w:sz w:val="22"/>
        </w:rPr>
        <w:t xml:space="preserve">up-to-date </w:t>
      </w:r>
      <w:r w:rsidR="00B6423D">
        <w:rPr>
          <w:rFonts w:ascii="Arial" w:hAnsi="Arial"/>
          <w:sz w:val="22"/>
        </w:rPr>
        <w:t xml:space="preserve">information </w:t>
      </w:r>
      <w:r w:rsidR="002E0C1B">
        <w:rPr>
          <w:rFonts w:ascii="Arial" w:hAnsi="Arial"/>
          <w:sz w:val="22"/>
        </w:rPr>
        <w:t xml:space="preserve">on sites </w:t>
      </w:r>
      <w:r>
        <w:rPr>
          <w:rFonts w:ascii="Arial" w:hAnsi="Arial"/>
          <w:sz w:val="22"/>
        </w:rPr>
        <w:t xml:space="preserve">in preparing responses to Congressional inquiries and requests for information from other sources.  There is no source for obtaining such necessary information other than from the Agreement States. </w:t>
      </w:r>
    </w:p>
    <w:p w:rsidRPr="00F73E06" w:rsidR="006F6395" w:rsidP="006F6395" w:rsidRDefault="006F6395" w14:paraId="3BC10DDD" w14:textId="77777777">
      <w:pPr>
        <w:rPr>
          <w:rFonts w:ascii="Arial" w:hAnsi="Arial" w:cs="Arial"/>
          <w:sz w:val="22"/>
          <w:szCs w:val="22"/>
        </w:rPr>
      </w:pPr>
    </w:p>
    <w:p w:rsidRPr="00F73E06" w:rsidR="006F6395" w:rsidP="006F6395" w:rsidRDefault="006F6395" w14:paraId="783DA595" w14:textId="77777777">
      <w:pPr>
        <w:rPr>
          <w:rFonts w:ascii="Arial" w:hAnsi="Arial" w:cs="Arial"/>
          <w:sz w:val="22"/>
          <w:szCs w:val="22"/>
        </w:rPr>
      </w:pPr>
      <w:r w:rsidRPr="00F73E06">
        <w:rPr>
          <w:rFonts w:ascii="Arial" w:hAnsi="Arial" w:cs="Arial"/>
          <w:sz w:val="22"/>
          <w:szCs w:val="22"/>
        </w:rPr>
        <w:tab/>
        <w:t>3.</w:t>
      </w:r>
      <w:r w:rsidRPr="00F73E06">
        <w:rPr>
          <w:rFonts w:ascii="Arial" w:hAnsi="Arial" w:cs="Arial"/>
          <w:sz w:val="22"/>
          <w:szCs w:val="22"/>
        </w:rPr>
        <w:tab/>
      </w:r>
      <w:r w:rsidRPr="00F73E06">
        <w:rPr>
          <w:rFonts w:ascii="Arial" w:hAnsi="Arial" w:cs="Arial"/>
          <w:sz w:val="22"/>
          <w:szCs w:val="22"/>
          <w:u w:val="single"/>
        </w:rPr>
        <w:t>Reduction of Burden Through Information Technology</w:t>
      </w:r>
    </w:p>
    <w:p w:rsidRPr="00F73E06" w:rsidR="006F6395" w:rsidP="006F6395" w:rsidRDefault="006F6395" w14:paraId="70063E36" w14:textId="77777777">
      <w:pPr>
        <w:rPr>
          <w:rFonts w:ascii="Arial" w:hAnsi="Arial" w:cs="Arial"/>
          <w:sz w:val="22"/>
          <w:szCs w:val="22"/>
        </w:rPr>
      </w:pPr>
    </w:p>
    <w:p w:rsidRPr="00F73E06" w:rsidR="00D75C89" w:rsidP="00F73E06" w:rsidRDefault="00D75C89" w14:paraId="3A8D8BD6" w14:textId="77777777">
      <w:pPr>
        <w:widowControl w:val="0"/>
        <w:ind w:left="1440"/>
        <w:rPr>
          <w:rFonts w:ascii="Arial" w:hAnsi="Arial" w:cs="Arial"/>
          <w:sz w:val="22"/>
          <w:szCs w:val="22"/>
        </w:rPr>
      </w:pPr>
      <w:r w:rsidRPr="00F73E06">
        <w:rPr>
          <w:rFonts w:ascii="Arial" w:hAnsi="Arial" w:cs="Arial"/>
          <w:sz w:val="22"/>
          <w:szCs w:val="22"/>
        </w:rPr>
        <w:t xml:space="preserve">The NRC has issued </w:t>
      </w:r>
      <w:hyperlink w:history="1" r:id="rId11">
        <w:r w:rsidRPr="00F73E06">
          <w:rPr>
            <w:rStyle w:val="Hyperlink"/>
            <w:rFonts w:ascii="Arial" w:hAnsi="Arial" w:cs="Arial"/>
            <w:i/>
            <w:sz w:val="22"/>
            <w:szCs w:val="22"/>
          </w:rPr>
          <w:t>Guidance for Electronic Submissions to the NRC</w:t>
        </w:r>
      </w:hyperlink>
      <w:r w:rsidRPr="00F73E06">
        <w:rPr>
          <w:rFonts w:ascii="Arial" w:hAnsi="Arial" w:cs="Arial"/>
          <w:sz w:val="22"/>
          <w:szCs w:val="22"/>
        </w:rPr>
        <w:t xml:space="preserve"> which provides direction for the electronic transmission and submittal of documents to the NRC.  Electronic transmission and submittal of documents can be accomplished via the following avenues: </w:t>
      </w:r>
      <w:proofErr w:type="gramStart"/>
      <w:r w:rsidRPr="00F73E06">
        <w:rPr>
          <w:rFonts w:ascii="Arial" w:hAnsi="Arial" w:cs="Arial"/>
          <w:sz w:val="22"/>
          <w:szCs w:val="22"/>
        </w:rPr>
        <w:t>the</w:t>
      </w:r>
      <w:proofErr w:type="gramEnd"/>
      <w:r w:rsidRPr="00F73E06">
        <w:rPr>
          <w:rFonts w:ascii="Arial" w:hAnsi="Arial" w:cs="Arial"/>
          <w:sz w:val="22"/>
          <w:szCs w:val="22"/>
        </w:rPr>
        <w:t xml:space="preserve"> Electronic Information Exchange (EIE) process, which is available from the NRC's “Electronic Submittals” Web page, by Optical Storage Media (OSM) (e.g. CD-ROM, DVD), by facsimile or by e-mail.  It is estimated that approximately </w:t>
      </w:r>
      <w:r w:rsidRPr="00F2201C" w:rsidR="00F2201C">
        <w:rPr>
          <w:rFonts w:ascii="Arial" w:hAnsi="Arial" w:cs="Arial"/>
          <w:sz w:val="22"/>
          <w:szCs w:val="22"/>
        </w:rPr>
        <w:t>100</w:t>
      </w:r>
      <w:r w:rsidRPr="00F2201C">
        <w:rPr>
          <w:rFonts w:ascii="Arial" w:hAnsi="Arial" w:cs="Arial"/>
          <w:sz w:val="22"/>
          <w:szCs w:val="22"/>
        </w:rPr>
        <w:t>%</w:t>
      </w:r>
      <w:r w:rsidRPr="00F73E06">
        <w:rPr>
          <w:rFonts w:ascii="Arial" w:hAnsi="Arial" w:cs="Arial"/>
          <w:b/>
          <w:sz w:val="22"/>
          <w:szCs w:val="22"/>
        </w:rPr>
        <w:t xml:space="preserve"> </w:t>
      </w:r>
      <w:r w:rsidRPr="00F73E06">
        <w:rPr>
          <w:rFonts w:ascii="Arial" w:hAnsi="Arial" w:cs="Arial"/>
          <w:sz w:val="22"/>
          <w:szCs w:val="22"/>
        </w:rPr>
        <w:t>of the potential responses are filed electronically.</w:t>
      </w:r>
    </w:p>
    <w:p w:rsidRPr="005574AE" w:rsidR="006F6395" w:rsidP="006F6395" w:rsidRDefault="006F6395" w14:paraId="633A7212" w14:textId="77777777">
      <w:pPr>
        <w:rPr>
          <w:rFonts w:ascii="Arial" w:hAnsi="Arial"/>
          <w:strike/>
          <w:sz w:val="22"/>
        </w:rPr>
      </w:pPr>
    </w:p>
    <w:p w:rsidRPr="00C32170" w:rsidR="006F6395" w:rsidP="006F6395" w:rsidRDefault="006F6395" w14:paraId="54371ADE" w14:textId="77777777">
      <w:pPr>
        <w:ind w:left="1440" w:hanging="720"/>
        <w:rPr>
          <w:rFonts w:ascii="Arial" w:hAnsi="Arial"/>
          <w:sz w:val="22"/>
        </w:rPr>
      </w:pPr>
      <w:r w:rsidRPr="00C32170">
        <w:rPr>
          <w:rFonts w:ascii="Arial" w:hAnsi="Arial"/>
          <w:sz w:val="22"/>
        </w:rPr>
        <w:t>4.</w:t>
      </w:r>
      <w:r w:rsidRPr="00C32170">
        <w:rPr>
          <w:rFonts w:ascii="Arial" w:hAnsi="Arial"/>
          <w:sz w:val="22"/>
        </w:rPr>
        <w:tab/>
      </w:r>
      <w:r w:rsidRPr="00C32170">
        <w:rPr>
          <w:rFonts w:ascii="Arial" w:hAnsi="Arial"/>
          <w:sz w:val="22"/>
          <w:u w:val="single"/>
        </w:rPr>
        <w:t>Efforts to Identify Duplication and Similar Use Information</w:t>
      </w:r>
    </w:p>
    <w:p w:rsidR="006F6395" w:rsidP="006F6395" w:rsidRDefault="006F6395" w14:paraId="610E99ED" w14:textId="77777777">
      <w:pPr>
        <w:rPr>
          <w:rFonts w:ascii="Arial" w:hAnsi="Arial" w:cs="Arial"/>
          <w:sz w:val="22"/>
          <w:szCs w:val="22"/>
        </w:rPr>
      </w:pPr>
    </w:p>
    <w:p w:rsidR="006F6395" w:rsidP="006F6395" w:rsidRDefault="006F6395" w14:paraId="08340CCA" w14:textId="77777777">
      <w:pPr>
        <w:ind w:left="1440"/>
        <w:rPr>
          <w:rFonts w:ascii="Arial" w:hAnsi="Arial" w:cs="Arial"/>
          <w:sz w:val="22"/>
          <w:szCs w:val="22"/>
        </w:rPr>
      </w:pPr>
      <w:r>
        <w:rPr>
          <w:rFonts w:ascii="Arial" w:hAnsi="Arial" w:cs="Arial"/>
          <w:sz w:val="22"/>
          <w:szCs w:val="22"/>
        </w:rPr>
        <w:t xml:space="preserve">No sources of similar information are available.  There is no duplication of requirements.  </w:t>
      </w:r>
    </w:p>
    <w:p w:rsidR="006F6395" w:rsidP="006F6395" w:rsidRDefault="006F6395" w14:paraId="4FDB663E" w14:textId="77777777">
      <w:pPr>
        <w:rPr>
          <w:rFonts w:ascii="Arial" w:hAnsi="Arial"/>
          <w:sz w:val="22"/>
        </w:rPr>
      </w:pPr>
    </w:p>
    <w:p w:rsidR="006F6395" w:rsidP="006F6395" w:rsidRDefault="006F6395" w14:paraId="2EEE2F97" w14:textId="77777777">
      <w:pPr>
        <w:ind w:left="1440" w:hanging="720"/>
        <w:rPr>
          <w:rFonts w:ascii="Arial" w:hAnsi="Arial"/>
          <w:sz w:val="22"/>
          <w:u w:val="single"/>
        </w:rPr>
      </w:pPr>
      <w:r>
        <w:rPr>
          <w:rFonts w:ascii="Arial" w:hAnsi="Arial"/>
          <w:sz w:val="22"/>
        </w:rPr>
        <w:t>5.</w:t>
      </w:r>
      <w:r>
        <w:rPr>
          <w:rFonts w:ascii="Arial" w:hAnsi="Arial"/>
          <w:sz w:val="22"/>
        </w:rPr>
        <w:tab/>
      </w:r>
      <w:r>
        <w:rPr>
          <w:rFonts w:ascii="Arial" w:hAnsi="Arial"/>
          <w:sz w:val="22"/>
          <w:u w:val="single"/>
        </w:rPr>
        <w:t>Effort to Reduce Small Business Burden</w:t>
      </w:r>
    </w:p>
    <w:p w:rsidR="006F6395" w:rsidP="006F6395" w:rsidRDefault="006F6395" w14:paraId="02A4903F" w14:textId="77777777">
      <w:pPr>
        <w:ind w:left="1440" w:hanging="720"/>
        <w:rPr>
          <w:rFonts w:ascii="Arial" w:hAnsi="Arial"/>
          <w:sz w:val="22"/>
        </w:rPr>
      </w:pPr>
    </w:p>
    <w:p w:rsidR="006F6395" w:rsidP="006F6395" w:rsidRDefault="003823C1" w14:paraId="7E3E72EF" w14:textId="77777777">
      <w:pPr>
        <w:ind w:left="1440"/>
        <w:rPr>
          <w:rFonts w:ascii="Arial" w:hAnsi="Arial"/>
          <w:sz w:val="22"/>
        </w:rPr>
      </w:pPr>
      <w:r>
        <w:rPr>
          <w:rFonts w:ascii="Arial" w:hAnsi="Arial"/>
          <w:sz w:val="22"/>
        </w:rPr>
        <w:t>Not Applicable</w:t>
      </w:r>
      <w:r w:rsidR="00F73E06">
        <w:rPr>
          <w:rFonts w:ascii="Arial" w:hAnsi="Arial"/>
          <w:sz w:val="22"/>
        </w:rPr>
        <w:t>.</w:t>
      </w:r>
    </w:p>
    <w:p w:rsidR="006F6395" w:rsidP="006F6395" w:rsidRDefault="006F6395" w14:paraId="3CCC47EB" w14:textId="77777777">
      <w:pPr>
        <w:rPr>
          <w:rFonts w:ascii="Arial" w:hAnsi="Arial"/>
          <w:sz w:val="22"/>
        </w:rPr>
      </w:pPr>
    </w:p>
    <w:p w:rsidR="006F6395" w:rsidP="006F6395" w:rsidRDefault="006F6395" w14:paraId="03EFCDFA" w14:textId="77777777">
      <w:pPr>
        <w:ind w:left="1440" w:hanging="720"/>
        <w:rPr>
          <w:rFonts w:ascii="Arial" w:hAnsi="Arial"/>
          <w:sz w:val="22"/>
          <w:u w:val="single"/>
        </w:rPr>
      </w:pPr>
      <w:r>
        <w:rPr>
          <w:rFonts w:ascii="Arial" w:hAnsi="Arial"/>
          <w:sz w:val="22"/>
        </w:rPr>
        <w:t>6.</w:t>
      </w:r>
      <w:r>
        <w:rPr>
          <w:rFonts w:ascii="Arial" w:hAnsi="Arial"/>
          <w:sz w:val="22"/>
        </w:rPr>
        <w:tab/>
      </w:r>
      <w:r>
        <w:rPr>
          <w:rFonts w:ascii="Arial" w:hAnsi="Arial"/>
          <w:sz w:val="22"/>
          <w:u w:val="single"/>
        </w:rPr>
        <w:t>Consequences to Federal Program or Policy Activities if the Collection is Not Conducted or is Conducted Less Frequently</w:t>
      </w:r>
    </w:p>
    <w:p w:rsidR="006F6395" w:rsidP="006F6395" w:rsidRDefault="006F6395" w14:paraId="21BDADDD" w14:textId="77777777">
      <w:pPr>
        <w:ind w:left="1440" w:hanging="720"/>
        <w:rPr>
          <w:rFonts w:ascii="Arial" w:hAnsi="Arial"/>
          <w:sz w:val="22"/>
        </w:rPr>
      </w:pPr>
    </w:p>
    <w:p w:rsidR="006F6395" w:rsidP="006F6395" w:rsidRDefault="006F6395" w14:paraId="04C3BA0D" w14:textId="01FA761F">
      <w:pPr>
        <w:ind w:left="1440"/>
        <w:rPr>
          <w:rFonts w:ascii="Arial" w:hAnsi="Arial"/>
          <w:sz w:val="22"/>
        </w:rPr>
      </w:pPr>
      <w:r>
        <w:rPr>
          <w:rFonts w:ascii="Arial" w:hAnsi="Arial"/>
          <w:sz w:val="22"/>
        </w:rPr>
        <w:t xml:space="preserve">The information collection </w:t>
      </w:r>
      <w:r w:rsidR="00D25E9E">
        <w:rPr>
          <w:rFonts w:ascii="Arial" w:hAnsi="Arial"/>
          <w:sz w:val="22"/>
        </w:rPr>
        <w:t>is</w:t>
      </w:r>
      <w:r>
        <w:rPr>
          <w:rFonts w:ascii="Arial" w:hAnsi="Arial"/>
          <w:sz w:val="22"/>
        </w:rPr>
        <w:t xml:space="preserve"> an annual action, which addresses </w:t>
      </w:r>
      <w:r w:rsidR="002E0C1B">
        <w:rPr>
          <w:rFonts w:ascii="Arial" w:hAnsi="Arial"/>
          <w:sz w:val="22"/>
        </w:rPr>
        <w:t xml:space="preserve">the need for a </w:t>
      </w:r>
      <w:r w:rsidR="00BD1DD2">
        <w:rPr>
          <w:rFonts w:ascii="Arial" w:hAnsi="Arial"/>
          <w:sz w:val="22"/>
        </w:rPr>
        <w:t xml:space="preserve">list of sites and </w:t>
      </w:r>
      <w:r w:rsidR="002E0C1B">
        <w:rPr>
          <w:rFonts w:ascii="Arial" w:hAnsi="Arial"/>
          <w:sz w:val="22"/>
        </w:rPr>
        <w:t>point</w:t>
      </w:r>
      <w:r w:rsidR="00BD1DD2">
        <w:rPr>
          <w:rFonts w:ascii="Arial" w:hAnsi="Arial"/>
          <w:sz w:val="22"/>
        </w:rPr>
        <w:t>s</w:t>
      </w:r>
      <w:r w:rsidR="002E0C1B">
        <w:rPr>
          <w:rFonts w:ascii="Arial" w:hAnsi="Arial"/>
          <w:sz w:val="22"/>
        </w:rPr>
        <w:t xml:space="preserve"> of contact to provide information on</w:t>
      </w:r>
      <w:r>
        <w:rPr>
          <w:rFonts w:ascii="Arial" w:hAnsi="Arial"/>
          <w:sz w:val="22"/>
        </w:rPr>
        <w:t xml:space="preserve"> sites regulated by the Agreement States.  The consequences of not collecting current Agreement State </w:t>
      </w:r>
      <w:r w:rsidR="00BD1DD2">
        <w:rPr>
          <w:rFonts w:ascii="Arial" w:hAnsi="Arial"/>
          <w:sz w:val="22"/>
        </w:rPr>
        <w:t xml:space="preserve">site and contact </w:t>
      </w:r>
      <w:r w:rsidR="003F6E61">
        <w:rPr>
          <w:rFonts w:ascii="Arial" w:hAnsi="Arial"/>
          <w:sz w:val="22"/>
        </w:rPr>
        <w:t xml:space="preserve">information </w:t>
      </w:r>
      <w:r w:rsidR="002E0C1B">
        <w:rPr>
          <w:rFonts w:ascii="Arial" w:hAnsi="Arial"/>
          <w:sz w:val="22"/>
        </w:rPr>
        <w:t>on the</w:t>
      </w:r>
      <w:r w:rsidR="003F6E61">
        <w:rPr>
          <w:rFonts w:ascii="Arial" w:hAnsi="Arial"/>
          <w:sz w:val="22"/>
        </w:rPr>
        <w:t xml:space="preserve"> </w:t>
      </w:r>
      <w:r>
        <w:rPr>
          <w:rFonts w:ascii="Arial" w:hAnsi="Arial"/>
          <w:sz w:val="22"/>
        </w:rPr>
        <w:t>uranium recovery and complex decommissioning site</w:t>
      </w:r>
      <w:r w:rsidR="00104D69">
        <w:rPr>
          <w:rFonts w:ascii="Arial" w:hAnsi="Arial"/>
          <w:sz w:val="22"/>
        </w:rPr>
        <w:t>s</w:t>
      </w:r>
      <w:r>
        <w:rPr>
          <w:rFonts w:ascii="Arial" w:hAnsi="Arial"/>
          <w:sz w:val="22"/>
        </w:rPr>
        <w:t xml:space="preserve"> </w:t>
      </w:r>
      <w:r w:rsidR="002E0C1B">
        <w:rPr>
          <w:rFonts w:ascii="Arial" w:hAnsi="Arial"/>
          <w:sz w:val="22"/>
        </w:rPr>
        <w:t>within their State</w:t>
      </w:r>
      <w:r>
        <w:rPr>
          <w:rFonts w:ascii="Arial" w:hAnsi="Arial"/>
          <w:sz w:val="22"/>
        </w:rPr>
        <w:t xml:space="preserve"> could potentially impact the American public’s confidence that the U.S. program for the decommissioning of uranium recovery and complex sites</w:t>
      </w:r>
      <w:r w:rsidR="008F1A58">
        <w:rPr>
          <w:rFonts w:ascii="Arial" w:hAnsi="Arial"/>
          <w:sz w:val="22"/>
        </w:rPr>
        <w:t xml:space="preserve"> is being effectively overseen.</w:t>
      </w:r>
    </w:p>
    <w:p w:rsidR="008F1A58" w:rsidP="006F6395" w:rsidRDefault="008F1A58" w14:paraId="63C53221" w14:textId="77777777">
      <w:pPr>
        <w:ind w:left="1440"/>
        <w:rPr>
          <w:rFonts w:ascii="Arial" w:hAnsi="Arial"/>
          <w:sz w:val="22"/>
        </w:rPr>
      </w:pPr>
    </w:p>
    <w:p w:rsidR="00810AC0" w:rsidRDefault="00810AC0" w14:paraId="1F20F8AD" w14:textId="77777777">
      <w:pPr>
        <w:rPr>
          <w:rFonts w:ascii="Arial" w:hAnsi="Arial"/>
          <w:sz w:val="22"/>
        </w:rPr>
      </w:pPr>
      <w:r>
        <w:rPr>
          <w:rFonts w:ascii="Arial" w:hAnsi="Arial"/>
          <w:sz w:val="22"/>
        </w:rPr>
        <w:br w:type="page"/>
      </w:r>
    </w:p>
    <w:p w:rsidR="006F6395" w:rsidP="006F6395" w:rsidRDefault="006F6395" w14:paraId="4EF0D2C6" w14:textId="6E118D64">
      <w:pPr>
        <w:ind w:left="1440" w:hanging="720"/>
        <w:rPr>
          <w:rFonts w:ascii="Arial" w:hAnsi="Arial"/>
          <w:sz w:val="22"/>
          <w:u w:val="single"/>
        </w:rPr>
      </w:pPr>
      <w:r>
        <w:rPr>
          <w:rFonts w:ascii="Arial" w:hAnsi="Arial"/>
          <w:sz w:val="22"/>
        </w:rPr>
        <w:lastRenderedPageBreak/>
        <w:t>7.</w:t>
      </w:r>
      <w:r>
        <w:rPr>
          <w:rFonts w:ascii="Arial" w:hAnsi="Arial"/>
          <w:sz w:val="22"/>
        </w:rPr>
        <w:tab/>
      </w:r>
      <w:r>
        <w:rPr>
          <w:rFonts w:ascii="Arial" w:hAnsi="Arial"/>
          <w:sz w:val="22"/>
          <w:u w:val="single"/>
        </w:rPr>
        <w:t xml:space="preserve">Circumstances Which Justify Variation </w:t>
      </w:r>
      <w:r w:rsidR="00FB2379">
        <w:rPr>
          <w:rFonts w:ascii="Arial" w:hAnsi="Arial"/>
          <w:sz w:val="22"/>
          <w:u w:val="single"/>
        </w:rPr>
        <w:t>f</w:t>
      </w:r>
      <w:r>
        <w:rPr>
          <w:rFonts w:ascii="Arial" w:hAnsi="Arial"/>
          <w:sz w:val="22"/>
          <w:u w:val="single"/>
        </w:rPr>
        <w:t>rom OMB Guidelines</w:t>
      </w:r>
    </w:p>
    <w:p w:rsidR="006F6395" w:rsidP="006F6395" w:rsidRDefault="006F6395" w14:paraId="07D2CC2D" w14:textId="77777777">
      <w:pPr>
        <w:ind w:left="1440" w:hanging="720"/>
        <w:rPr>
          <w:rFonts w:ascii="Arial" w:hAnsi="Arial"/>
          <w:sz w:val="22"/>
        </w:rPr>
      </w:pPr>
    </w:p>
    <w:p w:rsidR="006F6395" w:rsidP="007D5EA7" w:rsidRDefault="009B5CE7" w14:paraId="3CEF9072" w14:textId="77777777">
      <w:pPr>
        <w:ind w:left="1440"/>
        <w:outlineLvl w:val="0"/>
        <w:rPr>
          <w:rFonts w:ascii="Arial" w:hAnsi="Arial"/>
          <w:sz w:val="22"/>
        </w:rPr>
      </w:pPr>
      <w:r>
        <w:rPr>
          <w:rFonts w:ascii="Arial" w:hAnsi="Arial"/>
          <w:sz w:val="22"/>
        </w:rPr>
        <w:t>Not Applicable</w:t>
      </w:r>
      <w:r w:rsidR="00F73E06">
        <w:rPr>
          <w:rFonts w:ascii="Arial" w:hAnsi="Arial"/>
          <w:sz w:val="22"/>
        </w:rPr>
        <w:t>.</w:t>
      </w:r>
    </w:p>
    <w:p w:rsidR="006F6395" w:rsidP="006F6395" w:rsidRDefault="006F6395" w14:paraId="4D8544CC" w14:textId="77777777">
      <w:pPr>
        <w:rPr>
          <w:rFonts w:ascii="Arial" w:hAnsi="Arial"/>
          <w:sz w:val="22"/>
        </w:rPr>
      </w:pPr>
    </w:p>
    <w:p w:rsidRPr="00C32170" w:rsidR="006F6395" w:rsidP="006F6395" w:rsidRDefault="006F6395" w14:paraId="0CAD28B8" w14:textId="77777777">
      <w:pPr>
        <w:ind w:left="720"/>
        <w:rPr>
          <w:rFonts w:ascii="Arial" w:hAnsi="Arial"/>
          <w:sz w:val="22"/>
        </w:rPr>
      </w:pPr>
      <w:r w:rsidRPr="00C32170">
        <w:rPr>
          <w:rFonts w:ascii="Arial" w:hAnsi="Arial"/>
          <w:sz w:val="22"/>
        </w:rPr>
        <w:t>8.</w:t>
      </w:r>
      <w:r w:rsidRPr="00C32170">
        <w:rPr>
          <w:rFonts w:ascii="Arial" w:hAnsi="Arial"/>
          <w:sz w:val="22"/>
        </w:rPr>
        <w:tab/>
      </w:r>
      <w:r w:rsidRPr="00C32170">
        <w:rPr>
          <w:rFonts w:ascii="Arial" w:hAnsi="Arial"/>
          <w:sz w:val="22"/>
          <w:u w:val="single"/>
        </w:rPr>
        <w:t>Consultation Outside the NRC</w:t>
      </w:r>
    </w:p>
    <w:p w:rsidR="006F6395" w:rsidP="006F6395" w:rsidRDefault="006F6395" w14:paraId="69FFCFD1" w14:textId="77777777">
      <w:pPr>
        <w:rPr>
          <w:rFonts w:ascii="Arial" w:hAnsi="Arial" w:cs="Arial"/>
          <w:sz w:val="22"/>
          <w:szCs w:val="22"/>
        </w:rPr>
      </w:pPr>
    </w:p>
    <w:p w:rsidR="006F6395" w:rsidP="00DD4CE0" w:rsidRDefault="006F6395" w14:paraId="0FCE751A" w14:textId="446B7C98">
      <w:pPr>
        <w:ind w:left="1440"/>
        <w:rPr>
          <w:rFonts w:ascii="Arial" w:hAnsi="Arial" w:cs="Arial"/>
          <w:sz w:val="22"/>
          <w:szCs w:val="22"/>
        </w:rPr>
      </w:pPr>
      <w:r w:rsidRPr="690E3277">
        <w:rPr>
          <w:rFonts w:ascii="Arial" w:hAnsi="Arial" w:cs="Arial"/>
          <w:sz w:val="22"/>
          <w:szCs w:val="22"/>
        </w:rPr>
        <w:t xml:space="preserve">Opportunity for public comment on the information collection requirements for this clearance package </w:t>
      </w:r>
      <w:r w:rsidRPr="690E3277" w:rsidR="002C4CC0">
        <w:rPr>
          <w:rFonts w:ascii="Arial" w:hAnsi="Arial" w:cs="Arial"/>
          <w:sz w:val="22"/>
          <w:szCs w:val="22"/>
        </w:rPr>
        <w:t>wa</w:t>
      </w:r>
      <w:r w:rsidRPr="690E3277" w:rsidR="00727AC7">
        <w:rPr>
          <w:rFonts w:ascii="Arial" w:hAnsi="Arial" w:cs="Arial"/>
          <w:sz w:val="22"/>
          <w:szCs w:val="22"/>
        </w:rPr>
        <w:t xml:space="preserve">s </w:t>
      </w:r>
      <w:r w:rsidRPr="690E3277" w:rsidR="002C4CC0">
        <w:rPr>
          <w:rFonts w:ascii="Arial" w:hAnsi="Arial" w:cs="Arial"/>
          <w:sz w:val="22"/>
          <w:szCs w:val="22"/>
        </w:rPr>
        <w:t>published</w:t>
      </w:r>
      <w:r w:rsidRPr="690E3277">
        <w:rPr>
          <w:rFonts w:ascii="Arial" w:hAnsi="Arial" w:cs="Arial"/>
          <w:sz w:val="22"/>
          <w:szCs w:val="22"/>
        </w:rPr>
        <w:t xml:space="preserve"> in the </w:t>
      </w:r>
      <w:r w:rsidRPr="690E3277">
        <w:rPr>
          <w:rFonts w:ascii="Arial" w:hAnsi="Arial" w:cs="Arial"/>
          <w:i/>
          <w:iCs/>
          <w:sz w:val="22"/>
          <w:szCs w:val="22"/>
        </w:rPr>
        <w:t>Federal Register</w:t>
      </w:r>
      <w:r w:rsidRPr="690E3277" w:rsidR="205D3A38">
        <w:rPr>
          <w:rFonts w:ascii="Arial" w:hAnsi="Arial" w:cs="Arial"/>
          <w:i/>
          <w:iCs/>
          <w:sz w:val="22"/>
          <w:szCs w:val="22"/>
        </w:rPr>
        <w:t xml:space="preserve"> </w:t>
      </w:r>
      <w:r w:rsidRPr="690E3277" w:rsidR="205D3A38">
        <w:rPr>
          <w:rFonts w:ascii="Arial" w:hAnsi="Arial" w:cs="Arial"/>
          <w:sz w:val="22"/>
          <w:szCs w:val="22"/>
        </w:rPr>
        <w:t>on June 19, 2020 (85 FR 37114)</w:t>
      </w:r>
      <w:r w:rsidRPr="690E3277" w:rsidR="6DB2AAD8">
        <w:rPr>
          <w:rFonts w:ascii="Arial" w:hAnsi="Arial" w:cs="Arial"/>
          <w:sz w:val="22"/>
          <w:szCs w:val="22"/>
        </w:rPr>
        <w:t xml:space="preserve">.  </w:t>
      </w:r>
      <w:r w:rsidRPr="690E3277" w:rsidR="67FE2CFF">
        <w:rPr>
          <w:rFonts w:ascii="Arial" w:hAnsi="Arial" w:cs="Arial"/>
          <w:sz w:val="22"/>
          <w:szCs w:val="22"/>
        </w:rPr>
        <w:t>On July 9, 2020 t</w:t>
      </w:r>
      <w:r w:rsidRPr="690E3277" w:rsidR="6DB2AAD8">
        <w:rPr>
          <w:rFonts w:ascii="Arial" w:hAnsi="Arial" w:cs="Arial"/>
          <w:sz w:val="22"/>
          <w:szCs w:val="22"/>
        </w:rPr>
        <w:t>he NRC staff cont</w:t>
      </w:r>
      <w:r w:rsidRPr="690E3277" w:rsidR="6496D27A">
        <w:rPr>
          <w:rFonts w:ascii="Arial" w:hAnsi="Arial" w:cs="Arial"/>
          <w:sz w:val="22"/>
          <w:szCs w:val="22"/>
        </w:rPr>
        <w:t xml:space="preserve">acted </w:t>
      </w:r>
      <w:r w:rsidRPr="690E3277" w:rsidR="363D3D3D">
        <w:rPr>
          <w:rFonts w:ascii="Arial" w:hAnsi="Arial" w:cs="Arial"/>
          <w:sz w:val="22"/>
          <w:szCs w:val="22"/>
        </w:rPr>
        <w:t xml:space="preserve">the </w:t>
      </w:r>
      <w:r w:rsidRPr="690E3277" w:rsidR="6496D27A">
        <w:rPr>
          <w:rFonts w:ascii="Arial" w:hAnsi="Arial" w:cs="Arial"/>
          <w:sz w:val="22"/>
          <w:szCs w:val="22"/>
        </w:rPr>
        <w:t xml:space="preserve">Agreement State points of contact </w:t>
      </w:r>
      <w:r w:rsidRPr="690E3277" w:rsidR="066FB3DB">
        <w:rPr>
          <w:rFonts w:ascii="Arial" w:hAnsi="Arial" w:cs="Arial"/>
          <w:sz w:val="22"/>
          <w:szCs w:val="22"/>
        </w:rPr>
        <w:t>in Wyoming, Texas, Pennsylvania, Ohio, California, Illinois and New Je</w:t>
      </w:r>
      <w:r w:rsidRPr="690E3277" w:rsidR="4F4B7A1F">
        <w:rPr>
          <w:rFonts w:ascii="Arial" w:hAnsi="Arial" w:cs="Arial"/>
          <w:sz w:val="22"/>
          <w:szCs w:val="22"/>
        </w:rPr>
        <w:t xml:space="preserve">rsey </w:t>
      </w:r>
      <w:r w:rsidRPr="690E3277" w:rsidR="10618A06">
        <w:rPr>
          <w:rFonts w:ascii="Arial" w:hAnsi="Arial" w:cs="Arial"/>
          <w:sz w:val="22"/>
          <w:szCs w:val="22"/>
        </w:rPr>
        <w:t xml:space="preserve">by email </w:t>
      </w:r>
      <w:r w:rsidRPr="690E3277" w:rsidR="59D94B03">
        <w:rPr>
          <w:rFonts w:ascii="Arial" w:hAnsi="Arial" w:cs="Arial"/>
          <w:sz w:val="22"/>
          <w:szCs w:val="22"/>
        </w:rPr>
        <w:t>and requested their input on the</w:t>
      </w:r>
      <w:r w:rsidRPr="690E3277" w:rsidR="2A0935A7">
        <w:rPr>
          <w:rFonts w:ascii="Arial" w:hAnsi="Arial" w:cs="Arial"/>
          <w:sz w:val="22"/>
          <w:szCs w:val="22"/>
        </w:rPr>
        <w:t xml:space="preserve"> </w:t>
      </w:r>
      <w:r w:rsidRPr="690E3277" w:rsidR="59D94B03">
        <w:rPr>
          <w:rFonts w:ascii="Arial" w:hAnsi="Arial" w:cs="Arial"/>
          <w:sz w:val="22"/>
          <w:szCs w:val="22"/>
        </w:rPr>
        <w:t xml:space="preserve">proposed information collection.  </w:t>
      </w:r>
      <w:r w:rsidRPr="690E3277" w:rsidR="4E42A105">
        <w:rPr>
          <w:rFonts w:ascii="Arial" w:hAnsi="Arial" w:cs="Arial"/>
          <w:sz w:val="22"/>
          <w:szCs w:val="22"/>
        </w:rPr>
        <w:t>Specifically</w:t>
      </w:r>
      <w:r w:rsidR="00F50786">
        <w:rPr>
          <w:rFonts w:ascii="Arial" w:hAnsi="Arial" w:cs="Arial"/>
          <w:sz w:val="22"/>
          <w:szCs w:val="22"/>
        </w:rPr>
        <w:t>,</w:t>
      </w:r>
      <w:r w:rsidRPr="690E3277" w:rsidR="4E42A105">
        <w:rPr>
          <w:rFonts w:ascii="Arial" w:hAnsi="Arial" w:cs="Arial"/>
          <w:sz w:val="22"/>
          <w:szCs w:val="22"/>
        </w:rPr>
        <w:t xml:space="preserve"> the NRC staff requested input on the following:</w:t>
      </w:r>
    </w:p>
    <w:p w:rsidR="006F6395" w:rsidP="690E3277" w:rsidRDefault="006F6395" w14:paraId="65C21E91" w14:textId="08B63168">
      <w:pPr>
        <w:rPr>
          <w:rFonts w:ascii="Arial" w:hAnsi="Arial" w:cs="Arial"/>
          <w:sz w:val="22"/>
          <w:szCs w:val="22"/>
        </w:rPr>
      </w:pPr>
    </w:p>
    <w:p w:rsidRPr="00DD4CE0" w:rsidR="00DD4CE0" w:rsidP="007262BC" w:rsidRDefault="4E42A105" w14:paraId="4C055F35" w14:textId="3EC49916">
      <w:pPr>
        <w:pStyle w:val="ListParagraph"/>
        <w:numPr>
          <w:ilvl w:val="0"/>
          <w:numId w:val="8"/>
        </w:numPr>
        <w:rPr>
          <w:rFonts w:eastAsia="Arial"/>
        </w:rPr>
      </w:pPr>
      <w:r w:rsidRPr="007262BC">
        <w:rPr>
          <w:rFonts w:eastAsia="Arial"/>
        </w:rPr>
        <w:t>Is the proposed collection of information necessary for the NRC to properly perform its functions?  Does the information have practical utility?</w:t>
      </w:r>
    </w:p>
    <w:p w:rsidRPr="00DD4CE0" w:rsidR="00DD4CE0" w:rsidP="007262BC" w:rsidRDefault="4E42A105" w14:paraId="3E182897" w14:textId="6B7A1C4C">
      <w:pPr>
        <w:pStyle w:val="ListParagraph"/>
        <w:numPr>
          <w:ilvl w:val="0"/>
          <w:numId w:val="8"/>
        </w:numPr>
        <w:rPr>
          <w:rFonts w:eastAsia="Arial"/>
        </w:rPr>
      </w:pPr>
      <w:proofErr w:type="gramStart"/>
      <w:r w:rsidRPr="007262BC">
        <w:rPr>
          <w:rFonts w:eastAsia="Arial"/>
        </w:rPr>
        <w:t>Is</w:t>
      </w:r>
      <w:proofErr w:type="gramEnd"/>
      <w:r w:rsidRPr="007262BC">
        <w:rPr>
          <w:rFonts w:eastAsia="Arial"/>
        </w:rPr>
        <w:t xml:space="preserve"> the burden estimate accurate?</w:t>
      </w:r>
    </w:p>
    <w:p w:rsidRPr="00DD4CE0" w:rsidR="00DD4CE0" w:rsidP="007262BC" w:rsidRDefault="4E42A105" w14:paraId="211B60D2" w14:textId="7BE4B74F">
      <w:pPr>
        <w:pStyle w:val="ListParagraph"/>
        <w:numPr>
          <w:ilvl w:val="0"/>
          <w:numId w:val="8"/>
        </w:numPr>
        <w:rPr>
          <w:rFonts w:eastAsia="Arial"/>
        </w:rPr>
      </w:pPr>
      <w:r w:rsidRPr="007262BC">
        <w:rPr>
          <w:rFonts w:eastAsia="Arial"/>
        </w:rPr>
        <w:t>Is there a way to enhance the quality, utility, and clarity of the information to be collected?</w:t>
      </w:r>
    </w:p>
    <w:p w:rsidRPr="007262BC" w:rsidR="006F6395" w:rsidP="007262BC" w:rsidRDefault="4E42A105" w14:paraId="431A1C7B" w14:textId="105945D7">
      <w:pPr>
        <w:pStyle w:val="ListParagraph"/>
        <w:numPr>
          <w:ilvl w:val="0"/>
          <w:numId w:val="8"/>
        </w:numPr>
        <w:rPr>
          <w:rFonts w:eastAsia="Arial"/>
        </w:rPr>
      </w:pPr>
      <w:r w:rsidRPr="007262BC">
        <w:rPr>
          <w:rFonts w:eastAsia="Arial"/>
        </w:rPr>
        <w:t>How can the burden of the information collection be minimized, including the use of automated collection techniques or other forms of information technology?</w:t>
      </w:r>
    </w:p>
    <w:p w:rsidR="006F6395" w:rsidP="690E3277" w:rsidRDefault="006F6395" w14:paraId="7A1298FF" w14:textId="10D42B82">
      <w:pPr>
        <w:ind w:left="1440"/>
        <w:rPr>
          <w:rFonts w:ascii="Arial" w:hAnsi="Arial" w:cs="Arial"/>
          <w:sz w:val="22"/>
          <w:szCs w:val="22"/>
        </w:rPr>
      </w:pPr>
    </w:p>
    <w:p w:rsidR="006F6395" w:rsidP="007262BC" w:rsidRDefault="0083691D" w14:paraId="7844E2BB" w14:textId="2620FB21">
      <w:pPr>
        <w:ind w:left="1440"/>
        <w:rPr>
          <w:rFonts w:ascii="Arial" w:hAnsi="Arial" w:cs="Arial"/>
          <w:sz w:val="22"/>
          <w:szCs w:val="22"/>
        </w:rPr>
      </w:pPr>
      <w:r>
        <w:rPr>
          <w:rFonts w:ascii="Arial" w:hAnsi="Arial" w:cs="Arial"/>
          <w:sz w:val="22"/>
          <w:szCs w:val="22"/>
        </w:rPr>
        <w:t>One set of comments was received o</w:t>
      </w:r>
      <w:r w:rsidRPr="690E3277" w:rsidR="4E42A105">
        <w:rPr>
          <w:rFonts w:ascii="Arial" w:hAnsi="Arial" w:cs="Arial"/>
          <w:sz w:val="22"/>
          <w:szCs w:val="22"/>
        </w:rPr>
        <w:t>n August 8, 2020:</w:t>
      </w:r>
    </w:p>
    <w:p w:rsidR="006F6395" w:rsidP="007262BC" w:rsidRDefault="006F6395" w14:paraId="0A9272F0" w14:textId="32DFFE4B">
      <w:pPr>
        <w:ind w:left="1440"/>
        <w:rPr>
          <w:rFonts w:ascii="Verdana" w:hAnsi="Verdana" w:eastAsia="Verdana" w:cs="Verdana"/>
          <w:szCs w:val="24"/>
        </w:rPr>
      </w:pPr>
    </w:p>
    <w:p w:rsidR="006F6395" w:rsidP="007262BC" w:rsidRDefault="19EC7345" w14:paraId="7684BAF7" w14:textId="2AFE3ED4">
      <w:pPr>
        <w:ind w:left="1440"/>
        <w:rPr>
          <w:rFonts w:ascii="Arial" w:hAnsi="Arial" w:eastAsia="Arial" w:cs="Arial"/>
          <w:sz w:val="22"/>
          <w:szCs w:val="22"/>
        </w:rPr>
      </w:pPr>
      <w:r w:rsidRPr="690E3277">
        <w:rPr>
          <w:rFonts w:ascii="Arial" w:hAnsi="Arial" w:eastAsia="Arial" w:cs="Arial"/>
          <w:sz w:val="22"/>
          <w:szCs w:val="22"/>
        </w:rPr>
        <w:t>Comment #1</w:t>
      </w:r>
      <w:r w:rsidR="001076E7">
        <w:rPr>
          <w:rFonts w:ascii="Arial" w:hAnsi="Arial" w:eastAsia="Arial" w:cs="Arial"/>
          <w:sz w:val="22"/>
          <w:szCs w:val="22"/>
        </w:rPr>
        <w:t>a</w:t>
      </w:r>
      <w:r w:rsidRPr="690E3277">
        <w:rPr>
          <w:rFonts w:ascii="Arial" w:hAnsi="Arial" w:eastAsia="Arial" w:cs="Arial"/>
          <w:sz w:val="22"/>
          <w:szCs w:val="22"/>
        </w:rPr>
        <w:t xml:space="preserve"> - If the NRC does not regulate the site decommissioning in an Agreement State, how is the information necessary for NRC to properly perform their function? </w:t>
      </w:r>
    </w:p>
    <w:p w:rsidR="006F6395" w:rsidP="007262BC" w:rsidRDefault="006F6395" w14:paraId="265FD159" w14:textId="4D03F055">
      <w:pPr>
        <w:ind w:left="1440"/>
        <w:rPr>
          <w:rFonts w:ascii="Arial" w:hAnsi="Arial" w:eastAsia="Arial" w:cs="Arial"/>
          <w:sz w:val="22"/>
          <w:szCs w:val="22"/>
        </w:rPr>
      </w:pPr>
    </w:p>
    <w:p w:rsidR="006F6395" w:rsidP="007262BC" w:rsidRDefault="0ACA7A17" w14:paraId="48F368A2" w14:textId="2626DCB7">
      <w:pPr>
        <w:ind w:left="1440"/>
        <w:rPr>
          <w:rFonts w:ascii="Arial" w:hAnsi="Arial" w:eastAsia="Arial" w:cs="Arial"/>
          <w:sz w:val="22"/>
          <w:szCs w:val="22"/>
        </w:rPr>
      </w:pPr>
      <w:r w:rsidRPr="690E3277">
        <w:rPr>
          <w:rFonts w:ascii="Arial" w:hAnsi="Arial" w:eastAsia="Arial" w:cs="Arial"/>
          <w:sz w:val="22"/>
          <w:szCs w:val="22"/>
        </w:rPr>
        <w:t xml:space="preserve">NRC Response:  We agree with </w:t>
      </w:r>
      <w:r w:rsidR="0083691D">
        <w:rPr>
          <w:rFonts w:ascii="Arial" w:hAnsi="Arial" w:eastAsia="Arial" w:cs="Arial"/>
          <w:sz w:val="22"/>
          <w:szCs w:val="22"/>
        </w:rPr>
        <w:t>the</w:t>
      </w:r>
      <w:r w:rsidRPr="690E3277">
        <w:rPr>
          <w:rFonts w:ascii="Arial" w:hAnsi="Arial" w:eastAsia="Arial" w:cs="Arial"/>
          <w:sz w:val="22"/>
          <w:szCs w:val="22"/>
        </w:rPr>
        <w:t xml:space="preserve"> comment that the NRC does not regulate </w:t>
      </w:r>
      <w:r w:rsidRPr="690E3277" w:rsidR="626C253B">
        <w:rPr>
          <w:rFonts w:ascii="Arial" w:hAnsi="Arial" w:eastAsia="Arial" w:cs="Arial"/>
          <w:sz w:val="22"/>
          <w:szCs w:val="22"/>
        </w:rPr>
        <w:t>decommissioning</w:t>
      </w:r>
      <w:r w:rsidRPr="690E3277">
        <w:rPr>
          <w:rFonts w:ascii="Arial" w:hAnsi="Arial" w:eastAsia="Arial" w:cs="Arial"/>
          <w:sz w:val="22"/>
          <w:szCs w:val="22"/>
        </w:rPr>
        <w:t xml:space="preserve"> in an Agreement </w:t>
      </w:r>
      <w:r w:rsidRPr="690E3277" w:rsidR="00C621DC">
        <w:rPr>
          <w:rFonts w:ascii="Arial" w:hAnsi="Arial" w:eastAsia="Arial" w:cs="Arial"/>
          <w:sz w:val="22"/>
          <w:szCs w:val="22"/>
        </w:rPr>
        <w:t>State but</w:t>
      </w:r>
      <w:r w:rsidRPr="690E3277">
        <w:rPr>
          <w:rFonts w:ascii="Arial" w:hAnsi="Arial" w:eastAsia="Arial" w:cs="Arial"/>
          <w:sz w:val="22"/>
          <w:szCs w:val="22"/>
        </w:rPr>
        <w:t xml:space="preserve"> believe that it is important from a national perspective that the NRC </w:t>
      </w:r>
      <w:r w:rsidRPr="690E3277" w:rsidR="1E9F4524">
        <w:rPr>
          <w:rFonts w:ascii="Arial" w:hAnsi="Arial" w:eastAsia="Arial" w:cs="Arial"/>
          <w:sz w:val="22"/>
          <w:szCs w:val="22"/>
        </w:rPr>
        <w:t xml:space="preserve">provide </w:t>
      </w:r>
      <w:r w:rsidR="00522ADE">
        <w:rPr>
          <w:rFonts w:ascii="Arial" w:hAnsi="Arial" w:eastAsia="Arial" w:cs="Arial"/>
          <w:sz w:val="22"/>
          <w:szCs w:val="22"/>
        </w:rPr>
        <w:t>the public</w:t>
      </w:r>
      <w:r w:rsidRPr="690E3277" w:rsidR="1E9F4524">
        <w:rPr>
          <w:rFonts w:ascii="Arial" w:hAnsi="Arial" w:eastAsia="Arial" w:cs="Arial"/>
          <w:sz w:val="22"/>
          <w:szCs w:val="22"/>
        </w:rPr>
        <w:t xml:space="preserve"> a central location for information on decommissioning sites in the United States. </w:t>
      </w:r>
      <w:r w:rsidRPr="690E3277" w:rsidR="3A37AD5E">
        <w:rPr>
          <w:rFonts w:ascii="Arial" w:hAnsi="Arial" w:eastAsia="Arial" w:cs="Arial"/>
          <w:sz w:val="22"/>
          <w:szCs w:val="22"/>
        </w:rPr>
        <w:t xml:space="preserve"> NRC has been providing this central </w:t>
      </w:r>
      <w:r w:rsidRPr="690E3277" w:rsidR="352417C5">
        <w:rPr>
          <w:rFonts w:ascii="Arial" w:hAnsi="Arial" w:eastAsia="Arial" w:cs="Arial"/>
          <w:sz w:val="22"/>
          <w:szCs w:val="22"/>
        </w:rPr>
        <w:t>location</w:t>
      </w:r>
      <w:r w:rsidRPr="690E3277" w:rsidR="3A37AD5E">
        <w:rPr>
          <w:rFonts w:ascii="Arial" w:hAnsi="Arial" w:eastAsia="Arial" w:cs="Arial"/>
          <w:sz w:val="22"/>
          <w:szCs w:val="22"/>
        </w:rPr>
        <w:t xml:space="preserve"> for many years and the new information collection effort </w:t>
      </w:r>
      <w:r w:rsidRPr="690E3277" w:rsidR="50342B97">
        <w:rPr>
          <w:rFonts w:ascii="Arial" w:hAnsi="Arial" w:eastAsia="Arial" w:cs="Arial"/>
          <w:sz w:val="22"/>
          <w:szCs w:val="22"/>
        </w:rPr>
        <w:t>should</w:t>
      </w:r>
      <w:r w:rsidRPr="690E3277" w:rsidR="3A37AD5E">
        <w:rPr>
          <w:rFonts w:ascii="Arial" w:hAnsi="Arial" w:eastAsia="Arial" w:cs="Arial"/>
          <w:sz w:val="22"/>
          <w:szCs w:val="22"/>
        </w:rPr>
        <w:t xml:space="preserve"> improve the timeliness of the information included in the NRC website</w:t>
      </w:r>
      <w:r w:rsidRPr="690E3277" w:rsidR="7F043725">
        <w:rPr>
          <w:rFonts w:ascii="Arial" w:hAnsi="Arial" w:eastAsia="Arial" w:cs="Arial"/>
          <w:sz w:val="22"/>
          <w:szCs w:val="22"/>
        </w:rPr>
        <w:t>.</w:t>
      </w:r>
      <w:r w:rsidRPr="690E3277" w:rsidR="1E9F4524">
        <w:rPr>
          <w:rFonts w:ascii="Arial" w:hAnsi="Arial" w:eastAsia="Arial" w:cs="Arial"/>
          <w:sz w:val="22"/>
          <w:szCs w:val="22"/>
        </w:rPr>
        <w:t xml:space="preserve"> </w:t>
      </w:r>
      <w:r w:rsidRPr="690E3277" w:rsidR="48A280A2">
        <w:rPr>
          <w:rFonts w:ascii="Arial" w:hAnsi="Arial" w:eastAsia="Arial" w:cs="Arial"/>
          <w:sz w:val="22"/>
          <w:szCs w:val="22"/>
        </w:rPr>
        <w:t xml:space="preserve">We agree </w:t>
      </w:r>
      <w:r w:rsidRPr="690E3277" w:rsidR="13BB9378">
        <w:rPr>
          <w:rFonts w:ascii="Arial" w:hAnsi="Arial" w:eastAsia="Arial" w:cs="Arial"/>
          <w:sz w:val="22"/>
          <w:szCs w:val="22"/>
        </w:rPr>
        <w:t xml:space="preserve">with </w:t>
      </w:r>
      <w:r w:rsidR="0083691D">
        <w:rPr>
          <w:rFonts w:ascii="Arial" w:hAnsi="Arial" w:eastAsia="Arial" w:cs="Arial"/>
          <w:sz w:val="22"/>
          <w:szCs w:val="22"/>
        </w:rPr>
        <w:t>the</w:t>
      </w:r>
      <w:r w:rsidRPr="690E3277" w:rsidR="13BB9378">
        <w:rPr>
          <w:rFonts w:ascii="Arial" w:hAnsi="Arial" w:eastAsia="Arial" w:cs="Arial"/>
          <w:sz w:val="22"/>
          <w:szCs w:val="22"/>
        </w:rPr>
        <w:t xml:space="preserve"> comment on the utility of the information.</w:t>
      </w:r>
      <w:r w:rsidRPr="690E3277" w:rsidR="48A280A2">
        <w:rPr>
          <w:rFonts w:ascii="Arial" w:hAnsi="Arial" w:eastAsia="Arial" w:cs="Arial"/>
          <w:sz w:val="22"/>
          <w:szCs w:val="22"/>
        </w:rPr>
        <w:t xml:space="preserve"> </w:t>
      </w:r>
    </w:p>
    <w:p w:rsidR="006F6395" w:rsidP="007262BC" w:rsidRDefault="006F6395" w14:paraId="6848E7A7" w14:textId="04728702">
      <w:pPr>
        <w:ind w:left="1440"/>
        <w:rPr>
          <w:rFonts w:ascii="Arial" w:hAnsi="Arial" w:eastAsia="Arial" w:cs="Arial"/>
          <w:sz w:val="22"/>
          <w:szCs w:val="22"/>
        </w:rPr>
      </w:pPr>
    </w:p>
    <w:p w:rsidR="006F6395" w:rsidP="007262BC" w:rsidRDefault="19EC7345" w14:paraId="02BA7194" w14:textId="5F5B57DD">
      <w:pPr>
        <w:ind w:left="1440"/>
        <w:rPr>
          <w:rFonts w:ascii="Arial" w:hAnsi="Arial" w:eastAsia="Arial" w:cs="Arial"/>
          <w:sz w:val="22"/>
          <w:szCs w:val="22"/>
        </w:rPr>
      </w:pPr>
      <w:r w:rsidRPr="690E3277">
        <w:rPr>
          <w:rFonts w:ascii="Arial" w:hAnsi="Arial" w:eastAsia="Arial" w:cs="Arial"/>
          <w:sz w:val="22"/>
          <w:szCs w:val="22"/>
        </w:rPr>
        <w:t xml:space="preserve">The NRC’s annual request for information regarding uranium recovery and complex sites undergoing decommissioning will allow the NRC to compile the necessary information to ensure openness and promote communication </w:t>
      </w:r>
      <w:r w:rsidR="005369C0">
        <w:rPr>
          <w:rFonts w:ascii="Arial" w:hAnsi="Arial" w:eastAsia="Arial" w:cs="Arial"/>
          <w:sz w:val="22"/>
          <w:szCs w:val="22"/>
        </w:rPr>
        <w:t xml:space="preserve">and </w:t>
      </w:r>
      <w:r w:rsidRPr="690E3277">
        <w:rPr>
          <w:rFonts w:ascii="Arial" w:hAnsi="Arial" w:eastAsia="Arial" w:cs="Arial"/>
          <w:sz w:val="22"/>
          <w:szCs w:val="22"/>
        </w:rPr>
        <w:t xml:space="preserve">to enhance public knowledge of the national decommissioning program. </w:t>
      </w:r>
      <w:r w:rsidR="00F50786">
        <w:rPr>
          <w:rFonts w:ascii="Arial" w:hAnsi="Arial" w:eastAsia="Arial" w:cs="Arial"/>
          <w:sz w:val="22"/>
          <w:szCs w:val="22"/>
        </w:rPr>
        <w:t xml:space="preserve"> </w:t>
      </w:r>
      <w:r w:rsidRPr="690E3277">
        <w:rPr>
          <w:rFonts w:ascii="Arial" w:hAnsi="Arial" w:eastAsia="Arial" w:cs="Arial"/>
          <w:sz w:val="22"/>
          <w:szCs w:val="22"/>
        </w:rPr>
        <w:t>Agreement State</w:t>
      </w:r>
      <w:r w:rsidR="00F50786">
        <w:rPr>
          <w:rFonts w:ascii="Arial" w:hAnsi="Arial" w:eastAsia="Arial" w:cs="Arial"/>
          <w:sz w:val="22"/>
          <w:szCs w:val="22"/>
        </w:rPr>
        <w:t>s are parties</w:t>
      </w:r>
      <w:r w:rsidRPr="690E3277">
        <w:rPr>
          <w:rFonts w:ascii="Arial" w:hAnsi="Arial" w:eastAsia="Arial" w:cs="Arial"/>
          <w:sz w:val="22"/>
          <w:szCs w:val="22"/>
        </w:rPr>
        <w:t xml:space="preserve"> to the national decommissioning program, so, it is reasonable that we provide the information necessary for the NRC to accomplish this goal.</w:t>
      </w:r>
    </w:p>
    <w:p w:rsidR="006F6395" w:rsidP="690E3277" w:rsidRDefault="006F6395" w14:paraId="2187E336" w14:textId="4D255440">
      <w:pPr>
        <w:ind w:left="360"/>
        <w:rPr>
          <w:rFonts w:ascii="Arial" w:hAnsi="Arial" w:eastAsia="Arial" w:cs="Arial"/>
          <w:sz w:val="22"/>
          <w:szCs w:val="22"/>
        </w:rPr>
      </w:pPr>
    </w:p>
    <w:p w:rsidR="001076E7" w:rsidP="007262BC" w:rsidRDefault="001076E7" w14:paraId="4D8D988C" w14:textId="4BD91190">
      <w:pPr>
        <w:ind w:left="1440"/>
        <w:rPr>
          <w:rFonts w:ascii="Arial" w:hAnsi="Arial" w:eastAsia="Arial" w:cs="Arial"/>
          <w:sz w:val="22"/>
          <w:szCs w:val="22"/>
        </w:rPr>
      </w:pPr>
      <w:r>
        <w:rPr>
          <w:rFonts w:ascii="Arial" w:hAnsi="Arial" w:eastAsia="Arial" w:cs="Arial"/>
          <w:sz w:val="22"/>
          <w:szCs w:val="22"/>
        </w:rPr>
        <w:t xml:space="preserve">Comment </w:t>
      </w:r>
      <w:r w:rsidR="009866E0">
        <w:rPr>
          <w:rFonts w:ascii="Arial" w:hAnsi="Arial" w:eastAsia="Arial" w:cs="Arial"/>
          <w:sz w:val="22"/>
          <w:szCs w:val="22"/>
        </w:rPr>
        <w:t>#</w:t>
      </w:r>
      <w:r>
        <w:rPr>
          <w:rFonts w:ascii="Arial" w:hAnsi="Arial" w:eastAsia="Arial" w:cs="Arial"/>
          <w:sz w:val="22"/>
          <w:szCs w:val="22"/>
        </w:rPr>
        <w:t>1b</w:t>
      </w:r>
      <w:r w:rsidR="009866E0">
        <w:rPr>
          <w:rFonts w:ascii="Arial" w:hAnsi="Arial" w:eastAsia="Arial" w:cs="Arial"/>
          <w:sz w:val="22"/>
          <w:szCs w:val="22"/>
        </w:rPr>
        <w:t xml:space="preserve"> -</w:t>
      </w:r>
      <w:r>
        <w:rPr>
          <w:rFonts w:ascii="Arial" w:hAnsi="Arial" w:eastAsia="Arial" w:cs="Arial"/>
          <w:sz w:val="22"/>
          <w:szCs w:val="22"/>
        </w:rPr>
        <w:t xml:space="preserve"> </w:t>
      </w:r>
      <w:r w:rsidRPr="690E3277">
        <w:rPr>
          <w:rFonts w:ascii="Arial" w:hAnsi="Arial" w:eastAsia="Arial" w:cs="Arial"/>
          <w:sz w:val="22"/>
          <w:szCs w:val="22"/>
        </w:rPr>
        <w:t>The information does provide a practical utility in that it provides the public a single place to identify the complex site decommissioning activities across the nation.</w:t>
      </w:r>
    </w:p>
    <w:p w:rsidR="001076E7" w:rsidP="007262BC" w:rsidRDefault="001076E7" w14:paraId="50E0C59D" w14:textId="77777777">
      <w:pPr>
        <w:ind w:left="1440"/>
        <w:rPr>
          <w:rFonts w:ascii="Arial" w:hAnsi="Arial" w:eastAsia="Arial" w:cs="Arial"/>
          <w:sz w:val="22"/>
          <w:szCs w:val="22"/>
        </w:rPr>
      </w:pPr>
    </w:p>
    <w:p w:rsidR="006F6395" w:rsidP="007262BC" w:rsidRDefault="70BC90C0" w14:paraId="43E1B170" w14:textId="236D1DC7">
      <w:pPr>
        <w:ind w:left="1440"/>
        <w:rPr>
          <w:rFonts w:ascii="Arial" w:hAnsi="Arial" w:eastAsia="Arial" w:cs="Arial"/>
          <w:sz w:val="22"/>
          <w:szCs w:val="22"/>
        </w:rPr>
      </w:pPr>
      <w:r w:rsidRPr="690E3277">
        <w:rPr>
          <w:rFonts w:ascii="Arial" w:hAnsi="Arial" w:eastAsia="Arial" w:cs="Arial"/>
          <w:sz w:val="22"/>
          <w:szCs w:val="22"/>
        </w:rPr>
        <w:lastRenderedPageBreak/>
        <w:t xml:space="preserve">NRC Response:  We agree with </w:t>
      </w:r>
      <w:r w:rsidR="0083691D">
        <w:rPr>
          <w:rFonts w:ascii="Arial" w:hAnsi="Arial" w:eastAsia="Arial" w:cs="Arial"/>
          <w:sz w:val="22"/>
          <w:szCs w:val="22"/>
        </w:rPr>
        <w:t>the</w:t>
      </w:r>
      <w:r w:rsidRPr="690E3277">
        <w:rPr>
          <w:rFonts w:ascii="Arial" w:hAnsi="Arial" w:eastAsia="Arial" w:cs="Arial"/>
          <w:sz w:val="22"/>
          <w:szCs w:val="22"/>
        </w:rPr>
        <w:t xml:space="preserve"> comment</w:t>
      </w:r>
      <w:r w:rsidR="00C621DC">
        <w:rPr>
          <w:rFonts w:ascii="Arial" w:hAnsi="Arial" w:eastAsia="Arial" w:cs="Arial"/>
          <w:sz w:val="22"/>
          <w:szCs w:val="22"/>
        </w:rPr>
        <w:t>.</w:t>
      </w:r>
    </w:p>
    <w:p w:rsidR="006F6395" w:rsidP="007262BC" w:rsidRDefault="006F6395" w14:paraId="5E4306D1" w14:textId="1B6FF06D">
      <w:pPr>
        <w:ind w:left="1440"/>
        <w:rPr>
          <w:rFonts w:ascii="Arial" w:hAnsi="Arial" w:eastAsia="Arial" w:cs="Arial"/>
          <w:sz w:val="22"/>
          <w:szCs w:val="22"/>
        </w:rPr>
      </w:pPr>
    </w:p>
    <w:p w:rsidR="006F6395" w:rsidP="007262BC" w:rsidRDefault="5E81E82C" w14:paraId="12A37E0B" w14:textId="1F3F3B06">
      <w:pPr>
        <w:ind w:left="1440"/>
        <w:rPr>
          <w:rFonts w:ascii="Arial" w:hAnsi="Arial" w:eastAsia="Arial" w:cs="Arial"/>
          <w:sz w:val="22"/>
          <w:szCs w:val="22"/>
        </w:rPr>
      </w:pPr>
      <w:r w:rsidRPr="690E3277">
        <w:rPr>
          <w:rFonts w:ascii="Arial" w:hAnsi="Arial" w:eastAsia="Arial" w:cs="Arial"/>
          <w:sz w:val="22"/>
          <w:szCs w:val="22"/>
        </w:rPr>
        <w:t>Comment #2 - We are not aware of the schedule for providing the annual questionnaire, but having the questionnaire provided to the respondent early in the year may allow for the collection of the requested information as events transpire throughout the year.</w:t>
      </w:r>
    </w:p>
    <w:p w:rsidR="006F6395" w:rsidP="007262BC" w:rsidRDefault="006F6395" w14:paraId="0DADA53E" w14:textId="16E5B55C">
      <w:pPr>
        <w:ind w:left="1440"/>
        <w:rPr>
          <w:rFonts w:ascii="Arial" w:hAnsi="Arial" w:eastAsia="Arial" w:cs="Arial"/>
          <w:sz w:val="22"/>
          <w:szCs w:val="22"/>
        </w:rPr>
      </w:pPr>
    </w:p>
    <w:p w:rsidR="006F6395" w:rsidP="007262BC" w:rsidRDefault="7AA36637" w14:paraId="09C6725E" w14:textId="1BFF96EC">
      <w:pPr>
        <w:ind w:left="1440"/>
        <w:rPr>
          <w:rFonts w:ascii="Arial" w:hAnsi="Arial" w:eastAsia="Arial" w:cs="Arial"/>
          <w:sz w:val="22"/>
          <w:szCs w:val="22"/>
        </w:rPr>
      </w:pPr>
      <w:r w:rsidRPr="690E3277">
        <w:rPr>
          <w:rFonts w:ascii="Arial" w:hAnsi="Arial" w:eastAsia="Arial" w:cs="Arial"/>
          <w:sz w:val="22"/>
          <w:szCs w:val="22"/>
        </w:rPr>
        <w:t xml:space="preserve">NRC Response:  We agree with </w:t>
      </w:r>
      <w:r w:rsidR="0083691D">
        <w:rPr>
          <w:rFonts w:ascii="Arial" w:hAnsi="Arial" w:eastAsia="Arial" w:cs="Arial"/>
          <w:sz w:val="22"/>
          <w:szCs w:val="22"/>
        </w:rPr>
        <w:t>the</w:t>
      </w:r>
      <w:r w:rsidRPr="690E3277">
        <w:rPr>
          <w:rFonts w:ascii="Arial" w:hAnsi="Arial" w:eastAsia="Arial" w:cs="Arial"/>
          <w:sz w:val="22"/>
          <w:szCs w:val="22"/>
        </w:rPr>
        <w:t xml:space="preserve"> comment and will provide the request for information early in the </w:t>
      </w:r>
      <w:r w:rsidRPr="690E3277" w:rsidR="0F7049C3">
        <w:rPr>
          <w:rFonts w:ascii="Arial" w:hAnsi="Arial" w:eastAsia="Arial" w:cs="Arial"/>
          <w:sz w:val="22"/>
          <w:szCs w:val="22"/>
        </w:rPr>
        <w:t xml:space="preserve">calendar </w:t>
      </w:r>
      <w:r w:rsidRPr="690E3277">
        <w:rPr>
          <w:rFonts w:ascii="Arial" w:hAnsi="Arial" w:eastAsia="Arial" w:cs="Arial"/>
          <w:sz w:val="22"/>
          <w:szCs w:val="22"/>
        </w:rPr>
        <w:t>year</w:t>
      </w:r>
      <w:r w:rsidRPr="690E3277" w:rsidR="1A138CF6">
        <w:rPr>
          <w:rFonts w:ascii="Arial" w:hAnsi="Arial" w:eastAsia="Arial" w:cs="Arial"/>
          <w:sz w:val="22"/>
          <w:szCs w:val="22"/>
        </w:rPr>
        <w:t>.</w:t>
      </w:r>
    </w:p>
    <w:p w:rsidR="006F6395" w:rsidP="007262BC" w:rsidRDefault="006F6395" w14:paraId="0BEA64DE" w14:textId="559789E2">
      <w:pPr>
        <w:ind w:left="1440"/>
        <w:rPr>
          <w:rFonts w:ascii="Arial" w:hAnsi="Arial" w:eastAsia="Arial" w:cs="Arial"/>
          <w:sz w:val="22"/>
          <w:szCs w:val="22"/>
        </w:rPr>
      </w:pPr>
    </w:p>
    <w:p w:rsidR="006F6395" w:rsidP="007262BC" w:rsidRDefault="5E81E82C" w14:paraId="21F178B4" w14:textId="7FE32B44">
      <w:pPr>
        <w:ind w:left="1440"/>
        <w:rPr>
          <w:rFonts w:ascii="Arial" w:hAnsi="Arial" w:eastAsia="Arial" w:cs="Arial"/>
          <w:sz w:val="22"/>
          <w:szCs w:val="22"/>
        </w:rPr>
      </w:pPr>
      <w:r w:rsidRPr="690E3277">
        <w:rPr>
          <w:rFonts w:ascii="Arial" w:hAnsi="Arial" w:eastAsia="Arial" w:cs="Arial"/>
          <w:sz w:val="22"/>
          <w:szCs w:val="22"/>
        </w:rPr>
        <w:t>Comment #3 - We are not aware of the schedule for providing the annual questionnaire, but having the questionnaire provided to the respondent early in the year may allow for the collection of the requested information as events transpire throughout the year.</w:t>
      </w:r>
    </w:p>
    <w:p w:rsidR="006F6395" w:rsidP="007262BC" w:rsidRDefault="006F6395" w14:paraId="53228F73" w14:textId="3F6646C2">
      <w:pPr>
        <w:ind w:left="1440"/>
        <w:rPr>
          <w:rFonts w:ascii="Arial" w:hAnsi="Arial" w:eastAsia="Arial" w:cs="Arial"/>
          <w:sz w:val="22"/>
          <w:szCs w:val="22"/>
        </w:rPr>
      </w:pPr>
    </w:p>
    <w:p w:rsidR="006F6395" w:rsidP="007262BC" w:rsidRDefault="6AB06E32" w14:paraId="5605D1B6" w14:textId="358051DA">
      <w:pPr>
        <w:ind w:left="1440"/>
        <w:rPr>
          <w:rFonts w:ascii="Arial" w:hAnsi="Arial" w:eastAsia="Arial" w:cs="Arial"/>
          <w:sz w:val="22"/>
          <w:szCs w:val="22"/>
        </w:rPr>
      </w:pPr>
      <w:r w:rsidRPr="690E3277">
        <w:rPr>
          <w:rFonts w:ascii="Arial" w:hAnsi="Arial" w:eastAsia="Arial" w:cs="Arial"/>
          <w:sz w:val="22"/>
          <w:szCs w:val="22"/>
        </w:rPr>
        <w:t>NRC Response:  See response to comment #2, above</w:t>
      </w:r>
      <w:r w:rsidR="00C621DC">
        <w:rPr>
          <w:rFonts w:ascii="Arial" w:hAnsi="Arial" w:eastAsia="Arial" w:cs="Arial"/>
          <w:sz w:val="22"/>
          <w:szCs w:val="22"/>
        </w:rPr>
        <w:t>.</w:t>
      </w:r>
    </w:p>
    <w:p w:rsidR="006F6395" w:rsidP="007262BC" w:rsidRDefault="006F6395" w14:paraId="394B6999" w14:textId="287BB0E9">
      <w:pPr>
        <w:ind w:left="1440"/>
        <w:rPr>
          <w:rFonts w:ascii="Arial" w:hAnsi="Arial" w:eastAsia="Arial" w:cs="Arial"/>
          <w:sz w:val="22"/>
          <w:szCs w:val="22"/>
        </w:rPr>
      </w:pPr>
    </w:p>
    <w:p w:rsidR="006F6395" w:rsidP="007262BC" w:rsidRDefault="5E81E82C" w14:paraId="75824C23" w14:textId="52ED210A">
      <w:pPr>
        <w:ind w:left="1440"/>
        <w:rPr>
          <w:rFonts w:ascii="Arial" w:hAnsi="Arial" w:eastAsia="Arial" w:cs="Arial"/>
          <w:sz w:val="22"/>
          <w:szCs w:val="22"/>
        </w:rPr>
      </w:pPr>
      <w:r w:rsidRPr="690E3277">
        <w:rPr>
          <w:rFonts w:ascii="Arial" w:hAnsi="Arial" w:eastAsia="Arial" w:cs="Arial"/>
          <w:sz w:val="22"/>
          <w:szCs w:val="22"/>
        </w:rPr>
        <w:t xml:space="preserve">Comment #4 - The burden of information collection could be reduced through the development and implementation of electronic filing systems by the respondents, and the implementation of periodic (i.e. quarterly) internal updates by respondents to their annual reports in preparation for the anticipated annual NRC requests for information. </w:t>
      </w:r>
    </w:p>
    <w:p w:rsidR="006F6395" w:rsidP="007262BC" w:rsidRDefault="006F6395" w14:paraId="0B50F884" w14:textId="1C044712">
      <w:pPr>
        <w:ind w:left="1440"/>
        <w:rPr>
          <w:rFonts w:ascii="Arial" w:hAnsi="Arial" w:eastAsia="Arial" w:cs="Arial"/>
          <w:sz w:val="22"/>
          <w:szCs w:val="22"/>
        </w:rPr>
      </w:pPr>
    </w:p>
    <w:p w:rsidR="006F6395" w:rsidP="007262BC" w:rsidRDefault="5F1847D9" w14:paraId="11D0A3AA" w14:textId="475A34D6">
      <w:pPr>
        <w:ind w:left="1440"/>
        <w:rPr>
          <w:rFonts w:ascii="Arial" w:hAnsi="Arial" w:eastAsia="Arial" w:cs="Arial"/>
          <w:sz w:val="22"/>
          <w:szCs w:val="22"/>
        </w:rPr>
      </w:pPr>
      <w:r w:rsidRPr="690E3277">
        <w:rPr>
          <w:rFonts w:ascii="Arial" w:hAnsi="Arial" w:eastAsia="Arial" w:cs="Arial"/>
          <w:sz w:val="22"/>
          <w:szCs w:val="22"/>
        </w:rPr>
        <w:t xml:space="preserve">NRC Response:  </w:t>
      </w:r>
      <w:r w:rsidRPr="690E3277" w:rsidR="1FFB5F3F">
        <w:rPr>
          <w:rFonts w:ascii="Arial" w:hAnsi="Arial" w:eastAsia="Arial" w:cs="Arial"/>
          <w:sz w:val="22"/>
          <w:szCs w:val="22"/>
        </w:rPr>
        <w:t>This new collection effort should significantly reduce the burden to the Agreement States</w:t>
      </w:r>
      <w:r w:rsidRPr="690E3277" w:rsidR="491A641C">
        <w:rPr>
          <w:rFonts w:ascii="Arial" w:hAnsi="Arial" w:eastAsia="Arial" w:cs="Arial"/>
          <w:sz w:val="22"/>
          <w:szCs w:val="22"/>
        </w:rPr>
        <w:t xml:space="preserve"> </w:t>
      </w:r>
      <w:r w:rsidRPr="690E3277" w:rsidR="1FFB5F3F">
        <w:rPr>
          <w:rFonts w:ascii="Arial" w:hAnsi="Arial" w:eastAsia="Arial" w:cs="Arial"/>
          <w:sz w:val="22"/>
          <w:szCs w:val="22"/>
        </w:rPr>
        <w:t>and, once the effort has been implemented, the NRC staff will evaluate other methods to</w:t>
      </w:r>
      <w:r w:rsidRPr="690E3277" w:rsidR="552501E3">
        <w:rPr>
          <w:rFonts w:ascii="Arial" w:hAnsi="Arial" w:eastAsia="Arial" w:cs="Arial"/>
          <w:sz w:val="22"/>
          <w:szCs w:val="22"/>
        </w:rPr>
        <w:t xml:space="preserve"> obtain the information from the Agreement States</w:t>
      </w:r>
      <w:r w:rsidR="00911C7D">
        <w:rPr>
          <w:rFonts w:ascii="Arial" w:hAnsi="Arial" w:eastAsia="Arial" w:cs="Arial"/>
          <w:sz w:val="22"/>
          <w:szCs w:val="22"/>
        </w:rPr>
        <w:t>.</w:t>
      </w:r>
      <w:r w:rsidRPr="690E3277" w:rsidR="5E81E82C">
        <w:rPr>
          <w:rFonts w:ascii="Arial" w:hAnsi="Arial" w:eastAsia="Arial" w:cs="Arial"/>
          <w:sz w:val="22"/>
          <w:szCs w:val="22"/>
        </w:rPr>
        <w:t xml:space="preserve"> </w:t>
      </w:r>
    </w:p>
    <w:p w:rsidR="690E3277" w:rsidP="007262BC" w:rsidRDefault="690E3277" w14:paraId="0C2BCDF3" w14:textId="5BC2F2F4">
      <w:pPr>
        <w:ind w:left="1440"/>
        <w:rPr>
          <w:rFonts w:ascii="Arial" w:hAnsi="Arial"/>
          <w:sz w:val="22"/>
          <w:szCs w:val="22"/>
        </w:rPr>
      </w:pPr>
    </w:p>
    <w:p w:rsidR="006F6395" w:rsidP="006F6395" w:rsidRDefault="006F6395" w14:paraId="68E89741" w14:textId="77777777">
      <w:pPr>
        <w:ind w:left="1440" w:hanging="720"/>
        <w:rPr>
          <w:rFonts w:ascii="Arial" w:hAnsi="Arial"/>
          <w:sz w:val="22"/>
          <w:u w:val="single"/>
        </w:rPr>
      </w:pPr>
      <w:r>
        <w:rPr>
          <w:rFonts w:ascii="Arial" w:hAnsi="Arial"/>
          <w:sz w:val="22"/>
        </w:rPr>
        <w:t>9.</w:t>
      </w:r>
      <w:r>
        <w:rPr>
          <w:rFonts w:ascii="Arial" w:hAnsi="Arial"/>
          <w:sz w:val="22"/>
        </w:rPr>
        <w:tab/>
      </w:r>
      <w:r>
        <w:rPr>
          <w:rFonts w:ascii="Arial" w:hAnsi="Arial"/>
          <w:sz w:val="22"/>
          <w:u w:val="single"/>
        </w:rPr>
        <w:t>Payment or Gift to Respondents</w:t>
      </w:r>
    </w:p>
    <w:p w:rsidR="006F6395" w:rsidP="006F6395" w:rsidRDefault="006F6395" w14:paraId="3DFF9106" w14:textId="77777777">
      <w:pPr>
        <w:ind w:left="1440" w:hanging="720"/>
        <w:rPr>
          <w:rFonts w:ascii="Arial" w:hAnsi="Arial"/>
          <w:sz w:val="22"/>
        </w:rPr>
      </w:pPr>
    </w:p>
    <w:p w:rsidR="006F6395" w:rsidP="007D5EA7" w:rsidRDefault="006F6395" w14:paraId="106B690D" w14:textId="77777777">
      <w:pPr>
        <w:ind w:left="1440"/>
        <w:outlineLvl w:val="0"/>
        <w:rPr>
          <w:rFonts w:ascii="Arial" w:hAnsi="Arial"/>
          <w:sz w:val="22"/>
        </w:rPr>
      </w:pPr>
      <w:r>
        <w:rPr>
          <w:rFonts w:ascii="Arial" w:hAnsi="Arial"/>
          <w:sz w:val="22"/>
        </w:rPr>
        <w:t>Not applicable.</w:t>
      </w:r>
    </w:p>
    <w:p w:rsidR="005574AE" w:rsidP="005574AE" w:rsidRDefault="005574AE" w14:paraId="03A9D159" w14:textId="77777777">
      <w:pPr>
        <w:ind w:left="1440"/>
        <w:rPr>
          <w:rFonts w:ascii="Arial" w:hAnsi="Arial"/>
          <w:sz w:val="22"/>
        </w:rPr>
      </w:pPr>
    </w:p>
    <w:p w:rsidRPr="00C32170" w:rsidR="006F6395" w:rsidP="006F6395" w:rsidRDefault="006F6395" w14:paraId="24D0EA99" w14:textId="77777777">
      <w:pPr>
        <w:rPr>
          <w:rFonts w:ascii="Arial" w:hAnsi="Arial"/>
          <w:sz w:val="22"/>
        </w:rPr>
      </w:pPr>
      <w:r>
        <w:rPr>
          <w:rFonts w:ascii="Arial" w:hAnsi="Arial"/>
          <w:sz w:val="22"/>
        </w:rPr>
        <w:tab/>
      </w:r>
      <w:r w:rsidRPr="00C32170">
        <w:rPr>
          <w:rFonts w:ascii="Arial" w:hAnsi="Arial"/>
          <w:sz w:val="22"/>
        </w:rPr>
        <w:t>10.</w:t>
      </w:r>
      <w:r w:rsidRPr="00C32170">
        <w:rPr>
          <w:rFonts w:ascii="Arial" w:hAnsi="Arial"/>
          <w:sz w:val="22"/>
        </w:rPr>
        <w:tab/>
      </w:r>
      <w:r w:rsidRPr="00C32170">
        <w:rPr>
          <w:rFonts w:ascii="Arial" w:hAnsi="Arial"/>
          <w:sz w:val="22"/>
          <w:u w:val="single"/>
        </w:rPr>
        <w:t>Confidentiality of the Information</w:t>
      </w:r>
    </w:p>
    <w:p w:rsidR="006F6395" w:rsidP="006F6395" w:rsidRDefault="006F6395" w14:paraId="7DC4A9F3" w14:textId="77777777">
      <w:pPr>
        <w:rPr>
          <w:rFonts w:ascii="Arial" w:hAnsi="Arial" w:cs="Arial"/>
          <w:sz w:val="22"/>
          <w:szCs w:val="22"/>
        </w:rPr>
      </w:pPr>
    </w:p>
    <w:p w:rsidR="00E73A77" w:rsidRDefault="00A2416A" w14:paraId="50F70394" w14:textId="2D6E9083">
      <w:pPr>
        <w:ind w:left="1440"/>
        <w:rPr>
          <w:rFonts w:ascii="Arial" w:hAnsi="Arial" w:cs="Arial"/>
          <w:sz w:val="22"/>
          <w:szCs w:val="22"/>
        </w:rPr>
      </w:pPr>
      <w:r>
        <w:rPr>
          <w:rFonts w:ascii="Arial" w:hAnsi="Arial"/>
          <w:sz w:val="22"/>
        </w:rPr>
        <w:t>T</w:t>
      </w:r>
      <w:r w:rsidR="00E73A77">
        <w:rPr>
          <w:rFonts w:ascii="Arial" w:hAnsi="Arial"/>
          <w:sz w:val="22"/>
        </w:rPr>
        <w:t xml:space="preserve">he NRC is not requesting that the Agreement States submit any sensitive </w:t>
      </w:r>
      <w:r>
        <w:rPr>
          <w:rFonts w:ascii="Arial" w:hAnsi="Arial"/>
          <w:sz w:val="22"/>
        </w:rPr>
        <w:t xml:space="preserve">or confidential </w:t>
      </w:r>
      <w:r w:rsidR="00E73A77">
        <w:rPr>
          <w:rFonts w:ascii="Arial" w:hAnsi="Arial"/>
          <w:sz w:val="22"/>
        </w:rPr>
        <w:t>information</w:t>
      </w:r>
      <w:r>
        <w:rPr>
          <w:rFonts w:ascii="Arial" w:hAnsi="Arial"/>
          <w:sz w:val="22"/>
        </w:rPr>
        <w:t xml:space="preserve"> as part of this information collection</w:t>
      </w:r>
      <w:r w:rsidR="00E73A77">
        <w:rPr>
          <w:rFonts w:ascii="Arial" w:hAnsi="Arial"/>
          <w:sz w:val="22"/>
        </w:rPr>
        <w:t>.</w:t>
      </w:r>
    </w:p>
    <w:p w:rsidR="006F6395" w:rsidP="006F6395" w:rsidRDefault="006F6395" w14:paraId="2F5131F0" w14:textId="77777777">
      <w:pPr>
        <w:rPr>
          <w:rFonts w:ascii="Arial" w:hAnsi="Arial"/>
          <w:sz w:val="22"/>
        </w:rPr>
      </w:pPr>
    </w:p>
    <w:p w:rsidR="006F6395" w:rsidP="006F6395" w:rsidRDefault="006F6395" w14:paraId="58F5909D" w14:textId="77777777">
      <w:pPr>
        <w:ind w:left="1440" w:hanging="720"/>
        <w:rPr>
          <w:rFonts w:ascii="Arial" w:hAnsi="Arial"/>
          <w:sz w:val="22"/>
        </w:rPr>
      </w:pPr>
      <w:r>
        <w:rPr>
          <w:rFonts w:ascii="Arial" w:hAnsi="Arial"/>
          <w:sz w:val="22"/>
        </w:rPr>
        <w:t>11.</w:t>
      </w:r>
      <w:r>
        <w:rPr>
          <w:rFonts w:ascii="Arial" w:hAnsi="Arial"/>
          <w:sz w:val="22"/>
        </w:rPr>
        <w:tab/>
      </w:r>
      <w:r>
        <w:rPr>
          <w:rFonts w:ascii="Arial" w:hAnsi="Arial"/>
          <w:sz w:val="22"/>
          <w:u w:val="single"/>
        </w:rPr>
        <w:t>Justification for Sensitive Questions</w:t>
      </w:r>
    </w:p>
    <w:p w:rsidR="006F6395" w:rsidP="006F6395" w:rsidRDefault="006F6395" w14:paraId="5FB9BB5D" w14:textId="77777777">
      <w:pPr>
        <w:ind w:left="1440" w:hanging="720"/>
        <w:rPr>
          <w:rFonts w:ascii="Arial" w:hAnsi="Arial"/>
          <w:sz w:val="22"/>
        </w:rPr>
      </w:pPr>
      <w:r>
        <w:rPr>
          <w:rFonts w:ascii="Arial" w:hAnsi="Arial"/>
          <w:sz w:val="22"/>
        </w:rPr>
        <w:tab/>
      </w:r>
    </w:p>
    <w:p w:rsidR="00E73A77" w:rsidP="006F6395" w:rsidRDefault="00E73A77" w14:paraId="7355C0F0" w14:textId="77777777">
      <w:pPr>
        <w:ind w:left="1440" w:hanging="720"/>
        <w:rPr>
          <w:rFonts w:ascii="Arial" w:hAnsi="Arial"/>
          <w:sz w:val="22"/>
        </w:rPr>
      </w:pPr>
      <w:r>
        <w:rPr>
          <w:rFonts w:ascii="Arial" w:hAnsi="Arial"/>
          <w:sz w:val="22"/>
        </w:rPr>
        <w:tab/>
        <w:t>Not applicable.</w:t>
      </w:r>
    </w:p>
    <w:p w:rsidR="006F6395" w:rsidP="006F6395" w:rsidRDefault="006F6395" w14:paraId="3BD7B571" w14:textId="77777777">
      <w:pPr>
        <w:rPr>
          <w:rFonts w:ascii="Arial" w:hAnsi="Arial"/>
          <w:sz w:val="22"/>
        </w:rPr>
      </w:pPr>
    </w:p>
    <w:p w:rsidRPr="00C32170" w:rsidR="006F6395" w:rsidP="007D5EA7" w:rsidRDefault="006F6395" w14:paraId="5D588C70" w14:textId="77777777">
      <w:pPr>
        <w:outlineLvl w:val="0"/>
        <w:rPr>
          <w:rFonts w:ascii="Arial" w:hAnsi="Arial"/>
          <w:sz w:val="22"/>
        </w:rPr>
      </w:pPr>
      <w:r>
        <w:rPr>
          <w:rFonts w:ascii="Arial" w:hAnsi="Arial"/>
          <w:sz w:val="22"/>
        </w:rPr>
        <w:tab/>
      </w:r>
      <w:r w:rsidRPr="00C32170">
        <w:rPr>
          <w:rFonts w:ascii="Arial" w:hAnsi="Arial"/>
          <w:sz w:val="22"/>
        </w:rPr>
        <w:t>12.</w:t>
      </w:r>
      <w:r w:rsidRPr="00C32170">
        <w:rPr>
          <w:rFonts w:ascii="Arial" w:hAnsi="Arial"/>
          <w:sz w:val="22"/>
        </w:rPr>
        <w:tab/>
      </w:r>
      <w:r w:rsidRPr="00C32170">
        <w:rPr>
          <w:rFonts w:ascii="Arial" w:hAnsi="Arial"/>
          <w:sz w:val="22"/>
          <w:u w:val="single"/>
        </w:rPr>
        <w:t>Estimated Burden and Burden Hour Cost</w:t>
      </w:r>
    </w:p>
    <w:p w:rsidR="006F6395" w:rsidP="006F6395" w:rsidRDefault="006F6395" w14:paraId="29107D1B" w14:textId="77777777">
      <w:pPr>
        <w:rPr>
          <w:rFonts w:ascii="Arial" w:hAnsi="Arial" w:cs="Arial"/>
          <w:sz w:val="22"/>
          <w:szCs w:val="22"/>
        </w:rPr>
      </w:pPr>
    </w:p>
    <w:p w:rsidR="00964B87" w:rsidP="006F6395" w:rsidRDefault="00474BA1" w14:paraId="0F685E75" w14:textId="7BF699A7">
      <w:pPr>
        <w:ind w:left="1440"/>
        <w:rPr>
          <w:rFonts w:ascii="Arial" w:hAnsi="Arial"/>
          <w:sz w:val="22"/>
        </w:rPr>
      </w:pPr>
      <w:r>
        <w:rPr>
          <w:rFonts w:ascii="Arial" w:hAnsi="Arial"/>
          <w:sz w:val="22"/>
        </w:rPr>
        <w:t xml:space="preserve">The NRC will issue one request annually to </w:t>
      </w:r>
      <w:r w:rsidR="009F01DB">
        <w:rPr>
          <w:rFonts w:ascii="Arial" w:hAnsi="Arial"/>
          <w:sz w:val="22"/>
        </w:rPr>
        <w:t xml:space="preserve">39 </w:t>
      </w:r>
      <w:r>
        <w:rPr>
          <w:rFonts w:ascii="Arial" w:hAnsi="Arial"/>
          <w:sz w:val="22"/>
        </w:rPr>
        <w:t xml:space="preserve">Agreement States.  </w:t>
      </w:r>
      <w:r w:rsidR="00111339">
        <w:rPr>
          <w:rFonts w:ascii="Arial" w:hAnsi="Arial"/>
          <w:sz w:val="22"/>
        </w:rPr>
        <w:t>It</w:t>
      </w:r>
      <w:r w:rsidR="00082AFD">
        <w:rPr>
          <w:rFonts w:ascii="Arial" w:hAnsi="Arial"/>
          <w:sz w:val="22"/>
        </w:rPr>
        <w:t xml:space="preserve"> is estimated that </w:t>
      </w:r>
      <w:r w:rsidR="00CA3C21">
        <w:rPr>
          <w:rFonts w:ascii="Arial" w:hAnsi="Arial"/>
          <w:sz w:val="22"/>
        </w:rPr>
        <w:t>1</w:t>
      </w:r>
      <w:r w:rsidR="008436DD">
        <w:rPr>
          <w:rFonts w:ascii="Arial" w:hAnsi="Arial"/>
          <w:sz w:val="22"/>
        </w:rPr>
        <w:t>4</w:t>
      </w:r>
      <w:r w:rsidR="00CA3C21">
        <w:rPr>
          <w:rFonts w:ascii="Arial" w:hAnsi="Arial"/>
          <w:sz w:val="22"/>
        </w:rPr>
        <w:t xml:space="preserve"> </w:t>
      </w:r>
      <w:r w:rsidR="00552CAE">
        <w:rPr>
          <w:rFonts w:ascii="Arial" w:hAnsi="Arial"/>
          <w:sz w:val="22"/>
        </w:rPr>
        <w:t xml:space="preserve">respondents from the </w:t>
      </w:r>
      <w:r w:rsidR="009F01DB">
        <w:rPr>
          <w:rFonts w:ascii="Arial" w:hAnsi="Arial"/>
          <w:sz w:val="22"/>
        </w:rPr>
        <w:t xml:space="preserve">39 </w:t>
      </w:r>
      <w:r w:rsidR="006F6395">
        <w:rPr>
          <w:rFonts w:ascii="Arial" w:hAnsi="Arial"/>
          <w:sz w:val="22"/>
        </w:rPr>
        <w:t xml:space="preserve">Agreement States </w:t>
      </w:r>
      <w:r w:rsidR="00552CAE">
        <w:rPr>
          <w:rFonts w:ascii="Arial" w:hAnsi="Arial"/>
          <w:sz w:val="22"/>
        </w:rPr>
        <w:t>will have sites</w:t>
      </w:r>
      <w:r w:rsidR="006F6395">
        <w:rPr>
          <w:rFonts w:ascii="Arial" w:hAnsi="Arial"/>
          <w:sz w:val="22"/>
        </w:rPr>
        <w:t xml:space="preserve"> </w:t>
      </w:r>
      <w:r w:rsidR="00964B87">
        <w:rPr>
          <w:rFonts w:ascii="Arial" w:hAnsi="Arial"/>
          <w:sz w:val="22"/>
        </w:rPr>
        <w:t>undergoing decommissioning under the jurisdiction of their State</w:t>
      </w:r>
      <w:r>
        <w:rPr>
          <w:rFonts w:ascii="Arial" w:hAnsi="Arial"/>
          <w:sz w:val="22"/>
        </w:rPr>
        <w:t>, and the remaining 2</w:t>
      </w:r>
      <w:r w:rsidR="006502AC">
        <w:rPr>
          <w:rFonts w:ascii="Arial" w:hAnsi="Arial"/>
          <w:sz w:val="22"/>
        </w:rPr>
        <w:t>5</w:t>
      </w:r>
      <w:r>
        <w:rPr>
          <w:rFonts w:ascii="Arial" w:hAnsi="Arial"/>
          <w:sz w:val="22"/>
        </w:rPr>
        <w:t xml:space="preserve"> respondents will have no sites</w:t>
      </w:r>
      <w:r w:rsidR="00964B87">
        <w:rPr>
          <w:rFonts w:ascii="Arial" w:hAnsi="Arial"/>
          <w:sz w:val="22"/>
        </w:rPr>
        <w:t xml:space="preserve"> undergoing decommissioning under jurisdiction of their State</w:t>
      </w:r>
      <w:r w:rsidR="00D25E9E">
        <w:rPr>
          <w:rFonts w:ascii="Arial" w:hAnsi="Arial"/>
          <w:sz w:val="22"/>
        </w:rPr>
        <w:t xml:space="preserve">.  </w:t>
      </w:r>
      <w:r w:rsidR="00964B87">
        <w:rPr>
          <w:rFonts w:ascii="Arial" w:hAnsi="Arial"/>
          <w:sz w:val="22"/>
        </w:rPr>
        <w:t xml:space="preserve">Each Agreement State will provide one response </w:t>
      </w:r>
      <w:r w:rsidR="00457D7A">
        <w:rPr>
          <w:rFonts w:ascii="Arial" w:hAnsi="Arial"/>
          <w:sz w:val="22"/>
        </w:rPr>
        <w:t xml:space="preserve">that includes </w:t>
      </w:r>
      <w:r w:rsidR="00DE459D">
        <w:rPr>
          <w:rFonts w:ascii="Arial" w:hAnsi="Arial"/>
          <w:sz w:val="22"/>
        </w:rPr>
        <w:t xml:space="preserve">a list of </w:t>
      </w:r>
      <w:r w:rsidR="00DE459D">
        <w:rPr>
          <w:rFonts w:ascii="Arial" w:hAnsi="Arial"/>
          <w:sz w:val="22"/>
        </w:rPr>
        <w:lastRenderedPageBreak/>
        <w:t xml:space="preserve">sites </w:t>
      </w:r>
      <w:r w:rsidR="00045266">
        <w:rPr>
          <w:rFonts w:ascii="Arial" w:hAnsi="Arial"/>
          <w:sz w:val="22"/>
        </w:rPr>
        <w:t xml:space="preserve">undergoing decommissioning </w:t>
      </w:r>
      <w:r w:rsidR="00DE459D">
        <w:rPr>
          <w:rFonts w:ascii="Arial" w:hAnsi="Arial"/>
          <w:sz w:val="22"/>
        </w:rPr>
        <w:t xml:space="preserve">and </w:t>
      </w:r>
      <w:r w:rsidR="00964B87">
        <w:rPr>
          <w:rFonts w:ascii="Arial" w:hAnsi="Arial"/>
          <w:sz w:val="22"/>
        </w:rPr>
        <w:t xml:space="preserve">a point of contact, and the NRC anticipates receiving a total of </w:t>
      </w:r>
      <w:r w:rsidR="009F01DB">
        <w:rPr>
          <w:rFonts w:ascii="Arial" w:hAnsi="Arial"/>
          <w:sz w:val="22"/>
        </w:rPr>
        <w:t xml:space="preserve">39 </w:t>
      </w:r>
      <w:r w:rsidR="00964B87">
        <w:rPr>
          <w:rFonts w:ascii="Arial" w:hAnsi="Arial"/>
          <w:sz w:val="22"/>
        </w:rPr>
        <w:t>responses.</w:t>
      </w:r>
    </w:p>
    <w:p w:rsidR="00964B87" w:rsidP="006F6395" w:rsidRDefault="00964B87" w14:paraId="3CA91070" w14:textId="77777777">
      <w:pPr>
        <w:ind w:left="1440"/>
        <w:rPr>
          <w:rFonts w:ascii="Arial" w:hAnsi="Arial"/>
          <w:sz w:val="22"/>
        </w:rPr>
      </w:pPr>
    </w:p>
    <w:p w:rsidR="006F6395" w:rsidP="006F6395" w:rsidRDefault="00964B87" w14:paraId="4244188B" w14:textId="5D1912F4">
      <w:pPr>
        <w:ind w:left="1440"/>
        <w:rPr>
          <w:rFonts w:ascii="Arial" w:hAnsi="Arial"/>
          <w:sz w:val="22"/>
        </w:rPr>
      </w:pPr>
      <w:r>
        <w:rPr>
          <w:rFonts w:ascii="Arial" w:hAnsi="Arial"/>
          <w:sz w:val="22"/>
        </w:rPr>
        <w:t xml:space="preserve">The burden for the response for each Agreement State </w:t>
      </w:r>
      <w:r w:rsidR="0012477B">
        <w:rPr>
          <w:rFonts w:ascii="Arial" w:hAnsi="Arial"/>
          <w:sz w:val="22"/>
        </w:rPr>
        <w:t xml:space="preserve">with sites undergoing decommissioning </w:t>
      </w:r>
      <w:r>
        <w:rPr>
          <w:rFonts w:ascii="Arial" w:hAnsi="Arial"/>
          <w:sz w:val="22"/>
        </w:rPr>
        <w:t xml:space="preserve">should be the same regardless of the number of sites undergoing decommissioning.  </w:t>
      </w:r>
      <w:r w:rsidR="006F6395">
        <w:rPr>
          <w:rFonts w:ascii="Arial" w:hAnsi="Arial"/>
          <w:sz w:val="22"/>
        </w:rPr>
        <w:t xml:space="preserve">The average </w:t>
      </w:r>
      <w:r w:rsidR="00552CAE">
        <w:rPr>
          <w:rFonts w:ascii="Arial" w:hAnsi="Arial"/>
          <w:sz w:val="22"/>
        </w:rPr>
        <w:t xml:space="preserve">annual burden to provide the voluntary responses to the NRC is </w:t>
      </w:r>
      <w:r w:rsidR="008328FC">
        <w:rPr>
          <w:rFonts w:ascii="Arial" w:hAnsi="Arial"/>
          <w:sz w:val="22"/>
        </w:rPr>
        <w:t>2</w:t>
      </w:r>
      <w:r w:rsidR="00552CAE">
        <w:rPr>
          <w:rFonts w:ascii="Arial" w:hAnsi="Arial"/>
          <w:sz w:val="22"/>
        </w:rPr>
        <w:t xml:space="preserve"> hour</w:t>
      </w:r>
      <w:r w:rsidR="008328FC">
        <w:rPr>
          <w:rFonts w:ascii="Arial" w:hAnsi="Arial"/>
          <w:sz w:val="22"/>
        </w:rPr>
        <w:t>s</w:t>
      </w:r>
      <w:r w:rsidR="00552CAE">
        <w:rPr>
          <w:rFonts w:ascii="Arial" w:hAnsi="Arial"/>
          <w:sz w:val="22"/>
        </w:rPr>
        <w:t xml:space="preserve"> for each of the </w:t>
      </w:r>
      <w:r w:rsidR="00C221FC">
        <w:rPr>
          <w:rFonts w:ascii="Arial" w:hAnsi="Arial"/>
          <w:sz w:val="22"/>
        </w:rPr>
        <w:t>14</w:t>
      </w:r>
      <w:r w:rsidR="00E30E3D">
        <w:rPr>
          <w:rFonts w:ascii="Arial" w:hAnsi="Arial"/>
          <w:sz w:val="22"/>
        </w:rPr>
        <w:t xml:space="preserve"> Agreement States</w:t>
      </w:r>
      <w:r w:rsidR="00C221FC">
        <w:rPr>
          <w:rFonts w:ascii="Arial" w:hAnsi="Arial"/>
          <w:sz w:val="22"/>
        </w:rPr>
        <w:t xml:space="preserve"> with sites undergoing decommissioning</w:t>
      </w:r>
      <w:r w:rsidR="00255387">
        <w:rPr>
          <w:rFonts w:ascii="Arial" w:hAnsi="Arial"/>
          <w:sz w:val="22"/>
        </w:rPr>
        <w:t>.</w:t>
      </w:r>
      <w:r w:rsidR="00552CAE">
        <w:rPr>
          <w:rFonts w:ascii="Arial" w:hAnsi="Arial"/>
          <w:sz w:val="22"/>
        </w:rPr>
        <w:t xml:space="preserve">  </w:t>
      </w:r>
      <w:r w:rsidR="009839E3">
        <w:rPr>
          <w:rFonts w:ascii="Arial" w:hAnsi="Arial"/>
          <w:sz w:val="22"/>
        </w:rPr>
        <w:t xml:space="preserve">The </w:t>
      </w:r>
      <w:r w:rsidR="008328FC">
        <w:rPr>
          <w:rFonts w:ascii="Arial" w:hAnsi="Arial"/>
          <w:sz w:val="22"/>
        </w:rPr>
        <w:t>2</w:t>
      </w:r>
      <w:r w:rsidR="001525DC">
        <w:rPr>
          <w:rFonts w:ascii="Arial" w:hAnsi="Arial"/>
          <w:sz w:val="22"/>
        </w:rPr>
        <w:t>-</w:t>
      </w:r>
      <w:r w:rsidR="009839E3">
        <w:rPr>
          <w:rFonts w:ascii="Arial" w:hAnsi="Arial"/>
          <w:sz w:val="22"/>
        </w:rPr>
        <w:t xml:space="preserve">hour estimate is based on NRC staff experience </w:t>
      </w:r>
      <w:r w:rsidR="00A05735">
        <w:rPr>
          <w:rFonts w:ascii="Arial" w:hAnsi="Arial"/>
          <w:sz w:val="22"/>
        </w:rPr>
        <w:t xml:space="preserve">in identifying </w:t>
      </w:r>
      <w:r w:rsidR="008328FC">
        <w:rPr>
          <w:rFonts w:ascii="Arial" w:hAnsi="Arial"/>
          <w:sz w:val="22"/>
        </w:rPr>
        <w:t xml:space="preserve">sites and </w:t>
      </w:r>
      <w:r w:rsidR="00A05735">
        <w:rPr>
          <w:rFonts w:ascii="Arial" w:hAnsi="Arial"/>
          <w:sz w:val="22"/>
        </w:rPr>
        <w:t>contact</w:t>
      </w:r>
      <w:r w:rsidR="005A186C">
        <w:rPr>
          <w:rFonts w:ascii="Arial" w:hAnsi="Arial"/>
          <w:sz w:val="22"/>
        </w:rPr>
        <w:t>s</w:t>
      </w:r>
      <w:r w:rsidR="00A05735">
        <w:rPr>
          <w:rFonts w:ascii="Arial" w:hAnsi="Arial"/>
          <w:sz w:val="22"/>
        </w:rPr>
        <w:t xml:space="preserve"> for other activities.  It is significantly less than the previous estimate </w:t>
      </w:r>
      <w:r w:rsidR="008D4EF5">
        <w:rPr>
          <w:rFonts w:ascii="Arial" w:hAnsi="Arial"/>
          <w:sz w:val="22"/>
        </w:rPr>
        <w:t xml:space="preserve">because the NRC is no longer requesting </w:t>
      </w:r>
      <w:r w:rsidR="008328FC">
        <w:rPr>
          <w:rFonts w:ascii="Arial" w:hAnsi="Arial"/>
          <w:sz w:val="22"/>
        </w:rPr>
        <w:t xml:space="preserve">detailed </w:t>
      </w:r>
      <w:r w:rsidR="0056669A">
        <w:rPr>
          <w:rFonts w:ascii="Arial" w:hAnsi="Arial"/>
          <w:sz w:val="22"/>
        </w:rPr>
        <w:t>site information</w:t>
      </w:r>
      <w:r>
        <w:rPr>
          <w:rFonts w:ascii="Arial" w:hAnsi="Arial"/>
          <w:sz w:val="22"/>
        </w:rPr>
        <w:t xml:space="preserve"> as part of the response</w:t>
      </w:r>
      <w:r w:rsidR="008D4EF5">
        <w:rPr>
          <w:rFonts w:ascii="Arial" w:hAnsi="Arial"/>
          <w:sz w:val="22"/>
        </w:rPr>
        <w:t>.  The identification of a</w:t>
      </w:r>
      <w:r w:rsidR="001B2FF5">
        <w:rPr>
          <w:rFonts w:ascii="Arial" w:hAnsi="Arial"/>
          <w:sz w:val="22"/>
        </w:rPr>
        <w:t>n updated</w:t>
      </w:r>
      <w:r w:rsidR="008D4EF5">
        <w:rPr>
          <w:rFonts w:ascii="Arial" w:hAnsi="Arial"/>
          <w:sz w:val="22"/>
        </w:rPr>
        <w:t xml:space="preserve"> </w:t>
      </w:r>
      <w:r w:rsidR="0056669A">
        <w:rPr>
          <w:rFonts w:ascii="Arial" w:hAnsi="Arial"/>
          <w:sz w:val="22"/>
        </w:rPr>
        <w:t xml:space="preserve">list of sites and </w:t>
      </w:r>
      <w:r w:rsidR="008D4EF5">
        <w:rPr>
          <w:rFonts w:ascii="Arial" w:hAnsi="Arial"/>
          <w:sz w:val="22"/>
        </w:rPr>
        <w:t>contact</w:t>
      </w:r>
      <w:r w:rsidR="0056669A">
        <w:rPr>
          <w:rFonts w:ascii="Arial" w:hAnsi="Arial"/>
          <w:sz w:val="22"/>
        </w:rPr>
        <w:t>s</w:t>
      </w:r>
      <w:r w:rsidR="008D4EF5">
        <w:rPr>
          <w:rFonts w:ascii="Arial" w:hAnsi="Arial"/>
          <w:sz w:val="22"/>
        </w:rPr>
        <w:t xml:space="preserve"> </w:t>
      </w:r>
      <w:r w:rsidR="001B2FF5">
        <w:rPr>
          <w:rFonts w:ascii="Arial" w:hAnsi="Arial"/>
          <w:sz w:val="22"/>
        </w:rPr>
        <w:t xml:space="preserve">rather than a </w:t>
      </w:r>
      <w:r w:rsidR="008328FC">
        <w:rPr>
          <w:rFonts w:ascii="Arial" w:hAnsi="Arial"/>
          <w:sz w:val="22"/>
        </w:rPr>
        <w:t xml:space="preserve">detailed </w:t>
      </w:r>
      <w:r w:rsidR="001B2FF5">
        <w:rPr>
          <w:rFonts w:ascii="Arial" w:hAnsi="Arial"/>
          <w:sz w:val="22"/>
        </w:rPr>
        <w:t>description of the site</w:t>
      </w:r>
      <w:r w:rsidR="00FC10D0">
        <w:rPr>
          <w:rFonts w:ascii="Arial" w:hAnsi="Arial"/>
          <w:sz w:val="22"/>
        </w:rPr>
        <w:t xml:space="preserve"> decommissioning status </w:t>
      </w:r>
      <w:r w:rsidR="008D4EF5">
        <w:rPr>
          <w:rFonts w:ascii="Arial" w:hAnsi="Arial"/>
          <w:sz w:val="22"/>
        </w:rPr>
        <w:t xml:space="preserve">allows interested stakeholders to obtain up to date information directly from the </w:t>
      </w:r>
      <w:r w:rsidR="00FC10D0">
        <w:rPr>
          <w:rFonts w:ascii="Arial" w:hAnsi="Arial"/>
          <w:sz w:val="22"/>
        </w:rPr>
        <w:t xml:space="preserve">regulatory authority for the site.  </w:t>
      </w:r>
      <w:r w:rsidR="00552CAE">
        <w:rPr>
          <w:rFonts w:ascii="Arial" w:hAnsi="Arial"/>
          <w:sz w:val="22"/>
        </w:rPr>
        <w:t xml:space="preserve">The </w:t>
      </w:r>
      <w:r w:rsidR="00F912B7">
        <w:rPr>
          <w:rFonts w:ascii="Arial" w:hAnsi="Arial"/>
          <w:sz w:val="22"/>
        </w:rPr>
        <w:t xml:space="preserve">estimated </w:t>
      </w:r>
      <w:r w:rsidR="00D86024">
        <w:rPr>
          <w:rFonts w:ascii="Arial" w:hAnsi="Arial"/>
          <w:sz w:val="22"/>
        </w:rPr>
        <w:t xml:space="preserve">annual </w:t>
      </w:r>
      <w:r w:rsidR="00552CAE">
        <w:rPr>
          <w:rFonts w:ascii="Arial" w:hAnsi="Arial"/>
          <w:sz w:val="22"/>
        </w:rPr>
        <w:t xml:space="preserve">burden </w:t>
      </w:r>
      <w:r w:rsidR="00096BB9">
        <w:rPr>
          <w:rFonts w:ascii="Arial" w:hAnsi="Arial"/>
          <w:sz w:val="22"/>
        </w:rPr>
        <w:t>for</w:t>
      </w:r>
      <w:r w:rsidR="00552CAE">
        <w:rPr>
          <w:rFonts w:ascii="Arial" w:hAnsi="Arial"/>
          <w:sz w:val="22"/>
        </w:rPr>
        <w:t xml:space="preserve"> </w:t>
      </w:r>
      <w:r w:rsidR="00082AFD">
        <w:rPr>
          <w:rFonts w:ascii="Arial" w:hAnsi="Arial"/>
          <w:sz w:val="22"/>
        </w:rPr>
        <w:t xml:space="preserve">the </w:t>
      </w:r>
      <w:r w:rsidR="00A74772">
        <w:rPr>
          <w:rFonts w:ascii="Arial" w:hAnsi="Arial"/>
          <w:sz w:val="22"/>
        </w:rPr>
        <w:t>14</w:t>
      </w:r>
      <w:r w:rsidR="00613EC6">
        <w:rPr>
          <w:rFonts w:ascii="Arial" w:hAnsi="Arial"/>
          <w:sz w:val="22"/>
        </w:rPr>
        <w:t xml:space="preserve"> </w:t>
      </w:r>
      <w:r w:rsidR="001163C6">
        <w:rPr>
          <w:rFonts w:ascii="Arial" w:hAnsi="Arial"/>
          <w:sz w:val="22"/>
        </w:rPr>
        <w:t xml:space="preserve">Agreement States </w:t>
      </w:r>
      <w:r w:rsidR="00552CAE">
        <w:rPr>
          <w:rFonts w:ascii="Arial" w:hAnsi="Arial"/>
          <w:sz w:val="22"/>
        </w:rPr>
        <w:t>respondent</w:t>
      </w:r>
      <w:r w:rsidR="006F6395">
        <w:rPr>
          <w:rFonts w:ascii="Arial" w:hAnsi="Arial"/>
          <w:sz w:val="22"/>
        </w:rPr>
        <w:t xml:space="preserve">s </w:t>
      </w:r>
      <w:r w:rsidR="00111339">
        <w:rPr>
          <w:rFonts w:ascii="Arial" w:hAnsi="Arial"/>
          <w:sz w:val="22"/>
        </w:rPr>
        <w:t xml:space="preserve">is </w:t>
      </w:r>
      <w:r w:rsidR="00A74772">
        <w:rPr>
          <w:rFonts w:ascii="Arial" w:hAnsi="Arial"/>
          <w:sz w:val="22"/>
        </w:rPr>
        <w:t>28</w:t>
      </w:r>
      <w:r w:rsidR="00613EC6">
        <w:rPr>
          <w:rFonts w:ascii="Arial" w:hAnsi="Arial"/>
          <w:sz w:val="22"/>
        </w:rPr>
        <w:t xml:space="preserve"> </w:t>
      </w:r>
      <w:r w:rsidR="00111339">
        <w:rPr>
          <w:rFonts w:ascii="Arial" w:hAnsi="Arial"/>
          <w:sz w:val="22"/>
        </w:rPr>
        <w:t xml:space="preserve">hours </w:t>
      </w:r>
      <w:r w:rsidR="00527B85">
        <w:rPr>
          <w:rFonts w:ascii="Arial" w:hAnsi="Arial"/>
          <w:sz w:val="22"/>
        </w:rPr>
        <w:t>(</w:t>
      </w:r>
      <w:r w:rsidR="001C71B6">
        <w:rPr>
          <w:rFonts w:ascii="Arial" w:hAnsi="Arial"/>
          <w:sz w:val="22"/>
        </w:rPr>
        <w:t>14</w:t>
      </w:r>
      <w:r w:rsidR="00B366C3">
        <w:rPr>
          <w:rFonts w:ascii="Arial" w:hAnsi="Arial"/>
          <w:sz w:val="22"/>
        </w:rPr>
        <w:t xml:space="preserve"> Agreement States x </w:t>
      </w:r>
      <w:r w:rsidR="0056669A">
        <w:rPr>
          <w:rFonts w:ascii="Arial" w:hAnsi="Arial"/>
          <w:sz w:val="22"/>
        </w:rPr>
        <w:t>2</w:t>
      </w:r>
      <w:r w:rsidR="00B366C3">
        <w:rPr>
          <w:rFonts w:ascii="Arial" w:hAnsi="Arial"/>
          <w:sz w:val="22"/>
        </w:rPr>
        <w:t xml:space="preserve"> hour</w:t>
      </w:r>
      <w:r w:rsidR="0056669A">
        <w:rPr>
          <w:rFonts w:ascii="Arial" w:hAnsi="Arial"/>
          <w:sz w:val="22"/>
        </w:rPr>
        <w:t>s</w:t>
      </w:r>
      <w:r w:rsidR="006F6395">
        <w:rPr>
          <w:rFonts w:ascii="Arial" w:hAnsi="Arial"/>
          <w:sz w:val="22"/>
        </w:rPr>
        <w:t>).</w:t>
      </w:r>
    </w:p>
    <w:p w:rsidR="00C443DE" w:rsidP="006F6395" w:rsidRDefault="00C443DE" w14:paraId="496E70E6" w14:textId="77777777">
      <w:pPr>
        <w:ind w:left="1440"/>
        <w:rPr>
          <w:rFonts w:ascii="Arial" w:hAnsi="Arial"/>
          <w:sz w:val="22"/>
        </w:rPr>
      </w:pPr>
    </w:p>
    <w:tbl>
      <w:tblPr>
        <w:tblW w:w="8636" w:type="dxa"/>
        <w:tblInd w:w="719" w:type="dxa"/>
        <w:tblBorders>
          <w:top w:val="nil"/>
          <w:left w:val="nil"/>
          <w:bottom w:val="nil"/>
          <w:right w:val="nil"/>
          <w:insideH w:val="nil"/>
          <w:insideV w:val="nil"/>
        </w:tblBorders>
        <w:tblLayout w:type="fixed"/>
        <w:tblCellMar>
          <w:left w:w="62" w:type="dxa"/>
          <w:right w:w="62" w:type="dxa"/>
        </w:tblCellMar>
        <w:tblLook w:val="0000" w:firstRow="0" w:lastRow="0" w:firstColumn="0" w:lastColumn="0" w:noHBand="0" w:noVBand="0"/>
      </w:tblPr>
      <w:tblGrid>
        <w:gridCol w:w="1596"/>
        <w:gridCol w:w="1596"/>
        <w:gridCol w:w="1314"/>
        <w:gridCol w:w="1220"/>
        <w:gridCol w:w="1314"/>
        <w:gridCol w:w="1596"/>
      </w:tblGrid>
      <w:tr w:rsidR="00111339" w:rsidTr="00111339" w14:paraId="1A66EBFB" w14:textId="77777777">
        <w:trPr>
          <w:cantSplit/>
          <w:trHeight w:val="791"/>
          <w:tblHeader/>
        </w:trPr>
        <w:tc>
          <w:tcPr>
            <w:tcW w:w="1596" w:type="dxa"/>
            <w:tcBorders>
              <w:top w:val="double" w:color="000000" w:sz="8" w:space="0"/>
              <w:left w:val="double" w:color="000000" w:sz="8" w:space="0"/>
              <w:bottom w:val="double" w:color="000000" w:sz="8" w:space="0"/>
              <w:right w:val="single" w:color="000000" w:sz="8" w:space="0"/>
            </w:tcBorders>
            <w:shd w:val="pct5" w:color="000000" w:fill="auto"/>
          </w:tcPr>
          <w:p w:rsidR="00111339" w:rsidP="00552CAE" w:rsidRDefault="00111339" w14:paraId="2CEE10AE" w14:textId="25511C48">
            <w:pPr>
              <w:jc w:val="center"/>
              <w:rPr>
                <w:rFonts w:ascii="Arial" w:hAnsi="Arial"/>
                <w:sz w:val="16"/>
              </w:rPr>
            </w:pPr>
            <w:bookmarkStart w:name="_Hlk32324466" w:id="0"/>
          </w:p>
        </w:tc>
        <w:tc>
          <w:tcPr>
            <w:tcW w:w="1596" w:type="dxa"/>
            <w:tcBorders>
              <w:top w:val="double" w:color="000000" w:sz="8" w:space="0"/>
              <w:left w:val="single" w:color="000000" w:sz="8" w:space="0"/>
              <w:bottom w:val="double" w:color="000000" w:sz="8" w:space="0"/>
              <w:right w:val="single" w:color="000000" w:sz="8" w:space="0"/>
            </w:tcBorders>
            <w:shd w:val="pct5" w:color="000000" w:fill="auto"/>
          </w:tcPr>
          <w:p w:rsidR="00111339" w:rsidP="00552CAE" w:rsidRDefault="00111339" w14:paraId="4402B6FB" w14:textId="77777777">
            <w:pPr>
              <w:jc w:val="center"/>
              <w:rPr>
                <w:rFonts w:ascii="Arial" w:hAnsi="Arial"/>
                <w:sz w:val="16"/>
              </w:rPr>
            </w:pPr>
            <w:r>
              <w:rPr>
                <w:rFonts w:ascii="Arial" w:hAnsi="Arial"/>
                <w:sz w:val="16"/>
              </w:rPr>
              <w:t>NO. OF RESPONDENTS</w:t>
            </w:r>
          </w:p>
        </w:tc>
        <w:tc>
          <w:tcPr>
            <w:tcW w:w="1314" w:type="dxa"/>
            <w:tcBorders>
              <w:top w:val="double" w:color="000000" w:sz="8" w:space="0"/>
              <w:left w:val="single" w:color="000000" w:sz="8" w:space="0"/>
              <w:bottom w:val="double" w:color="000000" w:sz="8" w:space="0"/>
              <w:right w:val="single" w:color="000000" w:sz="8" w:space="0"/>
            </w:tcBorders>
            <w:shd w:val="pct5" w:color="000000" w:fill="auto"/>
          </w:tcPr>
          <w:p w:rsidR="00111339" w:rsidP="00552CAE" w:rsidRDefault="00111339" w14:paraId="2AF913F0" w14:textId="77777777">
            <w:pPr>
              <w:jc w:val="center"/>
              <w:rPr>
                <w:rFonts w:ascii="Arial" w:hAnsi="Arial"/>
                <w:sz w:val="16"/>
              </w:rPr>
            </w:pPr>
            <w:r>
              <w:rPr>
                <w:rFonts w:ascii="Arial" w:hAnsi="Arial"/>
                <w:sz w:val="16"/>
              </w:rPr>
              <w:t>RESPONSES PER RESPONDENT</w:t>
            </w:r>
          </w:p>
        </w:tc>
        <w:tc>
          <w:tcPr>
            <w:tcW w:w="1220" w:type="dxa"/>
            <w:tcBorders>
              <w:top w:val="double" w:color="000000" w:sz="8" w:space="0"/>
              <w:left w:val="single" w:color="000000" w:sz="8" w:space="0"/>
              <w:bottom w:val="double" w:color="000000" w:sz="8" w:space="0"/>
              <w:right w:val="single" w:color="000000" w:sz="8" w:space="0"/>
            </w:tcBorders>
            <w:shd w:val="pct5" w:color="000000" w:fill="auto"/>
          </w:tcPr>
          <w:p w:rsidR="00111339" w:rsidP="008F1A58" w:rsidRDefault="00111339" w14:paraId="307EB46E" w14:textId="73D6259A">
            <w:pPr>
              <w:jc w:val="center"/>
              <w:rPr>
                <w:rFonts w:ascii="Arial" w:hAnsi="Arial"/>
                <w:sz w:val="16"/>
              </w:rPr>
            </w:pPr>
            <w:r>
              <w:rPr>
                <w:rFonts w:ascii="Arial" w:hAnsi="Arial"/>
                <w:sz w:val="16"/>
              </w:rPr>
              <w:t>TOTAL RESPONSES</w:t>
            </w:r>
            <w:r w:rsidR="008F1A58">
              <w:rPr>
                <w:rFonts w:ascii="Arial" w:hAnsi="Arial"/>
                <w:sz w:val="16"/>
              </w:rPr>
              <w:t xml:space="preserve"> </w:t>
            </w:r>
          </w:p>
        </w:tc>
        <w:tc>
          <w:tcPr>
            <w:tcW w:w="1314" w:type="dxa"/>
            <w:tcBorders>
              <w:top w:val="double" w:color="000000" w:sz="8" w:space="0"/>
              <w:left w:val="single" w:color="000000" w:sz="8" w:space="0"/>
              <w:bottom w:val="double" w:color="000000" w:sz="8" w:space="0"/>
              <w:right w:val="single" w:color="000000" w:sz="8" w:space="0"/>
            </w:tcBorders>
            <w:shd w:val="pct5" w:color="000000" w:fill="auto"/>
            <w:tcMar>
              <w:top w:w="157" w:type="dxa"/>
              <w:left w:w="120" w:type="dxa"/>
              <w:bottom w:w="110" w:type="dxa"/>
              <w:right w:w="62" w:type="dxa"/>
            </w:tcMar>
          </w:tcPr>
          <w:p w:rsidR="00111339" w:rsidP="00552CAE" w:rsidRDefault="00111339" w14:paraId="07DCBC6D" w14:textId="77777777">
            <w:pPr>
              <w:jc w:val="center"/>
              <w:rPr>
                <w:rFonts w:ascii="Arial" w:hAnsi="Arial"/>
                <w:sz w:val="16"/>
              </w:rPr>
            </w:pPr>
            <w:r>
              <w:rPr>
                <w:rFonts w:ascii="Arial" w:hAnsi="Arial"/>
                <w:sz w:val="16"/>
              </w:rPr>
              <w:t>ANNUAL BURDEN PER RESPONSE</w:t>
            </w:r>
          </w:p>
          <w:p w:rsidR="00111339" w:rsidP="00552CAE" w:rsidRDefault="00111339" w14:paraId="3A355A9E" w14:textId="77777777">
            <w:pPr>
              <w:jc w:val="center"/>
              <w:rPr>
                <w:rFonts w:ascii="Arial" w:hAnsi="Arial"/>
                <w:sz w:val="16"/>
              </w:rPr>
            </w:pPr>
            <w:r>
              <w:rPr>
                <w:rFonts w:ascii="Arial" w:hAnsi="Arial"/>
                <w:sz w:val="16"/>
              </w:rPr>
              <w:t>(hours)</w:t>
            </w:r>
          </w:p>
        </w:tc>
        <w:tc>
          <w:tcPr>
            <w:tcW w:w="1596" w:type="dxa"/>
            <w:tcBorders>
              <w:top w:val="double" w:color="000000" w:sz="8" w:space="0"/>
              <w:left w:val="single" w:color="000000" w:sz="8" w:space="0"/>
              <w:bottom w:val="double" w:color="000000" w:sz="8" w:space="0"/>
              <w:right w:val="single" w:color="000000" w:sz="8" w:space="0"/>
            </w:tcBorders>
            <w:shd w:val="pct5" w:color="000000" w:fill="auto"/>
            <w:tcMar>
              <w:top w:w="157" w:type="dxa"/>
              <w:left w:w="82" w:type="dxa"/>
              <w:bottom w:w="110" w:type="dxa"/>
              <w:right w:w="62" w:type="dxa"/>
            </w:tcMar>
          </w:tcPr>
          <w:p w:rsidR="00111339" w:rsidP="00552CAE" w:rsidRDefault="00111339" w14:paraId="2BE24201" w14:textId="77777777">
            <w:pPr>
              <w:jc w:val="center"/>
              <w:rPr>
                <w:rFonts w:ascii="Arial" w:hAnsi="Arial"/>
                <w:sz w:val="16"/>
              </w:rPr>
            </w:pPr>
            <w:r>
              <w:rPr>
                <w:rFonts w:ascii="Arial" w:hAnsi="Arial"/>
                <w:sz w:val="16"/>
              </w:rPr>
              <w:t>TOTAL ANNUAL BURDEN</w:t>
            </w:r>
          </w:p>
          <w:p w:rsidR="00111339" w:rsidP="00552CAE" w:rsidRDefault="00111339" w14:paraId="220AFBB4" w14:textId="77777777">
            <w:pPr>
              <w:jc w:val="center"/>
              <w:rPr>
                <w:rFonts w:ascii="Arial" w:hAnsi="Arial"/>
                <w:sz w:val="16"/>
              </w:rPr>
            </w:pPr>
            <w:r>
              <w:rPr>
                <w:rFonts w:ascii="Arial" w:hAnsi="Arial"/>
                <w:sz w:val="16"/>
              </w:rPr>
              <w:t>(hours)</w:t>
            </w:r>
          </w:p>
        </w:tc>
      </w:tr>
      <w:tr w:rsidR="00111339" w:rsidTr="00111339" w14:paraId="4CB0435C" w14:textId="77777777">
        <w:trPr>
          <w:cantSplit/>
          <w:trHeight w:val="291"/>
        </w:trPr>
        <w:tc>
          <w:tcPr>
            <w:tcW w:w="1596" w:type="dxa"/>
            <w:tcBorders>
              <w:top w:val="single" w:color="000000" w:sz="8" w:space="0"/>
              <w:left w:val="double" w:color="000000" w:sz="8" w:space="0"/>
              <w:bottom w:val="double" w:color="000000" w:sz="8" w:space="0"/>
              <w:right w:val="single" w:color="000000" w:sz="8" w:space="0"/>
            </w:tcBorders>
          </w:tcPr>
          <w:p w:rsidR="00937133" w:rsidP="00552CAE" w:rsidRDefault="00111339" w14:paraId="799CBC26" w14:textId="77777777">
            <w:pPr>
              <w:jc w:val="center"/>
              <w:rPr>
                <w:rFonts w:ascii="Arial" w:hAnsi="Arial"/>
                <w:sz w:val="16"/>
              </w:rPr>
            </w:pPr>
            <w:r>
              <w:rPr>
                <w:rFonts w:ascii="Arial" w:hAnsi="Arial"/>
                <w:sz w:val="16"/>
              </w:rPr>
              <w:t>Agreement States</w:t>
            </w:r>
          </w:p>
          <w:p w:rsidR="00111339" w:rsidP="00552CAE" w:rsidRDefault="00937133" w14:paraId="7977A983" w14:textId="52E8699F">
            <w:pPr>
              <w:jc w:val="center"/>
              <w:rPr>
                <w:rFonts w:ascii="Arial" w:hAnsi="Arial"/>
                <w:sz w:val="16"/>
              </w:rPr>
            </w:pPr>
            <w:r>
              <w:rPr>
                <w:rFonts w:ascii="Arial" w:hAnsi="Arial"/>
                <w:sz w:val="16"/>
              </w:rPr>
              <w:t>With sites of interest</w:t>
            </w:r>
            <w:r w:rsidR="00111339">
              <w:rPr>
                <w:rFonts w:ascii="Arial" w:hAnsi="Arial"/>
                <w:sz w:val="16"/>
              </w:rPr>
              <w:t xml:space="preserve"> </w:t>
            </w:r>
          </w:p>
        </w:tc>
        <w:tc>
          <w:tcPr>
            <w:tcW w:w="1596" w:type="dxa"/>
            <w:tcBorders>
              <w:top w:val="single" w:color="000000" w:sz="8" w:space="0"/>
              <w:left w:val="single" w:color="000000" w:sz="8" w:space="0"/>
              <w:bottom w:val="double" w:color="000000" w:sz="8" w:space="0"/>
              <w:right w:val="single" w:color="000000" w:sz="8" w:space="0"/>
            </w:tcBorders>
          </w:tcPr>
          <w:p w:rsidR="00111339" w:rsidP="00552CAE" w:rsidRDefault="006270ED" w14:paraId="7EAF02AB" w14:textId="2C1E8416">
            <w:pPr>
              <w:jc w:val="center"/>
              <w:rPr>
                <w:rFonts w:ascii="Arial" w:hAnsi="Arial"/>
                <w:sz w:val="16"/>
              </w:rPr>
            </w:pPr>
            <w:r>
              <w:rPr>
                <w:rFonts w:ascii="Arial" w:hAnsi="Arial"/>
                <w:sz w:val="16"/>
              </w:rPr>
              <w:t>14</w:t>
            </w:r>
          </w:p>
        </w:tc>
        <w:tc>
          <w:tcPr>
            <w:tcW w:w="1314" w:type="dxa"/>
            <w:tcBorders>
              <w:top w:val="single" w:color="000000" w:sz="8" w:space="0"/>
              <w:left w:val="single" w:color="000000" w:sz="8" w:space="0"/>
              <w:bottom w:val="double" w:color="000000" w:sz="8" w:space="0"/>
              <w:right w:val="single" w:color="000000" w:sz="8" w:space="0"/>
            </w:tcBorders>
          </w:tcPr>
          <w:p w:rsidR="00111339" w:rsidP="00552CAE" w:rsidRDefault="00961906" w14:paraId="1B065289" w14:textId="6A3C1FB9">
            <w:pPr>
              <w:jc w:val="center"/>
              <w:rPr>
                <w:rFonts w:ascii="Arial" w:hAnsi="Arial"/>
                <w:sz w:val="16"/>
              </w:rPr>
            </w:pPr>
            <w:r>
              <w:rPr>
                <w:rFonts w:ascii="Arial" w:hAnsi="Arial"/>
                <w:sz w:val="16"/>
              </w:rPr>
              <w:t>1</w:t>
            </w:r>
          </w:p>
        </w:tc>
        <w:tc>
          <w:tcPr>
            <w:tcW w:w="1220" w:type="dxa"/>
            <w:tcBorders>
              <w:top w:val="single" w:color="000000" w:sz="8" w:space="0"/>
              <w:left w:val="single" w:color="000000" w:sz="8" w:space="0"/>
              <w:bottom w:val="double" w:color="000000" w:sz="8" w:space="0"/>
              <w:right w:val="single" w:color="000000" w:sz="8" w:space="0"/>
            </w:tcBorders>
          </w:tcPr>
          <w:p w:rsidR="00111339" w:rsidP="00552CAE" w:rsidRDefault="006270ED" w14:paraId="5C990159" w14:textId="62A9A679">
            <w:pPr>
              <w:jc w:val="center"/>
              <w:rPr>
                <w:rFonts w:ascii="Arial" w:hAnsi="Arial"/>
                <w:sz w:val="16"/>
              </w:rPr>
            </w:pPr>
            <w:r>
              <w:rPr>
                <w:rFonts w:ascii="Arial" w:hAnsi="Arial"/>
                <w:sz w:val="16"/>
              </w:rPr>
              <w:t>14</w:t>
            </w:r>
          </w:p>
        </w:tc>
        <w:tc>
          <w:tcPr>
            <w:tcW w:w="1314" w:type="dxa"/>
            <w:tcBorders>
              <w:top w:val="single" w:color="000000" w:sz="8" w:space="0"/>
              <w:left w:val="single" w:color="000000" w:sz="8" w:space="0"/>
              <w:bottom w:val="double" w:color="000000" w:sz="8" w:space="0"/>
              <w:right w:val="single" w:color="000000" w:sz="8" w:space="0"/>
            </w:tcBorders>
            <w:tcMar>
              <w:top w:w="119" w:type="dxa"/>
              <w:left w:w="120" w:type="dxa"/>
              <w:bottom w:w="53" w:type="dxa"/>
              <w:right w:w="62" w:type="dxa"/>
            </w:tcMar>
          </w:tcPr>
          <w:p w:rsidR="00111339" w:rsidP="00552CAE" w:rsidRDefault="00206813" w14:paraId="74D59A48" w14:textId="1A45871A">
            <w:pPr>
              <w:jc w:val="center"/>
              <w:rPr>
                <w:rFonts w:ascii="Arial" w:hAnsi="Arial"/>
                <w:sz w:val="16"/>
              </w:rPr>
            </w:pPr>
            <w:r>
              <w:rPr>
                <w:rFonts w:ascii="Arial" w:hAnsi="Arial"/>
                <w:sz w:val="16"/>
              </w:rPr>
              <w:t>2</w:t>
            </w:r>
          </w:p>
        </w:tc>
        <w:tc>
          <w:tcPr>
            <w:tcW w:w="1596" w:type="dxa"/>
            <w:tcBorders>
              <w:top w:val="single" w:color="000000" w:sz="8" w:space="0"/>
              <w:left w:val="single" w:color="000000" w:sz="8" w:space="0"/>
              <w:bottom w:val="double" w:color="000000" w:sz="8" w:space="0"/>
              <w:right w:val="single" w:color="000000" w:sz="8" w:space="0"/>
            </w:tcBorders>
            <w:tcMar>
              <w:top w:w="119" w:type="dxa"/>
              <w:left w:w="82" w:type="dxa"/>
              <w:bottom w:w="53" w:type="dxa"/>
              <w:right w:w="62" w:type="dxa"/>
            </w:tcMar>
          </w:tcPr>
          <w:p w:rsidR="00111339" w:rsidP="00552CAE" w:rsidRDefault="0012477B" w14:paraId="418CAC06" w14:textId="74B91363">
            <w:pPr>
              <w:jc w:val="center"/>
              <w:rPr>
                <w:rFonts w:ascii="Arial" w:hAnsi="Arial"/>
                <w:sz w:val="16"/>
              </w:rPr>
            </w:pPr>
            <w:r>
              <w:rPr>
                <w:rFonts w:ascii="Arial" w:hAnsi="Arial"/>
                <w:sz w:val="16"/>
              </w:rPr>
              <w:t>28</w:t>
            </w:r>
          </w:p>
        </w:tc>
      </w:tr>
      <w:bookmarkEnd w:id="0"/>
    </w:tbl>
    <w:p w:rsidR="008C1D2C" w:rsidP="006F6395" w:rsidRDefault="008C1D2C" w14:paraId="2D38E933" w14:textId="48376886">
      <w:pPr>
        <w:ind w:left="1440"/>
        <w:rPr>
          <w:rFonts w:ascii="Arial" w:hAnsi="Arial"/>
          <w:sz w:val="22"/>
        </w:rPr>
      </w:pPr>
    </w:p>
    <w:p w:rsidR="000251D1" w:rsidP="006F6395" w:rsidRDefault="000251D1" w14:paraId="40E692BA" w14:textId="77777777">
      <w:pPr>
        <w:ind w:left="1440"/>
        <w:rPr>
          <w:rFonts w:ascii="Arial" w:hAnsi="Arial"/>
          <w:sz w:val="22"/>
        </w:rPr>
      </w:pPr>
    </w:p>
    <w:p w:rsidR="008376DC" w:rsidP="006F6395" w:rsidRDefault="008C1D2C" w14:paraId="211510D1" w14:textId="7F9EBA90">
      <w:pPr>
        <w:ind w:left="1440"/>
        <w:rPr>
          <w:rFonts w:ascii="Arial" w:hAnsi="Arial"/>
          <w:sz w:val="22"/>
        </w:rPr>
      </w:pPr>
      <w:r w:rsidRPr="008C1D2C">
        <w:rPr>
          <w:rFonts w:ascii="Arial" w:hAnsi="Arial"/>
          <w:sz w:val="22"/>
        </w:rPr>
        <w:t>The 2</w:t>
      </w:r>
      <w:r w:rsidR="006A673E">
        <w:rPr>
          <w:rFonts w:ascii="Arial" w:hAnsi="Arial"/>
          <w:sz w:val="22"/>
        </w:rPr>
        <w:t>5</w:t>
      </w:r>
      <w:r w:rsidRPr="008C1D2C">
        <w:rPr>
          <w:rFonts w:ascii="Arial" w:hAnsi="Arial"/>
          <w:sz w:val="22"/>
        </w:rPr>
        <w:t xml:space="preserve"> Agreement State respondents with no sites of interest will each provide one response to this request.  As a result, the NRC anticipates receiving 2</w:t>
      </w:r>
      <w:r w:rsidR="00DA03EE">
        <w:rPr>
          <w:rFonts w:ascii="Arial" w:hAnsi="Arial"/>
          <w:sz w:val="22"/>
        </w:rPr>
        <w:t>5</w:t>
      </w:r>
      <w:r w:rsidRPr="008C1D2C">
        <w:rPr>
          <w:rFonts w:ascii="Arial" w:hAnsi="Arial"/>
          <w:sz w:val="22"/>
        </w:rPr>
        <w:t xml:space="preserve"> voluntary responses from these respondents confirming there are no sites of interest.  The average annual burden for each of these 2</w:t>
      </w:r>
      <w:r w:rsidR="00DA03EE">
        <w:rPr>
          <w:rFonts w:ascii="Arial" w:hAnsi="Arial"/>
          <w:sz w:val="22"/>
        </w:rPr>
        <w:t>5</w:t>
      </w:r>
      <w:r w:rsidRPr="008C1D2C">
        <w:rPr>
          <w:rFonts w:ascii="Arial" w:hAnsi="Arial"/>
          <w:sz w:val="22"/>
        </w:rPr>
        <w:t xml:space="preserve"> respondents to verify whether they have any uranium recovery and/or complex sites under their purview is </w:t>
      </w:r>
      <w:r w:rsidR="006270ED">
        <w:rPr>
          <w:rFonts w:ascii="Arial" w:hAnsi="Arial"/>
          <w:sz w:val="22"/>
        </w:rPr>
        <w:t xml:space="preserve">0.5 </w:t>
      </w:r>
      <w:r w:rsidRPr="008C1D2C">
        <w:rPr>
          <w:rFonts w:ascii="Arial" w:hAnsi="Arial"/>
          <w:sz w:val="22"/>
        </w:rPr>
        <w:t>hours.  This estimate is based on NRC staff experience</w:t>
      </w:r>
      <w:r w:rsidR="008A6630">
        <w:rPr>
          <w:rFonts w:ascii="Arial" w:hAnsi="Arial"/>
          <w:sz w:val="22"/>
        </w:rPr>
        <w:t xml:space="preserve"> </w:t>
      </w:r>
      <w:r w:rsidR="006744D4">
        <w:rPr>
          <w:rFonts w:ascii="Arial" w:hAnsi="Arial"/>
          <w:sz w:val="22"/>
        </w:rPr>
        <w:t>in identifying sites in other activities</w:t>
      </w:r>
      <w:r w:rsidR="00FE02EC">
        <w:rPr>
          <w:rFonts w:ascii="Arial" w:hAnsi="Arial"/>
          <w:sz w:val="22"/>
        </w:rPr>
        <w:t>.  The b</w:t>
      </w:r>
      <w:r w:rsidRPr="008C1D2C">
        <w:rPr>
          <w:rFonts w:ascii="Arial" w:hAnsi="Arial"/>
          <w:sz w:val="22"/>
        </w:rPr>
        <w:t>urden for Agreement States with no sites of interest is lower than burden for States with sites of interest because these States only report that they have no sites of interest.</w:t>
      </w:r>
      <w:r w:rsidRPr="00296019" w:rsidR="00296019">
        <w:t xml:space="preserve"> </w:t>
      </w:r>
      <w:r w:rsidR="003B2E84">
        <w:t xml:space="preserve"> </w:t>
      </w:r>
      <w:r w:rsidRPr="00296019" w:rsidR="00296019">
        <w:rPr>
          <w:rFonts w:ascii="Arial" w:hAnsi="Arial"/>
          <w:sz w:val="22"/>
        </w:rPr>
        <w:t xml:space="preserve">The estimated annual burden for the </w:t>
      </w:r>
      <w:r w:rsidR="00296019">
        <w:rPr>
          <w:rFonts w:ascii="Arial" w:hAnsi="Arial"/>
          <w:sz w:val="22"/>
        </w:rPr>
        <w:t>2</w:t>
      </w:r>
      <w:r w:rsidR="00DA03EE">
        <w:rPr>
          <w:rFonts w:ascii="Arial" w:hAnsi="Arial"/>
          <w:sz w:val="22"/>
        </w:rPr>
        <w:t>5</w:t>
      </w:r>
      <w:r w:rsidRPr="00296019" w:rsidR="00296019">
        <w:rPr>
          <w:rFonts w:ascii="Arial" w:hAnsi="Arial"/>
          <w:sz w:val="22"/>
        </w:rPr>
        <w:t xml:space="preserve"> Agreement States respondents is </w:t>
      </w:r>
      <w:r w:rsidR="00296019">
        <w:rPr>
          <w:rFonts w:ascii="Arial" w:hAnsi="Arial"/>
          <w:sz w:val="22"/>
        </w:rPr>
        <w:t>1</w:t>
      </w:r>
      <w:r w:rsidR="00DD384D">
        <w:rPr>
          <w:rFonts w:ascii="Arial" w:hAnsi="Arial"/>
          <w:sz w:val="22"/>
        </w:rPr>
        <w:t>2</w:t>
      </w:r>
      <w:r w:rsidR="00DA03EE">
        <w:rPr>
          <w:rFonts w:ascii="Arial" w:hAnsi="Arial"/>
          <w:sz w:val="22"/>
        </w:rPr>
        <w:t>.5</w:t>
      </w:r>
      <w:r w:rsidRPr="00296019" w:rsidR="00296019">
        <w:rPr>
          <w:rFonts w:ascii="Arial" w:hAnsi="Arial"/>
          <w:sz w:val="22"/>
        </w:rPr>
        <w:t xml:space="preserve"> hours (</w:t>
      </w:r>
      <w:r w:rsidR="00296019">
        <w:rPr>
          <w:rFonts w:ascii="Arial" w:hAnsi="Arial"/>
          <w:sz w:val="22"/>
        </w:rPr>
        <w:t>2</w:t>
      </w:r>
      <w:r w:rsidR="00DA03EE">
        <w:rPr>
          <w:rFonts w:ascii="Arial" w:hAnsi="Arial"/>
          <w:sz w:val="22"/>
        </w:rPr>
        <w:t>5</w:t>
      </w:r>
      <w:r w:rsidRPr="00296019" w:rsidR="00296019">
        <w:rPr>
          <w:rFonts w:ascii="Arial" w:hAnsi="Arial"/>
          <w:sz w:val="22"/>
        </w:rPr>
        <w:t xml:space="preserve"> Agreement States x </w:t>
      </w:r>
      <w:r w:rsidR="008D7B94">
        <w:rPr>
          <w:rFonts w:ascii="Arial" w:hAnsi="Arial"/>
          <w:sz w:val="22"/>
        </w:rPr>
        <w:t>0.5</w:t>
      </w:r>
      <w:r w:rsidRPr="00296019" w:rsidR="00296019">
        <w:rPr>
          <w:rFonts w:ascii="Arial" w:hAnsi="Arial"/>
          <w:sz w:val="22"/>
        </w:rPr>
        <w:t xml:space="preserve"> hours).</w:t>
      </w:r>
    </w:p>
    <w:p w:rsidR="006F6395" w:rsidP="006F6395" w:rsidRDefault="006F6395" w14:paraId="47206332" w14:textId="3625D449">
      <w:pPr>
        <w:rPr>
          <w:rFonts w:ascii="Arial" w:hAnsi="Arial"/>
          <w:sz w:val="16"/>
        </w:rPr>
      </w:pPr>
    </w:p>
    <w:tbl>
      <w:tblPr>
        <w:tblW w:w="8636" w:type="dxa"/>
        <w:tblInd w:w="719" w:type="dxa"/>
        <w:tblBorders>
          <w:top w:val="nil"/>
          <w:left w:val="nil"/>
          <w:bottom w:val="nil"/>
          <w:right w:val="nil"/>
          <w:insideH w:val="nil"/>
          <w:insideV w:val="nil"/>
        </w:tblBorders>
        <w:tblLayout w:type="fixed"/>
        <w:tblCellMar>
          <w:left w:w="62" w:type="dxa"/>
          <w:right w:w="62" w:type="dxa"/>
        </w:tblCellMar>
        <w:tblLook w:val="0000" w:firstRow="0" w:lastRow="0" w:firstColumn="0" w:lastColumn="0" w:noHBand="0" w:noVBand="0"/>
      </w:tblPr>
      <w:tblGrid>
        <w:gridCol w:w="1596"/>
        <w:gridCol w:w="1596"/>
        <w:gridCol w:w="1314"/>
        <w:gridCol w:w="1220"/>
        <w:gridCol w:w="1314"/>
        <w:gridCol w:w="1596"/>
      </w:tblGrid>
      <w:tr w:rsidR="000251D1" w:rsidTr="00791ED5" w14:paraId="5AF49EEC" w14:textId="77777777">
        <w:trPr>
          <w:cantSplit/>
          <w:trHeight w:val="791"/>
          <w:tblHeader/>
        </w:trPr>
        <w:tc>
          <w:tcPr>
            <w:tcW w:w="1596" w:type="dxa"/>
            <w:tcBorders>
              <w:top w:val="double" w:color="000000" w:sz="8" w:space="0"/>
              <w:left w:val="double" w:color="000000" w:sz="8" w:space="0"/>
              <w:bottom w:val="double" w:color="000000" w:sz="8" w:space="0"/>
              <w:right w:val="single" w:color="000000" w:sz="8" w:space="0"/>
            </w:tcBorders>
            <w:shd w:val="pct5" w:color="000000" w:fill="auto"/>
          </w:tcPr>
          <w:p w:rsidR="000251D1" w:rsidP="00791ED5" w:rsidRDefault="000251D1" w14:paraId="1BEA3395" w14:textId="77777777">
            <w:pPr>
              <w:jc w:val="center"/>
              <w:rPr>
                <w:rFonts w:ascii="Arial" w:hAnsi="Arial"/>
                <w:sz w:val="16"/>
              </w:rPr>
            </w:pPr>
          </w:p>
        </w:tc>
        <w:tc>
          <w:tcPr>
            <w:tcW w:w="1596" w:type="dxa"/>
            <w:tcBorders>
              <w:top w:val="double" w:color="000000" w:sz="8" w:space="0"/>
              <w:left w:val="single" w:color="000000" w:sz="8" w:space="0"/>
              <w:bottom w:val="double" w:color="000000" w:sz="8" w:space="0"/>
              <w:right w:val="single" w:color="000000" w:sz="8" w:space="0"/>
            </w:tcBorders>
            <w:shd w:val="pct5" w:color="000000" w:fill="auto"/>
          </w:tcPr>
          <w:p w:rsidR="000251D1" w:rsidP="00791ED5" w:rsidRDefault="000251D1" w14:paraId="02C9A5B0" w14:textId="77777777">
            <w:pPr>
              <w:jc w:val="center"/>
              <w:rPr>
                <w:rFonts w:ascii="Arial" w:hAnsi="Arial"/>
                <w:sz w:val="16"/>
              </w:rPr>
            </w:pPr>
            <w:r>
              <w:rPr>
                <w:rFonts w:ascii="Arial" w:hAnsi="Arial"/>
                <w:sz w:val="16"/>
              </w:rPr>
              <w:t>NO. OF RESPONDENTS</w:t>
            </w:r>
          </w:p>
        </w:tc>
        <w:tc>
          <w:tcPr>
            <w:tcW w:w="1314" w:type="dxa"/>
            <w:tcBorders>
              <w:top w:val="double" w:color="000000" w:sz="8" w:space="0"/>
              <w:left w:val="single" w:color="000000" w:sz="8" w:space="0"/>
              <w:bottom w:val="double" w:color="000000" w:sz="8" w:space="0"/>
              <w:right w:val="single" w:color="000000" w:sz="8" w:space="0"/>
            </w:tcBorders>
            <w:shd w:val="pct5" w:color="000000" w:fill="auto"/>
          </w:tcPr>
          <w:p w:rsidR="000251D1" w:rsidP="00791ED5" w:rsidRDefault="000251D1" w14:paraId="0CE5FA27" w14:textId="77777777">
            <w:pPr>
              <w:jc w:val="center"/>
              <w:rPr>
                <w:rFonts w:ascii="Arial" w:hAnsi="Arial"/>
                <w:sz w:val="16"/>
              </w:rPr>
            </w:pPr>
            <w:r>
              <w:rPr>
                <w:rFonts w:ascii="Arial" w:hAnsi="Arial"/>
                <w:sz w:val="16"/>
              </w:rPr>
              <w:t>RESPONSES PER RESPONDENT</w:t>
            </w:r>
          </w:p>
        </w:tc>
        <w:tc>
          <w:tcPr>
            <w:tcW w:w="1220" w:type="dxa"/>
            <w:tcBorders>
              <w:top w:val="double" w:color="000000" w:sz="8" w:space="0"/>
              <w:left w:val="single" w:color="000000" w:sz="8" w:space="0"/>
              <w:bottom w:val="double" w:color="000000" w:sz="8" w:space="0"/>
              <w:right w:val="single" w:color="000000" w:sz="8" w:space="0"/>
            </w:tcBorders>
            <w:shd w:val="pct5" w:color="000000" w:fill="auto"/>
          </w:tcPr>
          <w:p w:rsidR="000251D1" w:rsidP="00791ED5" w:rsidRDefault="000251D1" w14:paraId="6DBA59E6" w14:textId="77777777">
            <w:pPr>
              <w:jc w:val="center"/>
              <w:rPr>
                <w:rFonts w:ascii="Arial" w:hAnsi="Arial"/>
                <w:sz w:val="16"/>
              </w:rPr>
            </w:pPr>
            <w:r>
              <w:rPr>
                <w:rFonts w:ascii="Arial" w:hAnsi="Arial"/>
                <w:sz w:val="16"/>
              </w:rPr>
              <w:t xml:space="preserve">TOTAL RESPONSES </w:t>
            </w:r>
          </w:p>
        </w:tc>
        <w:tc>
          <w:tcPr>
            <w:tcW w:w="1314" w:type="dxa"/>
            <w:tcBorders>
              <w:top w:val="double" w:color="000000" w:sz="8" w:space="0"/>
              <w:left w:val="single" w:color="000000" w:sz="8" w:space="0"/>
              <w:bottom w:val="double" w:color="000000" w:sz="8" w:space="0"/>
              <w:right w:val="single" w:color="000000" w:sz="8" w:space="0"/>
            </w:tcBorders>
            <w:shd w:val="pct5" w:color="000000" w:fill="auto"/>
            <w:tcMar>
              <w:top w:w="157" w:type="dxa"/>
              <w:left w:w="120" w:type="dxa"/>
              <w:bottom w:w="110" w:type="dxa"/>
              <w:right w:w="62" w:type="dxa"/>
            </w:tcMar>
          </w:tcPr>
          <w:p w:rsidR="000251D1" w:rsidP="00791ED5" w:rsidRDefault="000251D1" w14:paraId="2117B213" w14:textId="77777777">
            <w:pPr>
              <w:jc w:val="center"/>
              <w:rPr>
                <w:rFonts w:ascii="Arial" w:hAnsi="Arial"/>
                <w:sz w:val="16"/>
              </w:rPr>
            </w:pPr>
            <w:r>
              <w:rPr>
                <w:rFonts w:ascii="Arial" w:hAnsi="Arial"/>
                <w:sz w:val="16"/>
              </w:rPr>
              <w:t>ANNUAL BURDEN PER RESPONSE</w:t>
            </w:r>
          </w:p>
          <w:p w:rsidR="000251D1" w:rsidP="00791ED5" w:rsidRDefault="000251D1" w14:paraId="25175241" w14:textId="77777777">
            <w:pPr>
              <w:jc w:val="center"/>
              <w:rPr>
                <w:rFonts w:ascii="Arial" w:hAnsi="Arial"/>
                <w:sz w:val="16"/>
              </w:rPr>
            </w:pPr>
            <w:r>
              <w:rPr>
                <w:rFonts w:ascii="Arial" w:hAnsi="Arial"/>
                <w:sz w:val="16"/>
              </w:rPr>
              <w:t>(hours)</w:t>
            </w:r>
          </w:p>
        </w:tc>
        <w:tc>
          <w:tcPr>
            <w:tcW w:w="1596" w:type="dxa"/>
            <w:tcBorders>
              <w:top w:val="double" w:color="000000" w:sz="8" w:space="0"/>
              <w:left w:val="single" w:color="000000" w:sz="8" w:space="0"/>
              <w:bottom w:val="double" w:color="000000" w:sz="8" w:space="0"/>
              <w:right w:val="single" w:color="000000" w:sz="8" w:space="0"/>
            </w:tcBorders>
            <w:shd w:val="pct5" w:color="000000" w:fill="auto"/>
            <w:tcMar>
              <w:top w:w="157" w:type="dxa"/>
              <w:left w:w="82" w:type="dxa"/>
              <w:bottom w:w="110" w:type="dxa"/>
              <w:right w:w="62" w:type="dxa"/>
            </w:tcMar>
          </w:tcPr>
          <w:p w:rsidR="000251D1" w:rsidP="00791ED5" w:rsidRDefault="000251D1" w14:paraId="0ABB48CE" w14:textId="77777777">
            <w:pPr>
              <w:jc w:val="center"/>
              <w:rPr>
                <w:rFonts w:ascii="Arial" w:hAnsi="Arial"/>
                <w:sz w:val="16"/>
              </w:rPr>
            </w:pPr>
            <w:r>
              <w:rPr>
                <w:rFonts w:ascii="Arial" w:hAnsi="Arial"/>
                <w:sz w:val="16"/>
              </w:rPr>
              <w:t>TOTAL ANNUAL BURDEN</w:t>
            </w:r>
          </w:p>
          <w:p w:rsidR="000251D1" w:rsidP="00791ED5" w:rsidRDefault="000251D1" w14:paraId="4DE4BB5C" w14:textId="77777777">
            <w:pPr>
              <w:jc w:val="center"/>
              <w:rPr>
                <w:rFonts w:ascii="Arial" w:hAnsi="Arial"/>
                <w:sz w:val="16"/>
              </w:rPr>
            </w:pPr>
            <w:r>
              <w:rPr>
                <w:rFonts w:ascii="Arial" w:hAnsi="Arial"/>
                <w:sz w:val="16"/>
              </w:rPr>
              <w:t>(hours)</w:t>
            </w:r>
          </w:p>
        </w:tc>
      </w:tr>
      <w:tr w:rsidR="000251D1" w:rsidTr="00791ED5" w14:paraId="19AE8249" w14:textId="77777777">
        <w:trPr>
          <w:cantSplit/>
          <w:trHeight w:val="291"/>
        </w:trPr>
        <w:tc>
          <w:tcPr>
            <w:tcW w:w="1596" w:type="dxa"/>
            <w:tcBorders>
              <w:top w:val="single" w:color="000000" w:sz="8" w:space="0"/>
              <w:left w:val="double" w:color="000000" w:sz="8" w:space="0"/>
              <w:bottom w:val="double" w:color="000000" w:sz="8" w:space="0"/>
              <w:right w:val="single" w:color="000000" w:sz="8" w:space="0"/>
            </w:tcBorders>
          </w:tcPr>
          <w:p w:rsidR="000251D1" w:rsidP="00791ED5" w:rsidRDefault="000251D1" w14:paraId="7581B027" w14:textId="77777777">
            <w:pPr>
              <w:jc w:val="center"/>
              <w:rPr>
                <w:rFonts w:ascii="Arial" w:hAnsi="Arial"/>
                <w:sz w:val="16"/>
              </w:rPr>
            </w:pPr>
            <w:r>
              <w:rPr>
                <w:rFonts w:ascii="Arial" w:hAnsi="Arial"/>
                <w:sz w:val="16"/>
              </w:rPr>
              <w:t>Agreement States</w:t>
            </w:r>
          </w:p>
          <w:p w:rsidR="000251D1" w:rsidP="00791ED5" w:rsidRDefault="000251D1" w14:paraId="0B4FC201" w14:textId="696BCA73">
            <w:pPr>
              <w:jc w:val="center"/>
              <w:rPr>
                <w:rFonts w:ascii="Arial" w:hAnsi="Arial"/>
                <w:sz w:val="16"/>
              </w:rPr>
            </w:pPr>
            <w:r>
              <w:rPr>
                <w:rFonts w:ascii="Arial" w:hAnsi="Arial"/>
                <w:sz w:val="16"/>
              </w:rPr>
              <w:t xml:space="preserve">With no sites of interest </w:t>
            </w:r>
          </w:p>
        </w:tc>
        <w:tc>
          <w:tcPr>
            <w:tcW w:w="1596" w:type="dxa"/>
            <w:tcBorders>
              <w:top w:val="single" w:color="000000" w:sz="8" w:space="0"/>
              <w:left w:val="single" w:color="000000" w:sz="8" w:space="0"/>
              <w:bottom w:val="double" w:color="000000" w:sz="8" w:space="0"/>
              <w:right w:val="single" w:color="000000" w:sz="8" w:space="0"/>
            </w:tcBorders>
          </w:tcPr>
          <w:p w:rsidR="000251D1" w:rsidP="00791ED5" w:rsidRDefault="000742B2" w14:paraId="0DD26154" w14:textId="2076E643">
            <w:pPr>
              <w:jc w:val="center"/>
              <w:rPr>
                <w:rFonts w:ascii="Arial" w:hAnsi="Arial"/>
                <w:sz w:val="16"/>
              </w:rPr>
            </w:pPr>
            <w:r>
              <w:rPr>
                <w:rFonts w:ascii="Arial" w:hAnsi="Arial"/>
                <w:sz w:val="16"/>
              </w:rPr>
              <w:t>25</w:t>
            </w:r>
          </w:p>
        </w:tc>
        <w:tc>
          <w:tcPr>
            <w:tcW w:w="1314" w:type="dxa"/>
            <w:tcBorders>
              <w:top w:val="single" w:color="000000" w:sz="8" w:space="0"/>
              <w:left w:val="single" w:color="000000" w:sz="8" w:space="0"/>
              <w:bottom w:val="double" w:color="000000" w:sz="8" w:space="0"/>
              <w:right w:val="single" w:color="000000" w:sz="8" w:space="0"/>
            </w:tcBorders>
          </w:tcPr>
          <w:p w:rsidR="000251D1" w:rsidP="00791ED5" w:rsidRDefault="000251D1" w14:paraId="5AEC997F" w14:textId="77777777">
            <w:pPr>
              <w:jc w:val="center"/>
              <w:rPr>
                <w:rFonts w:ascii="Arial" w:hAnsi="Arial"/>
                <w:sz w:val="16"/>
              </w:rPr>
            </w:pPr>
            <w:r>
              <w:rPr>
                <w:rFonts w:ascii="Arial" w:hAnsi="Arial"/>
                <w:sz w:val="16"/>
              </w:rPr>
              <w:t>1</w:t>
            </w:r>
          </w:p>
        </w:tc>
        <w:tc>
          <w:tcPr>
            <w:tcW w:w="1220" w:type="dxa"/>
            <w:tcBorders>
              <w:top w:val="single" w:color="000000" w:sz="8" w:space="0"/>
              <w:left w:val="single" w:color="000000" w:sz="8" w:space="0"/>
              <w:bottom w:val="double" w:color="000000" w:sz="8" w:space="0"/>
              <w:right w:val="single" w:color="000000" w:sz="8" w:space="0"/>
            </w:tcBorders>
          </w:tcPr>
          <w:p w:rsidR="000251D1" w:rsidP="00791ED5" w:rsidRDefault="0093614F" w14:paraId="41C99001" w14:textId="42A2DBCD">
            <w:pPr>
              <w:jc w:val="center"/>
              <w:rPr>
                <w:rFonts w:ascii="Arial" w:hAnsi="Arial"/>
                <w:sz w:val="16"/>
              </w:rPr>
            </w:pPr>
            <w:r>
              <w:rPr>
                <w:rFonts w:ascii="Arial" w:hAnsi="Arial"/>
                <w:sz w:val="16"/>
              </w:rPr>
              <w:t>2</w:t>
            </w:r>
            <w:r w:rsidR="00DA03EE">
              <w:rPr>
                <w:rFonts w:ascii="Arial" w:hAnsi="Arial"/>
                <w:sz w:val="16"/>
              </w:rPr>
              <w:t>5</w:t>
            </w:r>
          </w:p>
        </w:tc>
        <w:tc>
          <w:tcPr>
            <w:tcW w:w="1314" w:type="dxa"/>
            <w:tcBorders>
              <w:top w:val="single" w:color="000000" w:sz="8" w:space="0"/>
              <w:left w:val="single" w:color="000000" w:sz="8" w:space="0"/>
              <w:bottom w:val="double" w:color="000000" w:sz="8" w:space="0"/>
              <w:right w:val="single" w:color="000000" w:sz="8" w:space="0"/>
            </w:tcBorders>
            <w:tcMar>
              <w:top w:w="119" w:type="dxa"/>
              <w:left w:w="120" w:type="dxa"/>
              <w:bottom w:w="53" w:type="dxa"/>
              <w:right w:w="62" w:type="dxa"/>
            </w:tcMar>
          </w:tcPr>
          <w:p w:rsidR="000251D1" w:rsidP="00791ED5" w:rsidRDefault="0093614F" w14:paraId="6CA63B4B" w14:textId="62B51B7F">
            <w:pPr>
              <w:jc w:val="center"/>
              <w:rPr>
                <w:rFonts w:ascii="Arial" w:hAnsi="Arial"/>
                <w:sz w:val="16"/>
              </w:rPr>
            </w:pPr>
            <w:r>
              <w:rPr>
                <w:rFonts w:ascii="Arial" w:hAnsi="Arial"/>
                <w:sz w:val="16"/>
              </w:rPr>
              <w:t>0.5</w:t>
            </w:r>
          </w:p>
        </w:tc>
        <w:tc>
          <w:tcPr>
            <w:tcW w:w="1596" w:type="dxa"/>
            <w:tcBorders>
              <w:top w:val="single" w:color="000000" w:sz="8" w:space="0"/>
              <w:left w:val="single" w:color="000000" w:sz="8" w:space="0"/>
              <w:bottom w:val="double" w:color="000000" w:sz="8" w:space="0"/>
              <w:right w:val="single" w:color="000000" w:sz="8" w:space="0"/>
            </w:tcBorders>
            <w:tcMar>
              <w:top w:w="119" w:type="dxa"/>
              <w:left w:w="82" w:type="dxa"/>
              <w:bottom w:w="53" w:type="dxa"/>
              <w:right w:w="62" w:type="dxa"/>
            </w:tcMar>
          </w:tcPr>
          <w:p w:rsidR="000251D1" w:rsidP="00791ED5" w:rsidRDefault="0093614F" w14:paraId="403DB0A5" w14:textId="3334F09F">
            <w:pPr>
              <w:jc w:val="center"/>
              <w:rPr>
                <w:rFonts w:ascii="Arial" w:hAnsi="Arial"/>
                <w:sz w:val="16"/>
              </w:rPr>
            </w:pPr>
            <w:r>
              <w:rPr>
                <w:rFonts w:ascii="Arial" w:hAnsi="Arial"/>
                <w:sz w:val="16"/>
              </w:rPr>
              <w:t>1</w:t>
            </w:r>
            <w:r w:rsidR="00DD384D">
              <w:rPr>
                <w:rFonts w:ascii="Arial" w:hAnsi="Arial"/>
                <w:sz w:val="16"/>
              </w:rPr>
              <w:t>2</w:t>
            </w:r>
            <w:r w:rsidR="000742B2">
              <w:rPr>
                <w:rFonts w:ascii="Arial" w:hAnsi="Arial"/>
                <w:sz w:val="16"/>
              </w:rPr>
              <w:t>.5</w:t>
            </w:r>
          </w:p>
        </w:tc>
      </w:tr>
    </w:tbl>
    <w:p w:rsidR="000251D1" w:rsidP="006F6395" w:rsidRDefault="000251D1" w14:paraId="644DBCD3" w14:textId="1551CF5C">
      <w:pPr>
        <w:rPr>
          <w:rFonts w:ascii="Arial" w:hAnsi="Arial"/>
          <w:sz w:val="16"/>
        </w:rPr>
      </w:pPr>
    </w:p>
    <w:p w:rsidR="000251D1" w:rsidP="006F6395" w:rsidRDefault="000251D1" w14:paraId="7E8CB4B1" w14:textId="76FCD3F2">
      <w:pPr>
        <w:rPr>
          <w:rFonts w:ascii="Arial" w:hAnsi="Arial"/>
          <w:sz w:val="16"/>
        </w:rPr>
      </w:pPr>
    </w:p>
    <w:p w:rsidR="000251D1" w:rsidP="006F6395" w:rsidRDefault="000251D1" w14:paraId="084069BA" w14:textId="77777777">
      <w:pPr>
        <w:rPr>
          <w:rFonts w:ascii="Arial" w:hAnsi="Arial"/>
          <w:sz w:val="16"/>
        </w:rPr>
      </w:pPr>
    </w:p>
    <w:p w:rsidR="006F6395" w:rsidP="006F6395" w:rsidRDefault="001969C6" w14:paraId="408A4989" w14:textId="5616F6B7">
      <w:pPr>
        <w:ind w:left="1440"/>
        <w:rPr>
          <w:rFonts w:ascii="Arial" w:hAnsi="Arial"/>
          <w:sz w:val="22"/>
        </w:rPr>
      </w:pPr>
      <w:r>
        <w:rPr>
          <w:rFonts w:ascii="Arial" w:hAnsi="Arial"/>
          <w:sz w:val="22"/>
        </w:rPr>
        <w:t>The total number of</w:t>
      </w:r>
      <w:r w:rsidR="00964B87">
        <w:rPr>
          <w:rFonts w:ascii="Arial" w:hAnsi="Arial"/>
          <w:sz w:val="22"/>
        </w:rPr>
        <w:t xml:space="preserve"> anticipated</w:t>
      </w:r>
      <w:r>
        <w:rPr>
          <w:rFonts w:ascii="Arial" w:hAnsi="Arial"/>
          <w:sz w:val="22"/>
        </w:rPr>
        <w:t xml:space="preserve"> responses is </w:t>
      </w:r>
      <w:r w:rsidR="00636E2E">
        <w:rPr>
          <w:rFonts w:ascii="Arial" w:hAnsi="Arial"/>
          <w:sz w:val="22"/>
        </w:rPr>
        <w:t>3</w:t>
      </w:r>
      <w:r w:rsidR="005D6DCA">
        <w:rPr>
          <w:rFonts w:ascii="Arial" w:hAnsi="Arial"/>
          <w:sz w:val="22"/>
        </w:rPr>
        <w:t>9</w:t>
      </w:r>
      <w:r>
        <w:rPr>
          <w:rFonts w:ascii="Arial" w:hAnsi="Arial"/>
          <w:sz w:val="22"/>
        </w:rPr>
        <w:t xml:space="preserve">.  </w:t>
      </w:r>
      <w:r w:rsidR="006F6395">
        <w:rPr>
          <w:rFonts w:ascii="Arial" w:hAnsi="Arial"/>
          <w:sz w:val="22"/>
        </w:rPr>
        <w:t>The annual cost is</w:t>
      </w:r>
      <w:r w:rsidR="008F1A58">
        <w:rPr>
          <w:rFonts w:ascii="Arial" w:hAnsi="Arial"/>
          <w:sz w:val="22"/>
        </w:rPr>
        <w:t xml:space="preserve"> estimated to be</w:t>
      </w:r>
      <w:r w:rsidR="006F6395">
        <w:rPr>
          <w:rFonts w:ascii="Arial" w:hAnsi="Arial"/>
          <w:sz w:val="22"/>
        </w:rPr>
        <w:t xml:space="preserve"> $</w:t>
      </w:r>
      <w:r w:rsidR="00AC7D7A">
        <w:rPr>
          <w:rFonts w:ascii="Arial" w:hAnsi="Arial"/>
          <w:sz w:val="22"/>
        </w:rPr>
        <w:t>11,</w:t>
      </w:r>
      <w:r w:rsidR="009F4483">
        <w:rPr>
          <w:rFonts w:ascii="Arial" w:hAnsi="Arial"/>
          <w:sz w:val="22"/>
        </w:rPr>
        <w:t>300</w:t>
      </w:r>
      <w:r w:rsidR="004D344B">
        <w:rPr>
          <w:rFonts w:ascii="Arial" w:hAnsi="Arial"/>
          <w:sz w:val="22"/>
        </w:rPr>
        <w:t xml:space="preserve"> ($</w:t>
      </w:r>
      <w:r w:rsidR="000D2AD9">
        <w:rPr>
          <w:rFonts w:ascii="Arial" w:hAnsi="Arial"/>
          <w:sz w:val="22"/>
        </w:rPr>
        <w:t>27</w:t>
      </w:r>
      <w:r w:rsidR="009F4483">
        <w:rPr>
          <w:rFonts w:ascii="Arial" w:hAnsi="Arial"/>
          <w:sz w:val="22"/>
        </w:rPr>
        <w:t>9</w:t>
      </w:r>
      <w:r w:rsidR="008F1A58">
        <w:rPr>
          <w:rFonts w:ascii="Arial" w:hAnsi="Arial"/>
          <w:sz w:val="22"/>
        </w:rPr>
        <w:t>/</w:t>
      </w:r>
      <w:r w:rsidR="006F6395">
        <w:rPr>
          <w:rFonts w:ascii="Arial" w:hAnsi="Arial"/>
          <w:sz w:val="22"/>
        </w:rPr>
        <w:t xml:space="preserve">professional </w:t>
      </w:r>
      <w:r w:rsidR="00527B85">
        <w:rPr>
          <w:rFonts w:ascii="Arial" w:hAnsi="Arial"/>
          <w:sz w:val="22"/>
        </w:rPr>
        <w:t>staff hour</w:t>
      </w:r>
      <w:r w:rsidR="00404BDE">
        <w:rPr>
          <w:rFonts w:ascii="Arial" w:hAnsi="Arial"/>
          <w:sz w:val="22"/>
        </w:rPr>
        <w:t>s</w:t>
      </w:r>
      <w:r w:rsidR="00527B85">
        <w:rPr>
          <w:rFonts w:ascii="Arial" w:hAnsi="Arial"/>
          <w:sz w:val="22"/>
        </w:rPr>
        <w:t xml:space="preserve"> x </w:t>
      </w:r>
      <w:r w:rsidR="00FE02EC">
        <w:rPr>
          <w:rFonts w:ascii="Arial" w:hAnsi="Arial"/>
          <w:sz w:val="22"/>
        </w:rPr>
        <w:t>4</w:t>
      </w:r>
      <w:r w:rsidR="00DD384D">
        <w:rPr>
          <w:rFonts w:ascii="Arial" w:hAnsi="Arial"/>
          <w:sz w:val="22"/>
        </w:rPr>
        <w:t>0</w:t>
      </w:r>
      <w:r w:rsidR="005D6DCA">
        <w:rPr>
          <w:rFonts w:ascii="Arial" w:hAnsi="Arial"/>
          <w:sz w:val="22"/>
        </w:rPr>
        <w:t>.5</w:t>
      </w:r>
      <w:r w:rsidR="00DD3C82">
        <w:rPr>
          <w:rFonts w:ascii="Arial" w:hAnsi="Arial"/>
          <w:sz w:val="22"/>
        </w:rPr>
        <w:t xml:space="preserve"> </w:t>
      </w:r>
      <w:r w:rsidR="006F6395">
        <w:rPr>
          <w:rFonts w:ascii="Arial" w:hAnsi="Arial"/>
          <w:sz w:val="22"/>
        </w:rPr>
        <w:t xml:space="preserve">staff hours). </w:t>
      </w:r>
      <w:r>
        <w:rPr>
          <w:rFonts w:ascii="Arial" w:hAnsi="Arial"/>
          <w:sz w:val="22"/>
        </w:rPr>
        <w:t xml:space="preserve"> </w:t>
      </w:r>
    </w:p>
    <w:p w:rsidR="000D2AD9" w:rsidP="006F6395" w:rsidRDefault="000D2AD9" w14:paraId="1433D47B" w14:textId="77777777">
      <w:pPr>
        <w:ind w:left="1440"/>
        <w:rPr>
          <w:rFonts w:ascii="Arial" w:hAnsi="Arial"/>
          <w:sz w:val="22"/>
        </w:rPr>
      </w:pPr>
    </w:p>
    <w:p w:rsidR="000D2AD9" w:rsidP="00B42A03" w:rsidRDefault="000D2AD9" w14:paraId="236B1FA5" w14:textId="080BB7BE">
      <w:pPr>
        <w:pStyle w:val="paragraph"/>
        <w:ind w:left="1440"/>
        <w:textAlignment w:val="baseline"/>
        <w:rPr>
          <w:rFonts w:ascii="Arial" w:hAnsi="Arial" w:cs="Arial"/>
          <w:sz w:val="22"/>
          <w:szCs w:val="22"/>
        </w:rPr>
      </w:pPr>
      <w:r>
        <w:rPr>
          <w:rStyle w:val="normaltextrun1"/>
          <w:rFonts w:ascii="Arial" w:hAnsi="Arial" w:cs="Arial"/>
          <w:sz w:val="22"/>
          <w:szCs w:val="22"/>
        </w:rPr>
        <w:t>The $27</w:t>
      </w:r>
      <w:r w:rsidR="009F4483">
        <w:rPr>
          <w:rStyle w:val="normaltextrun1"/>
          <w:rFonts w:ascii="Arial" w:hAnsi="Arial" w:cs="Arial"/>
          <w:sz w:val="22"/>
          <w:szCs w:val="22"/>
        </w:rPr>
        <w:t>9</w:t>
      </w:r>
      <w:r>
        <w:rPr>
          <w:rStyle w:val="normaltextrun1"/>
          <w:rFonts w:ascii="Arial" w:hAnsi="Arial" w:cs="Arial"/>
          <w:sz w:val="22"/>
          <w:szCs w:val="22"/>
        </w:rPr>
        <w:t xml:space="preserve"> hourly rate used in the burden estimates is based on the N</w:t>
      </w:r>
      <w:r w:rsidR="002F02CC">
        <w:rPr>
          <w:rStyle w:val="normaltextrun1"/>
          <w:rFonts w:ascii="Arial" w:hAnsi="Arial" w:cs="Arial"/>
          <w:sz w:val="22"/>
          <w:szCs w:val="22"/>
        </w:rPr>
        <w:t>RC’</w:t>
      </w:r>
      <w:r>
        <w:rPr>
          <w:rStyle w:val="normaltextrun1"/>
          <w:rFonts w:ascii="Arial" w:hAnsi="Arial" w:cs="Arial"/>
          <w:sz w:val="22"/>
          <w:szCs w:val="22"/>
        </w:rPr>
        <w:t>s fee for hourly rates as noted in 10 CFR 170.20 “Average cost per professional staff-hour.”  For more information on the basis of this rate, see the Revision of Fee Schedules; Fee Recovery for Fiscal Year 2019 (84 FR 22331, May 17, 2019).</w:t>
      </w:r>
      <w:r>
        <w:rPr>
          <w:rStyle w:val="eop"/>
          <w:rFonts w:ascii="Arial" w:hAnsi="Arial" w:cs="Arial"/>
          <w:sz w:val="22"/>
          <w:szCs w:val="22"/>
        </w:rPr>
        <w:t> </w:t>
      </w:r>
    </w:p>
    <w:p w:rsidR="000D2AD9" w:rsidP="006F6395" w:rsidRDefault="000D2AD9" w14:paraId="5FA9AFD1" w14:textId="77777777">
      <w:pPr>
        <w:ind w:left="1440"/>
        <w:rPr>
          <w:rFonts w:ascii="Arial" w:hAnsi="Arial"/>
          <w:sz w:val="22"/>
        </w:rPr>
      </w:pPr>
    </w:p>
    <w:p w:rsidR="006F6395" w:rsidP="006F6395" w:rsidRDefault="006F6395" w14:paraId="0BCACB95" w14:textId="77777777">
      <w:pPr>
        <w:rPr>
          <w:rFonts w:ascii="Arial" w:hAnsi="Arial"/>
          <w:sz w:val="22"/>
        </w:rPr>
      </w:pPr>
    </w:p>
    <w:p w:rsidRPr="002214D6" w:rsidR="006F6395" w:rsidP="007D5EA7" w:rsidRDefault="006F6395" w14:paraId="7DF0C0C2" w14:textId="77777777">
      <w:pPr>
        <w:ind w:left="1440" w:hanging="720"/>
        <w:outlineLvl w:val="0"/>
        <w:rPr>
          <w:rFonts w:ascii="Arial" w:hAnsi="Arial"/>
          <w:sz w:val="22"/>
        </w:rPr>
      </w:pPr>
      <w:r w:rsidRPr="002214D6">
        <w:rPr>
          <w:rFonts w:ascii="Arial" w:hAnsi="Arial"/>
          <w:sz w:val="22"/>
        </w:rPr>
        <w:t>13.</w:t>
      </w:r>
      <w:r w:rsidRPr="002214D6">
        <w:rPr>
          <w:rFonts w:ascii="Arial" w:hAnsi="Arial"/>
          <w:sz w:val="22"/>
        </w:rPr>
        <w:tab/>
      </w:r>
      <w:r w:rsidRPr="002214D6">
        <w:rPr>
          <w:rFonts w:ascii="Arial" w:hAnsi="Arial"/>
          <w:sz w:val="22"/>
          <w:u w:val="single"/>
        </w:rPr>
        <w:t>Estimate of Other Additional Costs</w:t>
      </w:r>
    </w:p>
    <w:p w:rsidR="006F6395" w:rsidP="006F6395" w:rsidRDefault="006F6395" w14:paraId="181FC412" w14:textId="77777777">
      <w:pPr>
        <w:rPr>
          <w:rFonts w:ascii="Arial" w:hAnsi="Arial" w:cs="Arial"/>
          <w:sz w:val="22"/>
          <w:szCs w:val="22"/>
        </w:rPr>
      </w:pPr>
    </w:p>
    <w:p w:rsidR="002153A3" w:rsidP="00121B78" w:rsidRDefault="002C3A38" w14:paraId="15B1A81B" w14:textId="77777777">
      <w:pPr>
        <w:tabs>
          <w:tab w:val="left" w:pos="3780"/>
        </w:tabs>
        <w:ind w:left="1440"/>
        <w:rPr>
          <w:rFonts w:ascii="Arial" w:hAnsi="Arial" w:cs="Arial"/>
          <w:sz w:val="22"/>
          <w:szCs w:val="22"/>
        </w:rPr>
      </w:pPr>
      <w:r>
        <w:rPr>
          <w:rFonts w:ascii="Arial" w:hAnsi="Arial" w:cs="Arial"/>
          <w:sz w:val="22"/>
          <w:szCs w:val="22"/>
        </w:rPr>
        <w:t>There are no additional costs.</w:t>
      </w:r>
    </w:p>
    <w:p w:rsidR="007E1D4C" w:rsidRDefault="007E1D4C" w14:paraId="5B8AC4CF" w14:textId="77777777">
      <w:pPr>
        <w:rPr>
          <w:rFonts w:ascii="Arial" w:hAnsi="Arial" w:cs="Arial"/>
          <w:sz w:val="22"/>
          <w:szCs w:val="22"/>
        </w:rPr>
      </w:pPr>
    </w:p>
    <w:p w:rsidRPr="002214D6" w:rsidR="006F6395" w:rsidP="00C443DE" w:rsidRDefault="006F6395" w14:paraId="75AD3175" w14:textId="77777777">
      <w:pPr>
        <w:keepNext/>
        <w:keepLines/>
        <w:widowControl w:val="0"/>
        <w:ind w:left="1440" w:hanging="720"/>
        <w:outlineLvl w:val="0"/>
        <w:rPr>
          <w:rFonts w:ascii="Arial" w:hAnsi="Arial"/>
          <w:sz w:val="22"/>
        </w:rPr>
      </w:pPr>
      <w:r w:rsidRPr="002214D6">
        <w:rPr>
          <w:rFonts w:ascii="Arial" w:hAnsi="Arial"/>
          <w:sz w:val="22"/>
        </w:rPr>
        <w:t>14.</w:t>
      </w:r>
      <w:r w:rsidRPr="002214D6">
        <w:rPr>
          <w:rFonts w:ascii="Arial" w:hAnsi="Arial"/>
          <w:sz w:val="22"/>
        </w:rPr>
        <w:tab/>
      </w:r>
      <w:r w:rsidRPr="002214D6">
        <w:rPr>
          <w:rFonts w:ascii="Arial" w:hAnsi="Arial"/>
          <w:sz w:val="22"/>
          <w:u w:val="single"/>
        </w:rPr>
        <w:t>Estimated Annualized Cost to the Federal Government</w:t>
      </w:r>
    </w:p>
    <w:p w:rsidR="006F6395" w:rsidP="00C443DE" w:rsidRDefault="006F6395" w14:paraId="104F43CD" w14:textId="77777777">
      <w:pPr>
        <w:keepNext/>
        <w:keepLines/>
        <w:widowControl w:val="0"/>
        <w:ind w:left="1440"/>
        <w:rPr>
          <w:rFonts w:ascii="Arial" w:hAnsi="Arial"/>
          <w:sz w:val="22"/>
        </w:rPr>
      </w:pPr>
    </w:p>
    <w:p w:rsidR="006F6395" w:rsidP="00C443DE" w:rsidRDefault="006F6395" w14:paraId="4BE8D156" w14:textId="1E2842C2">
      <w:pPr>
        <w:keepNext/>
        <w:keepLines/>
        <w:widowControl w:val="0"/>
        <w:ind w:left="1440"/>
        <w:rPr>
          <w:rFonts w:ascii="Arial" w:hAnsi="Arial"/>
          <w:sz w:val="22"/>
        </w:rPr>
      </w:pPr>
      <w:r>
        <w:rPr>
          <w:rFonts w:ascii="Arial" w:hAnsi="Arial"/>
          <w:sz w:val="22"/>
        </w:rPr>
        <w:t xml:space="preserve">Based upon staff estimates, NRC will spend about </w:t>
      </w:r>
      <w:r w:rsidR="0036385A">
        <w:rPr>
          <w:rFonts w:ascii="Arial" w:hAnsi="Arial"/>
          <w:sz w:val="22"/>
        </w:rPr>
        <w:t>15</w:t>
      </w:r>
      <w:r w:rsidR="00613EC6">
        <w:rPr>
          <w:rFonts w:ascii="Arial" w:hAnsi="Arial"/>
          <w:sz w:val="22"/>
        </w:rPr>
        <w:t xml:space="preserve"> </w:t>
      </w:r>
      <w:r>
        <w:rPr>
          <w:rFonts w:ascii="Arial" w:hAnsi="Arial"/>
          <w:sz w:val="22"/>
        </w:rPr>
        <w:t>professional hours annually on the exchange of site information with the Agreement States</w:t>
      </w:r>
      <w:r w:rsidR="0076471D">
        <w:rPr>
          <w:rFonts w:ascii="Arial" w:hAnsi="Arial"/>
          <w:sz w:val="22"/>
        </w:rPr>
        <w:t xml:space="preserve">, including </w:t>
      </w:r>
      <w:r w:rsidR="00F2201C">
        <w:rPr>
          <w:rFonts w:ascii="Arial" w:hAnsi="Arial"/>
          <w:sz w:val="22"/>
        </w:rPr>
        <w:t>the</w:t>
      </w:r>
      <w:r w:rsidR="0076471D">
        <w:rPr>
          <w:rFonts w:ascii="Arial" w:hAnsi="Arial"/>
          <w:sz w:val="22"/>
        </w:rPr>
        <w:t xml:space="preserve"> time </w:t>
      </w:r>
      <w:r w:rsidR="00F2201C">
        <w:rPr>
          <w:rFonts w:ascii="Arial" w:hAnsi="Arial"/>
          <w:sz w:val="22"/>
        </w:rPr>
        <w:t xml:space="preserve">spent compiling and processing Agreement State responses for recordkeeping purposes at the conclusion of the collection.  </w:t>
      </w:r>
      <w:r w:rsidR="005D16C6">
        <w:rPr>
          <w:rFonts w:ascii="Arial" w:hAnsi="Arial"/>
          <w:sz w:val="22"/>
        </w:rPr>
        <w:t xml:space="preserve">Due to the reduced amount of information collected, the </w:t>
      </w:r>
      <w:proofErr w:type="gramStart"/>
      <w:r w:rsidR="005D16C6">
        <w:rPr>
          <w:rFonts w:ascii="Arial" w:hAnsi="Arial"/>
          <w:sz w:val="22"/>
        </w:rPr>
        <w:t>amount</w:t>
      </w:r>
      <w:proofErr w:type="gramEnd"/>
      <w:r w:rsidR="005D16C6">
        <w:rPr>
          <w:rFonts w:ascii="Arial" w:hAnsi="Arial"/>
          <w:sz w:val="22"/>
        </w:rPr>
        <w:t xml:space="preserve"> of hours it takes </w:t>
      </w:r>
      <w:r w:rsidR="000B54D1">
        <w:rPr>
          <w:rFonts w:ascii="Arial" w:hAnsi="Arial"/>
          <w:sz w:val="22"/>
        </w:rPr>
        <w:t xml:space="preserve">to review has greatly reduced since the last renewal.  </w:t>
      </w:r>
      <w:r>
        <w:rPr>
          <w:rFonts w:ascii="Arial" w:hAnsi="Arial"/>
          <w:sz w:val="22"/>
        </w:rPr>
        <w:t>U</w:t>
      </w:r>
      <w:r w:rsidR="004D344B">
        <w:rPr>
          <w:rFonts w:ascii="Arial" w:hAnsi="Arial"/>
          <w:sz w:val="22"/>
        </w:rPr>
        <w:t>sing the staff hourly rate of $</w:t>
      </w:r>
      <w:r w:rsidR="000D2AD9">
        <w:rPr>
          <w:rFonts w:ascii="Arial" w:hAnsi="Arial"/>
          <w:sz w:val="22"/>
        </w:rPr>
        <w:t>27</w:t>
      </w:r>
      <w:r w:rsidR="009F4483">
        <w:rPr>
          <w:rFonts w:ascii="Arial" w:hAnsi="Arial"/>
          <w:sz w:val="22"/>
        </w:rPr>
        <w:t>9</w:t>
      </w:r>
      <w:r>
        <w:rPr>
          <w:rFonts w:ascii="Arial" w:hAnsi="Arial"/>
          <w:sz w:val="22"/>
        </w:rPr>
        <w:t xml:space="preserve">, the annual cost to the NRC is approximately </w:t>
      </w:r>
      <w:r w:rsidRPr="00471E90">
        <w:rPr>
          <w:rFonts w:ascii="Arial" w:hAnsi="Arial"/>
          <w:sz w:val="22"/>
        </w:rPr>
        <w:t>$</w:t>
      </w:r>
      <w:r w:rsidR="0055169F">
        <w:rPr>
          <w:rFonts w:ascii="Arial" w:hAnsi="Arial"/>
          <w:sz w:val="22"/>
        </w:rPr>
        <w:t>4,1</w:t>
      </w:r>
      <w:r w:rsidR="009F4483">
        <w:rPr>
          <w:rFonts w:ascii="Arial" w:hAnsi="Arial"/>
          <w:sz w:val="22"/>
        </w:rPr>
        <w:t>85</w:t>
      </w:r>
      <w:r w:rsidRPr="00471E90" w:rsidR="008F15C0">
        <w:rPr>
          <w:rFonts w:ascii="Arial" w:hAnsi="Arial"/>
          <w:sz w:val="22"/>
        </w:rPr>
        <w:t xml:space="preserve"> (</w:t>
      </w:r>
      <w:r w:rsidR="0055169F">
        <w:rPr>
          <w:rFonts w:ascii="Arial" w:hAnsi="Arial"/>
          <w:sz w:val="22"/>
        </w:rPr>
        <w:t>15</w:t>
      </w:r>
      <w:r w:rsidR="00613EC6">
        <w:rPr>
          <w:rFonts w:ascii="Arial" w:hAnsi="Arial"/>
          <w:sz w:val="22"/>
        </w:rPr>
        <w:t xml:space="preserve"> </w:t>
      </w:r>
      <w:r w:rsidR="008F15C0">
        <w:rPr>
          <w:rFonts w:ascii="Arial" w:hAnsi="Arial"/>
          <w:sz w:val="22"/>
        </w:rPr>
        <w:t xml:space="preserve">annual professional hours x </w:t>
      </w:r>
      <w:r w:rsidR="008F1A58">
        <w:rPr>
          <w:rFonts w:ascii="Arial" w:hAnsi="Arial"/>
          <w:sz w:val="22"/>
        </w:rPr>
        <w:t>$</w:t>
      </w:r>
      <w:r w:rsidR="000D2AD9">
        <w:rPr>
          <w:rFonts w:ascii="Arial" w:hAnsi="Arial"/>
          <w:sz w:val="22"/>
        </w:rPr>
        <w:t>27</w:t>
      </w:r>
      <w:r w:rsidR="009F4483">
        <w:rPr>
          <w:rFonts w:ascii="Arial" w:hAnsi="Arial"/>
          <w:sz w:val="22"/>
        </w:rPr>
        <w:t>9</w:t>
      </w:r>
      <w:r w:rsidR="008F1A58">
        <w:rPr>
          <w:rFonts w:ascii="Arial" w:hAnsi="Arial"/>
          <w:sz w:val="22"/>
        </w:rPr>
        <w:t>/</w:t>
      </w:r>
      <w:r w:rsidR="008F15C0">
        <w:rPr>
          <w:rFonts w:ascii="Arial" w:hAnsi="Arial"/>
          <w:sz w:val="22"/>
        </w:rPr>
        <w:t>hour rate)</w:t>
      </w:r>
      <w:r w:rsidR="002C3A38">
        <w:rPr>
          <w:rFonts w:ascii="Arial" w:hAnsi="Arial"/>
          <w:sz w:val="22"/>
        </w:rPr>
        <w:t>.</w:t>
      </w:r>
    </w:p>
    <w:p w:rsidR="006F6395" w:rsidP="006F6395" w:rsidRDefault="006F6395" w14:paraId="3DB39D1E" w14:textId="77777777">
      <w:pPr>
        <w:rPr>
          <w:rFonts w:ascii="Arial" w:hAnsi="Arial"/>
          <w:sz w:val="22"/>
          <w:u w:val="single"/>
        </w:rPr>
      </w:pPr>
    </w:p>
    <w:p w:rsidRPr="005574AE" w:rsidR="006F6395" w:rsidP="007D5EA7" w:rsidRDefault="006F6395" w14:paraId="2E9F6FAD" w14:textId="77777777">
      <w:pPr>
        <w:ind w:left="1440" w:hanging="720"/>
        <w:outlineLvl w:val="0"/>
        <w:rPr>
          <w:rFonts w:ascii="Arial" w:hAnsi="Arial" w:cs="Arial"/>
          <w:sz w:val="22"/>
          <w:szCs w:val="22"/>
          <w:u w:val="single"/>
        </w:rPr>
      </w:pPr>
      <w:r w:rsidRPr="002214D6">
        <w:rPr>
          <w:rFonts w:ascii="Arial" w:hAnsi="Arial"/>
          <w:sz w:val="22"/>
        </w:rPr>
        <w:t>15.</w:t>
      </w:r>
      <w:r w:rsidRPr="002214D6">
        <w:rPr>
          <w:rFonts w:ascii="Arial" w:hAnsi="Arial"/>
          <w:sz w:val="22"/>
        </w:rPr>
        <w:tab/>
      </w:r>
      <w:r w:rsidRPr="002214D6">
        <w:rPr>
          <w:rFonts w:ascii="Arial" w:hAnsi="Arial"/>
          <w:sz w:val="22"/>
          <w:u w:val="single"/>
        </w:rPr>
        <w:t>Reasons for Change in Burden</w:t>
      </w:r>
    </w:p>
    <w:p w:rsidR="006F6395" w:rsidP="006F6395" w:rsidRDefault="006F6395" w14:paraId="358C0947" w14:textId="77777777">
      <w:pPr>
        <w:ind w:left="1440"/>
        <w:rPr>
          <w:rFonts w:ascii="Arial" w:hAnsi="Arial"/>
          <w:sz w:val="22"/>
        </w:rPr>
      </w:pPr>
    </w:p>
    <w:p w:rsidRPr="00091BC9" w:rsidR="001163C6" w:rsidP="001163C6" w:rsidRDefault="001163C6" w14:paraId="584CC2EE" w14:textId="0F0137F0">
      <w:pPr>
        <w:ind w:left="1440"/>
        <w:rPr>
          <w:rFonts w:ascii="Arial" w:hAnsi="Arial" w:cs="Arial"/>
          <w:sz w:val="22"/>
          <w:szCs w:val="22"/>
        </w:rPr>
      </w:pPr>
      <w:r w:rsidRPr="001163C6">
        <w:rPr>
          <w:rFonts w:ascii="Arial" w:hAnsi="Arial" w:cs="Arial"/>
          <w:sz w:val="22"/>
          <w:szCs w:val="22"/>
        </w:rPr>
        <w:t xml:space="preserve">The estimated burden has </w:t>
      </w:r>
      <w:r w:rsidRPr="00091BC9">
        <w:rPr>
          <w:rFonts w:ascii="Arial" w:hAnsi="Arial" w:cs="Arial"/>
          <w:sz w:val="22"/>
          <w:szCs w:val="22"/>
        </w:rPr>
        <w:t xml:space="preserve">decreased by </w:t>
      </w:r>
      <w:r w:rsidR="005D16C6">
        <w:rPr>
          <w:rFonts w:ascii="Arial" w:hAnsi="Arial" w:cs="Arial"/>
          <w:sz w:val="22"/>
          <w:szCs w:val="22"/>
        </w:rPr>
        <w:t>391.5</w:t>
      </w:r>
      <w:r w:rsidRPr="00091BC9" w:rsidR="00613EC6">
        <w:rPr>
          <w:rFonts w:ascii="Arial" w:hAnsi="Arial" w:cs="Arial"/>
          <w:sz w:val="22"/>
          <w:szCs w:val="22"/>
        </w:rPr>
        <w:t xml:space="preserve"> </w:t>
      </w:r>
      <w:r w:rsidRPr="00091BC9">
        <w:rPr>
          <w:rFonts w:ascii="Arial" w:hAnsi="Arial" w:cs="Arial"/>
          <w:sz w:val="22"/>
          <w:szCs w:val="22"/>
        </w:rPr>
        <w:t xml:space="preserve">hours from </w:t>
      </w:r>
      <w:r w:rsidR="00336B33">
        <w:rPr>
          <w:rFonts w:ascii="Arial" w:hAnsi="Arial" w:cs="Arial"/>
          <w:sz w:val="22"/>
          <w:szCs w:val="22"/>
        </w:rPr>
        <w:t xml:space="preserve">432 to </w:t>
      </w:r>
      <w:r w:rsidR="005134F3">
        <w:rPr>
          <w:rFonts w:ascii="Arial" w:hAnsi="Arial" w:cs="Arial"/>
          <w:sz w:val="22"/>
          <w:szCs w:val="22"/>
        </w:rPr>
        <w:t>40.5</w:t>
      </w:r>
      <w:r w:rsidR="00336B33">
        <w:rPr>
          <w:rFonts w:ascii="Arial" w:hAnsi="Arial" w:cs="Arial"/>
          <w:sz w:val="22"/>
          <w:szCs w:val="22"/>
        </w:rPr>
        <w:t xml:space="preserve"> </w:t>
      </w:r>
      <w:r w:rsidRPr="00091BC9">
        <w:rPr>
          <w:rFonts w:ascii="Arial" w:hAnsi="Arial" w:cs="Arial"/>
          <w:sz w:val="22"/>
          <w:szCs w:val="22"/>
        </w:rPr>
        <w:t xml:space="preserve">hours.  The burden has changed </w:t>
      </w:r>
      <w:r w:rsidRPr="00091BC9" w:rsidR="00613EC6">
        <w:rPr>
          <w:rFonts w:ascii="Arial" w:hAnsi="Arial" w:cs="Arial"/>
          <w:sz w:val="22"/>
          <w:szCs w:val="22"/>
        </w:rPr>
        <w:t>due to a</w:t>
      </w:r>
      <w:r w:rsidRPr="00091BC9" w:rsidR="004D344B">
        <w:rPr>
          <w:rFonts w:ascii="Arial" w:hAnsi="Arial" w:cs="Arial"/>
          <w:sz w:val="22"/>
          <w:szCs w:val="22"/>
        </w:rPr>
        <w:t xml:space="preserve"> decrease</w:t>
      </w:r>
      <w:r w:rsidRPr="00091BC9" w:rsidR="00E60A30">
        <w:rPr>
          <w:rFonts w:ascii="Arial" w:hAnsi="Arial" w:cs="Arial"/>
          <w:sz w:val="22"/>
          <w:szCs w:val="22"/>
        </w:rPr>
        <w:t xml:space="preserve"> in the</w:t>
      </w:r>
      <w:r w:rsidR="00964B87">
        <w:rPr>
          <w:rFonts w:ascii="Arial" w:hAnsi="Arial" w:cs="Arial"/>
          <w:sz w:val="22"/>
          <w:szCs w:val="22"/>
        </w:rPr>
        <w:t xml:space="preserve"> amount of</w:t>
      </w:r>
      <w:r w:rsidRPr="00091BC9" w:rsidR="00E60A30">
        <w:rPr>
          <w:rFonts w:ascii="Arial" w:hAnsi="Arial" w:cs="Arial"/>
          <w:sz w:val="22"/>
          <w:szCs w:val="22"/>
        </w:rPr>
        <w:t xml:space="preserve"> </w:t>
      </w:r>
      <w:r w:rsidR="00846732">
        <w:rPr>
          <w:rFonts w:ascii="Arial" w:hAnsi="Arial" w:cs="Arial"/>
          <w:sz w:val="22"/>
          <w:szCs w:val="22"/>
        </w:rPr>
        <w:t xml:space="preserve">information being requested from the Agreement </w:t>
      </w:r>
      <w:r w:rsidR="00F2446C">
        <w:rPr>
          <w:rFonts w:ascii="Arial" w:hAnsi="Arial" w:cs="Arial"/>
          <w:sz w:val="22"/>
          <w:szCs w:val="22"/>
        </w:rPr>
        <w:t>States.  Rather than a site</w:t>
      </w:r>
      <w:r w:rsidR="00B42A03">
        <w:rPr>
          <w:rFonts w:ascii="Arial" w:hAnsi="Arial" w:cs="Arial"/>
          <w:sz w:val="22"/>
          <w:szCs w:val="22"/>
        </w:rPr>
        <w:t>-</w:t>
      </w:r>
      <w:r w:rsidR="00F2446C">
        <w:rPr>
          <w:rFonts w:ascii="Arial" w:hAnsi="Arial" w:cs="Arial"/>
          <w:sz w:val="22"/>
          <w:szCs w:val="22"/>
        </w:rPr>
        <w:t xml:space="preserve">specific description of decommissioning activities, only a </w:t>
      </w:r>
      <w:r w:rsidR="00B42A03">
        <w:rPr>
          <w:rFonts w:ascii="Arial" w:hAnsi="Arial" w:cs="Arial"/>
          <w:sz w:val="22"/>
          <w:szCs w:val="22"/>
        </w:rPr>
        <w:t xml:space="preserve">list of </w:t>
      </w:r>
      <w:r w:rsidR="00F2446C">
        <w:rPr>
          <w:rFonts w:ascii="Arial" w:hAnsi="Arial" w:cs="Arial"/>
          <w:sz w:val="22"/>
          <w:szCs w:val="22"/>
        </w:rPr>
        <w:t>site</w:t>
      </w:r>
      <w:r w:rsidR="00B42A03">
        <w:rPr>
          <w:rFonts w:ascii="Arial" w:hAnsi="Arial" w:cs="Arial"/>
          <w:sz w:val="22"/>
          <w:szCs w:val="22"/>
        </w:rPr>
        <w:t xml:space="preserve">s and a </w:t>
      </w:r>
      <w:r w:rsidR="00F2446C">
        <w:rPr>
          <w:rFonts w:ascii="Arial" w:hAnsi="Arial" w:cs="Arial"/>
          <w:sz w:val="22"/>
          <w:szCs w:val="22"/>
        </w:rPr>
        <w:t>contact is being requested</w:t>
      </w:r>
      <w:r w:rsidRPr="00091BC9" w:rsidR="00091BC9">
        <w:rPr>
          <w:rFonts w:ascii="Arial" w:hAnsi="Arial" w:cs="Arial"/>
          <w:sz w:val="22"/>
          <w:szCs w:val="22"/>
        </w:rPr>
        <w:t>.  Agreement States</w:t>
      </w:r>
      <w:r w:rsidR="00307D6D">
        <w:rPr>
          <w:rFonts w:ascii="Arial" w:hAnsi="Arial" w:cs="Arial"/>
          <w:sz w:val="22"/>
          <w:szCs w:val="22"/>
        </w:rPr>
        <w:t xml:space="preserve"> are requested to</w:t>
      </w:r>
      <w:r w:rsidRPr="00091BC9" w:rsidR="00091BC9">
        <w:rPr>
          <w:rFonts w:ascii="Arial" w:hAnsi="Arial" w:cs="Arial"/>
          <w:sz w:val="22"/>
          <w:szCs w:val="22"/>
        </w:rPr>
        <w:t xml:space="preserve"> complete one response annually</w:t>
      </w:r>
      <w:r w:rsidR="00964B87">
        <w:rPr>
          <w:rFonts w:ascii="Arial" w:hAnsi="Arial" w:cs="Arial"/>
          <w:sz w:val="22"/>
          <w:szCs w:val="22"/>
        </w:rPr>
        <w:t>.</w:t>
      </w:r>
    </w:p>
    <w:p w:rsidRPr="00091BC9" w:rsidR="006F6395" w:rsidP="006F6395" w:rsidRDefault="006F6395" w14:paraId="1872D994" w14:textId="77777777">
      <w:pPr>
        <w:rPr>
          <w:rFonts w:ascii="Arial" w:hAnsi="Arial" w:cs="Arial"/>
          <w:sz w:val="22"/>
          <w:szCs w:val="22"/>
        </w:rPr>
      </w:pPr>
    </w:p>
    <w:p w:rsidR="006F6395" w:rsidP="007D5EA7" w:rsidRDefault="006F6395" w14:paraId="0911C06F" w14:textId="77777777">
      <w:pPr>
        <w:ind w:left="1440" w:hanging="720"/>
        <w:outlineLvl w:val="0"/>
        <w:rPr>
          <w:rFonts w:ascii="Arial" w:hAnsi="Arial"/>
          <w:sz w:val="22"/>
          <w:u w:val="single"/>
        </w:rPr>
      </w:pPr>
      <w:r>
        <w:rPr>
          <w:rFonts w:ascii="Arial" w:hAnsi="Arial"/>
          <w:sz w:val="22"/>
        </w:rPr>
        <w:t>16.</w:t>
      </w:r>
      <w:r>
        <w:rPr>
          <w:rFonts w:ascii="Arial" w:hAnsi="Arial"/>
          <w:sz w:val="22"/>
        </w:rPr>
        <w:tab/>
      </w:r>
      <w:r>
        <w:rPr>
          <w:rFonts w:ascii="Arial" w:hAnsi="Arial"/>
          <w:sz w:val="22"/>
          <w:u w:val="single"/>
        </w:rPr>
        <w:t>Publication for Statistical Use</w:t>
      </w:r>
    </w:p>
    <w:p w:rsidR="006F6395" w:rsidP="006F6395" w:rsidRDefault="006F6395" w14:paraId="0910289C" w14:textId="77777777">
      <w:pPr>
        <w:ind w:left="1440" w:hanging="720"/>
        <w:rPr>
          <w:rFonts w:ascii="Arial" w:hAnsi="Arial"/>
          <w:sz w:val="22"/>
        </w:rPr>
      </w:pPr>
    </w:p>
    <w:p w:rsidR="006F6395" w:rsidP="007D5EA7" w:rsidRDefault="006F6395" w14:paraId="4BF2AAAF" w14:textId="77777777">
      <w:pPr>
        <w:ind w:left="1440"/>
        <w:outlineLvl w:val="0"/>
        <w:rPr>
          <w:rFonts w:ascii="Arial" w:hAnsi="Arial"/>
          <w:sz w:val="22"/>
        </w:rPr>
      </w:pPr>
      <w:r>
        <w:rPr>
          <w:rFonts w:ascii="Arial" w:hAnsi="Arial"/>
          <w:sz w:val="22"/>
        </w:rPr>
        <w:t xml:space="preserve">Currently, there are no plans to publish this information for statistical use. </w:t>
      </w:r>
    </w:p>
    <w:p w:rsidR="006F6395" w:rsidP="006F6395" w:rsidRDefault="006F6395" w14:paraId="378AD663" w14:textId="77777777">
      <w:pPr>
        <w:rPr>
          <w:rFonts w:ascii="Arial" w:hAnsi="Arial"/>
          <w:sz w:val="22"/>
        </w:rPr>
      </w:pPr>
    </w:p>
    <w:p w:rsidR="006F6395" w:rsidP="007D5EA7" w:rsidRDefault="006F6395" w14:paraId="644F737F" w14:textId="77777777">
      <w:pPr>
        <w:ind w:left="1440" w:hanging="720"/>
        <w:outlineLvl w:val="0"/>
        <w:rPr>
          <w:rFonts w:ascii="Arial" w:hAnsi="Arial"/>
          <w:sz w:val="22"/>
          <w:u w:val="single"/>
        </w:rPr>
      </w:pPr>
      <w:r>
        <w:rPr>
          <w:rFonts w:ascii="Arial" w:hAnsi="Arial"/>
          <w:sz w:val="22"/>
        </w:rPr>
        <w:t>17.</w:t>
      </w:r>
      <w:r>
        <w:rPr>
          <w:rFonts w:ascii="Arial" w:hAnsi="Arial"/>
          <w:sz w:val="22"/>
        </w:rPr>
        <w:tab/>
      </w:r>
      <w:r>
        <w:rPr>
          <w:rFonts w:ascii="Arial" w:hAnsi="Arial"/>
          <w:sz w:val="22"/>
          <w:u w:val="single"/>
        </w:rPr>
        <w:t>Reason for Not Displaying the Expiration Date</w:t>
      </w:r>
    </w:p>
    <w:p w:rsidR="006F6395" w:rsidP="006F6395" w:rsidRDefault="006F6395" w14:paraId="570EBFAE" w14:textId="77777777">
      <w:pPr>
        <w:ind w:left="1440" w:hanging="720"/>
        <w:rPr>
          <w:rFonts w:ascii="Arial" w:hAnsi="Arial"/>
          <w:sz w:val="22"/>
        </w:rPr>
      </w:pPr>
    </w:p>
    <w:p w:rsidRPr="00527B85" w:rsidR="006F6395" w:rsidP="00527B85" w:rsidRDefault="00527B85" w14:paraId="6BDC494E" w14:textId="77777777">
      <w:pPr>
        <w:ind w:left="1440"/>
        <w:rPr>
          <w:rFonts w:ascii="Arial" w:hAnsi="Arial"/>
          <w:sz w:val="22"/>
        </w:rPr>
      </w:pPr>
      <w:r w:rsidRPr="00527B85">
        <w:rPr>
          <w:rFonts w:ascii="Arial" w:hAnsi="Arial"/>
          <w:sz w:val="22"/>
        </w:rPr>
        <w:t>The expiration date is shown on the letter requesting the information from Agreement States.</w:t>
      </w:r>
    </w:p>
    <w:p w:rsidR="00527B85" w:rsidP="006F6395" w:rsidRDefault="00527B85" w14:paraId="7CF52008" w14:textId="77777777">
      <w:pPr>
        <w:rPr>
          <w:rFonts w:ascii="Arial" w:hAnsi="Arial"/>
          <w:sz w:val="22"/>
          <w:u w:val="single"/>
        </w:rPr>
      </w:pPr>
      <w:bookmarkStart w:name="_GoBack" w:id="1"/>
      <w:bookmarkEnd w:id="1"/>
    </w:p>
    <w:p w:rsidR="006F6395" w:rsidP="007D5EA7" w:rsidRDefault="006F6395" w14:paraId="62DAC5EB" w14:textId="77777777">
      <w:pPr>
        <w:ind w:left="1440" w:hanging="720"/>
        <w:outlineLvl w:val="0"/>
        <w:rPr>
          <w:rFonts w:ascii="Arial" w:hAnsi="Arial"/>
          <w:sz w:val="22"/>
          <w:u w:val="single"/>
        </w:rPr>
      </w:pPr>
      <w:r>
        <w:rPr>
          <w:rFonts w:ascii="Arial" w:hAnsi="Arial"/>
          <w:sz w:val="22"/>
        </w:rPr>
        <w:t>18.</w:t>
      </w:r>
      <w:r>
        <w:rPr>
          <w:rFonts w:ascii="Arial" w:hAnsi="Arial"/>
          <w:sz w:val="22"/>
        </w:rPr>
        <w:tab/>
      </w:r>
      <w:r>
        <w:rPr>
          <w:rFonts w:ascii="Arial" w:hAnsi="Arial"/>
          <w:sz w:val="22"/>
          <w:u w:val="single"/>
        </w:rPr>
        <w:t>Exceptions to the Certification Statement</w:t>
      </w:r>
    </w:p>
    <w:p w:rsidR="006F6395" w:rsidP="006F6395" w:rsidRDefault="006F6395" w14:paraId="7DE7C1AD" w14:textId="77777777">
      <w:pPr>
        <w:ind w:left="1440" w:hanging="720"/>
        <w:rPr>
          <w:rFonts w:ascii="Arial" w:hAnsi="Arial"/>
          <w:sz w:val="22"/>
        </w:rPr>
      </w:pPr>
    </w:p>
    <w:p w:rsidR="006F6395" w:rsidP="007D5EA7" w:rsidRDefault="006F6395" w14:paraId="3EFE0CF9" w14:textId="77777777">
      <w:pPr>
        <w:ind w:left="1440"/>
        <w:outlineLvl w:val="0"/>
        <w:rPr>
          <w:rFonts w:ascii="Arial" w:hAnsi="Arial"/>
          <w:sz w:val="22"/>
        </w:rPr>
      </w:pPr>
      <w:r>
        <w:rPr>
          <w:rFonts w:ascii="Arial" w:hAnsi="Arial"/>
          <w:sz w:val="22"/>
        </w:rPr>
        <w:t xml:space="preserve">There are no exceptions. </w:t>
      </w:r>
    </w:p>
    <w:p w:rsidR="006F6395" w:rsidP="006F6395" w:rsidRDefault="006F6395" w14:paraId="33448180" w14:textId="77777777">
      <w:pPr>
        <w:rPr>
          <w:rFonts w:ascii="Arial" w:hAnsi="Arial"/>
          <w:sz w:val="22"/>
        </w:rPr>
      </w:pPr>
    </w:p>
    <w:p w:rsidR="006F6395" w:rsidP="00015758" w:rsidRDefault="00015758" w14:paraId="6628EB8E" w14:textId="77777777">
      <w:pPr>
        <w:pStyle w:val="Custom2"/>
        <w:widowControl/>
        <w:spacing w:line="480" w:lineRule="auto"/>
        <w:rPr>
          <w:rFonts w:ascii="Arial" w:hAnsi="Arial"/>
          <w:sz w:val="22"/>
        </w:rPr>
      </w:pPr>
      <w:r>
        <w:rPr>
          <w:rFonts w:ascii="Arial" w:hAnsi="Arial"/>
          <w:sz w:val="22"/>
        </w:rPr>
        <w:t>B.</w:t>
      </w:r>
      <w:r w:rsidR="005574AE">
        <w:rPr>
          <w:rFonts w:ascii="Arial" w:hAnsi="Arial"/>
          <w:sz w:val="22"/>
        </w:rPr>
        <w:tab/>
      </w:r>
      <w:r w:rsidR="006F6395">
        <w:rPr>
          <w:rFonts w:ascii="Arial" w:hAnsi="Arial"/>
          <w:sz w:val="22"/>
        </w:rPr>
        <w:t xml:space="preserve">COLLECTIONS OF INFORMATION EMPLOYING STATISTICAL METHODS </w:t>
      </w:r>
    </w:p>
    <w:p w:rsidRPr="003F3462" w:rsidR="004A3F84" w:rsidP="007262BC" w:rsidRDefault="006F6395" w14:paraId="4AE1A18B" w14:textId="77777777">
      <w:pPr>
        <w:tabs>
          <w:tab w:val="left" w:pos="180"/>
        </w:tabs>
        <w:spacing w:line="0" w:lineRule="atLeast"/>
      </w:pPr>
      <w:r>
        <w:rPr>
          <w:rFonts w:ascii="Arial" w:hAnsi="Arial"/>
          <w:sz w:val="22"/>
        </w:rPr>
        <w:tab/>
      </w:r>
      <w:r>
        <w:rPr>
          <w:rFonts w:ascii="Arial" w:hAnsi="Arial"/>
          <w:sz w:val="22"/>
        </w:rPr>
        <w:tab/>
        <w:t xml:space="preserve">Statistical methods are not used in this collection of information. </w:t>
      </w:r>
    </w:p>
    <w:sectPr w:rsidRPr="003F3462" w:rsidR="004A3F84" w:rsidSect="009A5B8A">
      <w:footerReference w:type="even" r:id="rId12"/>
      <w:footerReference w:type="default" r:id="rId13"/>
      <w:type w:val="continuous"/>
      <w:pgSz w:w="12240" w:h="15840"/>
      <w:pgMar w:top="1440" w:right="135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B0FF2" w14:textId="77777777" w:rsidR="00435398" w:rsidRDefault="00435398" w:rsidP="003549C5">
      <w:r>
        <w:separator/>
      </w:r>
    </w:p>
  </w:endnote>
  <w:endnote w:type="continuationSeparator" w:id="0">
    <w:p w14:paraId="5956D3AD" w14:textId="77777777" w:rsidR="00435398" w:rsidRDefault="00435398" w:rsidP="00354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ACDB3" w14:textId="77777777" w:rsidR="001969C6" w:rsidRDefault="001969C6">
    <w:pPr>
      <w:framePr w:w="9360" w:h="256" w:hRule="exact" w:wrap="notBeside" w:vAnchor="page" w:hAnchor="text" w:y="14400"/>
      <w:spacing w:line="0" w:lineRule="atLeast"/>
      <w:jc w:val="center"/>
      <w:rPr>
        <w:vanish/>
      </w:rPr>
    </w:pPr>
    <w:r>
      <w:rPr>
        <w:rFonts w:ascii="Arial" w:hAnsi="Arial"/>
        <w:color w:val="000000"/>
        <w:sz w:val="22"/>
      </w:rPr>
      <w:pgNum/>
    </w:r>
  </w:p>
  <w:p w14:paraId="39020439" w14:textId="77777777" w:rsidR="001969C6" w:rsidRDefault="001969C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B7545" w14:textId="77777777" w:rsidR="001969C6" w:rsidRDefault="001969C6">
    <w:pPr>
      <w:framePr w:w="9360" w:h="256" w:hRule="exact" w:wrap="notBeside" w:vAnchor="page" w:hAnchor="text" w:y="14400"/>
      <w:jc w:val="center"/>
      <w:rPr>
        <w:vanish/>
      </w:rPr>
    </w:pPr>
    <w:r>
      <w:rPr>
        <w:rFonts w:ascii="Arial" w:hAnsi="Arial"/>
        <w:color w:val="000000"/>
        <w:sz w:val="22"/>
      </w:rPr>
      <w:pgNum/>
    </w:r>
  </w:p>
  <w:p w14:paraId="75EEBDE4" w14:textId="77777777" w:rsidR="001969C6" w:rsidRDefault="001969C6">
    <w:pPr>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8180C" w14:textId="77777777" w:rsidR="00435398" w:rsidRDefault="00435398" w:rsidP="003549C5">
      <w:r>
        <w:separator/>
      </w:r>
    </w:p>
  </w:footnote>
  <w:footnote w:type="continuationSeparator" w:id="0">
    <w:p w14:paraId="772858D5" w14:textId="77777777" w:rsidR="00435398" w:rsidRDefault="00435398" w:rsidP="003549C5">
      <w:r>
        <w:continuationSeparator/>
      </w:r>
    </w:p>
  </w:footnote>
  <w:footnote w:id="1">
    <w:p w14:paraId="30C3D551" w14:textId="0C40EF2A" w:rsidR="005518A8" w:rsidRDefault="005518A8">
      <w:pPr>
        <w:pStyle w:val="FootnoteText"/>
      </w:pPr>
      <w:r>
        <w:rPr>
          <w:rStyle w:val="FootnoteReference"/>
        </w:rPr>
        <w:footnoteRef/>
      </w:r>
      <w:r>
        <w:t xml:space="preserve"> </w:t>
      </w:r>
      <w:r w:rsidRPr="00F30282">
        <w:rPr>
          <w:rFonts w:ascii="Arial" w:hAnsi="Arial" w:cs="Arial"/>
        </w:rPr>
        <w:t>Agreement States include: AK, AL, AR, AZ, CA, CO, FL, GA, IA, IL, KS, KY, LA, MA, MD, ME, MN, MS, NC, ND, NE, NH, NM, NV, NY, OH, OK, OR, PA, RI, SC, TN, TX, UT, VA, VT, WA,  WI</w:t>
      </w:r>
      <w:r w:rsidR="00E258F3">
        <w:rPr>
          <w:rFonts w:ascii="Arial" w:hAnsi="Arial" w:cs="Arial"/>
        </w:rPr>
        <w:t xml:space="preserve"> and WY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upperLetter"/>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0000003"/>
    <w:multiLevelType w:val="multilevel"/>
    <w:tmpl w:val="00000003"/>
    <w:lvl w:ilvl="0">
      <w:start w:val="1"/>
      <w:numFmt w:val="decimal"/>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28E21B2"/>
    <w:multiLevelType w:val="hybridMultilevel"/>
    <w:tmpl w:val="ABBE0BA6"/>
    <w:lvl w:ilvl="0" w:tplc="0409000F">
      <w:start w:val="1"/>
      <w:numFmt w:val="decimal"/>
      <w:lvlText w:val="%1."/>
      <w:lvlJc w:val="left"/>
      <w:pPr>
        <w:ind w:left="2265" w:hanging="360"/>
      </w:pPr>
    </w:lvl>
    <w:lvl w:ilvl="1" w:tplc="04090019" w:tentative="1">
      <w:start w:val="1"/>
      <w:numFmt w:val="lowerLetter"/>
      <w:lvlText w:val="%2."/>
      <w:lvlJc w:val="left"/>
      <w:pPr>
        <w:ind w:left="2985" w:hanging="360"/>
      </w:pPr>
    </w:lvl>
    <w:lvl w:ilvl="2" w:tplc="0409001B" w:tentative="1">
      <w:start w:val="1"/>
      <w:numFmt w:val="lowerRoman"/>
      <w:lvlText w:val="%3."/>
      <w:lvlJc w:val="right"/>
      <w:pPr>
        <w:ind w:left="3705" w:hanging="180"/>
      </w:pPr>
    </w:lvl>
    <w:lvl w:ilvl="3" w:tplc="0409000F" w:tentative="1">
      <w:start w:val="1"/>
      <w:numFmt w:val="decimal"/>
      <w:lvlText w:val="%4."/>
      <w:lvlJc w:val="left"/>
      <w:pPr>
        <w:ind w:left="4425" w:hanging="360"/>
      </w:pPr>
    </w:lvl>
    <w:lvl w:ilvl="4" w:tplc="04090019" w:tentative="1">
      <w:start w:val="1"/>
      <w:numFmt w:val="lowerLetter"/>
      <w:lvlText w:val="%5."/>
      <w:lvlJc w:val="left"/>
      <w:pPr>
        <w:ind w:left="5145" w:hanging="360"/>
      </w:pPr>
    </w:lvl>
    <w:lvl w:ilvl="5" w:tplc="0409001B" w:tentative="1">
      <w:start w:val="1"/>
      <w:numFmt w:val="lowerRoman"/>
      <w:lvlText w:val="%6."/>
      <w:lvlJc w:val="right"/>
      <w:pPr>
        <w:ind w:left="5865" w:hanging="180"/>
      </w:pPr>
    </w:lvl>
    <w:lvl w:ilvl="6" w:tplc="0409000F" w:tentative="1">
      <w:start w:val="1"/>
      <w:numFmt w:val="decimal"/>
      <w:lvlText w:val="%7."/>
      <w:lvlJc w:val="left"/>
      <w:pPr>
        <w:ind w:left="6585" w:hanging="360"/>
      </w:pPr>
    </w:lvl>
    <w:lvl w:ilvl="7" w:tplc="04090019" w:tentative="1">
      <w:start w:val="1"/>
      <w:numFmt w:val="lowerLetter"/>
      <w:lvlText w:val="%8."/>
      <w:lvlJc w:val="left"/>
      <w:pPr>
        <w:ind w:left="7305" w:hanging="360"/>
      </w:pPr>
    </w:lvl>
    <w:lvl w:ilvl="8" w:tplc="0409001B" w:tentative="1">
      <w:start w:val="1"/>
      <w:numFmt w:val="lowerRoman"/>
      <w:lvlText w:val="%9."/>
      <w:lvlJc w:val="right"/>
      <w:pPr>
        <w:ind w:left="8025" w:hanging="180"/>
      </w:pPr>
    </w:lvl>
  </w:abstractNum>
  <w:abstractNum w:abstractNumId="3" w15:restartNumberingAfterBreak="0">
    <w:nsid w:val="24620B26"/>
    <w:multiLevelType w:val="hybridMultilevel"/>
    <w:tmpl w:val="AB8E048A"/>
    <w:lvl w:ilvl="0" w:tplc="04090001">
      <w:start w:val="1"/>
      <w:numFmt w:val="bullet"/>
      <w:lvlText w:val=""/>
      <w:lvlJc w:val="left"/>
      <w:pPr>
        <w:ind w:left="2265" w:hanging="360"/>
      </w:pPr>
      <w:rPr>
        <w:rFonts w:ascii="Symbol" w:hAnsi="Symbol" w:hint="default"/>
      </w:rPr>
    </w:lvl>
    <w:lvl w:ilvl="1" w:tplc="04090003" w:tentative="1">
      <w:start w:val="1"/>
      <w:numFmt w:val="bullet"/>
      <w:lvlText w:val="o"/>
      <w:lvlJc w:val="left"/>
      <w:pPr>
        <w:ind w:left="2985" w:hanging="360"/>
      </w:pPr>
      <w:rPr>
        <w:rFonts w:ascii="Courier New" w:hAnsi="Courier New" w:cs="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cs="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cs="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4" w15:restartNumberingAfterBreak="0">
    <w:nsid w:val="5F1209AC"/>
    <w:multiLevelType w:val="hybridMultilevel"/>
    <w:tmpl w:val="5DC4AC60"/>
    <w:lvl w:ilvl="0" w:tplc="50C88384">
      <w:start w:val="1"/>
      <w:numFmt w:val="bullet"/>
      <w:lvlText w:val=""/>
      <w:lvlJc w:val="left"/>
      <w:pPr>
        <w:ind w:left="720" w:hanging="360"/>
      </w:pPr>
      <w:rPr>
        <w:rFonts w:ascii="Symbol" w:hAnsi="Symbol" w:hint="default"/>
      </w:rPr>
    </w:lvl>
    <w:lvl w:ilvl="1" w:tplc="CA84BA38">
      <w:start w:val="1"/>
      <w:numFmt w:val="bullet"/>
      <w:lvlText w:val="o"/>
      <w:lvlJc w:val="left"/>
      <w:pPr>
        <w:ind w:left="1440" w:hanging="360"/>
      </w:pPr>
      <w:rPr>
        <w:rFonts w:ascii="Courier New" w:hAnsi="Courier New" w:hint="default"/>
      </w:rPr>
    </w:lvl>
    <w:lvl w:ilvl="2" w:tplc="9D7C3C54">
      <w:start w:val="1"/>
      <w:numFmt w:val="bullet"/>
      <w:lvlText w:val=""/>
      <w:lvlJc w:val="left"/>
      <w:pPr>
        <w:ind w:left="2160" w:hanging="360"/>
      </w:pPr>
      <w:rPr>
        <w:rFonts w:ascii="Wingdings" w:hAnsi="Wingdings" w:hint="default"/>
      </w:rPr>
    </w:lvl>
    <w:lvl w:ilvl="3" w:tplc="BC84B60A">
      <w:start w:val="1"/>
      <w:numFmt w:val="bullet"/>
      <w:lvlText w:val=""/>
      <w:lvlJc w:val="left"/>
      <w:pPr>
        <w:ind w:left="2880" w:hanging="360"/>
      </w:pPr>
      <w:rPr>
        <w:rFonts w:ascii="Symbol" w:hAnsi="Symbol" w:hint="default"/>
      </w:rPr>
    </w:lvl>
    <w:lvl w:ilvl="4" w:tplc="4F42FD28">
      <w:start w:val="1"/>
      <w:numFmt w:val="bullet"/>
      <w:lvlText w:val="o"/>
      <w:lvlJc w:val="left"/>
      <w:pPr>
        <w:ind w:left="3600" w:hanging="360"/>
      </w:pPr>
      <w:rPr>
        <w:rFonts w:ascii="Courier New" w:hAnsi="Courier New" w:hint="default"/>
      </w:rPr>
    </w:lvl>
    <w:lvl w:ilvl="5" w:tplc="B2CA5DAA">
      <w:start w:val="1"/>
      <w:numFmt w:val="bullet"/>
      <w:lvlText w:val=""/>
      <w:lvlJc w:val="left"/>
      <w:pPr>
        <w:ind w:left="4320" w:hanging="360"/>
      </w:pPr>
      <w:rPr>
        <w:rFonts w:ascii="Wingdings" w:hAnsi="Wingdings" w:hint="default"/>
      </w:rPr>
    </w:lvl>
    <w:lvl w:ilvl="6" w:tplc="A0DCA0EC">
      <w:start w:val="1"/>
      <w:numFmt w:val="bullet"/>
      <w:lvlText w:val=""/>
      <w:lvlJc w:val="left"/>
      <w:pPr>
        <w:ind w:left="5040" w:hanging="360"/>
      </w:pPr>
      <w:rPr>
        <w:rFonts w:ascii="Symbol" w:hAnsi="Symbol" w:hint="default"/>
      </w:rPr>
    </w:lvl>
    <w:lvl w:ilvl="7" w:tplc="15CC98FE">
      <w:start w:val="1"/>
      <w:numFmt w:val="bullet"/>
      <w:lvlText w:val="o"/>
      <w:lvlJc w:val="left"/>
      <w:pPr>
        <w:ind w:left="5760" w:hanging="360"/>
      </w:pPr>
      <w:rPr>
        <w:rFonts w:ascii="Courier New" w:hAnsi="Courier New" w:hint="default"/>
      </w:rPr>
    </w:lvl>
    <w:lvl w:ilvl="8" w:tplc="B0D427C2">
      <w:start w:val="1"/>
      <w:numFmt w:val="bullet"/>
      <w:lvlText w:val=""/>
      <w:lvlJc w:val="left"/>
      <w:pPr>
        <w:ind w:left="6480" w:hanging="360"/>
      </w:pPr>
      <w:rPr>
        <w:rFonts w:ascii="Wingdings" w:hAnsi="Wingdings" w:hint="default"/>
      </w:rPr>
    </w:lvl>
  </w:abstractNum>
  <w:abstractNum w:abstractNumId="5" w15:restartNumberingAfterBreak="0">
    <w:nsid w:val="6827727B"/>
    <w:multiLevelType w:val="hybridMultilevel"/>
    <w:tmpl w:val="FAA2DF26"/>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6E503C92"/>
    <w:multiLevelType w:val="hybridMultilevel"/>
    <w:tmpl w:val="D18A14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num>
  <w:num w:numId="2">
    <w:abstractNumId w:val="0"/>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395"/>
    <w:rsid w:val="000019DB"/>
    <w:rsid w:val="00006338"/>
    <w:rsid w:val="00015758"/>
    <w:rsid w:val="000158CD"/>
    <w:rsid w:val="000222F2"/>
    <w:rsid w:val="000251D1"/>
    <w:rsid w:val="00042668"/>
    <w:rsid w:val="00042E71"/>
    <w:rsid w:val="000439EA"/>
    <w:rsid w:val="00045266"/>
    <w:rsid w:val="00047354"/>
    <w:rsid w:val="000561D4"/>
    <w:rsid w:val="000626EE"/>
    <w:rsid w:val="00066803"/>
    <w:rsid w:val="00066979"/>
    <w:rsid w:val="000742B2"/>
    <w:rsid w:val="00082AFD"/>
    <w:rsid w:val="00091BC9"/>
    <w:rsid w:val="00095F81"/>
    <w:rsid w:val="000960C5"/>
    <w:rsid w:val="00096BB9"/>
    <w:rsid w:val="000B4AEC"/>
    <w:rsid w:val="000B54D1"/>
    <w:rsid w:val="000B5777"/>
    <w:rsid w:val="000D2AD9"/>
    <w:rsid w:val="000D3015"/>
    <w:rsid w:val="000D5A9B"/>
    <w:rsid w:val="000E4131"/>
    <w:rsid w:val="000F6363"/>
    <w:rsid w:val="00104D69"/>
    <w:rsid w:val="00106C20"/>
    <w:rsid w:val="001076E7"/>
    <w:rsid w:val="00111339"/>
    <w:rsid w:val="00111743"/>
    <w:rsid w:val="00111FFC"/>
    <w:rsid w:val="00112629"/>
    <w:rsid w:val="0011573A"/>
    <w:rsid w:val="001163C6"/>
    <w:rsid w:val="00121B78"/>
    <w:rsid w:val="00121F0F"/>
    <w:rsid w:val="00124232"/>
    <w:rsid w:val="0012477B"/>
    <w:rsid w:val="00134590"/>
    <w:rsid w:val="0014015C"/>
    <w:rsid w:val="00141DA6"/>
    <w:rsid w:val="001525DC"/>
    <w:rsid w:val="00155554"/>
    <w:rsid w:val="00166617"/>
    <w:rsid w:val="0016760A"/>
    <w:rsid w:val="00170607"/>
    <w:rsid w:val="00172277"/>
    <w:rsid w:val="0017780B"/>
    <w:rsid w:val="00191F1E"/>
    <w:rsid w:val="001969C6"/>
    <w:rsid w:val="001A267B"/>
    <w:rsid w:val="001B22CB"/>
    <w:rsid w:val="001B2FF5"/>
    <w:rsid w:val="001C2F77"/>
    <w:rsid w:val="001C71B6"/>
    <w:rsid w:val="001E2973"/>
    <w:rsid w:val="001E36AF"/>
    <w:rsid w:val="001E3ACE"/>
    <w:rsid w:val="001E3B90"/>
    <w:rsid w:val="001E795E"/>
    <w:rsid w:val="001F357A"/>
    <w:rsid w:val="001F390A"/>
    <w:rsid w:val="00206813"/>
    <w:rsid w:val="00207992"/>
    <w:rsid w:val="002153A3"/>
    <w:rsid w:val="00232273"/>
    <w:rsid w:val="0024078F"/>
    <w:rsid w:val="00247937"/>
    <w:rsid w:val="00250F2F"/>
    <w:rsid w:val="00251BBF"/>
    <w:rsid w:val="00255387"/>
    <w:rsid w:val="0026063D"/>
    <w:rsid w:val="00296019"/>
    <w:rsid w:val="002A4F85"/>
    <w:rsid w:val="002B267C"/>
    <w:rsid w:val="002C0BE9"/>
    <w:rsid w:val="002C1008"/>
    <w:rsid w:val="002C3A38"/>
    <w:rsid w:val="002C4CC0"/>
    <w:rsid w:val="002E0C1B"/>
    <w:rsid w:val="002F02CC"/>
    <w:rsid w:val="002F5F53"/>
    <w:rsid w:val="002F7B1C"/>
    <w:rsid w:val="003025B8"/>
    <w:rsid w:val="003027F1"/>
    <w:rsid w:val="00307D6D"/>
    <w:rsid w:val="00315EE1"/>
    <w:rsid w:val="003274F5"/>
    <w:rsid w:val="00334645"/>
    <w:rsid w:val="00335E44"/>
    <w:rsid w:val="003368DB"/>
    <w:rsid w:val="00336B33"/>
    <w:rsid w:val="00345CB7"/>
    <w:rsid w:val="00346F54"/>
    <w:rsid w:val="00354917"/>
    <w:rsid w:val="003549C5"/>
    <w:rsid w:val="00355DFA"/>
    <w:rsid w:val="0036385A"/>
    <w:rsid w:val="003650A4"/>
    <w:rsid w:val="00375B2D"/>
    <w:rsid w:val="003823C1"/>
    <w:rsid w:val="003A0D0E"/>
    <w:rsid w:val="003B2E84"/>
    <w:rsid w:val="003B3B19"/>
    <w:rsid w:val="003B49A2"/>
    <w:rsid w:val="003B6544"/>
    <w:rsid w:val="003C042B"/>
    <w:rsid w:val="003C4EB6"/>
    <w:rsid w:val="003D542D"/>
    <w:rsid w:val="003F3462"/>
    <w:rsid w:val="003F6E61"/>
    <w:rsid w:val="00403776"/>
    <w:rsid w:val="00404BDE"/>
    <w:rsid w:val="004057F5"/>
    <w:rsid w:val="00435398"/>
    <w:rsid w:val="00437960"/>
    <w:rsid w:val="00442265"/>
    <w:rsid w:val="004436E4"/>
    <w:rsid w:val="004440AC"/>
    <w:rsid w:val="0044789D"/>
    <w:rsid w:val="00457D7A"/>
    <w:rsid w:val="00465DC9"/>
    <w:rsid w:val="00466061"/>
    <w:rsid w:val="00470E64"/>
    <w:rsid w:val="00471E90"/>
    <w:rsid w:val="00474BA1"/>
    <w:rsid w:val="00475D17"/>
    <w:rsid w:val="00475EBC"/>
    <w:rsid w:val="00483073"/>
    <w:rsid w:val="004947EF"/>
    <w:rsid w:val="004A18F4"/>
    <w:rsid w:val="004A3F84"/>
    <w:rsid w:val="004A7851"/>
    <w:rsid w:val="004B28F9"/>
    <w:rsid w:val="004B5BD5"/>
    <w:rsid w:val="004B7FA0"/>
    <w:rsid w:val="004D344B"/>
    <w:rsid w:val="004E0687"/>
    <w:rsid w:val="004E1F43"/>
    <w:rsid w:val="004E3C5C"/>
    <w:rsid w:val="00502007"/>
    <w:rsid w:val="005134F3"/>
    <w:rsid w:val="00522ADE"/>
    <w:rsid w:val="00527B85"/>
    <w:rsid w:val="005369C0"/>
    <w:rsid w:val="00540B73"/>
    <w:rsid w:val="005453D5"/>
    <w:rsid w:val="00545B10"/>
    <w:rsid w:val="0055169F"/>
    <w:rsid w:val="005518A8"/>
    <w:rsid w:val="00552CAE"/>
    <w:rsid w:val="005574AE"/>
    <w:rsid w:val="00564B5E"/>
    <w:rsid w:val="0056669A"/>
    <w:rsid w:val="00571678"/>
    <w:rsid w:val="005930DE"/>
    <w:rsid w:val="005A186C"/>
    <w:rsid w:val="005B0E27"/>
    <w:rsid w:val="005B430F"/>
    <w:rsid w:val="005C6173"/>
    <w:rsid w:val="005D161E"/>
    <w:rsid w:val="005D16C6"/>
    <w:rsid w:val="005D6DCA"/>
    <w:rsid w:val="005E7D4E"/>
    <w:rsid w:val="005F1E81"/>
    <w:rsid w:val="005F209E"/>
    <w:rsid w:val="005F5A96"/>
    <w:rsid w:val="00605E1A"/>
    <w:rsid w:val="00612348"/>
    <w:rsid w:val="00613EC6"/>
    <w:rsid w:val="006177DE"/>
    <w:rsid w:val="00623659"/>
    <w:rsid w:val="006250B3"/>
    <w:rsid w:val="006270ED"/>
    <w:rsid w:val="00627F11"/>
    <w:rsid w:val="00635981"/>
    <w:rsid w:val="00636E2E"/>
    <w:rsid w:val="00643D41"/>
    <w:rsid w:val="006444AC"/>
    <w:rsid w:val="006502AC"/>
    <w:rsid w:val="00672416"/>
    <w:rsid w:val="00673994"/>
    <w:rsid w:val="006744D4"/>
    <w:rsid w:val="006942A0"/>
    <w:rsid w:val="00696950"/>
    <w:rsid w:val="006A4867"/>
    <w:rsid w:val="006A673E"/>
    <w:rsid w:val="006B22FD"/>
    <w:rsid w:val="006C1105"/>
    <w:rsid w:val="006C7752"/>
    <w:rsid w:val="006D4A99"/>
    <w:rsid w:val="006E15D0"/>
    <w:rsid w:val="006E1770"/>
    <w:rsid w:val="006E2314"/>
    <w:rsid w:val="006E4070"/>
    <w:rsid w:val="006E548E"/>
    <w:rsid w:val="006F2BB9"/>
    <w:rsid w:val="006F6395"/>
    <w:rsid w:val="00714E4D"/>
    <w:rsid w:val="00717042"/>
    <w:rsid w:val="0072240A"/>
    <w:rsid w:val="007262BC"/>
    <w:rsid w:val="00727AC7"/>
    <w:rsid w:val="00734413"/>
    <w:rsid w:val="00743215"/>
    <w:rsid w:val="007527B9"/>
    <w:rsid w:val="0075318E"/>
    <w:rsid w:val="007625FE"/>
    <w:rsid w:val="0076471D"/>
    <w:rsid w:val="007676E0"/>
    <w:rsid w:val="00772A75"/>
    <w:rsid w:val="00775418"/>
    <w:rsid w:val="00782E5C"/>
    <w:rsid w:val="00785F1F"/>
    <w:rsid w:val="007864B3"/>
    <w:rsid w:val="007868A2"/>
    <w:rsid w:val="0079020B"/>
    <w:rsid w:val="007A1447"/>
    <w:rsid w:val="007A4326"/>
    <w:rsid w:val="007A60EC"/>
    <w:rsid w:val="007B0007"/>
    <w:rsid w:val="007C48FB"/>
    <w:rsid w:val="007D5EA7"/>
    <w:rsid w:val="007E1D4C"/>
    <w:rsid w:val="007E261A"/>
    <w:rsid w:val="007F25A8"/>
    <w:rsid w:val="00810AC0"/>
    <w:rsid w:val="008249FE"/>
    <w:rsid w:val="008328FC"/>
    <w:rsid w:val="00834052"/>
    <w:rsid w:val="0083691D"/>
    <w:rsid w:val="00837030"/>
    <w:rsid w:val="008376DC"/>
    <w:rsid w:val="0084356F"/>
    <w:rsid w:val="008436DD"/>
    <w:rsid w:val="00846732"/>
    <w:rsid w:val="008479C1"/>
    <w:rsid w:val="00871E68"/>
    <w:rsid w:val="00883719"/>
    <w:rsid w:val="00885633"/>
    <w:rsid w:val="008A0B86"/>
    <w:rsid w:val="008A6630"/>
    <w:rsid w:val="008B5653"/>
    <w:rsid w:val="008C0AE9"/>
    <w:rsid w:val="008C1D2C"/>
    <w:rsid w:val="008C3189"/>
    <w:rsid w:val="008D4EF5"/>
    <w:rsid w:val="008D7B94"/>
    <w:rsid w:val="008E0206"/>
    <w:rsid w:val="008F15C0"/>
    <w:rsid w:val="008F1A58"/>
    <w:rsid w:val="008F25CF"/>
    <w:rsid w:val="00901822"/>
    <w:rsid w:val="00906B92"/>
    <w:rsid w:val="00911C7D"/>
    <w:rsid w:val="00922460"/>
    <w:rsid w:val="0092712A"/>
    <w:rsid w:val="0093455D"/>
    <w:rsid w:val="0093614F"/>
    <w:rsid w:val="00937133"/>
    <w:rsid w:val="00952570"/>
    <w:rsid w:val="00961906"/>
    <w:rsid w:val="00964B87"/>
    <w:rsid w:val="00976791"/>
    <w:rsid w:val="009839E3"/>
    <w:rsid w:val="009866E0"/>
    <w:rsid w:val="00992CAF"/>
    <w:rsid w:val="009A40B2"/>
    <w:rsid w:val="009A5B8A"/>
    <w:rsid w:val="009A6102"/>
    <w:rsid w:val="009B1611"/>
    <w:rsid w:val="009B5CE7"/>
    <w:rsid w:val="009D33C1"/>
    <w:rsid w:val="009D6F5B"/>
    <w:rsid w:val="009E4116"/>
    <w:rsid w:val="009F01DB"/>
    <w:rsid w:val="009F3108"/>
    <w:rsid w:val="009F4483"/>
    <w:rsid w:val="00A04E81"/>
    <w:rsid w:val="00A05735"/>
    <w:rsid w:val="00A14B0F"/>
    <w:rsid w:val="00A20E03"/>
    <w:rsid w:val="00A2416A"/>
    <w:rsid w:val="00A26320"/>
    <w:rsid w:val="00A34C34"/>
    <w:rsid w:val="00A35371"/>
    <w:rsid w:val="00A365FD"/>
    <w:rsid w:val="00A51CEA"/>
    <w:rsid w:val="00A53221"/>
    <w:rsid w:val="00A66592"/>
    <w:rsid w:val="00A74772"/>
    <w:rsid w:val="00A77E84"/>
    <w:rsid w:val="00A94F0E"/>
    <w:rsid w:val="00AA12A5"/>
    <w:rsid w:val="00AA417A"/>
    <w:rsid w:val="00AA4F94"/>
    <w:rsid w:val="00AA6BC3"/>
    <w:rsid w:val="00AB2FDC"/>
    <w:rsid w:val="00AC1BA4"/>
    <w:rsid w:val="00AC3CA6"/>
    <w:rsid w:val="00AC7D7A"/>
    <w:rsid w:val="00AE0A14"/>
    <w:rsid w:val="00AF1BAF"/>
    <w:rsid w:val="00B1542F"/>
    <w:rsid w:val="00B15FCF"/>
    <w:rsid w:val="00B202E2"/>
    <w:rsid w:val="00B27DFC"/>
    <w:rsid w:val="00B3054C"/>
    <w:rsid w:val="00B34D91"/>
    <w:rsid w:val="00B366C3"/>
    <w:rsid w:val="00B4084D"/>
    <w:rsid w:val="00B42A03"/>
    <w:rsid w:val="00B43737"/>
    <w:rsid w:val="00B439C3"/>
    <w:rsid w:val="00B45117"/>
    <w:rsid w:val="00B51C7C"/>
    <w:rsid w:val="00B6423D"/>
    <w:rsid w:val="00B70475"/>
    <w:rsid w:val="00B84F88"/>
    <w:rsid w:val="00B87215"/>
    <w:rsid w:val="00B96972"/>
    <w:rsid w:val="00BA5E1D"/>
    <w:rsid w:val="00BB77CC"/>
    <w:rsid w:val="00BD1DD2"/>
    <w:rsid w:val="00BD5867"/>
    <w:rsid w:val="00BD5A55"/>
    <w:rsid w:val="00BE634E"/>
    <w:rsid w:val="00C221FC"/>
    <w:rsid w:val="00C25638"/>
    <w:rsid w:val="00C366CE"/>
    <w:rsid w:val="00C40E13"/>
    <w:rsid w:val="00C443DE"/>
    <w:rsid w:val="00C546E9"/>
    <w:rsid w:val="00C56667"/>
    <w:rsid w:val="00C621DC"/>
    <w:rsid w:val="00C77B22"/>
    <w:rsid w:val="00C85789"/>
    <w:rsid w:val="00C95AAC"/>
    <w:rsid w:val="00CA3C21"/>
    <w:rsid w:val="00CC139B"/>
    <w:rsid w:val="00CD25B7"/>
    <w:rsid w:val="00CE60A1"/>
    <w:rsid w:val="00CF7B82"/>
    <w:rsid w:val="00D0118F"/>
    <w:rsid w:val="00D11E73"/>
    <w:rsid w:val="00D219C1"/>
    <w:rsid w:val="00D24A81"/>
    <w:rsid w:val="00D25E9E"/>
    <w:rsid w:val="00D36898"/>
    <w:rsid w:val="00D47363"/>
    <w:rsid w:val="00D60E73"/>
    <w:rsid w:val="00D75C89"/>
    <w:rsid w:val="00D85895"/>
    <w:rsid w:val="00D86024"/>
    <w:rsid w:val="00D978BF"/>
    <w:rsid w:val="00DA03EE"/>
    <w:rsid w:val="00DA7557"/>
    <w:rsid w:val="00DD384D"/>
    <w:rsid w:val="00DD391B"/>
    <w:rsid w:val="00DD3C82"/>
    <w:rsid w:val="00DD4AC1"/>
    <w:rsid w:val="00DD4CE0"/>
    <w:rsid w:val="00DE2004"/>
    <w:rsid w:val="00DE459D"/>
    <w:rsid w:val="00DE48DC"/>
    <w:rsid w:val="00DF1BAE"/>
    <w:rsid w:val="00DF57FC"/>
    <w:rsid w:val="00E12D48"/>
    <w:rsid w:val="00E2251A"/>
    <w:rsid w:val="00E258F3"/>
    <w:rsid w:val="00E30E3D"/>
    <w:rsid w:val="00E3233A"/>
    <w:rsid w:val="00E326A8"/>
    <w:rsid w:val="00E35D33"/>
    <w:rsid w:val="00E36AF2"/>
    <w:rsid w:val="00E40A5A"/>
    <w:rsid w:val="00E54512"/>
    <w:rsid w:val="00E550D2"/>
    <w:rsid w:val="00E56D06"/>
    <w:rsid w:val="00E60A30"/>
    <w:rsid w:val="00E67DE9"/>
    <w:rsid w:val="00E73A77"/>
    <w:rsid w:val="00E82E89"/>
    <w:rsid w:val="00EB1C43"/>
    <w:rsid w:val="00EB59C2"/>
    <w:rsid w:val="00EB7146"/>
    <w:rsid w:val="00EE0DB4"/>
    <w:rsid w:val="00EE1795"/>
    <w:rsid w:val="00EE3BBA"/>
    <w:rsid w:val="00EE432C"/>
    <w:rsid w:val="00EE495E"/>
    <w:rsid w:val="00EF455D"/>
    <w:rsid w:val="00EF5564"/>
    <w:rsid w:val="00F073B0"/>
    <w:rsid w:val="00F1154E"/>
    <w:rsid w:val="00F2201C"/>
    <w:rsid w:val="00F22BFB"/>
    <w:rsid w:val="00F2446C"/>
    <w:rsid w:val="00F30282"/>
    <w:rsid w:val="00F40A0B"/>
    <w:rsid w:val="00F50786"/>
    <w:rsid w:val="00F52D1C"/>
    <w:rsid w:val="00F560BE"/>
    <w:rsid w:val="00F6022C"/>
    <w:rsid w:val="00F63423"/>
    <w:rsid w:val="00F65A6F"/>
    <w:rsid w:val="00F73E06"/>
    <w:rsid w:val="00F81026"/>
    <w:rsid w:val="00F81A3F"/>
    <w:rsid w:val="00F86943"/>
    <w:rsid w:val="00F903F6"/>
    <w:rsid w:val="00F912B7"/>
    <w:rsid w:val="00F92371"/>
    <w:rsid w:val="00F94212"/>
    <w:rsid w:val="00FA75EB"/>
    <w:rsid w:val="00FB0846"/>
    <w:rsid w:val="00FB2379"/>
    <w:rsid w:val="00FC10D0"/>
    <w:rsid w:val="00FC324F"/>
    <w:rsid w:val="00FD13A6"/>
    <w:rsid w:val="00FD389F"/>
    <w:rsid w:val="00FD628F"/>
    <w:rsid w:val="00FE02EC"/>
    <w:rsid w:val="00FE068C"/>
    <w:rsid w:val="00FE274B"/>
    <w:rsid w:val="00FF7145"/>
    <w:rsid w:val="01F6638B"/>
    <w:rsid w:val="0591E515"/>
    <w:rsid w:val="066FB3DB"/>
    <w:rsid w:val="0A84792C"/>
    <w:rsid w:val="0ACA7A17"/>
    <w:rsid w:val="0D51BD42"/>
    <w:rsid w:val="0F7049C3"/>
    <w:rsid w:val="10618A06"/>
    <w:rsid w:val="13BB9378"/>
    <w:rsid w:val="185E7297"/>
    <w:rsid w:val="19EC7345"/>
    <w:rsid w:val="1A138CF6"/>
    <w:rsid w:val="1AAF9EDE"/>
    <w:rsid w:val="1B3E2949"/>
    <w:rsid w:val="1E816819"/>
    <w:rsid w:val="1E9F4524"/>
    <w:rsid w:val="1FFB5F3F"/>
    <w:rsid w:val="205D3A38"/>
    <w:rsid w:val="226AC172"/>
    <w:rsid w:val="28B4B5E5"/>
    <w:rsid w:val="2A0935A7"/>
    <w:rsid w:val="2C4BE21D"/>
    <w:rsid w:val="2DAA2D77"/>
    <w:rsid w:val="2EC40AFE"/>
    <w:rsid w:val="300B066F"/>
    <w:rsid w:val="331C2053"/>
    <w:rsid w:val="352417C5"/>
    <w:rsid w:val="363D3D3D"/>
    <w:rsid w:val="36BA8527"/>
    <w:rsid w:val="37F2D967"/>
    <w:rsid w:val="38600559"/>
    <w:rsid w:val="39DB4A66"/>
    <w:rsid w:val="3A06F40B"/>
    <w:rsid w:val="3A37AD5E"/>
    <w:rsid w:val="3EB3935F"/>
    <w:rsid w:val="43F7929D"/>
    <w:rsid w:val="485B5704"/>
    <w:rsid w:val="48A280A2"/>
    <w:rsid w:val="491A641C"/>
    <w:rsid w:val="4CB0751A"/>
    <w:rsid w:val="4E261F29"/>
    <w:rsid w:val="4E42A105"/>
    <w:rsid w:val="4F4B7A1F"/>
    <w:rsid w:val="50342B97"/>
    <w:rsid w:val="552501E3"/>
    <w:rsid w:val="55F95BA8"/>
    <w:rsid w:val="5864CC08"/>
    <w:rsid w:val="59D94B03"/>
    <w:rsid w:val="5BF2321F"/>
    <w:rsid w:val="5D84F967"/>
    <w:rsid w:val="5DC8E8A4"/>
    <w:rsid w:val="5E81E82C"/>
    <w:rsid w:val="5F1847D9"/>
    <w:rsid w:val="60B39238"/>
    <w:rsid w:val="611A65E1"/>
    <w:rsid w:val="6124E4F0"/>
    <w:rsid w:val="626C253B"/>
    <w:rsid w:val="6496D27A"/>
    <w:rsid w:val="67FE2CFF"/>
    <w:rsid w:val="690E3277"/>
    <w:rsid w:val="696CC102"/>
    <w:rsid w:val="6AB06E32"/>
    <w:rsid w:val="6DB2AAD8"/>
    <w:rsid w:val="6E5FDED1"/>
    <w:rsid w:val="7000CE9E"/>
    <w:rsid w:val="70454440"/>
    <w:rsid w:val="70BC90C0"/>
    <w:rsid w:val="7167A2E4"/>
    <w:rsid w:val="7211C631"/>
    <w:rsid w:val="73DF5FEC"/>
    <w:rsid w:val="78BD8212"/>
    <w:rsid w:val="78CC9501"/>
    <w:rsid w:val="7AA36637"/>
    <w:rsid w:val="7C4E941F"/>
    <w:rsid w:val="7D242DE0"/>
    <w:rsid w:val="7E3E3812"/>
    <w:rsid w:val="7F043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0AF5A"/>
  <w15:docId w15:val="{A7F377CA-E2A9-43CB-8582-34BF6CFFE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251D1"/>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stom1">
    <w:name w:val="Custom1"/>
    <w:basedOn w:val="Normal"/>
    <w:rsid w:val="006F6395"/>
    <w:pPr>
      <w:widowControl w:val="0"/>
    </w:pPr>
  </w:style>
  <w:style w:type="paragraph" w:customStyle="1" w:styleId="Custom2">
    <w:name w:val="Custom2"/>
    <w:basedOn w:val="Normal"/>
    <w:rsid w:val="006F6395"/>
    <w:pPr>
      <w:widowControl w:val="0"/>
    </w:pPr>
  </w:style>
  <w:style w:type="paragraph" w:styleId="BalloonText">
    <w:name w:val="Balloon Text"/>
    <w:basedOn w:val="Normal"/>
    <w:link w:val="BalloonTextChar"/>
    <w:uiPriority w:val="99"/>
    <w:semiHidden/>
    <w:unhideWhenUsed/>
    <w:rsid w:val="003B6544"/>
    <w:rPr>
      <w:rFonts w:ascii="Tahoma" w:hAnsi="Tahoma" w:cs="Tahoma"/>
      <w:sz w:val="16"/>
      <w:szCs w:val="16"/>
    </w:rPr>
  </w:style>
  <w:style w:type="character" w:customStyle="1" w:styleId="BalloonTextChar">
    <w:name w:val="Balloon Text Char"/>
    <w:basedOn w:val="DefaultParagraphFont"/>
    <w:link w:val="BalloonText"/>
    <w:uiPriority w:val="99"/>
    <w:semiHidden/>
    <w:rsid w:val="003B6544"/>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7D5EA7"/>
    <w:rPr>
      <w:rFonts w:ascii="Tahoma" w:hAnsi="Tahoma" w:cs="Tahoma"/>
      <w:sz w:val="16"/>
      <w:szCs w:val="16"/>
    </w:rPr>
  </w:style>
  <w:style w:type="character" w:customStyle="1" w:styleId="DocumentMapChar">
    <w:name w:val="Document Map Char"/>
    <w:basedOn w:val="DefaultParagraphFont"/>
    <w:link w:val="DocumentMap"/>
    <w:uiPriority w:val="99"/>
    <w:semiHidden/>
    <w:rsid w:val="007D5EA7"/>
    <w:rPr>
      <w:rFonts w:ascii="Tahoma" w:eastAsia="Times New Roman" w:hAnsi="Tahoma" w:cs="Tahoma"/>
      <w:sz w:val="16"/>
      <w:szCs w:val="16"/>
    </w:rPr>
  </w:style>
  <w:style w:type="paragraph" w:styleId="ListParagraph">
    <w:name w:val="List Paragraph"/>
    <w:basedOn w:val="Normal"/>
    <w:uiPriority w:val="34"/>
    <w:qFormat/>
    <w:rsid w:val="001163C6"/>
    <w:pPr>
      <w:spacing w:line="276" w:lineRule="auto"/>
      <w:ind w:left="720"/>
    </w:pPr>
    <w:rPr>
      <w:rFonts w:ascii="Arial" w:eastAsiaTheme="minorHAnsi" w:hAnsi="Arial" w:cs="Arial"/>
      <w:sz w:val="22"/>
      <w:szCs w:val="22"/>
    </w:rPr>
  </w:style>
  <w:style w:type="character" w:styleId="CommentReference">
    <w:name w:val="annotation reference"/>
    <w:basedOn w:val="DefaultParagraphFont"/>
    <w:uiPriority w:val="99"/>
    <w:semiHidden/>
    <w:unhideWhenUsed/>
    <w:rsid w:val="00E73A77"/>
    <w:rPr>
      <w:sz w:val="16"/>
      <w:szCs w:val="16"/>
    </w:rPr>
  </w:style>
  <w:style w:type="paragraph" w:styleId="CommentText">
    <w:name w:val="annotation text"/>
    <w:basedOn w:val="Normal"/>
    <w:link w:val="CommentTextChar"/>
    <w:semiHidden/>
    <w:unhideWhenUsed/>
    <w:rsid w:val="00E73A77"/>
    <w:rPr>
      <w:sz w:val="20"/>
    </w:rPr>
  </w:style>
  <w:style w:type="character" w:customStyle="1" w:styleId="CommentTextChar">
    <w:name w:val="Comment Text Char"/>
    <w:basedOn w:val="DefaultParagraphFont"/>
    <w:link w:val="CommentText"/>
    <w:semiHidden/>
    <w:rsid w:val="00E73A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73A77"/>
    <w:rPr>
      <w:b/>
      <w:bCs/>
    </w:rPr>
  </w:style>
  <w:style w:type="character" w:customStyle="1" w:styleId="CommentSubjectChar">
    <w:name w:val="Comment Subject Char"/>
    <w:basedOn w:val="CommentTextChar"/>
    <w:link w:val="CommentSubject"/>
    <w:uiPriority w:val="99"/>
    <w:semiHidden/>
    <w:rsid w:val="00E73A77"/>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0B4AEC"/>
    <w:rPr>
      <w:sz w:val="20"/>
    </w:rPr>
  </w:style>
  <w:style w:type="character" w:customStyle="1" w:styleId="FootnoteTextChar">
    <w:name w:val="Footnote Text Char"/>
    <w:basedOn w:val="DefaultParagraphFont"/>
    <w:link w:val="FootnoteText"/>
    <w:uiPriority w:val="99"/>
    <w:semiHidden/>
    <w:rsid w:val="000B4AE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B4AEC"/>
    <w:rPr>
      <w:vertAlign w:val="superscript"/>
    </w:rPr>
  </w:style>
  <w:style w:type="paragraph" w:styleId="Revision">
    <w:name w:val="Revision"/>
    <w:hidden/>
    <w:uiPriority w:val="99"/>
    <w:semiHidden/>
    <w:rsid w:val="007868A2"/>
    <w:rPr>
      <w:rFonts w:ascii="Times New Roman" w:eastAsia="Times New Roman" w:hAnsi="Times New Roman" w:cs="Times New Roman"/>
      <w:sz w:val="24"/>
      <w:szCs w:val="20"/>
    </w:rPr>
  </w:style>
  <w:style w:type="character" w:styleId="Hyperlink">
    <w:name w:val="Hyperlink"/>
    <w:basedOn w:val="DefaultParagraphFont"/>
    <w:uiPriority w:val="99"/>
    <w:unhideWhenUsed/>
    <w:rsid w:val="00D75C89"/>
    <w:rPr>
      <w:color w:val="0000FF" w:themeColor="hyperlink"/>
      <w:u w:val="single"/>
    </w:rPr>
  </w:style>
  <w:style w:type="paragraph" w:customStyle="1" w:styleId="paragraph">
    <w:name w:val="paragraph"/>
    <w:basedOn w:val="Normal"/>
    <w:rsid w:val="000D2AD9"/>
    <w:rPr>
      <w:rFonts w:eastAsiaTheme="minorHAnsi"/>
      <w:szCs w:val="24"/>
    </w:rPr>
  </w:style>
  <w:style w:type="character" w:customStyle="1" w:styleId="normaltextrun1">
    <w:name w:val="normaltextrun1"/>
    <w:basedOn w:val="DefaultParagraphFont"/>
    <w:rsid w:val="000D2AD9"/>
  </w:style>
  <w:style w:type="character" w:customStyle="1" w:styleId="eop">
    <w:name w:val="eop"/>
    <w:basedOn w:val="DefaultParagraphFont"/>
    <w:rsid w:val="000D2AD9"/>
  </w:style>
  <w:style w:type="paragraph" w:styleId="Header">
    <w:name w:val="header"/>
    <w:basedOn w:val="Normal"/>
    <w:link w:val="HeaderChar"/>
    <w:uiPriority w:val="99"/>
    <w:unhideWhenUsed/>
    <w:rsid w:val="009F01DB"/>
    <w:pPr>
      <w:tabs>
        <w:tab w:val="center" w:pos="4680"/>
        <w:tab w:val="right" w:pos="9360"/>
      </w:tabs>
    </w:pPr>
  </w:style>
  <w:style w:type="character" w:customStyle="1" w:styleId="HeaderChar">
    <w:name w:val="Header Char"/>
    <w:basedOn w:val="DefaultParagraphFont"/>
    <w:link w:val="Header"/>
    <w:uiPriority w:val="99"/>
    <w:rsid w:val="009F01DB"/>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F01DB"/>
    <w:pPr>
      <w:tabs>
        <w:tab w:val="center" w:pos="4680"/>
        <w:tab w:val="right" w:pos="9360"/>
      </w:tabs>
    </w:pPr>
  </w:style>
  <w:style w:type="character" w:customStyle="1" w:styleId="FooterChar">
    <w:name w:val="Footer Char"/>
    <w:basedOn w:val="DefaultParagraphFont"/>
    <w:link w:val="Footer"/>
    <w:uiPriority w:val="99"/>
    <w:rsid w:val="009F01D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9151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rc.gov/site-help/electronic-sub-ref-mat.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3" ma:contentTypeDescription="Create a new document." ma:contentTypeScope="" ma:versionID="bb7ed5730fad065904ffcfc7f432cd48">
  <xsd:schema xmlns:xsd="http://www.w3.org/2001/XMLSchema" xmlns:xs="http://www.w3.org/2001/XMLSchema" xmlns:p="http://schemas.microsoft.com/office/2006/metadata/properties" xmlns:ns1="http://schemas.microsoft.com/sharepoint/v3" xmlns:ns3="11fd957d-147f-41f6-a058-03b42122ddbc" xmlns:ns4="bb0d2465-af00-4b81-a931-20baeeea6c93" targetNamespace="http://schemas.microsoft.com/office/2006/metadata/properties" ma:root="true" ma:fieldsID="ce475ec4c0ebd1567a39681dcacb8acb" ns1:_="" ns3:_="" ns4:_="">
    <xsd:import namespace="http://schemas.microsoft.com/sharepoint/v3"/>
    <xsd:import namespace="11fd957d-147f-41f6-a058-03b42122ddbc"/>
    <xsd:import namespace="bb0d2465-af00-4b81-a931-20baeeea6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2A6D2-30F8-4990-8C72-067A1A3BDA60}">
  <ds:schemaRefs>
    <ds:schemaRef ds:uri="http://schemas.microsoft.com/sharepoint/v3/contenttype/forms"/>
  </ds:schemaRefs>
</ds:datastoreItem>
</file>

<file path=customXml/itemProps2.xml><?xml version="1.0" encoding="utf-8"?>
<ds:datastoreItem xmlns:ds="http://schemas.openxmlformats.org/officeDocument/2006/customXml" ds:itemID="{1E805890-1B78-483E-8EC3-D7FA4434D5BC}">
  <ds:schemaRefs>
    <ds:schemaRef ds:uri="http://purl.org/dc/elements/1.1/"/>
    <ds:schemaRef ds:uri="http://schemas.microsoft.com/office/2006/metadata/properties"/>
    <ds:schemaRef ds:uri="http://schemas.microsoft.com/sharepoint/v3"/>
    <ds:schemaRef ds:uri="http://purl.org/dc/terms/"/>
    <ds:schemaRef ds:uri="bb0d2465-af00-4b81-a931-20baeeea6c93"/>
    <ds:schemaRef ds:uri="http://schemas.microsoft.com/office/2006/documentManagement/types"/>
    <ds:schemaRef ds:uri="http://schemas.microsoft.com/office/infopath/2007/PartnerControls"/>
    <ds:schemaRef ds:uri="http://schemas.openxmlformats.org/package/2006/metadata/core-properties"/>
    <ds:schemaRef ds:uri="11fd957d-147f-41f6-a058-03b42122ddbc"/>
    <ds:schemaRef ds:uri="http://www.w3.org/XML/1998/namespace"/>
    <ds:schemaRef ds:uri="http://purl.org/dc/dcmitype/"/>
  </ds:schemaRefs>
</ds:datastoreItem>
</file>

<file path=customXml/itemProps3.xml><?xml version="1.0" encoding="utf-8"?>
<ds:datastoreItem xmlns:ds="http://schemas.openxmlformats.org/officeDocument/2006/customXml" ds:itemID="{CA59298C-F8A2-4DC4-934C-CD227364C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fd957d-147f-41f6-a058-03b42122ddbc"/>
    <ds:schemaRef ds:uri="bb0d2465-af00-4b81-a931-20baeeea6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4927ED-4892-4A39-BCA4-FA733939D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1962</Words>
  <Characters>11186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KAC</dc:creator>
  <cp:lastModifiedBy>Fishman, Lisa</cp:lastModifiedBy>
  <cp:revision>6</cp:revision>
  <cp:lastPrinted>2011-02-08T16:59:00Z</cp:lastPrinted>
  <dcterms:created xsi:type="dcterms:W3CDTF">2020-09-08T14:59:00Z</dcterms:created>
  <dcterms:modified xsi:type="dcterms:W3CDTF">2020-09-09T14:12:00Z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ies>
</file>