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1AE7" w:rsidR="00FC7ECD" w:rsidP="00FC7ECD" w:rsidRDefault="00FC7ECD" w14:paraId="61A0995A" w14:textId="77777777">
      <w:pPr>
        <w:widowControl/>
        <w:autoSpaceDE/>
        <w:autoSpaceDN/>
        <w:adjustRightInd/>
        <w:jc w:val="center"/>
        <w:rPr>
          <w:b/>
          <w:color w:val="000000" w:themeColor="text1"/>
          <w:sz w:val="24"/>
          <w:szCs w:val="24"/>
          <w:lang w:val="en-CA"/>
        </w:rPr>
      </w:pPr>
    </w:p>
    <w:p w:rsidRPr="00471AE7" w:rsidR="00D72220" w:rsidP="00D72220" w:rsidRDefault="00D72220" w14:paraId="69280DC6" w14:textId="77777777">
      <w:pPr>
        <w:widowControl/>
        <w:autoSpaceDE/>
        <w:autoSpaceDN/>
        <w:adjustRightInd/>
        <w:jc w:val="center"/>
        <w:rPr>
          <w:b/>
          <w:color w:val="000000" w:themeColor="text1"/>
          <w:sz w:val="24"/>
          <w:szCs w:val="24"/>
          <w:lang w:val="en-CA"/>
        </w:rPr>
      </w:pPr>
      <w:r w:rsidRPr="00471AE7">
        <w:rPr>
          <w:b/>
          <w:color w:val="000000" w:themeColor="text1"/>
          <w:sz w:val="24"/>
          <w:szCs w:val="24"/>
          <w:lang w:val="en-CA"/>
        </w:rPr>
        <w:t>BUREAU OF CONSUMER FINANCIAL PROTECTION</w:t>
      </w:r>
    </w:p>
    <w:p w:rsidRPr="00471AE7" w:rsidR="00D72220" w:rsidP="00D72220" w:rsidRDefault="00D72220" w14:paraId="40A55D57" w14:textId="77777777">
      <w:pPr>
        <w:widowControl/>
        <w:autoSpaceDE/>
        <w:autoSpaceDN/>
        <w:adjustRightInd/>
        <w:jc w:val="center"/>
        <w:rPr>
          <w:b/>
          <w:color w:val="000000" w:themeColor="text1"/>
          <w:sz w:val="24"/>
          <w:szCs w:val="24"/>
          <w:lang w:val="en-CA"/>
        </w:rPr>
      </w:pPr>
      <w:r w:rsidRPr="00471AE7">
        <w:rPr>
          <w:b/>
          <w:color w:val="000000" w:themeColor="text1"/>
          <w:sz w:val="24"/>
          <w:szCs w:val="24"/>
          <w:lang w:val="en-CA"/>
        </w:rPr>
        <w:t xml:space="preserve">PAPERWORK </w:t>
      </w:r>
      <w:r w:rsidRPr="00471AE7" w:rsidR="00512E72">
        <w:rPr>
          <w:b/>
          <w:color w:val="000000" w:themeColor="text1"/>
          <w:sz w:val="24"/>
          <w:szCs w:val="24"/>
          <w:lang w:val="en-CA"/>
        </w:rPr>
        <w:t>REDUCTION</w:t>
      </w:r>
      <w:r w:rsidRPr="00471AE7">
        <w:rPr>
          <w:b/>
          <w:color w:val="000000" w:themeColor="text1"/>
          <w:sz w:val="24"/>
          <w:szCs w:val="24"/>
          <w:lang w:val="en-CA"/>
        </w:rPr>
        <w:t xml:space="preserve"> ACT </w:t>
      </w:r>
      <w:r w:rsidRPr="00471AE7" w:rsidR="00512E72">
        <w:rPr>
          <w:b/>
          <w:color w:val="000000" w:themeColor="text1"/>
          <w:sz w:val="24"/>
          <w:szCs w:val="24"/>
          <w:lang w:val="en-CA"/>
        </w:rPr>
        <w:t>SUBMISSION</w:t>
      </w:r>
    </w:p>
    <w:p w:rsidRPr="00471AE7" w:rsidR="00D72220" w:rsidP="00D72220" w:rsidRDefault="00D72220" w14:paraId="22FAA87A" w14:textId="77777777">
      <w:pPr>
        <w:pStyle w:val="CM12"/>
        <w:spacing w:line="276" w:lineRule="atLeast"/>
        <w:jc w:val="center"/>
        <w:rPr>
          <w:b/>
          <w:bCs/>
          <w:color w:val="000000" w:themeColor="text1"/>
        </w:rPr>
      </w:pPr>
      <w:r w:rsidRPr="00471AE7">
        <w:rPr>
          <w:b/>
          <w:color w:val="000000" w:themeColor="text1"/>
          <w:lang w:val="en-CA"/>
        </w:rPr>
        <w:fldChar w:fldCharType="begin"/>
      </w:r>
      <w:r w:rsidRPr="00471AE7">
        <w:rPr>
          <w:b/>
          <w:color w:val="000000" w:themeColor="text1"/>
          <w:lang w:val="en-CA"/>
        </w:rPr>
        <w:instrText xml:space="preserve"> SEQ CHAPTER \h \r 1</w:instrText>
      </w:r>
      <w:r w:rsidRPr="00471AE7">
        <w:rPr>
          <w:b/>
          <w:color w:val="000000" w:themeColor="text1"/>
          <w:lang w:val="en-CA"/>
        </w:rPr>
        <w:fldChar w:fldCharType="end"/>
      </w:r>
      <w:r w:rsidRPr="00471AE7">
        <w:rPr>
          <w:b/>
          <w:bCs/>
          <w:color w:val="000000" w:themeColor="text1"/>
        </w:rPr>
        <w:t>INFORMATION COLLECTION REQUEST</w:t>
      </w:r>
    </w:p>
    <w:p w:rsidRPr="00471AE7" w:rsidR="00D72220" w:rsidP="00D72220" w:rsidRDefault="00D72220" w14:paraId="051E09F2" w14:textId="77777777">
      <w:pPr>
        <w:pStyle w:val="CM12"/>
        <w:spacing w:line="276" w:lineRule="atLeast"/>
        <w:jc w:val="center"/>
        <w:rPr>
          <w:b/>
          <w:bCs/>
          <w:color w:val="000000" w:themeColor="text1"/>
        </w:rPr>
      </w:pPr>
    </w:p>
    <w:p w:rsidRPr="00471AE7" w:rsidR="00D72220" w:rsidP="00D72220" w:rsidRDefault="00D72220" w14:paraId="6C70302D" w14:textId="77777777">
      <w:pPr>
        <w:pStyle w:val="CM12"/>
        <w:spacing w:line="276" w:lineRule="atLeast"/>
        <w:jc w:val="center"/>
        <w:rPr>
          <w:b/>
          <w:bCs/>
          <w:color w:val="000000" w:themeColor="text1"/>
        </w:rPr>
      </w:pPr>
    </w:p>
    <w:p w:rsidR="00D72220" w:rsidP="00D72220" w:rsidRDefault="00D72220" w14:paraId="26F50F15" w14:textId="6DF3E8CE">
      <w:pPr>
        <w:pStyle w:val="CM12"/>
        <w:spacing w:line="276" w:lineRule="atLeast"/>
        <w:jc w:val="center"/>
        <w:rPr>
          <w:b/>
          <w:bCs/>
          <w:color w:val="000000" w:themeColor="text1"/>
        </w:rPr>
      </w:pPr>
      <w:r w:rsidRPr="00471AE7">
        <w:rPr>
          <w:b/>
          <w:bCs/>
          <w:color w:val="000000" w:themeColor="text1"/>
        </w:rPr>
        <w:t>SUPPORTING STATEMENT PART A</w:t>
      </w:r>
    </w:p>
    <w:p w:rsidRPr="00EF2503" w:rsidR="00EF2503" w:rsidP="00EF2503" w:rsidRDefault="00EF2503" w14:paraId="413714E8" w14:textId="77777777"/>
    <w:p w:rsidR="00D72220" w:rsidP="00D72220" w:rsidRDefault="003522DD" w14:paraId="22505F4A" w14:textId="656622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Pr>
          <w:b/>
          <w:bCs/>
          <w:color w:val="000000" w:themeColor="text1"/>
          <w:sz w:val="24"/>
          <w:szCs w:val="24"/>
        </w:rPr>
        <w:t xml:space="preserve">REQUEST FOR AN </w:t>
      </w:r>
      <w:r w:rsidR="007F1C59">
        <w:rPr>
          <w:b/>
          <w:bCs/>
          <w:color w:val="000000" w:themeColor="text1"/>
          <w:sz w:val="24"/>
          <w:szCs w:val="24"/>
        </w:rPr>
        <w:t>ADVISORY OPINION</w:t>
      </w:r>
    </w:p>
    <w:p w:rsidRPr="00471AE7" w:rsidR="00EF2503" w:rsidP="00D72220" w:rsidRDefault="00EF2503" w14:paraId="55DD5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p>
    <w:p w:rsidRPr="00471AE7" w:rsidR="00D72220" w:rsidP="00D72220" w:rsidRDefault="00D72220" w14:paraId="00645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4"/>
          <w:szCs w:val="24"/>
        </w:rPr>
      </w:pPr>
      <w:r w:rsidRPr="00471AE7">
        <w:rPr>
          <w:b/>
          <w:bCs/>
          <w:color w:val="000000" w:themeColor="text1"/>
          <w:sz w:val="24"/>
          <w:szCs w:val="24"/>
        </w:rPr>
        <w:t>(OMB CONTROL NUMBER: 3170-XXXX)</w:t>
      </w:r>
    </w:p>
    <w:p w:rsidRPr="00471AE7" w:rsidR="00D72220" w:rsidP="00952B75" w:rsidRDefault="00D72220" w14:paraId="249F2116" w14:textId="77777777">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471AE7" w:rsidR="00D72220" w:rsidP="00952B75" w:rsidRDefault="00D72220" w14:paraId="07C504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471AE7" w:rsidR="00D72220" w:rsidP="00952B75" w:rsidRDefault="00D72220" w14:paraId="2C38BA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471AE7" w:rsidR="006B5076" w:rsidP="00952B75" w:rsidRDefault="00D72220" w14:paraId="175B0D39" w14:textId="5FAC5E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71AE7">
        <w:rPr>
          <w:b/>
          <w:color w:val="000000" w:themeColor="text1"/>
          <w:sz w:val="24"/>
          <w:szCs w:val="24"/>
        </w:rPr>
        <w:t xml:space="preserve">OMB </w:t>
      </w:r>
      <w:r w:rsidRPr="00471AE7" w:rsidR="006B5076">
        <w:rPr>
          <w:b/>
          <w:color w:val="000000" w:themeColor="text1"/>
          <w:sz w:val="24"/>
          <w:szCs w:val="24"/>
        </w:rPr>
        <w:t>TERMS OF CLEARANCE:</w:t>
      </w:r>
      <w:r w:rsidR="007F05F1">
        <w:rPr>
          <w:color w:val="000000" w:themeColor="text1"/>
          <w:sz w:val="24"/>
          <w:szCs w:val="24"/>
        </w:rPr>
        <w:t xml:space="preserve"> </w:t>
      </w:r>
      <w:r w:rsidRPr="003C20C7" w:rsidR="007F05F1">
        <w:rPr>
          <w:sz w:val="24"/>
          <w:szCs w:val="24"/>
        </w:rPr>
        <w:t>T</w:t>
      </w:r>
      <w:r w:rsidRPr="003C20C7" w:rsidR="0009446E">
        <w:rPr>
          <w:sz w:val="24"/>
          <w:szCs w:val="24"/>
        </w:rPr>
        <w:t xml:space="preserve">his is </w:t>
      </w:r>
      <w:r w:rsidRPr="003C20C7" w:rsidR="007F05F1">
        <w:rPr>
          <w:sz w:val="24"/>
          <w:szCs w:val="24"/>
        </w:rPr>
        <w:t xml:space="preserve">a </w:t>
      </w:r>
      <w:r w:rsidRPr="003C20C7" w:rsidR="0009446E">
        <w:rPr>
          <w:sz w:val="24"/>
          <w:szCs w:val="24"/>
        </w:rPr>
        <w:t>request for a new</w:t>
      </w:r>
      <w:r w:rsidRPr="003C20C7" w:rsidR="00A803A6">
        <w:rPr>
          <w:sz w:val="24"/>
          <w:szCs w:val="24"/>
        </w:rPr>
        <w:t xml:space="preserve"> OMB Control number for a new collection</w:t>
      </w:r>
      <w:r w:rsidR="009B1DD9">
        <w:rPr>
          <w:sz w:val="24"/>
          <w:szCs w:val="24"/>
        </w:rPr>
        <w:t>;</w:t>
      </w:r>
      <w:r w:rsidRPr="003C20C7" w:rsidR="00A803A6">
        <w:rPr>
          <w:sz w:val="24"/>
          <w:szCs w:val="24"/>
        </w:rPr>
        <w:t xml:space="preserve"> therefore</w:t>
      </w:r>
      <w:r w:rsidR="009B1DD9">
        <w:rPr>
          <w:sz w:val="24"/>
          <w:szCs w:val="24"/>
        </w:rPr>
        <w:t>,</w:t>
      </w:r>
      <w:r w:rsidRPr="003C20C7" w:rsidR="00A803A6">
        <w:rPr>
          <w:sz w:val="24"/>
          <w:szCs w:val="24"/>
        </w:rPr>
        <w:t xml:space="preserve"> there are no terms of Cle</w:t>
      </w:r>
      <w:r w:rsidRPr="003C20C7" w:rsidR="007F05F1">
        <w:rPr>
          <w:sz w:val="24"/>
          <w:szCs w:val="24"/>
        </w:rPr>
        <w:t>a</w:t>
      </w:r>
      <w:r w:rsidRPr="003C20C7" w:rsidR="00A803A6">
        <w:rPr>
          <w:sz w:val="24"/>
          <w:szCs w:val="24"/>
        </w:rPr>
        <w:t>rance</w:t>
      </w:r>
      <w:r w:rsidR="007F05F1">
        <w:rPr>
          <w:sz w:val="24"/>
          <w:szCs w:val="24"/>
        </w:rPr>
        <w:t>.</w:t>
      </w:r>
    </w:p>
    <w:p w:rsidRPr="00471AE7" w:rsidR="00952B75" w:rsidRDefault="00952B75" w14:paraId="1B16F9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471AE7" w:rsidR="00952B75" w:rsidRDefault="00952B75" w14:paraId="5B6BD3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1C3237" w:rsidRDefault="00B32175" w14:paraId="6600BF17" w14:textId="75856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471AE7">
        <w:rPr>
          <w:b/>
          <w:color w:val="000000" w:themeColor="text1"/>
          <w:sz w:val="24"/>
          <w:szCs w:val="24"/>
        </w:rPr>
        <w:t xml:space="preserve">ABSTRACT: </w:t>
      </w:r>
    </w:p>
    <w:p w:rsidRPr="00471AE7" w:rsidR="00D72220" w:rsidP="00502620" w:rsidRDefault="002D601F" w14:paraId="216B2D9A" w14:textId="0EBD2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 xml:space="preserve">The Bureau of Consumer Financial </w:t>
      </w:r>
      <w:r w:rsidRPr="003C20C7">
        <w:rPr>
          <w:sz w:val="24"/>
          <w:szCs w:val="24"/>
        </w:rPr>
        <w:t xml:space="preserve">Protection (“CFPB” or “Bureau”) is proposing </w:t>
      </w:r>
      <w:r w:rsidRPr="003C20C7" w:rsidR="00B04BFB">
        <w:rPr>
          <w:sz w:val="24"/>
          <w:szCs w:val="24"/>
        </w:rPr>
        <w:t>to establish an Advisory Opinion (AO) program.</w:t>
      </w:r>
      <w:r w:rsidRPr="003C20C7" w:rsidR="000D1CC4">
        <w:rPr>
          <w:sz w:val="24"/>
          <w:szCs w:val="24"/>
        </w:rPr>
        <w:t xml:space="preserve"> AOs </w:t>
      </w:r>
      <w:r w:rsidRPr="003C20C7" w:rsidR="00AE1637">
        <w:rPr>
          <w:sz w:val="24"/>
          <w:szCs w:val="24"/>
        </w:rPr>
        <w:t xml:space="preserve">issued </w:t>
      </w:r>
      <w:r w:rsidRPr="003C20C7" w:rsidR="000D1CC4">
        <w:rPr>
          <w:sz w:val="24"/>
          <w:szCs w:val="24"/>
        </w:rPr>
        <w:t xml:space="preserve">under the proposed program would be interpretive rules under the Administrative Procedure Act (APA) that respond to a specific </w:t>
      </w:r>
      <w:r w:rsidR="00860560">
        <w:rPr>
          <w:sz w:val="24"/>
          <w:szCs w:val="24"/>
        </w:rPr>
        <w:t>need</w:t>
      </w:r>
      <w:r w:rsidRPr="003C20C7" w:rsidR="00860560">
        <w:rPr>
          <w:sz w:val="24"/>
          <w:szCs w:val="24"/>
        </w:rPr>
        <w:t xml:space="preserve"> </w:t>
      </w:r>
      <w:r w:rsidRPr="003C20C7" w:rsidR="000D1CC4">
        <w:rPr>
          <w:sz w:val="24"/>
          <w:szCs w:val="24"/>
        </w:rPr>
        <w:t>for clarity on an interpretive question</w:t>
      </w:r>
      <w:r w:rsidRPr="003C20C7" w:rsidR="00727C0F">
        <w:rPr>
          <w:sz w:val="24"/>
          <w:szCs w:val="24"/>
        </w:rPr>
        <w:t xml:space="preserve"> regarding a CFPB-administered regulation or statu</w:t>
      </w:r>
      <w:r w:rsidR="009B1DD9">
        <w:rPr>
          <w:sz w:val="24"/>
          <w:szCs w:val="24"/>
        </w:rPr>
        <w:t>t</w:t>
      </w:r>
      <w:r w:rsidRPr="003C20C7" w:rsidR="00727C0F">
        <w:rPr>
          <w:sz w:val="24"/>
          <w:szCs w:val="24"/>
        </w:rPr>
        <w:t>e</w:t>
      </w:r>
      <w:r w:rsidRPr="003C20C7" w:rsidR="000D1CC4">
        <w:rPr>
          <w:sz w:val="24"/>
          <w:szCs w:val="24"/>
        </w:rPr>
        <w:t xml:space="preserve">. </w:t>
      </w:r>
      <w:r w:rsidR="0087357A">
        <w:rPr>
          <w:sz w:val="24"/>
          <w:szCs w:val="24"/>
        </w:rPr>
        <w:t xml:space="preserve">The </w:t>
      </w:r>
      <w:r w:rsidR="007F1AF4">
        <w:rPr>
          <w:sz w:val="24"/>
          <w:szCs w:val="24"/>
        </w:rPr>
        <w:t>Federal</w:t>
      </w:r>
      <w:r w:rsidR="0087357A">
        <w:rPr>
          <w:sz w:val="24"/>
          <w:szCs w:val="24"/>
        </w:rPr>
        <w:t xml:space="preserve"> Register notice inviting public comment on the proposed </w:t>
      </w:r>
      <w:r w:rsidR="00416DF0">
        <w:rPr>
          <w:sz w:val="24"/>
          <w:szCs w:val="24"/>
        </w:rPr>
        <w:t xml:space="preserve">program lays out the process for submitting a request by an AO. </w:t>
      </w:r>
      <w:r w:rsidRPr="003C20C7" w:rsidR="000D1CC4">
        <w:rPr>
          <w:sz w:val="24"/>
          <w:szCs w:val="24"/>
        </w:rPr>
        <w:t>Under the program, parties would be able to request interpretive guidance</w:t>
      </w:r>
      <w:r w:rsidR="000D1CC4">
        <w:rPr>
          <w:color w:val="000000" w:themeColor="text1"/>
          <w:sz w:val="24"/>
          <w:szCs w:val="24"/>
        </w:rPr>
        <w:t xml:space="preserve">, in the form of an AO, to resolve regulatory uncertainty. The Bureau would </w:t>
      </w:r>
      <w:r w:rsidR="00810A85">
        <w:rPr>
          <w:color w:val="000000" w:themeColor="text1"/>
          <w:sz w:val="24"/>
          <w:szCs w:val="24"/>
        </w:rPr>
        <w:t xml:space="preserve">have discretion to decide </w:t>
      </w:r>
      <w:r w:rsidR="00D660DA">
        <w:rPr>
          <w:color w:val="000000" w:themeColor="text1"/>
          <w:sz w:val="24"/>
          <w:szCs w:val="24"/>
        </w:rPr>
        <w:t xml:space="preserve">to </w:t>
      </w:r>
      <w:r w:rsidR="00810A85">
        <w:rPr>
          <w:color w:val="000000" w:themeColor="text1"/>
          <w:sz w:val="24"/>
          <w:szCs w:val="24"/>
        </w:rPr>
        <w:t xml:space="preserve">which </w:t>
      </w:r>
      <w:r w:rsidR="000D1CC4">
        <w:rPr>
          <w:color w:val="000000" w:themeColor="text1"/>
          <w:sz w:val="24"/>
          <w:szCs w:val="24"/>
        </w:rPr>
        <w:t xml:space="preserve">AOs </w:t>
      </w:r>
      <w:r w:rsidR="00810A85">
        <w:rPr>
          <w:color w:val="000000" w:themeColor="text1"/>
          <w:sz w:val="24"/>
          <w:szCs w:val="24"/>
        </w:rPr>
        <w:t>to respond</w:t>
      </w:r>
      <w:r w:rsidR="009D0423">
        <w:rPr>
          <w:color w:val="000000" w:themeColor="text1"/>
          <w:sz w:val="24"/>
          <w:szCs w:val="24"/>
        </w:rPr>
        <w:t>. The Bureau</w:t>
      </w:r>
      <w:r w:rsidR="00833BD0">
        <w:rPr>
          <w:color w:val="000000" w:themeColor="text1"/>
          <w:sz w:val="24"/>
          <w:szCs w:val="24"/>
        </w:rPr>
        <w:t xml:space="preserve"> </w:t>
      </w:r>
      <w:r w:rsidR="006441CD">
        <w:rPr>
          <w:color w:val="000000" w:themeColor="text1"/>
          <w:sz w:val="24"/>
          <w:szCs w:val="24"/>
        </w:rPr>
        <w:t xml:space="preserve">intends to </w:t>
      </w:r>
      <w:r w:rsidR="00810A85">
        <w:rPr>
          <w:color w:val="000000" w:themeColor="text1"/>
          <w:sz w:val="24"/>
          <w:szCs w:val="24"/>
        </w:rPr>
        <w:t xml:space="preserve">publish </w:t>
      </w:r>
      <w:r w:rsidR="006441CD">
        <w:rPr>
          <w:color w:val="000000" w:themeColor="text1"/>
          <w:sz w:val="24"/>
          <w:szCs w:val="24"/>
        </w:rPr>
        <w:t xml:space="preserve">AOs as well as </w:t>
      </w:r>
      <w:r w:rsidR="000D1CC4">
        <w:rPr>
          <w:color w:val="000000" w:themeColor="text1"/>
          <w:sz w:val="24"/>
          <w:szCs w:val="24"/>
        </w:rPr>
        <w:t>a description of the incoming request</w:t>
      </w:r>
      <w:r w:rsidR="00CA7B74">
        <w:rPr>
          <w:color w:val="000000" w:themeColor="text1"/>
          <w:sz w:val="24"/>
          <w:szCs w:val="24"/>
        </w:rPr>
        <w:t xml:space="preserve">. The </w:t>
      </w:r>
      <w:r w:rsidR="008417CA">
        <w:rPr>
          <w:color w:val="000000" w:themeColor="text1"/>
          <w:sz w:val="24"/>
          <w:szCs w:val="24"/>
        </w:rPr>
        <w:t xml:space="preserve">requests for an AO, and thus the information collection, may be submitted by </w:t>
      </w:r>
      <w:r w:rsidR="00CA7B74">
        <w:rPr>
          <w:color w:val="000000" w:themeColor="text1"/>
          <w:sz w:val="24"/>
          <w:szCs w:val="24"/>
        </w:rPr>
        <w:t xml:space="preserve">persons, primarily business or other for-profit entities. The information </w:t>
      </w:r>
      <w:r w:rsidR="008417CA">
        <w:rPr>
          <w:color w:val="000000" w:themeColor="text1"/>
          <w:sz w:val="24"/>
          <w:szCs w:val="24"/>
        </w:rPr>
        <w:t xml:space="preserve">collected </w:t>
      </w:r>
      <w:r w:rsidR="00CA7B74">
        <w:rPr>
          <w:color w:val="000000" w:themeColor="text1"/>
          <w:sz w:val="24"/>
          <w:szCs w:val="24"/>
        </w:rPr>
        <w:t xml:space="preserve">will be used by the Bureau to determine whether to pursue the issuance of an AO </w:t>
      </w:r>
      <w:r w:rsidR="00502620">
        <w:rPr>
          <w:color w:val="000000" w:themeColor="text1"/>
          <w:sz w:val="24"/>
          <w:szCs w:val="24"/>
        </w:rPr>
        <w:t>responsive to the request.</w:t>
      </w:r>
    </w:p>
    <w:p w:rsidRPr="00471AE7" w:rsidR="00D72220" w:rsidP="00D72220" w:rsidRDefault="00D72220" w14:paraId="27C14224" w14:textId="77777777">
      <w:pPr>
        <w:widowControl/>
        <w:autoSpaceDE/>
        <w:autoSpaceDN/>
        <w:adjustRightInd/>
        <w:rPr>
          <w:color w:val="000000" w:themeColor="text1"/>
          <w:sz w:val="24"/>
          <w:szCs w:val="24"/>
        </w:rPr>
      </w:pPr>
    </w:p>
    <w:p w:rsidRPr="00471AE7" w:rsidR="00295103" w:rsidP="00BC5C20" w:rsidRDefault="00BC5C20" w14:paraId="3C1326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u w:val="single"/>
        </w:rPr>
      </w:pPr>
      <w:r w:rsidRPr="00471AE7">
        <w:rPr>
          <w:b/>
          <w:bCs/>
          <w:color w:val="000000" w:themeColor="text1"/>
          <w:sz w:val="24"/>
          <w:szCs w:val="24"/>
          <w:u w:val="single"/>
        </w:rPr>
        <w:t>JUSTIFICATION</w:t>
      </w:r>
    </w:p>
    <w:p w:rsidRPr="00471AE7" w:rsidR="00295103" w:rsidRDefault="00295103" w14:paraId="45C0E0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RDefault="00295103" w14:paraId="13703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u w:val="single"/>
        </w:rPr>
      </w:pPr>
      <w:r w:rsidRPr="00471AE7">
        <w:rPr>
          <w:b/>
          <w:color w:val="000000" w:themeColor="text1"/>
          <w:sz w:val="24"/>
          <w:szCs w:val="24"/>
        </w:rPr>
        <w:t>1.</w:t>
      </w:r>
      <w:r w:rsidRPr="00471AE7">
        <w:rPr>
          <w:b/>
          <w:color w:val="000000" w:themeColor="text1"/>
          <w:sz w:val="24"/>
          <w:szCs w:val="24"/>
        </w:rPr>
        <w:tab/>
      </w:r>
      <w:r w:rsidRPr="00471AE7" w:rsidR="00BC5C20">
        <w:rPr>
          <w:b/>
          <w:color w:val="000000" w:themeColor="text1"/>
          <w:sz w:val="24"/>
          <w:szCs w:val="24"/>
          <w:u w:val="single"/>
        </w:rPr>
        <w:t>Circumstances Necessitating the Data Collection</w:t>
      </w:r>
    </w:p>
    <w:p w:rsidRPr="0008211D" w:rsidR="00BC5C20" w:rsidP="005120FA" w:rsidRDefault="008C0DC4" w14:paraId="5345CEEB" w14:textId="05685C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211D">
        <w:rPr>
          <w:sz w:val="24"/>
          <w:szCs w:val="24"/>
        </w:rPr>
        <w:t xml:space="preserve">Section 1022(c)(4)(A) of the Dodd-Frank Act authorizes the Bureau to </w:t>
      </w:r>
      <w:r w:rsidRPr="00833BD0" w:rsidR="0049055D">
        <w:rPr>
          <w:sz w:val="24"/>
          <w:szCs w:val="24"/>
        </w:rPr>
        <w:t>“gather information from time to time regarding the organization, business conduct, markets, and activities of covered persons and service providers</w:t>
      </w:r>
      <w:r w:rsidR="00652F45">
        <w:rPr>
          <w:sz w:val="24"/>
          <w:szCs w:val="24"/>
        </w:rPr>
        <w:t>.</w:t>
      </w:r>
      <w:r w:rsidRPr="00833BD0" w:rsidR="0049055D">
        <w:rPr>
          <w:sz w:val="24"/>
          <w:szCs w:val="24"/>
        </w:rPr>
        <w:t>”</w:t>
      </w:r>
      <w:r w:rsidR="00652F45">
        <w:rPr>
          <w:sz w:val="24"/>
          <w:szCs w:val="24"/>
        </w:rPr>
        <w:t xml:space="preserve"> T</w:t>
      </w:r>
      <w:r w:rsidRPr="00833BD0" w:rsidR="0049055D">
        <w:rPr>
          <w:sz w:val="24"/>
          <w:szCs w:val="24"/>
        </w:rPr>
        <w:t xml:space="preserve">he voluntary information </w:t>
      </w:r>
      <w:r w:rsidRPr="00652F45">
        <w:rPr>
          <w:sz w:val="24"/>
          <w:szCs w:val="24"/>
        </w:rPr>
        <w:t>collect</w:t>
      </w:r>
      <w:r w:rsidRPr="00652F45" w:rsidR="0049055D">
        <w:rPr>
          <w:sz w:val="24"/>
          <w:szCs w:val="24"/>
        </w:rPr>
        <w:t>ion</w:t>
      </w:r>
      <w:r w:rsidRPr="00652F45">
        <w:rPr>
          <w:sz w:val="24"/>
          <w:szCs w:val="24"/>
        </w:rPr>
        <w:t xml:space="preserve"> </w:t>
      </w:r>
      <w:r w:rsidRPr="00652F45" w:rsidR="0049055D">
        <w:rPr>
          <w:sz w:val="24"/>
          <w:szCs w:val="24"/>
        </w:rPr>
        <w:t xml:space="preserve">associated with the AO program supports the Bureau’s </w:t>
      </w:r>
      <w:r w:rsidRPr="00652F45" w:rsidR="00652F45">
        <w:rPr>
          <w:sz w:val="24"/>
          <w:szCs w:val="24"/>
        </w:rPr>
        <w:t>implementation through rulemaking and guidance</w:t>
      </w:r>
      <w:r w:rsidR="00652F45">
        <w:rPr>
          <w:sz w:val="24"/>
          <w:szCs w:val="24"/>
        </w:rPr>
        <w:t xml:space="preserve"> </w:t>
      </w:r>
      <w:r w:rsidRPr="0008211D">
        <w:rPr>
          <w:sz w:val="24"/>
          <w:szCs w:val="24"/>
        </w:rPr>
        <w:t>of Federal consumer financial law.</w:t>
      </w:r>
      <w:r w:rsidR="007F05F1">
        <w:rPr>
          <w:sz w:val="24"/>
          <w:szCs w:val="24"/>
        </w:rPr>
        <w:t xml:space="preserve"> </w:t>
      </w:r>
      <w:r w:rsidR="00502620">
        <w:rPr>
          <w:sz w:val="24"/>
          <w:szCs w:val="24"/>
        </w:rPr>
        <w:t xml:space="preserve">The </w:t>
      </w:r>
      <w:r w:rsidR="00462E62">
        <w:rPr>
          <w:sz w:val="24"/>
          <w:szCs w:val="24"/>
        </w:rPr>
        <w:t xml:space="preserve">Proposed </w:t>
      </w:r>
      <w:r w:rsidR="00502620">
        <w:rPr>
          <w:sz w:val="24"/>
          <w:szCs w:val="24"/>
        </w:rPr>
        <w:t xml:space="preserve">AO </w:t>
      </w:r>
      <w:r w:rsidR="00881417">
        <w:rPr>
          <w:sz w:val="24"/>
          <w:szCs w:val="24"/>
        </w:rPr>
        <w:t>Policy</w:t>
      </w:r>
      <w:r w:rsidR="00502620">
        <w:rPr>
          <w:sz w:val="24"/>
          <w:szCs w:val="24"/>
        </w:rPr>
        <w:t xml:space="preserve"> provides a</w:t>
      </w:r>
      <w:r w:rsidR="00652F45">
        <w:rPr>
          <w:sz w:val="24"/>
          <w:szCs w:val="24"/>
        </w:rPr>
        <w:t xml:space="preserve"> voluntary</w:t>
      </w:r>
      <w:r w:rsidR="00502620">
        <w:rPr>
          <w:sz w:val="24"/>
          <w:szCs w:val="24"/>
        </w:rPr>
        <w:t xml:space="preserve"> process for persons to </w:t>
      </w:r>
      <w:r w:rsidR="006D437B">
        <w:rPr>
          <w:sz w:val="24"/>
          <w:szCs w:val="24"/>
        </w:rPr>
        <w:t xml:space="preserve">request </w:t>
      </w:r>
      <w:r w:rsidR="00502620">
        <w:rPr>
          <w:sz w:val="24"/>
          <w:szCs w:val="24"/>
        </w:rPr>
        <w:t xml:space="preserve">AOs from the Bureau on </w:t>
      </w:r>
      <w:r w:rsidR="00EF751A">
        <w:rPr>
          <w:sz w:val="24"/>
          <w:szCs w:val="24"/>
        </w:rPr>
        <w:t xml:space="preserve">interpretive questions, subject to specified conditions and limitations. </w:t>
      </w:r>
      <w:r w:rsidR="0047365E">
        <w:rPr>
          <w:sz w:val="24"/>
          <w:szCs w:val="24"/>
        </w:rPr>
        <w:t>Section II specifies information to be submitted by request</w:t>
      </w:r>
      <w:r w:rsidR="00594CAD">
        <w:rPr>
          <w:sz w:val="24"/>
          <w:szCs w:val="24"/>
        </w:rPr>
        <w:t>o</w:t>
      </w:r>
      <w:r w:rsidR="0047365E">
        <w:rPr>
          <w:sz w:val="24"/>
          <w:szCs w:val="24"/>
        </w:rPr>
        <w:t xml:space="preserve">rs, and it is this information that is the subject of this information collection request. Section II further lays out </w:t>
      </w:r>
      <w:r w:rsidR="0047365E">
        <w:rPr>
          <w:sz w:val="24"/>
          <w:szCs w:val="24"/>
        </w:rPr>
        <w:lastRenderedPageBreak/>
        <w:t>factors the Bureau intends to consider in evaluating AO requests, selecting AO requests for response, and prioritizing among selected requests.</w:t>
      </w:r>
      <w:r w:rsidR="0008211D">
        <w:rPr>
          <w:sz w:val="24"/>
          <w:szCs w:val="24"/>
        </w:rPr>
        <w:t xml:space="preserve"> The Bureau </w:t>
      </w:r>
      <w:r w:rsidRPr="0008211D" w:rsidR="0008211D">
        <w:rPr>
          <w:sz w:val="24"/>
          <w:szCs w:val="24"/>
        </w:rPr>
        <w:t xml:space="preserve">intends to use the collected information to evaluate requests for AOs. </w:t>
      </w:r>
      <w:r w:rsidR="00810A85">
        <w:rPr>
          <w:sz w:val="24"/>
          <w:szCs w:val="24"/>
        </w:rPr>
        <w:t>Issuance of AOs under the program would be at the discretion of the Bureau</w:t>
      </w:r>
      <w:r w:rsidR="009F302B">
        <w:rPr>
          <w:sz w:val="24"/>
          <w:szCs w:val="24"/>
        </w:rPr>
        <w:t>.</w:t>
      </w:r>
    </w:p>
    <w:p w:rsidRPr="00471AE7" w:rsidR="00E55DA0" w:rsidRDefault="00E55DA0" w14:paraId="381FE4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3A9CB84C" w14:textId="77777777">
      <w:pPr>
        <w:pStyle w:val="CM12"/>
        <w:spacing w:line="276" w:lineRule="atLeast"/>
        <w:rPr>
          <w:color w:val="000000" w:themeColor="text1"/>
        </w:rPr>
      </w:pPr>
      <w:r w:rsidRPr="00471AE7">
        <w:rPr>
          <w:b/>
          <w:bCs/>
          <w:color w:val="000000" w:themeColor="text1"/>
        </w:rPr>
        <w:t xml:space="preserve">2.  </w:t>
      </w:r>
      <w:r w:rsidRPr="00471AE7">
        <w:rPr>
          <w:b/>
          <w:bCs/>
          <w:color w:val="000000" w:themeColor="text1"/>
          <w:u w:val="single"/>
        </w:rPr>
        <w:t>Use of the Information</w:t>
      </w:r>
    </w:p>
    <w:p w:rsidRPr="001C3237" w:rsidR="00295103" w:rsidRDefault="00652F45" w14:paraId="295721AA" w14:textId="01CDCB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w:t>
      </w:r>
      <w:r w:rsidR="005B519E">
        <w:rPr>
          <w:sz w:val="24"/>
          <w:szCs w:val="24"/>
        </w:rPr>
        <w:t xml:space="preserve">nformation will be collected from persons who </w:t>
      </w:r>
      <w:r w:rsidR="006D437B">
        <w:rPr>
          <w:sz w:val="24"/>
          <w:szCs w:val="24"/>
        </w:rPr>
        <w:t xml:space="preserve">request </w:t>
      </w:r>
      <w:r w:rsidR="005B519E">
        <w:rPr>
          <w:sz w:val="24"/>
          <w:szCs w:val="24"/>
        </w:rPr>
        <w:t xml:space="preserve">AOs from the Bureau under the AO program. </w:t>
      </w:r>
      <w:r w:rsidR="00000998">
        <w:rPr>
          <w:sz w:val="24"/>
          <w:szCs w:val="24"/>
        </w:rPr>
        <w:t xml:space="preserve">It will be used by the Bureau to determine whether it should pursue the issuance of </w:t>
      </w:r>
      <w:r w:rsidR="00810A85">
        <w:rPr>
          <w:sz w:val="24"/>
          <w:szCs w:val="24"/>
        </w:rPr>
        <w:t>AOs</w:t>
      </w:r>
      <w:r w:rsidR="00000998">
        <w:rPr>
          <w:sz w:val="24"/>
          <w:szCs w:val="24"/>
        </w:rPr>
        <w:t xml:space="preserve"> responsive to such requests. The Bureau intends to use the information collected to evaluate </w:t>
      </w:r>
      <w:r w:rsidR="0047365E">
        <w:rPr>
          <w:sz w:val="24"/>
          <w:szCs w:val="24"/>
        </w:rPr>
        <w:t>AO</w:t>
      </w:r>
      <w:r w:rsidR="00000998">
        <w:rPr>
          <w:sz w:val="24"/>
          <w:szCs w:val="24"/>
        </w:rPr>
        <w:t xml:space="preserve"> requests</w:t>
      </w:r>
      <w:r w:rsidR="00B671D3">
        <w:rPr>
          <w:sz w:val="24"/>
          <w:szCs w:val="24"/>
        </w:rPr>
        <w:t xml:space="preserve">, select </w:t>
      </w:r>
      <w:r w:rsidR="0047365E">
        <w:rPr>
          <w:sz w:val="24"/>
          <w:szCs w:val="24"/>
        </w:rPr>
        <w:t>A</w:t>
      </w:r>
      <w:r w:rsidR="004D4829">
        <w:rPr>
          <w:sz w:val="24"/>
          <w:szCs w:val="24"/>
        </w:rPr>
        <w:t>O</w:t>
      </w:r>
      <w:r w:rsidR="0047365E">
        <w:rPr>
          <w:sz w:val="24"/>
          <w:szCs w:val="24"/>
        </w:rPr>
        <w:t xml:space="preserve"> </w:t>
      </w:r>
      <w:r w:rsidR="00B671D3">
        <w:rPr>
          <w:sz w:val="24"/>
          <w:szCs w:val="24"/>
        </w:rPr>
        <w:t>requests for response, and prioritize among selected requests. The Bureau intends to publish</w:t>
      </w:r>
      <w:r>
        <w:rPr>
          <w:sz w:val="24"/>
          <w:szCs w:val="24"/>
        </w:rPr>
        <w:t>,</w:t>
      </w:r>
      <w:r w:rsidR="00B671D3">
        <w:rPr>
          <w:sz w:val="24"/>
          <w:szCs w:val="24"/>
        </w:rPr>
        <w:t xml:space="preserve"> on its website</w:t>
      </w:r>
      <w:r>
        <w:rPr>
          <w:sz w:val="24"/>
          <w:szCs w:val="24"/>
        </w:rPr>
        <w:t>,</w:t>
      </w:r>
      <w:r w:rsidR="00B671D3">
        <w:rPr>
          <w:sz w:val="24"/>
          <w:szCs w:val="24"/>
        </w:rPr>
        <w:t xml:space="preserve"> certain information related to AOs issued under the AO program. Public disclosure of any other information regarding AOs issued under the AO program</w:t>
      </w:r>
      <w:r w:rsidR="001C3237">
        <w:rPr>
          <w:sz w:val="24"/>
          <w:szCs w:val="24"/>
        </w:rPr>
        <w:t xml:space="preserve"> is governed by applicable law, including the Bureau’s rule on Disclosure of Records and Information</w:t>
      </w:r>
      <w:r w:rsidRPr="00BC2163" w:rsidR="00BC2163">
        <w:rPr>
          <w:color w:val="000000" w:themeColor="text1"/>
          <w:sz w:val="24"/>
          <w:szCs w:val="24"/>
        </w:rPr>
        <w:t>.</w:t>
      </w:r>
      <w:r w:rsidR="00BC2163">
        <w:rPr>
          <w:rStyle w:val="FootnoteReference"/>
          <w:color w:val="000000" w:themeColor="text1"/>
          <w:sz w:val="24"/>
          <w:szCs w:val="24"/>
        </w:rPr>
        <w:footnoteReference w:id="2"/>
      </w:r>
    </w:p>
    <w:p w:rsidRPr="00471AE7" w:rsidR="00E55DA0" w:rsidRDefault="00E55DA0" w14:paraId="0EB339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0CACB759" w14:textId="77777777">
      <w:pPr>
        <w:pStyle w:val="Default"/>
        <w:rPr>
          <w:color w:val="000000" w:themeColor="text1"/>
        </w:rPr>
      </w:pPr>
      <w:r w:rsidRPr="00471AE7">
        <w:rPr>
          <w:b/>
          <w:bCs/>
          <w:color w:val="000000" w:themeColor="text1"/>
        </w:rPr>
        <w:t xml:space="preserve">3.  </w:t>
      </w:r>
      <w:r w:rsidRPr="00471AE7">
        <w:rPr>
          <w:b/>
          <w:bCs/>
          <w:color w:val="000000" w:themeColor="text1"/>
          <w:u w:val="single"/>
        </w:rPr>
        <w:t>Use of Information Technology</w:t>
      </w:r>
    </w:p>
    <w:p w:rsidRPr="00471AE7" w:rsidR="00BC5C20" w:rsidRDefault="000B0D8C" w14:paraId="59028FE5" w14:textId="0DA3A2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Pr>
          <w:color w:val="000000" w:themeColor="text1"/>
          <w:sz w:val="24"/>
          <w:szCs w:val="24"/>
        </w:rPr>
        <w:t xml:space="preserve">The AO program </w:t>
      </w:r>
      <w:r w:rsidRPr="000B0D8C">
        <w:rPr>
          <w:color w:val="000000" w:themeColor="text1"/>
          <w:sz w:val="24"/>
          <w:szCs w:val="24"/>
        </w:rPr>
        <w:t>permit</w:t>
      </w:r>
      <w:r>
        <w:rPr>
          <w:color w:val="000000" w:themeColor="text1"/>
          <w:sz w:val="24"/>
          <w:szCs w:val="24"/>
        </w:rPr>
        <w:t>s</w:t>
      </w:r>
      <w:r w:rsidR="009F1CA8">
        <w:rPr>
          <w:color w:val="000000" w:themeColor="text1"/>
          <w:sz w:val="24"/>
          <w:szCs w:val="24"/>
        </w:rPr>
        <w:t xml:space="preserve"> and encourages</w:t>
      </w:r>
      <w:r w:rsidRPr="000B0D8C">
        <w:rPr>
          <w:color w:val="000000" w:themeColor="text1"/>
          <w:sz w:val="24"/>
          <w:szCs w:val="24"/>
        </w:rPr>
        <w:t xml:space="preserve"> </w:t>
      </w:r>
      <w:r w:rsidR="006D437B">
        <w:rPr>
          <w:color w:val="000000" w:themeColor="text1"/>
          <w:sz w:val="24"/>
          <w:szCs w:val="24"/>
        </w:rPr>
        <w:t>requests</w:t>
      </w:r>
      <w:r w:rsidRPr="000B0D8C">
        <w:rPr>
          <w:color w:val="000000" w:themeColor="text1"/>
          <w:sz w:val="24"/>
          <w:szCs w:val="24"/>
        </w:rPr>
        <w:t xml:space="preserve"> to be submitted electronically</w:t>
      </w:r>
      <w:r w:rsidR="005B519E">
        <w:rPr>
          <w:color w:val="000000" w:themeColor="text1"/>
          <w:sz w:val="24"/>
          <w:szCs w:val="24"/>
        </w:rPr>
        <w:t>.</w:t>
      </w:r>
    </w:p>
    <w:p w:rsidRPr="00471AE7" w:rsidR="00E55DA0" w:rsidP="00C845B7" w:rsidRDefault="00E55DA0" w14:paraId="525737BB" w14:textId="77777777">
      <w:pPr>
        <w:rPr>
          <w:color w:val="000000" w:themeColor="text1"/>
          <w:sz w:val="24"/>
          <w:szCs w:val="24"/>
        </w:rPr>
      </w:pPr>
    </w:p>
    <w:p w:rsidRPr="00471AE7" w:rsidR="00BC5C20" w:rsidP="00BC5C20" w:rsidRDefault="00BC5C20" w14:paraId="7701DE37" w14:textId="77777777">
      <w:pPr>
        <w:pStyle w:val="CM12"/>
        <w:spacing w:line="276" w:lineRule="atLeast"/>
        <w:rPr>
          <w:color w:val="000000" w:themeColor="text1"/>
        </w:rPr>
      </w:pPr>
      <w:r w:rsidRPr="00471AE7">
        <w:rPr>
          <w:b/>
          <w:bCs/>
          <w:color w:val="000000" w:themeColor="text1"/>
        </w:rPr>
        <w:t xml:space="preserve">4.  </w:t>
      </w:r>
      <w:r w:rsidRPr="00471AE7">
        <w:rPr>
          <w:b/>
          <w:bCs/>
          <w:color w:val="000000" w:themeColor="text1"/>
          <w:u w:val="single"/>
        </w:rPr>
        <w:t>Efforts to Identify Duplication</w:t>
      </w:r>
    </w:p>
    <w:p w:rsidRPr="005B519E" w:rsidR="00295103" w:rsidRDefault="009D0423" w14:paraId="1DB6E9A8" w14:textId="76D586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Informal inquirie</w:t>
      </w:r>
      <w:r w:rsidR="00CF7DA6">
        <w:rPr>
          <w:sz w:val="24"/>
          <w:szCs w:val="24"/>
        </w:rPr>
        <w:t>s</w:t>
      </w:r>
      <w:r>
        <w:rPr>
          <w:sz w:val="24"/>
          <w:szCs w:val="24"/>
        </w:rPr>
        <w:t>,</w:t>
      </w:r>
      <w:r w:rsidR="009F1CA8">
        <w:rPr>
          <w:sz w:val="24"/>
          <w:szCs w:val="24"/>
        </w:rPr>
        <w:t xml:space="preserve"> regarding areas of regulatory uncertainty</w:t>
      </w:r>
      <w:r>
        <w:rPr>
          <w:sz w:val="24"/>
          <w:szCs w:val="24"/>
        </w:rPr>
        <w:t>,</w:t>
      </w:r>
      <w:r w:rsidR="009F1CA8">
        <w:rPr>
          <w:sz w:val="24"/>
          <w:szCs w:val="24"/>
        </w:rPr>
        <w:t xml:space="preserve"> </w:t>
      </w:r>
      <w:r>
        <w:rPr>
          <w:sz w:val="24"/>
          <w:szCs w:val="24"/>
        </w:rPr>
        <w:t>have been received by the</w:t>
      </w:r>
      <w:r w:rsidR="009F1CA8">
        <w:rPr>
          <w:sz w:val="24"/>
          <w:szCs w:val="24"/>
        </w:rPr>
        <w:t xml:space="preserve"> Bureau</w:t>
      </w:r>
      <w:r w:rsidR="00CF7DA6">
        <w:rPr>
          <w:sz w:val="24"/>
          <w:szCs w:val="24"/>
        </w:rPr>
        <w:t xml:space="preserve"> from outside parties</w:t>
      </w:r>
      <w:r w:rsidR="009F1CA8">
        <w:rPr>
          <w:sz w:val="24"/>
          <w:szCs w:val="24"/>
        </w:rPr>
        <w:t xml:space="preserve">. However, </w:t>
      </w:r>
      <w:r>
        <w:rPr>
          <w:sz w:val="24"/>
          <w:szCs w:val="24"/>
        </w:rPr>
        <w:t>formal</w:t>
      </w:r>
      <w:r w:rsidR="009F1CA8">
        <w:rPr>
          <w:sz w:val="24"/>
          <w:szCs w:val="24"/>
        </w:rPr>
        <w:t xml:space="preserve"> requests for AOs </w:t>
      </w:r>
      <w:r w:rsidR="009C42D5">
        <w:rPr>
          <w:sz w:val="24"/>
          <w:szCs w:val="24"/>
        </w:rPr>
        <w:t xml:space="preserve">through the AO program are not </w:t>
      </w:r>
      <w:r w:rsidR="00641609">
        <w:rPr>
          <w:sz w:val="24"/>
          <w:szCs w:val="24"/>
        </w:rPr>
        <w:t>currently</w:t>
      </w:r>
      <w:r w:rsidR="009C42D5">
        <w:rPr>
          <w:sz w:val="24"/>
          <w:szCs w:val="24"/>
        </w:rPr>
        <w:t xml:space="preserve"> collected by the Bureau. </w:t>
      </w:r>
      <w:r w:rsidR="00740CBD">
        <w:rPr>
          <w:sz w:val="24"/>
          <w:szCs w:val="24"/>
        </w:rPr>
        <w:t xml:space="preserve">Formal </w:t>
      </w:r>
      <w:r w:rsidR="009C42D5">
        <w:rPr>
          <w:sz w:val="24"/>
          <w:szCs w:val="24"/>
        </w:rPr>
        <w:t xml:space="preserve">AO requests must meet certain criteria, outlined in the Federal Register notice, that general regulatory guidance inquiries do not. Other agencies with AO programs may collect similar information, but the AO program, and information collected in support of that program, is </w:t>
      </w:r>
      <w:r w:rsidR="00641609">
        <w:rPr>
          <w:sz w:val="24"/>
          <w:szCs w:val="24"/>
        </w:rPr>
        <w:t xml:space="preserve">limited to statutes and regulations under the Bureau’s purview. </w:t>
      </w:r>
      <w:r w:rsidR="008769A5">
        <w:rPr>
          <w:sz w:val="24"/>
          <w:szCs w:val="24"/>
        </w:rPr>
        <w:t xml:space="preserve"> Further, entities that submit informal inquiries to the Bureau may not anticipate that the Bureau will reference their inquiry specifically when responding. Under the AO policy, formal AO requests may be published, and thus, requestors will have an understanding that </w:t>
      </w:r>
      <w:r w:rsidR="008D49D0">
        <w:rPr>
          <w:sz w:val="24"/>
          <w:szCs w:val="24"/>
        </w:rPr>
        <w:t xml:space="preserve">a summary of </w:t>
      </w:r>
      <w:r w:rsidR="008769A5">
        <w:rPr>
          <w:sz w:val="24"/>
          <w:szCs w:val="24"/>
        </w:rPr>
        <w:t xml:space="preserve">their request may be made public.  </w:t>
      </w:r>
    </w:p>
    <w:p w:rsidRPr="00471AE7" w:rsidR="00E55DA0" w:rsidRDefault="00E55DA0" w14:paraId="0D2E8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DD6AEC" w:rsidP="003C20C7" w:rsidRDefault="00BC5C20" w14:paraId="5C312904" w14:textId="19604DD6">
      <w:pPr>
        <w:pStyle w:val="CM12"/>
        <w:spacing w:line="276" w:lineRule="atLeast"/>
      </w:pPr>
      <w:r w:rsidRPr="00471AE7">
        <w:rPr>
          <w:b/>
          <w:bCs/>
          <w:color w:val="000000" w:themeColor="text1"/>
        </w:rPr>
        <w:t xml:space="preserve">5.  </w:t>
      </w:r>
      <w:r w:rsidRPr="00471AE7">
        <w:rPr>
          <w:b/>
          <w:bCs/>
          <w:color w:val="000000" w:themeColor="text1"/>
          <w:u w:val="single"/>
        </w:rPr>
        <w:t>Efforts to Minimize Burdens on Small Entities</w:t>
      </w:r>
    </w:p>
    <w:p w:rsidRPr="003C20C7" w:rsidR="00DD6AEC" w:rsidRDefault="00740CBD" w14:paraId="36F2F87E" w14:textId="0A0C84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C20C7">
        <w:rPr>
          <w:sz w:val="24"/>
          <w:szCs w:val="24"/>
        </w:rPr>
        <w:t xml:space="preserve">The program is intended to relieve regulatory burden by providing regulatory clarity on interpretive questions. The information to be collected represents the minimum amount of information needed to make a decision on </w:t>
      </w:r>
      <w:r w:rsidRPr="003C20C7" w:rsidR="001125CB">
        <w:rPr>
          <w:sz w:val="24"/>
          <w:szCs w:val="24"/>
        </w:rPr>
        <w:t xml:space="preserve">a formal </w:t>
      </w:r>
      <w:r w:rsidRPr="003C20C7" w:rsidR="00075F31">
        <w:rPr>
          <w:sz w:val="24"/>
          <w:szCs w:val="24"/>
        </w:rPr>
        <w:t>request</w:t>
      </w:r>
      <w:r w:rsidRPr="003C20C7" w:rsidR="001125CB">
        <w:rPr>
          <w:sz w:val="24"/>
          <w:szCs w:val="24"/>
        </w:rPr>
        <w:t xml:space="preserve"> under the </w:t>
      </w:r>
      <w:r w:rsidRPr="003C20C7" w:rsidR="00075F31">
        <w:rPr>
          <w:sz w:val="24"/>
          <w:szCs w:val="24"/>
        </w:rPr>
        <w:t>AO program</w:t>
      </w:r>
      <w:r w:rsidRPr="003C20C7" w:rsidR="001125CB">
        <w:rPr>
          <w:sz w:val="24"/>
          <w:szCs w:val="24"/>
        </w:rPr>
        <w:t>.</w:t>
      </w:r>
      <w:r w:rsidRPr="003C20C7" w:rsidR="00DD6AEC">
        <w:rPr>
          <w:sz w:val="24"/>
          <w:szCs w:val="24"/>
        </w:rPr>
        <w:t xml:space="preserve"> </w:t>
      </w:r>
      <w:r>
        <w:rPr>
          <w:sz w:val="24"/>
          <w:szCs w:val="24"/>
        </w:rPr>
        <w:t xml:space="preserve">The Bureau does not anticipate that the information requested for a formal AO request will be burdensome for small entities. Further, the policy allows for larger trade associations, law firms, or other larger organizations to submit questions on behalf of smaller entities. </w:t>
      </w:r>
    </w:p>
    <w:p w:rsidRPr="00471AE7" w:rsidR="00E55DA0" w:rsidRDefault="00E55DA0" w14:paraId="61B0E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5B5ACCAF" w14:textId="77777777">
      <w:pPr>
        <w:pStyle w:val="CM12"/>
        <w:spacing w:line="276" w:lineRule="atLeast"/>
        <w:rPr>
          <w:color w:val="000000" w:themeColor="text1"/>
        </w:rPr>
      </w:pPr>
      <w:r w:rsidRPr="00471AE7">
        <w:rPr>
          <w:b/>
          <w:bCs/>
          <w:color w:val="000000" w:themeColor="text1"/>
        </w:rPr>
        <w:t xml:space="preserve">6.  </w:t>
      </w:r>
      <w:r w:rsidRPr="00471AE7">
        <w:rPr>
          <w:b/>
          <w:bCs/>
          <w:color w:val="000000" w:themeColor="text1"/>
          <w:u w:val="single"/>
        </w:rPr>
        <w:t>Consequences of Less Frequent Collection and Obstacles to Burden Reduction</w:t>
      </w:r>
    </w:p>
    <w:p w:rsidRPr="00075F31" w:rsidR="00295103" w:rsidP="004963B1" w:rsidRDefault="004963B1" w14:paraId="456B4C1C" w14:textId="77CB9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75F31">
        <w:rPr>
          <w:sz w:val="24"/>
          <w:szCs w:val="24"/>
        </w:rPr>
        <w:t xml:space="preserve">This information collection is voluntary </w:t>
      </w:r>
      <w:r w:rsidR="00FA6DC1">
        <w:rPr>
          <w:sz w:val="24"/>
          <w:szCs w:val="24"/>
        </w:rPr>
        <w:t>and</w:t>
      </w:r>
      <w:r w:rsidRPr="00075F31">
        <w:rPr>
          <w:sz w:val="24"/>
          <w:szCs w:val="24"/>
        </w:rPr>
        <w:t xml:space="preserve"> only applies to those </w:t>
      </w:r>
      <w:r w:rsidRPr="00075F31" w:rsidR="00075F31">
        <w:rPr>
          <w:sz w:val="24"/>
          <w:szCs w:val="24"/>
        </w:rPr>
        <w:t>persons/entities</w:t>
      </w:r>
      <w:r w:rsidRPr="00075F31">
        <w:rPr>
          <w:sz w:val="24"/>
          <w:szCs w:val="24"/>
        </w:rPr>
        <w:t xml:space="preserve"> who wish </w:t>
      </w:r>
      <w:r w:rsidRPr="00075F31" w:rsidR="00D75EC5">
        <w:rPr>
          <w:sz w:val="24"/>
          <w:szCs w:val="24"/>
        </w:rPr>
        <w:t>to</w:t>
      </w:r>
      <w:r w:rsidR="00D75EC5">
        <w:rPr>
          <w:sz w:val="24"/>
          <w:szCs w:val="24"/>
        </w:rPr>
        <w:t xml:space="preserve"> request</w:t>
      </w:r>
      <w:r w:rsidR="00FA6DC1">
        <w:rPr>
          <w:sz w:val="24"/>
          <w:szCs w:val="24"/>
        </w:rPr>
        <w:t xml:space="preserve"> an AO</w:t>
      </w:r>
      <w:r w:rsidRPr="00075F31">
        <w:rPr>
          <w:sz w:val="24"/>
          <w:szCs w:val="24"/>
        </w:rPr>
        <w:t xml:space="preserve">. There is no requirement on any party to submit such </w:t>
      </w:r>
      <w:r w:rsidRPr="00075F31" w:rsidR="00075F31">
        <w:rPr>
          <w:sz w:val="24"/>
          <w:szCs w:val="24"/>
        </w:rPr>
        <w:t>a request</w:t>
      </w:r>
      <w:r w:rsidRPr="00075F31">
        <w:rPr>
          <w:sz w:val="24"/>
          <w:szCs w:val="24"/>
        </w:rPr>
        <w:t>.</w:t>
      </w:r>
      <w:r w:rsidR="00FA6DC1">
        <w:rPr>
          <w:sz w:val="24"/>
          <w:szCs w:val="24"/>
        </w:rPr>
        <w:t xml:space="preserve"> </w:t>
      </w:r>
      <w:r w:rsidRPr="00075F31">
        <w:rPr>
          <w:sz w:val="24"/>
          <w:szCs w:val="24"/>
        </w:rPr>
        <w:t xml:space="preserve">There is no </w:t>
      </w:r>
      <w:r w:rsidRPr="00075F31">
        <w:rPr>
          <w:sz w:val="24"/>
          <w:szCs w:val="24"/>
        </w:rPr>
        <w:lastRenderedPageBreak/>
        <w:t>meaningful way for the Bureau to conduct the collection less frequently</w:t>
      </w:r>
      <w:r w:rsidR="00FA6DC1">
        <w:rPr>
          <w:sz w:val="24"/>
          <w:szCs w:val="24"/>
        </w:rPr>
        <w:t>.</w:t>
      </w:r>
    </w:p>
    <w:p w:rsidRPr="00471AE7" w:rsidR="00E55DA0" w:rsidRDefault="00E55DA0" w14:paraId="4053B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666C7539" w14:textId="77777777">
      <w:pPr>
        <w:pStyle w:val="Default"/>
        <w:rPr>
          <w:b/>
          <w:bCs/>
          <w:color w:val="000000" w:themeColor="text1"/>
          <w:u w:val="single"/>
        </w:rPr>
      </w:pPr>
      <w:r w:rsidRPr="00471AE7">
        <w:rPr>
          <w:b/>
          <w:bCs/>
          <w:color w:val="000000" w:themeColor="text1"/>
        </w:rPr>
        <w:t xml:space="preserve">7.  </w:t>
      </w:r>
      <w:r w:rsidRPr="00471AE7">
        <w:rPr>
          <w:b/>
          <w:bCs/>
          <w:color w:val="000000" w:themeColor="text1"/>
          <w:u w:val="single"/>
        </w:rPr>
        <w:t>Circumstances Requiring Special Information Collection</w:t>
      </w:r>
    </w:p>
    <w:p w:rsidRPr="00471AE7" w:rsidR="00295103" w:rsidRDefault="00E674D7" w14:paraId="69D9F654" w14:textId="11AD16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E674D7">
        <w:rPr>
          <w:color w:val="000000" w:themeColor="text1"/>
          <w:sz w:val="24"/>
          <w:szCs w:val="24"/>
        </w:rPr>
        <w:t>There are no special circumstances. The collection of information is conducted in a manner consistent with the guidelines in 5 C.F.R.</w:t>
      </w:r>
      <w:r w:rsidR="00352F9A">
        <w:rPr>
          <w:color w:val="000000" w:themeColor="text1"/>
          <w:sz w:val="24"/>
          <w:szCs w:val="24"/>
        </w:rPr>
        <w:t>§</w:t>
      </w:r>
      <w:r w:rsidRPr="00E674D7">
        <w:rPr>
          <w:color w:val="000000" w:themeColor="text1"/>
          <w:sz w:val="24"/>
          <w:szCs w:val="24"/>
        </w:rPr>
        <w:t>1320.5(d)(2).</w:t>
      </w:r>
    </w:p>
    <w:p w:rsidRPr="00471AE7" w:rsidR="00E55DA0" w:rsidRDefault="00E55DA0" w14:paraId="69CBE0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4D72CB4E" w14:textId="77777777">
      <w:pPr>
        <w:pStyle w:val="CM12"/>
        <w:spacing w:line="276" w:lineRule="atLeast"/>
        <w:rPr>
          <w:b/>
          <w:bCs/>
          <w:color w:val="000000" w:themeColor="text1"/>
          <w:u w:val="single"/>
        </w:rPr>
      </w:pPr>
      <w:r w:rsidRPr="00471AE7">
        <w:rPr>
          <w:b/>
          <w:bCs/>
          <w:color w:val="000000" w:themeColor="text1"/>
        </w:rPr>
        <w:t xml:space="preserve">8.  </w:t>
      </w:r>
      <w:r w:rsidRPr="00471AE7">
        <w:rPr>
          <w:b/>
          <w:bCs/>
          <w:color w:val="000000" w:themeColor="text1"/>
          <w:u w:val="single"/>
        </w:rPr>
        <w:t>Consultation Outside the Agency</w:t>
      </w:r>
    </w:p>
    <w:p w:rsidRPr="00A10EF8" w:rsidR="00A10EF8" w:rsidP="00A10EF8" w:rsidRDefault="00B16B5E" w14:paraId="2F46162F" w14:textId="4452F4D1">
      <w:pPr>
        <w:widowControl/>
        <w:autoSpaceDE/>
        <w:autoSpaceDN/>
        <w:adjustRightInd/>
        <w:rPr>
          <w:rFonts w:ascii="Segoe UI" w:hAnsi="Segoe UI" w:cs="Segoe UI"/>
          <w:sz w:val="21"/>
          <w:szCs w:val="21"/>
        </w:rPr>
      </w:pPr>
      <w:r w:rsidRPr="00B16B5E">
        <w:rPr>
          <w:color w:val="000000" w:themeColor="text1"/>
          <w:sz w:val="24"/>
          <w:szCs w:val="24"/>
        </w:rPr>
        <w:t>In accordance with 5 C.F.R.</w:t>
      </w:r>
      <w:r w:rsidR="00D47636">
        <w:rPr>
          <w:color w:val="000000" w:themeColor="text1"/>
          <w:sz w:val="24"/>
          <w:szCs w:val="24"/>
        </w:rPr>
        <w:t>§</w:t>
      </w:r>
      <w:r w:rsidRPr="00B16B5E">
        <w:rPr>
          <w:color w:val="000000" w:themeColor="text1"/>
          <w:sz w:val="24"/>
          <w:szCs w:val="24"/>
        </w:rPr>
        <w:t xml:space="preserve">1320.8(d)(1), the Bureau published a </w:t>
      </w:r>
      <w:r w:rsidRPr="009B4A8A">
        <w:rPr>
          <w:color w:val="000000" w:themeColor="text1"/>
          <w:sz w:val="24"/>
          <w:szCs w:val="24"/>
        </w:rPr>
        <w:t>Federal Register</w:t>
      </w:r>
      <w:r w:rsidRPr="00B16B5E">
        <w:rPr>
          <w:color w:val="000000" w:themeColor="text1"/>
          <w:sz w:val="24"/>
          <w:szCs w:val="24"/>
        </w:rPr>
        <w:t xml:space="preserve"> notice</w:t>
      </w:r>
      <w:r w:rsidR="00DE58F2">
        <w:rPr>
          <w:color w:val="000000" w:themeColor="text1"/>
          <w:sz w:val="24"/>
          <w:szCs w:val="24"/>
        </w:rPr>
        <w:t xml:space="preserve"> </w:t>
      </w:r>
      <w:r w:rsidRPr="00B16B5E">
        <w:rPr>
          <w:color w:val="000000" w:themeColor="text1"/>
          <w:sz w:val="24"/>
          <w:szCs w:val="24"/>
        </w:rPr>
        <w:t xml:space="preserve">allowing the public 60 days to comment on this proposed </w:t>
      </w:r>
      <w:r w:rsidR="00E674D7">
        <w:rPr>
          <w:color w:val="000000" w:themeColor="text1"/>
          <w:sz w:val="24"/>
          <w:szCs w:val="24"/>
        </w:rPr>
        <w:t xml:space="preserve">new </w:t>
      </w:r>
      <w:r w:rsidRPr="00B16B5E">
        <w:rPr>
          <w:color w:val="000000" w:themeColor="text1"/>
          <w:sz w:val="24"/>
          <w:szCs w:val="24"/>
        </w:rPr>
        <w:t>collection of information.</w:t>
      </w:r>
      <w:r w:rsidR="008B645B">
        <w:rPr>
          <w:color w:val="000000" w:themeColor="text1"/>
          <w:sz w:val="24"/>
          <w:szCs w:val="24"/>
        </w:rPr>
        <w:t xml:space="preserve">  </w:t>
      </w:r>
      <w:r w:rsidRPr="009B4A8A" w:rsidR="009B4A8A">
        <w:rPr>
          <w:color w:val="000000" w:themeColor="text1"/>
          <w:sz w:val="24"/>
          <w:szCs w:val="24"/>
        </w:rPr>
        <w:t xml:space="preserve">Comments from 16 organizations were received, but the comments were not specific to the PRA and are summarized and discussed in the preamble of the </w:t>
      </w:r>
      <w:r w:rsidR="00AD6CB2">
        <w:rPr>
          <w:color w:val="000000" w:themeColor="text1"/>
          <w:sz w:val="24"/>
          <w:szCs w:val="24"/>
        </w:rPr>
        <w:t>final policy</w:t>
      </w:r>
      <w:r w:rsidR="00AE3F7A">
        <w:rPr>
          <w:color w:val="000000" w:themeColor="text1"/>
          <w:sz w:val="24"/>
          <w:szCs w:val="24"/>
        </w:rPr>
        <w:t>.</w:t>
      </w:r>
      <w:r w:rsidRPr="00263651" w:rsidR="00263651">
        <w:rPr>
          <w:color w:val="000000" w:themeColor="text1"/>
          <w:sz w:val="24"/>
          <w:szCs w:val="24"/>
        </w:rPr>
        <w:t xml:space="preserve">  Most commenters where industry trade groups corporations and a few non-profit organizations.  Commenters were generally supportive of the effort</w:t>
      </w:r>
      <w:r w:rsidR="0091092A">
        <w:rPr>
          <w:color w:val="000000" w:themeColor="text1"/>
          <w:sz w:val="24"/>
          <w:szCs w:val="24"/>
        </w:rPr>
        <w:t xml:space="preserve"> and suggested ways it could be expanded</w:t>
      </w:r>
      <w:r w:rsidRPr="00263651" w:rsidR="00263651">
        <w:rPr>
          <w:color w:val="000000" w:themeColor="text1"/>
          <w:sz w:val="24"/>
          <w:szCs w:val="24"/>
        </w:rPr>
        <w:t>.</w:t>
      </w:r>
      <w:r w:rsidR="0091092A">
        <w:rPr>
          <w:color w:val="000000" w:themeColor="text1"/>
          <w:sz w:val="24"/>
          <w:szCs w:val="24"/>
        </w:rPr>
        <w:t xml:space="preserve">  </w:t>
      </w:r>
      <w:r w:rsidR="00A10EF8">
        <w:rPr>
          <w:color w:val="000000" w:themeColor="text1"/>
          <w:sz w:val="24"/>
          <w:szCs w:val="24"/>
        </w:rPr>
        <w:t>T</w:t>
      </w:r>
      <w:r w:rsidRPr="00C20603" w:rsidR="00A10EF8">
        <w:rPr>
          <w:color w:val="000000" w:themeColor="text1"/>
          <w:sz w:val="24"/>
          <w:szCs w:val="24"/>
        </w:rPr>
        <w:t xml:space="preserve">he Bureau </w:t>
      </w:r>
      <w:r w:rsidR="00263651">
        <w:rPr>
          <w:color w:val="000000" w:themeColor="text1"/>
          <w:sz w:val="24"/>
          <w:szCs w:val="24"/>
        </w:rPr>
        <w:t xml:space="preserve">also </w:t>
      </w:r>
      <w:r w:rsidRPr="00C20603" w:rsidR="00A10EF8">
        <w:rPr>
          <w:color w:val="000000" w:themeColor="text1"/>
          <w:sz w:val="24"/>
          <w:szCs w:val="24"/>
        </w:rPr>
        <w:t xml:space="preserve">consulted </w:t>
      </w:r>
      <w:r w:rsidR="00263651">
        <w:rPr>
          <w:color w:val="000000" w:themeColor="text1"/>
          <w:sz w:val="24"/>
          <w:szCs w:val="24"/>
        </w:rPr>
        <w:t xml:space="preserve"> </w:t>
      </w:r>
      <w:r w:rsidRPr="00C20603" w:rsidR="00A10EF8">
        <w:rPr>
          <w:color w:val="000000" w:themeColor="text1"/>
          <w:sz w:val="24"/>
          <w:szCs w:val="24"/>
        </w:rPr>
        <w:t xml:space="preserve">with </w:t>
      </w:r>
      <w:r w:rsidR="00263651">
        <w:rPr>
          <w:color w:val="000000" w:themeColor="text1"/>
          <w:sz w:val="24"/>
          <w:szCs w:val="24"/>
        </w:rPr>
        <w:t xml:space="preserve">several other </w:t>
      </w:r>
      <w:r w:rsidRPr="00C20603" w:rsidR="00A10EF8">
        <w:rPr>
          <w:color w:val="000000" w:themeColor="text1"/>
          <w:sz w:val="24"/>
          <w:szCs w:val="24"/>
        </w:rPr>
        <w:t xml:space="preserve">agencies </w:t>
      </w:r>
      <w:r w:rsidR="00A10EF8">
        <w:rPr>
          <w:color w:val="000000" w:themeColor="text1"/>
          <w:sz w:val="24"/>
          <w:szCs w:val="24"/>
        </w:rPr>
        <w:t xml:space="preserve">that have </w:t>
      </w:r>
      <w:r w:rsidRPr="00C20603" w:rsidR="00A10EF8">
        <w:rPr>
          <w:color w:val="000000" w:themeColor="text1"/>
          <w:sz w:val="24"/>
          <w:szCs w:val="24"/>
        </w:rPr>
        <w:t>existing advisory opinion programs</w:t>
      </w:r>
      <w:r w:rsidR="00A10EF8">
        <w:rPr>
          <w:color w:val="000000" w:themeColor="text1"/>
          <w:sz w:val="24"/>
          <w:szCs w:val="24"/>
        </w:rPr>
        <w:t xml:space="preserve"> </w:t>
      </w:r>
      <w:r w:rsidR="00C20603">
        <w:rPr>
          <w:color w:val="000000" w:themeColor="text1"/>
          <w:sz w:val="24"/>
          <w:szCs w:val="24"/>
        </w:rPr>
        <w:t>during the development of the AO program.</w:t>
      </w:r>
    </w:p>
    <w:p w:rsidRPr="00471AE7" w:rsidR="00BC5C20" w:rsidP="00BC5C20" w:rsidRDefault="00BC5C20" w14:paraId="1AD07C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4B4AD2A8" w14:textId="77777777">
      <w:pPr>
        <w:pStyle w:val="Default"/>
        <w:tabs>
          <w:tab w:val="left" w:pos="720"/>
        </w:tabs>
        <w:rPr>
          <w:color w:val="000000" w:themeColor="text1"/>
        </w:rPr>
      </w:pPr>
      <w:r w:rsidRPr="00471AE7">
        <w:rPr>
          <w:b/>
          <w:bCs/>
          <w:color w:val="000000" w:themeColor="text1"/>
        </w:rPr>
        <w:t xml:space="preserve">9.  </w:t>
      </w:r>
      <w:r w:rsidRPr="00471AE7">
        <w:rPr>
          <w:b/>
          <w:bCs/>
          <w:color w:val="000000" w:themeColor="text1"/>
          <w:u w:val="single"/>
        </w:rPr>
        <w:t>Payments or Gifts to Respondents</w:t>
      </w:r>
    </w:p>
    <w:p w:rsidRPr="00471AE7" w:rsidR="00295103" w:rsidRDefault="00B16B5E" w14:paraId="108055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16B5E">
        <w:rPr>
          <w:color w:val="000000" w:themeColor="text1"/>
          <w:sz w:val="24"/>
          <w:szCs w:val="24"/>
        </w:rPr>
        <w:t>No payments or gifts are provided to respondents</w:t>
      </w:r>
      <w:r>
        <w:rPr>
          <w:color w:val="000000" w:themeColor="text1"/>
          <w:sz w:val="24"/>
          <w:szCs w:val="24"/>
        </w:rPr>
        <w:t>.</w:t>
      </w:r>
    </w:p>
    <w:p w:rsidRPr="00471AE7" w:rsidR="00B316FB" w:rsidRDefault="00B316FB" w14:paraId="265D8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6CB7542F" w14:textId="77777777">
      <w:pPr>
        <w:ind w:right="990"/>
        <w:rPr>
          <w:color w:val="000000" w:themeColor="text1"/>
          <w:sz w:val="24"/>
          <w:szCs w:val="24"/>
        </w:rPr>
      </w:pPr>
      <w:r w:rsidRPr="00471AE7">
        <w:rPr>
          <w:b/>
          <w:bCs/>
          <w:color w:val="000000" w:themeColor="text1"/>
          <w:sz w:val="24"/>
          <w:szCs w:val="24"/>
        </w:rPr>
        <w:t xml:space="preserve">10.  </w:t>
      </w:r>
      <w:r w:rsidRPr="00471AE7">
        <w:rPr>
          <w:b/>
          <w:bCs/>
          <w:color w:val="000000" w:themeColor="text1"/>
          <w:sz w:val="24"/>
          <w:szCs w:val="24"/>
          <w:u w:val="single"/>
        </w:rPr>
        <w:t>Assurances of Confidentiality</w:t>
      </w:r>
    </w:p>
    <w:p w:rsidRPr="00471AE7" w:rsidR="004A6DFA" w:rsidP="004E18C0" w:rsidRDefault="006D5CA0" w14:paraId="50257487" w14:textId="06670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I</w:t>
      </w:r>
      <w:r w:rsidRPr="004E18C0" w:rsidR="004E18C0">
        <w:rPr>
          <w:color w:val="000000" w:themeColor="text1"/>
          <w:sz w:val="24"/>
          <w:szCs w:val="24"/>
        </w:rPr>
        <w:t>nformation submitted may qualify as confidential information under the Bureau’s rule on Disclosure of Records and Information.</w:t>
      </w:r>
      <w:r w:rsidR="009D3FFD">
        <w:rPr>
          <w:rStyle w:val="FootnoteReference"/>
          <w:color w:val="000000" w:themeColor="text1"/>
          <w:sz w:val="24"/>
          <w:szCs w:val="24"/>
        </w:rPr>
        <w:footnoteReference w:id="3"/>
      </w:r>
    </w:p>
    <w:p w:rsidRPr="00471AE7" w:rsidR="00B316FB" w:rsidRDefault="00B316FB" w14:paraId="47F436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471AE7" w:rsidR="00BC5C20" w:rsidP="00BC5C20" w:rsidRDefault="00BC5C20" w14:paraId="7EE68B64" w14:textId="77777777">
      <w:pPr>
        <w:pStyle w:val="Default"/>
        <w:rPr>
          <w:color w:val="000000" w:themeColor="text1"/>
        </w:rPr>
      </w:pPr>
      <w:r w:rsidRPr="00471AE7">
        <w:rPr>
          <w:b/>
          <w:color w:val="000000" w:themeColor="text1"/>
        </w:rPr>
        <w:t xml:space="preserve">11.  </w:t>
      </w:r>
      <w:r w:rsidRPr="00471AE7">
        <w:rPr>
          <w:b/>
          <w:bCs/>
          <w:color w:val="000000" w:themeColor="text1"/>
          <w:u w:val="single"/>
        </w:rPr>
        <w:t>Justification for Sensitive Questions</w:t>
      </w:r>
    </w:p>
    <w:p w:rsidRPr="00471AE7" w:rsidR="00BC5C20" w:rsidP="00BC5C20" w:rsidRDefault="005446A7" w14:paraId="6D7E7B61" w14:textId="3A54BD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5446A7">
        <w:rPr>
          <w:color w:val="000000" w:themeColor="text1"/>
          <w:sz w:val="24"/>
          <w:szCs w:val="24"/>
        </w:rPr>
        <w:t>This information collection does not include questions of a sensitive nature.</w:t>
      </w:r>
    </w:p>
    <w:p w:rsidRPr="00471AE7" w:rsidR="00B316FB" w:rsidP="00BC5C20" w:rsidRDefault="00B316FB" w14:paraId="285022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3C3A52" w:rsidR="008959DA" w:rsidP="003C3A52" w:rsidRDefault="00BC5C20" w14:paraId="62F08E9C" w14:textId="34DEE087">
      <w:pPr>
        <w:pStyle w:val="Default"/>
        <w:rPr>
          <w:b/>
          <w:bCs/>
          <w:color w:val="000000" w:themeColor="text1"/>
          <w:u w:val="single"/>
        </w:rPr>
      </w:pPr>
      <w:r w:rsidRPr="00471AE7">
        <w:rPr>
          <w:b/>
          <w:bCs/>
          <w:color w:val="000000" w:themeColor="text1"/>
        </w:rPr>
        <w:t xml:space="preserve">12.  </w:t>
      </w:r>
      <w:r w:rsidRPr="00471AE7">
        <w:rPr>
          <w:b/>
          <w:bCs/>
          <w:color w:val="000000" w:themeColor="text1"/>
          <w:u w:val="single"/>
        </w:rPr>
        <w:t>Estimated Burden of Information Collection</w:t>
      </w:r>
    </w:p>
    <w:p w:rsidRPr="00471AE7" w:rsidR="00952B75" w:rsidP="008959DA" w:rsidRDefault="00952B75" w14:paraId="419BE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3C20C7" w:rsidR="000F1730" w:rsidP="008959DA" w:rsidRDefault="00774746" w14:paraId="15BCD3AC" w14:textId="263922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C20C7">
        <w:rPr>
          <w:b/>
          <w:sz w:val="24"/>
          <w:szCs w:val="24"/>
        </w:rPr>
        <w:t xml:space="preserve">Exhibit 1: </w:t>
      </w:r>
      <w:r w:rsidRPr="003C20C7" w:rsidR="000F1730">
        <w:rPr>
          <w:b/>
          <w:sz w:val="24"/>
          <w:szCs w:val="24"/>
        </w:rPr>
        <w:t>Burden Hour Summary</w:t>
      </w:r>
      <w:r w:rsidRPr="003C20C7" w:rsidR="000D2F9C">
        <w:rPr>
          <w:b/>
          <w:sz w:val="24"/>
          <w:szCs w:val="24"/>
        </w:rPr>
        <w:t xml:space="preserve"> </w:t>
      </w:r>
    </w:p>
    <w:tbl>
      <w:tblPr>
        <w:tblStyle w:val="TableGrid"/>
        <w:tblW w:w="9859" w:type="dxa"/>
        <w:tblInd w:w="108" w:type="dxa"/>
        <w:tblLayout w:type="fixed"/>
        <w:tblLook w:val="04A0" w:firstRow="1" w:lastRow="0" w:firstColumn="1" w:lastColumn="0" w:noHBand="0" w:noVBand="1"/>
      </w:tblPr>
      <w:tblGrid>
        <w:gridCol w:w="1417"/>
        <w:gridCol w:w="990"/>
        <w:gridCol w:w="1080"/>
        <w:gridCol w:w="1170"/>
        <w:gridCol w:w="1170"/>
        <w:gridCol w:w="1080"/>
        <w:gridCol w:w="900"/>
        <w:gridCol w:w="900"/>
        <w:gridCol w:w="1152"/>
      </w:tblGrid>
      <w:tr w:rsidRPr="008803B0" w:rsidR="008803B0" w:rsidTr="003C20C7" w14:paraId="49777E1A" w14:textId="77777777">
        <w:trPr>
          <w:trHeight w:val="843"/>
        </w:trPr>
        <w:tc>
          <w:tcPr>
            <w:tcW w:w="1417" w:type="dxa"/>
          </w:tcPr>
          <w:p w:rsidRPr="003C20C7" w:rsidR="009B5917" w:rsidP="00500639" w:rsidRDefault="009B5917" w14:paraId="08113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Information Collection Requirement</w:t>
            </w:r>
          </w:p>
        </w:tc>
        <w:tc>
          <w:tcPr>
            <w:tcW w:w="990" w:type="dxa"/>
          </w:tcPr>
          <w:p w:rsidRPr="003C20C7" w:rsidR="009B5917" w:rsidP="00500639" w:rsidRDefault="009B5917" w14:paraId="16CAF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No. of Respondents</w:t>
            </w:r>
          </w:p>
        </w:tc>
        <w:tc>
          <w:tcPr>
            <w:tcW w:w="1080" w:type="dxa"/>
          </w:tcPr>
          <w:p w:rsidRPr="003C20C7" w:rsidR="009B5917" w:rsidP="00500639" w:rsidRDefault="009B5917" w14:paraId="0283D6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Type of IC</w:t>
            </w:r>
          </w:p>
        </w:tc>
        <w:tc>
          <w:tcPr>
            <w:tcW w:w="1170" w:type="dxa"/>
          </w:tcPr>
          <w:p w:rsidRPr="003C20C7" w:rsidR="009B5917" w:rsidP="00500639" w:rsidRDefault="009B5917" w14:paraId="16C65FDB" w14:textId="5F963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Frequency</w:t>
            </w:r>
          </w:p>
        </w:tc>
        <w:tc>
          <w:tcPr>
            <w:tcW w:w="1170" w:type="dxa"/>
          </w:tcPr>
          <w:p w:rsidRPr="003C20C7" w:rsidR="009B5917" w:rsidP="00500639" w:rsidRDefault="009B5917" w14:paraId="53580D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Annual Responses</w:t>
            </w:r>
          </w:p>
        </w:tc>
        <w:tc>
          <w:tcPr>
            <w:tcW w:w="1080" w:type="dxa"/>
          </w:tcPr>
          <w:p w:rsidRPr="003C20C7" w:rsidR="009B5917" w:rsidP="00500639" w:rsidRDefault="009B5917" w14:paraId="74195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Average Response Time</w:t>
            </w:r>
          </w:p>
        </w:tc>
        <w:tc>
          <w:tcPr>
            <w:tcW w:w="900" w:type="dxa"/>
          </w:tcPr>
          <w:p w:rsidRPr="003C20C7" w:rsidR="009B5917" w:rsidP="00500639" w:rsidRDefault="009B5917" w14:paraId="0C7F3C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Annual Burden Hours</w:t>
            </w:r>
          </w:p>
        </w:tc>
        <w:tc>
          <w:tcPr>
            <w:tcW w:w="900" w:type="dxa"/>
          </w:tcPr>
          <w:p w:rsidRPr="003C20C7" w:rsidR="009B5917" w:rsidP="00500639" w:rsidRDefault="009B5917" w14:paraId="0848D82E" w14:textId="21C262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Hourly Rate</w:t>
            </w:r>
          </w:p>
        </w:tc>
        <w:tc>
          <w:tcPr>
            <w:tcW w:w="1152" w:type="dxa"/>
          </w:tcPr>
          <w:p w:rsidRPr="003C20C7" w:rsidR="009B5917" w:rsidP="00500639" w:rsidRDefault="009B5917" w14:paraId="6D9A09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Cs w:val="24"/>
              </w:rPr>
            </w:pPr>
            <w:r w:rsidRPr="003C20C7">
              <w:rPr>
                <w:b/>
                <w:color w:val="000000" w:themeColor="text1"/>
                <w:szCs w:val="24"/>
              </w:rPr>
              <w:t>Hourly Costs</w:t>
            </w:r>
          </w:p>
        </w:tc>
      </w:tr>
      <w:tr w:rsidRPr="008803B0" w:rsidR="008803B0" w:rsidTr="003C20C7" w14:paraId="6566CC9B" w14:textId="77777777">
        <w:trPr>
          <w:trHeight w:val="843"/>
        </w:trPr>
        <w:tc>
          <w:tcPr>
            <w:tcW w:w="1417" w:type="dxa"/>
          </w:tcPr>
          <w:p w:rsidRPr="003C20C7" w:rsidR="009B5917" w:rsidRDefault="00942F4D" w14:paraId="082D89EF" w14:textId="0A98A3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3C20C7">
              <w:rPr>
                <w:color w:val="000000" w:themeColor="text1"/>
                <w:szCs w:val="24"/>
              </w:rPr>
              <w:t>Advisory Opinion request</w:t>
            </w:r>
          </w:p>
        </w:tc>
        <w:tc>
          <w:tcPr>
            <w:tcW w:w="990" w:type="dxa"/>
          </w:tcPr>
          <w:p w:rsidRPr="003C20C7" w:rsidR="009B5917" w:rsidP="00D72220" w:rsidRDefault="001205C4" w14:paraId="56114B2C" w14:textId="48570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Pr>
                <w:color w:val="000000" w:themeColor="text1"/>
                <w:szCs w:val="24"/>
              </w:rPr>
              <w:t>100</w:t>
            </w:r>
          </w:p>
        </w:tc>
        <w:tc>
          <w:tcPr>
            <w:tcW w:w="1080" w:type="dxa"/>
          </w:tcPr>
          <w:p w:rsidRPr="003C20C7" w:rsidR="009B5917" w:rsidP="00DA2550" w:rsidRDefault="009B5917" w14:paraId="707DBD69" w14:textId="434B0C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sidRPr="003C20C7">
              <w:rPr>
                <w:szCs w:val="24"/>
              </w:rPr>
              <w:t>Reporting</w:t>
            </w:r>
          </w:p>
        </w:tc>
        <w:tc>
          <w:tcPr>
            <w:tcW w:w="1170" w:type="dxa"/>
          </w:tcPr>
          <w:p w:rsidRPr="003C20C7" w:rsidR="009B5917" w:rsidP="00D72220" w:rsidRDefault="002D027E" w14:paraId="22D84A99" w14:textId="324F03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sidRPr="003C20C7">
              <w:rPr>
                <w:color w:val="000000" w:themeColor="text1"/>
                <w:szCs w:val="24"/>
              </w:rPr>
              <w:t>Once per request</w:t>
            </w:r>
          </w:p>
        </w:tc>
        <w:tc>
          <w:tcPr>
            <w:tcW w:w="1170" w:type="dxa"/>
          </w:tcPr>
          <w:p w:rsidRPr="003C20C7" w:rsidR="009B5917" w:rsidP="00D72220" w:rsidRDefault="001205C4" w14:paraId="5EB2A752" w14:textId="03AA0A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Pr>
                <w:color w:val="000000" w:themeColor="text1"/>
                <w:szCs w:val="24"/>
              </w:rPr>
              <w:t>100</w:t>
            </w:r>
          </w:p>
        </w:tc>
        <w:tc>
          <w:tcPr>
            <w:tcW w:w="1080" w:type="dxa"/>
          </w:tcPr>
          <w:p w:rsidRPr="003C20C7" w:rsidR="009B5917" w:rsidP="00D72220" w:rsidRDefault="006E2906" w14:paraId="06C9E988" w14:textId="7088B3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sidRPr="003C20C7">
              <w:rPr>
                <w:color w:val="000000" w:themeColor="text1"/>
                <w:szCs w:val="24"/>
              </w:rPr>
              <w:t>60 hours</w:t>
            </w:r>
          </w:p>
        </w:tc>
        <w:tc>
          <w:tcPr>
            <w:tcW w:w="900" w:type="dxa"/>
          </w:tcPr>
          <w:p w:rsidRPr="003C20C7" w:rsidR="009B5917" w:rsidP="00D72220" w:rsidRDefault="001205C4" w14:paraId="0B10B9BC" w14:textId="78FE51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Pr>
                <w:color w:val="000000" w:themeColor="text1"/>
                <w:szCs w:val="24"/>
              </w:rPr>
              <w:t>6</w:t>
            </w:r>
            <w:r w:rsidR="00A92B9A">
              <w:rPr>
                <w:color w:val="000000" w:themeColor="text1"/>
                <w:szCs w:val="24"/>
              </w:rPr>
              <w:t>,</w:t>
            </w:r>
            <w:r>
              <w:rPr>
                <w:color w:val="000000" w:themeColor="text1"/>
                <w:szCs w:val="24"/>
              </w:rPr>
              <w:t>000</w:t>
            </w:r>
          </w:p>
        </w:tc>
        <w:tc>
          <w:tcPr>
            <w:tcW w:w="900" w:type="dxa"/>
          </w:tcPr>
          <w:p w:rsidRPr="003C20C7" w:rsidR="009B5917" w:rsidP="00D72220" w:rsidRDefault="009D0423" w14:paraId="1BB22509" w14:textId="62520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Pr>
                <w:color w:val="000000" w:themeColor="text1"/>
                <w:szCs w:val="24"/>
              </w:rPr>
              <w:t>$52.50</w:t>
            </w:r>
            <w:r w:rsidR="00C60198">
              <w:rPr>
                <w:rStyle w:val="FootnoteReference"/>
                <w:color w:val="000000" w:themeColor="text1"/>
                <w:szCs w:val="24"/>
              </w:rPr>
              <w:footnoteReference w:id="4"/>
            </w:r>
          </w:p>
        </w:tc>
        <w:tc>
          <w:tcPr>
            <w:tcW w:w="1152" w:type="dxa"/>
          </w:tcPr>
          <w:p w:rsidRPr="003C20C7" w:rsidR="009B5917" w:rsidP="00D72220" w:rsidRDefault="009D0423" w14:paraId="1C43858A" w14:textId="56D7D6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themeColor="text1"/>
                <w:szCs w:val="24"/>
              </w:rPr>
            </w:pPr>
            <w:r>
              <w:rPr>
                <w:color w:val="000000" w:themeColor="text1"/>
                <w:szCs w:val="24"/>
              </w:rPr>
              <w:t>$315,000</w:t>
            </w:r>
          </w:p>
        </w:tc>
      </w:tr>
      <w:tr w:rsidRPr="008803B0" w:rsidR="008803B0" w:rsidTr="003C20C7" w14:paraId="69FED62E" w14:textId="77777777">
        <w:trPr>
          <w:trHeight w:val="268"/>
        </w:trPr>
        <w:tc>
          <w:tcPr>
            <w:tcW w:w="1417" w:type="dxa"/>
          </w:tcPr>
          <w:p w:rsidRPr="003C20C7" w:rsidR="009B5917" w:rsidP="00D72220" w:rsidRDefault="009B5917" w14:paraId="1FE593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sidRPr="003C20C7">
              <w:rPr>
                <w:b/>
                <w:color w:val="000000" w:themeColor="text1"/>
                <w:szCs w:val="24"/>
              </w:rPr>
              <w:t>Totals:</w:t>
            </w:r>
          </w:p>
        </w:tc>
        <w:tc>
          <w:tcPr>
            <w:tcW w:w="990" w:type="dxa"/>
          </w:tcPr>
          <w:p w:rsidRPr="003C20C7" w:rsidR="009B5917" w:rsidP="00D72220" w:rsidRDefault="007D576C" w14:paraId="4557A5C8" w14:textId="03725E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Pr>
                <w:b/>
                <w:color w:val="000000" w:themeColor="text1"/>
                <w:szCs w:val="24"/>
              </w:rPr>
              <w:t>100</w:t>
            </w:r>
          </w:p>
        </w:tc>
        <w:tc>
          <w:tcPr>
            <w:tcW w:w="1080" w:type="dxa"/>
          </w:tcPr>
          <w:p w:rsidRPr="003C20C7" w:rsidR="009B5917" w:rsidP="00DA2550" w:rsidRDefault="007D576C" w14:paraId="4E7FCA2A" w14:textId="03B2EE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sidRPr="00367215">
              <w:rPr>
                <w:b/>
                <w:color w:val="000000" w:themeColor="text1"/>
                <w:szCs w:val="24"/>
              </w:rPr>
              <w:t>///////////////</w:t>
            </w:r>
          </w:p>
        </w:tc>
        <w:tc>
          <w:tcPr>
            <w:tcW w:w="1170" w:type="dxa"/>
          </w:tcPr>
          <w:p w:rsidRPr="003C20C7" w:rsidR="009B5917" w:rsidP="00D72220" w:rsidRDefault="009B5917" w14:paraId="177B8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sidRPr="003C20C7">
              <w:rPr>
                <w:b/>
                <w:color w:val="000000" w:themeColor="text1"/>
                <w:szCs w:val="24"/>
              </w:rPr>
              <w:t>///////////////</w:t>
            </w:r>
          </w:p>
        </w:tc>
        <w:tc>
          <w:tcPr>
            <w:tcW w:w="1170" w:type="dxa"/>
          </w:tcPr>
          <w:p w:rsidRPr="003C20C7" w:rsidR="009B5917" w:rsidP="00D72220" w:rsidRDefault="007D576C" w14:paraId="78B59EDB" w14:textId="70A4C1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Pr>
                <w:b/>
                <w:color w:val="000000" w:themeColor="text1"/>
                <w:szCs w:val="24"/>
              </w:rPr>
              <w:t>100</w:t>
            </w:r>
          </w:p>
        </w:tc>
        <w:tc>
          <w:tcPr>
            <w:tcW w:w="1080" w:type="dxa"/>
          </w:tcPr>
          <w:p w:rsidRPr="003C20C7" w:rsidR="009B5917" w:rsidP="00D72220" w:rsidRDefault="009B5917" w14:paraId="6A9C27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sidRPr="003C20C7">
              <w:rPr>
                <w:b/>
                <w:color w:val="000000" w:themeColor="text1"/>
                <w:szCs w:val="24"/>
              </w:rPr>
              <w:t>///////////////</w:t>
            </w:r>
          </w:p>
        </w:tc>
        <w:tc>
          <w:tcPr>
            <w:tcW w:w="900" w:type="dxa"/>
          </w:tcPr>
          <w:p w:rsidRPr="003C20C7" w:rsidR="009B5917" w:rsidP="00D72220" w:rsidRDefault="007D576C" w14:paraId="0395E24D" w14:textId="5ECC73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Pr>
                <w:b/>
                <w:color w:val="000000" w:themeColor="text1"/>
                <w:szCs w:val="24"/>
              </w:rPr>
              <w:t>6</w:t>
            </w:r>
            <w:r w:rsidR="00500639">
              <w:rPr>
                <w:b/>
                <w:color w:val="000000" w:themeColor="text1"/>
                <w:szCs w:val="24"/>
              </w:rPr>
              <w:t>,</w:t>
            </w:r>
            <w:r>
              <w:rPr>
                <w:b/>
                <w:color w:val="000000" w:themeColor="text1"/>
                <w:szCs w:val="24"/>
              </w:rPr>
              <w:t>000</w:t>
            </w:r>
          </w:p>
        </w:tc>
        <w:tc>
          <w:tcPr>
            <w:tcW w:w="900" w:type="dxa"/>
          </w:tcPr>
          <w:p w:rsidRPr="003C20C7" w:rsidR="009B5917" w:rsidP="00D72220" w:rsidRDefault="009B5917" w14:paraId="28175820" w14:textId="31318D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sidRPr="003C20C7">
              <w:rPr>
                <w:b/>
                <w:color w:val="000000" w:themeColor="text1"/>
                <w:szCs w:val="24"/>
              </w:rPr>
              <w:t>////////////</w:t>
            </w:r>
          </w:p>
        </w:tc>
        <w:tc>
          <w:tcPr>
            <w:tcW w:w="1152" w:type="dxa"/>
          </w:tcPr>
          <w:p w:rsidRPr="003C20C7" w:rsidR="009B5917" w:rsidP="00D72220" w:rsidRDefault="009D0423" w14:paraId="229C874A" w14:textId="7F666A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color w:val="000000" w:themeColor="text1"/>
                <w:szCs w:val="24"/>
              </w:rPr>
            </w:pPr>
            <w:r>
              <w:rPr>
                <w:b/>
                <w:color w:val="000000" w:themeColor="text1"/>
                <w:szCs w:val="24"/>
              </w:rPr>
              <w:t>$315,000</w:t>
            </w:r>
          </w:p>
        </w:tc>
      </w:tr>
    </w:tbl>
    <w:p w:rsidRPr="00471AE7" w:rsidR="00BC5C20" w:rsidRDefault="00BC5C20" w14:paraId="706B9A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themeColor="text1"/>
          <w:sz w:val="24"/>
          <w:szCs w:val="24"/>
        </w:rPr>
      </w:pPr>
    </w:p>
    <w:p w:rsidRPr="00471AE7" w:rsidR="00E55DA0" w:rsidP="00BC5C20" w:rsidRDefault="00E55DA0" w14:paraId="6B198AE7" w14:textId="77777777">
      <w:pPr>
        <w:pStyle w:val="CM12"/>
        <w:spacing w:line="276" w:lineRule="atLeast"/>
        <w:rPr>
          <w:b/>
          <w:bCs/>
          <w:color w:val="000000" w:themeColor="text1"/>
        </w:rPr>
      </w:pPr>
    </w:p>
    <w:p w:rsidRPr="00471AE7" w:rsidR="00BC5C20" w:rsidP="00BC5C20" w:rsidRDefault="00BC5C20" w14:paraId="4DF2B8A0" w14:textId="77777777">
      <w:pPr>
        <w:pStyle w:val="CM12"/>
        <w:spacing w:line="276" w:lineRule="atLeast"/>
        <w:rPr>
          <w:color w:val="000000" w:themeColor="text1"/>
        </w:rPr>
      </w:pPr>
      <w:r w:rsidRPr="00471AE7">
        <w:rPr>
          <w:b/>
          <w:bCs/>
          <w:color w:val="000000" w:themeColor="text1"/>
        </w:rPr>
        <w:t xml:space="preserve">13.  </w:t>
      </w:r>
      <w:r w:rsidRPr="00471AE7">
        <w:rPr>
          <w:b/>
          <w:bCs/>
          <w:color w:val="000000" w:themeColor="text1"/>
          <w:u w:val="single"/>
        </w:rPr>
        <w:t xml:space="preserve">Estimated Total Annual Cost Burden to Respondents or Recordkeepers </w:t>
      </w:r>
    </w:p>
    <w:p w:rsidRPr="00471AE7" w:rsidR="00952B75" w:rsidRDefault="005021AA" w14:paraId="2B6BB996" w14:textId="6FF06B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5021AA">
        <w:rPr>
          <w:color w:val="000000" w:themeColor="text1"/>
          <w:sz w:val="24"/>
          <w:szCs w:val="24"/>
        </w:rPr>
        <w:t xml:space="preserve">There are no </w:t>
      </w:r>
      <w:r w:rsidR="00A9769D">
        <w:rPr>
          <w:color w:val="000000" w:themeColor="text1"/>
          <w:sz w:val="24"/>
          <w:szCs w:val="24"/>
        </w:rPr>
        <w:t>ongoing</w:t>
      </w:r>
      <w:r w:rsidRPr="005021AA" w:rsidR="00A9769D">
        <w:rPr>
          <w:color w:val="000000" w:themeColor="text1"/>
          <w:sz w:val="24"/>
          <w:szCs w:val="24"/>
        </w:rPr>
        <w:t xml:space="preserve"> </w:t>
      </w:r>
      <w:r w:rsidRPr="005021AA">
        <w:rPr>
          <w:color w:val="000000" w:themeColor="text1"/>
          <w:sz w:val="24"/>
          <w:szCs w:val="24"/>
        </w:rPr>
        <w:t>costs associated with this information collection</w:t>
      </w:r>
      <w:r w:rsidRPr="006B2703" w:rsidR="006B2703">
        <w:rPr>
          <w:color w:val="000000" w:themeColor="text1"/>
          <w:sz w:val="24"/>
          <w:szCs w:val="24"/>
        </w:rPr>
        <w:t>.</w:t>
      </w:r>
    </w:p>
    <w:p w:rsidRPr="00471AE7" w:rsidR="00952B75" w:rsidRDefault="00952B75" w14:paraId="5EBB7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58D2F31B" w14:textId="77777777">
      <w:pPr>
        <w:pStyle w:val="CM12"/>
        <w:spacing w:line="276" w:lineRule="atLeast"/>
        <w:rPr>
          <w:color w:val="000000" w:themeColor="text1"/>
        </w:rPr>
      </w:pPr>
      <w:r w:rsidRPr="00471AE7">
        <w:rPr>
          <w:b/>
          <w:bCs/>
          <w:color w:val="000000" w:themeColor="text1"/>
        </w:rPr>
        <w:t xml:space="preserve">14.  </w:t>
      </w:r>
      <w:r w:rsidRPr="00471AE7">
        <w:rPr>
          <w:b/>
          <w:bCs/>
          <w:color w:val="000000" w:themeColor="text1"/>
          <w:u w:val="single"/>
        </w:rPr>
        <w:t>Estimated Cost to the Federal Government</w:t>
      </w:r>
    </w:p>
    <w:p w:rsidRPr="00471AE7" w:rsidR="00BC5C20" w:rsidRDefault="008C57B8" w14:paraId="2FC5344B" w14:textId="7F62E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8C57B8">
        <w:rPr>
          <w:color w:val="000000" w:themeColor="text1"/>
          <w:sz w:val="24"/>
          <w:szCs w:val="24"/>
        </w:rPr>
        <w:t>The Bureau will not incur any new or additional costs as a result of this collection of information</w:t>
      </w:r>
      <w:r>
        <w:rPr>
          <w:color w:val="000000" w:themeColor="text1"/>
          <w:sz w:val="24"/>
          <w:szCs w:val="24"/>
        </w:rPr>
        <w:t>.</w:t>
      </w:r>
    </w:p>
    <w:p w:rsidRPr="00471AE7" w:rsidR="00D72220" w:rsidP="006C4996" w:rsidRDefault="00D72220" w14:paraId="3B73E0C9" w14:textId="77777777">
      <w:pPr>
        <w:rPr>
          <w:b/>
          <w:color w:val="000000" w:themeColor="text1"/>
          <w:sz w:val="24"/>
          <w:szCs w:val="24"/>
        </w:rPr>
      </w:pPr>
    </w:p>
    <w:p w:rsidRPr="00471AE7" w:rsidR="00BC5C20" w:rsidP="00BC5C20" w:rsidRDefault="00BC5C20" w14:paraId="67835A0E" w14:textId="77777777">
      <w:pPr>
        <w:pStyle w:val="Default"/>
        <w:rPr>
          <w:b/>
          <w:bCs/>
          <w:color w:val="000000" w:themeColor="text1"/>
          <w:u w:val="single"/>
        </w:rPr>
      </w:pPr>
      <w:r w:rsidRPr="00471AE7">
        <w:rPr>
          <w:b/>
          <w:bCs/>
          <w:color w:val="000000" w:themeColor="text1"/>
        </w:rPr>
        <w:t xml:space="preserve">15.  </w:t>
      </w:r>
      <w:r w:rsidRPr="00471AE7">
        <w:rPr>
          <w:b/>
          <w:bCs/>
          <w:color w:val="000000" w:themeColor="text1"/>
          <w:u w:val="single"/>
        </w:rPr>
        <w:t>Program Changes or Adjustments</w:t>
      </w:r>
    </w:p>
    <w:p w:rsidRPr="00471AE7" w:rsidR="00BC5C20" w:rsidP="00BC5C20" w:rsidRDefault="000E288E" w14:paraId="6679B324" w14:textId="58222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0E288E">
        <w:rPr>
          <w:color w:val="000000" w:themeColor="text1"/>
          <w:sz w:val="24"/>
          <w:szCs w:val="24"/>
        </w:rPr>
        <w:t>This is a new information collection request; therefore, all the burden (see Item 12) is considered a program change.</w:t>
      </w:r>
    </w:p>
    <w:p w:rsidRPr="00471AE7" w:rsidR="00E55DA0" w:rsidP="00BC5C20" w:rsidRDefault="00E55DA0" w14:paraId="65DA4970" w14:textId="77777777">
      <w:pPr>
        <w:pStyle w:val="CM12"/>
        <w:spacing w:line="276" w:lineRule="atLeast"/>
        <w:rPr>
          <w:b/>
          <w:bCs/>
          <w:color w:val="000000" w:themeColor="text1"/>
        </w:rPr>
      </w:pPr>
    </w:p>
    <w:p w:rsidRPr="00471AE7" w:rsidR="00BC5C20" w:rsidP="00BC5C20" w:rsidRDefault="00BC5C20" w14:paraId="024033F8" w14:textId="77777777">
      <w:pPr>
        <w:pStyle w:val="CM12"/>
        <w:spacing w:line="276" w:lineRule="atLeast"/>
        <w:rPr>
          <w:color w:val="000000" w:themeColor="text1"/>
        </w:rPr>
      </w:pPr>
      <w:r w:rsidRPr="00471AE7">
        <w:rPr>
          <w:b/>
          <w:bCs/>
          <w:color w:val="000000" w:themeColor="text1"/>
        </w:rPr>
        <w:t xml:space="preserve">16.  </w:t>
      </w:r>
      <w:r w:rsidRPr="00471AE7">
        <w:rPr>
          <w:b/>
          <w:bCs/>
          <w:color w:val="000000" w:themeColor="text1"/>
          <w:u w:val="single"/>
        </w:rPr>
        <w:t>Plans for Tabulation, Statistical Analysis, and Publication</w:t>
      </w:r>
    </w:p>
    <w:p w:rsidRPr="00471AE7" w:rsidR="00295103" w:rsidRDefault="00CA2E66" w14:paraId="7416623E" w14:textId="420B7C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A2E66">
        <w:rPr>
          <w:color w:val="000000" w:themeColor="text1"/>
          <w:sz w:val="24"/>
          <w:szCs w:val="24"/>
        </w:rPr>
        <w:t xml:space="preserve">There are no plans to </w:t>
      </w:r>
      <w:r>
        <w:rPr>
          <w:color w:val="000000" w:themeColor="text1"/>
          <w:sz w:val="24"/>
          <w:szCs w:val="24"/>
        </w:rPr>
        <w:t>perform or publish tabulations or statistical analysis of collected information.</w:t>
      </w:r>
    </w:p>
    <w:p w:rsidRPr="00471AE7" w:rsidR="00E55DA0" w:rsidRDefault="00E55DA0" w14:paraId="19C3E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P="00BC5C20" w:rsidRDefault="00BC5C20" w14:paraId="0C1091E7" w14:textId="77777777">
      <w:pPr>
        <w:pStyle w:val="Default"/>
        <w:rPr>
          <w:b/>
          <w:bCs/>
          <w:color w:val="000000" w:themeColor="text1"/>
          <w:u w:val="single"/>
        </w:rPr>
      </w:pPr>
      <w:r w:rsidRPr="00471AE7">
        <w:rPr>
          <w:b/>
          <w:bCs/>
          <w:color w:val="000000" w:themeColor="text1"/>
        </w:rPr>
        <w:t>17.</w:t>
      </w:r>
      <w:r w:rsidRPr="00471AE7" w:rsidR="002120E6">
        <w:rPr>
          <w:b/>
          <w:bCs/>
          <w:color w:val="000000" w:themeColor="text1"/>
        </w:rPr>
        <w:t xml:space="preserve">  </w:t>
      </w:r>
      <w:r w:rsidRPr="00471AE7">
        <w:rPr>
          <w:b/>
          <w:bCs/>
          <w:color w:val="000000" w:themeColor="text1"/>
          <w:u w:val="single"/>
        </w:rPr>
        <w:t>Display of Expiration Date</w:t>
      </w:r>
    </w:p>
    <w:p w:rsidRPr="00471AE7" w:rsidR="00E55DA0" w:rsidP="00BC5C20" w:rsidRDefault="000E288E" w14:paraId="72BA0476" w14:textId="4CEFF8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0E288E">
        <w:rPr>
          <w:color w:val="000000" w:themeColor="text1"/>
          <w:sz w:val="24"/>
          <w:szCs w:val="24"/>
        </w:rPr>
        <w:t xml:space="preserve">The Bureau plans to display the expiration date for OMB approval of the information collection </w:t>
      </w:r>
      <w:r w:rsidR="002C194D">
        <w:rPr>
          <w:color w:val="000000" w:themeColor="text1"/>
          <w:sz w:val="24"/>
          <w:szCs w:val="24"/>
        </w:rPr>
        <w:t xml:space="preserve">in the final policy / procedural rule as well as </w:t>
      </w:r>
      <w:r w:rsidR="000D3A27">
        <w:rPr>
          <w:color w:val="000000" w:themeColor="text1"/>
          <w:sz w:val="24"/>
          <w:szCs w:val="24"/>
        </w:rPr>
        <w:t xml:space="preserve">in regulations.gov. </w:t>
      </w:r>
      <w:bookmarkStart w:name="_GoBack" w:id="0"/>
      <w:bookmarkEnd w:id="0"/>
      <w:r w:rsidR="000D3A27">
        <w:rPr>
          <w:color w:val="000000" w:themeColor="text1"/>
          <w:sz w:val="24"/>
          <w:szCs w:val="24"/>
        </w:rPr>
        <w:t xml:space="preserve"> </w:t>
      </w:r>
    </w:p>
    <w:p w:rsidRPr="00471AE7" w:rsidR="00295103" w:rsidRDefault="00295103" w14:paraId="654A0F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471AE7" w:rsidR="00BC5C20" w:rsidRDefault="00BC5C20" w14:paraId="65505C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4"/>
          <w:szCs w:val="24"/>
          <w:u w:val="single"/>
        </w:rPr>
      </w:pPr>
      <w:r w:rsidRPr="00471AE7">
        <w:rPr>
          <w:b/>
          <w:bCs/>
          <w:color w:val="000000" w:themeColor="text1"/>
          <w:sz w:val="24"/>
          <w:szCs w:val="24"/>
        </w:rPr>
        <w:t xml:space="preserve">18.  </w:t>
      </w:r>
      <w:r w:rsidRPr="00471AE7">
        <w:rPr>
          <w:b/>
          <w:bCs/>
          <w:color w:val="000000" w:themeColor="text1"/>
          <w:sz w:val="24"/>
          <w:szCs w:val="24"/>
          <w:u w:val="single"/>
        </w:rPr>
        <w:t>Exceptions to the Certification Requirement</w:t>
      </w:r>
    </w:p>
    <w:p w:rsidRPr="00471AE7" w:rsidR="00BC5C20" w:rsidRDefault="000E288E" w14:paraId="56F55BDE" w14:textId="11757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0E288E">
        <w:rPr>
          <w:color w:val="000000" w:themeColor="text1"/>
          <w:sz w:val="24"/>
          <w:szCs w:val="24"/>
        </w:rPr>
        <w:t>The Bureau certifies that this collection of information is consistent with the requirements of 5 C.F.R.</w:t>
      </w:r>
      <w:r w:rsidR="002E4597">
        <w:rPr>
          <w:color w:val="000000" w:themeColor="text1"/>
          <w:sz w:val="24"/>
          <w:szCs w:val="24"/>
        </w:rPr>
        <w:t>§</w:t>
      </w:r>
      <w:r w:rsidRPr="000E288E">
        <w:rPr>
          <w:color w:val="000000" w:themeColor="text1"/>
          <w:sz w:val="24"/>
          <w:szCs w:val="24"/>
        </w:rPr>
        <w:t>1320.9, and the related provisions of 5 C.F.R.</w:t>
      </w:r>
      <w:r w:rsidR="00D47636">
        <w:rPr>
          <w:color w:val="000000" w:themeColor="text1"/>
          <w:sz w:val="24"/>
          <w:szCs w:val="24"/>
        </w:rPr>
        <w:t>§</w:t>
      </w:r>
      <w:r w:rsidRPr="000E288E">
        <w:rPr>
          <w:color w:val="000000" w:themeColor="text1"/>
          <w:sz w:val="24"/>
          <w:szCs w:val="24"/>
        </w:rPr>
        <w:t xml:space="preserve"> 320.8(b)(3)</w:t>
      </w:r>
      <w:r w:rsidR="009B1DD9">
        <w:rPr>
          <w:color w:val="000000" w:themeColor="text1"/>
          <w:sz w:val="24"/>
          <w:szCs w:val="24"/>
        </w:rPr>
        <w:t>,</w:t>
      </w:r>
      <w:r w:rsidRPr="000E288E">
        <w:rPr>
          <w:color w:val="000000" w:themeColor="text1"/>
          <w:sz w:val="24"/>
          <w:szCs w:val="24"/>
        </w:rPr>
        <w:t xml:space="preserve"> and is not seeking an exemption to these certification requirements.</w:t>
      </w:r>
    </w:p>
    <w:p w:rsidRPr="00471AE7" w:rsidR="001B6C4B" w:rsidP="001B6C4B" w:rsidRDefault="001B6C4B" w14:paraId="1DD23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C7ECD" w:rsidP="00867247" w:rsidRDefault="00FC7ECD" w14:paraId="7F40B9AD" w14:textId="6CFE25FA">
      <w:pPr>
        <w:widowControl/>
        <w:autoSpaceDE/>
        <w:autoSpaceDN/>
        <w:adjustRightInd/>
        <w:rPr>
          <w:color w:val="000000" w:themeColor="text1"/>
          <w:sz w:val="24"/>
          <w:szCs w:val="24"/>
        </w:rPr>
      </w:pPr>
    </w:p>
    <w:p w:rsidR="00867247" w:rsidP="00867247" w:rsidRDefault="00867247" w14:paraId="6D03E22D" w14:textId="4908CA03">
      <w:pPr>
        <w:widowControl/>
        <w:autoSpaceDE/>
        <w:autoSpaceDN/>
        <w:adjustRightInd/>
        <w:rPr>
          <w:color w:val="000000" w:themeColor="text1"/>
          <w:sz w:val="24"/>
          <w:szCs w:val="24"/>
        </w:rPr>
      </w:pPr>
    </w:p>
    <w:p w:rsidRPr="00471AE7" w:rsidR="00867247" w:rsidP="00867247" w:rsidRDefault="00867247" w14:paraId="713AC40E" w14:textId="5D36EF81">
      <w:pPr>
        <w:widowControl/>
        <w:autoSpaceDE/>
        <w:autoSpaceDN/>
        <w:adjustRightInd/>
        <w:jc w:val="center"/>
        <w:rPr>
          <w:color w:val="000000" w:themeColor="text1"/>
          <w:sz w:val="24"/>
          <w:szCs w:val="24"/>
        </w:rPr>
      </w:pPr>
      <w:r>
        <w:rPr>
          <w:color w:val="000000" w:themeColor="text1"/>
          <w:sz w:val="24"/>
          <w:szCs w:val="24"/>
        </w:rPr>
        <w:t>###</w:t>
      </w:r>
    </w:p>
    <w:sectPr w:rsidRPr="00471AE7" w:rsidR="00867247">
      <w:headerReference w:type="default" r:id="rId13"/>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8319" w14:textId="77777777" w:rsidR="000028D8" w:rsidRDefault="000028D8" w:rsidP="001B6C4B">
      <w:r>
        <w:separator/>
      </w:r>
    </w:p>
  </w:endnote>
  <w:endnote w:type="continuationSeparator" w:id="0">
    <w:p w14:paraId="6C5C922E" w14:textId="77777777" w:rsidR="000028D8" w:rsidRDefault="000028D8" w:rsidP="001B6C4B">
      <w:r>
        <w:continuationSeparator/>
      </w:r>
    </w:p>
  </w:endnote>
  <w:endnote w:type="continuationNotice" w:id="1">
    <w:p w14:paraId="4044528C" w14:textId="77777777" w:rsidR="000028D8" w:rsidRDefault="00002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145782"/>
      <w:docPartObj>
        <w:docPartGallery w:val="Page Numbers (Bottom of Page)"/>
        <w:docPartUnique/>
      </w:docPartObj>
    </w:sdtPr>
    <w:sdtEndPr/>
    <w:sdtContent>
      <w:sdt>
        <w:sdtPr>
          <w:id w:val="860082579"/>
          <w:docPartObj>
            <w:docPartGallery w:val="Page Numbers (Top of Page)"/>
            <w:docPartUnique/>
          </w:docPartObj>
        </w:sdtPr>
        <w:sdtEndPr/>
        <w:sdtContent>
          <w:p w14:paraId="4F9132E5" w14:textId="77777777" w:rsidR="00C845B7" w:rsidRDefault="00C845B7" w:rsidP="003A14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554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5540">
              <w:rPr>
                <w:b/>
                <w:bCs/>
                <w:noProof/>
              </w:rPr>
              <w:t>19</w:t>
            </w:r>
            <w:r>
              <w:rPr>
                <w:b/>
                <w:bCs/>
                <w:sz w:val="24"/>
                <w:szCs w:val="24"/>
              </w:rPr>
              <w:fldChar w:fldCharType="end"/>
            </w:r>
          </w:p>
        </w:sdtContent>
      </w:sdt>
    </w:sdtContent>
  </w:sdt>
  <w:p w14:paraId="105A53FC" w14:textId="77777777" w:rsidR="00C845B7" w:rsidRDefault="00C8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5809E" w14:textId="77777777" w:rsidR="000028D8" w:rsidRDefault="000028D8" w:rsidP="001B6C4B">
      <w:r>
        <w:separator/>
      </w:r>
    </w:p>
  </w:footnote>
  <w:footnote w:type="continuationSeparator" w:id="0">
    <w:p w14:paraId="63098C36" w14:textId="77777777" w:rsidR="000028D8" w:rsidRDefault="000028D8" w:rsidP="001B6C4B">
      <w:r>
        <w:continuationSeparator/>
      </w:r>
    </w:p>
  </w:footnote>
  <w:footnote w:type="continuationNotice" w:id="1">
    <w:p w14:paraId="52E475F3" w14:textId="77777777" w:rsidR="000028D8" w:rsidRDefault="000028D8"/>
  </w:footnote>
  <w:footnote w:id="2">
    <w:p w14:paraId="7CC8B6BA" w14:textId="295DAFB5" w:rsidR="00BC2163" w:rsidRPr="00BC2163" w:rsidRDefault="00BC2163">
      <w:pPr>
        <w:pStyle w:val="FootnoteText"/>
      </w:pPr>
      <w:r>
        <w:rPr>
          <w:rStyle w:val="FootnoteReference"/>
        </w:rPr>
        <w:footnoteRef/>
      </w:r>
      <w:r>
        <w:t xml:space="preserve"> </w:t>
      </w:r>
      <w:r>
        <w:rPr>
          <w:i/>
        </w:rPr>
        <w:t>See</w:t>
      </w:r>
      <w:r>
        <w:t xml:space="preserve"> 12 C</w:t>
      </w:r>
      <w:r w:rsidR="001B4B97">
        <w:t>.</w:t>
      </w:r>
      <w:r>
        <w:t>F</w:t>
      </w:r>
      <w:r w:rsidR="001B4B97">
        <w:t>.</w:t>
      </w:r>
      <w:r>
        <w:t>R</w:t>
      </w:r>
      <w:r w:rsidR="001B4B97">
        <w:t>.</w:t>
      </w:r>
      <w:r>
        <w:t xml:space="preserve"> </w:t>
      </w:r>
      <w:r w:rsidR="001B4B97">
        <w:t>P</w:t>
      </w:r>
      <w:r>
        <w:t>art 1070.</w:t>
      </w:r>
    </w:p>
  </w:footnote>
  <w:footnote w:id="3">
    <w:p w14:paraId="17CD3D26" w14:textId="0933E9B9" w:rsidR="009D3FFD" w:rsidRPr="00942F4D" w:rsidRDefault="009D3FFD">
      <w:pPr>
        <w:pStyle w:val="FootnoteText"/>
      </w:pPr>
      <w:r>
        <w:rPr>
          <w:rStyle w:val="FootnoteReference"/>
        </w:rPr>
        <w:footnoteRef/>
      </w:r>
      <w:r>
        <w:t xml:space="preserve"> </w:t>
      </w:r>
      <w:r>
        <w:rPr>
          <w:i/>
        </w:rPr>
        <w:t>See</w:t>
      </w:r>
      <w:r w:rsidR="00942F4D">
        <w:rPr>
          <w:i/>
        </w:rPr>
        <w:t xml:space="preserve"> supra</w:t>
      </w:r>
      <w:r w:rsidR="00942F4D">
        <w:t xml:space="preserve"> note 1</w:t>
      </w:r>
      <w:r w:rsidR="008A40E6">
        <w:t>.</w:t>
      </w:r>
    </w:p>
  </w:footnote>
  <w:footnote w:id="4">
    <w:p w14:paraId="000F93B8" w14:textId="72BB7C5C" w:rsidR="00C60198" w:rsidRDefault="00C60198">
      <w:pPr>
        <w:pStyle w:val="FootnoteText"/>
      </w:pPr>
      <w:r>
        <w:rPr>
          <w:rStyle w:val="FootnoteReference"/>
        </w:rPr>
        <w:footnoteRef/>
      </w:r>
      <w:r>
        <w:t xml:space="preserve">  </w:t>
      </w:r>
      <w:r w:rsidR="00DE2699">
        <w:t xml:space="preserve">Average hourly rate for an attorney per the Bureau of Label Statistics current report: </w:t>
      </w:r>
      <w:hyperlink r:id="rId1" w:history="1">
        <w:r w:rsidR="00DE2699">
          <w:rPr>
            <w:rStyle w:val="Hyperlink"/>
          </w:rPr>
          <w:t>https://www.bls.gov/oes/current/oes_nat.htm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DC01" w14:textId="4E6ABA18" w:rsidR="0070129E" w:rsidRDefault="00A803A6" w:rsidP="009E0D57">
    <w:pPr>
      <w:pStyle w:val="Header"/>
      <w:jc w:val="right"/>
    </w:pPr>
    <w:r>
      <w:tab/>
    </w:r>
    <w:r w:rsidR="000A0E20">
      <w:t>30</w:t>
    </w:r>
    <w:r>
      <w:t xml:space="preserve">-day </w:t>
    </w:r>
    <w:r w:rsidR="009E0D57" w:rsidRPr="009E0D57">
      <w:rPr>
        <w:i/>
      </w:rPr>
      <w:t>Fede</w:t>
    </w:r>
    <w:r w:rsidR="009E0D57">
      <w:rPr>
        <w:i/>
      </w:rPr>
      <w:t>r</w:t>
    </w:r>
    <w:r w:rsidR="009E0D57" w:rsidRPr="009E0D57">
      <w:rPr>
        <w:i/>
      </w:rPr>
      <w:t>al Regi</w:t>
    </w:r>
    <w:r w:rsidR="00EF2503">
      <w:rPr>
        <w:i/>
      </w:rPr>
      <w:t>s</w:t>
    </w:r>
    <w:r w:rsidR="009E0D57" w:rsidRPr="009E0D57">
      <w:rPr>
        <w:i/>
      </w:rPr>
      <w:t>ter</w:t>
    </w:r>
    <w:r>
      <w:t xml:space="preserve"> version</w:t>
    </w:r>
  </w:p>
  <w:p w14:paraId="218DFE7D" w14:textId="77777777" w:rsidR="0070129E" w:rsidRDefault="00701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CB544D2"/>
    <w:multiLevelType w:val="hybridMultilevel"/>
    <w:tmpl w:val="D20EF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841CF"/>
    <w:multiLevelType w:val="hybridMultilevel"/>
    <w:tmpl w:val="C976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296453"/>
    <w:multiLevelType w:val="hybridMultilevel"/>
    <w:tmpl w:val="11F4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4"/>
  </w:num>
  <w:num w:numId="4">
    <w:abstractNumId w:val="8"/>
  </w:num>
  <w:num w:numId="5">
    <w:abstractNumId w:val="5"/>
  </w:num>
  <w:num w:numId="6">
    <w:abstractNumId w:val="11"/>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7"/>
  </w:num>
  <w:num w:numId="9">
    <w:abstractNumId w:val="3"/>
  </w:num>
  <w:num w:numId="10">
    <w:abstractNumId w:val="6"/>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998"/>
    <w:rsid w:val="000028D8"/>
    <w:rsid w:val="00005F7A"/>
    <w:rsid w:val="00011D95"/>
    <w:rsid w:val="000174C7"/>
    <w:rsid w:val="00023DD3"/>
    <w:rsid w:val="000246F2"/>
    <w:rsid w:val="000257C8"/>
    <w:rsid w:val="00026233"/>
    <w:rsid w:val="00036F8C"/>
    <w:rsid w:val="00050EA6"/>
    <w:rsid w:val="00075F31"/>
    <w:rsid w:val="0008211D"/>
    <w:rsid w:val="00085CE3"/>
    <w:rsid w:val="0009446E"/>
    <w:rsid w:val="000A0E20"/>
    <w:rsid w:val="000A7001"/>
    <w:rsid w:val="000B0D8C"/>
    <w:rsid w:val="000B60BE"/>
    <w:rsid w:val="000C2801"/>
    <w:rsid w:val="000C322B"/>
    <w:rsid w:val="000D1067"/>
    <w:rsid w:val="000D1CC4"/>
    <w:rsid w:val="000D2F9C"/>
    <w:rsid w:val="000D3A27"/>
    <w:rsid w:val="000D475B"/>
    <w:rsid w:val="000D5014"/>
    <w:rsid w:val="000E288E"/>
    <w:rsid w:val="000F1730"/>
    <w:rsid w:val="000F1C17"/>
    <w:rsid w:val="000F3AF1"/>
    <w:rsid w:val="000F7D1B"/>
    <w:rsid w:val="00100556"/>
    <w:rsid w:val="00106920"/>
    <w:rsid w:val="00111E8C"/>
    <w:rsid w:val="001125CB"/>
    <w:rsid w:val="001205C4"/>
    <w:rsid w:val="00125D8C"/>
    <w:rsid w:val="00126464"/>
    <w:rsid w:val="00142968"/>
    <w:rsid w:val="00146250"/>
    <w:rsid w:val="001579D2"/>
    <w:rsid w:val="00162B02"/>
    <w:rsid w:val="00177FA1"/>
    <w:rsid w:val="00187384"/>
    <w:rsid w:val="00193A18"/>
    <w:rsid w:val="001A0C89"/>
    <w:rsid w:val="001B4B97"/>
    <w:rsid w:val="001B5CD8"/>
    <w:rsid w:val="001B6C4B"/>
    <w:rsid w:val="001C3237"/>
    <w:rsid w:val="002120E6"/>
    <w:rsid w:val="00213039"/>
    <w:rsid w:val="0021592D"/>
    <w:rsid w:val="00230C7F"/>
    <w:rsid w:val="00263651"/>
    <w:rsid w:val="00264288"/>
    <w:rsid w:val="00286D16"/>
    <w:rsid w:val="00295103"/>
    <w:rsid w:val="002A0578"/>
    <w:rsid w:val="002A1026"/>
    <w:rsid w:val="002A332A"/>
    <w:rsid w:val="002B2F90"/>
    <w:rsid w:val="002B4FF7"/>
    <w:rsid w:val="002B67B5"/>
    <w:rsid w:val="002C0417"/>
    <w:rsid w:val="002C194D"/>
    <w:rsid w:val="002D027E"/>
    <w:rsid w:val="002D1E56"/>
    <w:rsid w:val="002D601F"/>
    <w:rsid w:val="002E3E98"/>
    <w:rsid w:val="002E4597"/>
    <w:rsid w:val="002F16ED"/>
    <w:rsid w:val="003032F7"/>
    <w:rsid w:val="003368A9"/>
    <w:rsid w:val="003453FE"/>
    <w:rsid w:val="00347534"/>
    <w:rsid w:val="00352210"/>
    <w:rsid w:val="003522DD"/>
    <w:rsid w:val="00352F9A"/>
    <w:rsid w:val="003662ED"/>
    <w:rsid w:val="00370108"/>
    <w:rsid w:val="00371B07"/>
    <w:rsid w:val="003726F9"/>
    <w:rsid w:val="00393996"/>
    <w:rsid w:val="003A1485"/>
    <w:rsid w:val="003B59D6"/>
    <w:rsid w:val="003C20C7"/>
    <w:rsid w:val="003C3292"/>
    <w:rsid w:val="003C3A52"/>
    <w:rsid w:val="003D43B4"/>
    <w:rsid w:val="003E4CA6"/>
    <w:rsid w:val="003F0C9D"/>
    <w:rsid w:val="004130AC"/>
    <w:rsid w:val="0041478C"/>
    <w:rsid w:val="00416DF0"/>
    <w:rsid w:val="00426BB0"/>
    <w:rsid w:val="004572AB"/>
    <w:rsid w:val="00462E62"/>
    <w:rsid w:val="00471AE7"/>
    <w:rsid w:val="00473620"/>
    <w:rsid w:val="0047365E"/>
    <w:rsid w:val="004837ED"/>
    <w:rsid w:val="0049055D"/>
    <w:rsid w:val="00492ACF"/>
    <w:rsid w:val="004963B1"/>
    <w:rsid w:val="004A0214"/>
    <w:rsid w:val="004A6DFA"/>
    <w:rsid w:val="004D4829"/>
    <w:rsid w:val="004E065C"/>
    <w:rsid w:val="004E18C0"/>
    <w:rsid w:val="004E5540"/>
    <w:rsid w:val="004E64E4"/>
    <w:rsid w:val="004F0964"/>
    <w:rsid w:val="00500639"/>
    <w:rsid w:val="005021AA"/>
    <w:rsid w:val="00502620"/>
    <w:rsid w:val="00507582"/>
    <w:rsid w:val="005120FA"/>
    <w:rsid w:val="00512E72"/>
    <w:rsid w:val="00525467"/>
    <w:rsid w:val="005446A7"/>
    <w:rsid w:val="00561977"/>
    <w:rsid w:val="00561E6B"/>
    <w:rsid w:val="00572D58"/>
    <w:rsid w:val="005775E9"/>
    <w:rsid w:val="00577B91"/>
    <w:rsid w:val="005840B0"/>
    <w:rsid w:val="00594CAD"/>
    <w:rsid w:val="005A04C7"/>
    <w:rsid w:val="005A1731"/>
    <w:rsid w:val="005B519E"/>
    <w:rsid w:val="005C2C23"/>
    <w:rsid w:val="005C4202"/>
    <w:rsid w:val="005D3942"/>
    <w:rsid w:val="005D39A7"/>
    <w:rsid w:val="005E0031"/>
    <w:rsid w:val="005F1171"/>
    <w:rsid w:val="005F6190"/>
    <w:rsid w:val="0060758B"/>
    <w:rsid w:val="00612AA2"/>
    <w:rsid w:val="00625B5A"/>
    <w:rsid w:val="006314E1"/>
    <w:rsid w:val="00641609"/>
    <w:rsid w:val="006441CD"/>
    <w:rsid w:val="00652F45"/>
    <w:rsid w:val="00655F86"/>
    <w:rsid w:val="00687E0F"/>
    <w:rsid w:val="006A2815"/>
    <w:rsid w:val="006B2703"/>
    <w:rsid w:val="006B5076"/>
    <w:rsid w:val="006B7D49"/>
    <w:rsid w:val="006C0D36"/>
    <w:rsid w:val="006C180F"/>
    <w:rsid w:val="006C228B"/>
    <w:rsid w:val="006C4996"/>
    <w:rsid w:val="006D437B"/>
    <w:rsid w:val="006D5CA0"/>
    <w:rsid w:val="006E1D51"/>
    <w:rsid w:val="006E2906"/>
    <w:rsid w:val="006E339F"/>
    <w:rsid w:val="006E5B8A"/>
    <w:rsid w:val="006E6B08"/>
    <w:rsid w:val="0070129E"/>
    <w:rsid w:val="00701C0C"/>
    <w:rsid w:val="00705EC3"/>
    <w:rsid w:val="00727C0F"/>
    <w:rsid w:val="00730122"/>
    <w:rsid w:val="007363B4"/>
    <w:rsid w:val="00740CBD"/>
    <w:rsid w:val="0075147B"/>
    <w:rsid w:val="00762AF1"/>
    <w:rsid w:val="00763F2C"/>
    <w:rsid w:val="00774746"/>
    <w:rsid w:val="00775FF5"/>
    <w:rsid w:val="007851E9"/>
    <w:rsid w:val="00790234"/>
    <w:rsid w:val="007B5949"/>
    <w:rsid w:val="007C461E"/>
    <w:rsid w:val="007D576C"/>
    <w:rsid w:val="007D6DCE"/>
    <w:rsid w:val="007E0779"/>
    <w:rsid w:val="007E21B5"/>
    <w:rsid w:val="007F05F1"/>
    <w:rsid w:val="007F1AF4"/>
    <w:rsid w:val="007F1C59"/>
    <w:rsid w:val="00800000"/>
    <w:rsid w:val="00810A85"/>
    <w:rsid w:val="0081259F"/>
    <w:rsid w:val="00820C3D"/>
    <w:rsid w:val="008228A7"/>
    <w:rsid w:val="008323F0"/>
    <w:rsid w:val="00833BD0"/>
    <w:rsid w:val="008417CA"/>
    <w:rsid w:val="00841DC6"/>
    <w:rsid w:val="008530D4"/>
    <w:rsid w:val="00860560"/>
    <w:rsid w:val="00864CF3"/>
    <w:rsid w:val="00867247"/>
    <w:rsid w:val="00871049"/>
    <w:rsid w:val="0087357A"/>
    <w:rsid w:val="008769A5"/>
    <w:rsid w:val="008803B0"/>
    <w:rsid w:val="00881417"/>
    <w:rsid w:val="008959DA"/>
    <w:rsid w:val="008A409A"/>
    <w:rsid w:val="008A40E6"/>
    <w:rsid w:val="008B645B"/>
    <w:rsid w:val="008C03AF"/>
    <w:rsid w:val="008C0DC4"/>
    <w:rsid w:val="008C57B8"/>
    <w:rsid w:val="008D49D0"/>
    <w:rsid w:val="008D540D"/>
    <w:rsid w:val="0091092A"/>
    <w:rsid w:val="00942F4D"/>
    <w:rsid w:val="00944C21"/>
    <w:rsid w:val="009519B4"/>
    <w:rsid w:val="00952B75"/>
    <w:rsid w:val="009723BE"/>
    <w:rsid w:val="00975E58"/>
    <w:rsid w:val="00975E69"/>
    <w:rsid w:val="0099039A"/>
    <w:rsid w:val="009A57FF"/>
    <w:rsid w:val="009B1DD9"/>
    <w:rsid w:val="009B359F"/>
    <w:rsid w:val="009B3DF2"/>
    <w:rsid w:val="009B4A8A"/>
    <w:rsid w:val="009B581C"/>
    <w:rsid w:val="009B5917"/>
    <w:rsid w:val="009C42D5"/>
    <w:rsid w:val="009D0423"/>
    <w:rsid w:val="009D3FFD"/>
    <w:rsid w:val="009D7A98"/>
    <w:rsid w:val="009E0D57"/>
    <w:rsid w:val="009E1EE8"/>
    <w:rsid w:val="009F1CA8"/>
    <w:rsid w:val="009F302B"/>
    <w:rsid w:val="00A03E71"/>
    <w:rsid w:val="00A10EF8"/>
    <w:rsid w:val="00A20E66"/>
    <w:rsid w:val="00A2794A"/>
    <w:rsid w:val="00A301BC"/>
    <w:rsid w:val="00A36FB8"/>
    <w:rsid w:val="00A404D5"/>
    <w:rsid w:val="00A4148C"/>
    <w:rsid w:val="00A50899"/>
    <w:rsid w:val="00A63D78"/>
    <w:rsid w:val="00A674BC"/>
    <w:rsid w:val="00A72D65"/>
    <w:rsid w:val="00A803A6"/>
    <w:rsid w:val="00A87748"/>
    <w:rsid w:val="00A92B9A"/>
    <w:rsid w:val="00A9321F"/>
    <w:rsid w:val="00A9405D"/>
    <w:rsid w:val="00A9769D"/>
    <w:rsid w:val="00AA40C8"/>
    <w:rsid w:val="00AA56E6"/>
    <w:rsid w:val="00AB01E0"/>
    <w:rsid w:val="00AC6D8D"/>
    <w:rsid w:val="00AD6CB2"/>
    <w:rsid w:val="00AE1637"/>
    <w:rsid w:val="00AE3F7A"/>
    <w:rsid w:val="00AE4F92"/>
    <w:rsid w:val="00AF09E0"/>
    <w:rsid w:val="00B04BFB"/>
    <w:rsid w:val="00B16B5E"/>
    <w:rsid w:val="00B20B16"/>
    <w:rsid w:val="00B253FA"/>
    <w:rsid w:val="00B316FB"/>
    <w:rsid w:val="00B31A6E"/>
    <w:rsid w:val="00B32175"/>
    <w:rsid w:val="00B64324"/>
    <w:rsid w:val="00B67183"/>
    <w:rsid w:val="00B671D3"/>
    <w:rsid w:val="00B703D3"/>
    <w:rsid w:val="00B7384B"/>
    <w:rsid w:val="00B73FF0"/>
    <w:rsid w:val="00B94F34"/>
    <w:rsid w:val="00B952CE"/>
    <w:rsid w:val="00B970BD"/>
    <w:rsid w:val="00BB5CC1"/>
    <w:rsid w:val="00BC2163"/>
    <w:rsid w:val="00BC5C20"/>
    <w:rsid w:val="00BE498F"/>
    <w:rsid w:val="00BF20D7"/>
    <w:rsid w:val="00BF49F9"/>
    <w:rsid w:val="00C07B02"/>
    <w:rsid w:val="00C132C7"/>
    <w:rsid w:val="00C20603"/>
    <w:rsid w:val="00C25760"/>
    <w:rsid w:val="00C56332"/>
    <w:rsid w:val="00C60198"/>
    <w:rsid w:val="00C732D4"/>
    <w:rsid w:val="00C84405"/>
    <w:rsid w:val="00C845B7"/>
    <w:rsid w:val="00C930CD"/>
    <w:rsid w:val="00C967B2"/>
    <w:rsid w:val="00CA2E66"/>
    <w:rsid w:val="00CA42FB"/>
    <w:rsid w:val="00CA7B74"/>
    <w:rsid w:val="00CB08FD"/>
    <w:rsid w:val="00CF7DA6"/>
    <w:rsid w:val="00D0083F"/>
    <w:rsid w:val="00D379B7"/>
    <w:rsid w:val="00D47636"/>
    <w:rsid w:val="00D64F6B"/>
    <w:rsid w:val="00D660DA"/>
    <w:rsid w:val="00D72220"/>
    <w:rsid w:val="00D73588"/>
    <w:rsid w:val="00D75EC5"/>
    <w:rsid w:val="00D97CAA"/>
    <w:rsid w:val="00DA2550"/>
    <w:rsid w:val="00DB774C"/>
    <w:rsid w:val="00DC15DC"/>
    <w:rsid w:val="00DD3F12"/>
    <w:rsid w:val="00DD6AEC"/>
    <w:rsid w:val="00DE18BF"/>
    <w:rsid w:val="00DE1FFE"/>
    <w:rsid w:val="00DE2699"/>
    <w:rsid w:val="00DE58F2"/>
    <w:rsid w:val="00DE7630"/>
    <w:rsid w:val="00DF42BB"/>
    <w:rsid w:val="00E255C8"/>
    <w:rsid w:val="00E50C62"/>
    <w:rsid w:val="00E532E5"/>
    <w:rsid w:val="00E54F84"/>
    <w:rsid w:val="00E55DA0"/>
    <w:rsid w:val="00E6013B"/>
    <w:rsid w:val="00E67394"/>
    <w:rsid w:val="00E674D7"/>
    <w:rsid w:val="00E75585"/>
    <w:rsid w:val="00E876D8"/>
    <w:rsid w:val="00EC2FFA"/>
    <w:rsid w:val="00EC69BD"/>
    <w:rsid w:val="00ED0C9F"/>
    <w:rsid w:val="00ED4D56"/>
    <w:rsid w:val="00EE7DC6"/>
    <w:rsid w:val="00EF2503"/>
    <w:rsid w:val="00EF751A"/>
    <w:rsid w:val="00F00AF0"/>
    <w:rsid w:val="00F04A4A"/>
    <w:rsid w:val="00F062FE"/>
    <w:rsid w:val="00F22150"/>
    <w:rsid w:val="00F25535"/>
    <w:rsid w:val="00F73931"/>
    <w:rsid w:val="00F7648A"/>
    <w:rsid w:val="00F83685"/>
    <w:rsid w:val="00F90806"/>
    <w:rsid w:val="00FA0215"/>
    <w:rsid w:val="00FA21E2"/>
    <w:rsid w:val="00FA6908"/>
    <w:rsid w:val="00FA6DC1"/>
    <w:rsid w:val="00FB0B93"/>
    <w:rsid w:val="00FB3033"/>
    <w:rsid w:val="00FB39E2"/>
    <w:rsid w:val="00FC7ECD"/>
    <w:rsid w:val="00FD0EDE"/>
    <w:rsid w:val="00FD287C"/>
    <w:rsid w:val="00FD484C"/>
    <w:rsid w:val="00FD7D87"/>
    <w:rsid w:val="00FF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1ACA02"/>
  <w15:docId w15:val="{BC738461-EA22-45C1-9F1F-959A8EBE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paragraph" w:styleId="Header">
    <w:name w:val="header"/>
    <w:basedOn w:val="Normal"/>
    <w:link w:val="HeaderChar"/>
    <w:uiPriority w:val="99"/>
    <w:unhideWhenUsed/>
    <w:rsid w:val="001B6C4B"/>
    <w:pPr>
      <w:tabs>
        <w:tab w:val="center" w:pos="4680"/>
        <w:tab w:val="right" w:pos="9360"/>
      </w:tabs>
    </w:pPr>
  </w:style>
  <w:style w:type="character" w:customStyle="1" w:styleId="HeaderChar">
    <w:name w:val="Header Char"/>
    <w:basedOn w:val="DefaultParagraphFont"/>
    <w:link w:val="Header"/>
    <w:uiPriority w:val="99"/>
    <w:rsid w:val="001B6C4B"/>
    <w:rPr>
      <w:rFonts w:ascii="Times New Roman" w:hAnsi="Times New Roman"/>
    </w:rPr>
  </w:style>
  <w:style w:type="paragraph" w:styleId="Footer">
    <w:name w:val="footer"/>
    <w:basedOn w:val="Normal"/>
    <w:link w:val="FooterChar"/>
    <w:uiPriority w:val="99"/>
    <w:unhideWhenUsed/>
    <w:rsid w:val="001B6C4B"/>
    <w:pPr>
      <w:tabs>
        <w:tab w:val="center" w:pos="4680"/>
        <w:tab w:val="right" w:pos="9360"/>
      </w:tabs>
    </w:pPr>
  </w:style>
  <w:style w:type="character" w:customStyle="1" w:styleId="FooterChar">
    <w:name w:val="Footer Char"/>
    <w:basedOn w:val="DefaultParagraphFont"/>
    <w:link w:val="Footer"/>
    <w:uiPriority w:val="99"/>
    <w:rsid w:val="001B6C4B"/>
    <w:rPr>
      <w:rFonts w:ascii="Times New Roman" w:hAnsi="Times New Roman"/>
    </w:rPr>
  </w:style>
  <w:style w:type="character" w:styleId="CommentReference">
    <w:name w:val="annotation reference"/>
    <w:basedOn w:val="DefaultParagraphFont"/>
    <w:uiPriority w:val="99"/>
    <w:semiHidden/>
    <w:unhideWhenUsed/>
    <w:rsid w:val="001B6C4B"/>
    <w:rPr>
      <w:sz w:val="16"/>
      <w:szCs w:val="16"/>
    </w:rPr>
  </w:style>
  <w:style w:type="paragraph" w:styleId="CommentText">
    <w:name w:val="annotation text"/>
    <w:basedOn w:val="Normal"/>
    <w:link w:val="CommentTextChar"/>
    <w:uiPriority w:val="99"/>
    <w:unhideWhenUsed/>
    <w:rsid w:val="001B6C4B"/>
  </w:style>
  <w:style w:type="character" w:customStyle="1" w:styleId="CommentTextChar">
    <w:name w:val="Comment Text Char"/>
    <w:basedOn w:val="DefaultParagraphFont"/>
    <w:link w:val="CommentText"/>
    <w:uiPriority w:val="99"/>
    <w:rsid w:val="001B6C4B"/>
    <w:rPr>
      <w:rFonts w:ascii="Times New Roman" w:hAnsi="Times New Roman"/>
    </w:rPr>
  </w:style>
  <w:style w:type="table" w:styleId="TableGrid">
    <w:name w:val="Table Grid"/>
    <w:basedOn w:val="TableNormal"/>
    <w:uiPriority w:val="59"/>
    <w:rsid w:val="00E2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405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55F86"/>
    <w:rPr>
      <w:b/>
      <w:bCs/>
    </w:rPr>
  </w:style>
  <w:style w:type="character" w:customStyle="1" w:styleId="CommentSubjectChar">
    <w:name w:val="Comment Subject Char"/>
    <w:basedOn w:val="CommentTextChar"/>
    <w:link w:val="CommentSubject"/>
    <w:uiPriority w:val="99"/>
    <w:semiHidden/>
    <w:rsid w:val="00655F86"/>
    <w:rPr>
      <w:rFonts w:ascii="Times New Roman" w:hAnsi="Times New Roman"/>
      <w:b/>
      <w:bCs/>
    </w:rPr>
  </w:style>
  <w:style w:type="paragraph" w:styleId="FootnoteText">
    <w:name w:val="footnote text"/>
    <w:basedOn w:val="Normal"/>
    <w:link w:val="FootnoteTextChar"/>
    <w:uiPriority w:val="99"/>
    <w:semiHidden/>
    <w:unhideWhenUsed/>
    <w:rsid w:val="00B316FB"/>
  </w:style>
  <w:style w:type="character" w:customStyle="1" w:styleId="FootnoteTextChar">
    <w:name w:val="Footnote Text Char"/>
    <w:basedOn w:val="DefaultParagraphFont"/>
    <w:link w:val="FootnoteText"/>
    <w:uiPriority w:val="99"/>
    <w:semiHidden/>
    <w:rsid w:val="00B316FB"/>
    <w:rPr>
      <w:rFonts w:ascii="Times New Roman" w:hAnsi="Times New Roman"/>
    </w:rPr>
  </w:style>
  <w:style w:type="character" w:styleId="FootnoteReference">
    <w:name w:val="footnote reference"/>
    <w:basedOn w:val="DefaultParagraphFont"/>
    <w:uiPriority w:val="99"/>
    <w:semiHidden/>
    <w:unhideWhenUsed/>
    <w:rsid w:val="00B316FB"/>
    <w:rPr>
      <w:vertAlign w:val="superscript"/>
    </w:rPr>
  </w:style>
  <w:style w:type="paragraph" w:styleId="Revision">
    <w:name w:val="Revision"/>
    <w:hidden/>
    <w:uiPriority w:val="99"/>
    <w:semiHidden/>
    <w:rsid w:val="00193A18"/>
    <w:rPr>
      <w:rFonts w:ascii="Times New Roman" w:hAnsi="Times New Roman"/>
    </w:rPr>
  </w:style>
  <w:style w:type="character" w:styleId="UnresolvedMention">
    <w:name w:val="Unresolved Mention"/>
    <w:basedOn w:val="DefaultParagraphFont"/>
    <w:uiPriority w:val="99"/>
    <w:semiHidden/>
    <w:unhideWhenUsed/>
    <w:rsid w:val="00A9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283851120">
      <w:bodyDiv w:val="1"/>
      <w:marLeft w:val="0"/>
      <w:marRight w:val="0"/>
      <w:marTop w:val="0"/>
      <w:marBottom w:val="0"/>
      <w:divBdr>
        <w:top w:val="none" w:sz="0" w:space="0" w:color="auto"/>
        <w:left w:val="none" w:sz="0" w:space="0" w:color="auto"/>
        <w:bottom w:val="none" w:sz="0" w:space="0" w:color="auto"/>
        <w:right w:val="none" w:sz="0" w:space="0" w:color="auto"/>
      </w:divBdr>
    </w:div>
    <w:div w:id="360253321">
      <w:bodyDiv w:val="1"/>
      <w:marLeft w:val="0"/>
      <w:marRight w:val="0"/>
      <w:marTop w:val="0"/>
      <w:marBottom w:val="0"/>
      <w:divBdr>
        <w:top w:val="none" w:sz="0" w:space="0" w:color="auto"/>
        <w:left w:val="none" w:sz="0" w:space="0" w:color="auto"/>
        <w:bottom w:val="none" w:sz="0" w:space="0" w:color="auto"/>
        <w:right w:val="none" w:sz="0" w:space="0" w:color="auto"/>
      </w:divBdr>
    </w:div>
    <w:div w:id="1712076164">
      <w:bodyDiv w:val="1"/>
      <w:marLeft w:val="0"/>
      <w:marRight w:val="0"/>
      <w:marTop w:val="0"/>
      <w:marBottom w:val="0"/>
      <w:divBdr>
        <w:top w:val="none" w:sz="0" w:space="0" w:color="auto"/>
        <w:left w:val="none" w:sz="0" w:space="0" w:color="auto"/>
        <w:bottom w:val="none" w:sz="0" w:space="0" w:color="auto"/>
        <w:right w:val="none" w:sz="0" w:space="0" w:color="auto"/>
      </w:divBdr>
    </w:div>
    <w:div w:id="1799912953">
      <w:bodyDiv w:val="1"/>
      <w:marLeft w:val="0"/>
      <w:marRight w:val="0"/>
      <w:marTop w:val="0"/>
      <w:marBottom w:val="0"/>
      <w:divBdr>
        <w:top w:val="none" w:sz="0" w:space="0" w:color="auto"/>
        <w:left w:val="none" w:sz="0" w:space="0" w:color="auto"/>
        <w:bottom w:val="none" w:sz="0" w:space="0" w:color="auto"/>
        <w:right w:val="none" w:sz="0" w:space="0" w:color="auto"/>
      </w:divBdr>
    </w:div>
    <w:div w:id="1803377598">
      <w:bodyDiv w:val="1"/>
      <w:marLeft w:val="0"/>
      <w:marRight w:val="0"/>
      <w:marTop w:val="0"/>
      <w:marBottom w:val="0"/>
      <w:divBdr>
        <w:top w:val="none" w:sz="0" w:space="0" w:color="auto"/>
        <w:left w:val="none" w:sz="0" w:space="0" w:color="auto"/>
        <w:bottom w:val="none" w:sz="0" w:space="0" w:color="auto"/>
        <w:right w:val="none" w:sz="0" w:space="0" w:color="auto"/>
      </w:divBdr>
    </w:div>
    <w:div w:id="1963997296">
      <w:bodyDiv w:val="1"/>
      <w:marLeft w:val="0"/>
      <w:marRight w:val="0"/>
      <w:marTop w:val="0"/>
      <w:marBottom w:val="0"/>
      <w:divBdr>
        <w:top w:val="none" w:sz="0" w:space="0" w:color="auto"/>
        <w:left w:val="none" w:sz="0" w:space="0" w:color="auto"/>
        <w:bottom w:val="none" w:sz="0" w:space="0" w:color="auto"/>
        <w:right w:val="none" w:sz="0" w:space="0" w:color="auto"/>
      </w:divBdr>
      <w:divsChild>
        <w:div w:id="146322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ee9ef73199e812c51999ae23f657fac">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b8ce99b69cdff90e84181cd2484697d5"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CFPBCDO-2004683907-2113504</_dlc_DocId>
    <_dlc_DocIdUrl xmlns="5e6029f0-4cb2-4578-9dca-18ac3ce3eaca">
      <Url>https://bcfp365.sharepoint.com/sites/cdo/_layouts/15/DocIdRedir.aspx?ID=CFPBCDO-2004683907-2113504</Url>
      <Description>CFPBCDO-2004683907-2113504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5f0ae79-fa7d-42cd-a738-9aebccb3fb89" ContentTypeId="0x010100AF5D719A330BE9498B2C5974DBEAC03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C4EC5-77D1-4870-A5B9-43FF08D7D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545D0-F7B1-41A3-B83B-04D47620B7CE}">
  <ds:schemaRefs>
    <ds:schemaRef ds:uri="http://schemas.microsoft.com/office/2006/documentManagement/types"/>
    <ds:schemaRef ds:uri="5e6029f0-4cb2-4578-9dca-18ac3ce3eaca"/>
    <ds:schemaRef ds:uri="http://purl.org/dc/elements/1.1/"/>
    <ds:schemaRef ds:uri="http://schemas.microsoft.com/office/2006/metadata/properties"/>
    <ds:schemaRef ds:uri="8ad2afa7-ad9a-4224-8e10-f94b3ba3fda2"/>
    <ds:schemaRef ds:uri="http://schemas.microsoft.com/office/infopath/2007/PartnerControls"/>
    <ds:schemaRef ds:uri="http://purl.org/dc/terms/"/>
    <ds:schemaRef ds:uri="http://schemas.openxmlformats.org/package/2006/metadata/core-properties"/>
    <ds:schemaRef ds:uri="b7b1617e-6a94-47af-ad6f-e20732201e63"/>
    <ds:schemaRef ds:uri="http://www.w3.org/XML/1998/namespace"/>
    <ds:schemaRef ds:uri="http://purl.org/dc/dcmitype/"/>
  </ds:schemaRefs>
</ds:datastoreItem>
</file>

<file path=customXml/itemProps3.xml><?xml version="1.0" encoding="utf-8"?>
<ds:datastoreItem xmlns:ds="http://schemas.openxmlformats.org/officeDocument/2006/customXml" ds:itemID="{5D0E9A41-9AA2-4CD3-A8F7-91FDA0E122D2}">
  <ds:schemaRefs>
    <ds:schemaRef ds:uri="http://schemas.microsoft.com/sharepoint/events"/>
  </ds:schemaRefs>
</ds:datastoreItem>
</file>

<file path=customXml/itemProps4.xml><?xml version="1.0" encoding="utf-8"?>
<ds:datastoreItem xmlns:ds="http://schemas.openxmlformats.org/officeDocument/2006/customXml" ds:itemID="{007D4B26-FF59-4C40-ACB5-CA795B45AB84}">
  <ds:schemaRefs>
    <ds:schemaRef ds:uri="http://schemas.microsoft.com/sharepoint/v3/contenttype/forms"/>
  </ds:schemaRefs>
</ds:datastoreItem>
</file>

<file path=customXml/itemProps5.xml><?xml version="1.0" encoding="utf-8"?>
<ds:datastoreItem xmlns:ds="http://schemas.openxmlformats.org/officeDocument/2006/customXml" ds:itemID="{98A55049-C775-4932-8326-57E9399C84E5}">
  <ds:schemaRefs>
    <ds:schemaRef ds:uri="Microsoft.SharePoint.Taxonomy.ContentTypeSync"/>
  </ds:schemaRefs>
</ds:datastoreItem>
</file>

<file path=customXml/itemProps6.xml><?xml version="1.0" encoding="utf-8"?>
<ds:datastoreItem xmlns:ds="http://schemas.openxmlformats.org/officeDocument/2006/customXml" ds:itemID="{35313546-1320-4BB4-85EB-305EDC0B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1186</Words>
  <Characters>6823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(CFPB)</cp:lastModifiedBy>
  <cp:revision>27</cp:revision>
  <cp:lastPrinted>2015-08-26T23:19:00Z</cp:lastPrinted>
  <dcterms:created xsi:type="dcterms:W3CDTF">2020-09-25T18:15:00Z</dcterms:created>
  <dcterms:modified xsi:type="dcterms:W3CDTF">2020-09-28T14:29:00Z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29d1b477-8b43-44a7-b18d-bfd634c845af</vt:lpwstr>
  </property>
  <property fmtid="{D5CDD505-2E9C-101B-9397-08002B2CF9AE}" pid="4" name="TaxKeyword">
    <vt:lpwstr/>
  </property>
</Properties>
</file>